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867F1" w14:textId="19B2BBC1" w:rsidR="001E3382" w:rsidRDefault="001E3382" w:rsidP="001E3382">
      <w:pPr>
        <w:rPr>
          <w:sz w:val="20"/>
          <w:szCs w:val="20"/>
        </w:rPr>
      </w:pPr>
      <w:r>
        <w:rPr>
          <w:noProof/>
          <w:lang w:eastAsia="sl-SI"/>
        </w:rPr>
        <w:drawing>
          <wp:anchor distT="0" distB="0" distL="114300" distR="114300" simplePos="0" relativeHeight="251663360" behindDoc="1" locked="0" layoutInCell="1" allowOverlap="1" wp14:anchorId="524B966D" wp14:editId="7428E806">
            <wp:simplePos x="0" y="0"/>
            <wp:positionH relativeFrom="column">
              <wp:posOffset>-330352</wp:posOffset>
            </wp:positionH>
            <wp:positionV relativeFrom="paragraph">
              <wp:posOffset>-226010</wp:posOffset>
            </wp:positionV>
            <wp:extent cx="2734742" cy="1057127"/>
            <wp:effectExtent l="0" t="0" r="0" b="0"/>
            <wp:wrapNone/>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4742" cy="10571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mc:AlternateContent>
          <mc:Choice Requires="wpg">
            <w:drawing>
              <wp:anchor distT="0" distB="0" distL="114300" distR="114300" simplePos="0" relativeHeight="251659264" behindDoc="0" locked="0" layoutInCell="0" allowOverlap="1" wp14:anchorId="1D4184F3" wp14:editId="6F67E4AE">
                <wp:simplePos x="0" y="0"/>
                <wp:positionH relativeFrom="page">
                  <wp:posOffset>4543450</wp:posOffset>
                </wp:positionH>
                <wp:positionV relativeFrom="page">
                  <wp:posOffset>299923</wp:posOffset>
                </wp:positionV>
                <wp:extent cx="3018790" cy="12400280"/>
                <wp:effectExtent l="0" t="0" r="5080" b="1270"/>
                <wp:wrapNone/>
                <wp:docPr id="12" name="Skupina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8790" cy="12400280"/>
                          <a:chOff x="7560" y="0"/>
                          <a:chExt cx="4700" cy="15840"/>
                        </a:xfrm>
                      </wpg:grpSpPr>
                      <wps:wsp>
                        <wps:cNvPr id="13" name="Rectangle 19"/>
                        <wps:cNvSpPr>
                          <a:spLocks noChangeArrowheads="1"/>
                        </wps:cNvSpPr>
                        <wps:spPr bwMode="auto">
                          <a:xfrm>
                            <a:off x="7755" y="0"/>
                            <a:ext cx="4505" cy="15840"/>
                          </a:xfrm>
                          <a:prstGeom prst="rect">
                            <a:avLst/>
                          </a:prstGeom>
                          <a:solidFill>
                            <a:srgbClr val="00707F"/>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4" name="Rectangle 20"/>
                        <wps:cNvSpPr>
                          <a:spLocks noChangeArrowheads="1"/>
                        </wps:cNvSpPr>
                        <wps:spPr bwMode="auto">
                          <a:xfrm>
                            <a:off x="7560" y="8"/>
                            <a:ext cx="195" cy="15825"/>
                          </a:xfrm>
                          <a:prstGeom prst="rect">
                            <a:avLst/>
                          </a:prstGeom>
                          <a:solidFill>
                            <a:srgbClr val="00707F">
                              <a:alpha val="79999"/>
                            </a:srgbClr>
                          </a:solid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14:sizeRelH relativeFrom="page">
                  <wp14:pctWidth>40000</wp14:pctWidth>
                </wp14:sizeRelH>
                <wp14:sizeRelV relativeFrom="page">
                  <wp14:pctHeight>0</wp14:pctHeight>
                </wp14:sizeRelV>
              </wp:anchor>
            </w:drawing>
          </mc:Choice>
          <mc:Fallback>
            <w:pict>
              <v:group w14:anchorId="6A2338A2" id="Skupina 12" o:spid="_x0000_s1026" style="position:absolute;margin-left:357.75pt;margin-top:23.6pt;width:237.7pt;height:976.4pt;z-index:251659264;mso-width-percent:400;mso-position-horizontal-relative:page;mso-position-vertical-relative:page;mso-width-percent:400" coordorigin="7560" coordsize="470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nDwgIAALgHAAAOAAAAZHJzL2Uyb0RvYy54bWy8VdtO3DAQfa/Uf7D8XnIhS3YjsghBQZVo&#10;i0r7AV7HuYjEdsfezdKv79hJ2GWpVAla8hB5POPxnDPH9unZtmvJRoBplMxpdBRSIiRXRSOrnP74&#10;fvVhTomxTBasVVLk9EEYerZ8/+6015mIVa3aQgDBJNJkvc5pba3OgsDwWnTMHCktJDpLBR2zaEIV&#10;FMB6zN61QRyGJ0GvoNCguDAGZy8HJ136/GUpuP1alkZY0uYUa7P+D/6/cv9gecqyCpiuGz6WwV5Q&#10;RccaiZs+prpklpE1NM9SdQ0HZVRpj7jqAlWWDRceA6KJwgM016DW2mOpsr7SjzQhtQc8vTgt/7K5&#10;BdIU2LuYEsk67NHd/Vo3khGcQXp6XWUYdQ36Tt/CgBGHN4rfG3QHh35nV0MwWfWfVYEZ2doqT8+2&#10;hM6lQOBk67vw8NgFsbWE4+RxGM3TBTaLoy+KkzCM52OjeI3ddAvT2QkG7Nby+uO4OknDaelsnvh1&#10;AcuGfX2tY20OGErO7Fg1r2P1rmZa+GYZx9fE6vHE6jfUIpNVK0i0GHj1cROpZmCUSHVRY5g4B1B9&#10;LViBZUUuHovfW+AMg/34K8VpOpvtMzWxnMxCnPcUP+OJZRqMvRaqI26QU8Daff/Y5sZYV8wuxLXT&#10;qLYprpq29QZUq4sWyIa5MxemYXrl6z8Ia6ULlsotGzK6GY/SARv6s1LFA4IENRxcvGhwUCv4RUmP&#10;hzan5ueagaCk/SSRqEWUYMuJ9UYyS2M0YN+z2vcwyTFVTi0lw/DCDjfDWkNT1bhT5EFLdY76LRsP&#10;3BE/VDUWixJ6Ky0lz7WECJG8J9JAnv+XlqZTN3ebsmzSUrTYSSmejc2ejvq/lpLbmLW6ZoPA0gV+&#10;k74G5Xl5PpHkn7WGAPwLMUp6OlJvqDxu4fXa87caPg8e9viUufdn3/Za3T24y98AAAD//wMAUEsD&#10;BBQABgAIAAAAIQCstdA54AAAAAwBAAAPAAAAZHJzL2Rvd25yZXYueG1sTI9Ba8JAEIXvhf6HZQq9&#10;1dlIY2qaiYhQKPRktAdva3abhGZnQ3bV+O+7nupxeB/vfVOsJtuLsxl955ggmUkQhmunO24I9ruP&#10;lzcQPijWqndsCK7Gw6p8fChUrt2Ft+ZchUbEEva5ImhDGHJEX7fGKj9zg+GY/bjRqhDPsUE9qkss&#10;tz3OpVygVR3HhVYNZtOa+rc6WYLJakybz8P317bK1ofuivtNikTPT9P6HUQwU/iH4aYf1aGMTkd3&#10;Yu1FT5AlaRpRgtdsDuIGJEu5BHEkiMNSApYF3j9R/gEAAP//AwBQSwECLQAUAAYACAAAACEAtoM4&#10;kv4AAADhAQAAEwAAAAAAAAAAAAAAAAAAAAAAW0NvbnRlbnRfVHlwZXNdLnhtbFBLAQItABQABgAI&#10;AAAAIQA4/SH/1gAAAJQBAAALAAAAAAAAAAAAAAAAAC8BAABfcmVscy8ucmVsc1BLAQItABQABgAI&#10;AAAAIQArI6nDwgIAALgHAAAOAAAAAAAAAAAAAAAAAC4CAABkcnMvZTJvRG9jLnhtbFBLAQItABQA&#10;BgAIAAAAIQCstdA54AAAAAwBAAAPAAAAAAAAAAAAAAAAABwFAABkcnMvZG93bnJldi54bWxQSwUG&#10;AAAAAAQABADzAAAAKQYAAAAA&#10;" o:allowincell="f">
                <v:rect id="Rectangle 19" o:spid="_x0000_s1027"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o6gwQAAANsAAAAPAAAAZHJzL2Rvd25yZXYueG1sRE9Li8Iw&#10;EL4v+B/CCN7WVF1EqlGsIHpYWFY9eBya6QObSUliW//9ZmFhb/PxPWezG0wjOnK+tqxgNk1AEOdW&#10;11wquF2P7ysQPiBrbCyTghd52G1HbxtMte35m7pLKEUMYZ+igiqENpXS5xUZ9FPbEkeusM5giNCV&#10;UjvsY7hp5DxJltJgzbGhwpYOFeWPy9Mo4OKU3T6601dW9Nnyc7jeXfK4KzUZD/s1iEBD+Bf/uc86&#10;zl/A7y/xALn9AQAA//8DAFBLAQItABQABgAIAAAAIQDb4fbL7gAAAIUBAAATAAAAAAAAAAAAAAAA&#10;AAAAAABbQ29udGVudF9UeXBlc10ueG1sUEsBAi0AFAAGAAgAAAAhAFr0LFu/AAAAFQEAAAsAAAAA&#10;AAAAAAAAAAAAHwEAAF9yZWxzLy5yZWxzUEsBAi0AFAAGAAgAAAAhAA4ijqDBAAAA2wAAAA8AAAAA&#10;AAAAAAAAAAAABwIAAGRycy9kb3ducmV2LnhtbFBLBQYAAAAAAwADALcAAAD1AgAAAAA=&#10;" fillcolor="#00707f" stroked="f" strokecolor="#d8d8d8"/>
                <v:rect id="Rectangle 20" o:spid="_x0000_s1028"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hpXwwAAANsAAAAPAAAAZHJzL2Rvd25yZXYueG1sRE9Na8JA&#10;EL0X+h+WKXirm4oViW5EKkKxrRDjxduQnWSD2dmQ3Wrsr+8WCt7m8T5nuRpsKy7U+8axgpdxAoK4&#10;dLrhWsGx2D7PQfiArLF1TApu5GGVPT4sMdXuyjldDqEWMYR9igpMCF0qpS8NWfRj1xFHrnK9xRBh&#10;X0vd4zWG21ZOkmQmLTYcGwx29GaoPB++rYIvM3xqOStO0/1ucquKzU/+8VooNXoa1gsQgYZwF/+7&#10;33WcP4W/X+IBMvsFAAD//wMAUEsBAi0AFAAGAAgAAAAhANvh9svuAAAAhQEAABMAAAAAAAAAAAAA&#10;AAAAAAAAAFtDb250ZW50X1R5cGVzXS54bWxQSwECLQAUAAYACAAAACEAWvQsW78AAAAVAQAACwAA&#10;AAAAAAAAAAAAAAAfAQAAX3JlbHMvLnJlbHNQSwECLQAUAAYACAAAACEAXfIaV8MAAADbAAAADwAA&#10;AAAAAAAAAAAAAAAHAgAAZHJzL2Rvd25yZXYueG1sUEsFBgAAAAADAAMAtwAAAPcCAAAAAA==&#10;" fillcolor="#00707f" stroked="f" strokecolor="white" strokeweight="1pt">
                  <v:fill opacity="52428f"/>
                  <v:shadow color="#d8d8d8" offset="3pt,3pt"/>
                </v:rect>
                <w10:wrap anchorx="page" anchory="page"/>
              </v:group>
            </w:pict>
          </mc:Fallback>
        </mc:AlternateContent>
      </w:r>
      <w:r>
        <w:rPr>
          <w:noProof/>
          <w:lang w:eastAsia="sl-SI"/>
        </w:rPr>
        <mc:AlternateContent>
          <mc:Choice Requires="wps">
            <w:drawing>
              <wp:anchor distT="0" distB="0" distL="114300" distR="114300" simplePos="0" relativeHeight="251661312" behindDoc="0" locked="0" layoutInCell="0" allowOverlap="1" wp14:anchorId="38D6A33F" wp14:editId="4D09C323">
                <wp:simplePos x="0" y="0"/>
                <wp:positionH relativeFrom="page">
                  <wp:posOffset>4912360</wp:posOffset>
                </wp:positionH>
                <wp:positionV relativeFrom="page">
                  <wp:posOffset>299923</wp:posOffset>
                </wp:positionV>
                <wp:extent cx="2645410" cy="3100070"/>
                <wp:effectExtent l="0" t="0" r="2540" b="5080"/>
                <wp:wrapNone/>
                <wp:docPr id="15" name="Pravokotni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5410" cy="3100070"/>
                        </a:xfrm>
                        <a:prstGeom prst="rect">
                          <a:avLst/>
                        </a:prstGeom>
                        <a:solidFill>
                          <a:srgbClr val="00707F">
                            <a:alpha val="79999"/>
                          </a:srgbClr>
                        </a:solid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47ED8CF4" w14:textId="77777777" w:rsidR="00377989" w:rsidRPr="00086107" w:rsidRDefault="00377989" w:rsidP="00CA4E99">
                            <w:pPr>
                              <w:rPr>
                                <w:szCs w:val="96"/>
                              </w:rPr>
                            </w:pPr>
                          </w:p>
                        </w:txbxContent>
                      </wps:txbx>
                      <wps:bodyPr rot="0" vert="horz" wrap="square" lIns="365760" tIns="182880" rIns="182880" bIns="18288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38D6A33F" id="Pravokotnik 15" o:spid="_x0000_s1026" style="position:absolute;margin-left:386.8pt;margin-top:23.6pt;width:208.3pt;height:244.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HyOHAIAAB4EAAAOAAAAZHJzL2Uyb0RvYy54bWysU9uO0zAQfUfiHyy/0yTd7YWo6WrVVRHS&#10;wlZa+ADHcRqriceM3abl6xk7bdnCGyIPVmY8Pp5zznjxcOxadlDoNJiCZ6OUM2UkVNpsC/792/rD&#10;nDPnhalEC0YV/KQcf1i+f7foba7G0EBbKWQEYlze24I33ts8SZxsVCfcCKwytFkDdsJTiNukQtET&#10;etcm4zSdJj1gZRGkco6yT8MmX0b8ulbSv9S1U561BafefFwxrmVYk+VC5FsUttHy3Ib4hy46oQ1d&#10;eoV6El6wPeq/oDotERzUfiShS6CutVSRA7HJ0j/YvDbCqsiFxHH2KpP7f7Dy62GDTFfk3YQzIzry&#10;aIPiADvwRu8YZUmi3rqcKl/tBgNJZ59B7hwzsGqE2apHROgbJSpqLAv1yc2BEDg6ysr+C1R0gdh7&#10;iGoda+wCIOnAjtGU09UUdfRMUnI8vZ/cZ+SdpL27LE3TWbQtEfnluEXnPynoWPgpOJLrEV4cnp0P&#10;7Yj8UhLbh1ZXa922McBtuWqRHUSYEMKerYezrW3EkJ19pC/SIupDecR0b3FaE9AMBNzhyiGj4hCe&#10;+7goMSjqj+XxLG4J1YkEQhgGlB4U/TSAPznraTgL7n7sBSrO2s+GRL6bTmbTMM4xyubj+ZwivInK&#10;m0gYSXAFLzkbfld+eAV7i3rb0G1ZpG3gkcypdZQttDt0draUhjAyPz+YMOVv41j1+1kvfwEAAP//&#10;AwBQSwMEFAAGAAgAAAAhAAw4j3rgAAAACwEAAA8AAABkcnMvZG93bnJldi54bWxMj8tOwzAQRfdI&#10;/IM1SOyokz5iCHEqBKUSYkWhezsekoh4HGI3Df163BXsZjRHd84t1pPt2IiDbx1JSGcJMKTKmZZq&#10;CR/vzze3wHxQZFTnCCX8oId1eXlRqNy4I73huAs1iyHkcyWhCaHPOfdVg1b5meuR4u3TDVaFuA41&#10;N4M6xnDb8XmSZNyqluKHRvX42GD1tTtYCdt9pZ82myDG9Pv0gnsSmX7VUl5fTQ/3wAJO4Q+Gs35U&#10;hzI6aXcg41knQYhFFlEJSzEHdgbSuyROWsJqsVoCLwv+v0P5CwAA//8DAFBLAQItABQABgAIAAAA&#10;IQC2gziS/gAAAOEBAAATAAAAAAAAAAAAAAAAAAAAAABbQ29udGVudF9UeXBlc10ueG1sUEsBAi0A&#10;FAAGAAgAAAAhADj9If/WAAAAlAEAAAsAAAAAAAAAAAAAAAAALwEAAF9yZWxzLy5yZWxzUEsBAi0A&#10;FAAGAAgAAAAhAEvsfI4cAgAAHgQAAA4AAAAAAAAAAAAAAAAALgIAAGRycy9lMm9Eb2MueG1sUEsB&#10;Ai0AFAAGAAgAAAAhAAw4j3rgAAAACwEAAA8AAAAAAAAAAAAAAAAAdgQAAGRycy9kb3ducmV2Lnht&#10;bFBLBQYAAAAABAAEAPMAAACDBQAAAAA=&#10;" o:allowincell="f" fillcolor="#00707f" stroked="f" strokecolor="white" strokeweight="1pt">
                <v:fill opacity="52428f"/>
                <v:shadow color="#d8d8d8" offset="3pt,3pt"/>
                <v:textbox inset="28.8pt,14.4pt,14.4pt,14.4pt">
                  <w:txbxContent>
                    <w:p w14:paraId="47ED8CF4" w14:textId="77777777" w:rsidR="00377989" w:rsidRPr="00086107" w:rsidRDefault="00377989" w:rsidP="00CA4E99">
                      <w:pPr>
                        <w:rPr>
                          <w:szCs w:val="96"/>
                        </w:rPr>
                      </w:pPr>
                    </w:p>
                  </w:txbxContent>
                </v:textbox>
                <w10:wrap anchorx="page" anchory="page"/>
              </v:rect>
            </w:pict>
          </mc:Fallback>
        </mc:AlternateContent>
      </w:r>
    </w:p>
    <w:p w14:paraId="29EF6A04" w14:textId="78D99E78" w:rsidR="001E3382" w:rsidRDefault="0067008D">
      <w:pPr>
        <w:spacing w:after="0" w:line="240" w:lineRule="auto"/>
        <w:rPr>
          <w:rFonts w:ascii="Arial" w:eastAsia="Times New Roman" w:hAnsi="Arial" w:cs="Arial"/>
          <w:b/>
          <w:sz w:val="20"/>
          <w:szCs w:val="20"/>
          <w:lang w:eastAsia="sl-SI"/>
        </w:rPr>
      </w:pPr>
      <w:r>
        <w:rPr>
          <w:noProof/>
          <w:lang w:eastAsia="sl-SI"/>
        </w:rPr>
        <mc:AlternateContent>
          <mc:Choice Requires="wps">
            <w:drawing>
              <wp:anchor distT="0" distB="0" distL="114300" distR="114300" simplePos="0" relativeHeight="251662336" behindDoc="0" locked="0" layoutInCell="0" allowOverlap="1" wp14:anchorId="759628AE" wp14:editId="08228B08">
                <wp:simplePos x="0" y="0"/>
                <wp:positionH relativeFrom="page">
                  <wp:posOffset>5057775</wp:posOffset>
                </wp:positionH>
                <wp:positionV relativeFrom="margin">
                  <wp:posOffset>9253220</wp:posOffset>
                </wp:positionV>
                <wp:extent cx="2047875" cy="347345"/>
                <wp:effectExtent l="0" t="0" r="9525" b="0"/>
                <wp:wrapNone/>
                <wp:docPr id="10" name="Pravokot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347345"/>
                        </a:xfrm>
                        <a:prstGeom prst="rect">
                          <a:avLst/>
                        </a:prstGeom>
                        <a:solidFill>
                          <a:srgbClr val="00707F">
                            <a:alpha val="79999"/>
                          </a:srgbClr>
                        </a:solid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03C63D0" w14:textId="77777777" w:rsidR="00377989" w:rsidRPr="00677F59" w:rsidRDefault="00377989" w:rsidP="0067008D">
                            <w:pPr>
                              <w:pStyle w:val="Brezrazmikov"/>
                              <w:spacing w:after="100" w:afterAutospacing="1" w:line="360" w:lineRule="auto"/>
                              <w:rPr>
                                <w:rFonts w:ascii="Arial" w:hAnsi="Arial" w:cs="Arial"/>
                                <w:b/>
                                <w:color w:val="FFFFFF"/>
                              </w:rPr>
                            </w:pPr>
                            <w:r w:rsidRPr="00677F59">
                              <w:rPr>
                                <w:rFonts w:ascii="Arial" w:hAnsi="Arial" w:cs="Arial"/>
                                <w:b/>
                                <w:color w:val="FFFFFF"/>
                              </w:rPr>
                              <w:t>Ljubljana,</w:t>
                            </w:r>
                            <w:r>
                              <w:rPr>
                                <w:rFonts w:ascii="Arial" w:hAnsi="Arial" w:cs="Arial"/>
                                <w:b/>
                                <w:color w:val="FFFFFF"/>
                              </w:rPr>
                              <w:t xml:space="preserve"> 7</w:t>
                            </w:r>
                            <w:r w:rsidRPr="00677F59">
                              <w:rPr>
                                <w:rFonts w:ascii="Arial" w:hAnsi="Arial" w:cs="Arial"/>
                                <w:b/>
                                <w:color w:val="FFFFFF"/>
                              </w:rPr>
                              <w:t xml:space="preserve">. </w:t>
                            </w:r>
                            <w:r>
                              <w:rPr>
                                <w:rFonts w:ascii="Arial" w:hAnsi="Arial" w:cs="Arial"/>
                                <w:b/>
                                <w:color w:val="FFFFFF"/>
                              </w:rPr>
                              <w:t>6</w:t>
                            </w:r>
                            <w:r w:rsidRPr="00677F59">
                              <w:rPr>
                                <w:rFonts w:ascii="Arial" w:hAnsi="Arial" w:cs="Arial"/>
                                <w:b/>
                                <w:color w:val="FFFFFF"/>
                              </w:rPr>
                              <w:t>. 201</w:t>
                            </w:r>
                            <w:r>
                              <w:rPr>
                                <w:rFonts w:ascii="Arial" w:hAnsi="Arial" w:cs="Arial"/>
                                <w:b/>
                                <w:color w:val="FFFFFF"/>
                              </w:rPr>
                              <w:t>9</w:t>
                            </w:r>
                          </w:p>
                          <w:p w14:paraId="0ABE1A21" w14:textId="7AA73154" w:rsidR="00377989" w:rsidRPr="001E3382" w:rsidRDefault="00377989" w:rsidP="001E3382">
                            <w:pPr>
                              <w:pStyle w:val="Brezrazmikov"/>
                              <w:spacing w:after="100" w:afterAutospacing="1" w:line="360" w:lineRule="auto"/>
                              <w:rPr>
                                <w:rFonts w:ascii="Arial" w:hAnsi="Arial" w:cs="Arial"/>
                                <w:b/>
                                <w:color w:val="FFFFFF"/>
                              </w:rPr>
                            </w:pPr>
                          </w:p>
                        </w:txbxContent>
                      </wps:txbx>
                      <wps:bodyPr rot="0" vert="horz" wrap="square" lIns="365760" tIns="182880" rIns="182880" bIns="18288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759628AE" id="Pravokotnik 10" o:spid="_x0000_s1027" style="position:absolute;margin-left:398.25pt;margin-top:728.6pt;width:161.25pt;height:27.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VX1HQIAACQEAAAOAAAAZHJzL2Uyb0RvYy54bWysU8Fu2zAMvQ/YPwi6r3bStM6MOkXRIsOA&#10;bg3Q7QNkWbaF2KJGKXG6rx8lJV2z3YbpIIgU9fj4SN3cHsaB7RU6Dabis4ucM2UkNNp0Ff/+bf1h&#10;yZnzwjRiAKMq/qIcv129f3cz2VLNoYehUcgIxLhyshXvvbdlljnZq1G4C7DK0GULOApPJnZZg2Ii&#10;9HHI5nl+nU2AjUWQyjnyPqRLvor4baukf2pbpzwbKk7cfNwx7nXYs9WNKDsUttfySEP8A4tRaENJ&#10;X6EehBdsh/ovqFFLBAetv5AwZtC2WqpYA1Uzy/+o5rkXVsVaSBxnX2Vy/w9Wft1vkOmGekfyGDFS&#10;jzYo9rAFb/SWkZckmqwrKfLZbjAU6ewjyK1jBu57YTp1hwhTr0RDxGYhPjt7EAxHT1k9fYGGEoid&#10;h6jWocUxAJIO7BCb8vLaFHXwTJJzni+KZXHFmaS7y0VxubiKKUR5em3R+U8KRhYOFUdqekQX+0fn&#10;AxtRnkIiexh0s9bDEA3s6vsB2V6EAcmLvFint4PtRfIWH2kdU7oUHjHdW5zBBDQDATelTB4VZ/DI&#10;4yREEtQf6kNS/iRxDc0LyYSQxpS+FR16wJ+cTTSiFXc/dgIVZ8NnQ1JfXl8V12GoozVbzpdLsvDM&#10;qs8sYSTBVbzmLB3vffoLO4u66ynbLFZv4I5a1OqoXmCdmB0bS6MYBTh+mzDrb+0Y9ftzr34BAAD/&#10;/wMAUEsDBBQABgAIAAAAIQAPfZeW4AAAAA4BAAAPAAAAZHJzL2Rvd25yZXYueG1sTI9BT4NAEIXv&#10;Jv6HzZh4swuNgEWWxtRqYjxZ7X0XRiCys5TdUvTXOz3p7U3ey5vvFevZ9mLC0XeOFMSLCARS5eqO&#10;GgUf7083dyB80FTr3hEq+EYP6/LyotB57U70htMuNIJLyOdaQRvCkEvpqxat9gs3ILH36UarA59j&#10;I+tRn7jc9nIZRam0uiP+0OoBNy1WX7ujVfC8r8zjdhuyKT78vOCestS8GqWur+aHexAB5/AXhjM+&#10;o0PJTMYdqfaiV5Ct0oSjbNwm2RLEORLHK95nWCUsQZaF/D+j/AUAAP//AwBQSwECLQAUAAYACAAA&#10;ACEAtoM4kv4AAADhAQAAEwAAAAAAAAAAAAAAAAAAAAAAW0NvbnRlbnRfVHlwZXNdLnhtbFBLAQIt&#10;ABQABgAIAAAAIQA4/SH/1gAAAJQBAAALAAAAAAAAAAAAAAAAAC8BAABfcmVscy8ucmVsc1BLAQIt&#10;ABQABgAIAAAAIQD4XVX1HQIAACQEAAAOAAAAAAAAAAAAAAAAAC4CAABkcnMvZTJvRG9jLnhtbFBL&#10;AQItABQABgAIAAAAIQAPfZeW4AAAAA4BAAAPAAAAAAAAAAAAAAAAAHcEAABkcnMvZG93bnJldi54&#10;bWxQSwUGAAAAAAQABADzAAAAhAUAAAAA&#10;" o:allowincell="f" fillcolor="#00707f" stroked="f" strokecolor="white" strokeweight="1pt">
                <v:fill opacity="52428f"/>
                <v:shadow color="#d8d8d8" offset="3pt,3pt"/>
                <v:textbox inset="28.8pt,14.4pt,14.4pt,14.4pt">
                  <w:txbxContent>
                    <w:p w14:paraId="303C63D0" w14:textId="77777777" w:rsidR="00377989" w:rsidRPr="00677F59" w:rsidRDefault="00377989" w:rsidP="0067008D">
                      <w:pPr>
                        <w:pStyle w:val="Brezrazmikov"/>
                        <w:spacing w:after="100" w:afterAutospacing="1" w:line="360" w:lineRule="auto"/>
                        <w:rPr>
                          <w:rFonts w:ascii="Arial" w:hAnsi="Arial" w:cs="Arial"/>
                          <w:b/>
                          <w:color w:val="FFFFFF"/>
                        </w:rPr>
                      </w:pPr>
                      <w:r w:rsidRPr="00677F59">
                        <w:rPr>
                          <w:rFonts w:ascii="Arial" w:hAnsi="Arial" w:cs="Arial"/>
                          <w:b/>
                          <w:color w:val="FFFFFF"/>
                        </w:rPr>
                        <w:t>Ljubljana,</w:t>
                      </w:r>
                      <w:r>
                        <w:rPr>
                          <w:rFonts w:ascii="Arial" w:hAnsi="Arial" w:cs="Arial"/>
                          <w:b/>
                          <w:color w:val="FFFFFF"/>
                        </w:rPr>
                        <w:t xml:space="preserve"> 7</w:t>
                      </w:r>
                      <w:r w:rsidRPr="00677F59">
                        <w:rPr>
                          <w:rFonts w:ascii="Arial" w:hAnsi="Arial" w:cs="Arial"/>
                          <w:b/>
                          <w:color w:val="FFFFFF"/>
                        </w:rPr>
                        <w:t xml:space="preserve">. </w:t>
                      </w:r>
                      <w:r>
                        <w:rPr>
                          <w:rFonts w:ascii="Arial" w:hAnsi="Arial" w:cs="Arial"/>
                          <w:b/>
                          <w:color w:val="FFFFFF"/>
                        </w:rPr>
                        <w:t>6</w:t>
                      </w:r>
                      <w:r w:rsidRPr="00677F59">
                        <w:rPr>
                          <w:rFonts w:ascii="Arial" w:hAnsi="Arial" w:cs="Arial"/>
                          <w:b/>
                          <w:color w:val="FFFFFF"/>
                        </w:rPr>
                        <w:t>. 201</w:t>
                      </w:r>
                      <w:r>
                        <w:rPr>
                          <w:rFonts w:ascii="Arial" w:hAnsi="Arial" w:cs="Arial"/>
                          <w:b/>
                          <w:color w:val="FFFFFF"/>
                        </w:rPr>
                        <w:t>9</w:t>
                      </w:r>
                    </w:p>
                    <w:p w14:paraId="0ABE1A21" w14:textId="7AA73154" w:rsidR="00377989" w:rsidRPr="001E3382" w:rsidRDefault="00377989" w:rsidP="001E3382">
                      <w:pPr>
                        <w:pStyle w:val="Brezrazmikov"/>
                        <w:spacing w:after="100" w:afterAutospacing="1" w:line="360" w:lineRule="auto"/>
                        <w:rPr>
                          <w:rFonts w:ascii="Arial" w:hAnsi="Arial" w:cs="Arial"/>
                          <w:b/>
                          <w:color w:val="FFFFFF"/>
                        </w:rPr>
                      </w:pPr>
                    </w:p>
                  </w:txbxContent>
                </v:textbox>
                <w10:wrap anchorx="page" anchory="margin"/>
              </v:rect>
            </w:pict>
          </mc:Fallback>
        </mc:AlternateContent>
      </w:r>
      <w:r w:rsidR="004C6BCD">
        <w:rPr>
          <w:noProof/>
          <w:lang w:eastAsia="sl-SI"/>
        </w:rPr>
        <mc:AlternateContent>
          <mc:Choice Requires="wps">
            <w:drawing>
              <wp:anchor distT="0" distB="0" distL="114300" distR="114300" simplePos="0" relativeHeight="251660288" behindDoc="0" locked="0" layoutInCell="0" allowOverlap="1" wp14:anchorId="1CA38337" wp14:editId="2CA930FB">
                <wp:simplePos x="0" y="0"/>
                <wp:positionH relativeFrom="page">
                  <wp:posOffset>159309</wp:posOffset>
                </wp:positionH>
                <wp:positionV relativeFrom="page">
                  <wp:posOffset>4539031</wp:posOffset>
                </wp:positionV>
                <wp:extent cx="6784975" cy="1431925"/>
                <wp:effectExtent l="19050" t="19050" r="15875" b="15875"/>
                <wp:wrapNone/>
                <wp:docPr id="8" name="Pravokotni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4975" cy="1431925"/>
                        </a:xfrm>
                        <a:prstGeom prst="rect">
                          <a:avLst/>
                        </a:prstGeom>
                        <a:solidFill>
                          <a:srgbClr val="00707F"/>
                        </a:solidFill>
                        <a:ln w="38100">
                          <a:solidFill>
                            <a:schemeClr val="bg1"/>
                          </a:solidFill>
                          <a:prstDash val="solid"/>
                          <a:miter lim="800000"/>
                          <a:headEnd/>
                          <a:tailEnd/>
                        </a:ln>
                        <a:effectLst/>
                      </wps:spPr>
                      <wps:txbx>
                        <w:txbxContent>
                          <w:p w14:paraId="3F3D4D99" w14:textId="2133F6FB" w:rsidR="00377989" w:rsidRPr="00086107" w:rsidRDefault="00377989" w:rsidP="00CA4E99">
                            <w:pPr>
                              <w:pStyle w:val="Brezrazmikov"/>
                              <w:jc w:val="center"/>
                              <w:rPr>
                                <w:rFonts w:ascii="Cambria" w:hAnsi="Cambria"/>
                                <w:color w:val="FFFFFF"/>
                                <w:sz w:val="72"/>
                                <w:szCs w:val="72"/>
                              </w:rPr>
                            </w:pPr>
                            <w:r w:rsidRPr="00086107">
                              <w:rPr>
                                <w:rFonts w:ascii="Cambria" w:hAnsi="Cambria"/>
                                <w:color w:val="FFFFFF"/>
                                <w:sz w:val="48"/>
                                <w:szCs w:val="48"/>
                              </w:rPr>
                              <w:t>Poročilo o stanju in gibanju davčnega dolga na dan 3</w:t>
                            </w:r>
                            <w:r>
                              <w:rPr>
                                <w:rFonts w:ascii="Cambria" w:hAnsi="Cambria"/>
                                <w:color w:val="FFFFFF"/>
                                <w:sz w:val="48"/>
                                <w:szCs w:val="48"/>
                              </w:rPr>
                              <w:t>1</w:t>
                            </w:r>
                            <w:r w:rsidRPr="00086107">
                              <w:rPr>
                                <w:rFonts w:ascii="Cambria" w:hAnsi="Cambria"/>
                                <w:color w:val="FFFFFF"/>
                                <w:sz w:val="48"/>
                                <w:szCs w:val="48"/>
                              </w:rPr>
                              <w:t xml:space="preserve">. </w:t>
                            </w:r>
                            <w:r>
                              <w:rPr>
                                <w:rFonts w:ascii="Cambria" w:hAnsi="Cambria"/>
                                <w:color w:val="FFFFFF"/>
                                <w:sz w:val="48"/>
                                <w:szCs w:val="48"/>
                              </w:rPr>
                              <w:t xml:space="preserve">december </w:t>
                            </w:r>
                            <w:r w:rsidRPr="00086107">
                              <w:rPr>
                                <w:rFonts w:ascii="Cambria" w:hAnsi="Cambria"/>
                                <w:color w:val="FFFFFF"/>
                                <w:sz w:val="48"/>
                                <w:szCs w:val="48"/>
                              </w:rPr>
                              <w:t>20</w:t>
                            </w:r>
                            <w:r>
                              <w:rPr>
                                <w:rFonts w:ascii="Cambria" w:hAnsi="Cambria"/>
                                <w:color w:val="FFFFFF"/>
                                <w:sz w:val="48"/>
                                <w:szCs w:val="48"/>
                              </w:rPr>
                              <w:t>21</w:t>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1CA38337" id="Pravokotnik 8" o:spid="_x0000_s1028" style="position:absolute;margin-left:12.55pt;margin-top:357.4pt;width:534.25pt;height:112.75pt;z-index:251660288;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MxyRgIAAHwEAAAOAAAAZHJzL2Uyb0RvYy54bWysVNtu2zAMfR+wfxD0vtpOL3GNOkXRrsOA&#10;bgvQ7QNoWbaFypJGKXG6rx8lp2m6vQ3zgyCK1BF5Dumr692o2VaiV9bUvDjJOZNG2FaZvuY/vt9/&#10;KDnzAUwL2hpZ82fp+fXq/buryVVyYQerW4mMQIyvJlfzIQRXZZkXgxzBn1gnDTk7iyMEMrHPWoSJ&#10;0EedLfL8Ipsstg6tkN7T6d3s5KuE33VShG9d52VguuaUW0grprWJa7a6gqpHcIMS+zTgH7IYQRl6&#10;9AB1BwHYBtVfUKMSaL3twomwY2a7TgmZaqBqivyPah4HcDLVQuR4d6DJ/z9Y8XW7RqbampNQBkaS&#10;aI2wtU82GPXEykjQ5HxFcY9ujbFE7x6sePLM2NsBTC9vEO00SGgprSLGZ28uRMPTVdZMX2xL+LAJ&#10;NnG163CMgMQC2yVJng+SyF1ggg4vluXZ5fKcM0G+4uy0uFycpzegernu0IdP0o4sbmqOpHmCh+2D&#10;DzEdqF5CUvpWq/ZeaZ0M7JtbjWwLsT/yZb6836P74zBt2FTz07LI8wT9xpl6VR5Qmn4mgYg6hogp&#10;3IEf5qeSK74E1agCTYBWI0mQx28+joR+NG0KCaD0vKdatIm3ZOrtfYEvFM9ShV2zS4ouIlL0NbZ9&#10;JgHQzu1P40qbweIvziZq/Zr7nxtAyZn+bKKI5aIs47Ak6+x8uSAD37iaYxcYQWA1FwE5m43bMM/Y&#10;xqHqB3qtSLwZe0PidyrJ8prZvmWoxZNa+3GMM3Rsp6jXn8bqNwAAAP//AwBQSwMEFAAGAAgAAAAh&#10;AEO1+yXhAAAACwEAAA8AAABkcnMvZG93bnJldi54bWxMj8FuwjAQRO+V+g/WVuqt2CEQIMRBVaUW&#10;tZeqgDibeJtEsddRbCD9+5pTe1zt08ybYjNawy44+NaRhGQigCFVTrdUSzjsX5+WwHxQpJVxhBJ+&#10;0MOmvL8rVK7dlb7wsgs1iyHkcyWhCaHPOfdVg1b5ieuR4u/bDVaFeA4114O6xnBr+FSIjFvVUmxo&#10;VI8vDVbd7mwlfB7Tbv+B3fbdLI7pdpn1b302l/LxYXxeAws4hj8YbvpRHcrodHJn0p4ZCdN5EkkJ&#10;i2QWJ9wAsUozYCcJq5lIgZcF/7+h/AUAAP//AwBQSwECLQAUAAYACAAAACEAtoM4kv4AAADhAQAA&#10;EwAAAAAAAAAAAAAAAAAAAAAAW0NvbnRlbnRfVHlwZXNdLnhtbFBLAQItABQABgAIAAAAIQA4/SH/&#10;1gAAAJQBAAALAAAAAAAAAAAAAAAAAC8BAABfcmVscy8ucmVsc1BLAQItABQABgAIAAAAIQA1cMxy&#10;RgIAAHwEAAAOAAAAAAAAAAAAAAAAAC4CAABkcnMvZTJvRG9jLnhtbFBLAQItABQABgAIAAAAIQBD&#10;tfsl4QAAAAsBAAAPAAAAAAAAAAAAAAAAAKAEAABkcnMvZG93bnJldi54bWxQSwUGAAAAAAQABADz&#10;AAAArgUAAAAA&#10;" o:allowincell="f" fillcolor="#00707f" strokecolor="white [3212]" strokeweight="3pt">
                <v:textbox inset="14.4pt,,14.4pt">
                  <w:txbxContent>
                    <w:p w14:paraId="3F3D4D99" w14:textId="2133F6FB" w:rsidR="00377989" w:rsidRPr="00086107" w:rsidRDefault="00377989" w:rsidP="00CA4E99">
                      <w:pPr>
                        <w:pStyle w:val="Brezrazmikov"/>
                        <w:jc w:val="center"/>
                        <w:rPr>
                          <w:rFonts w:ascii="Cambria" w:hAnsi="Cambria"/>
                          <w:color w:val="FFFFFF"/>
                          <w:sz w:val="72"/>
                          <w:szCs w:val="72"/>
                        </w:rPr>
                      </w:pPr>
                      <w:r w:rsidRPr="00086107">
                        <w:rPr>
                          <w:rFonts w:ascii="Cambria" w:hAnsi="Cambria"/>
                          <w:color w:val="FFFFFF"/>
                          <w:sz w:val="48"/>
                          <w:szCs w:val="48"/>
                        </w:rPr>
                        <w:t>Poročilo o stanju in gibanju davčnega dolga na dan 3</w:t>
                      </w:r>
                      <w:r>
                        <w:rPr>
                          <w:rFonts w:ascii="Cambria" w:hAnsi="Cambria"/>
                          <w:color w:val="FFFFFF"/>
                          <w:sz w:val="48"/>
                          <w:szCs w:val="48"/>
                        </w:rPr>
                        <w:t>1</w:t>
                      </w:r>
                      <w:r w:rsidRPr="00086107">
                        <w:rPr>
                          <w:rFonts w:ascii="Cambria" w:hAnsi="Cambria"/>
                          <w:color w:val="FFFFFF"/>
                          <w:sz w:val="48"/>
                          <w:szCs w:val="48"/>
                        </w:rPr>
                        <w:t xml:space="preserve">. </w:t>
                      </w:r>
                      <w:r>
                        <w:rPr>
                          <w:rFonts w:ascii="Cambria" w:hAnsi="Cambria"/>
                          <w:color w:val="FFFFFF"/>
                          <w:sz w:val="48"/>
                          <w:szCs w:val="48"/>
                        </w:rPr>
                        <w:t xml:space="preserve">december </w:t>
                      </w:r>
                      <w:r w:rsidRPr="00086107">
                        <w:rPr>
                          <w:rFonts w:ascii="Cambria" w:hAnsi="Cambria"/>
                          <w:color w:val="FFFFFF"/>
                          <w:sz w:val="48"/>
                          <w:szCs w:val="48"/>
                        </w:rPr>
                        <w:t>20</w:t>
                      </w:r>
                      <w:r>
                        <w:rPr>
                          <w:rFonts w:ascii="Cambria" w:hAnsi="Cambria"/>
                          <w:color w:val="FFFFFF"/>
                          <w:sz w:val="48"/>
                          <w:szCs w:val="48"/>
                        </w:rPr>
                        <w:t>21</w:t>
                      </w:r>
                    </w:p>
                  </w:txbxContent>
                </v:textbox>
                <w10:wrap anchorx="page" anchory="page"/>
              </v:rect>
            </w:pict>
          </mc:Fallback>
        </mc:AlternateContent>
      </w:r>
      <w:r w:rsidR="001E3382">
        <w:rPr>
          <w:sz w:val="20"/>
          <w:szCs w:val="20"/>
        </w:rPr>
        <w:br w:type="page"/>
      </w:r>
    </w:p>
    <w:p w14:paraId="4FC7842D" w14:textId="77777777" w:rsidR="001E3382" w:rsidRDefault="001E3382" w:rsidP="001E3382">
      <w:pPr>
        <w:pStyle w:val="Naslovpredpisa"/>
        <w:spacing w:before="0" w:after="0" w:line="260" w:lineRule="exact"/>
        <w:rPr>
          <w:sz w:val="20"/>
          <w:szCs w:val="20"/>
        </w:rPr>
        <w:sectPr w:rsidR="001E3382" w:rsidSect="00377989">
          <w:footerReference w:type="default" r:id="rId13"/>
          <w:headerReference w:type="first" r:id="rId14"/>
          <w:pgSz w:w="11906" w:h="16838"/>
          <w:pgMar w:top="1418" w:right="1418" w:bottom="1418" w:left="1418" w:header="708" w:footer="708" w:gutter="0"/>
          <w:pgNumType w:start="1"/>
          <w:cols w:space="708"/>
          <w:docGrid w:linePitch="360"/>
        </w:sectPr>
      </w:pPr>
    </w:p>
    <w:p w14:paraId="1F0F7D24" w14:textId="036539FD" w:rsidR="002C0A9B" w:rsidRDefault="002C0A9B" w:rsidP="002C0A9B">
      <w:pPr>
        <w:jc w:val="center"/>
        <w:rPr>
          <w:rFonts w:ascii="Arial" w:hAnsi="Arial" w:cs="Arial"/>
          <w:b/>
          <w:sz w:val="20"/>
          <w:szCs w:val="20"/>
        </w:rPr>
      </w:pPr>
      <w:r w:rsidRPr="00B16FB4">
        <w:rPr>
          <w:rFonts w:ascii="Arial" w:hAnsi="Arial" w:cs="Arial"/>
          <w:b/>
          <w:sz w:val="20"/>
          <w:szCs w:val="20"/>
        </w:rPr>
        <w:lastRenderedPageBreak/>
        <w:t>Povzetek poročila</w:t>
      </w:r>
    </w:p>
    <w:p w14:paraId="6B7DEF83" w14:textId="77777777" w:rsidR="00F6676A" w:rsidRDefault="00F6676A" w:rsidP="00F6676A">
      <w:pPr>
        <w:pStyle w:val="Pripombabesedilo"/>
        <w:spacing w:line="276" w:lineRule="auto"/>
        <w:rPr>
          <w:rFonts w:ascii="Arial" w:hAnsi="Arial" w:cs="Arial"/>
        </w:rPr>
      </w:pPr>
      <w:r w:rsidRPr="00913AAB">
        <w:rPr>
          <w:rFonts w:ascii="Arial" w:hAnsi="Arial" w:cs="Arial"/>
        </w:rPr>
        <w:t>Finančna uprava Republike Slovenije (</w:t>
      </w:r>
      <w:r w:rsidRPr="00AF4446">
        <w:rPr>
          <w:rFonts w:ascii="Arial" w:hAnsi="Arial" w:cs="Arial"/>
        </w:rPr>
        <w:t>v nadaljnjem besedilu:</w:t>
      </w:r>
      <w:r>
        <w:t xml:space="preserve"> </w:t>
      </w:r>
      <w:r w:rsidRPr="00913AAB">
        <w:rPr>
          <w:rFonts w:ascii="Arial" w:hAnsi="Arial" w:cs="Arial"/>
        </w:rPr>
        <w:t>FURS)</w:t>
      </w:r>
      <w:r>
        <w:rPr>
          <w:rFonts w:ascii="Arial" w:hAnsi="Arial" w:cs="Arial"/>
        </w:rPr>
        <w:t xml:space="preserve"> je pripravila P</w:t>
      </w:r>
      <w:r w:rsidRPr="00913AAB">
        <w:rPr>
          <w:rFonts w:ascii="Arial" w:hAnsi="Arial" w:cs="Arial"/>
        </w:rPr>
        <w:t>oročilo o stanju in gibanju davčnega dolga po stanju na dan 3</w:t>
      </w:r>
      <w:r>
        <w:rPr>
          <w:rFonts w:ascii="Arial" w:hAnsi="Arial" w:cs="Arial"/>
        </w:rPr>
        <w:t>1</w:t>
      </w:r>
      <w:r w:rsidRPr="00913AAB">
        <w:rPr>
          <w:rFonts w:ascii="Arial" w:hAnsi="Arial" w:cs="Arial"/>
        </w:rPr>
        <w:t xml:space="preserve">. </w:t>
      </w:r>
      <w:r>
        <w:rPr>
          <w:rFonts w:ascii="Arial" w:hAnsi="Arial" w:cs="Arial"/>
        </w:rPr>
        <w:t>12</w:t>
      </w:r>
      <w:r w:rsidRPr="00913AAB">
        <w:rPr>
          <w:rFonts w:ascii="Arial" w:hAnsi="Arial" w:cs="Arial"/>
        </w:rPr>
        <w:t>. 20</w:t>
      </w:r>
      <w:r>
        <w:rPr>
          <w:rFonts w:ascii="Arial" w:hAnsi="Arial" w:cs="Arial"/>
        </w:rPr>
        <w:t>21 za namen predložitve Državnemu zboru hkrati z zaključnim računom državnega proračuna za leto 2021</w:t>
      </w:r>
      <w:r w:rsidRPr="00913AAB">
        <w:rPr>
          <w:rFonts w:ascii="Arial" w:hAnsi="Arial" w:cs="Arial"/>
        </w:rPr>
        <w:t>.</w:t>
      </w:r>
      <w:r>
        <w:rPr>
          <w:rFonts w:ascii="Arial" w:hAnsi="Arial" w:cs="Arial"/>
        </w:rPr>
        <w:t xml:space="preserve"> </w:t>
      </w:r>
    </w:p>
    <w:p w14:paraId="595A5E9D" w14:textId="77777777" w:rsidR="00F6676A" w:rsidRDefault="00F6676A" w:rsidP="00F6676A">
      <w:pPr>
        <w:pStyle w:val="Pripombabesedilo"/>
        <w:spacing w:line="276" w:lineRule="auto"/>
        <w:rPr>
          <w:rFonts w:ascii="Arial" w:hAnsi="Arial" w:cs="Arial"/>
        </w:rPr>
      </w:pPr>
    </w:p>
    <w:p w14:paraId="7AEC87C5" w14:textId="77777777" w:rsidR="00F6676A" w:rsidRDefault="00F6676A" w:rsidP="00F6676A">
      <w:pPr>
        <w:pStyle w:val="Pripombabesedilo"/>
        <w:spacing w:line="276" w:lineRule="auto"/>
        <w:rPr>
          <w:rFonts w:ascii="Arial" w:hAnsi="Arial" w:cs="Arial"/>
        </w:rPr>
      </w:pPr>
      <w:r>
        <w:rPr>
          <w:rFonts w:ascii="Arial" w:hAnsi="Arial" w:cs="Arial"/>
        </w:rPr>
        <w:t xml:space="preserve">Čeprav je to poročilo predloženo hkrati z zaključnim računom državnega proračuna, pa se poročilo o prihodkih in davčnem dolgu nanaša na vse štiri javnofinančne blagajne za katere FURS pobira dajatve: </w:t>
      </w:r>
      <w:r w:rsidRPr="00913AAB">
        <w:rPr>
          <w:rFonts w:ascii="Arial" w:hAnsi="Arial" w:cs="Arial"/>
        </w:rPr>
        <w:t>proračun</w:t>
      </w:r>
      <w:r>
        <w:rPr>
          <w:rFonts w:ascii="Arial" w:hAnsi="Arial" w:cs="Arial"/>
        </w:rPr>
        <w:t xml:space="preserve"> države, Zavod </w:t>
      </w:r>
      <w:r w:rsidRPr="00913AAB">
        <w:rPr>
          <w:rFonts w:ascii="Arial" w:hAnsi="Arial" w:cs="Arial"/>
        </w:rPr>
        <w:t>za pokojninsko i</w:t>
      </w:r>
      <w:r>
        <w:rPr>
          <w:rFonts w:ascii="Arial" w:hAnsi="Arial" w:cs="Arial"/>
        </w:rPr>
        <w:t>n invalidsko zavarovanje, Zavod</w:t>
      </w:r>
      <w:r w:rsidRPr="00913AAB">
        <w:rPr>
          <w:rFonts w:ascii="Arial" w:hAnsi="Arial" w:cs="Arial"/>
        </w:rPr>
        <w:t xml:space="preserve"> za zdravstven</w:t>
      </w:r>
      <w:r>
        <w:rPr>
          <w:rFonts w:ascii="Arial" w:hAnsi="Arial" w:cs="Arial"/>
        </w:rPr>
        <w:t>o zavarovanje in proračune</w:t>
      </w:r>
      <w:r w:rsidRPr="00913AAB">
        <w:rPr>
          <w:rFonts w:ascii="Arial" w:hAnsi="Arial" w:cs="Arial"/>
        </w:rPr>
        <w:t xml:space="preserve"> občin. </w:t>
      </w:r>
    </w:p>
    <w:p w14:paraId="5F218F7E" w14:textId="77777777" w:rsidR="00F6676A" w:rsidRDefault="00F6676A" w:rsidP="00F6676A">
      <w:pPr>
        <w:pStyle w:val="Pripombabesedilo"/>
        <w:spacing w:line="276" w:lineRule="auto"/>
        <w:rPr>
          <w:rFonts w:ascii="Arial" w:hAnsi="Arial" w:cs="Arial"/>
        </w:rPr>
      </w:pPr>
    </w:p>
    <w:p w14:paraId="2E6E49EF" w14:textId="77777777" w:rsidR="00A93392" w:rsidRPr="00A93392" w:rsidRDefault="00F6676A" w:rsidP="00A93392">
      <w:pPr>
        <w:jc w:val="both"/>
        <w:rPr>
          <w:rFonts w:ascii="Arial" w:hAnsi="Arial" w:cs="Arial"/>
          <w:sz w:val="20"/>
          <w:szCs w:val="20"/>
        </w:rPr>
      </w:pPr>
      <w:r w:rsidRPr="00E8337A">
        <w:rPr>
          <w:rFonts w:ascii="Arial" w:hAnsi="Arial" w:cs="Arial"/>
          <w:sz w:val="20"/>
          <w:szCs w:val="20"/>
        </w:rPr>
        <w:t>V letu 202</w:t>
      </w:r>
      <w:r>
        <w:rPr>
          <w:rFonts w:ascii="Arial" w:hAnsi="Arial" w:cs="Arial"/>
          <w:sz w:val="20"/>
          <w:szCs w:val="20"/>
        </w:rPr>
        <w:t>1</w:t>
      </w:r>
      <w:r w:rsidRPr="00E8337A">
        <w:rPr>
          <w:rFonts w:ascii="Arial" w:hAnsi="Arial" w:cs="Arial"/>
          <w:sz w:val="20"/>
          <w:szCs w:val="20"/>
        </w:rPr>
        <w:t xml:space="preserve"> je </w:t>
      </w:r>
      <w:r w:rsidRPr="002629B2">
        <w:rPr>
          <w:rFonts w:ascii="Arial" w:hAnsi="Arial" w:cs="Arial"/>
          <w:sz w:val="20"/>
          <w:szCs w:val="20"/>
        </w:rPr>
        <w:t>FURS pobral neto 19.205.49</w:t>
      </w:r>
      <w:r w:rsidRPr="009A018A">
        <w:rPr>
          <w:rFonts w:ascii="Arial" w:hAnsi="Arial" w:cs="Arial"/>
          <w:sz w:val="20"/>
          <w:szCs w:val="20"/>
        </w:rPr>
        <w:t>3.984 EUR prihodkov za vse štiri blagajne javnega financiranja, kar je za 2.931.330.917 EUR oziroma 18 odstotkov več kot v letu 2020</w:t>
      </w:r>
      <w:r w:rsidRPr="00A93392">
        <w:rPr>
          <w:rFonts w:ascii="Arial" w:hAnsi="Arial" w:cs="Arial"/>
          <w:sz w:val="20"/>
          <w:szCs w:val="20"/>
        </w:rPr>
        <w:t xml:space="preserve">. </w:t>
      </w:r>
      <w:r w:rsidR="00A93392" w:rsidRPr="00A93392">
        <w:rPr>
          <w:rFonts w:ascii="Arial" w:hAnsi="Arial" w:cs="Arial"/>
          <w:sz w:val="20"/>
          <w:szCs w:val="20"/>
        </w:rPr>
        <w:t>Trend zviševanja pobranih prihodkov se z izjemo »</w:t>
      </w:r>
      <w:proofErr w:type="spellStart"/>
      <w:r w:rsidR="00A93392" w:rsidRPr="00A93392">
        <w:rPr>
          <w:rFonts w:ascii="Arial" w:hAnsi="Arial" w:cs="Arial"/>
          <w:sz w:val="20"/>
          <w:szCs w:val="20"/>
        </w:rPr>
        <w:t>kovidnega</w:t>
      </w:r>
      <w:proofErr w:type="spellEnd"/>
      <w:r w:rsidR="00A93392" w:rsidRPr="00A93392">
        <w:rPr>
          <w:rFonts w:ascii="Arial" w:hAnsi="Arial" w:cs="Arial"/>
          <w:sz w:val="20"/>
          <w:szCs w:val="20"/>
        </w:rPr>
        <w:t>« leta 2020, nadaljuje že osem let, od ustanovitve FURS v letu 2014, skupni prirast prihodkov znaša 5.594.024.607 EUR oziroma 41,1 odstotka.</w:t>
      </w:r>
    </w:p>
    <w:p w14:paraId="58646026" w14:textId="77777777" w:rsidR="00F6676A" w:rsidRPr="000972DF" w:rsidRDefault="00F6676A" w:rsidP="00F6676A">
      <w:pPr>
        <w:jc w:val="both"/>
        <w:rPr>
          <w:rFonts w:ascii="Arial" w:hAnsi="Arial" w:cs="Arial"/>
          <w:sz w:val="20"/>
          <w:szCs w:val="20"/>
        </w:rPr>
      </w:pPr>
      <w:r w:rsidRPr="000972DF">
        <w:rPr>
          <w:rFonts w:ascii="Arial" w:hAnsi="Arial" w:cs="Arial"/>
          <w:sz w:val="20"/>
          <w:szCs w:val="20"/>
        </w:rPr>
        <w:t>Če bi k pobranim javnofinančnim prihodkom v letu 2020 prišteli tudi znesek oproščenih prispevkov za socialno varnost v znesku 607.639.851 EUR, ki jih je državni proračun na podlagi Zakona o interventnih ukrepih za zajezitev epidemije COVID-19 in omilitev njenih posledic za državljane in gospodarstvo (ZIUZEOP) v času spomladanske epidemije poravnal »mimo« FURS neposredno javnofinančni blagajni ZZZS, ZPIZ ali državnemu proračunu, bi prihodki v letu 2020 znašali 16.881.802.918 EUR. V letu 2021 bi bila tako realizacija prihodkov FURS v primerjavi z letom 2020 višja za  2.323.691.066 EUR oziroma 13,8 odstotkov.</w:t>
      </w:r>
    </w:p>
    <w:p w14:paraId="1DC977C9" w14:textId="77777777" w:rsidR="00F6676A" w:rsidRDefault="00F6676A" w:rsidP="00F6676A">
      <w:pPr>
        <w:jc w:val="both"/>
        <w:rPr>
          <w:rFonts w:ascii="Arial" w:hAnsi="Arial" w:cs="Arial"/>
          <w:sz w:val="20"/>
          <w:szCs w:val="20"/>
        </w:rPr>
      </w:pPr>
      <w:r w:rsidRPr="00AC4B7C">
        <w:rPr>
          <w:rFonts w:ascii="Arial" w:hAnsi="Arial" w:cs="Arial"/>
          <w:sz w:val="20"/>
          <w:szCs w:val="20"/>
        </w:rPr>
        <w:t>Po stanju na dan 31. 12. 2021 je znašal davčni dolg za vse blagajne javnega financiranja 918.507.974 EUR</w:t>
      </w:r>
      <w:r w:rsidRPr="00AC4B7C">
        <w:rPr>
          <w:rStyle w:val="Sprotnaopomba-sklic"/>
          <w:rFonts w:ascii="Arial" w:hAnsi="Arial" w:cs="Arial"/>
          <w:sz w:val="20"/>
          <w:szCs w:val="20"/>
        </w:rPr>
        <w:footnoteReference w:id="1"/>
      </w:r>
      <w:r w:rsidRPr="00AC4B7C">
        <w:rPr>
          <w:rFonts w:ascii="Arial" w:hAnsi="Arial" w:cs="Arial"/>
          <w:sz w:val="20"/>
          <w:szCs w:val="20"/>
        </w:rPr>
        <w:t>. V letu 2021 se je davčni dolg znižal za 79.581.419 EUR oziroma 8 odstotka. Trend zniževanja davčnega dolga se nadaljuje že osem let, od ustanovitve FURS v letu 2014, saj se je skupaj znižal za 579.317.399 EUR oziroma 38,7 odstotka.</w:t>
      </w:r>
      <w:r w:rsidRPr="00D82DA3">
        <w:rPr>
          <w:rFonts w:ascii="Arial" w:hAnsi="Arial" w:cs="Arial"/>
          <w:sz w:val="20"/>
          <w:szCs w:val="20"/>
        </w:rPr>
        <w:t xml:space="preserve"> </w:t>
      </w:r>
    </w:p>
    <w:p w14:paraId="550515A9" w14:textId="77777777" w:rsidR="00F6676A" w:rsidRDefault="00F6676A" w:rsidP="00F6676A">
      <w:pPr>
        <w:jc w:val="both"/>
        <w:rPr>
          <w:rFonts w:ascii="Arial" w:hAnsi="Arial" w:cs="Arial"/>
          <w:sz w:val="20"/>
          <w:szCs w:val="20"/>
        </w:rPr>
      </w:pPr>
      <w:r w:rsidRPr="001715DF">
        <w:rPr>
          <w:rFonts w:ascii="Arial" w:hAnsi="Arial" w:cs="Arial"/>
          <w:sz w:val="20"/>
          <w:szCs w:val="20"/>
        </w:rPr>
        <w:t>Slika</w:t>
      </w:r>
      <w:r>
        <w:rPr>
          <w:rFonts w:ascii="Arial" w:hAnsi="Arial" w:cs="Arial"/>
          <w:sz w:val="20"/>
          <w:szCs w:val="20"/>
        </w:rPr>
        <w:t xml:space="preserve"> 1</w:t>
      </w:r>
      <w:r w:rsidRPr="001715DF">
        <w:rPr>
          <w:rFonts w:ascii="Arial" w:hAnsi="Arial" w:cs="Arial"/>
          <w:sz w:val="20"/>
          <w:szCs w:val="20"/>
        </w:rPr>
        <w:t>:</w:t>
      </w:r>
      <w:r>
        <w:rPr>
          <w:rFonts w:ascii="Arial" w:hAnsi="Arial" w:cs="Arial"/>
          <w:sz w:val="20"/>
          <w:szCs w:val="20"/>
        </w:rPr>
        <w:t xml:space="preserve"> T</w:t>
      </w:r>
      <w:r w:rsidRPr="001715DF">
        <w:rPr>
          <w:rFonts w:ascii="Arial" w:hAnsi="Arial" w:cs="Arial"/>
          <w:sz w:val="20"/>
          <w:szCs w:val="20"/>
        </w:rPr>
        <w:t>rend</w:t>
      </w:r>
      <w:r>
        <w:rPr>
          <w:rFonts w:ascii="Arial" w:hAnsi="Arial" w:cs="Arial"/>
          <w:sz w:val="20"/>
          <w:szCs w:val="20"/>
        </w:rPr>
        <w:t xml:space="preserve"> gibanja </w:t>
      </w:r>
      <w:r w:rsidRPr="001715DF">
        <w:rPr>
          <w:rFonts w:ascii="Arial" w:hAnsi="Arial" w:cs="Arial"/>
          <w:sz w:val="20"/>
          <w:szCs w:val="20"/>
        </w:rPr>
        <w:t xml:space="preserve">javnofinančnih prihodkov in </w:t>
      </w:r>
      <w:r>
        <w:rPr>
          <w:rFonts w:ascii="Arial" w:hAnsi="Arial" w:cs="Arial"/>
          <w:sz w:val="20"/>
          <w:szCs w:val="20"/>
        </w:rPr>
        <w:t>d</w:t>
      </w:r>
      <w:r w:rsidRPr="001715DF">
        <w:rPr>
          <w:rFonts w:ascii="Arial" w:hAnsi="Arial" w:cs="Arial"/>
          <w:sz w:val="20"/>
          <w:szCs w:val="20"/>
        </w:rPr>
        <w:t>avčnega dolga od leta 2015</w:t>
      </w:r>
      <w:r>
        <w:rPr>
          <w:rFonts w:ascii="Arial" w:hAnsi="Arial" w:cs="Arial"/>
          <w:sz w:val="20"/>
          <w:szCs w:val="20"/>
        </w:rPr>
        <w:t xml:space="preserve"> do 2021</w:t>
      </w:r>
    </w:p>
    <w:p w14:paraId="3F1CE4B6" w14:textId="77777777" w:rsidR="00F6676A" w:rsidRDefault="00F6676A" w:rsidP="00F6676A">
      <w:pPr>
        <w:jc w:val="both"/>
        <w:rPr>
          <w:rFonts w:ascii="Arial" w:hAnsi="Arial" w:cs="Arial"/>
          <w:sz w:val="20"/>
          <w:szCs w:val="20"/>
        </w:rPr>
      </w:pPr>
      <w:r>
        <w:rPr>
          <w:noProof/>
        </w:rPr>
        <w:drawing>
          <wp:inline distT="0" distB="0" distL="0" distR="0" wp14:anchorId="3372760C" wp14:editId="4927774F">
            <wp:extent cx="5437791" cy="2049780"/>
            <wp:effectExtent l="0" t="0" r="0" b="762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48729" cy="2053903"/>
                    </a:xfrm>
                    <a:prstGeom prst="rect">
                      <a:avLst/>
                    </a:prstGeom>
                  </pic:spPr>
                </pic:pic>
              </a:graphicData>
            </a:graphic>
          </wp:inline>
        </w:drawing>
      </w:r>
    </w:p>
    <w:p w14:paraId="527EFEAC" w14:textId="77777777" w:rsidR="00F6676A" w:rsidRDefault="00F6676A" w:rsidP="00F6676A">
      <w:pPr>
        <w:jc w:val="both"/>
        <w:rPr>
          <w:rFonts w:ascii="Arial" w:hAnsi="Arial" w:cs="Arial"/>
          <w:sz w:val="20"/>
          <w:szCs w:val="20"/>
        </w:rPr>
      </w:pPr>
      <w:r w:rsidRPr="00664750">
        <w:rPr>
          <w:rFonts w:ascii="Arial" w:hAnsi="Arial" w:cs="Arial"/>
          <w:sz w:val="20"/>
          <w:szCs w:val="20"/>
        </w:rPr>
        <w:t>Pri spremljanju gibanja davčnega dolga je poleg znižanja absolutnega zneska davčnega dolga v primerjavi s predhodnim obdobjem treba upoštevati tudi gibanje deleža dolga glede na letno pobrane javnofinančne prihodke FURS</w:t>
      </w:r>
      <w:r>
        <w:rPr>
          <w:rFonts w:ascii="Arial" w:hAnsi="Arial" w:cs="Arial"/>
          <w:sz w:val="20"/>
          <w:szCs w:val="20"/>
        </w:rPr>
        <w:t>. D</w:t>
      </w:r>
      <w:r w:rsidRPr="00261B8E">
        <w:rPr>
          <w:rFonts w:ascii="Arial" w:hAnsi="Arial" w:cs="Arial"/>
          <w:sz w:val="20"/>
          <w:szCs w:val="20"/>
        </w:rPr>
        <w:t xml:space="preserve">elež davčnega dolga za vse javnofinančne blagajne v vseh letno </w:t>
      </w:r>
      <w:r w:rsidRPr="00DE52B6">
        <w:rPr>
          <w:rFonts w:ascii="Arial" w:hAnsi="Arial" w:cs="Arial"/>
          <w:sz w:val="20"/>
          <w:szCs w:val="20"/>
        </w:rPr>
        <w:t>pobranih javnofinančnih prihodkih FURS je v letu 202</w:t>
      </w:r>
      <w:r>
        <w:rPr>
          <w:rFonts w:ascii="Arial" w:hAnsi="Arial" w:cs="Arial"/>
          <w:sz w:val="20"/>
          <w:szCs w:val="20"/>
        </w:rPr>
        <w:t>1</w:t>
      </w:r>
      <w:r w:rsidRPr="00DE52B6">
        <w:rPr>
          <w:rFonts w:ascii="Arial" w:hAnsi="Arial" w:cs="Arial"/>
          <w:sz w:val="20"/>
          <w:szCs w:val="20"/>
        </w:rPr>
        <w:t xml:space="preserve"> zdrsnil na 4,8 odstotka, v letu 2014, ko je bil ustanovljen FURS, je znašal 10,4 odstotka.</w:t>
      </w:r>
      <w:r w:rsidRPr="00261B8E">
        <w:rPr>
          <w:rFonts w:ascii="Arial" w:hAnsi="Arial" w:cs="Arial"/>
          <w:sz w:val="20"/>
          <w:szCs w:val="20"/>
        </w:rPr>
        <w:t xml:space="preserve"> </w:t>
      </w:r>
    </w:p>
    <w:p w14:paraId="6CFCDD2E" w14:textId="77777777" w:rsidR="00F6676A" w:rsidRDefault="00F6676A" w:rsidP="00F6676A">
      <w:pPr>
        <w:jc w:val="both"/>
        <w:rPr>
          <w:rFonts w:ascii="Arial" w:hAnsi="Arial" w:cs="Arial"/>
          <w:sz w:val="20"/>
          <w:szCs w:val="20"/>
        </w:rPr>
      </w:pPr>
      <w:r w:rsidRPr="00BC6C45">
        <w:rPr>
          <w:rFonts w:ascii="Arial" w:hAnsi="Arial" w:cs="Arial"/>
          <w:sz w:val="20"/>
          <w:szCs w:val="20"/>
        </w:rPr>
        <w:lastRenderedPageBreak/>
        <w:t>Če se v povezavi z obravnavo zaključnega računa, osredotočimo samo na v letu 202</w:t>
      </w:r>
      <w:r>
        <w:rPr>
          <w:rFonts w:ascii="Arial" w:hAnsi="Arial" w:cs="Arial"/>
          <w:sz w:val="20"/>
          <w:szCs w:val="20"/>
        </w:rPr>
        <w:t>1</w:t>
      </w:r>
      <w:r w:rsidRPr="00BC6C45">
        <w:rPr>
          <w:rFonts w:ascii="Arial" w:hAnsi="Arial" w:cs="Arial"/>
          <w:sz w:val="20"/>
          <w:szCs w:val="20"/>
        </w:rPr>
        <w:t xml:space="preserve"> nastali in zapadli dolg</w:t>
      </w:r>
      <w:r w:rsidRPr="00BF7F05">
        <w:rPr>
          <w:rFonts w:ascii="Arial" w:hAnsi="Arial" w:cs="Arial"/>
          <w:sz w:val="20"/>
          <w:szCs w:val="20"/>
        </w:rPr>
        <w:t>, je po stanju 31. 12. 202</w:t>
      </w:r>
      <w:r>
        <w:rPr>
          <w:rFonts w:ascii="Arial" w:hAnsi="Arial" w:cs="Arial"/>
          <w:sz w:val="20"/>
          <w:szCs w:val="20"/>
        </w:rPr>
        <w:t>1</w:t>
      </w:r>
      <w:r w:rsidRPr="00BF7F05">
        <w:rPr>
          <w:rFonts w:ascii="Arial" w:hAnsi="Arial" w:cs="Arial"/>
          <w:sz w:val="20"/>
          <w:szCs w:val="20"/>
        </w:rPr>
        <w:t xml:space="preserve"> znašal za vse javnofinančne blagajne </w:t>
      </w:r>
      <w:r w:rsidRPr="006461B2">
        <w:rPr>
          <w:rFonts w:ascii="Arial" w:hAnsi="Arial" w:cs="Arial"/>
          <w:sz w:val="20"/>
          <w:szCs w:val="20"/>
        </w:rPr>
        <w:t>188.642.338 EUR</w:t>
      </w:r>
      <w:r>
        <w:rPr>
          <w:rFonts w:ascii="Arial" w:hAnsi="Arial" w:cs="Arial"/>
          <w:sz w:val="20"/>
          <w:szCs w:val="20"/>
        </w:rPr>
        <w:t>.</w:t>
      </w:r>
      <w:r w:rsidRPr="006461B2">
        <w:rPr>
          <w:rFonts w:ascii="Arial" w:hAnsi="Arial" w:cs="Arial"/>
          <w:sz w:val="20"/>
          <w:szCs w:val="20"/>
        </w:rPr>
        <w:t xml:space="preserve"> </w:t>
      </w:r>
      <w:r w:rsidRPr="00BF7F05">
        <w:rPr>
          <w:rFonts w:ascii="Arial" w:hAnsi="Arial" w:cs="Arial"/>
          <w:sz w:val="20"/>
          <w:szCs w:val="20"/>
        </w:rPr>
        <w:t xml:space="preserve"> Ob sestavi tega poročila, se je po stanju na dan</w:t>
      </w:r>
      <w:r>
        <w:rPr>
          <w:rFonts w:ascii="Arial" w:hAnsi="Arial" w:cs="Arial"/>
          <w:color w:val="FF0000"/>
          <w:sz w:val="20"/>
          <w:szCs w:val="20"/>
        </w:rPr>
        <w:t xml:space="preserve"> </w:t>
      </w:r>
      <w:r w:rsidRPr="00BF7F05">
        <w:rPr>
          <w:rFonts w:ascii="Arial" w:hAnsi="Arial" w:cs="Arial"/>
          <w:sz w:val="20"/>
          <w:szCs w:val="20"/>
        </w:rPr>
        <w:t>3</w:t>
      </w:r>
      <w:r>
        <w:rPr>
          <w:rFonts w:ascii="Arial" w:hAnsi="Arial" w:cs="Arial"/>
          <w:sz w:val="20"/>
          <w:szCs w:val="20"/>
        </w:rPr>
        <w:t>0</w:t>
      </w:r>
      <w:r w:rsidRPr="00BF7F05">
        <w:rPr>
          <w:rFonts w:ascii="Arial" w:hAnsi="Arial" w:cs="Arial"/>
          <w:sz w:val="20"/>
          <w:szCs w:val="20"/>
        </w:rPr>
        <w:t xml:space="preserve">. </w:t>
      </w:r>
      <w:r>
        <w:rPr>
          <w:rFonts w:ascii="Arial" w:hAnsi="Arial" w:cs="Arial"/>
          <w:sz w:val="20"/>
          <w:szCs w:val="20"/>
        </w:rPr>
        <w:t>4</w:t>
      </w:r>
      <w:r w:rsidRPr="00BF7F05">
        <w:rPr>
          <w:rFonts w:ascii="Arial" w:hAnsi="Arial" w:cs="Arial"/>
          <w:sz w:val="20"/>
          <w:szCs w:val="20"/>
        </w:rPr>
        <w:t>. 202</w:t>
      </w:r>
      <w:r>
        <w:rPr>
          <w:rFonts w:ascii="Arial" w:hAnsi="Arial" w:cs="Arial"/>
          <w:sz w:val="20"/>
          <w:szCs w:val="20"/>
        </w:rPr>
        <w:t>2</w:t>
      </w:r>
      <w:r w:rsidRPr="00BF7F05">
        <w:rPr>
          <w:rFonts w:ascii="Arial" w:hAnsi="Arial" w:cs="Arial"/>
          <w:sz w:val="20"/>
          <w:szCs w:val="20"/>
        </w:rPr>
        <w:t>, v letu 202</w:t>
      </w:r>
      <w:r>
        <w:rPr>
          <w:rFonts w:ascii="Arial" w:hAnsi="Arial" w:cs="Arial"/>
          <w:sz w:val="20"/>
          <w:szCs w:val="20"/>
        </w:rPr>
        <w:t>1</w:t>
      </w:r>
      <w:r w:rsidRPr="00BF7F05">
        <w:rPr>
          <w:rFonts w:ascii="Arial" w:hAnsi="Arial" w:cs="Arial"/>
          <w:sz w:val="20"/>
          <w:szCs w:val="20"/>
        </w:rPr>
        <w:t xml:space="preserve"> nastali dolg,</w:t>
      </w:r>
      <w:r>
        <w:rPr>
          <w:rFonts w:ascii="Arial" w:hAnsi="Arial" w:cs="Arial"/>
          <w:color w:val="FF0000"/>
          <w:sz w:val="20"/>
          <w:szCs w:val="20"/>
        </w:rPr>
        <w:t xml:space="preserve"> </w:t>
      </w:r>
      <w:r w:rsidRPr="00D43C06">
        <w:rPr>
          <w:rFonts w:ascii="Arial" w:hAnsi="Arial" w:cs="Arial"/>
          <w:sz w:val="20"/>
          <w:szCs w:val="20"/>
        </w:rPr>
        <w:t xml:space="preserve">že znižal na </w:t>
      </w:r>
      <w:r w:rsidRPr="006461B2">
        <w:rPr>
          <w:rFonts w:ascii="Arial" w:hAnsi="Arial" w:cs="Arial"/>
          <w:sz w:val="20"/>
          <w:szCs w:val="20"/>
        </w:rPr>
        <w:t>111.789.275 EUR</w:t>
      </w:r>
      <w:r w:rsidRPr="00E87109">
        <w:rPr>
          <w:rFonts w:ascii="Arial" w:hAnsi="Arial" w:cs="Arial"/>
          <w:sz w:val="20"/>
          <w:szCs w:val="20"/>
        </w:rPr>
        <w:t xml:space="preserve">. </w:t>
      </w:r>
      <w:r w:rsidRPr="0072161D">
        <w:rPr>
          <w:rFonts w:ascii="Arial" w:hAnsi="Arial" w:cs="Arial"/>
          <w:sz w:val="20"/>
          <w:szCs w:val="20"/>
        </w:rPr>
        <w:t xml:space="preserve">Obseg dajatev, plačanih po zapadlosti z do eno mesečno zamudo, se giblje od 60 do 80 mio EUR mesečno, hkrati </w:t>
      </w:r>
      <w:r>
        <w:rPr>
          <w:rFonts w:ascii="Arial" w:hAnsi="Arial" w:cs="Arial"/>
          <w:sz w:val="20"/>
          <w:szCs w:val="20"/>
        </w:rPr>
        <w:t xml:space="preserve">pa </w:t>
      </w:r>
      <w:r w:rsidRPr="0072161D">
        <w:rPr>
          <w:rFonts w:ascii="Arial" w:hAnsi="Arial" w:cs="Arial"/>
          <w:sz w:val="20"/>
          <w:szCs w:val="20"/>
        </w:rPr>
        <w:t xml:space="preserve">so že </w:t>
      </w:r>
      <w:r>
        <w:rPr>
          <w:rFonts w:ascii="Arial" w:hAnsi="Arial" w:cs="Arial"/>
          <w:sz w:val="20"/>
          <w:szCs w:val="20"/>
        </w:rPr>
        <w:t xml:space="preserve">bili </w:t>
      </w:r>
      <w:r w:rsidRPr="0072161D">
        <w:rPr>
          <w:rFonts w:ascii="Arial" w:hAnsi="Arial" w:cs="Arial"/>
          <w:sz w:val="20"/>
          <w:szCs w:val="20"/>
        </w:rPr>
        <w:t>realizira</w:t>
      </w:r>
      <w:r>
        <w:rPr>
          <w:rFonts w:ascii="Arial" w:hAnsi="Arial" w:cs="Arial"/>
          <w:sz w:val="20"/>
          <w:szCs w:val="20"/>
        </w:rPr>
        <w:t xml:space="preserve">ni tudi </w:t>
      </w:r>
      <w:r w:rsidRPr="0072161D">
        <w:rPr>
          <w:rFonts w:ascii="Arial" w:hAnsi="Arial" w:cs="Arial"/>
          <w:sz w:val="20"/>
          <w:szCs w:val="20"/>
        </w:rPr>
        <w:t>nekateri ukrepi izterjave</w:t>
      </w:r>
      <w:r>
        <w:rPr>
          <w:rFonts w:ascii="Arial" w:hAnsi="Arial" w:cs="Arial"/>
          <w:sz w:val="20"/>
          <w:szCs w:val="20"/>
        </w:rPr>
        <w:t>.</w:t>
      </w:r>
    </w:p>
    <w:p w14:paraId="3BBE1F9A" w14:textId="77777777" w:rsidR="00F6676A" w:rsidRPr="002B2547" w:rsidRDefault="00F6676A" w:rsidP="00F6676A">
      <w:pPr>
        <w:jc w:val="both"/>
        <w:rPr>
          <w:rFonts w:ascii="Arial" w:hAnsi="Arial" w:cs="Arial"/>
          <w:strike/>
          <w:color w:val="FF0000"/>
          <w:sz w:val="20"/>
          <w:szCs w:val="20"/>
        </w:rPr>
      </w:pPr>
      <w:r w:rsidRPr="002A6C8F">
        <w:rPr>
          <w:rFonts w:ascii="Arial" w:hAnsi="Arial" w:cs="Arial"/>
          <w:sz w:val="20"/>
          <w:szCs w:val="20"/>
        </w:rPr>
        <w:t xml:space="preserve">S ciljem obvladovanja davčnega dolga je FURS izvajal številne ukrepe za spodbujanje prostovoljnega plačevanja in izterjave: opominjanje, pobote obveznosti z zapadlimi terjatvami, unovčitve predloženih zavarovanj, davčno izvršbo, druge zahtevnejše ukrepe uveljavljanja davčnega dolga in predlagal stečaje ali izbrise. </w:t>
      </w:r>
    </w:p>
    <w:p w14:paraId="07CF3462" w14:textId="77777777" w:rsidR="00F6676A" w:rsidRPr="00820EDB" w:rsidRDefault="00F6676A" w:rsidP="00F6676A">
      <w:pPr>
        <w:jc w:val="both"/>
        <w:rPr>
          <w:rFonts w:ascii="Arial" w:hAnsi="Arial" w:cs="Arial"/>
          <w:sz w:val="20"/>
          <w:szCs w:val="20"/>
        </w:rPr>
      </w:pPr>
      <w:r w:rsidRPr="00820EDB">
        <w:rPr>
          <w:rFonts w:ascii="Arial" w:hAnsi="Arial" w:cs="Arial"/>
          <w:sz w:val="20"/>
          <w:szCs w:val="20"/>
        </w:rPr>
        <w:t xml:space="preserve">Davčni dolg po stanju 31. 12. 2021  je glede na možnosti izterjave razdeljen na aktivni dolg v višini </w:t>
      </w:r>
      <w:r w:rsidRPr="00820EDB">
        <w:rPr>
          <w:rFonts w:ascii="Arial" w:hAnsi="Arial" w:cs="Arial"/>
          <w:bCs/>
          <w:sz w:val="20"/>
          <w:szCs w:val="20"/>
        </w:rPr>
        <w:t xml:space="preserve">431.158.169 </w:t>
      </w:r>
      <w:r w:rsidRPr="00820EDB">
        <w:rPr>
          <w:rFonts w:ascii="Arial" w:hAnsi="Arial" w:cs="Arial"/>
          <w:sz w:val="20"/>
          <w:szCs w:val="20"/>
        </w:rPr>
        <w:t xml:space="preserve">EUR (46,9 odstotka) in pogojno izterljivi dolg v višini  </w:t>
      </w:r>
      <w:r w:rsidRPr="00820EDB">
        <w:rPr>
          <w:rFonts w:ascii="Arial" w:hAnsi="Arial" w:cs="Arial"/>
          <w:bCs/>
          <w:sz w:val="20"/>
          <w:szCs w:val="20"/>
        </w:rPr>
        <w:t xml:space="preserve">487.349.805  </w:t>
      </w:r>
      <w:r w:rsidRPr="00820EDB">
        <w:rPr>
          <w:rFonts w:ascii="Arial" w:hAnsi="Arial" w:cs="Arial"/>
          <w:sz w:val="20"/>
          <w:szCs w:val="20"/>
        </w:rPr>
        <w:t xml:space="preserve">EUR (53,1 odstotka). </w:t>
      </w:r>
    </w:p>
    <w:p w14:paraId="33195A7C" w14:textId="77777777" w:rsidR="00F6676A" w:rsidRPr="00923E63" w:rsidRDefault="00F6676A" w:rsidP="00F6676A">
      <w:pPr>
        <w:jc w:val="both"/>
        <w:rPr>
          <w:rFonts w:ascii="Arial" w:hAnsi="Arial" w:cs="Arial"/>
          <w:bCs/>
          <w:sz w:val="20"/>
          <w:szCs w:val="20"/>
        </w:rPr>
      </w:pPr>
      <w:r w:rsidRPr="00923E63">
        <w:rPr>
          <w:rFonts w:ascii="Arial" w:hAnsi="Arial" w:cs="Arial"/>
          <w:bCs/>
          <w:sz w:val="20"/>
          <w:szCs w:val="20"/>
        </w:rPr>
        <w:t xml:space="preserve">FURS je pri izterjavi znatnega dela davčnega dolga zelo omejen. Če sodišče odloči, da se zoper dolžnika začne postopek zaradi insolventnosti, se za dolg, ne sme voditi postopka izvršbe niti zavarovanja. Po stanju 31. 12. 2021 je bil obseg pogojno izterljivega dolga prijavljenega  v </w:t>
      </w:r>
      <w:proofErr w:type="spellStart"/>
      <w:r w:rsidRPr="00923E63">
        <w:rPr>
          <w:rFonts w:ascii="Arial" w:hAnsi="Arial" w:cs="Arial"/>
          <w:bCs/>
          <w:sz w:val="20"/>
          <w:szCs w:val="20"/>
        </w:rPr>
        <w:t>insolvenčne</w:t>
      </w:r>
      <w:proofErr w:type="spellEnd"/>
      <w:r w:rsidRPr="00923E63">
        <w:rPr>
          <w:rFonts w:ascii="Arial" w:hAnsi="Arial" w:cs="Arial"/>
          <w:bCs/>
          <w:sz w:val="20"/>
          <w:szCs w:val="20"/>
        </w:rPr>
        <w:t xml:space="preserve"> postopke 318 milijonov EUR, kar predstavlja 35,7 odstotka davčnega dolga. </w:t>
      </w:r>
    </w:p>
    <w:p w14:paraId="6EB11A71" w14:textId="77777777" w:rsidR="00F6676A" w:rsidRPr="00263B83" w:rsidRDefault="00F6676A" w:rsidP="00F6676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sz w:val="20"/>
          <w:szCs w:val="20"/>
        </w:rPr>
      </w:pPr>
      <w:r w:rsidRPr="00263B83">
        <w:rPr>
          <w:rFonts w:ascii="Arial" w:hAnsi="Arial" w:cs="Arial"/>
          <w:bCs/>
          <w:sz w:val="20"/>
          <w:szCs w:val="20"/>
        </w:rPr>
        <w:t>P</w:t>
      </w:r>
      <w:r w:rsidRPr="00263B83">
        <w:rPr>
          <w:rFonts w:ascii="Arial" w:hAnsi="Arial" w:cs="Arial"/>
          <w:sz w:val="20"/>
          <w:szCs w:val="20"/>
        </w:rPr>
        <w:t xml:space="preserve">odobno kot za </w:t>
      </w:r>
      <w:proofErr w:type="spellStart"/>
      <w:r w:rsidRPr="00263B83">
        <w:rPr>
          <w:rFonts w:ascii="Arial" w:hAnsi="Arial" w:cs="Arial"/>
          <w:sz w:val="20"/>
          <w:szCs w:val="20"/>
        </w:rPr>
        <w:t>insolvenčne</w:t>
      </w:r>
      <w:proofErr w:type="spellEnd"/>
      <w:r w:rsidRPr="00263B83">
        <w:rPr>
          <w:rFonts w:ascii="Arial" w:hAnsi="Arial" w:cs="Arial"/>
          <w:sz w:val="20"/>
          <w:szCs w:val="20"/>
        </w:rPr>
        <w:t xml:space="preserve"> postopke velja tudi za davčni dolg zavarovan z zastavno pravico na nepremičninah. Postopek prodaje nepremičnine in poplačilo upnikov vodi izvršilno sodišče, zato davčni organ </w:t>
      </w:r>
      <w:r w:rsidRPr="00263B83">
        <w:rPr>
          <w:rFonts w:ascii="Arial" w:eastAsia="Times New Roman" w:hAnsi="Arial" w:cs="Arial"/>
          <w:iCs/>
          <w:sz w:val="20"/>
          <w:szCs w:val="20"/>
        </w:rPr>
        <w:t xml:space="preserve">po podanih predlogih sodiščem v višini </w:t>
      </w:r>
      <w:r w:rsidRPr="000D49DA">
        <w:rPr>
          <w:rFonts w:ascii="Arial" w:eastAsia="Times New Roman" w:hAnsi="Arial" w:cs="Arial"/>
          <w:iCs/>
          <w:sz w:val="20"/>
          <w:szCs w:val="20"/>
        </w:rPr>
        <w:t xml:space="preserve">47.267.087 EUR </w:t>
      </w:r>
      <w:r w:rsidRPr="00263B83">
        <w:rPr>
          <w:rFonts w:ascii="Arial" w:hAnsi="Arial" w:cs="Arial"/>
          <w:sz w:val="20"/>
          <w:szCs w:val="20"/>
        </w:rPr>
        <w:t xml:space="preserve">na hitrost in višino poplačila dolga </w:t>
      </w:r>
      <w:r w:rsidRPr="00263B83">
        <w:rPr>
          <w:rFonts w:ascii="Arial" w:eastAsia="Times New Roman" w:hAnsi="Arial" w:cs="Arial"/>
          <w:iCs/>
          <w:sz w:val="20"/>
          <w:szCs w:val="20"/>
        </w:rPr>
        <w:t xml:space="preserve">nima vpliva. </w:t>
      </w:r>
    </w:p>
    <w:p w14:paraId="1B504143" w14:textId="77777777" w:rsidR="00F6676A" w:rsidRDefault="00F6676A" w:rsidP="00F6676A">
      <w:pPr>
        <w:jc w:val="both"/>
        <w:rPr>
          <w:rFonts w:ascii="Arial" w:hAnsi="Arial" w:cs="Arial"/>
          <w:sz w:val="20"/>
          <w:szCs w:val="20"/>
        </w:rPr>
      </w:pPr>
      <w:r w:rsidRPr="00C31992">
        <w:rPr>
          <w:rFonts w:ascii="Arial" w:hAnsi="Arial" w:cs="Arial"/>
          <w:sz w:val="20"/>
          <w:szCs w:val="20"/>
        </w:rPr>
        <w:t>V letu 202</w:t>
      </w:r>
      <w:r>
        <w:rPr>
          <w:rFonts w:ascii="Arial" w:hAnsi="Arial" w:cs="Arial"/>
          <w:sz w:val="20"/>
          <w:szCs w:val="20"/>
        </w:rPr>
        <w:t>1</w:t>
      </w:r>
      <w:r w:rsidRPr="00C31992">
        <w:rPr>
          <w:rFonts w:ascii="Arial" w:hAnsi="Arial" w:cs="Arial"/>
          <w:sz w:val="20"/>
          <w:szCs w:val="20"/>
        </w:rPr>
        <w:t xml:space="preserve"> je FURS poslal dolžnikom 858.068 opominov in 29.469 pozivov za plačilo in predložitev seznama premoženja ter izdal 242.310 sklepov o davčni izvršbi za novo nastale davčne in nedavčne obveznosti ali kot nov ukrep izterjave v skupnem znesku 1.193.392.380 EUR. Z izvedenimi ukrepi je bilo izterjano 452.703.923 EUR dolga.</w:t>
      </w:r>
    </w:p>
    <w:p w14:paraId="70E46381" w14:textId="77777777" w:rsidR="00F6676A" w:rsidRPr="001E5D5E" w:rsidRDefault="00F6676A" w:rsidP="00F6676A">
      <w:pPr>
        <w:tabs>
          <w:tab w:val="left" w:pos="1260"/>
        </w:tabs>
        <w:jc w:val="both"/>
        <w:rPr>
          <w:rFonts w:ascii="Arial" w:hAnsi="Arial" w:cs="Arial"/>
          <w:sz w:val="20"/>
          <w:szCs w:val="20"/>
        </w:rPr>
      </w:pPr>
      <w:r w:rsidRPr="001E5D5E">
        <w:rPr>
          <w:rFonts w:ascii="Arial" w:hAnsi="Arial" w:cs="Arial"/>
          <w:sz w:val="20"/>
          <w:szCs w:val="20"/>
        </w:rPr>
        <w:t xml:space="preserve">V primerjavi s preteklim letom je bilo v letu 2021 izterjano za 108.944.862 </w:t>
      </w:r>
      <w:r>
        <w:rPr>
          <w:rFonts w:ascii="Arial" w:hAnsi="Arial" w:cs="Arial"/>
          <w:sz w:val="20"/>
          <w:szCs w:val="20"/>
        </w:rPr>
        <w:t>EUR</w:t>
      </w:r>
      <w:r w:rsidRPr="001E5D5E">
        <w:rPr>
          <w:rFonts w:ascii="Arial" w:hAnsi="Arial" w:cs="Arial"/>
          <w:sz w:val="20"/>
          <w:szCs w:val="20"/>
        </w:rPr>
        <w:t xml:space="preserve"> več dolga. Navedeno je moč pripisati tudi povečanju aktivnosti na področju opominjanja in pozivanja dolžnikov k prostovoljnemu plačevanju neporavnanih obveznosti. V letu 2021 je bila namreč dopolnjena strategija opominjanja, ki po novem zagotavlja, da se zavezancem, zoper katere se že začeti postopki davčne izvršbe, izda opomin tudi za novo zapadle obveznosti. Prav tako so se v letu 2021 začeli izdajati opomini tudi zoper zavezance v postopkih zaradi insolventnosti, in sicer za zapadle neplačane obveznosti, nastale po začetku postopka zaradi insolventnosti. Opominjanje je potekalo ves čas  drugega vala epidemije Covid-19, ko so veljali interventni ukrepi </w:t>
      </w:r>
      <w:proofErr w:type="spellStart"/>
      <w:r w:rsidRPr="001E5D5E">
        <w:rPr>
          <w:rFonts w:ascii="Arial" w:hAnsi="Arial" w:cs="Arial"/>
          <w:sz w:val="20"/>
          <w:szCs w:val="20"/>
        </w:rPr>
        <w:t>t.j</w:t>
      </w:r>
      <w:proofErr w:type="spellEnd"/>
      <w:r w:rsidRPr="001E5D5E">
        <w:rPr>
          <w:rFonts w:ascii="Arial" w:hAnsi="Arial" w:cs="Arial"/>
          <w:sz w:val="20"/>
          <w:szCs w:val="20"/>
        </w:rPr>
        <w:t>. v obdobju od 31. 12. 2020 do 18. 4. 2021.</w:t>
      </w:r>
    </w:p>
    <w:p w14:paraId="04CA469A" w14:textId="77777777" w:rsidR="00F6676A" w:rsidRPr="004A77D8" w:rsidRDefault="00F6676A" w:rsidP="00F6676A">
      <w:pPr>
        <w:jc w:val="both"/>
        <w:rPr>
          <w:rFonts w:ascii="Arial" w:hAnsi="Arial" w:cs="Arial"/>
          <w:sz w:val="20"/>
          <w:szCs w:val="20"/>
        </w:rPr>
      </w:pPr>
      <w:r w:rsidRPr="004A77D8">
        <w:rPr>
          <w:rFonts w:ascii="Arial" w:hAnsi="Arial" w:cs="Arial"/>
          <w:sz w:val="20"/>
          <w:szCs w:val="20"/>
        </w:rPr>
        <w:t xml:space="preserve">Dodatno je FURS izvedel tudi pobote in unovčitve zavarovanj v višini </w:t>
      </w:r>
      <w:r w:rsidRPr="0034392D">
        <w:rPr>
          <w:rFonts w:ascii="Arial" w:hAnsi="Arial" w:cs="Arial"/>
          <w:sz w:val="20"/>
          <w:szCs w:val="20"/>
        </w:rPr>
        <w:t>216.475.107 EUR.</w:t>
      </w:r>
      <w:r w:rsidRPr="004A77D8">
        <w:rPr>
          <w:rFonts w:ascii="Arial" w:hAnsi="Arial" w:cs="Arial"/>
          <w:sz w:val="20"/>
          <w:szCs w:val="20"/>
        </w:rPr>
        <w:t xml:space="preserve"> </w:t>
      </w:r>
    </w:p>
    <w:p w14:paraId="5F032370" w14:textId="77777777" w:rsidR="00F6676A" w:rsidRPr="00E46A26" w:rsidRDefault="00F6676A" w:rsidP="00F6676A">
      <w:pPr>
        <w:pStyle w:val="FURSNavaden"/>
        <w:spacing w:line="260" w:lineRule="exact"/>
        <w:rPr>
          <w:rFonts w:eastAsia="Times New Roman" w:cs="Arial"/>
          <w:szCs w:val="20"/>
        </w:rPr>
      </w:pPr>
      <w:r w:rsidRPr="00E46A26">
        <w:rPr>
          <w:rFonts w:cs="Arial"/>
          <w:bCs/>
          <w:szCs w:val="20"/>
        </w:rPr>
        <w:t>Na podlagi izdanih sklepov o davčni izvršbi je bilo v letu 202</w:t>
      </w:r>
      <w:r>
        <w:rPr>
          <w:rFonts w:cs="Arial"/>
          <w:bCs/>
          <w:szCs w:val="20"/>
        </w:rPr>
        <w:t>1</w:t>
      </w:r>
      <w:r w:rsidRPr="00E46A26">
        <w:rPr>
          <w:rFonts w:cs="Arial"/>
          <w:bCs/>
          <w:szCs w:val="20"/>
        </w:rPr>
        <w:t xml:space="preserve"> izterjanega za 112.344.687 EUR dolga iz naslova davčnih terjatev. </w:t>
      </w:r>
      <w:r w:rsidRPr="00E46A26">
        <w:rPr>
          <w:rFonts w:eastAsia="Times New Roman" w:cs="Arial"/>
          <w:szCs w:val="20"/>
        </w:rPr>
        <w:t>Najučinkovitejše sredstvo izvršbe z vidika plačil je bila izvršba na denarna sredstva dolžnika pri bankah ali hranilnicah s 67,3 odstotnim deležem plačil, sledi izvršba na premično premoženje z 19,3 odstotka, 9,8 odstotka predstavlja izvršba na dolžnikove denarne prejemke, 3,5 odstotka izvršba na dolžnikove denarne terjatve in 0,1 odstotka izvršba na vrednostne papirje.</w:t>
      </w:r>
    </w:p>
    <w:p w14:paraId="167360F3" w14:textId="77777777" w:rsidR="00F6676A" w:rsidRPr="00E46A26" w:rsidRDefault="00F6676A" w:rsidP="00F6676A">
      <w:pPr>
        <w:pStyle w:val="FURSNavaden"/>
        <w:spacing w:line="260" w:lineRule="exact"/>
        <w:rPr>
          <w:rFonts w:eastAsia="Times New Roman" w:cs="Arial"/>
          <w:szCs w:val="20"/>
        </w:rPr>
      </w:pPr>
    </w:p>
    <w:p w14:paraId="635AF4E9" w14:textId="77777777" w:rsidR="00F6676A" w:rsidRPr="00FC4EFE" w:rsidRDefault="00F6676A" w:rsidP="00F6676A">
      <w:pPr>
        <w:spacing w:line="260" w:lineRule="exact"/>
        <w:contextualSpacing/>
        <w:jc w:val="both"/>
        <w:rPr>
          <w:rFonts w:ascii="Arial" w:hAnsi="Arial" w:cs="Arial"/>
          <w:bCs/>
          <w:sz w:val="20"/>
          <w:szCs w:val="20"/>
        </w:rPr>
      </w:pPr>
      <w:r w:rsidRPr="00FC4EFE">
        <w:rPr>
          <w:rFonts w:ascii="Arial" w:hAnsi="Arial" w:cs="Arial"/>
          <w:sz w:val="20"/>
          <w:szCs w:val="20"/>
        </w:rPr>
        <w:t>V poročilu so predstavljeni tudi ukrepi davčnega nadzora, s katerimi je bilo v letu 20</w:t>
      </w:r>
      <w:r>
        <w:rPr>
          <w:rFonts w:ascii="Arial" w:hAnsi="Arial" w:cs="Arial"/>
          <w:sz w:val="20"/>
          <w:szCs w:val="20"/>
        </w:rPr>
        <w:t>21</w:t>
      </w:r>
      <w:r w:rsidRPr="00FC4EFE">
        <w:rPr>
          <w:rFonts w:ascii="Arial" w:hAnsi="Arial" w:cs="Arial"/>
          <w:sz w:val="20"/>
          <w:szCs w:val="20"/>
        </w:rPr>
        <w:t xml:space="preserve"> dodatno odmerjenih </w:t>
      </w:r>
      <w:r w:rsidRPr="00B41564">
        <w:rPr>
          <w:rFonts w:ascii="Arial" w:hAnsi="Arial" w:cs="Arial"/>
          <w:sz w:val="20"/>
          <w:szCs w:val="20"/>
        </w:rPr>
        <w:t>275.091.114</w:t>
      </w:r>
      <w:r w:rsidRPr="00FC4EFE">
        <w:rPr>
          <w:rFonts w:ascii="Arial" w:hAnsi="Arial" w:cs="Arial"/>
          <w:sz w:val="20"/>
          <w:szCs w:val="20"/>
        </w:rPr>
        <w:t xml:space="preserve"> EUR</w:t>
      </w:r>
      <w:r w:rsidRPr="00FC4EFE">
        <w:rPr>
          <w:rFonts w:ascii="Arial" w:hAnsi="Arial" w:cs="Arial"/>
          <w:b/>
          <w:sz w:val="20"/>
          <w:szCs w:val="20"/>
        </w:rPr>
        <w:t xml:space="preserve"> </w:t>
      </w:r>
      <w:r w:rsidRPr="00FC4EFE">
        <w:rPr>
          <w:rFonts w:ascii="Arial" w:hAnsi="Arial" w:cs="Arial"/>
          <w:sz w:val="20"/>
          <w:szCs w:val="20"/>
        </w:rPr>
        <w:t>obveznosti. Prav tako so opisane nekatere aktivnosti za spodbujanje prostovoljnega plačevanja dajatev.</w:t>
      </w:r>
    </w:p>
    <w:p w14:paraId="5D6E57EE" w14:textId="77777777" w:rsidR="00F6676A" w:rsidRDefault="00F6676A" w:rsidP="00F6676A">
      <w:pPr>
        <w:rPr>
          <w:rFonts w:ascii="Arial" w:hAnsi="Arial" w:cs="Arial"/>
          <w:b/>
          <w:sz w:val="20"/>
          <w:szCs w:val="20"/>
        </w:rPr>
      </w:pPr>
    </w:p>
    <w:p w14:paraId="19653695" w14:textId="4F5E47C5" w:rsidR="00CA4E99" w:rsidRPr="00F6676A" w:rsidRDefault="00CA4E99" w:rsidP="00CA4E99">
      <w:pPr>
        <w:pStyle w:val="datumtevilka"/>
        <w:rPr>
          <w:rFonts w:cs="Arial"/>
        </w:rPr>
      </w:pPr>
      <w:r w:rsidRPr="00F6676A">
        <w:rPr>
          <w:rFonts w:cs="Arial"/>
        </w:rPr>
        <w:t xml:space="preserve">                                                                                                            </w:t>
      </w:r>
      <w:r w:rsidR="00F6676A">
        <w:rPr>
          <w:rFonts w:cs="Arial"/>
        </w:rPr>
        <w:t xml:space="preserve">           </w:t>
      </w:r>
      <w:r w:rsidRPr="00F6676A">
        <w:rPr>
          <w:rFonts w:cs="Arial"/>
        </w:rPr>
        <w:t xml:space="preserve">   </w:t>
      </w:r>
      <w:r w:rsidR="00F6676A" w:rsidRPr="00F6676A">
        <w:rPr>
          <w:rFonts w:cs="Arial"/>
        </w:rPr>
        <w:t xml:space="preserve">mag. Ivan Simič </w:t>
      </w:r>
      <w:r w:rsidR="00B16FB4" w:rsidRPr="00F6676A">
        <w:rPr>
          <w:rFonts w:cs="Arial"/>
          <w:iCs/>
        </w:rPr>
        <w:t xml:space="preserve"> </w:t>
      </w:r>
    </w:p>
    <w:p w14:paraId="5AEBA8D3" w14:textId="1C3E63C8" w:rsidR="00CA4E99" w:rsidRPr="00F6676A" w:rsidRDefault="00CA4E99" w:rsidP="00CA4E99">
      <w:pPr>
        <w:pStyle w:val="datumtevilka"/>
        <w:rPr>
          <w:rFonts w:cs="Arial"/>
        </w:rPr>
      </w:pPr>
      <w:r w:rsidRPr="00F6676A">
        <w:rPr>
          <w:rFonts w:cs="Arial"/>
        </w:rPr>
        <w:t xml:space="preserve">                                                                                      </w:t>
      </w:r>
      <w:r w:rsidR="00B16FB4" w:rsidRPr="00F6676A">
        <w:rPr>
          <w:rFonts w:cs="Arial"/>
        </w:rPr>
        <w:t xml:space="preserve">                         </w:t>
      </w:r>
      <w:r w:rsidRPr="00F6676A">
        <w:rPr>
          <w:rFonts w:cs="Arial"/>
        </w:rPr>
        <w:t xml:space="preserve">    </w:t>
      </w:r>
      <w:r w:rsidR="00F6676A" w:rsidRPr="00F6676A">
        <w:rPr>
          <w:rFonts w:cs="Arial"/>
        </w:rPr>
        <w:t xml:space="preserve">  </w:t>
      </w:r>
      <w:r w:rsidR="00B16FB4" w:rsidRPr="00F6676A">
        <w:rPr>
          <w:rFonts w:cs="Arial"/>
        </w:rPr>
        <w:t xml:space="preserve"> </w:t>
      </w:r>
      <w:r w:rsidR="00F6676A" w:rsidRPr="00F6676A">
        <w:rPr>
          <w:rFonts w:cs="Arial"/>
        </w:rPr>
        <w:t xml:space="preserve">    </w:t>
      </w:r>
      <w:r w:rsidRPr="00F6676A">
        <w:rPr>
          <w:rFonts w:cs="Arial"/>
        </w:rPr>
        <w:t>generaln</w:t>
      </w:r>
      <w:r w:rsidR="00F6676A" w:rsidRPr="00F6676A">
        <w:rPr>
          <w:rFonts w:cs="Arial"/>
        </w:rPr>
        <w:t xml:space="preserve">i </w:t>
      </w:r>
      <w:r w:rsidRPr="00F6676A">
        <w:rPr>
          <w:rFonts w:cs="Arial"/>
        </w:rPr>
        <w:t>direktor</w:t>
      </w:r>
    </w:p>
    <w:p w14:paraId="3D45B208" w14:textId="77777777" w:rsidR="002317DA" w:rsidRPr="002317DA" w:rsidRDefault="002317DA" w:rsidP="002317DA">
      <w:pPr>
        <w:shd w:val="clear" w:color="auto" w:fill="FFFFFF"/>
        <w:spacing w:after="0" w:line="240" w:lineRule="auto"/>
        <w:rPr>
          <w:rFonts w:ascii="Times New Roman" w:eastAsia="Times New Roman" w:hAnsi="Times New Roman"/>
          <w:sz w:val="24"/>
          <w:szCs w:val="24"/>
          <w:lang w:eastAsia="sl-SI"/>
        </w:rPr>
      </w:pPr>
      <w:r w:rsidRPr="002317DA">
        <w:rPr>
          <w:rFonts w:ascii="Arial" w:eastAsia="Times New Roman" w:hAnsi="Arial" w:cs="Arial"/>
          <w:sz w:val="20"/>
          <w:szCs w:val="20"/>
          <w:lang w:eastAsia="sl-SI"/>
        </w:rPr>
        <w:t>Številka: 9600-101/2022-1</w:t>
      </w:r>
      <w:r w:rsidRPr="002317DA">
        <w:rPr>
          <w:rFonts w:ascii="Times New Roman" w:eastAsia="Times New Roman" w:hAnsi="Times New Roman"/>
          <w:sz w:val="24"/>
          <w:szCs w:val="24"/>
          <w:lang w:eastAsia="sl-SI"/>
        </w:rPr>
        <w:br/>
      </w:r>
      <w:r w:rsidRPr="002317DA">
        <w:rPr>
          <w:rFonts w:ascii="Arial" w:eastAsia="Times New Roman" w:hAnsi="Arial" w:cs="Arial"/>
          <w:sz w:val="20"/>
          <w:szCs w:val="20"/>
          <w:lang w:eastAsia="sl-SI"/>
        </w:rPr>
        <w:t>Datum: 19. 05. 2022</w:t>
      </w:r>
    </w:p>
    <w:p w14:paraId="797DA8FD" w14:textId="77777777" w:rsidR="004B7622" w:rsidRPr="00E2109B" w:rsidRDefault="004B7622" w:rsidP="004B7622">
      <w:pPr>
        <w:jc w:val="both"/>
        <w:rPr>
          <w:rFonts w:ascii="Arial" w:hAnsi="Arial" w:cs="Arial"/>
          <w:b/>
        </w:rPr>
      </w:pPr>
      <w:bookmarkStart w:id="0" w:name="_Hlk99693219"/>
      <w:r w:rsidRPr="008D797F">
        <w:rPr>
          <w:rFonts w:ascii="Arial" w:hAnsi="Arial" w:cs="Arial"/>
          <w:b/>
          <w:sz w:val="20"/>
          <w:szCs w:val="20"/>
        </w:rPr>
        <w:lastRenderedPageBreak/>
        <w:t>1.</w:t>
      </w:r>
      <w:r w:rsidRPr="008D797F">
        <w:rPr>
          <w:rFonts w:ascii="Arial" w:hAnsi="Arial" w:cs="Arial"/>
          <w:b/>
          <w:sz w:val="20"/>
          <w:szCs w:val="20"/>
        </w:rPr>
        <w:tab/>
      </w:r>
      <w:r w:rsidRPr="00E2109B">
        <w:rPr>
          <w:rFonts w:ascii="Arial" w:hAnsi="Arial" w:cs="Arial"/>
          <w:b/>
        </w:rPr>
        <w:t>Uvod</w:t>
      </w:r>
    </w:p>
    <w:p w14:paraId="64C8F808" w14:textId="77777777" w:rsidR="004B7622" w:rsidRDefault="004B7622" w:rsidP="004B7622">
      <w:pPr>
        <w:pStyle w:val="Pripombabesedilo"/>
        <w:spacing w:line="276" w:lineRule="auto"/>
        <w:rPr>
          <w:rFonts w:ascii="Arial" w:hAnsi="Arial" w:cs="Arial"/>
        </w:rPr>
      </w:pPr>
      <w:r w:rsidRPr="00913AAB">
        <w:rPr>
          <w:rFonts w:ascii="Arial" w:hAnsi="Arial" w:cs="Arial"/>
        </w:rPr>
        <w:t>Finančna uprava Republike Slovenije (</w:t>
      </w:r>
      <w:r w:rsidRPr="00AF4446">
        <w:rPr>
          <w:rFonts w:ascii="Arial" w:hAnsi="Arial" w:cs="Arial"/>
        </w:rPr>
        <w:t>v nadaljnjem besedilu:</w:t>
      </w:r>
      <w:r>
        <w:t xml:space="preserve"> </w:t>
      </w:r>
      <w:r w:rsidRPr="00913AAB">
        <w:rPr>
          <w:rFonts w:ascii="Arial" w:hAnsi="Arial" w:cs="Arial"/>
        </w:rPr>
        <w:t>FURS)</w:t>
      </w:r>
      <w:r>
        <w:rPr>
          <w:rFonts w:ascii="Arial" w:hAnsi="Arial" w:cs="Arial"/>
        </w:rPr>
        <w:t xml:space="preserve"> je na podlagi zakona, ki ureja javne finance</w:t>
      </w:r>
      <w:r>
        <w:rPr>
          <w:rStyle w:val="Sprotnaopomba-sklic"/>
          <w:rFonts w:ascii="Arial" w:hAnsi="Arial" w:cs="Arial"/>
        </w:rPr>
        <w:footnoteReference w:id="2"/>
      </w:r>
      <w:r>
        <w:rPr>
          <w:rFonts w:ascii="Arial" w:hAnsi="Arial" w:cs="Arial"/>
        </w:rPr>
        <w:t>, pripravila P</w:t>
      </w:r>
      <w:r w:rsidRPr="00913AAB">
        <w:rPr>
          <w:rFonts w:ascii="Arial" w:hAnsi="Arial" w:cs="Arial"/>
        </w:rPr>
        <w:t>oročilo o stanju in gibanju davčnega dolga po stanju na dan 3</w:t>
      </w:r>
      <w:r>
        <w:rPr>
          <w:rFonts w:ascii="Arial" w:hAnsi="Arial" w:cs="Arial"/>
        </w:rPr>
        <w:t>1</w:t>
      </w:r>
      <w:r w:rsidRPr="00913AAB">
        <w:rPr>
          <w:rFonts w:ascii="Arial" w:hAnsi="Arial" w:cs="Arial"/>
        </w:rPr>
        <w:t xml:space="preserve">. </w:t>
      </w:r>
      <w:r>
        <w:rPr>
          <w:rFonts w:ascii="Arial" w:hAnsi="Arial" w:cs="Arial"/>
        </w:rPr>
        <w:t>12</w:t>
      </w:r>
      <w:r w:rsidRPr="00913AAB">
        <w:rPr>
          <w:rFonts w:ascii="Arial" w:hAnsi="Arial" w:cs="Arial"/>
        </w:rPr>
        <w:t>. 20</w:t>
      </w:r>
      <w:r>
        <w:rPr>
          <w:rFonts w:ascii="Arial" w:hAnsi="Arial" w:cs="Arial"/>
        </w:rPr>
        <w:t>21 za namen predložitve Državnemu zboru hkrati z zaključnim računom državnega proračuna za leto 2021. Podatki v poročilu so pripravljeni na podlagi zaključnega računa FURS za leto 2021.</w:t>
      </w:r>
    </w:p>
    <w:p w14:paraId="0CE02A25" w14:textId="77777777" w:rsidR="004B7622" w:rsidRDefault="004B7622" w:rsidP="004B7622">
      <w:pPr>
        <w:pStyle w:val="Pripombabesedilo"/>
        <w:spacing w:line="276" w:lineRule="auto"/>
        <w:rPr>
          <w:rFonts w:ascii="Arial" w:hAnsi="Arial" w:cs="Arial"/>
        </w:rPr>
      </w:pPr>
    </w:p>
    <w:p w14:paraId="0EBD7BC0" w14:textId="77777777" w:rsidR="004B7622" w:rsidRDefault="004B7622" w:rsidP="004B7622">
      <w:pPr>
        <w:pStyle w:val="Pripombabesedilo"/>
        <w:spacing w:line="276" w:lineRule="auto"/>
        <w:rPr>
          <w:rFonts w:ascii="Arial" w:hAnsi="Arial" w:cs="Arial"/>
        </w:rPr>
      </w:pPr>
      <w:r>
        <w:rPr>
          <w:rFonts w:ascii="Arial" w:hAnsi="Arial" w:cs="Arial"/>
        </w:rPr>
        <w:t xml:space="preserve">Čeprav je to poročilo predloženo hkrati z zaključnim računom državnega proračuna, pa se poročilo o prihodkih in davčnem dolgu nanaša na vse štiri javnofinančne blagajne za katere FURS pobira dajatve: </w:t>
      </w:r>
      <w:r w:rsidRPr="00913AAB">
        <w:rPr>
          <w:rFonts w:ascii="Arial" w:hAnsi="Arial" w:cs="Arial"/>
        </w:rPr>
        <w:t>proračun</w:t>
      </w:r>
      <w:r>
        <w:rPr>
          <w:rFonts w:ascii="Arial" w:hAnsi="Arial" w:cs="Arial"/>
        </w:rPr>
        <w:t xml:space="preserve"> države, Zavod </w:t>
      </w:r>
      <w:r w:rsidRPr="00913AAB">
        <w:rPr>
          <w:rFonts w:ascii="Arial" w:hAnsi="Arial" w:cs="Arial"/>
        </w:rPr>
        <w:t>za pokojninsko i</w:t>
      </w:r>
      <w:r>
        <w:rPr>
          <w:rFonts w:ascii="Arial" w:hAnsi="Arial" w:cs="Arial"/>
        </w:rPr>
        <w:t>n invalidsko zavarovanje, Zavod</w:t>
      </w:r>
      <w:r w:rsidRPr="00913AAB">
        <w:rPr>
          <w:rFonts w:ascii="Arial" w:hAnsi="Arial" w:cs="Arial"/>
        </w:rPr>
        <w:t xml:space="preserve"> za zdravstven</w:t>
      </w:r>
      <w:r>
        <w:rPr>
          <w:rFonts w:ascii="Arial" w:hAnsi="Arial" w:cs="Arial"/>
        </w:rPr>
        <w:t>o zavarovanje in proračune</w:t>
      </w:r>
      <w:r w:rsidRPr="00913AAB">
        <w:rPr>
          <w:rFonts w:ascii="Arial" w:hAnsi="Arial" w:cs="Arial"/>
        </w:rPr>
        <w:t xml:space="preserve"> občin. </w:t>
      </w:r>
      <w:r>
        <w:rPr>
          <w:rFonts w:ascii="Arial" w:hAnsi="Arial" w:cs="Arial"/>
        </w:rPr>
        <w:t xml:space="preserve"> </w:t>
      </w:r>
    </w:p>
    <w:p w14:paraId="164131F8" w14:textId="77777777" w:rsidR="004B7622" w:rsidRPr="00254B11" w:rsidRDefault="004B7622" w:rsidP="004B7622">
      <w:pPr>
        <w:pStyle w:val="Pripombabesedilo"/>
        <w:rPr>
          <w:rFonts w:ascii="Arial" w:hAnsi="Arial" w:cs="Arial"/>
          <w:color w:val="FF0000"/>
        </w:rPr>
      </w:pPr>
    </w:p>
    <w:p w14:paraId="5E26B9EE" w14:textId="77777777" w:rsidR="004B7622" w:rsidRPr="00A462D0" w:rsidRDefault="004B7622" w:rsidP="004B7622">
      <w:pPr>
        <w:pStyle w:val="Pripombabesedilo"/>
        <w:spacing w:line="276" w:lineRule="auto"/>
        <w:rPr>
          <w:rFonts w:ascii="Arial" w:hAnsi="Arial" w:cs="Arial"/>
        </w:rPr>
      </w:pPr>
      <w:r w:rsidRPr="00993CAB">
        <w:rPr>
          <w:rFonts w:ascii="Arial" w:hAnsi="Arial" w:cs="Arial"/>
        </w:rPr>
        <w:t xml:space="preserve">V poročilu so sicer ločeno izpostavljeni podatki, ki se nanašajo na prihodke in davčni  dolg za blagajno proračuna države, vendar neposredna primerjava teh podatkov iz zaključnega računa FURS in zaključnega računa državnega proračuna ni mogoča. Na strani prihodkov je namreč precejšen del davka iz naslova dohodnine, ki ga pobere FURS in vplača v državni proračun, zaradi sistema financiranja občin v proračunu države na kontih razreda 7 zmanjšan in so zato prihodki iz naslova dohodnine v zaključnem računu države precej nižji od dejansko pobranih s strani FURS. </w:t>
      </w:r>
      <w:r w:rsidRPr="00A462D0">
        <w:rPr>
          <w:rFonts w:ascii="Arial" w:hAnsi="Arial" w:cs="Arial"/>
        </w:rPr>
        <w:t>Ta razlika je v 2021</w:t>
      </w:r>
      <w:r w:rsidRPr="00A462D0">
        <w:rPr>
          <w:rStyle w:val="Sprotnaopomba-sklic"/>
          <w:rFonts w:ascii="Arial" w:hAnsi="Arial" w:cs="Arial"/>
        </w:rPr>
        <w:footnoteReference w:id="3"/>
      </w:r>
      <w:r w:rsidRPr="00A462D0">
        <w:rPr>
          <w:rFonts w:ascii="Arial" w:hAnsi="Arial" w:cs="Arial"/>
        </w:rPr>
        <w:t xml:space="preserve"> znašala več kot 1,3 milijarde EUR. Na drugi strani je celotni davčni dolg iz naslova dohodnine v zaključnem računu FURS izkazan v blagajni državnega proračuna. </w:t>
      </w:r>
    </w:p>
    <w:p w14:paraId="0EB7BA34" w14:textId="77777777" w:rsidR="004B7622" w:rsidRDefault="004B7622" w:rsidP="004B7622">
      <w:pPr>
        <w:pStyle w:val="Pripombabesedilo"/>
        <w:spacing w:line="276" w:lineRule="auto"/>
        <w:rPr>
          <w:rFonts w:ascii="Arial" w:hAnsi="Arial" w:cs="Arial"/>
        </w:rPr>
      </w:pPr>
    </w:p>
    <w:p w14:paraId="396F0F18" w14:textId="77777777" w:rsidR="004B7622" w:rsidRDefault="004B7622" w:rsidP="004B7622">
      <w:pPr>
        <w:rPr>
          <w:rFonts w:ascii="Arial" w:hAnsi="Arial" w:cs="Arial"/>
          <w:b/>
        </w:rPr>
      </w:pPr>
      <w:r w:rsidRPr="009235F6">
        <w:rPr>
          <w:rFonts w:ascii="Arial" w:hAnsi="Arial" w:cs="Arial"/>
          <w:b/>
          <w:sz w:val="20"/>
          <w:szCs w:val="20"/>
        </w:rPr>
        <w:t>2.</w:t>
      </w:r>
      <w:r w:rsidRPr="009235F6">
        <w:rPr>
          <w:rFonts w:ascii="Arial" w:hAnsi="Arial" w:cs="Arial"/>
          <w:b/>
          <w:sz w:val="20"/>
          <w:szCs w:val="20"/>
        </w:rPr>
        <w:tab/>
      </w:r>
      <w:r w:rsidRPr="00E8337A">
        <w:rPr>
          <w:rFonts w:ascii="Arial" w:hAnsi="Arial" w:cs="Arial"/>
          <w:b/>
        </w:rPr>
        <w:t>Pobrani prihodki</w:t>
      </w:r>
    </w:p>
    <w:p w14:paraId="74A2DA04" w14:textId="77777777" w:rsidR="004B7622" w:rsidRPr="009A018A" w:rsidRDefault="004B7622" w:rsidP="00A93392">
      <w:pPr>
        <w:jc w:val="both"/>
        <w:rPr>
          <w:rFonts w:ascii="Arial" w:hAnsi="Arial" w:cs="Arial"/>
          <w:sz w:val="20"/>
          <w:szCs w:val="20"/>
        </w:rPr>
      </w:pPr>
      <w:r w:rsidRPr="009A018A">
        <w:rPr>
          <w:rFonts w:ascii="Arial" w:hAnsi="Arial" w:cs="Arial"/>
          <w:sz w:val="20"/>
          <w:szCs w:val="20"/>
        </w:rPr>
        <w:t>FURS pobira dajatve, ki so prihodek štirih blagajn javnega financiranja, in sicer: proračuna države, Zavoda za pokojninsko in invalidsko zavarovanje, Zavoda za zdravstveno zavarovanje in proračunov občin. Prek proračuna države se del prihodkov razporeja tudi v proračun Evropske unije.</w:t>
      </w:r>
    </w:p>
    <w:p w14:paraId="0F6F0B20" w14:textId="57BCBB4E" w:rsidR="00A93392" w:rsidRDefault="004B7622" w:rsidP="00A93392">
      <w:pPr>
        <w:jc w:val="both"/>
        <w:rPr>
          <w:rFonts w:cs="Arial"/>
          <w:szCs w:val="20"/>
        </w:rPr>
      </w:pPr>
      <w:r w:rsidRPr="009A018A">
        <w:rPr>
          <w:rFonts w:ascii="Arial" w:hAnsi="Arial" w:cs="Arial"/>
          <w:sz w:val="20"/>
          <w:szCs w:val="20"/>
        </w:rPr>
        <w:t xml:space="preserve">V letu 2021 je FURS </w:t>
      </w:r>
      <w:r w:rsidRPr="002C53DC">
        <w:rPr>
          <w:rFonts w:ascii="Arial" w:hAnsi="Arial" w:cs="Arial"/>
          <w:sz w:val="20"/>
          <w:szCs w:val="20"/>
        </w:rPr>
        <w:t>pobral</w:t>
      </w:r>
      <w:r w:rsidRPr="009A018A">
        <w:rPr>
          <w:rFonts w:ascii="Arial" w:hAnsi="Arial" w:cs="Arial"/>
          <w:sz w:val="20"/>
          <w:szCs w:val="20"/>
        </w:rPr>
        <w:t xml:space="preserve"> neto 19.205.493.984 EUR prihodkov za vse štiri blagajne javnega </w:t>
      </w:r>
      <w:r w:rsidRPr="00CC6663">
        <w:rPr>
          <w:rFonts w:ascii="Arial" w:hAnsi="Arial" w:cs="Arial"/>
          <w:sz w:val="20"/>
          <w:szCs w:val="20"/>
        </w:rPr>
        <w:t xml:space="preserve">financiranja, kar je za 2.931.330.917 EUR oziroma 18 odstotkov več kot v letu </w:t>
      </w:r>
      <w:r w:rsidRPr="00A93392">
        <w:rPr>
          <w:rFonts w:ascii="Arial" w:hAnsi="Arial" w:cs="Arial"/>
          <w:sz w:val="20"/>
          <w:szCs w:val="20"/>
        </w:rPr>
        <w:t>2020.</w:t>
      </w:r>
      <w:r w:rsidR="00A93392" w:rsidRPr="00A93392">
        <w:rPr>
          <w:rFonts w:cs="Arial"/>
          <w:szCs w:val="20"/>
        </w:rPr>
        <w:t xml:space="preserve"> </w:t>
      </w:r>
      <w:r w:rsidR="00A93392" w:rsidRPr="00A93392">
        <w:rPr>
          <w:rFonts w:ascii="Arial" w:hAnsi="Arial" w:cs="Arial"/>
          <w:sz w:val="20"/>
          <w:szCs w:val="20"/>
        </w:rPr>
        <w:t>Trend zviševanja pobranih prihodkov se z izjemo »</w:t>
      </w:r>
      <w:proofErr w:type="spellStart"/>
      <w:r w:rsidR="00A93392" w:rsidRPr="00A93392">
        <w:rPr>
          <w:rFonts w:ascii="Arial" w:hAnsi="Arial" w:cs="Arial"/>
          <w:sz w:val="20"/>
          <w:szCs w:val="20"/>
        </w:rPr>
        <w:t>kovidnega</w:t>
      </w:r>
      <w:proofErr w:type="spellEnd"/>
      <w:r w:rsidR="00A93392" w:rsidRPr="00A93392">
        <w:rPr>
          <w:rFonts w:ascii="Arial" w:hAnsi="Arial" w:cs="Arial"/>
          <w:sz w:val="20"/>
          <w:szCs w:val="20"/>
        </w:rPr>
        <w:t>« leta 2020, nadaljuje že osem let, od ustanovitve FURS v letu 2014, skupni prirast prihodkov znaša 5.594.024.607 EUR oziroma 41,1 odstotka.</w:t>
      </w:r>
    </w:p>
    <w:p w14:paraId="678AA9FD" w14:textId="64E8CB10" w:rsidR="004B7622" w:rsidRDefault="004B7622" w:rsidP="004B7622">
      <w:pPr>
        <w:jc w:val="both"/>
        <w:rPr>
          <w:rFonts w:ascii="Arial" w:hAnsi="Arial" w:cs="Arial"/>
          <w:sz w:val="20"/>
          <w:szCs w:val="20"/>
        </w:rPr>
      </w:pPr>
      <w:r w:rsidRPr="00CC6663">
        <w:rPr>
          <w:rFonts w:ascii="Arial" w:hAnsi="Arial" w:cs="Arial"/>
          <w:sz w:val="20"/>
          <w:szCs w:val="20"/>
        </w:rPr>
        <w:t>Če bi k pobranim javnofinančnim prihodkom v letu 2020 prišteli tudi znesek oproščenih prispevkov za socialno varnost v znesku 607.639.851 EUR, ki jih je državni proračun na podlagi Zakona o interventnih ukrepih za zajezitev epidemije COVID-19 in omilitev njenih posledic za državljane in gospodarstvo (ZIUZEOP)</w:t>
      </w:r>
      <w:r w:rsidRPr="00CC6663">
        <w:rPr>
          <w:rStyle w:val="Sprotnaopomba-sklic"/>
          <w:rFonts w:ascii="Arial" w:hAnsi="Arial" w:cs="Arial"/>
          <w:sz w:val="20"/>
          <w:szCs w:val="20"/>
        </w:rPr>
        <w:footnoteReference w:id="4"/>
      </w:r>
      <w:r w:rsidRPr="00CC6663">
        <w:rPr>
          <w:rFonts w:ascii="Arial" w:hAnsi="Arial" w:cs="Arial"/>
          <w:sz w:val="20"/>
          <w:szCs w:val="20"/>
        </w:rPr>
        <w:t xml:space="preserve"> v času spomladanske epidemije poravnal »mimo« FURS neposredno javnofinančni blagajni ZZZS, ZPIZ ali državnemu proračunu, bi prihodki v letu 2020 znašali 16.881.802.918 EUR. V letu 2021 bi bila tako realizacija prihodkov FURS v primerjavi z letom 2020 višja za  2.323.691.066 EUR oziroma 13,8 odstotkov.</w:t>
      </w:r>
    </w:p>
    <w:p w14:paraId="1947D8B9" w14:textId="7C413CAF" w:rsidR="00A93392" w:rsidRDefault="00A93392" w:rsidP="004B7622">
      <w:pPr>
        <w:jc w:val="both"/>
        <w:rPr>
          <w:rFonts w:ascii="Arial" w:hAnsi="Arial" w:cs="Arial"/>
          <w:sz w:val="20"/>
          <w:szCs w:val="20"/>
        </w:rPr>
      </w:pPr>
    </w:p>
    <w:p w14:paraId="6DC1FA03" w14:textId="45A1296B" w:rsidR="002317DA" w:rsidRDefault="002317DA" w:rsidP="004B7622">
      <w:pPr>
        <w:jc w:val="both"/>
        <w:rPr>
          <w:rFonts w:ascii="Arial" w:hAnsi="Arial" w:cs="Arial"/>
          <w:sz w:val="20"/>
          <w:szCs w:val="20"/>
        </w:rPr>
      </w:pPr>
    </w:p>
    <w:p w14:paraId="52BED01A" w14:textId="7D42544D" w:rsidR="002317DA" w:rsidRDefault="002317DA" w:rsidP="004B7622">
      <w:pPr>
        <w:jc w:val="both"/>
        <w:rPr>
          <w:rFonts w:ascii="Arial" w:hAnsi="Arial" w:cs="Arial"/>
          <w:sz w:val="20"/>
          <w:szCs w:val="20"/>
        </w:rPr>
      </w:pPr>
    </w:p>
    <w:p w14:paraId="74A90C86" w14:textId="77777777" w:rsidR="002317DA" w:rsidRPr="009A018A" w:rsidRDefault="002317DA" w:rsidP="004B7622">
      <w:pPr>
        <w:jc w:val="both"/>
        <w:rPr>
          <w:rFonts w:ascii="Arial" w:hAnsi="Arial" w:cs="Arial"/>
          <w:sz w:val="20"/>
          <w:szCs w:val="20"/>
        </w:rPr>
      </w:pPr>
      <w:bookmarkStart w:id="1" w:name="_GoBack"/>
      <w:bookmarkEnd w:id="1"/>
    </w:p>
    <w:p w14:paraId="4DA8302B" w14:textId="77777777" w:rsidR="004B7622" w:rsidRDefault="004B7622" w:rsidP="004B7622">
      <w:pPr>
        <w:jc w:val="both"/>
        <w:rPr>
          <w:rFonts w:ascii="Arial" w:hAnsi="Arial" w:cs="Arial"/>
          <w:i/>
          <w:sz w:val="20"/>
          <w:szCs w:val="20"/>
        </w:rPr>
      </w:pPr>
      <w:r w:rsidRPr="009A018A">
        <w:rPr>
          <w:rFonts w:ascii="Arial" w:hAnsi="Arial" w:cs="Arial"/>
          <w:i/>
          <w:sz w:val="20"/>
          <w:szCs w:val="20"/>
        </w:rPr>
        <w:lastRenderedPageBreak/>
        <w:t>Preglednica 1: Pobrani prihodki po javnofinančnih blagajnah v EUR</w:t>
      </w:r>
    </w:p>
    <w:tbl>
      <w:tblPr>
        <w:tblW w:w="8874" w:type="dxa"/>
        <w:tblCellMar>
          <w:left w:w="70" w:type="dxa"/>
          <w:right w:w="70" w:type="dxa"/>
        </w:tblCellMar>
        <w:tblLook w:val="04A0" w:firstRow="1" w:lastRow="0" w:firstColumn="1" w:lastColumn="0" w:noHBand="0" w:noVBand="1"/>
      </w:tblPr>
      <w:tblGrid>
        <w:gridCol w:w="2085"/>
        <w:gridCol w:w="1651"/>
        <w:gridCol w:w="1073"/>
        <w:gridCol w:w="1651"/>
        <w:gridCol w:w="1073"/>
        <w:gridCol w:w="1341"/>
      </w:tblGrid>
      <w:tr w:rsidR="004B7622" w:rsidRPr="00104B6C" w14:paraId="445EA48B" w14:textId="77777777" w:rsidTr="00377989">
        <w:trPr>
          <w:trHeight w:val="515"/>
        </w:trPr>
        <w:tc>
          <w:tcPr>
            <w:tcW w:w="2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CB29E" w14:textId="77777777" w:rsidR="004B7622" w:rsidRPr="00104B6C" w:rsidRDefault="004B7622" w:rsidP="00377989">
            <w:pPr>
              <w:spacing w:after="0" w:line="240" w:lineRule="auto"/>
              <w:jc w:val="center"/>
              <w:rPr>
                <w:rFonts w:ascii="Arial" w:eastAsia="Times New Roman" w:hAnsi="Arial" w:cs="Arial"/>
                <w:b/>
                <w:bCs/>
                <w:color w:val="000000"/>
                <w:sz w:val="18"/>
                <w:szCs w:val="18"/>
                <w:lang w:eastAsia="sl-SI"/>
              </w:rPr>
            </w:pPr>
            <w:r w:rsidRPr="00104B6C">
              <w:rPr>
                <w:rFonts w:ascii="Arial" w:eastAsia="Times New Roman" w:hAnsi="Arial" w:cs="Arial"/>
                <w:b/>
                <w:bCs/>
                <w:color w:val="000000"/>
                <w:sz w:val="18"/>
                <w:szCs w:val="18"/>
                <w:lang w:eastAsia="sl-SI"/>
              </w:rPr>
              <w:t>Prejemniki sredstev</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416D3ECD" w14:textId="77777777" w:rsidR="004B7622" w:rsidRPr="00104B6C" w:rsidRDefault="004B7622" w:rsidP="00377989">
            <w:pPr>
              <w:spacing w:after="0" w:line="240" w:lineRule="auto"/>
              <w:jc w:val="center"/>
              <w:rPr>
                <w:rFonts w:ascii="Arial" w:eastAsia="Times New Roman" w:hAnsi="Arial" w:cs="Arial"/>
                <w:b/>
                <w:bCs/>
                <w:color w:val="000000"/>
                <w:sz w:val="18"/>
                <w:szCs w:val="18"/>
                <w:lang w:eastAsia="sl-SI"/>
              </w:rPr>
            </w:pPr>
            <w:r w:rsidRPr="00104B6C">
              <w:rPr>
                <w:rFonts w:ascii="Arial" w:eastAsia="Times New Roman" w:hAnsi="Arial" w:cs="Arial"/>
                <w:b/>
                <w:bCs/>
                <w:color w:val="000000"/>
                <w:sz w:val="18"/>
                <w:szCs w:val="18"/>
                <w:lang w:eastAsia="sl-SI"/>
              </w:rPr>
              <w:t>JANUAR - DECEMBER  2021</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170F0B6D" w14:textId="77777777" w:rsidR="004B7622" w:rsidRPr="00104B6C" w:rsidRDefault="004B7622" w:rsidP="00377989">
            <w:pPr>
              <w:spacing w:after="0" w:line="240" w:lineRule="auto"/>
              <w:jc w:val="center"/>
              <w:rPr>
                <w:rFonts w:ascii="Arial" w:eastAsia="Times New Roman" w:hAnsi="Arial" w:cs="Arial"/>
                <w:b/>
                <w:bCs/>
                <w:color w:val="000000"/>
                <w:sz w:val="18"/>
                <w:szCs w:val="18"/>
                <w:lang w:eastAsia="sl-SI"/>
              </w:rPr>
            </w:pPr>
            <w:r w:rsidRPr="00104B6C">
              <w:rPr>
                <w:rFonts w:ascii="Arial" w:eastAsia="Times New Roman" w:hAnsi="Arial" w:cs="Arial"/>
                <w:b/>
                <w:bCs/>
                <w:color w:val="000000"/>
                <w:sz w:val="18"/>
                <w:szCs w:val="18"/>
                <w:lang w:eastAsia="sl-SI"/>
              </w:rPr>
              <w:t>Struktura v  %</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37361CFB" w14:textId="77777777" w:rsidR="004B7622" w:rsidRPr="00104B6C" w:rsidRDefault="004B7622" w:rsidP="00377989">
            <w:pPr>
              <w:spacing w:after="0" w:line="240" w:lineRule="auto"/>
              <w:jc w:val="center"/>
              <w:rPr>
                <w:rFonts w:ascii="Arial" w:eastAsia="Times New Roman" w:hAnsi="Arial" w:cs="Arial"/>
                <w:b/>
                <w:bCs/>
                <w:color w:val="000000"/>
                <w:sz w:val="18"/>
                <w:szCs w:val="18"/>
                <w:lang w:eastAsia="sl-SI"/>
              </w:rPr>
            </w:pPr>
            <w:r w:rsidRPr="00104B6C">
              <w:rPr>
                <w:rFonts w:ascii="Arial" w:eastAsia="Times New Roman" w:hAnsi="Arial" w:cs="Arial"/>
                <w:b/>
                <w:bCs/>
                <w:color w:val="000000"/>
                <w:sz w:val="18"/>
                <w:szCs w:val="18"/>
                <w:lang w:eastAsia="sl-SI"/>
              </w:rPr>
              <w:t>JANUAR - DECEMBER  2020</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32028E7E" w14:textId="77777777" w:rsidR="004B7622" w:rsidRPr="00104B6C" w:rsidRDefault="004B7622" w:rsidP="00377989">
            <w:pPr>
              <w:spacing w:after="0" w:line="240" w:lineRule="auto"/>
              <w:jc w:val="center"/>
              <w:rPr>
                <w:rFonts w:ascii="Arial" w:eastAsia="Times New Roman" w:hAnsi="Arial" w:cs="Arial"/>
                <w:b/>
                <w:bCs/>
                <w:color w:val="000000"/>
                <w:sz w:val="18"/>
                <w:szCs w:val="18"/>
                <w:lang w:eastAsia="sl-SI"/>
              </w:rPr>
            </w:pPr>
            <w:r w:rsidRPr="00104B6C">
              <w:rPr>
                <w:rFonts w:ascii="Arial" w:eastAsia="Times New Roman" w:hAnsi="Arial" w:cs="Arial"/>
                <w:b/>
                <w:bCs/>
                <w:color w:val="000000"/>
                <w:sz w:val="18"/>
                <w:szCs w:val="18"/>
                <w:lang w:eastAsia="sl-SI"/>
              </w:rPr>
              <w:t>Struktura v %</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14:paraId="2721524A" w14:textId="77777777" w:rsidR="004B7622" w:rsidRPr="00104B6C" w:rsidRDefault="004B7622" w:rsidP="00377989">
            <w:pPr>
              <w:spacing w:after="0" w:line="240" w:lineRule="auto"/>
              <w:jc w:val="center"/>
              <w:rPr>
                <w:rFonts w:ascii="Arial" w:eastAsia="Times New Roman" w:hAnsi="Arial" w:cs="Arial"/>
                <w:b/>
                <w:bCs/>
                <w:color w:val="000000"/>
                <w:sz w:val="18"/>
                <w:szCs w:val="18"/>
                <w:lang w:eastAsia="sl-SI"/>
              </w:rPr>
            </w:pPr>
            <w:r w:rsidRPr="00104B6C">
              <w:rPr>
                <w:rFonts w:ascii="Arial" w:eastAsia="Times New Roman" w:hAnsi="Arial" w:cs="Arial"/>
                <w:b/>
                <w:bCs/>
                <w:color w:val="000000"/>
                <w:sz w:val="18"/>
                <w:szCs w:val="18"/>
                <w:lang w:eastAsia="sl-SI"/>
              </w:rPr>
              <w:t>IND         2021/2020</w:t>
            </w:r>
          </w:p>
        </w:tc>
      </w:tr>
      <w:tr w:rsidR="004B7622" w:rsidRPr="00104B6C" w14:paraId="6B585B95" w14:textId="77777777" w:rsidTr="00377989">
        <w:trPr>
          <w:trHeight w:val="216"/>
        </w:trPr>
        <w:tc>
          <w:tcPr>
            <w:tcW w:w="2085" w:type="dxa"/>
            <w:tcBorders>
              <w:top w:val="nil"/>
              <w:left w:val="single" w:sz="4" w:space="0" w:color="auto"/>
              <w:bottom w:val="single" w:sz="4" w:space="0" w:color="auto"/>
              <w:right w:val="single" w:sz="4" w:space="0" w:color="auto"/>
            </w:tcBorders>
            <w:shd w:val="clear" w:color="000000" w:fill="FFFFFF"/>
            <w:vAlign w:val="center"/>
            <w:hideMark/>
          </w:tcPr>
          <w:p w14:paraId="7DDB4328" w14:textId="77777777" w:rsidR="004B7622" w:rsidRPr="00104B6C" w:rsidRDefault="004B7622" w:rsidP="00377989">
            <w:pPr>
              <w:spacing w:after="0" w:line="240" w:lineRule="auto"/>
              <w:rPr>
                <w:rFonts w:ascii="Arial" w:eastAsia="Times New Roman" w:hAnsi="Arial" w:cs="Arial"/>
                <w:color w:val="000000"/>
                <w:sz w:val="18"/>
                <w:szCs w:val="18"/>
                <w:lang w:eastAsia="sl-SI"/>
              </w:rPr>
            </w:pPr>
            <w:r w:rsidRPr="00104B6C">
              <w:rPr>
                <w:rFonts w:ascii="Arial" w:eastAsia="Times New Roman" w:hAnsi="Arial" w:cs="Arial"/>
                <w:color w:val="000000"/>
                <w:sz w:val="18"/>
                <w:szCs w:val="18"/>
                <w:lang w:eastAsia="sl-SI"/>
              </w:rPr>
              <w:t>Država</w:t>
            </w:r>
          </w:p>
        </w:tc>
        <w:tc>
          <w:tcPr>
            <w:tcW w:w="1651" w:type="dxa"/>
            <w:tcBorders>
              <w:top w:val="nil"/>
              <w:left w:val="nil"/>
              <w:bottom w:val="single" w:sz="4" w:space="0" w:color="auto"/>
              <w:right w:val="single" w:sz="4" w:space="0" w:color="auto"/>
            </w:tcBorders>
            <w:shd w:val="clear" w:color="auto" w:fill="auto"/>
            <w:noWrap/>
            <w:vAlign w:val="center"/>
            <w:hideMark/>
          </w:tcPr>
          <w:p w14:paraId="5FAC4D7D" w14:textId="77777777" w:rsidR="004B7622" w:rsidRPr="00104B6C" w:rsidRDefault="004B7622" w:rsidP="00377989">
            <w:pPr>
              <w:spacing w:after="0" w:line="240" w:lineRule="auto"/>
              <w:jc w:val="right"/>
              <w:rPr>
                <w:rFonts w:ascii="Arial" w:eastAsia="Times New Roman" w:hAnsi="Arial" w:cs="Arial"/>
                <w:color w:val="000000"/>
                <w:sz w:val="18"/>
                <w:szCs w:val="18"/>
                <w:lang w:eastAsia="sl-SI"/>
              </w:rPr>
            </w:pPr>
            <w:r w:rsidRPr="00104B6C">
              <w:rPr>
                <w:rFonts w:ascii="Arial" w:eastAsia="Times New Roman" w:hAnsi="Arial" w:cs="Arial"/>
                <w:color w:val="000000"/>
                <w:sz w:val="18"/>
                <w:szCs w:val="18"/>
                <w:lang w:eastAsia="sl-SI"/>
              </w:rPr>
              <w:t>10.468.049.930</w:t>
            </w:r>
          </w:p>
        </w:tc>
        <w:tc>
          <w:tcPr>
            <w:tcW w:w="1073" w:type="dxa"/>
            <w:tcBorders>
              <w:top w:val="nil"/>
              <w:left w:val="nil"/>
              <w:bottom w:val="single" w:sz="4" w:space="0" w:color="auto"/>
              <w:right w:val="single" w:sz="4" w:space="0" w:color="auto"/>
            </w:tcBorders>
            <w:shd w:val="clear" w:color="auto" w:fill="auto"/>
            <w:noWrap/>
            <w:vAlign w:val="center"/>
            <w:hideMark/>
          </w:tcPr>
          <w:p w14:paraId="7025AD44" w14:textId="77777777" w:rsidR="004B7622" w:rsidRPr="00104B6C" w:rsidRDefault="004B7622" w:rsidP="00377989">
            <w:pPr>
              <w:spacing w:after="0" w:line="240" w:lineRule="auto"/>
              <w:jc w:val="center"/>
              <w:rPr>
                <w:rFonts w:ascii="Arial" w:eastAsia="Times New Roman" w:hAnsi="Arial" w:cs="Arial"/>
                <w:color w:val="000000"/>
                <w:sz w:val="18"/>
                <w:szCs w:val="18"/>
                <w:lang w:eastAsia="sl-SI"/>
              </w:rPr>
            </w:pPr>
            <w:r w:rsidRPr="00104B6C">
              <w:rPr>
                <w:rFonts w:ascii="Arial" w:eastAsia="Times New Roman" w:hAnsi="Arial" w:cs="Arial"/>
                <w:color w:val="000000"/>
                <w:sz w:val="18"/>
                <w:szCs w:val="18"/>
                <w:lang w:eastAsia="sl-SI"/>
              </w:rPr>
              <w:t>54,5</w:t>
            </w:r>
          </w:p>
        </w:tc>
        <w:tc>
          <w:tcPr>
            <w:tcW w:w="1651" w:type="dxa"/>
            <w:tcBorders>
              <w:top w:val="nil"/>
              <w:left w:val="nil"/>
              <w:bottom w:val="single" w:sz="4" w:space="0" w:color="auto"/>
              <w:right w:val="single" w:sz="4" w:space="0" w:color="auto"/>
            </w:tcBorders>
            <w:shd w:val="clear" w:color="auto" w:fill="auto"/>
            <w:noWrap/>
            <w:vAlign w:val="center"/>
            <w:hideMark/>
          </w:tcPr>
          <w:p w14:paraId="70750961" w14:textId="77777777" w:rsidR="004B7622" w:rsidRPr="00104B6C" w:rsidRDefault="004B7622" w:rsidP="00377989">
            <w:pPr>
              <w:spacing w:after="0" w:line="240" w:lineRule="auto"/>
              <w:jc w:val="right"/>
              <w:rPr>
                <w:rFonts w:ascii="Arial" w:eastAsia="Times New Roman" w:hAnsi="Arial" w:cs="Arial"/>
                <w:color w:val="000000"/>
                <w:sz w:val="18"/>
                <w:szCs w:val="18"/>
                <w:lang w:eastAsia="sl-SI"/>
              </w:rPr>
            </w:pPr>
            <w:r w:rsidRPr="00104B6C">
              <w:rPr>
                <w:rFonts w:ascii="Arial" w:eastAsia="Times New Roman" w:hAnsi="Arial" w:cs="Arial"/>
                <w:color w:val="000000"/>
                <w:sz w:val="18"/>
                <w:szCs w:val="18"/>
                <w:lang w:eastAsia="sl-SI"/>
              </w:rPr>
              <w:t>8.793.447.613</w:t>
            </w:r>
          </w:p>
        </w:tc>
        <w:tc>
          <w:tcPr>
            <w:tcW w:w="1073" w:type="dxa"/>
            <w:tcBorders>
              <w:top w:val="nil"/>
              <w:left w:val="nil"/>
              <w:bottom w:val="single" w:sz="4" w:space="0" w:color="auto"/>
              <w:right w:val="single" w:sz="4" w:space="0" w:color="auto"/>
            </w:tcBorders>
            <w:shd w:val="clear" w:color="auto" w:fill="auto"/>
            <w:noWrap/>
            <w:vAlign w:val="center"/>
            <w:hideMark/>
          </w:tcPr>
          <w:p w14:paraId="54F5BBDC" w14:textId="77777777" w:rsidR="004B7622" w:rsidRPr="00104B6C" w:rsidRDefault="004B7622" w:rsidP="00377989">
            <w:pPr>
              <w:spacing w:after="0" w:line="240" w:lineRule="auto"/>
              <w:jc w:val="center"/>
              <w:rPr>
                <w:rFonts w:ascii="Arial" w:eastAsia="Times New Roman" w:hAnsi="Arial" w:cs="Arial"/>
                <w:color w:val="000000"/>
                <w:sz w:val="18"/>
                <w:szCs w:val="18"/>
                <w:lang w:eastAsia="sl-SI"/>
              </w:rPr>
            </w:pPr>
            <w:r w:rsidRPr="00104B6C">
              <w:rPr>
                <w:rFonts w:ascii="Arial" w:eastAsia="Times New Roman" w:hAnsi="Arial" w:cs="Arial"/>
                <w:color w:val="000000"/>
                <w:sz w:val="18"/>
                <w:szCs w:val="18"/>
                <w:lang w:eastAsia="sl-SI"/>
              </w:rPr>
              <w:t>54,0</w:t>
            </w:r>
          </w:p>
        </w:tc>
        <w:tc>
          <w:tcPr>
            <w:tcW w:w="1341" w:type="dxa"/>
            <w:tcBorders>
              <w:top w:val="nil"/>
              <w:left w:val="nil"/>
              <w:bottom w:val="single" w:sz="4" w:space="0" w:color="auto"/>
              <w:right w:val="single" w:sz="4" w:space="0" w:color="auto"/>
            </w:tcBorders>
            <w:shd w:val="clear" w:color="auto" w:fill="auto"/>
            <w:noWrap/>
            <w:vAlign w:val="center"/>
            <w:hideMark/>
          </w:tcPr>
          <w:p w14:paraId="7234B6DE" w14:textId="77777777" w:rsidR="004B7622" w:rsidRPr="00104B6C" w:rsidRDefault="004B7622" w:rsidP="00377989">
            <w:pPr>
              <w:spacing w:after="0" w:line="240" w:lineRule="auto"/>
              <w:jc w:val="right"/>
              <w:rPr>
                <w:rFonts w:ascii="Arial" w:eastAsia="Times New Roman" w:hAnsi="Arial" w:cs="Arial"/>
                <w:color w:val="000000"/>
                <w:sz w:val="18"/>
                <w:szCs w:val="18"/>
                <w:lang w:eastAsia="sl-SI"/>
              </w:rPr>
            </w:pPr>
            <w:r w:rsidRPr="00104B6C">
              <w:rPr>
                <w:rFonts w:ascii="Arial" w:eastAsia="Times New Roman" w:hAnsi="Arial" w:cs="Arial"/>
                <w:color w:val="000000"/>
                <w:sz w:val="18"/>
                <w:szCs w:val="18"/>
                <w:lang w:eastAsia="sl-SI"/>
              </w:rPr>
              <w:t>119,0</w:t>
            </w:r>
          </w:p>
        </w:tc>
      </w:tr>
      <w:tr w:rsidR="004B7622" w:rsidRPr="00104B6C" w14:paraId="1350CCF7" w14:textId="77777777" w:rsidTr="00377989">
        <w:trPr>
          <w:trHeight w:val="216"/>
        </w:trPr>
        <w:tc>
          <w:tcPr>
            <w:tcW w:w="2085" w:type="dxa"/>
            <w:tcBorders>
              <w:top w:val="nil"/>
              <w:left w:val="single" w:sz="4" w:space="0" w:color="auto"/>
              <w:bottom w:val="single" w:sz="4" w:space="0" w:color="auto"/>
              <w:right w:val="single" w:sz="4" w:space="0" w:color="auto"/>
            </w:tcBorders>
            <w:shd w:val="clear" w:color="000000" w:fill="FFFFFF"/>
            <w:vAlign w:val="center"/>
            <w:hideMark/>
          </w:tcPr>
          <w:p w14:paraId="37BE4390" w14:textId="77777777" w:rsidR="004B7622" w:rsidRPr="00104B6C" w:rsidRDefault="004B7622" w:rsidP="00377989">
            <w:pPr>
              <w:spacing w:after="0" w:line="240" w:lineRule="auto"/>
              <w:rPr>
                <w:rFonts w:ascii="Arial" w:eastAsia="Times New Roman" w:hAnsi="Arial" w:cs="Arial"/>
                <w:color w:val="000000"/>
                <w:sz w:val="18"/>
                <w:szCs w:val="18"/>
                <w:lang w:eastAsia="sl-SI"/>
              </w:rPr>
            </w:pPr>
            <w:r w:rsidRPr="00104B6C">
              <w:rPr>
                <w:rFonts w:ascii="Arial" w:eastAsia="Times New Roman" w:hAnsi="Arial" w:cs="Arial"/>
                <w:color w:val="000000"/>
                <w:sz w:val="18"/>
                <w:szCs w:val="18"/>
                <w:lang w:eastAsia="sl-SI"/>
              </w:rPr>
              <w:t>ZPIZ</w:t>
            </w:r>
          </w:p>
        </w:tc>
        <w:tc>
          <w:tcPr>
            <w:tcW w:w="1651" w:type="dxa"/>
            <w:tcBorders>
              <w:top w:val="nil"/>
              <w:left w:val="nil"/>
              <w:bottom w:val="single" w:sz="4" w:space="0" w:color="auto"/>
              <w:right w:val="single" w:sz="4" w:space="0" w:color="auto"/>
            </w:tcBorders>
            <w:shd w:val="clear" w:color="auto" w:fill="auto"/>
            <w:noWrap/>
            <w:vAlign w:val="center"/>
            <w:hideMark/>
          </w:tcPr>
          <w:p w14:paraId="1932BC76" w14:textId="77777777" w:rsidR="004B7622" w:rsidRPr="00104B6C" w:rsidRDefault="004B7622" w:rsidP="00377989">
            <w:pPr>
              <w:spacing w:after="0" w:line="240" w:lineRule="auto"/>
              <w:jc w:val="right"/>
              <w:rPr>
                <w:rFonts w:ascii="Arial" w:eastAsia="Times New Roman" w:hAnsi="Arial" w:cs="Arial"/>
                <w:color w:val="000000"/>
                <w:sz w:val="18"/>
                <w:szCs w:val="18"/>
                <w:lang w:eastAsia="sl-SI"/>
              </w:rPr>
            </w:pPr>
            <w:r w:rsidRPr="00104B6C">
              <w:rPr>
                <w:rFonts w:ascii="Arial" w:eastAsia="Times New Roman" w:hAnsi="Arial" w:cs="Arial"/>
                <w:color w:val="000000"/>
                <w:sz w:val="18"/>
                <w:szCs w:val="18"/>
                <w:lang w:eastAsia="sl-SI"/>
              </w:rPr>
              <w:t>5.086.402.473</w:t>
            </w:r>
          </w:p>
        </w:tc>
        <w:tc>
          <w:tcPr>
            <w:tcW w:w="1073" w:type="dxa"/>
            <w:tcBorders>
              <w:top w:val="nil"/>
              <w:left w:val="nil"/>
              <w:bottom w:val="single" w:sz="4" w:space="0" w:color="auto"/>
              <w:right w:val="single" w:sz="4" w:space="0" w:color="auto"/>
            </w:tcBorders>
            <w:shd w:val="clear" w:color="auto" w:fill="auto"/>
            <w:noWrap/>
            <w:vAlign w:val="center"/>
            <w:hideMark/>
          </w:tcPr>
          <w:p w14:paraId="4A74C9D7" w14:textId="77777777" w:rsidR="004B7622" w:rsidRPr="00104B6C" w:rsidRDefault="004B7622" w:rsidP="00377989">
            <w:pPr>
              <w:spacing w:after="0" w:line="240" w:lineRule="auto"/>
              <w:jc w:val="center"/>
              <w:rPr>
                <w:rFonts w:ascii="Arial" w:eastAsia="Times New Roman" w:hAnsi="Arial" w:cs="Arial"/>
                <w:color w:val="000000"/>
                <w:sz w:val="18"/>
                <w:szCs w:val="18"/>
                <w:lang w:eastAsia="sl-SI"/>
              </w:rPr>
            </w:pPr>
            <w:r w:rsidRPr="00104B6C">
              <w:rPr>
                <w:rFonts w:ascii="Arial" w:eastAsia="Times New Roman" w:hAnsi="Arial" w:cs="Arial"/>
                <w:color w:val="000000"/>
                <w:sz w:val="18"/>
                <w:szCs w:val="18"/>
                <w:lang w:eastAsia="sl-SI"/>
              </w:rPr>
              <w:t>26,5</w:t>
            </w:r>
          </w:p>
        </w:tc>
        <w:tc>
          <w:tcPr>
            <w:tcW w:w="1651" w:type="dxa"/>
            <w:tcBorders>
              <w:top w:val="nil"/>
              <w:left w:val="nil"/>
              <w:bottom w:val="single" w:sz="4" w:space="0" w:color="auto"/>
              <w:right w:val="single" w:sz="4" w:space="0" w:color="auto"/>
            </w:tcBorders>
            <w:shd w:val="clear" w:color="auto" w:fill="auto"/>
            <w:noWrap/>
            <w:vAlign w:val="center"/>
            <w:hideMark/>
          </w:tcPr>
          <w:p w14:paraId="7D70282D" w14:textId="77777777" w:rsidR="004B7622" w:rsidRPr="00104B6C" w:rsidRDefault="004B7622" w:rsidP="00377989">
            <w:pPr>
              <w:spacing w:after="0" w:line="240" w:lineRule="auto"/>
              <w:jc w:val="right"/>
              <w:rPr>
                <w:rFonts w:ascii="Arial" w:eastAsia="Times New Roman" w:hAnsi="Arial" w:cs="Arial"/>
                <w:color w:val="000000"/>
                <w:sz w:val="18"/>
                <w:szCs w:val="18"/>
                <w:lang w:eastAsia="sl-SI"/>
              </w:rPr>
            </w:pPr>
            <w:r w:rsidRPr="00104B6C">
              <w:rPr>
                <w:rFonts w:ascii="Arial" w:eastAsia="Times New Roman" w:hAnsi="Arial" w:cs="Arial"/>
                <w:color w:val="000000"/>
                <w:sz w:val="18"/>
                <w:szCs w:val="18"/>
                <w:lang w:eastAsia="sl-SI"/>
              </w:rPr>
              <w:t>4.144.858.576</w:t>
            </w:r>
          </w:p>
        </w:tc>
        <w:tc>
          <w:tcPr>
            <w:tcW w:w="1073" w:type="dxa"/>
            <w:tcBorders>
              <w:top w:val="nil"/>
              <w:left w:val="nil"/>
              <w:bottom w:val="single" w:sz="4" w:space="0" w:color="auto"/>
              <w:right w:val="single" w:sz="4" w:space="0" w:color="auto"/>
            </w:tcBorders>
            <w:shd w:val="clear" w:color="auto" w:fill="auto"/>
            <w:noWrap/>
            <w:vAlign w:val="center"/>
            <w:hideMark/>
          </w:tcPr>
          <w:p w14:paraId="52C235D7" w14:textId="77777777" w:rsidR="004B7622" w:rsidRPr="00104B6C" w:rsidRDefault="004B7622" w:rsidP="00377989">
            <w:pPr>
              <w:spacing w:after="0" w:line="240" w:lineRule="auto"/>
              <w:jc w:val="center"/>
              <w:rPr>
                <w:rFonts w:ascii="Arial" w:eastAsia="Times New Roman" w:hAnsi="Arial" w:cs="Arial"/>
                <w:color w:val="000000"/>
                <w:sz w:val="18"/>
                <w:szCs w:val="18"/>
                <w:lang w:eastAsia="sl-SI"/>
              </w:rPr>
            </w:pPr>
            <w:r w:rsidRPr="00104B6C">
              <w:rPr>
                <w:rFonts w:ascii="Arial" w:eastAsia="Times New Roman" w:hAnsi="Arial" w:cs="Arial"/>
                <w:color w:val="000000"/>
                <w:sz w:val="18"/>
                <w:szCs w:val="18"/>
                <w:lang w:eastAsia="sl-SI"/>
              </w:rPr>
              <w:t>25,5</w:t>
            </w:r>
          </w:p>
        </w:tc>
        <w:tc>
          <w:tcPr>
            <w:tcW w:w="1341" w:type="dxa"/>
            <w:tcBorders>
              <w:top w:val="nil"/>
              <w:left w:val="nil"/>
              <w:bottom w:val="single" w:sz="4" w:space="0" w:color="auto"/>
              <w:right w:val="single" w:sz="4" w:space="0" w:color="auto"/>
            </w:tcBorders>
            <w:shd w:val="clear" w:color="auto" w:fill="auto"/>
            <w:noWrap/>
            <w:vAlign w:val="center"/>
            <w:hideMark/>
          </w:tcPr>
          <w:p w14:paraId="7F985DBB" w14:textId="77777777" w:rsidR="004B7622" w:rsidRPr="00104B6C" w:rsidRDefault="004B7622" w:rsidP="00377989">
            <w:pPr>
              <w:spacing w:after="0" w:line="240" w:lineRule="auto"/>
              <w:jc w:val="right"/>
              <w:rPr>
                <w:rFonts w:ascii="Arial" w:eastAsia="Times New Roman" w:hAnsi="Arial" w:cs="Arial"/>
                <w:color w:val="000000"/>
                <w:sz w:val="18"/>
                <w:szCs w:val="18"/>
                <w:lang w:eastAsia="sl-SI"/>
              </w:rPr>
            </w:pPr>
            <w:r w:rsidRPr="00104B6C">
              <w:rPr>
                <w:rFonts w:ascii="Arial" w:eastAsia="Times New Roman" w:hAnsi="Arial" w:cs="Arial"/>
                <w:color w:val="000000"/>
                <w:sz w:val="18"/>
                <w:szCs w:val="18"/>
                <w:lang w:eastAsia="sl-SI"/>
              </w:rPr>
              <w:t>122,7</w:t>
            </w:r>
          </w:p>
        </w:tc>
      </w:tr>
      <w:tr w:rsidR="004B7622" w:rsidRPr="00104B6C" w14:paraId="0162C1B1" w14:textId="77777777" w:rsidTr="00377989">
        <w:trPr>
          <w:trHeight w:val="216"/>
        </w:trPr>
        <w:tc>
          <w:tcPr>
            <w:tcW w:w="2085" w:type="dxa"/>
            <w:tcBorders>
              <w:top w:val="nil"/>
              <w:left w:val="single" w:sz="4" w:space="0" w:color="auto"/>
              <w:bottom w:val="single" w:sz="4" w:space="0" w:color="auto"/>
              <w:right w:val="single" w:sz="4" w:space="0" w:color="auto"/>
            </w:tcBorders>
            <w:shd w:val="clear" w:color="000000" w:fill="FFFFFF"/>
            <w:vAlign w:val="center"/>
            <w:hideMark/>
          </w:tcPr>
          <w:p w14:paraId="1DD3E74A" w14:textId="77777777" w:rsidR="004B7622" w:rsidRPr="00104B6C" w:rsidRDefault="004B7622" w:rsidP="00377989">
            <w:pPr>
              <w:spacing w:after="0" w:line="240" w:lineRule="auto"/>
              <w:rPr>
                <w:rFonts w:ascii="Arial" w:eastAsia="Times New Roman" w:hAnsi="Arial" w:cs="Arial"/>
                <w:color w:val="000000"/>
                <w:sz w:val="18"/>
                <w:szCs w:val="18"/>
                <w:lang w:eastAsia="sl-SI"/>
              </w:rPr>
            </w:pPr>
            <w:r w:rsidRPr="00104B6C">
              <w:rPr>
                <w:rFonts w:ascii="Arial" w:eastAsia="Times New Roman" w:hAnsi="Arial" w:cs="Arial"/>
                <w:color w:val="000000"/>
                <w:sz w:val="18"/>
                <w:szCs w:val="18"/>
                <w:lang w:eastAsia="sl-SI"/>
              </w:rPr>
              <w:t>ZZZS</w:t>
            </w:r>
          </w:p>
        </w:tc>
        <w:tc>
          <w:tcPr>
            <w:tcW w:w="1651" w:type="dxa"/>
            <w:tcBorders>
              <w:top w:val="nil"/>
              <w:left w:val="nil"/>
              <w:bottom w:val="single" w:sz="4" w:space="0" w:color="auto"/>
              <w:right w:val="single" w:sz="4" w:space="0" w:color="auto"/>
            </w:tcBorders>
            <w:shd w:val="clear" w:color="auto" w:fill="auto"/>
            <w:noWrap/>
            <w:vAlign w:val="center"/>
            <w:hideMark/>
          </w:tcPr>
          <w:p w14:paraId="655CC744" w14:textId="77777777" w:rsidR="004B7622" w:rsidRPr="00104B6C" w:rsidRDefault="004B7622" w:rsidP="00377989">
            <w:pPr>
              <w:spacing w:after="0" w:line="240" w:lineRule="auto"/>
              <w:jc w:val="right"/>
              <w:rPr>
                <w:rFonts w:ascii="Arial" w:eastAsia="Times New Roman" w:hAnsi="Arial" w:cs="Arial"/>
                <w:color w:val="000000"/>
                <w:sz w:val="18"/>
                <w:szCs w:val="18"/>
                <w:lang w:eastAsia="sl-SI"/>
              </w:rPr>
            </w:pPr>
            <w:r w:rsidRPr="00104B6C">
              <w:rPr>
                <w:rFonts w:ascii="Arial" w:eastAsia="Times New Roman" w:hAnsi="Arial" w:cs="Arial"/>
                <w:color w:val="000000"/>
                <w:sz w:val="18"/>
                <w:szCs w:val="18"/>
                <w:lang w:eastAsia="sl-SI"/>
              </w:rPr>
              <w:t>3.296.979.264</w:t>
            </w:r>
          </w:p>
        </w:tc>
        <w:tc>
          <w:tcPr>
            <w:tcW w:w="1073" w:type="dxa"/>
            <w:tcBorders>
              <w:top w:val="nil"/>
              <w:left w:val="nil"/>
              <w:bottom w:val="single" w:sz="4" w:space="0" w:color="auto"/>
              <w:right w:val="single" w:sz="4" w:space="0" w:color="auto"/>
            </w:tcBorders>
            <w:shd w:val="clear" w:color="auto" w:fill="auto"/>
            <w:noWrap/>
            <w:vAlign w:val="center"/>
            <w:hideMark/>
          </w:tcPr>
          <w:p w14:paraId="33555D30" w14:textId="77777777" w:rsidR="004B7622" w:rsidRPr="00104B6C" w:rsidRDefault="004B7622" w:rsidP="00377989">
            <w:pPr>
              <w:spacing w:after="0" w:line="240" w:lineRule="auto"/>
              <w:jc w:val="center"/>
              <w:rPr>
                <w:rFonts w:ascii="Arial" w:eastAsia="Times New Roman" w:hAnsi="Arial" w:cs="Arial"/>
                <w:color w:val="000000"/>
                <w:sz w:val="18"/>
                <w:szCs w:val="18"/>
                <w:lang w:eastAsia="sl-SI"/>
              </w:rPr>
            </w:pPr>
            <w:r w:rsidRPr="00104B6C">
              <w:rPr>
                <w:rFonts w:ascii="Arial" w:eastAsia="Times New Roman" w:hAnsi="Arial" w:cs="Arial"/>
                <w:color w:val="000000"/>
                <w:sz w:val="18"/>
                <w:szCs w:val="18"/>
                <w:lang w:eastAsia="sl-SI"/>
              </w:rPr>
              <w:t>17,2</w:t>
            </w:r>
          </w:p>
        </w:tc>
        <w:tc>
          <w:tcPr>
            <w:tcW w:w="1651" w:type="dxa"/>
            <w:tcBorders>
              <w:top w:val="nil"/>
              <w:left w:val="nil"/>
              <w:bottom w:val="single" w:sz="4" w:space="0" w:color="auto"/>
              <w:right w:val="single" w:sz="4" w:space="0" w:color="auto"/>
            </w:tcBorders>
            <w:shd w:val="clear" w:color="auto" w:fill="auto"/>
            <w:noWrap/>
            <w:vAlign w:val="center"/>
            <w:hideMark/>
          </w:tcPr>
          <w:p w14:paraId="6CE4B9F9" w14:textId="77777777" w:rsidR="004B7622" w:rsidRPr="00104B6C" w:rsidRDefault="004B7622" w:rsidP="00377989">
            <w:pPr>
              <w:spacing w:after="0" w:line="240" w:lineRule="auto"/>
              <w:jc w:val="right"/>
              <w:rPr>
                <w:rFonts w:ascii="Arial" w:eastAsia="Times New Roman" w:hAnsi="Arial" w:cs="Arial"/>
                <w:color w:val="000000"/>
                <w:sz w:val="18"/>
                <w:szCs w:val="18"/>
                <w:lang w:eastAsia="sl-SI"/>
              </w:rPr>
            </w:pPr>
            <w:r w:rsidRPr="00104B6C">
              <w:rPr>
                <w:rFonts w:ascii="Arial" w:eastAsia="Times New Roman" w:hAnsi="Arial" w:cs="Arial"/>
                <w:color w:val="000000"/>
                <w:sz w:val="18"/>
                <w:szCs w:val="18"/>
                <w:lang w:eastAsia="sl-SI"/>
              </w:rPr>
              <w:t>3.005.909.430</w:t>
            </w:r>
          </w:p>
        </w:tc>
        <w:tc>
          <w:tcPr>
            <w:tcW w:w="1073" w:type="dxa"/>
            <w:tcBorders>
              <w:top w:val="nil"/>
              <w:left w:val="nil"/>
              <w:bottom w:val="single" w:sz="4" w:space="0" w:color="auto"/>
              <w:right w:val="single" w:sz="4" w:space="0" w:color="auto"/>
            </w:tcBorders>
            <w:shd w:val="clear" w:color="auto" w:fill="auto"/>
            <w:noWrap/>
            <w:vAlign w:val="center"/>
            <w:hideMark/>
          </w:tcPr>
          <w:p w14:paraId="1DBF86DC" w14:textId="77777777" w:rsidR="004B7622" w:rsidRPr="00104B6C" w:rsidRDefault="004B7622" w:rsidP="00377989">
            <w:pPr>
              <w:spacing w:after="0" w:line="240" w:lineRule="auto"/>
              <w:jc w:val="center"/>
              <w:rPr>
                <w:rFonts w:ascii="Arial" w:eastAsia="Times New Roman" w:hAnsi="Arial" w:cs="Arial"/>
                <w:color w:val="000000"/>
                <w:sz w:val="18"/>
                <w:szCs w:val="18"/>
                <w:lang w:eastAsia="sl-SI"/>
              </w:rPr>
            </w:pPr>
            <w:r w:rsidRPr="00104B6C">
              <w:rPr>
                <w:rFonts w:ascii="Arial" w:eastAsia="Times New Roman" w:hAnsi="Arial" w:cs="Arial"/>
                <w:color w:val="000000"/>
                <w:sz w:val="18"/>
                <w:szCs w:val="18"/>
                <w:lang w:eastAsia="sl-SI"/>
              </w:rPr>
              <w:t>18,5</w:t>
            </w:r>
          </w:p>
        </w:tc>
        <w:tc>
          <w:tcPr>
            <w:tcW w:w="1341" w:type="dxa"/>
            <w:tcBorders>
              <w:top w:val="nil"/>
              <w:left w:val="nil"/>
              <w:bottom w:val="single" w:sz="4" w:space="0" w:color="auto"/>
              <w:right w:val="single" w:sz="4" w:space="0" w:color="auto"/>
            </w:tcBorders>
            <w:shd w:val="clear" w:color="auto" w:fill="auto"/>
            <w:noWrap/>
            <w:vAlign w:val="center"/>
            <w:hideMark/>
          </w:tcPr>
          <w:p w14:paraId="57A57412" w14:textId="77777777" w:rsidR="004B7622" w:rsidRPr="00104B6C" w:rsidRDefault="004B7622" w:rsidP="00377989">
            <w:pPr>
              <w:spacing w:after="0" w:line="240" w:lineRule="auto"/>
              <w:jc w:val="right"/>
              <w:rPr>
                <w:rFonts w:ascii="Arial" w:eastAsia="Times New Roman" w:hAnsi="Arial" w:cs="Arial"/>
                <w:color w:val="000000"/>
                <w:sz w:val="18"/>
                <w:szCs w:val="18"/>
                <w:lang w:eastAsia="sl-SI"/>
              </w:rPr>
            </w:pPr>
            <w:r w:rsidRPr="00104B6C">
              <w:rPr>
                <w:rFonts w:ascii="Arial" w:eastAsia="Times New Roman" w:hAnsi="Arial" w:cs="Arial"/>
                <w:color w:val="000000"/>
                <w:sz w:val="18"/>
                <w:szCs w:val="18"/>
                <w:lang w:eastAsia="sl-SI"/>
              </w:rPr>
              <w:t>109,7</w:t>
            </w:r>
          </w:p>
        </w:tc>
      </w:tr>
      <w:tr w:rsidR="004B7622" w:rsidRPr="00104B6C" w14:paraId="563C550E" w14:textId="77777777" w:rsidTr="00377989">
        <w:trPr>
          <w:trHeight w:val="216"/>
        </w:trPr>
        <w:tc>
          <w:tcPr>
            <w:tcW w:w="2085" w:type="dxa"/>
            <w:tcBorders>
              <w:top w:val="nil"/>
              <w:left w:val="single" w:sz="4" w:space="0" w:color="auto"/>
              <w:bottom w:val="single" w:sz="4" w:space="0" w:color="auto"/>
              <w:right w:val="single" w:sz="4" w:space="0" w:color="auto"/>
            </w:tcBorders>
            <w:shd w:val="clear" w:color="000000" w:fill="FFFFFF"/>
            <w:vAlign w:val="center"/>
            <w:hideMark/>
          </w:tcPr>
          <w:p w14:paraId="44AD4D09" w14:textId="77777777" w:rsidR="004B7622" w:rsidRPr="00104B6C" w:rsidRDefault="004B7622" w:rsidP="00377989">
            <w:pPr>
              <w:spacing w:after="0" w:line="240" w:lineRule="auto"/>
              <w:rPr>
                <w:rFonts w:ascii="Arial" w:eastAsia="Times New Roman" w:hAnsi="Arial" w:cs="Arial"/>
                <w:color w:val="000000"/>
                <w:sz w:val="18"/>
                <w:szCs w:val="18"/>
                <w:lang w:eastAsia="sl-SI"/>
              </w:rPr>
            </w:pPr>
            <w:r w:rsidRPr="00104B6C">
              <w:rPr>
                <w:rFonts w:ascii="Arial" w:eastAsia="Times New Roman" w:hAnsi="Arial" w:cs="Arial"/>
                <w:color w:val="000000"/>
                <w:sz w:val="18"/>
                <w:szCs w:val="18"/>
                <w:lang w:eastAsia="sl-SI"/>
              </w:rPr>
              <w:t>Občine</w:t>
            </w:r>
          </w:p>
        </w:tc>
        <w:tc>
          <w:tcPr>
            <w:tcW w:w="1651" w:type="dxa"/>
            <w:tcBorders>
              <w:top w:val="nil"/>
              <w:left w:val="nil"/>
              <w:bottom w:val="single" w:sz="4" w:space="0" w:color="auto"/>
              <w:right w:val="single" w:sz="4" w:space="0" w:color="auto"/>
            </w:tcBorders>
            <w:shd w:val="clear" w:color="auto" w:fill="auto"/>
            <w:noWrap/>
            <w:vAlign w:val="center"/>
            <w:hideMark/>
          </w:tcPr>
          <w:p w14:paraId="477132C7" w14:textId="77777777" w:rsidR="004B7622" w:rsidRPr="00104B6C" w:rsidRDefault="004B7622" w:rsidP="00377989">
            <w:pPr>
              <w:spacing w:after="0" w:line="240" w:lineRule="auto"/>
              <w:jc w:val="right"/>
              <w:rPr>
                <w:rFonts w:ascii="Arial" w:eastAsia="Times New Roman" w:hAnsi="Arial" w:cs="Arial"/>
                <w:color w:val="000000"/>
                <w:sz w:val="18"/>
                <w:szCs w:val="18"/>
                <w:lang w:eastAsia="sl-SI"/>
              </w:rPr>
            </w:pPr>
            <w:r w:rsidRPr="00104B6C">
              <w:rPr>
                <w:rFonts w:ascii="Arial" w:eastAsia="Times New Roman" w:hAnsi="Arial" w:cs="Arial"/>
                <w:color w:val="000000"/>
                <w:sz w:val="18"/>
                <w:szCs w:val="18"/>
                <w:lang w:eastAsia="sl-SI"/>
              </w:rPr>
              <w:t>354.062.317</w:t>
            </w:r>
          </w:p>
        </w:tc>
        <w:tc>
          <w:tcPr>
            <w:tcW w:w="1073" w:type="dxa"/>
            <w:tcBorders>
              <w:top w:val="nil"/>
              <w:left w:val="nil"/>
              <w:bottom w:val="single" w:sz="4" w:space="0" w:color="auto"/>
              <w:right w:val="single" w:sz="4" w:space="0" w:color="auto"/>
            </w:tcBorders>
            <w:shd w:val="clear" w:color="auto" w:fill="auto"/>
            <w:noWrap/>
            <w:vAlign w:val="center"/>
            <w:hideMark/>
          </w:tcPr>
          <w:p w14:paraId="5CB5DFCC" w14:textId="77777777" w:rsidR="004B7622" w:rsidRPr="00104B6C" w:rsidRDefault="004B7622" w:rsidP="00377989">
            <w:pPr>
              <w:spacing w:after="0" w:line="240" w:lineRule="auto"/>
              <w:jc w:val="center"/>
              <w:rPr>
                <w:rFonts w:ascii="Arial" w:eastAsia="Times New Roman" w:hAnsi="Arial" w:cs="Arial"/>
                <w:color w:val="000000"/>
                <w:sz w:val="18"/>
                <w:szCs w:val="18"/>
                <w:lang w:eastAsia="sl-SI"/>
              </w:rPr>
            </w:pPr>
            <w:r w:rsidRPr="00104B6C">
              <w:rPr>
                <w:rFonts w:ascii="Arial" w:eastAsia="Times New Roman" w:hAnsi="Arial" w:cs="Arial"/>
                <w:color w:val="000000"/>
                <w:sz w:val="18"/>
                <w:szCs w:val="18"/>
                <w:lang w:eastAsia="sl-SI"/>
              </w:rPr>
              <w:t>1,8</w:t>
            </w:r>
          </w:p>
        </w:tc>
        <w:tc>
          <w:tcPr>
            <w:tcW w:w="1651" w:type="dxa"/>
            <w:tcBorders>
              <w:top w:val="nil"/>
              <w:left w:val="nil"/>
              <w:bottom w:val="single" w:sz="4" w:space="0" w:color="auto"/>
              <w:right w:val="single" w:sz="4" w:space="0" w:color="auto"/>
            </w:tcBorders>
            <w:shd w:val="clear" w:color="auto" w:fill="auto"/>
            <w:noWrap/>
            <w:vAlign w:val="center"/>
            <w:hideMark/>
          </w:tcPr>
          <w:p w14:paraId="48577757" w14:textId="77777777" w:rsidR="004B7622" w:rsidRPr="00104B6C" w:rsidRDefault="004B7622" w:rsidP="00377989">
            <w:pPr>
              <w:spacing w:after="0" w:line="240" w:lineRule="auto"/>
              <w:jc w:val="right"/>
              <w:rPr>
                <w:rFonts w:ascii="Arial" w:eastAsia="Times New Roman" w:hAnsi="Arial" w:cs="Arial"/>
                <w:color w:val="000000"/>
                <w:sz w:val="18"/>
                <w:szCs w:val="18"/>
                <w:lang w:eastAsia="sl-SI"/>
              </w:rPr>
            </w:pPr>
            <w:r w:rsidRPr="00104B6C">
              <w:rPr>
                <w:rFonts w:ascii="Arial" w:eastAsia="Times New Roman" w:hAnsi="Arial" w:cs="Arial"/>
                <w:color w:val="000000"/>
                <w:sz w:val="18"/>
                <w:szCs w:val="18"/>
                <w:lang w:eastAsia="sl-SI"/>
              </w:rPr>
              <w:t>329.947.447</w:t>
            </w:r>
          </w:p>
        </w:tc>
        <w:tc>
          <w:tcPr>
            <w:tcW w:w="1073" w:type="dxa"/>
            <w:tcBorders>
              <w:top w:val="nil"/>
              <w:left w:val="nil"/>
              <w:bottom w:val="single" w:sz="4" w:space="0" w:color="auto"/>
              <w:right w:val="single" w:sz="4" w:space="0" w:color="auto"/>
            </w:tcBorders>
            <w:shd w:val="clear" w:color="auto" w:fill="auto"/>
            <w:noWrap/>
            <w:vAlign w:val="center"/>
            <w:hideMark/>
          </w:tcPr>
          <w:p w14:paraId="5E8A2377" w14:textId="77777777" w:rsidR="004B7622" w:rsidRPr="00104B6C" w:rsidRDefault="004B7622" w:rsidP="00377989">
            <w:pPr>
              <w:spacing w:after="0" w:line="240" w:lineRule="auto"/>
              <w:jc w:val="center"/>
              <w:rPr>
                <w:rFonts w:ascii="Arial" w:eastAsia="Times New Roman" w:hAnsi="Arial" w:cs="Arial"/>
                <w:color w:val="000000"/>
                <w:sz w:val="18"/>
                <w:szCs w:val="18"/>
                <w:lang w:eastAsia="sl-SI"/>
              </w:rPr>
            </w:pPr>
            <w:r w:rsidRPr="00104B6C">
              <w:rPr>
                <w:rFonts w:ascii="Arial" w:eastAsia="Times New Roman" w:hAnsi="Arial" w:cs="Arial"/>
                <w:color w:val="000000"/>
                <w:sz w:val="18"/>
                <w:szCs w:val="18"/>
                <w:lang w:eastAsia="sl-SI"/>
              </w:rPr>
              <w:t>2,0</w:t>
            </w:r>
          </w:p>
        </w:tc>
        <w:tc>
          <w:tcPr>
            <w:tcW w:w="1341" w:type="dxa"/>
            <w:tcBorders>
              <w:top w:val="nil"/>
              <w:left w:val="nil"/>
              <w:bottom w:val="single" w:sz="4" w:space="0" w:color="auto"/>
              <w:right w:val="single" w:sz="4" w:space="0" w:color="auto"/>
            </w:tcBorders>
            <w:shd w:val="clear" w:color="auto" w:fill="auto"/>
            <w:noWrap/>
            <w:vAlign w:val="center"/>
            <w:hideMark/>
          </w:tcPr>
          <w:p w14:paraId="747F646B" w14:textId="77777777" w:rsidR="004B7622" w:rsidRPr="00104B6C" w:rsidRDefault="004B7622" w:rsidP="00377989">
            <w:pPr>
              <w:spacing w:after="0" w:line="240" w:lineRule="auto"/>
              <w:jc w:val="right"/>
              <w:rPr>
                <w:rFonts w:ascii="Arial" w:eastAsia="Times New Roman" w:hAnsi="Arial" w:cs="Arial"/>
                <w:color w:val="000000"/>
                <w:sz w:val="18"/>
                <w:szCs w:val="18"/>
                <w:lang w:eastAsia="sl-SI"/>
              </w:rPr>
            </w:pPr>
            <w:r w:rsidRPr="00104B6C">
              <w:rPr>
                <w:rFonts w:ascii="Arial" w:eastAsia="Times New Roman" w:hAnsi="Arial" w:cs="Arial"/>
                <w:color w:val="000000"/>
                <w:sz w:val="18"/>
                <w:szCs w:val="18"/>
                <w:lang w:eastAsia="sl-SI"/>
              </w:rPr>
              <w:t>107,3</w:t>
            </w:r>
          </w:p>
        </w:tc>
      </w:tr>
      <w:tr w:rsidR="004B7622" w:rsidRPr="00104B6C" w14:paraId="42924610" w14:textId="77777777" w:rsidTr="00377989">
        <w:trPr>
          <w:trHeight w:val="216"/>
        </w:trPr>
        <w:tc>
          <w:tcPr>
            <w:tcW w:w="2085" w:type="dxa"/>
            <w:tcBorders>
              <w:top w:val="nil"/>
              <w:left w:val="single" w:sz="4" w:space="0" w:color="auto"/>
              <w:bottom w:val="single" w:sz="4" w:space="0" w:color="auto"/>
              <w:right w:val="single" w:sz="4" w:space="0" w:color="auto"/>
            </w:tcBorders>
            <w:shd w:val="clear" w:color="000000" w:fill="FFFFFF"/>
            <w:vAlign w:val="center"/>
            <w:hideMark/>
          </w:tcPr>
          <w:p w14:paraId="6397E169" w14:textId="77777777" w:rsidR="004B7622" w:rsidRPr="00104B6C" w:rsidRDefault="004B7622" w:rsidP="00377989">
            <w:pPr>
              <w:spacing w:after="0" w:line="240" w:lineRule="auto"/>
              <w:rPr>
                <w:rFonts w:ascii="Arial" w:eastAsia="Times New Roman" w:hAnsi="Arial" w:cs="Arial"/>
                <w:b/>
                <w:bCs/>
                <w:color w:val="000000"/>
                <w:sz w:val="18"/>
                <w:szCs w:val="18"/>
                <w:lang w:eastAsia="sl-SI"/>
              </w:rPr>
            </w:pPr>
            <w:r w:rsidRPr="00104B6C">
              <w:rPr>
                <w:rFonts w:ascii="Arial" w:eastAsia="Times New Roman" w:hAnsi="Arial" w:cs="Arial"/>
                <w:b/>
                <w:bCs/>
                <w:color w:val="000000"/>
                <w:sz w:val="18"/>
                <w:szCs w:val="18"/>
                <w:lang w:eastAsia="sl-SI"/>
              </w:rPr>
              <w:t>Skupaj JFP</w:t>
            </w:r>
          </w:p>
        </w:tc>
        <w:tc>
          <w:tcPr>
            <w:tcW w:w="1651" w:type="dxa"/>
            <w:tcBorders>
              <w:top w:val="nil"/>
              <w:left w:val="nil"/>
              <w:bottom w:val="single" w:sz="4" w:space="0" w:color="auto"/>
              <w:right w:val="single" w:sz="4" w:space="0" w:color="auto"/>
            </w:tcBorders>
            <w:shd w:val="clear" w:color="auto" w:fill="auto"/>
            <w:noWrap/>
            <w:vAlign w:val="center"/>
            <w:hideMark/>
          </w:tcPr>
          <w:p w14:paraId="54AF657D" w14:textId="77777777" w:rsidR="004B7622" w:rsidRPr="00104B6C" w:rsidRDefault="004B7622" w:rsidP="00377989">
            <w:pPr>
              <w:spacing w:after="0" w:line="240" w:lineRule="auto"/>
              <w:jc w:val="right"/>
              <w:rPr>
                <w:rFonts w:ascii="Arial" w:eastAsia="Times New Roman" w:hAnsi="Arial" w:cs="Arial"/>
                <w:b/>
                <w:bCs/>
                <w:color w:val="000000"/>
                <w:sz w:val="18"/>
                <w:szCs w:val="18"/>
                <w:lang w:eastAsia="sl-SI"/>
              </w:rPr>
            </w:pPr>
            <w:r w:rsidRPr="00104B6C">
              <w:rPr>
                <w:rFonts w:ascii="Arial" w:eastAsia="Times New Roman" w:hAnsi="Arial" w:cs="Arial"/>
                <w:b/>
                <w:bCs/>
                <w:color w:val="000000"/>
                <w:sz w:val="18"/>
                <w:szCs w:val="18"/>
                <w:lang w:eastAsia="sl-SI"/>
              </w:rPr>
              <w:t>19.205.493.984</w:t>
            </w:r>
          </w:p>
        </w:tc>
        <w:tc>
          <w:tcPr>
            <w:tcW w:w="1073" w:type="dxa"/>
            <w:tcBorders>
              <w:top w:val="nil"/>
              <w:left w:val="nil"/>
              <w:bottom w:val="single" w:sz="4" w:space="0" w:color="auto"/>
              <w:right w:val="single" w:sz="4" w:space="0" w:color="auto"/>
            </w:tcBorders>
            <w:shd w:val="clear" w:color="auto" w:fill="auto"/>
            <w:noWrap/>
            <w:vAlign w:val="center"/>
            <w:hideMark/>
          </w:tcPr>
          <w:p w14:paraId="67D55F46" w14:textId="77777777" w:rsidR="004B7622" w:rsidRPr="00104B6C" w:rsidRDefault="004B7622" w:rsidP="00377989">
            <w:pPr>
              <w:spacing w:after="0" w:line="240" w:lineRule="auto"/>
              <w:jc w:val="center"/>
              <w:rPr>
                <w:rFonts w:ascii="Arial" w:eastAsia="Times New Roman" w:hAnsi="Arial" w:cs="Arial"/>
                <w:color w:val="000000"/>
                <w:sz w:val="18"/>
                <w:szCs w:val="18"/>
                <w:lang w:eastAsia="sl-SI"/>
              </w:rPr>
            </w:pPr>
            <w:r w:rsidRPr="00104B6C">
              <w:rPr>
                <w:rFonts w:ascii="Arial" w:eastAsia="Times New Roman" w:hAnsi="Arial" w:cs="Arial"/>
                <w:color w:val="000000"/>
                <w:sz w:val="18"/>
                <w:szCs w:val="18"/>
                <w:lang w:eastAsia="sl-SI"/>
              </w:rPr>
              <w:t>100,0</w:t>
            </w:r>
          </w:p>
        </w:tc>
        <w:tc>
          <w:tcPr>
            <w:tcW w:w="1651" w:type="dxa"/>
            <w:tcBorders>
              <w:top w:val="nil"/>
              <w:left w:val="nil"/>
              <w:bottom w:val="single" w:sz="4" w:space="0" w:color="auto"/>
              <w:right w:val="single" w:sz="4" w:space="0" w:color="auto"/>
            </w:tcBorders>
            <w:shd w:val="clear" w:color="auto" w:fill="auto"/>
            <w:noWrap/>
            <w:vAlign w:val="center"/>
            <w:hideMark/>
          </w:tcPr>
          <w:p w14:paraId="7FB4EBB9" w14:textId="77777777" w:rsidR="004B7622" w:rsidRPr="00104B6C" w:rsidRDefault="004B7622" w:rsidP="00377989">
            <w:pPr>
              <w:spacing w:after="0" w:line="240" w:lineRule="auto"/>
              <w:jc w:val="right"/>
              <w:rPr>
                <w:rFonts w:ascii="Arial" w:eastAsia="Times New Roman" w:hAnsi="Arial" w:cs="Arial"/>
                <w:b/>
                <w:bCs/>
                <w:color w:val="000000"/>
                <w:sz w:val="18"/>
                <w:szCs w:val="18"/>
                <w:lang w:eastAsia="sl-SI"/>
              </w:rPr>
            </w:pPr>
            <w:r w:rsidRPr="00104B6C">
              <w:rPr>
                <w:rFonts w:ascii="Arial" w:eastAsia="Times New Roman" w:hAnsi="Arial" w:cs="Arial"/>
                <w:b/>
                <w:bCs/>
                <w:color w:val="000000"/>
                <w:sz w:val="18"/>
                <w:szCs w:val="18"/>
                <w:lang w:eastAsia="sl-SI"/>
              </w:rPr>
              <w:t>16.274.163.066</w:t>
            </w:r>
          </w:p>
        </w:tc>
        <w:tc>
          <w:tcPr>
            <w:tcW w:w="1073" w:type="dxa"/>
            <w:tcBorders>
              <w:top w:val="nil"/>
              <w:left w:val="nil"/>
              <w:bottom w:val="single" w:sz="4" w:space="0" w:color="auto"/>
              <w:right w:val="single" w:sz="4" w:space="0" w:color="auto"/>
            </w:tcBorders>
            <w:shd w:val="clear" w:color="auto" w:fill="auto"/>
            <w:noWrap/>
            <w:vAlign w:val="center"/>
            <w:hideMark/>
          </w:tcPr>
          <w:p w14:paraId="5AC41C9B" w14:textId="77777777" w:rsidR="004B7622" w:rsidRPr="00104B6C" w:rsidRDefault="004B7622" w:rsidP="00377989">
            <w:pPr>
              <w:spacing w:after="0" w:line="240" w:lineRule="auto"/>
              <w:jc w:val="center"/>
              <w:rPr>
                <w:rFonts w:ascii="Arial" w:eastAsia="Times New Roman" w:hAnsi="Arial" w:cs="Arial"/>
                <w:color w:val="000000"/>
                <w:sz w:val="18"/>
                <w:szCs w:val="18"/>
                <w:lang w:eastAsia="sl-SI"/>
              </w:rPr>
            </w:pPr>
            <w:r w:rsidRPr="00104B6C">
              <w:rPr>
                <w:rFonts w:ascii="Arial" w:eastAsia="Times New Roman" w:hAnsi="Arial" w:cs="Arial"/>
                <w:color w:val="000000"/>
                <w:sz w:val="18"/>
                <w:szCs w:val="18"/>
                <w:lang w:eastAsia="sl-SI"/>
              </w:rPr>
              <w:t>100,0</w:t>
            </w:r>
          </w:p>
        </w:tc>
        <w:tc>
          <w:tcPr>
            <w:tcW w:w="1341" w:type="dxa"/>
            <w:tcBorders>
              <w:top w:val="nil"/>
              <w:left w:val="nil"/>
              <w:bottom w:val="single" w:sz="4" w:space="0" w:color="auto"/>
              <w:right w:val="single" w:sz="4" w:space="0" w:color="auto"/>
            </w:tcBorders>
            <w:shd w:val="clear" w:color="auto" w:fill="auto"/>
            <w:noWrap/>
            <w:vAlign w:val="center"/>
            <w:hideMark/>
          </w:tcPr>
          <w:p w14:paraId="308A3EA6" w14:textId="77777777" w:rsidR="004B7622" w:rsidRPr="00104B6C" w:rsidRDefault="004B7622" w:rsidP="00377989">
            <w:pPr>
              <w:spacing w:after="0" w:line="240" w:lineRule="auto"/>
              <w:jc w:val="right"/>
              <w:rPr>
                <w:rFonts w:ascii="Arial" w:eastAsia="Times New Roman" w:hAnsi="Arial" w:cs="Arial"/>
                <w:color w:val="000000"/>
                <w:sz w:val="18"/>
                <w:szCs w:val="18"/>
                <w:lang w:eastAsia="sl-SI"/>
              </w:rPr>
            </w:pPr>
            <w:r w:rsidRPr="00104B6C">
              <w:rPr>
                <w:rFonts w:ascii="Arial" w:eastAsia="Times New Roman" w:hAnsi="Arial" w:cs="Arial"/>
                <w:color w:val="000000"/>
                <w:sz w:val="18"/>
                <w:szCs w:val="18"/>
                <w:lang w:eastAsia="sl-SI"/>
              </w:rPr>
              <w:t>118,0</w:t>
            </w:r>
          </w:p>
        </w:tc>
      </w:tr>
    </w:tbl>
    <w:p w14:paraId="0096B2E7" w14:textId="77777777" w:rsidR="004B7622" w:rsidRPr="00104B6C" w:rsidRDefault="004B7622" w:rsidP="004B7622">
      <w:pPr>
        <w:jc w:val="both"/>
        <w:rPr>
          <w:rFonts w:ascii="Arial" w:hAnsi="Arial" w:cs="Arial"/>
          <w:i/>
          <w:sz w:val="20"/>
          <w:szCs w:val="20"/>
        </w:rPr>
      </w:pPr>
      <w:r w:rsidRPr="00104B6C">
        <w:rPr>
          <w:rFonts w:ascii="Arial" w:hAnsi="Arial" w:cs="Arial"/>
          <w:i/>
          <w:sz w:val="20"/>
          <w:szCs w:val="20"/>
        </w:rPr>
        <w:t>Vir: FURS</w:t>
      </w:r>
    </w:p>
    <w:p w14:paraId="305F2376" w14:textId="77777777" w:rsidR="005B3CE4" w:rsidRDefault="005B3CE4" w:rsidP="004B7622">
      <w:pPr>
        <w:rPr>
          <w:rFonts w:ascii="Arial" w:hAnsi="Arial" w:cs="Arial"/>
          <w:i/>
          <w:sz w:val="20"/>
          <w:szCs w:val="20"/>
        </w:rPr>
      </w:pPr>
    </w:p>
    <w:p w14:paraId="3059E84A" w14:textId="2D7303A2" w:rsidR="004B7622" w:rsidRPr="000B1174" w:rsidRDefault="004B7622" w:rsidP="004B7622">
      <w:pPr>
        <w:rPr>
          <w:rFonts w:ascii="Arial" w:hAnsi="Arial" w:cs="Arial"/>
          <w:i/>
          <w:sz w:val="20"/>
          <w:szCs w:val="20"/>
        </w:rPr>
      </w:pPr>
      <w:r w:rsidRPr="00CD3666">
        <w:rPr>
          <w:rFonts w:ascii="Arial" w:hAnsi="Arial" w:cs="Arial"/>
          <w:i/>
          <w:sz w:val="20"/>
          <w:szCs w:val="20"/>
        </w:rPr>
        <w:t>Slika 2: Struktura neto pobranih prihodkov po prejemnikih sredstev v letu 2021</w:t>
      </w:r>
    </w:p>
    <w:p w14:paraId="04312459" w14:textId="77777777" w:rsidR="004B7622" w:rsidRPr="000B1174" w:rsidRDefault="004B7622" w:rsidP="004B7622">
      <w:pPr>
        <w:jc w:val="center"/>
        <w:rPr>
          <w:rFonts w:ascii="Arial" w:hAnsi="Arial" w:cs="Arial"/>
          <w:i/>
          <w:sz w:val="20"/>
          <w:szCs w:val="20"/>
        </w:rPr>
      </w:pPr>
      <w:r w:rsidRPr="000B1174">
        <w:rPr>
          <w:noProof/>
        </w:rPr>
        <w:drawing>
          <wp:inline distT="0" distB="0" distL="0" distR="0" wp14:anchorId="1187B2F6" wp14:editId="1DE93992">
            <wp:extent cx="4293704" cy="2663687"/>
            <wp:effectExtent l="0" t="0" r="0" b="0"/>
            <wp:docPr id="20" name="Grafikon 20">
              <a:extLst xmlns:a="http://schemas.openxmlformats.org/drawingml/2006/main">
                <a:ext uri="{FF2B5EF4-FFF2-40B4-BE49-F238E27FC236}">
                  <a16:creationId xmlns:a16="http://schemas.microsoft.com/office/drawing/2014/main" id="{00000000-0008-0000-0C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C4C118E" w14:textId="77777777" w:rsidR="004B7622" w:rsidRPr="000B1174" w:rsidRDefault="004B7622" w:rsidP="004B7622">
      <w:pPr>
        <w:rPr>
          <w:szCs w:val="24"/>
          <w:lang w:eastAsia="sl-SI"/>
        </w:rPr>
      </w:pPr>
      <w:r w:rsidRPr="000B1174">
        <w:rPr>
          <w:rFonts w:ascii="Arial" w:hAnsi="Arial" w:cs="Arial"/>
          <w:i/>
          <w:sz w:val="20"/>
          <w:szCs w:val="20"/>
        </w:rPr>
        <w:t>Vir: FURS</w:t>
      </w:r>
    </w:p>
    <w:p w14:paraId="3D4A6504" w14:textId="77777777" w:rsidR="004B7622" w:rsidRDefault="004B7622" w:rsidP="004B7622">
      <w:pPr>
        <w:jc w:val="both"/>
        <w:rPr>
          <w:rFonts w:ascii="Arial" w:hAnsi="Arial" w:cs="Arial"/>
          <w:sz w:val="20"/>
          <w:szCs w:val="20"/>
        </w:rPr>
      </w:pPr>
    </w:p>
    <w:p w14:paraId="6A122663" w14:textId="77777777" w:rsidR="004B7622" w:rsidRDefault="004B7622" w:rsidP="004B7622">
      <w:pPr>
        <w:jc w:val="both"/>
        <w:rPr>
          <w:rFonts w:ascii="Arial" w:hAnsi="Arial" w:cs="Arial"/>
          <w:sz w:val="20"/>
          <w:szCs w:val="20"/>
        </w:rPr>
      </w:pPr>
      <w:r w:rsidRPr="000B1174">
        <w:rPr>
          <w:rFonts w:ascii="Arial" w:hAnsi="Arial" w:cs="Arial"/>
          <w:sz w:val="20"/>
          <w:szCs w:val="20"/>
        </w:rPr>
        <w:t>Največji delež pobranih prihodkov</w:t>
      </w:r>
      <w:r w:rsidRPr="000B1174">
        <w:rPr>
          <w:vertAlign w:val="superscript"/>
        </w:rPr>
        <w:footnoteReference w:id="5"/>
      </w:r>
      <w:r w:rsidRPr="000B1174">
        <w:rPr>
          <w:rFonts w:ascii="Arial" w:hAnsi="Arial" w:cs="Arial"/>
          <w:sz w:val="20"/>
          <w:szCs w:val="20"/>
        </w:rPr>
        <w:t xml:space="preserve"> predstavljajo skupaj prispevki za socialno varnost in transferni prihodki iz naslova prispevkov (44,1 </w:t>
      </w:r>
      <w:r>
        <w:rPr>
          <w:rFonts w:ascii="Arial" w:hAnsi="Arial" w:cs="Arial"/>
          <w:sz w:val="20"/>
          <w:szCs w:val="20"/>
        </w:rPr>
        <w:t>odstotek</w:t>
      </w:r>
      <w:r w:rsidRPr="000B1174">
        <w:rPr>
          <w:rFonts w:ascii="Arial" w:hAnsi="Arial" w:cs="Arial"/>
          <w:sz w:val="20"/>
          <w:szCs w:val="20"/>
        </w:rPr>
        <w:t xml:space="preserve">). V letu 2021 je bilo pobranih skupaj za 17,2 </w:t>
      </w:r>
      <w:r>
        <w:rPr>
          <w:rFonts w:ascii="Arial" w:hAnsi="Arial" w:cs="Arial"/>
          <w:sz w:val="20"/>
          <w:szCs w:val="20"/>
        </w:rPr>
        <w:t>odstotka</w:t>
      </w:r>
      <w:r w:rsidRPr="000B1174">
        <w:rPr>
          <w:rFonts w:ascii="Arial" w:hAnsi="Arial" w:cs="Arial"/>
          <w:sz w:val="20"/>
          <w:szCs w:val="20"/>
        </w:rPr>
        <w:t xml:space="preserve"> več teh prihodkov kakor v letu 2020; od tega je rast prihodkov iz naslova prispevkov za socialno varnost znašala 18,7 </w:t>
      </w:r>
      <w:r>
        <w:rPr>
          <w:rFonts w:ascii="Arial" w:hAnsi="Arial" w:cs="Arial"/>
          <w:sz w:val="20"/>
          <w:szCs w:val="20"/>
        </w:rPr>
        <w:t>odstotka</w:t>
      </w:r>
      <w:r w:rsidRPr="000B1174">
        <w:rPr>
          <w:rFonts w:ascii="Arial" w:hAnsi="Arial" w:cs="Arial"/>
          <w:sz w:val="20"/>
          <w:szCs w:val="20"/>
        </w:rPr>
        <w:t xml:space="preserve">, medtem ko so transfernih prihodki nižji za 0,3 </w:t>
      </w:r>
      <w:r>
        <w:rPr>
          <w:rFonts w:ascii="Arial" w:hAnsi="Arial" w:cs="Arial"/>
          <w:sz w:val="20"/>
          <w:szCs w:val="20"/>
        </w:rPr>
        <w:t>odstotka</w:t>
      </w:r>
      <w:r w:rsidRPr="000B1174">
        <w:rPr>
          <w:rFonts w:ascii="Arial" w:hAnsi="Arial" w:cs="Arial"/>
          <w:sz w:val="20"/>
          <w:szCs w:val="20"/>
        </w:rPr>
        <w:t xml:space="preserve">. Najobsežnejši med prispevki za socialno varnost je prispevek za pokojninsko in invalidsko zavarovanje. Po deležu pobranih prihodkov sledijo domači davki na blago in storitve (32 </w:t>
      </w:r>
      <w:r>
        <w:rPr>
          <w:rFonts w:ascii="Arial" w:hAnsi="Arial" w:cs="Arial"/>
          <w:sz w:val="20"/>
          <w:szCs w:val="20"/>
        </w:rPr>
        <w:t>odstotka</w:t>
      </w:r>
      <w:r w:rsidRPr="000B1174">
        <w:rPr>
          <w:rFonts w:ascii="Arial" w:hAnsi="Arial" w:cs="Arial"/>
          <w:sz w:val="20"/>
          <w:szCs w:val="20"/>
        </w:rPr>
        <w:t xml:space="preserve">), kjer je bilo pobranih za 16,3 </w:t>
      </w:r>
      <w:r>
        <w:rPr>
          <w:rFonts w:ascii="Arial" w:hAnsi="Arial" w:cs="Arial"/>
          <w:sz w:val="20"/>
          <w:szCs w:val="20"/>
        </w:rPr>
        <w:t>odstotka</w:t>
      </w:r>
      <w:r w:rsidRPr="000B1174">
        <w:rPr>
          <w:rFonts w:ascii="Arial" w:hAnsi="Arial" w:cs="Arial"/>
          <w:sz w:val="20"/>
          <w:szCs w:val="20"/>
        </w:rPr>
        <w:t xml:space="preserve"> več prihodkov glede na leto 2020. Po obsegu prevladujeta davek na dodano vrednost in trošarine. Dokaj velik delež ima tudi skupina davkov na dohodek in dobiček (20,8 </w:t>
      </w:r>
      <w:r>
        <w:rPr>
          <w:rFonts w:ascii="Arial" w:hAnsi="Arial" w:cs="Arial"/>
          <w:sz w:val="20"/>
          <w:szCs w:val="20"/>
        </w:rPr>
        <w:t>odstotka</w:t>
      </w:r>
      <w:r w:rsidRPr="000B1174">
        <w:rPr>
          <w:rFonts w:ascii="Arial" w:hAnsi="Arial" w:cs="Arial"/>
          <w:sz w:val="20"/>
          <w:szCs w:val="20"/>
        </w:rPr>
        <w:t xml:space="preserve">), kjer je bilo pobranih za 22,1 </w:t>
      </w:r>
      <w:r>
        <w:rPr>
          <w:rFonts w:ascii="Arial" w:hAnsi="Arial" w:cs="Arial"/>
          <w:sz w:val="20"/>
          <w:szCs w:val="20"/>
        </w:rPr>
        <w:t>odstotka</w:t>
      </w:r>
      <w:r w:rsidRPr="000B1174">
        <w:rPr>
          <w:rFonts w:ascii="Arial" w:hAnsi="Arial" w:cs="Arial"/>
          <w:sz w:val="20"/>
          <w:szCs w:val="20"/>
        </w:rPr>
        <w:t xml:space="preserve"> več prihodkov glede na leto 2020. Največ prihodkov v tej skupini pripada dohodnini. </w:t>
      </w:r>
    </w:p>
    <w:p w14:paraId="55579F4C" w14:textId="77777777" w:rsidR="004B7622" w:rsidRDefault="004B7622" w:rsidP="004B7622">
      <w:pPr>
        <w:jc w:val="both"/>
        <w:rPr>
          <w:rFonts w:ascii="Arial" w:eastAsia="Times New Roman" w:hAnsi="Arial" w:cs="Arial"/>
          <w:i/>
          <w:sz w:val="20"/>
          <w:szCs w:val="20"/>
          <w:lang w:eastAsia="sl-SI"/>
        </w:rPr>
      </w:pPr>
    </w:p>
    <w:p w14:paraId="2BA29304" w14:textId="77777777" w:rsidR="004B7622" w:rsidRPr="000B1174" w:rsidRDefault="004B7622" w:rsidP="004B7622">
      <w:pPr>
        <w:jc w:val="both"/>
        <w:rPr>
          <w:rFonts w:ascii="Arial" w:eastAsia="Times New Roman" w:hAnsi="Arial" w:cs="Arial"/>
          <w:i/>
          <w:sz w:val="20"/>
          <w:szCs w:val="20"/>
          <w:lang w:eastAsia="sl-SI"/>
        </w:rPr>
      </w:pPr>
      <w:r w:rsidRPr="00CD3666">
        <w:rPr>
          <w:rFonts w:ascii="Arial" w:eastAsia="Times New Roman" w:hAnsi="Arial" w:cs="Arial"/>
          <w:i/>
          <w:sz w:val="20"/>
          <w:szCs w:val="20"/>
          <w:lang w:eastAsia="sl-SI"/>
        </w:rPr>
        <w:lastRenderedPageBreak/>
        <w:t>Slika 3: Struktura neto pobranih javnofinančnih prihodkov po vrstah prihodkov v letu 2021</w:t>
      </w:r>
    </w:p>
    <w:p w14:paraId="16EEC983" w14:textId="77777777" w:rsidR="004B7622" w:rsidRPr="004D3478" w:rsidRDefault="004B7622" w:rsidP="004B7622">
      <w:pPr>
        <w:jc w:val="both"/>
        <w:rPr>
          <w:rFonts w:ascii="Arial" w:eastAsia="Times New Roman" w:hAnsi="Arial" w:cs="Arial"/>
          <w:i/>
          <w:color w:val="FF0000"/>
          <w:sz w:val="20"/>
          <w:szCs w:val="20"/>
          <w:lang w:eastAsia="sl-SI"/>
        </w:rPr>
      </w:pPr>
      <w:r>
        <w:rPr>
          <w:noProof/>
          <w:lang w:eastAsia="sl-SI"/>
        </w:rPr>
        <w:drawing>
          <wp:anchor distT="0" distB="0" distL="114300" distR="114300" simplePos="0" relativeHeight="251665408" behindDoc="0" locked="0" layoutInCell="1" allowOverlap="1" wp14:anchorId="17526458" wp14:editId="4EE03053">
            <wp:simplePos x="898497" y="5295569"/>
            <wp:positionH relativeFrom="column">
              <wp:align>left</wp:align>
            </wp:positionH>
            <wp:positionV relativeFrom="paragraph">
              <wp:align>top</wp:align>
            </wp:positionV>
            <wp:extent cx="4889500" cy="3028950"/>
            <wp:effectExtent l="0" t="0" r="6350" b="0"/>
            <wp:wrapSquare wrapText="bothSides"/>
            <wp:docPr id="24" name="Grafikon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Pr>
          <w:rFonts w:ascii="Arial" w:eastAsia="Times New Roman" w:hAnsi="Arial" w:cs="Arial"/>
          <w:i/>
          <w:color w:val="FF0000"/>
          <w:sz w:val="20"/>
          <w:szCs w:val="20"/>
          <w:lang w:eastAsia="sl-SI"/>
        </w:rPr>
        <w:br w:type="textWrapping" w:clear="all"/>
      </w:r>
    </w:p>
    <w:p w14:paraId="61B55DE3" w14:textId="77777777" w:rsidR="004B7622" w:rsidRPr="004D6C43" w:rsidRDefault="004B7622" w:rsidP="004B7622">
      <w:r w:rsidRPr="004D6C43">
        <w:rPr>
          <w:rFonts w:ascii="Arial" w:hAnsi="Arial" w:cs="Arial"/>
          <w:i/>
          <w:sz w:val="20"/>
          <w:szCs w:val="20"/>
        </w:rPr>
        <w:t xml:space="preserve">  Vir: FURS</w:t>
      </w:r>
    </w:p>
    <w:p w14:paraId="05DFA942" w14:textId="77777777" w:rsidR="004B7622" w:rsidRPr="001B564E" w:rsidRDefault="004B7622" w:rsidP="004B7622">
      <w:pPr>
        <w:spacing w:after="0" w:line="260" w:lineRule="atLeast"/>
        <w:jc w:val="both"/>
        <w:rPr>
          <w:rFonts w:ascii="Arial" w:hAnsi="Arial" w:cs="Arial"/>
          <w:sz w:val="20"/>
          <w:szCs w:val="20"/>
        </w:rPr>
      </w:pPr>
      <w:r w:rsidRPr="001B564E">
        <w:rPr>
          <w:rFonts w:ascii="Arial" w:hAnsi="Arial" w:cs="Arial"/>
          <w:sz w:val="20"/>
          <w:szCs w:val="20"/>
        </w:rPr>
        <w:t>Medtem</w:t>
      </w:r>
      <w:r>
        <w:rPr>
          <w:rFonts w:ascii="Arial" w:hAnsi="Arial" w:cs="Arial"/>
          <w:sz w:val="20"/>
          <w:szCs w:val="20"/>
        </w:rPr>
        <w:t>,</w:t>
      </w:r>
      <w:r w:rsidRPr="001B564E">
        <w:rPr>
          <w:rFonts w:ascii="Arial" w:hAnsi="Arial" w:cs="Arial"/>
          <w:sz w:val="20"/>
          <w:szCs w:val="20"/>
        </w:rPr>
        <w:t xml:space="preserve"> ko je leto 2020 zaznamovalo precejšnje zmanjšanje pobranih prihodkov, ki je bilo posledica epidemije COVID-19 ter sprejetih interventnih ukrepih za zajezitev epidemije in omilitev njenih posledic, se je v letu 2021 trend ponovno obrnil navzgor in pobrani prihodki so občutno presegli tudi prihodke iz </w:t>
      </w:r>
      <w:proofErr w:type="spellStart"/>
      <w:r w:rsidRPr="001B564E">
        <w:rPr>
          <w:rFonts w:ascii="Arial" w:hAnsi="Arial" w:cs="Arial"/>
          <w:sz w:val="20"/>
          <w:szCs w:val="20"/>
        </w:rPr>
        <w:t>predkoronskega</w:t>
      </w:r>
      <w:proofErr w:type="spellEnd"/>
      <w:r w:rsidRPr="001B564E">
        <w:rPr>
          <w:rFonts w:ascii="Arial" w:hAnsi="Arial" w:cs="Arial"/>
          <w:sz w:val="20"/>
          <w:szCs w:val="20"/>
        </w:rPr>
        <w:t xml:space="preserve"> leta 2019. </w:t>
      </w:r>
    </w:p>
    <w:p w14:paraId="706CE9A5" w14:textId="77777777" w:rsidR="004B7622" w:rsidRPr="001B564E" w:rsidRDefault="004B7622" w:rsidP="004B7622">
      <w:pPr>
        <w:spacing w:after="0" w:line="260" w:lineRule="atLeast"/>
        <w:jc w:val="both"/>
        <w:rPr>
          <w:rFonts w:ascii="Arial" w:hAnsi="Arial" w:cs="Arial"/>
          <w:sz w:val="20"/>
          <w:szCs w:val="20"/>
        </w:rPr>
      </w:pPr>
    </w:p>
    <w:p w14:paraId="1D4C4047" w14:textId="77777777" w:rsidR="004B7622" w:rsidRPr="001B564E" w:rsidRDefault="004B7622" w:rsidP="004B7622">
      <w:pPr>
        <w:spacing w:after="0" w:line="260" w:lineRule="atLeast"/>
        <w:jc w:val="both"/>
        <w:rPr>
          <w:rFonts w:ascii="Arial" w:hAnsi="Arial" w:cs="Arial"/>
          <w:sz w:val="20"/>
          <w:szCs w:val="20"/>
        </w:rPr>
      </w:pPr>
      <w:r w:rsidRPr="001B564E">
        <w:rPr>
          <w:rFonts w:ascii="Arial" w:hAnsi="Arial" w:cs="Arial"/>
          <w:sz w:val="20"/>
          <w:szCs w:val="20"/>
        </w:rPr>
        <w:t>Interventna zakonodaja, sprejeta za omilitev posledic epidemije COVID-19,</w:t>
      </w:r>
      <w:r>
        <w:rPr>
          <w:rFonts w:ascii="Arial" w:hAnsi="Arial" w:cs="Arial"/>
          <w:sz w:val="20"/>
          <w:szCs w:val="20"/>
        </w:rPr>
        <w:t xml:space="preserve"> </w:t>
      </w:r>
      <w:r w:rsidRPr="001B564E">
        <w:rPr>
          <w:rFonts w:ascii="Arial" w:hAnsi="Arial" w:cs="Arial"/>
          <w:sz w:val="20"/>
          <w:szCs w:val="20"/>
        </w:rPr>
        <w:t xml:space="preserve">vpliva na pobiranje prihodkov. </w:t>
      </w:r>
    </w:p>
    <w:p w14:paraId="114A9579" w14:textId="77777777" w:rsidR="004B7622" w:rsidRPr="001B564E" w:rsidRDefault="004B7622" w:rsidP="004B7622">
      <w:pPr>
        <w:spacing w:after="0" w:line="260" w:lineRule="atLeast"/>
        <w:jc w:val="both"/>
        <w:rPr>
          <w:rFonts w:ascii="Arial" w:hAnsi="Arial" w:cs="Arial"/>
          <w:sz w:val="20"/>
          <w:szCs w:val="20"/>
        </w:rPr>
      </w:pPr>
    </w:p>
    <w:p w14:paraId="755506D7" w14:textId="77777777" w:rsidR="004B7622" w:rsidRPr="001B564E" w:rsidRDefault="004B7622" w:rsidP="004B7622">
      <w:pPr>
        <w:spacing w:after="0" w:line="260" w:lineRule="atLeast"/>
        <w:jc w:val="both"/>
        <w:rPr>
          <w:rFonts w:ascii="Arial" w:hAnsi="Arial" w:cs="Arial"/>
          <w:sz w:val="20"/>
          <w:szCs w:val="20"/>
        </w:rPr>
      </w:pPr>
      <w:r w:rsidRPr="00030CF4">
        <w:rPr>
          <w:rFonts w:ascii="Arial" w:hAnsi="Arial" w:cs="Arial"/>
          <w:b/>
          <w:bCs/>
          <w:sz w:val="20"/>
          <w:szCs w:val="20"/>
        </w:rPr>
        <w:t>V letu 2021</w:t>
      </w:r>
      <w:r>
        <w:rPr>
          <w:rFonts w:ascii="Arial" w:hAnsi="Arial" w:cs="Arial"/>
          <w:b/>
          <w:bCs/>
          <w:sz w:val="20"/>
          <w:szCs w:val="20"/>
        </w:rPr>
        <w:t xml:space="preserve"> </w:t>
      </w:r>
      <w:r w:rsidRPr="00030CF4">
        <w:rPr>
          <w:rFonts w:ascii="Arial" w:hAnsi="Arial" w:cs="Arial"/>
          <w:b/>
          <w:bCs/>
          <w:sz w:val="20"/>
          <w:szCs w:val="20"/>
        </w:rPr>
        <w:t>so na pobrane prihodke</w:t>
      </w:r>
      <w:r>
        <w:rPr>
          <w:rFonts w:ascii="Arial" w:hAnsi="Arial" w:cs="Arial"/>
          <w:b/>
          <w:bCs/>
          <w:sz w:val="20"/>
          <w:szCs w:val="20"/>
        </w:rPr>
        <w:t xml:space="preserve"> imeli</w:t>
      </w:r>
      <w:r w:rsidRPr="00030CF4">
        <w:rPr>
          <w:rFonts w:ascii="Arial" w:hAnsi="Arial" w:cs="Arial"/>
          <w:b/>
          <w:bCs/>
          <w:sz w:val="20"/>
          <w:szCs w:val="20"/>
        </w:rPr>
        <w:t xml:space="preserve"> pozitiven učinek</w:t>
      </w:r>
      <w:r w:rsidRPr="001B564E">
        <w:rPr>
          <w:rFonts w:ascii="Arial" w:hAnsi="Arial" w:cs="Arial"/>
          <w:sz w:val="20"/>
          <w:szCs w:val="20"/>
        </w:rPr>
        <w:t xml:space="preserve"> naslednji ukrepi interventne zakonodaje:</w:t>
      </w:r>
    </w:p>
    <w:p w14:paraId="59F455AC" w14:textId="77777777" w:rsidR="004B7622" w:rsidRPr="00CC6663" w:rsidRDefault="004B7622" w:rsidP="004B7622">
      <w:pPr>
        <w:numPr>
          <w:ilvl w:val="0"/>
          <w:numId w:val="15"/>
        </w:numPr>
        <w:spacing w:after="0" w:line="260" w:lineRule="atLeast"/>
        <w:ind w:left="360"/>
        <w:jc w:val="both"/>
        <w:rPr>
          <w:rFonts w:ascii="Arial" w:eastAsia="Times New Roman" w:hAnsi="Arial" w:cs="Arial"/>
          <w:sz w:val="20"/>
          <w:szCs w:val="20"/>
        </w:rPr>
      </w:pPr>
      <w:r w:rsidRPr="00CC6663">
        <w:rPr>
          <w:rFonts w:ascii="Arial" w:eastAsia="Times New Roman" w:hAnsi="Arial" w:cs="Arial"/>
          <w:sz w:val="20"/>
          <w:szCs w:val="20"/>
        </w:rPr>
        <w:t>zaradi odobritve plačilnih ugodnosti po 7. členu Zakona o interventnih ukrepih na javnofinančnem področju (ZIUJP)</w:t>
      </w:r>
      <w:r w:rsidRPr="00CC6663">
        <w:rPr>
          <w:rStyle w:val="Sprotnaopomba-sklic"/>
          <w:rFonts w:ascii="Arial" w:eastAsia="Times New Roman" w:hAnsi="Arial" w:cs="Arial"/>
          <w:sz w:val="20"/>
          <w:szCs w:val="20"/>
        </w:rPr>
        <w:footnoteReference w:id="6"/>
      </w:r>
      <w:r w:rsidRPr="00CC6663">
        <w:rPr>
          <w:rFonts w:ascii="Arial" w:eastAsia="Times New Roman" w:hAnsi="Arial" w:cs="Arial"/>
          <w:sz w:val="20"/>
          <w:szCs w:val="20"/>
        </w:rPr>
        <w:t>,</w:t>
      </w:r>
      <w:r w:rsidRPr="00CC6663">
        <w:rPr>
          <w:rFonts w:ascii="Arial" w:eastAsia="Times New Roman" w:hAnsi="Arial" w:cs="Arial"/>
          <w:sz w:val="20"/>
          <w:szCs w:val="20"/>
          <w:vertAlign w:val="superscript"/>
        </w:rPr>
        <w:footnoteReference w:id="7"/>
      </w:r>
      <w:r w:rsidRPr="00CC6663">
        <w:rPr>
          <w:rFonts w:ascii="Arial" w:eastAsia="Times New Roman" w:hAnsi="Arial" w:cs="Arial"/>
          <w:sz w:val="20"/>
          <w:szCs w:val="20"/>
        </w:rPr>
        <w:t xml:space="preserve"> in po 67. členu Zakona o interventnih ukrepih za omilitev posledic drugega vala epidemije COVID-19 (ZIUOPDVE)</w:t>
      </w:r>
      <w:r w:rsidRPr="00CC6663">
        <w:rPr>
          <w:rFonts w:ascii="Arial" w:eastAsia="Times New Roman" w:hAnsi="Arial" w:cs="Arial"/>
          <w:sz w:val="20"/>
          <w:szCs w:val="20"/>
          <w:vertAlign w:val="superscript"/>
        </w:rPr>
        <w:footnoteReference w:id="8"/>
      </w:r>
      <w:r w:rsidRPr="00CC6663">
        <w:rPr>
          <w:rFonts w:ascii="Arial" w:eastAsia="Times New Roman" w:hAnsi="Arial" w:cs="Arial"/>
          <w:sz w:val="20"/>
          <w:szCs w:val="20"/>
        </w:rPr>
        <w:t>,</w:t>
      </w:r>
      <w:r w:rsidRPr="00CC6663">
        <w:rPr>
          <w:rStyle w:val="Sprotnaopomba-sklic"/>
          <w:rFonts w:ascii="Arial" w:eastAsia="Times New Roman" w:hAnsi="Arial" w:cs="Arial"/>
          <w:sz w:val="20"/>
          <w:szCs w:val="20"/>
        </w:rPr>
        <w:footnoteReference w:id="9"/>
      </w:r>
      <w:r w:rsidRPr="00CC6663">
        <w:rPr>
          <w:rFonts w:ascii="Arial" w:eastAsia="Times New Roman" w:hAnsi="Arial" w:cs="Arial"/>
          <w:sz w:val="20"/>
          <w:szCs w:val="20"/>
        </w:rPr>
        <w:t xml:space="preserve"> je bila zapadlost in s tem poplačilo terjatev iz naslova davkov in prispevkov iz leta 2020 prestavljena v leto 2021. V obdobju veljavnosti obeh ukrepov je bilo odobrenih skupaj za 472,2 milijona </w:t>
      </w:r>
      <w:r w:rsidRPr="00CC6663">
        <w:rPr>
          <w:rFonts w:ascii="Arial" w:eastAsia="Times New Roman" w:hAnsi="Arial"/>
          <w:sz w:val="20"/>
          <w:szCs w:val="24"/>
        </w:rPr>
        <w:t xml:space="preserve">EUR </w:t>
      </w:r>
      <w:r w:rsidRPr="00CC6663">
        <w:rPr>
          <w:rFonts w:ascii="Arial" w:eastAsia="Times New Roman" w:hAnsi="Arial" w:cs="Arial"/>
          <w:sz w:val="20"/>
          <w:szCs w:val="20"/>
        </w:rPr>
        <w:t xml:space="preserve">odlogov in obročnih plačil. V letu 2021 je bilo plačanih za 192,4 milijona </w:t>
      </w:r>
      <w:r w:rsidRPr="00CC6663">
        <w:rPr>
          <w:rFonts w:ascii="Arial" w:eastAsia="Times New Roman" w:hAnsi="Arial"/>
          <w:sz w:val="20"/>
          <w:szCs w:val="24"/>
        </w:rPr>
        <w:t xml:space="preserve">EUR </w:t>
      </w:r>
      <w:r w:rsidRPr="00CC6663">
        <w:rPr>
          <w:rFonts w:ascii="Arial" w:eastAsia="Times New Roman" w:hAnsi="Arial" w:cs="Arial"/>
          <w:sz w:val="20"/>
          <w:szCs w:val="20"/>
        </w:rPr>
        <w:t>odobrenih odlogov in obrokov.</w:t>
      </w:r>
    </w:p>
    <w:p w14:paraId="0D879329" w14:textId="77777777" w:rsidR="004B7622" w:rsidRPr="00CC6663" w:rsidRDefault="004B7622" w:rsidP="004B7622">
      <w:pPr>
        <w:numPr>
          <w:ilvl w:val="0"/>
          <w:numId w:val="16"/>
        </w:numPr>
        <w:spacing w:after="0" w:line="260" w:lineRule="atLeast"/>
        <w:ind w:left="360"/>
        <w:jc w:val="both"/>
        <w:rPr>
          <w:rFonts w:ascii="Arial" w:eastAsia="Times New Roman" w:hAnsi="Arial" w:cs="Arial"/>
          <w:sz w:val="20"/>
          <w:szCs w:val="20"/>
        </w:rPr>
      </w:pPr>
      <w:r w:rsidRPr="00CC6663">
        <w:rPr>
          <w:rFonts w:ascii="Arial" w:eastAsia="Times New Roman" w:hAnsi="Arial" w:cs="Arial"/>
          <w:sz w:val="20"/>
          <w:szCs w:val="20"/>
        </w:rPr>
        <w:t>na podlagi 12. in 12.a člena Zakona o interventnih ukrepih na področju plač in prispevkov (ZIUPPP)</w:t>
      </w:r>
      <w:r w:rsidRPr="00CC6663">
        <w:rPr>
          <w:rStyle w:val="Sprotnaopomba-sklic"/>
          <w:rFonts w:ascii="Arial" w:eastAsia="Times New Roman" w:hAnsi="Arial" w:cs="Arial"/>
          <w:sz w:val="20"/>
          <w:szCs w:val="20"/>
        </w:rPr>
        <w:footnoteReference w:id="10"/>
      </w:r>
      <w:r w:rsidRPr="00CC6663">
        <w:rPr>
          <w:rFonts w:ascii="Arial" w:eastAsia="Times New Roman" w:hAnsi="Arial" w:cs="Arial"/>
          <w:sz w:val="20"/>
          <w:szCs w:val="20"/>
        </w:rPr>
        <w:t xml:space="preserve"> je bilo do 31. 3. 2022 neposredno odloženo plačilo prispevkov za socialno varnost</w:t>
      </w:r>
      <w:r w:rsidRPr="00CC6663">
        <w:rPr>
          <w:rFonts w:ascii="Arial" w:eastAsia="Times New Roman" w:hAnsi="Arial"/>
          <w:sz w:val="20"/>
          <w:szCs w:val="24"/>
        </w:rPr>
        <w:t xml:space="preserve"> </w:t>
      </w:r>
      <w:r w:rsidRPr="00CC6663">
        <w:rPr>
          <w:rFonts w:ascii="Arial" w:eastAsia="Times New Roman" w:hAnsi="Arial" w:cs="Arial"/>
          <w:sz w:val="20"/>
          <w:szCs w:val="20"/>
        </w:rPr>
        <w:t xml:space="preserve">v skupnem znesku 27,1 milijona </w:t>
      </w:r>
      <w:r w:rsidRPr="00CC6663">
        <w:rPr>
          <w:rFonts w:ascii="Arial" w:eastAsia="Times New Roman" w:hAnsi="Arial"/>
          <w:sz w:val="20"/>
          <w:szCs w:val="24"/>
        </w:rPr>
        <w:t>EUR</w:t>
      </w:r>
      <w:r w:rsidRPr="00CC6663">
        <w:rPr>
          <w:rFonts w:ascii="Arial" w:eastAsia="Times New Roman" w:hAnsi="Arial" w:cs="Arial"/>
          <w:sz w:val="20"/>
          <w:szCs w:val="20"/>
        </w:rPr>
        <w:t>, ki so zapadli v plačilo aprila, maja in junija 2020. Zavezanci te obveznosti poravnavajo tudi pred rokom zapadlosti. V letu 2021 so poravnali za 2,4 milijonov EUR teh obveznosti.</w:t>
      </w:r>
    </w:p>
    <w:p w14:paraId="2525400C" w14:textId="77777777" w:rsidR="004B7622" w:rsidRPr="001B564E" w:rsidRDefault="004B7622" w:rsidP="004B7622">
      <w:pPr>
        <w:numPr>
          <w:ilvl w:val="0"/>
          <w:numId w:val="16"/>
        </w:numPr>
        <w:spacing w:after="0" w:line="260" w:lineRule="atLeast"/>
        <w:ind w:left="360"/>
        <w:jc w:val="both"/>
        <w:rPr>
          <w:rFonts w:ascii="Arial" w:eastAsia="Times New Roman" w:hAnsi="Arial" w:cs="Arial"/>
          <w:sz w:val="20"/>
          <w:szCs w:val="20"/>
        </w:rPr>
      </w:pPr>
      <w:r w:rsidRPr="00CC6663">
        <w:rPr>
          <w:rFonts w:ascii="Arial" w:eastAsia="Times New Roman" w:hAnsi="Arial" w:cs="Arial"/>
          <w:sz w:val="20"/>
          <w:szCs w:val="20"/>
        </w:rPr>
        <w:t>dveh obrokov akontacije davka od dohodka pravnih oseb (DDPO) in dohodnine od dohodka iz dejavnosti (</w:t>
      </w:r>
      <w:proofErr w:type="spellStart"/>
      <w:r w:rsidRPr="00CC6663">
        <w:rPr>
          <w:rFonts w:ascii="Arial" w:eastAsia="Times New Roman" w:hAnsi="Arial" w:cs="Arial"/>
          <w:sz w:val="20"/>
          <w:szCs w:val="20"/>
        </w:rPr>
        <w:t>DohDej</w:t>
      </w:r>
      <w:proofErr w:type="spellEnd"/>
      <w:r w:rsidRPr="00CC6663">
        <w:rPr>
          <w:rFonts w:ascii="Arial" w:eastAsia="Times New Roman" w:hAnsi="Arial" w:cs="Arial"/>
          <w:sz w:val="20"/>
          <w:szCs w:val="20"/>
        </w:rPr>
        <w:t>), ki sta dospela v plačilo aprila in maja 2020, zavezancem v letu 2020 ni bilo potrebno obračunati niti plačati. Izid letnega obračuna za leto 2020 se je v letu 2021 odrazil v večjih doplačilih ali manjših vračilih, ki so bili posledica poslovanja v letu 2020</w:t>
      </w:r>
      <w:r w:rsidRPr="001B564E">
        <w:rPr>
          <w:rFonts w:ascii="Arial" w:eastAsia="Times New Roman" w:hAnsi="Arial" w:cs="Arial"/>
          <w:sz w:val="20"/>
          <w:szCs w:val="20"/>
        </w:rPr>
        <w:t>;</w:t>
      </w:r>
    </w:p>
    <w:p w14:paraId="2116D006" w14:textId="77777777" w:rsidR="004B7622" w:rsidRPr="001B564E" w:rsidRDefault="004B7622" w:rsidP="004B7622">
      <w:pPr>
        <w:numPr>
          <w:ilvl w:val="0"/>
          <w:numId w:val="16"/>
        </w:numPr>
        <w:spacing w:after="0" w:line="260" w:lineRule="atLeast"/>
        <w:ind w:left="360"/>
        <w:jc w:val="both"/>
        <w:rPr>
          <w:rFonts w:ascii="Arial" w:eastAsia="Times New Roman" w:hAnsi="Arial" w:cs="Arial"/>
          <w:sz w:val="20"/>
          <w:szCs w:val="20"/>
        </w:rPr>
      </w:pPr>
      <w:r w:rsidRPr="001B564E">
        <w:rPr>
          <w:rFonts w:ascii="Arial" w:eastAsia="Times New Roman" w:hAnsi="Arial" w:cs="Arial"/>
          <w:sz w:val="20"/>
          <w:szCs w:val="20"/>
        </w:rPr>
        <w:lastRenderedPageBreak/>
        <w:t>pogoji, ki so v interventni zakonodaji določeni za pridobitev posameznih pravic zavezancev (poravnane dajatve in predloženi obračuni za predhodno obdobje), pripomorejo k pravočasnem plačevanju obveznosti.</w:t>
      </w:r>
      <w:r>
        <w:rPr>
          <w:rFonts w:ascii="Arial" w:eastAsia="Times New Roman" w:hAnsi="Arial" w:cs="Arial"/>
          <w:sz w:val="20"/>
          <w:szCs w:val="20"/>
        </w:rPr>
        <w:t xml:space="preserve"> </w:t>
      </w:r>
    </w:p>
    <w:p w14:paraId="03372A7C" w14:textId="77777777" w:rsidR="004B7622" w:rsidRPr="001B564E" w:rsidRDefault="004B7622" w:rsidP="004B7622">
      <w:pPr>
        <w:spacing w:after="0" w:line="260" w:lineRule="atLeast"/>
        <w:jc w:val="both"/>
        <w:rPr>
          <w:rFonts w:ascii="Arial" w:hAnsi="Arial" w:cs="Arial"/>
          <w:sz w:val="20"/>
          <w:szCs w:val="20"/>
        </w:rPr>
      </w:pPr>
    </w:p>
    <w:p w14:paraId="76658247" w14:textId="77777777" w:rsidR="004B7622" w:rsidRPr="001B564E" w:rsidRDefault="004B7622" w:rsidP="004B7622">
      <w:pPr>
        <w:spacing w:after="0" w:line="260" w:lineRule="atLeast"/>
        <w:jc w:val="both"/>
        <w:rPr>
          <w:rFonts w:ascii="Arial" w:hAnsi="Arial" w:cs="Arial"/>
          <w:sz w:val="20"/>
          <w:szCs w:val="20"/>
        </w:rPr>
      </w:pPr>
      <w:r w:rsidRPr="001B564E">
        <w:rPr>
          <w:rFonts w:ascii="Arial" w:hAnsi="Arial" w:cs="Arial"/>
          <w:sz w:val="20"/>
          <w:szCs w:val="20"/>
          <w:u w:val="single"/>
        </w:rPr>
        <w:t>Negativen učinek na pobrane prihodke v letu 2021</w:t>
      </w:r>
      <w:r w:rsidRPr="001B564E">
        <w:rPr>
          <w:rFonts w:ascii="Arial" w:hAnsi="Arial" w:cs="Arial"/>
          <w:sz w:val="20"/>
          <w:szCs w:val="20"/>
        </w:rPr>
        <w:t xml:space="preserve"> so imeli naslednji ukrepi:  </w:t>
      </w:r>
    </w:p>
    <w:p w14:paraId="2F43D695" w14:textId="77777777" w:rsidR="004B7622" w:rsidRPr="001B564E" w:rsidRDefault="004B7622" w:rsidP="004B7622">
      <w:pPr>
        <w:numPr>
          <w:ilvl w:val="0"/>
          <w:numId w:val="14"/>
        </w:numPr>
        <w:spacing w:after="0" w:line="260" w:lineRule="atLeast"/>
        <w:ind w:left="426" w:hanging="426"/>
        <w:jc w:val="both"/>
        <w:rPr>
          <w:rFonts w:ascii="Arial" w:eastAsia="Times New Roman" w:hAnsi="Arial" w:cs="Arial"/>
          <w:sz w:val="20"/>
          <w:szCs w:val="20"/>
        </w:rPr>
      </w:pPr>
      <w:r w:rsidRPr="001B564E">
        <w:rPr>
          <w:rFonts w:ascii="Arial" w:eastAsia="Times New Roman" w:hAnsi="Arial" w:cs="Arial"/>
          <w:sz w:val="20"/>
          <w:szCs w:val="20"/>
        </w:rPr>
        <w:t>zaradi odobritve plačilnih ugodnosti po 67. členu ZIUOPDVE je bila zapadlost davkov in prispevkov prestavljena v obdobje po letu 2021;</w:t>
      </w:r>
    </w:p>
    <w:p w14:paraId="588BD530" w14:textId="77777777" w:rsidR="004B7622" w:rsidRPr="00CC6663" w:rsidRDefault="004B7622" w:rsidP="004B7622">
      <w:pPr>
        <w:numPr>
          <w:ilvl w:val="0"/>
          <w:numId w:val="14"/>
        </w:numPr>
        <w:spacing w:after="0" w:line="260" w:lineRule="atLeast"/>
        <w:ind w:left="426" w:hanging="426"/>
        <w:jc w:val="both"/>
        <w:rPr>
          <w:rFonts w:ascii="Arial" w:eastAsia="Times New Roman" w:hAnsi="Arial" w:cs="Arial"/>
          <w:sz w:val="20"/>
          <w:szCs w:val="20"/>
        </w:rPr>
      </w:pPr>
      <w:r w:rsidRPr="001B564E">
        <w:rPr>
          <w:rFonts w:ascii="Arial" w:eastAsia="Times New Roman" w:hAnsi="Arial" w:cs="Arial"/>
          <w:sz w:val="20"/>
          <w:szCs w:val="20"/>
        </w:rPr>
        <w:t xml:space="preserve">omejitve v postopkih davčne izvršbe, ki so se v skladu s 118. </w:t>
      </w:r>
      <w:r w:rsidRPr="00CC6663">
        <w:rPr>
          <w:rFonts w:ascii="Arial" w:eastAsia="Times New Roman" w:hAnsi="Arial" w:cs="Arial"/>
          <w:sz w:val="20"/>
          <w:szCs w:val="20"/>
        </w:rPr>
        <w:t>členom Zakona o interventnih ukrepih za pomoč pri omilitvi posledic drugega vala epidemije COVID-19 (ZIUPOPDVE)</w:t>
      </w:r>
      <w:r w:rsidRPr="00CC6663">
        <w:rPr>
          <w:rStyle w:val="Sprotnaopomba-sklic"/>
          <w:rFonts w:ascii="Arial" w:eastAsia="Times New Roman" w:hAnsi="Arial" w:cs="Arial"/>
          <w:sz w:val="20"/>
          <w:szCs w:val="20"/>
        </w:rPr>
        <w:footnoteReference w:id="11"/>
      </w:r>
      <w:r w:rsidRPr="00CC6663">
        <w:rPr>
          <w:rFonts w:ascii="Arial" w:eastAsia="Times New Roman" w:hAnsi="Arial" w:cs="Arial"/>
          <w:sz w:val="20"/>
          <w:szCs w:val="20"/>
        </w:rPr>
        <w:t xml:space="preserve"> lahko začele le v nujnih zadevah</w:t>
      </w:r>
      <w:r w:rsidRPr="00CC6663">
        <w:rPr>
          <w:rFonts w:ascii="Arial" w:eastAsia="Times New Roman" w:hAnsi="Arial" w:cs="Arial"/>
          <w:sz w:val="20"/>
          <w:szCs w:val="20"/>
          <w:vertAlign w:val="superscript"/>
        </w:rPr>
        <w:footnoteReference w:id="12"/>
      </w:r>
      <w:r w:rsidRPr="00CC6663">
        <w:rPr>
          <w:rFonts w:ascii="Arial" w:eastAsia="Times New Roman" w:hAnsi="Arial" w:cs="Arial"/>
          <w:sz w:val="20"/>
          <w:szCs w:val="20"/>
        </w:rPr>
        <w:t>; posledice neizvajanja ukrepov izterjave je po ponovni vzpostavitvi težko povsem nadoknaditi;</w:t>
      </w:r>
    </w:p>
    <w:p w14:paraId="077E8216" w14:textId="77777777" w:rsidR="004B7622" w:rsidRPr="00CC6663" w:rsidRDefault="004B7622" w:rsidP="004B7622">
      <w:pPr>
        <w:numPr>
          <w:ilvl w:val="0"/>
          <w:numId w:val="14"/>
        </w:numPr>
        <w:spacing w:after="0" w:line="260" w:lineRule="atLeast"/>
        <w:ind w:left="426" w:hanging="426"/>
        <w:jc w:val="both"/>
        <w:rPr>
          <w:rFonts w:ascii="Arial" w:eastAsia="Times New Roman" w:hAnsi="Arial" w:cs="Arial"/>
          <w:sz w:val="20"/>
          <w:szCs w:val="20"/>
        </w:rPr>
      </w:pPr>
      <w:r w:rsidRPr="00CC6663">
        <w:rPr>
          <w:rFonts w:ascii="Arial" w:eastAsia="Times New Roman" w:hAnsi="Arial" w:cs="Arial"/>
          <w:sz w:val="20"/>
          <w:szCs w:val="20"/>
        </w:rPr>
        <w:t>zmanjšanje oziroma prepoved opravljanja gospodarske dejavnosti pri zavezancih, kar se je odrazilo v manjših zneskih na davčnih obračunih.</w:t>
      </w:r>
    </w:p>
    <w:p w14:paraId="1B512BD5" w14:textId="77777777" w:rsidR="004B7622" w:rsidRPr="00CC6663" w:rsidRDefault="004B7622" w:rsidP="004B7622">
      <w:pPr>
        <w:spacing w:after="0" w:line="260" w:lineRule="atLeast"/>
        <w:jc w:val="both"/>
        <w:rPr>
          <w:rFonts w:ascii="Arial" w:hAnsi="Arial" w:cs="Arial"/>
          <w:sz w:val="20"/>
          <w:szCs w:val="20"/>
        </w:rPr>
      </w:pPr>
    </w:p>
    <w:p w14:paraId="140B59CE" w14:textId="77777777" w:rsidR="004B7622" w:rsidRPr="00CC6663" w:rsidRDefault="004B7622" w:rsidP="004B7622">
      <w:pPr>
        <w:spacing w:after="0" w:line="260" w:lineRule="atLeast"/>
        <w:jc w:val="both"/>
        <w:rPr>
          <w:rFonts w:ascii="Arial" w:hAnsi="Arial" w:cs="Arial"/>
          <w:sz w:val="20"/>
          <w:szCs w:val="20"/>
        </w:rPr>
      </w:pPr>
      <w:r w:rsidRPr="00CC6663">
        <w:rPr>
          <w:rFonts w:ascii="Arial" w:hAnsi="Arial" w:cs="Arial"/>
          <w:sz w:val="20"/>
          <w:szCs w:val="20"/>
        </w:rPr>
        <w:t xml:space="preserve">Izpostavljamo še naslednji ukrep, ki </w:t>
      </w:r>
      <w:r w:rsidRPr="00CC6663">
        <w:rPr>
          <w:rFonts w:ascii="Arial" w:hAnsi="Arial" w:cs="Arial"/>
          <w:sz w:val="20"/>
          <w:szCs w:val="20"/>
          <w:u w:val="single"/>
        </w:rPr>
        <w:t>vpliva na izkazovanje pobranih</w:t>
      </w:r>
      <w:r w:rsidRPr="00CC6663">
        <w:rPr>
          <w:rFonts w:ascii="Arial" w:hAnsi="Arial" w:cs="Arial"/>
          <w:sz w:val="20"/>
          <w:szCs w:val="20"/>
        </w:rPr>
        <w:t xml:space="preserve"> </w:t>
      </w:r>
      <w:r w:rsidRPr="00CC6663">
        <w:rPr>
          <w:rFonts w:ascii="Arial" w:hAnsi="Arial" w:cs="Arial"/>
          <w:sz w:val="20"/>
          <w:szCs w:val="20"/>
          <w:u w:val="single"/>
        </w:rPr>
        <w:t>prihodkov:</w:t>
      </w:r>
    </w:p>
    <w:p w14:paraId="1280FBFF" w14:textId="77777777" w:rsidR="004B7622" w:rsidRPr="00CC6663" w:rsidRDefault="004B7622" w:rsidP="004B7622">
      <w:pPr>
        <w:numPr>
          <w:ilvl w:val="0"/>
          <w:numId w:val="14"/>
        </w:numPr>
        <w:spacing w:after="0" w:line="260" w:lineRule="atLeast"/>
        <w:ind w:left="426" w:hanging="426"/>
        <w:jc w:val="both"/>
        <w:rPr>
          <w:rFonts w:ascii="Arial" w:eastAsia="Times New Roman" w:hAnsi="Arial" w:cs="Arial"/>
          <w:sz w:val="20"/>
          <w:szCs w:val="20"/>
        </w:rPr>
      </w:pPr>
      <w:r w:rsidRPr="00CC6663">
        <w:rPr>
          <w:rFonts w:ascii="Arial" w:eastAsia="Times New Roman" w:hAnsi="Arial" w:cs="Arial"/>
          <w:sz w:val="20"/>
          <w:szCs w:val="20"/>
        </w:rPr>
        <w:t>zaradi ukrepa oprostitve plačila prispevkov za socialno varnost za zavezance v času spomladanske epidemije v 2020 po 28., 33. in 38. členu Zakona o interventnih ukrepih za zajezitev epidemije COVID-19 in omilitev njenih posledic za državljane in gospodarstvo (ZIUZEOP) na način, da so se prispevki javnofinančnim blagajnam v skupnem znesku 607,6 milijona EUR poravnali neposredno iz državnega proračuna »mimo« FURS, so bili pobrani prihodki FURS od aprila do junija 2020 nižji, kar vpliva na primerjavo pobranih prihodkov z letom 2021.</w:t>
      </w:r>
    </w:p>
    <w:p w14:paraId="7950160A" w14:textId="77777777" w:rsidR="004B7622" w:rsidRPr="00CC6663" w:rsidRDefault="004B7622" w:rsidP="004B7622">
      <w:pPr>
        <w:jc w:val="both"/>
        <w:rPr>
          <w:rFonts w:ascii="Arial" w:hAnsi="Arial" w:cs="Arial"/>
          <w:color w:val="FF0000"/>
          <w:sz w:val="20"/>
          <w:szCs w:val="20"/>
        </w:rPr>
      </w:pPr>
    </w:p>
    <w:p w14:paraId="106A6483" w14:textId="77777777" w:rsidR="004B7622" w:rsidRDefault="004B7622" w:rsidP="004B7622">
      <w:pPr>
        <w:jc w:val="both"/>
        <w:rPr>
          <w:rFonts w:ascii="Arial" w:hAnsi="Arial" w:cs="Arial"/>
          <w:color w:val="000000"/>
          <w:sz w:val="20"/>
          <w:szCs w:val="20"/>
          <w:lang w:eastAsia="sl-SI"/>
        </w:rPr>
      </w:pPr>
      <w:r w:rsidRPr="00CC6663">
        <w:rPr>
          <w:rFonts w:ascii="Arial" w:hAnsi="Arial" w:cs="Arial"/>
          <w:color w:val="000000"/>
          <w:sz w:val="20"/>
          <w:szCs w:val="20"/>
          <w:lang w:eastAsia="sl-SI"/>
        </w:rPr>
        <w:t>Krepitev kulture prostovoljnega izpolnjevanja zakonskih obveznosti je prednostni dolgoročni cilj FURS.  V ta namen se kontinuirano izvaja vrsta medsebojno povezanih ukrepov na različnih področjih njenega delovanja od preventivnih do zelo ciljno usmerjenih aktivnosti. Podrobneje so te aktivnost predstavljene v 8. poglavju tega poročila.</w:t>
      </w:r>
      <w:r>
        <w:rPr>
          <w:rFonts w:ascii="Arial" w:hAnsi="Arial" w:cs="Arial"/>
          <w:color w:val="000000"/>
          <w:sz w:val="20"/>
          <w:szCs w:val="20"/>
          <w:lang w:eastAsia="sl-SI"/>
        </w:rPr>
        <w:t xml:space="preserve"> </w:t>
      </w:r>
    </w:p>
    <w:p w14:paraId="5C9EB833" w14:textId="77777777" w:rsidR="004B7622" w:rsidRDefault="004B7622" w:rsidP="004B7622">
      <w:pPr>
        <w:jc w:val="both"/>
        <w:rPr>
          <w:rFonts w:ascii="Arial" w:hAnsi="Arial" w:cs="Arial"/>
          <w:sz w:val="20"/>
          <w:szCs w:val="20"/>
        </w:rPr>
      </w:pPr>
      <w:r w:rsidRPr="009235F6">
        <w:rPr>
          <w:rFonts w:ascii="Arial" w:hAnsi="Arial" w:cs="Arial"/>
          <w:sz w:val="20"/>
          <w:szCs w:val="20"/>
        </w:rPr>
        <w:t>Davek je vsak denarni prihodek državnega proračuna, proračuna Evropske unije ali proračuna samoupravne lokalne skupnosti, ki n</w:t>
      </w:r>
      <w:r>
        <w:rPr>
          <w:rFonts w:ascii="Arial" w:hAnsi="Arial" w:cs="Arial"/>
          <w:sz w:val="20"/>
          <w:szCs w:val="20"/>
        </w:rPr>
        <w:t>i</w:t>
      </w:r>
      <w:r w:rsidRPr="009235F6">
        <w:rPr>
          <w:rFonts w:ascii="Arial" w:hAnsi="Arial" w:cs="Arial"/>
          <w:sz w:val="20"/>
          <w:szCs w:val="20"/>
        </w:rPr>
        <w:t xml:space="preserve"> plačil</w:t>
      </w:r>
      <w:r>
        <w:rPr>
          <w:rFonts w:ascii="Arial" w:hAnsi="Arial" w:cs="Arial"/>
          <w:sz w:val="20"/>
          <w:szCs w:val="20"/>
        </w:rPr>
        <w:t>o</w:t>
      </w:r>
      <w:r w:rsidRPr="009235F6">
        <w:rPr>
          <w:rFonts w:ascii="Arial" w:hAnsi="Arial" w:cs="Arial"/>
          <w:sz w:val="20"/>
          <w:szCs w:val="20"/>
        </w:rPr>
        <w:t xml:space="preserve"> za opravljeno storitev ali dobavljeno blago in se plača izključno na podlagi zakonov o obdavčenju oziroma predpisov samoupravnih lokalnih skupnosti, izdanih na podlagi zakonov o obdavčenju. </w:t>
      </w:r>
    </w:p>
    <w:bookmarkEnd w:id="0"/>
    <w:p w14:paraId="500D68B9" w14:textId="4CE035E4" w:rsidR="004B7622" w:rsidRPr="009D1136" w:rsidRDefault="004B7622" w:rsidP="004B7622">
      <w:pPr>
        <w:jc w:val="both"/>
        <w:rPr>
          <w:rFonts w:ascii="Arial" w:eastAsia="Times New Roman" w:hAnsi="Arial" w:cs="Arial"/>
          <w:iCs/>
          <w:sz w:val="20"/>
          <w:szCs w:val="20"/>
          <w:lang w:eastAsia="sl-SI"/>
        </w:rPr>
      </w:pPr>
      <w:r w:rsidRPr="009D1136">
        <w:rPr>
          <w:rFonts w:ascii="Arial" w:eastAsia="Times New Roman" w:hAnsi="Arial" w:cs="Arial"/>
          <w:iCs/>
          <w:sz w:val="20"/>
          <w:szCs w:val="20"/>
          <w:lang w:eastAsia="sl-SI"/>
        </w:rPr>
        <w:t xml:space="preserve">V skladu s 3. členom </w:t>
      </w:r>
      <w:r w:rsidRPr="009235F6">
        <w:rPr>
          <w:rFonts w:ascii="Arial" w:hAnsi="Arial" w:cs="Arial"/>
          <w:sz w:val="20"/>
          <w:szCs w:val="20"/>
        </w:rPr>
        <w:t>Zakona o davčnem postopku</w:t>
      </w:r>
      <w:r w:rsidRPr="00CC6663">
        <w:rPr>
          <w:rStyle w:val="Sprotnaopomba-sklic"/>
          <w:rFonts w:ascii="Arial" w:hAnsi="Arial" w:cs="Arial"/>
          <w:sz w:val="20"/>
          <w:szCs w:val="20"/>
        </w:rPr>
        <w:footnoteReference w:id="13"/>
      </w:r>
      <w:r w:rsidRPr="00CC6663">
        <w:rPr>
          <w:rFonts w:ascii="Arial" w:hAnsi="Arial" w:cs="Arial"/>
          <w:sz w:val="20"/>
          <w:szCs w:val="20"/>
        </w:rPr>
        <w:t xml:space="preserve"> (v nadaljnjem besedilu: ZDavP-2) </w:t>
      </w:r>
      <w:r w:rsidRPr="00CC6663">
        <w:rPr>
          <w:rFonts w:ascii="Arial" w:eastAsia="Times New Roman" w:hAnsi="Arial" w:cs="Arial"/>
          <w:iCs/>
          <w:sz w:val="20"/>
          <w:szCs w:val="20"/>
          <w:lang w:eastAsia="sl-SI"/>
        </w:rPr>
        <w:t xml:space="preserve">se kot davek </w:t>
      </w:r>
      <w:r w:rsidRPr="009D1136">
        <w:rPr>
          <w:rFonts w:ascii="Arial" w:eastAsia="Times New Roman" w:hAnsi="Arial" w:cs="Arial"/>
          <w:iCs/>
          <w:sz w:val="20"/>
          <w:szCs w:val="20"/>
          <w:lang w:eastAsia="sl-SI"/>
        </w:rPr>
        <w:t>štejejo tudi:</w:t>
      </w:r>
    </w:p>
    <w:p w14:paraId="2D776623" w14:textId="77777777" w:rsidR="004B7622" w:rsidRPr="005F3830" w:rsidRDefault="004B7622" w:rsidP="004B7622">
      <w:pPr>
        <w:pStyle w:val="Odstavekseznama"/>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jc w:val="both"/>
        <w:rPr>
          <w:rFonts w:ascii="Arial" w:hAnsi="Arial" w:cs="Arial"/>
          <w:iCs/>
          <w:sz w:val="20"/>
          <w:szCs w:val="20"/>
        </w:rPr>
      </w:pPr>
      <w:r w:rsidRPr="005F3830">
        <w:rPr>
          <w:rFonts w:ascii="Arial" w:hAnsi="Arial" w:cs="Arial"/>
          <w:iCs/>
          <w:sz w:val="20"/>
          <w:szCs w:val="20"/>
        </w:rPr>
        <w:tab/>
        <w:t>uvozne in izvozne dajatve</w:t>
      </w:r>
      <w:r>
        <w:rPr>
          <w:rFonts w:ascii="Arial" w:hAnsi="Arial" w:cs="Arial"/>
          <w:iCs/>
          <w:sz w:val="20"/>
          <w:szCs w:val="20"/>
        </w:rPr>
        <w:t xml:space="preserve"> po</w:t>
      </w:r>
      <w:r w:rsidRPr="005F3830">
        <w:rPr>
          <w:rFonts w:ascii="Arial" w:hAnsi="Arial" w:cs="Arial"/>
          <w:iCs/>
          <w:sz w:val="20"/>
          <w:szCs w:val="20"/>
        </w:rPr>
        <w:t xml:space="preserve"> predpisi</w:t>
      </w:r>
      <w:r>
        <w:rPr>
          <w:rFonts w:ascii="Arial" w:hAnsi="Arial" w:cs="Arial"/>
          <w:iCs/>
          <w:sz w:val="20"/>
          <w:szCs w:val="20"/>
        </w:rPr>
        <w:t>h</w:t>
      </w:r>
      <w:r w:rsidRPr="005F3830">
        <w:rPr>
          <w:rFonts w:ascii="Arial" w:hAnsi="Arial" w:cs="Arial"/>
          <w:iCs/>
          <w:sz w:val="20"/>
          <w:szCs w:val="20"/>
        </w:rPr>
        <w:t xml:space="preserve"> Evropske unije,</w:t>
      </w:r>
    </w:p>
    <w:p w14:paraId="589619E4" w14:textId="77777777" w:rsidR="004B7622" w:rsidRPr="005F3830" w:rsidRDefault="004B7622" w:rsidP="004B7622">
      <w:pPr>
        <w:pStyle w:val="Odstavekseznama"/>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jc w:val="both"/>
        <w:rPr>
          <w:rFonts w:ascii="Arial" w:hAnsi="Arial" w:cs="Arial"/>
          <w:iCs/>
          <w:sz w:val="20"/>
          <w:szCs w:val="20"/>
        </w:rPr>
      </w:pPr>
      <w:r w:rsidRPr="005F3830">
        <w:rPr>
          <w:rFonts w:ascii="Arial" w:hAnsi="Arial" w:cs="Arial"/>
          <w:iCs/>
          <w:sz w:val="20"/>
          <w:szCs w:val="20"/>
        </w:rPr>
        <w:tab/>
        <w:t>prispevki za obvezno pokojninsko in invalidsko zavarovanje, obvezno zdravstveno zavarovanje, zaposlovanje in starševsko varstvo,</w:t>
      </w:r>
    </w:p>
    <w:p w14:paraId="116C1D1E" w14:textId="77777777" w:rsidR="004B7622" w:rsidRPr="005F3830" w:rsidRDefault="004B7622" w:rsidP="004B7622">
      <w:pPr>
        <w:pStyle w:val="Odstavekseznama"/>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jc w:val="both"/>
        <w:rPr>
          <w:rFonts w:ascii="Arial" w:hAnsi="Arial" w:cs="Arial"/>
          <w:iCs/>
          <w:sz w:val="20"/>
          <w:szCs w:val="20"/>
        </w:rPr>
      </w:pPr>
      <w:r w:rsidRPr="005F3830">
        <w:rPr>
          <w:rFonts w:ascii="Arial" w:hAnsi="Arial" w:cs="Arial"/>
          <w:iCs/>
          <w:sz w:val="20"/>
          <w:szCs w:val="20"/>
        </w:rPr>
        <w:tab/>
        <w:t>nadomestila, intervencijski in drugi ukrepi, ki so v celoti ali delno sistem financiranja kmetijskega usmerjevalnega in jamstvenega sklada, vključno z zneski, pobranimi v zvezi s temi ukrepi,</w:t>
      </w:r>
    </w:p>
    <w:p w14:paraId="7BA5C0D7" w14:textId="77777777" w:rsidR="004B7622" w:rsidRDefault="004B7622" w:rsidP="004B7622">
      <w:pPr>
        <w:pStyle w:val="Odstavekseznama"/>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jc w:val="both"/>
        <w:rPr>
          <w:rFonts w:ascii="Arial" w:hAnsi="Arial" w:cs="Arial"/>
          <w:iCs/>
          <w:sz w:val="20"/>
          <w:szCs w:val="20"/>
        </w:rPr>
      </w:pPr>
      <w:r w:rsidRPr="005F3830">
        <w:rPr>
          <w:rFonts w:ascii="Arial" w:hAnsi="Arial" w:cs="Arial"/>
          <w:iCs/>
          <w:sz w:val="20"/>
          <w:szCs w:val="20"/>
        </w:rPr>
        <w:tab/>
        <w:t>obresti, stroški postopka pobiranja davkov, denarne kazni in globe ter stroški postopka o prekršku, ki jih odmeri oziroma izreka davčni organ.</w:t>
      </w:r>
    </w:p>
    <w:p w14:paraId="20E3FA1C" w14:textId="77777777" w:rsidR="004B7622" w:rsidRPr="005F3830" w:rsidRDefault="004B7622" w:rsidP="004B7622">
      <w:pPr>
        <w:pStyle w:val="Odstavekseznam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jc w:val="both"/>
        <w:rPr>
          <w:rFonts w:ascii="Arial" w:hAnsi="Arial" w:cs="Arial"/>
          <w:iCs/>
          <w:sz w:val="20"/>
          <w:szCs w:val="20"/>
        </w:rPr>
      </w:pPr>
    </w:p>
    <w:p w14:paraId="64FEBD57" w14:textId="77777777" w:rsidR="004B7622" w:rsidRDefault="004B7622" w:rsidP="004B7622">
      <w:pPr>
        <w:jc w:val="both"/>
        <w:rPr>
          <w:rFonts w:ascii="Arial" w:eastAsia="Times New Roman" w:hAnsi="Arial" w:cs="Arial"/>
          <w:iCs/>
          <w:sz w:val="20"/>
          <w:szCs w:val="20"/>
          <w:lang w:eastAsia="sl-SI"/>
        </w:rPr>
      </w:pPr>
      <w:r w:rsidRPr="00C67A58">
        <w:rPr>
          <w:rFonts w:ascii="Arial" w:eastAsia="Times New Roman" w:hAnsi="Arial" w:cs="Arial"/>
          <w:iCs/>
          <w:sz w:val="20"/>
          <w:szCs w:val="20"/>
          <w:lang w:eastAsia="sl-SI"/>
        </w:rPr>
        <w:lastRenderedPageBreak/>
        <w:t>FURS v skladu z zakonom, ki ureja delovanje, organizacijo, naloge in pooblastila finančne uprave, vodi knjigovodsko evidenco</w:t>
      </w:r>
      <w:r>
        <w:rPr>
          <w:rFonts w:ascii="Arial" w:eastAsia="Times New Roman" w:hAnsi="Arial" w:cs="Arial"/>
          <w:iCs/>
          <w:sz w:val="20"/>
          <w:szCs w:val="20"/>
          <w:lang w:eastAsia="sl-SI"/>
        </w:rPr>
        <w:t>,</w:t>
      </w:r>
      <w:r w:rsidRPr="00C67A58">
        <w:rPr>
          <w:rFonts w:ascii="Arial" w:eastAsia="Times New Roman" w:hAnsi="Arial" w:cs="Arial"/>
          <w:iCs/>
          <w:sz w:val="20"/>
          <w:szCs w:val="20"/>
          <w:lang w:eastAsia="sl-SI"/>
        </w:rPr>
        <w:t xml:space="preserve"> iz katere se zagotavljajo podatki o stanju in gibanju davčnega dolga. Za vodenje davčnega knjigovodstva se smiselno uporabljajo določbe zakona, ki ureja računovodstvo.</w:t>
      </w:r>
    </w:p>
    <w:p w14:paraId="1BB2A326" w14:textId="77777777" w:rsidR="004B7622" w:rsidRDefault="004B7622" w:rsidP="004B7622">
      <w:pPr>
        <w:rPr>
          <w:rFonts w:ascii="Arial" w:hAnsi="Arial" w:cs="Arial"/>
          <w:b/>
          <w:sz w:val="20"/>
          <w:szCs w:val="20"/>
        </w:rPr>
      </w:pPr>
      <w:r w:rsidRPr="0017456E">
        <w:rPr>
          <w:rFonts w:ascii="Arial" w:hAnsi="Arial" w:cs="Arial"/>
          <w:b/>
          <w:sz w:val="20"/>
          <w:szCs w:val="20"/>
        </w:rPr>
        <w:t>3.</w:t>
      </w:r>
      <w:r w:rsidRPr="0017456E">
        <w:rPr>
          <w:rFonts w:ascii="Arial" w:hAnsi="Arial" w:cs="Arial"/>
          <w:b/>
          <w:sz w:val="20"/>
          <w:szCs w:val="20"/>
        </w:rPr>
        <w:tab/>
        <w:t xml:space="preserve">Splošno o davčnem dolgu </w:t>
      </w:r>
    </w:p>
    <w:p w14:paraId="2F29BBE7" w14:textId="77777777" w:rsidR="004B7622" w:rsidRPr="009D1136" w:rsidRDefault="004B7622" w:rsidP="004B76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eastAsia="Times New Roman" w:hAnsi="Arial" w:cs="Arial"/>
          <w:iCs/>
          <w:sz w:val="20"/>
          <w:szCs w:val="20"/>
          <w:lang w:eastAsia="sl-SI"/>
        </w:rPr>
      </w:pPr>
      <w:r w:rsidRPr="009D1136">
        <w:rPr>
          <w:rFonts w:ascii="Arial" w:eastAsia="Times New Roman" w:hAnsi="Arial" w:cs="Arial"/>
          <w:iCs/>
          <w:sz w:val="20"/>
          <w:szCs w:val="20"/>
          <w:lang w:eastAsia="sl-SI"/>
        </w:rPr>
        <w:t xml:space="preserve">Davčni dolg je stanje dolga zavezancev do FURS na presečni dan, ki vključuje vse zapadle neporavnane terjatve, ki jih odmerja, nadzira in izterjuje FURS v skladu </w:t>
      </w:r>
      <w:r>
        <w:rPr>
          <w:rFonts w:ascii="Arial" w:eastAsia="Times New Roman" w:hAnsi="Arial" w:cs="Arial"/>
          <w:iCs/>
          <w:sz w:val="20"/>
          <w:szCs w:val="20"/>
          <w:lang w:eastAsia="sl-SI"/>
        </w:rPr>
        <w:t xml:space="preserve">s </w:t>
      </w:r>
      <w:r w:rsidRPr="009D1136">
        <w:rPr>
          <w:rFonts w:ascii="Arial" w:eastAsia="Times New Roman" w:hAnsi="Arial" w:cs="Arial"/>
          <w:iCs/>
          <w:sz w:val="20"/>
          <w:szCs w:val="20"/>
          <w:lang w:eastAsia="sl-SI"/>
        </w:rPr>
        <w:t>predpisi.</w:t>
      </w:r>
    </w:p>
    <w:p w14:paraId="6F1A5140" w14:textId="77777777" w:rsidR="004B7622" w:rsidRDefault="004B7622" w:rsidP="004B76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eastAsia="Times New Roman" w:hAnsi="Arial" w:cs="Arial"/>
          <w:iCs/>
          <w:sz w:val="20"/>
          <w:szCs w:val="20"/>
          <w:lang w:eastAsia="sl-SI"/>
        </w:rPr>
      </w:pPr>
      <w:r w:rsidRPr="009D1136">
        <w:rPr>
          <w:rFonts w:ascii="Arial" w:eastAsia="Times New Roman" w:hAnsi="Arial" w:cs="Arial"/>
          <w:iCs/>
          <w:sz w:val="20"/>
          <w:szCs w:val="20"/>
          <w:lang w:eastAsia="sl-SI"/>
        </w:rPr>
        <w:t xml:space="preserve">Na stanje davčnega dolga na presečni dan </w:t>
      </w:r>
      <w:r>
        <w:rPr>
          <w:rFonts w:ascii="Arial" w:eastAsia="Times New Roman" w:hAnsi="Arial" w:cs="Arial"/>
          <w:iCs/>
          <w:sz w:val="20"/>
          <w:szCs w:val="20"/>
          <w:lang w:eastAsia="sl-SI"/>
        </w:rPr>
        <w:t xml:space="preserve">ob koncu proračunskega leta </w:t>
      </w:r>
      <w:r w:rsidRPr="009D1136">
        <w:rPr>
          <w:rFonts w:ascii="Arial" w:eastAsia="Times New Roman" w:hAnsi="Arial" w:cs="Arial"/>
          <w:iCs/>
          <w:sz w:val="20"/>
          <w:szCs w:val="20"/>
          <w:lang w:eastAsia="sl-SI"/>
        </w:rPr>
        <w:t xml:space="preserve">bistveno vplivajo </w:t>
      </w:r>
      <w:r>
        <w:rPr>
          <w:rFonts w:ascii="Arial" w:eastAsia="Times New Roman" w:hAnsi="Arial" w:cs="Arial"/>
          <w:iCs/>
          <w:sz w:val="20"/>
          <w:szCs w:val="20"/>
          <w:lang w:eastAsia="sl-SI"/>
        </w:rPr>
        <w:t xml:space="preserve">naslednja </w:t>
      </w:r>
      <w:r w:rsidRPr="009D1136">
        <w:rPr>
          <w:rFonts w:ascii="Arial" w:eastAsia="Times New Roman" w:hAnsi="Arial" w:cs="Arial"/>
          <w:iCs/>
          <w:sz w:val="20"/>
          <w:szCs w:val="20"/>
          <w:lang w:eastAsia="sl-SI"/>
        </w:rPr>
        <w:t>gibanja</w:t>
      </w:r>
      <w:r>
        <w:rPr>
          <w:rFonts w:ascii="Arial" w:eastAsia="Times New Roman" w:hAnsi="Arial" w:cs="Arial"/>
          <w:iCs/>
          <w:sz w:val="20"/>
          <w:szCs w:val="20"/>
          <w:lang w:eastAsia="sl-SI"/>
        </w:rPr>
        <w:t>:</w:t>
      </w:r>
    </w:p>
    <w:p w14:paraId="5FABF743" w14:textId="77777777" w:rsidR="004B7622" w:rsidRPr="009D1136" w:rsidRDefault="004B7622" w:rsidP="004B7622">
      <w:pPr>
        <w:pStyle w:val="Odstavekseznama"/>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jc w:val="both"/>
        <w:rPr>
          <w:rFonts w:ascii="Arial" w:hAnsi="Arial" w:cs="Arial"/>
          <w:iCs/>
          <w:sz w:val="20"/>
          <w:szCs w:val="20"/>
        </w:rPr>
      </w:pPr>
      <w:r w:rsidRPr="009D1136">
        <w:rPr>
          <w:rFonts w:ascii="Arial" w:hAnsi="Arial" w:cs="Arial"/>
          <w:iCs/>
          <w:sz w:val="20"/>
          <w:szCs w:val="20"/>
        </w:rPr>
        <w:tab/>
        <w:t xml:space="preserve">prenos odprtih zapadlih terjatev iz preteklega </w:t>
      </w:r>
      <w:r>
        <w:rPr>
          <w:rFonts w:ascii="Arial" w:hAnsi="Arial" w:cs="Arial"/>
          <w:iCs/>
          <w:sz w:val="20"/>
          <w:szCs w:val="20"/>
        </w:rPr>
        <w:t xml:space="preserve">proračunskega </w:t>
      </w:r>
      <w:r w:rsidRPr="009D1136">
        <w:rPr>
          <w:rFonts w:ascii="Arial" w:hAnsi="Arial" w:cs="Arial"/>
          <w:iCs/>
          <w:sz w:val="20"/>
          <w:szCs w:val="20"/>
        </w:rPr>
        <w:t>leta,</w:t>
      </w:r>
    </w:p>
    <w:p w14:paraId="6339BEA6" w14:textId="77777777" w:rsidR="004B7622" w:rsidRPr="009D1136" w:rsidRDefault="004B7622" w:rsidP="004B7622">
      <w:pPr>
        <w:pStyle w:val="Odstavekseznama"/>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jc w:val="both"/>
        <w:rPr>
          <w:rFonts w:ascii="Arial" w:hAnsi="Arial" w:cs="Arial"/>
          <w:iCs/>
          <w:sz w:val="20"/>
          <w:szCs w:val="20"/>
        </w:rPr>
      </w:pPr>
      <w:r w:rsidRPr="009D1136">
        <w:rPr>
          <w:rFonts w:ascii="Arial" w:hAnsi="Arial" w:cs="Arial"/>
          <w:iCs/>
          <w:sz w:val="20"/>
          <w:szCs w:val="20"/>
        </w:rPr>
        <w:tab/>
        <w:t>obseg nastalih in zmanjšanih terjatev (odmera oziroma obračun dajatev</w:t>
      </w:r>
      <w:r>
        <w:rPr>
          <w:rFonts w:ascii="Arial" w:hAnsi="Arial" w:cs="Arial"/>
          <w:iCs/>
          <w:sz w:val="20"/>
          <w:szCs w:val="20"/>
        </w:rPr>
        <w:t>, odpisi</w:t>
      </w:r>
      <w:r w:rsidRPr="009D1136">
        <w:rPr>
          <w:rFonts w:ascii="Arial" w:hAnsi="Arial" w:cs="Arial"/>
          <w:iCs/>
          <w:sz w:val="20"/>
          <w:szCs w:val="20"/>
        </w:rPr>
        <w:t xml:space="preserve">) </w:t>
      </w:r>
      <w:r>
        <w:rPr>
          <w:rFonts w:ascii="Arial" w:hAnsi="Arial" w:cs="Arial"/>
          <w:iCs/>
          <w:sz w:val="20"/>
          <w:szCs w:val="20"/>
        </w:rPr>
        <w:t xml:space="preserve">zapadlih </w:t>
      </w:r>
      <w:r w:rsidRPr="009D1136">
        <w:rPr>
          <w:rFonts w:ascii="Arial" w:hAnsi="Arial" w:cs="Arial"/>
          <w:iCs/>
          <w:sz w:val="20"/>
          <w:szCs w:val="20"/>
        </w:rPr>
        <w:t xml:space="preserve">v </w:t>
      </w:r>
      <w:r>
        <w:rPr>
          <w:rFonts w:ascii="Arial" w:hAnsi="Arial" w:cs="Arial"/>
          <w:iCs/>
          <w:sz w:val="20"/>
          <w:szCs w:val="20"/>
        </w:rPr>
        <w:t xml:space="preserve">proračunskem </w:t>
      </w:r>
      <w:r w:rsidRPr="009D1136">
        <w:rPr>
          <w:rFonts w:ascii="Arial" w:hAnsi="Arial" w:cs="Arial"/>
          <w:iCs/>
          <w:sz w:val="20"/>
          <w:szCs w:val="20"/>
        </w:rPr>
        <w:t>letu</w:t>
      </w:r>
      <w:r>
        <w:rPr>
          <w:rFonts w:ascii="Arial" w:hAnsi="Arial" w:cs="Arial"/>
          <w:iCs/>
          <w:sz w:val="20"/>
          <w:szCs w:val="20"/>
        </w:rPr>
        <w:t xml:space="preserve"> </w:t>
      </w:r>
      <w:r w:rsidRPr="009D1136">
        <w:rPr>
          <w:rFonts w:ascii="Arial" w:hAnsi="Arial" w:cs="Arial"/>
          <w:iCs/>
          <w:sz w:val="20"/>
          <w:szCs w:val="20"/>
        </w:rPr>
        <w:t>in</w:t>
      </w:r>
    </w:p>
    <w:p w14:paraId="3953C311" w14:textId="77777777" w:rsidR="004B7622" w:rsidRDefault="004B7622" w:rsidP="004B7622">
      <w:pPr>
        <w:pStyle w:val="Odstavekseznama"/>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jc w:val="both"/>
        <w:rPr>
          <w:rFonts w:ascii="Arial" w:hAnsi="Arial" w:cs="Arial"/>
          <w:iCs/>
          <w:sz w:val="20"/>
          <w:szCs w:val="20"/>
        </w:rPr>
      </w:pPr>
      <w:r w:rsidRPr="009D1136">
        <w:rPr>
          <w:rFonts w:ascii="Arial" w:hAnsi="Arial" w:cs="Arial"/>
          <w:iCs/>
          <w:sz w:val="20"/>
          <w:szCs w:val="20"/>
        </w:rPr>
        <w:tab/>
        <w:t xml:space="preserve">obseg plačanih oziroma izterjanih terjatev v </w:t>
      </w:r>
      <w:r>
        <w:rPr>
          <w:rFonts w:ascii="Arial" w:hAnsi="Arial" w:cs="Arial"/>
          <w:iCs/>
          <w:sz w:val="20"/>
          <w:szCs w:val="20"/>
        </w:rPr>
        <w:t xml:space="preserve">proračunskem </w:t>
      </w:r>
      <w:r w:rsidRPr="009D1136">
        <w:rPr>
          <w:rFonts w:ascii="Arial" w:hAnsi="Arial" w:cs="Arial"/>
          <w:iCs/>
          <w:sz w:val="20"/>
          <w:szCs w:val="20"/>
        </w:rPr>
        <w:t>letu.</w:t>
      </w:r>
    </w:p>
    <w:p w14:paraId="5D6F3811" w14:textId="77777777" w:rsidR="004B7622" w:rsidRDefault="004B7622" w:rsidP="004B7622">
      <w:pPr>
        <w:rPr>
          <w:rFonts w:ascii="Arial" w:hAnsi="Arial" w:cs="Arial"/>
          <w:b/>
          <w:sz w:val="20"/>
          <w:szCs w:val="20"/>
        </w:rPr>
      </w:pPr>
    </w:p>
    <w:p w14:paraId="0EC6DCAA" w14:textId="77777777" w:rsidR="004B7622" w:rsidRPr="0017456E" w:rsidRDefault="004B7622" w:rsidP="004B7622">
      <w:pPr>
        <w:rPr>
          <w:rFonts w:ascii="Arial" w:hAnsi="Arial" w:cs="Arial"/>
          <w:b/>
          <w:sz w:val="20"/>
          <w:szCs w:val="20"/>
        </w:rPr>
      </w:pPr>
      <w:r w:rsidRPr="0017456E">
        <w:rPr>
          <w:rFonts w:ascii="Arial" w:hAnsi="Arial" w:cs="Arial"/>
          <w:b/>
          <w:sz w:val="20"/>
          <w:szCs w:val="20"/>
        </w:rPr>
        <w:t>3.1</w:t>
      </w:r>
      <w:r w:rsidRPr="0017456E">
        <w:rPr>
          <w:rFonts w:ascii="Arial" w:hAnsi="Arial" w:cs="Arial"/>
          <w:b/>
          <w:sz w:val="20"/>
          <w:szCs w:val="20"/>
        </w:rPr>
        <w:tab/>
        <w:t xml:space="preserve">Odmera oziroma obračun dajatev </w:t>
      </w:r>
      <w:r>
        <w:rPr>
          <w:rFonts w:ascii="Arial" w:hAnsi="Arial" w:cs="Arial"/>
          <w:b/>
          <w:sz w:val="20"/>
          <w:szCs w:val="20"/>
        </w:rPr>
        <w:t>–</w:t>
      </w:r>
      <w:r w:rsidRPr="0017456E">
        <w:rPr>
          <w:rFonts w:ascii="Arial" w:hAnsi="Arial" w:cs="Arial"/>
          <w:b/>
          <w:sz w:val="20"/>
          <w:szCs w:val="20"/>
        </w:rPr>
        <w:t xml:space="preserve"> izvršilni naslovi</w:t>
      </w:r>
    </w:p>
    <w:p w14:paraId="7E0C1C3A" w14:textId="77777777" w:rsidR="004B7622" w:rsidRDefault="004B7622" w:rsidP="004B7622">
      <w:pPr>
        <w:jc w:val="both"/>
        <w:rPr>
          <w:rFonts w:ascii="Arial" w:hAnsi="Arial" w:cs="Arial"/>
          <w:sz w:val="20"/>
          <w:szCs w:val="20"/>
        </w:rPr>
      </w:pPr>
      <w:r>
        <w:rPr>
          <w:rFonts w:ascii="Arial" w:hAnsi="Arial" w:cs="Arial"/>
          <w:sz w:val="20"/>
          <w:szCs w:val="20"/>
        </w:rPr>
        <w:t>D</w:t>
      </w:r>
      <w:r w:rsidRPr="009235F6">
        <w:rPr>
          <w:rFonts w:ascii="Arial" w:hAnsi="Arial" w:cs="Arial"/>
          <w:sz w:val="20"/>
          <w:szCs w:val="20"/>
        </w:rPr>
        <w:t>avčn</w:t>
      </w:r>
      <w:r>
        <w:rPr>
          <w:rFonts w:ascii="Arial" w:hAnsi="Arial" w:cs="Arial"/>
          <w:sz w:val="20"/>
          <w:szCs w:val="20"/>
        </w:rPr>
        <w:t>i</w:t>
      </w:r>
      <w:r w:rsidRPr="009235F6">
        <w:rPr>
          <w:rFonts w:ascii="Arial" w:hAnsi="Arial" w:cs="Arial"/>
          <w:sz w:val="20"/>
          <w:szCs w:val="20"/>
        </w:rPr>
        <w:t xml:space="preserve"> dolg </w:t>
      </w:r>
      <w:r>
        <w:rPr>
          <w:rFonts w:ascii="Arial" w:hAnsi="Arial" w:cs="Arial"/>
          <w:sz w:val="20"/>
          <w:szCs w:val="20"/>
        </w:rPr>
        <w:t>nastane</w:t>
      </w:r>
      <w:r w:rsidRPr="009235F6">
        <w:rPr>
          <w:rFonts w:ascii="Arial" w:hAnsi="Arial" w:cs="Arial"/>
          <w:sz w:val="20"/>
          <w:szCs w:val="20"/>
        </w:rPr>
        <w:t xml:space="preserve">, </w:t>
      </w:r>
      <w:r>
        <w:rPr>
          <w:rFonts w:ascii="Arial" w:hAnsi="Arial" w:cs="Arial"/>
          <w:sz w:val="20"/>
          <w:szCs w:val="20"/>
        </w:rPr>
        <w:t>če</w:t>
      </w:r>
      <w:r w:rsidRPr="009235F6">
        <w:rPr>
          <w:rFonts w:ascii="Arial" w:hAnsi="Arial" w:cs="Arial"/>
          <w:sz w:val="20"/>
          <w:szCs w:val="20"/>
        </w:rPr>
        <w:t xml:space="preserve"> zavezanec v predpisanem roku ne poravna svojih odmerjenih oziroma obračunanih obveznosti, ki izhajajo iz izvršilnega naslova. Izvršilni naslovi so predvsem davčni obračuni</w:t>
      </w:r>
      <w:r>
        <w:rPr>
          <w:rFonts w:ascii="Arial" w:hAnsi="Arial" w:cs="Arial"/>
          <w:sz w:val="20"/>
          <w:szCs w:val="20"/>
        </w:rPr>
        <w:t>, ki jih</w:t>
      </w:r>
      <w:r w:rsidRPr="009235F6">
        <w:rPr>
          <w:rFonts w:ascii="Arial" w:hAnsi="Arial" w:cs="Arial"/>
          <w:sz w:val="20"/>
          <w:szCs w:val="20"/>
        </w:rPr>
        <w:t xml:space="preserve"> predlož</w:t>
      </w:r>
      <w:r>
        <w:rPr>
          <w:rFonts w:ascii="Arial" w:hAnsi="Arial" w:cs="Arial"/>
          <w:sz w:val="20"/>
          <w:szCs w:val="20"/>
        </w:rPr>
        <w:t>i</w:t>
      </w:r>
      <w:r w:rsidRPr="009235F6">
        <w:rPr>
          <w:rFonts w:ascii="Arial" w:hAnsi="Arial" w:cs="Arial"/>
          <w:sz w:val="20"/>
          <w:szCs w:val="20"/>
        </w:rPr>
        <w:t xml:space="preserve"> zavezan</w:t>
      </w:r>
      <w:r>
        <w:rPr>
          <w:rFonts w:ascii="Arial" w:hAnsi="Arial" w:cs="Arial"/>
          <w:sz w:val="20"/>
          <w:szCs w:val="20"/>
        </w:rPr>
        <w:t>ec,</w:t>
      </w:r>
      <w:r w:rsidRPr="009235F6">
        <w:rPr>
          <w:rFonts w:ascii="Arial" w:hAnsi="Arial" w:cs="Arial"/>
          <w:sz w:val="20"/>
          <w:szCs w:val="20"/>
        </w:rPr>
        <w:t xml:space="preserve"> in odločbe, ki jih izdaja FURS. Za slednje velja, da postanejo izvršljive v 30 dneh od vročitve, ne glede na to, ali zavezanec zoper njih uveljavlja pravno sredstvo (prvi odstavek 87. člena ZDavP-2). Za davčni dolg torej ni pomembna dokončnost ali celo pravnomočnost akta, iz katerega izhaja obveznost plačila. V davčn</w:t>
      </w:r>
      <w:r>
        <w:rPr>
          <w:rFonts w:ascii="Arial" w:hAnsi="Arial" w:cs="Arial"/>
          <w:sz w:val="20"/>
          <w:szCs w:val="20"/>
        </w:rPr>
        <w:t>i</w:t>
      </w:r>
      <w:r w:rsidRPr="009235F6">
        <w:rPr>
          <w:rFonts w:ascii="Arial" w:hAnsi="Arial" w:cs="Arial"/>
          <w:sz w:val="20"/>
          <w:szCs w:val="20"/>
        </w:rPr>
        <w:t xml:space="preserve"> dolg so tako vključene tudi obveznosti, ki so predmet pritožb zavezancev pri drugostopenjskem organu ali tožb pri Upravnem sodišču, vendar o pritožbi ali tožbi še ni odločeno.</w:t>
      </w:r>
    </w:p>
    <w:p w14:paraId="31A3DF4C" w14:textId="77777777" w:rsidR="004B7622" w:rsidRPr="00476F1D" w:rsidRDefault="004B7622" w:rsidP="004B7622">
      <w:pPr>
        <w:spacing w:line="260" w:lineRule="exact"/>
        <w:jc w:val="both"/>
        <w:rPr>
          <w:rFonts w:ascii="Arial" w:hAnsi="Arial" w:cs="Arial"/>
          <w:b/>
          <w:sz w:val="20"/>
          <w:szCs w:val="20"/>
        </w:rPr>
      </w:pPr>
      <w:r>
        <w:rPr>
          <w:rFonts w:ascii="Arial" w:hAnsi="Arial" w:cs="Arial"/>
          <w:b/>
          <w:sz w:val="20"/>
          <w:szCs w:val="20"/>
        </w:rPr>
        <w:t>3.2</w:t>
      </w:r>
      <w:r w:rsidRPr="001C7084">
        <w:rPr>
          <w:rFonts w:ascii="Arial" w:hAnsi="Arial" w:cs="Arial"/>
          <w:b/>
          <w:sz w:val="20"/>
          <w:szCs w:val="20"/>
        </w:rPr>
        <w:tab/>
      </w:r>
      <w:r w:rsidRPr="00E6268C">
        <w:rPr>
          <w:rFonts w:ascii="Arial" w:hAnsi="Arial" w:cs="Arial"/>
          <w:b/>
          <w:sz w:val="20"/>
          <w:szCs w:val="20"/>
        </w:rPr>
        <w:t>Zastaranje  in z</w:t>
      </w:r>
      <w:r w:rsidRPr="00E6268C">
        <w:rPr>
          <w:rFonts w:ascii="Arial" w:hAnsi="Arial" w:cs="Arial"/>
          <w:b/>
          <w:noProof/>
          <w:sz w:val="20"/>
          <w:szCs w:val="20"/>
        </w:rPr>
        <w:t>adržanje zastaranja davčnih obveznosti</w:t>
      </w:r>
    </w:p>
    <w:p w14:paraId="76BA34C2" w14:textId="77777777" w:rsidR="004B7622" w:rsidRPr="009235F6" w:rsidRDefault="004B7622" w:rsidP="004B7622">
      <w:pPr>
        <w:jc w:val="both"/>
        <w:rPr>
          <w:rFonts w:ascii="Arial" w:hAnsi="Arial" w:cs="Arial"/>
          <w:sz w:val="20"/>
          <w:szCs w:val="20"/>
        </w:rPr>
      </w:pPr>
      <w:r>
        <w:rPr>
          <w:rFonts w:ascii="Arial" w:hAnsi="Arial" w:cs="Arial"/>
          <w:sz w:val="20"/>
          <w:szCs w:val="20"/>
        </w:rPr>
        <w:t>Na obseg d</w:t>
      </w:r>
      <w:r w:rsidRPr="009235F6">
        <w:rPr>
          <w:rFonts w:ascii="Arial" w:hAnsi="Arial" w:cs="Arial"/>
          <w:sz w:val="20"/>
          <w:szCs w:val="20"/>
        </w:rPr>
        <w:t>avčn</w:t>
      </w:r>
      <w:r>
        <w:rPr>
          <w:rFonts w:ascii="Arial" w:hAnsi="Arial" w:cs="Arial"/>
          <w:sz w:val="20"/>
          <w:szCs w:val="20"/>
        </w:rPr>
        <w:t>ega</w:t>
      </w:r>
      <w:r w:rsidRPr="009235F6">
        <w:rPr>
          <w:rFonts w:ascii="Arial" w:hAnsi="Arial" w:cs="Arial"/>
          <w:sz w:val="20"/>
          <w:szCs w:val="20"/>
        </w:rPr>
        <w:t xml:space="preserve"> dolg</w:t>
      </w:r>
      <w:r>
        <w:rPr>
          <w:rFonts w:ascii="Arial" w:hAnsi="Arial" w:cs="Arial"/>
          <w:sz w:val="20"/>
          <w:szCs w:val="20"/>
        </w:rPr>
        <w:t>a, bistveno vplivajo pravila o absolutnem in relativnem zastaranju pravice do izterjave davka</w:t>
      </w:r>
      <w:r w:rsidRPr="009235F6">
        <w:rPr>
          <w:rFonts w:ascii="Arial" w:hAnsi="Arial" w:cs="Arial"/>
          <w:sz w:val="20"/>
          <w:szCs w:val="20"/>
        </w:rPr>
        <w:t xml:space="preserve">. Po določbah 125. in 126. člena ZDavP-2 </w:t>
      </w:r>
      <w:r>
        <w:rPr>
          <w:rFonts w:ascii="Arial" w:hAnsi="Arial" w:cs="Arial"/>
          <w:sz w:val="20"/>
          <w:szCs w:val="20"/>
        </w:rPr>
        <w:t xml:space="preserve">davčna obveznost preneha </w:t>
      </w:r>
      <w:r w:rsidRPr="009235F6">
        <w:rPr>
          <w:rFonts w:ascii="Arial" w:hAnsi="Arial" w:cs="Arial"/>
          <w:sz w:val="20"/>
          <w:szCs w:val="20"/>
        </w:rPr>
        <w:t>v petih oziroma desetih let</w:t>
      </w:r>
      <w:r>
        <w:rPr>
          <w:rFonts w:ascii="Arial" w:hAnsi="Arial" w:cs="Arial"/>
          <w:sz w:val="20"/>
          <w:szCs w:val="20"/>
        </w:rPr>
        <w:t>ih</w:t>
      </w:r>
      <w:r w:rsidRPr="009235F6">
        <w:rPr>
          <w:rFonts w:ascii="Arial" w:hAnsi="Arial" w:cs="Arial"/>
          <w:sz w:val="20"/>
          <w:szCs w:val="20"/>
        </w:rPr>
        <w:t xml:space="preserve"> od dneva, ko bi bilo treba davek plačati</w:t>
      </w:r>
      <w:r>
        <w:rPr>
          <w:rFonts w:ascii="Arial" w:hAnsi="Arial" w:cs="Arial"/>
          <w:sz w:val="20"/>
          <w:szCs w:val="20"/>
        </w:rPr>
        <w:t>. V strukturi davčnega dolga glede na leto nastanka dolga tako praviloma zasledimo dolgove iz preteklih 10 let, zaradi izjem pa tudi starejše dolgove.</w:t>
      </w:r>
    </w:p>
    <w:p w14:paraId="6086E19F" w14:textId="77777777" w:rsidR="004B7622" w:rsidRPr="00B5548A" w:rsidRDefault="004B7622" w:rsidP="004B7622">
      <w:pPr>
        <w:jc w:val="both"/>
        <w:rPr>
          <w:rFonts w:ascii="Arial" w:hAnsi="Arial" w:cs="Arial"/>
          <w:sz w:val="20"/>
          <w:szCs w:val="20"/>
        </w:rPr>
      </w:pPr>
      <w:r>
        <w:rPr>
          <w:rFonts w:ascii="Arial" w:hAnsi="Arial" w:cs="Arial"/>
          <w:sz w:val="20"/>
          <w:szCs w:val="20"/>
        </w:rPr>
        <w:t>I</w:t>
      </w:r>
      <w:r w:rsidRPr="00BB6503">
        <w:rPr>
          <w:rFonts w:ascii="Arial" w:hAnsi="Arial" w:cs="Arial"/>
          <w:sz w:val="20"/>
          <w:szCs w:val="20"/>
        </w:rPr>
        <w:t>zjemo od splošnega učinka zastaranja določa 126</w:t>
      </w:r>
      <w:r>
        <w:rPr>
          <w:rFonts w:ascii="Arial" w:hAnsi="Arial" w:cs="Arial"/>
          <w:sz w:val="20"/>
          <w:szCs w:val="20"/>
        </w:rPr>
        <w:t>.</w:t>
      </w:r>
      <w:r w:rsidRPr="00BB6503">
        <w:rPr>
          <w:rFonts w:ascii="Arial" w:hAnsi="Arial" w:cs="Arial"/>
          <w:sz w:val="20"/>
          <w:szCs w:val="20"/>
        </w:rPr>
        <w:t xml:space="preserve">a člen ZDavP-2, ki določa, da davčna obveznost ne preneha, če je davčni dolg zavarovan s hipoteko in če je pred potekom zastaranja pravice do </w:t>
      </w:r>
      <w:r w:rsidRPr="00B5548A">
        <w:rPr>
          <w:rFonts w:ascii="Arial" w:hAnsi="Arial" w:cs="Arial"/>
          <w:sz w:val="20"/>
          <w:szCs w:val="20"/>
        </w:rPr>
        <w:t>izterjave vložen predlog za izvršbo na nepremičnino.</w:t>
      </w:r>
      <w:r>
        <w:rPr>
          <w:rFonts w:ascii="Arial" w:hAnsi="Arial" w:cs="Arial"/>
          <w:sz w:val="20"/>
          <w:szCs w:val="20"/>
        </w:rPr>
        <w:t xml:space="preserve"> </w:t>
      </w:r>
      <w:r w:rsidRPr="00B5548A">
        <w:rPr>
          <w:rFonts w:ascii="Arial" w:hAnsi="Arial" w:cs="Arial"/>
          <w:sz w:val="20"/>
          <w:szCs w:val="20"/>
        </w:rPr>
        <w:t>Davčna obveznost preneha s poplačilom iz prodaje</w:t>
      </w:r>
      <w:r>
        <w:rPr>
          <w:rFonts w:ascii="Arial" w:hAnsi="Arial" w:cs="Arial"/>
          <w:sz w:val="20"/>
          <w:szCs w:val="20"/>
        </w:rPr>
        <w:t>.</w:t>
      </w:r>
    </w:p>
    <w:p w14:paraId="318A8760" w14:textId="77777777" w:rsidR="004B7622" w:rsidRPr="00B5548A" w:rsidRDefault="004B7622" w:rsidP="004B7622">
      <w:pPr>
        <w:spacing w:line="260" w:lineRule="exact"/>
        <w:jc w:val="both"/>
        <w:rPr>
          <w:rFonts w:ascii="Arial" w:hAnsi="Arial" w:cs="Arial"/>
          <w:noProof/>
          <w:sz w:val="20"/>
          <w:szCs w:val="20"/>
        </w:rPr>
      </w:pPr>
      <w:r w:rsidRPr="00B5548A">
        <w:rPr>
          <w:rFonts w:ascii="Arial" w:hAnsi="Arial" w:cs="Arial"/>
          <w:noProof/>
          <w:sz w:val="20"/>
          <w:szCs w:val="20"/>
        </w:rPr>
        <w:t xml:space="preserve">Zadržanje zastaranja povzročijo tudi nekateri drugi postopki, ko davčni organ ne more oziroma ne sme voditi postopka </w:t>
      </w:r>
      <w:r w:rsidRPr="00440D3B">
        <w:rPr>
          <w:rFonts w:ascii="Arial" w:hAnsi="Arial" w:cs="Arial"/>
          <w:noProof/>
          <w:sz w:val="20"/>
          <w:szCs w:val="20"/>
        </w:rPr>
        <w:t>davčne izvršbe. G</w:t>
      </w:r>
      <w:r w:rsidRPr="00440D3B">
        <w:rPr>
          <w:rFonts w:ascii="Arial" w:hAnsi="Arial" w:cs="Arial"/>
          <w:sz w:val="20"/>
          <w:szCs w:val="20"/>
        </w:rPr>
        <w:t>lavni zakonski razlogi in sodni postopki, zaradi katerih se zastaranje zadrži so postopek zaradi insolventnosti, odobren</w:t>
      </w:r>
      <w:r w:rsidRPr="00B5548A">
        <w:rPr>
          <w:rFonts w:ascii="Arial" w:hAnsi="Arial" w:cs="Arial"/>
          <w:sz w:val="20"/>
          <w:szCs w:val="20"/>
        </w:rPr>
        <w:t xml:space="preserve"> odlog oziroma obročno plačevanje davka</w:t>
      </w:r>
      <w:r>
        <w:rPr>
          <w:rFonts w:ascii="Arial" w:hAnsi="Arial" w:cs="Arial"/>
          <w:sz w:val="20"/>
          <w:szCs w:val="20"/>
        </w:rPr>
        <w:t>,</w:t>
      </w:r>
      <w:r w:rsidRPr="00B5548A">
        <w:rPr>
          <w:rFonts w:ascii="Arial" w:hAnsi="Arial" w:cs="Arial"/>
          <w:sz w:val="20"/>
          <w:szCs w:val="20"/>
        </w:rPr>
        <w:t xml:space="preserve"> zapuščinski postopek, itd. </w:t>
      </w:r>
      <w:r w:rsidRPr="00B5548A">
        <w:rPr>
          <w:rFonts w:ascii="Arial" w:hAnsi="Arial" w:cs="Arial"/>
          <w:noProof/>
          <w:sz w:val="20"/>
          <w:szCs w:val="20"/>
        </w:rPr>
        <w:t xml:space="preserve">Ko preneha razlog, zaradi katerega je bilo zastaranje zadržano davčni organ lahko nadaljuje ali začne davčno izvršbo, se tek zastaralnega roka nadaljuje. </w:t>
      </w:r>
    </w:p>
    <w:p w14:paraId="2A7835F5" w14:textId="77777777" w:rsidR="004B7622" w:rsidRPr="0017456E" w:rsidRDefault="004B7622" w:rsidP="004B7622">
      <w:pPr>
        <w:rPr>
          <w:rFonts w:ascii="Arial" w:hAnsi="Arial" w:cs="Arial"/>
          <w:b/>
          <w:sz w:val="20"/>
          <w:szCs w:val="20"/>
        </w:rPr>
      </w:pPr>
      <w:r>
        <w:rPr>
          <w:rFonts w:ascii="Arial" w:hAnsi="Arial" w:cs="Arial"/>
          <w:b/>
          <w:sz w:val="20"/>
          <w:szCs w:val="20"/>
        </w:rPr>
        <w:t>3.3</w:t>
      </w:r>
      <w:r w:rsidRPr="0017456E">
        <w:rPr>
          <w:rFonts w:ascii="Arial" w:hAnsi="Arial" w:cs="Arial"/>
          <w:b/>
          <w:sz w:val="20"/>
          <w:szCs w:val="20"/>
        </w:rPr>
        <w:tab/>
        <w:t xml:space="preserve">Vpliv likvidnostnih težav zavezancev </w:t>
      </w:r>
      <w:r>
        <w:rPr>
          <w:rFonts w:ascii="Arial" w:hAnsi="Arial" w:cs="Arial"/>
          <w:b/>
          <w:sz w:val="20"/>
          <w:szCs w:val="20"/>
        </w:rPr>
        <w:t xml:space="preserve">in napak pri plačevanju </w:t>
      </w:r>
      <w:r w:rsidRPr="0017456E">
        <w:rPr>
          <w:rFonts w:ascii="Arial" w:hAnsi="Arial" w:cs="Arial"/>
          <w:b/>
          <w:sz w:val="20"/>
          <w:szCs w:val="20"/>
        </w:rPr>
        <w:t xml:space="preserve">na davčni dolg </w:t>
      </w:r>
    </w:p>
    <w:p w14:paraId="60BAC7CD" w14:textId="77777777" w:rsidR="004B7622" w:rsidRDefault="004B7622" w:rsidP="004B7622">
      <w:pPr>
        <w:jc w:val="both"/>
        <w:rPr>
          <w:rFonts w:ascii="Arial" w:hAnsi="Arial" w:cs="Arial"/>
          <w:sz w:val="20"/>
          <w:szCs w:val="20"/>
        </w:rPr>
      </w:pPr>
      <w:r w:rsidRPr="009D6FDF">
        <w:rPr>
          <w:rFonts w:ascii="Arial" w:hAnsi="Arial" w:cs="Arial"/>
          <w:sz w:val="20"/>
          <w:szCs w:val="20"/>
        </w:rPr>
        <w:t xml:space="preserve">Poročilo je pripravljeno na presečni datum, kar pomeni, da so v davčnem dolgu zajete vse neporavnane obveznosti, ki so zapadle v plačilo do obravnavanega datuma, tudi tiste, ki so že nekaj dni po tem datumu prostovoljno poravnane s strani zavezancev. </w:t>
      </w:r>
      <w:r w:rsidRPr="00DB3C00">
        <w:rPr>
          <w:rFonts w:ascii="Arial" w:hAnsi="Arial" w:cs="Arial"/>
          <w:sz w:val="20"/>
          <w:szCs w:val="20"/>
        </w:rPr>
        <w:t xml:space="preserve">Obseg dajatev, plačanih po zapadlosti z do eno mesečno zamudo, </w:t>
      </w:r>
      <w:r w:rsidRPr="00A36872">
        <w:rPr>
          <w:rFonts w:ascii="Arial" w:hAnsi="Arial" w:cs="Arial"/>
          <w:sz w:val="20"/>
          <w:szCs w:val="20"/>
        </w:rPr>
        <w:t xml:space="preserve">se giblje od 60 do 80 mio EUR  mesečno. Najpogosteje </w:t>
      </w:r>
      <w:r w:rsidRPr="009D6FDF">
        <w:rPr>
          <w:rFonts w:ascii="Arial" w:hAnsi="Arial" w:cs="Arial"/>
          <w:sz w:val="20"/>
          <w:szCs w:val="20"/>
        </w:rPr>
        <w:t>so na tak način na presečni dan v davčnem dolgu zajete večje obveznosti zavezancev iz naslova davka na dodano vrednost in trošarin, ker je datum zapadlosti obračunov za obe vrsti davka zadnji delovni dan v mesecu.</w:t>
      </w:r>
      <w:r>
        <w:rPr>
          <w:rFonts w:ascii="Arial" w:hAnsi="Arial" w:cs="Arial"/>
          <w:sz w:val="20"/>
          <w:szCs w:val="20"/>
        </w:rPr>
        <w:t xml:space="preserve"> </w:t>
      </w:r>
    </w:p>
    <w:p w14:paraId="788FEE78" w14:textId="77777777" w:rsidR="004B7622" w:rsidRDefault="004B7622" w:rsidP="004B7622">
      <w:pPr>
        <w:jc w:val="both"/>
        <w:rPr>
          <w:rFonts w:ascii="Arial" w:hAnsi="Arial" w:cs="Arial"/>
          <w:sz w:val="20"/>
          <w:szCs w:val="20"/>
        </w:rPr>
      </w:pPr>
      <w:r w:rsidRPr="009235F6">
        <w:rPr>
          <w:rFonts w:ascii="Arial" w:hAnsi="Arial" w:cs="Arial"/>
          <w:sz w:val="20"/>
          <w:szCs w:val="20"/>
        </w:rPr>
        <w:lastRenderedPageBreak/>
        <w:t>V davčnem dolgu po stanju na presečni dan so zajete tudi neporavnane obveznosti davčnih zavezancev, ki so poravnali svoje obveznosti, vendar na napačen podračun ali z nap</w:t>
      </w:r>
      <w:r>
        <w:rPr>
          <w:rFonts w:ascii="Arial" w:hAnsi="Arial" w:cs="Arial"/>
          <w:sz w:val="20"/>
          <w:szCs w:val="20"/>
        </w:rPr>
        <w:t xml:space="preserve">ačno referenco pri plačilu. </w:t>
      </w:r>
      <w:r w:rsidRPr="009235F6">
        <w:rPr>
          <w:rFonts w:ascii="Arial" w:hAnsi="Arial" w:cs="Arial"/>
          <w:sz w:val="20"/>
          <w:szCs w:val="20"/>
        </w:rPr>
        <w:t xml:space="preserve">FURS v tem primeru </w:t>
      </w:r>
      <w:r>
        <w:rPr>
          <w:rFonts w:ascii="Arial" w:hAnsi="Arial" w:cs="Arial"/>
          <w:sz w:val="20"/>
          <w:szCs w:val="20"/>
        </w:rPr>
        <w:t>izvede</w:t>
      </w:r>
      <w:r w:rsidRPr="009235F6">
        <w:rPr>
          <w:rFonts w:ascii="Arial" w:hAnsi="Arial" w:cs="Arial"/>
          <w:sz w:val="20"/>
          <w:szCs w:val="20"/>
        </w:rPr>
        <w:t xml:space="preserve"> postopek razčiščevanja plačil (stik z zavezancem, poizvedba na Uprav</w:t>
      </w:r>
      <w:r>
        <w:rPr>
          <w:rFonts w:ascii="Arial" w:hAnsi="Arial" w:cs="Arial"/>
          <w:sz w:val="20"/>
          <w:szCs w:val="20"/>
        </w:rPr>
        <w:t>i</w:t>
      </w:r>
      <w:r w:rsidRPr="009235F6">
        <w:rPr>
          <w:rFonts w:ascii="Arial" w:hAnsi="Arial" w:cs="Arial"/>
          <w:sz w:val="20"/>
          <w:szCs w:val="20"/>
        </w:rPr>
        <w:t xml:space="preserve"> Republike Slovenije za javna plačila in banke</w:t>
      </w:r>
      <w:r>
        <w:rPr>
          <w:rFonts w:ascii="Arial" w:hAnsi="Arial" w:cs="Arial"/>
          <w:sz w:val="20"/>
          <w:szCs w:val="20"/>
        </w:rPr>
        <w:t xml:space="preserve"> ipd.</w:t>
      </w:r>
      <w:r w:rsidRPr="009235F6">
        <w:rPr>
          <w:rFonts w:ascii="Arial" w:hAnsi="Arial" w:cs="Arial"/>
          <w:sz w:val="20"/>
          <w:szCs w:val="20"/>
        </w:rPr>
        <w:t xml:space="preserve">). Zaradi </w:t>
      </w:r>
      <w:r>
        <w:rPr>
          <w:rFonts w:ascii="Arial" w:hAnsi="Arial" w:cs="Arial"/>
          <w:sz w:val="20"/>
          <w:szCs w:val="20"/>
        </w:rPr>
        <w:t xml:space="preserve">precejšnjega </w:t>
      </w:r>
      <w:r w:rsidRPr="009235F6">
        <w:rPr>
          <w:rFonts w:ascii="Arial" w:hAnsi="Arial" w:cs="Arial"/>
          <w:sz w:val="20"/>
          <w:szCs w:val="20"/>
        </w:rPr>
        <w:t xml:space="preserve">obsega </w:t>
      </w:r>
      <w:r>
        <w:rPr>
          <w:rFonts w:ascii="Arial" w:hAnsi="Arial" w:cs="Arial"/>
          <w:sz w:val="20"/>
          <w:szCs w:val="20"/>
        </w:rPr>
        <w:t>p</w:t>
      </w:r>
      <w:r w:rsidRPr="009235F6">
        <w:rPr>
          <w:rFonts w:ascii="Arial" w:hAnsi="Arial" w:cs="Arial"/>
          <w:sz w:val="20"/>
          <w:szCs w:val="20"/>
        </w:rPr>
        <w:t xml:space="preserve">rimerov </w:t>
      </w:r>
      <w:r>
        <w:rPr>
          <w:rFonts w:ascii="Arial" w:hAnsi="Arial" w:cs="Arial"/>
          <w:sz w:val="20"/>
          <w:szCs w:val="20"/>
        </w:rPr>
        <w:t xml:space="preserve">takih </w:t>
      </w:r>
      <w:r w:rsidRPr="00A36872">
        <w:rPr>
          <w:rFonts w:ascii="Arial" w:hAnsi="Arial" w:cs="Arial"/>
          <w:sz w:val="20"/>
          <w:szCs w:val="20"/>
        </w:rPr>
        <w:t xml:space="preserve">plačil (4,5 odstotka), usklajevanje </w:t>
      </w:r>
      <w:r w:rsidRPr="009235F6">
        <w:rPr>
          <w:rFonts w:ascii="Arial" w:hAnsi="Arial" w:cs="Arial"/>
          <w:sz w:val="20"/>
          <w:szCs w:val="20"/>
        </w:rPr>
        <w:t xml:space="preserve">lahko traja </w:t>
      </w:r>
      <w:r>
        <w:rPr>
          <w:rFonts w:ascii="Arial" w:hAnsi="Arial" w:cs="Arial"/>
          <w:sz w:val="20"/>
          <w:szCs w:val="20"/>
        </w:rPr>
        <w:t>nekaj</w:t>
      </w:r>
      <w:r w:rsidRPr="009235F6">
        <w:rPr>
          <w:rFonts w:ascii="Arial" w:hAnsi="Arial" w:cs="Arial"/>
          <w:sz w:val="20"/>
          <w:szCs w:val="20"/>
        </w:rPr>
        <w:t xml:space="preserve"> dni.</w:t>
      </w:r>
      <w:r>
        <w:rPr>
          <w:rFonts w:ascii="Arial" w:hAnsi="Arial" w:cs="Arial"/>
          <w:sz w:val="20"/>
          <w:szCs w:val="20"/>
        </w:rPr>
        <w:t xml:space="preserve"> V roku 30 dni od prejema plačila pa FURS izvaja tudi izravnave med javnofinančnimi blagajnami, pobote oziroma preveč plačane dajatve vrne.</w:t>
      </w:r>
    </w:p>
    <w:p w14:paraId="44BC5A1E" w14:textId="77777777" w:rsidR="004B7622" w:rsidRPr="00527DB1" w:rsidRDefault="004B7622" w:rsidP="004B7622">
      <w:pPr>
        <w:rPr>
          <w:rFonts w:ascii="Arial" w:hAnsi="Arial" w:cs="Arial"/>
          <w:b/>
        </w:rPr>
      </w:pPr>
      <w:r w:rsidRPr="001032E4">
        <w:rPr>
          <w:rFonts w:ascii="Arial" w:hAnsi="Arial" w:cs="Arial"/>
          <w:b/>
        </w:rPr>
        <w:t>4.      Davčni dolg</w:t>
      </w:r>
      <w:r w:rsidRPr="00527DB1">
        <w:rPr>
          <w:rFonts w:ascii="Arial" w:hAnsi="Arial" w:cs="Arial"/>
          <w:b/>
        </w:rPr>
        <w:t xml:space="preserve"> </w:t>
      </w:r>
    </w:p>
    <w:p w14:paraId="08DA19BA" w14:textId="77777777" w:rsidR="004B7622" w:rsidRDefault="004B7622" w:rsidP="004B7622">
      <w:pPr>
        <w:jc w:val="both"/>
        <w:rPr>
          <w:rFonts w:ascii="Arial" w:hAnsi="Arial" w:cs="Arial"/>
          <w:sz w:val="20"/>
          <w:szCs w:val="20"/>
        </w:rPr>
      </w:pPr>
      <w:r w:rsidRPr="00773D0C">
        <w:rPr>
          <w:rFonts w:ascii="Arial" w:hAnsi="Arial" w:cs="Arial"/>
          <w:sz w:val="20"/>
          <w:szCs w:val="20"/>
        </w:rPr>
        <w:t>Po stanju na dan 31. 12. 20</w:t>
      </w:r>
      <w:r>
        <w:rPr>
          <w:rFonts w:ascii="Arial" w:hAnsi="Arial" w:cs="Arial"/>
          <w:sz w:val="20"/>
          <w:szCs w:val="20"/>
        </w:rPr>
        <w:t>21</w:t>
      </w:r>
      <w:r w:rsidRPr="00773D0C">
        <w:rPr>
          <w:rFonts w:ascii="Arial" w:hAnsi="Arial" w:cs="Arial"/>
          <w:sz w:val="20"/>
          <w:szCs w:val="20"/>
        </w:rPr>
        <w:t xml:space="preserve"> je znašal davčni dolg </w:t>
      </w:r>
      <w:r w:rsidRPr="00ED1B12">
        <w:rPr>
          <w:rFonts w:ascii="Arial" w:hAnsi="Arial" w:cs="Arial"/>
          <w:sz w:val="20"/>
          <w:szCs w:val="20"/>
        </w:rPr>
        <w:t>918.507.974</w:t>
      </w:r>
      <w:r w:rsidRPr="00773D0C">
        <w:rPr>
          <w:rFonts w:ascii="Arial" w:hAnsi="Arial" w:cs="Arial"/>
          <w:sz w:val="20"/>
          <w:szCs w:val="20"/>
        </w:rPr>
        <w:t xml:space="preserve"> EUR. V navedenem znesku dolga so poleg neporavnanih zapadlih obveznosti zajete tudi zaračunane zamudne obresti, ki predstavljajo 1</w:t>
      </w:r>
      <w:r>
        <w:rPr>
          <w:rFonts w:ascii="Arial" w:hAnsi="Arial" w:cs="Arial"/>
          <w:sz w:val="20"/>
          <w:szCs w:val="20"/>
        </w:rPr>
        <w:t>4</w:t>
      </w:r>
      <w:r w:rsidRPr="00773D0C">
        <w:rPr>
          <w:rFonts w:ascii="Arial" w:hAnsi="Arial" w:cs="Arial"/>
          <w:sz w:val="20"/>
          <w:szCs w:val="20"/>
        </w:rPr>
        <w:t>,</w:t>
      </w:r>
      <w:r>
        <w:rPr>
          <w:rFonts w:ascii="Arial" w:hAnsi="Arial" w:cs="Arial"/>
          <w:sz w:val="20"/>
          <w:szCs w:val="20"/>
        </w:rPr>
        <w:t>4</w:t>
      </w:r>
      <w:r w:rsidRPr="00773D0C">
        <w:rPr>
          <w:rFonts w:ascii="Arial" w:hAnsi="Arial" w:cs="Arial"/>
          <w:sz w:val="20"/>
          <w:szCs w:val="20"/>
        </w:rPr>
        <w:t xml:space="preserve"> odstotka dolga oziroma </w:t>
      </w:r>
      <w:r w:rsidRPr="00ED1B12">
        <w:rPr>
          <w:rFonts w:ascii="Arial" w:hAnsi="Arial" w:cs="Arial"/>
          <w:sz w:val="20"/>
          <w:szCs w:val="20"/>
        </w:rPr>
        <w:t>132.515.417</w:t>
      </w:r>
      <w:r w:rsidRPr="00773D0C">
        <w:rPr>
          <w:rFonts w:ascii="Arial" w:hAnsi="Arial" w:cs="Arial"/>
          <w:sz w:val="20"/>
          <w:szCs w:val="20"/>
        </w:rPr>
        <w:t xml:space="preserve"> EUR.</w:t>
      </w:r>
    </w:p>
    <w:p w14:paraId="3219AC78" w14:textId="77777777" w:rsidR="004B7622" w:rsidRDefault="004B7622" w:rsidP="004B7622">
      <w:pPr>
        <w:jc w:val="both"/>
        <w:rPr>
          <w:rFonts w:ascii="Arial" w:hAnsi="Arial" w:cs="Arial"/>
          <w:i/>
          <w:sz w:val="20"/>
          <w:szCs w:val="20"/>
        </w:rPr>
      </w:pPr>
      <w:r w:rsidRPr="00BE3E02">
        <w:rPr>
          <w:rFonts w:ascii="Arial" w:hAnsi="Arial" w:cs="Arial"/>
          <w:bCs/>
          <w:i/>
          <w:sz w:val="20"/>
          <w:szCs w:val="20"/>
        </w:rPr>
        <w:t>Preglednica</w:t>
      </w:r>
      <w:r w:rsidRPr="00BE3E02">
        <w:rPr>
          <w:rFonts w:ascii="Arial" w:hAnsi="Arial" w:cs="Arial"/>
          <w:i/>
          <w:sz w:val="20"/>
          <w:szCs w:val="20"/>
        </w:rPr>
        <w:t xml:space="preserve"> 2</w:t>
      </w:r>
      <w:r>
        <w:rPr>
          <w:rFonts w:ascii="Arial" w:hAnsi="Arial" w:cs="Arial"/>
          <w:i/>
          <w:sz w:val="20"/>
          <w:szCs w:val="20"/>
        </w:rPr>
        <w:t xml:space="preserve">: </w:t>
      </w:r>
      <w:r w:rsidRPr="00BE3E02">
        <w:rPr>
          <w:rFonts w:ascii="Arial" w:hAnsi="Arial" w:cs="Arial"/>
          <w:i/>
          <w:sz w:val="20"/>
          <w:szCs w:val="20"/>
        </w:rPr>
        <w:t>Stanje in gibanje davčnega dolga v EUR</w:t>
      </w:r>
    </w:p>
    <w:tbl>
      <w:tblPr>
        <w:tblW w:w="9152" w:type="dxa"/>
        <w:tblCellMar>
          <w:left w:w="70" w:type="dxa"/>
          <w:right w:w="70" w:type="dxa"/>
        </w:tblCellMar>
        <w:tblLook w:val="04A0" w:firstRow="1" w:lastRow="0" w:firstColumn="1" w:lastColumn="0" w:noHBand="0" w:noVBand="1"/>
      </w:tblPr>
      <w:tblGrid>
        <w:gridCol w:w="1702"/>
        <w:gridCol w:w="1420"/>
        <w:gridCol w:w="1253"/>
        <w:gridCol w:w="1253"/>
        <w:gridCol w:w="1197"/>
        <w:gridCol w:w="1197"/>
        <w:gridCol w:w="1197"/>
      </w:tblGrid>
      <w:tr w:rsidR="004B7622" w:rsidRPr="00ED1B12" w14:paraId="138C8A0C" w14:textId="77777777" w:rsidTr="00377989">
        <w:trPr>
          <w:trHeight w:val="619"/>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A3E67" w14:textId="77777777" w:rsidR="004B7622" w:rsidRPr="00ED1B12" w:rsidRDefault="004B7622" w:rsidP="00377989">
            <w:pPr>
              <w:spacing w:after="0" w:line="240" w:lineRule="auto"/>
              <w:rPr>
                <w:rFonts w:ascii="Arial" w:eastAsia="Times New Roman" w:hAnsi="Arial" w:cs="Arial"/>
                <w:sz w:val="20"/>
                <w:szCs w:val="20"/>
                <w:lang w:eastAsia="sl-SI"/>
              </w:rPr>
            </w:pPr>
            <w:r w:rsidRPr="00ED1B12">
              <w:rPr>
                <w:rFonts w:ascii="Arial" w:eastAsia="Times New Roman" w:hAnsi="Arial" w:cs="Arial"/>
                <w:sz w:val="20"/>
                <w:szCs w:val="20"/>
                <w:lang w:eastAsia="sl-SI"/>
              </w:rPr>
              <w:t> </w:t>
            </w:r>
          </w:p>
        </w:tc>
        <w:tc>
          <w:tcPr>
            <w:tcW w:w="1408" w:type="dxa"/>
            <w:tcBorders>
              <w:top w:val="single" w:sz="4" w:space="0" w:color="auto"/>
              <w:left w:val="nil"/>
              <w:bottom w:val="single" w:sz="4" w:space="0" w:color="auto"/>
              <w:right w:val="nil"/>
            </w:tcBorders>
            <w:shd w:val="clear" w:color="auto" w:fill="auto"/>
            <w:vAlign w:val="center"/>
            <w:hideMark/>
          </w:tcPr>
          <w:p w14:paraId="2438C1D9" w14:textId="77777777" w:rsidR="004B7622" w:rsidRPr="00ED1B12" w:rsidRDefault="004B7622" w:rsidP="00377989">
            <w:pPr>
              <w:spacing w:after="0" w:line="240" w:lineRule="auto"/>
              <w:jc w:val="center"/>
              <w:rPr>
                <w:rFonts w:ascii="Arial" w:eastAsia="Times New Roman" w:hAnsi="Arial" w:cs="Arial"/>
                <w:b/>
                <w:bCs/>
                <w:sz w:val="20"/>
                <w:szCs w:val="20"/>
                <w:lang w:eastAsia="sl-SI"/>
              </w:rPr>
            </w:pPr>
            <w:r w:rsidRPr="00ED1B12">
              <w:rPr>
                <w:rFonts w:ascii="Arial" w:eastAsia="Times New Roman" w:hAnsi="Arial" w:cs="Arial"/>
                <w:b/>
                <w:bCs/>
                <w:sz w:val="20"/>
                <w:szCs w:val="20"/>
                <w:lang w:eastAsia="sl-SI"/>
              </w:rPr>
              <w:t>31.12.2019</w:t>
            </w:r>
          </w:p>
        </w:tc>
        <w:tc>
          <w:tcPr>
            <w:tcW w:w="1242" w:type="dxa"/>
            <w:tcBorders>
              <w:top w:val="single" w:sz="4" w:space="0" w:color="auto"/>
              <w:left w:val="single" w:sz="4" w:space="0" w:color="auto"/>
              <w:bottom w:val="single" w:sz="4" w:space="0" w:color="auto"/>
              <w:right w:val="nil"/>
            </w:tcBorders>
            <w:shd w:val="clear" w:color="auto" w:fill="auto"/>
            <w:vAlign w:val="center"/>
            <w:hideMark/>
          </w:tcPr>
          <w:p w14:paraId="30715FCD" w14:textId="77777777" w:rsidR="004B7622" w:rsidRPr="00ED1B12" w:rsidRDefault="004B7622" w:rsidP="00377989">
            <w:pPr>
              <w:spacing w:after="0" w:line="240" w:lineRule="auto"/>
              <w:jc w:val="center"/>
              <w:rPr>
                <w:rFonts w:ascii="Arial" w:eastAsia="Times New Roman" w:hAnsi="Arial" w:cs="Arial"/>
                <w:b/>
                <w:bCs/>
                <w:sz w:val="20"/>
                <w:szCs w:val="20"/>
                <w:lang w:eastAsia="sl-SI"/>
              </w:rPr>
            </w:pPr>
            <w:r w:rsidRPr="00ED1B12">
              <w:rPr>
                <w:rFonts w:ascii="Arial" w:eastAsia="Times New Roman" w:hAnsi="Arial" w:cs="Arial"/>
                <w:b/>
                <w:bCs/>
                <w:sz w:val="20"/>
                <w:szCs w:val="20"/>
                <w:lang w:eastAsia="sl-SI"/>
              </w:rPr>
              <w:t>31.12.2020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4F745" w14:textId="77777777" w:rsidR="004B7622" w:rsidRPr="00ED1B12" w:rsidRDefault="004B7622" w:rsidP="00377989">
            <w:pPr>
              <w:spacing w:after="0" w:line="240" w:lineRule="auto"/>
              <w:jc w:val="center"/>
              <w:rPr>
                <w:rFonts w:ascii="Arial" w:eastAsia="Times New Roman" w:hAnsi="Arial" w:cs="Arial"/>
                <w:b/>
                <w:bCs/>
                <w:sz w:val="20"/>
                <w:szCs w:val="20"/>
                <w:lang w:eastAsia="sl-SI"/>
              </w:rPr>
            </w:pPr>
            <w:r w:rsidRPr="00ED1B12">
              <w:rPr>
                <w:rFonts w:ascii="Arial" w:eastAsia="Times New Roman" w:hAnsi="Arial" w:cs="Arial"/>
                <w:b/>
                <w:bCs/>
                <w:sz w:val="20"/>
                <w:szCs w:val="20"/>
                <w:lang w:eastAsia="sl-SI"/>
              </w:rPr>
              <w:t>31.12.2021</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14:paraId="0A3EC399" w14:textId="77777777" w:rsidR="004B7622" w:rsidRPr="00ED1B12" w:rsidRDefault="004B7622" w:rsidP="00377989">
            <w:pPr>
              <w:spacing w:after="0" w:line="240" w:lineRule="auto"/>
              <w:jc w:val="center"/>
              <w:rPr>
                <w:rFonts w:ascii="Arial" w:eastAsia="Times New Roman" w:hAnsi="Arial" w:cs="Arial"/>
                <w:b/>
                <w:bCs/>
                <w:color w:val="000000"/>
                <w:sz w:val="20"/>
                <w:szCs w:val="20"/>
                <w:lang w:eastAsia="sl-SI"/>
              </w:rPr>
            </w:pPr>
            <w:r w:rsidRPr="00ED1B12">
              <w:rPr>
                <w:rFonts w:ascii="Arial" w:eastAsia="Times New Roman" w:hAnsi="Arial" w:cs="Arial"/>
                <w:b/>
                <w:bCs/>
                <w:color w:val="000000"/>
                <w:sz w:val="20"/>
                <w:szCs w:val="20"/>
                <w:lang w:eastAsia="sl-SI"/>
              </w:rPr>
              <w:t xml:space="preserve">IND </w:t>
            </w:r>
            <w:r w:rsidRPr="00ED1B12">
              <w:rPr>
                <w:rFonts w:ascii="Arial" w:eastAsia="Times New Roman" w:hAnsi="Arial" w:cs="Arial"/>
                <w:b/>
                <w:bCs/>
                <w:color w:val="000000"/>
                <w:sz w:val="20"/>
                <w:szCs w:val="20"/>
                <w:lang w:eastAsia="sl-SI"/>
              </w:rPr>
              <w:br/>
              <w:t>31.12.2020/</w:t>
            </w:r>
            <w:r w:rsidRPr="00ED1B12">
              <w:rPr>
                <w:rFonts w:ascii="Arial" w:eastAsia="Times New Roman" w:hAnsi="Arial" w:cs="Arial"/>
                <w:b/>
                <w:bCs/>
                <w:color w:val="000000"/>
                <w:sz w:val="20"/>
                <w:szCs w:val="20"/>
                <w:lang w:eastAsia="sl-SI"/>
              </w:rPr>
              <w:br/>
              <w:t>31.12.2019</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14:paraId="24E27A88" w14:textId="77777777" w:rsidR="004B7622" w:rsidRPr="00ED1B12" w:rsidRDefault="004B7622" w:rsidP="00377989">
            <w:pPr>
              <w:spacing w:after="0" w:line="240" w:lineRule="auto"/>
              <w:jc w:val="center"/>
              <w:rPr>
                <w:rFonts w:ascii="Arial" w:eastAsia="Times New Roman" w:hAnsi="Arial" w:cs="Arial"/>
                <w:b/>
                <w:bCs/>
                <w:color w:val="000000"/>
                <w:sz w:val="20"/>
                <w:szCs w:val="20"/>
                <w:lang w:eastAsia="sl-SI"/>
              </w:rPr>
            </w:pPr>
            <w:r w:rsidRPr="00ED1B12">
              <w:rPr>
                <w:rFonts w:ascii="Arial" w:eastAsia="Times New Roman" w:hAnsi="Arial" w:cs="Arial"/>
                <w:b/>
                <w:bCs/>
                <w:color w:val="000000"/>
                <w:sz w:val="20"/>
                <w:szCs w:val="20"/>
                <w:lang w:eastAsia="sl-SI"/>
              </w:rPr>
              <w:t xml:space="preserve">IND </w:t>
            </w:r>
            <w:r w:rsidRPr="00ED1B12">
              <w:rPr>
                <w:rFonts w:ascii="Arial" w:eastAsia="Times New Roman" w:hAnsi="Arial" w:cs="Arial"/>
                <w:b/>
                <w:bCs/>
                <w:color w:val="000000"/>
                <w:sz w:val="20"/>
                <w:szCs w:val="20"/>
                <w:lang w:eastAsia="sl-SI"/>
              </w:rPr>
              <w:br/>
              <w:t>31.12.2021/</w:t>
            </w:r>
            <w:r w:rsidRPr="00ED1B12">
              <w:rPr>
                <w:rFonts w:ascii="Arial" w:eastAsia="Times New Roman" w:hAnsi="Arial" w:cs="Arial"/>
                <w:b/>
                <w:bCs/>
                <w:color w:val="000000"/>
                <w:sz w:val="20"/>
                <w:szCs w:val="20"/>
                <w:lang w:eastAsia="sl-SI"/>
              </w:rPr>
              <w:br/>
              <w:t>31.12.2019</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14:paraId="1F8384DB" w14:textId="77777777" w:rsidR="004B7622" w:rsidRPr="00ED1B12" w:rsidRDefault="004B7622" w:rsidP="00377989">
            <w:pPr>
              <w:spacing w:after="0" w:line="240" w:lineRule="auto"/>
              <w:jc w:val="center"/>
              <w:rPr>
                <w:rFonts w:ascii="Arial" w:eastAsia="Times New Roman" w:hAnsi="Arial" w:cs="Arial"/>
                <w:b/>
                <w:bCs/>
                <w:color w:val="000000"/>
                <w:sz w:val="20"/>
                <w:szCs w:val="20"/>
                <w:lang w:eastAsia="sl-SI"/>
              </w:rPr>
            </w:pPr>
            <w:r w:rsidRPr="00ED1B12">
              <w:rPr>
                <w:rFonts w:ascii="Arial" w:eastAsia="Times New Roman" w:hAnsi="Arial" w:cs="Arial"/>
                <w:b/>
                <w:bCs/>
                <w:color w:val="000000"/>
                <w:sz w:val="20"/>
                <w:szCs w:val="20"/>
                <w:lang w:eastAsia="sl-SI"/>
              </w:rPr>
              <w:t>IND 31.12.2021/</w:t>
            </w:r>
            <w:r w:rsidRPr="00ED1B12">
              <w:rPr>
                <w:rFonts w:ascii="Arial" w:eastAsia="Times New Roman" w:hAnsi="Arial" w:cs="Arial"/>
                <w:b/>
                <w:bCs/>
                <w:color w:val="000000"/>
                <w:sz w:val="20"/>
                <w:szCs w:val="20"/>
                <w:lang w:eastAsia="sl-SI"/>
              </w:rPr>
              <w:br/>
              <w:t>31.12.2020</w:t>
            </w:r>
          </w:p>
        </w:tc>
      </w:tr>
      <w:tr w:rsidR="004B7622" w:rsidRPr="00ED1B12" w14:paraId="7349A914" w14:textId="77777777" w:rsidTr="00377989">
        <w:trPr>
          <w:trHeight w:val="273"/>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198A296" w14:textId="77777777" w:rsidR="004B7622" w:rsidRPr="00ED1B12" w:rsidRDefault="004B7622" w:rsidP="00377989">
            <w:pPr>
              <w:spacing w:after="0" w:line="240" w:lineRule="auto"/>
              <w:rPr>
                <w:rFonts w:ascii="Arial" w:eastAsia="Times New Roman" w:hAnsi="Arial" w:cs="Arial"/>
                <w:sz w:val="20"/>
                <w:szCs w:val="20"/>
                <w:lang w:eastAsia="sl-SI"/>
              </w:rPr>
            </w:pPr>
            <w:r w:rsidRPr="00ED1B12">
              <w:rPr>
                <w:rFonts w:ascii="Arial" w:eastAsia="Times New Roman" w:hAnsi="Arial" w:cs="Arial"/>
                <w:sz w:val="20"/>
                <w:szCs w:val="20"/>
                <w:lang w:eastAsia="sl-SI"/>
              </w:rPr>
              <w:t>Glavnica</w:t>
            </w:r>
          </w:p>
        </w:tc>
        <w:tc>
          <w:tcPr>
            <w:tcW w:w="1408" w:type="dxa"/>
            <w:tcBorders>
              <w:top w:val="nil"/>
              <w:left w:val="nil"/>
              <w:bottom w:val="single" w:sz="4" w:space="0" w:color="auto"/>
              <w:right w:val="nil"/>
            </w:tcBorders>
            <w:shd w:val="clear" w:color="auto" w:fill="auto"/>
            <w:vAlign w:val="center"/>
            <w:hideMark/>
          </w:tcPr>
          <w:p w14:paraId="27A21F1F" w14:textId="77777777" w:rsidR="004B7622" w:rsidRPr="00ED1B12" w:rsidRDefault="004B7622" w:rsidP="00377989">
            <w:pPr>
              <w:spacing w:after="0" w:line="240" w:lineRule="auto"/>
              <w:jc w:val="right"/>
              <w:rPr>
                <w:rFonts w:ascii="Arial" w:eastAsia="Times New Roman" w:hAnsi="Arial" w:cs="Arial"/>
                <w:sz w:val="20"/>
                <w:szCs w:val="20"/>
                <w:lang w:eastAsia="sl-SI"/>
              </w:rPr>
            </w:pPr>
            <w:r w:rsidRPr="00ED1B12">
              <w:rPr>
                <w:rFonts w:ascii="Arial" w:eastAsia="Times New Roman" w:hAnsi="Arial" w:cs="Arial"/>
                <w:sz w:val="20"/>
                <w:szCs w:val="20"/>
                <w:lang w:eastAsia="sl-SI"/>
              </w:rPr>
              <w:t>1.025.046.652</w:t>
            </w:r>
          </w:p>
        </w:tc>
        <w:tc>
          <w:tcPr>
            <w:tcW w:w="1242" w:type="dxa"/>
            <w:tcBorders>
              <w:top w:val="nil"/>
              <w:left w:val="single" w:sz="4" w:space="0" w:color="auto"/>
              <w:bottom w:val="single" w:sz="4" w:space="0" w:color="auto"/>
              <w:right w:val="nil"/>
            </w:tcBorders>
            <w:shd w:val="clear" w:color="auto" w:fill="auto"/>
            <w:vAlign w:val="center"/>
            <w:hideMark/>
          </w:tcPr>
          <w:p w14:paraId="1190BECF" w14:textId="77777777" w:rsidR="004B7622" w:rsidRPr="00ED1B12" w:rsidRDefault="004B7622" w:rsidP="00377989">
            <w:pPr>
              <w:spacing w:after="0" w:line="240" w:lineRule="auto"/>
              <w:jc w:val="right"/>
              <w:rPr>
                <w:rFonts w:ascii="Arial" w:eastAsia="Times New Roman" w:hAnsi="Arial" w:cs="Arial"/>
                <w:sz w:val="20"/>
                <w:szCs w:val="20"/>
                <w:lang w:eastAsia="sl-SI"/>
              </w:rPr>
            </w:pPr>
            <w:r w:rsidRPr="00ED1B12">
              <w:rPr>
                <w:rFonts w:ascii="Arial" w:eastAsia="Times New Roman" w:hAnsi="Arial" w:cs="Arial"/>
                <w:sz w:val="20"/>
                <w:szCs w:val="20"/>
                <w:lang w:eastAsia="sl-SI"/>
              </w:rPr>
              <w:t>859.091.376</w:t>
            </w:r>
          </w:p>
        </w:tc>
        <w:tc>
          <w:tcPr>
            <w:tcW w:w="1242" w:type="dxa"/>
            <w:tcBorders>
              <w:top w:val="nil"/>
              <w:left w:val="single" w:sz="4" w:space="0" w:color="auto"/>
              <w:bottom w:val="single" w:sz="4" w:space="0" w:color="auto"/>
              <w:right w:val="single" w:sz="4" w:space="0" w:color="auto"/>
            </w:tcBorders>
            <w:shd w:val="clear" w:color="auto" w:fill="auto"/>
            <w:vAlign w:val="center"/>
            <w:hideMark/>
          </w:tcPr>
          <w:p w14:paraId="78F4B6CE" w14:textId="77777777" w:rsidR="004B7622" w:rsidRPr="00ED1B12" w:rsidRDefault="004B7622" w:rsidP="00377989">
            <w:pPr>
              <w:spacing w:after="0" w:line="240" w:lineRule="auto"/>
              <w:jc w:val="right"/>
              <w:rPr>
                <w:rFonts w:ascii="Arial" w:eastAsia="Times New Roman" w:hAnsi="Arial" w:cs="Arial"/>
                <w:sz w:val="20"/>
                <w:szCs w:val="20"/>
                <w:lang w:eastAsia="sl-SI"/>
              </w:rPr>
            </w:pPr>
            <w:r w:rsidRPr="00ED1B12">
              <w:rPr>
                <w:rFonts w:ascii="Arial" w:eastAsia="Times New Roman" w:hAnsi="Arial" w:cs="Arial"/>
                <w:sz w:val="20"/>
                <w:szCs w:val="20"/>
                <w:lang w:eastAsia="sl-SI"/>
              </w:rPr>
              <w:t>785.992.557</w:t>
            </w:r>
          </w:p>
        </w:tc>
        <w:tc>
          <w:tcPr>
            <w:tcW w:w="1186" w:type="dxa"/>
            <w:tcBorders>
              <w:top w:val="nil"/>
              <w:left w:val="nil"/>
              <w:bottom w:val="single" w:sz="4" w:space="0" w:color="auto"/>
              <w:right w:val="single" w:sz="4" w:space="0" w:color="auto"/>
            </w:tcBorders>
            <w:shd w:val="clear" w:color="auto" w:fill="auto"/>
            <w:vAlign w:val="center"/>
            <w:hideMark/>
          </w:tcPr>
          <w:p w14:paraId="5F15F219" w14:textId="77777777" w:rsidR="004B7622" w:rsidRPr="00ED1B12" w:rsidRDefault="004B7622" w:rsidP="00377989">
            <w:pPr>
              <w:spacing w:after="0" w:line="240" w:lineRule="auto"/>
              <w:jc w:val="right"/>
              <w:rPr>
                <w:rFonts w:ascii="Arial" w:eastAsia="Times New Roman" w:hAnsi="Arial" w:cs="Arial"/>
                <w:sz w:val="20"/>
                <w:szCs w:val="20"/>
                <w:lang w:eastAsia="sl-SI"/>
              </w:rPr>
            </w:pPr>
            <w:r w:rsidRPr="00ED1B12">
              <w:rPr>
                <w:rFonts w:ascii="Arial" w:eastAsia="Times New Roman" w:hAnsi="Arial" w:cs="Arial"/>
                <w:sz w:val="20"/>
                <w:szCs w:val="20"/>
                <w:lang w:eastAsia="sl-SI"/>
              </w:rPr>
              <w:t>83,8</w:t>
            </w:r>
          </w:p>
        </w:tc>
        <w:tc>
          <w:tcPr>
            <w:tcW w:w="1186" w:type="dxa"/>
            <w:tcBorders>
              <w:top w:val="nil"/>
              <w:left w:val="nil"/>
              <w:bottom w:val="single" w:sz="4" w:space="0" w:color="auto"/>
              <w:right w:val="single" w:sz="4" w:space="0" w:color="auto"/>
            </w:tcBorders>
            <w:shd w:val="clear" w:color="auto" w:fill="auto"/>
            <w:vAlign w:val="center"/>
            <w:hideMark/>
          </w:tcPr>
          <w:p w14:paraId="67F58D42" w14:textId="77777777" w:rsidR="004B7622" w:rsidRPr="00ED1B12" w:rsidRDefault="004B7622" w:rsidP="00377989">
            <w:pPr>
              <w:spacing w:after="0" w:line="240" w:lineRule="auto"/>
              <w:jc w:val="right"/>
              <w:rPr>
                <w:rFonts w:ascii="Arial" w:eastAsia="Times New Roman" w:hAnsi="Arial" w:cs="Arial"/>
                <w:sz w:val="20"/>
                <w:szCs w:val="20"/>
                <w:lang w:eastAsia="sl-SI"/>
              </w:rPr>
            </w:pPr>
            <w:r w:rsidRPr="00ED1B12">
              <w:rPr>
                <w:rFonts w:ascii="Arial" w:eastAsia="Times New Roman" w:hAnsi="Arial" w:cs="Arial"/>
                <w:sz w:val="20"/>
                <w:szCs w:val="20"/>
                <w:lang w:eastAsia="sl-SI"/>
              </w:rPr>
              <w:t>76,7</w:t>
            </w:r>
          </w:p>
        </w:tc>
        <w:tc>
          <w:tcPr>
            <w:tcW w:w="1186" w:type="dxa"/>
            <w:tcBorders>
              <w:top w:val="nil"/>
              <w:left w:val="nil"/>
              <w:bottom w:val="single" w:sz="4" w:space="0" w:color="auto"/>
              <w:right w:val="single" w:sz="4" w:space="0" w:color="auto"/>
            </w:tcBorders>
            <w:shd w:val="clear" w:color="auto" w:fill="auto"/>
            <w:vAlign w:val="center"/>
            <w:hideMark/>
          </w:tcPr>
          <w:p w14:paraId="5239178F" w14:textId="77777777" w:rsidR="004B7622" w:rsidRPr="00ED1B12" w:rsidRDefault="004B7622" w:rsidP="00377989">
            <w:pPr>
              <w:spacing w:after="0" w:line="240" w:lineRule="auto"/>
              <w:jc w:val="right"/>
              <w:rPr>
                <w:rFonts w:ascii="Arial" w:eastAsia="Times New Roman" w:hAnsi="Arial" w:cs="Arial"/>
                <w:sz w:val="20"/>
                <w:szCs w:val="20"/>
                <w:lang w:eastAsia="sl-SI"/>
              </w:rPr>
            </w:pPr>
            <w:r w:rsidRPr="00ED1B12">
              <w:rPr>
                <w:rFonts w:ascii="Arial" w:eastAsia="Times New Roman" w:hAnsi="Arial" w:cs="Arial"/>
                <w:sz w:val="20"/>
                <w:szCs w:val="20"/>
                <w:lang w:eastAsia="sl-SI"/>
              </w:rPr>
              <w:t>91,5</w:t>
            </w:r>
          </w:p>
        </w:tc>
      </w:tr>
      <w:tr w:rsidR="004B7622" w:rsidRPr="00ED1B12" w14:paraId="5BF9BFB2" w14:textId="77777777" w:rsidTr="00377989">
        <w:trPr>
          <w:trHeight w:val="324"/>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BE86630" w14:textId="77777777" w:rsidR="004B7622" w:rsidRPr="00ED1B12" w:rsidRDefault="004B7622" w:rsidP="00377989">
            <w:pPr>
              <w:spacing w:after="0" w:line="240" w:lineRule="auto"/>
              <w:rPr>
                <w:rFonts w:ascii="Arial" w:eastAsia="Times New Roman" w:hAnsi="Arial" w:cs="Arial"/>
                <w:sz w:val="20"/>
                <w:szCs w:val="20"/>
                <w:lang w:eastAsia="sl-SI"/>
              </w:rPr>
            </w:pPr>
            <w:r w:rsidRPr="00ED1B12">
              <w:rPr>
                <w:rFonts w:ascii="Arial" w:eastAsia="Times New Roman" w:hAnsi="Arial" w:cs="Arial"/>
                <w:sz w:val="20"/>
                <w:szCs w:val="20"/>
                <w:lang w:eastAsia="sl-SI"/>
              </w:rPr>
              <w:t>Zamudne obresti</w:t>
            </w:r>
          </w:p>
        </w:tc>
        <w:tc>
          <w:tcPr>
            <w:tcW w:w="1408" w:type="dxa"/>
            <w:tcBorders>
              <w:top w:val="nil"/>
              <w:left w:val="nil"/>
              <w:bottom w:val="single" w:sz="4" w:space="0" w:color="auto"/>
              <w:right w:val="nil"/>
            </w:tcBorders>
            <w:shd w:val="clear" w:color="auto" w:fill="auto"/>
            <w:vAlign w:val="center"/>
            <w:hideMark/>
          </w:tcPr>
          <w:p w14:paraId="4DA53E71" w14:textId="77777777" w:rsidR="004B7622" w:rsidRPr="00ED1B12" w:rsidRDefault="004B7622" w:rsidP="00377989">
            <w:pPr>
              <w:spacing w:after="0" w:line="240" w:lineRule="auto"/>
              <w:jc w:val="right"/>
              <w:rPr>
                <w:rFonts w:ascii="Arial" w:eastAsia="Times New Roman" w:hAnsi="Arial" w:cs="Arial"/>
                <w:sz w:val="20"/>
                <w:szCs w:val="20"/>
                <w:lang w:eastAsia="sl-SI"/>
              </w:rPr>
            </w:pPr>
            <w:r w:rsidRPr="00ED1B12">
              <w:rPr>
                <w:rFonts w:ascii="Arial" w:eastAsia="Times New Roman" w:hAnsi="Arial" w:cs="Arial"/>
                <w:sz w:val="20"/>
                <w:szCs w:val="20"/>
                <w:lang w:eastAsia="sl-SI"/>
              </w:rPr>
              <w:t>155.314.081</w:t>
            </w:r>
          </w:p>
        </w:tc>
        <w:tc>
          <w:tcPr>
            <w:tcW w:w="1242" w:type="dxa"/>
            <w:tcBorders>
              <w:top w:val="nil"/>
              <w:left w:val="single" w:sz="4" w:space="0" w:color="auto"/>
              <w:bottom w:val="single" w:sz="4" w:space="0" w:color="auto"/>
              <w:right w:val="nil"/>
            </w:tcBorders>
            <w:shd w:val="clear" w:color="auto" w:fill="auto"/>
            <w:vAlign w:val="center"/>
            <w:hideMark/>
          </w:tcPr>
          <w:p w14:paraId="57594A65" w14:textId="77777777" w:rsidR="004B7622" w:rsidRPr="00ED1B12" w:rsidRDefault="004B7622" w:rsidP="00377989">
            <w:pPr>
              <w:spacing w:after="0" w:line="240" w:lineRule="auto"/>
              <w:jc w:val="right"/>
              <w:rPr>
                <w:rFonts w:ascii="Arial" w:eastAsia="Times New Roman" w:hAnsi="Arial" w:cs="Arial"/>
                <w:sz w:val="20"/>
                <w:szCs w:val="20"/>
                <w:lang w:eastAsia="sl-SI"/>
              </w:rPr>
            </w:pPr>
            <w:r w:rsidRPr="00ED1B12">
              <w:rPr>
                <w:rFonts w:ascii="Arial" w:eastAsia="Times New Roman" w:hAnsi="Arial" w:cs="Arial"/>
                <w:sz w:val="20"/>
                <w:szCs w:val="20"/>
                <w:lang w:eastAsia="sl-SI"/>
              </w:rPr>
              <w:t>138.998.018</w:t>
            </w:r>
          </w:p>
        </w:tc>
        <w:tc>
          <w:tcPr>
            <w:tcW w:w="1242" w:type="dxa"/>
            <w:tcBorders>
              <w:top w:val="nil"/>
              <w:left w:val="single" w:sz="4" w:space="0" w:color="auto"/>
              <w:bottom w:val="single" w:sz="4" w:space="0" w:color="auto"/>
              <w:right w:val="single" w:sz="4" w:space="0" w:color="auto"/>
            </w:tcBorders>
            <w:shd w:val="clear" w:color="auto" w:fill="auto"/>
            <w:vAlign w:val="center"/>
            <w:hideMark/>
          </w:tcPr>
          <w:p w14:paraId="1787DA43" w14:textId="77777777" w:rsidR="004B7622" w:rsidRPr="00ED1B12" w:rsidRDefault="004B7622" w:rsidP="00377989">
            <w:pPr>
              <w:spacing w:after="0" w:line="240" w:lineRule="auto"/>
              <w:jc w:val="right"/>
              <w:rPr>
                <w:rFonts w:ascii="Arial" w:eastAsia="Times New Roman" w:hAnsi="Arial" w:cs="Arial"/>
                <w:sz w:val="20"/>
                <w:szCs w:val="20"/>
                <w:lang w:eastAsia="sl-SI"/>
              </w:rPr>
            </w:pPr>
            <w:r w:rsidRPr="00ED1B12">
              <w:rPr>
                <w:rFonts w:ascii="Arial" w:eastAsia="Times New Roman" w:hAnsi="Arial" w:cs="Arial"/>
                <w:sz w:val="20"/>
                <w:szCs w:val="20"/>
                <w:lang w:eastAsia="sl-SI"/>
              </w:rPr>
              <w:t>132.515.417</w:t>
            </w:r>
          </w:p>
        </w:tc>
        <w:tc>
          <w:tcPr>
            <w:tcW w:w="1186" w:type="dxa"/>
            <w:tcBorders>
              <w:top w:val="nil"/>
              <w:left w:val="nil"/>
              <w:bottom w:val="single" w:sz="4" w:space="0" w:color="auto"/>
              <w:right w:val="single" w:sz="4" w:space="0" w:color="auto"/>
            </w:tcBorders>
            <w:shd w:val="clear" w:color="auto" w:fill="auto"/>
            <w:vAlign w:val="center"/>
            <w:hideMark/>
          </w:tcPr>
          <w:p w14:paraId="51CD0073" w14:textId="77777777" w:rsidR="004B7622" w:rsidRPr="00ED1B12" w:rsidRDefault="004B7622" w:rsidP="00377989">
            <w:pPr>
              <w:spacing w:after="0" w:line="240" w:lineRule="auto"/>
              <w:jc w:val="right"/>
              <w:rPr>
                <w:rFonts w:ascii="Arial" w:eastAsia="Times New Roman" w:hAnsi="Arial" w:cs="Arial"/>
                <w:sz w:val="20"/>
                <w:szCs w:val="20"/>
                <w:lang w:eastAsia="sl-SI"/>
              </w:rPr>
            </w:pPr>
            <w:r w:rsidRPr="00ED1B12">
              <w:rPr>
                <w:rFonts w:ascii="Arial" w:eastAsia="Times New Roman" w:hAnsi="Arial" w:cs="Arial"/>
                <w:sz w:val="20"/>
                <w:szCs w:val="20"/>
                <w:lang w:eastAsia="sl-SI"/>
              </w:rPr>
              <w:t>89,5</w:t>
            </w:r>
          </w:p>
        </w:tc>
        <w:tc>
          <w:tcPr>
            <w:tcW w:w="1186" w:type="dxa"/>
            <w:tcBorders>
              <w:top w:val="nil"/>
              <w:left w:val="nil"/>
              <w:bottom w:val="single" w:sz="4" w:space="0" w:color="auto"/>
              <w:right w:val="single" w:sz="4" w:space="0" w:color="auto"/>
            </w:tcBorders>
            <w:shd w:val="clear" w:color="auto" w:fill="auto"/>
            <w:vAlign w:val="center"/>
            <w:hideMark/>
          </w:tcPr>
          <w:p w14:paraId="409719E3" w14:textId="77777777" w:rsidR="004B7622" w:rsidRPr="00ED1B12" w:rsidRDefault="004B7622" w:rsidP="00377989">
            <w:pPr>
              <w:spacing w:after="0" w:line="240" w:lineRule="auto"/>
              <w:jc w:val="right"/>
              <w:rPr>
                <w:rFonts w:ascii="Arial" w:eastAsia="Times New Roman" w:hAnsi="Arial" w:cs="Arial"/>
                <w:sz w:val="20"/>
                <w:szCs w:val="20"/>
                <w:lang w:eastAsia="sl-SI"/>
              </w:rPr>
            </w:pPr>
            <w:r w:rsidRPr="00ED1B12">
              <w:rPr>
                <w:rFonts w:ascii="Arial" w:eastAsia="Times New Roman" w:hAnsi="Arial" w:cs="Arial"/>
                <w:sz w:val="20"/>
                <w:szCs w:val="20"/>
                <w:lang w:eastAsia="sl-SI"/>
              </w:rPr>
              <w:t>85,3</w:t>
            </w:r>
          </w:p>
        </w:tc>
        <w:tc>
          <w:tcPr>
            <w:tcW w:w="1186" w:type="dxa"/>
            <w:tcBorders>
              <w:top w:val="nil"/>
              <w:left w:val="nil"/>
              <w:bottom w:val="single" w:sz="4" w:space="0" w:color="auto"/>
              <w:right w:val="single" w:sz="4" w:space="0" w:color="auto"/>
            </w:tcBorders>
            <w:shd w:val="clear" w:color="auto" w:fill="auto"/>
            <w:vAlign w:val="center"/>
            <w:hideMark/>
          </w:tcPr>
          <w:p w14:paraId="7FC8F8B2" w14:textId="77777777" w:rsidR="004B7622" w:rsidRPr="00ED1B12" w:rsidRDefault="004B7622" w:rsidP="00377989">
            <w:pPr>
              <w:spacing w:after="0" w:line="240" w:lineRule="auto"/>
              <w:jc w:val="right"/>
              <w:rPr>
                <w:rFonts w:ascii="Arial" w:eastAsia="Times New Roman" w:hAnsi="Arial" w:cs="Arial"/>
                <w:sz w:val="20"/>
                <w:szCs w:val="20"/>
                <w:lang w:eastAsia="sl-SI"/>
              </w:rPr>
            </w:pPr>
            <w:r w:rsidRPr="00ED1B12">
              <w:rPr>
                <w:rFonts w:ascii="Arial" w:eastAsia="Times New Roman" w:hAnsi="Arial" w:cs="Arial"/>
                <w:sz w:val="20"/>
                <w:szCs w:val="20"/>
                <w:lang w:eastAsia="sl-SI"/>
              </w:rPr>
              <w:t>95,3</w:t>
            </w:r>
          </w:p>
        </w:tc>
      </w:tr>
      <w:tr w:rsidR="004B7622" w:rsidRPr="00ED1B12" w14:paraId="631F2534" w14:textId="77777777" w:rsidTr="00377989">
        <w:trPr>
          <w:trHeight w:val="324"/>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73BF365" w14:textId="77777777" w:rsidR="004B7622" w:rsidRPr="00ED1B12" w:rsidRDefault="004B7622" w:rsidP="00377989">
            <w:pPr>
              <w:spacing w:after="0" w:line="240" w:lineRule="auto"/>
              <w:rPr>
                <w:rFonts w:ascii="Arial" w:eastAsia="Times New Roman" w:hAnsi="Arial" w:cs="Arial"/>
                <w:b/>
                <w:bCs/>
                <w:sz w:val="20"/>
                <w:szCs w:val="20"/>
                <w:lang w:eastAsia="sl-SI"/>
              </w:rPr>
            </w:pPr>
            <w:r w:rsidRPr="00ED1B12">
              <w:rPr>
                <w:rFonts w:ascii="Arial" w:eastAsia="Times New Roman" w:hAnsi="Arial" w:cs="Arial"/>
                <w:b/>
                <w:bCs/>
                <w:sz w:val="20"/>
                <w:szCs w:val="20"/>
                <w:lang w:eastAsia="sl-SI"/>
              </w:rPr>
              <w:t>Skupaj dolg</w:t>
            </w:r>
          </w:p>
        </w:tc>
        <w:tc>
          <w:tcPr>
            <w:tcW w:w="1408" w:type="dxa"/>
            <w:tcBorders>
              <w:top w:val="nil"/>
              <w:left w:val="nil"/>
              <w:bottom w:val="single" w:sz="4" w:space="0" w:color="auto"/>
              <w:right w:val="nil"/>
            </w:tcBorders>
            <w:shd w:val="clear" w:color="auto" w:fill="auto"/>
            <w:vAlign w:val="center"/>
            <w:hideMark/>
          </w:tcPr>
          <w:p w14:paraId="71F53A76" w14:textId="77777777" w:rsidR="004B7622" w:rsidRPr="00ED1B12" w:rsidRDefault="004B7622" w:rsidP="00377989">
            <w:pPr>
              <w:spacing w:after="0" w:line="240" w:lineRule="auto"/>
              <w:jc w:val="right"/>
              <w:rPr>
                <w:rFonts w:ascii="Arial" w:eastAsia="Times New Roman" w:hAnsi="Arial" w:cs="Arial"/>
                <w:b/>
                <w:bCs/>
                <w:sz w:val="20"/>
                <w:szCs w:val="20"/>
                <w:lang w:eastAsia="sl-SI"/>
              </w:rPr>
            </w:pPr>
            <w:r w:rsidRPr="00ED1B12">
              <w:rPr>
                <w:rFonts w:ascii="Arial" w:eastAsia="Times New Roman" w:hAnsi="Arial" w:cs="Arial"/>
                <w:b/>
                <w:bCs/>
                <w:sz w:val="20"/>
                <w:szCs w:val="20"/>
                <w:lang w:eastAsia="sl-SI"/>
              </w:rPr>
              <w:t>1.180.360.733</w:t>
            </w:r>
          </w:p>
        </w:tc>
        <w:tc>
          <w:tcPr>
            <w:tcW w:w="1242" w:type="dxa"/>
            <w:tcBorders>
              <w:top w:val="nil"/>
              <w:left w:val="single" w:sz="4" w:space="0" w:color="auto"/>
              <w:bottom w:val="single" w:sz="4" w:space="0" w:color="auto"/>
              <w:right w:val="nil"/>
            </w:tcBorders>
            <w:shd w:val="clear" w:color="auto" w:fill="auto"/>
            <w:vAlign w:val="center"/>
            <w:hideMark/>
          </w:tcPr>
          <w:p w14:paraId="67D0B9B9" w14:textId="77777777" w:rsidR="004B7622" w:rsidRPr="00ED1B12" w:rsidRDefault="004B7622" w:rsidP="00377989">
            <w:pPr>
              <w:spacing w:after="0" w:line="240" w:lineRule="auto"/>
              <w:jc w:val="right"/>
              <w:rPr>
                <w:rFonts w:ascii="Arial" w:eastAsia="Times New Roman" w:hAnsi="Arial" w:cs="Arial"/>
                <w:b/>
                <w:bCs/>
                <w:sz w:val="20"/>
                <w:szCs w:val="20"/>
                <w:lang w:eastAsia="sl-SI"/>
              </w:rPr>
            </w:pPr>
            <w:r w:rsidRPr="00ED1B12">
              <w:rPr>
                <w:rFonts w:ascii="Arial" w:eastAsia="Times New Roman" w:hAnsi="Arial" w:cs="Arial"/>
                <w:b/>
                <w:bCs/>
                <w:sz w:val="20"/>
                <w:szCs w:val="20"/>
                <w:lang w:eastAsia="sl-SI"/>
              </w:rPr>
              <w:t>998.089.393</w:t>
            </w:r>
          </w:p>
        </w:tc>
        <w:tc>
          <w:tcPr>
            <w:tcW w:w="1242" w:type="dxa"/>
            <w:tcBorders>
              <w:top w:val="nil"/>
              <w:left w:val="single" w:sz="4" w:space="0" w:color="auto"/>
              <w:bottom w:val="single" w:sz="4" w:space="0" w:color="auto"/>
              <w:right w:val="single" w:sz="4" w:space="0" w:color="auto"/>
            </w:tcBorders>
            <w:shd w:val="clear" w:color="auto" w:fill="auto"/>
            <w:vAlign w:val="center"/>
            <w:hideMark/>
          </w:tcPr>
          <w:p w14:paraId="4D71EDF6" w14:textId="77777777" w:rsidR="004B7622" w:rsidRPr="00ED1B12" w:rsidRDefault="004B7622" w:rsidP="00377989">
            <w:pPr>
              <w:spacing w:after="0" w:line="240" w:lineRule="auto"/>
              <w:jc w:val="right"/>
              <w:rPr>
                <w:rFonts w:ascii="Arial" w:eastAsia="Times New Roman" w:hAnsi="Arial" w:cs="Arial"/>
                <w:b/>
                <w:bCs/>
                <w:sz w:val="20"/>
                <w:szCs w:val="20"/>
                <w:lang w:eastAsia="sl-SI"/>
              </w:rPr>
            </w:pPr>
            <w:r w:rsidRPr="00ED1B12">
              <w:rPr>
                <w:rFonts w:ascii="Arial" w:eastAsia="Times New Roman" w:hAnsi="Arial" w:cs="Arial"/>
                <w:b/>
                <w:bCs/>
                <w:sz w:val="20"/>
                <w:szCs w:val="20"/>
                <w:lang w:eastAsia="sl-SI"/>
              </w:rPr>
              <w:t>918.507.974</w:t>
            </w:r>
          </w:p>
        </w:tc>
        <w:tc>
          <w:tcPr>
            <w:tcW w:w="1186" w:type="dxa"/>
            <w:tcBorders>
              <w:top w:val="nil"/>
              <w:left w:val="nil"/>
              <w:bottom w:val="single" w:sz="4" w:space="0" w:color="auto"/>
              <w:right w:val="single" w:sz="4" w:space="0" w:color="auto"/>
            </w:tcBorders>
            <w:shd w:val="clear" w:color="auto" w:fill="auto"/>
            <w:vAlign w:val="center"/>
            <w:hideMark/>
          </w:tcPr>
          <w:p w14:paraId="26C2C498" w14:textId="77777777" w:rsidR="004B7622" w:rsidRPr="00ED1B12" w:rsidRDefault="004B7622" w:rsidP="00377989">
            <w:pPr>
              <w:spacing w:after="0" w:line="240" w:lineRule="auto"/>
              <w:jc w:val="right"/>
              <w:rPr>
                <w:rFonts w:ascii="Arial" w:eastAsia="Times New Roman" w:hAnsi="Arial" w:cs="Arial"/>
                <w:sz w:val="20"/>
                <w:szCs w:val="20"/>
                <w:lang w:eastAsia="sl-SI"/>
              </w:rPr>
            </w:pPr>
            <w:r w:rsidRPr="00ED1B12">
              <w:rPr>
                <w:rFonts w:ascii="Arial" w:eastAsia="Times New Roman" w:hAnsi="Arial" w:cs="Arial"/>
                <w:sz w:val="20"/>
                <w:szCs w:val="20"/>
                <w:lang w:eastAsia="sl-SI"/>
              </w:rPr>
              <w:t>84,6</w:t>
            </w:r>
          </w:p>
        </w:tc>
        <w:tc>
          <w:tcPr>
            <w:tcW w:w="1186" w:type="dxa"/>
            <w:tcBorders>
              <w:top w:val="nil"/>
              <w:left w:val="nil"/>
              <w:bottom w:val="single" w:sz="4" w:space="0" w:color="auto"/>
              <w:right w:val="single" w:sz="4" w:space="0" w:color="auto"/>
            </w:tcBorders>
            <w:shd w:val="clear" w:color="auto" w:fill="auto"/>
            <w:vAlign w:val="center"/>
            <w:hideMark/>
          </w:tcPr>
          <w:p w14:paraId="18FCC6F9" w14:textId="77777777" w:rsidR="004B7622" w:rsidRPr="00ED1B12" w:rsidRDefault="004B7622" w:rsidP="00377989">
            <w:pPr>
              <w:spacing w:after="0" w:line="240" w:lineRule="auto"/>
              <w:jc w:val="right"/>
              <w:rPr>
                <w:rFonts w:ascii="Arial" w:eastAsia="Times New Roman" w:hAnsi="Arial" w:cs="Arial"/>
                <w:sz w:val="20"/>
                <w:szCs w:val="20"/>
                <w:lang w:eastAsia="sl-SI"/>
              </w:rPr>
            </w:pPr>
            <w:r w:rsidRPr="00ED1B12">
              <w:rPr>
                <w:rFonts w:ascii="Arial" w:eastAsia="Times New Roman" w:hAnsi="Arial" w:cs="Arial"/>
                <w:sz w:val="20"/>
                <w:szCs w:val="20"/>
                <w:lang w:eastAsia="sl-SI"/>
              </w:rPr>
              <w:t>77,8</w:t>
            </w:r>
          </w:p>
        </w:tc>
        <w:tc>
          <w:tcPr>
            <w:tcW w:w="1186" w:type="dxa"/>
            <w:tcBorders>
              <w:top w:val="nil"/>
              <w:left w:val="nil"/>
              <w:bottom w:val="single" w:sz="4" w:space="0" w:color="auto"/>
              <w:right w:val="single" w:sz="4" w:space="0" w:color="auto"/>
            </w:tcBorders>
            <w:shd w:val="clear" w:color="auto" w:fill="auto"/>
            <w:vAlign w:val="center"/>
            <w:hideMark/>
          </w:tcPr>
          <w:p w14:paraId="346A0A6F" w14:textId="77777777" w:rsidR="004B7622" w:rsidRPr="00ED1B12" w:rsidRDefault="004B7622" w:rsidP="00377989">
            <w:pPr>
              <w:spacing w:after="0" w:line="240" w:lineRule="auto"/>
              <w:jc w:val="right"/>
              <w:rPr>
                <w:rFonts w:ascii="Arial" w:eastAsia="Times New Roman" w:hAnsi="Arial" w:cs="Arial"/>
                <w:sz w:val="20"/>
                <w:szCs w:val="20"/>
                <w:lang w:eastAsia="sl-SI"/>
              </w:rPr>
            </w:pPr>
            <w:r w:rsidRPr="00ED1B12">
              <w:rPr>
                <w:rFonts w:ascii="Arial" w:eastAsia="Times New Roman" w:hAnsi="Arial" w:cs="Arial"/>
                <w:sz w:val="20"/>
                <w:szCs w:val="20"/>
                <w:lang w:eastAsia="sl-SI"/>
              </w:rPr>
              <w:t>92,0</w:t>
            </w:r>
          </w:p>
        </w:tc>
      </w:tr>
    </w:tbl>
    <w:p w14:paraId="3CE336C6" w14:textId="77777777" w:rsidR="004B7622" w:rsidRPr="00BE3E02" w:rsidRDefault="004B7622" w:rsidP="004B7622">
      <w:pPr>
        <w:jc w:val="both"/>
        <w:rPr>
          <w:rFonts w:ascii="Arial" w:hAnsi="Arial" w:cs="Arial"/>
          <w:i/>
          <w:sz w:val="20"/>
          <w:szCs w:val="20"/>
        </w:rPr>
      </w:pPr>
      <w:r w:rsidRPr="00BE3E02">
        <w:rPr>
          <w:rFonts w:ascii="Arial" w:hAnsi="Arial" w:cs="Arial"/>
          <w:i/>
          <w:sz w:val="20"/>
          <w:szCs w:val="20"/>
        </w:rPr>
        <w:t>Vir: FURS</w:t>
      </w:r>
    </w:p>
    <w:p w14:paraId="73B91F92" w14:textId="77777777" w:rsidR="004B7622" w:rsidRPr="00266C1F" w:rsidRDefault="004B7622" w:rsidP="004B76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r w:rsidRPr="00266C1F">
        <w:rPr>
          <w:rFonts w:ascii="Arial" w:hAnsi="Arial" w:cs="Arial"/>
          <w:bCs/>
          <w:sz w:val="20"/>
          <w:szCs w:val="20"/>
        </w:rPr>
        <w:t xml:space="preserve">Dolg pravnih oseb znaša </w:t>
      </w:r>
      <w:r w:rsidRPr="00ED1B12">
        <w:rPr>
          <w:rFonts w:ascii="Arial" w:hAnsi="Arial" w:cs="Arial"/>
          <w:bCs/>
          <w:sz w:val="20"/>
          <w:szCs w:val="20"/>
        </w:rPr>
        <w:t>484.069.022</w:t>
      </w:r>
      <w:r w:rsidRPr="00773D0C">
        <w:rPr>
          <w:rFonts w:ascii="Arial" w:hAnsi="Arial" w:cs="Arial"/>
          <w:bCs/>
          <w:sz w:val="20"/>
          <w:szCs w:val="20"/>
        </w:rPr>
        <w:t xml:space="preserve"> </w:t>
      </w:r>
      <w:r w:rsidRPr="00266C1F">
        <w:rPr>
          <w:rFonts w:ascii="Arial" w:hAnsi="Arial" w:cs="Arial"/>
          <w:bCs/>
          <w:sz w:val="20"/>
          <w:szCs w:val="20"/>
        </w:rPr>
        <w:t xml:space="preserve">EUR oziroma </w:t>
      </w:r>
      <w:r>
        <w:rPr>
          <w:rFonts w:ascii="Arial" w:hAnsi="Arial" w:cs="Arial"/>
          <w:bCs/>
          <w:sz w:val="20"/>
          <w:szCs w:val="20"/>
        </w:rPr>
        <w:t>52,7</w:t>
      </w:r>
      <w:r w:rsidRPr="00266C1F">
        <w:rPr>
          <w:rFonts w:ascii="Arial" w:hAnsi="Arial" w:cs="Arial"/>
          <w:bCs/>
          <w:sz w:val="20"/>
          <w:szCs w:val="20"/>
        </w:rPr>
        <w:t xml:space="preserve"> odstotka, dolg fizičnih oseb pa </w:t>
      </w:r>
      <w:r w:rsidRPr="00ED1B12">
        <w:rPr>
          <w:rFonts w:ascii="Arial" w:hAnsi="Arial" w:cs="Arial"/>
          <w:bCs/>
          <w:sz w:val="20"/>
          <w:szCs w:val="20"/>
        </w:rPr>
        <w:t>434.438.952</w:t>
      </w:r>
      <w:r w:rsidRPr="00266C1F">
        <w:rPr>
          <w:rFonts w:ascii="Arial" w:hAnsi="Arial" w:cs="Arial"/>
          <w:bCs/>
          <w:sz w:val="20"/>
          <w:szCs w:val="20"/>
        </w:rPr>
        <w:t xml:space="preserve"> EUR oziroma 4</w:t>
      </w:r>
      <w:r>
        <w:rPr>
          <w:rFonts w:ascii="Arial" w:hAnsi="Arial" w:cs="Arial"/>
          <w:bCs/>
          <w:sz w:val="20"/>
          <w:szCs w:val="20"/>
        </w:rPr>
        <w:t>7,3</w:t>
      </w:r>
      <w:r w:rsidRPr="00266C1F">
        <w:rPr>
          <w:rFonts w:ascii="Arial" w:hAnsi="Arial" w:cs="Arial"/>
          <w:bCs/>
          <w:sz w:val="20"/>
          <w:szCs w:val="20"/>
        </w:rPr>
        <w:t xml:space="preserve"> odstotka davčnega dolga.</w:t>
      </w:r>
    </w:p>
    <w:p w14:paraId="1FFD157C" w14:textId="77777777" w:rsidR="004B7622" w:rsidRDefault="004B7622" w:rsidP="004B76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r w:rsidRPr="00BE3E02">
        <w:rPr>
          <w:rFonts w:ascii="Arial" w:hAnsi="Arial" w:cs="Arial"/>
          <w:bCs/>
          <w:sz w:val="20"/>
          <w:szCs w:val="20"/>
        </w:rPr>
        <w:t>Dolg fizičnih oseb zajema tudi neporavnane obveznosti zasebnikov, med katere štejemo samostojne podjetnike posameznike in druge zasebnike, ki opravljajo poklicno dejavnost ali druge neodvisne dejavnosti (odvetniki, notarji, poklicni športniki, samostojni novinarji, zasebni zdravstveni delavci, kulturni delavci in fizične osebe, ki opravljajo kmetijsko in gozdarsko dejavnost).</w:t>
      </w:r>
    </w:p>
    <w:p w14:paraId="4B2DE9D2" w14:textId="77777777" w:rsidR="004B7622" w:rsidRDefault="004B7622" w:rsidP="004B7622">
      <w:pPr>
        <w:rPr>
          <w:rFonts w:ascii="Arial" w:hAnsi="Arial" w:cs="Arial"/>
          <w:i/>
          <w:noProof/>
          <w:sz w:val="20"/>
          <w:szCs w:val="20"/>
        </w:rPr>
      </w:pPr>
      <w:r>
        <w:rPr>
          <w:rFonts w:ascii="Arial" w:hAnsi="Arial" w:cs="Arial"/>
          <w:i/>
          <w:sz w:val="20"/>
          <w:szCs w:val="20"/>
        </w:rPr>
        <w:t>Slika 4:</w:t>
      </w:r>
      <w:r w:rsidRPr="00BE3E02">
        <w:rPr>
          <w:rFonts w:ascii="Arial" w:hAnsi="Arial" w:cs="Arial"/>
          <w:i/>
          <w:sz w:val="20"/>
          <w:szCs w:val="20"/>
        </w:rPr>
        <w:t xml:space="preserve"> </w:t>
      </w:r>
      <w:r w:rsidRPr="00BE3E02">
        <w:rPr>
          <w:rFonts w:ascii="Arial" w:hAnsi="Arial" w:cs="Arial"/>
          <w:i/>
          <w:noProof/>
          <w:sz w:val="20"/>
          <w:szCs w:val="20"/>
        </w:rPr>
        <w:t xml:space="preserve">Prikaz davčnega dolga </w:t>
      </w:r>
      <w:r>
        <w:rPr>
          <w:rFonts w:ascii="Arial" w:hAnsi="Arial" w:cs="Arial"/>
          <w:i/>
          <w:noProof/>
          <w:sz w:val="20"/>
          <w:szCs w:val="20"/>
        </w:rPr>
        <w:t>po</w:t>
      </w:r>
      <w:r w:rsidRPr="00BE3E02">
        <w:rPr>
          <w:rFonts w:ascii="Arial" w:hAnsi="Arial" w:cs="Arial"/>
          <w:i/>
          <w:noProof/>
          <w:sz w:val="20"/>
          <w:szCs w:val="20"/>
        </w:rPr>
        <w:t xml:space="preserve"> status</w:t>
      </w:r>
      <w:r>
        <w:rPr>
          <w:rFonts w:ascii="Arial" w:hAnsi="Arial" w:cs="Arial"/>
          <w:i/>
          <w:noProof/>
          <w:sz w:val="20"/>
          <w:szCs w:val="20"/>
        </w:rPr>
        <w:t>u</w:t>
      </w:r>
      <w:r w:rsidRPr="00BE3E02">
        <w:rPr>
          <w:rFonts w:ascii="Arial" w:hAnsi="Arial" w:cs="Arial"/>
          <w:i/>
          <w:noProof/>
          <w:sz w:val="20"/>
          <w:szCs w:val="20"/>
        </w:rPr>
        <w:t xml:space="preserve"> zavezanca</w:t>
      </w:r>
    </w:p>
    <w:p w14:paraId="3B700AD6" w14:textId="77777777" w:rsidR="004B7622" w:rsidRDefault="004B7622" w:rsidP="004B7622">
      <w:pPr>
        <w:rPr>
          <w:rFonts w:ascii="Arial" w:hAnsi="Arial" w:cs="Arial"/>
          <w:i/>
          <w:noProof/>
          <w:sz w:val="20"/>
          <w:szCs w:val="20"/>
        </w:rPr>
      </w:pPr>
      <w:r>
        <w:rPr>
          <w:noProof/>
        </w:rPr>
        <w:drawing>
          <wp:inline distT="0" distB="0" distL="0" distR="0" wp14:anchorId="09AACE60" wp14:editId="7052B560">
            <wp:extent cx="3299792" cy="2369489"/>
            <wp:effectExtent l="0" t="0" r="0" b="0"/>
            <wp:docPr id="7" name="Grafikon 7">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45C7CA6" w14:textId="77777777" w:rsidR="004B7622" w:rsidRDefault="004B7622" w:rsidP="004B7622">
      <w:pPr>
        <w:rPr>
          <w:rFonts w:ascii="Arial" w:hAnsi="Arial" w:cs="Arial"/>
          <w:i/>
          <w:sz w:val="20"/>
          <w:szCs w:val="20"/>
        </w:rPr>
      </w:pPr>
      <w:r>
        <w:rPr>
          <w:rFonts w:ascii="Arial" w:hAnsi="Arial" w:cs="Arial"/>
          <w:i/>
          <w:sz w:val="20"/>
          <w:szCs w:val="20"/>
        </w:rPr>
        <w:t>V</w:t>
      </w:r>
      <w:r w:rsidRPr="00CF0765">
        <w:rPr>
          <w:rFonts w:ascii="Arial" w:hAnsi="Arial" w:cs="Arial"/>
          <w:i/>
          <w:sz w:val="20"/>
          <w:szCs w:val="20"/>
        </w:rPr>
        <w:t>ir: FURS</w:t>
      </w:r>
    </w:p>
    <w:p w14:paraId="7B26BC06" w14:textId="77777777" w:rsidR="004B7622" w:rsidRDefault="004B7622" w:rsidP="004B7622">
      <w:pPr>
        <w:rPr>
          <w:rFonts w:ascii="Arial" w:hAnsi="Arial" w:cs="Arial"/>
          <w:i/>
          <w:sz w:val="20"/>
          <w:szCs w:val="20"/>
        </w:rPr>
      </w:pPr>
    </w:p>
    <w:p w14:paraId="18083C93" w14:textId="77777777" w:rsidR="004B7622" w:rsidRPr="00CF0765" w:rsidRDefault="004B7622" w:rsidP="004B7622">
      <w:pPr>
        <w:rPr>
          <w:rFonts w:ascii="Arial" w:hAnsi="Arial" w:cs="Arial"/>
          <w:i/>
          <w:sz w:val="20"/>
          <w:szCs w:val="20"/>
        </w:rPr>
      </w:pPr>
    </w:p>
    <w:p w14:paraId="0F0899C3" w14:textId="77777777" w:rsidR="004B7622" w:rsidRDefault="004B7622" w:rsidP="004B7622">
      <w:pPr>
        <w:pStyle w:val="Naslov3"/>
        <w:rPr>
          <w:rFonts w:ascii="Arial" w:hAnsi="Arial" w:cs="Arial"/>
          <w:sz w:val="20"/>
          <w:szCs w:val="20"/>
        </w:rPr>
      </w:pPr>
      <w:r w:rsidRPr="00D22BBA">
        <w:rPr>
          <w:rFonts w:ascii="Arial" w:hAnsi="Arial" w:cs="Arial"/>
          <w:sz w:val="20"/>
          <w:szCs w:val="20"/>
        </w:rPr>
        <w:lastRenderedPageBreak/>
        <w:t>4.1    Aktivni in pogojno izterljivi dolg</w:t>
      </w:r>
    </w:p>
    <w:p w14:paraId="57FF96D2" w14:textId="77777777" w:rsidR="004B7622" w:rsidRPr="00E26F75" w:rsidRDefault="004B7622" w:rsidP="004B7622">
      <w:pPr>
        <w:pStyle w:val="Brezrazmikov"/>
      </w:pPr>
    </w:p>
    <w:p w14:paraId="0349CCFC" w14:textId="77777777" w:rsidR="004B7622" w:rsidRDefault="004B7622" w:rsidP="004B7622">
      <w:pPr>
        <w:pStyle w:val="Brezrazmikov"/>
        <w:spacing w:line="276" w:lineRule="auto"/>
        <w:jc w:val="both"/>
        <w:rPr>
          <w:rFonts w:ascii="Arial" w:hAnsi="Arial" w:cs="Arial"/>
          <w:sz w:val="20"/>
          <w:szCs w:val="20"/>
        </w:rPr>
      </w:pPr>
      <w:r w:rsidRPr="00E26F75">
        <w:rPr>
          <w:rFonts w:ascii="Arial" w:hAnsi="Arial" w:cs="Arial"/>
          <w:sz w:val="20"/>
          <w:szCs w:val="20"/>
        </w:rPr>
        <w:t xml:space="preserve">Davčni dolg je sestavljen iz aktivnega in pogojno izterljivega dolga. ZDavP-2 v 109. členu </w:t>
      </w:r>
      <w:r>
        <w:rPr>
          <w:rFonts w:ascii="Arial" w:hAnsi="Arial" w:cs="Arial"/>
          <w:sz w:val="20"/>
          <w:szCs w:val="20"/>
        </w:rPr>
        <w:t>opredeljuje</w:t>
      </w:r>
      <w:r w:rsidRPr="00E26F75">
        <w:rPr>
          <w:rFonts w:ascii="Arial" w:hAnsi="Arial" w:cs="Arial"/>
          <w:sz w:val="20"/>
          <w:szCs w:val="20"/>
        </w:rPr>
        <w:t xml:space="preserve"> pogojno izterljivi dolg. Davek se šteje za pogojno izterljivega:</w:t>
      </w:r>
    </w:p>
    <w:p w14:paraId="41499918" w14:textId="77777777" w:rsidR="004B7622" w:rsidRDefault="004B7622" w:rsidP="004B7622">
      <w:pPr>
        <w:pStyle w:val="Brezrazmikov"/>
        <w:spacing w:line="276" w:lineRule="auto"/>
        <w:jc w:val="both"/>
        <w:rPr>
          <w:rFonts w:ascii="Arial" w:hAnsi="Arial" w:cs="Arial"/>
          <w:sz w:val="20"/>
          <w:szCs w:val="20"/>
        </w:rPr>
      </w:pPr>
    </w:p>
    <w:p w14:paraId="3F82F461" w14:textId="77777777" w:rsidR="004B7622" w:rsidRPr="00355EC1" w:rsidRDefault="004B7622" w:rsidP="004B7622">
      <w:pPr>
        <w:numPr>
          <w:ilvl w:val="0"/>
          <w:numId w:val="9"/>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0"/>
        <w:jc w:val="both"/>
        <w:rPr>
          <w:rFonts w:ascii="Arial" w:hAnsi="Arial" w:cs="Arial"/>
          <w:bCs/>
          <w:sz w:val="20"/>
          <w:szCs w:val="20"/>
        </w:rPr>
      </w:pPr>
      <w:r w:rsidRPr="00355EC1">
        <w:rPr>
          <w:rFonts w:ascii="Arial" w:hAnsi="Arial" w:cs="Arial"/>
          <w:bCs/>
          <w:sz w:val="20"/>
          <w:szCs w:val="20"/>
        </w:rPr>
        <w:t xml:space="preserve">če je bil pri zavezancu za davek začet stečajni postopek; </w:t>
      </w:r>
    </w:p>
    <w:p w14:paraId="1DE602BC" w14:textId="77777777" w:rsidR="004B7622" w:rsidRPr="00355EC1" w:rsidRDefault="004B7622" w:rsidP="004B7622">
      <w:pPr>
        <w:numPr>
          <w:ilvl w:val="0"/>
          <w:numId w:val="9"/>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0"/>
        <w:jc w:val="both"/>
        <w:rPr>
          <w:rFonts w:ascii="Arial" w:hAnsi="Arial" w:cs="Arial"/>
          <w:bCs/>
          <w:sz w:val="20"/>
          <w:szCs w:val="20"/>
        </w:rPr>
      </w:pPr>
      <w:r w:rsidRPr="00355EC1">
        <w:rPr>
          <w:rFonts w:ascii="Arial" w:hAnsi="Arial" w:cs="Arial"/>
          <w:bCs/>
          <w:sz w:val="20"/>
          <w:szCs w:val="20"/>
        </w:rPr>
        <w:t xml:space="preserve">če je bil pri zavezancu za davek začet postopek prisilne poravnave; </w:t>
      </w:r>
    </w:p>
    <w:p w14:paraId="1C03A371" w14:textId="77777777" w:rsidR="004B7622" w:rsidRPr="00355EC1" w:rsidRDefault="004B7622" w:rsidP="004B7622">
      <w:pPr>
        <w:numPr>
          <w:ilvl w:val="0"/>
          <w:numId w:val="9"/>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0"/>
        <w:jc w:val="both"/>
        <w:rPr>
          <w:rFonts w:ascii="Arial" w:hAnsi="Arial" w:cs="Arial"/>
          <w:bCs/>
          <w:sz w:val="20"/>
          <w:szCs w:val="20"/>
        </w:rPr>
      </w:pPr>
      <w:r w:rsidRPr="00355EC1">
        <w:rPr>
          <w:rFonts w:ascii="Arial" w:hAnsi="Arial" w:cs="Arial"/>
          <w:bCs/>
          <w:sz w:val="20"/>
          <w:szCs w:val="20"/>
        </w:rPr>
        <w:t>od dneva smrti davčnega zavezanca do dneva pravnomočnosti sklepa o dedovanju.</w:t>
      </w:r>
    </w:p>
    <w:p w14:paraId="52A1E1EB" w14:textId="77777777" w:rsidR="004B7622" w:rsidRPr="00E26F75" w:rsidRDefault="004B7622" w:rsidP="004B7622">
      <w:pPr>
        <w:numPr>
          <w:ilvl w:val="0"/>
          <w:numId w:val="9"/>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0"/>
        <w:jc w:val="both"/>
        <w:rPr>
          <w:rFonts w:ascii="Arial" w:hAnsi="Arial" w:cs="Arial"/>
          <w:bCs/>
          <w:sz w:val="20"/>
          <w:szCs w:val="20"/>
        </w:rPr>
      </w:pPr>
      <w:r w:rsidRPr="00E26F75">
        <w:rPr>
          <w:rFonts w:ascii="Arial" w:hAnsi="Arial" w:cs="Arial"/>
          <w:bCs/>
          <w:sz w:val="20"/>
          <w:szCs w:val="20"/>
        </w:rPr>
        <w:t>če se ne more poplačati niti v postopku davčne izvršbe, pravica do izterjave pa še ni zastarala;</w:t>
      </w:r>
    </w:p>
    <w:p w14:paraId="2764D33B" w14:textId="77777777" w:rsidR="004B7622" w:rsidRPr="00355EC1" w:rsidRDefault="004B7622" w:rsidP="004B7622">
      <w:pPr>
        <w:numPr>
          <w:ilvl w:val="0"/>
          <w:numId w:val="9"/>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0"/>
        <w:jc w:val="both"/>
        <w:rPr>
          <w:rFonts w:ascii="Arial" w:hAnsi="Arial" w:cs="Arial"/>
          <w:bCs/>
          <w:sz w:val="20"/>
          <w:szCs w:val="20"/>
        </w:rPr>
      </w:pPr>
      <w:r w:rsidRPr="00355EC1">
        <w:rPr>
          <w:rFonts w:ascii="Arial" w:hAnsi="Arial" w:cs="Arial"/>
          <w:bCs/>
          <w:sz w:val="20"/>
          <w:szCs w:val="20"/>
        </w:rPr>
        <w:t>če se je davčni zavezanec – fizična oseba odselil neznano kam ali ga je sodišče razglasilo za pogrešanega ali opravilno nesposobnega in ni pustil oziroma nima nobenega premoženja, iz katerega bi se lahko davek poplačal, pravica do izterjave pa še</w:t>
      </w:r>
      <w:r>
        <w:rPr>
          <w:rFonts w:ascii="Arial" w:hAnsi="Arial" w:cs="Arial"/>
          <w:bCs/>
          <w:sz w:val="20"/>
          <w:szCs w:val="20"/>
        </w:rPr>
        <w:t xml:space="preserve"> ni zastarala.</w:t>
      </w:r>
    </w:p>
    <w:p w14:paraId="6208569F" w14:textId="77777777" w:rsidR="004B7622" w:rsidRDefault="004B7622" w:rsidP="004B76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0"/>
        <w:jc w:val="both"/>
        <w:rPr>
          <w:rFonts w:ascii="Arial" w:hAnsi="Arial" w:cs="Arial"/>
          <w:bCs/>
          <w:sz w:val="20"/>
          <w:szCs w:val="20"/>
        </w:rPr>
      </w:pPr>
    </w:p>
    <w:p w14:paraId="74F009F2" w14:textId="77777777" w:rsidR="004B7622" w:rsidRPr="00355EC1" w:rsidRDefault="004B7622" w:rsidP="004B76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r w:rsidRPr="00355EC1">
        <w:rPr>
          <w:rFonts w:ascii="Arial" w:hAnsi="Arial" w:cs="Arial"/>
          <w:bCs/>
          <w:sz w:val="20"/>
          <w:szCs w:val="20"/>
        </w:rPr>
        <w:t xml:space="preserve">Ves </w:t>
      </w:r>
      <w:r>
        <w:rPr>
          <w:rFonts w:ascii="Arial" w:hAnsi="Arial" w:cs="Arial"/>
          <w:bCs/>
          <w:sz w:val="20"/>
          <w:szCs w:val="20"/>
        </w:rPr>
        <w:t>drug</w:t>
      </w:r>
      <w:r w:rsidRPr="00355EC1">
        <w:rPr>
          <w:rFonts w:ascii="Arial" w:hAnsi="Arial" w:cs="Arial"/>
          <w:bCs/>
          <w:sz w:val="20"/>
          <w:szCs w:val="20"/>
        </w:rPr>
        <w:t xml:space="preserve"> dolg šteje za aktivni dolg. </w:t>
      </w:r>
    </w:p>
    <w:p w14:paraId="37BA703E" w14:textId="77777777" w:rsidR="004B7622" w:rsidRDefault="004B7622" w:rsidP="004B76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r w:rsidRPr="005F4645">
        <w:rPr>
          <w:rFonts w:ascii="Arial" w:hAnsi="Arial" w:cs="Arial"/>
          <w:bCs/>
          <w:sz w:val="20"/>
          <w:szCs w:val="20"/>
        </w:rPr>
        <w:t>Po stanju na dan 3</w:t>
      </w:r>
      <w:r>
        <w:rPr>
          <w:rFonts w:ascii="Arial" w:hAnsi="Arial" w:cs="Arial"/>
          <w:bCs/>
          <w:sz w:val="20"/>
          <w:szCs w:val="20"/>
        </w:rPr>
        <w:t>1</w:t>
      </w:r>
      <w:r w:rsidRPr="005F4645">
        <w:rPr>
          <w:rFonts w:ascii="Arial" w:hAnsi="Arial" w:cs="Arial"/>
          <w:bCs/>
          <w:sz w:val="20"/>
          <w:szCs w:val="20"/>
        </w:rPr>
        <w:t xml:space="preserve">. </w:t>
      </w:r>
      <w:r>
        <w:rPr>
          <w:rFonts w:ascii="Arial" w:hAnsi="Arial" w:cs="Arial"/>
          <w:bCs/>
          <w:sz w:val="20"/>
          <w:szCs w:val="20"/>
        </w:rPr>
        <w:t>12</w:t>
      </w:r>
      <w:r w:rsidRPr="005F4645">
        <w:rPr>
          <w:rFonts w:ascii="Arial" w:hAnsi="Arial" w:cs="Arial"/>
          <w:bCs/>
          <w:sz w:val="20"/>
          <w:szCs w:val="20"/>
        </w:rPr>
        <w:t>. 20</w:t>
      </w:r>
      <w:r>
        <w:rPr>
          <w:rFonts w:ascii="Arial" w:hAnsi="Arial" w:cs="Arial"/>
          <w:bCs/>
          <w:sz w:val="20"/>
          <w:szCs w:val="20"/>
        </w:rPr>
        <w:t>21</w:t>
      </w:r>
      <w:r w:rsidRPr="005F4645">
        <w:rPr>
          <w:rFonts w:ascii="Arial" w:hAnsi="Arial" w:cs="Arial"/>
          <w:bCs/>
          <w:sz w:val="20"/>
          <w:szCs w:val="20"/>
        </w:rPr>
        <w:t xml:space="preserve"> znaša aktivni dolg </w:t>
      </w:r>
      <w:r w:rsidRPr="000A71B9">
        <w:rPr>
          <w:rFonts w:ascii="Arial" w:hAnsi="Arial" w:cs="Arial"/>
          <w:bCs/>
          <w:sz w:val="20"/>
          <w:szCs w:val="20"/>
        </w:rPr>
        <w:t>431.158.169</w:t>
      </w:r>
      <w:r>
        <w:rPr>
          <w:rFonts w:ascii="Arial" w:hAnsi="Arial" w:cs="Arial"/>
          <w:bCs/>
          <w:sz w:val="20"/>
          <w:szCs w:val="20"/>
        </w:rPr>
        <w:t xml:space="preserve"> </w:t>
      </w:r>
      <w:r w:rsidRPr="005F4645">
        <w:rPr>
          <w:rFonts w:ascii="Arial" w:hAnsi="Arial" w:cs="Arial"/>
          <w:bCs/>
          <w:sz w:val="20"/>
          <w:szCs w:val="20"/>
        </w:rPr>
        <w:t xml:space="preserve">EUR, pogojno izterljivi dolg pa </w:t>
      </w:r>
      <w:r w:rsidRPr="000A71B9">
        <w:rPr>
          <w:rFonts w:ascii="Arial" w:hAnsi="Arial" w:cs="Arial"/>
          <w:bCs/>
          <w:sz w:val="20"/>
          <w:szCs w:val="20"/>
        </w:rPr>
        <w:t>487.349.805</w:t>
      </w:r>
      <w:r>
        <w:rPr>
          <w:rFonts w:ascii="Arial" w:hAnsi="Arial" w:cs="Arial"/>
          <w:bCs/>
          <w:sz w:val="20"/>
          <w:szCs w:val="20"/>
        </w:rPr>
        <w:t xml:space="preserve"> </w:t>
      </w:r>
      <w:r w:rsidRPr="005F4645">
        <w:rPr>
          <w:rFonts w:ascii="Arial" w:hAnsi="Arial" w:cs="Arial"/>
          <w:bCs/>
          <w:sz w:val="20"/>
          <w:szCs w:val="20"/>
        </w:rPr>
        <w:t>EUR.</w:t>
      </w:r>
    </w:p>
    <w:p w14:paraId="0670C096" w14:textId="77777777" w:rsidR="004B7622" w:rsidRDefault="004B7622" w:rsidP="004B76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i/>
          <w:sz w:val="20"/>
          <w:szCs w:val="20"/>
        </w:rPr>
      </w:pPr>
      <w:r w:rsidRPr="00DA44E8">
        <w:rPr>
          <w:rFonts w:ascii="Arial" w:hAnsi="Arial" w:cs="Arial"/>
          <w:bCs/>
          <w:i/>
          <w:sz w:val="20"/>
          <w:szCs w:val="20"/>
        </w:rPr>
        <w:t>Preglednica</w:t>
      </w:r>
      <w:r w:rsidRPr="00DA44E8">
        <w:rPr>
          <w:rFonts w:ascii="Arial" w:hAnsi="Arial" w:cs="Arial"/>
          <w:i/>
          <w:sz w:val="20"/>
          <w:szCs w:val="20"/>
        </w:rPr>
        <w:t xml:space="preserve"> 3: Stanje in gibanje davčnega dolga v EUR</w:t>
      </w:r>
    </w:p>
    <w:tbl>
      <w:tblPr>
        <w:tblW w:w="9007" w:type="dxa"/>
        <w:tblCellMar>
          <w:left w:w="70" w:type="dxa"/>
          <w:right w:w="70" w:type="dxa"/>
        </w:tblCellMar>
        <w:tblLook w:val="04A0" w:firstRow="1" w:lastRow="0" w:firstColumn="1" w:lastColumn="0" w:noHBand="0" w:noVBand="1"/>
      </w:tblPr>
      <w:tblGrid>
        <w:gridCol w:w="1401"/>
        <w:gridCol w:w="1437"/>
        <w:gridCol w:w="1268"/>
        <w:gridCol w:w="1268"/>
        <w:gridCol w:w="1211"/>
        <w:gridCol w:w="1211"/>
        <w:gridCol w:w="1211"/>
      </w:tblGrid>
      <w:tr w:rsidR="004B7622" w:rsidRPr="000A71B9" w14:paraId="25B9B03C" w14:textId="77777777" w:rsidTr="00377989">
        <w:trPr>
          <w:trHeight w:val="364"/>
        </w:trPr>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8E79A" w14:textId="77777777" w:rsidR="004B7622" w:rsidRPr="000A71B9" w:rsidRDefault="004B7622" w:rsidP="00377989">
            <w:pPr>
              <w:spacing w:after="0" w:line="240" w:lineRule="auto"/>
              <w:rPr>
                <w:rFonts w:eastAsia="Times New Roman" w:cs="Calibri"/>
                <w:color w:val="000000"/>
                <w:lang w:eastAsia="sl-SI"/>
              </w:rPr>
            </w:pPr>
            <w:r w:rsidRPr="000A71B9">
              <w:rPr>
                <w:rFonts w:eastAsia="Times New Roman" w:cs="Calibri"/>
                <w:color w:val="000000"/>
                <w:lang w:eastAsia="sl-SI"/>
              </w:rPr>
              <w:t> </w:t>
            </w:r>
          </w:p>
        </w:tc>
        <w:tc>
          <w:tcPr>
            <w:tcW w:w="1437" w:type="dxa"/>
            <w:tcBorders>
              <w:top w:val="single" w:sz="4" w:space="0" w:color="auto"/>
              <w:left w:val="nil"/>
              <w:bottom w:val="single" w:sz="4" w:space="0" w:color="auto"/>
              <w:right w:val="nil"/>
            </w:tcBorders>
            <w:shd w:val="clear" w:color="auto" w:fill="auto"/>
            <w:vAlign w:val="center"/>
            <w:hideMark/>
          </w:tcPr>
          <w:p w14:paraId="3AF9BFC2" w14:textId="77777777" w:rsidR="004B7622" w:rsidRPr="000A71B9" w:rsidRDefault="004B7622" w:rsidP="00377989">
            <w:pPr>
              <w:spacing w:after="0" w:line="240" w:lineRule="auto"/>
              <w:jc w:val="center"/>
              <w:rPr>
                <w:rFonts w:ascii="Arial" w:eastAsia="Times New Roman" w:hAnsi="Arial" w:cs="Arial"/>
                <w:b/>
                <w:bCs/>
                <w:color w:val="000000"/>
                <w:sz w:val="20"/>
                <w:szCs w:val="20"/>
                <w:lang w:eastAsia="sl-SI"/>
              </w:rPr>
            </w:pPr>
            <w:r w:rsidRPr="000A71B9">
              <w:rPr>
                <w:rFonts w:ascii="Arial" w:eastAsia="Times New Roman" w:hAnsi="Arial" w:cs="Arial"/>
                <w:b/>
                <w:bCs/>
                <w:color w:val="000000"/>
                <w:sz w:val="20"/>
                <w:szCs w:val="20"/>
                <w:lang w:eastAsia="sl-SI"/>
              </w:rPr>
              <w:t>31.12.2019</w:t>
            </w:r>
          </w:p>
        </w:tc>
        <w:tc>
          <w:tcPr>
            <w:tcW w:w="1268" w:type="dxa"/>
            <w:tcBorders>
              <w:top w:val="single" w:sz="4" w:space="0" w:color="auto"/>
              <w:left w:val="single" w:sz="4" w:space="0" w:color="auto"/>
              <w:bottom w:val="single" w:sz="4" w:space="0" w:color="auto"/>
              <w:right w:val="nil"/>
            </w:tcBorders>
            <w:shd w:val="clear" w:color="auto" w:fill="auto"/>
            <w:vAlign w:val="center"/>
            <w:hideMark/>
          </w:tcPr>
          <w:p w14:paraId="1A3E53E4" w14:textId="77777777" w:rsidR="004B7622" w:rsidRPr="000A71B9" w:rsidRDefault="004B7622" w:rsidP="00377989">
            <w:pPr>
              <w:spacing w:after="0" w:line="240" w:lineRule="auto"/>
              <w:jc w:val="center"/>
              <w:rPr>
                <w:rFonts w:ascii="Arial" w:eastAsia="Times New Roman" w:hAnsi="Arial" w:cs="Arial"/>
                <w:b/>
                <w:bCs/>
                <w:color w:val="000000"/>
                <w:sz w:val="20"/>
                <w:szCs w:val="20"/>
                <w:lang w:eastAsia="sl-SI"/>
              </w:rPr>
            </w:pPr>
            <w:r w:rsidRPr="000A71B9">
              <w:rPr>
                <w:rFonts w:ascii="Arial" w:eastAsia="Times New Roman" w:hAnsi="Arial" w:cs="Arial"/>
                <w:b/>
                <w:bCs/>
                <w:color w:val="000000"/>
                <w:sz w:val="20"/>
                <w:szCs w:val="20"/>
                <w:lang w:eastAsia="sl-SI"/>
              </w:rPr>
              <w:t>31.12.2020</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50035" w14:textId="77777777" w:rsidR="004B7622" w:rsidRPr="000A71B9" w:rsidRDefault="004B7622" w:rsidP="00377989">
            <w:pPr>
              <w:spacing w:after="0" w:line="240" w:lineRule="auto"/>
              <w:jc w:val="center"/>
              <w:rPr>
                <w:rFonts w:ascii="Arial" w:eastAsia="Times New Roman" w:hAnsi="Arial" w:cs="Arial"/>
                <w:b/>
                <w:bCs/>
                <w:color w:val="000000"/>
                <w:sz w:val="20"/>
                <w:szCs w:val="20"/>
                <w:lang w:eastAsia="sl-SI"/>
              </w:rPr>
            </w:pPr>
            <w:r w:rsidRPr="000A71B9">
              <w:rPr>
                <w:rFonts w:ascii="Arial" w:eastAsia="Times New Roman" w:hAnsi="Arial" w:cs="Arial"/>
                <w:b/>
                <w:bCs/>
                <w:color w:val="000000"/>
                <w:sz w:val="20"/>
                <w:szCs w:val="20"/>
                <w:lang w:eastAsia="sl-SI"/>
              </w:rPr>
              <w:t>31.12.2021</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7A85DBCC" w14:textId="77777777" w:rsidR="004B7622" w:rsidRPr="000A71B9" w:rsidRDefault="004B7622" w:rsidP="00377989">
            <w:pPr>
              <w:spacing w:after="0" w:line="240" w:lineRule="auto"/>
              <w:jc w:val="center"/>
              <w:rPr>
                <w:rFonts w:ascii="Arial" w:eastAsia="Times New Roman" w:hAnsi="Arial" w:cs="Arial"/>
                <w:b/>
                <w:bCs/>
                <w:color w:val="000000"/>
                <w:sz w:val="20"/>
                <w:szCs w:val="20"/>
                <w:lang w:eastAsia="sl-SI"/>
              </w:rPr>
            </w:pPr>
            <w:r w:rsidRPr="000A71B9">
              <w:rPr>
                <w:rFonts w:ascii="Arial" w:eastAsia="Times New Roman" w:hAnsi="Arial" w:cs="Arial"/>
                <w:b/>
                <w:bCs/>
                <w:color w:val="000000"/>
                <w:sz w:val="20"/>
                <w:szCs w:val="20"/>
                <w:lang w:eastAsia="sl-SI"/>
              </w:rPr>
              <w:t xml:space="preserve">IND </w:t>
            </w:r>
            <w:r w:rsidRPr="000A71B9">
              <w:rPr>
                <w:rFonts w:ascii="Arial" w:eastAsia="Times New Roman" w:hAnsi="Arial" w:cs="Arial"/>
                <w:b/>
                <w:bCs/>
                <w:color w:val="000000"/>
                <w:sz w:val="20"/>
                <w:szCs w:val="20"/>
                <w:lang w:eastAsia="sl-SI"/>
              </w:rPr>
              <w:br/>
              <w:t>31.12.2020/</w:t>
            </w:r>
            <w:r w:rsidRPr="000A71B9">
              <w:rPr>
                <w:rFonts w:ascii="Arial" w:eastAsia="Times New Roman" w:hAnsi="Arial" w:cs="Arial"/>
                <w:b/>
                <w:bCs/>
                <w:color w:val="000000"/>
                <w:sz w:val="20"/>
                <w:szCs w:val="20"/>
                <w:lang w:eastAsia="sl-SI"/>
              </w:rPr>
              <w:br/>
              <w:t>31.12.2019</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7C4E2C8C" w14:textId="77777777" w:rsidR="004B7622" w:rsidRPr="000A71B9" w:rsidRDefault="004B7622" w:rsidP="00377989">
            <w:pPr>
              <w:spacing w:after="0" w:line="240" w:lineRule="auto"/>
              <w:jc w:val="center"/>
              <w:rPr>
                <w:rFonts w:ascii="Arial" w:eastAsia="Times New Roman" w:hAnsi="Arial" w:cs="Arial"/>
                <w:b/>
                <w:bCs/>
                <w:color w:val="000000"/>
                <w:sz w:val="20"/>
                <w:szCs w:val="20"/>
                <w:lang w:eastAsia="sl-SI"/>
              </w:rPr>
            </w:pPr>
            <w:r w:rsidRPr="000A71B9">
              <w:rPr>
                <w:rFonts w:ascii="Arial" w:eastAsia="Times New Roman" w:hAnsi="Arial" w:cs="Arial"/>
                <w:b/>
                <w:bCs/>
                <w:color w:val="000000"/>
                <w:sz w:val="20"/>
                <w:szCs w:val="20"/>
                <w:lang w:eastAsia="sl-SI"/>
              </w:rPr>
              <w:t xml:space="preserve">IND </w:t>
            </w:r>
            <w:r w:rsidRPr="000A71B9">
              <w:rPr>
                <w:rFonts w:ascii="Arial" w:eastAsia="Times New Roman" w:hAnsi="Arial" w:cs="Arial"/>
                <w:b/>
                <w:bCs/>
                <w:color w:val="000000"/>
                <w:sz w:val="20"/>
                <w:szCs w:val="20"/>
                <w:lang w:eastAsia="sl-SI"/>
              </w:rPr>
              <w:br/>
              <w:t>31.12.2021/</w:t>
            </w:r>
            <w:r w:rsidRPr="000A71B9">
              <w:rPr>
                <w:rFonts w:ascii="Arial" w:eastAsia="Times New Roman" w:hAnsi="Arial" w:cs="Arial"/>
                <w:b/>
                <w:bCs/>
                <w:color w:val="000000"/>
                <w:sz w:val="20"/>
                <w:szCs w:val="20"/>
                <w:lang w:eastAsia="sl-SI"/>
              </w:rPr>
              <w:br/>
              <w:t>31.12.2019</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5E0FF869" w14:textId="77777777" w:rsidR="004B7622" w:rsidRPr="000A71B9" w:rsidRDefault="004B7622" w:rsidP="00377989">
            <w:pPr>
              <w:spacing w:after="0" w:line="240" w:lineRule="auto"/>
              <w:jc w:val="center"/>
              <w:rPr>
                <w:rFonts w:ascii="Arial" w:eastAsia="Times New Roman" w:hAnsi="Arial" w:cs="Arial"/>
                <w:b/>
                <w:bCs/>
                <w:color w:val="000000"/>
                <w:sz w:val="20"/>
                <w:szCs w:val="20"/>
                <w:lang w:eastAsia="sl-SI"/>
              </w:rPr>
            </w:pPr>
            <w:r w:rsidRPr="000A71B9">
              <w:rPr>
                <w:rFonts w:ascii="Arial" w:eastAsia="Times New Roman" w:hAnsi="Arial" w:cs="Arial"/>
                <w:b/>
                <w:bCs/>
                <w:color w:val="000000"/>
                <w:sz w:val="20"/>
                <w:szCs w:val="20"/>
                <w:lang w:eastAsia="sl-SI"/>
              </w:rPr>
              <w:t>IND 31.12.2021/</w:t>
            </w:r>
            <w:r w:rsidRPr="000A71B9">
              <w:rPr>
                <w:rFonts w:ascii="Arial" w:eastAsia="Times New Roman" w:hAnsi="Arial" w:cs="Arial"/>
                <w:b/>
                <w:bCs/>
                <w:color w:val="000000"/>
                <w:sz w:val="20"/>
                <w:szCs w:val="20"/>
                <w:lang w:eastAsia="sl-SI"/>
              </w:rPr>
              <w:br/>
              <w:t>31.12.2020</w:t>
            </w:r>
          </w:p>
        </w:tc>
      </w:tr>
      <w:tr w:rsidR="004B7622" w:rsidRPr="000A71B9" w14:paraId="2E1CBDD8" w14:textId="77777777" w:rsidTr="00377989">
        <w:trPr>
          <w:trHeight w:val="184"/>
        </w:trPr>
        <w:tc>
          <w:tcPr>
            <w:tcW w:w="1401" w:type="dxa"/>
            <w:tcBorders>
              <w:top w:val="nil"/>
              <w:left w:val="single" w:sz="4" w:space="0" w:color="auto"/>
              <w:bottom w:val="single" w:sz="4" w:space="0" w:color="auto"/>
              <w:right w:val="single" w:sz="4" w:space="0" w:color="auto"/>
            </w:tcBorders>
            <w:shd w:val="clear" w:color="auto" w:fill="auto"/>
            <w:vAlign w:val="center"/>
            <w:hideMark/>
          </w:tcPr>
          <w:p w14:paraId="5FAAAA56" w14:textId="77777777" w:rsidR="004B7622" w:rsidRPr="000A71B9" w:rsidRDefault="004B7622" w:rsidP="00377989">
            <w:pPr>
              <w:spacing w:after="0" w:line="240" w:lineRule="auto"/>
              <w:rPr>
                <w:rFonts w:ascii="Arial" w:eastAsia="Times New Roman" w:hAnsi="Arial" w:cs="Arial"/>
                <w:color w:val="000000"/>
                <w:sz w:val="20"/>
                <w:szCs w:val="20"/>
                <w:lang w:eastAsia="sl-SI"/>
              </w:rPr>
            </w:pPr>
            <w:r w:rsidRPr="000A71B9">
              <w:rPr>
                <w:rFonts w:ascii="Arial" w:eastAsia="Times New Roman" w:hAnsi="Arial" w:cs="Arial"/>
                <w:color w:val="000000"/>
                <w:sz w:val="20"/>
                <w:szCs w:val="20"/>
                <w:lang w:eastAsia="sl-SI"/>
              </w:rPr>
              <w:t xml:space="preserve">Aktivni dolg </w:t>
            </w:r>
          </w:p>
        </w:tc>
        <w:tc>
          <w:tcPr>
            <w:tcW w:w="1437" w:type="dxa"/>
            <w:tcBorders>
              <w:top w:val="nil"/>
              <w:left w:val="nil"/>
              <w:bottom w:val="single" w:sz="4" w:space="0" w:color="auto"/>
              <w:right w:val="nil"/>
            </w:tcBorders>
            <w:shd w:val="clear" w:color="auto" w:fill="auto"/>
            <w:vAlign w:val="center"/>
            <w:hideMark/>
          </w:tcPr>
          <w:p w14:paraId="31559C74" w14:textId="77777777" w:rsidR="004B7622" w:rsidRPr="000A71B9" w:rsidRDefault="004B7622" w:rsidP="00377989">
            <w:pPr>
              <w:spacing w:after="0" w:line="240" w:lineRule="auto"/>
              <w:jc w:val="right"/>
              <w:rPr>
                <w:rFonts w:ascii="Arial" w:eastAsia="Times New Roman" w:hAnsi="Arial" w:cs="Arial"/>
                <w:color w:val="000000"/>
                <w:sz w:val="20"/>
                <w:szCs w:val="20"/>
                <w:lang w:eastAsia="sl-SI"/>
              </w:rPr>
            </w:pPr>
            <w:r w:rsidRPr="000A71B9">
              <w:rPr>
                <w:rFonts w:ascii="Arial" w:eastAsia="Times New Roman" w:hAnsi="Arial" w:cs="Arial"/>
                <w:color w:val="000000"/>
                <w:sz w:val="20"/>
                <w:szCs w:val="20"/>
                <w:lang w:eastAsia="sl-SI"/>
              </w:rPr>
              <w:t>636.586.740</w:t>
            </w:r>
          </w:p>
        </w:tc>
        <w:tc>
          <w:tcPr>
            <w:tcW w:w="1268" w:type="dxa"/>
            <w:tcBorders>
              <w:top w:val="nil"/>
              <w:left w:val="single" w:sz="4" w:space="0" w:color="auto"/>
              <w:bottom w:val="single" w:sz="4" w:space="0" w:color="auto"/>
              <w:right w:val="nil"/>
            </w:tcBorders>
            <w:shd w:val="clear" w:color="auto" w:fill="auto"/>
            <w:vAlign w:val="center"/>
            <w:hideMark/>
          </w:tcPr>
          <w:p w14:paraId="3C5FE79B" w14:textId="77777777" w:rsidR="004B7622" w:rsidRPr="000A71B9" w:rsidRDefault="004B7622" w:rsidP="00377989">
            <w:pPr>
              <w:spacing w:after="0" w:line="240" w:lineRule="auto"/>
              <w:jc w:val="right"/>
              <w:rPr>
                <w:rFonts w:ascii="Arial" w:eastAsia="Times New Roman" w:hAnsi="Arial" w:cs="Arial"/>
                <w:color w:val="000000"/>
                <w:sz w:val="20"/>
                <w:szCs w:val="20"/>
                <w:lang w:eastAsia="sl-SI"/>
              </w:rPr>
            </w:pPr>
            <w:r w:rsidRPr="000A71B9">
              <w:rPr>
                <w:rFonts w:ascii="Arial" w:eastAsia="Times New Roman" w:hAnsi="Arial" w:cs="Arial"/>
                <w:color w:val="000000"/>
                <w:sz w:val="20"/>
                <w:szCs w:val="20"/>
                <w:lang w:eastAsia="sl-SI"/>
              </w:rPr>
              <w:t>498.681.544</w:t>
            </w:r>
          </w:p>
        </w:tc>
        <w:tc>
          <w:tcPr>
            <w:tcW w:w="1268" w:type="dxa"/>
            <w:tcBorders>
              <w:top w:val="nil"/>
              <w:left w:val="single" w:sz="4" w:space="0" w:color="auto"/>
              <w:bottom w:val="single" w:sz="4" w:space="0" w:color="auto"/>
              <w:right w:val="single" w:sz="4" w:space="0" w:color="auto"/>
            </w:tcBorders>
            <w:shd w:val="clear" w:color="auto" w:fill="auto"/>
            <w:vAlign w:val="center"/>
            <w:hideMark/>
          </w:tcPr>
          <w:p w14:paraId="4644FA81" w14:textId="77777777" w:rsidR="004B7622" w:rsidRPr="000A71B9" w:rsidRDefault="004B7622" w:rsidP="00377989">
            <w:pPr>
              <w:spacing w:after="0" w:line="240" w:lineRule="auto"/>
              <w:jc w:val="right"/>
              <w:rPr>
                <w:rFonts w:ascii="Arial" w:eastAsia="Times New Roman" w:hAnsi="Arial" w:cs="Arial"/>
                <w:color w:val="000000"/>
                <w:sz w:val="20"/>
                <w:szCs w:val="20"/>
                <w:lang w:eastAsia="sl-SI"/>
              </w:rPr>
            </w:pPr>
            <w:r w:rsidRPr="000A71B9">
              <w:rPr>
                <w:rFonts w:ascii="Arial" w:eastAsia="Times New Roman" w:hAnsi="Arial" w:cs="Arial"/>
                <w:color w:val="000000"/>
                <w:sz w:val="20"/>
                <w:szCs w:val="20"/>
                <w:lang w:eastAsia="sl-SI"/>
              </w:rPr>
              <w:t>431.158.169</w:t>
            </w:r>
          </w:p>
        </w:tc>
        <w:tc>
          <w:tcPr>
            <w:tcW w:w="1211" w:type="dxa"/>
            <w:tcBorders>
              <w:top w:val="nil"/>
              <w:left w:val="nil"/>
              <w:bottom w:val="single" w:sz="4" w:space="0" w:color="auto"/>
              <w:right w:val="single" w:sz="4" w:space="0" w:color="auto"/>
            </w:tcBorders>
            <w:shd w:val="clear" w:color="auto" w:fill="auto"/>
            <w:vAlign w:val="center"/>
            <w:hideMark/>
          </w:tcPr>
          <w:p w14:paraId="5F4AEE7E" w14:textId="77777777" w:rsidR="004B7622" w:rsidRPr="000A71B9" w:rsidRDefault="004B7622" w:rsidP="00377989">
            <w:pPr>
              <w:spacing w:after="0" w:line="240" w:lineRule="auto"/>
              <w:jc w:val="right"/>
              <w:rPr>
                <w:rFonts w:ascii="Arial" w:eastAsia="Times New Roman" w:hAnsi="Arial" w:cs="Arial"/>
                <w:color w:val="000000"/>
                <w:sz w:val="20"/>
                <w:szCs w:val="20"/>
                <w:lang w:eastAsia="sl-SI"/>
              </w:rPr>
            </w:pPr>
            <w:r w:rsidRPr="000A71B9">
              <w:rPr>
                <w:rFonts w:ascii="Arial" w:eastAsia="Times New Roman" w:hAnsi="Arial" w:cs="Arial"/>
                <w:color w:val="000000"/>
                <w:sz w:val="20"/>
                <w:szCs w:val="20"/>
                <w:lang w:eastAsia="sl-SI"/>
              </w:rPr>
              <w:t>78,3</w:t>
            </w:r>
          </w:p>
        </w:tc>
        <w:tc>
          <w:tcPr>
            <w:tcW w:w="1211" w:type="dxa"/>
            <w:tcBorders>
              <w:top w:val="nil"/>
              <w:left w:val="nil"/>
              <w:bottom w:val="single" w:sz="4" w:space="0" w:color="auto"/>
              <w:right w:val="single" w:sz="4" w:space="0" w:color="auto"/>
            </w:tcBorders>
            <w:shd w:val="clear" w:color="auto" w:fill="auto"/>
            <w:vAlign w:val="center"/>
            <w:hideMark/>
          </w:tcPr>
          <w:p w14:paraId="58AC4A7D" w14:textId="77777777" w:rsidR="004B7622" w:rsidRPr="000A71B9" w:rsidRDefault="004B7622" w:rsidP="00377989">
            <w:pPr>
              <w:spacing w:after="0" w:line="240" w:lineRule="auto"/>
              <w:jc w:val="right"/>
              <w:rPr>
                <w:rFonts w:ascii="Arial" w:eastAsia="Times New Roman" w:hAnsi="Arial" w:cs="Arial"/>
                <w:color w:val="000000"/>
                <w:sz w:val="20"/>
                <w:szCs w:val="20"/>
                <w:lang w:eastAsia="sl-SI"/>
              </w:rPr>
            </w:pPr>
            <w:r w:rsidRPr="000A71B9">
              <w:rPr>
                <w:rFonts w:ascii="Arial" w:eastAsia="Times New Roman" w:hAnsi="Arial" w:cs="Arial"/>
                <w:color w:val="000000"/>
                <w:sz w:val="20"/>
                <w:szCs w:val="20"/>
                <w:lang w:eastAsia="sl-SI"/>
              </w:rPr>
              <w:t>67,7</w:t>
            </w:r>
          </w:p>
        </w:tc>
        <w:tc>
          <w:tcPr>
            <w:tcW w:w="1211" w:type="dxa"/>
            <w:tcBorders>
              <w:top w:val="nil"/>
              <w:left w:val="nil"/>
              <w:bottom w:val="single" w:sz="4" w:space="0" w:color="auto"/>
              <w:right w:val="single" w:sz="4" w:space="0" w:color="auto"/>
            </w:tcBorders>
            <w:shd w:val="clear" w:color="auto" w:fill="auto"/>
            <w:vAlign w:val="center"/>
            <w:hideMark/>
          </w:tcPr>
          <w:p w14:paraId="64B27AC5" w14:textId="77777777" w:rsidR="004B7622" w:rsidRPr="000A71B9" w:rsidRDefault="004B7622" w:rsidP="00377989">
            <w:pPr>
              <w:spacing w:after="0" w:line="240" w:lineRule="auto"/>
              <w:jc w:val="right"/>
              <w:rPr>
                <w:rFonts w:ascii="Arial" w:eastAsia="Times New Roman" w:hAnsi="Arial" w:cs="Arial"/>
                <w:color w:val="000000"/>
                <w:sz w:val="20"/>
                <w:szCs w:val="20"/>
                <w:lang w:eastAsia="sl-SI"/>
              </w:rPr>
            </w:pPr>
            <w:r w:rsidRPr="000A71B9">
              <w:rPr>
                <w:rFonts w:ascii="Arial" w:eastAsia="Times New Roman" w:hAnsi="Arial" w:cs="Arial"/>
                <w:color w:val="000000"/>
                <w:sz w:val="20"/>
                <w:szCs w:val="20"/>
                <w:lang w:eastAsia="sl-SI"/>
              </w:rPr>
              <w:t>86,5</w:t>
            </w:r>
          </w:p>
        </w:tc>
      </w:tr>
      <w:tr w:rsidR="004B7622" w:rsidRPr="000A71B9" w14:paraId="352B1945" w14:textId="77777777" w:rsidTr="00377989">
        <w:trPr>
          <w:trHeight w:val="195"/>
        </w:trPr>
        <w:tc>
          <w:tcPr>
            <w:tcW w:w="1401" w:type="dxa"/>
            <w:tcBorders>
              <w:top w:val="nil"/>
              <w:left w:val="single" w:sz="4" w:space="0" w:color="auto"/>
              <w:bottom w:val="single" w:sz="4" w:space="0" w:color="auto"/>
              <w:right w:val="single" w:sz="4" w:space="0" w:color="auto"/>
            </w:tcBorders>
            <w:shd w:val="clear" w:color="auto" w:fill="auto"/>
            <w:vAlign w:val="center"/>
            <w:hideMark/>
          </w:tcPr>
          <w:p w14:paraId="1FABDEFD" w14:textId="77777777" w:rsidR="004B7622" w:rsidRPr="000A71B9" w:rsidRDefault="004B7622" w:rsidP="00377989">
            <w:pPr>
              <w:spacing w:after="0" w:line="240" w:lineRule="auto"/>
              <w:rPr>
                <w:rFonts w:ascii="Arial" w:eastAsia="Times New Roman" w:hAnsi="Arial" w:cs="Arial"/>
                <w:color w:val="000000"/>
                <w:sz w:val="20"/>
                <w:szCs w:val="20"/>
                <w:lang w:eastAsia="sl-SI"/>
              </w:rPr>
            </w:pPr>
            <w:r w:rsidRPr="000A71B9">
              <w:rPr>
                <w:rFonts w:ascii="Arial" w:eastAsia="Times New Roman" w:hAnsi="Arial" w:cs="Arial"/>
                <w:color w:val="000000"/>
                <w:sz w:val="20"/>
                <w:szCs w:val="20"/>
                <w:lang w:eastAsia="sl-SI"/>
              </w:rPr>
              <w:t>Pogojno izterljivi dolg</w:t>
            </w:r>
          </w:p>
        </w:tc>
        <w:tc>
          <w:tcPr>
            <w:tcW w:w="1437" w:type="dxa"/>
            <w:tcBorders>
              <w:top w:val="nil"/>
              <w:left w:val="nil"/>
              <w:bottom w:val="single" w:sz="4" w:space="0" w:color="auto"/>
              <w:right w:val="nil"/>
            </w:tcBorders>
            <w:shd w:val="clear" w:color="auto" w:fill="auto"/>
            <w:vAlign w:val="center"/>
            <w:hideMark/>
          </w:tcPr>
          <w:p w14:paraId="1F964962" w14:textId="77777777" w:rsidR="004B7622" w:rsidRPr="000A71B9" w:rsidRDefault="004B7622" w:rsidP="00377989">
            <w:pPr>
              <w:spacing w:after="0" w:line="240" w:lineRule="auto"/>
              <w:jc w:val="right"/>
              <w:rPr>
                <w:rFonts w:ascii="Arial" w:eastAsia="Times New Roman" w:hAnsi="Arial" w:cs="Arial"/>
                <w:color w:val="000000"/>
                <w:sz w:val="20"/>
                <w:szCs w:val="20"/>
                <w:lang w:eastAsia="sl-SI"/>
              </w:rPr>
            </w:pPr>
            <w:r w:rsidRPr="000A71B9">
              <w:rPr>
                <w:rFonts w:ascii="Arial" w:eastAsia="Times New Roman" w:hAnsi="Arial" w:cs="Arial"/>
                <w:color w:val="000000"/>
                <w:sz w:val="20"/>
                <w:szCs w:val="20"/>
                <w:lang w:eastAsia="sl-SI"/>
              </w:rPr>
              <w:t>543.773.993</w:t>
            </w:r>
          </w:p>
        </w:tc>
        <w:tc>
          <w:tcPr>
            <w:tcW w:w="1268" w:type="dxa"/>
            <w:tcBorders>
              <w:top w:val="nil"/>
              <w:left w:val="single" w:sz="4" w:space="0" w:color="auto"/>
              <w:bottom w:val="single" w:sz="4" w:space="0" w:color="auto"/>
              <w:right w:val="nil"/>
            </w:tcBorders>
            <w:shd w:val="clear" w:color="auto" w:fill="auto"/>
            <w:vAlign w:val="center"/>
            <w:hideMark/>
          </w:tcPr>
          <w:p w14:paraId="6389F44A" w14:textId="77777777" w:rsidR="004B7622" w:rsidRPr="000A71B9" w:rsidRDefault="004B7622" w:rsidP="00377989">
            <w:pPr>
              <w:spacing w:after="0" w:line="240" w:lineRule="auto"/>
              <w:jc w:val="right"/>
              <w:rPr>
                <w:rFonts w:ascii="Arial" w:eastAsia="Times New Roman" w:hAnsi="Arial" w:cs="Arial"/>
                <w:color w:val="000000"/>
                <w:sz w:val="20"/>
                <w:szCs w:val="20"/>
                <w:lang w:eastAsia="sl-SI"/>
              </w:rPr>
            </w:pPr>
            <w:r w:rsidRPr="000A71B9">
              <w:rPr>
                <w:rFonts w:ascii="Arial" w:eastAsia="Times New Roman" w:hAnsi="Arial" w:cs="Arial"/>
                <w:color w:val="000000"/>
                <w:sz w:val="20"/>
                <w:szCs w:val="20"/>
                <w:lang w:eastAsia="sl-SI"/>
              </w:rPr>
              <w:t>499.407.850</w:t>
            </w:r>
          </w:p>
        </w:tc>
        <w:tc>
          <w:tcPr>
            <w:tcW w:w="1268" w:type="dxa"/>
            <w:tcBorders>
              <w:top w:val="nil"/>
              <w:left w:val="single" w:sz="4" w:space="0" w:color="auto"/>
              <w:bottom w:val="single" w:sz="4" w:space="0" w:color="auto"/>
              <w:right w:val="single" w:sz="4" w:space="0" w:color="auto"/>
            </w:tcBorders>
            <w:shd w:val="clear" w:color="auto" w:fill="auto"/>
            <w:vAlign w:val="center"/>
            <w:hideMark/>
          </w:tcPr>
          <w:p w14:paraId="3E6DA3DC" w14:textId="77777777" w:rsidR="004B7622" w:rsidRPr="000A71B9" w:rsidRDefault="004B7622" w:rsidP="00377989">
            <w:pPr>
              <w:spacing w:after="0" w:line="240" w:lineRule="auto"/>
              <w:jc w:val="right"/>
              <w:rPr>
                <w:rFonts w:ascii="Arial" w:eastAsia="Times New Roman" w:hAnsi="Arial" w:cs="Arial"/>
                <w:sz w:val="20"/>
                <w:szCs w:val="20"/>
                <w:lang w:eastAsia="sl-SI"/>
              </w:rPr>
            </w:pPr>
            <w:r w:rsidRPr="000A71B9">
              <w:rPr>
                <w:rFonts w:ascii="Arial" w:eastAsia="Times New Roman" w:hAnsi="Arial" w:cs="Arial"/>
                <w:sz w:val="20"/>
                <w:szCs w:val="20"/>
                <w:lang w:eastAsia="sl-SI"/>
              </w:rPr>
              <w:t>487.349.805</w:t>
            </w:r>
          </w:p>
        </w:tc>
        <w:tc>
          <w:tcPr>
            <w:tcW w:w="1211" w:type="dxa"/>
            <w:tcBorders>
              <w:top w:val="nil"/>
              <w:left w:val="nil"/>
              <w:bottom w:val="single" w:sz="4" w:space="0" w:color="auto"/>
              <w:right w:val="single" w:sz="4" w:space="0" w:color="auto"/>
            </w:tcBorders>
            <w:shd w:val="clear" w:color="auto" w:fill="auto"/>
            <w:vAlign w:val="center"/>
            <w:hideMark/>
          </w:tcPr>
          <w:p w14:paraId="0F33F4C2" w14:textId="77777777" w:rsidR="004B7622" w:rsidRPr="000A71B9" w:rsidRDefault="004B7622" w:rsidP="00377989">
            <w:pPr>
              <w:spacing w:after="0" w:line="240" w:lineRule="auto"/>
              <w:jc w:val="right"/>
              <w:rPr>
                <w:rFonts w:ascii="Arial" w:eastAsia="Times New Roman" w:hAnsi="Arial" w:cs="Arial"/>
                <w:color w:val="000000"/>
                <w:sz w:val="20"/>
                <w:szCs w:val="20"/>
                <w:lang w:eastAsia="sl-SI"/>
              </w:rPr>
            </w:pPr>
            <w:r w:rsidRPr="000A71B9">
              <w:rPr>
                <w:rFonts w:ascii="Arial" w:eastAsia="Times New Roman" w:hAnsi="Arial" w:cs="Arial"/>
                <w:color w:val="000000"/>
                <w:sz w:val="20"/>
                <w:szCs w:val="20"/>
                <w:lang w:eastAsia="sl-SI"/>
              </w:rPr>
              <w:t>91,8</w:t>
            </w:r>
          </w:p>
        </w:tc>
        <w:tc>
          <w:tcPr>
            <w:tcW w:w="1211" w:type="dxa"/>
            <w:tcBorders>
              <w:top w:val="nil"/>
              <w:left w:val="nil"/>
              <w:bottom w:val="single" w:sz="4" w:space="0" w:color="auto"/>
              <w:right w:val="single" w:sz="4" w:space="0" w:color="auto"/>
            </w:tcBorders>
            <w:shd w:val="clear" w:color="auto" w:fill="auto"/>
            <w:vAlign w:val="center"/>
            <w:hideMark/>
          </w:tcPr>
          <w:p w14:paraId="5741750A" w14:textId="77777777" w:rsidR="004B7622" w:rsidRPr="000A71B9" w:rsidRDefault="004B7622" w:rsidP="00377989">
            <w:pPr>
              <w:spacing w:after="0" w:line="240" w:lineRule="auto"/>
              <w:jc w:val="right"/>
              <w:rPr>
                <w:rFonts w:ascii="Arial" w:eastAsia="Times New Roman" w:hAnsi="Arial" w:cs="Arial"/>
                <w:color w:val="000000"/>
                <w:sz w:val="20"/>
                <w:szCs w:val="20"/>
                <w:lang w:eastAsia="sl-SI"/>
              </w:rPr>
            </w:pPr>
            <w:r w:rsidRPr="000A71B9">
              <w:rPr>
                <w:rFonts w:ascii="Arial" w:eastAsia="Times New Roman" w:hAnsi="Arial" w:cs="Arial"/>
                <w:color w:val="000000"/>
                <w:sz w:val="20"/>
                <w:szCs w:val="20"/>
                <w:lang w:eastAsia="sl-SI"/>
              </w:rPr>
              <w:t>89,6</w:t>
            </w:r>
          </w:p>
        </w:tc>
        <w:tc>
          <w:tcPr>
            <w:tcW w:w="1211" w:type="dxa"/>
            <w:tcBorders>
              <w:top w:val="nil"/>
              <w:left w:val="nil"/>
              <w:bottom w:val="single" w:sz="4" w:space="0" w:color="auto"/>
              <w:right w:val="single" w:sz="4" w:space="0" w:color="auto"/>
            </w:tcBorders>
            <w:shd w:val="clear" w:color="auto" w:fill="auto"/>
            <w:vAlign w:val="center"/>
            <w:hideMark/>
          </w:tcPr>
          <w:p w14:paraId="0533F42D" w14:textId="77777777" w:rsidR="004B7622" w:rsidRPr="000A71B9" w:rsidRDefault="004B7622" w:rsidP="00377989">
            <w:pPr>
              <w:spacing w:after="0" w:line="240" w:lineRule="auto"/>
              <w:jc w:val="right"/>
              <w:rPr>
                <w:rFonts w:ascii="Arial" w:eastAsia="Times New Roman" w:hAnsi="Arial" w:cs="Arial"/>
                <w:color w:val="000000"/>
                <w:sz w:val="20"/>
                <w:szCs w:val="20"/>
                <w:lang w:eastAsia="sl-SI"/>
              </w:rPr>
            </w:pPr>
            <w:r w:rsidRPr="000A71B9">
              <w:rPr>
                <w:rFonts w:ascii="Arial" w:eastAsia="Times New Roman" w:hAnsi="Arial" w:cs="Arial"/>
                <w:color w:val="000000"/>
                <w:sz w:val="20"/>
                <w:szCs w:val="20"/>
                <w:lang w:eastAsia="sl-SI"/>
              </w:rPr>
              <w:t>97,6</w:t>
            </w:r>
          </w:p>
        </w:tc>
      </w:tr>
      <w:tr w:rsidR="004B7622" w:rsidRPr="000A71B9" w14:paraId="6951374C" w14:textId="77777777" w:rsidTr="00377989">
        <w:trPr>
          <w:trHeight w:val="217"/>
        </w:trPr>
        <w:tc>
          <w:tcPr>
            <w:tcW w:w="1401" w:type="dxa"/>
            <w:tcBorders>
              <w:top w:val="nil"/>
              <w:left w:val="single" w:sz="4" w:space="0" w:color="auto"/>
              <w:bottom w:val="single" w:sz="4" w:space="0" w:color="auto"/>
              <w:right w:val="single" w:sz="4" w:space="0" w:color="auto"/>
            </w:tcBorders>
            <w:shd w:val="clear" w:color="auto" w:fill="auto"/>
            <w:vAlign w:val="center"/>
            <w:hideMark/>
          </w:tcPr>
          <w:p w14:paraId="51754B60" w14:textId="77777777" w:rsidR="004B7622" w:rsidRPr="000A71B9" w:rsidRDefault="004B7622" w:rsidP="00377989">
            <w:pPr>
              <w:spacing w:after="0" w:line="240" w:lineRule="auto"/>
              <w:jc w:val="center"/>
              <w:rPr>
                <w:rFonts w:ascii="Arial" w:eastAsia="Times New Roman" w:hAnsi="Arial" w:cs="Arial"/>
                <w:b/>
                <w:bCs/>
                <w:color w:val="000000"/>
                <w:sz w:val="20"/>
                <w:szCs w:val="20"/>
                <w:lang w:eastAsia="sl-SI"/>
              </w:rPr>
            </w:pPr>
            <w:r w:rsidRPr="000A71B9">
              <w:rPr>
                <w:rFonts w:ascii="Arial" w:eastAsia="Times New Roman" w:hAnsi="Arial" w:cs="Arial"/>
                <w:b/>
                <w:bCs/>
                <w:color w:val="000000"/>
                <w:sz w:val="20"/>
                <w:szCs w:val="20"/>
                <w:lang w:eastAsia="sl-SI"/>
              </w:rPr>
              <w:t>Skupaj dolg</w:t>
            </w:r>
          </w:p>
        </w:tc>
        <w:tc>
          <w:tcPr>
            <w:tcW w:w="1437" w:type="dxa"/>
            <w:tcBorders>
              <w:top w:val="nil"/>
              <w:left w:val="nil"/>
              <w:bottom w:val="single" w:sz="4" w:space="0" w:color="auto"/>
              <w:right w:val="nil"/>
            </w:tcBorders>
            <w:shd w:val="clear" w:color="auto" w:fill="auto"/>
            <w:vAlign w:val="center"/>
            <w:hideMark/>
          </w:tcPr>
          <w:p w14:paraId="1BD97D84" w14:textId="77777777" w:rsidR="004B7622" w:rsidRPr="000A71B9" w:rsidRDefault="004B7622" w:rsidP="00377989">
            <w:pPr>
              <w:spacing w:after="0" w:line="240" w:lineRule="auto"/>
              <w:jc w:val="right"/>
              <w:rPr>
                <w:rFonts w:ascii="Arial" w:eastAsia="Times New Roman" w:hAnsi="Arial" w:cs="Arial"/>
                <w:b/>
                <w:bCs/>
                <w:color w:val="000000"/>
                <w:sz w:val="20"/>
                <w:szCs w:val="20"/>
                <w:lang w:eastAsia="sl-SI"/>
              </w:rPr>
            </w:pPr>
            <w:r w:rsidRPr="000A71B9">
              <w:rPr>
                <w:rFonts w:ascii="Arial" w:eastAsia="Times New Roman" w:hAnsi="Arial" w:cs="Arial"/>
                <w:b/>
                <w:bCs/>
                <w:color w:val="000000"/>
                <w:sz w:val="20"/>
                <w:szCs w:val="20"/>
                <w:lang w:eastAsia="sl-SI"/>
              </w:rPr>
              <w:t>1.180.360.733</w:t>
            </w:r>
          </w:p>
        </w:tc>
        <w:tc>
          <w:tcPr>
            <w:tcW w:w="1268" w:type="dxa"/>
            <w:tcBorders>
              <w:top w:val="nil"/>
              <w:left w:val="single" w:sz="4" w:space="0" w:color="auto"/>
              <w:bottom w:val="single" w:sz="4" w:space="0" w:color="auto"/>
              <w:right w:val="nil"/>
            </w:tcBorders>
            <w:shd w:val="clear" w:color="auto" w:fill="auto"/>
            <w:vAlign w:val="center"/>
            <w:hideMark/>
          </w:tcPr>
          <w:p w14:paraId="01B0EA0D" w14:textId="77777777" w:rsidR="004B7622" w:rsidRPr="000A71B9" w:rsidRDefault="004B7622" w:rsidP="00377989">
            <w:pPr>
              <w:spacing w:after="0" w:line="240" w:lineRule="auto"/>
              <w:jc w:val="right"/>
              <w:rPr>
                <w:rFonts w:ascii="Arial" w:eastAsia="Times New Roman" w:hAnsi="Arial" w:cs="Arial"/>
                <w:b/>
                <w:bCs/>
                <w:color w:val="000000"/>
                <w:sz w:val="20"/>
                <w:szCs w:val="20"/>
                <w:lang w:eastAsia="sl-SI"/>
              </w:rPr>
            </w:pPr>
            <w:r w:rsidRPr="000A71B9">
              <w:rPr>
                <w:rFonts w:ascii="Arial" w:eastAsia="Times New Roman" w:hAnsi="Arial" w:cs="Arial"/>
                <w:b/>
                <w:bCs/>
                <w:color w:val="000000"/>
                <w:sz w:val="20"/>
                <w:szCs w:val="20"/>
                <w:lang w:eastAsia="sl-SI"/>
              </w:rPr>
              <w:t>998.089.393</w:t>
            </w:r>
          </w:p>
        </w:tc>
        <w:tc>
          <w:tcPr>
            <w:tcW w:w="1268" w:type="dxa"/>
            <w:tcBorders>
              <w:top w:val="nil"/>
              <w:left w:val="single" w:sz="4" w:space="0" w:color="auto"/>
              <w:bottom w:val="single" w:sz="4" w:space="0" w:color="auto"/>
              <w:right w:val="single" w:sz="4" w:space="0" w:color="auto"/>
            </w:tcBorders>
            <w:shd w:val="clear" w:color="auto" w:fill="auto"/>
            <w:vAlign w:val="center"/>
            <w:hideMark/>
          </w:tcPr>
          <w:p w14:paraId="7B0FB7EE" w14:textId="77777777" w:rsidR="004B7622" w:rsidRPr="000A71B9" w:rsidRDefault="004B7622" w:rsidP="00377989">
            <w:pPr>
              <w:spacing w:after="0" w:line="240" w:lineRule="auto"/>
              <w:jc w:val="right"/>
              <w:rPr>
                <w:rFonts w:ascii="Arial" w:eastAsia="Times New Roman" w:hAnsi="Arial" w:cs="Arial"/>
                <w:b/>
                <w:bCs/>
                <w:sz w:val="20"/>
                <w:szCs w:val="20"/>
                <w:lang w:eastAsia="sl-SI"/>
              </w:rPr>
            </w:pPr>
            <w:r w:rsidRPr="000A71B9">
              <w:rPr>
                <w:rFonts w:ascii="Arial" w:eastAsia="Times New Roman" w:hAnsi="Arial" w:cs="Arial"/>
                <w:b/>
                <w:bCs/>
                <w:sz w:val="20"/>
                <w:szCs w:val="20"/>
                <w:lang w:eastAsia="sl-SI"/>
              </w:rPr>
              <w:t>918.507.974</w:t>
            </w:r>
          </w:p>
        </w:tc>
        <w:tc>
          <w:tcPr>
            <w:tcW w:w="1211" w:type="dxa"/>
            <w:tcBorders>
              <w:top w:val="nil"/>
              <w:left w:val="nil"/>
              <w:bottom w:val="single" w:sz="4" w:space="0" w:color="auto"/>
              <w:right w:val="single" w:sz="4" w:space="0" w:color="auto"/>
            </w:tcBorders>
            <w:shd w:val="clear" w:color="auto" w:fill="auto"/>
            <w:vAlign w:val="center"/>
            <w:hideMark/>
          </w:tcPr>
          <w:p w14:paraId="2510230C" w14:textId="77777777" w:rsidR="004B7622" w:rsidRPr="000A71B9" w:rsidRDefault="004B7622" w:rsidP="00377989">
            <w:pPr>
              <w:spacing w:after="0" w:line="240" w:lineRule="auto"/>
              <w:jc w:val="right"/>
              <w:rPr>
                <w:rFonts w:ascii="Arial" w:eastAsia="Times New Roman" w:hAnsi="Arial" w:cs="Arial"/>
                <w:color w:val="000000"/>
                <w:sz w:val="20"/>
                <w:szCs w:val="20"/>
                <w:lang w:eastAsia="sl-SI"/>
              </w:rPr>
            </w:pPr>
            <w:r w:rsidRPr="000A71B9">
              <w:rPr>
                <w:rFonts w:ascii="Arial" w:eastAsia="Times New Roman" w:hAnsi="Arial" w:cs="Arial"/>
                <w:color w:val="000000"/>
                <w:sz w:val="20"/>
                <w:szCs w:val="20"/>
                <w:lang w:eastAsia="sl-SI"/>
              </w:rPr>
              <w:t>84,6</w:t>
            </w:r>
          </w:p>
        </w:tc>
        <w:tc>
          <w:tcPr>
            <w:tcW w:w="1211" w:type="dxa"/>
            <w:tcBorders>
              <w:top w:val="nil"/>
              <w:left w:val="nil"/>
              <w:bottom w:val="single" w:sz="4" w:space="0" w:color="auto"/>
              <w:right w:val="single" w:sz="4" w:space="0" w:color="auto"/>
            </w:tcBorders>
            <w:shd w:val="clear" w:color="auto" w:fill="auto"/>
            <w:vAlign w:val="center"/>
            <w:hideMark/>
          </w:tcPr>
          <w:p w14:paraId="771D3808" w14:textId="77777777" w:rsidR="004B7622" w:rsidRPr="000A71B9" w:rsidRDefault="004B7622" w:rsidP="00377989">
            <w:pPr>
              <w:spacing w:after="0" w:line="240" w:lineRule="auto"/>
              <w:jc w:val="right"/>
              <w:rPr>
                <w:rFonts w:ascii="Arial" w:eastAsia="Times New Roman" w:hAnsi="Arial" w:cs="Arial"/>
                <w:color w:val="000000"/>
                <w:sz w:val="20"/>
                <w:szCs w:val="20"/>
                <w:lang w:eastAsia="sl-SI"/>
              </w:rPr>
            </w:pPr>
            <w:r w:rsidRPr="000A71B9">
              <w:rPr>
                <w:rFonts w:ascii="Arial" w:eastAsia="Times New Roman" w:hAnsi="Arial" w:cs="Arial"/>
                <w:color w:val="000000"/>
                <w:sz w:val="20"/>
                <w:szCs w:val="20"/>
                <w:lang w:eastAsia="sl-SI"/>
              </w:rPr>
              <w:t>77,8</w:t>
            </w:r>
          </w:p>
        </w:tc>
        <w:tc>
          <w:tcPr>
            <w:tcW w:w="1211" w:type="dxa"/>
            <w:tcBorders>
              <w:top w:val="nil"/>
              <w:left w:val="nil"/>
              <w:bottom w:val="single" w:sz="4" w:space="0" w:color="auto"/>
              <w:right w:val="single" w:sz="4" w:space="0" w:color="auto"/>
            </w:tcBorders>
            <w:shd w:val="clear" w:color="auto" w:fill="auto"/>
            <w:vAlign w:val="center"/>
            <w:hideMark/>
          </w:tcPr>
          <w:p w14:paraId="36FB7F59" w14:textId="77777777" w:rsidR="004B7622" w:rsidRPr="000A71B9" w:rsidRDefault="004B7622" w:rsidP="00377989">
            <w:pPr>
              <w:spacing w:after="0" w:line="240" w:lineRule="auto"/>
              <w:jc w:val="right"/>
              <w:rPr>
                <w:rFonts w:ascii="Arial" w:eastAsia="Times New Roman" w:hAnsi="Arial" w:cs="Arial"/>
                <w:color w:val="000000"/>
                <w:sz w:val="20"/>
                <w:szCs w:val="20"/>
                <w:lang w:eastAsia="sl-SI"/>
              </w:rPr>
            </w:pPr>
            <w:r w:rsidRPr="000A71B9">
              <w:rPr>
                <w:rFonts w:ascii="Arial" w:eastAsia="Times New Roman" w:hAnsi="Arial" w:cs="Arial"/>
                <w:color w:val="000000"/>
                <w:sz w:val="20"/>
                <w:szCs w:val="20"/>
                <w:lang w:eastAsia="sl-SI"/>
              </w:rPr>
              <w:t>92,0</w:t>
            </w:r>
          </w:p>
        </w:tc>
      </w:tr>
    </w:tbl>
    <w:p w14:paraId="6BC340C3" w14:textId="77777777" w:rsidR="004B7622" w:rsidRPr="001104C6" w:rsidRDefault="004B7622" w:rsidP="004B7622">
      <w:pPr>
        <w:rPr>
          <w:rFonts w:ascii="Arial" w:hAnsi="Arial" w:cs="Arial"/>
          <w:i/>
          <w:sz w:val="20"/>
          <w:szCs w:val="20"/>
        </w:rPr>
      </w:pPr>
      <w:r w:rsidRPr="001104C6">
        <w:rPr>
          <w:rFonts w:ascii="Arial" w:hAnsi="Arial" w:cs="Arial"/>
          <w:i/>
          <w:sz w:val="20"/>
          <w:szCs w:val="20"/>
        </w:rPr>
        <w:t>Vir: FURS</w:t>
      </w:r>
    </w:p>
    <w:p w14:paraId="3C987718" w14:textId="77777777" w:rsidR="004B7622" w:rsidRPr="00B2403A" w:rsidRDefault="004B7622" w:rsidP="004B7622">
      <w:pPr>
        <w:jc w:val="both"/>
        <w:rPr>
          <w:rFonts w:ascii="Arial" w:hAnsi="Arial" w:cs="Arial"/>
          <w:sz w:val="20"/>
          <w:szCs w:val="20"/>
        </w:rPr>
      </w:pPr>
      <w:r w:rsidRPr="00CF0765">
        <w:rPr>
          <w:rFonts w:ascii="Arial" w:hAnsi="Arial" w:cs="Arial"/>
          <w:sz w:val="20"/>
          <w:szCs w:val="20"/>
        </w:rPr>
        <w:t xml:space="preserve">V strukturi davčnega dolga ima aktivni dolg </w:t>
      </w:r>
      <w:r w:rsidRPr="000A66AA">
        <w:rPr>
          <w:rFonts w:ascii="Arial" w:hAnsi="Arial" w:cs="Arial"/>
          <w:sz w:val="20"/>
          <w:szCs w:val="20"/>
        </w:rPr>
        <w:t>4</w:t>
      </w:r>
      <w:r>
        <w:rPr>
          <w:rFonts w:ascii="Arial" w:hAnsi="Arial" w:cs="Arial"/>
          <w:sz w:val="20"/>
          <w:szCs w:val="20"/>
        </w:rPr>
        <w:t>6</w:t>
      </w:r>
      <w:r w:rsidRPr="000A66AA">
        <w:rPr>
          <w:rFonts w:ascii="Arial" w:hAnsi="Arial" w:cs="Arial"/>
          <w:sz w:val="20"/>
          <w:szCs w:val="20"/>
        </w:rPr>
        <w:t>,9</w:t>
      </w:r>
      <w:r w:rsidRPr="00CF0765">
        <w:rPr>
          <w:rFonts w:ascii="Arial" w:hAnsi="Arial" w:cs="Arial"/>
          <w:sz w:val="20"/>
          <w:szCs w:val="20"/>
        </w:rPr>
        <w:t xml:space="preserve"> </w:t>
      </w:r>
      <w:r>
        <w:rPr>
          <w:rFonts w:ascii="Arial" w:hAnsi="Arial" w:cs="Arial"/>
          <w:sz w:val="20"/>
          <w:szCs w:val="20"/>
        </w:rPr>
        <w:t>odstotni</w:t>
      </w:r>
      <w:r w:rsidRPr="00CF0765">
        <w:rPr>
          <w:rFonts w:ascii="Arial" w:hAnsi="Arial" w:cs="Arial"/>
          <w:sz w:val="20"/>
          <w:szCs w:val="20"/>
        </w:rPr>
        <w:t xml:space="preserve"> delež. Postopki za izterjavo tega dela dolga so v teku, zato je verjetnost izterjave navedenega dolga velika v nasprotju s pogojno izterljivim dolgom, ki predstavlja </w:t>
      </w:r>
      <w:r w:rsidRPr="000A66AA">
        <w:rPr>
          <w:rFonts w:ascii="Arial" w:hAnsi="Arial" w:cs="Arial"/>
          <w:sz w:val="20"/>
          <w:szCs w:val="20"/>
        </w:rPr>
        <w:t>5</w:t>
      </w:r>
      <w:r>
        <w:rPr>
          <w:rFonts w:ascii="Arial" w:hAnsi="Arial" w:cs="Arial"/>
          <w:sz w:val="20"/>
          <w:szCs w:val="20"/>
        </w:rPr>
        <w:t>3</w:t>
      </w:r>
      <w:r w:rsidRPr="000A66AA">
        <w:rPr>
          <w:rFonts w:ascii="Arial" w:hAnsi="Arial" w:cs="Arial"/>
          <w:sz w:val="20"/>
          <w:szCs w:val="20"/>
        </w:rPr>
        <w:t>,</w:t>
      </w:r>
      <w:r>
        <w:rPr>
          <w:rFonts w:ascii="Arial" w:hAnsi="Arial" w:cs="Arial"/>
          <w:sz w:val="20"/>
          <w:szCs w:val="20"/>
        </w:rPr>
        <w:t xml:space="preserve">1 </w:t>
      </w:r>
      <w:r w:rsidRPr="00831824">
        <w:rPr>
          <w:rFonts w:ascii="Arial" w:eastAsia="Times New Roman" w:hAnsi="Arial" w:cs="Arial"/>
          <w:sz w:val="20"/>
          <w:szCs w:val="20"/>
        </w:rPr>
        <w:t>odstot</w:t>
      </w:r>
      <w:r>
        <w:rPr>
          <w:rFonts w:ascii="Arial" w:eastAsia="Times New Roman" w:hAnsi="Arial" w:cs="Arial"/>
          <w:sz w:val="20"/>
          <w:szCs w:val="20"/>
        </w:rPr>
        <w:t>e</w:t>
      </w:r>
      <w:r w:rsidRPr="00831824">
        <w:rPr>
          <w:rFonts w:ascii="Arial" w:eastAsia="Times New Roman" w:hAnsi="Arial" w:cs="Arial"/>
          <w:sz w:val="20"/>
          <w:szCs w:val="20"/>
        </w:rPr>
        <w:t>k</w:t>
      </w:r>
      <w:r w:rsidRPr="00831824">
        <w:rPr>
          <w:rFonts w:ascii="Arial" w:hAnsi="Arial" w:cs="Arial"/>
          <w:sz w:val="20"/>
          <w:szCs w:val="20"/>
        </w:rPr>
        <w:t xml:space="preserve"> dolga. Večina tega dolga je namreč predmet </w:t>
      </w:r>
      <w:proofErr w:type="spellStart"/>
      <w:r w:rsidRPr="00831824">
        <w:rPr>
          <w:rFonts w:ascii="Arial" w:hAnsi="Arial" w:cs="Arial"/>
          <w:sz w:val="20"/>
          <w:szCs w:val="20"/>
        </w:rPr>
        <w:t>insolvenčnih</w:t>
      </w:r>
      <w:proofErr w:type="spellEnd"/>
      <w:r w:rsidRPr="00831824">
        <w:rPr>
          <w:rFonts w:ascii="Arial" w:hAnsi="Arial" w:cs="Arial"/>
          <w:sz w:val="20"/>
          <w:szCs w:val="20"/>
        </w:rPr>
        <w:t xml:space="preserve"> postopkov, v katere je </w:t>
      </w:r>
      <w:r w:rsidRPr="00B2403A">
        <w:rPr>
          <w:rFonts w:ascii="Arial" w:hAnsi="Arial" w:cs="Arial"/>
          <w:sz w:val="20"/>
          <w:szCs w:val="20"/>
        </w:rPr>
        <w:t xml:space="preserve">prijavljeno 65,4 </w:t>
      </w:r>
      <w:r w:rsidRPr="00B2403A">
        <w:rPr>
          <w:rFonts w:ascii="Arial" w:eastAsia="Times New Roman" w:hAnsi="Arial" w:cs="Arial"/>
          <w:sz w:val="20"/>
          <w:szCs w:val="20"/>
        </w:rPr>
        <w:t>odstotka</w:t>
      </w:r>
      <w:r w:rsidRPr="00B2403A">
        <w:rPr>
          <w:rFonts w:ascii="Arial" w:hAnsi="Arial" w:cs="Arial"/>
          <w:sz w:val="20"/>
          <w:szCs w:val="20"/>
        </w:rPr>
        <w:t xml:space="preserve"> pogojno izterljivega davčnega dolga.</w:t>
      </w:r>
    </w:p>
    <w:p w14:paraId="401DB01B" w14:textId="31410E6E" w:rsidR="004B7622" w:rsidRPr="00503063" w:rsidRDefault="004B7622" w:rsidP="004B7622">
      <w:pPr>
        <w:jc w:val="both"/>
        <w:rPr>
          <w:rFonts w:ascii="Arial" w:hAnsi="Arial" w:cs="Arial"/>
          <w:sz w:val="20"/>
          <w:szCs w:val="20"/>
        </w:rPr>
      </w:pPr>
      <w:r w:rsidRPr="00503063">
        <w:rPr>
          <w:rFonts w:ascii="Arial" w:hAnsi="Arial" w:cs="Arial"/>
          <w:sz w:val="20"/>
          <w:szCs w:val="20"/>
        </w:rPr>
        <w:t xml:space="preserve">Z dnem začetka </w:t>
      </w:r>
      <w:proofErr w:type="spellStart"/>
      <w:r w:rsidRPr="00503063">
        <w:rPr>
          <w:rFonts w:ascii="Arial" w:hAnsi="Arial" w:cs="Arial"/>
          <w:sz w:val="20"/>
          <w:szCs w:val="20"/>
        </w:rPr>
        <w:t>insolvenčnega</w:t>
      </w:r>
      <w:proofErr w:type="spellEnd"/>
      <w:r w:rsidRPr="00503063">
        <w:rPr>
          <w:rFonts w:ascii="Arial" w:hAnsi="Arial" w:cs="Arial"/>
          <w:sz w:val="20"/>
          <w:szCs w:val="20"/>
        </w:rPr>
        <w:t xml:space="preserve"> postopka se v skladu z </w:t>
      </w:r>
      <w:proofErr w:type="spellStart"/>
      <w:r w:rsidRPr="00503063">
        <w:rPr>
          <w:rFonts w:ascii="Arial" w:hAnsi="Arial" w:cs="Arial"/>
          <w:sz w:val="20"/>
          <w:szCs w:val="20"/>
        </w:rPr>
        <w:t>insolvenčno</w:t>
      </w:r>
      <w:proofErr w:type="spellEnd"/>
      <w:r w:rsidRPr="00503063">
        <w:rPr>
          <w:rFonts w:ascii="Arial" w:hAnsi="Arial" w:cs="Arial"/>
          <w:sz w:val="20"/>
          <w:szCs w:val="20"/>
        </w:rPr>
        <w:t xml:space="preserve"> zakonodajo, ki je v pristojnosti Ministrstva za pravosodje, zoper davčnega zavezanca načeloma ne sme voditi postopek davčne izvršbe, temveč se zaradi zagotavljanja načela enakega obravnavanja upnikov lahko terjatve poplačajo le v skladu z </w:t>
      </w:r>
      <w:proofErr w:type="spellStart"/>
      <w:r w:rsidRPr="00503063">
        <w:rPr>
          <w:rFonts w:ascii="Arial" w:hAnsi="Arial" w:cs="Arial"/>
          <w:sz w:val="20"/>
          <w:szCs w:val="20"/>
        </w:rPr>
        <w:t>insolvenčno</w:t>
      </w:r>
      <w:proofErr w:type="spellEnd"/>
      <w:r w:rsidRPr="00503063">
        <w:rPr>
          <w:rFonts w:ascii="Arial" w:hAnsi="Arial" w:cs="Arial"/>
          <w:sz w:val="20"/>
          <w:szCs w:val="20"/>
        </w:rPr>
        <w:t xml:space="preserve"> zakonodajo. Za terjatve, ki so prijavljene v </w:t>
      </w:r>
      <w:proofErr w:type="spellStart"/>
      <w:r w:rsidRPr="00503063">
        <w:rPr>
          <w:rFonts w:ascii="Arial" w:hAnsi="Arial" w:cs="Arial"/>
          <w:sz w:val="20"/>
          <w:szCs w:val="20"/>
        </w:rPr>
        <w:t>insolvenčnem</w:t>
      </w:r>
      <w:proofErr w:type="spellEnd"/>
      <w:r w:rsidRPr="00503063">
        <w:rPr>
          <w:rFonts w:ascii="Arial" w:hAnsi="Arial" w:cs="Arial"/>
          <w:sz w:val="20"/>
          <w:szCs w:val="20"/>
        </w:rPr>
        <w:t xml:space="preserve"> postopku (v letu 2021 izdanih 5.191 seznamov izvršilnih naslovov, kar je 18,1</w:t>
      </w:r>
      <w:r>
        <w:rPr>
          <w:rFonts w:ascii="Arial" w:hAnsi="Arial" w:cs="Arial"/>
          <w:sz w:val="20"/>
          <w:szCs w:val="20"/>
        </w:rPr>
        <w:t xml:space="preserve"> odstotk</w:t>
      </w:r>
      <w:r w:rsidR="00BF0480">
        <w:rPr>
          <w:rFonts w:ascii="Arial" w:hAnsi="Arial" w:cs="Arial"/>
          <w:sz w:val="20"/>
          <w:szCs w:val="20"/>
        </w:rPr>
        <w:t>a</w:t>
      </w:r>
      <w:r>
        <w:rPr>
          <w:rFonts w:ascii="Arial" w:hAnsi="Arial" w:cs="Arial"/>
          <w:sz w:val="20"/>
          <w:szCs w:val="20"/>
        </w:rPr>
        <w:t xml:space="preserve"> </w:t>
      </w:r>
      <w:r w:rsidRPr="00503063">
        <w:rPr>
          <w:rFonts w:ascii="Arial" w:hAnsi="Arial" w:cs="Arial"/>
          <w:sz w:val="20"/>
          <w:szCs w:val="20"/>
        </w:rPr>
        <w:t xml:space="preserve">manj kot v letu 2020) davčni organ torej ne sme voditi postopka davčne izvršbe. Gre za sodne postopke, na trajanje katerih davčni organ nima vpliva, saj je v skladu z </w:t>
      </w:r>
      <w:proofErr w:type="spellStart"/>
      <w:r w:rsidRPr="00503063">
        <w:rPr>
          <w:rFonts w:ascii="Arial" w:hAnsi="Arial" w:cs="Arial"/>
          <w:sz w:val="20"/>
          <w:szCs w:val="20"/>
        </w:rPr>
        <w:t>insolvenčno</w:t>
      </w:r>
      <w:proofErr w:type="spellEnd"/>
      <w:r w:rsidRPr="00503063">
        <w:rPr>
          <w:rFonts w:ascii="Arial" w:hAnsi="Arial" w:cs="Arial"/>
          <w:sz w:val="20"/>
          <w:szCs w:val="20"/>
        </w:rPr>
        <w:t xml:space="preserve"> zakonodajo izenačen z drugimi (civilnimi) upniki. </w:t>
      </w:r>
    </w:p>
    <w:p w14:paraId="4DF9D439" w14:textId="77777777" w:rsidR="004B7622" w:rsidRPr="004324CB" w:rsidRDefault="004B7622" w:rsidP="004B7622">
      <w:pPr>
        <w:spacing w:after="0" w:line="260" w:lineRule="atLeast"/>
        <w:jc w:val="both"/>
        <w:rPr>
          <w:rFonts w:ascii="Arial" w:eastAsia="Times New Roman" w:hAnsi="Arial" w:cs="Arial"/>
          <w:iCs/>
          <w:sz w:val="20"/>
          <w:szCs w:val="20"/>
        </w:rPr>
      </w:pPr>
      <w:r>
        <w:rPr>
          <w:rFonts w:ascii="Arial" w:eastAsia="Times New Roman" w:hAnsi="Arial" w:cs="Arial"/>
          <w:iCs/>
          <w:sz w:val="20"/>
          <w:szCs w:val="20"/>
        </w:rPr>
        <w:t>T</w:t>
      </w:r>
      <w:r w:rsidRPr="004324CB">
        <w:rPr>
          <w:rFonts w:ascii="Arial" w:eastAsia="Times New Roman" w:hAnsi="Arial" w:cs="Arial"/>
          <w:iCs/>
          <w:sz w:val="20"/>
          <w:szCs w:val="20"/>
        </w:rPr>
        <w:t>erjatve, ki v stečajnem postopku niso bile poplačane, se odpišejo</w:t>
      </w:r>
      <w:r>
        <w:rPr>
          <w:rFonts w:ascii="Arial" w:eastAsia="Times New Roman" w:hAnsi="Arial" w:cs="Arial"/>
          <w:iCs/>
          <w:sz w:val="20"/>
          <w:szCs w:val="20"/>
        </w:rPr>
        <w:t xml:space="preserve">. Posebnost velja </w:t>
      </w:r>
      <w:r w:rsidRPr="004324CB">
        <w:rPr>
          <w:rFonts w:ascii="Arial" w:eastAsia="Times New Roman" w:hAnsi="Arial" w:cs="Arial"/>
          <w:iCs/>
          <w:sz w:val="20"/>
          <w:szCs w:val="20"/>
        </w:rPr>
        <w:t xml:space="preserve">v postopku osebnega stečaja, </w:t>
      </w:r>
      <w:r>
        <w:rPr>
          <w:rFonts w:ascii="Arial" w:eastAsia="Times New Roman" w:hAnsi="Arial" w:cs="Arial"/>
          <w:iCs/>
          <w:sz w:val="20"/>
          <w:szCs w:val="20"/>
        </w:rPr>
        <w:t xml:space="preserve">kjer se odpišejo le terjatve na katere učinkuje </w:t>
      </w:r>
      <w:r w:rsidRPr="004324CB">
        <w:rPr>
          <w:rFonts w:ascii="Arial" w:eastAsia="Times New Roman" w:hAnsi="Arial" w:cs="Arial"/>
          <w:iCs/>
          <w:sz w:val="20"/>
          <w:szCs w:val="20"/>
        </w:rPr>
        <w:t xml:space="preserve">odpust obveznosti. Davčni dolžnik </w:t>
      </w:r>
      <w:r>
        <w:rPr>
          <w:rFonts w:ascii="Arial" w:eastAsia="Times New Roman" w:hAnsi="Arial" w:cs="Arial"/>
          <w:iCs/>
          <w:sz w:val="20"/>
          <w:szCs w:val="20"/>
        </w:rPr>
        <w:t>namreč</w:t>
      </w:r>
      <w:r w:rsidRPr="004324CB">
        <w:rPr>
          <w:rFonts w:ascii="Arial" w:eastAsia="Times New Roman" w:hAnsi="Arial" w:cs="Arial"/>
          <w:iCs/>
          <w:sz w:val="20"/>
          <w:szCs w:val="20"/>
        </w:rPr>
        <w:t xml:space="preserve"> v postopku osebnega stečaja ne more več doseči odpusta in posledično odpisa davčnih terjatev iz naslova prispevkov, ki so nastale pred začetkom postopka zaradi insolventnosti</w:t>
      </w:r>
      <w:r w:rsidRPr="004324CB">
        <w:rPr>
          <w:rFonts w:ascii="Arial" w:eastAsia="Times New Roman" w:hAnsi="Arial" w:cs="Arial"/>
          <w:iCs/>
          <w:sz w:val="20"/>
          <w:szCs w:val="20"/>
          <w:vertAlign w:val="superscript"/>
        </w:rPr>
        <w:footnoteReference w:id="14"/>
      </w:r>
      <w:r w:rsidRPr="004324CB">
        <w:rPr>
          <w:rFonts w:ascii="Arial" w:eastAsia="Times New Roman" w:hAnsi="Arial" w:cs="Arial"/>
          <w:iCs/>
          <w:sz w:val="20"/>
          <w:szCs w:val="20"/>
        </w:rPr>
        <w:t xml:space="preserve">. </w:t>
      </w:r>
    </w:p>
    <w:p w14:paraId="044F7570" w14:textId="77777777" w:rsidR="004B7622" w:rsidRDefault="004B7622" w:rsidP="004B7622">
      <w:pPr>
        <w:jc w:val="both"/>
        <w:rPr>
          <w:rFonts w:ascii="Arial" w:hAnsi="Arial" w:cs="Arial"/>
          <w:sz w:val="20"/>
          <w:szCs w:val="20"/>
        </w:rPr>
      </w:pPr>
    </w:p>
    <w:p w14:paraId="7758FE49" w14:textId="22DFFF6E" w:rsidR="004B7622" w:rsidRPr="00C12DA7" w:rsidRDefault="004B7622" w:rsidP="004B7622">
      <w:pPr>
        <w:jc w:val="both"/>
        <w:rPr>
          <w:rFonts w:ascii="Arial" w:hAnsi="Arial" w:cs="Arial"/>
          <w:sz w:val="20"/>
          <w:szCs w:val="20"/>
        </w:rPr>
      </w:pPr>
      <w:r w:rsidRPr="00C12DA7">
        <w:rPr>
          <w:rFonts w:ascii="Arial" w:hAnsi="Arial" w:cs="Arial"/>
          <w:sz w:val="20"/>
          <w:szCs w:val="20"/>
        </w:rPr>
        <w:lastRenderedPageBreak/>
        <w:t xml:space="preserve">Za vodenje in odločanje v </w:t>
      </w:r>
      <w:proofErr w:type="spellStart"/>
      <w:r w:rsidRPr="00C12DA7">
        <w:rPr>
          <w:rFonts w:ascii="Arial" w:hAnsi="Arial" w:cs="Arial"/>
          <w:sz w:val="20"/>
          <w:szCs w:val="20"/>
        </w:rPr>
        <w:t>insolvenčnih</w:t>
      </w:r>
      <w:proofErr w:type="spellEnd"/>
      <w:r w:rsidRPr="00C12DA7">
        <w:rPr>
          <w:rFonts w:ascii="Arial" w:hAnsi="Arial" w:cs="Arial"/>
          <w:sz w:val="20"/>
          <w:szCs w:val="20"/>
        </w:rPr>
        <w:t xml:space="preserve"> postopkih</w:t>
      </w:r>
      <w:r w:rsidRPr="00C12DA7">
        <w:rPr>
          <w:rStyle w:val="Sprotnaopomba-sklic"/>
          <w:rFonts w:ascii="Arial" w:hAnsi="Arial" w:cs="Arial"/>
          <w:sz w:val="20"/>
          <w:szCs w:val="20"/>
        </w:rPr>
        <w:footnoteReference w:id="15"/>
      </w:r>
      <w:r>
        <w:rPr>
          <w:rFonts w:ascii="Arial" w:hAnsi="Arial" w:cs="Arial"/>
          <w:sz w:val="20"/>
          <w:szCs w:val="20"/>
        </w:rPr>
        <w:t xml:space="preserve"> </w:t>
      </w:r>
      <w:r w:rsidRPr="00C12DA7">
        <w:rPr>
          <w:rFonts w:ascii="Arial" w:hAnsi="Arial" w:cs="Arial"/>
          <w:sz w:val="20"/>
          <w:szCs w:val="20"/>
        </w:rPr>
        <w:t>so pristojna okrožna sodišča. Postopek poenostavljene prisilne poravnave ne učinkuje na davke in prispevke. Število začetih postopkov prisilnih poravnav pa načeloma upada (v letu 2015 je bilo na novo začetih 12 postopkov, v letu 2016: 14, v letu 2017: 14, v letu 2018: 11, v letu 2019: 11, v letu 2020: 10, v letu 2021 pa je upadlo na zgolj 5 začetih postopkov). Pri stečajnih postopkih nad pravnimi osebami je bilo od leta 2015 do 2018 zaznati trend naraščanja števila začetih postopkov (v letu 2015 so bili na novo začeti 1.004 postopki, v letu 2016: 1.062, v letu 2017: 1.195, v letu 2018: 1.267), medtem ko je bilo število novo začetih stečajnih postopkov nad pravnimi osebami v letu 2019 1.177, v letu 2020 1.030, v letu 2021 pa je dodatno upadlo na 943. Manjše število začetih stečajnih postopkov nad pravnimi osebami po letu 2020 je povezano tudi z interventnimi ukrepi za gospodarstvo.</w:t>
      </w:r>
    </w:p>
    <w:p w14:paraId="2C2023FE" w14:textId="77777777" w:rsidR="004B7622" w:rsidRPr="00C12DA7" w:rsidRDefault="004B7622" w:rsidP="004B7622">
      <w:pPr>
        <w:jc w:val="both"/>
        <w:rPr>
          <w:rFonts w:ascii="Arial" w:hAnsi="Arial" w:cs="Arial"/>
          <w:sz w:val="20"/>
          <w:szCs w:val="20"/>
        </w:rPr>
      </w:pPr>
      <w:r w:rsidRPr="00C12DA7">
        <w:rPr>
          <w:rFonts w:ascii="Arial" w:hAnsi="Arial" w:cs="Arial"/>
          <w:sz w:val="20"/>
          <w:szCs w:val="20"/>
        </w:rPr>
        <w:t xml:space="preserve">Število postopkov osebnih stečajev pa se od leta 2015 dalje znižuje (v letu 2015 je bilo na novo začetih 4107 postopkov, v letu 2016: 3444, v letu 2017: 2349, v letu 2018: 2110, v letu 2019: 1883, v letu 2020: 1.402, v letu 2021 pa 1.151 na novo začetih postopkov osebnih stečajev). </w:t>
      </w:r>
    </w:p>
    <w:p w14:paraId="68118948" w14:textId="0656F402" w:rsidR="004B7622" w:rsidRPr="00C12DA7" w:rsidRDefault="004B7622" w:rsidP="004B7622">
      <w:pPr>
        <w:jc w:val="both"/>
        <w:rPr>
          <w:rFonts w:ascii="Arial" w:hAnsi="Arial" w:cs="Arial"/>
          <w:sz w:val="20"/>
          <w:szCs w:val="20"/>
        </w:rPr>
      </w:pPr>
      <w:r w:rsidRPr="00C12DA7">
        <w:rPr>
          <w:rFonts w:ascii="Arial" w:hAnsi="Arial" w:cs="Arial"/>
          <w:sz w:val="20"/>
          <w:szCs w:val="20"/>
        </w:rPr>
        <w:t>V zvezi s stečajnimi postopki gre pojasniti, da se je bistveno povečalo število postopkov, ki se začnejo na predlog upnika ali druge osebe. Pri stečajnih postopkih nad pravno osebo se je število postopkov, ki se začnejo na predlog upnika ali druge osebe izjemno povišalo (v letu 2015 je bilo podanih 268 predlogov upnikov, v letu 2016: 323, v letu 2017: 442, v letu 2018: 479, v letu 2019: 513, v letu 2020: 459, v letu 2021 pa 454). Na predlog upnikov ali druge osebe pa se začenjajo tudi postopki osebnih stečajev (v letu 2015 je bilo podanih 107 predlogov upnikov, v letu 2016: 191, v letu 2017: 161, v letu 2018: 178, v letu 2019: 165, v letu 2020:150, v letu  2021 pa 134)</w:t>
      </w:r>
      <w:r w:rsidRPr="00C12DA7">
        <w:rPr>
          <w:rStyle w:val="Sprotnaopomba-sklic"/>
          <w:rFonts w:ascii="Arial" w:hAnsi="Arial" w:cs="Arial"/>
          <w:sz w:val="20"/>
          <w:szCs w:val="20"/>
        </w:rPr>
        <w:footnoteReference w:id="16"/>
      </w:r>
      <w:r w:rsidRPr="00C12DA7">
        <w:rPr>
          <w:rFonts w:ascii="Arial" w:hAnsi="Arial" w:cs="Arial"/>
          <w:sz w:val="20"/>
          <w:szCs w:val="20"/>
        </w:rPr>
        <w:t>.</w:t>
      </w:r>
    </w:p>
    <w:p w14:paraId="03CC9056" w14:textId="77777777" w:rsidR="004B7622" w:rsidRDefault="004B7622" w:rsidP="004B7622">
      <w:pPr>
        <w:spacing w:line="260" w:lineRule="atLeast"/>
        <w:jc w:val="both"/>
        <w:rPr>
          <w:rFonts w:ascii="Arial" w:hAnsi="Arial" w:cs="Arial"/>
          <w:sz w:val="20"/>
          <w:szCs w:val="20"/>
        </w:rPr>
      </w:pPr>
      <w:r w:rsidRPr="00C12DA7">
        <w:rPr>
          <w:rFonts w:ascii="Arial" w:hAnsi="Arial" w:cs="Arial"/>
          <w:sz w:val="20"/>
          <w:szCs w:val="20"/>
        </w:rPr>
        <w:t>Poudariti gre, da so predlogi za začetek stečajnega postopka na predlog upnika v</w:t>
      </w:r>
      <w:r>
        <w:rPr>
          <w:rFonts w:ascii="Arial" w:hAnsi="Arial" w:cs="Arial"/>
          <w:sz w:val="20"/>
          <w:szCs w:val="20"/>
        </w:rPr>
        <w:t xml:space="preserve"> veliki meri podani ravno s strani upnika FURS. FURS je namreč v letu 2015 podal skupaj 178 predlogov za stečaj, v letu 2016: 405, v letu 2017: 496, v letu 2018: 606, v letu 2019: 571, v letu 2020  491 predlogov, v letu 2021 pa je bil s strani FURS podan 501 predlog za stečaj. S strani upnika FURS je bilo torej v letu 2018 vloženih kar 92 odstotka vseh predlogov za </w:t>
      </w:r>
      <w:r w:rsidRPr="00C12DA7">
        <w:rPr>
          <w:rFonts w:ascii="Arial" w:hAnsi="Arial" w:cs="Arial"/>
          <w:sz w:val="20"/>
          <w:szCs w:val="20"/>
        </w:rPr>
        <w:t xml:space="preserve">začetek stečajnih postopkov, ki so bili predlagani s strani upnikov, v letu 2019  84 </w:t>
      </w:r>
      <w:r>
        <w:rPr>
          <w:rFonts w:ascii="Arial" w:hAnsi="Arial" w:cs="Arial"/>
          <w:sz w:val="20"/>
          <w:szCs w:val="20"/>
        </w:rPr>
        <w:t>odstotka</w:t>
      </w:r>
      <w:r w:rsidRPr="00C12DA7">
        <w:rPr>
          <w:rFonts w:ascii="Arial" w:hAnsi="Arial" w:cs="Arial"/>
          <w:sz w:val="20"/>
          <w:szCs w:val="20"/>
        </w:rPr>
        <w:t xml:space="preserve">, v letu 2020 še 80 </w:t>
      </w:r>
      <w:r>
        <w:rPr>
          <w:rFonts w:ascii="Arial" w:hAnsi="Arial" w:cs="Arial"/>
          <w:sz w:val="20"/>
          <w:szCs w:val="20"/>
        </w:rPr>
        <w:t>odstotka</w:t>
      </w:r>
      <w:r w:rsidRPr="00C12DA7">
        <w:rPr>
          <w:rFonts w:ascii="Arial" w:hAnsi="Arial" w:cs="Arial"/>
          <w:sz w:val="20"/>
          <w:szCs w:val="20"/>
        </w:rPr>
        <w:t xml:space="preserve"> ter v letu 2021 85 </w:t>
      </w:r>
      <w:r>
        <w:rPr>
          <w:rFonts w:ascii="Arial" w:hAnsi="Arial" w:cs="Arial"/>
          <w:sz w:val="20"/>
          <w:szCs w:val="20"/>
        </w:rPr>
        <w:t>odstotka</w:t>
      </w:r>
      <w:r w:rsidRPr="00C12DA7">
        <w:rPr>
          <w:rFonts w:ascii="Arial" w:hAnsi="Arial" w:cs="Arial"/>
          <w:sz w:val="20"/>
          <w:szCs w:val="20"/>
        </w:rPr>
        <w:t xml:space="preserve"> vseh predlogov za začetek stečajnih postopkov, ki so bili predlagani s strani upnikov.</w:t>
      </w:r>
      <w:r>
        <w:rPr>
          <w:rFonts w:ascii="Arial" w:hAnsi="Arial" w:cs="Arial"/>
          <w:sz w:val="20"/>
          <w:szCs w:val="20"/>
        </w:rPr>
        <w:t xml:space="preserve"> </w:t>
      </w:r>
    </w:p>
    <w:p w14:paraId="59C9EC69" w14:textId="77777777" w:rsidR="004B7622" w:rsidRPr="00D5793D" w:rsidRDefault="004B7622" w:rsidP="004B7622">
      <w:pPr>
        <w:spacing w:after="0" w:line="260" w:lineRule="atLeast"/>
        <w:jc w:val="both"/>
        <w:rPr>
          <w:rFonts w:ascii="Arial" w:eastAsiaTheme="minorHAnsi" w:hAnsi="Arial" w:cstheme="minorBidi"/>
          <w:sz w:val="20"/>
        </w:rPr>
      </w:pPr>
      <w:r w:rsidRPr="00D5793D">
        <w:rPr>
          <w:rFonts w:ascii="Arial" w:eastAsiaTheme="minorHAnsi" w:hAnsi="Arial" w:cstheme="minorBidi"/>
          <w:sz w:val="20"/>
        </w:rPr>
        <w:t xml:space="preserve">Zaradi spremembe </w:t>
      </w:r>
      <w:proofErr w:type="spellStart"/>
      <w:r w:rsidRPr="00D5793D">
        <w:rPr>
          <w:rFonts w:ascii="Arial" w:eastAsiaTheme="minorHAnsi" w:hAnsi="Arial" w:cstheme="minorBidi"/>
          <w:sz w:val="20"/>
        </w:rPr>
        <w:t>insolvenčne</w:t>
      </w:r>
      <w:proofErr w:type="spellEnd"/>
      <w:r w:rsidRPr="00D5793D">
        <w:rPr>
          <w:rFonts w:ascii="Arial" w:eastAsiaTheme="minorHAnsi" w:hAnsi="Arial" w:cstheme="minorBidi"/>
          <w:sz w:val="20"/>
        </w:rPr>
        <w:t xml:space="preserve"> zakonodaje (ZFPPIPP) v letu 2016, na podlagi katere pravnomočno potrjena poenostavljena prisilna poravnana ne učinkuje več na davke in prispevke, do katere je prišlo na pobudo MF in FURS, se je v zadnjih petih letih sicer bistveno zmanjšalo število začetih postopkov poenostavljenih prisilnih poravnav nad dolžniki (v letu 2015 je bilo na novo začetih 123 teh postopkov, v letu 2016 še 98, v letu 2017: 40, v letu 2018: 37, v letu 2019: 34, v letu 2020 pa 31). Ministrstvo za pravosodje pa je tudi v letu 2021 pripravljalo in usklajevalo delovno gradivo Zakona o spremembah in dopolnitvah ZFPPIPP (novela ZFPPIPP-H), kjer je predvidena ukinitev postopka poenostavljene prisilne poravnave oziroma nadomestitev z novim institutom, tj. postopkom prisilne poravnave za malo gospodarstvo. Dodatno je predviden še en nov institut, in sicer postopek sodnega prestrukturiranja zaradi odprave grozeče insolventnosti, pri katerem gre za preventivni postopek, ko dolžnik še niti ni insolventen oziroma, ko dolžniku insolventnost šele grozi. V zvezi s predlaganima novima postopkoma je FURS podal Ministrstvu za pravosodje argumentiran predlog glede učinkovanja predlaganih novih postopkov na davke in prispevke.</w:t>
      </w:r>
    </w:p>
    <w:p w14:paraId="327F68B0" w14:textId="77777777" w:rsidR="004B7622" w:rsidRDefault="004B7622" w:rsidP="004B7622">
      <w:pPr>
        <w:spacing w:after="0" w:line="260" w:lineRule="atLeast"/>
        <w:jc w:val="both"/>
        <w:rPr>
          <w:rFonts w:ascii="Arial" w:eastAsiaTheme="minorHAnsi" w:hAnsi="Arial" w:cstheme="minorBidi"/>
          <w:color w:val="FF0000"/>
          <w:sz w:val="20"/>
        </w:rPr>
      </w:pPr>
    </w:p>
    <w:p w14:paraId="5CDFFB08" w14:textId="7C5BAD86" w:rsidR="004B7622" w:rsidRPr="00ED498E" w:rsidRDefault="004B7622" w:rsidP="004B7622">
      <w:pPr>
        <w:spacing w:after="0" w:line="260" w:lineRule="atLeast"/>
        <w:jc w:val="both"/>
        <w:rPr>
          <w:rFonts w:ascii="Arial" w:eastAsiaTheme="minorHAnsi" w:hAnsi="Arial" w:cstheme="minorBidi"/>
          <w:sz w:val="20"/>
        </w:rPr>
      </w:pPr>
      <w:r w:rsidRPr="00ED498E">
        <w:rPr>
          <w:rFonts w:ascii="Arial" w:eastAsiaTheme="minorHAnsi" w:hAnsi="Arial" w:cstheme="minorBidi"/>
          <w:sz w:val="20"/>
          <w:lang w:eastAsia="sl-SI"/>
        </w:rPr>
        <w:t xml:space="preserve">Na področju </w:t>
      </w:r>
      <w:r w:rsidR="00BF0480">
        <w:rPr>
          <w:rFonts w:ascii="Arial" w:eastAsiaTheme="minorHAnsi" w:hAnsi="Arial" w:cstheme="minorBidi"/>
          <w:sz w:val="20"/>
          <w:lang w:eastAsia="sl-SI"/>
        </w:rPr>
        <w:t xml:space="preserve">postopkov </w:t>
      </w:r>
      <w:r w:rsidRPr="00ED498E">
        <w:rPr>
          <w:rFonts w:ascii="Arial" w:eastAsiaTheme="minorHAnsi" w:hAnsi="Arial" w:cstheme="minorBidi"/>
          <w:sz w:val="20"/>
        </w:rPr>
        <w:t xml:space="preserve">zaradi insolventnosti se torej predvideva vedno večje število aktivnosti oziroma ukrepov, ki bodo potrebni za zaščito položaja FURS kot upnika. Ob tem pa gre izpostaviti tudi pomen razvijanja in uporabe individualiziranih ter vsebinsko poglobljenih metod in ukrepov za povečanje učinkovitosti, vse z namenom zaščite položaja FURS kot upnika (spremljanje postopkov, vlaganje pravnih sredstev, pripombe na spremembo zakonodaje). </w:t>
      </w:r>
    </w:p>
    <w:p w14:paraId="17AE4C9B" w14:textId="77777777" w:rsidR="004B7622" w:rsidRPr="00ED498E" w:rsidRDefault="004B7622" w:rsidP="004B7622">
      <w:pPr>
        <w:spacing w:after="0" w:line="260" w:lineRule="atLeast"/>
        <w:jc w:val="both"/>
        <w:rPr>
          <w:rFonts w:ascii="Arial" w:eastAsiaTheme="minorHAnsi" w:hAnsi="Arial" w:cs="Arial"/>
          <w:sz w:val="20"/>
        </w:rPr>
      </w:pPr>
    </w:p>
    <w:p w14:paraId="14BDA2F7" w14:textId="77777777" w:rsidR="004B7622" w:rsidRDefault="004B7622" w:rsidP="004B7622">
      <w:pPr>
        <w:jc w:val="both"/>
        <w:rPr>
          <w:rFonts w:ascii="Arial" w:hAnsi="Arial" w:cs="Arial"/>
          <w:sz w:val="20"/>
          <w:szCs w:val="20"/>
        </w:rPr>
      </w:pPr>
      <w:r w:rsidRPr="00650904">
        <w:rPr>
          <w:rFonts w:ascii="Arial" w:hAnsi="Arial" w:cs="Arial"/>
          <w:sz w:val="20"/>
          <w:szCs w:val="20"/>
        </w:rPr>
        <w:t xml:space="preserve">Podobno kot za </w:t>
      </w:r>
      <w:proofErr w:type="spellStart"/>
      <w:r w:rsidRPr="00650904">
        <w:rPr>
          <w:rFonts w:ascii="Arial" w:hAnsi="Arial" w:cs="Arial"/>
          <w:sz w:val="20"/>
          <w:szCs w:val="20"/>
        </w:rPr>
        <w:t>insolvenčne</w:t>
      </w:r>
      <w:proofErr w:type="spellEnd"/>
      <w:r w:rsidRPr="00650904">
        <w:rPr>
          <w:rFonts w:ascii="Arial" w:hAnsi="Arial" w:cs="Arial"/>
          <w:sz w:val="20"/>
          <w:szCs w:val="20"/>
        </w:rPr>
        <w:t xml:space="preserve"> postopke velja tudi za davčni dolg, ki je zavarovan z zastavno pravico na nepremičninah. Postopek prodaje nepremičnine in poplačilo upnikov vodi izvršilno sodišče, zato davčni organ </w:t>
      </w:r>
      <w:r w:rsidRPr="00650904">
        <w:rPr>
          <w:rFonts w:ascii="Arial" w:eastAsia="Times New Roman" w:hAnsi="Arial" w:cs="Arial"/>
          <w:iCs/>
          <w:sz w:val="20"/>
          <w:szCs w:val="20"/>
        </w:rPr>
        <w:t xml:space="preserve">po podanih predlogih sodiščem v višini </w:t>
      </w:r>
      <w:r w:rsidRPr="00806632">
        <w:rPr>
          <w:rFonts w:ascii="Arial" w:eastAsia="Times New Roman" w:hAnsi="Arial" w:cs="Arial"/>
          <w:iCs/>
          <w:sz w:val="20"/>
          <w:szCs w:val="20"/>
        </w:rPr>
        <w:t xml:space="preserve">47.267.087 </w:t>
      </w:r>
      <w:r w:rsidRPr="00650904">
        <w:rPr>
          <w:rFonts w:ascii="Arial" w:hAnsi="Arial" w:cs="Arial"/>
          <w:sz w:val="20"/>
          <w:szCs w:val="20"/>
        </w:rPr>
        <w:t xml:space="preserve">EUR </w:t>
      </w:r>
      <w:r w:rsidRPr="00650904">
        <w:rPr>
          <w:rFonts w:ascii="Arial" w:eastAsia="Times New Roman" w:hAnsi="Arial" w:cs="Arial"/>
          <w:iCs/>
          <w:sz w:val="20"/>
          <w:szCs w:val="20"/>
        </w:rPr>
        <w:t xml:space="preserve">nima vpliva na hitrost postopka ali višino poplačila dolga. </w:t>
      </w:r>
      <w:r w:rsidRPr="00650904">
        <w:rPr>
          <w:rFonts w:ascii="Arial" w:hAnsi="Arial" w:cs="Arial"/>
          <w:sz w:val="20"/>
          <w:szCs w:val="20"/>
        </w:rPr>
        <w:t xml:space="preserve">Na podlagi navedenega je mogoče ugotoviti, da davčni organ na hitrost oziroma višino poplačila znatnega dela davčnega dolga nima vpliva, saj gre za postopke, ki se vodijo pred sodišči, na dolžino teh postopkov pa vplivajo številni dejavniki. </w:t>
      </w:r>
    </w:p>
    <w:p w14:paraId="4A218A3D" w14:textId="77777777" w:rsidR="004B7622" w:rsidRPr="00D722CF" w:rsidRDefault="004B7622" w:rsidP="004B7622">
      <w:pPr>
        <w:spacing w:after="0"/>
        <w:jc w:val="both"/>
        <w:rPr>
          <w:rFonts w:ascii="Arial" w:hAnsi="Arial" w:cs="Arial"/>
          <w:sz w:val="20"/>
          <w:szCs w:val="20"/>
        </w:rPr>
      </w:pPr>
      <w:r w:rsidRPr="00D722CF">
        <w:rPr>
          <w:rFonts w:ascii="Arial" w:hAnsi="Arial" w:cs="Arial"/>
          <w:bCs/>
          <w:sz w:val="20"/>
          <w:szCs w:val="20"/>
        </w:rPr>
        <w:t xml:space="preserve">V primeru smrti davčnega zavezanca se odpišejo denarne kazni, globe in stroški postopka o prekršku ter davčni dolg, v kolikor na dan smrti ne presega 80 EUR. Če davčni dolg presega znesek 80 EUR, FURS terjatve prijavi v zapuščinski postopek z namenom seznanitve dedičev z zapustnikovimi dolgovi. Za prijavo terjatev v zapuščinski postopek je bilo v letu 2021 izdanih 1244 seznamov izvršilnih naslovov. Dediči odgovarjajo za vse zapustnikove dolgove do višine vrednosti podedovanega premoženja. Če dediči davčnega dolga ne plačajo, se ob upoštevanju vsebine sklepa o dedovanju in določb Zakona o dedovanju, davčni dolg zapustnika prenese na dediče in po izdaji opomina izterja v postopku davčne izvršbe. V letu 2021 je bilo izvedenih 309 prenosov davčnega dolga na dediče. </w:t>
      </w:r>
      <w:r w:rsidRPr="00D722CF">
        <w:rPr>
          <w:rFonts w:ascii="Arial" w:hAnsi="Arial" w:cs="Arial"/>
          <w:sz w:val="20"/>
          <w:szCs w:val="20"/>
        </w:rPr>
        <w:t>V primerjavi z letom 2020 beležimo rast števila izdanih seznamov izvršilnih naslovov za 17 odstotka (v letu 2020 je bilo izdanih seznamov izvršilnih naslovov: 1059, v letu 2021: 1244). Obenem zaznavamo porast izvršenih prenosov na dediče za 33 odstotka (v letu 2020 je bilo izvedenih prenosov: 233, v letu 2021: 309).</w:t>
      </w:r>
    </w:p>
    <w:p w14:paraId="03C11BF5" w14:textId="77777777" w:rsidR="004B7622" w:rsidRDefault="004B7622" w:rsidP="004B7622">
      <w:pPr>
        <w:spacing w:after="0"/>
        <w:jc w:val="both"/>
        <w:rPr>
          <w:rFonts w:ascii="Arial" w:hAnsi="Arial" w:cs="Arial"/>
          <w:bCs/>
          <w:color w:val="FF0000"/>
          <w:sz w:val="20"/>
          <w:szCs w:val="20"/>
        </w:rPr>
      </w:pPr>
    </w:p>
    <w:p w14:paraId="225A38A8" w14:textId="77777777" w:rsidR="004B7622" w:rsidRPr="004D7479" w:rsidRDefault="004B7622" w:rsidP="004B7622">
      <w:pPr>
        <w:spacing w:after="0"/>
        <w:jc w:val="both"/>
        <w:rPr>
          <w:rFonts w:ascii="Arial" w:hAnsi="Arial" w:cs="Arial"/>
          <w:color w:val="000000" w:themeColor="text1"/>
          <w:sz w:val="20"/>
          <w:szCs w:val="20"/>
        </w:rPr>
      </w:pPr>
      <w:r w:rsidRPr="00650904">
        <w:rPr>
          <w:rFonts w:ascii="Arial" w:hAnsi="Arial" w:cs="Arial"/>
          <w:color w:val="000000" w:themeColor="text1"/>
          <w:sz w:val="20"/>
          <w:szCs w:val="20"/>
        </w:rPr>
        <w:t xml:space="preserve">Dolg katerega ni bilo mogoče poplačati v postopkih davčne izvršbe, pravica do izterjave pa še ni zastarala, znaša </w:t>
      </w:r>
      <w:r>
        <w:rPr>
          <w:rFonts w:ascii="Arial" w:hAnsi="Arial" w:cs="Arial"/>
          <w:color w:val="000000" w:themeColor="text1"/>
          <w:sz w:val="20"/>
          <w:szCs w:val="20"/>
        </w:rPr>
        <w:t>30,7</w:t>
      </w:r>
      <w:r w:rsidRPr="00650904">
        <w:rPr>
          <w:rFonts w:ascii="Arial" w:hAnsi="Arial" w:cs="Arial"/>
          <w:color w:val="000000" w:themeColor="text1"/>
          <w:sz w:val="20"/>
          <w:szCs w:val="20"/>
        </w:rPr>
        <w:t xml:space="preserve"> odstotka pogojno izterljivega dolga. Zoper naveden dolg je davčni organ izvedel vse zakonsko predpisane ukrepe izvršbe (administrativna izvršba, individualna obravnava v primeru izvršbe iz premičnega premoženja, ki zahteva poglobljeno obravnavo, izvršba na nepremičnine ali na poslovni delež dolžnika v družbi...) vendar dolga ni bilo mogoče izterjati, saj dolžniki niso imeli </w:t>
      </w:r>
      <w:proofErr w:type="spellStart"/>
      <w:r w:rsidRPr="00650904">
        <w:rPr>
          <w:rFonts w:ascii="Arial" w:hAnsi="Arial" w:cs="Arial"/>
          <w:color w:val="000000" w:themeColor="text1"/>
          <w:sz w:val="20"/>
          <w:szCs w:val="20"/>
        </w:rPr>
        <w:t>rubljivega</w:t>
      </w:r>
      <w:proofErr w:type="spellEnd"/>
      <w:r w:rsidRPr="00650904">
        <w:rPr>
          <w:rFonts w:ascii="Arial" w:hAnsi="Arial" w:cs="Arial"/>
          <w:color w:val="000000" w:themeColor="text1"/>
          <w:sz w:val="20"/>
          <w:szCs w:val="20"/>
        </w:rPr>
        <w:t xml:space="preserve"> premoženja.</w:t>
      </w:r>
      <w:r w:rsidRPr="004D7479">
        <w:rPr>
          <w:rFonts w:ascii="Arial" w:hAnsi="Arial" w:cs="Arial"/>
          <w:color w:val="000000" w:themeColor="text1"/>
          <w:sz w:val="20"/>
          <w:szCs w:val="20"/>
        </w:rPr>
        <w:t xml:space="preserve"> </w:t>
      </w:r>
    </w:p>
    <w:p w14:paraId="7A3C56C6" w14:textId="77777777" w:rsidR="004B7622" w:rsidRDefault="004B7622" w:rsidP="004B7622">
      <w:pPr>
        <w:spacing w:after="0" w:line="240" w:lineRule="auto"/>
        <w:rPr>
          <w:rFonts w:ascii="Arial" w:hAnsi="Arial" w:cs="Arial"/>
          <w:bCs/>
          <w:i/>
          <w:sz w:val="20"/>
          <w:szCs w:val="20"/>
        </w:rPr>
      </w:pPr>
    </w:p>
    <w:p w14:paraId="77D9F0A6" w14:textId="77777777" w:rsidR="004B7622" w:rsidRDefault="004B7622" w:rsidP="004B7622">
      <w:pPr>
        <w:spacing w:after="0" w:line="240" w:lineRule="auto"/>
        <w:rPr>
          <w:rFonts w:ascii="Arial" w:hAnsi="Arial" w:cs="Arial"/>
          <w:i/>
          <w:sz w:val="20"/>
          <w:szCs w:val="20"/>
        </w:rPr>
      </w:pPr>
      <w:r w:rsidRPr="00B518BD">
        <w:rPr>
          <w:rFonts w:ascii="Arial" w:hAnsi="Arial" w:cs="Arial"/>
          <w:bCs/>
          <w:i/>
          <w:sz w:val="20"/>
          <w:szCs w:val="20"/>
        </w:rPr>
        <w:t>Preglednica</w:t>
      </w:r>
      <w:r w:rsidRPr="00B518BD">
        <w:rPr>
          <w:rFonts w:ascii="Arial" w:hAnsi="Arial" w:cs="Arial"/>
          <w:i/>
          <w:sz w:val="20"/>
          <w:szCs w:val="20"/>
          <w:lang w:eastAsia="ar-SA"/>
        </w:rPr>
        <w:t xml:space="preserve"> 4</w:t>
      </w:r>
      <w:r>
        <w:rPr>
          <w:rFonts w:ascii="Arial" w:hAnsi="Arial" w:cs="Arial"/>
          <w:i/>
          <w:sz w:val="20"/>
          <w:szCs w:val="20"/>
          <w:lang w:eastAsia="ar-SA"/>
        </w:rPr>
        <w:t xml:space="preserve">: </w:t>
      </w:r>
      <w:r w:rsidRPr="00B518BD">
        <w:rPr>
          <w:rFonts w:ascii="Arial" w:hAnsi="Arial" w:cs="Arial"/>
          <w:i/>
          <w:sz w:val="20"/>
          <w:szCs w:val="20"/>
          <w:lang w:eastAsia="ar-SA"/>
        </w:rPr>
        <w:t xml:space="preserve">Stanje in gibanje </w:t>
      </w:r>
      <w:r w:rsidRPr="00B518BD">
        <w:rPr>
          <w:rFonts w:ascii="Arial" w:hAnsi="Arial" w:cs="Arial"/>
          <w:i/>
          <w:sz w:val="20"/>
          <w:szCs w:val="20"/>
        </w:rPr>
        <w:t>pogojno izterljivega dolga v EUR</w:t>
      </w:r>
    </w:p>
    <w:p w14:paraId="7EF200EB" w14:textId="77777777" w:rsidR="004B7622" w:rsidRDefault="004B7622" w:rsidP="004B7622">
      <w:pPr>
        <w:spacing w:after="0" w:line="240" w:lineRule="auto"/>
        <w:rPr>
          <w:rFonts w:ascii="Arial" w:hAnsi="Arial" w:cs="Arial"/>
          <w:i/>
          <w:sz w:val="20"/>
          <w:szCs w:val="20"/>
        </w:rPr>
      </w:pPr>
    </w:p>
    <w:tbl>
      <w:tblPr>
        <w:tblW w:w="9276" w:type="dxa"/>
        <w:tblCellMar>
          <w:left w:w="70" w:type="dxa"/>
          <w:right w:w="70" w:type="dxa"/>
        </w:tblCellMar>
        <w:tblLook w:val="04A0" w:firstRow="1" w:lastRow="0" w:firstColumn="1" w:lastColumn="0" w:noHBand="0" w:noVBand="1"/>
      </w:tblPr>
      <w:tblGrid>
        <w:gridCol w:w="1675"/>
        <w:gridCol w:w="1141"/>
        <w:gridCol w:w="1141"/>
        <w:gridCol w:w="1141"/>
        <w:gridCol w:w="1091"/>
        <w:gridCol w:w="1091"/>
        <w:gridCol w:w="1105"/>
        <w:gridCol w:w="891"/>
      </w:tblGrid>
      <w:tr w:rsidR="004B7622" w:rsidRPr="004A6FB4" w14:paraId="3ED689CD" w14:textId="77777777" w:rsidTr="00377989">
        <w:trPr>
          <w:trHeight w:val="418"/>
        </w:trPr>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A37E0" w14:textId="77777777" w:rsidR="004B7622" w:rsidRPr="004A6FB4" w:rsidRDefault="004B7622" w:rsidP="00377989">
            <w:pPr>
              <w:spacing w:after="0" w:line="240" w:lineRule="auto"/>
              <w:jc w:val="center"/>
              <w:rPr>
                <w:rFonts w:ascii="Arial" w:eastAsia="Times New Roman" w:hAnsi="Arial" w:cs="Arial"/>
                <w:b/>
                <w:bCs/>
                <w:i/>
                <w:iCs/>
                <w:color w:val="000000"/>
                <w:sz w:val="18"/>
                <w:szCs w:val="18"/>
                <w:lang w:eastAsia="sl-SI"/>
              </w:rPr>
            </w:pPr>
            <w:r w:rsidRPr="004A6FB4">
              <w:rPr>
                <w:rFonts w:ascii="Arial" w:eastAsia="Times New Roman" w:hAnsi="Arial" w:cs="Arial"/>
                <w:b/>
                <w:bCs/>
                <w:i/>
                <w:iCs/>
                <w:color w:val="000000"/>
                <w:sz w:val="18"/>
                <w:szCs w:val="18"/>
                <w:lang w:eastAsia="sl-SI"/>
              </w:rPr>
              <w:t>Razlog dvomljivosti</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79DE53A1" w14:textId="77777777" w:rsidR="004B7622" w:rsidRPr="004A6FB4" w:rsidRDefault="004B7622" w:rsidP="00377989">
            <w:pPr>
              <w:spacing w:after="0" w:line="240" w:lineRule="auto"/>
              <w:jc w:val="center"/>
              <w:rPr>
                <w:rFonts w:ascii="Arial" w:eastAsia="Times New Roman" w:hAnsi="Arial" w:cs="Arial"/>
                <w:b/>
                <w:bCs/>
                <w:color w:val="000000"/>
                <w:sz w:val="18"/>
                <w:szCs w:val="18"/>
                <w:lang w:eastAsia="sl-SI"/>
              </w:rPr>
            </w:pPr>
            <w:r w:rsidRPr="004A6FB4">
              <w:rPr>
                <w:rFonts w:ascii="Arial" w:eastAsia="Times New Roman" w:hAnsi="Arial" w:cs="Arial"/>
                <w:b/>
                <w:bCs/>
                <w:color w:val="000000"/>
                <w:sz w:val="18"/>
                <w:szCs w:val="18"/>
                <w:lang w:eastAsia="sl-SI"/>
              </w:rPr>
              <w:t>31.12.2019</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14:paraId="613B3DB9" w14:textId="77777777" w:rsidR="004B7622" w:rsidRPr="004A6FB4" w:rsidRDefault="004B7622" w:rsidP="00377989">
            <w:pPr>
              <w:spacing w:after="0" w:line="240" w:lineRule="auto"/>
              <w:jc w:val="center"/>
              <w:rPr>
                <w:rFonts w:ascii="Arial" w:eastAsia="Times New Roman" w:hAnsi="Arial" w:cs="Arial"/>
                <w:b/>
                <w:bCs/>
                <w:color w:val="000000"/>
                <w:sz w:val="18"/>
                <w:szCs w:val="18"/>
                <w:lang w:eastAsia="sl-SI"/>
              </w:rPr>
            </w:pPr>
            <w:r w:rsidRPr="004A6FB4">
              <w:rPr>
                <w:rFonts w:ascii="Arial" w:eastAsia="Times New Roman" w:hAnsi="Arial" w:cs="Arial"/>
                <w:b/>
                <w:bCs/>
                <w:color w:val="000000"/>
                <w:sz w:val="18"/>
                <w:szCs w:val="18"/>
                <w:lang w:eastAsia="sl-SI"/>
              </w:rPr>
              <w:t>31.12.2020</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14:paraId="38BBD453" w14:textId="77777777" w:rsidR="004B7622" w:rsidRPr="004A6FB4" w:rsidRDefault="004B7622" w:rsidP="00377989">
            <w:pPr>
              <w:spacing w:after="0" w:line="240" w:lineRule="auto"/>
              <w:jc w:val="center"/>
              <w:rPr>
                <w:rFonts w:ascii="Arial" w:eastAsia="Times New Roman" w:hAnsi="Arial" w:cs="Arial"/>
                <w:b/>
                <w:bCs/>
                <w:color w:val="000000"/>
                <w:sz w:val="18"/>
                <w:szCs w:val="18"/>
                <w:lang w:eastAsia="sl-SI"/>
              </w:rPr>
            </w:pPr>
            <w:r w:rsidRPr="004A6FB4">
              <w:rPr>
                <w:rFonts w:ascii="Arial" w:eastAsia="Times New Roman" w:hAnsi="Arial" w:cs="Arial"/>
                <w:b/>
                <w:bCs/>
                <w:color w:val="000000"/>
                <w:sz w:val="18"/>
                <w:szCs w:val="18"/>
                <w:lang w:eastAsia="sl-SI"/>
              </w:rPr>
              <w:t>31.12.2021</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18CD4022" w14:textId="77777777" w:rsidR="004B7622" w:rsidRPr="004A6FB4" w:rsidRDefault="004B7622" w:rsidP="00377989">
            <w:pPr>
              <w:spacing w:after="0" w:line="240" w:lineRule="auto"/>
              <w:jc w:val="center"/>
              <w:rPr>
                <w:rFonts w:ascii="Arial" w:eastAsia="Times New Roman" w:hAnsi="Arial" w:cs="Arial"/>
                <w:b/>
                <w:bCs/>
                <w:i/>
                <w:iCs/>
                <w:color w:val="000000"/>
                <w:sz w:val="18"/>
                <w:szCs w:val="18"/>
                <w:lang w:eastAsia="sl-SI"/>
              </w:rPr>
            </w:pPr>
            <w:r w:rsidRPr="004A6FB4">
              <w:rPr>
                <w:rFonts w:ascii="Arial" w:eastAsia="Times New Roman" w:hAnsi="Arial" w:cs="Arial"/>
                <w:b/>
                <w:bCs/>
                <w:i/>
                <w:iCs/>
                <w:color w:val="000000"/>
                <w:sz w:val="18"/>
                <w:szCs w:val="18"/>
                <w:lang w:eastAsia="sl-SI"/>
              </w:rPr>
              <w:t xml:space="preserve">IND </w:t>
            </w:r>
            <w:r w:rsidRPr="004A6FB4">
              <w:rPr>
                <w:rFonts w:ascii="Arial" w:eastAsia="Times New Roman" w:hAnsi="Arial" w:cs="Arial"/>
                <w:b/>
                <w:bCs/>
                <w:i/>
                <w:iCs/>
                <w:color w:val="000000"/>
                <w:sz w:val="18"/>
                <w:szCs w:val="18"/>
                <w:lang w:eastAsia="sl-SI"/>
              </w:rPr>
              <w:br/>
              <w:t>31.12.2020/</w:t>
            </w:r>
            <w:r w:rsidRPr="004A6FB4">
              <w:rPr>
                <w:rFonts w:ascii="Arial" w:eastAsia="Times New Roman" w:hAnsi="Arial" w:cs="Arial"/>
                <w:b/>
                <w:bCs/>
                <w:i/>
                <w:iCs/>
                <w:color w:val="000000"/>
                <w:sz w:val="18"/>
                <w:szCs w:val="18"/>
                <w:lang w:eastAsia="sl-SI"/>
              </w:rPr>
              <w:br/>
              <w:t>31.12.2019</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152212E0" w14:textId="77777777" w:rsidR="004B7622" w:rsidRPr="004A6FB4" w:rsidRDefault="004B7622" w:rsidP="00377989">
            <w:pPr>
              <w:spacing w:after="0" w:line="240" w:lineRule="auto"/>
              <w:jc w:val="center"/>
              <w:rPr>
                <w:rFonts w:ascii="Arial" w:eastAsia="Times New Roman" w:hAnsi="Arial" w:cs="Arial"/>
                <w:b/>
                <w:bCs/>
                <w:i/>
                <w:iCs/>
                <w:color w:val="000000"/>
                <w:sz w:val="18"/>
                <w:szCs w:val="18"/>
                <w:lang w:eastAsia="sl-SI"/>
              </w:rPr>
            </w:pPr>
            <w:r w:rsidRPr="004A6FB4">
              <w:rPr>
                <w:rFonts w:ascii="Arial" w:eastAsia="Times New Roman" w:hAnsi="Arial" w:cs="Arial"/>
                <w:b/>
                <w:bCs/>
                <w:i/>
                <w:iCs/>
                <w:color w:val="000000"/>
                <w:sz w:val="18"/>
                <w:szCs w:val="18"/>
                <w:lang w:eastAsia="sl-SI"/>
              </w:rPr>
              <w:t xml:space="preserve">IND </w:t>
            </w:r>
            <w:r w:rsidRPr="004A6FB4">
              <w:rPr>
                <w:rFonts w:ascii="Arial" w:eastAsia="Times New Roman" w:hAnsi="Arial" w:cs="Arial"/>
                <w:b/>
                <w:bCs/>
                <w:i/>
                <w:iCs/>
                <w:color w:val="000000"/>
                <w:sz w:val="18"/>
                <w:szCs w:val="18"/>
                <w:lang w:eastAsia="sl-SI"/>
              </w:rPr>
              <w:br/>
              <w:t>31.12.2021/</w:t>
            </w:r>
            <w:r w:rsidRPr="004A6FB4">
              <w:rPr>
                <w:rFonts w:ascii="Arial" w:eastAsia="Times New Roman" w:hAnsi="Arial" w:cs="Arial"/>
                <w:b/>
                <w:bCs/>
                <w:i/>
                <w:iCs/>
                <w:color w:val="000000"/>
                <w:sz w:val="18"/>
                <w:szCs w:val="18"/>
                <w:lang w:eastAsia="sl-SI"/>
              </w:rPr>
              <w:br/>
              <w:t>31.12.2019</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573AC988" w14:textId="77777777" w:rsidR="004B7622" w:rsidRPr="004A6FB4" w:rsidRDefault="004B7622" w:rsidP="00377989">
            <w:pPr>
              <w:spacing w:after="0" w:line="240" w:lineRule="auto"/>
              <w:jc w:val="center"/>
              <w:rPr>
                <w:rFonts w:ascii="Arial" w:eastAsia="Times New Roman" w:hAnsi="Arial" w:cs="Arial"/>
                <w:b/>
                <w:bCs/>
                <w:i/>
                <w:iCs/>
                <w:color w:val="000000"/>
                <w:sz w:val="18"/>
                <w:szCs w:val="18"/>
                <w:lang w:eastAsia="sl-SI"/>
              </w:rPr>
            </w:pPr>
            <w:r w:rsidRPr="004A6FB4">
              <w:rPr>
                <w:rFonts w:ascii="Arial" w:eastAsia="Times New Roman" w:hAnsi="Arial" w:cs="Arial"/>
                <w:b/>
                <w:bCs/>
                <w:i/>
                <w:iCs/>
                <w:color w:val="000000"/>
                <w:sz w:val="18"/>
                <w:szCs w:val="18"/>
                <w:lang w:eastAsia="sl-SI"/>
              </w:rPr>
              <w:t>IND 31.12.2021/</w:t>
            </w:r>
            <w:r w:rsidRPr="004A6FB4">
              <w:rPr>
                <w:rFonts w:ascii="Arial" w:eastAsia="Times New Roman" w:hAnsi="Arial" w:cs="Arial"/>
                <w:b/>
                <w:bCs/>
                <w:i/>
                <w:iCs/>
                <w:color w:val="000000"/>
                <w:sz w:val="18"/>
                <w:szCs w:val="18"/>
                <w:lang w:eastAsia="sl-SI"/>
              </w:rPr>
              <w:br/>
              <w:t>31.12.2020</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05523C0E" w14:textId="77777777" w:rsidR="004B7622" w:rsidRPr="004A6FB4" w:rsidRDefault="004B7622" w:rsidP="00377989">
            <w:pPr>
              <w:spacing w:after="0" w:line="240" w:lineRule="auto"/>
              <w:jc w:val="center"/>
              <w:rPr>
                <w:rFonts w:ascii="Arial" w:eastAsia="Times New Roman" w:hAnsi="Arial" w:cs="Arial"/>
                <w:b/>
                <w:bCs/>
                <w:i/>
                <w:iCs/>
                <w:color w:val="000000"/>
                <w:sz w:val="18"/>
                <w:szCs w:val="18"/>
                <w:lang w:eastAsia="sl-SI"/>
              </w:rPr>
            </w:pPr>
            <w:r w:rsidRPr="004A6FB4">
              <w:rPr>
                <w:rFonts w:ascii="Arial" w:eastAsia="Times New Roman" w:hAnsi="Arial" w:cs="Arial"/>
                <w:b/>
                <w:bCs/>
                <w:i/>
                <w:iCs/>
                <w:color w:val="000000"/>
                <w:sz w:val="18"/>
                <w:szCs w:val="18"/>
                <w:lang w:eastAsia="sl-SI"/>
              </w:rPr>
              <w:t xml:space="preserve">Delež v </w:t>
            </w:r>
            <w:r>
              <w:rPr>
                <w:rFonts w:ascii="Arial" w:eastAsia="Times New Roman" w:hAnsi="Arial" w:cs="Arial"/>
                <w:b/>
                <w:bCs/>
                <w:i/>
                <w:iCs/>
                <w:color w:val="000000"/>
                <w:sz w:val="18"/>
                <w:szCs w:val="18"/>
                <w:lang w:eastAsia="sl-SI"/>
              </w:rPr>
              <w:t>odstotka</w:t>
            </w:r>
          </w:p>
        </w:tc>
      </w:tr>
      <w:tr w:rsidR="004B7622" w:rsidRPr="004A6FB4" w14:paraId="398AD934" w14:textId="77777777" w:rsidTr="00377989">
        <w:trPr>
          <w:trHeight w:val="311"/>
        </w:trPr>
        <w:tc>
          <w:tcPr>
            <w:tcW w:w="1796" w:type="dxa"/>
            <w:tcBorders>
              <w:top w:val="nil"/>
              <w:left w:val="single" w:sz="4" w:space="0" w:color="auto"/>
              <w:bottom w:val="single" w:sz="4" w:space="0" w:color="auto"/>
              <w:right w:val="single" w:sz="4" w:space="0" w:color="auto"/>
            </w:tcBorders>
            <w:shd w:val="clear" w:color="auto" w:fill="auto"/>
            <w:vAlign w:val="bottom"/>
            <w:hideMark/>
          </w:tcPr>
          <w:p w14:paraId="47715776" w14:textId="77777777" w:rsidR="004B7622" w:rsidRPr="004A6FB4" w:rsidRDefault="004B7622" w:rsidP="00377989">
            <w:pPr>
              <w:spacing w:after="0" w:line="240" w:lineRule="auto"/>
              <w:rPr>
                <w:rFonts w:ascii="Arial" w:eastAsia="Times New Roman" w:hAnsi="Arial" w:cs="Arial"/>
                <w:sz w:val="18"/>
                <w:szCs w:val="18"/>
                <w:lang w:eastAsia="sl-SI"/>
              </w:rPr>
            </w:pPr>
            <w:r w:rsidRPr="004A6FB4">
              <w:rPr>
                <w:rFonts w:ascii="Arial" w:eastAsia="Times New Roman" w:hAnsi="Arial" w:cs="Arial"/>
                <w:sz w:val="18"/>
                <w:szCs w:val="18"/>
                <w:lang w:eastAsia="sl-SI"/>
              </w:rPr>
              <w:t>Stečaj</w:t>
            </w:r>
          </w:p>
        </w:tc>
        <w:tc>
          <w:tcPr>
            <w:tcW w:w="1120" w:type="dxa"/>
            <w:tcBorders>
              <w:top w:val="nil"/>
              <w:left w:val="nil"/>
              <w:bottom w:val="single" w:sz="4" w:space="0" w:color="auto"/>
              <w:right w:val="single" w:sz="4" w:space="0" w:color="auto"/>
            </w:tcBorders>
            <w:shd w:val="clear" w:color="auto" w:fill="auto"/>
            <w:vAlign w:val="bottom"/>
            <w:hideMark/>
          </w:tcPr>
          <w:p w14:paraId="62352979" w14:textId="77777777" w:rsidR="004B7622" w:rsidRPr="004A6FB4" w:rsidRDefault="004B7622" w:rsidP="00377989">
            <w:pPr>
              <w:spacing w:after="0" w:line="240" w:lineRule="auto"/>
              <w:jc w:val="right"/>
              <w:rPr>
                <w:rFonts w:ascii="Arial" w:eastAsia="Times New Roman" w:hAnsi="Arial" w:cs="Arial"/>
                <w:sz w:val="18"/>
                <w:szCs w:val="18"/>
                <w:lang w:eastAsia="sl-SI"/>
              </w:rPr>
            </w:pPr>
            <w:r w:rsidRPr="004A6FB4">
              <w:rPr>
                <w:rFonts w:ascii="Arial" w:eastAsia="Times New Roman" w:hAnsi="Arial" w:cs="Arial"/>
                <w:sz w:val="18"/>
                <w:szCs w:val="18"/>
                <w:lang w:eastAsia="sl-SI"/>
              </w:rPr>
              <w:t>408.921.267</w:t>
            </w:r>
          </w:p>
        </w:tc>
        <w:tc>
          <w:tcPr>
            <w:tcW w:w="1123" w:type="dxa"/>
            <w:tcBorders>
              <w:top w:val="nil"/>
              <w:left w:val="nil"/>
              <w:bottom w:val="single" w:sz="4" w:space="0" w:color="auto"/>
              <w:right w:val="single" w:sz="4" w:space="0" w:color="auto"/>
            </w:tcBorders>
            <w:shd w:val="clear" w:color="auto" w:fill="auto"/>
            <w:vAlign w:val="bottom"/>
            <w:hideMark/>
          </w:tcPr>
          <w:p w14:paraId="2C84FE78" w14:textId="77777777" w:rsidR="004B7622" w:rsidRPr="004A6FB4" w:rsidRDefault="004B7622" w:rsidP="00377989">
            <w:pPr>
              <w:spacing w:after="0" w:line="240" w:lineRule="auto"/>
              <w:jc w:val="right"/>
              <w:rPr>
                <w:rFonts w:ascii="Arial" w:eastAsia="Times New Roman" w:hAnsi="Arial" w:cs="Arial"/>
                <w:color w:val="000000"/>
                <w:sz w:val="18"/>
                <w:szCs w:val="18"/>
                <w:lang w:eastAsia="sl-SI"/>
              </w:rPr>
            </w:pPr>
            <w:r w:rsidRPr="004A6FB4">
              <w:rPr>
                <w:rFonts w:ascii="Arial" w:eastAsia="Times New Roman" w:hAnsi="Arial" w:cs="Arial"/>
                <w:color w:val="000000"/>
                <w:sz w:val="18"/>
                <w:szCs w:val="18"/>
                <w:lang w:eastAsia="sl-SI"/>
              </w:rPr>
              <w:t>348.111.223</w:t>
            </w:r>
          </w:p>
        </w:tc>
        <w:tc>
          <w:tcPr>
            <w:tcW w:w="1123" w:type="dxa"/>
            <w:tcBorders>
              <w:top w:val="nil"/>
              <w:left w:val="nil"/>
              <w:bottom w:val="single" w:sz="4" w:space="0" w:color="auto"/>
              <w:right w:val="single" w:sz="4" w:space="0" w:color="auto"/>
            </w:tcBorders>
            <w:shd w:val="clear" w:color="auto" w:fill="auto"/>
            <w:vAlign w:val="bottom"/>
            <w:hideMark/>
          </w:tcPr>
          <w:p w14:paraId="05231092" w14:textId="77777777" w:rsidR="004B7622" w:rsidRPr="004A6FB4" w:rsidRDefault="004B7622" w:rsidP="00377989">
            <w:pPr>
              <w:spacing w:after="0" w:line="240" w:lineRule="auto"/>
              <w:jc w:val="right"/>
              <w:rPr>
                <w:rFonts w:ascii="Arial" w:eastAsia="Times New Roman" w:hAnsi="Arial" w:cs="Arial"/>
                <w:color w:val="000000"/>
                <w:sz w:val="18"/>
                <w:szCs w:val="18"/>
                <w:lang w:eastAsia="sl-SI"/>
              </w:rPr>
            </w:pPr>
            <w:r w:rsidRPr="004A6FB4">
              <w:rPr>
                <w:rFonts w:ascii="Arial" w:eastAsia="Times New Roman" w:hAnsi="Arial" w:cs="Arial"/>
                <w:color w:val="000000"/>
                <w:sz w:val="18"/>
                <w:szCs w:val="18"/>
                <w:lang w:eastAsia="sl-SI"/>
              </w:rPr>
              <w:t>314.754.397</w:t>
            </w:r>
          </w:p>
        </w:tc>
        <w:tc>
          <w:tcPr>
            <w:tcW w:w="1070" w:type="dxa"/>
            <w:tcBorders>
              <w:top w:val="nil"/>
              <w:left w:val="nil"/>
              <w:bottom w:val="single" w:sz="4" w:space="0" w:color="auto"/>
              <w:right w:val="single" w:sz="4" w:space="0" w:color="auto"/>
            </w:tcBorders>
            <w:shd w:val="clear" w:color="auto" w:fill="auto"/>
            <w:vAlign w:val="bottom"/>
            <w:hideMark/>
          </w:tcPr>
          <w:p w14:paraId="2D3F75C0" w14:textId="77777777" w:rsidR="004B7622" w:rsidRPr="004A6FB4" w:rsidRDefault="004B7622" w:rsidP="00377989">
            <w:pPr>
              <w:spacing w:after="0" w:line="240" w:lineRule="auto"/>
              <w:jc w:val="right"/>
              <w:rPr>
                <w:rFonts w:ascii="Arial" w:eastAsia="Times New Roman" w:hAnsi="Arial" w:cs="Arial"/>
                <w:color w:val="000000"/>
                <w:sz w:val="18"/>
                <w:szCs w:val="18"/>
                <w:lang w:eastAsia="sl-SI"/>
              </w:rPr>
            </w:pPr>
            <w:r w:rsidRPr="004A6FB4">
              <w:rPr>
                <w:rFonts w:ascii="Arial" w:eastAsia="Times New Roman" w:hAnsi="Arial" w:cs="Arial"/>
                <w:color w:val="000000"/>
                <w:sz w:val="18"/>
                <w:szCs w:val="18"/>
                <w:lang w:eastAsia="sl-SI"/>
              </w:rPr>
              <w:t>85,1</w:t>
            </w:r>
          </w:p>
        </w:tc>
        <w:tc>
          <w:tcPr>
            <w:tcW w:w="1070" w:type="dxa"/>
            <w:tcBorders>
              <w:top w:val="nil"/>
              <w:left w:val="nil"/>
              <w:bottom w:val="single" w:sz="4" w:space="0" w:color="auto"/>
              <w:right w:val="single" w:sz="4" w:space="0" w:color="auto"/>
            </w:tcBorders>
            <w:shd w:val="clear" w:color="auto" w:fill="auto"/>
            <w:vAlign w:val="bottom"/>
            <w:hideMark/>
          </w:tcPr>
          <w:p w14:paraId="76950FE1" w14:textId="77777777" w:rsidR="004B7622" w:rsidRPr="004A6FB4" w:rsidRDefault="004B7622" w:rsidP="00377989">
            <w:pPr>
              <w:spacing w:after="0" w:line="240" w:lineRule="auto"/>
              <w:jc w:val="right"/>
              <w:rPr>
                <w:rFonts w:ascii="Arial" w:eastAsia="Times New Roman" w:hAnsi="Arial" w:cs="Arial"/>
                <w:sz w:val="18"/>
                <w:szCs w:val="18"/>
                <w:lang w:eastAsia="sl-SI"/>
              </w:rPr>
            </w:pPr>
            <w:r w:rsidRPr="004A6FB4">
              <w:rPr>
                <w:rFonts w:ascii="Arial" w:eastAsia="Times New Roman" w:hAnsi="Arial" w:cs="Arial"/>
                <w:sz w:val="18"/>
                <w:szCs w:val="18"/>
                <w:lang w:eastAsia="sl-SI"/>
              </w:rPr>
              <w:t>77,0</w:t>
            </w:r>
          </w:p>
        </w:tc>
        <w:tc>
          <w:tcPr>
            <w:tcW w:w="1109" w:type="dxa"/>
            <w:tcBorders>
              <w:top w:val="nil"/>
              <w:left w:val="nil"/>
              <w:bottom w:val="single" w:sz="4" w:space="0" w:color="auto"/>
              <w:right w:val="single" w:sz="4" w:space="0" w:color="auto"/>
            </w:tcBorders>
            <w:shd w:val="clear" w:color="auto" w:fill="auto"/>
            <w:vAlign w:val="bottom"/>
            <w:hideMark/>
          </w:tcPr>
          <w:p w14:paraId="4F8F0F5E" w14:textId="77777777" w:rsidR="004B7622" w:rsidRPr="004A6FB4" w:rsidRDefault="004B7622" w:rsidP="00377989">
            <w:pPr>
              <w:spacing w:after="0" w:line="240" w:lineRule="auto"/>
              <w:jc w:val="right"/>
              <w:rPr>
                <w:rFonts w:ascii="Arial" w:eastAsia="Times New Roman" w:hAnsi="Arial" w:cs="Arial"/>
                <w:color w:val="000000"/>
                <w:sz w:val="18"/>
                <w:szCs w:val="18"/>
                <w:lang w:eastAsia="sl-SI"/>
              </w:rPr>
            </w:pPr>
            <w:r w:rsidRPr="004A6FB4">
              <w:rPr>
                <w:rFonts w:ascii="Arial" w:eastAsia="Times New Roman" w:hAnsi="Arial" w:cs="Arial"/>
                <w:color w:val="000000"/>
                <w:sz w:val="18"/>
                <w:szCs w:val="18"/>
                <w:lang w:eastAsia="sl-SI"/>
              </w:rPr>
              <w:t>90,4</w:t>
            </w:r>
          </w:p>
        </w:tc>
        <w:tc>
          <w:tcPr>
            <w:tcW w:w="865" w:type="dxa"/>
            <w:tcBorders>
              <w:top w:val="nil"/>
              <w:left w:val="nil"/>
              <w:bottom w:val="single" w:sz="4" w:space="0" w:color="auto"/>
              <w:right w:val="single" w:sz="4" w:space="0" w:color="auto"/>
            </w:tcBorders>
            <w:shd w:val="clear" w:color="auto" w:fill="auto"/>
            <w:noWrap/>
            <w:vAlign w:val="bottom"/>
            <w:hideMark/>
          </w:tcPr>
          <w:p w14:paraId="3E4D60E4" w14:textId="77777777" w:rsidR="004B7622" w:rsidRPr="004A6FB4" w:rsidRDefault="004B7622" w:rsidP="00377989">
            <w:pPr>
              <w:spacing w:after="0" w:line="240" w:lineRule="auto"/>
              <w:jc w:val="right"/>
              <w:rPr>
                <w:rFonts w:ascii="Arial" w:eastAsia="Times New Roman" w:hAnsi="Arial" w:cs="Arial"/>
                <w:color w:val="000000"/>
                <w:sz w:val="18"/>
                <w:szCs w:val="18"/>
                <w:lang w:eastAsia="sl-SI"/>
              </w:rPr>
            </w:pPr>
            <w:r w:rsidRPr="004A6FB4">
              <w:rPr>
                <w:rFonts w:ascii="Arial" w:eastAsia="Times New Roman" w:hAnsi="Arial" w:cs="Arial"/>
                <w:color w:val="000000"/>
                <w:sz w:val="18"/>
                <w:szCs w:val="18"/>
                <w:lang w:eastAsia="sl-SI"/>
              </w:rPr>
              <w:t>64,6</w:t>
            </w:r>
          </w:p>
        </w:tc>
      </w:tr>
      <w:tr w:rsidR="004B7622" w:rsidRPr="004A6FB4" w14:paraId="477F4E60" w14:textId="77777777" w:rsidTr="00377989">
        <w:trPr>
          <w:trHeight w:val="568"/>
        </w:trPr>
        <w:tc>
          <w:tcPr>
            <w:tcW w:w="1796" w:type="dxa"/>
            <w:tcBorders>
              <w:top w:val="nil"/>
              <w:left w:val="single" w:sz="4" w:space="0" w:color="auto"/>
              <w:bottom w:val="single" w:sz="4" w:space="0" w:color="auto"/>
              <w:right w:val="single" w:sz="4" w:space="0" w:color="auto"/>
            </w:tcBorders>
            <w:shd w:val="clear" w:color="auto" w:fill="auto"/>
            <w:vAlign w:val="bottom"/>
            <w:hideMark/>
          </w:tcPr>
          <w:p w14:paraId="1EBB7995" w14:textId="77777777" w:rsidR="004B7622" w:rsidRPr="004A6FB4" w:rsidRDefault="004B7622" w:rsidP="00377989">
            <w:pPr>
              <w:spacing w:after="0" w:line="240" w:lineRule="auto"/>
              <w:rPr>
                <w:rFonts w:ascii="Arial" w:eastAsia="Times New Roman" w:hAnsi="Arial" w:cs="Arial"/>
                <w:sz w:val="18"/>
                <w:szCs w:val="18"/>
                <w:lang w:eastAsia="sl-SI"/>
              </w:rPr>
            </w:pPr>
            <w:r w:rsidRPr="004A6FB4">
              <w:rPr>
                <w:rFonts w:ascii="Arial" w:eastAsia="Times New Roman" w:hAnsi="Arial" w:cs="Arial"/>
                <w:sz w:val="18"/>
                <w:szCs w:val="18"/>
                <w:lang w:eastAsia="sl-SI"/>
              </w:rPr>
              <w:t xml:space="preserve">Dolga ni mogoče poplačati v postopku davčne izvršbe </w:t>
            </w:r>
          </w:p>
        </w:tc>
        <w:tc>
          <w:tcPr>
            <w:tcW w:w="1120" w:type="dxa"/>
            <w:tcBorders>
              <w:top w:val="nil"/>
              <w:left w:val="nil"/>
              <w:bottom w:val="single" w:sz="4" w:space="0" w:color="auto"/>
              <w:right w:val="single" w:sz="4" w:space="0" w:color="auto"/>
            </w:tcBorders>
            <w:shd w:val="clear" w:color="auto" w:fill="auto"/>
            <w:vAlign w:val="bottom"/>
            <w:hideMark/>
          </w:tcPr>
          <w:p w14:paraId="19340CDE" w14:textId="77777777" w:rsidR="004B7622" w:rsidRPr="004A6FB4" w:rsidRDefault="004B7622" w:rsidP="00377989">
            <w:pPr>
              <w:spacing w:after="0" w:line="240" w:lineRule="auto"/>
              <w:jc w:val="right"/>
              <w:rPr>
                <w:rFonts w:ascii="Arial" w:eastAsia="Times New Roman" w:hAnsi="Arial" w:cs="Arial"/>
                <w:sz w:val="18"/>
                <w:szCs w:val="18"/>
                <w:lang w:eastAsia="sl-SI"/>
              </w:rPr>
            </w:pPr>
            <w:r w:rsidRPr="004A6FB4">
              <w:rPr>
                <w:rFonts w:ascii="Arial" w:eastAsia="Times New Roman" w:hAnsi="Arial" w:cs="Arial"/>
                <w:sz w:val="18"/>
                <w:szCs w:val="18"/>
                <w:lang w:eastAsia="sl-SI"/>
              </w:rPr>
              <w:t>119.067.236</w:t>
            </w:r>
          </w:p>
        </w:tc>
        <w:tc>
          <w:tcPr>
            <w:tcW w:w="1123" w:type="dxa"/>
            <w:tcBorders>
              <w:top w:val="nil"/>
              <w:left w:val="nil"/>
              <w:bottom w:val="single" w:sz="4" w:space="0" w:color="auto"/>
              <w:right w:val="single" w:sz="4" w:space="0" w:color="auto"/>
            </w:tcBorders>
            <w:shd w:val="clear" w:color="auto" w:fill="auto"/>
            <w:noWrap/>
            <w:vAlign w:val="bottom"/>
            <w:hideMark/>
          </w:tcPr>
          <w:p w14:paraId="7CDE5BEA" w14:textId="77777777" w:rsidR="004B7622" w:rsidRPr="004A6FB4" w:rsidRDefault="004B7622" w:rsidP="00377989">
            <w:pPr>
              <w:spacing w:after="0" w:line="240" w:lineRule="auto"/>
              <w:jc w:val="right"/>
              <w:rPr>
                <w:rFonts w:ascii="Arial" w:eastAsia="Times New Roman" w:hAnsi="Arial" w:cs="Arial"/>
                <w:color w:val="000000"/>
                <w:sz w:val="18"/>
                <w:szCs w:val="18"/>
                <w:lang w:eastAsia="sl-SI"/>
              </w:rPr>
            </w:pPr>
            <w:r w:rsidRPr="004A6FB4">
              <w:rPr>
                <w:rFonts w:ascii="Arial" w:eastAsia="Times New Roman" w:hAnsi="Arial" w:cs="Arial"/>
                <w:color w:val="000000"/>
                <w:sz w:val="18"/>
                <w:szCs w:val="18"/>
                <w:lang w:eastAsia="sl-SI"/>
              </w:rPr>
              <w:t>127.273.386</w:t>
            </w:r>
          </w:p>
        </w:tc>
        <w:tc>
          <w:tcPr>
            <w:tcW w:w="1123" w:type="dxa"/>
            <w:tcBorders>
              <w:top w:val="nil"/>
              <w:left w:val="nil"/>
              <w:bottom w:val="single" w:sz="4" w:space="0" w:color="auto"/>
              <w:right w:val="single" w:sz="4" w:space="0" w:color="auto"/>
            </w:tcBorders>
            <w:shd w:val="clear" w:color="auto" w:fill="auto"/>
            <w:noWrap/>
            <w:vAlign w:val="bottom"/>
            <w:hideMark/>
          </w:tcPr>
          <w:p w14:paraId="797913D8" w14:textId="77777777" w:rsidR="004B7622" w:rsidRPr="004A6FB4" w:rsidRDefault="004B7622" w:rsidP="00377989">
            <w:pPr>
              <w:spacing w:after="0" w:line="240" w:lineRule="auto"/>
              <w:jc w:val="right"/>
              <w:rPr>
                <w:rFonts w:ascii="Arial" w:eastAsia="Times New Roman" w:hAnsi="Arial" w:cs="Arial"/>
                <w:color w:val="000000"/>
                <w:sz w:val="18"/>
                <w:szCs w:val="18"/>
                <w:lang w:eastAsia="sl-SI"/>
              </w:rPr>
            </w:pPr>
            <w:r w:rsidRPr="004A6FB4">
              <w:rPr>
                <w:rFonts w:ascii="Arial" w:eastAsia="Times New Roman" w:hAnsi="Arial" w:cs="Arial"/>
                <w:color w:val="000000"/>
                <w:sz w:val="18"/>
                <w:szCs w:val="18"/>
                <w:lang w:eastAsia="sl-SI"/>
              </w:rPr>
              <w:t>149.477.518</w:t>
            </w:r>
          </w:p>
        </w:tc>
        <w:tc>
          <w:tcPr>
            <w:tcW w:w="1070" w:type="dxa"/>
            <w:tcBorders>
              <w:top w:val="nil"/>
              <w:left w:val="nil"/>
              <w:bottom w:val="single" w:sz="4" w:space="0" w:color="auto"/>
              <w:right w:val="single" w:sz="4" w:space="0" w:color="auto"/>
            </w:tcBorders>
            <w:shd w:val="clear" w:color="auto" w:fill="auto"/>
            <w:vAlign w:val="bottom"/>
            <w:hideMark/>
          </w:tcPr>
          <w:p w14:paraId="34FB3EC7" w14:textId="77777777" w:rsidR="004B7622" w:rsidRPr="004A6FB4" w:rsidRDefault="004B7622" w:rsidP="00377989">
            <w:pPr>
              <w:spacing w:after="0" w:line="240" w:lineRule="auto"/>
              <w:jc w:val="right"/>
              <w:rPr>
                <w:rFonts w:ascii="Arial" w:eastAsia="Times New Roman" w:hAnsi="Arial" w:cs="Arial"/>
                <w:color w:val="000000"/>
                <w:sz w:val="18"/>
                <w:szCs w:val="18"/>
                <w:lang w:eastAsia="sl-SI"/>
              </w:rPr>
            </w:pPr>
            <w:r w:rsidRPr="004A6FB4">
              <w:rPr>
                <w:rFonts w:ascii="Arial" w:eastAsia="Times New Roman" w:hAnsi="Arial" w:cs="Arial"/>
                <w:color w:val="000000"/>
                <w:sz w:val="18"/>
                <w:szCs w:val="18"/>
                <w:lang w:eastAsia="sl-SI"/>
              </w:rPr>
              <w:t>106,9</w:t>
            </w:r>
          </w:p>
        </w:tc>
        <w:tc>
          <w:tcPr>
            <w:tcW w:w="1070" w:type="dxa"/>
            <w:tcBorders>
              <w:top w:val="nil"/>
              <w:left w:val="nil"/>
              <w:bottom w:val="single" w:sz="4" w:space="0" w:color="auto"/>
              <w:right w:val="single" w:sz="4" w:space="0" w:color="auto"/>
            </w:tcBorders>
            <w:shd w:val="clear" w:color="auto" w:fill="auto"/>
            <w:vAlign w:val="bottom"/>
            <w:hideMark/>
          </w:tcPr>
          <w:p w14:paraId="25A43522" w14:textId="77777777" w:rsidR="004B7622" w:rsidRPr="004A6FB4" w:rsidRDefault="004B7622" w:rsidP="00377989">
            <w:pPr>
              <w:spacing w:after="0" w:line="240" w:lineRule="auto"/>
              <w:jc w:val="right"/>
              <w:rPr>
                <w:rFonts w:ascii="Arial" w:eastAsia="Times New Roman" w:hAnsi="Arial" w:cs="Arial"/>
                <w:sz w:val="18"/>
                <w:szCs w:val="18"/>
                <w:lang w:eastAsia="sl-SI"/>
              </w:rPr>
            </w:pPr>
            <w:r w:rsidRPr="004A6FB4">
              <w:rPr>
                <w:rFonts w:ascii="Arial" w:eastAsia="Times New Roman" w:hAnsi="Arial" w:cs="Arial"/>
                <w:sz w:val="18"/>
                <w:szCs w:val="18"/>
                <w:lang w:eastAsia="sl-SI"/>
              </w:rPr>
              <w:t>125,5</w:t>
            </w:r>
          </w:p>
        </w:tc>
        <w:tc>
          <w:tcPr>
            <w:tcW w:w="1109" w:type="dxa"/>
            <w:tcBorders>
              <w:top w:val="nil"/>
              <w:left w:val="nil"/>
              <w:bottom w:val="single" w:sz="4" w:space="0" w:color="auto"/>
              <w:right w:val="single" w:sz="4" w:space="0" w:color="auto"/>
            </w:tcBorders>
            <w:shd w:val="clear" w:color="auto" w:fill="auto"/>
            <w:vAlign w:val="bottom"/>
            <w:hideMark/>
          </w:tcPr>
          <w:p w14:paraId="27970EDA" w14:textId="77777777" w:rsidR="004B7622" w:rsidRPr="004A6FB4" w:rsidRDefault="004B7622" w:rsidP="00377989">
            <w:pPr>
              <w:spacing w:after="0" w:line="240" w:lineRule="auto"/>
              <w:jc w:val="right"/>
              <w:rPr>
                <w:rFonts w:ascii="Arial" w:eastAsia="Times New Roman" w:hAnsi="Arial" w:cs="Arial"/>
                <w:color w:val="000000"/>
                <w:sz w:val="18"/>
                <w:szCs w:val="18"/>
                <w:lang w:eastAsia="sl-SI"/>
              </w:rPr>
            </w:pPr>
            <w:r w:rsidRPr="004A6FB4">
              <w:rPr>
                <w:rFonts w:ascii="Arial" w:eastAsia="Times New Roman" w:hAnsi="Arial" w:cs="Arial"/>
                <w:color w:val="000000"/>
                <w:sz w:val="18"/>
                <w:szCs w:val="18"/>
                <w:lang w:eastAsia="sl-SI"/>
              </w:rPr>
              <w:t>117,4</w:t>
            </w:r>
          </w:p>
        </w:tc>
        <w:tc>
          <w:tcPr>
            <w:tcW w:w="865" w:type="dxa"/>
            <w:tcBorders>
              <w:top w:val="nil"/>
              <w:left w:val="nil"/>
              <w:bottom w:val="single" w:sz="4" w:space="0" w:color="auto"/>
              <w:right w:val="single" w:sz="4" w:space="0" w:color="auto"/>
            </w:tcBorders>
            <w:shd w:val="clear" w:color="auto" w:fill="auto"/>
            <w:noWrap/>
            <w:vAlign w:val="bottom"/>
            <w:hideMark/>
          </w:tcPr>
          <w:p w14:paraId="69218F32" w14:textId="77777777" w:rsidR="004B7622" w:rsidRPr="004A6FB4" w:rsidRDefault="004B7622" w:rsidP="00377989">
            <w:pPr>
              <w:spacing w:after="0" w:line="240" w:lineRule="auto"/>
              <w:jc w:val="right"/>
              <w:rPr>
                <w:rFonts w:ascii="Arial" w:eastAsia="Times New Roman" w:hAnsi="Arial" w:cs="Arial"/>
                <w:color w:val="000000"/>
                <w:sz w:val="18"/>
                <w:szCs w:val="18"/>
                <w:lang w:eastAsia="sl-SI"/>
              </w:rPr>
            </w:pPr>
            <w:r w:rsidRPr="004A6FB4">
              <w:rPr>
                <w:rFonts w:ascii="Arial" w:eastAsia="Times New Roman" w:hAnsi="Arial" w:cs="Arial"/>
                <w:color w:val="000000"/>
                <w:sz w:val="18"/>
                <w:szCs w:val="18"/>
                <w:lang w:eastAsia="sl-SI"/>
              </w:rPr>
              <w:t>30,7</w:t>
            </w:r>
          </w:p>
        </w:tc>
      </w:tr>
      <w:tr w:rsidR="004B7622" w:rsidRPr="004A6FB4" w14:paraId="22660955" w14:textId="77777777" w:rsidTr="00377989">
        <w:trPr>
          <w:trHeight w:val="265"/>
        </w:trPr>
        <w:tc>
          <w:tcPr>
            <w:tcW w:w="1796" w:type="dxa"/>
            <w:tcBorders>
              <w:top w:val="nil"/>
              <w:left w:val="single" w:sz="4" w:space="0" w:color="auto"/>
              <w:bottom w:val="single" w:sz="4" w:space="0" w:color="auto"/>
              <w:right w:val="single" w:sz="4" w:space="0" w:color="auto"/>
            </w:tcBorders>
            <w:shd w:val="clear" w:color="auto" w:fill="auto"/>
            <w:vAlign w:val="bottom"/>
            <w:hideMark/>
          </w:tcPr>
          <w:p w14:paraId="79EE9136" w14:textId="77777777" w:rsidR="004B7622" w:rsidRPr="004A6FB4" w:rsidRDefault="004B7622" w:rsidP="00377989">
            <w:pPr>
              <w:spacing w:after="0" w:line="240" w:lineRule="auto"/>
              <w:rPr>
                <w:rFonts w:ascii="Arial" w:eastAsia="Times New Roman" w:hAnsi="Arial" w:cs="Arial"/>
                <w:sz w:val="18"/>
                <w:szCs w:val="18"/>
                <w:lang w:eastAsia="sl-SI"/>
              </w:rPr>
            </w:pPr>
            <w:r w:rsidRPr="004A6FB4">
              <w:rPr>
                <w:rFonts w:ascii="Arial" w:eastAsia="Times New Roman" w:hAnsi="Arial" w:cs="Arial"/>
                <w:sz w:val="18"/>
                <w:szCs w:val="18"/>
                <w:lang w:eastAsia="sl-SI"/>
              </w:rPr>
              <w:t>Prisilna poravnava</w:t>
            </w:r>
          </w:p>
        </w:tc>
        <w:tc>
          <w:tcPr>
            <w:tcW w:w="1120" w:type="dxa"/>
            <w:tcBorders>
              <w:top w:val="nil"/>
              <w:left w:val="nil"/>
              <w:bottom w:val="single" w:sz="4" w:space="0" w:color="auto"/>
              <w:right w:val="single" w:sz="4" w:space="0" w:color="auto"/>
            </w:tcBorders>
            <w:shd w:val="clear" w:color="auto" w:fill="auto"/>
            <w:vAlign w:val="bottom"/>
            <w:hideMark/>
          </w:tcPr>
          <w:p w14:paraId="5045CABD" w14:textId="77777777" w:rsidR="004B7622" w:rsidRPr="004A6FB4" w:rsidRDefault="004B7622" w:rsidP="00377989">
            <w:pPr>
              <w:spacing w:after="0" w:line="240" w:lineRule="auto"/>
              <w:jc w:val="right"/>
              <w:rPr>
                <w:rFonts w:ascii="Arial" w:eastAsia="Times New Roman" w:hAnsi="Arial" w:cs="Arial"/>
                <w:sz w:val="18"/>
                <w:szCs w:val="18"/>
                <w:lang w:eastAsia="sl-SI"/>
              </w:rPr>
            </w:pPr>
            <w:r w:rsidRPr="004A6FB4">
              <w:rPr>
                <w:rFonts w:ascii="Arial" w:eastAsia="Times New Roman" w:hAnsi="Arial" w:cs="Arial"/>
                <w:sz w:val="18"/>
                <w:szCs w:val="18"/>
                <w:lang w:eastAsia="sl-SI"/>
              </w:rPr>
              <w:t>4.826.200</w:t>
            </w:r>
          </w:p>
        </w:tc>
        <w:tc>
          <w:tcPr>
            <w:tcW w:w="1123" w:type="dxa"/>
            <w:tcBorders>
              <w:top w:val="nil"/>
              <w:left w:val="nil"/>
              <w:bottom w:val="single" w:sz="4" w:space="0" w:color="auto"/>
              <w:right w:val="single" w:sz="4" w:space="0" w:color="auto"/>
            </w:tcBorders>
            <w:shd w:val="clear" w:color="auto" w:fill="auto"/>
            <w:noWrap/>
            <w:vAlign w:val="bottom"/>
            <w:hideMark/>
          </w:tcPr>
          <w:p w14:paraId="207F93E5" w14:textId="77777777" w:rsidR="004B7622" w:rsidRPr="004A6FB4" w:rsidRDefault="004B7622" w:rsidP="00377989">
            <w:pPr>
              <w:spacing w:after="0" w:line="240" w:lineRule="auto"/>
              <w:jc w:val="right"/>
              <w:rPr>
                <w:rFonts w:ascii="Arial" w:eastAsia="Times New Roman" w:hAnsi="Arial" w:cs="Arial"/>
                <w:color w:val="000000"/>
                <w:sz w:val="18"/>
                <w:szCs w:val="18"/>
                <w:lang w:eastAsia="sl-SI"/>
              </w:rPr>
            </w:pPr>
            <w:r w:rsidRPr="004A6FB4">
              <w:rPr>
                <w:rFonts w:ascii="Arial" w:eastAsia="Times New Roman" w:hAnsi="Arial" w:cs="Arial"/>
                <w:color w:val="000000"/>
                <w:sz w:val="18"/>
                <w:szCs w:val="18"/>
                <w:lang w:eastAsia="sl-SI"/>
              </w:rPr>
              <w:t>5.193.933</w:t>
            </w:r>
          </w:p>
        </w:tc>
        <w:tc>
          <w:tcPr>
            <w:tcW w:w="1123" w:type="dxa"/>
            <w:tcBorders>
              <w:top w:val="nil"/>
              <w:left w:val="nil"/>
              <w:bottom w:val="single" w:sz="4" w:space="0" w:color="auto"/>
              <w:right w:val="single" w:sz="4" w:space="0" w:color="auto"/>
            </w:tcBorders>
            <w:shd w:val="clear" w:color="auto" w:fill="auto"/>
            <w:noWrap/>
            <w:vAlign w:val="bottom"/>
            <w:hideMark/>
          </w:tcPr>
          <w:p w14:paraId="59598CDC" w14:textId="77777777" w:rsidR="004B7622" w:rsidRPr="004A6FB4" w:rsidRDefault="004B7622" w:rsidP="00377989">
            <w:pPr>
              <w:spacing w:after="0" w:line="240" w:lineRule="auto"/>
              <w:jc w:val="right"/>
              <w:rPr>
                <w:rFonts w:ascii="Arial" w:eastAsia="Times New Roman" w:hAnsi="Arial" w:cs="Arial"/>
                <w:color w:val="000000"/>
                <w:sz w:val="18"/>
                <w:szCs w:val="18"/>
                <w:lang w:eastAsia="sl-SI"/>
              </w:rPr>
            </w:pPr>
            <w:r w:rsidRPr="004A6FB4">
              <w:rPr>
                <w:rFonts w:ascii="Arial" w:eastAsia="Times New Roman" w:hAnsi="Arial" w:cs="Arial"/>
                <w:color w:val="000000"/>
                <w:sz w:val="18"/>
                <w:szCs w:val="18"/>
                <w:lang w:eastAsia="sl-SI"/>
              </w:rPr>
              <w:t>3.790.277</w:t>
            </w:r>
          </w:p>
        </w:tc>
        <w:tc>
          <w:tcPr>
            <w:tcW w:w="1070" w:type="dxa"/>
            <w:tcBorders>
              <w:top w:val="nil"/>
              <w:left w:val="nil"/>
              <w:bottom w:val="single" w:sz="4" w:space="0" w:color="auto"/>
              <w:right w:val="single" w:sz="4" w:space="0" w:color="auto"/>
            </w:tcBorders>
            <w:shd w:val="clear" w:color="auto" w:fill="auto"/>
            <w:vAlign w:val="bottom"/>
            <w:hideMark/>
          </w:tcPr>
          <w:p w14:paraId="5B7DB780" w14:textId="77777777" w:rsidR="004B7622" w:rsidRPr="004A6FB4" w:rsidRDefault="004B7622" w:rsidP="00377989">
            <w:pPr>
              <w:spacing w:after="0" w:line="240" w:lineRule="auto"/>
              <w:jc w:val="right"/>
              <w:rPr>
                <w:rFonts w:ascii="Arial" w:eastAsia="Times New Roman" w:hAnsi="Arial" w:cs="Arial"/>
                <w:color w:val="000000"/>
                <w:sz w:val="18"/>
                <w:szCs w:val="18"/>
                <w:lang w:eastAsia="sl-SI"/>
              </w:rPr>
            </w:pPr>
            <w:r w:rsidRPr="004A6FB4">
              <w:rPr>
                <w:rFonts w:ascii="Arial" w:eastAsia="Times New Roman" w:hAnsi="Arial" w:cs="Arial"/>
                <w:color w:val="000000"/>
                <w:sz w:val="18"/>
                <w:szCs w:val="18"/>
                <w:lang w:eastAsia="sl-SI"/>
              </w:rPr>
              <w:t>107,6</w:t>
            </w:r>
          </w:p>
        </w:tc>
        <w:tc>
          <w:tcPr>
            <w:tcW w:w="1070" w:type="dxa"/>
            <w:tcBorders>
              <w:top w:val="nil"/>
              <w:left w:val="nil"/>
              <w:bottom w:val="single" w:sz="4" w:space="0" w:color="auto"/>
              <w:right w:val="single" w:sz="4" w:space="0" w:color="auto"/>
            </w:tcBorders>
            <w:shd w:val="clear" w:color="auto" w:fill="auto"/>
            <w:vAlign w:val="bottom"/>
            <w:hideMark/>
          </w:tcPr>
          <w:p w14:paraId="00F592B4" w14:textId="77777777" w:rsidR="004B7622" w:rsidRPr="004A6FB4" w:rsidRDefault="004B7622" w:rsidP="00377989">
            <w:pPr>
              <w:spacing w:after="0" w:line="240" w:lineRule="auto"/>
              <w:jc w:val="right"/>
              <w:rPr>
                <w:rFonts w:ascii="Arial" w:eastAsia="Times New Roman" w:hAnsi="Arial" w:cs="Arial"/>
                <w:sz w:val="18"/>
                <w:szCs w:val="18"/>
                <w:lang w:eastAsia="sl-SI"/>
              </w:rPr>
            </w:pPr>
            <w:r w:rsidRPr="004A6FB4">
              <w:rPr>
                <w:rFonts w:ascii="Arial" w:eastAsia="Times New Roman" w:hAnsi="Arial" w:cs="Arial"/>
                <w:sz w:val="18"/>
                <w:szCs w:val="18"/>
                <w:lang w:eastAsia="sl-SI"/>
              </w:rPr>
              <w:t>78,5</w:t>
            </w:r>
          </w:p>
        </w:tc>
        <w:tc>
          <w:tcPr>
            <w:tcW w:w="1109" w:type="dxa"/>
            <w:tcBorders>
              <w:top w:val="nil"/>
              <w:left w:val="nil"/>
              <w:bottom w:val="single" w:sz="4" w:space="0" w:color="auto"/>
              <w:right w:val="single" w:sz="4" w:space="0" w:color="auto"/>
            </w:tcBorders>
            <w:shd w:val="clear" w:color="auto" w:fill="auto"/>
            <w:vAlign w:val="bottom"/>
            <w:hideMark/>
          </w:tcPr>
          <w:p w14:paraId="6809B7C3" w14:textId="77777777" w:rsidR="004B7622" w:rsidRPr="004A6FB4" w:rsidRDefault="004B7622" w:rsidP="00377989">
            <w:pPr>
              <w:spacing w:after="0" w:line="240" w:lineRule="auto"/>
              <w:jc w:val="right"/>
              <w:rPr>
                <w:rFonts w:ascii="Arial" w:eastAsia="Times New Roman" w:hAnsi="Arial" w:cs="Arial"/>
                <w:color w:val="000000"/>
                <w:sz w:val="18"/>
                <w:szCs w:val="18"/>
                <w:lang w:eastAsia="sl-SI"/>
              </w:rPr>
            </w:pPr>
            <w:r w:rsidRPr="004A6FB4">
              <w:rPr>
                <w:rFonts w:ascii="Arial" w:eastAsia="Times New Roman" w:hAnsi="Arial" w:cs="Arial"/>
                <w:color w:val="000000"/>
                <w:sz w:val="18"/>
                <w:szCs w:val="18"/>
                <w:lang w:eastAsia="sl-SI"/>
              </w:rPr>
              <w:t>73,0</w:t>
            </w:r>
          </w:p>
        </w:tc>
        <w:tc>
          <w:tcPr>
            <w:tcW w:w="865" w:type="dxa"/>
            <w:tcBorders>
              <w:top w:val="nil"/>
              <w:left w:val="nil"/>
              <w:bottom w:val="single" w:sz="4" w:space="0" w:color="auto"/>
              <w:right w:val="single" w:sz="4" w:space="0" w:color="auto"/>
            </w:tcBorders>
            <w:shd w:val="clear" w:color="auto" w:fill="auto"/>
            <w:noWrap/>
            <w:vAlign w:val="bottom"/>
            <w:hideMark/>
          </w:tcPr>
          <w:p w14:paraId="57DBB2C5" w14:textId="77777777" w:rsidR="004B7622" w:rsidRPr="004A6FB4" w:rsidRDefault="004B7622" w:rsidP="00377989">
            <w:pPr>
              <w:spacing w:after="0" w:line="240" w:lineRule="auto"/>
              <w:jc w:val="right"/>
              <w:rPr>
                <w:rFonts w:ascii="Arial" w:eastAsia="Times New Roman" w:hAnsi="Arial" w:cs="Arial"/>
                <w:color w:val="000000"/>
                <w:sz w:val="18"/>
                <w:szCs w:val="18"/>
                <w:lang w:eastAsia="sl-SI"/>
              </w:rPr>
            </w:pPr>
            <w:r w:rsidRPr="004A6FB4">
              <w:rPr>
                <w:rFonts w:ascii="Arial" w:eastAsia="Times New Roman" w:hAnsi="Arial" w:cs="Arial"/>
                <w:color w:val="000000"/>
                <w:sz w:val="18"/>
                <w:szCs w:val="18"/>
                <w:lang w:eastAsia="sl-SI"/>
              </w:rPr>
              <w:t>0,8</w:t>
            </w:r>
          </w:p>
        </w:tc>
      </w:tr>
      <w:tr w:rsidR="004B7622" w:rsidRPr="004A6FB4" w14:paraId="0922DFFC" w14:textId="77777777" w:rsidTr="00377989">
        <w:trPr>
          <w:trHeight w:val="366"/>
        </w:trPr>
        <w:tc>
          <w:tcPr>
            <w:tcW w:w="1796" w:type="dxa"/>
            <w:tcBorders>
              <w:top w:val="nil"/>
              <w:left w:val="single" w:sz="4" w:space="0" w:color="auto"/>
              <w:bottom w:val="single" w:sz="4" w:space="0" w:color="auto"/>
              <w:right w:val="single" w:sz="4" w:space="0" w:color="auto"/>
            </w:tcBorders>
            <w:shd w:val="clear" w:color="auto" w:fill="auto"/>
            <w:vAlign w:val="bottom"/>
            <w:hideMark/>
          </w:tcPr>
          <w:p w14:paraId="3F80CC95" w14:textId="77777777" w:rsidR="004B7622" w:rsidRPr="004A6FB4" w:rsidRDefault="004B7622" w:rsidP="00377989">
            <w:pPr>
              <w:spacing w:after="0" w:line="240" w:lineRule="auto"/>
              <w:rPr>
                <w:rFonts w:ascii="Arial" w:eastAsia="Times New Roman" w:hAnsi="Arial" w:cs="Arial"/>
                <w:sz w:val="18"/>
                <w:szCs w:val="18"/>
                <w:lang w:eastAsia="sl-SI"/>
              </w:rPr>
            </w:pPr>
            <w:r w:rsidRPr="004A6FB4">
              <w:rPr>
                <w:rFonts w:ascii="Arial" w:eastAsia="Times New Roman" w:hAnsi="Arial" w:cs="Arial"/>
                <w:sz w:val="18"/>
                <w:szCs w:val="18"/>
                <w:lang w:eastAsia="sl-SI"/>
              </w:rPr>
              <w:t>Fizična oseba odseljena neznano kam</w:t>
            </w:r>
          </w:p>
        </w:tc>
        <w:tc>
          <w:tcPr>
            <w:tcW w:w="1120" w:type="dxa"/>
            <w:tcBorders>
              <w:top w:val="nil"/>
              <w:left w:val="nil"/>
              <w:bottom w:val="single" w:sz="4" w:space="0" w:color="auto"/>
              <w:right w:val="single" w:sz="4" w:space="0" w:color="auto"/>
            </w:tcBorders>
            <w:shd w:val="clear" w:color="auto" w:fill="auto"/>
            <w:vAlign w:val="bottom"/>
            <w:hideMark/>
          </w:tcPr>
          <w:p w14:paraId="4B354DA4" w14:textId="77777777" w:rsidR="004B7622" w:rsidRPr="004A6FB4" w:rsidRDefault="004B7622" w:rsidP="00377989">
            <w:pPr>
              <w:spacing w:after="0" w:line="240" w:lineRule="auto"/>
              <w:jc w:val="right"/>
              <w:rPr>
                <w:rFonts w:ascii="Arial" w:eastAsia="Times New Roman" w:hAnsi="Arial" w:cs="Arial"/>
                <w:sz w:val="18"/>
                <w:szCs w:val="18"/>
                <w:lang w:eastAsia="sl-SI"/>
              </w:rPr>
            </w:pPr>
            <w:r w:rsidRPr="004A6FB4">
              <w:rPr>
                <w:rFonts w:ascii="Arial" w:eastAsia="Times New Roman" w:hAnsi="Arial" w:cs="Arial"/>
                <w:sz w:val="18"/>
                <w:szCs w:val="18"/>
                <w:lang w:eastAsia="sl-SI"/>
              </w:rPr>
              <w:t>6.477.700</w:t>
            </w:r>
          </w:p>
        </w:tc>
        <w:tc>
          <w:tcPr>
            <w:tcW w:w="1123" w:type="dxa"/>
            <w:tcBorders>
              <w:top w:val="nil"/>
              <w:left w:val="nil"/>
              <w:bottom w:val="single" w:sz="4" w:space="0" w:color="auto"/>
              <w:right w:val="single" w:sz="4" w:space="0" w:color="auto"/>
            </w:tcBorders>
            <w:shd w:val="clear" w:color="auto" w:fill="auto"/>
            <w:noWrap/>
            <w:vAlign w:val="bottom"/>
            <w:hideMark/>
          </w:tcPr>
          <w:p w14:paraId="56F05A6D" w14:textId="77777777" w:rsidR="004B7622" w:rsidRPr="004A6FB4" w:rsidRDefault="004B7622" w:rsidP="00377989">
            <w:pPr>
              <w:spacing w:after="0" w:line="240" w:lineRule="auto"/>
              <w:jc w:val="right"/>
              <w:rPr>
                <w:rFonts w:ascii="Arial" w:eastAsia="Times New Roman" w:hAnsi="Arial" w:cs="Arial"/>
                <w:color w:val="000000"/>
                <w:sz w:val="18"/>
                <w:szCs w:val="18"/>
                <w:lang w:eastAsia="sl-SI"/>
              </w:rPr>
            </w:pPr>
            <w:r w:rsidRPr="004A6FB4">
              <w:rPr>
                <w:rFonts w:ascii="Arial" w:eastAsia="Times New Roman" w:hAnsi="Arial" w:cs="Arial"/>
                <w:color w:val="000000"/>
                <w:sz w:val="18"/>
                <w:szCs w:val="18"/>
                <w:lang w:eastAsia="sl-SI"/>
              </w:rPr>
              <w:t>10.838.175</w:t>
            </w:r>
          </w:p>
        </w:tc>
        <w:tc>
          <w:tcPr>
            <w:tcW w:w="1123" w:type="dxa"/>
            <w:tcBorders>
              <w:top w:val="nil"/>
              <w:left w:val="nil"/>
              <w:bottom w:val="single" w:sz="4" w:space="0" w:color="auto"/>
              <w:right w:val="single" w:sz="4" w:space="0" w:color="auto"/>
            </w:tcBorders>
            <w:shd w:val="clear" w:color="auto" w:fill="auto"/>
            <w:noWrap/>
            <w:vAlign w:val="bottom"/>
            <w:hideMark/>
          </w:tcPr>
          <w:p w14:paraId="5DC9FD3C" w14:textId="77777777" w:rsidR="004B7622" w:rsidRPr="004A6FB4" w:rsidRDefault="004B7622" w:rsidP="00377989">
            <w:pPr>
              <w:spacing w:after="0" w:line="240" w:lineRule="auto"/>
              <w:jc w:val="right"/>
              <w:rPr>
                <w:rFonts w:ascii="Arial" w:eastAsia="Times New Roman" w:hAnsi="Arial" w:cs="Arial"/>
                <w:color w:val="000000"/>
                <w:sz w:val="18"/>
                <w:szCs w:val="18"/>
                <w:lang w:eastAsia="sl-SI"/>
              </w:rPr>
            </w:pPr>
            <w:r w:rsidRPr="004A6FB4">
              <w:rPr>
                <w:rFonts w:ascii="Arial" w:eastAsia="Times New Roman" w:hAnsi="Arial" w:cs="Arial"/>
                <w:color w:val="000000"/>
                <w:sz w:val="18"/>
                <w:szCs w:val="18"/>
                <w:lang w:eastAsia="sl-SI"/>
              </w:rPr>
              <w:t>10.452.064</w:t>
            </w:r>
          </w:p>
        </w:tc>
        <w:tc>
          <w:tcPr>
            <w:tcW w:w="1070" w:type="dxa"/>
            <w:tcBorders>
              <w:top w:val="nil"/>
              <w:left w:val="nil"/>
              <w:bottom w:val="single" w:sz="4" w:space="0" w:color="auto"/>
              <w:right w:val="single" w:sz="4" w:space="0" w:color="auto"/>
            </w:tcBorders>
            <w:shd w:val="clear" w:color="auto" w:fill="auto"/>
            <w:vAlign w:val="bottom"/>
            <w:hideMark/>
          </w:tcPr>
          <w:p w14:paraId="2904C762" w14:textId="77777777" w:rsidR="004B7622" w:rsidRPr="004A6FB4" w:rsidRDefault="004B7622" w:rsidP="00377989">
            <w:pPr>
              <w:spacing w:after="0" w:line="240" w:lineRule="auto"/>
              <w:jc w:val="right"/>
              <w:rPr>
                <w:rFonts w:ascii="Arial" w:eastAsia="Times New Roman" w:hAnsi="Arial" w:cs="Arial"/>
                <w:color w:val="000000"/>
                <w:sz w:val="18"/>
                <w:szCs w:val="18"/>
                <w:lang w:eastAsia="sl-SI"/>
              </w:rPr>
            </w:pPr>
            <w:r w:rsidRPr="004A6FB4">
              <w:rPr>
                <w:rFonts w:ascii="Arial" w:eastAsia="Times New Roman" w:hAnsi="Arial" w:cs="Arial"/>
                <w:color w:val="000000"/>
                <w:sz w:val="18"/>
                <w:szCs w:val="18"/>
                <w:lang w:eastAsia="sl-SI"/>
              </w:rPr>
              <w:t>167,3</w:t>
            </w:r>
          </w:p>
        </w:tc>
        <w:tc>
          <w:tcPr>
            <w:tcW w:w="1070" w:type="dxa"/>
            <w:tcBorders>
              <w:top w:val="nil"/>
              <w:left w:val="nil"/>
              <w:bottom w:val="single" w:sz="4" w:space="0" w:color="auto"/>
              <w:right w:val="single" w:sz="4" w:space="0" w:color="auto"/>
            </w:tcBorders>
            <w:shd w:val="clear" w:color="auto" w:fill="auto"/>
            <w:vAlign w:val="bottom"/>
            <w:hideMark/>
          </w:tcPr>
          <w:p w14:paraId="3761B340" w14:textId="77777777" w:rsidR="004B7622" w:rsidRPr="004A6FB4" w:rsidRDefault="004B7622" w:rsidP="00377989">
            <w:pPr>
              <w:spacing w:after="0" w:line="240" w:lineRule="auto"/>
              <w:jc w:val="right"/>
              <w:rPr>
                <w:rFonts w:ascii="Arial" w:eastAsia="Times New Roman" w:hAnsi="Arial" w:cs="Arial"/>
                <w:sz w:val="18"/>
                <w:szCs w:val="18"/>
                <w:lang w:eastAsia="sl-SI"/>
              </w:rPr>
            </w:pPr>
            <w:r w:rsidRPr="004A6FB4">
              <w:rPr>
                <w:rFonts w:ascii="Arial" w:eastAsia="Times New Roman" w:hAnsi="Arial" w:cs="Arial"/>
                <w:sz w:val="18"/>
                <w:szCs w:val="18"/>
                <w:lang w:eastAsia="sl-SI"/>
              </w:rPr>
              <w:t>161,4</w:t>
            </w:r>
          </w:p>
        </w:tc>
        <w:tc>
          <w:tcPr>
            <w:tcW w:w="1109" w:type="dxa"/>
            <w:tcBorders>
              <w:top w:val="nil"/>
              <w:left w:val="nil"/>
              <w:bottom w:val="single" w:sz="4" w:space="0" w:color="auto"/>
              <w:right w:val="single" w:sz="4" w:space="0" w:color="auto"/>
            </w:tcBorders>
            <w:shd w:val="clear" w:color="auto" w:fill="auto"/>
            <w:vAlign w:val="bottom"/>
            <w:hideMark/>
          </w:tcPr>
          <w:p w14:paraId="3A265E04" w14:textId="77777777" w:rsidR="004B7622" w:rsidRPr="004A6FB4" w:rsidRDefault="004B7622" w:rsidP="00377989">
            <w:pPr>
              <w:spacing w:after="0" w:line="240" w:lineRule="auto"/>
              <w:jc w:val="right"/>
              <w:rPr>
                <w:rFonts w:ascii="Arial" w:eastAsia="Times New Roman" w:hAnsi="Arial" w:cs="Arial"/>
                <w:color w:val="000000"/>
                <w:sz w:val="18"/>
                <w:szCs w:val="18"/>
                <w:lang w:eastAsia="sl-SI"/>
              </w:rPr>
            </w:pPr>
            <w:r w:rsidRPr="004A6FB4">
              <w:rPr>
                <w:rFonts w:ascii="Arial" w:eastAsia="Times New Roman" w:hAnsi="Arial" w:cs="Arial"/>
                <w:color w:val="000000"/>
                <w:sz w:val="18"/>
                <w:szCs w:val="18"/>
                <w:lang w:eastAsia="sl-SI"/>
              </w:rPr>
              <w:t>96,4</w:t>
            </w:r>
          </w:p>
        </w:tc>
        <w:tc>
          <w:tcPr>
            <w:tcW w:w="865" w:type="dxa"/>
            <w:tcBorders>
              <w:top w:val="nil"/>
              <w:left w:val="nil"/>
              <w:bottom w:val="single" w:sz="4" w:space="0" w:color="auto"/>
              <w:right w:val="single" w:sz="4" w:space="0" w:color="auto"/>
            </w:tcBorders>
            <w:shd w:val="clear" w:color="auto" w:fill="auto"/>
            <w:noWrap/>
            <w:vAlign w:val="bottom"/>
            <w:hideMark/>
          </w:tcPr>
          <w:p w14:paraId="6CF18908" w14:textId="77777777" w:rsidR="004B7622" w:rsidRPr="004A6FB4" w:rsidRDefault="004B7622" w:rsidP="00377989">
            <w:pPr>
              <w:spacing w:after="0" w:line="240" w:lineRule="auto"/>
              <w:jc w:val="right"/>
              <w:rPr>
                <w:rFonts w:ascii="Arial" w:eastAsia="Times New Roman" w:hAnsi="Arial" w:cs="Arial"/>
                <w:color w:val="000000"/>
                <w:sz w:val="18"/>
                <w:szCs w:val="18"/>
                <w:lang w:eastAsia="sl-SI"/>
              </w:rPr>
            </w:pPr>
            <w:r w:rsidRPr="004A6FB4">
              <w:rPr>
                <w:rFonts w:ascii="Arial" w:eastAsia="Times New Roman" w:hAnsi="Arial" w:cs="Arial"/>
                <w:color w:val="000000"/>
                <w:sz w:val="18"/>
                <w:szCs w:val="18"/>
                <w:lang w:eastAsia="sl-SI"/>
              </w:rPr>
              <w:t>2,1</w:t>
            </w:r>
          </w:p>
        </w:tc>
      </w:tr>
      <w:tr w:rsidR="004B7622" w:rsidRPr="004A6FB4" w14:paraId="6CDD7DCD" w14:textId="77777777" w:rsidTr="00377989">
        <w:trPr>
          <w:trHeight w:val="320"/>
        </w:trPr>
        <w:tc>
          <w:tcPr>
            <w:tcW w:w="1796" w:type="dxa"/>
            <w:tcBorders>
              <w:top w:val="nil"/>
              <w:left w:val="single" w:sz="4" w:space="0" w:color="auto"/>
              <w:bottom w:val="single" w:sz="4" w:space="0" w:color="auto"/>
              <w:right w:val="single" w:sz="4" w:space="0" w:color="auto"/>
            </w:tcBorders>
            <w:shd w:val="clear" w:color="auto" w:fill="auto"/>
            <w:vAlign w:val="bottom"/>
            <w:hideMark/>
          </w:tcPr>
          <w:p w14:paraId="19F78590" w14:textId="77777777" w:rsidR="004B7622" w:rsidRPr="004A6FB4" w:rsidRDefault="004B7622" w:rsidP="00377989">
            <w:pPr>
              <w:spacing w:after="0" w:line="240" w:lineRule="auto"/>
              <w:rPr>
                <w:rFonts w:ascii="Arial" w:eastAsia="Times New Roman" w:hAnsi="Arial" w:cs="Arial"/>
                <w:sz w:val="18"/>
                <w:szCs w:val="18"/>
                <w:lang w:eastAsia="sl-SI"/>
              </w:rPr>
            </w:pPr>
            <w:r w:rsidRPr="004A6FB4">
              <w:rPr>
                <w:rFonts w:ascii="Arial" w:eastAsia="Times New Roman" w:hAnsi="Arial" w:cs="Arial"/>
                <w:sz w:val="18"/>
                <w:szCs w:val="18"/>
                <w:lang w:eastAsia="sl-SI"/>
              </w:rPr>
              <w:t>Dolžnik umrl</w:t>
            </w:r>
          </w:p>
        </w:tc>
        <w:tc>
          <w:tcPr>
            <w:tcW w:w="1120" w:type="dxa"/>
            <w:tcBorders>
              <w:top w:val="nil"/>
              <w:left w:val="nil"/>
              <w:bottom w:val="single" w:sz="4" w:space="0" w:color="auto"/>
              <w:right w:val="single" w:sz="4" w:space="0" w:color="auto"/>
            </w:tcBorders>
            <w:shd w:val="clear" w:color="auto" w:fill="auto"/>
            <w:vAlign w:val="bottom"/>
            <w:hideMark/>
          </w:tcPr>
          <w:p w14:paraId="47CBB5EF" w14:textId="77777777" w:rsidR="004B7622" w:rsidRPr="004A6FB4" w:rsidRDefault="004B7622" w:rsidP="00377989">
            <w:pPr>
              <w:spacing w:after="0" w:line="240" w:lineRule="auto"/>
              <w:jc w:val="right"/>
              <w:rPr>
                <w:rFonts w:ascii="Arial" w:eastAsia="Times New Roman" w:hAnsi="Arial" w:cs="Arial"/>
                <w:sz w:val="18"/>
                <w:szCs w:val="18"/>
                <w:lang w:eastAsia="sl-SI"/>
              </w:rPr>
            </w:pPr>
            <w:r w:rsidRPr="004A6FB4">
              <w:rPr>
                <w:rFonts w:ascii="Arial" w:eastAsia="Times New Roman" w:hAnsi="Arial" w:cs="Arial"/>
                <w:sz w:val="18"/>
                <w:szCs w:val="18"/>
                <w:lang w:eastAsia="sl-SI"/>
              </w:rPr>
              <w:t>3.433.949</w:t>
            </w:r>
          </w:p>
        </w:tc>
        <w:tc>
          <w:tcPr>
            <w:tcW w:w="1123" w:type="dxa"/>
            <w:tcBorders>
              <w:top w:val="nil"/>
              <w:left w:val="nil"/>
              <w:bottom w:val="single" w:sz="4" w:space="0" w:color="auto"/>
              <w:right w:val="single" w:sz="4" w:space="0" w:color="auto"/>
            </w:tcBorders>
            <w:shd w:val="clear" w:color="auto" w:fill="auto"/>
            <w:noWrap/>
            <w:vAlign w:val="bottom"/>
            <w:hideMark/>
          </w:tcPr>
          <w:p w14:paraId="6D0F7CBF" w14:textId="77777777" w:rsidR="004B7622" w:rsidRPr="004A6FB4" w:rsidRDefault="004B7622" w:rsidP="00377989">
            <w:pPr>
              <w:spacing w:after="0" w:line="240" w:lineRule="auto"/>
              <w:jc w:val="right"/>
              <w:rPr>
                <w:rFonts w:ascii="Arial" w:eastAsia="Times New Roman" w:hAnsi="Arial" w:cs="Arial"/>
                <w:color w:val="000000"/>
                <w:sz w:val="18"/>
                <w:szCs w:val="18"/>
                <w:lang w:eastAsia="sl-SI"/>
              </w:rPr>
            </w:pPr>
            <w:r w:rsidRPr="004A6FB4">
              <w:rPr>
                <w:rFonts w:ascii="Arial" w:eastAsia="Times New Roman" w:hAnsi="Arial" w:cs="Arial"/>
                <w:color w:val="000000"/>
                <w:sz w:val="18"/>
                <w:szCs w:val="18"/>
                <w:lang w:eastAsia="sl-SI"/>
              </w:rPr>
              <w:t>7.083.108</w:t>
            </w:r>
          </w:p>
        </w:tc>
        <w:tc>
          <w:tcPr>
            <w:tcW w:w="1123" w:type="dxa"/>
            <w:tcBorders>
              <w:top w:val="nil"/>
              <w:left w:val="nil"/>
              <w:bottom w:val="single" w:sz="4" w:space="0" w:color="auto"/>
              <w:right w:val="single" w:sz="4" w:space="0" w:color="auto"/>
            </w:tcBorders>
            <w:shd w:val="clear" w:color="auto" w:fill="auto"/>
            <w:noWrap/>
            <w:vAlign w:val="bottom"/>
            <w:hideMark/>
          </w:tcPr>
          <w:p w14:paraId="06318CF2" w14:textId="77777777" w:rsidR="004B7622" w:rsidRPr="004A6FB4" w:rsidRDefault="004B7622" w:rsidP="00377989">
            <w:pPr>
              <w:spacing w:after="0" w:line="240" w:lineRule="auto"/>
              <w:jc w:val="right"/>
              <w:rPr>
                <w:rFonts w:ascii="Arial" w:eastAsia="Times New Roman" w:hAnsi="Arial" w:cs="Arial"/>
                <w:color w:val="000000"/>
                <w:sz w:val="18"/>
                <w:szCs w:val="18"/>
                <w:lang w:eastAsia="sl-SI"/>
              </w:rPr>
            </w:pPr>
            <w:r w:rsidRPr="004A6FB4">
              <w:rPr>
                <w:rFonts w:ascii="Arial" w:eastAsia="Times New Roman" w:hAnsi="Arial" w:cs="Arial"/>
                <w:color w:val="000000"/>
                <w:sz w:val="18"/>
                <w:szCs w:val="18"/>
                <w:lang w:eastAsia="sl-SI"/>
              </w:rPr>
              <w:t>8.262.123</w:t>
            </w:r>
          </w:p>
        </w:tc>
        <w:tc>
          <w:tcPr>
            <w:tcW w:w="1070" w:type="dxa"/>
            <w:tcBorders>
              <w:top w:val="nil"/>
              <w:left w:val="nil"/>
              <w:bottom w:val="single" w:sz="4" w:space="0" w:color="auto"/>
              <w:right w:val="single" w:sz="4" w:space="0" w:color="auto"/>
            </w:tcBorders>
            <w:shd w:val="clear" w:color="auto" w:fill="auto"/>
            <w:vAlign w:val="bottom"/>
            <w:hideMark/>
          </w:tcPr>
          <w:p w14:paraId="35F8E693" w14:textId="77777777" w:rsidR="004B7622" w:rsidRPr="004A6FB4" w:rsidRDefault="004B7622" w:rsidP="00377989">
            <w:pPr>
              <w:spacing w:after="0" w:line="240" w:lineRule="auto"/>
              <w:jc w:val="right"/>
              <w:rPr>
                <w:rFonts w:ascii="Arial" w:eastAsia="Times New Roman" w:hAnsi="Arial" w:cs="Arial"/>
                <w:color w:val="000000"/>
                <w:sz w:val="18"/>
                <w:szCs w:val="18"/>
                <w:lang w:eastAsia="sl-SI"/>
              </w:rPr>
            </w:pPr>
            <w:r w:rsidRPr="004A6FB4">
              <w:rPr>
                <w:rFonts w:ascii="Arial" w:eastAsia="Times New Roman" w:hAnsi="Arial" w:cs="Arial"/>
                <w:color w:val="000000"/>
                <w:sz w:val="18"/>
                <w:szCs w:val="18"/>
                <w:lang w:eastAsia="sl-SI"/>
              </w:rPr>
              <w:t>206,3</w:t>
            </w:r>
          </w:p>
        </w:tc>
        <w:tc>
          <w:tcPr>
            <w:tcW w:w="1070" w:type="dxa"/>
            <w:tcBorders>
              <w:top w:val="nil"/>
              <w:left w:val="nil"/>
              <w:bottom w:val="single" w:sz="4" w:space="0" w:color="auto"/>
              <w:right w:val="single" w:sz="4" w:space="0" w:color="auto"/>
            </w:tcBorders>
            <w:shd w:val="clear" w:color="auto" w:fill="auto"/>
            <w:vAlign w:val="bottom"/>
            <w:hideMark/>
          </w:tcPr>
          <w:p w14:paraId="28B253E5" w14:textId="77777777" w:rsidR="004B7622" w:rsidRPr="004A6FB4" w:rsidRDefault="004B7622" w:rsidP="00377989">
            <w:pPr>
              <w:spacing w:after="0" w:line="240" w:lineRule="auto"/>
              <w:jc w:val="right"/>
              <w:rPr>
                <w:rFonts w:ascii="Arial" w:eastAsia="Times New Roman" w:hAnsi="Arial" w:cs="Arial"/>
                <w:sz w:val="18"/>
                <w:szCs w:val="18"/>
                <w:lang w:eastAsia="sl-SI"/>
              </w:rPr>
            </w:pPr>
            <w:r w:rsidRPr="004A6FB4">
              <w:rPr>
                <w:rFonts w:ascii="Arial" w:eastAsia="Times New Roman" w:hAnsi="Arial" w:cs="Arial"/>
                <w:sz w:val="18"/>
                <w:szCs w:val="18"/>
                <w:lang w:eastAsia="sl-SI"/>
              </w:rPr>
              <w:t>240,6</w:t>
            </w:r>
          </w:p>
        </w:tc>
        <w:tc>
          <w:tcPr>
            <w:tcW w:w="1109" w:type="dxa"/>
            <w:tcBorders>
              <w:top w:val="nil"/>
              <w:left w:val="nil"/>
              <w:bottom w:val="single" w:sz="4" w:space="0" w:color="auto"/>
              <w:right w:val="single" w:sz="4" w:space="0" w:color="auto"/>
            </w:tcBorders>
            <w:shd w:val="clear" w:color="auto" w:fill="auto"/>
            <w:vAlign w:val="bottom"/>
            <w:hideMark/>
          </w:tcPr>
          <w:p w14:paraId="5C493E66" w14:textId="77777777" w:rsidR="004B7622" w:rsidRPr="004A6FB4" w:rsidRDefault="004B7622" w:rsidP="00377989">
            <w:pPr>
              <w:spacing w:after="0" w:line="240" w:lineRule="auto"/>
              <w:jc w:val="right"/>
              <w:rPr>
                <w:rFonts w:ascii="Arial" w:eastAsia="Times New Roman" w:hAnsi="Arial" w:cs="Arial"/>
                <w:color w:val="000000"/>
                <w:sz w:val="18"/>
                <w:szCs w:val="18"/>
                <w:lang w:eastAsia="sl-SI"/>
              </w:rPr>
            </w:pPr>
            <w:r w:rsidRPr="004A6FB4">
              <w:rPr>
                <w:rFonts w:ascii="Arial" w:eastAsia="Times New Roman" w:hAnsi="Arial" w:cs="Arial"/>
                <w:color w:val="000000"/>
                <w:sz w:val="18"/>
                <w:szCs w:val="18"/>
                <w:lang w:eastAsia="sl-SI"/>
              </w:rPr>
              <w:t>116,6</w:t>
            </w:r>
          </w:p>
        </w:tc>
        <w:tc>
          <w:tcPr>
            <w:tcW w:w="865" w:type="dxa"/>
            <w:tcBorders>
              <w:top w:val="nil"/>
              <w:left w:val="nil"/>
              <w:bottom w:val="single" w:sz="4" w:space="0" w:color="auto"/>
              <w:right w:val="single" w:sz="4" w:space="0" w:color="auto"/>
            </w:tcBorders>
            <w:shd w:val="clear" w:color="auto" w:fill="auto"/>
            <w:noWrap/>
            <w:vAlign w:val="bottom"/>
            <w:hideMark/>
          </w:tcPr>
          <w:p w14:paraId="00EBB077" w14:textId="77777777" w:rsidR="004B7622" w:rsidRPr="004A6FB4" w:rsidRDefault="004B7622" w:rsidP="00377989">
            <w:pPr>
              <w:spacing w:after="0" w:line="240" w:lineRule="auto"/>
              <w:jc w:val="right"/>
              <w:rPr>
                <w:rFonts w:ascii="Arial" w:eastAsia="Times New Roman" w:hAnsi="Arial" w:cs="Arial"/>
                <w:color w:val="000000"/>
                <w:sz w:val="18"/>
                <w:szCs w:val="18"/>
                <w:lang w:eastAsia="sl-SI"/>
              </w:rPr>
            </w:pPr>
            <w:r w:rsidRPr="004A6FB4">
              <w:rPr>
                <w:rFonts w:ascii="Arial" w:eastAsia="Times New Roman" w:hAnsi="Arial" w:cs="Arial"/>
                <w:color w:val="000000"/>
                <w:sz w:val="18"/>
                <w:szCs w:val="18"/>
                <w:lang w:eastAsia="sl-SI"/>
              </w:rPr>
              <w:t>1,7</w:t>
            </w:r>
          </w:p>
        </w:tc>
      </w:tr>
      <w:tr w:rsidR="004B7622" w:rsidRPr="004A6FB4" w14:paraId="0BB78BD7" w14:textId="77777777" w:rsidTr="00377989">
        <w:trPr>
          <w:trHeight w:val="265"/>
        </w:trPr>
        <w:tc>
          <w:tcPr>
            <w:tcW w:w="1796" w:type="dxa"/>
            <w:tcBorders>
              <w:top w:val="nil"/>
              <w:left w:val="single" w:sz="4" w:space="0" w:color="auto"/>
              <w:bottom w:val="single" w:sz="4" w:space="0" w:color="auto"/>
              <w:right w:val="single" w:sz="4" w:space="0" w:color="auto"/>
            </w:tcBorders>
            <w:shd w:val="clear" w:color="auto" w:fill="auto"/>
            <w:vAlign w:val="bottom"/>
            <w:hideMark/>
          </w:tcPr>
          <w:p w14:paraId="083000A3" w14:textId="77777777" w:rsidR="004B7622" w:rsidRPr="004A6FB4" w:rsidRDefault="004B7622" w:rsidP="00377989">
            <w:pPr>
              <w:spacing w:after="0" w:line="240" w:lineRule="auto"/>
              <w:rPr>
                <w:rFonts w:ascii="Arial" w:eastAsia="Times New Roman" w:hAnsi="Arial" w:cs="Arial"/>
                <w:sz w:val="18"/>
                <w:szCs w:val="18"/>
                <w:lang w:eastAsia="sl-SI"/>
              </w:rPr>
            </w:pPr>
            <w:r w:rsidRPr="004A6FB4">
              <w:rPr>
                <w:rFonts w:ascii="Arial" w:eastAsia="Times New Roman" w:hAnsi="Arial" w:cs="Arial"/>
                <w:sz w:val="18"/>
                <w:szCs w:val="18"/>
                <w:lang w:eastAsia="sl-SI"/>
              </w:rPr>
              <w:t>*Ostalo</w:t>
            </w:r>
          </w:p>
        </w:tc>
        <w:tc>
          <w:tcPr>
            <w:tcW w:w="1120" w:type="dxa"/>
            <w:tcBorders>
              <w:top w:val="nil"/>
              <w:left w:val="nil"/>
              <w:bottom w:val="single" w:sz="4" w:space="0" w:color="auto"/>
              <w:right w:val="single" w:sz="4" w:space="0" w:color="auto"/>
            </w:tcBorders>
            <w:shd w:val="clear" w:color="auto" w:fill="auto"/>
            <w:vAlign w:val="bottom"/>
            <w:hideMark/>
          </w:tcPr>
          <w:p w14:paraId="34952018" w14:textId="77777777" w:rsidR="004B7622" w:rsidRPr="004A6FB4" w:rsidRDefault="004B7622" w:rsidP="00377989">
            <w:pPr>
              <w:spacing w:after="0" w:line="240" w:lineRule="auto"/>
              <w:jc w:val="right"/>
              <w:rPr>
                <w:rFonts w:ascii="Arial" w:eastAsia="Times New Roman" w:hAnsi="Arial" w:cs="Arial"/>
                <w:sz w:val="18"/>
                <w:szCs w:val="18"/>
                <w:lang w:eastAsia="sl-SI"/>
              </w:rPr>
            </w:pPr>
            <w:r w:rsidRPr="004A6FB4">
              <w:rPr>
                <w:rFonts w:ascii="Arial" w:eastAsia="Times New Roman" w:hAnsi="Arial" w:cs="Arial"/>
                <w:sz w:val="18"/>
                <w:szCs w:val="18"/>
                <w:lang w:eastAsia="sl-SI"/>
              </w:rPr>
              <w:t>1.047.641</w:t>
            </w:r>
          </w:p>
        </w:tc>
        <w:tc>
          <w:tcPr>
            <w:tcW w:w="1123" w:type="dxa"/>
            <w:tcBorders>
              <w:top w:val="nil"/>
              <w:left w:val="nil"/>
              <w:bottom w:val="single" w:sz="4" w:space="0" w:color="auto"/>
              <w:right w:val="single" w:sz="4" w:space="0" w:color="auto"/>
            </w:tcBorders>
            <w:shd w:val="clear" w:color="auto" w:fill="auto"/>
            <w:noWrap/>
            <w:vAlign w:val="bottom"/>
            <w:hideMark/>
          </w:tcPr>
          <w:p w14:paraId="57FCF902" w14:textId="77777777" w:rsidR="004B7622" w:rsidRPr="004A6FB4" w:rsidRDefault="004B7622" w:rsidP="00377989">
            <w:pPr>
              <w:spacing w:after="0" w:line="240" w:lineRule="auto"/>
              <w:jc w:val="right"/>
              <w:rPr>
                <w:rFonts w:ascii="Arial" w:eastAsia="Times New Roman" w:hAnsi="Arial" w:cs="Arial"/>
                <w:color w:val="000000"/>
                <w:sz w:val="18"/>
                <w:szCs w:val="18"/>
                <w:lang w:eastAsia="sl-SI"/>
              </w:rPr>
            </w:pPr>
            <w:r w:rsidRPr="004A6FB4">
              <w:rPr>
                <w:rFonts w:ascii="Arial" w:eastAsia="Times New Roman" w:hAnsi="Arial" w:cs="Arial"/>
                <w:color w:val="000000"/>
                <w:sz w:val="18"/>
                <w:szCs w:val="18"/>
                <w:lang w:eastAsia="sl-SI"/>
              </w:rPr>
              <w:t>908.025</w:t>
            </w:r>
          </w:p>
        </w:tc>
        <w:tc>
          <w:tcPr>
            <w:tcW w:w="1123" w:type="dxa"/>
            <w:tcBorders>
              <w:top w:val="nil"/>
              <w:left w:val="nil"/>
              <w:bottom w:val="single" w:sz="4" w:space="0" w:color="auto"/>
              <w:right w:val="single" w:sz="4" w:space="0" w:color="auto"/>
            </w:tcBorders>
            <w:shd w:val="clear" w:color="auto" w:fill="auto"/>
            <w:noWrap/>
            <w:vAlign w:val="bottom"/>
            <w:hideMark/>
          </w:tcPr>
          <w:p w14:paraId="1EE995B9" w14:textId="77777777" w:rsidR="004B7622" w:rsidRPr="004A6FB4" w:rsidRDefault="004B7622" w:rsidP="00377989">
            <w:pPr>
              <w:spacing w:after="0" w:line="240" w:lineRule="auto"/>
              <w:jc w:val="right"/>
              <w:rPr>
                <w:rFonts w:ascii="Arial" w:eastAsia="Times New Roman" w:hAnsi="Arial" w:cs="Arial"/>
                <w:sz w:val="18"/>
                <w:szCs w:val="18"/>
                <w:lang w:eastAsia="sl-SI"/>
              </w:rPr>
            </w:pPr>
            <w:r w:rsidRPr="004A6FB4">
              <w:rPr>
                <w:rFonts w:ascii="Arial" w:eastAsia="Times New Roman" w:hAnsi="Arial" w:cs="Arial"/>
                <w:sz w:val="18"/>
                <w:szCs w:val="18"/>
                <w:lang w:eastAsia="sl-SI"/>
              </w:rPr>
              <w:t>613.426</w:t>
            </w:r>
          </w:p>
        </w:tc>
        <w:tc>
          <w:tcPr>
            <w:tcW w:w="1070" w:type="dxa"/>
            <w:tcBorders>
              <w:top w:val="nil"/>
              <w:left w:val="nil"/>
              <w:bottom w:val="single" w:sz="4" w:space="0" w:color="auto"/>
              <w:right w:val="single" w:sz="4" w:space="0" w:color="auto"/>
            </w:tcBorders>
            <w:shd w:val="clear" w:color="auto" w:fill="auto"/>
            <w:vAlign w:val="bottom"/>
            <w:hideMark/>
          </w:tcPr>
          <w:p w14:paraId="0221A570" w14:textId="77777777" w:rsidR="004B7622" w:rsidRPr="004A6FB4" w:rsidRDefault="004B7622" w:rsidP="00377989">
            <w:pPr>
              <w:spacing w:after="0" w:line="240" w:lineRule="auto"/>
              <w:jc w:val="right"/>
              <w:rPr>
                <w:rFonts w:ascii="Arial" w:eastAsia="Times New Roman" w:hAnsi="Arial" w:cs="Arial"/>
                <w:color w:val="000000"/>
                <w:sz w:val="18"/>
                <w:szCs w:val="18"/>
                <w:lang w:eastAsia="sl-SI"/>
              </w:rPr>
            </w:pPr>
            <w:r w:rsidRPr="004A6FB4">
              <w:rPr>
                <w:rFonts w:ascii="Arial" w:eastAsia="Times New Roman" w:hAnsi="Arial" w:cs="Arial"/>
                <w:color w:val="000000"/>
                <w:sz w:val="18"/>
                <w:szCs w:val="18"/>
                <w:lang w:eastAsia="sl-SI"/>
              </w:rPr>
              <w:t>86,7</w:t>
            </w:r>
          </w:p>
        </w:tc>
        <w:tc>
          <w:tcPr>
            <w:tcW w:w="1070" w:type="dxa"/>
            <w:tcBorders>
              <w:top w:val="nil"/>
              <w:left w:val="nil"/>
              <w:bottom w:val="single" w:sz="4" w:space="0" w:color="auto"/>
              <w:right w:val="single" w:sz="4" w:space="0" w:color="auto"/>
            </w:tcBorders>
            <w:shd w:val="clear" w:color="auto" w:fill="auto"/>
            <w:vAlign w:val="bottom"/>
            <w:hideMark/>
          </w:tcPr>
          <w:p w14:paraId="5FD47B40" w14:textId="77777777" w:rsidR="004B7622" w:rsidRPr="004A6FB4" w:rsidRDefault="004B7622" w:rsidP="00377989">
            <w:pPr>
              <w:spacing w:after="0" w:line="240" w:lineRule="auto"/>
              <w:jc w:val="right"/>
              <w:rPr>
                <w:rFonts w:ascii="Arial" w:eastAsia="Times New Roman" w:hAnsi="Arial" w:cs="Arial"/>
                <w:sz w:val="18"/>
                <w:szCs w:val="18"/>
                <w:lang w:eastAsia="sl-SI"/>
              </w:rPr>
            </w:pPr>
            <w:r w:rsidRPr="004A6FB4">
              <w:rPr>
                <w:rFonts w:ascii="Arial" w:eastAsia="Times New Roman" w:hAnsi="Arial" w:cs="Arial"/>
                <w:sz w:val="18"/>
                <w:szCs w:val="18"/>
                <w:lang w:eastAsia="sl-SI"/>
              </w:rPr>
              <w:t>58,6</w:t>
            </w:r>
          </w:p>
        </w:tc>
        <w:tc>
          <w:tcPr>
            <w:tcW w:w="1109" w:type="dxa"/>
            <w:tcBorders>
              <w:top w:val="nil"/>
              <w:left w:val="nil"/>
              <w:bottom w:val="single" w:sz="4" w:space="0" w:color="auto"/>
              <w:right w:val="single" w:sz="4" w:space="0" w:color="auto"/>
            </w:tcBorders>
            <w:shd w:val="clear" w:color="auto" w:fill="auto"/>
            <w:vAlign w:val="bottom"/>
            <w:hideMark/>
          </w:tcPr>
          <w:p w14:paraId="75891D9E" w14:textId="77777777" w:rsidR="004B7622" w:rsidRPr="004A6FB4" w:rsidRDefault="004B7622" w:rsidP="00377989">
            <w:pPr>
              <w:spacing w:after="0" w:line="240" w:lineRule="auto"/>
              <w:jc w:val="right"/>
              <w:rPr>
                <w:rFonts w:ascii="Arial" w:eastAsia="Times New Roman" w:hAnsi="Arial" w:cs="Arial"/>
                <w:color w:val="000000"/>
                <w:sz w:val="18"/>
                <w:szCs w:val="18"/>
                <w:lang w:eastAsia="sl-SI"/>
              </w:rPr>
            </w:pPr>
            <w:r w:rsidRPr="004A6FB4">
              <w:rPr>
                <w:rFonts w:ascii="Arial" w:eastAsia="Times New Roman" w:hAnsi="Arial" w:cs="Arial"/>
                <w:color w:val="000000"/>
                <w:sz w:val="18"/>
                <w:szCs w:val="18"/>
                <w:lang w:eastAsia="sl-SI"/>
              </w:rPr>
              <w:t>67,6</w:t>
            </w:r>
          </w:p>
        </w:tc>
        <w:tc>
          <w:tcPr>
            <w:tcW w:w="865" w:type="dxa"/>
            <w:tcBorders>
              <w:top w:val="nil"/>
              <w:left w:val="nil"/>
              <w:bottom w:val="single" w:sz="4" w:space="0" w:color="auto"/>
              <w:right w:val="single" w:sz="4" w:space="0" w:color="auto"/>
            </w:tcBorders>
            <w:shd w:val="clear" w:color="auto" w:fill="auto"/>
            <w:noWrap/>
            <w:vAlign w:val="bottom"/>
            <w:hideMark/>
          </w:tcPr>
          <w:p w14:paraId="28421F4D" w14:textId="77777777" w:rsidR="004B7622" w:rsidRPr="004A6FB4" w:rsidRDefault="004B7622" w:rsidP="00377989">
            <w:pPr>
              <w:spacing w:after="0" w:line="240" w:lineRule="auto"/>
              <w:jc w:val="right"/>
              <w:rPr>
                <w:rFonts w:ascii="Arial" w:eastAsia="Times New Roman" w:hAnsi="Arial" w:cs="Arial"/>
                <w:color w:val="000000"/>
                <w:sz w:val="18"/>
                <w:szCs w:val="18"/>
                <w:lang w:eastAsia="sl-SI"/>
              </w:rPr>
            </w:pPr>
            <w:r w:rsidRPr="004A6FB4">
              <w:rPr>
                <w:rFonts w:ascii="Arial" w:eastAsia="Times New Roman" w:hAnsi="Arial" w:cs="Arial"/>
                <w:color w:val="000000"/>
                <w:sz w:val="18"/>
                <w:szCs w:val="18"/>
                <w:lang w:eastAsia="sl-SI"/>
              </w:rPr>
              <w:t>0,1</w:t>
            </w:r>
          </w:p>
        </w:tc>
      </w:tr>
      <w:tr w:rsidR="004B7622" w:rsidRPr="004A6FB4" w14:paraId="09F526FC" w14:textId="77777777" w:rsidTr="00377989">
        <w:trPr>
          <w:trHeight w:val="175"/>
        </w:trPr>
        <w:tc>
          <w:tcPr>
            <w:tcW w:w="1796" w:type="dxa"/>
            <w:tcBorders>
              <w:top w:val="nil"/>
              <w:left w:val="single" w:sz="4" w:space="0" w:color="auto"/>
              <w:bottom w:val="single" w:sz="4" w:space="0" w:color="auto"/>
              <w:right w:val="single" w:sz="4" w:space="0" w:color="auto"/>
            </w:tcBorders>
            <w:shd w:val="clear" w:color="auto" w:fill="auto"/>
            <w:vAlign w:val="center"/>
            <w:hideMark/>
          </w:tcPr>
          <w:p w14:paraId="1B7C79CB" w14:textId="77777777" w:rsidR="004B7622" w:rsidRPr="004A6FB4" w:rsidRDefault="004B7622" w:rsidP="00377989">
            <w:pPr>
              <w:spacing w:after="0" w:line="240" w:lineRule="auto"/>
              <w:rPr>
                <w:rFonts w:ascii="Arial" w:eastAsia="Times New Roman" w:hAnsi="Arial" w:cs="Arial"/>
                <w:b/>
                <w:bCs/>
                <w:color w:val="000000"/>
                <w:sz w:val="18"/>
                <w:szCs w:val="18"/>
                <w:lang w:eastAsia="sl-SI"/>
              </w:rPr>
            </w:pPr>
            <w:r w:rsidRPr="004A6FB4">
              <w:rPr>
                <w:rFonts w:ascii="Arial" w:eastAsia="Times New Roman" w:hAnsi="Arial" w:cs="Arial"/>
                <w:b/>
                <w:bCs/>
                <w:color w:val="000000"/>
                <w:sz w:val="18"/>
                <w:szCs w:val="18"/>
                <w:lang w:eastAsia="sl-SI"/>
              </w:rPr>
              <w:t>SKUPAJ</w:t>
            </w:r>
          </w:p>
        </w:tc>
        <w:tc>
          <w:tcPr>
            <w:tcW w:w="1120" w:type="dxa"/>
            <w:tcBorders>
              <w:top w:val="nil"/>
              <w:left w:val="nil"/>
              <w:bottom w:val="single" w:sz="4" w:space="0" w:color="auto"/>
              <w:right w:val="single" w:sz="4" w:space="0" w:color="auto"/>
            </w:tcBorders>
            <w:shd w:val="clear" w:color="auto" w:fill="auto"/>
            <w:vAlign w:val="center"/>
            <w:hideMark/>
          </w:tcPr>
          <w:p w14:paraId="11592D8D" w14:textId="77777777" w:rsidR="004B7622" w:rsidRPr="004A6FB4" w:rsidRDefault="004B7622" w:rsidP="00377989">
            <w:pPr>
              <w:spacing w:after="0" w:line="240" w:lineRule="auto"/>
              <w:jc w:val="right"/>
              <w:rPr>
                <w:rFonts w:ascii="Arial" w:eastAsia="Times New Roman" w:hAnsi="Arial" w:cs="Arial"/>
                <w:b/>
                <w:bCs/>
                <w:color w:val="000000"/>
                <w:sz w:val="18"/>
                <w:szCs w:val="18"/>
                <w:lang w:eastAsia="sl-SI"/>
              </w:rPr>
            </w:pPr>
            <w:r w:rsidRPr="004A6FB4">
              <w:rPr>
                <w:rFonts w:ascii="Arial" w:eastAsia="Times New Roman" w:hAnsi="Arial" w:cs="Arial"/>
                <w:b/>
                <w:bCs/>
                <w:color w:val="000000"/>
                <w:sz w:val="18"/>
                <w:szCs w:val="18"/>
                <w:lang w:eastAsia="sl-SI"/>
              </w:rPr>
              <w:t>543.773.993</w:t>
            </w:r>
          </w:p>
        </w:tc>
        <w:tc>
          <w:tcPr>
            <w:tcW w:w="1123" w:type="dxa"/>
            <w:tcBorders>
              <w:top w:val="nil"/>
              <w:left w:val="nil"/>
              <w:bottom w:val="single" w:sz="4" w:space="0" w:color="auto"/>
              <w:right w:val="single" w:sz="4" w:space="0" w:color="auto"/>
            </w:tcBorders>
            <w:shd w:val="clear" w:color="auto" w:fill="auto"/>
            <w:vAlign w:val="center"/>
            <w:hideMark/>
          </w:tcPr>
          <w:p w14:paraId="253534AB" w14:textId="77777777" w:rsidR="004B7622" w:rsidRPr="004A6FB4" w:rsidRDefault="004B7622" w:rsidP="00377989">
            <w:pPr>
              <w:spacing w:after="0" w:line="240" w:lineRule="auto"/>
              <w:jc w:val="right"/>
              <w:rPr>
                <w:rFonts w:ascii="Arial" w:eastAsia="Times New Roman" w:hAnsi="Arial" w:cs="Arial"/>
                <w:b/>
                <w:bCs/>
                <w:color w:val="000000"/>
                <w:sz w:val="18"/>
                <w:szCs w:val="18"/>
                <w:lang w:eastAsia="sl-SI"/>
              </w:rPr>
            </w:pPr>
            <w:r w:rsidRPr="004A6FB4">
              <w:rPr>
                <w:rFonts w:ascii="Arial" w:eastAsia="Times New Roman" w:hAnsi="Arial" w:cs="Arial"/>
                <w:b/>
                <w:bCs/>
                <w:color w:val="000000"/>
                <w:sz w:val="18"/>
                <w:szCs w:val="18"/>
                <w:lang w:eastAsia="sl-SI"/>
              </w:rPr>
              <w:t>499.407.850</w:t>
            </w:r>
          </w:p>
        </w:tc>
        <w:tc>
          <w:tcPr>
            <w:tcW w:w="1123" w:type="dxa"/>
            <w:tcBorders>
              <w:top w:val="nil"/>
              <w:left w:val="nil"/>
              <w:bottom w:val="single" w:sz="4" w:space="0" w:color="auto"/>
              <w:right w:val="single" w:sz="4" w:space="0" w:color="auto"/>
            </w:tcBorders>
            <w:shd w:val="clear" w:color="auto" w:fill="auto"/>
            <w:vAlign w:val="center"/>
            <w:hideMark/>
          </w:tcPr>
          <w:p w14:paraId="053251AD" w14:textId="77777777" w:rsidR="004B7622" w:rsidRPr="004A6FB4" w:rsidRDefault="004B7622" w:rsidP="00377989">
            <w:pPr>
              <w:spacing w:after="0" w:line="240" w:lineRule="auto"/>
              <w:jc w:val="right"/>
              <w:rPr>
                <w:rFonts w:ascii="Arial" w:eastAsia="Times New Roman" w:hAnsi="Arial" w:cs="Arial"/>
                <w:b/>
                <w:bCs/>
                <w:sz w:val="18"/>
                <w:szCs w:val="18"/>
                <w:lang w:eastAsia="sl-SI"/>
              </w:rPr>
            </w:pPr>
            <w:r w:rsidRPr="004A6FB4">
              <w:rPr>
                <w:rFonts w:ascii="Arial" w:eastAsia="Times New Roman" w:hAnsi="Arial" w:cs="Arial"/>
                <w:b/>
                <w:bCs/>
                <w:sz w:val="18"/>
                <w:szCs w:val="18"/>
                <w:lang w:eastAsia="sl-SI"/>
              </w:rPr>
              <w:t>487.349.805</w:t>
            </w:r>
          </w:p>
        </w:tc>
        <w:tc>
          <w:tcPr>
            <w:tcW w:w="1070" w:type="dxa"/>
            <w:tcBorders>
              <w:top w:val="nil"/>
              <w:left w:val="nil"/>
              <w:bottom w:val="single" w:sz="4" w:space="0" w:color="auto"/>
              <w:right w:val="single" w:sz="4" w:space="0" w:color="auto"/>
            </w:tcBorders>
            <w:shd w:val="clear" w:color="auto" w:fill="auto"/>
            <w:vAlign w:val="bottom"/>
            <w:hideMark/>
          </w:tcPr>
          <w:p w14:paraId="76740D3F" w14:textId="77777777" w:rsidR="004B7622" w:rsidRPr="004A6FB4" w:rsidRDefault="004B7622" w:rsidP="00377989">
            <w:pPr>
              <w:spacing w:after="0" w:line="240" w:lineRule="auto"/>
              <w:jc w:val="right"/>
              <w:rPr>
                <w:rFonts w:ascii="Arial" w:eastAsia="Times New Roman" w:hAnsi="Arial" w:cs="Arial"/>
                <w:color w:val="000000"/>
                <w:sz w:val="18"/>
                <w:szCs w:val="18"/>
                <w:lang w:eastAsia="sl-SI"/>
              </w:rPr>
            </w:pPr>
            <w:r w:rsidRPr="004A6FB4">
              <w:rPr>
                <w:rFonts w:ascii="Arial" w:eastAsia="Times New Roman" w:hAnsi="Arial" w:cs="Arial"/>
                <w:color w:val="000000"/>
                <w:sz w:val="18"/>
                <w:szCs w:val="18"/>
                <w:lang w:eastAsia="sl-SI"/>
              </w:rPr>
              <w:t>91,8</w:t>
            </w:r>
          </w:p>
        </w:tc>
        <w:tc>
          <w:tcPr>
            <w:tcW w:w="1070" w:type="dxa"/>
            <w:tcBorders>
              <w:top w:val="nil"/>
              <w:left w:val="nil"/>
              <w:bottom w:val="single" w:sz="4" w:space="0" w:color="auto"/>
              <w:right w:val="single" w:sz="4" w:space="0" w:color="auto"/>
            </w:tcBorders>
            <w:shd w:val="clear" w:color="auto" w:fill="auto"/>
            <w:vAlign w:val="bottom"/>
            <w:hideMark/>
          </w:tcPr>
          <w:p w14:paraId="5D2D1AF4" w14:textId="77777777" w:rsidR="004B7622" w:rsidRPr="004A6FB4" w:rsidRDefault="004B7622" w:rsidP="00377989">
            <w:pPr>
              <w:spacing w:after="0" w:line="240" w:lineRule="auto"/>
              <w:jc w:val="right"/>
              <w:rPr>
                <w:rFonts w:ascii="Arial" w:eastAsia="Times New Roman" w:hAnsi="Arial" w:cs="Arial"/>
                <w:sz w:val="18"/>
                <w:szCs w:val="18"/>
                <w:lang w:eastAsia="sl-SI"/>
              </w:rPr>
            </w:pPr>
            <w:r w:rsidRPr="004A6FB4">
              <w:rPr>
                <w:rFonts w:ascii="Arial" w:eastAsia="Times New Roman" w:hAnsi="Arial" w:cs="Arial"/>
                <w:sz w:val="18"/>
                <w:szCs w:val="18"/>
                <w:lang w:eastAsia="sl-SI"/>
              </w:rPr>
              <w:t>89,6</w:t>
            </w:r>
          </w:p>
        </w:tc>
        <w:tc>
          <w:tcPr>
            <w:tcW w:w="1109" w:type="dxa"/>
            <w:tcBorders>
              <w:top w:val="nil"/>
              <w:left w:val="nil"/>
              <w:bottom w:val="single" w:sz="4" w:space="0" w:color="auto"/>
              <w:right w:val="single" w:sz="4" w:space="0" w:color="auto"/>
            </w:tcBorders>
            <w:shd w:val="clear" w:color="auto" w:fill="auto"/>
            <w:vAlign w:val="bottom"/>
            <w:hideMark/>
          </w:tcPr>
          <w:p w14:paraId="266FE03A" w14:textId="77777777" w:rsidR="004B7622" w:rsidRPr="004A6FB4" w:rsidRDefault="004B7622" w:rsidP="00377989">
            <w:pPr>
              <w:spacing w:after="0" w:line="240" w:lineRule="auto"/>
              <w:jc w:val="right"/>
              <w:rPr>
                <w:rFonts w:ascii="Arial" w:eastAsia="Times New Roman" w:hAnsi="Arial" w:cs="Arial"/>
                <w:color w:val="000000"/>
                <w:sz w:val="18"/>
                <w:szCs w:val="18"/>
                <w:lang w:eastAsia="sl-SI"/>
              </w:rPr>
            </w:pPr>
            <w:r w:rsidRPr="004A6FB4">
              <w:rPr>
                <w:rFonts w:ascii="Arial" w:eastAsia="Times New Roman" w:hAnsi="Arial" w:cs="Arial"/>
                <w:color w:val="000000"/>
                <w:sz w:val="18"/>
                <w:szCs w:val="18"/>
                <w:lang w:eastAsia="sl-SI"/>
              </w:rPr>
              <w:t>97,6</w:t>
            </w:r>
          </w:p>
        </w:tc>
        <w:tc>
          <w:tcPr>
            <w:tcW w:w="865" w:type="dxa"/>
            <w:tcBorders>
              <w:top w:val="nil"/>
              <w:left w:val="nil"/>
              <w:bottom w:val="single" w:sz="4" w:space="0" w:color="auto"/>
              <w:right w:val="single" w:sz="4" w:space="0" w:color="auto"/>
            </w:tcBorders>
            <w:shd w:val="clear" w:color="auto" w:fill="auto"/>
            <w:noWrap/>
            <w:vAlign w:val="bottom"/>
            <w:hideMark/>
          </w:tcPr>
          <w:p w14:paraId="2CF9E5E4" w14:textId="77777777" w:rsidR="004B7622" w:rsidRPr="004A6FB4" w:rsidRDefault="004B7622" w:rsidP="00377989">
            <w:pPr>
              <w:spacing w:after="0" w:line="240" w:lineRule="auto"/>
              <w:jc w:val="right"/>
              <w:rPr>
                <w:rFonts w:ascii="Arial" w:eastAsia="Times New Roman" w:hAnsi="Arial" w:cs="Arial"/>
                <w:color w:val="000000"/>
                <w:sz w:val="18"/>
                <w:szCs w:val="18"/>
                <w:lang w:eastAsia="sl-SI"/>
              </w:rPr>
            </w:pPr>
            <w:r w:rsidRPr="004A6FB4">
              <w:rPr>
                <w:rFonts w:ascii="Arial" w:eastAsia="Times New Roman" w:hAnsi="Arial" w:cs="Arial"/>
                <w:color w:val="000000"/>
                <w:sz w:val="18"/>
                <w:szCs w:val="18"/>
                <w:lang w:eastAsia="sl-SI"/>
              </w:rPr>
              <w:t>100</w:t>
            </w:r>
          </w:p>
        </w:tc>
      </w:tr>
    </w:tbl>
    <w:p w14:paraId="1CE54C25" w14:textId="77777777" w:rsidR="004B7622" w:rsidRDefault="004B7622" w:rsidP="004B7622">
      <w:pPr>
        <w:spacing w:after="0"/>
        <w:rPr>
          <w:rFonts w:ascii="Arial" w:hAnsi="Arial" w:cs="Arial"/>
          <w:bCs/>
          <w:color w:val="000000"/>
          <w:sz w:val="16"/>
          <w:szCs w:val="16"/>
        </w:rPr>
      </w:pPr>
      <w:r w:rsidRPr="007106F8">
        <w:rPr>
          <w:rFonts w:ascii="Arial" w:hAnsi="Arial" w:cs="Arial"/>
          <w:i/>
          <w:sz w:val="16"/>
          <w:szCs w:val="16"/>
        </w:rPr>
        <w:t>*</w:t>
      </w:r>
      <w:r w:rsidRPr="007106F8">
        <w:rPr>
          <w:rFonts w:ascii="Arial" w:hAnsi="Arial" w:cs="Arial"/>
          <w:bCs/>
          <w:color w:val="000000"/>
          <w:sz w:val="16"/>
          <w:szCs w:val="16"/>
        </w:rPr>
        <w:t xml:space="preserve"> OSTALO: prisilna likvidacija,</w:t>
      </w:r>
      <w:r>
        <w:rPr>
          <w:rFonts w:ascii="Arial" w:hAnsi="Arial" w:cs="Arial"/>
          <w:bCs/>
          <w:color w:val="000000"/>
          <w:sz w:val="16"/>
          <w:szCs w:val="16"/>
        </w:rPr>
        <w:t xml:space="preserve"> </w:t>
      </w:r>
      <w:r w:rsidRPr="007106F8">
        <w:rPr>
          <w:rFonts w:ascii="Arial" w:hAnsi="Arial" w:cs="Arial"/>
          <w:bCs/>
          <w:color w:val="000000"/>
          <w:sz w:val="16"/>
          <w:szCs w:val="16"/>
        </w:rPr>
        <w:t>izbris brez likvidacije</w:t>
      </w:r>
      <w:r>
        <w:rPr>
          <w:rFonts w:ascii="Arial" w:hAnsi="Arial" w:cs="Arial"/>
          <w:bCs/>
          <w:color w:val="000000"/>
          <w:sz w:val="16"/>
          <w:szCs w:val="16"/>
        </w:rPr>
        <w:t xml:space="preserve"> ipd.</w:t>
      </w:r>
    </w:p>
    <w:p w14:paraId="23A6DC91" w14:textId="77777777" w:rsidR="004B7622" w:rsidRDefault="004B7622" w:rsidP="004B7622">
      <w:pPr>
        <w:spacing w:after="0"/>
        <w:rPr>
          <w:rFonts w:ascii="Arial" w:hAnsi="Arial" w:cs="Arial"/>
          <w:i/>
          <w:color w:val="000000"/>
          <w:sz w:val="20"/>
          <w:szCs w:val="20"/>
        </w:rPr>
      </w:pPr>
      <w:r w:rsidRPr="00B518BD">
        <w:rPr>
          <w:rFonts w:ascii="Arial" w:hAnsi="Arial" w:cs="Arial"/>
          <w:i/>
          <w:color w:val="000000"/>
          <w:sz w:val="20"/>
          <w:szCs w:val="20"/>
        </w:rPr>
        <w:t>Vir: FURS</w:t>
      </w:r>
    </w:p>
    <w:p w14:paraId="53687832" w14:textId="77777777" w:rsidR="004B7622" w:rsidRDefault="004B7622" w:rsidP="004B7622">
      <w:pPr>
        <w:pStyle w:val="Naslov3"/>
        <w:rPr>
          <w:rFonts w:ascii="Arial" w:hAnsi="Arial" w:cs="Arial"/>
          <w:sz w:val="20"/>
          <w:szCs w:val="20"/>
        </w:rPr>
      </w:pPr>
      <w:r w:rsidRPr="00D22BBA">
        <w:rPr>
          <w:rFonts w:ascii="Arial" w:hAnsi="Arial" w:cs="Arial"/>
          <w:sz w:val="20"/>
          <w:szCs w:val="20"/>
        </w:rPr>
        <w:t>4.2 Gibanje davčnega dolga</w:t>
      </w:r>
      <w:r w:rsidRPr="0072462B">
        <w:rPr>
          <w:rFonts w:ascii="Arial" w:hAnsi="Arial" w:cs="Arial"/>
          <w:sz w:val="20"/>
          <w:szCs w:val="20"/>
        </w:rPr>
        <w:t xml:space="preserve"> </w:t>
      </w:r>
    </w:p>
    <w:p w14:paraId="69D807FA" w14:textId="77777777" w:rsidR="004B7622" w:rsidRPr="00E26F75" w:rsidRDefault="004B7622" w:rsidP="004B7622">
      <w:pPr>
        <w:pStyle w:val="Brezrazmikov"/>
      </w:pPr>
    </w:p>
    <w:p w14:paraId="1FB6FEA7" w14:textId="77777777" w:rsidR="004B7622" w:rsidRPr="00D22BBA" w:rsidRDefault="004B7622" w:rsidP="004B7622">
      <w:pPr>
        <w:jc w:val="both"/>
        <w:rPr>
          <w:rFonts w:ascii="Arial" w:hAnsi="Arial" w:cs="Arial"/>
          <w:sz w:val="20"/>
          <w:szCs w:val="20"/>
        </w:rPr>
      </w:pPr>
      <w:r w:rsidRPr="00CA1C9F">
        <w:rPr>
          <w:rFonts w:ascii="Arial" w:hAnsi="Arial" w:cs="Arial"/>
          <w:sz w:val="20"/>
          <w:szCs w:val="20"/>
        </w:rPr>
        <w:t>V letu 202</w:t>
      </w:r>
      <w:r>
        <w:rPr>
          <w:rFonts w:ascii="Arial" w:hAnsi="Arial" w:cs="Arial"/>
          <w:sz w:val="20"/>
          <w:szCs w:val="20"/>
        </w:rPr>
        <w:t>1</w:t>
      </w:r>
      <w:r w:rsidRPr="00CA1C9F">
        <w:rPr>
          <w:rFonts w:ascii="Arial" w:hAnsi="Arial" w:cs="Arial"/>
          <w:sz w:val="20"/>
          <w:szCs w:val="20"/>
        </w:rPr>
        <w:t xml:space="preserve"> se je davčni dolg znižal za </w:t>
      </w:r>
      <w:r w:rsidRPr="004E59A0">
        <w:rPr>
          <w:rFonts w:ascii="Arial" w:hAnsi="Arial" w:cs="Arial"/>
          <w:sz w:val="20"/>
          <w:szCs w:val="20"/>
        </w:rPr>
        <w:t>79.581.419</w:t>
      </w:r>
      <w:r w:rsidRPr="00CA1C9F">
        <w:rPr>
          <w:rFonts w:ascii="Arial" w:hAnsi="Arial" w:cs="Arial"/>
          <w:sz w:val="20"/>
          <w:szCs w:val="20"/>
        </w:rPr>
        <w:t xml:space="preserve"> EUR oziroma </w:t>
      </w:r>
      <w:r>
        <w:rPr>
          <w:rFonts w:ascii="Arial" w:hAnsi="Arial" w:cs="Arial"/>
          <w:sz w:val="20"/>
          <w:szCs w:val="20"/>
        </w:rPr>
        <w:t>8</w:t>
      </w:r>
      <w:r w:rsidRPr="00CA1C9F">
        <w:rPr>
          <w:rFonts w:ascii="Arial" w:hAnsi="Arial" w:cs="Arial"/>
          <w:sz w:val="20"/>
          <w:szCs w:val="20"/>
        </w:rPr>
        <w:t xml:space="preserve"> odstotka, v primerjavi z letom 201</w:t>
      </w:r>
      <w:r>
        <w:rPr>
          <w:rFonts w:ascii="Arial" w:hAnsi="Arial" w:cs="Arial"/>
          <w:sz w:val="20"/>
          <w:szCs w:val="20"/>
        </w:rPr>
        <w:t>9</w:t>
      </w:r>
      <w:r w:rsidRPr="00CA1C9F">
        <w:rPr>
          <w:rFonts w:ascii="Arial" w:hAnsi="Arial" w:cs="Arial"/>
          <w:sz w:val="20"/>
          <w:szCs w:val="20"/>
        </w:rPr>
        <w:t xml:space="preserve"> pa za </w:t>
      </w:r>
      <w:r w:rsidRPr="004E59A0">
        <w:rPr>
          <w:rFonts w:ascii="Arial" w:hAnsi="Arial" w:cs="Arial"/>
          <w:sz w:val="20"/>
          <w:szCs w:val="20"/>
        </w:rPr>
        <w:t>261.852.759</w:t>
      </w:r>
      <w:r w:rsidRPr="00CA1C9F">
        <w:rPr>
          <w:rFonts w:ascii="Arial" w:hAnsi="Arial" w:cs="Arial"/>
          <w:sz w:val="20"/>
          <w:szCs w:val="20"/>
        </w:rPr>
        <w:t xml:space="preserve"> EUR</w:t>
      </w:r>
      <w:r>
        <w:rPr>
          <w:rFonts w:ascii="Arial" w:hAnsi="Arial" w:cs="Arial"/>
          <w:sz w:val="20"/>
          <w:szCs w:val="20"/>
        </w:rPr>
        <w:t xml:space="preserve"> (22,2 odstotka)</w:t>
      </w:r>
      <w:r w:rsidRPr="00CA1C9F">
        <w:rPr>
          <w:rFonts w:ascii="Arial" w:hAnsi="Arial" w:cs="Arial"/>
          <w:sz w:val="20"/>
          <w:szCs w:val="20"/>
        </w:rPr>
        <w:t>.</w:t>
      </w:r>
      <w:r w:rsidRPr="00B409A2">
        <w:rPr>
          <w:rFonts w:ascii="Arial" w:hAnsi="Arial" w:cs="Arial"/>
          <w:sz w:val="20"/>
          <w:szCs w:val="20"/>
        </w:rPr>
        <w:t xml:space="preserve"> </w:t>
      </w:r>
      <w:r w:rsidRPr="00D22BBA">
        <w:rPr>
          <w:rFonts w:ascii="Arial" w:hAnsi="Arial" w:cs="Arial"/>
          <w:sz w:val="20"/>
          <w:szCs w:val="20"/>
        </w:rPr>
        <w:t>Trend zniževanja davčnega dolga se nadaljuje že od leta 2014.</w:t>
      </w:r>
    </w:p>
    <w:p w14:paraId="4A5417AC" w14:textId="77777777" w:rsidR="004B7622" w:rsidRDefault="004B7622" w:rsidP="004B7622">
      <w:pPr>
        <w:jc w:val="both"/>
        <w:rPr>
          <w:rFonts w:ascii="Arial" w:hAnsi="Arial" w:cs="Arial"/>
          <w:sz w:val="20"/>
          <w:szCs w:val="20"/>
        </w:rPr>
      </w:pPr>
      <w:r>
        <w:rPr>
          <w:rFonts w:ascii="Arial" w:hAnsi="Arial" w:cs="Arial"/>
          <w:sz w:val="20"/>
          <w:szCs w:val="20"/>
        </w:rPr>
        <w:t xml:space="preserve">Pri </w:t>
      </w:r>
      <w:r w:rsidRPr="00B50F6E">
        <w:rPr>
          <w:rFonts w:ascii="Arial" w:hAnsi="Arial" w:cs="Arial"/>
          <w:sz w:val="20"/>
          <w:szCs w:val="20"/>
        </w:rPr>
        <w:t xml:space="preserve">aktivnem dolgu </w:t>
      </w:r>
      <w:r>
        <w:rPr>
          <w:rFonts w:ascii="Arial" w:hAnsi="Arial" w:cs="Arial"/>
          <w:sz w:val="20"/>
          <w:szCs w:val="20"/>
        </w:rPr>
        <w:t xml:space="preserve">je v letu 2021 </w:t>
      </w:r>
      <w:r w:rsidRPr="00B50F6E">
        <w:rPr>
          <w:rFonts w:ascii="Arial" w:hAnsi="Arial" w:cs="Arial"/>
          <w:sz w:val="20"/>
          <w:szCs w:val="20"/>
        </w:rPr>
        <w:t xml:space="preserve">zaznati </w:t>
      </w:r>
      <w:r>
        <w:rPr>
          <w:rFonts w:ascii="Arial" w:hAnsi="Arial" w:cs="Arial"/>
          <w:sz w:val="20"/>
          <w:szCs w:val="20"/>
        </w:rPr>
        <w:t xml:space="preserve">znižanje </w:t>
      </w:r>
      <w:r w:rsidRPr="00B50F6E">
        <w:rPr>
          <w:rFonts w:ascii="Arial" w:hAnsi="Arial" w:cs="Arial"/>
          <w:sz w:val="20"/>
          <w:szCs w:val="20"/>
        </w:rPr>
        <w:t xml:space="preserve">dolga </w:t>
      </w:r>
      <w:r w:rsidRPr="00640766">
        <w:rPr>
          <w:rFonts w:ascii="Arial" w:hAnsi="Arial" w:cs="Arial"/>
          <w:sz w:val="20"/>
          <w:szCs w:val="20"/>
        </w:rPr>
        <w:t xml:space="preserve">za </w:t>
      </w:r>
      <w:r w:rsidRPr="004E59A0">
        <w:rPr>
          <w:rFonts w:ascii="Arial" w:hAnsi="Arial" w:cs="Arial"/>
          <w:sz w:val="20"/>
          <w:szCs w:val="20"/>
        </w:rPr>
        <w:t>67.523.374</w:t>
      </w:r>
      <w:r w:rsidRPr="00B409A2">
        <w:rPr>
          <w:rFonts w:ascii="Arial" w:hAnsi="Arial" w:cs="Arial"/>
          <w:sz w:val="20"/>
          <w:szCs w:val="20"/>
        </w:rPr>
        <w:t xml:space="preserve"> </w:t>
      </w:r>
      <w:r w:rsidRPr="00640766">
        <w:rPr>
          <w:rFonts w:ascii="Arial" w:hAnsi="Arial" w:cs="Arial"/>
          <w:sz w:val="20"/>
          <w:szCs w:val="20"/>
        </w:rPr>
        <w:t>EUR</w:t>
      </w:r>
      <w:r w:rsidRPr="00B50F6E">
        <w:rPr>
          <w:rFonts w:ascii="Arial" w:hAnsi="Arial" w:cs="Arial"/>
          <w:sz w:val="20"/>
          <w:szCs w:val="20"/>
        </w:rPr>
        <w:t xml:space="preserve"> oziroma </w:t>
      </w:r>
      <w:r>
        <w:rPr>
          <w:rFonts w:ascii="Arial" w:hAnsi="Arial" w:cs="Arial"/>
          <w:sz w:val="20"/>
          <w:szCs w:val="20"/>
        </w:rPr>
        <w:t xml:space="preserve">13,5 </w:t>
      </w:r>
      <w:r w:rsidRPr="00B50F6E">
        <w:rPr>
          <w:rFonts w:ascii="Arial" w:hAnsi="Arial" w:cs="Arial"/>
          <w:sz w:val="20"/>
          <w:szCs w:val="20"/>
        </w:rPr>
        <w:t>odstotk</w:t>
      </w:r>
      <w:r>
        <w:rPr>
          <w:rFonts w:ascii="Arial" w:hAnsi="Arial" w:cs="Arial"/>
          <w:sz w:val="20"/>
          <w:szCs w:val="20"/>
        </w:rPr>
        <w:t>a</w:t>
      </w:r>
      <w:r w:rsidRPr="00B50F6E">
        <w:rPr>
          <w:rFonts w:ascii="Arial" w:hAnsi="Arial" w:cs="Arial"/>
          <w:sz w:val="20"/>
          <w:szCs w:val="20"/>
        </w:rPr>
        <w:t xml:space="preserve">, pri pogojno izterljivem dolgu za </w:t>
      </w:r>
      <w:r w:rsidRPr="004E59A0">
        <w:rPr>
          <w:rFonts w:ascii="Arial" w:hAnsi="Arial" w:cs="Arial"/>
          <w:sz w:val="20"/>
          <w:szCs w:val="20"/>
        </w:rPr>
        <w:t>12.058.045</w:t>
      </w:r>
      <w:r>
        <w:rPr>
          <w:rFonts w:ascii="Arial" w:hAnsi="Arial" w:cs="Arial"/>
          <w:sz w:val="20"/>
          <w:szCs w:val="20"/>
        </w:rPr>
        <w:t xml:space="preserve"> </w:t>
      </w:r>
      <w:r w:rsidRPr="00B50F6E">
        <w:rPr>
          <w:rFonts w:ascii="Arial" w:hAnsi="Arial" w:cs="Arial"/>
          <w:sz w:val="20"/>
          <w:szCs w:val="20"/>
        </w:rPr>
        <w:t xml:space="preserve">EUR oziroma </w:t>
      </w:r>
      <w:r>
        <w:rPr>
          <w:rFonts w:ascii="Arial" w:hAnsi="Arial" w:cs="Arial"/>
          <w:sz w:val="20"/>
          <w:szCs w:val="20"/>
        </w:rPr>
        <w:t xml:space="preserve">2,4 </w:t>
      </w:r>
      <w:r w:rsidRPr="00B50F6E">
        <w:rPr>
          <w:rFonts w:ascii="Arial" w:hAnsi="Arial" w:cs="Arial"/>
          <w:sz w:val="20"/>
          <w:szCs w:val="20"/>
        </w:rPr>
        <w:t>odstotka.</w:t>
      </w:r>
    </w:p>
    <w:p w14:paraId="171CF482" w14:textId="77777777" w:rsidR="004B7622" w:rsidRPr="00D3454F" w:rsidRDefault="004B7622" w:rsidP="004B7622">
      <w:pPr>
        <w:jc w:val="both"/>
        <w:rPr>
          <w:rFonts w:ascii="Arial" w:hAnsi="Arial" w:cs="Arial"/>
          <w:sz w:val="20"/>
          <w:szCs w:val="20"/>
          <w:highlight w:val="yellow"/>
        </w:rPr>
      </w:pPr>
      <w:r w:rsidRPr="00D3454F">
        <w:rPr>
          <w:rFonts w:ascii="Arial" w:hAnsi="Arial" w:cs="Arial"/>
          <w:sz w:val="20"/>
          <w:szCs w:val="20"/>
        </w:rPr>
        <w:lastRenderedPageBreak/>
        <w:t xml:space="preserve">Na zniževanje aktivnega dolga je v letu 2021 vplivalo več dejavnikov. Ključni dejavniki so izvedeni ukrepi izterjave in plačila zapadlega dolga tudi z namenom izpolnitve pogojev za koriščenje ukrepov iz interventne zakonodaje, odobrene plačilne ugodnosti na podlagi interventne zakonodaje, dodaten vpliv pa ima tudi odprava oziroma zmanjšanje </w:t>
      </w:r>
      <w:proofErr w:type="spellStart"/>
      <w:r w:rsidRPr="00D3454F">
        <w:rPr>
          <w:rFonts w:ascii="Arial" w:hAnsi="Arial" w:cs="Arial"/>
          <w:sz w:val="20"/>
          <w:szCs w:val="20"/>
        </w:rPr>
        <w:t>odmernih</w:t>
      </w:r>
      <w:proofErr w:type="spellEnd"/>
      <w:r w:rsidRPr="00D3454F">
        <w:rPr>
          <w:rFonts w:ascii="Arial" w:hAnsi="Arial" w:cs="Arial"/>
          <w:sz w:val="20"/>
          <w:szCs w:val="20"/>
        </w:rPr>
        <w:t xml:space="preserve"> odločb iz naslova davka od nenapovedanih dohodkov na podlagi odločitve Ustavnega sodišča RS glede 68.a člena ZDavP-2, nižje terjatve po obračunih nekaterih zavezancev zaradi zmanjšanja gospodarske aktivnosti kot posledica epidemije, izvajanje odpisov zaradi zaključka </w:t>
      </w:r>
      <w:proofErr w:type="spellStart"/>
      <w:r w:rsidRPr="00D3454F">
        <w:rPr>
          <w:rFonts w:ascii="Arial" w:hAnsi="Arial" w:cs="Arial"/>
          <w:sz w:val="20"/>
          <w:szCs w:val="20"/>
        </w:rPr>
        <w:t>insolvenčnih</w:t>
      </w:r>
      <w:proofErr w:type="spellEnd"/>
      <w:r w:rsidRPr="00D3454F">
        <w:rPr>
          <w:rFonts w:ascii="Arial" w:hAnsi="Arial" w:cs="Arial"/>
          <w:sz w:val="20"/>
          <w:szCs w:val="20"/>
        </w:rPr>
        <w:t xml:space="preserve"> postopkov idr.</w:t>
      </w:r>
      <w:r w:rsidRPr="00D3454F">
        <w:rPr>
          <w:rFonts w:ascii="Arial" w:hAnsi="Arial" w:cs="Arial"/>
          <w:sz w:val="20"/>
          <w:szCs w:val="20"/>
          <w:highlight w:val="yellow"/>
        </w:rPr>
        <w:t xml:space="preserve"> </w:t>
      </w:r>
    </w:p>
    <w:p w14:paraId="4CDCDC98" w14:textId="77777777" w:rsidR="004B7622" w:rsidRDefault="004B7622" w:rsidP="004B7622">
      <w:pPr>
        <w:rPr>
          <w:rFonts w:ascii="Arial" w:hAnsi="Arial" w:cs="Arial"/>
          <w:i/>
          <w:color w:val="000000"/>
          <w:sz w:val="20"/>
          <w:szCs w:val="20"/>
        </w:rPr>
      </w:pPr>
      <w:r w:rsidRPr="00A320CD">
        <w:rPr>
          <w:rFonts w:ascii="Arial" w:hAnsi="Arial" w:cs="Arial"/>
          <w:i/>
          <w:sz w:val="20"/>
          <w:szCs w:val="20"/>
        </w:rPr>
        <w:t>Slika</w:t>
      </w:r>
      <w:r>
        <w:rPr>
          <w:rFonts w:ascii="Arial" w:hAnsi="Arial" w:cs="Arial"/>
          <w:i/>
          <w:color w:val="000000"/>
          <w:sz w:val="20"/>
          <w:szCs w:val="20"/>
        </w:rPr>
        <w:t xml:space="preserve"> 5:</w:t>
      </w:r>
      <w:r w:rsidRPr="00A320CD">
        <w:rPr>
          <w:rFonts w:ascii="Arial" w:hAnsi="Arial" w:cs="Arial"/>
          <w:i/>
          <w:sz w:val="20"/>
          <w:szCs w:val="20"/>
        </w:rPr>
        <w:t xml:space="preserve"> </w:t>
      </w:r>
      <w:r w:rsidRPr="00A320CD">
        <w:rPr>
          <w:rFonts w:ascii="Arial" w:hAnsi="Arial" w:cs="Arial"/>
          <w:i/>
          <w:color w:val="000000"/>
          <w:sz w:val="20"/>
          <w:szCs w:val="20"/>
        </w:rPr>
        <w:t>Gibanje davčnega dolga v EUR</w:t>
      </w:r>
    </w:p>
    <w:p w14:paraId="500783FE" w14:textId="77777777" w:rsidR="004B7622" w:rsidRDefault="004B7622" w:rsidP="004B7622">
      <w:pPr>
        <w:rPr>
          <w:rFonts w:ascii="Arial" w:hAnsi="Arial" w:cs="Arial"/>
          <w:i/>
          <w:color w:val="000000"/>
          <w:sz w:val="20"/>
          <w:szCs w:val="20"/>
        </w:rPr>
      </w:pPr>
      <w:r>
        <w:rPr>
          <w:noProof/>
        </w:rPr>
        <w:drawing>
          <wp:inline distT="0" distB="0" distL="0" distR="0" wp14:anchorId="5D839D90" wp14:editId="1D4084CA">
            <wp:extent cx="5685183" cy="1653872"/>
            <wp:effectExtent l="0" t="0" r="10795" b="3810"/>
            <wp:docPr id="9" name="Grafikon 9">
              <a:extLst xmlns:a="http://schemas.openxmlformats.org/drawingml/2006/main">
                <a:ext uri="{FF2B5EF4-FFF2-40B4-BE49-F238E27FC236}">
                  <a16:creationId xmlns:a16="http://schemas.microsoft.com/office/drawing/2014/main" id="{00000000-0008-0000-0200-0000190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B5F79C5" w14:textId="77777777" w:rsidR="004B7622" w:rsidRPr="003B3C02" w:rsidRDefault="004B7622" w:rsidP="004B7622">
      <w:pPr>
        <w:rPr>
          <w:rFonts w:ascii="Arial" w:hAnsi="Arial" w:cs="Arial"/>
          <w:i/>
          <w:sz w:val="20"/>
          <w:szCs w:val="20"/>
        </w:rPr>
      </w:pPr>
      <w:r w:rsidRPr="003B3C02">
        <w:rPr>
          <w:rFonts w:ascii="Arial" w:hAnsi="Arial" w:cs="Arial"/>
          <w:i/>
          <w:sz w:val="20"/>
          <w:szCs w:val="20"/>
        </w:rPr>
        <w:t>Vir: FURS</w:t>
      </w:r>
    </w:p>
    <w:p w14:paraId="28CF53E2" w14:textId="77777777" w:rsidR="004B7622" w:rsidRPr="00D3454F" w:rsidRDefault="004B7622" w:rsidP="004B7622">
      <w:pPr>
        <w:spacing w:after="0"/>
        <w:jc w:val="both"/>
        <w:rPr>
          <w:rFonts w:ascii="Arial" w:hAnsi="Arial" w:cs="Arial"/>
          <w:sz w:val="20"/>
          <w:szCs w:val="20"/>
        </w:rPr>
      </w:pPr>
      <w:r w:rsidRPr="00D3454F">
        <w:rPr>
          <w:rFonts w:ascii="Arial" w:hAnsi="Arial" w:cs="Arial"/>
          <w:sz w:val="20"/>
          <w:szCs w:val="20"/>
        </w:rPr>
        <w:t xml:space="preserve">Pri spremljanju gibanja davčnega dolga je poleg znižanja absolutnega zneska davčnega dolga v primerjavi s predhodnim obdobjem treba upoštevati tudi gibanje deleža dolga glede na letno pobrane javnofinančne prihodke FURS: </w:t>
      </w:r>
    </w:p>
    <w:p w14:paraId="34D1CC5C" w14:textId="77777777" w:rsidR="004B7622" w:rsidRPr="00D3454F" w:rsidRDefault="004B7622" w:rsidP="004B7622">
      <w:pPr>
        <w:numPr>
          <w:ilvl w:val="0"/>
          <w:numId w:val="10"/>
        </w:numPr>
        <w:spacing w:after="0"/>
        <w:jc w:val="both"/>
        <w:rPr>
          <w:rFonts w:ascii="Arial" w:hAnsi="Arial" w:cs="Arial"/>
          <w:sz w:val="20"/>
          <w:szCs w:val="20"/>
        </w:rPr>
      </w:pPr>
      <w:r w:rsidRPr="00D3454F">
        <w:rPr>
          <w:rFonts w:ascii="Arial" w:hAnsi="Arial" w:cs="Arial"/>
          <w:sz w:val="20"/>
          <w:szCs w:val="20"/>
        </w:rPr>
        <w:t xml:space="preserve">delež davčnega dolga za vse javnofinančne blagajne v vseh letno pobranih javnofinančnih prihodkih FURS je v letu 2021 zdrsnil na 4,8 odstotka, v letu 2014, ko je bil ustanovljen FURS, je znašal 10,4 odstotka. </w:t>
      </w:r>
    </w:p>
    <w:p w14:paraId="6F99B54B" w14:textId="77777777" w:rsidR="004B7622" w:rsidRPr="00C5181A" w:rsidRDefault="004B7622" w:rsidP="004B7622">
      <w:pPr>
        <w:numPr>
          <w:ilvl w:val="0"/>
          <w:numId w:val="10"/>
        </w:numPr>
        <w:spacing w:after="0"/>
        <w:jc w:val="both"/>
        <w:rPr>
          <w:rFonts w:ascii="Arial" w:hAnsi="Arial" w:cs="Arial"/>
          <w:sz w:val="20"/>
          <w:szCs w:val="20"/>
        </w:rPr>
      </w:pPr>
      <w:r w:rsidRPr="00C5181A">
        <w:rPr>
          <w:rFonts w:ascii="Arial" w:hAnsi="Arial" w:cs="Arial"/>
          <w:sz w:val="20"/>
          <w:szCs w:val="20"/>
        </w:rPr>
        <w:t>delež dolga blagajne Zavoda za pokojninsko in invalidsko zavarovanje</w:t>
      </w:r>
      <w:r>
        <w:rPr>
          <w:rFonts w:ascii="Arial" w:hAnsi="Arial" w:cs="Arial"/>
          <w:sz w:val="20"/>
          <w:szCs w:val="20"/>
        </w:rPr>
        <w:t xml:space="preserve"> </w:t>
      </w:r>
      <w:r w:rsidRPr="00C5181A">
        <w:rPr>
          <w:rFonts w:ascii="Arial" w:hAnsi="Arial" w:cs="Arial"/>
          <w:sz w:val="20"/>
          <w:szCs w:val="20"/>
        </w:rPr>
        <w:t xml:space="preserve">v letno pobranih prispevkih za socialno varnost za pokojninsko in invalidsko zavarovanje je v letu 2021 zdrsnil na 3,5 odstotka, v letu 2014 je znašal 8,7 odstotka. </w:t>
      </w:r>
    </w:p>
    <w:p w14:paraId="76CCF036" w14:textId="77777777" w:rsidR="004B7622" w:rsidRDefault="004B7622" w:rsidP="004B7622">
      <w:pPr>
        <w:numPr>
          <w:ilvl w:val="0"/>
          <w:numId w:val="10"/>
        </w:numPr>
        <w:spacing w:after="0"/>
        <w:jc w:val="both"/>
        <w:rPr>
          <w:rFonts w:ascii="Arial" w:hAnsi="Arial" w:cs="Arial"/>
          <w:sz w:val="20"/>
          <w:szCs w:val="20"/>
        </w:rPr>
      </w:pPr>
      <w:r w:rsidRPr="00C5181A">
        <w:rPr>
          <w:rFonts w:ascii="Arial" w:hAnsi="Arial" w:cs="Arial"/>
          <w:sz w:val="20"/>
          <w:szCs w:val="20"/>
        </w:rPr>
        <w:t xml:space="preserve">delež dolga blagajne Zavoda za zdravstveno zavarovanje v letno pobranih prispevkih za socialno varnost za zdravstveno zavarovanje je v letu 2021 zdrsnil na 2,7 odstotka, v letu 2014 je znašal 6,2 odstotka. </w:t>
      </w:r>
    </w:p>
    <w:p w14:paraId="2F282C19" w14:textId="77777777" w:rsidR="004B7622" w:rsidRPr="00CA1C9F" w:rsidRDefault="004B7622" w:rsidP="004B7622">
      <w:pPr>
        <w:spacing w:after="0" w:line="240" w:lineRule="auto"/>
        <w:jc w:val="both"/>
        <w:rPr>
          <w:rFonts w:ascii="Arial" w:hAnsi="Arial" w:cs="Arial"/>
          <w:color w:val="FF0000"/>
          <w:sz w:val="20"/>
          <w:szCs w:val="20"/>
        </w:rPr>
      </w:pPr>
    </w:p>
    <w:p w14:paraId="333084E3" w14:textId="77777777" w:rsidR="004B7622" w:rsidRDefault="004B7622" w:rsidP="004B7622">
      <w:pPr>
        <w:jc w:val="both"/>
        <w:rPr>
          <w:rFonts w:ascii="Arial" w:hAnsi="Arial" w:cs="Arial"/>
          <w:i/>
          <w:sz w:val="20"/>
          <w:szCs w:val="20"/>
        </w:rPr>
      </w:pPr>
      <w:r w:rsidRPr="00320777">
        <w:rPr>
          <w:rFonts w:ascii="Arial" w:hAnsi="Arial" w:cs="Arial"/>
          <w:i/>
          <w:sz w:val="20"/>
          <w:szCs w:val="20"/>
        </w:rPr>
        <w:t>Slika 6: Trend gibanja javnofinančnih prihodkov in davčnega dolga od leta 2015 do 2021</w:t>
      </w:r>
    </w:p>
    <w:p w14:paraId="6766CF14" w14:textId="77777777" w:rsidR="004B7622" w:rsidRPr="00867EE4" w:rsidRDefault="004B7622" w:rsidP="004B7622">
      <w:pPr>
        <w:jc w:val="both"/>
        <w:rPr>
          <w:rFonts w:ascii="Arial" w:hAnsi="Arial" w:cs="Arial"/>
          <w:i/>
          <w:sz w:val="20"/>
          <w:szCs w:val="20"/>
        </w:rPr>
      </w:pPr>
      <w:r>
        <w:rPr>
          <w:noProof/>
        </w:rPr>
        <w:drawing>
          <wp:inline distT="0" distB="0" distL="0" distR="0" wp14:anchorId="4F330D4D" wp14:editId="74922D98">
            <wp:extent cx="5685155" cy="1953895"/>
            <wp:effectExtent l="0" t="0" r="0" b="8255"/>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91791" cy="1990544"/>
                    </a:xfrm>
                    <a:prstGeom prst="rect">
                      <a:avLst/>
                    </a:prstGeom>
                  </pic:spPr>
                </pic:pic>
              </a:graphicData>
            </a:graphic>
          </wp:inline>
        </w:drawing>
      </w:r>
    </w:p>
    <w:p w14:paraId="6E233191" w14:textId="77777777" w:rsidR="004B7622" w:rsidRDefault="004B7622" w:rsidP="004B7622">
      <w:pPr>
        <w:jc w:val="both"/>
        <w:rPr>
          <w:rFonts w:ascii="Arial" w:hAnsi="Arial" w:cs="Arial"/>
          <w:i/>
          <w:sz w:val="20"/>
          <w:szCs w:val="20"/>
        </w:rPr>
      </w:pPr>
      <w:r w:rsidRPr="00534703">
        <w:rPr>
          <w:rFonts w:ascii="Arial" w:hAnsi="Arial" w:cs="Arial"/>
          <w:i/>
          <w:sz w:val="20"/>
          <w:szCs w:val="20"/>
        </w:rPr>
        <w:t>Vir: FURS</w:t>
      </w:r>
    </w:p>
    <w:p w14:paraId="573178D1" w14:textId="77777777" w:rsidR="004B7622" w:rsidRPr="00534703" w:rsidRDefault="004B7622" w:rsidP="004B7622">
      <w:pPr>
        <w:jc w:val="both"/>
        <w:rPr>
          <w:rFonts w:ascii="Arial" w:hAnsi="Arial" w:cs="Arial"/>
          <w:i/>
          <w:sz w:val="20"/>
          <w:szCs w:val="20"/>
        </w:rPr>
      </w:pPr>
    </w:p>
    <w:p w14:paraId="1FF4CE8F" w14:textId="77777777" w:rsidR="004B7622" w:rsidRDefault="004B7622" w:rsidP="004B7622">
      <w:pPr>
        <w:rPr>
          <w:rFonts w:ascii="Arial" w:hAnsi="Arial" w:cs="Arial"/>
          <w:bCs/>
          <w:i/>
          <w:sz w:val="20"/>
          <w:szCs w:val="20"/>
        </w:rPr>
      </w:pPr>
      <w:r w:rsidRPr="00EC64D0">
        <w:rPr>
          <w:rFonts w:ascii="Arial" w:hAnsi="Arial" w:cs="Arial"/>
          <w:i/>
          <w:sz w:val="20"/>
          <w:szCs w:val="20"/>
          <w:lang w:eastAsia="ar-SA"/>
        </w:rPr>
        <w:lastRenderedPageBreak/>
        <w:t xml:space="preserve">Preglednica 5: </w:t>
      </w:r>
      <w:r w:rsidRPr="00EC64D0">
        <w:rPr>
          <w:rFonts w:ascii="Arial" w:hAnsi="Arial" w:cs="Arial"/>
          <w:bCs/>
          <w:i/>
          <w:sz w:val="20"/>
          <w:szCs w:val="20"/>
        </w:rPr>
        <w:t>Delež davčnega dolga v pobranih javnofinančnih prihodkih v EUR</w:t>
      </w:r>
    </w:p>
    <w:p w14:paraId="0DA4F541" w14:textId="77777777" w:rsidR="004B7622" w:rsidRDefault="004B7622" w:rsidP="004B7622">
      <w:pPr>
        <w:rPr>
          <w:rFonts w:ascii="Arial" w:hAnsi="Arial" w:cs="Arial"/>
          <w:bCs/>
          <w:i/>
          <w:sz w:val="20"/>
          <w:szCs w:val="20"/>
        </w:rPr>
      </w:pPr>
      <w:r w:rsidRPr="00320777">
        <w:rPr>
          <w:noProof/>
        </w:rPr>
        <w:drawing>
          <wp:inline distT="0" distB="0" distL="0" distR="0" wp14:anchorId="26EC0C44" wp14:editId="489F63D8">
            <wp:extent cx="6098651" cy="1807022"/>
            <wp:effectExtent l="0" t="0" r="0" b="3175"/>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61461" cy="1825633"/>
                    </a:xfrm>
                    <a:prstGeom prst="rect">
                      <a:avLst/>
                    </a:prstGeom>
                    <a:noFill/>
                    <a:ln>
                      <a:noFill/>
                    </a:ln>
                  </pic:spPr>
                </pic:pic>
              </a:graphicData>
            </a:graphic>
          </wp:inline>
        </w:drawing>
      </w:r>
    </w:p>
    <w:p w14:paraId="0C618606" w14:textId="77777777" w:rsidR="004B7622" w:rsidRPr="00534703" w:rsidRDefault="004B7622" w:rsidP="004B7622">
      <w:pPr>
        <w:rPr>
          <w:rFonts w:ascii="Arial" w:hAnsi="Arial" w:cs="Arial"/>
          <w:i/>
          <w:sz w:val="20"/>
          <w:szCs w:val="20"/>
        </w:rPr>
      </w:pPr>
      <w:r w:rsidRPr="00534703">
        <w:rPr>
          <w:rFonts w:ascii="Arial" w:hAnsi="Arial" w:cs="Arial"/>
          <w:i/>
          <w:sz w:val="20"/>
          <w:szCs w:val="20"/>
        </w:rPr>
        <w:t>Vir: FURS</w:t>
      </w:r>
    </w:p>
    <w:p w14:paraId="145F4BA1" w14:textId="77777777" w:rsidR="004B7622" w:rsidRPr="007348F1" w:rsidRDefault="004B7622" w:rsidP="004B7622">
      <w:pPr>
        <w:pStyle w:val="Naslov3"/>
        <w:rPr>
          <w:rFonts w:ascii="Arial" w:hAnsi="Arial" w:cs="Arial"/>
          <w:sz w:val="20"/>
          <w:szCs w:val="20"/>
        </w:rPr>
      </w:pPr>
      <w:r w:rsidRPr="007348F1">
        <w:rPr>
          <w:rFonts w:ascii="Arial" w:hAnsi="Arial" w:cs="Arial"/>
          <w:sz w:val="20"/>
          <w:szCs w:val="20"/>
        </w:rPr>
        <w:t xml:space="preserve">4.3 Davčni dolg po javnofinančnih blagajnah </w:t>
      </w:r>
    </w:p>
    <w:p w14:paraId="26E522DA" w14:textId="77777777" w:rsidR="004B7622" w:rsidRPr="00E26F75" w:rsidRDefault="004B7622" w:rsidP="004B7622">
      <w:pPr>
        <w:pStyle w:val="Brezrazmikov"/>
      </w:pPr>
    </w:p>
    <w:p w14:paraId="3F76C3FC" w14:textId="77777777" w:rsidR="004B7622" w:rsidRDefault="004B7622" w:rsidP="004B7622">
      <w:pPr>
        <w:jc w:val="both"/>
        <w:rPr>
          <w:rFonts w:ascii="Arial" w:hAnsi="Arial" w:cs="Arial"/>
          <w:bCs/>
          <w:sz w:val="20"/>
          <w:szCs w:val="20"/>
        </w:rPr>
      </w:pPr>
      <w:r w:rsidRPr="00D37442">
        <w:rPr>
          <w:rFonts w:ascii="Arial" w:hAnsi="Arial" w:cs="Arial"/>
          <w:bCs/>
          <w:sz w:val="20"/>
          <w:szCs w:val="20"/>
        </w:rPr>
        <w:t>Po razporeditv</w:t>
      </w:r>
      <w:r>
        <w:rPr>
          <w:rFonts w:ascii="Arial" w:hAnsi="Arial" w:cs="Arial"/>
          <w:bCs/>
          <w:sz w:val="20"/>
          <w:szCs w:val="20"/>
        </w:rPr>
        <w:t>i</w:t>
      </w:r>
      <w:r w:rsidRPr="00D37442">
        <w:rPr>
          <w:rFonts w:ascii="Arial" w:hAnsi="Arial" w:cs="Arial"/>
          <w:bCs/>
          <w:sz w:val="20"/>
          <w:szCs w:val="20"/>
        </w:rPr>
        <w:t xml:space="preserve"> davčnega dolga po blagajnah javnega financiranja</w:t>
      </w:r>
      <w:r>
        <w:rPr>
          <w:rFonts w:ascii="Arial" w:hAnsi="Arial" w:cs="Arial"/>
          <w:bCs/>
          <w:sz w:val="20"/>
          <w:szCs w:val="20"/>
        </w:rPr>
        <w:t xml:space="preserve"> ima</w:t>
      </w:r>
      <w:r w:rsidRPr="00D37442">
        <w:rPr>
          <w:rFonts w:ascii="Arial" w:hAnsi="Arial" w:cs="Arial"/>
          <w:bCs/>
          <w:sz w:val="20"/>
          <w:szCs w:val="20"/>
        </w:rPr>
        <w:t xml:space="preserve"> največji delež dolga proračun države, in sicer </w:t>
      </w:r>
      <w:r>
        <w:rPr>
          <w:rFonts w:ascii="Arial" w:hAnsi="Arial" w:cs="Arial"/>
          <w:bCs/>
          <w:sz w:val="20"/>
          <w:szCs w:val="20"/>
        </w:rPr>
        <w:t xml:space="preserve">68,1 </w:t>
      </w:r>
      <w:r w:rsidRPr="00D37442">
        <w:rPr>
          <w:rFonts w:ascii="Arial" w:hAnsi="Arial" w:cs="Arial"/>
          <w:bCs/>
          <w:sz w:val="20"/>
          <w:szCs w:val="20"/>
        </w:rPr>
        <w:t>odstotk</w:t>
      </w:r>
      <w:r>
        <w:rPr>
          <w:rFonts w:ascii="Arial" w:hAnsi="Arial" w:cs="Arial"/>
          <w:bCs/>
          <w:sz w:val="20"/>
          <w:szCs w:val="20"/>
        </w:rPr>
        <w:t>a</w:t>
      </w:r>
      <w:r w:rsidRPr="00D37442">
        <w:rPr>
          <w:rFonts w:ascii="Arial" w:hAnsi="Arial" w:cs="Arial"/>
          <w:bCs/>
          <w:sz w:val="20"/>
          <w:szCs w:val="20"/>
        </w:rPr>
        <w:t xml:space="preserve">. </w:t>
      </w:r>
      <w:r>
        <w:rPr>
          <w:rFonts w:ascii="Arial" w:hAnsi="Arial" w:cs="Arial"/>
          <w:bCs/>
          <w:sz w:val="20"/>
          <w:szCs w:val="20"/>
        </w:rPr>
        <w:t>B</w:t>
      </w:r>
      <w:r w:rsidRPr="00D37442">
        <w:rPr>
          <w:rFonts w:ascii="Arial" w:hAnsi="Arial" w:cs="Arial"/>
          <w:bCs/>
          <w:sz w:val="20"/>
          <w:szCs w:val="20"/>
        </w:rPr>
        <w:t xml:space="preserve">lagajna Zavoda za pokojninsko in invalidsko zavarovanje </w:t>
      </w:r>
      <w:r>
        <w:rPr>
          <w:rFonts w:ascii="Arial" w:hAnsi="Arial" w:cs="Arial"/>
          <w:bCs/>
          <w:sz w:val="20"/>
          <w:szCs w:val="20"/>
        </w:rPr>
        <w:t>ima</w:t>
      </w:r>
      <w:r w:rsidRPr="00D37442">
        <w:rPr>
          <w:rFonts w:ascii="Arial" w:hAnsi="Arial" w:cs="Arial"/>
          <w:bCs/>
          <w:sz w:val="20"/>
          <w:szCs w:val="20"/>
        </w:rPr>
        <w:t xml:space="preserve"> </w:t>
      </w:r>
      <w:r>
        <w:rPr>
          <w:rFonts w:ascii="Arial" w:hAnsi="Arial" w:cs="Arial"/>
          <w:bCs/>
          <w:sz w:val="20"/>
          <w:szCs w:val="20"/>
        </w:rPr>
        <w:t>19,3-</w:t>
      </w:r>
      <w:r w:rsidRPr="00D37442">
        <w:rPr>
          <w:rFonts w:ascii="Arial" w:hAnsi="Arial" w:cs="Arial"/>
          <w:bCs/>
          <w:sz w:val="20"/>
          <w:szCs w:val="20"/>
        </w:rPr>
        <w:t>odstotni del</w:t>
      </w:r>
      <w:r>
        <w:rPr>
          <w:rFonts w:ascii="Arial" w:hAnsi="Arial" w:cs="Arial"/>
          <w:bCs/>
          <w:sz w:val="20"/>
          <w:szCs w:val="20"/>
        </w:rPr>
        <w:t>ež dolga</w:t>
      </w:r>
      <w:r w:rsidRPr="00D37442">
        <w:rPr>
          <w:rFonts w:ascii="Arial" w:hAnsi="Arial" w:cs="Arial"/>
          <w:bCs/>
          <w:sz w:val="20"/>
          <w:szCs w:val="20"/>
        </w:rPr>
        <w:t xml:space="preserve">, blagajna Zavoda za zdravstveno zavarovanje </w:t>
      </w:r>
      <w:r>
        <w:rPr>
          <w:rFonts w:ascii="Arial" w:hAnsi="Arial" w:cs="Arial"/>
          <w:bCs/>
          <w:sz w:val="20"/>
          <w:szCs w:val="20"/>
        </w:rPr>
        <w:t>9</w:t>
      </w:r>
      <w:r w:rsidRPr="00D37442">
        <w:rPr>
          <w:rFonts w:ascii="Arial" w:hAnsi="Arial" w:cs="Arial"/>
          <w:bCs/>
          <w:sz w:val="20"/>
          <w:szCs w:val="20"/>
        </w:rPr>
        <w:t>,</w:t>
      </w:r>
      <w:r>
        <w:rPr>
          <w:rFonts w:ascii="Arial" w:hAnsi="Arial" w:cs="Arial"/>
          <w:bCs/>
          <w:sz w:val="20"/>
          <w:szCs w:val="20"/>
        </w:rPr>
        <w:t>6</w:t>
      </w:r>
      <w:r w:rsidRPr="00D37442">
        <w:rPr>
          <w:rFonts w:ascii="Arial" w:hAnsi="Arial" w:cs="Arial"/>
          <w:bCs/>
          <w:sz w:val="20"/>
          <w:szCs w:val="20"/>
        </w:rPr>
        <w:t xml:space="preserve">-odstotni delež ter proračuni občin </w:t>
      </w:r>
      <w:r>
        <w:rPr>
          <w:rFonts w:ascii="Arial" w:hAnsi="Arial" w:cs="Arial"/>
          <w:bCs/>
          <w:sz w:val="20"/>
          <w:szCs w:val="20"/>
        </w:rPr>
        <w:t>3-</w:t>
      </w:r>
      <w:r w:rsidRPr="00D37442">
        <w:rPr>
          <w:rFonts w:ascii="Arial" w:hAnsi="Arial" w:cs="Arial"/>
          <w:bCs/>
          <w:sz w:val="20"/>
          <w:szCs w:val="20"/>
        </w:rPr>
        <w:t>odstotni delež dolga.</w:t>
      </w:r>
    </w:p>
    <w:p w14:paraId="4A497CA1" w14:textId="77777777" w:rsidR="004B7622" w:rsidRDefault="004B7622" w:rsidP="004B7622">
      <w:pPr>
        <w:rPr>
          <w:rFonts w:ascii="Arial" w:hAnsi="Arial" w:cs="Arial"/>
          <w:i/>
          <w:color w:val="000000"/>
          <w:sz w:val="20"/>
          <w:szCs w:val="20"/>
        </w:rPr>
      </w:pPr>
      <w:r w:rsidRPr="0094398F">
        <w:rPr>
          <w:rFonts w:ascii="Arial" w:hAnsi="Arial" w:cs="Arial"/>
          <w:i/>
          <w:sz w:val="20"/>
          <w:szCs w:val="20"/>
        </w:rPr>
        <w:t>Slika</w:t>
      </w:r>
      <w:r w:rsidRPr="0094398F">
        <w:rPr>
          <w:rFonts w:ascii="Arial" w:hAnsi="Arial" w:cs="Arial"/>
          <w:i/>
          <w:color w:val="000000"/>
          <w:sz w:val="20"/>
          <w:szCs w:val="20"/>
        </w:rPr>
        <w:t xml:space="preserve"> </w:t>
      </w:r>
      <w:r>
        <w:rPr>
          <w:rFonts w:ascii="Arial" w:hAnsi="Arial" w:cs="Arial"/>
          <w:i/>
          <w:color w:val="000000"/>
          <w:sz w:val="20"/>
          <w:szCs w:val="20"/>
        </w:rPr>
        <w:t xml:space="preserve">7: </w:t>
      </w:r>
      <w:r w:rsidRPr="00D37442">
        <w:rPr>
          <w:rFonts w:ascii="Arial" w:hAnsi="Arial" w:cs="Arial"/>
          <w:i/>
          <w:color w:val="000000"/>
          <w:sz w:val="20"/>
          <w:szCs w:val="20"/>
        </w:rPr>
        <w:t xml:space="preserve">Davčni dolg po blagajnah javnega financiranja </w:t>
      </w:r>
    </w:p>
    <w:p w14:paraId="003EFD6A" w14:textId="77777777" w:rsidR="004B7622" w:rsidRDefault="004B7622" w:rsidP="004B7622">
      <w:pPr>
        <w:rPr>
          <w:rFonts w:ascii="Arial" w:hAnsi="Arial" w:cs="Arial"/>
          <w:i/>
          <w:color w:val="000000"/>
          <w:sz w:val="20"/>
          <w:szCs w:val="20"/>
        </w:rPr>
      </w:pPr>
      <w:r>
        <w:rPr>
          <w:noProof/>
        </w:rPr>
        <w:drawing>
          <wp:inline distT="0" distB="0" distL="0" distR="0" wp14:anchorId="25C638D3" wp14:editId="5ED11213">
            <wp:extent cx="4969566" cy="2703444"/>
            <wp:effectExtent l="0" t="0" r="2540" b="1905"/>
            <wp:docPr id="11" name="Grafikon 11">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B8C8595" w14:textId="77777777" w:rsidR="004B7622" w:rsidRPr="0094398F" w:rsidRDefault="004B7622" w:rsidP="004B7622">
      <w:pPr>
        <w:rPr>
          <w:rFonts w:ascii="Arial" w:hAnsi="Arial" w:cs="Arial"/>
          <w:i/>
          <w:color w:val="000000"/>
          <w:sz w:val="20"/>
          <w:szCs w:val="20"/>
        </w:rPr>
      </w:pPr>
      <w:r w:rsidRPr="0094398F">
        <w:rPr>
          <w:rFonts w:ascii="Arial" w:hAnsi="Arial" w:cs="Arial"/>
          <w:i/>
          <w:color w:val="000000"/>
          <w:sz w:val="20"/>
          <w:szCs w:val="20"/>
        </w:rPr>
        <w:t>Vir: FURS</w:t>
      </w:r>
    </w:p>
    <w:p w14:paraId="28ED4FD7" w14:textId="77777777" w:rsidR="004B7622" w:rsidRDefault="004B7622" w:rsidP="004B7622">
      <w:pPr>
        <w:rPr>
          <w:rFonts w:ascii="Arial" w:hAnsi="Arial" w:cs="Arial"/>
          <w:color w:val="000000"/>
          <w:sz w:val="20"/>
          <w:szCs w:val="20"/>
        </w:rPr>
      </w:pPr>
    </w:p>
    <w:p w14:paraId="331CC17D" w14:textId="77777777" w:rsidR="004B7622" w:rsidRDefault="004B7622" w:rsidP="004B7622">
      <w:pPr>
        <w:rPr>
          <w:rFonts w:ascii="Arial" w:hAnsi="Arial" w:cs="Arial"/>
          <w:color w:val="000000"/>
          <w:sz w:val="20"/>
          <w:szCs w:val="20"/>
        </w:rPr>
      </w:pPr>
    </w:p>
    <w:p w14:paraId="7137B38F" w14:textId="77777777" w:rsidR="004B7622" w:rsidRDefault="004B7622" w:rsidP="004B7622">
      <w:pPr>
        <w:rPr>
          <w:rFonts w:ascii="Arial" w:hAnsi="Arial" w:cs="Arial"/>
          <w:color w:val="000000"/>
          <w:sz w:val="20"/>
          <w:szCs w:val="20"/>
        </w:rPr>
      </w:pPr>
    </w:p>
    <w:p w14:paraId="00F060AA" w14:textId="77777777" w:rsidR="004B7622" w:rsidRDefault="004B7622" w:rsidP="004B7622">
      <w:pPr>
        <w:rPr>
          <w:rFonts w:ascii="Arial" w:hAnsi="Arial" w:cs="Arial"/>
          <w:color w:val="000000"/>
          <w:sz w:val="20"/>
          <w:szCs w:val="20"/>
        </w:rPr>
      </w:pPr>
    </w:p>
    <w:p w14:paraId="20B8FE40" w14:textId="77777777" w:rsidR="004B7622" w:rsidRDefault="004B7622" w:rsidP="004B7622">
      <w:pPr>
        <w:rPr>
          <w:rFonts w:ascii="Arial" w:hAnsi="Arial" w:cs="Arial"/>
          <w:color w:val="000000"/>
          <w:sz w:val="20"/>
          <w:szCs w:val="20"/>
        </w:rPr>
      </w:pPr>
    </w:p>
    <w:p w14:paraId="73FEA255" w14:textId="77777777" w:rsidR="004B7622" w:rsidRDefault="004B7622" w:rsidP="004B7622">
      <w:pPr>
        <w:rPr>
          <w:rFonts w:ascii="Arial" w:hAnsi="Arial" w:cs="Arial"/>
          <w:color w:val="000000"/>
          <w:sz w:val="20"/>
          <w:szCs w:val="20"/>
        </w:rPr>
      </w:pPr>
    </w:p>
    <w:p w14:paraId="0AA68E5B" w14:textId="77777777" w:rsidR="004B7622" w:rsidRDefault="004B7622" w:rsidP="004B7622">
      <w:pPr>
        <w:rPr>
          <w:rFonts w:ascii="Arial" w:hAnsi="Arial" w:cs="Arial"/>
          <w:color w:val="000000"/>
          <w:sz w:val="20"/>
          <w:szCs w:val="20"/>
        </w:rPr>
      </w:pPr>
    </w:p>
    <w:p w14:paraId="32AFF17B" w14:textId="77777777" w:rsidR="004B7622" w:rsidRDefault="004B7622" w:rsidP="004B7622">
      <w:pPr>
        <w:rPr>
          <w:rFonts w:ascii="Arial" w:hAnsi="Arial" w:cs="Arial"/>
          <w:color w:val="000000"/>
          <w:sz w:val="20"/>
          <w:szCs w:val="20"/>
        </w:rPr>
      </w:pPr>
      <w:r w:rsidRPr="00D37442">
        <w:rPr>
          <w:rFonts w:ascii="Arial" w:hAnsi="Arial" w:cs="Arial"/>
          <w:color w:val="000000"/>
          <w:sz w:val="20"/>
          <w:szCs w:val="20"/>
        </w:rPr>
        <w:t>Podatki o višini in gibanju dolga po blagajnah javnega financiranja so pr</w:t>
      </w:r>
      <w:r>
        <w:rPr>
          <w:rFonts w:ascii="Arial" w:hAnsi="Arial" w:cs="Arial"/>
          <w:color w:val="000000"/>
          <w:sz w:val="20"/>
          <w:szCs w:val="20"/>
        </w:rPr>
        <w:t>ikazani</w:t>
      </w:r>
      <w:r w:rsidRPr="00D37442">
        <w:rPr>
          <w:rFonts w:ascii="Arial" w:hAnsi="Arial" w:cs="Arial"/>
          <w:color w:val="000000"/>
          <w:sz w:val="20"/>
          <w:szCs w:val="20"/>
        </w:rPr>
        <w:t xml:space="preserve"> v </w:t>
      </w:r>
      <w:r>
        <w:rPr>
          <w:rFonts w:ascii="Arial" w:hAnsi="Arial" w:cs="Arial"/>
          <w:color w:val="000000"/>
          <w:sz w:val="20"/>
          <w:szCs w:val="20"/>
        </w:rPr>
        <w:t>preglednici 6.</w:t>
      </w:r>
    </w:p>
    <w:p w14:paraId="22CFCCE8" w14:textId="77777777" w:rsidR="004B7622" w:rsidRDefault="004B7622" w:rsidP="004B7622">
      <w:pPr>
        <w:rPr>
          <w:rFonts w:ascii="Arial" w:hAnsi="Arial" w:cs="Arial"/>
          <w:i/>
          <w:sz w:val="20"/>
          <w:szCs w:val="20"/>
        </w:rPr>
      </w:pPr>
      <w:r>
        <w:rPr>
          <w:rFonts w:ascii="Arial" w:hAnsi="Arial" w:cs="Arial"/>
          <w:bCs/>
          <w:i/>
          <w:sz w:val="20"/>
          <w:szCs w:val="20"/>
        </w:rPr>
        <w:t>P</w:t>
      </w:r>
      <w:r w:rsidRPr="0094398F">
        <w:rPr>
          <w:rFonts w:ascii="Arial" w:hAnsi="Arial" w:cs="Arial"/>
          <w:bCs/>
          <w:i/>
          <w:sz w:val="20"/>
          <w:szCs w:val="20"/>
        </w:rPr>
        <w:t>reglednica</w:t>
      </w:r>
      <w:r w:rsidRPr="0094398F">
        <w:rPr>
          <w:rFonts w:ascii="Arial" w:hAnsi="Arial" w:cs="Arial"/>
          <w:i/>
          <w:sz w:val="20"/>
          <w:szCs w:val="20"/>
        </w:rPr>
        <w:t xml:space="preserve"> 6</w:t>
      </w:r>
      <w:r>
        <w:rPr>
          <w:rFonts w:ascii="Arial" w:hAnsi="Arial" w:cs="Arial"/>
          <w:i/>
          <w:sz w:val="20"/>
          <w:szCs w:val="20"/>
        </w:rPr>
        <w:t xml:space="preserve">: </w:t>
      </w:r>
      <w:r w:rsidRPr="00DA1917">
        <w:rPr>
          <w:rFonts w:ascii="Arial" w:hAnsi="Arial" w:cs="Arial"/>
          <w:i/>
          <w:sz w:val="20"/>
          <w:szCs w:val="20"/>
        </w:rPr>
        <w:t xml:space="preserve">Stanje in gibanje davčnega dolga po blagajnah javnega financiranja v EUR </w:t>
      </w:r>
    </w:p>
    <w:tbl>
      <w:tblPr>
        <w:tblW w:w="9132" w:type="dxa"/>
        <w:tblCellMar>
          <w:left w:w="70" w:type="dxa"/>
          <w:right w:w="70" w:type="dxa"/>
        </w:tblCellMar>
        <w:tblLook w:val="04A0" w:firstRow="1" w:lastRow="0" w:firstColumn="1" w:lastColumn="0" w:noHBand="0" w:noVBand="1"/>
      </w:tblPr>
      <w:tblGrid>
        <w:gridCol w:w="1411"/>
        <w:gridCol w:w="1292"/>
        <w:gridCol w:w="1141"/>
        <w:gridCol w:w="1141"/>
        <w:gridCol w:w="1091"/>
        <w:gridCol w:w="1091"/>
        <w:gridCol w:w="1091"/>
        <w:gridCol w:w="891"/>
      </w:tblGrid>
      <w:tr w:rsidR="004B7622" w:rsidRPr="003F396C" w14:paraId="684C8F56" w14:textId="77777777" w:rsidTr="00377989">
        <w:trPr>
          <w:trHeight w:val="595"/>
        </w:trPr>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4B63A" w14:textId="77777777" w:rsidR="004B7622" w:rsidRPr="003F396C" w:rsidRDefault="004B7622" w:rsidP="00377989">
            <w:pPr>
              <w:spacing w:after="0" w:line="240" w:lineRule="auto"/>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Davčni dolg po javnofinančnih blagajnah</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7EFF8FA8" w14:textId="77777777" w:rsidR="004B7622" w:rsidRPr="003F396C" w:rsidRDefault="004B7622" w:rsidP="00377989">
            <w:pPr>
              <w:spacing w:after="0" w:line="240" w:lineRule="auto"/>
              <w:jc w:val="center"/>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31.12.2019</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2D370FE7" w14:textId="77777777" w:rsidR="004B7622" w:rsidRPr="003F396C" w:rsidRDefault="004B7622" w:rsidP="00377989">
            <w:pPr>
              <w:spacing w:after="0" w:line="240" w:lineRule="auto"/>
              <w:jc w:val="center"/>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31.12.2020</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3469CBBD" w14:textId="77777777" w:rsidR="004B7622" w:rsidRPr="003F396C" w:rsidRDefault="004B7622" w:rsidP="00377989">
            <w:pPr>
              <w:spacing w:after="0" w:line="240" w:lineRule="auto"/>
              <w:jc w:val="center"/>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31.12.2021</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59B9DBB0" w14:textId="77777777" w:rsidR="004B7622" w:rsidRPr="003F396C" w:rsidRDefault="004B7622" w:rsidP="00377989">
            <w:pPr>
              <w:spacing w:after="0" w:line="240" w:lineRule="auto"/>
              <w:jc w:val="center"/>
              <w:rPr>
                <w:rFonts w:ascii="Arial" w:eastAsia="Times New Roman" w:hAnsi="Arial" w:cs="Arial"/>
                <w:b/>
                <w:bCs/>
                <w:color w:val="000000"/>
                <w:sz w:val="18"/>
                <w:szCs w:val="18"/>
                <w:lang w:eastAsia="sl-SI"/>
              </w:rPr>
            </w:pPr>
            <w:r w:rsidRPr="003F396C">
              <w:rPr>
                <w:rFonts w:ascii="Arial" w:eastAsia="Times New Roman" w:hAnsi="Arial" w:cs="Arial"/>
                <w:b/>
                <w:bCs/>
                <w:color w:val="000000"/>
                <w:sz w:val="18"/>
                <w:szCs w:val="18"/>
                <w:lang w:eastAsia="sl-SI"/>
              </w:rPr>
              <w:t xml:space="preserve">IND </w:t>
            </w:r>
            <w:r w:rsidRPr="003F396C">
              <w:rPr>
                <w:rFonts w:ascii="Arial" w:eastAsia="Times New Roman" w:hAnsi="Arial" w:cs="Arial"/>
                <w:b/>
                <w:bCs/>
                <w:color w:val="000000"/>
                <w:sz w:val="18"/>
                <w:szCs w:val="18"/>
                <w:lang w:eastAsia="sl-SI"/>
              </w:rPr>
              <w:br/>
              <w:t>31.12.2020/</w:t>
            </w:r>
            <w:r w:rsidRPr="003F396C">
              <w:rPr>
                <w:rFonts w:ascii="Arial" w:eastAsia="Times New Roman" w:hAnsi="Arial" w:cs="Arial"/>
                <w:b/>
                <w:bCs/>
                <w:color w:val="000000"/>
                <w:sz w:val="18"/>
                <w:szCs w:val="18"/>
                <w:lang w:eastAsia="sl-SI"/>
              </w:rPr>
              <w:br/>
              <w:t>31.12.2019</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4A2DDA76" w14:textId="77777777" w:rsidR="004B7622" w:rsidRPr="003F396C" w:rsidRDefault="004B7622" w:rsidP="00377989">
            <w:pPr>
              <w:spacing w:after="0" w:line="240" w:lineRule="auto"/>
              <w:jc w:val="center"/>
              <w:rPr>
                <w:rFonts w:ascii="Arial" w:eastAsia="Times New Roman" w:hAnsi="Arial" w:cs="Arial"/>
                <w:b/>
                <w:bCs/>
                <w:color w:val="000000"/>
                <w:sz w:val="18"/>
                <w:szCs w:val="18"/>
                <w:lang w:eastAsia="sl-SI"/>
              </w:rPr>
            </w:pPr>
            <w:r w:rsidRPr="003F396C">
              <w:rPr>
                <w:rFonts w:ascii="Arial" w:eastAsia="Times New Roman" w:hAnsi="Arial" w:cs="Arial"/>
                <w:b/>
                <w:bCs/>
                <w:color w:val="000000"/>
                <w:sz w:val="18"/>
                <w:szCs w:val="18"/>
                <w:lang w:eastAsia="sl-SI"/>
              </w:rPr>
              <w:t xml:space="preserve">IND </w:t>
            </w:r>
            <w:r w:rsidRPr="003F396C">
              <w:rPr>
                <w:rFonts w:ascii="Arial" w:eastAsia="Times New Roman" w:hAnsi="Arial" w:cs="Arial"/>
                <w:b/>
                <w:bCs/>
                <w:color w:val="000000"/>
                <w:sz w:val="18"/>
                <w:szCs w:val="18"/>
                <w:lang w:eastAsia="sl-SI"/>
              </w:rPr>
              <w:br/>
              <w:t>31.12.2021/</w:t>
            </w:r>
            <w:r w:rsidRPr="003F396C">
              <w:rPr>
                <w:rFonts w:ascii="Arial" w:eastAsia="Times New Roman" w:hAnsi="Arial" w:cs="Arial"/>
                <w:b/>
                <w:bCs/>
                <w:color w:val="000000"/>
                <w:sz w:val="18"/>
                <w:szCs w:val="18"/>
                <w:lang w:eastAsia="sl-SI"/>
              </w:rPr>
              <w:br/>
              <w:t>31.12.2019</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5C22AD71" w14:textId="77777777" w:rsidR="004B7622" w:rsidRPr="003F396C" w:rsidRDefault="004B7622" w:rsidP="00377989">
            <w:pPr>
              <w:spacing w:after="0" w:line="240" w:lineRule="auto"/>
              <w:jc w:val="center"/>
              <w:rPr>
                <w:rFonts w:ascii="Arial" w:eastAsia="Times New Roman" w:hAnsi="Arial" w:cs="Arial"/>
                <w:b/>
                <w:bCs/>
                <w:color w:val="000000"/>
                <w:sz w:val="18"/>
                <w:szCs w:val="18"/>
                <w:lang w:eastAsia="sl-SI"/>
              </w:rPr>
            </w:pPr>
            <w:r w:rsidRPr="003F396C">
              <w:rPr>
                <w:rFonts w:ascii="Arial" w:eastAsia="Times New Roman" w:hAnsi="Arial" w:cs="Arial"/>
                <w:b/>
                <w:bCs/>
                <w:color w:val="000000"/>
                <w:sz w:val="18"/>
                <w:szCs w:val="18"/>
                <w:lang w:eastAsia="sl-SI"/>
              </w:rPr>
              <w:t>IND 31.12.2021/</w:t>
            </w:r>
            <w:r w:rsidRPr="003F396C">
              <w:rPr>
                <w:rFonts w:ascii="Arial" w:eastAsia="Times New Roman" w:hAnsi="Arial" w:cs="Arial"/>
                <w:b/>
                <w:bCs/>
                <w:color w:val="000000"/>
                <w:sz w:val="18"/>
                <w:szCs w:val="18"/>
                <w:lang w:eastAsia="sl-SI"/>
              </w:rPr>
              <w:br/>
              <w:t>31.12.2020</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3964BA51" w14:textId="77777777" w:rsidR="004B7622" w:rsidRPr="003F396C" w:rsidRDefault="004B7622" w:rsidP="00377989">
            <w:pPr>
              <w:spacing w:after="0" w:line="240" w:lineRule="auto"/>
              <w:jc w:val="center"/>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Delež v odstotka</w:t>
            </w:r>
          </w:p>
        </w:tc>
      </w:tr>
      <w:tr w:rsidR="004B7622" w:rsidRPr="003F396C" w14:paraId="65B8A727" w14:textId="77777777" w:rsidTr="00377989">
        <w:trPr>
          <w:trHeight w:val="150"/>
        </w:trPr>
        <w:tc>
          <w:tcPr>
            <w:tcW w:w="9132" w:type="dxa"/>
            <w:gridSpan w:val="8"/>
            <w:tcBorders>
              <w:top w:val="nil"/>
              <w:left w:val="single" w:sz="4" w:space="0" w:color="auto"/>
              <w:bottom w:val="single" w:sz="4" w:space="0" w:color="auto"/>
              <w:right w:val="single" w:sz="4" w:space="0" w:color="000000"/>
            </w:tcBorders>
            <w:shd w:val="clear" w:color="000000" w:fill="DCE6F1"/>
            <w:vAlign w:val="center"/>
            <w:hideMark/>
          </w:tcPr>
          <w:p w14:paraId="5C23D53F" w14:textId="77777777" w:rsidR="004B7622" w:rsidRPr="003F396C" w:rsidRDefault="004B7622" w:rsidP="00377989">
            <w:pPr>
              <w:spacing w:after="0" w:line="240" w:lineRule="auto"/>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 xml:space="preserve">Državni proračun </w:t>
            </w:r>
          </w:p>
        </w:tc>
      </w:tr>
      <w:tr w:rsidR="004B7622" w:rsidRPr="003F396C" w14:paraId="0A5EE5A6" w14:textId="77777777" w:rsidTr="00377989">
        <w:trPr>
          <w:trHeight w:val="177"/>
        </w:trPr>
        <w:tc>
          <w:tcPr>
            <w:tcW w:w="1427" w:type="dxa"/>
            <w:tcBorders>
              <w:top w:val="nil"/>
              <w:left w:val="single" w:sz="4" w:space="0" w:color="auto"/>
              <w:bottom w:val="single" w:sz="4" w:space="0" w:color="auto"/>
              <w:right w:val="single" w:sz="4" w:space="0" w:color="auto"/>
            </w:tcBorders>
            <w:shd w:val="clear" w:color="auto" w:fill="auto"/>
            <w:vAlign w:val="center"/>
            <w:hideMark/>
          </w:tcPr>
          <w:p w14:paraId="77F17821" w14:textId="77777777" w:rsidR="004B7622" w:rsidRPr="003F396C" w:rsidRDefault="004B7622" w:rsidP="00377989">
            <w:pPr>
              <w:spacing w:after="0" w:line="240" w:lineRule="auto"/>
              <w:rPr>
                <w:rFonts w:ascii="Arial" w:eastAsia="Times New Roman" w:hAnsi="Arial" w:cs="Arial"/>
                <w:sz w:val="18"/>
                <w:szCs w:val="18"/>
                <w:lang w:eastAsia="sl-SI"/>
              </w:rPr>
            </w:pPr>
            <w:r w:rsidRPr="003F396C">
              <w:rPr>
                <w:rFonts w:ascii="Arial" w:eastAsia="Times New Roman" w:hAnsi="Arial" w:cs="Arial"/>
                <w:sz w:val="18"/>
                <w:szCs w:val="18"/>
                <w:lang w:eastAsia="sl-SI"/>
              </w:rPr>
              <w:t xml:space="preserve">Aktivni dolg </w:t>
            </w:r>
          </w:p>
        </w:tc>
        <w:tc>
          <w:tcPr>
            <w:tcW w:w="1286" w:type="dxa"/>
            <w:tcBorders>
              <w:top w:val="nil"/>
              <w:left w:val="nil"/>
              <w:bottom w:val="single" w:sz="4" w:space="0" w:color="auto"/>
              <w:right w:val="single" w:sz="4" w:space="0" w:color="auto"/>
            </w:tcBorders>
            <w:shd w:val="clear" w:color="auto" w:fill="auto"/>
            <w:vAlign w:val="center"/>
            <w:hideMark/>
          </w:tcPr>
          <w:p w14:paraId="059A7896"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457.772.755</w:t>
            </w:r>
          </w:p>
        </w:tc>
        <w:tc>
          <w:tcPr>
            <w:tcW w:w="1136" w:type="dxa"/>
            <w:tcBorders>
              <w:top w:val="nil"/>
              <w:left w:val="nil"/>
              <w:bottom w:val="single" w:sz="4" w:space="0" w:color="auto"/>
              <w:right w:val="single" w:sz="4" w:space="0" w:color="auto"/>
            </w:tcBorders>
            <w:shd w:val="clear" w:color="auto" w:fill="auto"/>
            <w:vAlign w:val="center"/>
            <w:hideMark/>
          </w:tcPr>
          <w:p w14:paraId="1210C9DE"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351.601.574</w:t>
            </w:r>
          </w:p>
        </w:tc>
        <w:tc>
          <w:tcPr>
            <w:tcW w:w="1138" w:type="dxa"/>
            <w:tcBorders>
              <w:top w:val="nil"/>
              <w:left w:val="nil"/>
              <w:bottom w:val="single" w:sz="4" w:space="0" w:color="auto"/>
              <w:right w:val="single" w:sz="4" w:space="0" w:color="auto"/>
            </w:tcBorders>
            <w:shd w:val="clear" w:color="auto" w:fill="auto"/>
            <w:vAlign w:val="center"/>
            <w:hideMark/>
          </w:tcPr>
          <w:p w14:paraId="291D060B"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293.193.839</w:t>
            </w:r>
          </w:p>
        </w:tc>
        <w:tc>
          <w:tcPr>
            <w:tcW w:w="1086" w:type="dxa"/>
            <w:tcBorders>
              <w:top w:val="nil"/>
              <w:left w:val="nil"/>
              <w:bottom w:val="single" w:sz="4" w:space="0" w:color="auto"/>
              <w:right w:val="single" w:sz="4" w:space="0" w:color="auto"/>
            </w:tcBorders>
            <w:shd w:val="clear" w:color="auto" w:fill="auto"/>
            <w:vAlign w:val="center"/>
            <w:hideMark/>
          </w:tcPr>
          <w:p w14:paraId="597D96E8"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76,8</w:t>
            </w:r>
          </w:p>
        </w:tc>
        <w:tc>
          <w:tcPr>
            <w:tcW w:w="1086" w:type="dxa"/>
            <w:tcBorders>
              <w:top w:val="nil"/>
              <w:left w:val="nil"/>
              <w:bottom w:val="single" w:sz="4" w:space="0" w:color="auto"/>
              <w:right w:val="single" w:sz="4" w:space="0" w:color="auto"/>
            </w:tcBorders>
            <w:shd w:val="clear" w:color="auto" w:fill="auto"/>
            <w:vAlign w:val="center"/>
            <w:hideMark/>
          </w:tcPr>
          <w:p w14:paraId="421323FD"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64,0</w:t>
            </w:r>
          </w:p>
        </w:tc>
        <w:tc>
          <w:tcPr>
            <w:tcW w:w="1086" w:type="dxa"/>
            <w:tcBorders>
              <w:top w:val="nil"/>
              <w:left w:val="nil"/>
              <w:bottom w:val="single" w:sz="4" w:space="0" w:color="auto"/>
              <w:right w:val="single" w:sz="4" w:space="0" w:color="auto"/>
            </w:tcBorders>
            <w:shd w:val="clear" w:color="auto" w:fill="auto"/>
            <w:vAlign w:val="center"/>
            <w:hideMark/>
          </w:tcPr>
          <w:p w14:paraId="7358755A"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83,4</w:t>
            </w:r>
          </w:p>
        </w:tc>
        <w:tc>
          <w:tcPr>
            <w:tcW w:w="884" w:type="dxa"/>
            <w:tcBorders>
              <w:top w:val="nil"/>
              <w:left w:val="nil"/>
              <w:bottom w:val="single" w:sz="4" w:space="0" w:color="auto"/>
              <w:right w:val="single" w:sz="4" w:space="0" w:color="auto"/>
            </w:tcBorders>
            <w:shd w:val="clear" w:color="auto" w:fill="auto"/>
            <w:vAlign w:val="center"/>
            <w:hideMark/>
          </w:tcPr>
          <w:p w14:paraId="239AF2BC"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68,0</w:t>
            </w:r>
          </w:p>
        </w:tc>
      </w:tr>
      <w:tr w:rsidR="004B7622" w:rsidRPr="003F396C" w14:paraId="32B04B5D" w14:textId="77777777" w:rsidTr="00377989">
        <w:trPr>
          <w:trHeight w:val="177"/>
        </w:trPr>
        <w:tc>
          <w:tcPr>
            <w:tcW w:w="1427" w:type="dxa"/>
            <w:tcBorders>
              <w:top w:val="nil"/>
              <w:left w:val="single" w:sz="4" w:space="0" w:color="auto"/>
              <w:bottom w:val="single" w:sz="4" w:space="0" w:color="auto"/>
              <w:right w:val="single" w:sz="4" w:space="0" w:color="auto"/>
            </w:tcBorders>
            <w:shd w:val="clear" w:color="auto" w:fill="auto"/>
            <w:vAlign w:val="center"/>
            <w:hideMark/>
          </w:tcPr>
          <w:p w14:paraId="759CD27D" w14:textId="77777777" w:rsidR="004B7622" w:rsidRPr="003F396C" w:rsidRDefault="004B7622" w:rsidP="00377989">
            <w:pPr>
              <w:spacing w:after="0" w:line="240" w:lineRule="auto"/>
              <w:rPr>
                <w:rFonts w:ascii="Arial" w:eastAsia="Times New Roman" w:hAnsi="Arial" w:cs="Arial"/>
                <w:sz w:val="18"/>
                <w:szCs w:val="18"/>
                <w:lang w:eastAsia="sl-SI"/>
              </w:rPr>
            </w:pPr>
            <w:r w:rsidRPr="003F396C">
              <w:rPr>
                <w:rFonts w:ascii="Arial" w:eastAsia="Times New Roman" w:hAnsi="Arial" w:cs="Arial"/>
                <w:sz w:val="18"/>
                <w:szCs w:val="18"/>
                <w:lang w:eastAsia="sl-SI"/>
              </w:rPr>
              <w:t xml:space="preserve">Pogojno izterljivi dolg </w:t>
            </w:r>
          </w:p>
        </w:tc>
        <w:tc>
          <w:tcPr>
            <w:tcW w:w="1286" w:type="dxa"/>
            <w:tcBorders>
              <w:top w:val="nil"/>
              <w:left w:val="nil"/>
              <w:bottom w:val="single" w:sz="4" w:space="0" w:color="auto"/>
              <w:right w:val="single" w:sz="4" w:space="0" w:color="auto"/>
            </w:tcBorders>
            <w:shd w:val="clear" w:color="auto" w:fill="auto"/>
            <w:vAlign w:val="center"/>
            <w:hideMark/>
          </w:tcPr>
          <w:p w14:paraId="1C4406AA"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382.072.833</w:t>
            </w:r>
          </w:p>
        </w:tc>
        <w:tc>
          <w:tcPr>
            <w:tcW w:w="1136" w:type="dxa"/>
            <w:tcBorders>
              <w:top w:val="nil"/>
              <w:left w:val="nil"/>
              <w:bottom w:val="single" w:sz="4" w:space="0" w:color="auto"/>
              <w:right w:val="single" w:sz="4" w:space="0" w:color="auto"/>
            </w:tcBorders>
            <w:shd w:val="clear" w:color="auto" w:fill="auto"/>
            <w:vAlign w:val="center"/>
            <w:hideMark/>
          </w:tcPr>
          <w:p w14:paraId="78C067F8"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337.027.682</w:t>
            </w:r>
          </w:p>
        </w:tc>
        <w:tc>
          <w:tcPr>
            <w:tcW w:w="1138" w:type="dxa"/>
            <w:tcBorders>
              <w:top w:val="nil"/>
              <w:left w:val="nil"/>
              <w:bottom w:val="single" w:sz="4" w:space="0" w:color="auto"/>
              <w:right w:val="single" w:sz="4" w:space="0" w:color="auto"/>
            </w:tcBorders>
            <w:shd w:val="clear" w:color="auto" w:fill="auto"/>
            <w:vAlign w:val="center"/>
            <w:hideMark/>
          </w:tcPr>
          <w:p w14:paraId="0861887D"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332.094.278</w:t>
            </w:r>
          </w:p>
        </w:tc>
        <w:tc>
          <w:tcPr>
            <w:tcW w:w="1086" w:type="dxa"/>
            <w:tcBorders>
              <w:top w:val="nil"/>
              <w:left w:val="nil"/>
              <w:bottom w:val="single" w:sz="4" w:space="0" w:color="auto"/>
              <w:right w:val="single" w:sz="4" w:space="0" w:color="auto"/>
            </w:tcBorders>
            <w:shd w:val="clear" w:color="auto" w:fill="auto"/>
            <w:vAlign w:val="center"/>
            <w:hideMark/>
          </w:tcPr>
          <w:p w14:paraId="20BDCC66"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88,2</w:t>
            </w:r>
          </w:p>
        </w:tc>
        <w:tc>
          <w:tcPr>
            <w:tcW w:w="1086" w:type="dxa"/>
            <w:tcBorders>
              <w:top w:val="nil"/>
              <w:left w:val="nil"/>
              <w:bottom w:val="single" w:sz="4" w:space="0" w:color="auto"/>
              <w:right w:val="single" w:sz="4" w:space="0" w:color="auto"/>
            </w:tcBorders>
            <w:shd w:val="clear" w:color="auto" w:fill="auto"/>
            <w:vAlign w:val="center"/>
            <w:hideMark/>
          </w:tcPr>
          <w:p w14:paraId="2C57263E"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86,9</w:t>
            </w:r>
          </w:p>
        </w:tc>
        <w:tc>
          <w:tcPr>
            <w:tcW w:w="1086" w:type="dxa"/>
            <w:tcBorders>
              <w:top w:val="nil"/>
              <w:left w:val="nil"/>
              <w:bottom w:val="single" w:sz="4" w:space="0" w:color="auto"/>
              <w:right w:val="single" w:sz="4" w:space="0" w:color="auto"/>
            </w:tcBorders>
            <w:shd w:val="clear" w:color="auto" w:fill="auto"/>
            <w:vAlign w:val="center"/>
            <w:hideMark/>
          </w:tcPr>
          <w:p w14:paraId="2662F36A"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98,5</w:t>
            </w:r>
          </w:p>
        </w:tc>
        <w:tc>
          <w:tcPr>
            <w:tcW w:w="884" w:type="dxa"/>
            <w:tcBorders>
              <w:top w:val="nil"/>
              <w:left w:val="nil"/>
              <w:bottom w:val="single" w:sz="4" w:space="0" w:color="auto"/>
              <w:right w:val="single" w:sz="4" w:space="0" w:color="auto"/>
            </w:tcBorders>
            <w:shd w:val="clear" w:color="auto" w:fill="auto"/>
            <w:vAlign w:val="center"/>
            <w:hideMark/>
          </w:tcPr>
          <w:p w14:paraId="3D20E9A6"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68,1</w:t>
            </w:r>
          </w:p>
        </w:tc>
      </w:tr>
      <w:tr w:rsidR="004B7622" w:rsidRPr="003F396C" w14:paraId="5B66E43C" w14:textId="77777777" w:rsidTr="00377989">
        <w:trPr>
          <w:trHeight w:val="177"/>
        </w:trPr>
        <w:tc>
          <w:tcPr>
            <w:tcW w:w="1427" w:type="dxa"/>
            <w:tcBorders>
              <w:top w:val="nil"/>
              <w:left w:val="single" w:sz="4" w:space="0" w:color="auto"/>
              <w:bottom w:val="double" w:sz="6" w:space="0" w:color="auto"/>
              <w:right w:val="single" w:sz="4" w:space="0" w:color="auto"/>
            </w:tcBorders>
            <w:shd w:val="clear" w:color="auto" w:fill="auto"/>
            <w:vAlign w:val="center"/>
            <w:hideMark/>
          </w:tcPr>
          <w:p w14:paraId="30480242" w14:textId="77777777" w:rsidR="004B7622" w:rsidRPr="003F396C" w:rsidRDefault="004B7622" w:rsidP="00377989">
            <w:pPr>
              <w:spacing w:after="0" w:line="240" w:lineRule="auto"/>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 xml:space="preserve">Skupaj dolg </w:t>
            </w:r>
          </w:p>
        </w:tc>
        <w:tc>
          <w:tcPr>
            <w:tcW w:w="1286" w:type="dxa"/>
            <w:tcBorders>
              <w:top w:val="nil"/>
              <w:left w:val="nil"/>
              <w:bottom w:val="double" w:sz="6" w:space="0" w:color="auto"/>
              <w:right w:val="single" w:sz="4" w:space="0" w:color="auto"/>
            </w:tcBorders>
            <w:shd w:val="clear" w:color="auto" w:fill="auto"/>
            <w:vAlign w:val="center"/>
            <w:hideMark/>
          </w:tcPr>
          <w:p w14:paraId="558B5ECA"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839.845.588</w:t>
            </w:r>
          </w:p>
        </w:tc>
        <w:tc>
          <w:tcPr>
            <w:tcW w:w="1136" w:type="dxa"/>
            <w:tcBorders>
              <w:top w:val="nil"/>
              <w:left w:val="nil"/>
              <w:bottom w:val="double" w:sz="6" w:space="0" w:color="auto"/>
              <w:right w:val="single" w:sz="4" w:space="0" w:color="auto"/>
            </w:tcBorders>
            <w:shd w:val="clear" w:color="auto" w:fill="auto"/>
            <w:vAlign w:val="center"/>
            <w:hideMark/>
          </w:tcPr>
          <w:p w14:paraId="5EC049CA"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688.629.256</w:t>
            </w:r>
          </w:p>
        </w:tc>
        <w:tc>
          <w:tcPr>
            <w:tcW w:w="1138" w:type="dxa"/>
            <w:tcBorders>
              <w:top w:val="nil"/>
              <w:left w:val="nil"/>
              <w:bottom w:val="double" w:sz="6" w:space="0" w:color="auto"/>
              <w:right w:val="single" w:sz="4" w:space="0" w:color="auto"/>
            </w:tcBorders>
            <w:shd w:val="clear" w:color="auto" w:fill="auto"/>
            <w:vAlign w:val="center"/>
            <w:hideMark/>
          </w:tcPr>
          <w:p w14:paraId="11DBC57E"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625.288.117</w:t>
            </w:r>
          </w:p>
        </w:tc>
        <w:tc>
          <w:tcPr>
            <w:tcW w:w="1086" w:type="dxa"/>
            <w:tcBorders>
              <w:top w:val="nil"/>
              <w:left w:val="nil"/>
              <w:bottom w:val="double" w:sz="6" w:space="0" w:color="auto"/>
              <w:right w:val="single" w:sz="4" w:space="0" w:color="auto"/>
            </w:tcBorders>
            <w:shd w:val="clear" w:color="auto" w:fill="auto"/>
            <w:vAlign w:val="center"/>
            <w:hideMark/>
          </w:tcPr>
          <w:p w14:paraId="373436F6"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82,0</w:t>
            </w:r>
          </w:p>
        </w:tc>
        <w:tc>
          <w:tcPr>
            <w:tcW w:w="1086" w:type="dxa"/>
            <w:tcBorders>
              <w:top w:val="nil"/>
              <w:left w:val="nil"/>
              <w:bottom w:val="double" w:sz="6" w:space="0" w:color="auto"/>
              <w:right w:val="single" w:sz="4" w:space="0" w:color="auto"/>
            </w:tcBorders>
            <w:shd w:val="clear" w:color="auto" w:fill="auto"/>
            <w:vAlign w:val="center"/>
            <w:hideMark/>
          </w:tcPr>
          <w:p w14:paraId="692D3A14"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74,5</w:t>
            </w:r>
          </w:p>
        </w:tc>
        <w:tc>
          <w:tcPr>
            <w:tcW w:w="1086" w:type="dxa"/>
            <w:tcBorders>
              <w:top w:val="nil"/>
              <w:left w:val="nil"/>
              <w:bottom w:val="double" w:sz="6" w:space="0" w:color="auto"/>
              <w:right w:val="single" w:sz="4" w:space="0" w:color="auto"/>
            </w:tcBorders>
            <w:shd w:val="clear" w:color="auto" w:fill="auto"/>
            <w:vAlign w:val="center"/>
            <w:hideMark/>
          </w:tcPr>
          <w:p w14:paraId="071A12BF"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90,8</w:t>
            </w:r>
          </w:p>
        </w:tc>
        <w:tc>
          <w:tcPr>
            <w:tcW w:w="884" w:type="dxa"/>
            <w:tcBorders>
              <w:top w:val="nil"/>
              <w:left w:val="nil"/>
              <w:bottom w:val="double" w:sz="6" w:space="0" w:color="auto"/>
              <w:right w:val="single" w:sz="4" w:space="0" w:color="auto"/>
            </w:tcBorders>
            <w:shd w:val="clear" w:color="auto" w:fill="auto"/>
            <w:vAlign w:val="center"/>
            <w:hideMark/>
          </w:tcPr>
          <w:p w14:paraId="0E4DD812"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68,1</w:t>
            </w:r>
          </w:p>
        </w:tc>
      </w:tr>
      <w:tr w:rsidR="004B7622" w:rsidRPr="003F396C" w14:paraId="055226F2" w14:textId="77777777" w:rsidTr="00377989">
        <w:trPr>
          <w:trHeight w:val="177"/>
        </w:trPr>
        <w:tc>
          <w:tcPr>
            <w:tcW w:w="9132" w:type="dxa"/>
            <w:gridSpan w:val="8"/>
            <w:tcBorders>
              <w:top w:val="nil"/>
              <w:left w:val="single" w:sz="4" w:space="0" w:color="auto"/>
              <w:bottom w:val="single" w:sz="4" w:space="0" w:color="auto"/>
              <w:right w:val="single" w:sz="4" w:space="0" w:color="000000"/>
            </w:tcBorders>
            <w:shd w:val="clear" w:color="000000" w:fill="DCE6F1"/>
            <w:vAlign w:val="center"/>
            <w:hideMark/>
          </w:tcPr>
          <w:p w14:paraId="154EA665" w14:textId="77777777" w:rsidR="004B7622" w:rsidRPr="003F396C" w:rsidRDefault="004B7622" w:rsidP="00377989">
            <w:pPr>
              <w:spacing w:after="0" w:line="240" w:lineRule="auto"/>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 xml:space="preserve">Zavod za pokojninsko in invalidsko zavarovanje </w:t>
            </w:r>
          </w:p>
        </w:tc>
      </w:tr>
      <w:tr w:rsidR="004B7622" w:rsidRPr="003F396C" w14:paraId="44F7563E" w14:textId="77777777" w:rsidTr="00377989">
        <w:trPr>
          <w:trHeight w:val="177"/>
        </w:trPr>
        <w:tc>
          <w:tcPr>
            <w:tcW w:w="1427" w:type="dxa"/>
            <w:tcBorders>
              <w:top w:val="nil"/>
              <w:left w:val="single" w:sz="4" w:space="0" w:color="auto"/>
              <w:bottom w:val="single" w:sz="4" w:space="0" w:color="auto"/>
              <w:right w:val="single" w:sz="4" w:space="0" w:color="auto"/>
            </w:tcBorders>
            <w:shd w:val="clear" w:color="auto" w:fill="auto"/>
            <w:vAlign w:val="center"/>
            <w:hideMark/>
          </w:tcPr>
          <w:p w14:paraId="3BACB282" w14:textId="77777777" w:rsidR="004B7622" w:rsidRPr="003F396C" w:rsidRDefault="004B7622" w:rsidP="00377989">
            <w:pPr>
              <w:spacing w:after="0" w:line="240" w:lineRule="auto"/>
              <w:rPr>
                <w:rFonts w:ascii="Arial" w:eastAsia="Times New Roman" w:hAnsi="Arial" w:cs="Arial"/>
                <w:sz w:val="18"/>
                <w:szCs w:val="18"/>
                <w:lang w:eastAsia="sl-SI"/>
              </w:rPr>
            </w:pPr>
            <w:r w:rsidRPr="003F396C">
              <w:rPr>
                <w:rFonts w:ascii="Arial" w:eastAsia="Times New Roman" w:hAnsi="Arial" w:cs="Arial"/>
                <w:sz w:val="18"/>
                <w:szCs w:val="18"/>
                <w:lang w:eastAsia="sl-SI"/>
              </w:rPr>
              <w:t xml:space="preserve">Aktivni dolg </w:t>
            </w:r>
          </w:p>
        </w:tc>
        <w:tc>
          <w:tcPr>
            <w:tcW w:w="1286" w:type="dxa"/>
            <w:tcBorders>
              <w:top w:val="nil"/>
              <w:left w:val="nil"/>
              <w:bottom w:val="single" w:sz="4" w:space="0" w:color="auto"/>
              <w:right w:val="single" w:sz="4" w:space="0" w:color="auto"/>
            </w:tcBorders>
            <w:shd w:val="clear" w:color="auto" w:fill="auto"/>
            <w:vAlign w:val="center"/>
            <w:hideMark/>
          </w:tcPr>
          <w:p w14:paraId="6B48FF96"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106.968.053</w:t>
            </w:r>
          </w:p>
        </w:tc>
        <w:tc>
          <w:tcPr>
            <w:tcW w:w="1136" w:type="dxa"/>
            <w:tcBorders>
              <w:top w:val="nil"/>
              <w:left w:val="nil"/>
              <w:bottom w:val="single" w:sz="4" w:space="0" w:color="auto"/>
              <w:right w:val="single" w:sz="4" w:space="0" w:color="auto"/>
            </w:tcBorders>
            <w:shd w:val="clear" w:color="auto" w:fill="auto"/>
            <w:vAlign w:val="center"/>
            <w:hideMark/>
          </w:tcPr>
          <w:p w14:paraId="6A821FF1"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87.807.470</w:t>
            </w:r>
          </w:p>
        </w:tc>
        <w:tc>
          <w:tcPr>
            <w:tcW w:w="1138" w:type="dxa"/>
            <w:tcBorders>
              <w:top w:val="nil"/>
              <w:left w:val="nil"/>
              <w:bottom w:val="single" w:sz="4" w:space="0" w:color="auto"/>
              <w:right w:val="single" w:sz="4" w:space="0" w:color="auto"/>
            </w:tcBorders>
            <w:shd w:val="clear" w:color="auto" w:fill="auto"/>
            <w:vAlign w:val="center"/>
            <w:hideMark/>
          </w:tcPr>
          <w:p w14:paraId="1D104389"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82.535.740</w:t>
            </w:r>
          </w:p>
        </w:tc>
        <w:tc>
          <w:tcPr>
            <w:tcW w:w="1086" w:type="dxa"/>
            <w:tcBorders>
              <w:top w:val="nil"/>
              <w:left w:val="nil"/>
              <w:bottom w:val="single" w:sz="4" w:space="0" w:color="auto"/>
              <w:right w:val="single" w:sz="4" w:space="0" w:color="auto"/>
            </w:tcBorders>
            <w:shd w:val="clear" w:color="auto" w:fill="auto"/>
            <w:vAlign w:val="center"/>
            <w:hideMark/>
          </w:tcPr>
          <w:p w14:paraId="13FB903A"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82,1</w:t>
            </w:r>
          </w:p>
        </w:tc>
        <w:tc>
          <w:tcPr>
            <w:tcW w:w="1086" w:type="dxa"/>
            <w:tcBorders>
              <w:top w:val="nil"/>
              <w:left w:val="nil"/>
              <w:bottom w:val="single" w:sz="4" w:space="0" w:color="auto"/>
              <w:right w:val="single" w:sz="4" w:space="0" w:color="auto"/>
            </w:tcBorders>
            <w:shd w:val="clear" w:color="auto" w:fill="auto"/>
            <w:vAlign w:val="center"/>
            <w:hideMark/>
          </w:tcPr>
          <w:p w14:paraId="34D8B00D"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77,2</w:t>
            </w:r>
          </w:p>
        </w:tc>
        <w:tc>
          <w:tcPr>
            <w:tcW w:w="1086" w:type="dxa"/>
            <w:tcBorders>
              <w:top w:val="nil"/>
              <w:left w:val="nil"/>
              <w:bottom w:val="single" w:sz="4" w:space="0" w:color="auto"/>
              <w:right w:val="single" w:sz="4" w:space="0" w:color="auto"/>
            </w:tcBorders>
            <w:shd w:val="clear" w:color="auto" w:fill="auto"/>
            <w:vAlign w:val="center"/>
            <w:hideMark/>
          </w:tcPr>
          <w:p w14:paraId="77E6B84A"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94,0</w:t>
            </w:r>
          </w:p>
        </w:tc>
        <w:tc>
          <w:tcPr>
            <w:tcW w:w="884" w:type="dxa"/>
            <w:tcBorders>
              <w:top w:val="nil"/>
              <w:left w:val="nil"/>
              <w:bottom w:val="single" w:sz="4" w:space="0" w:color="auto"/>
              <w:right w:val="single" w:sz="4" w:space="0" w:color="auto"/>
            </w:tcBorders>
            <w:shd w:val="clear" w:color="auto" w:fill="auto"/>
            <w:vAlign w:val="center"/>
            <w:hideMark/>
          </w:tcPr>
          <w:p w14:paraId="6938D95B"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19,1</w:t>
            </w:r>
          </w:p>
        </w:tc>
      </w:tr>
      <w:tr w:rsidR="004B7622" w:rsidRPr="003F396C" w14:paraId="01510CED" w14:textId="77777777" w:rsidTr="00377989">
        <w:trPr>
          <w:trHeight w:val="177"/>
        </w:trPr>
        <w:tc>
          <w:tcPr>
            <w:tcW w:w="1427" w:type="dxa"/>
            <w:tcBorders>
              <w:top w:val="nil"/>
              <w:left w:val="single" w:sz="4" w:space="0" w:color="auto"/>
              <w:bottom w:val="single" w:sz="4" w:space="0" w:color="auto"/>
              <w:right w:val="single" w:sz="4" w:space="0" w:color="auto"/>
            </w:tcBorders>
            <w:shd w:val="clear" w:color="auto" w:fill="auto"/>
            <w:vAlign w:val="center"/>
            <w:hideMark/>
          </w:tcPr>
          <w:p w14:paraId="5FB46EB9" w14:textId="77777777" w:rsidR="004B7622" w:rsidRPr="003F396C" w:rsidRDefault="004B7622" w:rsidP="00377989">
            <w:pPr>
              <w:spacing w:after="0" w:line="240" w:lineRule="auto"/>
              <w:rPr>
                <w:rFonts w:ascii="Arial" w:eastAsia="Times New Roman" w:hAnsi="Arial" w:cs="Arial"/>
                <w:sz w:val="18"/>
                <w:szCs w:val="18"/>
                <w:lang w:eastAsia="sl-SI"/>
              </w:rPr>
            </w:pPr>
            <w:r w:rsidRPr="003F396C">
              <w:rPr>
                <w:rFonts w:ascii="Arial" w:eastAsia="Times New Roman" w:hAnsi="Arial" w:cs="Arial"/>
                <w:sz w:val="18"/>
                <w:szCs w:val="18"/>
                <w:lang w:eastAsia="sl-SI"/>
              </w:rPr>
              <w:t xml:space="preserve">Pogojno izterljivi dolg </w:t>
            </w:r>
          </w:p>
        </w:tc>
        <w:tc>
          <w:tcPr>
            <w:tcW w:w="1286" w:type="dxa"/>
            <w:tcBorders>
              <w:top w:val="nil"/>
              <w:left w:val="nil"/>
              <w:bottom w:val="single" w:sz="4" w:space="0" w:color="auto"/>
              <w:right w:val="single" w:sz="4" w:space="0" w:color="auto"/>
            </w:tcBorders>
            <w:shd w:val="clear" w:color="auto" w:fill="auto"/>
            <w:vAlign w:val="center"/>
            <w:hideMark/>
          </w:tcPr>
          <w:p w14:paraId="2808A61F"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97.996.940</w:t>
            </w:r>
          </w:p>
        </w:tc>
        <w:tc>
          <w:tcPr>
            <w:tcW w:w="1136" w:type="dxa"/>
            <w:tcBorders>
              <w:top w:val="nil"/>
              <w:left w:val="nil"/>
              <w:bottom w:val="single" w:sz="4" w:space="0" w:color="auto"/>
              <w:right w:val="single" w:sz="4" w:space="0" w:color="auto"/>
            </w:tcBorders>
            <w:shd w:val="clear" w:color="auto" w:fill="auto"/>
            <w:vAlign w:val="center"/>
            <w:hideMark/>
          </w:tcPr>
          <w:p w14:paraId="6ED9B0DA"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98.411.157</w:t>
            </w:r>
          </w:p>
        </w:tc>
        <w:tc>
          <w:tcPr>
            <w:tcW w:w="1138" w:type="dxa"/>
            <w:tcBorders>
              <w:top w:val="nil"/>
              <w:left w:val="nil"/>
              <w:bottom w:val="single" w:sz="4" w:space="0" w:color="auto"/>
              <w:right w:val="single" w:sz="4" w:space="0" w:color="auto"/>
            </w:tcBorders>
            <w:shd w:val="clear" w:color="auto" w:fill="auto"/>
            <w:vAlign w:val="center"/>
            <w:hideMark/>
          </w:tcPr>
          <w:p w14:paraId="306280E0"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94.652.465</w:t>
            </w:r>
          </w:p>
        </w:tc>
        <w:tc>
          <w:tcPr>
            <w:tcW w:w="1086" w:type="dxa"/>
            <w:tcBorders>
              <w:top w:val="nil"/>
              <w:left w:val="nil"/>
              <w:bottom w:val="single" w:sz="4" w:space="0" w:color="auto"/>
              <w:right w:val="single" w:sz="4" w:space="0" w:color="auto"/>
            </w:tcBorders>
            <w:shd w:val="clear" w:color="auto" w:fill="auto"/>
            <w:vAlign w:val="center"/>
            <w:hideMark/>
          </w:tcPr>
          <w:p w14:paraId="4DF6D795"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100,4</w:t>
            </w:r>
          </w:p>
        </w:tc>
        <w:tc>
          <w:tcPr>
            <w:tcW w:w="1086" w:type="dxa"/>
            <w:tcBorders>
              <w:top w:val="nil"/>
              <w:left w:val="nil"/>
              <w:bottom w:val="single" w:sz="4" w:space="0" w:color="auto"/>
              <w:right w:val="single" w:sz="4" w:space="0" w:color="auto"/>
            </w:tcBorders>
            <w:shd w:val="clear" w:color="auto" w:fill="auto"/>
            <w:vAlign w:val="center"/>
            <w:hideMark/>
          </w:tcPr>
          <w:p w14:paraId="11B9508A"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96,6</w:t>
            </w:r>
          </w:p>
        </w:tc>
        <w:tc>
          <w:tcPr>
            <w:tcW w:w="1086" w:type="dxa"/>
            <w:tcBorders>
              <w:top w:val="nil"/>
              <w:left w:val="nil"/>
              <w:bottom w:val="single" w:sz="4" w:space="0" w:color="auto"/>
              <w:right w:val="single" w:sz="4" w:space="0" w:color="auto"/>
            </w:tcBorders>
            <w:shd w:val="clear" w:color="auto" w:fill="auto"/>
            <w:vAlign w:val="center"/>
            <w:hideMark/>
          </w:tcPr>
          <w:p w14:paraId="0D5376B5"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96,2</w:t>
            </w:r>
          </w:p>
        </w:tc>
        <w:tc>
          <w:tcPr>
            <w:tcW w:w="884" w:type="dxa"/>
            <w:tcBorders>
              <w:top w:val="nil"/>
              <w:left w:val="nil"/>
              <w:bottom w:val="single" w:sz="4" w:space="0" w:color="auto"/>
              <w:right w:val="single" w:sz="4" w:space="0" w:color="auto"/>
            </w:tcBorders>
            <w:shd w:val="clear" w:color="auto" w:fill="auto"/>
            <w:vAlign w:val="center"/>
            <w:hideMark/>
          </w:tcPr>
          <w:p w14:paraId="55FDB68C"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19,4</w:t>
            </w:r>
          </w:p>
        </w:tc>
      </w:tr>
      <w:tr w:rsidR="004B7622" w:rsidRPr="003F396C" w14:paraId="295605A3" w14:textId="77777777" w:rsidTr="00377989">
        <w:trPr>
          <w:trHeight w:val="177"/>
        </w:trPr>
        <w:tc>
          <w:tcPr>
            <w:tcW w:w="1427" w:type="dxa"/>
            <w:tcBorders>
              <w:top w:val="nil"/>
              <w:left w:val="single" w:sz="4" w:space="0" w:color="auto"/>
              <w:bottom w:val="double" w:sz="6" w:space="0" w:color="auto"/>
              <w:right w:val="single" w:sz="4" w:space="0" w:color="auto"/>
            </w:tcBorders>
            <w:shd w:val="clear" w:color="auto" w:fill="auto"/>
            <w:vAlign w:val="center"/>
            <w:hideMark/>
          </w:tcPr>
          <w:p w14:paraId="1D69A170" w14:textId="77777777" w:rsidR="004B7622" w:rsidRPr="003F396C" w:rsidRDefault="004B7622" w:rsidP="00377989">
            <w:pPr>
              <w:spacing w:after="0" w:line="240" w:lineRule="auto"/>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 xml:space="preserve">Skupaj dolg </w:t>
            </w:r>
          </w:p>
        </w:tc>
        <w:tc>
          <w:tcPr>
            <w:tcW w:w="1286" w:type="dxa"/>
            <w:tcBorders>
              <w:top w:val="nil"/>
              <w:left w:val="nil"/>
              <w:bottom w:val="double" w:sz="6" w:space="0" w:color="auto"/>
              <w:right w:val="single" w:sz="4" w:space="0" w:color="auto"/>
            </w:tcBorders>
            <w:shd w:val="clear" w:color="auto" w:fill="auto"/>
            <w:vAlign w:val="center"/>
            <w:hideMark/>
          </w:tcPr>
          <w:p w14:paraId="78630826"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204.964.993</w:t>
            </w:r>
          </w:p>
        </w:tc>
        <w:tc>
          <w:tcPr>
            <w:tcW w:w="1136" w:type="dxa"/>
            <w:tcBorders>
              <w:top w:val="nil"/>
              <w:left w:val="nil"/>
              <w:bottom w:val="double" w:sz="6" w:space="0" w:color="auto"/>
              <w:right w:val="single" w:sz="4" w:space="0" w:color="auto"/>
            </w:tcBorders>
            <w:shd w:val="clear" w:color="auto" w:fill="auto"/>
            <w:vAlign w:val="center"/>
            <w:hideMark/>
          </w:tcPr>
          <w:p w14:paraId="0A3C8392"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186.218.627</w:t>
            </w:r>
          </w:p>
        </w:tc>
        <w:tc>
          <w:tcPr>
            <w:tcW w:w="1138" w:type="dxa"/>
            <w:tcBorders>
              <w:top w:val="nil"/>
              <w:left w:val="nil"/>
              <w:bottom w:val="double" w:sz="6" w:space="0" w:color="auto"/>
              <w:right w:val="single" w:sz="4" w:space="0" w:color="auto"/>
            </w:tcBorders>
            <w:shd w:val="clear" w:color="auto" w:fill="auto"/>
            <w:vAlign w:val="center"/>
            <w:hideMark/>
          </w:tcPr>
          <w:p w14:paraId="4E90272B"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177.188.205</w:t>
            </w:r>
          </w:p>
        </w:tc>
        <w:tc>
          <w:tcPr>
            <w:tcW w:w="1086" w:type="dxa"/>
            <w:tcBorders>
              <w:top w:val="nil"/>
              <w:left w:val="nil"/>
              <w:bottom w:val="double" w:sz="6" w:space="0" w:color="auto"/>
              <w:right w:val="single" w:sz="4" w:space="0" w:color="auto"/>
            </w:tcBorders>
            <w:shd w:val="clear" w:color="auto" w:fill="auto"/>
            <w:vAlign w:val="center"/>
            <w:hideMark/>
          </w:tcPr>
          <w:p w14:paraId="0B3B8021"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90,9</w:t>
            </w:r>
          </w:p>
        </w:tc>
        <w:tc>
          <w:tcPr>
            <w:tcW w:w="1086" w:type="dxa"/>
            <w:tcBorders>
              <w:top w:val="nil"/>
              <w:left w:val="nil"/>
              <w:bottom w:val="double" w:sz="6" w:space="0" w:color="auto"/>
              <w:right w:val="single" w:sz="4" w:space="0" w:color="auto"/>
            </w:tcBorders>
            <w:shd w:val="clear" w:color="auto" w:fill="auto"/>
            <w:vAlign w:val="center"/>
            <w:hideMark/>
          </w:tcPr>
          <w:p w14:paraId="04AF2DDC"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86,4</w:t>
            </w:r>
          </w:p>
        </w:tc>
        <w:tc>
          <w:tcPr>
            <w:tcW w:w="1086" w:type="dxa"/>
            <w:tcBorders>
              <w:top w:val="nil"/>
              <w:left w:val="nil"/>
              <w:bottom w:val="double" w:sz="6" w:space="0" w:color="auto"/>
              <w:right w:val="single" w:sz="4" w:space="0" w:color="auto"/>
            </w:tcBorders>
            <w:shd w:val="clear" w:color="auto" w:fill="auto"/>
            <w:vAlign w:val="center"/>
            <w:hideMark/>
          </w:tcPr>
          <w:p w14:paraId="4F7F096B"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95,2</w:t>
            </w:r>
          </w:p>
        </w:tc>
        <w:tc>
          <w:tcPr>
            <w:tcW w:w="884" w:type="dxa"/>
            <w:tcBorders>
              <w:top w:val="nil"/>
              <w:left w:val="nil"/>
              <w:bottom w:val="double" w:sz="6" w:space="0" w:color="auto"/>
              <w:right w:val="single" w:sz="4" w:space="0" w:color="auto"/>
            </w:tcBorders>
            <w:shd w:val="clear" w:color="auto" w:fill="auto"/>
            <w:vAlign w:val="center"/>
            <w:hideMark/>
          </w:tcPr>
          <w:p w14:paraId="57992610"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19,3</w:t>
            </w:r>
          </w:p>
        </w:tc>
      </w:tr>
      <w:tr w:rsidR="004B7622" w:rsidRPr="003F396C" w14:paraId="2DA44DB2" w14:textId="77777777" w:rsidTr="00377989">
        <w:trPr>
          <w:trHeight w:val="142"/>
        </w:trPr>
        <w:tc>
          <w:tcPr>
            <w:tcW w:w="9132" w:type="dxa"/>
            <w:gridSpan w:val="8"/>
            <w:tcBorders>
              <w:top w:val="nil"/>
              <w:left w:val="single" w:sz="4" w:space="0" w:color="auto"/>
              <w:bottom w:val="single" w:sz="4" w:space="0" w:color="auto"/>
              <w:right w:val="single" w:sz="4" w:space="0" w:color="000000"/>
            </w:tcBorders>
            <w:shd w:val="clear" w:color="000000" w:fill="DCE6F1"/>
            <w:vAlign w:val="center"/>
            <w:hideMark/>
          </w:tcPr>
          <w:p w14:paraId="6422FF2D" w14:textId="77777777" w:rsidR="004B7622" w:rsidRPr="003F396C" w:rsidRDefault="004B7622" w:rsidP="00377989">
            <w:pPr>
              <w:spacing w:after="0" w:line="240" w:lineRule="auto"/>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 xml:space="preserve">Zavod za zdravstveno zavarovanje Slovenije </w:t>
            </w:r>
          </w:p>
        </w:tc>
      </w:tr>
      <w:tr w:rsidR="004B7622" w:rsidRPr="003F396C" w14:paraId="329604B1" w14:textId="77777777" w:rsidTr="00377989">
        <w:trPr>
          <w:trHeight w:val="177"/>
        </w:trPr>
        <w:tc>
          <w:tcPr>
            <w:tcW w:w="1427" w:type="dxa"/>
            <w:tcBorders>
              <w:top w:val="nil"/>
              <w:left w:val="single" w:sz="4" w:space="0" w:color="auto"/>
              <w:bottom w:val="single" w:sz="4" w:space="0" w:color="auto"/>
              <w:right w:val="single" w:sz="4" w:space="0" w:color="auto"/>
            </w:tcBorders>
            <w:shd w:val="clear" w:color="auto" w:fill="auto"/>
            <w:vAlign w:val="center"/>
            <w:hideMark/>
          </w:tcPr>
          <w:p w14:paraId="1345722B" w14:textId="77777777" w:rsidR="004B7622" w:rsidRPr="003F396C" w:rsidRDefault="004B7622" w:rsidP="00377989">
            <w:pPr>
              <w:spacing w:after="0" w:line="240" w:lineRule="auto"/>
              <w:rPr>
                <w:rFonts w:ascii="Arial" w:eastAsia="Times New Roman" w:hAnsi="Arial" w:cs="Arial"/>
                <w:sz w:val="18"/>
                <w:szCs w:val="18"/>
                <w:lang w:eastAsia="sl-SI"/>
              </w:rPr>
            </w:pPr>
            <w:r w:rsidRPr="003F396C">
              <w:rPr>
                <w:rFonts w:ascii="Arial" w:eastAsia="Times New Roman" w:hAnsi="Arial" w:cs="Arial"/>
                <w:sz w:val="18"/>
                <w:szCs w:val="18"/>
                <w:lang w:eastAsia="sl-SI"/>
              </w:rPr>
              <w:t xml:space="preserve">Aktivni dolg </w:t>
            </w:r>
          </w:p>
        </w:tc>
        <w:tc>
          <w:tcPr>
            <w:tcW w:w="1286" w:type="dxa"/>
            <w:tcBorders>
              <w:top w:val="nil"/>
              <w:left w:val="nil"/>
              <w:bottom w:val="single" w:sz="4" w:space="0" w:color="auto"/>
              <w:right w:val="single" w:sz="4" w:space="0" w:color="auto"/>
            </w:tcBorders>
            <w:shd w:val="clear" w:color="auto" w:fill="auto"/>
            <w:vAlign w:val="center"/>
            <w:hideMark/>
          </w:tcPr>
          <w:p w14:paraId="6A39A08E"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55.309.084</w:t>
            </w:r>
          </w:p>
        </w:tc>
        <w:tc>
          <w:tcPr>
            <w:tcW w:w="1136" w:type="dxa"/>
            <w:tcBorders>
              <w:top w:val="nil"/>
              <w:left w:val="nil"/>
              <w:bottom w:val="single" w:sz="4" w:space="0" w:color="auto"/>
              <w:right w:val="single" w:sz="4" w:space="0" w:color="auto"/>
            </w:tcBorders>
            <w:shd w:val="clear" w:color="auto" w:fill="auto"/>
            <w:vAlign w:val="center"/>
            <w:hideMark/>
          </w:tcPr>
          <w:p w14:paraId="3FD1459F"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46.118.955</w:t>
            </w:r>
          </w:p>
        </w:tc>
        <w:tc>
          <w:tcPr>
            <w:tcW w:w="1138" w:type="dxa"/>
            <w:tcBorders>
              <w:top w:val="nil"/>
              <w:left w:val="nil"/>
              <w:bottom w:val="single" w:sz="4" w:space="0" w:color="auto"/>
              <w:right w:val="single" w:sz="4" w:space="0" w:color="auto"/>
            </w:tcBorders>
            <w:shd w:val="clear" w:color="auto" w:fill="auto"/>
            <w:vAlign w:val="center"/>
            <w:hideMark/>
          </w:tcPr>
          <w:p w14:paraId="5A68BD07"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43.064.073</w:t>
            </w:r>
          </w:p>
        </w:tc>
        <w:tc>
          <w:tcPr>
            <w:tcW w:w="1086" w:type="dxa"/>
            <w:tcBorders>
              <w:top w:val="nil"/>
              <w:left w:val="nil"/>
              <w:bottom w:val="single" w:sz="4" w:space="0" w:color="auto"/>
              <w:right w:val="single" w:sz="4" w:space="0" w:color="auto"/>
            </w:tcBorders>
            <w:shd w:val="clear" w:color="auto" w:fill="auto"/>
            <w:vAlign w:val="center"/>
            <w:hideMark/>
          </w:tcPr>
          <w:p w14:paraId="7F288E54"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83,4</w:t>
            </w:r>
          </w:p>
        </w:tc>
        <w:tc>
          <w:tcPr>
            <w:tcW w:w="1086" w:type="dxa"/>
            <w:tcBorders>
              <w:top w:val="nil"/>
              <w:left w:val="nil"/>
              <w:bottom w:val="single" w:sz="4" w:space="0" w:color="auto"/>
              <w:right w:val="single" w:sz="4" w:space="0" w:color="auto"/>
            </w:tcBorders>
            <w:shd w:val="clear" w:color="auto" w:fill="auto"/>
            <w:vAlign w:val="center"/>
            <w:hideMark/>
          </w:tcPr>
          <w:p w14:paraId="51E93615"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77,9</w:t>
            </w:r>
          </w:p>
        </w:tc>
        <w:tc>
          <w:tcPr>
            <w:tcW w:w="1086" w:type="dxa"/>
            <w:tcBorders>
              <w:top w:val="nil"/>
              <w:left w:val="nil"/>
              <w:bottom w:val="single" w:sz="4" w:space="0" w:color="auto"/>
              <w:right w:val="single" w:sz="4" w:space="0" w:color="auto"/>
            </w:tcBorders>
            <w:shd w:val="clear" w:color="auto" w:fill="auto"/>
            <w:vAlign w:val="center"/>
            <w:hideMark/>
          </w:tcPr>
          <w:p w14:paraId="7ACCB059"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93,4</w:t>
            </w:r>
          </w:p>
        </w:tc>
        <w:tc>
          <w:tcPr>
            <w:tcW w:w="884" w:type="dxa"/>
            <w:tcBorders>
              <w:top w:val="nil"/>
              <w:left w:val="nil"/>
              <w:bottom w:val="single" w:sz="4" w:space="0" w:color="auto"/>
              <w:right w:val="single" w:sz="4" w:space="0" w:color="auto"/>
            </w:tcBorders>
            <w:shd w:val="clear" w:color="auto" w:fill="auto"/>
            <w:vAlign w:val="center"/>
            <w:hideMark/>
          </w:tcPr>
          <w:p w14:paraId="199635AE"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10,0</w:t>
            </w:r>
          </w:p>
        </w:tc>
      </w:tr>
      <w:tr w:rsidR="004B7622" w:rsidRPr="003F396C" w14:paraId="126F0C7E" w14:textId="77777777" w:rsidTr="00377989">
        <w:trPr>
          <w:trHeight w:val="177"/>
        </w:trPr>
        <w:tc>
          <w:tcPr>
            <w:tcW w:w="1427" w:type="dxa"/>
            <w:tcBorders>
              <w:top w:val="nil"/>
              <w:left w:val="single" w:sz="4" w:space="0" w:color="auto"/>
              <w:bottom w:val="single" w:sz="4" w:space="0" w:color="auto"/>
              <w:right w:val="single" w:sz="4" w:space="0" w:color="auto"/>
            </w:tcBorders>
            <w:shd w:val="clear" w:color="auto" w:fill="auto"/>
            <w:vAlign w:val="center"/>
            <w:hideMark/>
          </w:tcPr>
          <w:p w14:paraId="403EC1C8" w14:textId="77777777" w:rsidR="004B7622" w:rsidRPr="003F396C" w:rsidRDefault="004B7622" w:rsidP="00377989">
            <w:pPr>
              <w:spacing w:after="0" w:line="240" w:lineRule="auto"/>
              <w:rPr>
                <w:rFonts w:ascii="Arial" w:eastAsia="Times New Roman" w:hAnsi="Arial" w:cs="Arial"/>
                <w:sz w:val="18"/>
                <w:szCs w:val="18"/>
                <w:lang w:eastAsia="sl-SI"/>
              </w:rPr>
            </w:pPr>
            <w:r w:rsidRPr="003F396C">
              <w:rPr>
                <w:rFonts w:ascii="Arial" w:eastAsia="Times New Roman" w:hAnsi="Arial" w:cs="Arial"/>
                <w:sz w:val="18"/>
                <w:szCs w:val="18"/>
                <w:lang w:eastAsia="sl-SI"/>
              </w:rPr>
              <w:t xml:space="preserve">Pogojno izterljivi dolg </w:t>
            </w:r>
          </w:p>
        </w:tc>
        <w:tc>
          <w:tcPr>
            <w:tcW w:w="1286" w:type="dxa"/>
            <w:tcBorders>
              <w:top w:val="nil"/>
              <w:left w:val="nil"/>
              <w:bottom w:val="single" w:sz="4" w:space="0" w:color="auto"/>
              <w:right w:val="single" w:sz="4" w:space="0" w:color="auto"/>
            </w:tcBorders>
            <w:shd w:val="clear" w:color="auto" w:fill="auto"/>
            <w:vAlign w:val="center"/>
            <w:hideMark/>
          </w:tcPr>
          <w:p w14:paraId="429CFA6F"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45.773.576</w:t>
            </w:r>
          </w:p>
        </w:tc>
        <w:tc>
          <w:tcPr>
            <w:tcW w:w="1136" w:type="dxa"/>
            <w:tcBorders>
              <w:top w:val="nil"/>
              <w:left w:val="nil"/>
              <w:bottom w:val="single" w:sz="4" w:space="0" w:color="auto"/>
              <w:right w:val="single" w:sz="4" w:space="0" w:color="auto"/>
            </w:tcBorders>
            <w:shd w:val="clear" w:color="auto" w:fill="auto"/>
            <w:vAlign w:val="center"/>
            <w:hideMark/>
          </w:tcPr>
          <w:p w14:paraId="1B4059EE"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46.614.890</w:t>
            </w:r>
          </w:p>
        </w:tc>
        <w:tc>
          <w:tcPr>
            <w:tcW w:w="1138" w:type="dxa"/>
            <w:tcBorders>
              <w:top w:val="nil"/>
              <w:left w:val="nil"/>
              <w:bottom w:val="single" w:sz="4" w:space="0" w:color="auto"/>
              <w:right w:val="single" w:sz="4" w:space="0" w:color="auto"/>
            </w:tcBorders>
            <w:shd w:val="clear" w:color="auto" w:fill="auto"/>
            <w:vAlign w:val="center"/>
            <w:hideMark/>
          </w:tcPr>
          <w:p w14:paraId="0EC6BEA1"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44.943.699</w:t>
            </w:r>
          </w:p>
        </w:tc>
        <w:tc>
          <w:tcPr>
            <w:tcW w:w="1086" w:type="dxa"/>
            <w:tcBorders>
              <w:top w:val="nil"/>
              <w:left w:val="nil"/>
              <w:bottom w:val="single" w:sz="4" w:space="0" w:color="auto"/>
              <w:right w:val="single" w:sz="4" w:space="0" w:color="auto"/>
            </w:tcBorders>
            <w:shd w:val="clear" w:color="auto" w:fill="auto"/>
            <w:vAlign w:val="center"/>
            <w:hideMark/>
          </w:tcPr>
          <w:p w14:paraId="798BDEAE"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101,8</w:t>
            </w:r>
          </w:p>
        </w:tc>
        <w:tc>
          <w:tcPr>
            <w:tcW w:w="1086" w:type="dxa"/>
            <w:tcBorders>
              <w:top w:val="nil"/>
              <w:left w:val="nil"/>
              <w:bottom w:val="single" w:sz="4" w:space="0" w:color="auto"/>
              <w:right w:val="single" w:sz="4" w:space="0" w:color="auto"/>
            </w:tcBorders>
            <w:shd w:val="clear" w:color="auto" w:fill="auto"/>
            <w:vAlign w:val="center"/>
            <w:hideMark/>
          </w:tcPr>
          <w:p w14:paraId="05EAC242"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98,2</w:t>
            </w:r>
          </w:p>
        </w:tc>
        <w:tc>
          <w:tcPr>
            <w:tcW w:w="1086" w:type="dxa"/>
            <w:tcBorders>
              <w:top w:val="nil"/>
              <w:left w:val="nil"/>
              <w:bottom w:val="single" w:sz="4" w:space="0" w:color="auto"/>
              <w:right w:val="single" w:sz="4" w:space="0" w:color="auto"/>
            </w:tcBorders>
            <w:shd w:val="clear" w:color="auto" w:fill="auto"/>
            <w:vAlign w:val="center"/>
            <w:hideMark/>
          </w:tcPr>
          <w:p w14:paraId="1A2B19FF"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96,4</w:t>
            </w:r>
          </w:p>
        </w:tc>
        <w:tc>
          <w:tcPr>
            <w:tcW w:w="884" w:type="dxa"/>
            <w:tcBorders>
              <w:top w:val="nil"/>
              <w:left w:val="nil"/>
              <w:bottom w:val="single" w:sz="4" w:space="0" w:color="auto"/>
              <w:right w:val="single" w:sz="4" w:space="0" w:color="auto"/>
            </w:tcBorders>
            <w:shd w:val="clear" w:color="auto" w:fill="auto"/>
            <w:vAlign w:val="center"/>
            <w:hideMark/>
          </w:tcPr>
          <w:p w14:paraId="02911213"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9,2</w:t>
            </w:r>
          </w:p>
        </w:tc>
      </w:tr>
      <w:tr w:rsidR="004B7622" w:rsidRPr="003F396C" w14:paraId="0207CAD5" w14:textId="77777777" w:rsidTr="00377989">
        <w:trPr>
          <w:trHeight w:val="177"/>
        </w:trPr>
        <w:tc>
          <w:tcPr>
            <w:tcW w:w="1427" w:type="dxa"/>
            <w:tcBorders>
              <w:top w:val="nil"/>
              <w:left w:val="single" w:sz="4" w:space="0" w:color="auto"/>
              <w:bottom w:val="double" w:sz="6" w:space="0" w:color="auto"/>
              <w:right w:val="single" w:sz="4" w:space="0" w:color="auto"/>
            </w:tcBorders>
            <w:shd w:val="clear" w:color="auto" w:fill="auto"/>
            <w:vAlign w:val="center"/>
            <w:hideMark/>
          </w:tcPr>
          <w:p w14:paraId="493EE9FC" w14:textId="77777777" w:rsidR="004B7622" w:rsidRPr="003F396C" w:rsidRDefault="004B7622" w:rsidP="00377989">
            <w:pPr>
              <w:spacing w:after="0" w:line="240" w:lineRule="auto"/>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 xml:space="preserve">Skupaj dolg </w:t>
            </w:r>
          </w:p>
        </w:tc>
        <w:tc>
          <w:tcPr>
            <w:tcW w:w="1286" w:type="dxa"/>
            <w:tcBorders>
              <w:top w:val="nil"/>
              <w:left w:val="nil"/>
              <w:bottom w:val="double" w:sz="6" w:space="0" w:color="auto"/>
              <w:right w:val="single" w:sz="4" w:space="0" w:color="auto"/>
            </w:tcBorders>
            <w:shd w:val="clear" w:color="auto" w:fill="auto"/>
            <w:vAlign w:val="center"/>
            <w:hideMark/>
          </w:tcPr>
          <w:p w14:paraId="0DA33979"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101.082.660</w:t>
            </w:r>
          </w:p>
        </w:tc>
        <w:tc>
          <w:tcPr>
            <w:tcW w:w="1136" w:type="dxa"/>
            <w:tcBorders>
              <w:top w:val="nil"/>
              <w:left w:val="nil"/>
              <w:bottom w:val="double" w:sz="6" w:space="0" w:color="auto"/>
              <w:right w:val="single" w:sz="4" w:space="0" w:color="auto"/>
            </w:tcBorders>
            <w:shd w:val="clear" w:color="auto" w:fill="auto"/>
            <w:vAlign w:val="center"/>
            <w:hideMark/>
          </w:tcPr>
          <w:p w14:paraId="49E09107"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92.733.845</w:t>
            </w:r>
          </w:p>
        </w:tc>
        <w:tc>
          <w:tcPr>
            <w:tcW w:w="1138" w:type="dxa"/>
            <w:tcBorders>
              <w:top w:val="nil"/>
              <w:left w:val="nil"/>
              <w:bottom w:val="double" w:sz="6" w:space="0" w:color="auto"/>
              <w:right w:val="single" w:sz="4" w:space="0" w:color="auto"/>
            </w:tcBorders>
            <w:shd w:val="clear" w:color="auto" w:fill="auto"/>
            <w:vAlign w:val="center"/>
            <w:hideMark/>
          </w:tcPr>
          <w:p w14:paraId="47288A9E"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88.007.772</w:t>
            </w:r>
          </w:p>
        </w:tc>
        <w:tc>
          <w:tcPr>
            <w:tcW w:w="1086" w:type="dxa"/>
            <w:tcBorders>
              <w:top w:val="nil"/>
              <w:left w:val="nil"/>
              <w:bottom w:val="double" w:sz="6" w:space="0" w:color="auto"/>
              <w:right w:val="single" w:sz="4" w:space="0" w:color="auto"/>
            </w:tcBorders>
            <w:shd w:val="clear" w:color="auto" w:fill="auto"/>
            <w:vAlign w:val="center"/>
            <w:hideMark/>
          </w:tcPr>
          <w:p w14:paraId="795A9767"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91,7</w:t>
            </w:r>
          </w:p>
        </w:tc>
        <w:tc>
          <w:tcPr>
            <w:tcW w:w="1086" w:type="dxa"/>
            <w:tcBorders>
              <w:top w:val="nil"/>
              <w:left w:val="nil"/>
              <w:bottom w:val="double" w:sz="6" w:space="0" w:color="auto"/>
              <w:right w:val="single" w:sz="4" w:space="0" w:color="auto"/>
            </w:tcBorders>
            <w:shd w:val="clear" w:color="auto" w:fill="auto"/>
            <w:vAlign w:val="center"/>
            <w:hideMark/>
          </w:tcPr>
          <w:p w14:paraId="236F399D"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87,1</w:t>
            </w:r>
          </w:p>
        </w:tc>
        <w:tc>
          <w:tcPr>
            <w:tcW w:w="1086" w:type="dxa"/>
            <w:tcBorders>
              <w:top w:val="nil"/>
              <w:left w:val="nil"/>
              <w:bottom w:val="double" w:sz="6" w:space="0" w:color="auto"/>
              <w:right w:val="single" w:sz="4" w:space="0" w:color="auto"/>
            </w:tcBorders>
            <w:shd w:val="clear" w:color="auto" w:fill="auto"/>
            <w:vAlign w:val="center"/>
            <w:hideMark/>
          </w:tcPr>
          <w:p w14:paraId="7D0204CA"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94,9</w:t>
            </w:r>
          </w:p>
        </w:tc>
        <w:tc>
          <w:tcPr>
            <w:tcW w:w="884" w:type="dxa"/>
            <w:tcBorders>
              <w:top w:val="nil"/>
              <w:left w:val="nil"/>
              <w:bottom w:val="double" w:sz="6" w:space="0" w:color="auto"/>
              <w:right w:val="single" w:sz="4" w:space="0" w:color="auto"/>
            </w:tcBorders>
            <w:shd w:val="clear" w:color="auto" w:fill="auto"/>
            <w:vAlign w:val="center"/>
            <w:hideMark/>
          </w:tcPr>
          <w:p w14:paraId="517EA188"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9,6</w:t>
            </w:r>
          </w:p>
        </w:tc>
      </w:tr>
      <w:tr w:rsidR="004B7622" w:rsidRPr="003F396C" w14:paraId="27224E3A" w14:textId="77777777" w:rsidTr="00377989">
        <w:trPr>
          <w:trHeight w:val="150"/>
        </w:trPr>
        <w:tc>
          <w:tcPr>
            <w:tcW w:w="9132" w:type="dxa"/>
            <w:gridSpan w:val="8"/>
            <w:tcBorders>
              <w:top w:val="nil"/>
              <w:left w:val="single" w:sz="4" w:space="0" w:color="auto"/>
              <w:bottom w:val="single" w:sz="4" w:space="0" w:color="auto"/>
              <w:right w:val="single" w:sz="4" w:space="0" w:color="000000"/>
            </w:tcBorders>
            <w:shd w:val="clear" w:color="000000" w:fill="DCE6F1"/>
            <w:vAlign w:val="center"/>
            <w:hideMark/>
          </w:tcPr>
          <w:p w14:paraId="7FFCFA7B" w14:textId="77777777" w:rsidR="004B7622" w:rsidRPr="003F396C" w:rsidRDefault="004B7622" w:rsidP="00377989">
            <w:pPr>
              <w:spacing w:after="0" w:line="240" w:lineRule="auto"/>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Proračun občin</w:t>
            </w:r>
          </w:p>
        </w:tc>
      </w:tr>
      <w:tr w:rsidR="004B7622" w:rsidRPr="003F396C" w14:paraId="459B8C12" w14:textId="77777777" w:rsidTr="00377989">
        <w:trPr>
          <w:trHeight w:val="177"/>
        </w:trPr>
        <w:tc>
          <w:tcPr>
            <w:tcW w:w="1427" w:type="dxa"/>
            <w:tcBorders>
              <w:top w:val="nil"/>
              <w:left w:val="single" w:sz="4" w:space="0" w:color="auto"/>
              <w:bottom w:val="single" w:sz="4" w:space="0" w:color="auto"/>
              <w:right w:val="single" w:sz="4" w:space="0" w:color="auto"/>
            </w:tcBorders>
            <w:shd w:val="clear" w:color="auto" w:fill="auto"/>
            <w:vAlign w:val="center"/>
            <w:hideMark/>
          </w:tcPr>
          <w:p w14:paraId="6A1FD61E" w14:textId="77777777" w:rsidR="004B7622" w:rsidRPr="003F396C" w:rsidRDefault="004B7622" w:rsidP="00377989">
            <w:pPr>
              <w:spacing w:after="0" w:line="240" w:lineRule="auto"/>
              <w:rPr>
                <w:rFonts w:ascii="Arial" w:eastAsia="Times New Roman" w:hAnsi="Arial" w:cs="Arial"/>
                <w:sz w:val="18"/>
                <w:szCs w:val="18"/>
                <w:lang w:eastAsia="sl-SI"/>
              </w:rPr>
            </w:pPr>
            <w:r w:rsidRPr="003F396C">
              <w:rPr>
                <w:rFonts w:ascii="Arial" w:eastAsia="Times New Roman" w:hAnsi="Arial" w:cs="Arial"/>
                <w:sz w:val="18"/>
                <w:szCs w:val="18"/>
                <w:lang w:eastAsia="sl-SI"/>
              </w:rPr>
              <w:t xml:space="preserve">Aktivni dolg </w:t>
            </w:r>
          </w:p>
        </w:tc>
        <w:tc>
          <w:tcPr>
            <w:tcW w:w="1286" w:type="dxa"/>
            <w:tcBorders>
              <w:top w:val="nil"/>
              <w:left w:val="nil"/>
              <w:bottom w:val="single" w:sz="4" w:space="0" w:color="auto"/>
              <w:right w:val="single" w:sz="4" w:space="0" w:color="auto"/>
            </w:tcBorders>
            <w:shd w:val="clear" w:color="auto" w:fill="auto"/>
            <w:vAlign w:val="center"/>
            <w:hideMark/>
          </w:tcPr>
          <w:p w14:paraId="62662EF0"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16.536.624</w:t>
            </w:r>
          </w:p>
        </w:tc>
        <w:tc>
          <w:tcPr>
            <w:tcW w:w="1136" w:type="dxa"/>
            <w:tcBorders>
              <w:top w:val="nil"/>
              <w:left w:val="nil"/>
              <w:bottom w:val="single" w:sz="4" w:space="0" w:color="auto"/>
              <w:right w:val="single" w:sz="4" w:space="0" w:color="auto"/>
            </w:tcBorders>
            <w:shd w:val="clear" w:color="auto" w:fill="auto"/>
            <w:vAlign w:val="center"/>
            <w:hideMark/>
          </w:tcPr>
          <w:p w14:paraId="05239890"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13.153.340</w:t>
            </w:r>
          </w:p>
        </w:tc>
        <w:tc>
          <w:tcPr>
            <w:tcW w:w="1138" w:type="dxa"/>
            <w:tcBorders>
              <w:top w:val="nil"/>
              <w:left w:val="nil"/>
              <w:bottom w:val="single" w:sz="4" w:space="0" w:color="auto"/>
              <w:right w:val="single" w:sz="4" w:space="0" w:color="auto"/>
            </w:tcBorders>
            <w:shd w:val="clear" w:color="auto" w:fill="auto"/>
            <w:vAlign w:val="center"/>
            <w:hideMark/>
          </w:tcPr>
          <w:p w14:paraId="41A08AF4"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12.038.437</w:t>
            </w:r>
          </w:p>
        </w:tc>
        <w:tc>
          <w:tcPr>
            <w:tcW w:w="1086" w:type="dxa"/>
            <w:tcBorders>
              <w:top w:val="nil"/>
              <w:left w:val="nil"/>
              <w:bottom w:val="single" w:sz="4" w:space="0" w:color="auto"/>
              <w:right w:val="single" w:sz="4" w:space="0" w:color="auto"/>
            </w:tcBorders>
            <w:shd w:val="clear" w:color="auto" w:fill="auto"/>
            <w:vAlign w:val="center"/>
            <w:hideMark/>
          </w:tcPr>
          <w:p w14:paraId="46FF86C9"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79,5</w:t>
            </w:r>
          </w:p>
        </w:tc>
        <w:tc>
          <w:tcPr>
            <w:tcW w:w="1086" w:type="dxa"/>
            <w:tcBorders>
              <w:top w:val="nil"/>
              <w:left w:val="nil"/>
              <w:bottom w:val="single" w:sz="4" w:space="0" w:color="auto"/>
              <w:right w:val="single" w:sz="4" w:space="0" w:color="auto"/>
            </w:tcBorders>
            <w:shd w:val="clear" w:color="auto" w:fill="auto"/>
            <w:vAlign w:val="center"/>
            <w:hideMark/>
          </w:tcPr>
          <w:p w14:paraId="53E2A62F"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72,8</w:t>
            </w:r>
          </w:p>
        </w:tc>
        <w:tc>
          <w:tcPr>
            <w:tcW w:w="1086" w:type="dxa"/>
            <w:tcBorders>
              <w:top w:val="nil"/>
              <w:left w:val="nil"/>
              <w:bottom w:val="single" w:sz="4" w:space="0" w:color="auto"/>
              <w:right w:val="single" w:sz="4" w:space="0" w:color="auto"/>
            </w:tcBorders>
            <w:shd w:val="clear" w:color="auto" w:fill="auto"/>
            <w:vAlign w:val="center"/>
            <w:hideMark/>
          </w:tcPr>
          <w:p w14:paraId="390E38C2"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91,5</w:t>
            </w:r>
          </w:p>
        </w:tc>
        <w:tc>
          <w:tcPr>
            <w:tcW w:w="884" w:type="dxa"/>
            <w:tcBorders>
              <w:top w:val="nil"/>
              <w:left w:val="nil"/>
              <w:bottom w:val="single" w:sz="4" w:space="0" w:color="auto"/>
              <w:right w:val="single" w:sz="4" w:space="0" w:color="auto"/>
            </w:tcBorders>
            <w:shd w:val="clear" w:color="auto" w:fill="auto"/>
            <w:vAlign w:val="center"/>
            <w:hideMark/>
          </w:tcPr>
          <w:p w14:paraId="71A44297"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2,8</w:t>
            </w:r>
          </w:p>
        </w:tc>
      </w:tr>
      <w:tr w:rsidR="004B7622" w:rsidRPr="003F396C" w14:paraId="65DD9A06" w14:textId="77777777" w:rsidTr="00377989">
        <w:trPr>
          <w:trHeight w:val="177"/>
        </w:trPr>
        <w:tc>
          <w:tcPr>
            <w:tcW w:w="1427" w:type="dxa"/>
            <w:tcBorders>
              <w:top w:val="nil"/>
              <w:left w:val="single" w:sz="4" w:space="0" w:color="auto"/>
              <w:bottom w:val="single" w:sz="4" w:space="0" w:color="auto"/>
              <w:right w:val="single" w:sz="4" w:space="0" w:color="auto"/>
            </w:tcBorders>
            <w:shd w:val="clear" w:color="auto" w:fill="auto"/>
            <w:vAlign w:val="center"/>
            <w:hideMark/>
          </w:tcPr>
          <w:p w14:paraId="7B597A0F" w14:textId="77777777" w:rsidR="004B7622" w:rsidRPr="003F396C" w:rsidRDefault="004B7622" w:rsidP="00377989">
            <w:pPr>
              <w:spacing w:after="0" w:line="240" w:lineRule="auto"/>
              <w:rPr>
                <w:rFonts w:ascii="Arial" w:eastAsia="Times New Roman" w:hAnsi="Arial" w:cs="Arial"/>
                <w:sz w:val="18"/>
                <w:szCs w:val="18"/>
                <w:lang w:eastAsia="sl-SI"/>
              </w:rPr>
            </w:pPr>
            <w:r w:rsidRPr="003F396C">
              <w:rPr>
                <w:rFonts w:ascii="Arial" w:eastAsia="Times New Roman" w:hAnsi="Arial" w:cs="Arial"/>
                <w:sz w:val="18"/>
                <w:szCs w:val="18"/>
                <w:lang w:eastAsia="sl-SI"/>
              </w:rPr>
              <w:t xml:space="preserve">Pogojno izterljivi dolg </w:t>
            </w:r>
          </w:p>
        </w:tc>
        <w:tc>
          <w:tcPr>
            <w:tcW w:w="1286" w:type="dxa"/>
            <w:tcBorders>
              <w:top w:val="nil"/>
              <w:left w:val="nil"/>
              <w:bottom w:val="single" w:sz="4" w:space="0" w:color="auto"/>
              <w:right w:val="single" w:sz="4" w:space="0" w:color="auto"/>
            </w:tcBorders>
            <w:shd w:val="clear" w:color="auto" w:fill="auto"/>
            <w:vAlign w:val="center"/>
            <w:hideMark/>
          </w:tcPr>
          <w:p w14:paraId="32AC8464"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17.930.644</w:t>
            </w:r>
          </w:p>
        </w:tc>
        <w:tc>
          <w:tcPr>
            <w:tcW w:w="1136" w:type="dxa"/>
            <w:tcBorders>
              <w:top w:val="nil"/>
              <w:left w:val="nil"/>
              <w:bottom w:val="single" w:sz="4" w:space="0" w:color="auto"/>
              <w:right w:val="single" w:sz="4" w:space="0" w:color="auto"/>
            </w:tcBorders>
            <w:shd w:val="clear" w:color="auto" w:fill="auto"/>
            <w:vAlign w:val="center"/>
            <w:hideMark/>
          </w:tcPr>
          <w:p w14:paraId="1F5FBC62"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17.354.121</w:t>
            </w:r>
          </w:p>
        </w:tc>
        <w:tc>
          <w:tcPr>
            <w:tcW w:w="1138" w:type="dxa"/>
            <w:tcBorders>
              <w:top w:val="nil"/>
              <w:left w:val="nil"/>
              <w:bottom w:val="single" w:sz="4" w:space="0" w:color="auto"/>
              <w:right w:val="single" w:sz="4" w:space="0" w:color="auto"/>
            </w:tcBorders>
            <w:shd w:val="clear" w:color="auto" w:fill="auto"/>
            <w:vAlign w:val="center"/>
            <w:hideMark/>
          </w:tcPr>
          <w:p w14:paraId="36CABD17"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15.659.363</w:t>
            </w:r>
          </w:p>
        </w:tc>
        <w:tc>
          <w:tcPr>
            <w:tcW w:w="1086" w:type="dxa"/>
            <w:tcBorders>
              <w:top w:val="nil"/>
              <w:left w:val="nil"/>
              <w:bottom w:val="single" w:sz="4" w:space="0" w:color="auto"/>
              <w:right w:val="single" w:sz="4" w:space="0" w:color="auto"/>
            </w:tcBorders>
            <w:shd w:val="clear" w:color="auto" w:fill="auto"/>
            <w:vAlign w:val="center"/>
            <w:hideMark/>
          </w:tcPr>
          <w:p w14:paraId="1AC4EBC2"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96,8</w:t>
            </w:r>
          </w:p>
        </w:tc>
        <w:tc>
          <w:tcPr>
            <w:tcW w:w="1086" w:type="dxa"/>
            <w:tcBorders>
              <w:top w:val="nil"/>
              <w:left w:val="nil"/>
              <w:bottom w:val="single" w:sz="4" w:space="0" w:color="auto"/>
              <w:right w:val="single" w:sz="4" w:space="0" w:color="auto"/>
            </w:tcBorders>
            <w:shd w:val="clear" w:color="auto" w:fill="auto"/>
            <w:vAlign w:val="center"/>
            <w:hideMark/>
          </w:tcPr>
          <w:p w14:paraId="0F952122"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87,3</w:t>
            </w:r>
          </w:p>
        </w:tc>
        <w:tc>
          <w:tcPr>
            <w:tcW w:w="1086" w:type="dxa"/>
            <w:tcBorders>
              <w:top w:val="nil"/>
              <w:left w:val="nil"/>
              <w:bottom w:val="single" w:sz="4" w:space="0" w:color="auto"/>
              <w:right w:val="single" w:sz="4" w:space="0" w:color="auto"/>
            </w:tcBorders>
            <w:shd w:val="clear" w:color="auto" w:fill="auto"/>
            <w:vAlign w:val="center"/>
            <w:hideMark/>
          </w:tcPr>
          <w:p w14:paraId="6724DCE8"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90,2</w:t>
            </w:r>
          </w:p>
        </w:tc>
        <w:tc>
          <w:tcPr>
            <w:tcW w:w="884" w:type="dxa"/>
            <w:tcBorders>
              <w:top w:val="nil"/>
              <w:left w:val="nil"/>
              <w:bottom w:val="single" w:sz="4" w:space="0" w:color="auto"/>
              <w:right w:val="single" w:sz="4" w:space="0" w:color="auto"/>
            </w:tcBorders>
            <w:shd w:val="clear" w:color="auto" w:fill="auto"/>
            <w:vAlign w:val="center"/>
            <w:hideMark/>
          </w:tcPr>
          <w:p w14:paraId="0C3B9C08"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3,2</w:t>
            </w:r>
          </w:p>
        </w:tc>
      </w:tr>
      <w:tr w:rsidR="004B7622" w:rsidRPr="003F396C" w14:paraId="3DA78DFB" w14:textId="77777777" w:rsidTr="00377989">
        <w:trPr>
          <w:trHeight w:val="177"/>
        </w:trPr>
        <w:tc>
          <w:tcPr>
            <w:tcW w:w="1427" w:type="dxa"/>
            <w:tcBorders>
              <w:top w:val="nil"/>
              <w:left w:val="single" w:sz="4" w:space="0" w:color="auto"/>
              <w:bottom w:val="double" w:sz="6" w:space="0" w:color="auto"/>
              <w:right w:val="single" w:sz="4" w:space="0" w:color="auto"/>
            </w:tcBorders>
            <w:shd w:val="clear" w:color="auto" w:fill="auto"/>
            <w:vAlign w:val="center"/>
            <w:hideMark/>
          </w:tcPr>
          <w:p w14:paraId="016ABE16" w14:textId="77777777" w:rsidR="004B7622" w:rsidRPr="003F396C" w:rsidRDefault="004B7622" w:rsidP="00377989">
            <w:pPr>
              <w:spacing w:after="0" w:line="240" w:lineRule="auto"/>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 xml:space="preserve">Skupaj dolg </w:t>
            </w:r>
          </w:p>
        </w:tc>
        <w:tc>
          <w:tcPr>
            <w:tcW w:w="1286" w:type="dxa"/>
            <w:tcBorders>
              <w:top w:val="nil"/>
              <w:left w:val="nil"/>
              <w:bottom w:val="double" w:sz="6" w:space="0" w:color="auto"/>
              <w:right w:val="single" w:sz="4" w:space="0" w:color="auto"/>
            </w:tcBorders>
            <w:shd w:val="clear" w:color="auto" w:fill="auto"/>
            <w:vAlign w:val="center"/>
            <w:hideMark/>
          </w:tcPr>
          <w:p w14:paraId="770B06AA"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34.467.268</w:t>
            </w:r>
          </w:p>
        </w:tc>
        <w:tc>
          <w:tcPr>
            <w:tcW w:w="1136" w:type="dxa"/>
            <w:tcBorders>
              <w:top w:val="nil"/>
              <w:left w:val="nil"/>
              <w:bottom w:val="double" w:sz="6" w:space="0" w:color="auto"/>
              <w:right w:val="single" w:sz="4" w:space="0" w:color="auto"/>
            </w:tcBorders>
            <w:shd w:val="clear" w:color="auto" w:fill="auto"/>
            <w:vAlign w:val="center"/>
            <w:hideMark/>
          </w:tcPr>
          <w:p w14:paraId="7D0B9C32"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30.507.461</w:t>
            </w:r>
          </w:p>
        </w:tc>
        <w:tc>
          <w:tcPr>
            <w:tcW w:w="1138" w:type="dxa"/>
            <w:tcBorders>
              <w:top w:val="nil"/>
              <w:left w:val="nil"/>
              <w:bottom w:val="double" w:sz="6" w:space="0" w:color="auto"/>
              <w:right w:val="single" w:sz="4" w:space="0" w:color="auto"/>
            </w:tcBorders>
            <w:shd w:val="clear" w:color="auto" w:fill="auto"/>
            <w:vAlign w:val="center"/>
            <w:hideMark/>
          </w:tcPr>
          <w:p w14:paraId="417419E2"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27.697.800</w:t>
            </w:r>
          </w:p>
        </w:tc>
        <w:tc>
          <w:tcPr>
            <w:tcW w:w="1086" w:type="dxa"/>
            <w:tcBorders>
              <w:top w:val="nil"/>
              <w:left w:val="nil"/>
              <w:bottom w:val="double" w:sz="6" w:space="0" w:color="auto"/>
              <w:right w:val="single" w:sz="4" w:space="0" w:color="auto"/>
            </w:tcBorders>
            <w:shd w:val="clear" w:color="auto" w:fill="auto"/>
            <w:vAlign w:val="center"/>
            <w:hideMark/>
          </w:tcPr>
          <w:p w14:paraId="1E11C659"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88,5</w:t>
            </w:r>
          </w:p>
        </w:tc>
        <w:tc>
          <w:tcPr>
            <w:tcW w:w="1086" w:type="dxa"/>
            <w:tcBorders>
              <w:top w:val="nil"/>
              <w:left w:val="nil"/>
              <w:bottom w:val="double" w:sz="6" w:space="0" w:color="auto"/>
              <w:right w:val="single" w:sz="4" w:space="0" w:color="auto"/>
            </w:tcBorders>
            <w:shd w:val="clear" w:color="auto" w:fill="auto"/>
            <w:vAlign w:val="center"/>
            <w:hideMark/>
          </w:tcPr>
          <w:p w14:paraId="2AF3169B"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80,4</w:t>
            </w:r>
          </w:p>
        </w:tc>
        <w:tc>
          <w:tcPr>
            <w:tcW w:w="1086" w:type="dxa"/>
            <w:tcBorders>
              <w:top w:val="nil"/>
              <w:left w:val="nil"/>
              <w:bottom w:val="double" w:sz="6" w:space="0" w:color="auto"/>
              <w:right w:val="single" w:sz="4" w:space="0" w:color="auto"/>
            </w:tcBorders>
            <w:shd w:val="clear" w:color="auto" w:fill="auto"/>
            <w:vAlign w:val="center"/>
            <w:hideMark/>
          </w:tcPr>
          <w:p w14:paraId="4AB6FCB8"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90,8</w:t>
            </w:r>
          </w:p>
        </w:tc>
        <w:tc>
          <w:tcPr>
            <w:tcW w:w="884" w:type="dxa"/>
            <w:tcBorders>
              <w:top w:val="nil"/>
              <w:left w:val="nil"/>
              <w:bottom w:val="double" w:sz="6" w:space="0" w:color="auto"/>
              <w:right w:val="single" w:sz="4" w:space="0" w:color="auto"/>
            </w:tcBorders>
            <w:shd w:val="clear" w:color="auto" w:fill="auto"/>
            <w:vAlign w:val="center"/>
            <w:hideMark/>
          </w:tcPr>
          <w:p w14:paraId="6909F276"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2,8</w:t>
            </w:r>
          </w:p>
        </w:tc>
      </w:tr>
      <w:tr w:rsidR="004B7622" w:rsidRPr="003F396C" w14:paraId="4826CE30" w14:textId="77777777" w:rsidTr="00377989">
        <w:trPr>
          <w:trHeight w:val="142"/>
        </w:trPr>
        <w:tc>
          <w:tcPr>
            <w:tcW w:w="9132" w:type="dxa"/>
            <w:gridSpan w:val="8"/>
            <w:tcBorders>
              <w:top w:val="nil"/>
              <w:left w:val="single" w:sz="4" w:space="0" w:color="auto"/>
              <w:bottom w:val="single" w:sz="4" w:space="0" w:color="auto"/>
              <w:right w:val="single" w:sz="4" w:space="0" w:color="000000"/>
            </w:tcBorders>
            <w:shd w:val="clear" w:color="000000" w:fill="DCE6F1"/>
            <w:vAlign w:val="center"/>
            <w:hideMark/>
          </w:tcPr>
          <w:p w14:paraId="5FFEAC59" w14:textId="77777777" w:rsidR="004B7622" w:rsidRPr="003F396C" w:rsidRDefault="004B7622" w:rsidP="00377989">
            <w:pPr>
              <w:spacing w:after="0" w:line="240" w:lineRule="auto"/>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Ostalo</w:t>
            </w:r>
            <w:r w:rsidRPr="003F396C">
              <w:rPr>
                <w:rStyle w:val="Sprotnaopomba-sklic"/>
                <w:rFonts w:ascii="Arial" w:eastAsia="Times New Roman" w:hAnsi="Arial" w:cs="Arial"/>
                <w:b/>
                <w:bCs/>
                <w:sz w:val="18"/>
                <w:szCs w:val="18"/>
                <w:lang w:eastAsia="sl-SI"/>
              </w:rPr>
              <w:footnoteReference w:id="17"/>
            </w:r>
          </w:p>
        </w:tc>
      </w:tr>
      <w:tr w:rsidR="004B7622" w:rsidRPr="003F396C" w14:paraId="5AB7ABE2" w14:textId="77777777" w:rsidTr="00377989">
        <w:trPr>
          <w:trHeight w:val="177"/>
        </w:trPr>
        <w:tc>
          <w:tcPr>
            <w:tcW w:w="1427" w:type="dxa"/>
            <w:tcBorders>
              <w:top w:val="nil"/>
              <w:left w:val="single" w:sz="4" w:space="0" w:color="auto"/>
              <w:bottom w:val="single" w:sz="4" w:space="0" w:color="auto"/>
              <w:right w:val="single" w:sz="4" w:space="0" w:color="auto"/>
            </w:tcBorders>
            <w:shd w:val="clear" w:color="auto" w:fill="auto"/>
            <w:vAlign w:val="center"/>
            <w:hideMark/>
          </w:tcPr>
          <w:p w14:paraId="13C0EAF2" w14:textId="77777777" w:rsidR="004B7622" w:rsidRPr="003F396C" w:rsidRDefault="004B7622" w:rsidP="00377989">
            <w:pPr>
              <w:spacing w:after="0" w:line="240" w:lineRule="auto"/>
              <w:rPr>
                <w:rFonts w:ascii="Arial" w:eastAsia="Times New Roman" w:hAnsi="Arial" w:cs="Arial"/>
                <w:sz w:val="18"/>
                <w:szCs w:val="18"/>
                <w:lang w:eastAsia="sl-SI"/>
              </w:rPr>
            </w:pPr>
            <w:r w:rsidRPr="003F396C">
              <w:rPr>
                <w:rFonts w:ascii="Arial" w:eastAsia="Times New Roman" w:hAnsi="Arial" w:cs="Arial"/>
                <w:sz w:val="18"/>
                <w:szCs w:val="18"/>
                <w:lang w:eastAsia="sl-SI"/>
              </w:rPr>
              <w:t xml:space="preserve">Aktivni dolg </w:t>
            </w:r>
          </w:p>
        </w:tc>
        <w:tc>
          <w:tcPr>
            <w:tcW w:w="1286" w:type="dxa"/>
            <w:tcBorders>
              <w:top w:val="nil"/>
              <w:left w:val="nil"/>
              <w:bottom w:val="single" w:sz="4" w:space="0" w:color="auto"/>
              <w:right w:val="single" w:sz="4" w:space="0" w:color="auto"/>
            </w:tcBorders>
            <w:shd w:val="clear" w:color="auto" w:fill="auto"/>
            <w:vAlign w:val="center"/>
            <w:hideMark/>
          </w:tcPr>
          <w:p w14:paraId="6B0201C8"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224</w:t>
            </w:r>
          </w:p>
        </w:tc>
        <w:tc>
          <w:tcPr>
            <w:tcW w:w="1136" w:type="dxa"/>
            <w:tcBorders>
              <w:top w:val="nil"/>
              <w:left w:val="nil"/>
              <w:bottom w:val="single" w:sz="4" w:space="0" w:color="auto"/>
              <w:right w:val="single" w:sz="4" w:space="0" w:color="auto"/>
            </w:tcBorders>
            <w:shd w:val="clear" w:color="auto" w:fill="auto"/>
            <w:vAlign w:val="center"/>
            <w:hideMark/>
          </w:tcPr>
          <w:p w14:paraId="470B3484"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204</w:t>
            </w:r>
          </w:p>
        </w:tc>
        <w:tc>
          <w:tcPr>
            <w:tcW w:w="1138" w:type="dxa"/>
            <w:tcBorders>
              <w:top w:val="nil"/>
              <w:left w:val="nil"/>
              <w:bottom w:val="single" w:sz="4" w:space="0" w:color="auto"/>
              <w:right w:val="single" w:sz="4" w:space="0" w:color="auto"/>
            </w:tcBorders>
            <w:shd w:val="clear" w:color="auto" w:fill="auto"/>
            <w:vAlign w:val="center"/>
            <w:hideMark/>
          </w:tcPr>
          <w:p w14:paraId="13EA844C"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326.080</w:t>
            </w:r>
          </w:p>
        </w:tc>
        <w:tc>
          <w:tcPr>
            <w:tcW w:w="1086" w:type="dxa"/>
            <w:tcBorders>
              <w:top w:val="nil"/>
              <w:left w:val="nil"/>
              <w:bottom w:val="single" w:sz="4" w:space="0" w:color="auto"/>
              <w:right w:val="single" w:sz="4" w:space="0" w:color="auto"/>
            </w:tcBorders>
            <w:shd w:val="clear" w:color="auto" w:fill="auto"/>
            <w:vAlign w:val="center"/>
            <w:hideMark/>
          </w:tcPr>
          <w:p w14:paraId="26E21102"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91,1</w:t>
            </w:r>
          </w:p>
        </w:tc>
        <w:tc>
          <w:tcPr>
            <w:tcW w:w="1086" w:type="dxa"/>
            <w:tcBorders>
              <w:top w:val="nil"/>
              <w:left w:val="nil"/>
              <w:bottom w:val="single" w:sz="4" w:space="0" w:color="auto"/>
              <w:right w:val="single" w:sz="4" w:space="0" w:color="auto"/>
            </w:tcBorders>
            <w:shd w:val="clear" w:color="auto" w:fill="auto"/>
            <w:vAlign w:val="center"/>
            <w:hideMark/>
          </w:tcPr>
          <w:p w14:paraId="49B33272"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145.571,4</w:t>
            </w:r>
          </w:p>
        </w:tc>
        <w:tc>
          <w:tcPr>
            <w:tcW w:w="1086" w:type="dxa"/>
            <w:tcBorders>
              <w:top w:val="nil"/>
              <w:left w:val="nil"/>
              <w:bottom w:val="single" w:sz="4" w:space="0" w:color="auto"/>
              <w:right w:val="single" w:sz="4" w:space="0" w:color="auto"/>
            </w:tcBorders>
            <w:shd w:val="clear" w:color="auto" w:fill="auto"/>
            <w:vAlign w:val="center"/>
            <w:hideMark/>
          </w:tcPr>
          <w:p w14:paraId="7AA32C82"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159.843,1</w:t>
            </w:r>
          </w:p>
        </w:tc>
        <w:tc>
          <w:tcPr>
            <w:tcW w:w="884" w:type="dxa"/>
            <w:tcBorders>
              <w:top w:val="nil"/>
              <w:left w:val="nil"/>
              <w:bottom w:val="single" w:sz="4" w:space="0" w:color="auto"/>
              <w:right w:val="single" w:sz="4" w:space="0" w:color="auto"/>
            </w:tcBorders>
            <w:shd w:val="clear" w:color="auto" w:fill="auto"/>
            <w:vAlign w:val="center"/>
            <w:hideMark/>
          </w:tcPr>
          <w:p w14:paraId="60EF630C"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0,1</w:t>
            </w:r>
          </w:p>
        </w:tc>
      </w:tr>
      <w:tr w:rsidR="004B7622" w:rsidRPr="003F396C" w14:paraId="75D5EBC1" w14:textId="77777777" w:rsidTr="00377989">
        <w:trPr>
          <w:trHeight w:val="177"/>
        </w:trPr>
        <w:tc>
          <w:tcPr>
            <w:tcW w:w="1427" w:type="dxa"/>
            <w:tcBorders>
              <w:top w:val="nil"/>
              <w:left w:val="single" w:sz="4" w:space="0" w:color="auto"/>
              <w:bottom w:val="single" w:sz="4" w:space="0" w:color="auto"/>
              <w:right w:val="single" w:sz="4" w:space="0" w:color="auto"/>
            </w:tcBorders>
            <w:shd w:val="clear" w:color="auto" w:fill="auto"/>
            <w:vAlign w:val="center"/>
            <w:hideMark/>
          </w:tcPr>
          <w:p w14:paraId="5349E5DA" w14:textId="77777777" w:rsidR="004B7622" w:rsidRPr="003F396C" w:rsidRDefault="004B7622" w:rsidP="00377989">
            <w:pPr>
              <w:spacing w:after="0" w:line="240" w:lineRule="auto"/>
              <w:rPr>
                <w:rFonts w:ascii="Arial" w:eastAsia="Times New Roman" w:hAnsi="Arial" w:cs="Arial"/>
                <w:sz w:val="18"/>
                <w:szCs w:val="18"/>
                <w:lang w:eastAsia="sl-SI"/>
              </w:rPr>
            </w:pPr>
            <w:r w:rsidRPr="003F396C">
              <w:rPr>
                <w:rFonts w:ascii="Arial" w:eastAsia="Times New Roman" w:hAnsi="Arial" w:cs="Arial"/>
                <w:sz w:val="18"/>
                <w:szCs w:val="18"/>
                <w:lang w:eastAsia="sl-SI"/>
              </w:rPr>
              <w:t xml:space="preserve">Pogojno izterljivi dolg </w:t>
            </w:r>
          </w:p>
        </w:tc>
        <w:tc>
          <w:tcPr>
            <w:tcW w:w="1286" w:type="dxa"/>
            <w:tcBorders>
              <w:top w:val="nil"/>
              <w:left w:val="nil"/>
              <w:bottom w:val="single" w:sz="4" w:space="0" w:color="auto"/>
              <w:right w:val="single" w:sz="4" w:space="0" w:color="auto"/>
            </w:tcBorders>
            <w:shd w:val="clear" w:color="auto" w:fill="auto"/>
            <w:vAlign w:val="center"/>
            <w:hideMark/>
          </w:tcPr>
          <w:p w14:paraId="5503B37C"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0</w:t>
            </w:r>
          </w:p>
        </w:tc>
        <w:tc>
          <w:tcPr>
            <w:tcW w:w="1136" w:type="dxa"/>
            <w:tcBorders>
              <w:top w:val="nil"/>
              <w:left w:val="nil"/>
              <w:bottom w:val="single" w:sz="4" w:space="0" w:color="auto"/>
              <w:right w:val="single" w:sz="4" w:space="0" w:color="auto"/>
            </w:tcBorders>
            <w:shd w:val="clear" w:color="auto" w:fill="auto"/>
            <w:vAlign w:val="center"/>
            <w:hideMark/>
          </w:tcPr>
          <w:p w14:paraId="0A098D58"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0</w:t>
            </w:r>
          </w:p>
        </w:tc>
        <w:tc>
          <w:tcPr>
            <w:tcW w:w="1138" w:type="dxa"/>
            <w:tcBorders>
              <w:top w:val="nil"/>
              <w:left w:val="nil"/>
              <w:bottom w:val="single" w:sz="4" w:space="0" w:color="auto"/>
              <w:right w:val="single" w:sz="4" w:space="0" w:color="auto"/>
            </w:tcBorders>
            <w:shd w:val="clear" w:color="auto" w:fill="auto"/>
            <w:vAlign w:val="center"/>
            <w:hideMark/>
          </w:tcPr>
          <w:p w14:paraId="2B800EA9"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0</w:t>
            </w:r>
          </w:p>
        </w:tc>
        <w:tc>
          <w:tcPr>
            <w:tcW w:w="1086" w:type="dxa"/>
            <w:tcBorders>
              <w:top w:val="nil"/>
              <w:left w:val="nil"/>
              <w:bottom w:val="single" w:sz="4" w:space="0" w:color="auto"/>
              <w:right w:val="single" w:sz="4" w:space="0" w:color="auto"/>
            </w:tcBorders>
            <w:shd w:val="clear" w:color="auto" w:fill="auto"/>
            <w:vAlign w:val="center"/>
            <w:hideMark/>
          </w:tcPr>
          <w:p w14:paraId="6ABF2AE1"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0,0</w:t>
            </w:r>
          </w:p>
        </w:tc>
        <w:tc>
          <w:tcPr>
            <w:tcW w:w="1086" w:type="dxa"/>
            <w:tcBorders>
              <w:top w:val="nil"/>
              <w:left w:val="nil"/>
              <w:bottom w:val="single" w:sz="4" w:space="0" w:color="auto"/>
              <w:right w:val="single" w:sz="4" w:space="0" w:color="auto"/>
            </w:tcBorders>
            <w:shd w:val="clear" w:color="auto" w:fill="auto"/>
            <w:vAlign w:val="center"/>
            <w:hideMark/>
          </w:tcPr>
          <w:p w14:paraId="42DCF080"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0,0</w:t>
            </w:r>
          </w:p>
        </w:tc>
        <w:tc>
          <w:tcPr>
            <w:tcW w:w="1086" w:type="dxa"/>
            <w:tcBorders>
              <w:top w:val="nil"/>
              <w:left w:val="nil"/>
              <w:bottom w:val="single" w:sz="4" w:space="0" w:color="auto"/>
              <w:right w:val="single" w:sz="4" w:space="0" w:color="auto"/>
            </w:tcBorders>
            <w:shd w:val="clear" w:color="auto" w:fill="auto"/>
            <w:vAlign w:val="center"/>
            <w:hideMark/>
          </w:tcPr>
          <w:p w14:paraId="31033485"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0,0</w:t>
            </w:r>
          </w:p>
        </w:tc>
        <w:tc>
          <w:tcPr>
            <w:tcW w:w="884" w:type="dxa"/>
            <w:tcBorders>
              <w:top w:val="nil"/>
              <w:left w:val="nil"/>
              <w:bottom w:val="single" w:sz="4" w:space="0" w:color="auto"/>
              <w:right w:val="single" w:sz="4" w:space="0" w:color="auto"/>
            </w:tcBorders>
            <w:shd w:val="clear" w:color="auto" w:fill="auto"/>
            <w:vAlign w:val="center"/>
            <w:hideMark/>
          </w:tcPr>
          <w:p w14:paraId="630299DF"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0,0</w:t>
            </w:r>
          </w:p>
        </w:tc>
      </w:tr>
      <w:tr w:rsidR="004B7622" w:rsidRPr="003F396C" w14:paraId="4004B6AB" w14:textId="77777777" w:rsidTr="00377989">
        <w:trPr>
          <w:trHeight w:val="177"/>
        </w:trPr>
        <w:tc>
          <w:tcPr>
            <w:tcW w:w="1427" w:type="dxa"/>
            <w:tcBorders>
              <w:top w:val="nil"/>
              <w:left w:val="single" w:sz="4" w:space="0" w:color="auto"/>
              <w:bottom w:val="double" w:sz="6" w:space="0" w:color="auto"/>
              <w:right w:val="single" w:sz="4" w:space="0" w:color="auto"/>
            </w:tcBorders>
            <w:shd w:val="clear" w:color="auto" w:fill="auto"/>
            <w:vAlign w:val="center"/>
            <w:hideMark/>
          </w:tcPr>
          <w:p w14:paraId="2AC252F6" w14:textId="77777777" w:rsidR="004B7622" w:rsidRPr="003F396C" w:rsidRDefault="004B7622" w:rsidP="00377989">
            <w:pPr>
              <w:spacing w:after="0" w:line="240" w:lineRule="auto"/>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 xml:space="preserve">Skupaj dolg </w:t>
            </w:r>
          </w:p>
        </w:tc>
        <w:tc>
          <w:tcPr>
            <w:tcW w:w="1286" w:type="dxa"/>
            <w:tcBorders>
              <w:top w:val="nil"/>
              <w:left w:val="nil"/>
              <w:bottom w:val="double" w:sz="6" w:space="0" w:color="auto"/>
              <w:right w:val="single" w:sz="4" w:space="0" w:color="auto"/>
            </w:tcBorders>
            <w:shd w:val="clear" w:color="auto" w:fill="auto"/>
            <w:vAlign w:val="center"/>
            <w:hideMark/>
          </w:tcPr>
          <w:p w14:paraId="7BF566FA"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224</w:t>
            </w:r>
          </w:p>
        </w:tc>
        <w:tc>
          <w:tcPr>
            <w:tcW w:w="1136" w:type="dxa"/>
            <w:tcBorders>
              <w:top w:val="nil"/>
              <w:left w:val="nil"/>
              <w:bottom w:val="double" w:sz="6" w:space="0" w:color="auto"/>
              <w:right w:val="single" w:sz="4" w:space="0" w:color="auto"/>
            </w:tcBorders>
            <w:shd w:val="clear" w:color="auto" w:fill="auto"/>
            <w:vAlign w:val="center"/>
            <w:hideMark/>
          </w:tcPr>
          <w:p w14:paraId="107C8D31"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204</w:t>
            </w:r>
          </w:p>
        </w:tc>
        <w:tc>
          <w:tcPr>
            <w:tcW w:w="1138" w:type="dxa"/>
            <w:tcBorders>
              <w:top w:val="nil"/>
              <w:left w:val="nil"/>
              <w:bottom w:val="double" w:sz="6" w:space="0" w:color="auto"/>
              <w:right w:val="single" w:sz="4" w:space="0" w:color="auto"/>
            </w:tcBorders>
            <w:shd w:val="clear" w:color="auto" w:fill="auto"/>
            <w:vAlign w:val="center"/>
            <w:hideMark/>
          </w:tcPr>
          <w:p w14:paraId="15415AC2"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326.080</w:t>
            </w:r>
          </w:p>
        </w:tc>
        <w:tc>
          <w:tcPr>
            <w:tcW w:w="1086" w:type="dxa"/>
            <w:tcBorders>
              <w:top w:val="nil"/>
              <w:left w:val="nil"/>
              <w:bottom w:val="double" w:sz="6" w:space="0" w:color="auto"/>
              <w:right w:val="single" w:sz="4" w:space="0" w:color="auto"/>
            </w:tcBorders>
            <w:shd w:val="clear" w:color="auto" w:fill="auto"/>
            <w:vAlign w:val="center"/>
            <w:hideMark/>
          </w:tcPr>
          <w:p w14:paraId="074382AC"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91,1</w:t>
            </w:r>
          </w:p>
        </w:tc>
        <w:tc>
          <w:tcPr>
            <w:tcW w:w="1086" w:type="dxa"/>
            <w:tcBorders>
              <w:top w:val="nil"/>
              <w:left w:val="nil"/>
              <w:bottom w:val="double" w:sz="6" w:space="0" w:color="auto"/>
              <w:right w:val="single" w:sz="4" w:space="0" w:color="auto"/>
            </w:tcBorders>
            <w:shd w:val="clear" w:color="auto" w:fill="auto"/>
            <w:vAlign w:val="center"/>
            <w:hideMark/>
          </w:tcPr>
          <w:p w14:paraId="43F8AAD2"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145.571,4</w:t>
            </w:r>
          </w:p>
        </w:tc>
        <w:tc>
          <w:tcPr>
            <w:tcW w:w="1086" w:type="dxa"/>
            <w:tcBorders>
              <w:top w:val="nil"/>
              <w:left w:val="nil"/>
              <w:bottom w:val="double" w:sz="6" w:space="0" w:color="auto"/>
              <w:right w:val="single" w:sz="4" w:space="0" w:color="auto"/>
            </w:tcBorders>
            <w:shd w:val="clear" w:color="auto" w:fill="auto"/>
            <w:vAlign w:val="center"/>
            <w:hideMark/>
          </w:tcPr>
          <w:p w14:paraId="35BE05D1"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159.843,1</w:t>
            </w:r>
          </w:p>
        </w:tc>
        <w:tc>
          <w:tcPr>
            <w:tcW w:w="884" w:type="dxa"/>
            <w:tcBorders>
              <w:top w:val="nil"/>
              <w:left w:val="nil"/>
              <w:bottom w:val="double" w:sz="6" w:space="0" w:color="auto"/>
              <w:right w:val="single" w:sz="4" w:space="0" w:color="auto"/>
            </w:tcBorders>
            <w:shd w:val="clear" w:color="auto" w:fill="auto"/>
            <w:vAlign w:val="center"/>
            <w:hideMark/>
          </w:tcPr>
          <w:p w14:paraId="55F2005C"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0,0</w:t>
            </w:r>
          </w:p>
        </w:tc>
      </w:tr>
      <w:tr w:rsidR="004B7622" w:rsidRPr="003F396C" w14:paraId="59D59364" w14:textId="77777777" w:rsidTr="00377989">
        <w:trPr>
          <w:trHeight w:val="192"/>
        </w:trPr>
        <w:tc>
          <w:tcPr>
            <w:tcW w:w="1427" w:type="dxa"/>
            <w:tcBorders>
              <w:top w:val="nil"/>
              <w:left w:val="single" w:sz="4" w:space="0" w:color="auto"/>
              <w:bottom w:val="single" w:sz="4" w:space="0" w:color="auto"/>
              <w:right w:val="single" w:sz="4" w:space="0" w:color="auto"/>
            </w:tcBorders>
            <w:shd w:val="clear" w:color="000000" w:fill="EEECE1"/>
            <w:vAlign w:val="center"/>
            <w:hideMark/>
          </w:tcPr>
          <w:p w14:paraId="0FE09185" w14:textId="77777777" w:rsidR="004B7622" w:rsidRPr="003F396C" w:rsidRDefault="004B7622" w:rsidP="00377989">
            <w:pPr>
              <w:spacing w:after="0" w:line="240" w:lineRule="auto"/>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SKUPAJ DOLG</w:t>
            </w:r>
          </w:p>
        </w:tc>
        <w:tc>
          <w:tcPr>
            <w:tcW w:w="1286" w:type="dxa"/>
            <w:tcBorders>
              <w:top w:val="nil"/>
              <w:left w:val="nil"/>
              <w:bottom w:val="single" w:sz="4" w:space="0" w:color="auto"/>
              <w:right w:val="single" w:sz="4" w:space="0" w:color="auto"/>
            </w:tcBorders>
            <w:shd w:val="clear" w:color="000000" w:fill="EEECE1"/>
            <w:vAlign w:val="center"/>
            <w:hideMark/>
          </w:tcPr>
          <w:p w14:paraId="353B5529"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1.180.360.733</w:t>
            </w:r>
          </w:p>
        </w:tc>
        <w:tc>
          <w:tcPr>
            <w:tcW w:w="1136" w:type="dxa"/>
            <w:tcBorders>
              <w:top w:val="nil"/>
              <w:left w:val="nil"/>
              <w:bottom w:val="single" w:sz="4" w:space="0" w:color="auto"/>
              <w:right w:val="single" w:sz="4" w:space="0" w:color="auto"/>
            </w:tcBorders>
            <w:shd w:val="clear" w:color="000000" w:fill="EEECE1"/>
            <w:vAlign w:val="center"/>
            <w:hideMark/>
          </w:tcPr>
          <w:p w14:paraId="403EE86D"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998.089.393</w:t>
            </w:r>
          </w:p>
        </w:tc>
        <w:tc>
          <w:tcPr>
            <w:tcW w:w="1138" w:type="dxa"/>
            <w:tcBorders>
              <w:top w:val="nil"/>
              <w:left w:val="nil"/>
              <w:bottom w:val="single" w:sz="4" w:space="0" w:color="auto"/>
              <w:right w:val="single" w:sz="4" w:space="0" w:color="auto"/>
            </w:tcBorders>
            <w:shd w:val="clear" w:color="000000" w:fill="EEECE1"/>
            <w:vAlign w:val="center"/>
            <w:hideMark/>
          </w:tcPr>
          <w:p w14:paraId="486771F7"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918.507.974</w:t>
            </w:r>
          </w:p>
        </w:tc>
        <w:tc>
          <w:tcPr>
            <w:tcW w:w="1086" w:type="dxa"/>
            <w:tcBorders>
              <w:top w:val="nil"/>
              <w:left w:val="nil"/>
              <w:bottom w:val="single" w:sz="4" w:space="0" w:color="auto"/>
              <w:right w:val="single" w:sz="4" w:space="0" w:color="auto"/>
            </w:tcBorders>
            <w:shd w:val="clear" w:color="000000" w:fill="EEECE1"/>
            <w:vAlign w:val="center"/>
            <w:hideMark/>
          </w:tcPr>
          <w:p w14:paraId="438BFECD"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84,6</w:t>
            </w:r>
          </w:p>
        </w:tc>
        <w:tc>
          <w:tcPr>
            <w:tcW w:w="1086" w:type="dxa"/>
            <w:tcBorders>
              <w:top w:val="nil"/>
              <w:left w:val="nil"/>
              <w:bottom w:val="single" w:sz="4" w:space="0" w:color="auto"/>
              <w:right w:val="single" w:sz="4" w:space="0" w:color="auto"/>
            </w:tcBorders>
            <w:shd w:val="clear" w:color="000000" w:fill="EEECE1"/>
            <w:vAlign w:val="center"/>
            <w:hideMark/>
          </w:tcPr>
          <w:p w14:paraId="6CBAD1CA"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77,8</w:t>
            </w:r>
          </w:p>
        </w:tc>
        <w:tc>
          <w:tcPr>
            <w:tcW w:w="1086" w:type="dxa"/>
            <w:tcBorders>
              <w:top w:val="nil"/>
              <w:left w:val="nil"/>
              <w:bottom w:val="single" w:sz="4" w:space="0" w:color="auto"/>
              <w:right w:val="single" w:sz="4" w:space="0" w:color="auto"/>
            </w:tcBorders>
            <w:shd w:val="clear" w:color="000000" w:fill="EEECE1"/>
            <w:vAlign w:val="center"/>
            <w:hideMark/>
          </w:tcPr>
          <w:p w14:paraId="560F31FC" w14:textId="77777777" w:rsidR="004B7622" w:rsidRPr="003F396C" w:rsidRDefault="004B7622" w:rsidP="00377989">
            <w:pPr>
              <w:spacing w:after="0" w:line="240" w:lineRule="auto"/>
              <w:jc w:val="right"/>
              <w:rPr>
                <w:rFonts w:ascii="Arial" w:eastAsia="Times New Roman" w:hAnsi="Arial" w:cs="Arial"/>
                <w:b/>
                <w:bCs/>
                <w:sz w:val="18"/>
                <w:szCs w:val="18"/>
                <w:lang w:eastAsia="sl-SI"/>
              </w:rPr>
            </w:pPr>
            <w:r w:rsidRPr="003F396C">
              <w:rPr>
                <w:rFonts w:ascii="Arial" w:eastAsia="Times New Roman" w:hAnsi="Arial" w:cs="Arial"/>
                <w:b/>
                <w:bCs/>
                <w:sz w:val="18"/>
                <w:szCs w:val="18"/>
                <w:lang w:eastAsia="sl-SI"/>
              </w:rPr>
              <w:t>92,0</w:t>
            </w:r>
          </w:p>
        </w:tc>
        <w:tc>
          <w:tcPr>
            <w:tcW w:w="884" w:type="dxa"/>
            <w:tcBorders>
              <w:top w:val="nil"/>
              <w:left w:val="nil"/>
              <w:bottom w:val="single" w:sz="4" w:space="0" w:color="auto"/>
              <w:right w:val="single" w:sz="4" w:space="0" w:color="auto"/>
            </w:tcBorders>
            <w:shd w:val="clear" w:color="000000" w:fill="EEECE1"/>
            <w:vAlign w:val="center"/>
            <w:hideMark/>
          </w:tcPr>
          <w:p w14:paraId="1FFD7747" w14:textId="77777777" w:rsidR="004B7622" w:rsidRPr="003F396C" w:rsidRDefault="004B7622" w:rsidP="00377989">
            <w:pPr>
              <w:spacing w:after="0" w:line="240" w:lineRule="auto"/>
              <w:jc w:val="right"/>
              <w:rPr>
                <w:rFonts w:ascii="Arial" w:eastAsia="Times New Roman" w:hAnsi="Arial" w:cs="Arial"/>
                <w:sz w:val="18"/>
                <w:szCs w:val="18"/>
                <w:lang w:eastAsia="sl-SI"/>
              </w:rPr>
            </w:pPr>
            <w:r w:rsidRPr="003F396C">
              <w:rPr>
                <w:rFonts w:ascii="Arial" w:eastAsia="Times New Roman" w:hAnsi="Arial" w:cs="Arial"/>
                <w:sz w:val="18"/>
                <w:szCs w:val="18"/>
                <w:lang w:eastAsia="sl-SI"/>
              </w:rPr>
              <w:t>100,0</w:t>
            </w:r>
          </w:p>
        </w:tc>
      </w:tr>
    </w:tbl>
    <w:p w14:paraId="718450CC" w14:textId="77777777" w:rsidR="004B7622" w:rsidRDefault="004B7622" w:rsidP="004B7622">
      <w:pPr>
        <w:spacing w:after="0"/>
        <w:rPr>
          <w:rFonts w:ascii="Arial" w:hAnsi="Arial" w:cs="Arial"/>
          <w:i/>
          <w:color w:val="000000"/>
          <w:sz w:val="20"/>
          <w:szCs w:val="20"/>
        </w:rPr>
      </w:pPr>
      <w:r>
        <w:rPr>
          <w:rFonts w:ascii="Arial" w:hAnsi="Arial" w:cs="Arial"/>
          <w:i/>
          <w:color w:val="000000"/>
          <w:sz w:val="20"/>
          <w:szCs w:val="20"/>
        </w:rPr>
        <w:t>V</w:t>
      </w:r>
      <w:r w:rsidRPr="0094398F">
        <w:rPr>
          <w:rFonts w:ascii="Arial" w:hAnsi="Arial" w:cs="Arial"/>
          <w:i/>
          <w:color w:val="000000"/>
          <w:sz w:val="20"/>
          <w:szCs w:val="20"/>
        </w:rPr>
        <w:t>ir: FURS</w:t>
      </w:r>
    </w:p>
    <w:p w14:paraId="7C1C8A68" w14:textId="77777777" w:rsidR="004B7622" w:rsidRDefault="004B7622" w:rsidP="004B7622">
      <w:pPr>
        <w:spacing w:after="0"/>
        <w:rPr>
          <w:rFonts w:ascii="Arial" w:hAnsi="Arial" w:cs="Arial"/>
          <w:i/>
          <w:color w:val="000000"/>
          <w:sz w:val="20"/>
          <w:szCs w:val="20"/>
        </w:rPr>
      </w:pPr>
    </w:p>
    <w:p w14:paraId="6DF6B1FD" w14:textId="77777777" w:rsidR="004B7622" w:rsidRPr="00056FF3" w:rsidRDefault="004B7622" w:rsidP="004B7622">
      <w:pPr>
        <w:jc w:val="both"/>
        <w:rPr>
          <w:rFonts w:ascii="Arial" w:hAnsi="Arial" w:cs="Arial"/>
          <w:sz w:val="20"/>
          <w:szCs w:val="20"/>
        </w:rPr>
      </w:pPr>
      <w:r w:rsidRPr="00F575FA">
        <w:rPr>
          <w:rFonts w:ascii="Arial" w:hAnsi="Arial" w:cs="Arial"/>
          <w:sz w:val="20"/>
          <w:szCs w:val="20"/>
        </w:rPr>
        <w:t>Analiza gibanja davčnega dolga po blagajnah javnega financiranja kaže na znižanje dolga pri vseh blagajnah. Največje znižanje dolga je v letu 2021 zaznati pri blagajni države, in sicer za 63.341.139 EUR oziroma 9,2 odstotka. Pri blagajni Zavoda za pokojninsko in invalidsko zavarovanje se je dolg</w:t>
      </w:r>
      <w:r w:rsidRPr="00056FF3">
        <w:rPr>
          <w:rFonts w:ascii="Arial" w:hAnsi="Arial" w:cs="Arial"/>
          <w:sz w:val="20"/>
          <w:szCs w:val="20"/>
        </w:rPr>
        <w:t xml:space="preserve"> znižal za </w:t>
      </w:r>
      <w:r w:rsidRPr="00F575FA">
        <w:rPr>
          <w:rFonts w:ascii="Arial" w:hAnsi="Arial" w:cs="Arial"/>
          <w:sz w:val="20"/>
          <w:szCs w:val="20"/>
        </w:rPr>
        <w:t>9.030.422</w:t>
      </w:r>
      <w:r>
        <w:rPr>
          <w:rFonts w:ascii="Arial" w:hAnsi="Arial" w:cs="Arial"/>
          <w:sz w:val="20"/>
          <w:szCs w:val="20"/>
        </w:rPr>
        <w:t xml:space="preserve"> </w:t>
      </w:r>
      <w:r w:rsidRPr="00056FF3">
        <w:rPr>
          <w:rFonts w:ascii="Arial" w:hAnsi="Arial" w:cs="Arial"/>
          <w:sz w:val="20"/>
          <w:szCs w:val="20"/>
        </w:rPr>
        <w:t xml:space="preserve">EUR oziroma </w:t>
      </w:r>
      <w:r>
        <w:rPr>
          <w:rFonts w:ascii="Arial" w:hAnsi="Arial" w:cs="Arial"/>
          <w:sz w:val="20"/>
          <w:szCs w:val="20"/>
        </w:rPr>
        <w:t xml:space="preserve">4,8 </w:t>
      </w:r>
      <w:r w:rsidRPr="00056FF3">
        <w:rPr>
          <w:rFonts w:ascii="Arial" w:hAnsi="Arial" w:cs="Arial"/>
          <w:sz w:val="20"/>
          <w:szCs w:val="20"/>
        </w:rPr>
        <w:t>odstotk</w:t>
      </w:r>
      <w:r>
        <w:rPr>
          <w:rFonts w:ascii="Arial" w:hAnsi="Arial" w:cs="Arial"/>
          <w:sz w:val="20"/>
          <w:szCs w:val="20"/>
        </w:rPr>
        <w:t>a</w:t>
      </w:r>
      <w:r w:rsidRPr="00056FF3">
        <w:rPr>
          <w:rFonts w:ascii="Arial" w:hAnsi="Arial" w:cs="Arial"/>
          <w:sz w:val="20"/>
          <w:szCs w:val="20"/>
        </w:rPr>
        <w:t xml:space="preserve">, pri blagajni Zavoda za zdravstvo zavarovanje za </w:t>
      </w:r>
      <w:r w:rsidRPr="00F575FA">
        <w:rPr>
          <w:rFonts w:ascii="Arial" w:hAnsi="Arial" w:cs="Arial"/>
          <w:sz w:val="20"/>
          <w:szCs w:val="20"/>
        </w:rPr>
        <w:t>4.726.073</w:t>
      </w:r>
      <w:r>
        <w:rPr>
          <w:rFonts w:ascii="Arial" w:hAnsi="Arial" w:cs="Arial"/>
          <w:sz w:val="20"/>
          <w:szCs w:val="20"/>
        </w:rPr>
        <w:t xml:space="preserve"> </w:t>
      </w:r>
      <w:r w:rsidRPr="00056FF3">
        <w:rPr>
          <w:rFonts w:ascii="Arial" w:hAnsi="Arial" w:cs="Arial"/>
          <w:sz w:val="20"/>
          <w:szCs w:val="20"/>
        </w:rPr>
        <w:t xml:space="preserve">EUR oziroma </w:t>
      </w:r>
      <w:r>
        <w:rPr>
          <w:rFonts w:ascii="Arial" w:hAnsi="Arial" w:cs="Arial"/>
          <w:sz w:val="20"/>
          <w:szCs w:val="20"/>
        </w:rPr>
        <w:t>5,1</w:t>
      </w:r>
      <w:r w:rsidRPr="00056FF3">
        <w:rPr>
          <w:rFonts w:ascii="Arial" w:hAnsi="Arial" w:cs="Arial"/>
          <w:sz w:val="20"/>
          <w:szCs w:val="20"/>
        </w:rPr>
        <w:t xml:space="preserve"> odstot</w:t>
      </w:r>
      <w:r>
        <w:rPr>
          <w:rFonts w:ascii="Arial" w:hAnsi="Arial" w:cs="Arial"/>
          <w:sz w:val="20"/>
          <w:szCs w:val="20"/>
        </w:rPr>
        <w:t>e</w:t>
      </w:r>
      <w:r w:rsidRPr="00056FF3">
        <w:rPr>
          <w:rFonts w:ascii="Arial" w:hAnsi="Arial" w:cs="Arial"/>
          <w:sz w:val="20"/>
          <w:szCs w:val="20"/>
        </w:rPr>
        <w:t xml:space="preserve">k ter pri blagajnah občin za </w:t>
      </w:r>
      <w:r w:rsidRPr="00F575FA">
        <w:rPr>
          <w:rFonts w:ascii="Arial" w:hAnsi="Arial" w:cs="Arial"/>
          <w:sz w:val="20"/>
          <w:szCs w:val="20"/>
        </w:rPr>
        <w:t>2.809.661</w:t>
      </w:r>
      <w:r w:rsidRPr="00056FF3">
        <w:rPr>
          <w:rFonts w:ascii="Arial" w:hAnsi="Arial" w:cs="Arial"/>
          <w:sz w:val="20"/>
          <w:szCs w:val="20"/>
        </w:rPr>
        <w:t xml:space="preserve"> EUR oziroma </w:t>
      </w:r>
      <w:r>
        <w:rPr>
          <w:rFonts w:ascii="Arial" w:hAnsi="Arial" w:cs="Arial"/>
          <w:sz w:val="20"/>
          <w:szCs w:val="20"/>
        </w:rPr>
        <w:t>9</w:t>
      </w:r>
      <w:r w:rsidRPr="00056FF3">
        <w:rPr>
          <w:rFonts w:ascii="Arial" w:hAnsi="Arial" w:cs="Arial"/>
          <w:sz w:val="20"/>
          <w:szCs w:val="20"/>
        </w:rPr>
        <w:t>,</w:t>
      </w:r>
      <w:r>
        <w:rPr>
          <w:rFonts w:ascii="Arial" w:hAnsi="Arial" w:cs="Arial"/>
          <w:sz w:val="20"/>
          <w:szCs w:val="20"/>
        </w:rPr>
        <w:t>2</w:t>
      </w:r>
      <w:r w:rsidRPr="00056FF3">
        <w:rPr>
          <w:rFonts w:ascii="Arial" w:hAnsi="Arial" w:cs="Arial"/>
          <w:sz w:val="20"/>
          <w:szCs w:val="20"/>
        </w:rPr>
        <w:t xml:space="preserve"> odstotka. </w:t>
      </w:r>
    </w:p>
    <w:p w14:paraId="2C171AA4" w14:textId="77777777" w:rsidR="004B7622" w:rsidRDefault="004B7622" w:rsidP="004B7622">
      <w:pPr>
        <w:spacing w:after="0" w:line="240" w:lineRule="auto"/>
        <w:jc w:val="both"/>
        <w:rPr>
          <w:rFonts w:ascii="Arial" w:hAnsi="Arial" w:cs="Arial"/>
          <w:sz w:val="20"/>
          <w:szCs w:val="20"/>
        </w:rPr>
      </w:pPr>
    </w:p>
    <w:p w14:paraId="0D65D66E" w14:textId="77777777" w:rsidR="004B7622" w:rsidRPr="008D5A7D" w:rsidRDefault="004B7622" w:rsidP="004B7622">
      <w:pPr>
        <w:jc w:val="both"/>
        <w:rPr>
          <w:rFonts w:ascii="Arial" w:hAnsi="Arial" w:cs="Arial"/>
          <w:b/>
          <w:sz w:val="20"/>
          <w:szCs w:val="20"/>
        </w:rPr>
      </w:pPr>
      <w:r w:rsidRPr="00815C36">
        <w:rPr>
          <w:rFonts w:ascii="Arial" w:hAnsi="Arial" w:cs="Arial"/>
          <w:b/>
          <w:sz w:val="20"/>
          <w:szCs w:val="20"/>
        </w:rPr>
        <w:t>4.4    Davčni dolg po vrstah prihodkov oziroma dajatev</w:t>
      </w:r>
    </w:p>
    <w:p w14:paraId="16DFED11" w14:textId="77777777" w:rsidR="004B7622" w:rsidRDefault="004B7622" w:rsidP="004B76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r w:rsidRPr="008C5FD7">
        <w:rPr>
          <w:rFonts w:ascii="Arial" w:hAnsi="Arial" w:cs="Arial"/>
          <w:bCs/>
          <w:sz w:val="20"/>
          <w:szCs w:val="20"/>
        </w:rPr>
        <w:t>Po vrsti prihodkov imajo na dan 31. 12. 2021 največji delež davčnega dolga davčni prihodki, in sicer kar 94 odstotka, nedavčni prihodki</w:t>
      </w:r>
      <w:r w:rsidRPr="008C5FD7">
        <w:rPr>
          <w:rStyle w:val="Sprotnaopomba-sklic"/>
          <w:rFonts w:ascii="Arial" w:hAnsi="Arial" w:cs="Arial"/>
          <w:bCs/>
          <w:sz w:val="20"/>
          <w:szCs w:val="20"/>
        </w:rPr>
        <w:footnoteReference w:id="18"/>
      </w:r>
      <w:r w:rsidRPr="008C5FD7">
        <w:rPr>
          <w:rFonts w:ascii="Arial" w:hAnsi="Arial" w:cs="Arial"/>
          <w:bCs/>
          <w:sz w:val="20"/>
          <w:szCs w:val="20"/>
        </w:rPr>
        <w:t xml:space="preserve"> pa 6 odstotka. </w:t>
      </w:r>
      <w:r w:rsidRPr="006E5194">
        <w:rPr>
          <w:rFonts w:ascii="Arial" w:hAnsi="Arial" w:cs="Arial"/>
          <w:bCs/>
          <w:sz w:val="20"/>
          <w:szCs w:val="20"/>
        </w:rPr>
        <w:t xml:space="preserve"> </w:t>
      </w:r>
    </w:p>
    <w:p w14:paraId="4D21985C" w14:textId="77777777" w:rsidR="004B7622" w:rsidRDefault="004B7622" w:rsidP="005B3CE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r w:rsidRPr="006E5194">
        <w:rPr>
          <w:rFonts w:ascii="Arial" w:hAnsi="Arial" w:cs="Arial"/>
          <w:bCs/>
          <w:sz w:val="20"/>
          <w:szCs w:val="20"/>
        </w:rPr>
        <w:lastRenderedPageBreak/>
        <w:t>Podatki o višini in gibanju dolga po posameznih vrstah prihodkov oziroma dajatev so prikazani v preglednici 7.</w:t>
      </w:r>
    </w:p>
    <w:p w14:paraId="1CDECDC7" w14:textId="77777777" w:rsidR="004B7622" w:rsidRDefault="004B7622" w:rsidP="004B7622">
      <w:pPr>
        <w:rPr>
          <w:rFonts w:ascii="Arial" w:hAnsi="Arial" w:cs="Arial"/>
          <w:i/>
          <w:sz w:val="20"/>
          <w:szCs w:val="20"/>
        </w:rPr>
      </w:pPr>
      <w:r w:rsidRPr="00D60FC9">
        <w:rPr>
          <w:rFonts w:ascii="Arial" w:hAnsi="Arial" w:cs="Arial"/>
          <w:bCs/>
          <w:i/>
          <w:sz w:val="20"/>
          <w:szCs w:val="20"/>
        </w:rPr>
        <w:t>Preglednica</w:t>
      </w:r>
      <w:r w:rsidRPr="00D60FC9">
        <w:rPr>
          <w:rFonts w:ascii="Arial" w:hAnsi="Arial" w:cs="Arial"/>
          <w:i/>
          <w:sz w:val="20"/>
          <w:szCs w:val="20"/>
        </w:rPr>
        <w:t xml:space="preserve"> 7: Stanje in gibanje davčnega dolga po vrstah prihodkov oziroma dajatev v EUR</w:t>
      </w:r>
    </w:p>
    <w:tbl>
      <w:tblPr>
        <w:tblW w:w="9827" w:type="dxa"/>
        <w:tblCellMar>
          <w:left w:w="70" w:type="dxa"/>
          <w:right w:w="70" w:type="dxa"/>
        </w:tblCellMar>
        <w:tblLook w:val="04A0" w:firstRow="1" w:lastRow="0" w:firstColumn="1" w:lastColumn="0" w:noHBand="0" w:noVBand="1"/>
      </w:tblPr>
      <w:tblGrid>
        <w:gridCol w:w="3052"/>
        <w:gridCol w:w="1182"/>
        <w:gridCol w:w="1195"/>
        <w:gridCol w:w="1234"/>
        <w:gridCol w:w="1034"/>
        <w:gridCol w:w="1115"/>
        <w:gridCol w:w="1015"/>
      </w:tblGrid>
      <w:tr w:rsidR="004B7622" w:rsidRPr="009F499E" w14:paraId="552C9DF3" w14:textId="77777777" w:rsidTr="00377989">
        <w:trPr>
          <w:trHeight w:val="1040"/>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9024B" w14:textId="77777777" w:rsidR="004B7622" w:rsidRPr="009F499E" w:rsidRDefault="004B7622" w:rsidP="00377989">
            <w:pPr>
              <w:spacing w:after="0" w:line="240" w:lineRule="auto"/>
              <w:jc w:val="center"/>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 xml:space="preserve">Davčni  dolg po vrstah prihodkov oziroma davkov </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14:paraId="6529B728" w14:textId="77777777" w:rsidR="004B7622" w:rsidRPr="009F499E" w:rsidRDefault="004B7622" w:rsidP="00377989">
            <w:pPr>
              <w:spacing w:after="0" w:line="240" w:lineRule="auto"/>
              <w:jc w:val="center"/>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31.12.2019</w:t>
            </w:r>
          </w:p>
        </w:tc>
        <w:tc>
          <w:tcPr>
            <w:tcW w:w="1195" w:type="dxa"/>
            <w:tcBorders>
              <w:top w:val="single" w:sz="4" w:space="0" w:color="auto"/>
              <w:left w:val="nil"/>
              <w:bottom w:val="single" w:sz="4" w:space="0" w:color="auto"/>
              <w:right w:val="nil"/>
            </w:tcBorders>
            <w:shd w:val="clear" w:color="auto" w:fill="auto"/>
            <w:vAlign w:val="center"/>
            <w:hideMark/>
          </w:tcPr>
          <w:p w14:paraId="0C64776A" w14:textId="77777777" w:rsidR="004B7622" w:rsidRPr="009F499E" w:rsidRDefault="004B7622" w:rsidP="00377989">
            <w:pPr>
              <w:spacing w:after="0" w:line="240" w:lineRule="auto"/>
              <w:jc w:val="center"/>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31.12.2020</w:t>
            </w:r>
          </w:p>
        </w:tc>
        <w:tc>
          <w:tcPr>
            <w:tcW w:w="1234"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545D6FB" w14:textId="77777777" w:rsidR="004B7622" w:rsidRPr="009F499E" w:rsidRDefault="004B7622" w:rsidP="00377989">
            <w:pPr>
              <w:spacing w:after="0" w:line="240" w:lineRule="auto"/>
              <w:jc w:val="center"/>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31.12.2021</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14:paraId="63551ADF" w14:textId="77777777" w:rsidR="004B7622" w:rsidRPr="009F499E" w:rsidRDefault="004B7622" w:rsidP="00377989">
            <w:pPr>
              <w:spacing w:after="0" w:line="240" w:lineRule="auto"/>
              <w:jc w:val="center"/>
              <w:rPr>
                <w:rFonts w:ascii="Arial" w:eastAsia="Times New Roman" w:hAnsi="Arial" w:cs="Arial"/>
                <w:b/>
                <w:bCs/>
                <w:color w:val="000000"/>
                <w:sz w:val="16"/>
                <w:szCs w:val="16"/>
                <w:lang w:eastAsia="sl-SI"/>
              </w:rPr>
            </w:pPr>
            <w:r w:rsidRPr="009F499E">
              <w:rPr>
                <w:rFonts w:ascii="Arial" w:eastAsia="Times New Roman" w:hAnsi="Arial" w:cs="Arial"/>
                <w:b/>
                <w:bCs/>
                <w:color w:val="000000"/>
                <w:sz w:val="16"/>
                <w:szCs w:val="16"/>
                <w:lang w:eastAsia="sl-SI"/>
              </w:rPr>
              <w:t xml:space="preserve">IND </w:t>
            </w:r>
            <w:r w:rsidRPr="009F499E">
              <w:rPr>
                <w:rFonts w:ascii="Arial" w:eastAsia="Times New Roman" w:hAnsi="Arial" w:cs="Arial"/>
                <w:b/>
                <w:bCs/>
                <w:color w:val="000000"/>
                <w:sz w:val="16"/>
                <w:szCs w:val="16"/>
                <w:lang w:eastAsia="sl-SI"/>
              </w:rPr>
              <w:br/>
              <w:t>31.12.2020/</w:t>
            </w:r>
            <w:r w:rsidRPr="009F499E">
              <w:rPr>
                <w:rFonts w:ascii="Arial" w:eastAsia="Times New Roman" w:hAnsi="Arial" w:cs="Arial"/>
                <w:b/>
                <w:bCs/>
                <w:color w:val="000000"/>
                <w:sz w:val="16"/>
                <w:szCs w:val="16"/>
                <w:lang w:eastAsia="sl-SI"/>
              </w:rPr>
              <w:br/>
              <w:t>31.12.2019</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52F4C5FC" w14:textId="77777777" w:rsidR="004B7622" w:rsidRPr="009F499E" w:rsidRDefault="004B7622" w:rsidP="00377989">
            <w:pPr>
              <w:spacing w:after="0" w:line="240" w:lineRule="auto"/>
              <w:jc w:val="center"/>
              <w:rPr>
                <w:rFonts w:ascii="Arial" w:eastAsia="Times New Roman" w:hAnsi="Arial" w:cs="Arial"/>
                <w:b/>
                <w:bCs/>
                <w:color w:val="000000"/>
                <w:sz w:val="16"/>
                <w:szCs w:val="16"/>
                <w:lang w:eastAsia="sl-SI"/>
              </w:rPr>
            </w:pPr>
            <w:r w:rsidRPr="009F499E">
              <w:rPr>
                <w:rFonts w:ascii="Arial" w:eastAsia="Times New Roman" w:hAnsi="Arial" w:cs="Arial"/>
                <w:b/>
                <w:bCs/>
                <w:color w:val="000000"/>
                <w:sz w:val="16"/>
                <w:szCs w:val="16"/>
                <w:lang w:eastAsia="sl-SI"/>
              </w:rPr>
              <w:t xml:space="preserve">IND </w:t>
            </w:r>
            <w:r w:rsidRPr="009F499E">
              <w:rPr>
                <w:rFonts w:ascii="Arial" w:eastAsia="Times New Roman" w:hAnsi="Arial" w:cs="Arial"/>
                <w:b/>
                <w:bCs/>
                <w:color w:val="000000"/>
                <w:sz w:val="16"/>
                <w:szCs w:val="16"/>
                <w:lang w:eastAsia="sl-SI"/>
              </w:rPr>
              <w:br/>
              <w:t>31.12.2021/</w:t>
            </w:r>
            <w:r w:rsidRPr="009F499E">
              <w:rPr>
                <w:rFonts w:ascii="Arial" w:eastAsia="Times New Roman" w:hAnsi="Arial" w:cs="Arial"/>
                <w:b/>
                <w:bCs/>
                <w:color w:val="000000"/>
                <w:sz w:val="16"/>
                <w:szCs w:val="16"/>
                <w:lang w:eastAsia="sl-SI"/>
              </w:rPr>
              <w:br/>
              <w:t>31.12.2019</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14:paraId="135C40BF" w14:textId="77777777" w:rsidR="004B7622" w:rsidRPr="009F499E" w:rsidRDefault="004B7622" w:rsidP="00377989">
            <w:pPr>
              <w:spacing w:after="0" w:line="240" w:lineRule="auto"/>
              <w:jc w:val="center"/>
              <w:rPr>
                <w:rFonts w:ascii="Arial" w:eastAsia="Times New Roman" w:hAnsi="Arial" w:cs="Arial"/>
                <w:b/>
                <w:bCs/>
                <w:color w:val="000000"/>
                <w:sz w:val="16"/>
                <w:szCs w:val="16"/>
                <w:lang w:eastAsia="sl-SI"/>
              </w:rPr>
            </w:pPr>
            <w:r w:rsidRPr="009F499E">
              <w:rPr>
                <w:rFonts w:ascii="Arial" w:eastAsia="Times New Roman" w:hAnsi="Arial" w:cs="Arial"/>
                <w:b/>
                <w:bCs/>
                <w:color w:val="000000"/>
                <w:sz w:val="16"/>
                <w:szCs w:val="16"/>
                <w:lang w:eastAsia="sl-SI"/>
              </w:rPr>
              <w:t>IND 31.12.2021/</w:t>
            </w:r>
            <w:r w:rsidRPr="009F499E">
              <w:rPr>
                <w:rFonts w:ascii="Arial" w:eastAsia="Times New Roman" w:hAnsi="Arial" w:cs="Arial"/>
                <w:b/>
                <w:bCs/>
                <w:color w:val="000000"/>
                <w:sz w:val="16"/>
                <w:szCs w:val="16"/>
                <w:lang w:eastAsia="sl-SI"/>
              </w:rPr>
              <w:br/>
              <w:t>31.12.2020</w:t>
            </w:r>
          </w:p>
        </w:tc>
      </w:tr>
      <w:tr w:rsidR="004B7622" w:rsidRPr="009F499E" w14:paraId="5F144745" w14:textId="77777777" w:rsidTr="00377989">
        <w:trPr>
          <w:trHeight w:val="271"/>
        </w:trPr>
        <w:tc>
          <w:tcPr>
            <w:tcW w:w="3052" w:type="dxa"/>
            <w:tcBorders>
              <w:top w:val="nil"/>
              <w:left w:val="single" w:sz="4" w:space="0" w:color="auto"/>
              <w:bottom w:val="single" w:sz="4" w:space="0" w:color="auto"/>
              <w:right w:val="single" w:sz="4" w:space="0" w:color="auto"/>
            </w:tcBorders>
            <w:shd w:val="clear" w:color="000000" w:fill="DCE6F1"/>
            <w:vAlign w:val="center"/>
            <w:hideMark/>
          </w:tcPr>
          <w:p w14:paraId="2BB466D1" w14:textId="77777777" w:rsidR="004B7622" w:rsidRPr="009F499E" w:rsidRDefault="004B7622" w:rsidP="00377989">
            <w:pPr>
              <w:spacing w:after="0" w:line="240" w:lineRule="auto"/>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A. Davčni prihodki</w:t>
            </w:r>
          </w:p>
        </w:tc>
        <w:tc>
          <w:tcPr>
            <w:tcW w:w="1182" w:type="dxa"/>
            <w:tcBorders>
              <w:top w:val="nil"/>
              <w:left w:val="nil"/>
              <w:bottom w:val="single" w:sz="4" w:space="0" w:color="auto"/>
              <w:right w:val="single" w:sz="4" w:space="0" w:color="auto"/>
            </w:tcBorders>
            <w:shd w:val="clear" w:color="000000" w:fill="DCE6F1"/>
            <w:vAlign w:val="center"/>
            <w:hideMark/>
          </w:tcPr>
          <w:p w14:paraId="42D93D36"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1.123.915.572</w:t>
            </w:r>
          </w:p>
        </w:tc>
        <w:tc>
          <w:tcPr>
            <w:tcW w:w="1195" w:type="dxa"/>
            <w:tcBorders>
              <w:top w:val="nil"/>
              <w:left w:val="nil"/>
              <w:bottom w:val="single" w:sz="4" w:space="0" w:color="auto"/>
              <w:right w:val="nil"/>
            </w:tcBorders>
            <w:shd w:val="clear" w:color="000000" w:fill="DCE6F1"/>
            <w:vAlign w:val="center"/>
            <w:hideMark/>
          </w:tcPr>
          <w:p w14:paraId="230E1FEE"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947.258.430</w:t>
            </w:r>
          </w:p>
        </w:tc>
        <w:tc>
          <w:tcPr>
            <w:tcW w:w="1234" w:type="dxa"/>
            <w:tcBorders>
              <w:top w:val="nil"/>
              <w:left w:val="single" w:sz="8" w:space="0" w:color="auto"/>
              <w:bottom w:val="single" w:sz="4" w:space="0" w:color="auto"/>
              <w:right w:val="single" w:sz="8" w:space="0" w:color="auto"/>
            </w:tcBorders>
            <w:shd w:val="clear" w:color="000000" w:fill="DCE6F1"/>
            <w:vAlign w:val="center"/>
            <w:hideMark/>
          </w:tcPr>
          <w:p w14:paraId="6FEBA2BB"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863.316.847</w:t>
            </w:r>
          </w:p>
        </w:tc>
        <w:tc>
          <w:tcPr>
            <w:tcW w:w="1034" w:type="dxa"/>
            <w:tcBorders>
              <w:top w:val="nil"/>
              <w:left w:val="nil"/>
              <w:bottom w:val="single" w:sz="4" w:space="0" w:color="auto"/>
              <w:right w:val="single" w:sz="4" w:space="0" w:color="auto"/>
            </w:tcBorders>
            <w:shd w:val="clear" w:color="000000" w:fill="DCE6F1"/>
            <w:vAlign w:val="center"/>
            <w:hideMark/>
          </w:tcPr>
          <w:p w14:paraId="3DCEE5C2"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84,3</w:t>
            </w:r>
          </w:p>
        </w:tc>
        <w:tc>
          <w:tcPr>
            <w:tcW w:w="1115" w:type="dxa"/>
            <w:tcBorders>
              <w:top w:val="nil"/>
              <w:left w:val="nil"/>
              <w:bottom w:val="single" w:sz="4" w:space="0" w:color="auto"/>
              <w:right w:val="single" w:sz="4" w:space="0" w:color="auto"/>
            </w:tcBorders>
            <w:shd w:val="clear" w:color="000000" w:fill="DCE6F1"/>
            <w:vAlign w:val="center"/>
            <w:hideMark/>
          </w:tcPr>
          <w:p w14:paraId="455106D6"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76,8</w:t>
            </w:r>
          </w:p>
        </w:tc>
        <w:tc>
          <w:tcPr>
            <w:tcW w:w="1015" w:type="dxa"/>
            <w:tcBorders>
              <w:top w:val="nil"/>
              <w:left w:val="nil"/>
              <w:bottom w:val="single" w:sz="4" w:space="0" w:color="auto"/>
              <w:right w:val="single" w:sz="4" w:space="0" w:color="auto"/>
            </w:tcBorders>
            <w:shd w:val="clear" w:color="000000" w:fill="DCE6F1"/>
            <w:vAlign w:val="center"/>
            <w:hideMark/>
          </w:tcPr>
          <w:p w14:paraId="508024E5"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91,1</w:t>
            </w:r>
          </w:p>
        </w:tc>
      </w:tr>
      <w:tr w:rsidR="004B7622" w:rsidRPr="009F499E" w14:paraId="2143D551" w14:textId="77777777" w:rsidTr="00377989">
        <w:trPr>
          <w:trHeight w:val="271"/>
        </w:trPr>
        <w:tc>
          <w:tcPr>
            <w:tcW w:w="3052" w:type="dxa"/>
            <w:tcBorders>
              <w:top w:val="nil"/>
              <w:left w:val="single" w:sz="4" w:space="0" w:color="auto"/>
              <w:bottom w:val="single" w:sz="4" w:space="0" w:color="auto"/>
              <w:right w:val="single" w:sz="4" w:space="0" w:color="auto"/>
            </w:tcBorders>
            <w:shd w:val="clear" w:color="auto" w:fill="auto"/>
            <w:vAlign w:val="center"/>
            <w:hideMark/>
          </w:tcPr>
          <w:p w14:paraId="27FF195B" w14:textId="77777777" w:rsidR="004B7622" w:rsidRPr="009F499E" w:rsidRDefault="004B7622" w:rsidP="00377989">
            <w:pPr>
              <w:spacing w:after="0" w:line="240" w:lineRule="auto"/>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DAVKI NA DOHODEK IN DOBIČEK</w:t>
            </w:r>
          </w:p>
        </w:tc>
        <w:tc>
          <w:tcPr>
            <w:tcW w:w="1182" w:type="dxa"/>
            <w:tcBorders>
              <w:top w:val="nil"/>
              <w:left w:val="nil"/>
              <w:bottom w:val="single" w:sz="4" w:space="0" w:color="auto"/>
              <w:right w:val="single" w:sz="4" w:space="0" w:color="auto"/>
            </w:tcBorders>
            <w:shd w:val="clear" w:color="auto" w:fill="auto"/>
            <w:vAlign w:val="center"/>
            <w:hideMark/>
          </w:tcPr>
          <w:p w14:paraId="007C7222"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359.691.923</w:t>
            </w:r>
          </w:p>
        </w:tc>
        <w:tc>
          <w:tcPr>
            <w:tcW w:w="1195" w:type="dxa"/>
            <w:tcBorders>
              <w:top w:val="nil"/>
              <w:left w:val="nil"/>
              <w:bottom w:val="single" w:sz="4" w:space="0" w:color="auto"/>
              <w:right w:val="nil"/>
            </w:tcBorders>
            <w:shd w:val="clear" w:color="auto" w:fill="auto"/>
            <w:vAlign w:val="center"/>
            <w:hideMark/>
          </w:tcPr>
          <w:p w14:paraId="41332D10"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308.220.972</w:t>
            </w:r>
          </w:p>
        </w:tc>
        <w:tc>
          <w:tcPr>
            <w:tcW w:w="1234" w:type="dxa"/>
            <w:tcBorders>
              <w:top w:val="nil"/>
              <w:left w:val="single" w:sz="8" w:space="0" w:color="auto"/>
              <w:bottom w:val="single" w:sz="4" w:space="0" w:color="auto"/>
              <w:right w:val="single" w:sz="8" w:space="0" w:color="auto"/>
            </w:tcBorders>
            <w:shd w:val="clear" w:color="auto" w:fill="auto"/>
            <w:vAlign w:val="center"/>
            <w:hideMark/>
          </w:tcPr>
          <w:p w14:paraId="635486D1"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254.720.521</w:t>
            </w:r>
          </w:p>
        </w:tc>
        <w:tc>
          <w:tcPr>
            <w:tcW w:w="1034" w:type="dxa"/>
            <w:tcBorders>
              <w:top w:val="nil"/>
              <w:left w:val="nil"/>
              <w:bottom w:val="single" w:sz="4" w:space="0" w:color="auto"/>
              <w:right w:val="single" w:sz="4" w:space="0" w:color="auto"/>
            </w:tcBorders>
            <w:shd w:val="clear" w:color="auto" w:fill="auto"/>
            <w:vAlign w:val="center"/>
            <w:hideMark/>
          </w:tcPr>
          <w:p w14:paraId="3CC4FA95"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85,7</w:t>
            </w:r>
          </w:p>
        </w:tc>
        <w:tc>
          <w:tcPr>
            <w:tcW w:w="1115" w:type="dxa"/>
            <w:tcBorders>
              <w:top w:val="nil"/>
              <w:left w:val="nil"/>
              <w:bottom w:val="single" w:sz="4" w:space="0" w:color="auto"/>
              <w:right w:val="single" w:sz="4" w:space="0" w:color="auto"/>
            </w:tcBorders>
            <w:shd w:val="clear" w:color="auto" w:fill="auto"/>
            <w:vAlign w:val="center"/>
            <w:hideMark/>
          </w:tcPr>
          <w:p w14:paraId="6BCE0D3A"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70,8</w:t>
            </w:r>
          </w:p>
        </w:tc>
        <w:tc>
          <w:tcPr>
            <w:tcW w:w="1015" w:type="dxa"/>
            <w:tcBorders>
              <w:top w:val="nil"/>
              <w:left w:val="nil"/>
              <w:bottom w:val="single" w:sz="4" w:space="0" w:color="auto"/>
              <w:right w:val="single" w:sz="4" w:space="0" w:color="auto"/>
            </w:tcBorders>
            <w:shd w:val="clear" w:color="auto" w:fill="auto"/>
            <w:vAlign w:val="center"/>
            <w:hideMark/>
          </w:tcPr>
          <w:p w14:paraId="5ADE67E0"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82,6</w:t>
            </w:r>
          </w:p>
        </w:tc>
      </w:tr>
      <w:tr w:rsidR="004B7622" w:rsidRPr="009F499E" w14:paraId="17836FA5" w14:textId="77777777" w:rsidTr="00377989">
        <w:trPr>
          <w:trHeight w:val="271"/>
        </w:trPr>
        <w:tc>
          <w:tcPr>
            <w:tcW w:w="3052" w:type="dxa"/>
            <w:tcBorders>
              <w:top w:val="nil"/>
              <w:left w:val="single" w:sz="4" w:space="0" w:color="auto"/>
              <w:bottom w:val="single" w:sz="4" w:space="0" w:color="auto"/>
              <w:right w:val="single" w:sz="4" w:space="0" w:color="auto"/>
            </w:tcBorders>
            <w:shd w:val="clear" w:color="auto" w:fill="auto"/>
            <w:vAlign w:val="center"/>
            <w:hideMark/>
          </w:tcPr>
          <w:p w14:paraId="425B4F34" w14:textId="77777777" w:rsidR="004B7622" w:rsidRPr="009F499E" w:rsidRDefault="004B7622" w:rsidP="00377989">
            <w:pPr>
              <w:spacing w:after="0" w:line="240" w:lineRule="auto"/>
              <w:rPr>
                <w:rFonts w:ascii="Arial" w:eastAsia="Times New Roman" w:hAnsi="Arial" w:cs="Arial"/>
                <w:sz w:val="16"/>
                <w:szCs w:val="16"/>
                <w:lang w:eastAsia="sl-SI"/>
              </w:rPr>
            </w:pPr>
            <w:r w:rsidRPr="009F499E">
              <w:rPr>
                <w:rFonts w:ascii="Arial" w:eastAsia="Times New Roman" w:hAnsi="Arial" w:cs="Arial"/>
                <w:sz w:val="16"/>
                <w:szCs w:val="16"/>
                <w:lang w:eastAsia="sl-SI"/>
              </w:rPr>
              <w:t>Dohodnina</w:t>
            </w:r>
          </w:p>
        </w:tc>
        <w:tc>
          <w:tcPr>
            <w:tcW w:w="1182" w:type="dxa"/>
            <w:tcBorders>
              <w:top w:val="nil"/>
              <w:left w:val="nil"/>
              <w:bottom w:val="single" w:sz="4" w:space="0" w:color="auto"/>
              <w:right w:val="single" w:sz="4" w:space="0" w:color="auto"/>
            </w:tcBorders>
            <w:shd w:val="clear" w:color="auto" w:fill="auto"/>
            <w:vAlign w:val="center"/>
            <w:hideMark/>
          </w:tcPr>
          <w:p w14:paraId="43FA625F"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295.068.091</w:t>
            </w:r>
          </w:p>
        </w:tc>
        <w:tc>
          <w:tcPr>
            <w:tcW w:w="1195" w:type="dxa"/>
            <w:tcBorders>
              <w:top w:val="nil"/>
              <w:left w:val="nil"/>
              <w:bottom w:val="single" w:sz="4" w:space="0" w:color="auto"/>
              <w:right w:val="nil"/>
            </w:tcBorders>
            <w:shd w:val="clear" w:color="auto" w:fill="auto"/>
            <w:vAlign w:val="center"/>
            <w:hideMark/>
          </w:tcPr>
          <w:p w14:paraId="779CA03D"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251.886.355</w:t>
            </w:r>
          </w:p>
        </w:tc>
        <w:tc>
          <w:tcPr>
            <w:tcW w:w="1234" w:type="dxa"/>
            <w:tcBorders>
              <w:top w:val="nil"/>
              <w:left w:val="single" w:sz="8" w:space="0" w:color="auto"/>
              <w:bottom w:val="single" w:sz="4" w:space="0" w:color="auto"/>
              <w:right w:val="single" w:sz="8" w:space="0" w:color="auto"/>
            </w:tcBorders>
            <w:shd w:val="clear" w:color="auto" w:fill="auto"/>
            <w:vAlign w:val="center"/>
            <w:hideMark/>
          </w:tcPr>
          <w:p w14:paraId="4EBC3A2C"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212.948.313</w:t>
            </w:r>
          </w:p>
        </w:tc>
        <w:tc>
          <w:tcPr>
            <w:tcW w:w="1034" w:type="dxa"/>
            <w:tcBorders>
              <w:top w:val="nil"/>
              <w:left w:val="nil"/>
              <w:bottom w:val="single" w:sz="4" w:space="0" w:color="auto"/>
              <w:right w:val="single" w:sz="4" w:space="0" w:color="auto"/>
            </w:tcBorders>
            <w:shd w:val="clear" w:color="auto" w:fill="auto"/>
            <w:vAlign w:val="center"/>
            <w:hideMark/>
          </w:tcPr>
          <w:p w14:paraId="2610871F"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85,4</w:t>
            </w:r>
          </w:p>
        </w:tc>
        <w:tc>
          <w:tcPr>
            <w:tcW w:w="1115" w:type="dxa"/>
            <w:tcBorders>
              <w:top w:val="nil"/>
              <w:left w:val="nil"/>
              <w:bottom w:val="single" w:sz="4" w:space="0" w:color="auto"/>
              <w:right w:val="single" w:sz="4" w:space="0" w:color="auto"/>
            </w:tcBorders>
            <w:shd w:val="clear" w:color="auto" w:fill="auto"/>
            <w:vAlign w:val="center"/>
            <w:hideMark/>
          </w:tcPr>
          <w:p w14:paraId="631C81A2"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72,2</w:t>
            </w:r>
          </w:p>
        </w:tc>
        <w:tc>
          <w:tcPr>
            <w:tcW w:w="1015" w:type="dxa"/>
            <w:tcBorders>
              <w:top w:val="nil"/>
              <w:left w:val="nil"/>
              <w:bottom w:val="single" w:sz="4" w:space="0" w:color="auto"/>
              <w:right w:val="single" w:sz="4" w:space="0" w:color="auto"/>
            </w:tcBorders>
            <w:shd w:val="clear" w:color="auto" w:fill="auto"/>
            <w:vAlign w:val="center"/>
            <w:hideMark/>
          </w:tcPr>
          <w:p w14:paraId="57A607BB"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84,5</w:t>
            </w:r>
          </w:p>
        </w:tc>
      </w:tr>
      <w:tr w:rsidR="004B7622" w:rsidRPr="009F499E" w14:paraId="623453CE" w14:textId="77777777" w:rsidTr="00377989">
        <w:trPr>
          <w:trHeight w:val="271"/>
        </w:trPr>
        <w:tc>
          <w:tcPr>
            <w:tcW w:w="3052" w:type="dxa"/>
            <w:tcBorders>
              <w:top w:val="nil"/>
              <w:left w:val="single" w:sz="4" w:space="0" w:color="auto"/>
              <w:bottom w:val="single" w:sz="4" w:space="0" w:color="auto"/>
              <w:right w:val="single" w:sz="4" w:space="0" w:color="auto"/>
            </w:tcBorders>
            <w:shd w:val="clear" w:color="auto" w:fill="auto"/>
            <w:vAlign w:val="center"/>
            <w:hideMark/>
          </w:tcPr>
          <w:p w14:paraId="285ED732" w14:textId="77777777" w:rsidR="004B7622" w:rsidRPr="009F499E" w:rsidRDefault="004B7622" w:rsidP="00377989">
            <w:pPr>
              <w:spacing w:after="0" w:line="240" w:lineRule="auto"/>
              <w:rPr>
                <w:rFonts w:ascii="Arial" w:eastAsia="Times New Roman" w:hAnsi="Arial" w:cs="Arial"/>
                <w:i/>
                <w:iCs/>
                <w:sz w:val="16"/>
                <w:szCs w:val="16"/>
                <w:lang w:eastAsia="sl-SI"/>
              </w:rPr>
            </w:pPr>
            <w:r w:rsidRPr="009F499E">
              <w:rPr>
                <w:rFonts w:ascii="Arial" w:eastAsia="Times New Roman" w:hAnsi="Arial" w:cs="Arial"/>
                <w:i/>
                <w:iCs/>
                <w:sz w:val="16"/>
                <w:szCs w:val="16"/>
                <w:lang w:eastAsia="sl-SI"/>
              </w:rPr>
              <w:t>Letni poračun</w:t>
            </w:r>
          </w:p>
        </w:tc>
        <w:tc>
          <w:tcPr>
            <w:tcW w:w="1182" w:type="dxa"/>
            <w:tcBorders>
              <w:top w:val="nil"/>
              <w:left w:val="nil"/>
              <w:bottom w:val="single" w:sz="4" w:space="0" w:color="auto"/>
              <w:right w:val="single" w:sz="4" w:space="0" w:color="auto"/>
            </w:tcBorders>
            <w:shd w:val="clear" w:color="auto" w:fill="auto"/>
            <w:vAlign w:val="center"/>
            <w:hideMark/>
          </w:tcPr>
          <w:p w14:paraId="5972733A"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49.103.432</w:t>
            </w:r>
          </w:p>
        </w:tc>
        <w:tc>
          <w:tcPr>
            <w:tcW w:w="1195" w:type="dxa"/>
            <w:tcBorders>
              <w:top w:val="nil"/>
              <w:left w:val="nil"/>
              <w:bottom w:val="single" w:sz="4" w:space="0" w:color="auto"/>
              <w:right w:val="nil"/>
            </w:tcBorders>
            <w:shd w:val="clear" w:color="auto" w:fill="auto"/>
            <w:vAlign w:val="center"/>
            <w:hideMark/>
          </w:tcPr>
          <w:p w14:paraId="16BB5EA6"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53.232.522</w:t>
            </w:r>
          </w:p>
        </w:tc>
        <w:tc>
          <w:tcPr>
            <w:tcW w:w="1234" w:type="dxa"/>
            <w:tcBorders>
              <w:top w:val="nil"/>
              <w:left w:val="single" w:sz="8" w:space="0" w:color="auto"/>
              <w:bottom w:val="single" w:sz="4" w:space="0" w:color="auto"/>
              <w:right w:val="single" w:sz="8" w:space="0" w:color="auto"/>
            </w:tcBorders>
            <w:shd w:val="clear" w:color="auto" w:fill="auto"/>
            <w:vAlign w:val="center"/>
            <w:hideMark/>
          </w:tcPr>
          <w:p w14:paraId="2D2AD355"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53.000.526</w:t>
            </w:r>
          </w:p>
        </w:tc>
        <w:tc>
          <w:tcPr>
            <w:tcW w:w="1034" w:type="dxa"/>
            <w:tcBorders>
              <w:top w:val="nil"/>
              <w:left w:val="nil"/>
              <w:bottom w:val="single" w:sz="4" w:space="0" w:color="auto"/>
              <w:right w:val="single" w:sz="4" w:space="0" w:color="auto"/>
            </w:tcBorders>
            <w:shd w:val="clear" w:color="auto" w:fill="auto"/>
            <w:vAlign w:val="center"/>
            <w:hideMark/>
          </w:tcPr>
          <w:p w14:paraId="5EFA333A"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108,4</w:t>
            </w:r>
          </w:p>
        </w:tc>
        <w:tc>
          <w:tcPr>
            <w:tcW w:w="1115" w:type="dxa"/>
            <w:tcBorders>
              <w:top w:val="nil"/>
              <w:left w:val="nil"/>
              <w:bottom w:val="single" w:sz="4" w:space="0" w:color="auto"/>
              <w:right w:val="single" w:sz="4" w:space="0" w:color="auto"/>
            </w:tcBorders>
            <w:shd w:val="clear" w:color="auto" w:fill="auto"/>
            <w:vAlign w:val="center"/>
            <w:hideMark/>
          </w:tcPr>
          <w:p w14:paraId="3F8C1F9F"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107,9</w:t>
            </w:r>
          </w:p>
        </w:tc>
        <w:tc>
          <w:tcPr>
            <w:tcW w:w="1015" w:type="dxa"/>
            <w:tcBorders>
              <w:top w:val="nil"/>
              <w:left w:val="nil"/>
              <w:bottom w:val="single" w:sz="4" w:space="0" w:color="auto"/>
              <w:right w:val="single" w:sz="4" w:space="0" w:color="auto"/>
            </w:tcBorders>
            <w:shd w:val="clear" w:color="auto" w:fill="auto"/>
            <w:vAlign w:val="center"/>
            <w:hideMark/>
          </w:tcPr>
          <w:p w14:paraId="7DA5F1A5"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99,6</w:t>
            </w:r>
          </w:p>
        </w:tc>
      </w:tr>
      <w:tr w:rsidR="004B7622" w:rsidRPr="009F499E" w14:paraId="19236E9B" w14:textId="77777777" w:rsidTr="00377989">
        <w:trPr>
          <w:trHeight w:val="271"/>
        </w:trPr>
        <w:tc>
          <w:tcPr>
            <w:tcW w:w="3052" w:type="dxa"/>
            <w:tcBorders>
              <w:top w:val="nil"/>
              <w:left w:val="single" w:sz="4" w:space="0" w:color="auto"/>
              <w:bottom w:val="single" w:sz="4" w:space="0" w:color="auto"/>
              <w:right w:val="single" w:sz="4" w:space="0" w:color="auto"/>
            </w:tcBorders>
            <w:shd w:val="clear" w:color="auto" w:fill="auto"/>
            <w:vAlign w:val="center"/>
            <w:hideMark/>
          </w:tcPr>
          <w:p w14:paraId="0C7FF243" w14:textId="77777777" w:rsidR="004B7622" w:rsidRPr="009F499E" w:rsidRDefault="004B7622" w:rsidP="00377989">
            <w:pPr>
              <w:spacing w:after="0" w:line="240" w:lineRule="auto"/>
              <w:rPr>
                <w:rFonts w:ascii="Arial" w:eastAsia="Times New Roman" w:hAnsi="Arial" w:cs="Arial"/>
                <w:i/>
                <w:iCs/>
                <w:sz w:val="16"/>
                <w:szCs w:val="16"/>
                <w:lang w:eastAsia="sl-SI"/>
              </w:rPr>
            </w:pPr>
            <w:r w:rsidRPr="009F499E">
              <w:rPr>
                <w:rFonts w:ascii="Arial" w:eastAsia="Times New Roman" w:hAnsi="Arial" w:cs="Arial"/>
                <w:i/>
                <w:iCs/>
                <w:sz w:val="16"/>
                <w:szCs w:val="16"/>
                <w:lang w:eastAsia="sl-SI"/>
              </w:rPr>
              <w:t>Akontacije dohodnine</w:t>
            </w:r>
          </w:p>
        </w:tc>
        <w:tc>
          <w:tcPr>
            <w:tcW w:w="1182" w:type="dxa"/>
            <w:tcBorders>
              <w:top w:val="nil"/>
              <w:left w:val="nil"/>
              <w:bottom w:val="single" w:sz="4" w:space="0" w:color="auto"/>
              <w:right w:val="single" w:sz="4" w:space="0" w:color="auto"/>
            </w:tcBorders>
            <w:shd w:val="clear" w:color="auto" w:fill="auto"/>
            <w:vAlign w:val="center"/>
            <w:hideMark/>
          </w:tcPr>
          <w:p w14:paraId="237DA173"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136.957.273</w:t>
            </w:r>
          </w:p>
        </w:tc>
        <w:tc>
          <w:tcPr>
            <w:tcW w:w="1195" w:type="dxa"/>
            <w:tcBorders>
              <w:top w:val="nil"/>
              <w:left w:val="nil"/>
              <w:bottom w:val="single" w:sz="4" w:space="0" w:color="auto"/>
              <w:right w:val="nil"/>
            </w:tcBorders>
            <w:shd w:val="clear" w:color="auto" w:fill="auto"/>
            <w:vAlign w:val="center"/>
            <w:hideMark/>
          </w:tcPr>
          <w:p w14:paraId="25A77998"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128.216.746</w:t>
            </w:r>
          </w:p>
        </w:tc>
        <w:tc>
          <w:tcPr>
            <w:tcW w:w="1234" w:type="dxa"/>
            <w:tcBorders>
              <w:top w:val="nil"/>
              <w:left w:val="single" w:sz="8" w:space="0" w:color="auto"/>
              <w:bottom w:val="single" w:sz="4" w:space="0" w:color="auto"/>
              <w:right w:val="single" w:sz="8" w:space="0" w:color="auto"/>
            </w:tcBorders>
            <w:shd w:val="clear" w:color="auto" w:fill="auto"/>
            <w:vAlign w:val="center"/>
            <w:hideMark/>
          </w:tcPr>
          <w:p w14:paraId="24F07444"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115.901.281</w:t>
            </w:r>
          </w:p>
        </w:tc>
        <w:tc>
          <w:tcPr>
            <w:tcW w:w="1034" w:type="dxa"/>
            <w:tcBorders>
              <w:top w:val="nil"/>
              <w:left w:val="nil"/>
              <w:bottom w:val="single" w:sz="4" w:space="0" w:color="auto"/>
              <w:right w:val="single" w:sz="4" w:space="0" w:color="auto"/>
            </w:tcBorders>
            <w:shd w:val="clear" w:color="auto" w:fill="auto"/>
            <w:vAlign w:val="center"/>
            <w:hideMark/>
          </w:tcPr>
          <w:p w14:paraId="37A92973"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93,6</w:t>
            </w:r>
          </w:p>
        </w:tc>
        <w:tc>
          <w:tcPr>
            <w:tcW w:w="1115" w:type="dxa"/>
            <w:tcBorders>
              <w:top w:val="nil"/>
              <w:left w:val="nil"/>
              <w:bottom w:val="single" w:sz="4" w:space="0" w:color="auto"/>
              <w:right w:val="single" w:sz="4" w:space="0" w:color="auto"/>
            </w:tcBorders>
            <w:shd w:val="clear" w:color="auto" w:fill="auto"/>
            <w:vAlign w:val="center"/>
            <w:hideMark/>
          </w:tcPr>
          <w:p w14:paraId="6FA7E4F6"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84,6</w:t>
            </w:r>
          </w:p>
        </w:tc>
        <w:tc>
          <w:tcPr>
            <w:tcW w:w="1015" w:type="dxa"/>
            <w:tcBorders>
              <w:top w:val="nil"/>
              <w:left w:val="nil"/>
              <w:bottom w:val="single" w:sz="4" w:space="0" w:color="auto"/>
              <w:right w:val="single" w:sz="4" w:space="0" w:color="auto"/>
            </w:tcBorders>
            <w:shd w:val="clear" w:color="auto" w:fill="auto"/>
            <w:vAlign w:val="center"/>
            <w:hideMark/>
          </w:tcPr>
          <w:p w14:paraId="17079673"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90,4</w:t>
            </w:r>
          </w:p>
        </w:tc>
      </w:tr>
      <w:tr w:rsidR="004B7622" w:rsidRPr="009F499E" w14:paraId="7B08BD91" w14:textId="77777777" w:rsidTr="00377989">
        <w:trPr>
          <w:trHeight w:val="476"/>
        </w:trPr>
        <w:tc>
          <w:tcPr>
            <w:tcW w:w="3052" w:type="dxa"/>
            <w:tcBorders>
              <w:top w:val="nil"/>
              <w:left w:val="single" w:sz="4" w:space="0" w:color="auto"/>
              <w:bottom w:val="single" w:sz="4" w:space="0" w:color="auto"/>
              <w:right w:val="single" w:sz="4" w:space="0" w:color="auto"/>
            </w:tcBorders>
            <w:shd w:val="clear" w:color="auto" w:fill="auto"/>
            <w:vAlign w:val="center"/>
            <w:hideMark/>
          </w:tcPr>
          <w:p w14:paraId="7F56E5F4" w14:textId="77777777" w:rsidR="004B7622" w:rsidRPr="009F499E" w:rsidRDefault="004B7622" w:rsidP="00377989">
            <w:pPr>
              <w:spacing w:after="0" w:line="240" w:lineRule="auto"/>
              <w:rPr>
                <w:rFonts w:ascii="Arial" w:eastAsia="Times New Roman" w:hAnsi="Arial" w:cs="Arial"/>
                <w:i/>
                <w:iCs/>
                <w:sz w:val="16"/>
                <w:szCs w:val="16"/>
                <w:lang w:eastAsia="sl-SI"/>
              </w:rPr>
            </w:pPr>
            <w:r w:rsidRPr="009F499E">
              <w:rPr>
                <w:rFonts w:ascii="Arial" w:eastAsia="Times New Roman" w:hAnsi="Arial" w:cs="Arial"/>
                <w:i/>
                <w:iCs/>
                <w:sz w:val="16"/>
                <w:szCs w:val="16"/>
                <w:lang w:eastAsia="sl-SI"/>
              </w:rPr>
              <w:t>Dohodnina od dobička iz kapital, dividend in obresti</w:t>
            </w:r>
          </w:p>
        </w:tc>
        <w:tc>
          <w:tcPr>
            <w:tcW w:w="1182" w:type="dxa"/>
            <w:tcBorders>
              <w:top w:val="nil"/>
              <w:left w:val="nil"/>
              <w:bottom w:val="single" w:sz="4" w:space="0" w:color="auto"/>
              <w:right w:val="single" w:sz="4" w:space="0" w:color="auto"/>
            </w:tcBorders>
            <w:shd w:val="clear" w:color="auto" w:fill="auto"/>
            <w:vAlign w:val="center"/>
            <w:hideMark/>
          </w:tcPr>
          <w:p w14:paraId="43C0C3F1"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20.503.038</w:t>
            </w:r>
          </w:p>
        </w:tc>
        <w:tc>
          <w:tcPr>
            <w:tcW w:w="1195" w:type="dxa"/>
            <w:tcBorders>
              <w:top w:val="nil"/>
              <w:left w:val="nil"/>
              <w:bottom w:val="single" w:sz="4" w:space="0" w:color="auto"/>
              <w:right w:val="nil"/>
            </w:tcBorders>
            <w:shd w:val="clear" w:color="auto" w:fill="auto"/>
            <w:vAlign w:val="center"/>
            <w:hideMark/>
          </w:tcPr>
          <w:p w14:paraId="5529C998"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20.565.733</w:t>
            </w:r>
          </w:p>
        </w:tc>
        <w:tc>
          <w:tcPr>
            <w:tcW w:w="1234" w:type="dxa"/>
            <w:tcBorders>
              <w:top w:val="nil"/>
              <w:left w:val="single" w:sz="8" w:space="0" w:color="auto"/>
              <w:bottom w:val="single" w:sz="4" w:space="0" w:color="auto"/>
              <w:right w:val="single" w:sz="8" w:space="0" w:color="auto"/>
            </w:tcBorders>
            <w:shd w:val="clear" w:color="auto" w:fill="auto"/>
            <w:vAlign w:val="center"/>
            <w:hideMark/>
          </w:tcPr>
          <w:p w14:paraId="3F27AC47"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15.799.958</w:t>
            </w:r>
          </w:p>
        </w:tc>
        <w:tc>
          <w:tcPr>
            <w:tcW w:w="1034" w:type="dxa"/>
            <w:tcBorders>
              <w:top w:val="nil"/>
              <w:left w:val="nil"/>
              <w:bottom w:val="single" w:sz="4" w:space="0" w:color="auto"/>
              <w:right w:val="single" w:sz="4" w:space="0" w:color="auto"/>
            </w:tcBorders>
            <w:shd w:val="clear" w:color="auto" w:fill="auto"/>
            <w:vAlign w:val="center"/>
            <w:hideMark/>
          </w:tcPr>
          <w:p w14:paraId="7008F462"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100,3</w:t>
            </w:r>
          </w:p>
        </w:tc>
        <w:tc>
          <w:tcPr>
            <w:tcW w:w="1115" w:type="dxa"/>
            <w:tcBorders>
              <w:top w:val="nil"/>
              <w:left w:val="nil"/>
              <w:bottom w:val="single" w:sz="4" w:space="0" w:color="auto"/>
              <w:right w:val="single" w:sz="4" w:space="0" w:color="auto"/>
            </w:tcBorders>
            <w:shd w:val="clear" w:color="auto" w:fill="auto"/>
            <w:vAlign w:val="center"/>
            <w:hideMark/>
          </w:tcPr>
          <w:p w14:paraId="22945694"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77,1</w:t>
            </w:r>
          </w:p>
        </w:tc>
        <w:tc>
          <w:tcPr>
            <w:tcW w:w="1015" w:type="dxa"/>
            <w:tcBorders>
              <w:top w:val="nil"/>
              <w:left w:val="nil"/>
              <w:bottom w:val="single" w:sz="4" w:space="0" w:color="auto"/>
              <w:right w:val="single" w:sz="4" w:space="0" w:color="auto"/>
            </w:tcBorders>
            <w:shd w:val="clear" w:color="auto" w:fill="auto"/>
            <w:vAlign w:val="center"/>
            <w:hideMark/>
          </w:tcPr>
          <w:p w14:paraId="2FCA32B9"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76,8</w:t>
            </w:r>
          </w:p>
        </w:tc>
      </w:tr>
      <w:tr w:rsidR="004B7622" w:rsidRPr="009F499E" w14:paraId="5D63A5A4" w14:textId="77777777" w:rsidTr="00377989">
        <w:trPr>
          <w:trHeight w:val="332"/>
        </w:trPr>
        <w:tc>
          <w:tcPr>
            <w:tcW w:w="3052" w:type="dxa"/>
            <w:tcBorders>
              <w:top w:val="nil"/>
              <w:left w:val="single" w:sz="4" w:space="0" w:color="auto"/>
              <w:bottom w:val="single" w:sz="4" w:space="0" w:color="auto"/>
              <w:right w:val="single" w:sz="4" w:space="0" w:color="auto"/>
            </w:tcBorders>
            <w:shd w:val="clear" w:color="auto" w:fill="auto"/>
            <w:vAlign w:val="center"/>
            <w:hideMark/>
          </w:tcPr>
          <w:p w14:paraId="195D6621" w14:textId="77777777" w:rsidR="004B7622" w:rsidRPr="009F499E" w:rsidRDefault="004B7622" w:rsidP="00377989">
            <w:pPr>
              <w:spacing w:after="0" w:line="240" w:lineRule="auto"/>
              <w:rPr>
                <w:rFonts w:ascii="Arial" w:eastAsia="Times New Roman" w:hAnsi="Arial" w:cs="Arial"/>
                <w:i/>
                <w:iCs/>
                <w:sz w:val="16"/>
                <w:szCs w:val="16"/>
                <w:lang w:eastAsia="sl-SI"/>
              </w:rPr>
            </w:pPr>
            <w:r w:rsidRPr="009F499E">
              <w:rPr>
                <w:rFonts w:ascii="Arial" w:eastAsia="Times New Roman" w:hAnsi="Arial" w:cs="Arial"/>
                <w:i/>
                <w:iCs/>
                <w:sz w:val="16"/>
                <w:szCs w:val="16"/>
                <w:lang w:eastAsia="sl-SI"/>
              </w:rPr>
              <w:t>Dohodnina od nenapovedanih dohodkov</w:t>
            </w:r>
          </w:p>
        </w:tc>
        <w:tc>
          <w:tcPr>
            <w:tcW w:w="1182" w:type="dxa"/>
            <w:tcBorders>
              <w:top w:val="nil"/>
              <w:left w:val="nil"/>
              <w:bottom w:val="single" w:sz="4" w:space="0" w:color="auto"/>
              <w:right w:val="single" w:sz="4" w:space="0" w:color="auto"/>
            </w:tcBorders>
            <w:shd w:val="clear" w:color="auto" w:fill="auto"/>
            <w:vAlign w:val="center"/>
            <w:hideMark/>
          </w:tcPr>
          <w:p w14:paraId="2F23BC9B"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88.504.348</w:t>
            </w:r>
          </w:p>
        </w:tc>
        <w:tc>
          <w:tcPr>
            <w:tcW w:w="1195" w:type="dxa"/>
            <w:tcBorders>
              <w:top w:val="nil"/>
              <w:left w:val="nil"/>
              <w:bottom w:val="single" w:sz="4" w:space="0" w:color="auto"/>
              <w:right w:val="nil"/>
            </w:tcBorders>
            <w:shd w:val="clear" w:color="auto" w:fill="auto"/>
            <w:vAlign w:val="center"/>
            <w:hideMark/>
          </w:tcPr>
          <w:p w14:paraId="09075E21"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49.871.355</w:t>
            </w:r>
          </w:p>
        </w:tc>
        <w:tc>
          <w:tcPr>
            <w:tcW w:w="1234" w:type="dxa"/>
            <w:tcBorders>
              <w:top w:val="nil"/>
              <w:left w:val="single" w:sz="8" w:space="0" w:color="auto"/>
              <w:bottom w:val="single" w:sz="4" w:space="0" w:color="auto"/>
              <w:right w:val="single" w:sz="8" w:space="0" w:color="auto"/>
            </w:tcBorders>
            <w:shd w:val="clear" w:color="auto" w:fill="auto"/>
            <w:vAlign w:val="center"/>
            <w:hideMark/>
          </w:tcPr>
          <w:p w14:paraId="7AB2C6F7"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28.246.547</w:t>
            </w:r>
          </w:p>
        </w:tc>
        <w:tc>
          <w:tcPr>
            <w:tcW w:w="1034" w:type="dxa"/>
            <w:tcBorders>
              <w:top w:val="nil"/>
              <w:left w:val="nil"/>
              <w:bottom w:val="single" w:sz="4" w:space="0" w:color="auto"/>
              <w:right w:val="single" w:sz="4" w:space="0" w:color="auto"/>
            </w:tcBorders>
            <w:shd w:val="clear" w:color="auto" w:fill="auto"/>
            <w:vAlign w:val="center"/>
            <w:hideMark/>
          </w:tcPr>
          <w:p w14:paraId="3787EDAA"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56,3</w:t>
            </w:r>
          </w:p>
        </w:tc>
        <w:tc>
          <w:tcPr>
            <w:tcW w:w="1115" w:type="dxa"/>
            <w:tcBorders>
              <w:top w:val="nil"/>
              <w:left w:val="nil"/>
              <w:bottom w:val="single" w:sz="4" w:space="0" w:color="auto"/>
              <w:right w:val="single" w:sz="4" w:space="0" w:color="auto"/>
            </w:tcBorders>
            <w:shd w:val="clear" w:color="auto" w:fill="auto"/>
            <w:vAlign w:val="center"/>
            <w:hideMark/>
          </w:tcPr>
          <w:p w14:paraId="74B55704"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31,9</w:t>
            </w:r>
          </w:p>
        </w:tc>
        <w:tc>
          <w:tcPr>
            <w:tcW w:w="1015" w:type="dxa"/>
            <w:tcBorders>
              <w:top w:val="nil"/>
              <w:left w:val="nil"/>
              <w:bottom w:val="single" w:sz="4" w:space="0" w:color="auto"/>
              <w:right w:val="single" w:sz="4" w:space="0" w:color="auto"/>
            </w:tcBorders>
            <w:shd w:val="clear" w:color="auto" w:fill="auto"/>
            <w:vAlign w:val="center"/>
            <w:hideMark/>
          </w:tcPr>
          <w:p w14:paraId="6BD8207F"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56,6</w:t>
            </w:r>
          </w:p>
        </w:tc>
      </w:tr>
      <w:tr w:rsidR="004B7622" w:rsidRPr="009F499E" w14:paraId="2CFF6758" w14:textId="77777777" w:rsidTr="00377989">
        <w:trPr>
          <w:trHeight w:val="271"/>
        </w:trPr>
        <w:tc>
          <w:tcPr>
            <w:tcW w:w="3052" w:type="dxa"/>
            <w:tcBorders>
              <w:top w:val="nil"/>
              <w:left w:val="single" w:sz="4" w:space="0" w:color="auto"/>
              <w:bottom w:val="single" w:sz="4" w:space="0" w:color="auto"/>
              <w:right w:val="single" w:sz="4" w:space="0" w:color="auto"/>
            </w:tcBorders>
            <w:shd w:val="clear" w:color="auto" w:fill="auto"/>
            <w:vAlign w:val="center"/>
            <w:hideMark/>
          </w:tcPr>
          <w:p w14:paraId="52D66802" w14:textId="77777777" w:rsidR="004B7622" w:rsidRPr="009F499E" w:rsidRDefault="004B7622" w:rsidP="00377989">
            <w:pPr>
              <w:spacing w:after="0" w:line="240" w:lineRule="auto"/>
              <w:rPr>
                <w:rFonts w:ascii="Arial" w:eastAsia="Times New Roman" w:hAnsi="Arial" w:cs="Arial"/>
                <w:sz w:val="16"/>
                <w:szCs w:val="16"/>
                <w:lang w:eastAsia="sl-SI"/>
              </w:rPr>
            </w:pPr>
            <w:r w:rsidRPr="009F499E">
              <w:rPr>
                <w:rFonts w:ascii="Arial" w:eastAsia="Times New Roman" w:hAnsi="Arial" w:cs="Arial"/>
                <w:sz w:val="16"/>
                <w:szCs w:val="16"/>
                <w:lang w:eastAsia="sl-SI"/>
              </w:rPr>
              <w:t>Davek od dohodkov pravnih oseb</w:t>
            </w:r>
          </w:p>
        </w:tc>
        <w:tc>
          <w:tcPr>
            <w:tcW w:w="1182" w:type="dxa"/>
            <w:tcBorders>
              <w:top w:val="nil"/>
              <w:left w:val="nil"/>
              <w:bottom w:val="single" w:sz="4" w:space="0" w:color="auto"/>
              <w:right w:val="single" w:sz="4" w:space="0" w:color="auto"/>
            </w:tcBorders>
            <w:shd w:val="clear" w:color="auto" w:fill="auto"/>
            <w:vAlign w:val="center"/>
            <w:hideMark/>
          </w:tcPr>
          <w:p w14:paraId="0660EFFE"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64.600.436</w:t>
            </w:r>
          </w:p>
        </w:tc>
        <w:tc>
          <w:tcPr>
            <w:tcW w:w="1195" w:type="dxa"/>
            <w:tcBorders>
              <w:top w:val="nil"/>
              <w:left w:val="nil"/>
              <w:bottom w:val="single" w:sz="4" w:space="0" w:color="auto"/>
              <w:right w:val="nil"/>
            </w:tcBorders>
            <w:shd w:val="clear" w:color="auto" w:fill="auto"/>
            <w:vAlign w:val="center"/>
            <w:hideMark/>
          </w:tcPr>
          <w:p w14:paraId="4FE39FE4"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56.317.585</w:t>
            </w:r>
          </w:p>
        </w:tc>
        <w:tc>
          <w:tcPr>
            <w:tcW w:w="1234" w:type="dxa"/>
            <w:tcBorders>
              <w:top w:val="nil"/>
              <w:left w:val="single" w:sz="8" w:space="0" w:color="auto"/>
              <w:bottom w:val="single" w:sz="4" w:space="0" w:color="auto"/>
              <w:right w:val="single" w:sz="8" w:space="0" w:color="auto"/>
            </w:tcBorders>
            <w:shd w:val="clear" w:color="auto" w:fill="auto"/>
            <w:vAlign w:val="center"/>
            <w:hideMark/>
          </w:tcPr>
          <w:p w14:paraId="6A79C5A4"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41.667.133</w:t>
            </w:r>
          </w:p>
        </w:tc>
        <w:tc>
          <w:tcPr>
            <w:tcW w:w="1034" w:type="dxa"/>
            <w:tcBorders>
              <w:top w:val="nil"/>
              <w:left w:val="nil"/>
              <w:bottom w:val="single" w:sz="4" w:space="0" w:color="auto"/>
              <w:right w:val="single" w:sz="4" w:space="0" w:color="auto"/>
            </w:tcBorders>
            <w:shd w:val="clear" w:color="auto" w:fill="auto"/>
            <w:vAlign w:val="center"/>
            <w:hideMark/>
          </w:tcPr>
          <w:p w14:paraId="5CA02049"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87,2</w:t>
            </w:r>
          </w:p>
        </w:tc>
        <w:tc>
          <w:tcPr>
            <w:tcW w:w="1115" w:type="dxa"/>
            <w:tcBorders>
              <w:top w:val="nil"/>
              <w:left w:val="nil"/>
              <w:bottom w:val="single" w:sz="4" w:space="0" w:color="auto"/>
              <w:right w:val="single" w:sz="4" w:space="0" w:color="auto"/>
            </w:tcBorders>
            <w:shd w:val="clear" w:color="auto" w:fill="auto"/>
            <w:vAlign w:val="center"/>
            <w:hideMark/>
          </w:tcPr>
          <w:p w14:paraId="06036617"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64,5</w:t>
            </w:r>
          </w:p>
        </w:tc>
        <w:tc>
          <w:tcPr>
            <w:tcW w:w="1015" w:type="dxa"/>
            <w:tcBorders>
              <w:top w:val="nil"/>
              <w:left w:val="nil"/>
              <w:bottom w:val="single" w:sz="4" w:space="0" w:color="auto"/>
              <w:right w:val="single" w:sz="4" w:space="0" w:color="auto"/>
            </w:tcBorders>
            <w:shd w:val="clear" w:color="auto" w:fill="auto"/>
            <w:vAlign w:val="center"/>
            <w:hideMark/>
          </w:tcPr>
          <w:p w14:paraId="4B704477"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74,0</w:t>
            </w:r>
          </w:p>
        </w:tc>
      </w:tr>
      <w:tr w:rsidR="004B7622" w:rsidRPr="009F499E" w14:paraId="42306D39" w14:textId="77777777" w:rsidTr="00377989">
        <w:trPr>
          <w:trHeight w:val="271"/>
        </w:trPr>
        <w:tc>
          <w:tcPr>
            <w:tcW w:w="3052" w:type="dxa"/>
            <w:tcBorders>
              <w:top w:val="nil"/>
              <w:left w:val="single" w:sz="4" w:space="0" w:color="auto"/>
              <w:bottom w:val="single" w:sz="4" w:space="0" w:color="auto"/>
              <w:right w:val="single" w:sz="4" w:space="0" w:color="auto"/>
            </w:tcBorders>
            <w:shd w:val="clear" w:color="auto" w:fill="auto"/>
            <w:vAlign w:val="center"/>
            <w:hideMark/>
          </w:tcPr>
          <w:p w14:paraId="5D2C53D6" w14:textId="77777777" w:rsidR="004B7622" w:rsidRPr="009F499E" w:rsidRDefault="004B7622" w:rsidP="00377989">
            <w:pPr>
              <w:spacing w:after="0" w:line="240" w:lineRule="auto"/>
              <w:rPr>
                <w:rFonts w:ascii="Arial" w:eastAsia="Times New Roman" w:hAnsi="Arial" w:cs="Arial"/>
                <w:sz w:val="16"/>
                <w:szCs w:val="16"/>
                <w:lang w:eastAsia="sl-SI"/>
              </w:rPr>
            </w:pPr>
            <w:r w:rsidRPr="009F499E">
              <w:rPr>
                <w:rFonts w:ascii="Arial" w:eastAsia="Times New Roman" w:hAnsi="Arial" w:cs="Arial"/>
                <w:sz w:val="16"/>
                <w:szCs w:val="16"/>
                <w:lang w:eastAsia="sl-SI"/>
              </w:rPr>
              <w:t>Drugi davki na dohodek in dobiček</w:t>
            </w:r>
          </w:p>
        </w:tc>
        <w:tc>
          <w:tcPr>
            <w:tcW w:w="1182" w:type="dxa"/>
            <w:tcBorders>
              <w:top w:val="nil"/>
              <w:left w:val="nil"/>
              <w:bottom w:val="single" w:sz="4" w:space="0" w:color="auto"/>
              <w:right w:val="single" w:sz="4" w:space="0" w:color="auto"/>
            </w:tcBorders>
            <w:shd w:val="clear" w:color="auto" w:fill="auto"/>
            <w:vAlign w:val="center"/>
            <w:hideMark/>
          </w:tcPr>
          <w:p w14:paraId="089933C7"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23.396</w:t>
            </w:r>
          </w:p>
        </w:tc>
        <w:tc>
          <w:tcPr>
            <w:tcW w:w="1195" w:type="dxa"/>
            <w:tcBorders>
              <w:top w:val="nil"/>
              <w:left w:val="nil"/>
              <w:bottom w:val="single" w:sz="4" w:space="0" w:color="auto"/>
              <w:right w:val="nil"/>
            </w:tcBorders>
            <w:shd w:val="clear" w:color="auto" w:fill="auto"/>
            <w:vAlign w:val="center"/>
            <w:hideMark/>
          </w:tcPr>
          <w:p w14:paraId="78641682"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17.032</w:t>
            </w:r>
          </w:p>
        </w:tc>
        <w:tc>
          <w:tcPr>
            <w:tcW w:w="1234" w:type="dxa"/>
            <w:tcBorders>
              <w:top w:val="nil"/>
              <w:left w:val="single" w:sz="8" w:space="0" w:color="auto"/>
              <w:bottom w:val="single" w:sz="4" w:space="0" w:color="auto"/>
              <w:right w:val="single" w:sz="8" w:space="0" w:color="auto"/>
            </w:tcBorders>
            <w:shd w:val="clear" w:color="auto" w:fill="auto"/>
            <w:vAlign w:val="center"/>
            <w:hideMark/>
          </w:tcPr>
          <w:p w14:paraId="32C0626D"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105.075</w:t>
            </w:r>
          </w:p>
        </w:tc>
        <w:tc>
          <w:tcPr>
            <w:tcW w:w="1034" w:type="dxa"/>
            <w:tcBorders>
              <w:top w:val="nil"/>
              <w:left w:val="nil"/>
              <w:bottom w:val="single" w:sz="4" w:space="0" w:color="auto"/>
              <w:right w:val="single" w:sz="4" w:space="0" w:color="auto"/>
            </w:tcBorders>
            <w:shd w:val="clear" w:color="auto" w:fill="auto"/>
            <w:vAlign w:val="center"/>
            <w:hideMark/>
          </w:tcPr>
          <w:p w14:paraId="198CCA57"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72,8</w:t>
            </w:r>
          </w:p>
        </w:tc>
        <w:tc>
          <w:tcPr>
            <w:tcW w:w="1115" w:type="dxa"/>
            <w:tcBorders>
              <w:top w:val="nil"/>
              <w:left w:val="nil"/>
              <w:bottom w:val="single" w:sz="4" w:space="0" w:color="auto"/>
              <w:right w:val="single" w:sz="4" w:space="0" w:color="auto"/>
            </w:tcBorders>
            <w:shd w:val="clear" w:color="auto" w:fill="auto"/>
            <w:vAlign w:val="center"/>
            <w:hideMark/>
          </w:tcPr>
          <w:p w14:paraId="493B1DCF"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449,1</w:t>
            </w:r>
          </w:p>
        </w:tc>
        <w:tc>
          <w:tcPr>
            <w:tcW w:w="1015" w:type="dxa"/>
            <w:tcBorders>
              <w:top w:val="nil"/>
              <w:left w:val="nil"/>
              <w:bottom w:val="single" w:sz="4" w:space="0" w:color="auto"/>
              <w:right w:val="single" w:sz="4" w:space="0" w:color="auto"/>
            </w:tcBorders>
            <w:shd w:val="clear" w:color="auto" w:fill="auto"/>
            <w:vAlign w:val="center"/>
            <w:hideMark/>
          </w:tcPr>
          <w:p w14:paraId="7BF35C7F"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616,9</w:t>
            </w:r>
          </w:p>
        </w:tc>
      </w:tr>
      <w:tr w:rsidR="004B7622" w:rsidRPr="009F499E" w14:paraId="61731058" w14:textId="77777777" w:rsidTr="00377989">
        <w:trPr>
          <w:trHeight w:val="271"/>
        </w:trPr>
        <w:tc>
          <w:tcPr>
            <w:tcW w:w="3052" w:type="dxa"/>
            <w:tcBorders>
              <w:top w:val="nil"/>
              <w:left w:val="single" w:sz="4" w:space="0" w:color="auto"/>
              <w:bottom w:val="single" w:sz="4" w:space="0" w:color="auto"/>
              <w:right w:val="single" w:sz="4" w:space="0" w:color="auto"/>
            </w:tcBorders>
            <w:shd w:val="clear" w:color="auto" w:fill="auto"/>
            <w:vAlign w:val="center"/>
            <w:hideMark/>
          </w:tcPr>
          <w:p w14:paraId="56DAEB90" w14:textId="77777777" w:rsidR="004B7622" w:rsidRPr="009F499E" w:rsidRDefault="004B7622" w:rsidP="00377989">
            <w:pPr>
              <w:spacing w:after="0" w:line="240" w:lineRule="auto"/>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PRISPEVKI ZA SOCIALNO VARNOST</w:t>
            </w:r>
          </w:p>
        </w:tc>
        <w:tc>
          <w:tcPr>
            <w:tcW w:w="1182" w:type="dxa"/>
            <w:tcBorders>
              <w:top w:val="nil"/>
              <w:left w:val="nil"/>
              <w:bottom w:val="single" w:sz="4" w:space="0" w:color="auto"/>
              <w:right w:val="single" w:sz="4" w:space="0" w:color="auto"/>
            </w:tcBorders>
            <w:shd w:val="clear" w:color="auto" w:fill="auto"/>
            <w:vAlign w:val="center"/>
            <w:hideMark/>
          </w:tcPr>
          <w:p w14:paraId="278BD492"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309.007.772</w:t>
            </w:r>
          </w:p>
        </w:tc>
        <w:tc>
          <w:tcPr>
            <w:tcW w:w="1195" w:type="dxa"/>
            <w:tcBorders>
              <w:top w:val="nil"/>
              <w:left w:val="nil"/>
              <w:bottom w:val="single" w:sz="4" w:space="0" w:color="auto"/>
              <w:right w:val="nil"/>
            </w:tcBorders>
            <w:shd w:val="clear" w:color="auto" w:fill="auto"/>
            <w:vAlign w:val="center"/>
            <w:hideMark/>
          </w:tcPr>
          <w:p w14:paraId="3A66B60A"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281.504.461</w:t>
            </w:r>
          </w:p>
        </w:tc>
        <w:tc>
          <w:tcPr>
            <w:tcW w:w="1234" w:type="dxa"/>
            <w:tcBorders>
              <w:top w:val="nil"/>
              <w:left w:val="single" w:sz="8" w:space="0" w:color="auto"/>
              <w:bottom w:val="single" w:sz="4" w:space="0" w:color="auto"/>
              <w:right w:val="single" w:sz="8" w:space="0" w:color="auto"/>
            </w:tcBorders>
            <w:shd w:val="clear" w:color="auto" w:fill="auto"/>
            <w:vAlign w:val="center"/>
            <w:hideMark/>
          </w:tcPr>
          <w:p w14:paraId="11625EAC"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267.562.540</w:t>
            </w:r>
          </w:p>
        </w:tc>
        <w:tc>
          <w:tcPr>
            <w:tcW w:w="1034" w:type="dxa"/>
            <w:tcBorders>
              <w:top w:val="nil"/>
              <w:left w:val="nil"/>
              <w:bottom w:val="single" w:sz="4" w:space="0" w:color="auto"/>
              <w:right w:val="single" w:sz="4" w:space="0" w:color="auto"/>
            </w:tcBorders>
            <w:shd w:val="clear" w:color="auto" w:fill="auto"/>
            <w:vAlign w:val="center"/>
            <w:hideMark/>
          </w:tcPr>
          <w:p w14:paraId="05D6B971"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91,1</w:t>
            </w:r>
          </w:p>
        </w:tc>
        <w:tc>
          <w:tcPr>
            <w:tcW w:w="1115" w:type="dxa"/>
            <w:tcBorders>
              <w:top w:val="nil"/>
              <w:left w:val="nil"/>
              <w:bottom w:val="single" w:sz="4" w:space="0" w:color="auto"/>
              <w:right w:val="single" w:sz="4" w:space="0" w:color="auto"/>
            </w:tcBorders>
            <w:shd w:val="clear" w:color="auto" w:fill="auto"/>
            <w:vAlign w:val="center"/>
            <w:hideMark/>
          </w:tcPr>
          <w:p w14:paraId="1994C612"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86,6</w:t>
            </w:r>
          </w:p>
        </w:tc>
        <w:tc>
          <w:tcPr>
            <w:tcW w:w="1015" w:type="dxa"/>
            <w:tcBorders>
              <w:top w:val="nil"/>
              <w:left w:val="nil"/>
              <w:bottom w:val="single" w:sz="4" w:space="0" w:color="auto"/>
              <w:right w:val="single" w:sz="4" w:space="0" w:color="auto"/>
            </w:tcBorders>
            <w:shd w:val="clear" w:color="auto" w:fill="auto"/>
            <w:vAlign w:val="center"/>
            <w:hideMark/>
          </w:tcPr>
          <w:p w14:paraId="7B7F65D8"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95,0</w:t>
            </w:r>
          </w:p>
        </w:tc>
      </w:tr>
      <w:tr w:rsidR="004B7622" w:rsidRPr="009F499E" w14:paraId="6EB69384" w14:textId="77777777" w:rsidTr="00377989">
        <w:trPr>
          <w:trHeight w:val="271"/>
        </w:trPr>
        <w:tc>
          <w:tcPr>
            <w:tcW w:w="3052" w:type="dxa"/>
            <w:tcBorders>
              <w:top w:val="nil"/>
              <w:left w:val="single" w:sz="4" w:space="0" w:color="auto"/>
              <w:bottom w:val="single" w:sz="4" w:space="0" w:color="auto"/>
              <w:right w:val="single" w:sz="4" w:space="0" w:color="auto"/>
            </w:tcBorders>
            <w:shd w:val="clear" w:color="auto" w:fill="auto"/>
            <w:vAlign w:val="center"/>
            <w:hideMark/>
          </w:tcPr>
          <w:p w14:paraId="1646E9FF" w14:textId="77777777" w:rsidR="004B7622" w:rsidRPr="009F499E" w:rsidRDefault="004B7622" w:rsidP="00377989">
            <w:pPr>
              <w:spacing w:after="0" w:line="240" w:lineRule="auto"/>
              <w:rPr>
                <w:rFonts w:ascii="Arial" w:eastAsia="Times New Roman" w:hAnsi="Arial" w:cs="Arial"/>
                <w:sz w:val="16"/>
                <w:szCs w:val="16"/>
                <w:lang w:eastAsia="sl-SI"/>
              </w:rPr>
            </w:pPr>
            <w:r w:rsidRPr="009F499E">
              <w:rPr>
                <w:rFonts w:ascii="Arial" w:eastAsia="Times New Roman" w:hAnsi="Arial" w:cs="Arial"/>
                <w:sz w:val="16"/>
                <w:szCs w:val="16"/>
                <w:lang w:eastAsia="sl-SI"/>
              </w:rPr>
              <w:t>Prispevek za zaposlovanje</w:t>
            </w:r>
          </w:p>
        </w:tc>
        <w:tc>
          <w:tcPr>
            <w:tcW w:w="1182" w:type="dxa"/>
            <w:tcBorders>
              <w:top w:val="nil"/>
              <w:left w:val="nil"/>
              <w:bottom w:val="single" w:sz="4" w:space="0" w:color="auto"/>
              <w:right w:val="single" w:sz="4" w:space="0" w:color="auto"/>
            </w:tcBorders>
            <w:shd w:val="clear" w:color="auto" w:fill="auto"/>
            <w:vAlign w:val="center"/>
            <w:hideMark/>
          </w:tcPr>
          <w:p w14:paraId="398B8FF0"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1.462.994</w:t>
            </w:r>
          </w:p>
        </w:tc>
        <w:tc>
          <w:tcPr>
            <w:tcW w:w="1195" w:type="dxa"/>
            <w:tcBorders>
              <w:top w:val="nil"/>
              <w:left w:val="nil"/>
              <w:bottom w:val="single" w:sz="4" w:space="0" w:color="auto"/>
              <w:right w:val="nil"/>
            </w:tcBorders>
            <w:shd w:val="clear" w:color="auto" w:fill="auto"/>
            <w:vAlign w:val="center"/>
            <w:hideMark/>
          </w:tcPr>
          <w:p w14:paraId="3A1DBBC9"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1.300.300</w:t>
            </w:r>
          </w:p>
        </w:tc>
        <w:tc>
          <w:tcPr>
            <w:tcW w:w="1234" w:type="dxa"/>
            <w:tcBorders>
              <w:top w:val="nil"/>
              <w:left w:val="single" w:sz="8" w:space="0" w:color="auto"/>
              <w:bottom w:val="single" w:sz="4" w:space="0" w:color="auto"/>
              <w:right w:val="single" w:sz="8" w:space="0" w:color="auto"/>
            </w:tcBorders>
            <w:shd w:val="clear" w:color="auto" w:fill="auto"/>
            <w:vAlign w:val="center"/>
            <w:hideMark/>
          </w:tcPr>
          <w:p w14:paraId="21B9E071"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1.148.982</w:t>
            </w:r>
          </w:p>
        </w:tc>
        <w:tc>
          <w:tcPr>
            <w:tcW w:w="1034" w:type="dxa"/>
            <w:tcBorders>
              <w:top w:val="nil"/>
              <w:left w:val="nil"/>
              <w:bottom w:val="single" w:sz="4" w:space="0" w:color="auto"/>
              <w:right w:val="single" w:sz="4" w:space="0" w:color="auto"/>
            </w:tcBorders>
            <w:shd w:val="clear" w:color="auto" w:fill="auto"/>
            <w:vAlign w:val="center"/>
            <w:hideMark/>
          </w:tcPr>
          <w:p w14:paraId="72E42165"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88,9</w:t>
            </w:r>
          </w:p>
        </w:tc>
        <w:tc>
          <w:tcPr>
            <w:tcW w:w="1115" w:type="dxa"/>
            <w:tcBorders>
              <w:top w:val="nil"/>
              <w:left w:val="nil"/>
              <w:bottom w:val="single" w:sz="4" w:space="0" w:color="auto"/>
              <w:right w:val="single" w:sz="4" w:space="0" w:color="auto"/>
            </w:tcBorders>
            <w:shd w:val="clear" w:color="auto" w:fill="auto"/>
            <w:vAlign w:val="center"/>
            <w:hideMark/>
          </w:tcPr>
          <w:p w14:paraId="34E2116F"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78,5</w:t>
            </w:r>
          </w:p>
        </w:tc>
        <w:tc>
          <w:tcPr>
            <w:tcW w:w="1015" w:type="dxa"/>
            <w:tcBorders>
              <w:top w:val="nil"/>
              <w:left w:val="nil"/>
              <w:bottom w:val="single" w:sz="4" w:space="0" w:color="auto"/>
              <w:right w:val="single" w:sz="4" w:space="0" w:color="auto"/>
            </w:tcBorders>
            <w:shd w:val="clear" w:color="auto" w:fill="auto"/>
            <w:vAlign w:val="center"/>
            <w:hideMark/>
          </w:tcPr>
          <w:p w14:paraId="5FC39EF9"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88,4</w:t>
            </w:r>
          </w:p>
        </w:tc>
      </w:tr>
      <w:tr w:rsidR="004B7622" w:rsidRPr="009F499E" w14:paraId="521D4097" w14:textId="77777777" w:rsidTr="00377989">
        <w:trPr>
          <w:trHeight w:val="271"/>
        </w:trPr>
        <w:tc>
          <w:tcPr>
            <w:tcW w:w="3052" w:type="dxa"/>
            <w:tcBorders>
              <w:top w:val="nil"/>
              <w:left w:val="single" w:sz="4" w:space="0" w:color="auto"/>
              <w:bottom w:val="single" w:sz="4" w:space="0" w:color="auto"/>
              <w:right w:val="single" w:sz="4" w:space="0" w:color="auto"/>
            </w:tcBorders>
            <w:shd w:val="clear" w:color="auto" w:fill="auto"/>
            <w:vAlign w:val="center"/>
            <w:hideMark/>
          </w:tcPr>
          <w:p w14:paraId="6D461FB8" w14:textId="77777777" w:rsidR="004B7622" w:rsidRPr="009F499E" w:rsidRDefault="004B7622" w:rsidP="00377989">
            <w:pPr>
              <w:spacing w:after="0" w:line="240" w:lineRule="auto"/>
              <w:rPr>
                <w:rFonts w:ascii="Arial" w:eastAsia="Times New Roman" w:hAnsi="Arial" w:cs="Arial"/>
                <w:sz w:val="16"/>
                <w:szCs w:val="16"/>
                <w:lang w:eastAsia="sl-SI"/>
              </w:rPr>
            </w:pPr>
            <w:r w:rsidRPr="009F499E">
              <w:rPr>
                <w:rFonts w:ascii="Arial" w:eastAsia="Times New Roman" w:hAnsi="Arial" w:cs="Arial"/>
                <w:sz w:val="16"/>
                <w:szCs w:val="16"/>
                <w:lang w:eastAsia="sl-SI"/>
              </w:rPr>
              <w:t>Prispevek za starševsko varstvo</w:t>
            </w:r>
          </w:p>
        </w:tc>
        <w:tc>
          <w:tcPr>
            <w:tcW w:w="1182" w:type="dxa"/>
            <w:tcBorders>
              <w:top w:val="nil"/>
              <w:left w:val="nil"/>
              <w:bottom w:val="single" w:sz="4" w:space="0" w:color="auto"/>
              <w:right w:val="single" w:sz="4" w:space="0" w:color="auto"/>
            </w:tcBorders>
            <w:shd w:val="clear" w:color="auto" w:fill="auto"/>
            <w:vAlign w:val="center"/>
            <w:hideMark/>
          </w:tcPr>
          <w:p w14:paraId="363BBDEC"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1.529.174</w:t>
            </w:r>
          </w:p>
        </w:tc>
        <w:tc>
          <w:tcPr>
            <w:tcW w:w="1195" w:type="dxa"/>
            <w:tcBorders>
              <w:top w:val="nil"/>
              <w:left w:val="nil"/>
              <w:bottom w:val="single" w:sz="4" w:space="0" w:color="auto"/>
              <w:right w:val="nil"/>
            </w:tcBorders>
            <w:shd w:val="clear" w:color="auto" w:fill="auto"/>
            <w:vAlign w:val="center"/>
            <w:hideMark/>
          </w:tcPr>
          <w:p w14:paraId="2CF1C5C0"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1.389.023</w:t>
            </w:r>
          </w:p>
        </w:tc>
        <w:tc>
          <w:tcPr>
            <w:tcW w:w="1234" w:type="dxa"/>
            <w:tcBorders>
              <w:top w:val="nil"/>
              <w:left w:val="single" w:sz="8" w:space="0" w:color="auto"/>
              <w:bottom w:val="single" w:sz="4" w:space="0" w:color="auto"/>
              <w:right w:val="single" w:sz="8" w:space="0" w:color="auto"/>
            </w:tcBorders>
            <w:shd w:val="clear" w:color="auto" w:fill="auto"/>
            <w:vAlign w:val="center"/>
            <w:hideMark/>
          </w:tcPr>
          <w:p w14:paraId="523C275F"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1.241.958</w:t>
            </w:r>
          </w:p>
        </w:tc>
        <w:tc>
          <w:tcPr>
            <w:tcW w:w="1034" w:type="dxa"/>
            <w:tcBorders>
              <w:top w:val="nil"/>
              <w:left w:val="nil"/>
              <w:bottom w:val="single" w:sz="4" w:space="0" w:color="auto"/>
              <w:right w:val="single" w:sz="4" w:space="0" w:color="auto"/>
            </w:tcBorders>
            <w:shd w:val="clear" w:color="auto" w:fill="auto"/>
            <w:vAlign w:val="center"/>
            <w:hideMark/>
          </w:tcPr>
          <w:p w14:paraId="68BF526F"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90,8</w:t>
            </w:r>
          </w:p>
        </w:tc>
        <w:tc>
          <w:tcPr>
            <w:tcW w:w="1115" w:type="dxa"/>
            <w:tcBorders>
              <w:top w:val="nil"/>
              <w:left w:val="nil"/>
              <w:bottom w:val="single" w:sz="4" w:space="0" w:color="auto"/>
              <w:right w:val="single" w:sz="4" w:space="0" w:color="auto"/>
            </w:tcBorders>
            <w:shd w:val="clear" w:color="auto" w:fill="auto"/>
            <w:vAlign w:val="center"/>
            <w:hideMark/>
          </w:tcPr>
          <w:p w14:paraId="0ECA4DE2"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81,2</w:t>
            </w:r>
          </w:p>
        </w:tc>
        <w:tc>
          <w:tcPr>
            <w:tcW w:w="1015" w:type="dxa"/>
            <w:tcBorders>
              <w:top w:val="nil"/>
              <w:left w:val="nil"/>
              <w:bottom w:val="single" w:sz="4" w:space="0" w:color="auto"/>
              <w:right w:val="single" w:sz="4" w:space="0" w:color="auto"/>
            </w:tcBorders>
            <w:shd w:val="clear" w:color="auto" w:fill="auto"/>
            <w:vAlign w:val="center"/>
            <w:hideMark/>
          </w:tcPr>
          <w:p w14:paraId="021A9D9D"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89,4</w:t>
            </w:r>
          </w:p>
        </w:tc>
      </w:tr>
      <w:tr w:rsidR="004B7622" w:rsidRPr="009F499E" w14:paraId="7CB20EFB" w14:textId="77777777" w:rsidTr="00377989">
        <w:trPr>
          <w:trHeight w:val="390"/>
        </w:trPr>
        <w:tc>
          <w:tcPr>
            <w:tcW w:w="3052" w:type="dxa"/>
            <w:tcBorders>
              <w:top w:val="nil"/>
              <w:left w:val="single" w:sz="4" w:space="0" w:color="auto"/>
              <w:bottom w:val="single" w:sz="4" w:space="0" w:color="auto"/>
              <w:right w:val="single" w:sz="4" w:space="0" w:color="auto"/>
            </w:tcBorders>
            <w:shd w:val="clear" w:color="auto" w:fill="auto"/>
            <w:vAlign w:val="center"/>
            <w:hideMark/>
          </w:tcPr>
          <w:p w14:paraId="4743AF4F" w14:textId="77777777" w:rsidR="004B7622" w:rsidRPr="009F499E" w:rsidRDefault="004B7622" w:rsidP="00377989">
            <w:pPr>
              <w:spacing w:after="0" w:line="240" w:lineRule="auto"/>
              <w:rPr>
                <w:rFonts w:ascii="Arial" w:eastAsia="Times New Roman" w:hAnsi="Arial" w:cs="Arial"/>
                <w:sz w:val="16"/>
                <w:szCs w:val="16"/>
                <w:lang w:eastAsia="sl-SI"/>
              </w:rPr>
            </w:pPr>
            <w:r w:rsidRPr="009F499E">
              <w:rPr>
                <w:rFonts w:ascii="Arial" w:eastAsia="Times New Roman" w:hAnsi="Arial" w:cs="Arial"/>
                <w:sz w:val="16"/>
                <w:szCs w:val="16"/>
                <w:lang w:eastAsia="sl-SI"/>
              </w:rPr>
              <w:t>Prispevki za pokojninsko in invalidsko zavarovanje</w:t>
            </w:r>
          </w:p>
        </w:tc>
        <w:tc>
          <w:tcPr>
            <w:tcW w:w="1182" w:type="dxa"/>
            <w:tcBorders>
              <w:top w:val="nil"/>
              <w:left w:val="nil"/>
              <w:bottom w:val="single" w:sz="4" w:space="0" w:color="auto"/>
              <w:right w:val="single" w:sz="4" w:space="0" w:color="auto"/>
            </w:tcBorders>
            <w:shd w:val="clear" w:color="auto" w:fill="auto"/>
            <w:vAlign w:val="center"/>
            <w:hideMark/>
          </w:tcPr>
          <w:p w14:paraId="0AA93B00"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204.963.738</w:t>
            </w:r>
          </w:p>
        </w:tc>
        <w:tc>
          <w:tcPr>
            <w:tcW w:w="1195" w:type="dxa"/>
            <w:tcBorders>
              <w:top w:val="nil"/>
              <w:left w:val="nil"/>
              <w:bottom w:val="single" w:sz="4" w:space="0" w:color="auto"/>
              <w:right w:val="nil"/>
            </w:tcBorders>
            <w:shd w:val="clear" w:color="auto" w:fill="auto"/>
            <w:vAlign w:val="center"/>
            <w:hideMark/>
          </w:tcPr>
          <w:p w14:paraId="1949258D"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186.216.158</w:t>
            </w:r>
          </w:p>
        </w:tc>
        <w:tc>
          <w:tcPr>
            <w:tcW w:w="1234" w:type="dxa"/>
            <w:tcBorders>
              <w:top w:val="nil"/>
              <w:left w:val="single" w:sz="8" w:space="0" w:color="auto"/>
              <w:bottom w:val="single" w:sz="4" w:space="0" w:color="auto"/>
              <w:right w:val="single" w:sz="8" w:space="0" w:color="auto"/>
            </w:tcBorders>
            <w:shd w:val="clear" w:color="auto" w:fill="auto"/>
            <w:vAlign w:val="center"/>
            <w:hideMark/>
          </w:tcPr>
          <w:p w14:paraId="26324EB1"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177.181.046</w:t>
            </w:r>
          </w:p>
        </w:tc>
        <w:tc>
          <w:tcPr>
            <w:tcW w:w="1034" w:type="dxa"/>
            <w:tcBorders>
              <w:top w:val="nil"/>
              <w:left w:val="nil"/>
              <w:bottom w:val="single" w:sz="4" w:space="0" w:color="auto"/>
              <w:right w:val="single" w:sz="4" w:space="0" w:color="auto"/>
            </w:tcBorders>
            <w:shd w:val="clear" w:color="auto" w:fill="auto"/>
            <w:vAlign w:val="center"/>
            <w:hideMark/>
          </w:tcPr>
          <w:p w14:paraId="7301A62D"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90,9</w:t>
            </w:r>
          </w:p>
        </w:tc>
        <w:tc>
          <w:tcPr>
            <w:tcW w:w="1115" w:type="dxa"/>
            <w:tcBorders>
              <w:top w:val="nil"/>
              <w:left w:val="nil"/>
              <w:bottom w:val="single" w:sz="4" w:space="0" w:color="auto"/>
              <w:right w:val="single" w:sz="4" w:space="0" w:color="auto"/>
            </w:tcBorders>
            <w:shd w:val="clear" w:color="auto" w:fill="auto"/>
            <w:vAlign w:val="center"/>
            <w:hideMark/>
          </w:tcPr>
          <w:p w14:paraId="2151104C"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86,4</w:t>
            </w:r>
          </w:p>
        </w:tc>
        <w:tc>
          <w:tcPr>
            <w:tcW w:w="1015" w:type="dxa"/>
            <w:tcBorders>
              <w:top w:val="nil"/>
              <w:left w:val="nil"/>
              <w:bottom w:val="single" w:sz="4" w:space="0" w:color="auto"/>
              <w:right w:val="single" w:sz="4" w:space="0" w:color="auto"/>
            </w:tcBorders>
            <w:shd w:val="clear" w:color="auto" w:fill="auto"/>
            <w:vAlign w:val="center"/>
            <w:hideMark/>
          </w:tcPr>
          <w:p w14:paraId="3DEB0881"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95,1</w:t>
            </w:r>
          </w:p>
        </w:tc>
      </w:tr>
      <w:tr w:rsidR="004B7622" w:rsidRPr="009F499E" w14:paraId="7B7B369A" w14:textId="77777777" w:rsidTr="00377989">
        <w:trPr>
          <w:trHeight w:val="271"/>
        </w:trPr>
        <w:tc>
          <w:tcPr>
            <w:tcW w:w="3052" w:type="dxa"/>
            <w:tcBorders>
              <w:top w:val="nil"/>
              <w:left w:val="single" w:sz="4" w:space="0" w:color="auto"/>
              <w:bottom w:val="single" w:sz="4" w:space="0" w:color="auto"/>
              <w:right w:val="single" w:sz="4" w:space="0" w:color="auto"/>
            </w:tcBorders>
            <w:shd w:val="clear" w:color="auto" w:fill="auto"/>
            <w:vAlign w:val="center"/>
            <w:hideMark/>
          </w:tcPr>
          <w:p w14:paraId="55F5B662" w14:textId="77777777" w:rsidR="004B7622" w:rsidRPr="009F499E" w:rsidRDefault="004B7622" w:rsidP="00377989">
            <w:pPr>
              <w:spacing w:after="0" w:line="240" w:lineRule="auto"/>
              <w:rPr>
                <w:rFonts w:ascii="Arial" w:eastAsia="Times New Roman" w:hAnsi="Arial" w:cs="Arial"/>
                <w:sz w:val="16"/>
                <w:szCs w:val="16"/>
                <w:lang w:eastAsia="sl-SI"/>
              </w:rPr>
            </w:pPr>
            <w:r w:rsidRPr="009F499E">
              <w:rPr>
                <w:rFonts w:ascii="Arial" w:eastAsia="Times New Roman" w:hAnsi="Arial" w:cs="Arial"/>
                <w:sz w:val="16"/>
                <w:szCs w:val="16"/>
                <w:lang w:eastAsia="sl-SI"/>
              </w:rPr>
              <w:t>Prispevki za zdravstveno zavarovanje</w:t>
            </w:r>
          </w:p>
        </w:tc>
        <w:tc>
          <w:tcPr>
            <w:tcW w:w="1182" w:type="dxa"/>
            <w:tcBorders>
              <w:top w:val="nil"/>
              <w:left w:val="nil"/>
              <w:bottom w:val="single" w:sz="4" w:space="0" w:color="auto"/>
              <w:right w:val="single" w:sz="4" w:space="0" w:color="auto"/>
            </w:tcBorders>
            <w:shd w:val="clear" w:color="auto" w:fill="auto"/>
            <w:vAlign w:val="center"/>
            <w:hideMark/>
          </w:tcPr>
          <w:p w14:paraId="4E62A98A"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101.051.866</w:t>
            </w:r>
          </w:p>
        </w:tc>
        <w:tc>
          <w:tcPr>
            <w:tcW w:w="1195" w:type="dxa"/>
            <w:tcBorders>
              <w:top w:val="nil"/>
              <w:left w:val="nil"/>
              <w:bottom w:val="single" w:sz="4" w:space="0" w:color="auto"/>
              <w:right w:val="nil"/>
            </w:tcBorders>
            <w:shd w:val="clear" w:color="auto" w:fill="auto"/>
            <w:vAlign w:val="center"/>
            <w:hideMark/>
          </w:tcPr>
          <w:p w14:paraId="3A0EE81A"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92.598.980</w:t>
            </w:r>
          </w:p>
        </w:tc>
        <w:tc>
          <w:tcPr>
            <w:tcW w:w="1234" w:type="dxa"/>
            <w:tcBorders>
              <w:top w:val="nil"/>
              <w:left w:val="single" w:sz="8" w:space="0" w:color="auto"/>
              <w:bottom w:val="single" w:sz="4" w:space="0" w:color="auto"/>
              <w:right w:val="single" w:sz="8" w:space="0" w:color="auto"/>
            </w:tcBorders>
            <w:shd w:val="clear" w:color="auto" w:fill="auto"/>
            <w:vAlign w:val="center"/>
            <w:hideMark/>
          </w:tcPr>
          <w:p w14:paraId="68EB0688"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87.990.554</w:t>
            </w:r>
          </w:p>
        </w:tc>
        <w:tc>
          <w:tcPr>
            <w:tcW w:w="1034" w:type="dxa"/>
            <w:tcBorders>
              <w:top w:val="nil"/>
              <w:left w:val="nil"/>
              <w:bottom w:val="single" w:sz="4" w:space="0" w:color="auto"/>
              <w:right w:val="single" w:sz="4" w:space="0" w:color="auto"/>
            </w:tcBorders>
            <w:shd w:val="clear" w:color="auto" w:fill="auto"/>
            <w:vAlign w:val="center"/>
            <w:hideMark/>
          </w:tcPr>
          <w:p w14:paraId="1B668E7D"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91,6</w:t>
            </w:r>
          </w:p>
        </w:tc>
        <w:tc>
          <w:tcPr>
            <w:tcW w:w="1115" w:type="dxa"/>
            <w:tcBorders>
              <w:top w:val="nil"/>
              <w:left w:val="nil"/>
              <w:bottom w:val="single" w:sz="4" w:space="0" w:color="auto"/>
              <w:right w:val="single" w:sz="4" w:space="0" w:color="auto"/>
            </w:tcBorders>
            <w:shd w:val="clear" w:color="auto" w:fill="auto"/>
            <w:vAlign w:val="center"/>
            <w:hideMark/>
          </w:tcPr>
          <w:p w14:paraId="48750749"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87,1</w:t>
            </w:r>
          </w:p>
        </w:tc>
        <w:tc>
          <w:tcPr>
            <w:tcW w:w="1015" w:type="dxa"/>
            <w:tcBorders>
              <w:top w:val="nil"/>
              <w:left w:val="nil"/>
              <w:bottom w:val="single" w:sz="4" w:space="0" w:color="auto"/>
              <w:right w:val="single" w:sz="4" w:space="0" w:color="auto"/>
            </w:tcBorders>
            <w:shd w:val="clear" w:color="auto" w:fill="auto"/>
            <w:vAlign w:val="center"/>
            <w:hideMark/>
          </w:tcPr>
          <w:p w14:paraId="4CA545FF"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95,0</w:t>
            </w:r>
          </w:p>
        </w:tc>
      </w:tr>
      <w:tr w:rsidR="004B7622" w:rsidRPr="009F499E" w14:paraId="3A78E54A" w14:textId="77777777" w:rsidTr="00377989">
        <w:trPr>
          <w:trHeight w:val="418"/>
        </w:trPr>
        <w:tc>
          <w:tcPr>
            <w:tcW w:w="3052" w:type="dxa"/>
            <w:tcBorders>
              <w:top w:val="nil"/>
              <w:left w:val="single" w:sz="4" w:space="0" w:color="auto"/>
              <w:bottom w:val="single" w:sz="4" w:space="0" w:color="auto"/>
              <w:right w:val="single" w:sz="4" w:space="0" w:color="auto"/>
            </w:tcBorders>
            <w:shd w:val="clear" w:color="auto" w:fill="auto"/>
            <w:vAlign w:val="center"/>
            <w:hideMark/>
          </w:tcPr>
          <w:p w14:paraId="40EAB286" w14:textId="77777777" w:rsidR="004B7622" w:rsidRPr="009F499E" w:rsidRDefault="004B7622" w:rsidP="00377989">
            <w:pPr>
              <w:spacing w:after="0" w:line="240" w:lineRule="auto"/>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DAVKI NA PLAČILNO LISTO IN DELOVNO SILO</w:t>
            </w:r>
          </w:p>
        </w:tc>
        <w:tc>
          <w:tcPr>
            <w:tcW w:w="1182" w:type="dxa"/>
            <w:tcBorders>
              <w:top w:val="nil"/>
              <w:left w:val="nil"/>
              <w:bottom w:val="single" w:sz="4" w:space="0" w:color="auto"/>
              <w:right w:val="single" w:sz="4" w:space="0" w:color="auto"/>
            </w:tcBorders>
            <w:shd w:val="clear" w:color="auto" w:fill="auto"/>
            <w:vAlign w:val="center"/>
            <w:hideMark/>
          </w:tcPr>
          <w:p w14:paraId="06CF8CD5"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546.442</w:t>
            </w:r>
          </w:p>
        </w:tc>
        <w:tc>
          <w:tcPr>
            <w:tcW w:w="1195" w:type="dxa"/>
            <w:tcBorders>
              <w:top w:val="nil"/>
              <w:left w:val="nil"/>
              <w:bottom w:val="single" w:sz="4" w:space="0" w:color="auto"/>
              <w:right w:val="nil"/>
            </w:tcBorders>
            <w:shd w:val="clear" w:color="auto" w:fill="auto"/>
            <w:vAlign w:val="center"/>
            <w:hideMark/>
          </w:tcPr>
          <w:p w14:paraId="635A8C29"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436.601</w:t>
            </w:r>
          </w:p>
        </w:tc>
        <w:tc>
          <w:tcPr>
            <w:tcW w:w="1234" w:type="dxa"/>
            <w:tcBorders>
              <w:top w:val="nil"/>
              <w:left w:val="single" w:sz="8" w:space="0" w:color="auto"/>
              <w:bottom w:val="single" w:sz="4" w:space="0" w:color="auto"/>
              <w:right w:val="single" w:sz="8" w:space="0" w:color="auto"/>
            </w:tcBorders>
            <w:shd w:val="clear" w:color="auto" w:fill="auto"/>
            <w:vAlign w:val="center"/>
            <w:hideMark/>
          </w:tcPr>
          <w:p w14:paraId="23BFF75C"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366.744</w:t>
            </w:r>
          </w:p>
        </w:tc>
        <w:tc>
          <w:tcPr>
            <w:tcW w:w="1034" w:type="dxa"/>
            <w:tcBorders>
              <w:top w:val="nil"/>
              <w:left w:val="nil"/>
              <w:bottom w:val="single" w:sz="4" w:space="0" w:color="auto"/>
              <w:right w:val="single" w:sz="4" w:space="0" w:color="auto"/>
            </w:tcBorders>
            <w:shd w:val="clear" w:color="auto" w:fill="auto"/>
            <w:vAlign w:val="center"/>
            <w:hideMark/>
          </w:tcPr>
          <w:p w14:paraId="16813E92"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79,9</w:t>
            </w:r>
          </w:p>
        </w:tc>
        <w:tc>
          <w:tcPr>
            <w:tcW w:w="1115" w:type="dxa"/>
            <w:tcBorders>
              <w:top w:val="nil"/>
              <w:left w:val="nil"/>
              <w:bottom w:val="single" w:sz="4" w:space="0" w:color="auto"/>
              <w:right w:val="single" w:sz="4" w:space="0" w:color="auto"/>
            </w:tcBorders>
            <w:shd w:val="clear" w:color="auto" w:fill="auto"/>
            <w:vAlign w:val="center"/>
            <w:hideMark/>
          </w:tcPr>
          <w:p w14:paraId="774A18B7"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67,1</w:t>
            </w:r>
          </w:p>
        </w:tc>
        <w:tc>
          <w:tcPr>
            <w:tcW w:w="1015" w:type="dxa"/>
            <w:tcBorders>
              <w:top w:val="nil"/>
              <w:left w:val="nil"/>
              <w:bottom w:val="single" w:sz="4" w:space="0" w:color="auto"/>
              <w:right w:val="single" w:sz="4" w:space="0" w:color="auto"/>
            </w:tcBorders>
            <w:shd w:val="clear" w:color="auto" w:fill="auto"/>
            <w:vAlign w:val="center"/>
            <w:hideMark/>
          </w:tcPr>
          <w:p w14:paraId="70A30EBA"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84,0</w:t>
            </w:r>
          </w:p>
        </w:tc>
      </w:tr>
      <w:tr w:rsidR="004B7622" w:rsidRPr="009F499E" w14:paraId="0A925718" w14:textId="77777777" w:rsidTr="00377989">
        <w:trPr>
          <w:trHeight w:val="271"/>
        </w:trPr>
        <w:tc>
          <w:tcPr>
            <w:tcW w:w="3052" w:type="dxa"/>
            <w:tcBorders>
              <w:top w:val="nil"/>
              <w:left w:val="single" w:sz="4" w:space="0" w:color="auto"/>
              <w:bottom w:val="single" w:sz="4" w:space="0" w:color="auto"/>
              <w:right w:val="single" w:sz="4" w:space="0" w:color="auto"/>
            </w:tcBorders>
            <w:shd w:val="clear" w:color="auto" w:fill="auto"/>
            <w:vAlign w:val="center"/>
            <w:hideMark/>
          </w:tcPr>
          <w:p w14:paraId="4B011B21" w14:textId="77777777" w:rsidR="004B7622" w:rsidRPr="009F499E" w:rsidRDefault="004B7622" w:rsidP="00377989">
            <w:pPr>
              <w:spacing w:after="0" w:line="240" w:lineRule="auto"/>
              <w:rPr>
                <w:rFonts w:ascii="Arial" w:eastAsia="Times New Roman" w:hAnsi="Arial" w:cs="Arial"/>
                <w:sz w:val="16"/>
                <w:szCs w:val="16"/>
                <w:lang w:eastAsia="sl-SI"/>
              </w:rPr>
            </w:pPr>
            <w:r w:rsidRPr="009F499E">
              <w:rPr>
                <w:rFonts w:ascii="Arial" w:eastAsia="Times New Roman" w:hAnsi="Arial" w:cs="Arial"/>
                <w:sz w:val="16"/>
                <w:szCs w:val="16"/>
                <w:lang w:eastAsia="sl-SI"/>
              </w:rPr>
              <w:t>Posebni davek na določene prejemke</w:t>
            </w:r>
          </w:p>
        </w:tc>
        <w:tc>
          <w:tcPr>
            <w:tcW w:w="1182" w:type="dxa"/>
            <w:tcBorders>
              <w:top w:val="nil"/>
              <w:left w:val="nil"/>
              <w:bottom w:val="single" w:sz="4" w:space="0" w:color="auto"/>
              <w:right w:val="single" w:sz="4" w:space="0" w:color="auto"/>
            </w:tcBorders>
            <w:shd w:val="clear" w:color="auto" w:fill="auto"/>
            <w:vAlign w:val="center"/>
            <w:hideMark/>
          </w:tcPr>
          <w:p w14:paraId="047A9343"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546.442</w:t>
            </w:r>
          </w:p>
        </w:tc>
        <w:tc>
          <w:tcPr>
            <w:tcW w:w="1195" w:type="dxa"/>
            <w:tcBorders>
              <w:top w:val="nil"/>
              <w:left w:val="nil"/>
              <w:bottom w:val="single" w:sz="4" w:space="0" w:color="auto"/>
              <w:right w:val="nil"/>
            </w:tcBorders>
            <w:shd w:val="clear" w:color="auto" w:fill="auto"/>
            <w:vAlign w:val="center"/>
            <w:hideMark/>
          </w:tcPr>
          <w:p w14:paraId="6D7035BF"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436.601</w:t>
            </w:r>
          </w:p>
        </w:tc>
        <w:tc>
          <w:tcPr>
            <w:tcW w:w="1234" w:type="dxa"/>
            <w:tcBorders>
              <w:top w:val="nil"/>
              <w:left w:val="single" w:sz="8" w:space="0" w:color="auto"/>
              <w:bottom w:val="single" w:sz="4" w:space="0" w:color="auto"/>
              <w:right w:val="single" w:sz="8" w:space="0" w:color="auto"/>
            </w:tcBorders>
            <w:shd w:val="clear" w:color="auto" w:fill="auto"/>
            <w:vAlign w:val="center"/>
            <w:hideMark/>
          </w:tcPr>
          <w:p w14:paraId="04CADA60"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366.744</w:t>
            </w:r>
          </w:p>
        </w:tc>
        <w:tc>
          <w:tcPr>
            <w:tcW w:w="1034" w:type="dxa"/>
            <w:tcBorders>
              <w:top w:val="nil"/>
              <w:left w:val="nil"/>
              <w:bottom w:val="single" w:sz="4" w:space="0" w:color="auto"/>
              <w:right w:val="single" w:sz="4" w:space="0" w:color="auto"/>
            </w:tcBorders>
            <w:shd w:val="clear" w:color="auto" w:fill="auto"/>
            <w:vAlign w:val="center"/>
            <w:hideMark/>
          </w:tcPr>
          <w:p w14:paraId="75283D42"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79,9</w:t>
            </w:r>
          </w:p>
        </w:tc>
        <w:tc>
          <w:tcPr>
            <w:tcW w:w="1115" w:type="dxa"/>
            <w:tcBorders>
              <w:top w:val="nil"/>
              <w:left w:val="nil"/>
              <w:bottom w:val="single" w:sz="4" w:space="0" w:color="auto"/>
              <w:right w:val="single" w:sz="4" w:space="0" w:color="auto"/>
            </w:tcBorders>
            <w:shd w:val="clear" w:color="auto" w:fill="auto"/>
            <w:vAlign w:val="center"/>
            <w:hideMark/>
          </w:tcPr>
          <w:p w14:paraId="23C30982"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67,1</w:t>
            </w:r>
          </w:p>
        </w:tc>
        <w:tc>
          <w:tcPr>
            <w:tcW w:w="1015" w:type="dxa"/>
            <w:tcBorders>
              <w:top w:val="nil"/>
              <w:left w:val="nil"/>
              <w:bottom w:val="single" w:sz="4" w:space="0" w:color="auto"/>
              <w:right w:val="single" w:sz="4" w:space="0" w:color="auto"/>
            </w:tcBorders>
            <w:shd w:val="clear" w:color="auto" w:fill="auto"/>
            <w:vAlign w:val="center"/>
            <w:hideMark/>
          </w:tcPr>
          <w:p w14:paraId="0C5095E0"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84,0</w:t>
            </w:r>
          </w:p>
        </w:tc>
      </w:tr>
      <w:tr w:rsidR="004B7622" w:rsidRPr="009F499E" w14:paraId="2959EC5B" w14:textId="77777777" w:rsidTr="00377989">
        <w:trPr>
          <w:trHeight w:val="271"/>
        </w:trPr>
        <w:tc>
          <w:tcPr>
            <w:tcW w:w="3052" w:type="dxa"/>
            <w:tcBorders>
              <w:top w:val="nil"/>
              <w:left w:val="single" w:sz="4" w:space="0" w:color="auto"/>
              <w:bottom w:val="single" w:sz="4" w:space="0" w:color="auto"/>
              <w:right w:val="single" w:sz="4" w:space="0" w:color="auto"/>
            </w:tcBorders>
            <w:shd w:val="clear" w:color="auto" w:fill="auto"/>
            <w:vAlign w:val="center"/>
            <w:hideMark/>
          </w:tcPr>
          <w:p w14:paraId="2B23E759" w14:textId="77777777" w:rsidR="004B7622" w:rsidRPr="009F499E" w:rsidRDefault="004B7622" w:rsidP="00377989">
            <w:pPr>
              <w:spacing w:after="0" w:line="240" w:lineRule="auto"/>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DAVKI NA PREMOŽENJE</w:t>
            </w:r>
          </w:p>
        </w:tc>
        <w:tc>
          <w:tcPr>
            <w:tcW w:w="1182" w:type="dxa"/>
            <w:tcBorders>
              <w:top w:val="nil"/>
              <w:left w:val="nil"/>
              <w:bottom w:val="single" w:sz="4" w:space="0" w:color="auto"/>
              <w:right w:val="single" w:sz="4" w:space="0" w:color="auto"/>
            </w:tcBorders>
            <w:shd w:val="clear" w:color="auto" w:fill="auto"/>
            <w:vAlign w:val="center"/>
            <w:hideMark/>
          </w:tcPr>
          <w:p w14:paraId="1B6EFA94"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34.937.893</w:t>
            </w:r>
          </w:p>
        </w:tc>
        <w:tc>
          <w:tcPr>
            <w:tcW w:w="1195" w:type="dxa"/>
            <w:tcBorders>
              <w:top w:val="nil"/>
              <w:left w:val="nil"/>
              <w:bottom w:val="single" w:sz="4" w:space="0" w:color="auto"/>
              <w:right w:val="nil"/>
            </w:tcBorders>
            <w:shd w:val="clear" w:color="auto" w:fill="auto"/>
            <w:vAlign w:val="center"/>
            <w:hideMark/>
          </w:tcPr>
          <w:p w14:paraId="0B8FD0EB"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30.815.637</w:t>
            </w:r>
          </w:p>
        </w:tc>
        <w:tc>
          <w:tcPr>
            <w:tcW w:w="1234" w:type="dxa"/>
            <w:tcBorders>
              <w:top w:val="nil"/>
              <w:left w:val="single" w:sz="8" w:space="0" w:color="auto"/>
              <w:bottom w:val="single" w:sz="4" w:space="0" w:color="auto"/>
              <w:right w:val="single" w:sz="8" w:space="0" w:color="auto"/>
            </w:tcBorders>
            <w:shd w:val="clear" w:color="auto" w:fill="auto"/>
            <w:vAlign w:val="center"/>
            <w:hideMark/>
          </w:tcPr>
          <w:p w14:paraId="274E6FFC"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27.453.928</w:t>
            </w:r>
          </w:p>
        </w:tc>
        <w:tc>
          <w:tcPr>
            <w:tcW w:w="1034" w:type="dxa"/>
            <w:tcBorders>
              <w:top w:val="nil"/>
              <w:left w:val="nil"/>
              <w:bottom w:val="single" w:sz="4" w:space="0" w:color="auto"/>
              <w:right w:val="single" w:sz="4" w:space="0" w:color="auto"/>
            </w:tcBorders>
            <w:shd w:val="clear" w:color="auto" w:fill="auto"/>
            <w:vAlign w:val="center"/>
            <w:hideMark/>
          </w:tcPr>
          <w:p w14:paraId="072ADB43"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88,2</w:t>
            </w:r>
          </w:p>
        </w:tc>
        <w:tc>
          <w:tcPr>
            <w:tcW w:w="1115" w:type="dxa"/>
            <w:tcBorders>
              <w:top w:val="nil"/>
              <w:left w:val="nil"/>
              <w:bottom w:val="single" w:sz="4" w:space="0" w:color="auto"/>
              <w:right w:val="single" w:sz="4" w:space="0" w:color="auto"/>
            </w:tcBorders>
            <w:shd w:val="clear" w:color="auto" w:fill="auto"/>
            <w:vAlign w:val="center"/>
            <w:hideMark/>
          </w:tcPr>
          <w:p w14:paraId="122A3C1C"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78,6</w:t>
            </w:r>
          </w:p>
        </w:tc>
        <w:tc>
          <w:tcPr>
            <w:tcW w:w="1015" w:type="dxa"/>
            <w:tcBorders>
              <w:top w:val="nil"/>
              <w:left w:val="nil"/>
              <w:bottom w:val="single" w:sz="4" w:space="0" w:color="auto"/>
              <w:right w:val="single" w:sz="4" w:space="0" w:color="auto"/>
            </w:tcBorders>
            <w:shd w:val="clear" w:color="auto" w:fill="auto"/>
            <w:vAlign w:val="center"/>
            <w:hideMark/>
          </w:tcPr>
          <w:p w14:paraId="7950BC6F"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89,1</w:t>
            </w:r>
          </w:p>
        </w:tc>
      </w:tr>
      <w:tr w:rsidR="004B7622" w:rsidRPr="009F499E" w14:paraId="7B3086EC" w14:textId="77777777" w:rsidTr="00377989">
        <w:trPr>
          <w:trHeight w:val="271"/>
        </w:trPr>
        <w:tc>
          <w:tcPr>
            <w:tcW w:w="3052" w:type="dxa"/>
            <w:tcBorders>
              <w:top w:val="nil"/>
              <w:left w:val="single" w:sz="4" w:space="0" w:color="auto"/>
              <w:bottom w:val="single" w:sz="4" w:space="0" w:color="auto"/>
              <w:right w:val="single" w:sz="4" w:space="0" w:color="auto"/>
            </w:tcBorders>
            <w:shd w:val="clear" w:color="auto" w:fill="auto"/>
            <w:vAlign w:val="center"/>
            <w:hideMark/>
          </w:tcPr>
          <w:p w14:paraId="79CD269D" w14:textId="77777777" w:rsidR="004B7622" w:rsidRPr="009F499E" w:rsidRDefault="004B7622" w:rsidP="00377989">
            <w:pPr>
              <w:spacing w:after="0" w:line="240" w:lineRule="auto"/>
              <w:rPr>
                <w:rFonts w:ascii="Arial" w:eastAsia="Times New Roman" w:hAnsi="Arial" w:cs="Arial"/>
                <w:sz w:val="16"/>
                <w:szCs w:val="16"/>
                <w:lang w:eastAsia="sl-SI"/>
              </w:rPr>
            </w:pPr>
            <w:r w:rsidRPr="009F499E">
              <w:rPr>
                <w:rFonts w:ascii="Arial" w:eastAsia="Times New Roman" w:hAnsi="Arial" w:cs="Arial"/>
                <w:sz w:val="16"/>
                <w:szCs w:val="16"/>
                <w:lang w:eastAsia="sl-SI"/>
              </w:rPr>
              <w:t>Davki na nepremičnine</w:t>
            </w:r>
          </w:p>
        </w:tc>
        <w:tc>
          <w:tcPr>
            <w:tcW w:w="1182" w:type="dxa"/>
            <w:tcBorders>
              <w:top w:val="nil"/>
              <w:left w:val="nil"/>
              <w:bottom w:val="single" w:sz="4" w:space="0" w:color="auto"/>
              <w:right w:val="single" w:sz="4" w:space="0" w:color="auto"/>
            </w:tcBorders>
            <w:shd w:val="clear" w:color="auto" w:fill="auto"/>
            <w:vAlign w:val="center"/>
            <w:hideMark/>
          </w:tcPr>
          <w:p w14:paraId="4E4F40C8"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32.273.865</w:t>
            </w:r>
          </w:p>
        </w:tc>
        <w:tc>
          <w:tcPr>
            <w:tcW w:w="1195" w:type="dxa"/>
            <w:tcBorders>
              <w:top w:val="nil"/>
              <w:left w:val="nil"/>
              <w:bottom w:val="single" w:sz="4" w:space="0" w:color="auto"/>
              <w:right w:val="nil"/>
            </w:tcBorders>
            <w:shd w:val="clear" w:color="auto" w:fill="auto"/>
            <w:vAlign w:val="center"/>
            <w:hideMark/>
          </w:tcPr>
          <w:p w14:paraId="51751A49"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28.217.442</w:t>
            </w:r>
          </w:p>
        </w:tc>
        <w:tc>
          <w:tcPr>
            <w:tcW w:w="1234" w:type="dxa"/>
            <w:tcBorders>
              <w:top w:val="nil"/>
              <w:left w:val="single" w:sz="8" w:space="0" w:color="auto"/>
              <w:bottom w:val="single" w:sz="4" w:space="0" w:color="auto"/>
              <w:right w:val="single" w:sz="8" w:space="0" w:color="auto"/>
            </w:tcBorders>
            <w:shd w:val="clear" w:color="auto" w:fill="auto"/>
            <w:vAlign w:val="center"/>
            <w:hideMark/>
          </w:tcPr>
          <w:p w14:paraId="147E565D"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24.796.668</w:t>
            </w:r>
          </w:p>
        </w:tc>
        <w:tc>
          <w:tcPr>
            <w:tcW w:w="1034" w:type="dxa"/>
            <w:tcBorders>
              <w:top w:val="nil"/>
              <w:left w:val="nil"/>
              <w:bottom w:val="single" w:sz="4" w:space="0" w:color="auto"/>
              <w:right w:val="single" w:sz="4" w:space="0" w:color="auto"/>
            </w:tcBorders>
            <w:shd w:val="clear" w:color="auto" w:fill="auto"/>
            <w:vAlign w:val="center"/>
            <w:hideMark/>
          </w:tcPr>
          <w:p w14:paraId="4DC3DA38"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87,4</w:t>
            </w:r>
          </w:p>
        </w:tc>
        <w:tc>
          <w:tcPr>
            <w:tcW w:w="1115" w:type="dxa"/>
            <w:tcBorders>
              <w:top w:val="nil"/>
              <w:left w:val="nil"/>
              <w:bottom w:val="single" w:sz="4" w:space="0" w:color="auto"/>
              <w:right w:val="single" w:sz="4" w:space="0" w:color="auto"/>
            </w:tcBorders>
            <w:shd w:val="clear" w:color="auto" w:fill="auto"/>
            <w:vAlign w:val="center"/>
            <w:hideMark/>
          </w:tcPr>
          <w:p w14:paraId="6D97652A"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76,8</w:t>
            </w:r>
          </w:p>
        </w:tc>
        <w:tc>
          <w:tcPr>
            <w:tcW w:w="1015" w:type="dxa"/>
            <w:tcBorders>
              <w:top w:val="nil"/>
              <w:left w:val="nil"/>
              <w:bottom w:val="single" w:sz="4" w:space="0" w:color="auto"/>
              <w:right w:val="single" w:sz="4" w:space="0" w:color="auto"/>
            </w:tcBorders>
            <w:shd w:val="clear" w:color="auto" w:fill="auto"/>
            <w:vAlign w:val="center"/>
            <w:hideMark/>
          </w:tcPr>
          <w:p w14:paraId="6410FFC1"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87,9</w:t>
            </w:r>
          </w:p>
        </w:tc>
      </w:tr>
      <w:tr w:rsidR="004B7622" w:rsidRPr="009F499E" w14:paraId="502F3551" w14:textId="77777777" w:rsidTr="00377989">
        <w:trPr>
          <w:trHeight w:val="271"/>
        </w:trPr>
        <w:tc>
          <w:tcPr>
            <w:tcW w:w="3052" w:type="dxa"/>
            <w:tcBorders>
              <w:top w:val="nil"/>
              <w:left w:val="single" w:sz="4" w:space="0" w:color="auto"/>
              <w:bottom w:val="single" w:sz="4" w:space="0" w:color="auto"/>
              <w:right w:val="single" w:sz="4" w:space="0" w:color="auto"/>
            </w:tcBorders>
            <w:shd w:val="clear" w:color="auto" w:fill="auto"/>
            <w:vAlign w:val="center"/>
            <w:hideMark/>
          </w:tcPr>
          <w:p w14:paraId="0FB4F696" w14:textId="77777777" w:rsidR="004B7622" w:rsidRPr="009F499E" w:rsidRDefault="004B7622" w:rsidP="00377989">
            <w:pPr>
              <w:spacing w:after="0" w:line="240" w:lineRule="auto"/>
              <w:rPr>
                <w:rFonts w:ascii="Arial" w:eastAsia="Times New Roman" w:hAnsi="Arial" w:cs="Arial"/>
                <w:sz w:val="16"/>
                <w:szCs w:val="16"/>
                <w:lang w:eastAsia="sl-SI"/>
              </w:rPr>
            </w:pPr>
            <w:r w:rsidRPr="009F499E">
              <w:rPr>
                <w:rFonts w:ascii="Arial" w:eastAsia="Times New Roman" w:hAnsi="Arial" w:cs="Arial"/>
                <w:sz w:val="16"/>
                <w:szCs w:val="16"/>
                <w:lang w:eastAsia="sl-SI"/>
              </w:rPr>
              <w:t>Davki na premičnine</w:t>
            </w:r>
          </w:p>
        </w:tc>
        <w:tc>
          <w:tcPr>
            <w:tcW w:w="1182" w:type="dxa"/>
            <w:tcBorders>
              <w:top w:val="nil"/>
              <w:left w:val="nil"/>
              <w:bottom w:val="single" w:sz="4" w:space="0" w:color="auto"/>
              <w:right w:val="single" w:sz="4" w:space="0" w:color="auto"/>
            </w:tcBorders>
            <w:shd w:val="clear" w:color="auto" w:fill="auto"/>
            <w:vAlign w:val="center"/>
            <w:hideMark/>
          </w:tcPr>
          <w:p w14:paraId="2C648CDE"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56.677</w:t>
            </w:r>
          </w:p>
        </w:tc>
        <w:tc>
          <w:tcPr>
            <w:tcW w:w="1195" w:type="dxa"/>
            <w:tcBorders>
              <w:top w:val="nil"/>
              <w:left w:val="nil"/>
              <w:bottom w:val="single" w:sz="4" w:space="0" w:color="auto"/>
              <w:right w:val="nil"/>
            </w:tcBorders>
            <w:shd w:val="clear" w:color="auto" w:fill="auto"/>
            <w:vAlign w:val="center"/>
            <w:hideMark/>
          </w:tcPr>
          <w:p w14:paraId="287CF937"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52.235</w:t>
            </w:r>
          </w:p>
        </w:tc>
        <w:tc>
          <w:tcPr>
            <w:tcW w:w="1234" w:type="dxa"/>
            <w:tcBorders>
              <w:top w:val="nil"/>
              <w:left w:val="single" w:sz="8" w:space="0" w:color="auto"/>
              <w:bottom w:val="single" w:sz="4" w:space="0" w:color="auto"/>
              <w:right w:val="single" w:sz="8" w:space="0" w:color="auto"/>
            </w:tcBorders>
            <w:shd w:val="clear" w:color="auto" w:fill="auto"/>
            <w:vAlign w:val="center"/>
            <w:hideMark/>
          </w:tcPr>
          <w:p w14:paraId="5D718147"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47.941</w:t>
            </w:r>
          </w:p>
        </w:tc>
        <w:tc>
          <w:tcPr>
            <w:tcW w:w="1034" w:type="dxa"/>
            <w:tcBorders>
              <w:top w:val="nil"/>
              <w:left w:val="nil"/>
              <w:bottom w:val="single" w:sz="4" w:space="0" w:color="auto"/>
              <w:right w:val="single" w:sz="4" w:space="0" w:color="auto"/>
            </w:tcBorders>
            <w:shd w:val="clear" w:color="auto" w:fill="auto"/>
            <w:vAlign w:val="center"/>
            <w:hideMark/>
          </w:tcPr>
          <w:p w14:paraId="667979E0"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92,2</w:t>
            </w:r>
          </w:p>
        </w:tc>
        <w:tc>
          <w:tcPr>
            <w:tcW w:w="1115" w:type="dxa"/>
            <w:tcBorders>
              <w:top w:val="nil"/>
              <w:left w:val="nil"/>
              <w:bottom w:val="single" w:sz="4" w:space="0" w:color="auto"/>
              <w:right w:val="single" w:sz="4" w:space="0" w:color="auto"/>
            </w:tcBorders>
            <w:shd w:val="clear" w:color="auto" w:fill="auto"/>
            <w:vAlign w:val="center"/>
            <w:hideMark/>
          </w:tcPr>
          <w:p w14:paraId="5D457498"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84,6</w:t>
            </w:r>
          </w:p>
        </w:tc>
        <w:tc>
          <w:tcPr>
            <w:tcW w:w="1015" w:type="dxa"/>
            <w:tcBorders>
              <w:top w:val="nil"/>
              <w:left w:val="nil"/>
              <w:bottom w:val="single" w:sz="4" w:space="0" w:color="auto"/>
              <w:right w:val="single" w:sz="4" w:space="0" w:color="auto"/>
            </w:tcBorders>
            <w:shd w:val="clear" w:color="auto" w:fill="auto"/>
            <w:vAlign w:val="center"/>
            <w:hideMark/>
          </w:tcPr>
          <w:p w14:paraId="4C96CC7A"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91,8</w:t>
            </w:r>
          </w:p>
        </w:tc>
      </w:tr>
      <w:tr w:rsidR="004B7622" w:rsidRPr="009F499E" w14:paraId="13EED845" w14:textId="77777777" w:rsidTr="00377989">
        <w:trPr>
          <w:trHeight w:val="271"/>
        </w:trPr>
        <w:tc>
          <w:tcPr>
            <w:tcW w:w="3052" w:type="dxa"/>
            <w:tcBorders>
              <w:top w:val="nil"/>
              <w:left w:val="single" w:sz="4" w:space="0" w:color="auto"/>
              <w:bottom w:val="single" w:sz="4" w:space="0" w:color="auto"/>
              <w:right w:val="single" w:sz="4" w:space="0" w:color="auto"/>
            </w:tcBorders>
            <w:shd w:val="clear" w:color="auto" w:fill="auto"/>
            <w:vAlign w:val="center"/>
            <w:hideMark/>
          </w:tcPr>
          <w:p w14:paraId="3E1D4BD4" w14:textId="77777777" w:rsidR="004B7622" w:rsidRPr="009F499E" w:rsidRDefault="004B7622" w:rsidP="00377989">
            <w:pPr>
              <w:spacing w:after="0" w:line="240" w:lineRule="auto"/>
              <w:rPr>
                <w:rFonts w:ascii="Arial" w:eastAsia="Times New Roman" w:hAnsi="Arial" w:cs="Arial"/>
                <w:sz w:val="16"/>
                <w:szCs w:val="16"/>
                <w:lang w:eastAsia="sl-SI"/>
              </w:rPr>
            </w:pPr>
            <w:r w:rsidRPr="009F499E">
              <w:rPr>
                <w:rFonts w:ascii="Arial" w:eastAsia="Times New Roman" w:hAnsi="Arial" w:cs="Arial"/>
                <w:sz w:val="16"/>
                <w:szCs w:val="16"/>
                <w:lang w:eastAsia="sl-SI"/>
              </w:rPr>
              <w:t>Davki na dediščine in darila</w:t>
            </w:r>
          </w:p>
        </w:tc>
        <w:tc>
          <w:tcPr>
            <w:tcW w:w="1182" w:type="dxa"/>
            <w:tcBorders>
              <w:top w:val="nil"/>
              <w:left w:val="nil"/>
              <w:bottom w:val="single" w:sz="4" w:space="0" w:color="auto"/>
              <w:right w:val="single" w:sz="4" w:space="0" w:color="auto"/>
            </w:tcBorders>
            <w:shd w:val="clear" w:color="auto" w:fill="auto"/>
            <w:vAlign w:val="center"/>
            <w:hideMark/>
          </w:tcPr>
          <w:p w14:paraId="04F2D0F9"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2.092.461</w:t>
            </w:r>
          </w:p>
        </w:tc>
        <w:tc>
          <w:tcPr>
            <w:tcW w:w="1195" w:type="dxa"/>
            <w:tcBorders>
              <w:top w:val="nil"/>
              <w:left w:val="nil"/>
              <w:bottom w:val="single" w:sz="4" w:space="0" w:color="auto"/>
              <w:right w:val="nil"/>
            </w:tcBorders>
            <w:shd w:val="clear" w:color="auto" w:fill="auto"/>
            <w:vAlign w:val="center"/>
            <w:hideMark/>
          </w:tcPr>
          <w:p w14:paraId="72478279"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2.130.804</w:t>
            </w:r>
          </w:p>
        </w:tc>
        <w:tc>
          <w:tcPr>
            <w:tcW w:w="1234" w:type="dxa"/>
            <w:tcBorders>
              <w:top w:val="nil"/>
              <w:left w:val="single" w:sz="8" w:space="0" w:color="auto"/>
              <w:bottom w:val="single" w:sz="4" w:space="0" w:color="auto"/>
              <w:right w:val="single" w:sz="8" w:space="0" w:color="auto"/>
            </w:tcBorders>
            <w:shd w:val="clear" w:color="auto" w:fill="auto"/>
            <w:vAlign w:val="center"/>
            <w:hideMark/>
          </w:tcPr>
          <w:p w14:paraId="3C6547A1"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2.142.855</w:t>
            </w:r>
          </w:p>
        </w:tc>
        <w:tc>
          <w:tcPr>
            <w:tcW w:w="1034" w:type="dxa"/>
            <w:tcBorders>
              <w:top w:val="nil"/>
              <w:left w:val="nil"/>
              <w:bottom w:val="single" w:sz="4" w:space="0" w:color="auto"/>
              <w:right w:val="single" w:sz="4" w:space="0" w:color="auto"/>
            </w:tcBorders>
            <w:shd w:val="clear" w:color="auto" w:fill="auto"/>
            <w:vAlign w:val="center"/>
            <w:hideMark/>
          </w:tcPr>
          <w:p w14:paraId="1479C614"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101,8</w:t>
            </w:r>
          </w:p>
        </w:tc>
        <w:tc>
          <w:tcPr>
            <w:tcW w:w="1115" w:type="dxa"/>
            <w:tcBorders>
              <w:top w:val="nil"/>
              <w:left w:val="nil"/>
              <w:bottom w:val="single" w:sz="4" w:space="0" w:color="auto"/>
              <w:right w:val="single" w:sz="4" w:space="0" w:color="auto"/>
            </w:tcBorders>
            <w:shd w:val="clear" w:color="auto" w:fill="auto"/>
            <w:vAlign w:val="center"/>
            <w:hideMark/>
          </w:tcPr>
          <w:p w14:paraId="1EB0B7E6"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102,4</w:t>
            </w:r>
          </w:p>
        </w:tc>
        <w:tc>
          <w:tcPr>
            <w:tcW w:w="1015" w:type="dxa"/>
            <w:tcBorders>
              <w:top w:val="nil"/>
              <w:left w:val="nil"/>
              <w:bottom w:val="single" w:sz="4" w:space="0" w:color="auto"/>
              <w:right w:val="single" w:sz="4" w:space="0" w:color="auto"/>
            </w:tcBorders>
            <w:shd w:val="clear" w:color="auto" w:fill="auto"/>
            <w:vAlign w:val="center"/>
            <w:hideMark/>
          </w:tcPr>
          <w:p w14:paraId="7C8BA2BB"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100,6</w:t>
            </w:r>
          </w:p>
        </w:tc>
      </w:tr>
      <w:tr w:rsidR="004B7622" w:rsidRPr="009F499E" w14:paraId="45935B83" w14:textId="77777777" w:rsidTr="00377989">
        <w:trPr>
          <w:trHeight w:val="271"/>
        </w:trPr>
        <w:tc>
          <w:tcPr>
            <w:tcW w:w="3052" w:type="dxa"/>
            <w:tcBorders>
              <w:top w:val="nil"/>
              <w:left w:val="single" w:sz="4" w:space="0" w:color="auto"/>
              <w:bottom w:val="single" w:sz="4" w:space="0" w:color="auto"/>
              <w:right w:val="single" w:sz="4" w:space="0" w:color="auto"/>
            </w:tcBorders>
            <w:shd w:val="clear" w:color="auto" w:fill="auto"/>
            <w:vAlign w:val="center"/>
            <w:hideMark/>
          </w:tcPr>
          <w:p w14:paraId="4CEB9E1E" w14:textId="77777777" w:rsidR="004B7622" w:rsidRPr="009F499E" w:rsidRDefault="004B7622" w:rsidP="00377989">
            <w:pPr>
              <w:spacing w:after="0" w:line="240" w:lineRule="auto"/>
              <w:rPr>
                <w:rFonts w:ascii="Arial" w:eastAsia="Times New Roman" w:hAnsi="Arial" w:cs="Arial"/>
                <w:sz w:val="16"/>
                <w:szCs w:val="16"/>
                <w:lang w:eastAsia="sl-SI"/>
              </w:rPr>
            </w:pPr>
            <w:r w:rsidRPr="009F499E">
              <w:rPr>
                <w:rFonts w:ascii="Arial" w:eastAsia="Times New Roman" w:hAnsi="Arial" w:cs="Arial"/>
                <w:sz w:val="16"/>
                <w:szCs w:val="16"/>
                <w:lang w:eastAsia="sl-SI"/>
              </w:rPr>
              <w:t>Davek na promet nepremičnin</w:t>
            </w:r>
          </w:p>
        </w:tc>
        <w:tc>
          <w:tcPr>
            <w:tcW w:w="1182" w:type="dxa"/>
            <w:tcBorders>
              <w:top w:val="nil"/>
              <w:left w:val="nil"/>
              <w:bottom w:val="single" w:sz="4" w:space="0" w:color="auto"/>
              <w:right w:val="single" w:sz="4" w:space="0" w:color="auto"/>
            </w:tcBorders>
            <w:shd w:val="clear" w:color="auto" w:fill="auto"/>
            <w:vAlign w:val="center"/>
            <w:hideMark/>
          </w:tcPr>
          <w:p w14:paraId="061DB094"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514.890</w:t>
            </w:r>
          </w:p>
        </w:tc>
        <w:tc>
          <w:tcPr>
            <w:tcW w:w="1195" w:type="dxa"/>
            <w:tcBorders>
              <w:top w:val="nil"/>
              <w:left w:val="nil"/>
              <w:bottom w:val="single" w:sz="4" w:space="0" w:color="auto"/>
              <w:right w:val="nil"/>
            </w:tcBorders>
            <w:shd w:val="clear" w:color="auto" w:fill="auto"/>
            <w:vAlign w:val="center"/>
            <w:hideMark/>
          </w:tcPr>
          <w:p w14:paraId="3C0BE2C6"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415.156</w:t>
            </w:r>
          </w:p>
        </w:tc>
        <w:tc>
          <w:tcPr>
            <w:tcW w:w="1234" w:type="dxa"/>
            <w:tcBorders>
              <w:top w:val="nil"/>
              <w:left w:val="single" w:sz="8" w:space="0" w:color="auto"/>
              <w:bottom w:val="single" w:sz="4" w:space="0" w:color="auto"/>
              <w:right w:val="single" w:sz="8" w:space="0" w:color="auto"/>
            </w:tcBorders>
            <w:shd w:val="clear" w:color="auto" w:fill="auto"/>
            <w:vAlign w:val="center"/>
            <w:hideMark/>
          </w:tcPr>
          <w:p w14:paraId="2F07AAEF"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466.464</w:t>
            </w:r>
          </w:p>
        </w:tc>
        <w:tc>
          <w:tcPr>
            <w:tcW w:w="1034" w:type="dxa"/>
            <w:tcBorders>
              <w:top w:val="nil"/>
              <w:left w:val="nil"/>
              <w:bottom w:val="single" w:sz="4" w:space="0" w:color="auto"/>
              <w:right w:val="single" w:sz="4" w:space="0" w:color="auto"/>
            </w:tcBorders>
            <w:shd w:val="clear" w:color="auto" w:fill="auto"/>
            <w:vAlign w:val="center"/>
            <w:hideMark/>
          </w:tcPr>
          <w:p w14:paraId="543566F8"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0,0</w:t>
            </w:r>
          </w:p>
        </w:tc>
        <w:tc>
          <w:tcPr>
            <w:tcW w:w="1115" w:type="dxa"/>
            <w:tcBorders>
              <w:top w:val="nil"/>
              <w:left w:val="nil"/>
              <w:bottom w:val="single" w:sz="4" w:space="0" w:color="auto"/>
              <w:right w:val="single" w:sz="4" w:space="0" w:color="auto"/>
            </w:tcBorders>
            <w:shd w:val="clear" w:color="auto" w:fill="auto"/>
            <w:vAlign w:val="center"/>
            <w:hideMark/>
          </w:tcPr>
          <w:p w14:paraId="1FBC1143"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0,0</w:t>
            </w:r>
          </w:p>
        </w:tc>
        <w:tc>
          <w:tcPr>
            <w:tcW w:w="1015" w:type="dxa"/>
            <w:tcBorders>
              <w:top w:val="nil"/>
              <w:left w:val="nil"/>
              <w:bottom w:val="single" w:sz="4" w:space="0" w:color="auto"/>
              <w:right w:val="single" w:sz="4" w:space="0" w:color="auto"/>
            </w:tcBorders>
            <w:shd w:val="clear" w:color="auto" w:fill="auto"/>
            <w:vAlign w:val="center"/>
            <w:hideMark/>
          </w:tcPr>
          <w:p w14:paraId="0CEEF0AA"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0,0</w:t>
            </w:r>
          </w:p>
        </w:tc>
      </w:tr>
      <w:tr w:rsidR="004B7622" w:rsidRPr="009F499E" w14:paraId="03E661D0" w14:textId="77777777" w:rsidTr="00377989">
        <w:trPr>
          <w:trHeight w:val="418"/>
        </w:trPr>
        <w:tc>
          <w:tcPr>
            <w:tcW w:w="3052" w:type="dxa"/>
            <w:tcBorders>
              <w:top w:val="nil"/>
              <w:left w:val="single" w:sz="4" w:space="0" w:color="auto"/>
              <w:bottom w:val="single" w:sz="4" w:space="0" w:color="auto"/>
              <w:right w:val="single" w:sz="4" w:space="0" w:color="auto"/>
            </w:tcBorders>
            <w:shd w:val="clear" w:color="auto" w:fill="auto"/>
            <w:vAlign w:val="center"/>
            <w:hideMark/>
          </w:tcPr>
          <w:p w14:paraId="412A7B72" w14:textId="77777777" w:rsidR="004B7622" w:rsidRPr="009F499E" w:rsidRDefault="004B7622" w:rsidP="00377989">
            <w:pPr>
              <w:spacing w:after="0" w:line="240" w:lineRule="auto"/>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DOMAČI DAVKI NA BLAGO IN STORITVE</w:t>
            </w:r>
          </w:p>
        </w:tc>
        <w:tc>
          <w:tcPr>
            <w:tcW w:w="1182" w:type="dxa"/>
            <w:tcBorders>
              <w:top w:val="nil"/>
              <w:left w:val="nil"/>
              <w:bottom w:val="single" w:sz="4" w:space="0" w:color="auto"/>
              <w:right w:val="single" w:sz="4" w:space="0" w:color="auto"/>
            </w:tcBorders>
            <w:shd w:val="clear" w:color="auto" w:fill="auto"/>
            <w:vAlign w:val="center"/>
            <w:hideMark/>
          </w:tcPr>
          <w:p w14:paraId="15CE8980"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416.620.128</w:t>
            </w:r>
          </w:p>
        </w:tc>
        <w:tc>
          <w:tcPr>
            <w:tcW w:w="1195" w:type="dxa"/>
            <w:tcBorders>
              <w:top w:val="nil"/>
              <w:left w:val="nil"/>
              <w:bottom w:val="single" w:sz="4" w:space="0" w:color="auto"/>
              <w:right w:val="nil"/>
            </w:tcBorders>
            <w:shd w:val="clear" w:color="auto" w:fill="auto"/>
            <w:vAlign w:val="center"/>
            <w:hideMark/>
          </w:tcPr>
          <w:p w14:paraId="2F7DB91C"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322.953.980</w:t>
            </w:r>
          </w:p>
        </w:tc>
        <w:tc>
          <w:tcPr>
            <w:tcW w:w="1234" w:type="dxa"/>
            <w:tcBorders>
              <w:top w:val="nil"/>
              <w:left w:val="single" w:sz="8" w:space="0" w:color="auto"/>
              <w:bottom w:val="single" w:sz="4" w:space="0" w:color="auto"/>
              <w:right w:val="single" w:sz="8" w:space="0" w:color="auto"/>
            </w:tcBorders>
            <w:shd w:val="clear" w:color="auto" w:fill="auto"/>
            <w:vAlign w:val="center"/>
            <w:hideMark/>
          </w:tcPr>
          <w:p w14:paraId="05333733"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308.916.036</w:t>
            </w:r>
          </w:p>
        </w:tc>
        <w:tc>
          <w:tcPr>
            <w:tcW w:w="1034" w:type="dxa"/>
            <w:tcBorders>
              <w:top w:val="nil"/>
              <w:left w:val="nil"/>
              <w:bottom w:val="single" w:sz="4" w:space="0" w:color="auto"/>
              <w:right w:val="single" w:sz="4" w:space="0" w:color="auto"/>
            </w:tcBorders>
            <w:shd w:val="clear" w:color="auto" w:fill="auto"/>
            <w:vAlign w:val="center"/>
            <w:hideMark/>
          </w:tcPr>
          <w:p w14:paraId="18D952B5"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77,5</w:t>
            </w:r>
          </w:p>
        </w:tc>
        <w:tc>
          <w:tcPr>
            <w:tcW w:w="1115" w:type="dxa"/>
            <w:tcBorders>
              <w:top w:val="nil"/>
              <w:left w:val="nil"/>
              <w:bottom w:val="single" w:sz="4" w:space="0" w:color="auto"/>
              <w:right w:val="single" w:sz="4" w:space="0" w:color="auto"/>
            </w:tcBorders>
            <w:shd w:val="clear" w:color="auto" w:fill="auto"/>
            <w:vAlign w:val="center"/>
            <w:hideMark/>
          </w:tcPr>
          <w:p w14:paraId="64469F8D"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74,1</w:t>
            </w:r>
          </w:p>
        </w:tc>
        <w:tc>
          <w:tcPr>
            <w:tcW w:w="1015" w:type="dxa"/>
            <w:tcBorders>
              <w:top w:val="nil"/>
              <w:left w:val="nil"/>
              <w:bottom w:val="single" w:sz="4" w:space="0" w:color="auto"/>
              <w:right w:val="single" w:sz="4" w:space="0" w:color="auto"/>
            </w:tcBorders>
            <w:shd w:val="clear" w:color="auto" w:fill="auto"/>
            <w:vAlign w:val="center"/>
            <w:hideMark/>
          </w:tcPr>
          <w:p w14:paraId="0463CE1A"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95,7</w:t>
            </w:r>
          </w:p>
        </w:tc>
      </w:tr>
      <w:tr w:rsidR="004B7622" w:rsidRPr="009F499E" w14:paraId="2BC44630" w14:textId="77777777" w:rsidTr="00377989">
        <w:trPr>
          <w:trHeight w:val="271"/>
        </w:trPr>
        <w:tc>
          <w:tcPr>
            <w:tcW w:w="3052" w:type="dxa"/>
            <w:tcBorders>
              <w:top w:val="nil"/>
              <w:left w:val="single" w:sz="4" w:space="0" w:color="auto"/>
              <w:bottom w:val="single" w:sz="4" w:space="0" w:color="auto"/>
              <w:right w:val="single" w:sz="4" w:space="0" w:color="auto"/>
            </w:tcBorders>
            <w:shd w:val="clear" w:color="auto" w:fill="auto"/>
            <w:vAlign w:val="center"/>
            <w:hideMark/>
          </w:tcPr>
          <w:p w14:paraId="38431C0A" w14:textId="77777777" w:rsidR="004B7622" w:rsidRPr="009F499E" w:rsidRDefault="004B7622" w:rsidP="00377989">
            <w:pPr>
              <w:spacing w:after="0" w:line="240" w:lineRule="auto"/>
              <w:rPr>
                <w:rFonts w:ascii="Arial" w:eastAsia="Times New Roman" w:hAnsi="Arial" w:cs="Arial"/>
                <w:sz w:val="16"/>
                <w:szCs w:val="16"/>
                <w:lang w:eastAsia="sl-SI"/>
              </w:rPr>
            </w:pPr>
            <w:r w:rsidRPr="009F499E">
              <w:rPr>
                <w:rFonts w:ascii="Arial" w:eastAsia="Times New Roman" w:hAnsi="Arial" w:cs="Arial"/>
                <w:sz w:val="16"/>
                <w:szCs w:val="16"/>
                <w:lang w:eastAsia="sl-SI"/>
              </w:rPr>
              <w:t>Davek na dodano vrednost</w:t>
            </w:r>
          </w:p>
        </w:tc>
        <w:tc>
          <w:tcPr>
            <w:tcW w:w="1182" w:type="dxa"/>
            <w:tcBorders>
              <w:top w:val="nil"/>
              <w:left w:val="nil"/>
              <w:bottom w:val="single" w:sz="4" w:space="0" w:color="auto"/>
              <w:right w:val="single" w:sz="4" w:space="0" w:color="auto"/>
            </w:tcBorders>
            <w:shd w:val="clear" w:color="auto" w:fill="auto"/>
            <w:vAlign w:val="center"/>
            <w:hideMark/>
          </w:tcPr>
          <w:p w14:paraId="01977D4F"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406.630.192</w:t>
            </w:r>
          </w:p>
        </w:tc>
        <w:tc>
          <w:tcPr>
            <w:tcW w:w="1195" w:type="dxa"/>
            <w:tcBorders>
              <w:top w:val="nil"/>
              <w:left w:val="nil"/>
              <w:bottom w:val="single" w:sz="4" w:space="0" w:color="auto"/>
              <w:right w:val="nil"/>
            </w:tcBorders>
            <w:shd w:val="clear" w:color="auto" w:fill="auto"/>
            <w:vAlign w:val="center"/>
            <w:hideMark/>
          </w:tcPr>
          <w:p w14:paraId="2BAEF2BA"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317.788.667</w:t>
            </w:r>
          </w:p>
        </w:tc>
        <w:tc>
          <w:tcPr>
            <w:tcW w:w="1234" w:type="dxa"/>
            <w:tcBorders>
              <w:top w:val="nil"/>
              <w:left w:val="single" w:sz="8" w:space="0" w:color="auto"/>
              <w:bottom w:val="single" w:sz="4" w:space="0" w:color="auto"/>
              <w:right w:val="single" w:sz="8" w:space="0" w:color="auto"/>
            </w:tcBorders>
            <w:shd w:val="clear" w:color="auto" w:fill="auto"/>
            <w:vAlign w:val="center"/>
            <w:hideMark/>
          </w:tcPr>
          <w:p w14:paraId="71A297CB"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304.283.846</w:t>
            </w:r>
          </w:p>
        </w:tc>
        <w:tc>
          <w:tcPr>
            <w:tcW w:w="1034" w:type="dxa"/>
            <w:tcBorders>
              <w:top w:val="nil"/>
              <w:left w:val="nil"/>
              <w:bottom w:val="single" w:sz="4" w:space="0" w:color="auto"/>
              <w:right w:val="single" w:sz="4" w:space="0" w:color="auto"/>
            </w:tcBorders>
            <w:shd w:val="clear" w:color="auto" w:fill="auto"/>
            <w:vAlign w:val="center"/>
            <w:hideMark/>
          </w:tcPr>
          <w:p w14:paraId="05A6445E"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78,2</w:t>
            </w:r>
          </w:p>
        </w:tc>
        <w:tc>
          <w:tcPr>
            <w:tcW w:w="1115" w:type="dxa"/>
            <w:tcBorders>
              <w:top w:val="nil"/>
              <w:left w:val="nil"/>
              <w:bottom w:val="single" w:sz="4" w:space="0" w:color="auto"/>
              <w:right w:val="single" w:sz="4" w:space="0" w:color="auto"/>
            </w:tcBorders>
            <w:shd w:val="clear" w:color="auto" w:fill="auto"/>
            <w:vAlign w:val="center"/>
            <w:hideMark/>
          </w:tcPr>
          <w:p w14:paraId="56997E86"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74,8</w:t>
            </w:r>
          </w:p>
        </w:tc>
        <w:tc>
          <w:tcPr>
            <w:tcW w:w="1015" w:type="dxa"/>
            <w:tcBorders>
              <w:top w:val="nil"/>
              <w:left w:val="nil"/>
              <w:bottom w:val="single" w:sz="4" w:space="0" w:color="auto"/>
              <w:right w:val="single" w:sz="4" w:space="0" w:color="auto"/>
            </w:tcBorders>
            <w:shd w:val="clear" w:color="auto" w:fill="auto"/>
            <w:vAlign w:val="center"/>
            <w:hideMark/>
          </w:tcPr>
          <w:p w14:paraId="5997B33E"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95,8</w:t>
            </w:r>
          </w:p>
        </w:tc>
      </w:tr>
      <w:tr w:rsidR="004B7622" w:rsidRPr="009F499E" w14:paraId="613EDD89" w14:textId="77777777" w:rsidTr="00377989">
        <w:trPr>
          <w:trHeight w:val="271"/>
        </w:trPr>
        <w:tc>
          <w:tcPr>
            <w:tcW w:w="3052" w:type="dxa"/>
            <w:tcBorders>
              <w:top w:val="nil"/>
              <w:left w:val="single" w:sz="4" w:space="0" w:color="auto"/>
              <w:bottom w:val="single" w:sz="4" w:space="0" w:color="auto"/>
              <w:right w:val="single" w:sz="4" w:space="0" w:color="auto"/>
            </w:tcBorders>
            <w:shd w:val="clear" w:color="auto" w:fill="auto"/>
            <w:vAlign w:val="center"/>
            <w:hideMark/>
          </w:tcPr>
          <w:p w14:paraId="23C57229" w14:textId="77777777" w:rsidR="004B7622" w:rsidRPr="009F499E" w:rsidRDefault="004B7622" w:rsidP="00377989">
            <w:pPr>
              <w:spacing w:after="0" w:line="240" w:lineRule="auto"/>
              <w:rPr>
                <w:rFonts w:ascii="Arial" w:eastAsia="Times New Roman" w:hAnsi="Arial" w:cs="Arial"/>
                <w:sz w:val="16"/>
                <w:szCs w:val="16"/>
                <w:lang w:eastAsia="sl-SI"/>
              </w:rPr>
            </w:pPr>
            <w:r w:rsidRPr="009F499E">
              <w:rPr>
                <w:rFonts w:ascii="Arial" w:eastAsia="Times New Roman" w:hAnsi="Arial" w:cs="Arial"/>
                <w:sz w:val="16"/>
                <w:szCs w:val="16"/>
                <w:lang w:eastAsia="sl-SI"/>
              </w:rPr>
              <w:t>Drugi davki na blago in storitve (CO2)</w:t>
            </w:r>
          </w:p>
        </w:tc>
        <w:tc>
          <w:tcPr>
            <w:tcW w:w="1182" w:type="dxa"/>
            <w:tcBorders>
              <w:top w:val="nil"/>
              <w:left w:val="nil"/>
              <w:bottom w:val="single" w:sz="4" w:space="0" w:color="auto"/>
              <w:right w:val="single" w:sz="4" w:space="0" w:color="auto"/>
            </w:tcBorders>
            <w:shd w:val="clear" w:color="auto" w:fill="auto"/>
            <w:vAlign w:val="center"/>
            <w:hideMark/>
          </w:tcPr>
          <w:p w14:paraId="68B956C0"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18.383</w:t>
            </w:r>
          </w:p>
        </w:tc>
        <w:tc>
          <w:tcPr>
            <w:tcW w:w="1195" w:type="dxa"/>
            <w:tcBorders>
              <w:top w:val="nil"/>
              <w:left w:val="nil"/>
              <w:bottom w:val="single" w:sz="4" w:space="0" w:color="auto"/>
              <w:right w:val="nil"/>
            </w:tcBorders>
            <w:shd w:val="clear" w:color="auto" w:fill="auto"/>
            <w:vAlign w:val="center"/>
            <w:hideMark/>
          </w:tcPr>
          <w:p w14:paraId="2941E502"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26.201</w:t>
            </w:r>
          </w:p>
        </w:tc>
        <w:tc>
          <w:tcPr>
            <w:tcW w:w="1234" w:type="dxa"/>
            <w:tcBorders>
              <w:top w:val="nil"/>
              <w:left w:val="single" w:sz="8" w:space="0" w:color="auto"/>
              <w:bottom w:val="single" w:sz="4" w:space="0" w:color="auto"/>
              <w:right w:val="single" w:sz="8" w:space="0" w:color="auto"/>
            </w:tcBorders>
            <w:shd w:val="clear" w:color="auto" w:fill="auto"/>
            <w:vAlign w:val="center"/>
            <w:hideMark/>
          </w:tcPr>
          <w:p w14:paraId="5FFB4EB9"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39.135</w:t>
            </w:r>
          </w:p>
        </w:tc>
        <w:tc>
          <w:tcPr>
            <w:tcW w:w="1034" w:type="dxa"/>
            <w:tcBorders>
              <w:top w:val="nil"/>
              <w:left w:val="nil"/>
              <w:bottom w:val="single" w:sz="4" w:space="0" w:color="auto"/>
              <w:right w:val="single" w:sz="4" w:space="0" w:color="auto"/>
            </w:tcBorders>
            <w:shd w:val="clear" w:color="auto" w:fill="auto"/>
            <w:vAlign w:val="center"/>
            <w:hideMark/>
          </w:tcPr>
          <w:p w14:paraId="4707F69C"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142,5</w:t>
            </w:r>
          </w:p>
        </w:tc>
        <w:tc>
          <w:tcPr>
            <w:tcW w:w="1115" w:type="dxa"/>
            <w:tcBorders>
              <w:top w:val="nil"/>
              <w:left w:val="nil"/>
              <w:bottom w:val="single" w:sz="4" w:space="0" w:color="auto"/>
              <w:right w:val="single" w:sz="4" w:space="0" w:color="auto"/>
            </w:tcBorders>
            <w:shd w:val="clear" w:color="auto" w:fill="auto"/>
            <w:vAlign w:val="center"/>
            <w:hideMark/>
          </w:tcPr>
          <w:p w14:paraId="178C8BA0"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212,9</w:t>
            </w:r>
          </w:p>
        </w:tc>
        <w:tc>
          <w:tcPr>
            <w:tcW w:w="1015" w:type="dxa"/>
            <w:tcBorders>
              <w:top w:val="nil"/>
              <w:left w:val="nil"/>
              <w:bottom w:val="single" w:sz="4" w:space="0" w:color="auto"/>
              <w:right w:val="single" w:sz="4" w:space="0" w:color="auto"/>
            </w:tcBorders>
            <w:shd w:val="clear" w:color="auto" w:fill="auto"/>
            <w:vAlign w:val="center"/>
            <w:hideMark/>
          </w:tcPr>
          <w:p w14:paraId="05D54182"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149,4</w:t>
            </w:r>
          </w:p>
        </w:tc>
      </w:tr>
      <w:tr w:rsidR="004B7622" w:rsidRPr="009F499E" w14:paraId="565D4461" w14:textId="77777777" w:rsidTr="00377989">
        <w:trPr>
          <w:trHeight w:val="271"/>
        </w:trPr>
        <w:tc>
          <w:tcPr>
            <w:tcW w:w="3052" w:type="dxa"/>
            <w:tcBorders>
              <w:top w:val="nil"/>
              <w:left w:val="single" w:sz="4" w:space="0" w:color="auto"/>
              <w:bottom w:val="single" w:sz="4" w:space="0" w:color="auto"/>
              <w:right w:val="single" w:sz="4" w:space="0" w:color="auto"/>
            </w:tcBorders>
            <w:shd w:val="clear" w:color="auto" w:fill="auto"/>
            <w:vAlign w:val="center"/>
            <w:hideMark/>
          </w:tcPr>
          <w:p w14:paraId="43C5AB48" w14:textId="77777777" w:rsidR="004B7622" w:rsidRPr="009F499E" w:rsidRDefault="004B7622" w:rsidP="00377989">
            <w:pPr>
              <w:spacing w:after="0" w:line="240" w:lineRule="auto"/>
              <w:rPr>
                <w:rFonts w:ascii="Arial" w:eastAsia="Times New Roman" w:hAnsi="Arial" w:cs="Arial"/>
                <w:sz w:val="16"/>
                <w:szCs w:val="16"/>
                <w:lang w:eastAsia="sl-SI"/>
              </w:rPr>
            </w:pPr>
            <w:r w:rsidRPr="009F499E">
              <w:rPr>
                <w:rFonts w:ascii="Arial" w:eastAsia="Times New Roman" w:hAnsi="Arial" w:cs="Arial"/>
                <w:sz w:val="16"/>
                <w:szCs w:val="16"/>
                <w:lang w:eastAsia="sl-SI"/>
              </w:rPr>
              <w:t xml:space="preserve">Trošarine </w:t>
            </w:r>
          </w:p>
        </w:tc>
        <w:tc>
          <w:tcPr>
            <w:tcW w:w="1182" w:type="dxa"/>
            <w:tcBorders>
              <w:top w:val="nil"/>
              <w:left w:val="nil"/>
              <w:bottom w:val="single" w:sz="4" w:space="0" w:color="auto"/>
              <w:right w:val="single" w:sz="4" w:space="0" w:color="auto"/>
            </w:tcBorders>
            <w:shd w:val="clear" w:color="auto" w:fill="auto"/>
            <w:vAlign w:val="center"/>
            <w:hideMark/>
          </w:tcPr>
          <w:p w14:paraId="1148D32F"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3.095.309</w:t>
            </w:r>
          </w:p>
        </w:tc>
        <w:tc>
          <w:tcPr>
            <w:tcW w:w="1195" w:type="dxa"/>
            <w:tcBorders>
              <w:top w:val="nil"/>
              <w:left w:val="nil"/>
              <w:bottom w:val="single" w:sz="4" w:space="0" w:color="auto"/>
              <w:right w:val="nil"/>
            </w:tcBorders>
            <w:shd w:val="clear" w:color="auto" w:fill="auto"/>
            <w:vAlign w:val="center"/>
            <w:hideMark/>
          </w:tcPr>
          <w:p w14:paraId="31DA6660"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4.089.622</w:t>
            </w:r>
          </w:p>
        </w:tc>
        <w:tc>
          <w:tcPr>
            <w:tcW w:w="1234" w:type="dxa"/>
            <w:tcBorders>
              <w:top w:val="nil"/>
              <w:left w:val="single" w:sz="8" w:space="0" w:color="auto"/>
              <w:bottom w:val="single" w:sz="4" w:space="0" w:color="auto"/>
              <w:right w:val="single" w:sz="8" w:space="0" w:color="auto"/>
            </w:tcBorders>
            <w:shd w:val="clear" w:color="auto" w:fill="auto"/>
            <w:vAlign w:val="center"/>
            <w:hideMark/>
          </w:tcPr>
          <w:p w14:paraId="22964279"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3.447.425</w:t>
            </w:r>
          </w:p>
        </w:tc>
        <w:tc>
          <w:tcPr>
            <w:tcW w:w="1034" w:type="dxa"/>
            <w:tcBorders>
              <w:top w:val="nil"/>
              <w:left w:val="nil"/>
              <w:bottom w:val="single" w:sz="4" w:space="0" w:color="auto"/>
              <w:right w:val="single" w:sz="4" w:space="0" w:color="auto"/>
            </w:tcBorders>
            <w:shd w:val="clear" w:color="auto" w:fill="auto"/>
            <w:vAlign w:val="center"/>
            <w:hideMark/>
          </w:tcPr>
          <w:p w14:paraId="7980EE60"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132,1</w:t>
            </w:r>
          </w:p>
        </w:tc>
        <w:tc>
          <w:tcPr>
            <w:tcW w:w="1115" w:type="dxa"/>
            <w:tcBorders>
              <w:top w:val="nil"/>
              <w:left w:val="nil"/>
              <w:bottom w:val="single" w:sz="4" w:space="0" w:color="auto"/>
              <w:right w:val="single" w:sz="4" w:space="0" w:color="auto"/>
            </w:tcBorders>
            <w:shd w:val="clear" w:color="auto" w:fill="auto"/>
            <w:vAlign w:val="center"/>
            <w:hideMark/>
          </w:tcPr>
          <w:p w14:paraId="6245D195"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111,4</w:t>
            </w:r>
          </w:p>
        </w:tc>
        <w:tc>
          <w:tcPr>
            <w:tcW w:w="1015" w:type="dxa"/>
            <w:tcBorders>
              <w:top w:val="nil"/>
              <w:left w:val="nil"/>
              <w:bottom w:val="single" w:sz="4" w:space="0" w:color="auto"/>
              <w:right w:val="single" w:sz="4" w:space="0" w:color="auto"/>
            </w:tcBorders>
            <w:shd w:val="clear" w:color="auto" w:fill="auto"/>
            <w:vAlign w:val="center"/>
            <w:hideMark/>
          </w:tcPr>
          <w:p w14:paraId="2B8632F2"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84,3</w:t>
            </w:r>
          </w:p>
        </w:tc>
      </w:tr>
      <w:tr w:rsidR="004B7622" w:rsidRPr="009F499E" w14:paraId="2F5C9598" w14:textId="77777777" w:rsidTr="00377989">
        <w:trPr>
          <w:trHeight w:val="271"/>
        </w:trPr>
        <w:tc>
          <w:tcPr>
            <w:tcW w:w="3052" w:type="dxa"/>
            <w:tcBorders>
              <w:top w:val="nil"/>
              <w:left w:val="single" w:sz="4" w:space="0" w:color="auto"/>
              <w:bottom w:val="single" w:sz="4" w:space="0" w:color="auto"/>
              <w:right w:val="single" w:sz="4" w:space="0" w:color="auto"/>
            </w:tcBorders>
            <w:shd w:val="clear" w:color="auto" w:fill="auto"/>
            <w:vAlign w:val="center"/>
            <w:hideMark/>
          </w:tcPr>
          <w:p w14:paraId="53152E9B" w14:textId="77777777" w:rsidR="004B7622" w:rsidRPr="009F499E" w:rsidRDefault="004B7622" w:rsidP="00377989">
            <w:pPr>
              <w:spacing w:after="0" w:line="240" w:lineRule="auto"/>
              <w:rPr>
                <w:rFonts w:ascii="Arial" w:eastAsia="Times New Roman" w:hAnsi="Arial" w:cs="Arial"/>
                <w:sz w:val="16"/>
                <w:szCs w:val="16"/>
                <w:lang w:eastAsia="sl-SI"/>
              </w:rPr>
            </w:pPr>
            <w:r w:rsidRPr="009F499E">
              <w:rPr>
                <w:rFonts w:ascii="Arial" w:eastAsia="Times New Roman" w:hAnsi="Arial" w:cs="Arial"/>
                <w:sz w:val="16"/>
                <w:szCs w:val="16"/>
                <w:lang w:eastAsia="sl-SI"/>
              </w:rPr>
              <w:t>Davki na posebne storitve</w:t>
            </w:r>
          </w:p>
        </w:tc>
        <w:tc>
          <w:tcPr>
            <w:tcW w:w="1182" w:type="dxa"/>
            <w:tcBorders>
              <w:top w:val="nil"/>
              <w:left w:val="nil"/>
              <w:bottom w:val="single" w:sz="4" w:space="0" w:color="auto"/>
              <w:right w:val="single" w:sz="4" w:space="0" w:color="auto"/>
            </w:tcBorders>
            <w:shd w:val="clear" w:color="auto" w:fill="auto"/>
            <w:vAlign w:val="center"/>
            <w:hideMark/>
          </w:tcPr>
          <w:p w14:paraId="6EA9C354"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5.759.686</w:t>
            </w:r>
          </w:p>
        </w:tc>
        <w:tc>
          <w:tcPr>
            <w:tcW w:w="1195" w:type="dxa"/>
            <w:tcBorders>
              <w:top w:val="nil"/>
              <w:left w:val="nil"/>
              <w:bottom w:val="single" w:sz="4" w:space="0" w:color="auto"/>
              <w:right w:val="nil"/>
            </w:tcBorders>
            <w:shd w:val="clear" w:color="auto" w:fill="auto"/>
            <w:vAlign w:val="center"/>
            <w:hideMark/>
          </w:tcPr>
          <w:p w14:paraId="01B75140"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233.745</w:t>
            </w:r>
          </w:p>
        </w:tc>
        <w:tc>
          <w:tcPr>
            <w:tcW w:w="1234" w:type="dxa"/>
            <w:tcBorders>
              <w:top w:val="nil"/>
              <w:left w:val="single" w:sz="8" w:space="0" w:color="auto"/>
              <w:bottom w:val="single" w:sz="4" w:space="0" w:color="auto"/>
              <w:right w:val="single" w:sz="8" w:space="0" w:color="auto"/>
            </w:tcBorders>
            <w:shd w:val="clear" w:color="auto" w:fill="auto"/>
            <w:vAlign w:val="center"/>
            <w:hideMark/>
          </w:tcPr>
          <w:p w14:paraId="70B4AEBB"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263.738</w:t>
            </w:r>
          </w:p>
        </w:tc>
        <w:tc>
          <w:tcPr>
            <w:tcW w:w="1034" w:type="dxa"/>
            <w:tcBorders>
              <w:top w:val="nil"/>
              <w:left w:val="nil"/>
              <w:bottom w:val="single" w:sz="4" w:space="0" w:color="auto"/>
              <w:right w:val="single" w:sz="4" w:space="0" w:color="auto"/>
            </w:tcBorders>
            <w:shd w:val="clear" w:color="auto" w:fill="auto"/>
            <w:vAlign w:val="center"/>
            <w:hideMark/>
          </w:tcPr>
          <w:p w14:paraId="5EA03BC3"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4,1</w:t>
            </w:r>
          </w:p>
        </w:tc>
        <w:tc>
          <w:tcPr>
            <w:tcW w:w="1115" w:type="dxa"/>
            <w:tcBorders>
              <w:top w:val="nil"/>
              <w:left w:val="nil"/>
              <w:bottom w:val="single" w:sz="4" w:space="0" w:color="auto"/>
              <w:right w:val="single" w:sz="4" w:space="0" w:color="auto"/>
            </w:tcBorders>
            <w:shd w:val="clear" w:color="auto" w:fill="auto"/>
            <w:vAlign w:val="center"/>
            <w:hideMark/>
          </w:tcPr>
          <w:p w14:paraId="4421941C"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4,6</w:t>
            </w:r>
          </w:p>
        </w:tc>
        <w:tc>
          <w:tcPr>
            <w:tcW w:w="1015" w:type="dxa"/>
            <w:tcBorders>
              <w:top w:val="nil"/>
              <w:left w:val="nil"/>
              <w:bottom w:val="single" w:sz="4" w:space="0" w:color="auto"/>
              <w:right w:val="single" w:sz="4" w:space="0" w:color="auto"/>
            </w:tcBorders>
            <w:shd w:val="clear" w:color="auto" w:fill="auto"/>
            <w:vAlign w:val="center"/>
            <w:hideMark/>
          </w:tcPr>
          <w:p w14:paraId="573BE211"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112,8</w:t>
            </w:r>
          </w:p>
        </w:tc>
      </w:tr>
      <w:tr w:rsidR="004B7622" w:rsidRPr="009F499E" w14:paraId="2C6D7CEB" w14:textId="77777777" w:rsidTr="00377989">
        <w:trPr>
          <w:trHeight w:val="271"/>
        </w:trPr>
        <w:tc>
          <w:tcPr>
            <w:tcW w:w="3052" w:type="dxa"/>
            <w:tcBorders>
              <w:top w:val="nil"/>
              <w:left w:val="single" w:sz="4" w:space="0" w:color="auto"/>
              <w:bottom w:val="single" w:sz="4" w:space="0" w:color="auto"/>
              <w:right w:val="single" w:sz="4" w:space="0" w:color="auto"/>
            </w:tcBorders>
            <w:shd w:val="clear" w:color="auto" w:fill="auto"/>
            <w:vAlign w:val="center"/>
            <w:hideMark/>
          </w:tcPr>
          <w:p w14:paraId="0DE3C5E2" w14:textId="77777777" w:rsidR="004B7622" w:rsidRPr="009F499E" w:rsidRDefault="004B7622" w:rsidP="00377989">
            <w:pPr>
              <w:spacing w:after="0" w:line="240" w:lineRule="auto"/>
              <w:rPr>
                <w:rFonts w:ascii="Arial" w:eastAsia="Times New Roman" w:hAnsi="Arial" w:cs="Arial"/>
                <w:sz w:val="16"/>
                <w:szCs w:val="16"/>
                <w:lang w:eastAsia="sl-SI"/>
              </w:rPr>
            </w:pPr>
            <w:r w:rsidRPr="009F499E">
              <w:rPr>
                <w:rFonts w:ascii="Arial" w:eastAsia="Times New Roman" w:hAnsi="Arial" w:cs="Arial"/>
                <w:sz w:val="16"/>
                <w:szCs w:val="16"/>
                <w:lang w:eastAsia="sl-SI"/>
              </w:rPr>
              <w:t>Drugi davki na uporabo blaga in storitev</w:t>
            </w:r>
          </w:p>
        </w:tc>
        <w:tc>
          <w:tcPr>
            <w:tcW w:w="1182" w:type="dxa"/>
            <w:tcBorders>
              <w:top w:val="nil"/>
              <w:left w:val="nil"/>
              <w:bottom w:val="single" w:sz="4" w:space="0" w:color="auto"/>
              <w:right w:val="single" w:sz="4" w:space="0" w:color="auto"/>
            </w:tcBorders>
            <w:shd w:val="clear" w:color="auto" w:fill="auto"/>
            <w:vAlign w:val="center"/>
            <w:hideMark/>
          </w:tcPr>
          <w:p w14:paraId="762B2486"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435.425</w:t>
            </w:r>
          </w:p>
        </w:tc>
        <w:tc>
          <w:tcPr>
            <w:tcW w:w="1195" w:type="dxa"/>
            <w:tcBorders>
              <w:top w:val="nil"/>
              <w:left w:val="nil"/>
              <w:bottom w:val="single" w:sz="4" w:space="0" w:color="auto"/>
              <w:right w:val="nil"/>
            </w:tcBorders>
            <w:shd w:val="clear" w:color="auto" w:fill="auto"/>
            <w:vAlign w:val="center"/>
            <w:hideMark/>
          </w:tcPr>
          <w:p w14:paraId="70251613"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450.746</w:t>
            </w:r>
          </w:p>
        </w:tc>
        <w:tc>
          <w:tcPr>
            <w:tcW w:w="1234" w:type="dxa"/>
            <w:tcBorders>
              <w:top w:val="nil"/>
              <w:left w:val="single" w:sz="8" w:space="0" w:color="auto"/>
              <w:bottom w:val="single" w:sz="4" w:space="0" w:color="auto"/>
              <w:right w:val="single" w:sz="8" w:space="0" w:color="auto"/>
            </w:tcBorders>
            <w:shd w:val="clear" w:color="auto" w:fill="auto"/>
            <w:vAlign w:val="center"/>
            <w:hideMark/>
          </w:tcPr>
          <w:p w14:paraId="59CCB83C"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331.708</w:t>
            </w:r>
          </w:p>
        </w:tc>
        <w:tc>
          <w:tcPr>
            <w:tcW w:w="1034" w:type="dxa"/>
            <w:tcBorders>
              <w:top w:val="nil"/>
              <w:left w:val="nil"/>
              <w:bottom w:val="single" w:sz="4" w:space="0" w:color="auto"/>
              <w:right w:val="single" w:sz="4" w:space="0" w:color="auto"/>
            </w:tcBorders>
            <w:shd w:val="clear" w:color="auto" w:fill="auto"/>
            <w:vAlign w:val="center"/>
            <w:hideMark/>
          </w:tcPr>
          <w:p w14:paraId="1DC4ADD7"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103,5</w:t>
            </w:r>
          </w:p>
        </w:tc>
        <w:tc>
          <w:tcPr>
            <w:tcW w:w="1115" w:type="dxa"/>
            <w:tcBorders>
              <w:top w:val="nil"/>
              <w:left w:val="nil"/>
              <w:bottom w:val="single" w:sz="4" w:space="0" w:color="auto"/>
              <w:right w:val="single" w:sz="4" w:space="0" w:color="auto"/>
            </w:tcBorders>
            <w:shd w:val="clear" w:color="auto" w:fill="auto"/>
            <w:vAlign w:val="center"/>
            <w:hideMark/>
          </w:tcPr>
          <w:p w14:paraId="1D4DD4FE"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76,2</w:t>
            </w:r>
          </w:p>
        </w:tc>
        <w:tc>
          <w:tcPr>
            <w:tcW w:w="1015" w:type="dxa"/>
            <w:tcBorders>
              <w:top w:val="nil"/>
              <w:left w:val="nil"/>
              <w:bottom w:val="single" w:sz="4" w:space="0" w:color="auto"/>
              <w:right w:val="single" w:sz="4" w:space="0" w:color="auto"/>
            </w:tcBorders>
            <w:shd w:val="clear" w:color="auto" w:fill="auto"/>
            <w:vAlign w:val="center"/>
            <w:hideMark/>
          </w:tcPr>
          <w:p w14:paraId="4DF0DD7A"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73,6</w:t>
            </w:r>
          </w:p>
        </w:tc>
      </w:tr>
      <w:tr w:rsidR="004B7622" w:rsidRPr="009F499E" w14:paraId="0EF26542" w14:textId="77777777" w:rsidTr="00377989">
        <w:trPr>
          <w:trHeight w:val="271"/>
        </w:trPr>
        <w:tc>
          <w:tcPr>
            <w:tcW w:w="3052" w:type="dxa"/>
            <w:tcBorders>
              <w:top w:val="nil"/>
              <w:left w:val="single" w:sz="4" w:space="0" w:color="auto"/>
              <w:bottom w:val="single" w:sz="4" w:space="0" w:color="auto"/>
              <w:right w:val="single" w:sz="4" w:space="0" w:color="auto"/>
            </w:tcBorders>
            <w:shd w:val="clear" w:color="auto" w:fill="auto"/>
            <w:vAlign w:val="center"/>
            <w:hideMark/>
          </w:tcPr>
          <w:p w14:paraId="7F5E16EA" w14:textId="77777777" w:rsidR="004B7622" w:rsidRPr="009F499E" w:rsidRDefault="004B7622" w:rsidP="00377989">
            <w:pPr>
              <w:spacing w:after="0" w:line="240" w:lineRule="auto"/>
              <w:rPr>
                <w:rFonts w:ascii="Arial" w:eastAsia="Times New Roman" w:hAnsi="Arial" w:cs="Arial"/>
                <w:sz w:val="16"/>
                <w:szCs w:val="16"/>
                <w:lang w:eastAsia="sl-SI"/>
              </w:rPr>
            </w:pPr>
            <w:r w:rsidRPr="009F499E">
              <w:rPr>
                <w:rFonts w:ascii="Arial" w:eastAsia="Times New Roman" w:hAnsi="Arial" w:cs="Arial"/>
                <w:sz w:val="16"/>
                <w:szCs w:val="16"/>
                <w:lang w:eastAsia="sl-SI"/>
              </w:rPr>
              <w:t>Davki na motorna vozila</w:t>
            </w:r>
          </w:p>
        </w:tc>
        <w:tc>
          <w:tcPr>
            <w:tcW w:w="1182" w:type="dxa"/>
            <w:tcBorders>
              <w:top w:val="nil"/>
              <w:left w:val="nil"/>
              <w:bottom w:val="single" w:sz="4" w:space="0" w:color="auto"/>
              <w:right w:val="single" w:sz="4" w:space="0" w:color="auto"/>
            </w:tcBorders>
            <w:shd w:val="clear" w:color="auto" w:fill="auto"/>
            <w:vAlign w:val="center"/>
            <w:hideMark/>
          </w:tcPr>
          <w:p w14:paraId="57A1FD27"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681.133</w:t>
            </w:r>
          </w:p>
        </w:tc>
        <w:tc>
          <w:tcPr>
            <w:tcW w:w="1195" w:type="dxa"/>
            <w:tcBorders>
              <w:top w:val="nil"/>
              <w:left w:val="nil"/>
              <w:bottom w:val="single" w:sz="4" w:space="0" w:color="auto"/>
              <w:right w:val="nil"/>
            </w:tcBorders>
            <w:shd w:val="clear" w:color="auto" w:fill="auto"/>
            <w:vAlign w:val="center"/>
            <w:hideMark/>
          </w:tcPr>
          <w:p w14:paraId="7C799B9A"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364.999</w:t>
            </w:r>
          </w:p>
        </w:tc>
        <w:tc>
          <w:tcPr>
            <w:tcW w:w="1234" w:type="dxa"/>
            <w:tcBorders>
              <w:top w:val="nil"/>
              <w:left w:val="single" w:sz="8" w:space="0" w:color="auto"/>
              <w:bottom w:val="single" w:sz="4" w:space="0" w:color="auto"/>
              <w:right w:val="single" w:sz="8" w:space="0" w:color="auto"/>
            </w:tcBorders>
            <w:shd w:val="clear" w:color="auto" w:fill="auto"/>
            <w:vAlign w:val="center"/>
            <w:hideMark/>
          </w:tcPr>
          <w:p w14:paraId="60536C5D"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550.184</w:t>
            </w:r>
          </w:p>
        </w:tc>
        <w:tc>
          <w:tcPr>
            <w:tcW w:w="1034" w:type="dxa"/>
            <w:tcBorders>
              <w:top w:val="nil"/>
              <w:left w:val="nil"/>
              <w:bottom w:val="single" w:sz="4" w:space="0" w:color="auto"/>
              <w:right w:val="single" w:sz="4" w:space="0" w:color="auto"/>
            </w:tcBorders>
            <w:shd w:val="clear" w:color="auto" w:fill="auto"/>
            <w:vAlign w:val="center"/>
            <w:hideMark/>
          </w:tcPr>
          <w:p w14:paraId="7B710AB7"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53,6</w:t>
            </w:r>
          </w:p>
        </w:tc>
        <w:tc>
          <w:tcPr>
            <w:tcW w:w="1115" w:type="dxa"/>
            <w:tcBorders>
              <w:top w:val="nil"/>
              <w:left w:val="nil"/>
              <w:bottom w:val="single" w:sz="4" w:space="0" w:color="auto"/>
              <w:right w:val="single" w:sz="4" w:space="0" w:color="auto"/>
            </w:tcBorders>
            <w:shd w:val="clear" w:color="auto" w:fill="auto"/>
            <w:vAlign w:val="center"/>
            <w:hideMark/>
          </w:tcPr>
          <w:p w14:paraId="3AB51401"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80,8</w:t>
            </w:r>
          </w:p>
        </w:tc>
        <w:tc>
          <w:tcPr>
            <w:tcW w:w="1015" w:type="dxa"/>
            <w:tcBorders>
              <w:top w:val="nil"/>
              <w:left w:val="nil"/>
              <w:bottom w:val="single" w:sz="4" w:space="0" w:color="auto"/>
              <w:right w:val="single" w:sz="4" w:space="0" w:color="auto"/>
            </w:tcBorders>
            <w:shd w:val="clear" w:color="auto" w:fill="auto"/>
            <w:vAlign w:val="center"/>
            <w:hideMark/>
          </w:tcPr>
          <w:p w14:paraId="4FCD3837"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150,7</w:t>
            </w:r>
          </w:p>
        </w:tc>
      </w:tr>
      <w:tr w:rsidR="004B7622" w:rsidRPr="009F499E" w14:paraId="45B3B600" w14:textId="77777777" w:rsidTr="00377989">
        <w:trPr>
          <w:trHeight w:val="447"/>
        </w:trPr>
        <w:tc>
          <w:tcPr>
            <w:tcW w:w="3052" w:type="dxa"/>
            <w:tcBorders>
              <w:top w:val="nil"/>
              <w:left w:val="single" w:sz="4" w:space="0" w:color="auto"/>
              <w:bottom w:val="single" w:sz="4" w:space="0" w:color="auto"/>
              <w:right w:val="single" w:sz="4" w:space="0" w:color="auto"/>
            </w:tcBorders>
            <w:shd w:val="clear" w:color="auto" w:fill="auto"/>
            <w:vAlign w:val="center"/>
            <w:hideMark/>
          </w:tcPr>
          <w:p w14:paraId="04234F33" w14:textId="77777777" w:rsidR="004B7622" w:rsidRPr="009F499E" w:rsidRDefault="004B7622" w:rsidP="00377989">
            <w:pPr>
              <w:spacing w:after="0" w:line="240" w:lineRule="auto"/>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DAVKI NA MEDNARODNO TRGOVINO IN TRANSAKCIJE</w:t>
            </w:r>
          </w:p>
        </w:tc>
        <w:tc>
          <w:tcPr>
            <w:tcW w:w="1182" w:type="dxa"/>
            <w:tcBorders>
              <w:top w:val="nil"/>
              <w:left w:val="nil"/>
              <w:bottom w:val="single" w:sz="4" w:space="0" w:color="auto"/>
              <w:right w:val="single" w:sz="4" w:space="0" w:color="auto"/>
            </w:tcBorders>
            <w:shd w:val="clear" w:color="auto" w:fill="auto"/>
            <w:vAlign w:val="center"/>
            <w:hideMark/>
          </w:tcPr>
          <w:p w14:paraId="59A2102C"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2.637.496</w:t>
            </w:r>
          </w:p>
        </w:tc>
        <w:tc>
          <w:tcPr>
            <w:tcW w:w="1195" w:type="dxa"/>
            <w:tcBorders>
              <w:top w:val="nil"/>
              <w:left w:val="nil"/>
              <w:bottom w:val="single" w:sz="4" w:space="0" w:color="auto"/>
              <w:right w:val="nil"/>
            </w:tcBorders>
            <w:shd w:val="clear" w:color="auto" w:fill="auto"/>
            <w:vAlign w:val="center"/>
            <w:hideMark/>
          </w:tcPr>
          <w:p w14:paraId="39534E1D"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3.006.341</w:t>
            </w:r>
          </w:p>
        </w:tc>
        <w:tc>
          <w:tcPr>
            <w:tcW w:w="1234" w:type="dxa"/>
            <w:tcBorders>
              <w:top w:val="nil"/>
              <w:left w:val="single" w:sz="8" w:space="0" w:color="auto"/>
              <w:bottom w:val="single" w:sz="4" w:space="0" w:color="auto"/>
              <w:right w:val="single" w:sz="8" w:space="0" w:color="auto"/>
            </w:tcBorders>
            <w:shd w:val="clear" w:color="auto" w:fill="auto"/>
            <w:vAlign w:val="center"/>
            <w:hideMark/>
          </w:tcPr>
          <w:p w14:paraId="4BE8781D"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4.039.664</w:t>
            </w:r>
          </w:p>
        </w:tc>
        <w:tc>
          <w:tcPr>
            <w:tcW w:w="1034" w:type="dxa"/>
            <w:tcBorders>
              <w:top w:val="nil"/>
              <w:left w:val="nil"/>
              <w:bottom w:val="single" w:sz="4" w:space="0" w:color="auto"/>
              <w:right w:val="single" w:sz="4" w:space="0" w:color="auto"/>
            </w:tcBorders>
            <w:shd w:val="clear" w:color="auto" w:fill="auto"/>
            <w:vAlign w:val="center"/>
            <w:hideMark/>
          </w:tcPr>
          <w:p w14:paraId="3054D89D"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114,0</w:t>
            </w:r>
          </w:p>
        </w:tc>
        <w:tc>
          <w:tcPr>
            <w:tcW w:w="1115" w:type="dxa"/>
            <w:tcBorders>
              <w:top w:val="nil"/>
              <w:left w:val="nil"/>
              <w:bottom w:val="single" w:sz="4" w:space="0" w:color="auto"/>
              <w:right w:val="single" w:sz="4" w:space="0" w:color="auto"/>
            </w:tcBorders>
            <w:shd w:val="clear" w:color="auto" w:fill="auto"/>
            <w:vAlign w:val="center"/>
            <w:hideMark/>
          </w:tcPr>
          <w:p w14:paraId="4206BDFA"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153,2</w:t>
            </w:r>
          </w:p>
        </w:tc>
        <w:tc>
          <w:tcPr>
            <w:tcW w:w="1015" w:type="dxa"/>
            <w:tcBorders>
              <w:top w:val="nil"/>
              <w:left w:val="nil"/>
              <w:bottom w:val="single" w:sz="4" w:space="0" w:color="auto"/>
              <w:right w:val="single" w:sz="4" w:space="0" w:color="auto"/>
            </w:tcBorders>
            <w:shd w:val="clear" w:color="auto" w:fill="auto"/>
            <w:vAlign w:val="center"/>
            <w:hideMark/>
          </w:tcPr>
          <w:p w14:paraId="17B2E97A"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134,4</w:t>
            </w:r>
          </w:p>
        </w:tc>
      </w:tr>
      <w:tr w:rsidR="004B7622" w:rsidRPr="009F499E" w14:paraId="5D4D0D81" w14:textId="77777777" w:rsidTr="00377989">
        <w:trPr>
          <w:trHeight w:val="271"/>
        </w:trPr>
        <w:tc>
          <w:tcPr>
            <w:tcW w:w="3052" w:type="dxa"/>
            <w:tcBorders>
              <w:top w:val="nil"/>
              <w:left w:val="single" w:sz="4" w:space="0" w:color="auto"/>
              <w:bottom w:val="single" w:sz="4" w:space="0" w:color="auto"/>
              <w:right w:val="single" w:sz="4" w:space="0" w:color="auto"/>
            </w:tcBorders>
            <w:shd w:val="clear" w:color="auto" w:fill="auto"/>
            <w:vAlign w:val="center"/>
            <w:hideMark/>
          </w:tcPr>
          <w:p w14:paraId="1A59FF2F" w14:textId="77777777" w:rsidR="004B7622" w:rsidRPr="009F499E" w:rsidRDefault="004B7622" w:rsidP="00377989">
            <w:pPr>
              <w:spacing w:after="0" w:line="240" w:lineRule="auto"/>
              <w:rPr>
                <w:rFonts w:ascii="Arial" w:eastAsia="Times New Roman" w:hAnsi="Arial" w:cs="Arial"/>
                <w:sz w:val="16"/>
                <w:szCs w:val="16"/>
                <w:lang w:eastAsia="sl-SI"/>
              </w:rPr>
            </w:pPr>
            <w:r w:rsidRPr="009F499E">
              <w:rPr>
                <w:rFonts w:ascii="Arial" w:eastAsia="Times New Roman" w:hAnsi="Arial" w:cs="Arial"/>
                <w:sz w:val="16"/>
                <w:szCs w:val="16"/>
                <w:lang w:eastAsia="sl-SI"/>
              </w:rPr>
              <w:t>Carine</w:t>
            </w:r>
          </w:p>
        </w:tc>
        <w:tc>
          <w:tcPr>
            <w:tcW w:w="1182" w:type="dxa"/>
            <w:tcBorders>
              <w:top w:val="nil"/>
              <w:left w:val="nil"/>
              <w:bottom w:val="single" w:sz="4" w:space="0" w:color="auto"/>
              <w:right w:val="single" w:sz="4" w:space="0" w:color="auto"/>
            </w:tcBorders>
            <w:shd w:val="clear" w:color="auto" w:fill="auto"/>
            <w:vAlign w:val="center"/>
            <w:hideMark/>
          </w:tcPr>
          <w:p w14:paraId="099F781B"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2.637.496</w:t>
            </w:r>
          </w:p>
        </w:tc>
        <w:tc>
          <w:tcPr>
            <w:tcW w:w="1195" w:type="dxa"/>
            <w:tcBorders>
              <w:top w:val="nil"/>
              <w:left w:val="nil"/>
              <w:bottom w:val="single" w:sz="4" w:space="0" w:color="auto"/>
              <w:right w:val="nil"/>
            </w:tcBorders>
            <w:shd w:val="clear" w:color="auto" w:fill="auto"/>
            <w:vAlign w:val="center"/>
            <w:hideMark/>
          </w:tcPr>
          <w:p w14:paraId="45CF68F8"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3.006.341</w:t>
            </w:r>
          </w:p>
        </w:tc>
        <w:tc>
          <w:tcPr>
            <w:tcW w:w="1234" w:type="dxa"/>
            <w:tcBorders>
              <w:top w:val="nil"/>
              <w:left w:val="single" w:sz="8" w:space="0" w:color="auto"/>
              <w:bottom w:val="single" w:sz="4" w:space="0" w:color="auto"/>
              <w:right w:val="single" w:sz="8" w:space="0" w:color="auto"/>
            </w:tcBorders>
            <w:shd w:val="clear" w:color="auto" w:fill="auto"/>
            <w:vAlign w:val="center"/>
            <w:hideMark/>
          </w:tcPr>
          <w:p w14:paraId="40FABEAC"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4.039.664</w:t>
            </w:r>
          </w:p>
        </w:tc>
        <w:tc>
          <w:tcPr>
            <w:tcW w:w="1034" w:type="dxa"/>
            <w:tcBorders>
              <w:top w:val="nil"/>
              <w:left w:val="nil"/>
              <w:bottom w:val="single" w:sz="4" w:space="0" w:color="auto"/>
              <w:right w:val="single" w:sz="4" w:space="0" w:color="auto"/>
            </w:tcBorders>
            <w:shd w:val="clear" w:color="auto" w:fill="auto"/>
            <w:vAlign w:val="center"/>
            <w:hideMark/>
          </w:tcPr>
          <w:p w14:paraId="6E719862"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114,0</w:t>
            </w:r>
          </w:p>
        </w:tc>
        <w:tc>
          <w:tcPr>
            <w:tcW w:w="1115" w:type="dxa"/>
            <w:tcBorders>
              <w:top w:val="nil"/>
              <w:left w:val="nil"/>
              <w:bottom w:val="single" w:sz="4" w:space="0" w:color="auto"/>
              <w:right w:val="single" w:sz="4" w:space="0" w:color="auto"/>
            </w:tcBorders>
            <w:shd w:val="clear" w:color="auto" w:fill="auto"/>
            <w:vAlign w:val="center"/>
            <w:hideMark/>
          </w:tcPr>
          <w:p w14:paraId="16EFE7E2"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153,2</w:t>
            </w:r>
          </w:p>
        </w:tc>
        <w:tc>
          <w:tcPr>
            <w:tcW w:w="1015" w:type="dxa"/>
            <w:tcBorders>
              <w:top w:val="nil"/>
              <w:left w:val="nil"/>
              <w:bottom w:val="single" w:sz="4" w:space="0" w:color="auto"/>
              <w:right w:val="single" w:sz="4" w:space="0" w:color="auto"/>
            </w:tcBorders>
            <w:shd w:val="clear" w:color="auto" w:fill="auto"/>
            <w:vAlign w:val="center"/>
            <w:hideMark/>
          </w:tcPr>
          <w:p w14:paraId="0C9F7B62" w14:textId="77777777" w:rsidR="004B7622" w:rsidRPr="009F499E" w:rsidRDefault="004B7622" w:rsidP="00377989">
            <w:pPr>
              <w:spacing w:after="0" w:line="240" w:lineRule="auto"/>
              <w:jc w:val="right"/>
              <w:rPr>
                <w:rFonts w:ascii="Arial" w:eastAsia="Times New Roman" w:hAnsi="Arial" w:cs="Arial"/>
                <w:sz w:val="16"/>
                <w:szCs w:val="16"/>
                <w:lang w:eastAsia="sl-SI"/>
              </w:rPr>
            </w:pPr>
            <w:r w:rsidRPr="009F499E">
              <w:rPr>
                <w:rFonts w:ascii="Arial" w:eastAsia="Times New Roman" w:hAnsi="Arial" w:cs="Arial"/>
                <w:sz w:val="16"/>
                <w:szCs w:val="16"/>
                <w:lang w:eastAsia="sl-SI"/>
              </w:rPr>
              <w:t>134,4</w:t>
            </w:r>
          </w:p>
        </w:tc>
      </w:tr>
      <w:tr w:rsidR="004B7622" w:rsidRPr="009F499E" w14:paraId="1033A17C" w14:textId="77777777" w:rsidTr="00377989">
        <w:trPr>
          <w:trHeight w:val="271"/>
        </w:trPr>
        <w:tc>
          <w:tcPr>
            <w:tcW w:w="3052" w:type="dxa"/>
            <w:tcBorders>
              <w:top w:val="nil"/>
              <w:left w:val="single" w:sz="4" w:space="0" w:color="auto"/>
              <w:bottom w:val="single" w:sz="4" w:space="0" w:color="auto"/>
              <w:right w:val="single" w:sz="4" w:space="0" w:color="auto"/>
            </w:tcBorders>
            <w:shd w:val="clear" w:color="auto" w:fill="auto"/>
            <w:vAlign w:val="center"/>
            <w:hideMark/>
          </w:tcPr>
          <w:p w14:paraId="700C02D3" w14:textId="77777777" w:rsidR="004B7622" w:rsidRPr="009F499E" w:rsidRDefault="004B7622" w:rsidP="00377989">
            <w:pPr>
              <w:spacing w:after="0" w:line="240" w:lineRule="auto"/>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DRUGI DAVKI</w:t>
            </w:r>
          </w:p>
        </w:tc>
        <w:tc>
          <w:tcPr>
            <w:tcW w:w="1182" w:type="dxa"/>
            <w:tcBorders>
              <w:top w:val="nil"/>
              <w:left w:val="nil"/>
              <w:bottom w:val="single" w:sz="4" w:space="0" w:color="auto"/>
              <w:right w:val="single" w:sz="4" w:space="0" w:color="auto"/>
            </w:tcBorders>
            <w:shd w:val="clear" w:color="auto" w:fill="auto"/>
            <w:vAlign w:val="center"/>
            <w:hideMark/>
          </w:tcPr>
          <w:p w14:paraId="17D54740"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473.918</w:t>
            </w:r>
          </w:p>
        </w:tc>
        <w:tc>
          <w:tcPr>
            <w:tcW w:w="1195" w:type="dxa"/>
            <w:tcBorders>
              <w:top w:val="nil"/>
              <w:left w:val="nil"/>
              <w:bottom w:val="single" w:sz="4" w:space="0" w:color="auto"/>
              <w:right w:val="nil"/>
            </w:tcBorders>
            <w:shd w:val="clear" w:color="auto" w:fill="auto"/>
            <w:vAlign w:val="center"/>
            <w:hideMark/>
          </w:tcPr>
          <w:p w14:paraId="6C1B199F"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320.439</w:t>
            </w:r>
          </w:p>
        </w:tc>
        <w:tc>
          <w:tcPr>
            <w:tcW w:w="1234" w:type="dxa"/>
            <w:tcBorders>
              <w:top w:val="nil"/>
              <w:left w:val="single" w:sz="8" w:space="0" w:color="auto"/>
              <w:bottom w:val="single" w:sz="4" w:space="0" w:color="auto"/>
              <w:right w:val="single" w:sz="8" w:space="0" w:color="auto"/>
            </w:tcBorders>
            <w:shd w:val="clear" w:color="auto" w:fill="auto"/>
            <w:vAlign w:val="center"/>
            <w:hideMark/>
          </w:tcPr>
          <w:p w14:paraId="66B2CB84"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257.414</w:t>
            </w:r>
          </w:p>
        </w:tc>
        <w:tc>
          <w:tcPr>
            <w:tcW w:w="1034" w:type="dxa"/>
            <w:tcBorders>
              <w:top w:val="nil"/>
              <w:left w:val="nil"/>
              <w:bottom w:val="single" w:sz="4" w:space="0" w:color="auto"/>
              <w:right w:val="single" w:sz="4" w:space="0" w:color="auto"/>
            </w:tcBorders>
            <w:shd w:val="clear" w:color="auto" w:fill="auto"/>
            <w:vAlign w:val="center"/>
            <w:hideMark/>
          </w:tcPr>
          <w:p w14:paraId="74367060"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67,6</w:t>
            </w:r>
          </w:p>
        </w:tc>
        <w:tc>
          <w:tcPr>
            <w:tcW w:w="1115" w:type="dxa"/>
            <w:tcBorders>
              <w:top w:val="nil"/>
              <w:left w:val="nil"/>
              <w:bottom w:val="single" w:sz="4" w:space="0" w:color="auto"/>
              <w:right w:val="single" w:sz="4" w:space="0" w:color="auto"/>
            </w:tcBorders>
            <w:shd w:val="clear" w:color="auto" w:fill="auto"/>
            <w:vAlign w:val="center"/>
            <w:hideMark/>
          </w:tcPr>
          <w:p w14:paraId="67820284"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54,3</w:t>
            </w:r>
          </w:p>
        </w:tc>
        <w:tc>
          <w:tcPr>
            <w:tcW w:w="1015" w:type="dxa"/>
            <w:tcBorders>
              <w:top w:val="nil"/>
              <w:left w:val="nil"/>
              <w:bottom w:val="single" w:sz="4" w:space="0" w:color="auto"/>
              <w:right w:val="single" w:sz="4" w:space="0" w:color="auto"/>
            </w:tcBorders>
            <w:shd w:val="clear" w:color="auto" w:fill="auto"/>
            <w:vAlign w:val="center"/>
            <w:hideMark/>
          </w:tcPr>
          <w:p w14:paraId="01A774AC"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80,3</w:t>
            </w:r>
          </w:p>
        </w:tc>
      </w:tr>
      <w:tr w:rsidR="004B7622" w:rsidRPr="009F499E" w14:paraId="64A7EC3D" w14:textId="77777777" w:rsidTr="00377989">
        <w:trPr>
          <w:trHeight w:val="271"/>
        </w:trPr>
        <w:tc>
          <w:tcPr>
            <w:tcW w:w="3052" w:type="dxa"/>
            <w:tcBorders>
              <w:top w:val="nil"/>
              <w:left w:val="single" w:sz="4" w:space="0" w:color="auto"/>
              <w:bottom w:val="single" w:sz="4" w:space="0" w:color="auto"/>
              <w:right w:val="single" w:sz="4" w:space="0" w:color="auto"/>
            </w:tcBorders>
            <w:shd w:val="clear" w:color="000000" w:fill="DCE6F1"/>
            <w:vAlign w:val="center"/>
            <w:hideMark/>
          </w:tcPr>
          <w:p w14:paraId="27C6D1F7" w14:textId="77777777" w:rsidR="004B7622" w:rsidRPr="009F499E" w:rsidRDefault="004B7622" w:rsidP="00377989">
            <w:pPr>
              <w:spacing w:after="0" w:line="240" w:lineRule="auto"/>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B. Nedavčni prihodki</w:t>
            </w:r>
          </w:p>
        </w:tc>
        <w:tc>
          <w:tcPr>
            <w:tcW w:w="1182" w:type="dxa"/>
            <w:tcBorders>
              <w:top w:val="nil"/>
              <w:left w:val="nil"/>
              <w:bottom w:val="single" w:sz="4" w:space="0" w:color="auto"/>
              <w:right w:val="single" w:sz="4" w:space="0" w:color="auto"/>
            </w:tcBorders>
            <w:shd w:val="clear" w:color="000000" w:fill="DCE6F1"/>
            <w:vAlign w:val="center"/>
            <w:hideMark/>
          </w:tcPr>
          <w:p w14:paraId="1171AD63"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55.939.548</w:t>
            </w:r>
          </w:p>
        </w:tc>
        <w:tc>
          <w:tcPr>
            <w:tcW w:w="1195" w:type="dxa"/>
            <w:tcBorders>
              <w:top w:val="nil"/>
              <w:left w:val="nil"/>
              <w:bottom w:val="single" w:sz="4" w:space="0" w:color="auto"/>
              <w:right w:val="nil"/>
            </w:tcBorders>
            <w:shd w:val="clear" w:color="000000" w:fill="DCE6F1"/>
            <w:vAlign w:val="center"/>
            <w:hideMark/>
          </w:tcPr>
          <w:p w14:paraId="51157715"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50.685.857</w:t>
            </w:r>
          </w:p>
        </w:tc>
        <w:tc>
          <w:tcPr>
            <w:tcW w:w="1234" w:type="dxa"/>
            <w:tcBorders>
              <w:top w:val="nil"/>
              <w:left w:val="single" w:sz="8" w:space="0" w:color="auto"/>
              <w:bottom w:val="single" w:sz="4" w:space="0" w:color="auto"/>
              <w:right w:val="single" w:sz="8" w:space="0" w:color="auto"/>
            </w:tcBorders>
            <w:shd w:val="clear" w:color="000000" w:fill="DCE6F1"/>
            <w:vAlign w:val="center"/>
            <w:hideMark/>
          </w:tcPr>
          <w:p w14:paraId="3F864718"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54.793.668</w:t>
            </w:r>
          </w:p>
        </w:tc>
        <w:tc>
          <w:tcPr>
            <w:tcW w:w="1034" w:type="dxa"/>
            <w:tcBorders>
              <w:top w:val="nil"/>
              <w:left w:val="nil"/>
              <w:bottom w:val="single" w:sz="4" w:space="0" w:color="auto"/>
              <w:right w:val="single" w:sz="4" w:space="0" w:color="auto"/>
            </w:tcBorders>
            <w:shd w:val="clear" w:color="000000" w:fill="DCE6F1"/>
            <w:vAlign w:val="center"/>
            <w:hideMark/>
          </w:tcPr>
          <w:p w14:paraId="1D623970"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90,6</w:t>
            </w:r>
          </w:p>
        </w:tc>
        <w:tc>
          <w:tcPr>
            <w:tcW w:w="1115" w:type="dxa"/>
            <w:tcBorders>
              <w:top w:val="nil"/>
              <w:left w:val="nil"/>
              <w:bottom w:val="single" w:sz="4" w:space="0" w:color="auto"/>
              <w:right w:val="single" w:sz="4" w:space="0" w:color="auto"/>
            </w:tcBorders>
            <w:shd w:val="clear" w:color="000000" w:fill="DCE6F1"/>
            <w:vAlign w:val="center"/>
            <w:hideMark/>
          </w:tcPr>
          <w:p w14:paraId="5C424FBC"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98,0</w:t>
            </w:r>
          </w:p>
        </w:tc>
        <w:tc>
          <w:tcPr>
            <w:tcW w:w="1015" w:type="dxa"/>
            <w:tcBorders>
              <w:top w:val="nil"/>
              <w:left w:val="nil"/>
              <w:bottom w:val="single" w:sz="4" w:space="0" w:color="auto"/>
              <w:right w:val="single" w:sz="4" w:space="0" w:color="auto"/>
            </w:tcBorders>
            <w:shd w:val="clear" w:color="000000" w:fill="DCE6F1"/>
            <w:vAlign w:val="center"/>
            <w:hideMark/>
          </w:tcPr>
          <w:p w14:paraId="76F9B529"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108,1</w:t>
            </w:r>
          </w:p>
        </w:tc>
      </w:tr>
      <w:tr w:rsidR="004B7622" w:rsidRPr="009F499E" w14:paraId="0449DA7F" w14:textId="77777777" w:rsidTr="00377989">
        <w:trPr>
          <w:trHeight w:val="271"/>
        </w:trPr>
        <w:tc>
          <w:tcPr>
            <w:tcW w:w="3052" w:type="dxa"/>
            <w:tcBorders>
              <w:top w:val="nil"/>
              <w:left w:val="single" w:sz="4" w:space="0" w:color="auto"/>
              <w:bottom w:val="single" w:sz="4" w:space="0" w:color="auto"/>
              <w:right w:val="single" w:sz="4" w:space="0" w:color="auto"/>
            </w:tcBorders>
            <w:shd w:val="clear" w:color="000000" w:fill="DCE6F1"/>
            <w:vAlign w:val="center"/>
            <w:hideMark/>
          </w:tcPr>
          <w:p w14:paraId="191ED43A" w14:textId="77777777" w:rsidR="004B7622" w:rsidRPr="009F499E" w:rsidRDefault="004B7622" w:rsidP="00377989">
            <w:pPr>
              <w:spacing w:after="0" w:line="240" w:lineRule="auto"/>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C. Transferni prihodki</w:t>
            </w:r>
          </w:p>
        </w:tc>
        <w:tc>
          <w:tcPr>
            <w:tcW w:w="1182" w:type="dxa"/>
            <w:tcBorders>
              <w:top w:val="nil"/>
              <w:left w:val="nil"/>
              <w:bottom w:val="single" w:sz="4" w:space="0" w:color="auto"/>
              <w:right w:val="single" w:sz="4" w:space="0" w:color="auto"/>
            </w:tcBorders>
            <w:shd w:val="clear" w:color="000000" w:fill="DCE6F1"/>
            <w:vAlign w:val="center"/>
            <w:hideMark/>
          </w:tcPr>
          <w:p w14:paraId="4EC07668"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30.673</w:t>
            </w:r>
          </w:p>
        </w:tc>
        <w:tc>
          <w:tcPr>
            <w:tcW w:w="1195" w:type="dxa"/>
            <w:tcBorders>
              <w:top w:val="nil"/>
              <w:left w:val="nil"/>
              <w:bottom w:val="single" w:sz="4" w:space="0" w:color="auto"/>
              <w:right w:val="nil"/>
            </w:tcBorders>
            <w:shd w:val="clear" w:color="000000" w:fill="DCE6F1"/>
            <w:vAlign w:val="center"/>
            <w:hideMark/>
          </w:tcPr>
          <w:p w14:paraId="488B5C9B"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135.169</w:t>
            </w:r>
          </w:p>
        </w:tc>
        <w:tc>
          <w:tcPr>
            <w:tcW w:w="1234" w:type="dxa"/>
            <w:tcBorders>
              <w:top w:val="nil"/>
              <w:left w:val="single" w:sz="8" w:space="0" w:color="auto"/>
              <w:bottom w:val="single" w:sz="4" w:space="0" w:color="auto"/>
              <w:right w:val="single" w:sz="8" w:space="0" w:color="auto"/>
            </w:tcBorders>
            <w:shd w:val="clear" w:color="000000" w:fill="DCE6F1"/>
            <w:vAlign w:val="center"/>
            <w:hideMark/>
          </w:tcPr>
          <w:p w14:paraId="256C8492"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19.820</w:t>
            </w:r>
          </w:p>
        </w:tc>
        <w:tc>
          <w:tcPr>
            <w:tcW w:w="1034" w:type="dxa"/>
            <w:tcBorders>
              <w:top w:val="nil"/>
              <w:left w:val="nil"/>
              <w:bottom w:val="single" w:sz="4" w:space="0" w:color="auto"/>
              <w:right w:val="single" w:sz="4" w:space="0" w:color="auto"/>
            </w:tcBorders>
            <w:shd w:val="clear" w:color="000000" w:fill="DCE6F1"/>
            <w:vAlign w:val="center"/>
            <w:hideMark/>
          </w:tcPr>
          <w:p w14:paraId="4F269BD8"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440,7</w:t>
            </w:r>
          </w:p>
        </w:tc>
        <w:tc>
          <w:tcPr>
            <w:tcW w:w="1115" w:type="dxa"/>
            <w:tcBorders>
              <w:top w:val="nil"/>
              <w:left w:val="nil"/>
              <w:bottom w:val="single" w:sz="4" w:space="0" w:color="auto"/>
              <w:right w:val="single" w:sz="4" w:space="0" w:color="auto"/>
            </w:tcBorders>
            <w:shd w:val="clear" w:color="000000" w:fill="DCE6F1"/>
            <w:vAlign w:val="center"/>
            <w:hideMark/>
          </w:tcPr>
          <w:p w14:paraId="1735A043"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64,6</w:t>
            </w:r>
          </w:p>
        </w:tc>
        <w:tc>
          <w:tcPr>
            <w:tcW w:w="1015" w:type="dxa"/>
            <w:tcBorders>
              <w:top w:val="nil"/>
              <w:left w:val="nil"/>
              <w:bottom w:val="single" w:sz="4" w:space="0" w:color="auto"/>
              <w:right w:val="single" w:sz="4" w:space="0" w:color="auto"/>
            </w:tcBorders>
            <w:shd w:val="clear" w:color="000000" w:fill="DCE6F1"/>
            <w:vAlign w:val="center"/>
            <w:hideMark/>
          </w:tcPr>
          <w:p w14:paraId="7F51E84D"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14,7</w:t>
            </w:r>
          </w:p>
        </w:tc>
      </w:tr>
      <w:tr w:rsidR="004B7622" w:rsidRPr="009F499E" w14:paraId="14D9E822" w14:textId="77777777" w:rsidTr="00377989">
        <w:trPr>
          <w:trHeight w:val="271"/>
        </w:trPr>
        <w:tc>
          <w:tcPr>
            <w:tcW w:w="3052" w:type="dxa"/>
            <w:tcBorders>
              <w:top w:val="nil"/>
              <w:left w:val="single" w:sz="4" w:space="0" w:color="auto"/>
              <w:bottom w:val="single" w:sz="4" w:space="0" w:color="auto"/>
              <w:right w:val="single" w:sz="4" w:space="0" w:color="auto"/>
            </w:tcBorders>
            <w:shd w:val="clear" w:color="000000" w:fill="DCE6F1"/>
            <w:vAlign w:val="center"/>
            <w:hideMark/>
          </w:tcPr>
          <w:p w14:paraId="204FEBD1" w14:textId="77777777" w:rsidR="004B7622" w:rsidRPr="009F499E" w:rsidRDefault="004B7622" w:rsidP="00377989">
            <w:pPr>
              <w:spacing w:after="0" w:line="240" w:lineRule="auto"/>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D. Ostalo (nerazporejeno)</w:t>
            </w:r>
          </w:p>
        </w:tc>
        <w:tc>
          <w:tcPr>
            <w:tcW w:w="1182" w:type="dxa"/>
            <w:tcBorders>
              <w:top w:val="nil"/>
              <w:left w:val="nil"/>
              <w:bottom w:val="single" w:sz="4" w:space="0" w:color="auto"/>
              <w:right w:val="single" w:sz="4" w:space="0" w:color="auto"/>
            </w:tcBorders>
            <w:shd w:val="clear" w:color="000000" w:fill="DCE6F1"/>
            <w:vAlign w:val="center"/>
            <w:hideMark/>
          </w:tcPr>
          <w:p w14:paraId="351674D0"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474.716</w:t>
            </w:r>
          </w:p>
        </w:tc>
        <w:tc>
          <w:tcPr>
            <w:tcW w:w="1195" w:type="dxa"/>
            <w:tcBorders>
              <w:top w:val="nil"/>
              <w:left w:val="nil"/>
              <w:bottom w:val="single" w:sz="4" w:space="0" w:color="auto"/>
              <w:right w:val="nil"/>
            </w:tcBorders>
            <w:shd w:val="clear" w:color="000000" w:fill="DCE6F1"/>
            <w:vAlign w:val="center"/>
            <w:hideMark/>
          </w:tcPr>
          <w:p w14:paraId="398C18C5"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9.733</w:t>
            </w:r>
          </w:p>
        </w:tc>
        <w:tc>
          <w:tcPr>
            <w:tcW w:w="1234" w:type="dxa"/>
            <w:tcBorders>
              <w:top w:val="nil"/>
              <w:left w:val="single" w:sz="8" w:space="0" w:color="auto"/>
              <w:bottom w:val="single" w:sz="4" w:space="0" w:color="auto"/>
              <w:right w:val="single" w:sz="8" w:space="0" w:color="auto"/>
            </w:tcBorders>
            <w:shd w:val="clear" w:color="000000" w:fill="DCE6F1"/>
            <w:vAlign w:val="center"/>
            <w:hideMark/>
          </w:tcPr>
          <w:p w14:paraId="4E9F02CD"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51.559</w:t>
            </w:r>
          </w:p>
        </w:tc>
        <w:tc>
          <w:tcPr>
            <w:tcW w:w="1034" w:type="dxa"/>
            <w:tcBorders>
              <w:top w:val="nil"/>
              <w:left w:val="nil"/>
              <w:bottom w:val="single" w:sz="4" w:space="0" w:color="auto"/>
              <w:right w:val="single" w:sz="4" w:space="0" w:color="auto"/>
            </w:tcBorders>
            <w:shd w:val="clear" w:color="000000" w:fill="DCE6F1"/>
            <w:vAlign w:val="center"/>
            <w:hideMark/>
          </w:tcPr>
          <w:p w14:paraId="453B4605"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2,1</w:t>
            </w:r>
          </w:p>
        </w:tc>
        <w:tc>
          <w:tcPr>
            <w:tcW w:w="1115" w:type="dxa"/>
            <w:tcBorders>
              <w:top w:val="nil"/>
              <w:left w:val="nil"/>
              <w:bottom w:val="single" w:sz="4" w:space="0" w:color="auto"/>
              <w:right w:val="single" w:sz="4" w:space="0" w:color="auto"/>
            </w:tcBorders>
            <w:shd w:val="clear" w:color="000000" w:fill="DCE6F1"/>
            <w:vAlign w:val="center"/>
            <w:hideMark/>
          </w:tcPr>
          <w:p w14:paraId="0DF9F59A"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10,9</w:t>
            </w:r>
          </w:p>
        </w:tc>
        <w:tc>
          <w:tcPr>
            <w:tcW w:w="1015" w:type="dxa"/>
            <w:tcBorders>
              <w:top w:val="nil"/>
              <w:left w:val="nil"/>
              <w:bottom w:val="single" w:sz="4" w:space="0" w:color="auto"/>
              <w:right w:val="single" w:sz="4" w:space="0" w:color="auto"/>
            </w:tcBorders>
            <w:shd w:val="clear" w:color="000000" w:fill="DCE6F1"/>
            <w:vAlign w:val="center"/>
            <w:hideMark/>
          </w:tcPr>
          <w:p w14:paraId="494FC8DF"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529,7</w:t>
            </w:r>
          </w:p>
        </w:tc>
      </w:tr>
      <w:tr w:rsidR="004B7622" w:rsidRPr="009F499E" w14:paraId="307EF3A2" w14:textId="77777777" w:rsidTr="00377989">
        <w:trPr>
          <w:trHeight w:val="271"/>
        </w:trPr>
        <w:tc>
          <w:tcPr>
            <w:tcW w:w="3052" w:type="dxa"/>
            <w:tcBorders>
              <w:top w:val="nil"/>
              <w:left w:val="single" w:sz="4" w:space="0" w:color="auto"/>
              <w:bottom w:val="single" w:sz="4" w:space="0" w:color="auto"/>
              <w:right w:val="single" w:sz="4" w:space="0" w:color="auto"/>
            </w:tcBorders>
            <w:shd w:val="clear" w:color="000000" w:fill="B8CCE4"/>
            <w:vAlign w:val="center"/>
            <w:hideMark/>
          </w:tcPr>
          <w:p w14:paraId="06AB2105" w14:textId="77777777" w:rsidR="004B7622" w:rsidRPr="009F499E" w:rsidRDefault="004B7622" w:rsidP="00377989">
            <w:pPr>
              <w:spacing w:after="0" w:line="240" w:lineRule="auto"/>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E. Skupaj davčni dolg (A+B+C+D)</w:t>
            </w:r>
          </w:p>
        </w:tc>
        <w:tc>
          <w:tcPr>
            <w:tcW w:w="1182" w:type="dxa"/>
            <w:tcBorders>
              <w:top w:val="nil"/>
              <w:left w:val="nil"/>
              <w:bottom w:val="single" w:sz="4" w:space="0" w:color="auto"/>
              <w:right w:val="single" w:sz="4" w:space="0" w:color="auto"/>
            </w:tcBorders>
            <w:shd w:val="clear" w:color="000000" w:fill="B8CCE4"/>
            <w:vAlign w:val="center"/>
            <w:hideMark/>
          </w:tcPr>
          <w:p w14:paraId="6E1E66EC"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1.180.360.509</w:t>
            </w:r>
          </w:p>
        </w:tc>
        <w:tc>
          <w:tcPr>
            <w:tcW w:w="1195" w:type="dxa"/>
            <w:tcBorders>
              <w:top w:val="nil"/>
              <w:left w:val="nil"/>
              <w:bottom w:val="single" w:sz="4" w:space="0" w:color="auto"/>
              <w:right w:val="nil"/>
            </w:tcBorders>
            <w:shd w:val="clear" w:color="000000" w:fill="B8CCE4"/>
            <w:vAlign w:val="center"/>
            <w:hideMark/>
          </w:tcPr>
          <w:p w14:paraId="1F5F6F16"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998.089.189</w:t>
            </w:r>
          </w:p>
        </w:tc>
        <w:tc>
          <w:tcPr>
            <w:tcW w:w="1234" w:type="dxa"/>
            <w:tcBorders>
              <w:top w:val="nil"/>
              <w:left w:val="single" w:sz="8" w:space="0" w:color="auto"/>
              <w:bottom w:val="single" w:sz="4" w:space="0" w:color="auto"/>
              <w:right w:val="single" w:sz="8" w:space="0" w:color="auto"/>
            </w:tcBorders>
            <w:shd w:val="clear" w:color="000000" w:fill="B8CCE4"/>
            <w:vAlign w:val="center"/>
            <w:hideMark/>
          </w:tcPr>
          <w:p w14:paraId="2B356281"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918.181.894</w:t>
            </w:r>
          </w:p>
        </w:tc>
        <w:tc>
          <w:tcPr>
            <w:tcW w:w="1034" w:type="dxa"/>
            <w:tcBorders>
              <w:top w:val="nil"/>
              <w:left w:val="nil"/>
              <w:bottom w:val="single" w:sz="4" w:space="0" w:color="auto"/>
              <w:right w:val="single" w:sz="4" w:space="0" w:color="auto"/>
            </w:tcBorders>
            <w:shd w:val="clear" w:color="000000" w:fill="B8CCE4"/>
            <w:vAlign w:val="center"/>
            <w:hideMark/>
          </w:tcPr>
          <w:p w14:paraId="3A10BB97"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84,6</w:t>
            </w:r>
          </w:p>
        </w:tc>
        <w:tc>
          <w:tcPr>
            <w:tcW w:w="1115" w:type="dxa"/>
            <w:tcBorders>
              <w:top w:val="nil"/>
              <w:left w:val="nil"/>
              <w:bottom w:val="single" w:sz="4" w:space="0" w:color="auto"/>
              <w:right w:val="single" w:sz="4" w:space="0" w:color="auto"/>
            </w:tcBorders>
            <w:shd w:val="clear" w:color="000000" w:fill="B8CCE4"/>
            <w:vAlign w:val="center"/>
            <w:hideMark/>
          </w:tcPr>
          <w:p w14:paraId="2EF969B2"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77,8</w:t>
            </w:r>
          </w:p>
        </w:tc>
        <w:tc>
          <w:tcPr>
            <w:tcW w:w="1015" w:type="dxa"/>
            <w:tcBorders>
              <w:top w:val="nil"/>
              <w:left w:val="nil"/>
              <w:bottom w:val="single" w:sz="4" w:space="0" w:color="auto"/>
              <w:right w:val="single" w:sz="4" w:space="0" w:color="auto"/>
            </w:tcBorders>
            <w:shd w:val="clear" w:color="000000" w:fill="B8CCE4"/>
            <w:vAlign w:val="center"/>
            <w:hideMark/>
          </w:tcPr>
          <w:p w14:paraId="3158A356"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92,0</w:t>
            </w:r>
          </w:p>
        </w:tc>
      </w:tr>
      <w:tr w:rsidR="004B7622" w:rsidRPr="009F499E" w14:paraId="5FF39AD8" w14:textId="77777777" w:rsidTr="00377989">
        <w:trPr>
          <w:trHeight w:val="271"/>
        </w:trPr>
        <w:tc>
          <w:tcPr>
            <w:tcW w:w="3052" w:type="dxa"/>
            <w:tcBorders>
              <w:top w:val="nil"/>
              <w:left w:val="single" w:sz="4" w:space="0" w:color="auto"/>
              <w:bottom w:val="single" w:sz="4" w:space="0" w:color="auto"/>
              <w:right w:val="single" w:sz="4" w:space="0" w:color="auto"/>
            </w:tcBorders>
            <w:shd w:val="clear" w:color="000000" w:fill="DCE6F1"/>
            <w:vAlign w:val="center"/>
            <w:hideMark/>
          </w:tcPr>
          <w:p w14:paraId="11555C14" w14:textId="77777777" w:rsidR="004B7622" w:rsidRPr="009F499E" w:rsidRDefault="004B7622" w:rsidP="00377989">
            <w:pPr>
              <w:spacing w:after="0" w:line="240" w:lineRule="auto"/>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F. Druge terjatve</w:t>
            </w:r>
          </w:p>
        </w:tc>
        <w:tc>
          <w:tcPr>
            <w:tcW w:w="1182" w:type="dxa"/>
            <w:tcBorders>
              <w:top w:val="nil"/>
              <w:left w:val="nil"/>
              <w:bottom w:val="single" w:sz="4" w:space="0" w:color="auto"/>
              <w:right w:val="single" w:sz="4" w:space="0" w:color="auto"/>
            </w:tcBorders>
            <w:shd w:val="clear" w:color="000000" w:fill="DCE6F1"/>
            <w:vAlign w:val="center"/>
            <w:hideMark/>
          </w:tcPr>
          <w:p w14:paraId="12BA3705"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224</w:t>
            </w:r>
          </w:p>
        </w:tc>
        <w:tc>
          <w:tcPr>
            <w:tcW w:w="1195" w:type="dxa"/>
            <w:tcBorders>
              <w:top w:val="nil"/>
              <w:left w:val="nil"/>
              <w:bottom w:val="single" w:sz="4" w:space="0" w:color="auto"/>
              <w:right w:val="nil"/>
            </w:tcBorders>
            <w:shd w:val="clear" w:color="000000" w:fill="DCE6F1"/>
            <w:vAlign w:val="center"/>
            <w:hideMark/>
          </w:tcPr>
          <w:p w14:paraId="0CDD86CC"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204</w:t>
            </w:r>
          </w:p>
        </w:tc>
        <w:tc>
          <w:tcPr>
            <w:tcW w:w="1234" w:type="dxa"/>
            <w:tcBorders>
              <w:top w:val="nil"/>
              <w:left w:val="single" w:sz="8" w:space="0" w:color="auto"/>
              <w:bottom w:val="single" w:sz="4" w:space="0" w:color="auto"/>
              <w:right w:val="single" w:sz="8" w:space="0" w:color="auto"/>
            </w:tcBorders>
            <w:shd w:val="clear" w:color="000000" w:fill="DCE6F1"/>
            <w:vAlign w:val="center"/>
            <w:hideMark/>
          </w:tcPr>
          <w:p w14:paraId="2988FAA1"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326.080</w:t>
            </w:r>
          </w:p>
        </w:tc>
        <w:tc>
          <w:tcPr>
            <w:tcW w:w="1034" w:type="dxa"/>
            <w:tcBorders>
              <w:top w:val="nil"/>
              <w:left w:val="nil"/>
              <w:bottom w:val="single" w:sz="4" w:space="0" w:color="auto"/>
              <w:right w:val="single" w:sz="4" w:space="0" w:color="auto"/>
            </w:tcBorders>
            <w:shd w:val="clear" w:color="000000" w:fill="DCE6F1"/>
            <w:vAlign w:val="center"/>
            <w:hideMark/>
          </w:tcPr>
          <w:p w14:paraId="0703C703"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91,1</w:t>
            </w:r>
          </w:p>
        </w:tc>
        <w:tc>
          <w:tcPr>
            <w:tcW w:w="1115" w:type="dxa"/>
            <w:tcBorders>
              <w:top w:val="nil"/>
              <w:left w:val="nil"/>
              <w:bottom w:val="single" w:sz="4" w:space="0" w:color="auto"/>
              <w:right w:val="single" w:sz="4" w:space="0" w:color="auto"/>
            </w:tcBorders>
            <w:shd w:val="clear" w:color="000000" w:fill="DCE6F1"/>
            <w:vAlign w:val="center"/>
            <w:hideMark/>
          </w:tcPr>
          <w:p w14:paraId="36F66D5F"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145.571,4</w:t>
            </w:r>
          </w:p>
        </w:tc>
        <w:tc>
          <w:tcPr>
            <w:tcW w:w="1015" w:type="dxa"/>
            <w:tcBorders>
              <w:top w:val="nil"/>
              <w:left w:val="nil"/>
              <w:bottom w:val="single" w:sz="4" w:space="0" w:color="auto"/>
              <w:right w:val="single" w:sz="4" w:space="0" w:color="auto"/>
            </w:tcBorders>
            <w:shd w:val="clear" w:color="000000" w:fill="DCE6F1"/>
            <w:vAlign w:val="center"/>
            <w:hideMark/>
          </w:tcPr>
          <w:p w14:paraId="26CEA097"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159.796,1</w:t>
            </w:r>
          </w:p>
        </w:tc>
      </w:tr>
      <w:tr w:rsidR="004B7622" w:rsidRPr="009F499E" w14:paraId="5763E9D6" w14:textId="77777777" w:rsidTr="00377989">
        <w:trPr>
          <w:trHeight w:val="418"/>
        </w:trPr>
        <w:tc>
          <w:tcPr>
            <w:tcW w:w="3052" w:type="dxa"/>
            <w:tcBorders>
              <w:top w:val="nil"/>
              <w:left w:val="single" w:sz="4" w:space="0" w:color="auto"/>
              <w:bottom w:val="single" w:sz="4" w:space="0" w:color="auto"/>
              <w:right w:val="single" w:sz="4" w:space="0" w:color="auto"/>
            </w:tcBorders>
            <w:shd w:val="clear" w:color="000000" w:fill="B8CCE4"/>
            <w:vAlign w:val="center"/>
            <w:hideMark/>
          </w:tcPr>
          <w:p w14:paraId="1F883014" w14:textId="77777777" w:rsidR="004B7622" w:rsidRPr="009F499E" w:rsidRDefault="004B7622" w:rsidP="00377989">
            <w:pPr>
              <w:spacing w:after="0" w:line="240" w:lineRule="auto"/>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Skupaj davčni dolg in druge terjatve (E + F)</w:t>
            </w:r>
          </w:p>
        </w:tc>
        <w:tc>
          <w:tcPr>
            <w:tcW w:w="1182" w:type="dxa"/>
            <w:tcBorders>
              <w:top w:val="nil"/>
              <w:left w:val="nil"/>
              <w:bottom w:val="single" w:sz="4" w:space="0" w:color="auto"/>
              <w:right w:val="single" w:sz="4" w:space="0" w:color="auto"/>
            </w:tcBorders>
            <w:shd w:val="clear" w:color="000000" w:fill="B8CCE4"/>
            <w:vAlign w:val="center"/>
            <w:hideMark/>
          </w:tcPr>
          <w:p w14:paraId="46A9406A"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1.180.360.733</w:t>
            </w:r>
          </w:p>
        </w:tc>
        <w:tc>
          <w:tcPr>
            <w:tcW w:w="1195" w:type="dxa"/>
            <w:tcBorders>
              <w:top w:val="nil"/>
              <w:left w:val="nil"/>
              <w:bottom w:val="single" w:sz="4" w:space="0" w:color="auto"/>
              <w:right w:val="nil"/>
            </w:tcBorders>
            <w:shd w:val="clear" w:color="000000" w:fill="B8CCE4"/>
            <w:vAlign w:val="center"/>
            <w:hideMark/>
          </w:tcPr>
          <w:p w14:paraId="6618F17B"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998.089.393</w:t>
            </w:r>
          </w:p>
        </w:tc>
        <w:tc>
          <w:tcPr>
            <w:tcW w:w="1234" w:type="dxa"/>
            <w:tcBorders>
              <w:top w:val="nil"/>
              <w:left w:val="single" w:sz="8" w:space="0" w:color="auto"/>
              <w:bottom w:val="single" w:sz="8" w:space="0" w:color="auto"/>
              <w:right w:val="single" w:sz="8" w:space="0" w:color="auto"/>
            </w:tcBorders>
            <w:shd w:val="clear" w:color="000000" w:fill="B8CCE4"/>
            <w:vAlign w:val="center"/>
            <w:hideMark/>
          </w:tcPr>
          <w:p w14:paraId="65F4E6C1"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918.507.974</w:t>
            </w:r>
          </w:p>
        </w:tc>
        <w:tc>
          <w:tcPr>
            <w:tcW w:w="1034" w:type="dxa"/>
            <w:tcBorders>
              <w:top w:val="nil"/>
              <w:left w:val="nil"/>
              <w:bottom w:val="single" w:sz="4" w:space="0" w:color="auto"/>
              <w:right w:val="single" w:sz="4" w:space="0" w:color="auto"/>
            </w:tcBorders>
            <w:shd w:val="clear" w:color="000000" w:fill="B8CCE4"/>
            <w:vAlign w:val="center"/>
            <w:hideMark/>
          </w:tcPr>
          <w:p w14:paraId="7F45699A"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84,6</w:t>
            </w:r>
          </w:p>
        </w:tc>
        <w:tc>
          <w:tcPr>
            <w:tcW w:w="1115" w:type="dxa"/>
            <w:tcBorders>
              <w:top w:val="nil"/>
              <w:left w:val="nil"/>
              <w:bottom w:val="single" w:sz="4" w:space="0" w:color="auto"/>
              <w:right w:val="single" w:sz="4" w:space="0" w:color="auto"/>
            </w:tcBorders>
            <w:shd w:val="clear" w:color="000000" w:fill="B8CCE4"/>
            <w:vAlign w:val="center"/>
            <w:hideMark/>
          </w:tcPr>
          <w:p w14:paraId="24F143F0"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77,8</w:t>
            </w:r>
          </w:p>
        </w:tc>
        <w:tc>
          <w:tcPr>
            <w:tcW w:w="1015" w:type="dxa"/>
            <w:tcBorders>
              <w:top w:val="nil"/>
              <w:left w:val="nil"/>
              <w:bottom w:val="single" w:sz="4" w:space="0" w:color="auto"/>
              <w:right w:val="single" w:sz="4" w:space="0" w:color="auto"/>
            </w:tcBorders>
            <w:shd w:val="clear" w:color="000000" w:fill="B8CCE4"/>
            <w:vAlign w:val="center"/>
            <w:hideMark/>
          </w:tcPr>
          <w:p w14:paraId="56C825ED" w14:textId="77777777" w:rsidR="004B7622" w:rsidRPr="009F499E" w:rsidRDefault="004B7622" w:rsidP="00377989">
            <w:pPr>
              <w:spacing w:after="0" w:line="240" w:lineRule="auto"/>
              <w:jc w:val="right"/>
              <w:rPr>
                <w:rFonts w:ascii="Arial" w:eastAsia="Times New Roman" w:hAnsi="Arial" w:cs="Arial"/>
                <w:b/>
                <w:bCs/>
                <w:sz w:val="16"/>
                <w:szCs w:val="16"/>
                <w:lang w:eastAsia="sl-SI"/>
              </w:rPr>
            </w:pPr>
            <w:r w:rsidRPr="009F499E">
              <w:rPr>
                <w:rFonts w:ascii="Arial" w:eastAsia="Times New Roman" w:hAnsi="Arial" w:cs="Arial"/>
                <w:b/>
                <w:bCs/>
                <w:sz w:val="16"/>
                <w:szCs w:val="16"/>
                <w:lang w:eastAsia="sl-SI"/>
              </w:rPr>
              <w:t>92,0</w:t>
            </w:r>
          </w:p>
        </w:tc>
      </w:tr>
    </w:tbl>
    <w:p w14:paraId="2F0E906F" w14:textId="77777777" w:rsidR="004B7622" w:rsidRDefault="004B7622" w:rsidP="004B7622">
      <w:pPr>
        <w:rPr>
          <w:rFonts w:ascii="Arial" w:hAnsi="Arial" w:cs="Arial"/>
          <w:i/>
          <w:sz w:val="20"/>
          <w:szCs w:val="20"/>
        </w:rPr>
      </w:pPr>
      <w:r>
        <w:rPr>
          <w:rFonts w:ascii="Arial" w:hAnsi="Arial" w:cs="Arial"/>
          <w:i/>
          <w:sz w:val="20"/>
          <w:szCs w:val="20"/>
        </w:rPr>
        <w:t>V</w:t>
      </w:r>
      <w:r w:rsidRPr="006512EC">
        <w:rPr>
          <w:rFonts w:ascii="Arial" w:hAnsi="Arial" w:cs="Arial"/>
          <w:i/>
          <w:sz w:val="20"/>
          <w:szCs w:val="20"/>
        </w:rPr>
        <w:t>ir: FURS</w:t>
      </w:r>
    </w:p>
    <w:p w14:paraId="5CC7B60F" w14:textId="77777777" w:rsidR="004B7622" w:rsidRPr="0052764D" w:rsidRDefault="004B7622" w:rsidP="004B7622">
      <w:pPr>
        <w:pStyle w:val="Brezrazmikov"/>
        <w:rPr>
          <w:rFonts w:ascii="Arial" w:hAnsi="Arial" w:cs="Arial"/>
          <w:b/>
          <w:sz w:val="20"/>
          <w:szCs w:val="20"/>
        </w:rPr>
      </w:pPr>
      <w:r w:rsidRPr="00815C36">
        <w:rPr>
          <w:rFonts w:ascii="Arial" w:hAnsi="Arial" w:cs="Arial"/>
          <w:b/>
          <w:sz w:val="20"/>
          <w:szCs w:val="20"/>
        </w:rPr>
        <w:lastRenderedPageBreak/>
        <w:t>4.5   Davčni dolg po vrsti dajatve</w:t>
      </w:r>
    </w:p>
    <w:p w14:paraId="74A03F14" w14:textId="77777777" w:rsidR="004B7622" w:rsidRDefault="004B7622" w:rsidP="004B7622">
      <w:pPr>
        <w:spacing w:line="240" w:lineRule="auto"/>
        <w:jc w:val="both"/>
        <w:rPr>
          <w:rFonts w:ascii="Arial" w:hAnsi="Arial" w:cs="Arial"/>
          <w:sz w:val="20"/>
          <w:szCs w:val="20"/>
        </w:rPr>
      </w:pPr>
    </w:p>
    <w:p w14:paraId="42A0D61B" w14:textId="77777777" w:rsidR="004B7622" w:rsidRPr="00D21F0C" w:rsidRDefault="004B7622" w:rsidP="004B7622">
      <w:pPr>
        <w:jc w:val="both"/>
        <w:rPr>
          <w:rFonts w:ascii="Arial" w:hAnsi="Arial" w:cs="Arial"/>
          <w:sz w:val="20"/>
          <w:szCs w:val="20"/>
        </w:rPr>
      </w:pPr>
      <w:r w:rsidRPr="00D41C58">
        <w:rPr>
          <w:rFonts w:ascii="Arial" w:hAnsi="Arial" w:cs="Arial"/>
          <w:sz w:val="20"/>
          <w:szCs w:val="20"/>
        </w:rPr>
        <w:t xml:space="preserve">V okviru davčnih prihodkov imajo največji delež dolga domači davki na blago in storitve, in sicer 35,8 odstotka. Davki na dohodek in dobiček 29,5-odstotni delež, prispevki za socialno varnost imajo 31-odstotni delež dolga, davki na premoženje 3,2-odstotni delež ter davki na mednarodno trgovino in transakcije 0,5-odstotni delež. </w:t>
      </w:r>
      <w:r w:rsidRPr="00D21F0C">
        <w:rPr>
          <w:rFonts w:ascii="Arial" w:hAnsi="Arial" w:cs="Arial"/>
          <w:sz w:val="20"/>
          <w:szCs w:val="20"/>
        </w:rPr>
        <w:t xml:space="preserve"> </w:t>
      </w:r>
    </w:p>
    <w:p w14:paraId="2F429CC1" w14:textId="77777777" w:rsidR="004B7622" w:rsidRDefault="004B7622" w:rsidP="004B7622">
      <w:pPr>
        <w:jc w:val="both"/>
        <w:rPr>
          <w:rFonts w:ascii="Arial" w:hAnsi="Arial" w:cs="Arial"/>
          <w:i/>
          <w:sz w:val="20"/>
          <w:szCs w:val="20"/>
        </w:rPr>
      </w:pPr>
      <w:r w:rsidRPr="00F42A36">
        <w:rPr>
          <w:rFonts w:ascii="Arial" w:hAnsi="Arial" w:cs="Arial"/>
          <w:i/>
          <w:sz w:val="20"/>
          <w:szCs w:val="20"/>
        </w:rPr>
        <w:t xml:space="preserve">Slika </w:t>
      </w:r>
      <w:r>
        <w:rPr>
          <w:rFonts w:ascii="Arial" w:hAnsi="Arial" w:cs="Arial"/>
          <w:i/>
          <w:sz w:val="20"/>
          <w:szCs w:val="20"/>
        </w:rPr>
        <w:t>8:</w:t>
      </w:r>
      <w:r w:rsidRPr="00F42A36">
        <w:rPr>
          <w:rFonts w:ascii="Arial" w:hAnsi="Arial" w:cs="Arial"/>
          <w:i/>
          <w:sz w:val="20"/>
          <w:szCs w:val="20"/>
        </w:rPr>
        <w:t xml:space="preserve"> Struktura davčnega dolga iz davčnih prihodkov</w:t>
      </w:r>
    </w:p>
    <w:p w14:paraId="298474E0" w14:textId="77777777" w:rsidR="004B7622" w:rsidRDefault="004B7622" w:rsidP="004B7622">
      <w:pPr>
        <w:jc w:val="both"/>
        <w:rPr>
          <w:rFonts w:ascii="Arial" w:hAnsi="Arial" w:cs="Arial"/>
          <w:i/>
          <w:sz w:val="20"/>
          <w:szCs w:val="20"/>
        </w:rPr>
      </w:pPr>
      <w:r>
        <w:rPr>
          <w:noProof/>
        </w:rPr>
        <w:drawing>
          <wp:inline distT="0" distB="0" distL="0" distR="0" wp14:anchorId="5B3C8D04" wp14:editId="3CFAA9E5">
            <wp:extent cx="4239491" cy="2784763"/>
            <wp:effectExtent l="0" t="0" r="8890" b="0"/>
            <wp:docPr id="23" name="Grafikon 23">
              <a:extLst xmlns:a="http://schemas.openxmlformats.org/drawingml/2006/main">
                <a:ext uri="{FF2B5EF4-FFF2-40B4-BE49-F238E27FC236}">
                  <a16:creationId xmlns:a16="http://schemas.microsoft.com/office/drawing/2014/main" id="{00000000-0008-0000-06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9848A44" w14:textId="77777777" w:rsidR="004B7622" w:rsidRPr="00F42A36" w:rsidRDefault="004B7622" w:rsidP="004B7622">
      <w:pPr>
        <w:jc w:val="both"/>
        <w:rPr>
          <w:rFonts w:ascii="Arial" w:hAnsi="Arial" w:cs="Arial"/>
          <w:i/>
          <w:color w:val="000000"/>
          <w:sz w:val="20"/>
          <w:szCs w:val="20"/>
        </w:rPr>
      </w:pPr>
      <w:r>
        <w:rPr>
          <w:rFonts w:ascii="Arial" w:hAnsi="Arial" w:cs="Arial"/>
          <w:i/>
          <w:color w:val="000000"/>
          <w:sz w:val="20"/>
          <w:szCs w:val="20"/>
        </w:rPr>
        <w:t>V</w:t>
      </w:r>
      <w:r w:rsidRPr="00F42A36">
        <w:rPr>
          <w:rFonts w:ascii="Arial" w:hAnsi="Arial" w:cs="Arial"/>
          <w:i/>
          <w:color w:val="000000"/>
          <w:sz w:val="20"/>
          <w:szCs w:val="20"/>
        </w:rPr>
        <w:t>ir: FURS</w:t>
      </w:r>
    </w:p>
    <w:p w14:paraId="4CB94B30" w14:textId="77777777" w:rsidR="004B7622" w:rsidRDefault="004B7622" w:rsidP="004B7622">
      <w:pPr>
        <w:jc w:val="both"/>
        <w:rPr>
          <w:rFonts w:ascii="Arial" w:hAnsi="Arial" w:cs="Arial"/>
          <w:sz w:val="20"/>
          <w:szCs w:val="20"/>
        </w:rPr>
      </w:pPr>
      <w:r w:rsidRPr="00B53612">
        <w:rPr>
          <w:rFonts w:ascii="Arial" w:hAnsi="Arial" w:cs="Arial"/>
          <w:sz w:val="20"/>
          <w:szCs w:val="20"/>
        </w:rPr>
        <w:t>Analiza gibanja davčnega dolga po vrstah davkov kaže, da je v letu 2021 zaznati:</w:t>
      </w:r>
    </w:p>
    <w:p w14:paraId="7B864D45" w14:textId="77777777" w:rsidR="004B7622" w:rsidRPr="007348F1" w:rsidRDefault="004B7622" w:rsidP="004B7622">
      <w:pPr>
        <w:pStyle w:val="Odstavekseznama"/>
        <w:numPr>
          <w:ilvl w:val="0"/>
          <w:numId w:val="10"/>
        </w:numPr>
        <w:spacing w:line="276" w:lineRule="auto"/>
        <w:jc w:val="both"/>
        <w:rPr>
          <w:rFonts w:ascii="Arial" w:hAnsi="Arial" w:cs="Arial"/>
          <w:sz w:val="20"/>
          <w:szCs w:val="20"/>
        </w:rPr>
      </w:pPr>
      <w:r w:rsidRPr="007348F1">
        <w:rPr>
          <w:rFonts w:ascii="Arial" w:hAnsi="Arial" w:cs="Arial"/>
          <w:i/>
          <w:iCs/>
          <w:sz w:val="20"/>
          <w:szCs w:val="20"/>
        </w:rPr>
        <w:t xml:space="preserve">znižanje dolga </w:t>
      </w:r>
      <w:r w:rsidRPr="007348F1">
        <w:rPr>
          <w:rFonts w:ascii="Arial" w:hAnsi="Arial" w:cs="Arial"/>
          <w:sz w:val="20"/>
          <w:szCs w:val="20"/>
        </w:rPr>
        <w:t>pri davkih na dohodek in dobiček za 53.500.451 EUR</w:t>
      </w:r>
      <w:r w:rsidRPr="00CF2F08">
        <w:t xml:space="preserve"> </w:t>
      </w:r>
      <w:r w:rsidRPr="007348F1">
        <w:rPr>
          <w:rFonts w:ascii="Arial" w:hAnsi="Arial" w:cs="Arial"/>
          <w:sz w:val="20"/>
          <w:szCs w:val="20"/>
        </w:rPr>
        <w:t xml:space="preserve">oziroma 17,4 odstotka, pri  domačih davkih na blago in storitve za 14.037.944 EUR oziroma 4,3 odstotka, pri prispevkih za socialno varnost za 13.941.921 EUR oziroma 5 odstotka, pri davkih na premoženje za 3.361.709 EUR oziroma 10,9 odstotka, pri davkih na plačilno listo in delovno silo za 69.857 EUR oziroma 16 odstotka in  </w:t>
      </w:r>
    </w:p>
    <w:p w14:paraId="6A4F524A" w14:textId="77777777" w:rsidR="004B7622" w:rsidRPr="00CF2F08" w:rsidRDefault="004B7622" w:rsidP="004B7622">
      <w:pPr>
        <w:pStyle w:val="Odstavekseznama"/>
        <w:numPr>
          <w:ilvl w:val="0"/>
          <w:numId w:val="10"/>
        </w:numPr>
        <w:spacing w:line="276" w:lineRule="auto"/>
        <w:jc w:val="both"/>
        <w:rPr>
          <w:rFonts w:ascii="Arial" w:hAnsi="Arial" w:cs="Arial"/>
          <w:sz w:val="20"/>
          <w:szCs w:val="20"/>
        </w:rPr>
      </w:pPr>
      <w:r w:rsidRPr="00CF2F08">
        <w:rPr>
          <w:rFonts w:ascii="Arial" w:hAnsi="Arial" w:cs="Arial"/>
          <w:i/>
          <w:iCs/>
          <w:sz w:val="20"/>
          <w:szCs w:val="20"/>
        </w:rPr>
        <w:t xml:space="preserve">povečanje dolga </w:t>
      </w:r>
      <w:r w:rsidRPr="00CF2F08">
        <w:rPr>
          <w:rFonts w:ascii="Arial" w:hAnsi="Arial" w:cs="Arial"/>
          <w:iCs/>
          <w:sz w:val="20"/>
          <w:szCs w:val="20"/>
        </w:rPr>
        <w:t>p</w:t>
      </w:r>
      <w:r w:rsidRPr="00CF2F08">
        <w:rPr>
          <w:rFonts w:ascii="Arial" w:hAnsi="Arial" w:cs="Arial"/>
          <w:sz w:val="20"/>
          <w:szCs w:val="20"/>
        </w:rPr>
        <w:t xml:space="preserve">ri davkih na mednarodno trgovino in transakcije za </w:t>
      </w:r>
      <w:r w:rsidRPr="00B81045">
        <w:rPr>
          <w:rFonts w:ascii="Arial" w:hAnsi="Arial" w:cs="Arial"/>
          <w:sz w:val="20"/>
          <w:szCs w:val="20"/>
        </w:rPr>
        <w:t>1.033.323</w:t>
      </w:r>
      <w:r w:rsidRPr="00CF2F08">
        <w:rPr>
          <w:rFonts w:ascii="Arial" w:hAnsi="Arial" w:cs="Arial"/>
          <w:sz w:val="20"/>
          <w:szCs w:val="20"/>
        </w:rPr>
        <w:t xml:space="preserve"> EUR oziroma </w:t>
      </w:r>
      <w:r>
        <w:rPr>
          <w:rFonts w:ascii="Arial" w:hAnsi="Arial" w:cs="Arial"/>
          <w:sz w:val="20"/>
          <w:szCs w:val="20"/>
        </w:rPr>
        <w:t>34,4</w:t>
      </w:r>
      <w:r w:rsidRPr="00CF2F08">
        <w:rPr>
          <w:rFonts w:ascii="Arial" w:hAnsi="Arial" w:cs="Arial"/>
          <w:sz w:val="20"/>
          <w:szCs w:val="20"/>
        </w:rPr>
        <w:t xml:space="preserve"> odstotka.</w:t>
      </w:r>
    </w:p>
    <w:p w14:paraId="0014D567" w14:textId="77777777" w:rsidR="004B7622" w:rsidRDefault="004B7622" w:rsidP="004B7622">
      <w:pPr>
        <w:jc w:val="both"/>
        <w:rPr>
          <w:rFonts w:ascii="Arial" w:hAnsi="Arial" w:cs="Arial"/>
          <w:sz w:val="20"/>
          <w:szCs w:val="20"/>
        </w:rPr>
      </w:pPr>
    </w:p>
    <w:p w14:paraId="3A4B6ED7" w14:textId="77777777" w:rsidR="004B7622" w:rsidRPr="006461B2" w:rsidRDefault="004B7622" w:rsidP="004B7622">
      <w:pPr>
        <w:pStyle w:val="Brezrazmikov"/>
        <w:rPr>
          <w:rFonts w:ascii="Arial" w:hAnsi="Arial" w:cs="Arial"/>
          <w:b/>
          <w:sz w:val="20"/>
          <w:szCs w:val="20"/>
        </w:rPr>
      </w:pPr>
      <w:r w:rsidRPr="006461B2">
        <w:rPr>
          <w:rFonts w:ascii="Arial" w:hAnsi="Arial" w:cs="Arial"/>
          <w:b/>
          <w:sz w:val="20"/>
          <w:szCs w:val="20"/>
        </w:rPr>
        <w:t xml:space="preserve">4.6    Davčni dolg po starosti </w:t>
      </w:r>
    </w:p>
    <w:p w14:paraId="7AE7FE34" w14:textId="77777777" w:rsidR="004B7622" w:rsidRPr="006461B2" w:rsidRDefault="004B7622" w:rsidP="004B7622">
      <w:pPr>
        <w:pStyle w:val="Brezrazmikov"/>
      </w:pPr>
    </w:p>
    <w:p w14:paraId="310FFF09" w14:textId="77777777" w:rsidR="004B7622" w:rsidRPr="006461B2" w:rsidRDefault="004B7622" w:rsidP="004B7622">
      <w:pPr>
        <w:jc w:val="both"/>
        <w:rPr>
          <w:rFonts w:ascii="Arial" w:hAnsi="Arial" w:cs="Arial"/>
          <w:sz w:val="20"/>
          <w:szCs w:val="20"/>
        </w:rPr>
      </w:pPr>
      <w:r w:rsidRPr="006461B2">
        <w:rPr>
          <w:rFonts w:ascii="Arial" w:hAnsi="Arial" w:cs="Arial"/>
          <w:sz w:val="20"/>
          <w:szCs w:val="20"/>
        </w:rPr>
        <w:t xml:space="preserve">Pregled višine davčnega dolga po blagajnah in letu nastanka dolga glede na datum zapadlosti je razviden iz preglednice 8. </w:t>
      </w:r>
    </w:p>
    <w:p w14:paraId="4DB7D6B5" w14:textId="77777777" w:rsidR="004B7622" w:rsidRPr="00D05902" w:rsidRDefault="004B7622" w:rsidP="004B7622">
      <w:pPr>
        <w:jc w:val="both"/>
        <w:rPr>
          <w:rFonts w:ascii="Arial" w:hAnsi="Arial" w:cs="Arial"/>
          <w:color w:val="FF0000"/>
          <w:sz w:val="20"/>
          <w:szCs w:val="20"/>
        </w:rPr>
      </w:pPr>
      <w:r w:rsidRPr="006461B2">
        <w:rPr>
          <w:rFonts w:ascii="Arial" w:hAnsi="Arial" w:cs="Arial"/>
          <w:sz w:val="20"/>
          <w:szCs w:val="20"/>
        </w:rPr>
        <w:t>Dolg z zapadlostjo v letu 2021 po stanju na dan 31. 12. 2021 znaša 188.642.338 EUR (20,5 odstotka), ob sestavi poročila pa le-ta na dan 30. 4. 2022</w:t>
      </w:r>
      <w:r w:rsidRPr="006461B2">
        <w:rPr>
          <w:rFonts w:ascii="Arial" w:hAnsi="Arial" w:cs="Arial"/>
          <w:color w:val="FF0000"/>
          <w:sz w:val="20"/>
          <w:szCs w:val="20"/>
        </w:rPr>
        <w:t xml:space="preserve"> </w:t>
      </w:r>
      <w:r w:rsidRPr="006461B2">
        <w:rPr>
          <w:rFonts w:ascii="Arial" w:hAnsi="Arial" w:cs="Arial"/>
          <w:sz w:val="20"/>
          <w:szCs w:val="20"/>
        </w:rPr>
        <w:t>znaša 111.789.275 EUR (11,3 odstotka). Preostali dolg je iz prejšnjih let.</w:t>
      </w:r>
      <w:r w:rsidRPr="00815C36">
        <w:rPr>
          <w:rFonts w:ascii="Arial" w:hAnsi="Arial" w:cs="Arial"/>
          <w:sz w:val="20"/>
          <w:szCs w:val="20"/>
        </w:rPr>
        <w:t xml:space="preserve"> </w:t>
      </w:r>
    </w:p>
    <w:p w14:paraId="20B4C0D0" w14:textId="77777777" w:rsidR="004B7622" w:rsidRDefault="004B7622" w:rsidP="004B7622">
      <w:pPr>
        <w:pStyle w:val="Brezrazmikov"/>
        <w:rPr>
          <w:rFonts w:ascii="Arial" w:hAnsi="Arial" w:cs="Arial"/>
          <w:i/>
          <w:sz w:val="20"/>
          <w:szCs w:val="20"/>
        </w:rPr>
      </w:pPr>
    </w:p>
    <w:p w14:paraId="5155A3FC" w14:textId="77777777" w:rsidR="004B7622" w:rsidRDefault="004B7622" w:rsidP="004B7622">
      <w:pPr>
        <w:pStyle w:val="Brezrazmikov"/>
        <w:rPr>
          <w:rFonts w:ascii="Arial" w:hAnsi="Arial" w:cs="Arial"/>
          <w:i/>
          <w:sz w:val="20"/>
          <w:szCs w:val="20"/>
        </w:rPr>
      </w:pPr>
    </w:p>
    <w:p w14:paraId="5D80CBC5" w14:textId="77777777" w:rsidR="004B7622" w:rsidRDefault="004B7622" w:rsidP="004B7622">
      <w:pPr>
        <w:pStyle w:val="Brezrazmikov"/>
        <w:rPr>
          <w:rFonts w:ascii="Arial" w:hAnsi="Arial" w:cs="Arial"/>
          <w:i/>
          <w:sz w:val="20"/>
          <w:szCs w:val="20"/>
        </w:rPr>
      </w:pPr>
    </w:p>
    <w:p w14:paraId="31161A83" w14:textId="77777777" w:rsidR="004B7622" w:rsidRDefault="004B7622" w:rsidP="004B7622">
      <w:pPr>
        <w:pStyle w:val="Brezrazmikov"/>
        <w:rPr>
          <w:rFonts w:ascii="Arial" w:hAnsi="Arial" w:cs="Arial"/>
          <w:i/>
          <w:sz w:val="20"/>
          <w:szCs w:val="20"/>
        </w:rPr>
      </w:pPr>
    </w:p>
    <w:p w14:paraId="3803D42E" w14:textId="77777777" w:rsidR="004B7622" w:rsidRDefault="004B7622" w:rsidP="004B7622">
      <w:pPr>
        <w:pStyle w:val="Brezrazmikov"/>
        <w:rPr>
          <w:rFonts w:ascii="Arial" w:hAnsi="Arial" w:cs="Arial"/>
          <w:i/>
          <w:sz w:val="20"/>
          <w:szCs w:val="20"/>
        </w:rPr>
      </w:pPr>
    </w:p>
    <w:p w14:paraId="05EFB238" w14:textId="77777777" w:rsidR="004B7622" w:rsidRDefault="004B7622" w:rsidP="004B7622">
      <w:pPr>
        <w:pStyle w:val="Brezrazmikov"/>
        <w:rPr>
          <w:rFonts w:ascii="Arial" w:hAnsi="Arial" w:cs="Arial"/>
          <w:i/>
          <w:sz w:val="20"/>
          <w:szCs w:val="20"/>
        </w:rPr>
      </w:pPr>
    </w:p>
    <w:p w14:paraId="5794C916" w14:textId="77777777" w:rsidR="004B7622" w:rsidRDefault="004B7622" w:rsidP="004B7622">
      <w:pPr>
        <w:pStyle w:val="Brezrazmikov"/>
        <w:rPr>
          <w:rFonts w:ascii="Arial" w:hAnsi="Arial" w:cs="Arial"/>
          <w:i/>
          <w:sz w:val="20"/>
          <w:szCs w:val="20"/>
        </w:rPr>
      </w:pPr>
    </w:p>
    <w:p w14:paraId="01F33A6C" w14:textId="77777777" w:rsidR="004B7622" w:rsidRDefault="004B7622" w:rsidP="004B7622">
      <w:pPr>
        <w:pStyle w:val="Brezrazmikov"/>
        <w:rPr>
          <w:rFonts w:ascii="Arial" w:hAnsi="Arial" w:cs="Arial"/>
          <w:i/>
          <w:sz w:val="20"/>
          <w:szCs w:val="20"/>
        </w:rPr>
      </w:pPr>
      <w:r w:rsidRPr="00E26F75">
        <w:rPr>
          <w:rFonts w:ascii="Arial" w:hAnsi="Arial" w:cs="Arial"/>
          <w:i/>
          <w:sz w:val="20"/>
          <w:szCs w:val="20"/>
        </w:rPr>
        <w:t>Preglednica 8</w:t>
      </w:r>
      <w:r>
        <w:rPr>
          <w:rFonts w:ascii="Arial" w:hAnsi="Arial" w:cs="Arial"/>
          <w:i/>
          <w:sz w:val="20"/>
          <w:szCs w:val="20"/>
        </w:rPr>
        <w:t xml:space="preserve">: </w:t>
      </w:r>
      <w:r w:rsidRPr="00E26F75">
        <w:rPr>
          <w:rFonts w:ascii="Arial" w:hAnsi="Arial" w:cs="Arial"/>
          <w:i/>
          <w:sz w:val="20"/>
          <w:szCs w:val="20"/>
        </w:rPr>
        <w:t>Davčni dolg po javnofinančnih blagajnah glede na zapadlost v EUR</w:t>
      </w:r>
    </w:p>
    <w:p w14:paraId="6B14E426" w14:textId="77777777" w:rsidR="004B7622" w:rsidRDefault="004B7622" w:rsidP="004B7622">
      <w:pPr>
        <w:pStyle w:val="Brezrazmikov"/>
        <w:rPr>
          <w:rFonts w:ascii="Arial" w:hAnsi="Arial" w:cs="Arial"/>
          <w:i/>
          <w:sz w:val="20"/>
          <w:szCs w:val="20"/>
        </w:rPr>
      </w:pPr>
    </w:p>
    <w:tbl>
      <w:tblPr>
        <w:tblW w:w="9491" w:type="dxa"/>
        <w:tblCellMar>
          <w:left w:w="70" w:type="dxa"/>
          <w:right w:w="70" w:type="dxa"/>
        </w:tblCellMar>
        <w:tblLook w:val="04A0" w:firstRow="1" w:lastRow="0" w:firstColumn="1" w:lastColumn="0" w:noHBand="0" w:noVBand="1"/>
      </w:tblPr>
      <w:tblGrid>
        <w:gridCol w:w="1485"/>
        <w:gridCol w:w="1200"/>
        <w:gridCol w:w="1096"/>
        <w:gridCol w:w="1118"/>
        <w:gridCol w:w="1095"/>
        <w:gridCol w:w="1095"/>
        <w:gridCol w:w="1200"/>
        <w:gridCol w:w="1202"/>
      </w:tblGrid>
      <w:tr w:rsidR="004B7622" w:rsidRPr="003B3D8A" w14:paraId="4875B84E" w14:textId="77777777" w:rsidTr="00377989">
        <w:trPr>
          <w:trHeight w:val="352"/>
        </w:trPr>
        <w:tc>
          <w:tcPr>
            <w:tcW w:w="1485" w:type="dxa"/>
            <w:vMerge w:val="restart"/>
            <w:tcBorders>
              <w:top w:val="single" w:sz="4" w:space="0" w:color="auto"/>
              <w:left w:val="single" w:sz="4" w:space="0" w:color="auto"/>
              <w:bottom w:val="single" w:sz="4" w:space="0" w:color="000000"/>
              <w:right w:val="single" w:sz="4" w:space="0" w:color="auto"/>
            </w:tcBorders>
            <w:shd w:val="clear" w:color="000000" w:fill="B8CCE4"/>
            <w:vAlign w:val="center"/>
            <w:hideMark/>
          </w:tcPr>
          <w:p w14:paraId="1B817860" w14:textId="77777777" w:rsidR="004B7622" w:rsidRPr="003B3D8A" w:rsidRDefault="004B7622" w:rsidP="00377989">
            <w:pPr>
              <w:spacing w:after="0" w:line="240" w:lineRule="auto"/>
              <w:jc w:val="center"/>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Davčni dolg po javnofinančnih blagajnah</w:t>
            </w:r>
          </w:p>
        </w:tc>
        <w:tc>
          <w:tcPr>
            <w:tcW w:w="1200" w:type="dxa"/>
            <w:vMerge w:val="restart"/>
            <w:tcBorders>
              <w:top w:val="single" w:sz="4" w:space="0" w:color="auto"/>
              <w:left w:val="single" w:sz="4" w:space="0" w:color="auto"/>
              <w:bottom w:val="single" w:sz="4" w:space="0" w:color="000000"/>
              <w:right w:val="single" w:sz="4" w:space="0" w:color="auto"/>
            </w:tcBorders>
            <w:shd w:val="clear" w:color="000000" w:fill="B8CCE4"/>
            <w:vAlign w:val="center"/>
            <w:hideMark/>
          </w:tcPr>
          <w:p w14:paraId="50F3BAF0" w14:textId="77777777" w:rsidR="004B7622" w:rsidRPr="003B3D8A" w:rsidRDefault="004B7622" w:rsidP="00377989">
            <w:pPr>
              <w:spacing w:after="0" w:line="240" w:lineRule="auto"/>
              <w:jc w:val="center"/>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Zapadlost dolga v letu 2016</w:t>
            </w:r>
          </w:p>
        </w:tc>
        <w:tc>
          <w:tcPr>
            <w:tcW w:w="1095" w:type="dxa"/>
            <w:vMerge w:val="restart"/>
            <w:tcBorders>
              <w:top w:val="single" w:sz="4" w:space="0" w:color="auto"/>
              <w:left w:val="single" w:sz="4" w:space="0" w:color="auto"/>
              <w:bottom w:val="single" w:sz="4" w:space="0" w:color="000000"/>
              <w:right w:val="single" w:sz="4" w:space="0" w:color="auto"/>
            </w:tcBorders>
            <w:shd w:val="clear" w:color="000000" w:fill="B8CCE4"/>
            <w:vAlign w:val="center"/>
            <w:hideMark/>
          </w:tcPr>
          <w:p w14:paraId="31576EA4" w14:textId="77777777" w:rsidR="004B7622" w:rsidRPr="003B3D8A" w:rsidRDefault="004B7622" w:rsidP="00377989">
            <w:pPr>
              <w:spacing w:after="0" w:line="240" w:lineRule="auto"/>
              <w:jc w:val="center"/>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Zapadlost dolga v letu 2017</w:t>
            </w:r>
          </w:p>
        </w:tc>
        <w:tc>
          <w:tcPr>
            <w:tcW w:w="1118" w:type="dxa"/>
            <w:vMerge w:val="restart"/>
            <w:tcBorders>
              <w:top w:val="single" w:sz="4" w:space="0" w:color="auto"/>
              <w:left w:val="single" w:sz="4" w:space="0" w:color="auto"/>
              <w:bottom w:val="single" w:sz="4" w:space="0" w:color="000000"/>
              <w:right w:val="single" w:sz="4" w:space="0" w:color="auto"/>
            </w:tcBorders>
            <w:shd w:val="clear" w:color="000000" w:fill="B8CCE4"/>
            <w:vAlign w:val="center"/>
            <w:hideMark/>
          </w:tcPr>
          <w:p w14:paraId="023C612C" w14:textId="77777777" w:rsidR="004B7622" w:rsidRPr="003B3D8A" w:rsidRDefault="004B7622" w:rsidP="00377989">
            <w:pPr>
              <w:spacing w:after="0" w:line="240" w:lineRule="auto"/>
              <w:jc w:val="center"/>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Zapadlost dolga v letu 2018</w:t>
            </w:r>
          </w:p>
        </w:tc>
        <w:tc>
          <w:tcPr>
            <w:tcW w:w="1095" w:type="dxa"/>
            <w:vMerge w:val="restart"/>
            <w:tcBorders>
              <w:top w:val="single" w:sz="4" w:space="0" w:color="auto"/>
              <w:left w:val="single" w:sz="4" w:space="0" w:color="auto"/>
              <w:bottom w:val="single" w:sz="4" w:space="0" w:color="000000"/>
              <w:right w:val="single" w:sz="4" w:space="0" w:color="auto"/>
            </w:tcBorders>
            <w:shd w:val="clear" w:color="000000" w:fill="B8CCE4"/>
            <w:vAlign w:val="center"/>
            <w:hideMark/>
          </w:tcPr>
          <w:p w14:paraId="6168956C" w14:textId="77777777" w:rsidR="004B7622" w:rsidRPr="003B3D8A" w:rsidRDefault="004B7622" w:rsidP="00377989">
            <w:pPr>
              <w:spacing w:after="0" w:line="240" w:lineRule="auto"/>
              <w:jc w:val="center"/>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Zapadlost dolga v letu 2019</w:t>
            </w:r>
          </w:p>
        </w:tc>
        <w:tc>
          <w:tcPr>
            <w:tcW w:w="1095" w:type="dxa"/>
            <w:vMerge w:val="restart"/>
            <w:tcBorders>
              <w:top w:val="single" w:sz="4" w:space="0" w:color="auto"/>
              <w:left w:val="single" w:sz="4" w:space="0" w:color="auto"/>
              <w:bottom w:val="single" w:sz="4" w:space="0" w:color="000000"/>
              <w:right w:val="single" w:sz="4" w:space="0" w:color="auto"/>
            </w:tcBorders>
            <w:shd w:val="clear" w:color="000000" w:fill="B8CCE4"/>
            <w:vAlign w:val="center"/>
            <w:hideMark/>
          </w:tcPr>
          <w:p w14:paraId="0439322C" w14:textId="77777777" w:rsidR="004B7622" w:rsidRPr="003B3D8A" w:rsidRDefault="004B7622" w:rsidP="00377989">
            <w:pPr>
              <w:spacing w:after="0" w:line="240" w:lineRule="auto"/>
              <w:jc w:val="center"/>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Zapadlost dolga v letu 2020</w:t>
            </w:r>
          </w:p>
        </w:tc>
        <w:tc>
          <w:tcPr>
            <w:tcW w:w="1200" w:type="dxa"/>
            <w:vMerge w:val="restart"/>
            <w:tcBorders>
              <w:top w:val="single" w:sz="4" w:space="0" w:color="auto"/>
              <w:left w:val="single" w:sz="4" w:space="0" w:color="auto"/>
              <w:bottom w:val="single" w:sz="4" w:space="0" w:color="000000"/>
              <w:right w:val="single" w:sz="4" w:space="0" w:color="auto"/>
            </w:tcBorders>
            <w:shd w:val="clear" w:color="000000" w:fill="B8CCE4"/>
            <w:vAlign w:val="center"/>
            <w:hideMark/>
          </w:tcPr>
          <w:p w14:paraId="2146759D" w14:textId="77777777" w:rsidR="004B7622" w:rsidRPr="003B3D8A" w:rsidRDefault="004B7622" w:rsidP="00377989">
            <w:pPr>
              <w:spacing w:after="0" w:line="240" w:lineRule="auto"/>
              <w:jc w:val="center"/>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Zapadlost dolga v letu 2021</w:t>
            </w:r>
          </w:p>
        </w:tc>
        <w:tc>
          <w:tcPr>
            <w:tcW w:w="1200" w:type="dxa"/>
            <w:vMerge w:val="restart"/>
            <w:tcBorders>
              <w:top w:val="single" w:sz="4" w:space="0" w:color="auto"/>
              <w:left w:val="single" w:sz="4" w:space="0" w:color="auto"/>
              <w:bottom w:val="single" w:sz="4" w:space="0" w:color="000000"/>
              <w:right w:val="single" w:sz="4" w:space="0" w:color="auto"/>
            </w:tcBorders>
            <w:shd w:val="clear" w:color="000000" w:fill="B8CCE4"/>
            <w:vAlign w:val="center"/>
            <w:hideMark/>
          </w:tcPr>
          <w:p w14:paraId="271AC148" w14:textId="77777777" w:rsidR="004B7622" w:rsidRPr="003B3D8A" w:rsidRDefault="004B7622" w:rsidP="00377989">
            <w:pPr>
              <w:spacing w:after="0" w:line="240" w:lineRule="auto"/>
              <w:jc w:val="center"/>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 xml:space="preserve">Skupaj stanje dolga </w:t>
            </w:r>
          </w:p>
        </w:tc>
      </w:tr>
      <w:tr w:rsidR="004B7622" w:rsidRPr="003B3D8A" w14:paraId="0BD1521E" w14:textId="77777777" w:rsidTr="00377989">
        <w:trPr>
          <w:trHeight w:val="269"/>
        </w:trPr>
        <w:tc>
          <w:tcPr>
            <w:tcW w:w="1485" w:type="dxa"/>
            <w:vMerge/>
            <w:tcBorders>
              <w:top w:val="single" w:sz="4" w:space="0" w:color="auto"/>
              <w:left w:val="single" w:sz="4" w:space="0" w:color="auto"/>
              <w:bottom w:val="single" w:sz="4" w:space="0" w:color="000000"/>
              <w:right w:val="single" w:sz="4" w:space="0" w:color="auto"/>
            </w:tcBorders>
            <w:vAlign w:val="center"/>
            <w:hideMark/>
          </w:tcPr>
          <w:p w14:paraId="672C574F" w14:textId="77777777" w:rsidR="004B7622" w:rsidRPr="003B3D8A" w:rsidRDefault="004B7622" w:rsidP="00377989">
            <w:pPr>
              <w:spacing w:after="0" w:line="240" w:lineRule="auto"/>
              <w:rPr>
                <w:rFonts w:ascii="Arial" w:eastAsia="Times New Roman" w:hAnsi="Arial" w:cs="Arial"/>
                <w:b/>
                <w:bCs/>
                <w:sz w:val="18"/>
                <w:szCs w:val="18"/>
                <w:lang w:eastAsia="sl-SI"/>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2B1E5CC6" w14:textId="77777777" w:rsidR="004B7622" w:rsidRPr="003B3D8A" w:rsidRDefault="004B7622" w:rsidP="00377989">
            <w:pPr>
              <w:spacing w:after="0" w:line="240" w:lineRule="auto"/>
              <w:rPr>
                <w:rFonts w:ascii="Arial" w:eastAsia="Times New Roman" w:hAnsi="Arial" w:cs="Arial"/>
                <w:b/>
                <w:bCs/>
                <w:sz w:val="18"/>
                <w:szCs w:val="18"/>
                <w:lang w:eastAsia="sl-SI"/>
              </w:rPr>
            </w:pPr>
          </w:p>
        </w:tc>
        <w:tc>
          <w:tcPr>
            <w:tcW w:w="1095" w:type="dxa"/>
            <w:vMerge/>
            <w:tcBorders>
              <w:top w:val="single" w:sz="4" w:space="0" w:color="auto"/>
              <w:left w:val="single" w:sz="4" w:space="0" w:color="auto"/>
              <w:bottom w:val="single" w:sz="4" w:space="0" w:color="000000"/>
              <w:right w:val="single" w:sz="4" w:space="0" w:color="auto"/>
            </w:tcBorders>
            <w:vAlign w:val="center"/>
            <w:hideMark/>
          </w:tcPr>
          <w:p w14:paraId="46D9E10F" w14:textId="77777777" w:rsidR="004B7622" w:rsidRPr="003B3D8A" w:rsidRDefault="004B7622" w:rsidP="00377989">
            <w:pPr>
              <w:spacing w:after="0" w:line="240" w:lineRule="auto"/>
              <w:rPr>
                <w:rFonts w:ascii="Arial" w:eastAsia="Times New Roman" w:hAnsi="Arial" w:cs="Arial"/>
                <w:b/>
                <w:bCs/>
                <w:sz w:val="18"/>
                <w:szCs w:val="18"/>
                <w:lang w:eastAsia="sl-SI"/>
              </w:rPr>
            </w:pPr>
          </w:p>
        </w:tc>
        <w:tc>
          <w:tcPr>
            <w:tcW w:w="1118" w:type="dxa"/>
            <w:vMerge/>
            <w:tcBorders>
              <w:top w:val="single" w:sz="4" w:space="0" w:color="auto"/>
              <w:left w:val="single" w:sz="4" w:space="0" w:color="auto"/>
              <w:bottom w:val="single" w:sz="4" w:space="0" w:color="000000"/>
              <w:right w:val="single" w:sz="4" w:space="0" w:color="auto"/>
            </w:tcBorders>
            <w:vAlign w:val="center"/>
            <w:hideMark/>
          </w:tcPr>
          <w:p w14:paraId="2F9BE114" w14:textId="77777777" w:rsidR="004B7622" w:rsidRPr="003B3D8A" w:rsidRDefault="004B7622" w:rsidP="00377989">
            <w:pPr>
              <w:spacing w:after="0" w:line="240" w:lineRule="auto"/>
              <w:rPr>
                <w:rFonts w:ascii="Arial" w:eastAsia="Times New Roman" w:hAnsi="Arial" w:cs="Arial"/>
                <w:b/>
                <w:bCs/>
                <w:sz w:val="18"/>
                <w:szCs w:val="18"/>
                <w:lang w:eastAsia="sl-SI"/>
              </w:rPr>
            </w:pPr>
          </w:p>
        </w:tc>
        <w:tc>
          <w:tcPr>
            <w:tcW w:w="1095" w:type="dxa"/>
            <w:vMerge/>
            <w:tcBorders>
              <w:top w:val="single" w:sz="4" w:space="0" w:color="auto"/>
              <w:left w:val="single" w:sz="4" w:space="0" w:color="auto"/>
              <w:bottom w:val="single" w:sz="4" w:space="0" w:color="000000"/>
              <w:right w:val="single" w:sz="4" w:space="0" w:color="auto"/>
            </w:tcBorders>
            <w:vAlign w:val="center"/>
            <w:hideMark/>
          </w:tcPr>
          <w:p w14:paraId="0A1693EF" w14:textId="77777777" w:rsidR="004B7622" w:rsidRPr="003B3D8A" w:rsidRDefault="004B7622" w:rsidP="00377989">
            <w:pPr>
              <w:spacing w:after="0" w:line="240" w:lineRule="auto"/>
              <w:rPr>
                <w:rFonts w:ascii="Arial" w:eastAsia="Times New Roman" w:hAnsi="Arial" w:cs="Arial"/>
                <w:b/>
                <w:bCs/>
                <w:sz w:val="18"/>
                <w:szCs w:val="18"/>
                <w:lang w:eastAsia="sl-SI"/>
              </w:rPr>
            </w:pPr>
          </w:p>
        </w:tc>
        <w:tc>
          <w:tcPr>
            <w:tcW w:w="1095" w:type="dxa"/>
            <w:vMerge/>
            <w:tcBorders>
              <w:top w:val="single" w:sz="4" w:space="0" w:color="auto"/>
              <w:left w:val="single" w:sz="4" w:space="0" w:color="auto"/>
              <w:bottom w:val="single" w:sz="4" w:space="0" w:color="000000"/>
              <w:right w:val="single" w:sz="4" w:space="0" w:color="auto"/>
            </w:tcBorders>
            <w:vAlign w:val="center"/>
            <w:hideMark/>
          </w:tcPr>
          <w:p w14:paraId="1F35FF3C" w14:textId="77777777" w:rsidR="004B7622" w:rsidRPr="003B3D8A" w:rsidRDefault="004B7622" w:rsidP="00377989">
            <w:pPr>
              <w:spacing w:after="0" w:line="240" w:lineRule="auto"/>
              <w:rPr>
                <w:rFonts w:ascii="Arial" w:eastAsia="Times New Roman" w:hAnsi="Arial" w:cs="Arial"/>
                <w:b/>
                <w:bCs/>
                <w:sz w:val="18"/>
                <w:szCs w:val="18"/>
                <w:lang w:eastAsia="sl-SI"/>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758D583E" w14:textId="77777777" w:rsidR="004B7622" w:rsidRPr="003B3D8A" w:rsidRDefault="004B7622" w:rsidP="00377989">
            <w:pPr>
              <w:spacing w:after="0" w:line="240" w:lineRule="auto"/>
              <w:rPr>
                <w:rFonts w:ascii="Arial" w:eastAsia="Times New Roman" w:hAnsi="Arial" w:cs="Arial"/>
                <w:b/>
                <w:bCs/>
                <w:sz w:val="18"/>
                <w:szCs w:val="18"/>
                <w:lang w:eastAsia="sl-SI"/>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4A7F2C3F" w14:textId="77777777" w:rsidR="004B7622" w:rsidRPr="003B3D8A" w:rsidRDefault="004B7622" w:rsidP="00377989">
            <w:pPr>
              <w:spacing w:after="0" w:line="240" w:lineRule="auto"/>
              <w:rPr>
                <w:rFonts w:ascii="Arial" w:eastAsia="Times New Roman" w:hAnsi="Arial" w:cs="Arial"/>
                <w:b/>
                <w:bCs/>
                <w:sz w:val="18"/>
                <w:szCs w:val="18"/>
                <w:lang w:eastAsia="sl-SI"/>
              </w:rPr>
            </w:pPr>
          </w:p>
        </w:tc>
      </w:tr>
      <w:tr w:rsidR="004B7622" w:rsidRPr="003B3D8A" w14:paraId="7EF1464A" w14:textId="77777777" w:rsidTr="00377989">
        <w:trPr>
          <w:trHeight w:val="201"/>
        </w:trPr>
        <w:tc>
          <w:tcPr>
            <w:tcW w:w="9491" w:type="dxa"/>
            <w:gridSpan w:val="8"/>
            <w:tcBorders>
              <w:top w:val="single" w:sz="4" w:space="0" w:color="auto"/>
              <w:left w:val="single" w:sz="4" w:space="0" w:color="auto"/>
              <w:bottom w:val="single" w:sz="4" w:space="0" w:color="auto"/>
              <w:right w:val="single" w:sz="4" w:space="0" w:color="000000"/>
            </w:tcBorders>
            <w:shd w:val="clear" w:color="000000" w:fill="DCE6F1"/>
            <w:vAlign w:val="center"/>
            <w:hideMark/>
          </w:tcPr>
          <w:p w14:paraId="78480B95" w14:textId="77777777" w:rsidR="004B7622" w:rsidRPr="003B3D8A" w:rsidRDefault="004B7622" w:rsidP="00377989">
            <w:pPr>
              <w:spacing w:after="0" w:line="240" w:lineRule="auto"/>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 xml:space="preserve">Državni proračun </w:t>
            </w:r>
          </w:p>
        </w:tc>
      </w:tr>
      <w:tr w:rsidR="004B7622" w:rsidRPr="003B3D8A" w14:paraId="78DD152D" w14:textId="77777777" w:rsidTr="00377989">
        <w:trPr>
          <w:trHeight w:val="301"/>
        </w:trPr>
        <w:tc>
          <w:tcPr>
            <w:tcW w:w="1485" w:type="dxa"/>
            <w:tcBorders>
              <w:top w:val="nil"/>
              <w:left w:val="single" w:sz="4" w:space="0" w:color="auto"/>
              <w:bottom w:val="single" w:sz="4" w:space="0" w:color="auto"/>
              <w:right w:val="single" w:sz="4" w:space="0" w:color="auto"/>
            </w:tcBorders>
            <w:shd w:val="clear" w:color="auto" w:fill="auto"/>
            <w:vAlign w:val="center"/>
            <w:hideMark/>
          </w:tcPr>
          <w:p w14:paraId="09228C22" w14:textId="77777777" w:rsidR="004B7622" w:rsidRPr="003B3D8A" w:rsidRDefault="004B7622" w:rsidP="00377989">
            <w:pPr>
              <w:spacing w:after="0" w:line="240" w:lineRule="auto"/>
              <w:rPr>
                <w:rFonts w:ascii="Arial" w:eastAsia="Times New Roman" w:hAnsi="Arial" w:cs="Arial"/>
                <w:sz w:val="18"/>
                <w:szCs w:val="18"/>
                <w:lang w:eastAsia="sl-SI"/>
              </w:rPr>
            </w:pPr>
            <w:r w:rsidRPr="003B3D8A">
              <w:rPr>
                <w:rFonts w:ascii="Arial" w:eastAsia="Times New Roman" w:hAnsi="Arial" w:cs="Arial"/>
                <w:sz w:val="18"/>
                <w:szCs w:val="18"/>
                <w:lang w:eastAsia="sl-SI"/>
              </w:rPr>
              <w:t xml:space="preserve">Aktivni dolg </w:t>
            </w:r>
          </w:p>
        </w:tc>
        <w:tc>
          <w:tcPr>
            <w:tcW w:w="1200" w:type="dxa"/>
            <w:tcBorders>
              <w:top w:val="nil"/>
              <w:left w:val="nil"/>
              <w:bottom w:val="single" w:sz="4" w:space="0" w:color="auto"/>
              <w:right w:val="single" w:sz="4" w:space="0" w:color="auto"/>
            </w:tcBorders>
            <w:shd w:val="clear" w:color="auto" w:fill="auto"/>
            <w:vAlign w:val="center"/>
            <w:hideMark/>
          </w:tcPr>
          <w:p w14:paraId="0D66A296"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56.696.032</w:t>
            </w:r>
          </w:p>
        </w:tc>
        <w:tc>
          <w:tcPr>
            <w:tcW w:w="1095" w:type="dxa"/>
            <w:tcBorders>
              <w:top w:val="nil"/>
              <w:left w:val="nil"/>
              <w:bottom w:val="single" w:sz="4" w:space="0" w:color="auto"/>
              <w:right w:val="single" w:sz="4" w:space="0" w:color="auto"/>
            </w:tcBorders>
            <w:shd w:val="clear" w:color="auto" w:fill="auto"/>
            <w:vAlign w:val="center"/>
            <w:hideMark/>
          </w:tcPr>
          <w:p w14:paraId="35780ABE"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19.097.507</w:t>
            </w:r>
          </w:p>
        </w:tc>
        <w:tc>
          <w:tcPr>
            <w:tcW w:w="1118" w:type="dxa"/>
            <w:tcBorders>
              <w:top w:val="nil"/>
              <w:left w:val="nil"/>
              <w:bottom w:val="single" w:sz="4" w:space="0" w:color="auto"/>
              <w:right w:val="single" w:sz="4" w:space="0" w:color="auto"/>
            </w:tcBorders>
            <w:shd w:val="clear" w:color="auto" w:fill="auto"/>
            <w:vAlign w:val="center"/>
            <w:hideMark/>
          </w:tcPr>
          <w:p w14:paraId="5940E1FB"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12.944.652</w:t>
            </w:r>
          </w:p>
        </w:tc>
        <w:tc>
          <w:tcPr>
            <w:tcW w:w="1095" w:type="dxa"/>
            <w:tcBorders>
              <w:top w:val="nil"/>
              <w:left w:val="nil"/>
              <w:bottom w:val="single" w:sz="4" w:space="0" w:color="auto"/>
              <w:right w:val="single" w:sz="4" w:space="0" w:color="auto"/>
            </w:tcBorders>
            <w:shd w:val="clear" w:color="auto" w:fill="auto"/>
            <w:vAlign w:val="center"/>
            <w:hideMark/>
          </w:tcPr>
          <w:p w14:paraId="292A348D"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28.719.619</w:t>
            </w:r>
          </w:p>
        </w:tc>
        <w:tc>
          <w:tcPr>
            <w:tcW w:w="1095" w:type="dxa"/>
            <w:tcBorders>
              <w:top w:val="nil"/>
              <w:left w:val="nil"/>
              <w:bottom w:val="single" w:sz="4" w:space="0" w:color="auto"/>
              <w:right w:val="single" w:sz="4" w:space="0" w:color="auto"/>
            </w:tcBorders>
            <w:shd w:val="clear" w:color="auto" w:fill="auto"/>
            <w:vAlign w:val="center"/>
            <w:hideMark/>
          </w:tcPr>
          <w:p w14:paraId="532EBAF2"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48.890.696</w:t>
            </w:r>
          </w:p>
        </w:tc>
        <w:tc>
          <w:tcPr>
            <w:tcW w:w="1200" w:type="dxa"/>
            <w:tcBorders>
              <w:top w:val="nil"/>
              <w:left w:val="nil"/>
              <w:bottom w:val="single" w:sz="4" w:space="0" w:color="auto"/>
              <w:right w:val="single" w:sz="4" w:space="0" w:color="auto"/>
            </w:tcBorders>
            <w:shd w:val="clear" w:color="auto" w:fill="auto"/>
            <w:vAlign w:val="center"/>
            <w:hideMark/>
          </w:tcPr>
          <w:p w14:paraId="42C6B8D2"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126.845.333</w:t>
            </w:r>
          </w:p>
        </w:tc>
        <w:tc>
          <w:tcPr>
            <w:tcW w:w="1200" w:type="dxa"/>
            <w:tcBorders>
              <w:top w:val="nil"/>
              <w:left w:val="nil"/>
              <w:bottom w:val="single" w:sz="4" w:space="0" w:color="auto"/>
              <w:right w:val="single" w:sz="4" w:space="0" w:color="auto"/>
            </w:tcBorders>
            <w:shd w:val="clear" w:color="auto" w:fill="auto"/>
            <w:vAlign w:val="center"/>
            <w:hideMark/>
          </w:tcPr>
          <w:p w14:paraId="5CAD2123" w14:textId="77777777" w:rsidR="004B7622" w:rsidRPr="003B3D8A" w:rsidRDefault="004B7622" w:rsidP="00377989">
            <w:pPr>
              <w:spacing w:after="0" w:line="240" w:lineRule="auto"/>
              <w:jc w:val="right"/>
              <w:rPr>
                <w:rFonts w:ascii="Arial" w:eastAsia="Times New Roman" w:hAnsi="Arial" w:cs="Arial"/>
                <w:color w:val="000000"/>
                <w:sz w:val="18"/>
                <w:szCs w:val="18"/>
                <w:lang w:eastAsia="sl-SI"/>
              </w:rPr>
            </w:pPr>
            <w:r w:rsidRPr="003B3D8A">
              <w:rPr>
                <w:rFonts w:ascii="Arial" w:eastAsia="Times New Roman" w:hAnsi="Arial" w:cs="Arial"/>
                <w:color w:val="000000"/>
                <w:sz w:val="18"/>
                <w:szCs w:val="18"/>
                <w:lang w:eastAsia="sl-SI"/>
              </w:rPr>
              <w:t>293.193.839</w:t>
            </w:r>
          </w:p>
        </w:tc>
      </w:tr>
      <w:tr w:rsidR="004B7622" w:rsidRPr="003B3D8A" w14:paraId="32834373" w14:textId="77777777" w:rsidTr="00377989">
        <w:trPr>
          <w:trHeight w:val="301"/>
        </w:trPr>
        <w:tc>
          <w:tcPr>
            <w:tcW w:w="1485" w:type="dxa"/>
            <w:tcBorders>
              <w:top w:val="nil"/>
              <w:left w:val="single" w:sz="4" w:space="0" w:color="auto"/>
              <w:bottom w:val="nil"/>
              <w:right w:val="single" w:sz="4" w:space="0" w:color="auto"/>
            </w:tcBorders>
            <w:shd w:val="clear" w:color="auto" w:fill="auto"/>
            <w:vAlign w:val="center"/>
            <w:hideMark/>
          </w:tcPr>
          <w:p w14:paraId="54825AE7" w14:textId="77777777" w:rsidR="004B7622" w:rsidRPr="003B3D8A" w:rsidRDefault="004B7622" w:rsidP="00377989">
            <w:pPr>
              <w:spacing w:after="0" w:line="240" w:lineRule="auto"/>
              <w:rPr>
                <w:rFonts w:ascii="Arial" w:eastAsia="Times New Roman" w:hAnsi="Arial" w:cs="Arial"/>
                <w:sz w:val="18"/>
                <w:szCs w:val="18"/>
                <w:lang w:eastAsia="sl-SI"/>
              </w:rPr>
            </w:pPr>
            <w:r w:rsidRPr="003B3D8A">
              <w:rPr>
                <w:rFonts w:ascii="Arial" w:eastAsia="Times New Roman" w:hAnsi="Arial" w:cs="Arial"/>
                <w:sz w:val="18"/>
                <w:szCs w:val="18"/>
                <w:lang w:eastAsia="sl-SI"/>
              </w:rPr>
              <w:t xml:space="preserve">Pogojno izterljivi dolg </w:t>
            </w:r>
          </w:p>
        </w:tc>
        <w:tc>
          <w:tcPr>
            <w:tcW w:w="1200" w:type="dxa"/>
            <w:tcBorders>
              <w:top w:val="nil"/>
              <w:left w:val="nil"/>
              <w:bottom w:val="nil"/>
              <w:right w:val="single" w:sz="4" w:space="0" w:color="auto"/>
            </w:tcBorders>
            <w:shd w:val="clear" w:color="auto" w:fill="auto"/>
            <w:vAlign w:val="center"/>
            <w:hideMark/>
          </w:tcPr>
          <w:p w14:paraId="27E63DFD"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203.213.856</w:t>
            </w:r>
          </w:p>
        </w:tc>
        <w:tc>
          <w:tcPr>
            <w:tcW w:w="1095" w:type="dxa"/>
            <w:tcBorders>
              <w:top w:val="nil"/>
              <w:left w:val="nil"/>
              <w:bottom w:val="nil"/>
              <w:right w:val="single" w:sz="4" w:space="0" w:color="auto"/>
            </w:tcBorders>
            <w:shd w:val="clear" w:color="auto" w:fill="auto"/>
            <w:vAlign w:val="center"/>
            <w:hideMark/>
          </w:tcPr>
          <w:p w14:paraId="46E4E63B"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30.215.062</w:t>
            </w:r>
          </w:p>
        </w:tc>
        <w:tc>
          <w:tcPr>
            <w:tcW w:w="1118" w:type="dxa"/>
            <w:tcBorders>
              <w:top w:val="nil"/>
              <w:left w:val="nil"/>
              <w:bottom w:val="nil"/>
              <w:right w:val="single" w:sz="4" w:space="0" w:color="auto"/>
            </w:tcBorders>
            <w:shd w:val="clear" w:color="auto" w:fill="auto"/>
            <w:vAlign w:val="center"/>
            <w:hideMark/>
          </w:tcPr>
          <w:p w14:paraId="56613EAC"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23.781.644</w:t>
            </w:r>
          </w:p>
        </w:tc>
        <w:tc>
          <w:tcPr>
            <w:tcW w:w="1095" w:type="dxa"/>
            <w:tcBorders>
              <w:top w:val="nil"/>
              <w:left w:val="nil"/>
              <w:bottom w:val="single" w:sz="4" w:space="0" w:color="auto"/>
              <w:right w:val="single" w:sz="4" w:space="0" w:color="auto"/>
            </w:tcBorders>
            <w:shd w:val="clear" w:color="auto" w:fill="auto"/>
            <w:vAlign w:val="center"/>
            <w:hideMark/>
          </w:tcPr>
          <w:p w14:paraId="6BAE3322"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34.403.361</w:t>
            </w:r>
          </w:p>
        </w:tc>
        <w:tc>
          <w:tcPr>
            <w:tcW w:w="1095" w:type="dxa"/>
            <w:tcBorders>
              <w:top w:val="nil"/>
              <w:left w:val="nil"/>
              <w:bottom w:val="single" w:sz="4" w:space="0" w:color="auto"/>
              <w:right w:val="single" w:sz="4" w:space="0" w:color="auto"/>
            </w:tcBorders>
            <w:shd w:val="clear" w:color="auto" w:fill="auto"/>
            <w:vAlign w:val="center"/>
            <w:hideMark/>
          </w:tcPr>
          <w:p w14:paraId="14EC99B6"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26.645.255</w:t>
            </w:r>
          </w:p>
        </w:tc>
        <w:tc>
          <w:tcPr>
            <w:tcW w:w="1200" w:type="dxa"/>
            <w:tcBorders>
              <w:top w:val="nil"/>
              <w:left w:val="nil"/>
              <w:bottom w:val="single" w:sz="4" w:space="0" w:color="auto"/>
              <w:right w:val="single" w:sz="4" w:space="0" w:color="auto"/>
            </w:tcBorders>
            <w:shd w:val="clear" w:color="auto" w:fill="auto"/>
            <w:vAlign w:val="center"/>
            <w:hideMark/>
          </w:tcPr>
          <w:p w14:paraId="53D1A66B"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13.835.100</w:t>
            </w:r>
          </w:p>
        </w:tc>
        <w:tc>
          <w:tcPr>
            <w:tcW w:w="1200" w:type="dxa"/>
            <w:tcBorders>
              <w:top w:val="nil"/>
              <w:left w:val="nil"/>
              <w:bottom w:val="single" w:sz="4" w:space="0" w:color="auto"/>
              <w:right w:val="single" w:sz="4" w:space="0" w:color="auto"/>
            </w:tcBorders>
            <w:shd w:val="clear" w:color="auto" w:fill="auto"/>
            <w:vAlign w:val="center"/>
            <w:hideMark/>
          </w:tcPr>
          <w:p w14:paraId="2CEA45C4" w14:textId="77777777" w:rsidR="004B7622" w:rsidRPr="003B3D8A" w:rsidRDefault="004B7622" w:rsidP="00377989">
            <w:pPr>
              <w:spacing w:after="0" w:line="240" w:lineRule="auto"/>
              <w:jc w:val="right"/>
              <w:rPr>
                <w:rFonts w:ascii="Arial" w:eastAsia="Times New Roman" w:hAnsi="Arial" w:cs="Arial"/>
                <w:color w:val="000000"/>
                <w:sz w:val="18"/>
                <w:szCs w:val="18"/>
                <w:lang w:eastAsia="sl-SI"/>
              </w:rPr>
            </w:pPr>
            <w:r w:rsidRPr="003B3D8A">
              <w:rPr>
                <w:rFonts w:ascii="Arial" w:eastAsia="Times New Roman" w:hAnsi="Arial" w:cs="Arial"/>
                <w:color w:val="000000"/>
                <w:sz w:val="18"/>
                <w:szCs w:val="18"/>
                <w:lang w:eastAsia="sl-SI"/>
              </w:rPr>
              <w:t>332.094.278</w:t>
            </w:r>
          </w:p>
        </w:tc>
      </w:tr>
      <w:tr w:rsidR="004B7622" w:rsidRPr="003B3D8A" w14:paraId="65D5BD45" w14:textId="77777777" w:rsidTr="00377989">
        <w:trPr>
          <w:trHeight w:val="184"/>
        </w:trPr>
        <w:tc>
          <w:tcPr>
            <w:tcW w:w="1485" w:type="dxa"/>
            <w:tcBorders>
              <w:top w:val="double" w:sz="6" w:space="0" w:color="auto"/>
              <w:left w:val="single" w:sz="4" w:space="0" w:color="auto"/>
              <w:bottom w:val="double" w:sz="6" w:space="0" w:color="auto"/>
              <w:right w:val="single" w:sz="4" w:space="0" w:color="auto"/>
            </w:tcBorders>
            <w:shd w:val="clear" w:color="auto" w:fill="auto"/>
            <w:vAlign w:val="center"/>
            <w:hideMark/>
          </w:tcPr>
          <w:p w14:paraId="70BF650C" w14:textId="77777777" w:rsidR="004B7622" w:rsidRPr="003B3D8A" w:rsidRDefault="004B7622" w:rsidP="00377989">
            <w:pPr>
              <w:spacing w:after="0" w:line="240" w:lineRule="auto"/>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Skupaj država</w:t>
            </w:r>
          </w:p>
        </w:tc>
        <w:tc>
          <w:tcPr>
            <w:tcW w:w="1200" w:type="dxa"/>
            <w:tcBorders>
              <w:top w:val="double" w:sz="6" w:space="0" w:color="auto"/>
              <w:left w:val="nil"/>
              <w:bottom w:val="double" w:sz="6" w:space="0" w:color="auto"/>
              <w:right w:val="single" w:sz="4" w:space="0" w:color="auto"/>
            </w:tcBorders>
            <w:shd w:val="clear" w:color="auto" w:fill="auto"/>
            <w:vAlign w:val="center"/>
            <w:hideMark/>
          </w:tcPr>
          <w:p w14:paraId="79946821" w14:textId="77777777" w:rsidR="004B7622" w:rsidRPr="003B3D8A" w:rsidRDefault="004B7622" w:rsidP="00377989">
            <w:pPr>
              <w:spacing w:after="0" w:line="240" w:lineRule="auto"/>
              <w:jc w:val="right"/>
              <w:rPr>
                <w:rFonts w:ascii="Arial" w:eastAsia="Times New Roman" w:hAnsi="Arial" w:cs="Arial"/>
                <w:b/>
                <w:bCs/>
                <w:i/>
                <w:iCs/>
                <w:sz w:val="18"/>
                <w:szCs w:val="18"/>
                <w:lang w:eastAsia="sl-SI"/>
              </w:rPr>
            </w:pPr>
            <w:r w:rsidRPr="003B3D8A">
              <w:rPr>
                <w:rFonts w:ascii="Arial" w:eastAsia="Times New Roman" w:hAnsi="Arial" w:cs="Arial"/>
                <w:b/>
                <w:bCs/>
                <w:i/>
                <w:iCs/>
                <w:sz w:val="18"/>
                <w:szCs w:val="18"/>
                <w:lang w:eastAsia="sl-SI"/>
              </w:rPr>
              <w:t>259.909.888</w:t>
            </w:r>
          </w:p>
        </w:tc>
        <w:tc>
          <w:tcPr>
            <w:tcW w:w="1095" w:type="dxa"/>
            <w:tcBorders>
              <w:top w:val="double" w:sz="6" w:space="0" w:color="auto"/>
              <w:left w:val="nil"/>
              <w:bottom w:val="double" w:sz="6" w:space="0" w:color="auto"/>
              <w:right w:val="single" w:sz="4" w:space="0" w:color="auto"/>
            </w:tcBorders>
            <w:shd w:val="clear" w:color="auto" w:fill="auto"/>
            <w:vAlign w:val="center"/>
            <w:hideMark/>
          </w:tcPr>
          <w:p w14:paraId="4D6BB40C" w14:textId="77777777" w:rsidR="004B7622" w:rsidRPr="003B3D8A" w:rsidRDefault="004B7622" w:rsidP="00377989">
            <w:pPr>
              <w:spacing w:after="0" w:line="240" w:lineRule="auto"/>
              <w:jc w:val="right"/>
              <w:rPr>
                <w:rFonts w:ascii="Arial" w:eastAsia="Times New Roman" w:hAnsi="Arial" w:cs="Arial"/>
                <w:b/>
                <w:bCs/>
                <w:i/>
                <w:iCs/>
                <w:sz w:val="18"/>
                <w:szCs w:val="18"/>
                <w:lang w:eastAsia="sl-SI"/>
              </w:rPr>
            </w:pPr>
            <w:r w:rsidRPr="003B3D8A">
              <w:rPr>
                <w:rFonts w:ascii="Arial" w:eastAsia="Times New Roman" w:hAnsi="Arial" w:cs="Arial"/>
                <w:b/>
                <w:bCs/>
                <w:i/>
                <w:iCs/>
                <w:sz w:val="18"/>
                <w:szCs w:val="18"/>
                <w:lang w:eastAsia="sl-SI"/>
              </w:rPr>
              <w:t>49.312.569</w:t>
            </w:r>
          </w:p>
        </w:tc>
        <w:tc>
          <w:tcPr>
            <w:tcW w:w="1118" w:type="dxa"/>
            <w:tcBorders>
              <w:top w:val="double" w:sz="6" w:space="0" w:color="auto"/>
              <w:left w:val="nil"/>
              <w:bottom w:val="double" w:sz="6" w:space="0" w:color="auto"/>
              <w:right w:val="single" w:sz="4" w:space="0" w:color="auto"/>
            </w:tcBorders>
            <w:shd w:val="clear" w:color="auto" w:fill="auto"/>
            <w:vAlign w:val="center"/>
            <w:hideMark/>
          </w:tcPr>
          <w:p w14:paraId="37E70627" w14:textId="77777777" w:rsidR="004B7622" w:rsidRPr="003B3D8A" w:rsidRDefault="004B7622" w:rsidP="00377989">
            <w:pPr>
              <w:spacing w:after="0" w:line="240" w:lineRule="auto"/>
              <w:jc w:val="right"/>
              <w:rPr>
                <w:rFonts w:ascii="Arial" w:eastAsia="Times New Roman" w:hAnsi="Arial" w:cs="Arial"/>
                <w:b/>
                <w:bCs/>
                <w:i/>
                <w:iCs/>
                <w:sz w:val="18"/>
                <w:szCs w:val="18"/>
                <w:lang w:eastAsia="sl-SI"/>
              </w:rPr>
            </w:pPr>
            <w:r w:rsidRPr="003B3D8A">
              <w:rPr>
                <w:rFonts w:ascii="Arial" w:eastAsia="Times New Roman" w:hAnsi="Arial" w:cs="Arial"/>
                <w:b/>
                <w:bCs/>
                <w:i/>
                <w:iCs/>
                <w:sz w:val="18"/>
                <w:szCs w:val="18"/>
                <w:lang w:eastAsia="sl-SI"/>
              </w:rPr>
              <w:t>36.726.296</w:t>
            </w:r>
          </w:p>
        </w:tc>
        <w:tc>
          <w:tcPr>
            <w:tcW w:w="1095" w:type="dxa"/>
            <w:tcBorders>
              <w:top w:val="double" w:sz="6" w:space="0" w:color="auto"/>
              <w:left w:val="nil"/>
              <w:bottom w:val="double" w:sz="6" w:space="0" w:color="auto"/>
              <w:right w:val="single" w:sz="4" w:space="0" w:color="auto"/>
            </w:tcBorders>
            <w:shd w:val="clear" w:color="auto" w:fill="auto"/>
            <w:vAlign w:val="center"/>
            <w:hideMark/>
          </w:tcPr>
          <w:p w14:paraId="34E3DF2F" w14:textId="77777777" w:rsidR="004B7622" w:rsidRPr="003B3D8A" w:rsidRDefault="004B7622" w:rsidP="00377989">
            <w:pPr>
              <w:spacing w:after="0" w:line="240" w:lineRule="auto"/>
              <w:jc w:val="right"/>
              <w:rPr>
                <w:rFonts w:ascii="Arial" w:eastAsia="Times New Roman" w:hAnsi="Arial" w:cs="Arial"/>
                <w:b/>
                <w:bCs/>
                <w:i/>
                <w:iCs/>
                <w:sz w:val="18"/>
                <w:szCs w:val="18"/>
                <w:lang w:eastAsia="sl-SI"/>
              </w:rPr>
            </w:pPr>
            <w:r w:rsidRPr="003B3D8A">
              <w:rPr>
                <w:rFonts w:ascii="Arial" w:eastAsia="Times New Roman" w:hAnsi="Arial" w:cs="Arial"/>
                <w:b/>
                <w:bCs/>
                <w:i/>
                <w:iCs/>
                <w:sz w:val="18"/>
                <w:szCs w:val="18"/>
                <w:lang w:eastAsia="sl-SI"/>
              </w:rPr>
              <w:t>63.122.980</w:t>
            </w:r>
          </w:p>
        </w:tc>
        <w:tc>
          <w:tcPr>
            <w:tcW w:w="1095" w:type="dxa"/>
            <w:tcBorders>
              <w:top w:val="double" w:sz="6" w:space="0" w:color="auto"/>
              <w:left w:val="nil"/>
              <w:bottom w:val="double" w:sz="6" w:space="0" w:color="auto"/>
              <w:right w:val="single" w:sz="4" w:space="0" w:color="auto"/>
            </w:tcBorders>
            <w:shd w:val="clear" w:color="auto" w:fill="auto"/>
            <w:vAlign w:val="center"/>
            <w:hideMark/>
          </w:tcPr>
          <w:p w14:paraId="24F5DFD3" w14:textId="77777777" w:rsidR="004B7622" w:rsidRPr="003B3D8A" w:rsidRDefault="004B7622" w:rsidP="00377989">
            <w:pPr>
              <w:spacing w:after="0" w:line="240" w:lineRule="auto"/>
              <w:jc w:val="right"/>
              <w:rPr>
                <w:rFonts w:ascii="Arial" w:eastAsia="Times New Roman" w:hAnsi="Arial" w:cs="Arial"/>
                <w:b/>
                <w:bCs/>
                <w:i/>
                <w:iCs/>
                <w:sz w:val="18"/>
                <w:szCs w:val="18"/>
                <w:lang w:eastAsia="sl-SI"/>
              </w:rPr>
            </w:pPr>
            <w:r w:rsidRPr="003B3D8A">
              <w:rPr>
                <w:rFonts w:ascii="Arial" w:eastAsia="Times New Roman" w:hAnsi="Arial" w:cs="Arial"/>
                <w:b/>
                <w:bCs/>
                <w:i/>
                <w:iCs/>
                <w:sz w:val="18"/>
                <w:szCs w:val="18"/>
                <w:lang w:eastAsia="sl-SI"/>
              </w:rPr>
              <w:t>75.535.951</w:t>
            </w:r>
          </w:p>
        </w:tc>
        <w:tc>
          <w:tcPr>
            <w:tcW w:w="1200" w:type="dxa"/>
            <w:tcBorders>
              <w:top w:val="double" w:sz="6" w:space="0" w:color="auto"/>
              <w:left w:val="nil"/>
              <w:bottom w:val="double" w:sz="6" w:space="0" w:color="auto"/>
              <w:right w:val="single" w:sz="4" w:space="0" w:color="auto"/>
            </w:tcBorders>
            <w:shd w:val="clear" w:color="auto" w:fill="auto"/>
            <w:vAlign w:val="center"/>
            <w:hideMark/>
          </w:tcPr>
          <w:p w14:paraId="07985BA7" w14:textId="77777777" w:rsidR="004B7622" w:rsidRPr="003B3D8A" w:rsidRDefault="004B7622" w:rsidP="00377989">
            <w:pPr>
              <w:spacing w:after="0" w:line="240" w:lineRule="auto"/>
              <w:jc w:val="right"/>
              <w:rPr>
                <w:rFonts w:ascii="Arial" w:eastAsia="Times New Roman" w:hAnsi="Arial" w:cs="Arial"/>
                <w:b/>
                <w:bCs/>
                <w:i/>
                <w:iCs/>
                <w:sz w:val="18"/>
                <w:szCs w:val="18"/>
                <w:lang w:eastAsia="sl-SI"/>
              </w:rPr>
            </w:pPr>
            <w:r w:rsidRPr="003B3D8A">
              <w:rPr>
                <w:rFonts w:ascii="Arial" w:eastAsia="Times New Roman" w:hAnsi="Arial" w:cs="Arial"/>
                <w:b/>
                <w:bCs/>
                <w:i/>
                <w:iCs/>
                <w:sz w:val="18"/>
                <w:szCs w:val="18"/>
                <w:lang w:eastAsia="sl-SI"/>
              </w:rPr>
              <w:t>140.680.433</w:t>
            </w:r>
          </w:p>
        </w:tc>
        <w:tc>
          <w:tcPr>
            <w:tcW w:w="1200" w:type="dxa"/>
            <w:tcBorders>
              <w:top w:val="double" w:sz="6" w:space="0" w:color="auto"/>
              <w:left w:val="nil"/>
              <w:bottom w:val="double" w:sz="6" w:space="0" w:color="auto"/>
              <w:right w:val="single" w:sz="4" w:space="0" w:color="auto"/>
            </w:tcBorders>
            <w:shd w:val="clear" w:color="auto" w:fill="auto"/>
            <w:vAlign w:val="center"/>
            <w:hideMark/>
          </w:tcPr>
          <w:p w14:paraId="7B00B968" w14:textId="77777777" w:rsidR="004B7622" w:rsidRPr="003B3D8A" w:rsidRDefault="004B7622" w:rsidP="00377989">
            <w:pPr>
              <w:spacing w:after="0" w:line="240" w:lineRule="auto"/>
              <w:jc w:val="right"/>
              <w:rPr>
                <w:rFonts w:ascii="Arial" w:eastAsia="Times New Roman" w:hAnsi="Arial" w:cs="Arial"/>
                <w:b/>
                <w:bCs/>
                <w:i/>
                <w:iCs/>
                <w:sz w:val="18"/>
                <w:szCs w:val="18"/>
                <w:lang w:eastAsia="sl-SI"/>
              </w:rPr>
            </w:pPr>
            <w:r w:rsidRPr="003B3D8A">
              <w:rPr>
                <w:rFonts w:ascii="Arial" w:eastAsia="Times New Roman" w:hAnsi="Arial" w:cs="Arial"/>
                <w:b/>
                <w:bCs/>
                <w:i/>
                <w:iCs/>
                <w:sz w:val="18"/>
                <w:szCs w:val="18"/>
                <w:lang w:eastAsia="sl-SI"/>
              </w:rPr>
              <w:t>625.288.117</w:t>
            </w:r>
          </w:p>
        </w:tc>
      </w:tr>
      <w:tr w:rsidR="004B7622" w:rsidRPr="003B3D8A" w14:paraId="2B3B46BE" w14:textId="77777777" w:rsidTr="00377989">
        <w:trPr>
          <w:trHeight w:val="218"/>
        </w:trPr>
        <w:tc>
          <w:tcPr>
            <w:tcW w:w="9491" w:type="dxa"/>
            <w:gridSpan w:val="8"/>
            <w:tcBorders>
              <w:top w:val="double" w:sz="6" w:space="0" w:color="auto"/>
              <w:left w:val="single" w:sz="4" w:space="0" w:color="auto"/>
              <w:bottom w:val="single" w:sz="4" w:space="0" w:color="auto"/>
              <w:right w:val="single" w:sz="4" w:space="0" w:color="000000"/>
            </w:tcBorders>
            <w:shd w:val="clear" w:color="000000" w:fill="DCE6F1"/>
            <w:noWrap/>
            <w:vAlign w:val="center"/>
            <w:hideMark/>
          </w:tcPr>
          <w:p w14:paraId="53CAEEE2" w14:textId="77777777" w:rsidR="004B7622" w:rsidRPr="003B3D8A" w:rsidRDefault="004B7622" w:rsidP="00377989">
            <w:pPr>
              <w:spacing w:after="0" w:line="240" w:lineRule="auto"/>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 xml:space="preserve">Zavod za pokojninsko in invalidsko zavarovanje </w:t>
            </w:r>
          </w:p>
        </w:tc>
      </w:tr>
      <w:tr w:rsidR="004B7622" w:rsidRPr="003B3D8A" w14:paraId="61973CB6" w14:textId="77777777" w:rsidTr="00377989">
        <w:trPr>
          <w:trHeight w:val="301"/>
        </w:trPr>
        <w:tc>
          <w:tcPr>
            <w:tcW w:w="1485" w:type="dxa"/>
            <w:tcBorders>
              <w:top w:val="nil"/>
              <w:left w:val="single" w:sz="4" w:space="0" w:color="auto"/>
              <w:bottom w:val="single" w:sz="4" w:space="0" w:color="auto"/>
              <w:right w:val="single" w:sz="4" w:space="0" w:color="auto"/>
            </w:tcBorders>
            <w:shd w:val="clear" w:color="auto" w:fill="auto"/>
            <w:vAlign w:val="center"/>
            <w:hideMark/>
          </w:tcPr>
          <w:p w14:paraId="1C15BD6B" w14:textId="77777777" w:rsidR="004B7622" w:rsidRPr="003B3D8A" w:rsidRDefault="004B7622" w:rsidP="00377989">
            <w:pPr>
              <w:spacing w:after="0" w:line="240" w:lineRule="auto"/>
              <w:rPr>
                <w:rFonts w:ascii="Arial" w:eastAsia="Times New Roman" w:hAnsi="Arial" w:cs="Arial"/>
                <w:sz w:val="18"/>
                <w:szCs w:val="18"/>
                <w:lang w:eastAsia="sl-SI"/>
              </w:rPr>
            </w:pPr>
            <w:r w:rsidRPr="003B3D8A">
              <w:rPr>
                <w:rFonts w:ascii="Arial" w:eastAsia="Times New Roman" w:hAnsi="Arial" w:cs="Arial"/>
                <w:sz w:val="18"/>
                <w:szCs w:val="18"/>
                <w:lang w:eastAsia="sl-SI"/>
              </w:rPr>
              <w:t xml:space="preserve">Aktivni dolg </w:t>
            </w:r>
          </w:p>
        </w:tc>
        <w:tc>
          <w:tcPr>
            <w:tcW w:w="1200" w:type="dxa"/>
            <w:tcBorders>
              <w:top w:val="nil"/>
              <w:left w:val="nil"/>
              <w:bottom w:val="single" w:sz="4" w:space="0" w:color="auto"/>
              <w:right w:val="single" w:sz="4" w:space="0" w:color="auto"/>
            </w:tcBorders>
            <w:shd w:val="clear" w:color="auto" w:fill="auto"/>
            <w:vAlign w:val="center"/>
            <w:hideMark/>
          </w:tcPr>
          <w:p w14:paraId="091075E9"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29.149.360</w:t>
            </w:r>
          </w:p>
        </w:tc>
        <w:tc>
          <w:tcPr>
            <w:tcW w:w="1095" w:type="dxa"/>
            <w:tcBorders>
              <w:top w:val="nil"/>
              <w:left w:val="nil"/>
              <w:bottom w:val="single" w:sz="4" w:space="0" w:color="auto"/>
              <w:right w:val="single" w:sz="4" w:space="0" w:color="auto"/>
            </w:tcBorders>
            <w:shd w:val="clear" w:color="auto" w:fill="auto"/>
            <w:vAlign w:val="center"/>
            <w:hideMark/>
          </w:tcPr>
          <w:p w14:paraId="57881C6C"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5.819.224</w:t>
            </w:r>
          </w:p>
        </w:tc>
        <w:tc>
          <w:tcPr>
            <w:tcW w:w="1118" w:type="dxa"/>
            <w:tcBorders>
              <w:top w:val="nil"/>
              <w:left w:val="nil"/>
              <w:bottom w:val="single" w:sz="4" w:space="0" w:color="auto"/>
              <w:right w:val="single" w:sz="4" w:space="0" w:color="auto"/>
            </w:tcBorders>
            <w:shd w:val="clear" w:color="auto" w:fill="auto"/>
            <w:vAlign w:val="center"/>
            <w:hideMark/>
          </w:tcPr>
          <w:p w14:paraId="1BB73E98"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6.382.951</w:t>
            </w:r>
          </w:p>
        </w:tc>
        <w:tc>
          <w:tcPr>
            <w:tcW w:w="1095" w:type="dxa"/>
            <w:tcBorders>
              <w:top w:val="nil"/>
              <w:left w:val="nil"/>
              <w:bottom w:val="single" w:sz="4" w:space="0" w:color="auto"/>
              <w:right w:val="single" w:sz="4" w:space="0" w:color="auto"/>
            </w:tcBorders>
            <w:shd w:val="clear" w:color="auto" w:fill="auto"/>
            <w:vAlign w:val="center"/>
            <w:hideMark/>
          </w:tcPr>
          <w:p w14:paraId="5FE8FB26"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6.120.027</w:t>
            </w:r>
          </w:p>
        </w:tc>
        <w:tc>
          <w:tcPr>
            <w:tcW w:w="1095" w:type="dxa"/>
            <w:tcBorders>
              <w:top w:val="nil"/>
              <w:left w:val="nil"/>
              <w:bottom w:val="single" w:sz="4" w:space="0" w:color="auto"/>
              <w:right w:val="single" w:sz="4" w:space="0" w:color="auto"/>
            </w:tcBorders>
            <w:shd w:val="clear" w:color="auto" w:fill="auto"/>
            <w:vAlign w:val="center"/>
            <w:hideMark/>
          </w:tcPr>
          <w:p w14:paraId="07F7C7E9"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8.676.776</w:t>
            </w:r>
          </w:p>
        </w:tc>
        <w:tc>
          <w:tcPr>
            <w:tcW w:w="1200" w:type="dxa"/>
            <w:tcBorders>
              <w:top w:val="nil"/>
              <w:left w:val="nil"/>
              <w:bottom w:val="single" w:sz="4" w:space="0" w:color="auto"/>
              <w:right w:val="single" w:sz="4" w:space="0" w:color="auto"/>
            </w:tcBorders>
            <w:shd w:val="clear" w:color="auto" w:fill="auto"/>
            <w:vAlign w:val="center"/>
            <w:hideMark/>
          </w:tcPr>
          <w:p w14:paraId="47BCE6B9"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26.387.402</w:t>
            </w:r>
          </w:p>
        </w:tc>
        <w:tc>
          <w:tcPr>
            <w:tcW w:w="1200" w:type="dxa"/>
            <w:tcBorders>
              <w:top w:val="nil"/>
              <w:left w:val="nil"/>
              <w:bottom w:val="single" w:sz="4" w:space="0" w:color="auto"/>
              <w:right w:val="single" w:sz="4" w:space="0" w:color="auto"/>
            </w:tcBorders>
            <w:shd w:val="clear" w:color="auto" w:fill="auto"/>
            <w:vAlign w:val="center"/>
            <w:hideMark/>
          </w:tcPr>
          <w:p w14:paraId="34EC2013" w14:textId="77777777" w:rsidR="004B7622" w:rsidRPr="003B3D8A" w:rsidRDefault="004B7622" w:rsidP="00377989">
            <w:pPr>
              <w:spacing w:after="0" w:line="240" w:lineRule="auto"/>
              <w:jc w:val="right"/>
              <w:rPr>
                <w:rFonts w:ascii="Arial" w:eastAsia="Times New Roman" w:hAnsi="Arial" w:cs="Arial"/>
                <w:color w:val="000000"/>
                <w:sz w:val="18"/>
                <w:szCs w:val="18"/>
                <w:lang w:eastAsia="sl-SI"/>
              </w:rPr>
            </w:pPr>
            <w:r w:rsidRPr="003B3D8A">
              <w:rPr>
                <w:rFonts w:ascii="Arial" w:eastAsia="Times New Roman" w:hAnsi="Arial" w:cs="Arial"/>
                <w:color w:val="000000"/>
                <w:sz w:val="18"/>
                <w:szCs w:val="18"/>
                <w:lang w:eastAsia="sl-SI"/>
              </w:rPr>
              <w:t>82.535.740</w:t>
            </w:r>
          </w:p>
        </w:tc>
      </w:tr>
      <w:tr w:rsidR="004B7622" w:rsidRPr="003B3D8A" w14:paraId="056836DE" w14:textId="77777777" w:rsidTr="00377989">
        <w:trPr>
          <w:trHeight w:val="301"/>
        </w:trPr>
        <w:tc>
          <w:tcPr>
            <w:tcW w:w="1485" w:type="dxa"/>
            <w:tcBorders>
              <w:top w:val="nil"/>
              <w:left w:val="single" w:sz="4" w:space="0" w:color="auto"/>
              <w:bottom w:val="single" w:sz="4" w:space="0" w:color="auto"/>
              <w:right w:val="single" w:sz="4" w:space="0" w:color="auto"/>
            </w:tcBorders>
            <w:shd w:val="clear" w:color="auto" w:fill="auto"/>
            <w:vAlign w:val="center"/>
            <w:hideMark/>
          </w:tcPr>
          <w:p w14:paraId="0200FAB9" w14:textId="77777777" w:rsidR="004B7622" w:rsidRPr="003B3D8A" w:rsidRDefault="004B7622" w:rsidP="00377989">
            <w:pPr>
              <w:spacing w:after="0" w:line="240" w:lineRule="auto"/>
              <w:rPr>
                <w:rFonts w:ascii="Arial" w:eastAsia="Times New Roman" w:hAnsi="Arial" w:cs="Arial"/>
                <w:sz w:val="18"/>
                <w:szCs w:val="18"/>
                <w:lang w:eastAsia="sl-SI"/>
              </w:rPr>
            </w:pPr>
            <w:r w:rsidRPr="003B3D8A">
              <w:rPr>
                <w:rFonts w:ascii="Arial" w:eastAsia="Times New Roman" w:hAnsi="Arial" w:cs="Arial"/>
                <w:sz w:val="18"/>
                <w:szCs w:val="18"/>
                <w:lang w:eastAsia="sl-SI"/>
              </w:rPr>
              <w:t xml:space="preserve">Pogojno izterljivi dolg </w:t>
            </w:r>
          </w:p>
        </w:tc>
        <w:tc>
          <w:tcPr>
            <w:tcW w:w="1200" w:type="dxa"/>
            <w:tcBorders>
              <w:top w:val="nil"/>
              <w:left w:val="nil"/>
              <w:bottom w:val="single" w:sz="4" w:space="0" w:color="auto"/>
              <w:right w:val="single" w:sz="4" w:space="0" w:color="auto"/>
            </w:tcBorders>
            <w:shd w:val="clear" w:color="auto" w:fill="auto"/>
            <w:vAlign w:val="center"/>
            <w:hideMark/>
          </w:tcPr>
          <w:p w14:paraId="7A9F2E32"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70.912.711</w:t>
            </w:r>
          </w:p>
        </w:tc>
        <w:tc>
          <w:tcPr>
            <w:tcW w:w="1095" w:type="dxa"/>
            <w:tcBorders>
              <w:top w:val="nil"/>
              <w:left w:val="nil"/>
              <w:bottom w:val="single" w:sz="4" w:space="0" w:color="auto"/>
              <w:right w:val="single" w:sz="4" w:space="0" w:color="auto"/>
            </w:tcBorders>
            <w:shd w:val="clear" w:color="auto" w:fill="auto"/>
            <w:vAlign w:val="center"/>
            <w:hideMark/>
          </w:tcPr>
          <w:p w14:paraId="47BC2DB3"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6.115.361</w:t>
            </w:r>
          </w:p>
        </w:tc>
        <w:tc>
          <w:tcPr>
            <w:tcW w:w="1118" w:type="dxa"/>
            <w:tcBorders>
              <w:top w:val="nil"/>
              <w:left w:val="nil"/>
              <w:bottom w:val="single" w:sz="4" w:space="0" w:color="auto"/>
              <w:right w:val="single" w:sz="4" w:space="0" w:color="auto"/>
            </w:tcBorders>
            <w:shd w:val="clear" w:color="auto" w:fill="auto"/>
            <w:vAlign w:val="center"/>
            <w:hideMark/>
          </w:tcPr>
          <w:p w14:paraId="19320E69"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6.726.498</w:t>
            </w:r>
          </w:p>
        </w:tc>
        <w:tc>
          <w:tcPr>
            <w:tcW w:w="1095" w:type="dxa"/>
            <w:tcBorders>
              <w:top w:val="nil"/>
              <w:left w:val="nil"/>
              <w:bottom w:val="single" w:sz="4" w:space="0" w:color="auto"/>
              <w:right w:val="single" w:sz="4" w:space="0" w:color="auto"/>
            </w:tcBorders>
            <w:shd w:val="clear" w:color="auto" w:fill="auto"/>
            <w:vAlign w:val="center"/>
            <w:hideMark/>
          </w:tcPr>
          <w:p w14:paraId="305F9894"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5.602.753</w:t>
            </w:r>
          </w:p>
        </w:tc>
        <w:tc>
          <w:tcPr>
            <w:tcW w:w="1095" w:type="dxa"/>
            <w:tcBorders>
              <w:top w:val="nil"/>
              <w:left w:val="nil"/>
              <w:bottom w:val="single" w:sz="4" w:space="0" w:color="auto"/>
              <w:right w:val="single" w:sz="4" w:space="0" w:color="auto"/>
            </w:tcBorders>
            <w:shd w:val="clear" w:color="auto" w:fill="auto"/>
            <w:vAlign w:val="center"/>
            <w:hideMark/>
          </w:tcPr>
          <w:p w14:paraId="5E6D35B6"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3.766.255</w:t>
            </w:r>
          </w:p>
        </w:tc>
        <w:tc>
          <w:tcPr>
            <w:tcW w:w="1200" w:type="dxa"/>
            <w:tcBorders>
              <w:top w:val="nil"/>
              <w:left w:val="nil"/>
              <w:bottom w:val="single" w:sz="4" w:space="0" w:color="auto"/>
              <w:right w:val="single" w:sz="4" w:space="0" w:color="auto"/>
            </w:tcBorders>
            <w:shd w:val="clear" w:color="auto" w:fill="auto"/>
            <w:vAlign w:val="center"/>
            <w:hideMark/>
          </w:tcPr>
          <w:p w14:paraId="1EB2800E"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1.528.887</w:t>
            </w:r>
          </w:p>
        </w:tc>
        <w:tc>
          <w:tcPr>
            <w:tcW w:w="1200" w:type="dxa"/>
            <w:tcBorders>
              <w:top w:val="nil"/>
              <w:left w:val="nil"/>
              <w:bottom w:val="single" w:sz="4" w:space="0" w:color="auto"/>
              <w:right w:val="single" w:sz="4" w:space="0" w:color="auto"/>
            </w:tcBorders>
            <w:shd w:val="clear" w:color="auto" w:fill="auto"/>
            <w:vAlign w:val="center"/>
            <w:hideMark/>
          </w:tcPr>
          <w:p w14:paraId="40E75301" w14:textId="77777777" w:rsidR="004B7622" w:rsidRPr="003B3D8A" w:rsidRDefault="004B7622" w:rsidP="00377989">
            <w:pPr>
              <w:spacing w:after="0" w:line="240" w:lineRule="auto"/>
              <w:jc w:val="right"/>
              <w:rPr>
                <w:rFonts w:ascii="Arial" w:eastAsia="Times New Roman" w:hAnsi="Arial" w:cs="Arial"/>
                <w:color w:val="000000"/>
                <w:sz w:val="18"/>
                <w:szCs w:val="18"/>
                <w:lang w:eastAsia="sl-SI"/>
              </w:rPr>
            </w:pPr>
            <w:r w:rsidRPr="003B3D8A">
              <w:rPr>
                <w:rFonts w:ascii="Arial" w:eastAsia="Times New Roman" w:hAnsi="Arial" w:cs="Arial"/>
                <w:color w:val="000000"/>
                <w:sz w:val="18"/>
                <w:szCs w:val="18"/>
                <w:lang w:eastAsia="sl-SI"/>
              </w:rPr>
              <w:t>94.652.465</w:t>
            </w:r>
          </w:p>
        </w:tc>
      </w:tr>
      <w:tr w:rsidR="004B7622" w:rsidRPr="003B3D8A" w14:paraId="19EE486E" w14:textId="77777777" w:rsidTr="00377989">
        <w:trPr>
          <w:trHeight w:val="184"/>
        </w:trPr>
        <w:tc>
          <w:tcPr>
            <w:tcW w:w="1485" w:type="dxa"/>
            <w:tcBorders>
              <w:top w:val="double" w:sz="6" w:space="0" w:color="auto"/>
              <w:left w:val="single" w:sz="4" w:space="0" w:color="auto"/>
              <w:bottom w:val="double" w:sz="6" w:space="0" w:color="auto"/>
              <w:right w:val="single" w:sz="4" w:space="0" w:color="auto"/>
            </w:tcBorders>
            <w:shd w:val="clear" w:color="auto" w:fill="auto"/>
            <w:vAlign w:val="center"/>
            <w:hideMark/>
          </w:tcPr>
          <w:p w14:paraId="0A0D8C89" w14:textId="77777777" w:rsidR="004B7622" w:rsidRPr="003B3D8A" w:rsidRDefault="004B7622" w:rsidP="00377989">
            <w:pPr>
              <w:spacing w:after="0" w:line="240" w:lineRule="auto"/>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 xml:space="preserve">Skupaj ZPIZ </w:t>
            </w:r>
          </w:p>
        </w:tc>
        <w:tc>
          <w:tcPr>
            <w:tcW w:w="1200" w:type="dxa"/>
            <w:tcBorders>
              <w:top w:val="double" w:sz="6" w:space="0" w:color="auto"/>
              <w:left w:val="nil"/>
              <w:bottom w:val="double" w:sz="6" w:space="0" w:color="auto"/>
              <w:right w:val="single" w:sz="4" w:space="0" w:color="auto"/>
            </w:tcBorders>
            <w:shd w:val="clear" w:color="auto" w:fill="auto"/>
            <w:vAlign w:val="center"/>
            <w:hideMark/>
          </w:tcPr>
          <w:p w14:paraId="44D52BDA" w14:textId="77777777" w:rsidR="004B7622" w:rsidRPr="003B3D8A" w:rsidRDefault="004B7622" w:rsidP="00377989">
            <w:pPr>
              <w:spacing w:after="0" w:line="240" w:lineRule="auto"/>
              <w:jc w:val="right"/>
              <w:rPr>
                <w:rFonts w:ascii="Arial" w:eastAsia="Times New Roman" w:hAnsi="Arial" w:cs="Arial"/>
                <w:b/>
                <w:bCs/>
                <w:i/>
                <w:iCs/>
                <w:sz w:val="18"/>
                <w:szCs w:val="18"/>
                <w:lang w:eastAsia="sl-SI"/>
              </w:rPr>
            </w:pPr>
            <w:r w:rsidRPr="003B3D8A">
              <w:rPr>
                <w:rFonts w:ascii="Arial" w:eastAsia="Times New Roman" w:hAnsi="Arial" w:cs="Arial"/>
                <w:b/>
                <w:bCs/>
                <w:i/>
                <w:iCs/>
                <w:sz w:val="18"/>
                <w:szCs w:val="18"/>
                <w:lang w:eastAsia="sl-SI"/>
              </w:rPr>
              <w:t>100.062.071</w:t>
            </w:r>
          </w:p>
        </w:tc>
        <w:tc>
          <w:tcPr>
            <w:tcW w:w="1095" w:type="dxa"/>
            <w:tcBorders>
              <w:top w:val="double" w:sz="6" w:space="0" w:color="auto"/>
              <w:left w:val="nil"/>
              <w:bottom w:val="double" w:sz="6" w:space="0" w:color="auto"/>
              <w:right w:val="single" w:sz="4" w:space="0" w:color="auto"/>
            </w:tcBorders>
            <w:shd w:val="clear" w:color="auto" w:fill="auto"/>
            <w:vAlign w:val="center"/>
            <w:hideMark/>
          </w:tcPr>
          <w:p w14:paraId="410019FF" w14:textId="77777777" w:rsidR="004B7622" w:rsidRPr="003B3D8A" w:rsidRDefault="004B7622" w:rsidP="00377989">
            <w:pPr>
              <w:spacing w:after="0" w:line="240" w:lineRule="auto"/>
              <w:jc w:val="right"/>
              <w:rPr>
                <w:rFonts w:ascii="Arial" w:eastAsia="Times New Roman" w:hAnsi="Arial" w:cs="Arial"/>
                <w:b/>
                <w:bCs/>
                <w:i/>
                <w:iCs/>
                <w:sz w:val="18"/>
                <w:szCs w:val="18"/>
                <w:lang w:eastAsia="sl-SI"/>
              </w:rPr>
            </w:pPr>
            <w:r w:rsidRPr="003B3D8A">
              <w:rPr>
                <w:rFonts w:ascii="Arial" w:eastAsia="Times New Roman" w:hAnsi="Arial" w:cs="Arial"/>
                <w:b/>
                <w:bCs/>
                <w:i/>
                <w:iCs/>
                <w:sz w:val="18"/>
                <w:szCs w:val="18"/>
                <w:lang w:eastAsia="sl-SI"/>
              </w:rPr>
              <w:t>11.934.585</w:t>
            </w:r>
          </w:p>
        </w:tc>
        <w:tc>
          <w:tcPr>
            <w:tcW w:w="1118" w:type="dxa"/>
            <w:tcBorders>
              <w:top w:val="double" w:sz="6" w:space="0" w:color="auto"/>
              <w:left w:val="nil"/>
              <w:bottom w:val="double" w:sz="6" w:space="0" w:color="auto"/>
              <w:right w:val="single" w:sz="4" w:space="0" w:color="auto"/>
            </w:tcBorders>
            <w:shd w:val="clear" w:color="auto" w:fill="auto"/>
            <w:vAlign w:val="center"/>
            <w:hideMark/>
          </w:tcPr>
          <w:p w14:paraId="3BF21046" w14:textId="77777777" w:rsidR="004B7622" w:rsidRPr="003B3D8A" w:rsidRDefault="004B7622" w:rsidP="00377989">
            <w:pPr>
              <w:spacing w:after="0" w:line="240" w:lineRule="auto"/>
              <w:jc w:val="right"/>
              <w:rPr>
                <w:rFonts w:ascii="Arial" w:eastAsia="Times New Roman" w:hAnsi="Arial" w:cs="Arial"/>
                <w:b/>
                <w:bCs/>
                <w:i/>
                <w:iCs/>
                <w:sz w:val="18"/>
                <w:szCs w:val="18"/>
                <w:lang w:eastAsia="sl-SI"/>
              </w:rPr>
            </w:pPr>
            <w:r w:rsidRPr="003B3D8A">
              <w:rPr>
                <w:rFonts w:ascii="Arial" w:eastAsia="Times New Roman" w:hAnsi="Arial" w:cs="Arial"/>
                <w:b/>
                <w:bCs/>
                <w:i/>
                <w:iCs/>
                <w:sz w:val="18"/>
                <w:szCs w:val="18"/>
                <w:lang w:eastAsia="sl-SI"/>
              </w:rPr>
              <w:t>13.109.449</w:t>
            </w:r>
          </w:p>
        </w:tc>
        <w:tc>
          <w:tcPr>
            <w:tcW w:w="1095" w:type="dxa"/>
            <w:tcBorders>
              <w:top w:val="double" w:sz="6" w:space="0" w:color="auto"/>
              <w:left w:val="nil"/>
              <w:bottom w:val="double" w:sz="6" w:space="0" w:color="auto"/>
              <w:right w:val="single" w:sz="4" w:space="0" w:color="auto"/>
            </w:tcBorders>
            <w:shd w:val="clear" w:color="auto" w:fill="auto"/>
            <w:vAlign w:val="center"/>
            <w:hideMark/>
          </w:tcPr>
          <w:p w14:paraId="50670F97" w14:textId="77777777" w:rsidR="004B7622" w:rsidRPr="003B3D8A" w:rsidRDefault="004B7622" w:rsidP="00377989">
            <w:pPr>
              <w:spacing w:after="0" w:line="240" w:lineRule="auto"/>
              <w:jc w:val="right"/>
              <w:rPr>
                <w:rFonts w:ascii="Arial" w:eastAsia="Times New Roman" w:hAnsi="Arial" w:cs="Arial"/>
                <w:b/>
                <w:bCs/>
                <w:i/>
                <w:iCs/>
                <w:sz w:val="18"/>
                <w:szCs w:val="18"/>
                <w:lang w:eastAsia="sl-SI"/>
              </w:rPr>
            </w:pPr>
            <w:r w:rsidRPr="003B3D8A">
              <w:rPr>
                <w:rFonts w:ascii="Arial" w:eastAsia="Times New Roman" w:hAnsi="Arial" w:cs="Arial"/>
                <w:b/>
                <w:bCs/>
                <w:i/>
                <w:iCs/>
                <w:sz w:val="18"/>
                <w:szCs w:val="18"/>
                <w:lang w:eastAsia="sl-SI"/>
              </w:rPr>
              <w:t>11.722.780</w:t>
            </w:r>
          </w:p>
        </w:tc>
        <w:tc>
          <w:tcPr>
            <w:tcW w:w="1095" w:type="dxa"/>
            <w:tcBorders>
              <w:top w:val="double" w:sz="6" w:space="0" w:color="auto"/>
              <w:left w:val="nil"/>
              <w:bottom w:val="double" w:sz="6" w:space="0" w:color="auto"/>
              <w:right w:val="single" w:sz="4" w:space="0" w:color="auto"/>
            </w:tcBorders>
            <w:shd w:val="clear" w:color="auto" w:fill="auto"/>
            <w:vAlign w:val="center"/>
            <w:hideMark/>
          </w:tcPr>
          <w:p w14:paraId="1CCDFC9C" w14:textId="77777777" w:rsidR="004B7622" w:rsidRPr="003B3D8A" w:rsidRDefault="004B7622" w:rsidP="00377989">
            <w:pPr>
              <w:spacing w:after="0" w:line="240" w:lineRule="auto"/>
              <w:jc w:val="right"/>
              <w:rPr>
                <w:rFonts w:ascii="Arial" w:eastAsia="Times New Roman" w:hAnsi="Arial" w:cs="Arial"/>
                <w:b/>
                <w:bCs/>
                <w:i/>
                <w:iCs/>
                <w:sz w:val="18"/>
                <w:szCs w:val="18"/>
                <w:lang w:eastAsia="sl-SI"/>
              </w:rPr>
            </w:pPr>
            <w:r w:rsidRPr="003B3D8A">
              <w:rPr>
                <w:rFonts w:ascii="Arial" w:eastAsia="Times New Roman" w:hAnsi="Arial" w:cs="Arial"/>
                <w:b/>
                <w:bCs/>
                <w:i/>
                <w:iCs/>
                <w:sz w:val="18"/>
                <w:szCs w:val="18"/>
                <w:lang w:eastAsia="sl-SI"/>
              </w:rPr>
              <w:t>12.443.031</w:t>
            </w:r>
          </w:p>
        </w:tc>
        <w:tc>
          <w:tcPr>
            <w:tcW w:w="1200" w:type="dxa"/>
            <w:tcBorders>
              <w:top w:val="double" w:sz="6" w:space="0" w:color="auto"/>
              <w:left w:val="nil"/>
              <w:bottom w:val="double" w:sz="6" w:space="0" w:color="auto"/>
              <w:right w:val="single" w:sz="4" w:space="0" w:color="auto"/>
            </w:tcBorders>
            <w:shd w:val="clear" w:color="auto" w:fill="auto"/>
            <w:vAlign w:val="center"/>
            <w:hideMark/>
          </w:tcPr>
          <w:p w14:paraId="25609D9A" w14:textId="77777777" w:rsidR="004B7622" w:rsidRPr="003B3D8A" w:rsidRDefault="004B7622" w:rsidP="00377989">
            <w:pPr>
              <w:spacing w:after="0" w:line="240" w:lineRule="auto"/>
              <w:jc w:val="right"/>
              <w:rPr>
                <w:rFonts w:ascii="Arial" w:eastAsia="Times New Roman" w:hAnsi="Arial" w:cs="Arial"/>
                <w:b/>
                <w:bCs/>
                <w:i/>
                <w:iCs/>
                <w:sz w:val="18"/>
                <w:szCs w:val="18"/>
                <w:lang w:eastAsia="sl-SI"/>
              </w:rPr>
            </w:pPr>
            <w:r w:rsidRPr="003B3D8A">
              <w:rPr>
                <w:rFonts w:ascii="Arial" w:eastAsia="Times New Roman" w:hAnsi="Arial" w:cs="Arial"/>
                <w:b/>
                <w:bCs/>
                <w:i/>
                <w:iCs/>
                <w:sz w:val="18"/>
                <w:szCs w:val="18"/>
                <w:lang w:eastAsia="sl-SI"/>
              </w:rPr>
              <w:t>27.916.289</w:t>
            </w:r>
          </w:p>
        </w:tc>
        <w:tc>
          <w:tcPr>
            <w:tcW w:w="1200" w:type="dxa"/>
            <w:tcBorders>
              <w:top w:val="double" w:sz="6" w:space="0" w:color="auto"/>
              <w:left w:val="nil"/>
              <w:bottom w:val="double" w:sz="6" w:space="0" w:color="auto"/>
              <w:right w:val="single" w:sz="4" w:space="0" w:color="auto"/>
            </w:tcBorders>
            <w:shd w:val="clear" w:color="auto" w:fill="auto"/>
            <w:vAlign w:val="center"/>
            <w:hideMark/>
          </w:tcPr>
          <w:p w14:paraId="068AE7E1" w14:textId="77777777" w:rsidR="004B7622" w:rsidRPr="003B3D8A" w:rsidRDefault="004B7622" w:rsidP="00377989">
            <w:pPr>
              <w:spacing w:after="0" w:line="240" w:lineRule="auto"/>
              <w:jc w:val="right"/>
              <w:rPr>
                <w:rFonts w:ascii="Arial" w:eastAsia="Times New Roman" w:hAnsi="Arial" w:cs="Arial"/>
                <w:b/>
                <w:bCs/>
                <w:i/>
                <w:iCs/>
                <w:sz w:val="18"/>
                <w:szCs w:val="18"/>
                <w:lang w:eastAsia="sl-SI"/>
              </w:rPr>
            </w:pPr>
            <w:r w:rsidRPr="003B3D8A">
              <w:rPr>
                <w:rFonts w:ascii="Arial" w:eastAsia="Times New Roman" w:hAnsi="Arial" w:cs="Arial"/>
                <w:b/>
                <w:bCs/>
                <w:i/>
                <w:iCs/>
                <w:sz w:val="18"/>
                <w:szCs w:val="18"/>
                <w:lang w:eastAsia="sl-SI"/>
              </w:rPr>
              <w:t>177.188.205</w:t>
            </w:r>
          </w:p>
        </w:tc>
      </w:tr>
      <w:tr w:rsidR="004B7622" w:rsidRPr="003B3D8A" w14:paraId="775E06B4" w14:textId="77777777" w:rsidTr="00377989">
        <w:trPr>
          <w:trHeight w:val="226"/>
        </w:trPr>
        <w:tc>
          <w:tcPr>
            <w:tcW w:w="3781" w:type="dxa"/>
            <w:gridSpan w:val="3"/>
            <w:tcBorders>
              <w:top w:val="double" w:sz="6" w:space="0" w:color="auto"/>
              <w:left w:val="single" w:sz="4" w:space="0" w:color="auto"/>
              <w:bottom w:val="single" w:sz="4" w:space="0" w:color="auto"/>
              <w:right w:val="nil"/>
            </w:tcBorders>
            <w:shd w:val="clear" w:color="000000" w:fill="DCE6F1"/>
            <w:noWrap/>
            <w:vAlign w:val="center"/>
            <w:hideMark/>
          </w:tcPr>
          <w:p w14:paraId="655D6572" w14:textId="77777777" w:rsidR="004B7622" w:rsidRPr="003B3D8A" w:rsidRDefault="004B7622" w:rsidP="00377989">
            <w:pPr>
              <w:spacing w:after="0" w:line="240" w:lineRule="auto"/>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 xml:space="preserve">Zavod za zdravstveno zavarovanje Slovenije </w:t>
            </w:r>
          </w:p>
        </w:tc>
        <w:tc>
          <w:tcPr>
            <w:tcW w:w="1118" w:type="dxa"/>
            <w:tcBorders>
              <w:top w:val="nil"/>
              <w:left w:val="nil"/>
              <w:bottom w:val="single" w:sz="4" w:space="0" w:color="auto"/>
              <w:right w:val="nil"/>
            </w:tcBorders>
            <w:shd w:val="clear" w:color="000000" w:fill="DCE6F1"/>
            <w:noWrap/>
            <w:vAlign w:val="center"/>
            <w:hideMark/>
          </w:tcPr>
          <w:p w14:paraId="4B09BD2D" w14:textId="77777777" w:rsidR="004B7622" w:rsidRPr="003B3D8A" w:rsidRDefault="004B7622" w:rsidP="00377989">
            <w:pPr>
              <w:spacing w:after="0" w:line="240" w:lineRule="auto"/>
              <w:rPr>
                <w:rFonts w:ascii="Arial" w:eastAsia="Times New Roman" w:hAnsi="Arial" w:cs="Arial"/>
                <w:sz w:val="18"/>
                <w:szCs w:val="18"/>
                <w:lang w:eastAsia="sl-SI"/>
              </w:rPr>
            </w:pPr>
            <w:r w:rsidRPr="003B3D8A">
              <w:rPr>
                <w:rFonts w:ascii="Arial" w:eastAsia="Times New Roman" w:hAnsi="Arial" w:cs="Arial"/>
                <w:sz w:val="18"/>
                <w:szCs w:val="18"/>
                <w:lang w:eastAsia="sl-SI"/>
              </w:rPr>
              <w:t> </w:t>
            </w:r>
          </w:p>
        </w:tc>
        <w:tc>
          <w:tcPr>
            <w:tcW w:w="4592" w:type="dxa"/>
            <w:gridSpan w:val="4"/>
            <w:tcBorders>
              <w:top w:val="double" w:sz="6" w:space="0" w:color="auto"/>
              <w:left w:val="nil"/>
              <w:bottom w:val="single" w:sz="4" w:space="0" w:color="auto"/>
              <w:right w:val="single" w:sz="4" w:space="0" w:color="000000"/>
            </w:tcBorders>
            <w:shd w:val="clear" w:color="000000" w:fill="DCE6F1"/>
            <w:noWrap/>
            <w:vAlign w:val="center"/>
            <w:hideMark/>
          </w:tcPr>
          <w:p w14:paraId="4FAB3D5D" w14:textId="77777777" w:rsidR="004B7622" w:rsidRPr="003B3D8A" w:rsidRDefault="004B7622" w:rsidP="00377989">
            <w:pPr>
              <w:spacing w:after="0" w:line="240" w:lineRule="auto"/>
              <w:jc w:val="center"/>
              <w:rPr>
                <w:rFonts w:ascii="Arial" w:eastAsia="Times New Roman" w:hAnsi="Arial" w:cs="Arial"/>
                <w:sz w:val="18"/>
                <w:szCs w:val="18"/>
                <w:lang w:eastAsia="sl-SI"/>
              </w:rPr>
            </w:pPr>
            <w:r w:rsidRPr="003B3D8A">
              <w:rPr>
                <w:rFonts w:ascii="Arial" w:eastAsia="Times New Roman" w:hAnsi="Arial" w:cs="Arial"/>
                <w:sz w:val="18"/>
                <w:szCs w:val="18"/>
                <w:lang w:eastAsia="sl-SI"/>
              </w:rPr>
              <w:t> </w:t>
            </w:r>
          </w:p>
        </w:tc>
      </w:tr>
      <w:tr w:rsidR="004B7622" w:rsidRPr="003B3D8A" w14:paraId="58BE1403" w14:textId="77777777" w:rsidTr="00377989">
        <w:trPr>
          <w:trHeight w:val="301"/>
        </w:trPr>
        <w:tc>
          <w:tcPr>
            <w:tcW w:w="1485" w:type="dxa"/>
            <w:tcBorders>
              <w:top w:val="nil"/>
              <w:left w:val="single" w:sz="4" w:space="0" w:color="auto"/>
              <w:bottom w:val="single" w:sz="4" w:space="0" w:color="auto"/>
              <w:right w:val="single" w:sz="4" w:space="0" w:color="auto"/>
            </w:tcBorders>
            <w:shd w:val="clear" w:color="auto" w:fill="auto"/>
            <w:vAlign w:val="center"/>
            <w:hideMark/>
          </w:tcPr>
          <w:p w14:paraId="6D341323" w14:textId="77777777" w:rsidR="004B7622" w:rsidRPr="003B3D8A" w:rsidRDefault="004B7622" w:rsidP="00377989">
            <w:pPr>
              <w:spacing w:after="0" w:line="240" w:lineRule="auto"/>
              <w:rPr>
                <w:rFonts w:ascii="Arial" w:eastAsia="Times New Roman" w:hAnsi="Arial" w:cs="Arial"/>
                <w:sz w:val="18"/>
                <w:szCs w:val="18"/>
                <w:lang w:eastAsia="sl-SI"/>
              </w:rPr>
            </w:pPr>
            <w:r w:rsidRPr="003B3D8A">
              <w:rPr>
                <w:rFonts w:ascii="Arial" w:eastAsia="Times New Roman" w:hAnsi="Arial" w:cs="Arial"/>
                <w:sz w:val="18"/>
                <w:szCs w:val="18"/>
                <w:lang w:eastAsia="sl-SI"/>
              </w:rPr>
              <w:t xml:space="preserve">Aktivni dolg </w:t>
            </w:r>
          </w:p>
        </w:tc>
        <w:tc>
          <w:tcPr>
            <w:tcW w:w="1200" w:type="dxa"/>
            <w:tcBorders>
              <w:top w:val="nil"/>
              <w:left w:val="nil"/>
              <w:bottom w:val="single" w:sz="4" w:space="0" w:color="auto"/>
              <w:right w:val="single" w:sz="4" w:space="0" w:color="auto"/>
            </w:tcBorders>
            <w:shd w:val="clear" w:color="auto" w:fill="auto"/>
            <w:vAlign w:val="center"/>
            <w:hideMark/>
          </w:tcPr>
          <w:p w14:paraId="01CF075A"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14.882.613</w:t>
            </w:r>
          </w:p>
        </w:tc>
        <w:tc>
          <w:tcPr>
            <w:tcW w:w="1095" w:type="dxa"/>
            <w:tcBorders>
              <w:top w:val="nil"/>
              <w:left w:val="nil"/>
              <w:bottom w:val="single" w:sz="4" w:space="0" w:color="auto"/>
              <w:right w:val="single" w:sz="4" w:space="0" w:color="auto"/>
            </w:tcBorders>
            <w:shd w:val="clear" w:color="auto" w:fill="auto"/>
            <w:vAlign w:val="center"/>
            <w:hideMark/>
          </w:tcPr>
          <w:p w14:paraId="7E59AEE1"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3.057.206</w:t>
            </w:r>
          </w:p>
        </w:tc>
        <w:tc>
          <w:tcPr>
            <w:tcW w:w="1118" w:type="dxa"/>
            <w:tcBorders>
              <w:top w:val="nil"/>
              <w:left w:val="nil"/>
              <w:bottom w:val="single" w:sz="4" w:space="0" w:color="auto"/>
              <w:right w:val="single" w:sz="4" w:space="0" w:color="auto"/>
            </w:tcBorders>
            <w:shd w:val="clear" w:color="auto" w:fill="auto"/>
            <w:vAlign w:val="center"/>
            <w:hideMark/>
          </w:tcPr>
          <w:p w14:paraId="5196EDDE"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3.214.275</w:t>
            </w:r>
          </w:p>
        </w:tc>
        <w:tc>
          <w:tcPr>
            <w:tcW w:w="1095" w:type="dxa"/>
            <w:tcBorders>
              <w:top w:val="nil"/>
              <w:left w:val="nil"/>
              <w:bottom w:val="single" w:sz="4" w:space="0" w:color="auto"/>
              <w:right w:val="single" w:sz="4" w:space="0" w:color="auto"/>
            </w:tcBorders>
            <w:shd w:val="clear" w:color="auto" w:fill="auto"/>
            <w:vAlign w:val="center"/>
            <w:hideMark/>
          </w:tcPr>
          <w:p w14:paraId="26303F6F"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3.157.150</w:t>
            </w:r>
          </w:p>
        </w:tc>
        <w:tc>
          <w:tcPr>
            <w:tcW w:w="1095" w:type="dxa"/>
            <w:tcBorders>
              <w:top w:val="nil"/>
              <w:left w:val="nil"/>
              <w:bottom w:val="single" w:sz="4" w:space="0" w:color="auto"/>
              <w:right w:val="single" w:sz="4" w:space="0" w:color="auto"/>
            </w:tcBorders>
            <w:shd w:val="clear" w:color="auto" w:fill="auto"/>
            <w:vAlign w:val="center"/>
            <w:hideMark/>
          </w:tcPr>
          <w:p w14:paraId="23FE3A60"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4.691.338</w:t>
            </w:r>
          </w:p>
        </w:tc>
        <w:tc>
          <w:tcPr>
            <w:tcW w:w="1200" w:type="dxa"/>
            <w:tcBorders>
              <w:top w:val="nil"/>
              <w:left w:val="nil"/>
              <w:bottom w:val="single" w:sz="4" w:space="0" w:color="auto"/>
              <w:right w:val="single" w:sz="4" w:space="0" w:color="auto"/>
            </w:tcBorders>
            <w:shd w:val="clear" w:color="auto" w:fill="auto"/>
            <w:vAlign w:val="center"/>
            <w:hideMark/>
          </w:tcPr>
          <w:p w14:paraId="6B123F6D"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14.061.491</w:t>
            </w:r>
          </w:p>
        </w:tc>
        <w:tc>
          <w:tcPr>
            <w:tcW w:w="1200" w:type="dxa"/>
            <w:tcBorders>
              <w:top w:val="nil"/>
              <w:left w:val="nil"/>
              <w:bottom w:val="single" w:sz="4" w:space="0" w:color="auto"/>
              <w:right w:val="single" w:sz="4" w:space="0" w:color="auto"/>
            </w:tcBorders>
            <w:shd w:val="clear" w:color="auto" w:fill="auto"/>
            <w:vAlign w:val="center"/>
            <w:hideMark/>
          </w:tcPr>
          <w:p w14:paraId="36182E89" w14:textId="77777777" w:rsidR="004B7622" w:rsidRPr="003B3D8A" w:rsidRDefault="004B7622" w:rsidP="00377989">
            <w:pPr>
              <w:spacing w:after="0" w:line="240" w:lineRule="auto"/>
              <w:jc w:val="right"/>
              <w:rPr>
                <w:rFonts w:ascii="Arial" w:eastAsia="Times New Roman" w:hAnsi="Arial" w:cs="Arial"/>
                <w:color w:val="000000"/>
                <w:sz w:val="18"/>
                <w:szCs w:val="18"/>
                <w:lang w:eastAsia="sl-SI"/>
              </w:rPr>
            </w:pPr>
            <w:r w:rsidRPr="003B3D8A">
              <w:rPr>
                <w:rFonts w:ascii="Arial" w:eastAsia="Times New Roman" w:hAnsi="Arial" w:cs="Arial"/>
                <w:color w:val="000000"/>
                <w:sz w:val="18"/>
                <w:szCs w:val="18"/>
                <w:lang w:eastAsia="sl-SI"/>
              </w:rPr>
              <w:t>43.064.073</w:t>
            </w:r>
          </w:p>
        </w:tc>
      </w:tr>
      <w:tr w:rsidR="004B7622" w:rsidRPr="003B3D8A" w14:paraId="1C722508" w14:textId="77777777" w:rsidTr="00377989">
        <w:trPr>
          <w:trHeight w:val="301"/>
        </w:trPr>
        <w:tc>
          <w:tcPr>
            <w:tcW w:w="1485" w:type="dxa"/>
            <w:tcBorders>
              <w:top w:val="nil"/>
              <w:left w:val="single" w:sz="4" w:space="0" w:color="auto"/>
              <w:bottom w:val="single" w:sz="4" w:space="0" w:color="auto"/>
              <w:right w:val="single" w:sz="4" w:space="0" w:color="auto"/>
            </w:tcBorders>
            <w:shd w:val="clear" w:color="auto" w:fill="auto"/>
            <w:vAlign w:val="center"/>
            <w:hideMark/>
          </w:tcPr>
          <w:p w14:paraId="0F12938E" w14:textId="77777777" w:rsidR="004B7622" w:rsidRPr="003B3D8A" w:rsidRDefault="004B7622" w:rsidP="00377989">
            <w:pPr>
              <w:spacing w:after="0" w:line="240" w:lineRule="auto"/>
              <w:rPr>
                <w:rFonts w:ascii="Arial" w:eastAsia="Times New Roman" w:hAnsi="Arial" w:cs="Arial"/>
                <w:sz w:val="18"/>
                <w:szCs w:val="18"/>
                <w:lang w:eastAsia="sl-SI"/>
              </w:rPr>
            </w:pPr>
            <w:r w:rsidRPr="003B3D8A">
              <w:rPr>
                <w:rFonts w:ascii="Arial" w:eastAsia="Times New Roman" w:hAnsi="Arial" w:cs="Arial"/>
                <w:sz w:val="18"/>
                <w:szCs w:val="18"/>
                <w:lang w:eastAsia="sl-SI"/>
              </w:rPr>
              <w:t xml:space="preserve">Pogojno izterljivi dolg </w:t>
            </w:r>
          </w:p>
        </w:tc>
        <w:tc>
          <w:tcPr>
            <w:tcW w:w="1200" w:type="dxa"/>
            <w:tcBorders>
              <w:top w:val="nil"/>
              <w:left w:val="nil"/>
              <w:bottom w:val="single" w:sz="4" w:space="0" w:color="auto"/>
              <w:right w:val="single" w:sz="4" w:space="0" w:color="auto"/>
            </w:tcBorders>
            <w:shd w:val="clear" w:color="auto" w:fill="auto"/>
            <w:vAlign w:val="center"/>
            <w:hideMark/>
          </w:tcPr>
          <w:p w14:paraId="56B3679B"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32.415.725</w:t>
            </w:r>
          </w:p>
        </w:tc>
        <w:tc>
          <w:tcPr>
            <w:tcW w:w="1095" w:type="dxa"/>
            <w:tcBorders>
              <w:top w:val="nil"/>
              <w:left w:val="nil"/>
              <w:bottom w:val="single" w:sz="4" w:space="0" w:color="auto"/>
              <w:right w:val="single" w:sz="4" w:space="0" w:color="auto"/>
            </w:tcBorders>
            <w:shd w:val="clear" w:color="auto" w:fill="auto"/>
            <w:vAlign w:val="center"/>
            <w:hideMark/>
          </w:tcPr>
          <w:p w14:paraId="3B9A87EA"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3.298.832</w:t>
            </w:r>
          </w:p>
        </w:tc>
        <w:tc>
          <w:tcPr>
            <w:tcW w:w="1118" w:type="dxa"/>
            <w:tcBorders>
              <w:top w:val="nil"/>
              <w:left w:val="nil"/>
              <w:bottom w:val="single" w:sz="4" w:space="0" w:color="auto"/>
              <w:right w:val="single" w:sz="4" w:space="0" w:color="auto"/>
            </w:tcBorders>
            <w:shd w:val="clear" w:color="auto" w:fill="auto"/>
            <w:vAlign w:val="center"/>
            <w:hideMark/>
          </w:tcPr>
          <w:p w14:paraId="325CF759"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3.487.436</w:t>
            </w:r>
          </w:p>
        </w:tc>
        <w:tc>
          <w:tcPr>
            <w:tcW w:w="1095" w:type="dxa"/>
            <w:tcBorders>
              <w:top w:val="nil"/>
              <w:left w:val="nil"/>
              <w:bottom w:val="single" w:sz="4" w:space="0" w:color="auto"/>
              <w:right w:val="single" w:sz="4" w:space="0" w:color="auto"/>
            </w:tcBorders>
            <w:shd w:val="clear" w:color="auto" w:fill="auto"/>
            <w:vAlign w:val="center"/>
            <w:hideMark/>
          </w:tcPr>
          <w:p w14:paraId="3389D4EB"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2.798.665</w:t>
            </w:r>
          </w:p>
        </w:tc>
        <w:tc>
          <w:tcPr>
            <w:tcW w:w="1095" w:type="dxa"/>
            <w:tcBorders>
              <w:top w:val="nil"/>
              <w:left w:val="nil"/>
              <w:bottom w:val="single" w:sz="4" w:space="0" w:color="auto"/>
              <w:right w:val="single" w:sz="4" w:space="0" w:color="auto"/>
            </w:tcBorders>
            <w:shd w:val="clear" w:color="auto" w:fill="auto"/>
            <w:vAlign w:val="center"/>
            <w:hideMark/>
          </w:tcPr>
          <w:p w14:paraId="49BA0F11"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2.146.301</w:t>
            </w:r>
          </w:p>
        </w:tc>
        <w:tc>
          <w:tcPr>
            <w:tcW w:w="1200" w:type="dxa"/>
            <w:tcBorders>
              <w:top w:val="nil"/>
              <w:left w:val="nil"/>
              <w:bottom w:val="single" w:sz="4" w:space="0" w:color="auto"/>
              <w:right w:val="single" w:sz="4" w:space="0" w:color="auto"/>
            </w:tcBorders>
            <w:shd w:val="clear" w:color="auto" w:fill="auto"/>
            <w:vAlign w:val="center"/>
            <w:hideMark/>
          </w:tcPr>
          <w:p w14:paraId="01E0D4E6"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796.740</w:t>
            </w:r>
          </w:p>
        </w:tc>
        <w:tc>
          <w:tcPr>
            <w:tcW w:w="1200" w:type="dxa"/>
            <w:tcBorders>
              <w:top w:val="nil"/>
              <w:left w:val="nil"/>
              <w:bottom w:val="single" w:sz="4" w:space="0" w:color="auto"/>
              <w:right w:val="single" w:sz="4" w:space="0" w:color="auto"/>
            </w:tcBorders>
            <w:shd w:val="clear" w:color="auto" w:fill="auto"/>
            <w:vAlign w:val="center"/>
            <w:hideMark/>
          </w:tcPr>
          <w:p w14:paraId="2954273D" w14:textId="77777777" w:rsidR="004B7622" w:rsidRPr="003B3D8A" w:rsidRDefault="004B7622" w:rsidP="00377989">
            <w:pPr>
              <w:spacing w:after="0" w:line="240" w:lineRule="auto"/>
              <w:jc w:val="right"/>
              <w:rPr>
                <w:rFonts w:ascii="Arial" w:eastAsia="Times New Roman" w:hAnsi="Arial" w:cs="Arial"/>
                <w:color w:val="000000"/>
                <w:sz w:val="18"/>
                <w:szCs w:val="18"/>
                <w:lang w:eastAsia="sl-SI"/>
              </w:rPr>
            </w:pPr>
            <w:r w:rsidRPr="003B3D8A">
              <w:rPr>
                <w:rFonts w:ascii="Arial" w:eastAsia="Times New Roman" w:hAnsi="Arial" w:cs="Arial"/>
                <w:color w:val="000000"/>
                <w:sz w:val="18"/>
                <w:szCs w:val="18"/>
                <w:lang w:eastAsia="sl-SI"/>
              </w:rPr>
              <w:t>44.943.699</w:t>
            </w:r>
          </w:p>
        </w:tc>
      </w:tr>
      <w:tr w:rsidR="004B7622" w:rsidRPr="003B3D8A" w14:paraId="3207BFFC" w14:textId="77777777" w:rsidTr="00377989">
        <w:trPr>
          <w:trHeight w:val="184"/>
        </w:trPr>
        <w:tc>
          <w:tcPr>
            <w:tcW w:w="1485" w:type="dxa"/>
            <w:tcBorders>
              <w:top w:val="double" w:sz="6" w:space="0" w:color="auto"/>
              <w:left w:val="single" w:sz="4" w:space="0" w:color="auto"/>
              <w:bottom w:val="double" w:sz="6" w:space="0" w:color="auto"/>
              <w:right w:val="single" w:sz="4" w:space="0" w:color="auto"/>
            </w:tcBorders>
            <w:shd w:val="clear" w:color="auto" w:fill="auto"/>
            <w:vAlign w:val="center"/>
            <w:hideMark/>
          </w:tcPr>
          <w:p w14:paraId="62037487" w14:textId="77777777" w:rsidR="004B7622" w:rsidRPr="003B3D8A" w:rsidRDefault="004B7622" w:rsidP="00377989">
            <w:pPr>
              <w:spacing w:after="0" w:line="240" w:lineRule="auto"/>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Skupaj ZZZS</w:t>
            </w:r>
          </w:p>
        </w:tc>
        <w:tc>
          <w:tcPr>
            <w:tcW w:w="1200" w:type="dxa"/>
            <w:tcBorders>
              <w:top w:val="double" w:sz="6" w:space="0" w:color="auto"/>
              <w:left w:val="nil"/>
              <w:bottom w:val="double" w:sz="6" w:space="0" w:color="auto"/>
              <w:right w:val="single" w:sz="4" w:space="0" w:color="auto"/>
            </w:tcBorders>
            <w:shd w:val="clear" w:color="auto" w:fill="auto"/>
            <w:vAlign w:val="center"/>
            <w:hideMark/>
          </w:tcPr>
          <w:p w14:paraId="399A49F7" w14:textId="77777777" w:rsidR="004B7622" w:rsidRPr="003B3D8A" w:rsidRDefault="004B7622" w:rsidP="00377989">
            <w:pPr>
              <w:spacing w:after="0" w:line="240" w:lineRule="auto"/>
              <w:jc w:val="right"/>
              <w:rPr>
                <w:rFonts w:ascii="Arial" w:eastAsia="Times New Roman" w:hAnsi="Arial" w:cs="Arial"/>
                <w:b/>
                <w:bCs/>
                <w:i/>
                <w:iCs/>
                <w:sz w:val="18"/>
                <w:szCs w:val="18"/>
                <w:lang w:eastAsia="sl-SI"/>
              </w:rPr>
            </w:pPr>
            <w:r w:rsidRPr="003B3D8A">
              <w:rPr>
                <w:rFonts w:ascii="Arial" w:eastAsia="Times New Roman" w:hAnsi="Arial" w:cs="Arial"/>
                <w:b/>
                <w:bCs/>
                <w:i/>
                <w:iCs/>
                <w:sz w:val="18"/>
                <w:szCs w:val="18"/>
                <w:lang w:eastAsia="sl-SI"/>
              </w:rPr>
              <w:t>47.298.338</w:t>
            </w:r>
          </w:p>
        </w:tc>
        <w:tc>
          <w:tcPr>
            <w:tcW w:w="1095" w:type="dxa"/>
            <w:tcBorders>
              <w:top w:val="double" w:sz="6" w:space="0" w:color="auto"/>
              <w:left w:val="nil"/>
              <w:bottom w:val="double" w:sz="6" w:space="0" w:color="auto"/>
              <w:right w:val="single" w:sz="4" w:space="0" w:color="auto"/>
            </w:tcBorders>
            <w:shd w:val="clear" w:color="auto" w:fill="auto"/>
            <w:vAlign w:val="center"/>
            <w:hideMark/>
          </w:tcPr>
          <w:p w14:paraId="6F146A49" w14:textId="77777777" w:rsidR="004B7622" w:rsidRPr="003B3D8A" w:rsidRDefault="004B7622" w:rsidP="00377989">
            <w:pPr>
              <w:spacing w:after="0" w:line="240" w:lineRule="auto"/>
              <w:jc w:val="right"/>
              <w:rPr>
                <w:rFonts w:ascii="Arial" w:eastAsia="Times New Roman" w:hAnsi="Arial" w:cs="Arial"/>
                <w:b/>
                <w:bCs/>
                <w:i/>
                <w:iCs/>
                <w:sz w:val="18"/>
                <w:szCs w:val="18"/>
                <w:lang w:eastAsia="sl-SI"/>
              </w:rPr>
            </w:pPr>
            <w:r w:rsidRPr="003B3D8A">
              <w:rPr>
                <w:rFonts w:ascii="Arial" w:eastAsia="Times New Roman" w:hAnsi="Arial" w:cs="Arial"/>
                <w:b/>
                <w:bCs/>
                <w:i/>
                <w:iCs/>
                <w:sz w:val="18"/>
                <w:szCs w:val="18"/>
                <w:lang w:eastAsia="sl-SI"/>
              </w:rPr>
              <w:t>6.356.038</w:t>
            </w:r>
          </w:p>
        </w:tc>
        <w:tc>
          <w:tcPr>
            <w:tcW w:w="1118" w:type="dxa"/>
            <w:tcBorders>
              <w:top w:val="double" w:sz="6" w:space="0" w:color="auto"/>
              <w:left w:val="nil"/>
              <w:bottom w:val="double" w:sz="6" w:space="0" w:color="auto"/>
              <w:right w:val="single" w:sz="4" w:space="0" w:color="auto"/>
            </w:tcBorders>
            <w:shd w:val="clear" w:color="auto" w:fill="auto"/>
            <w:vAlign w:val="center"/>
            <w:hideMark/>
          </w:tcPr>
          <w:p w14:paraId="7D3E5F63" w14:textId="77777777" w:rsidR="004B7622" w:rsidRPr="003B3D8A" w:rsidRDefault="004B7622" w:rsidP="00377989">
            <w:pPr>
              <w:spacing w:after="0" w:line="240" w:lineRule="auto"/>
              <w:jc w:val="right"/>
              <w:rPr>
                <w:rFonts w:ascii="Arial" w:eastAsia="Times New Roman" w:hAnsi="Arial" w:cs="Arial"/>
                <w:b/>
                <w:bCs/>
                <w:i/>
                <w:iCs/>
                <w:sz w:val="18"/>
                <w:szCs w:val="18"/>
                <w:lang w:eastAsia="sl-SI"/>
              </w:rPr>
            </w:pPr>
            <w:r w:rsidRPr="003B3D8A">
              <w:rPr>
                <w:rFonts w:ascii="Arial" w:eastAsia="Times New Roman" w:hAnsi="Arial" w:cs="Arial"/>
                <w:b/>
                <w:bCs/>
                <w:i/>
                <w:iCs/>
                <w:sz w:val="18"/>
                <w:szCs w:val="18"/>
                <w:lang w:eastAsia="sl-SI"/>
              </w:rPr>
              <w:t>6.701.711</w:t>
            </w:r>
          </w:p>
        </w:tc>
        <w:tc>
          <w:tcPr>
            <w:tcW w:w="1095" w:type="dxa"/>
            <w:tcBorders>
              <w:top w:val="double" w:sz="6" w:space="0" w:color="auto"/>
              <w:left w:val="nil"/>
              <w:bottom w:val="double" w:sz="6" w:space="0" w:color="auto"/>
              <w:right w:val="single" w:sz="4" w:space="0" w:color="auto"/>
            </w:tcBorders>
            <w:shd w:val="clear" w:color="auto" w:fill="auto"/>
            <w:vAlign w:val="center"/>
            <w:hideMark/>
          </w:tcPr>
          <w:p w14:paraId="5CDE5652" w14:textId="77777777" w:rsidR="004B7622" w:rsidRPr="003B3D8A" w:rsidRDefault="004B7622" w:rsidP="00377989">
            <w:pPr>
              <w:spacing w:after="0" w:line="240" w:lineRule="auto"/>
              <w:jc w:val="right"/>
              <w:rPr>
                <w:rFonts w:ascii="Arial" w:eastAsia="Times New Roman" w:hAnsi="Arial" w:cs="Arial"/>
                <w:b/>
                <w:bCs/>
                <w:i/>
                <w:iCs/>
                <w:sz w:val="18"/>
                <w:szCs w:val="18"/>
                <w:lang w:eastAsia="sl-SI"/>
              </w:rPr>
            </w:pPr>
            <w:r w:rsidRPr="003B3D8A">
              <w:rPr>
                <w:rFonts w:ascii="Arial" w:eastAsia="Times New Roman" w:hAnsi="Arial" w:cs="Arial"/>
                <w:b/>
                <w:bCs/>
                <w:i/>
                <w:iCs/>
                <w:sz w:val="18"/>
                <w:szCs w:val="18"/>
                <w:lang w:eastAsia="sl-SI"/>
              </w:rPr>
              <w:t>5.955.815</w:t>
            </w:r>
          </w:p>
        </w:tc>
        <w:tc>
          <w:tcPr>
            <w:tcW w:w="1095" w:type="dxa"/>
            <w:tcBorders>
              <w:top w:val="double" w:sz="6" w:space="0" w:color="auto"/>
              <w:left w:val="nil"/>
              <w:bottom w:val="double" w:sz="6" w:space="0" w:color="auto"/>
              <w:right w:val="single" w:sz="4" w:space="0" w:color="auto"/>
            </w:tcBorders>
            <w:shd w:val="clear" w:color="auto" w:fill="auto"/>
            <w:vAlign w:val="center"/>
            <w:hideMark/>
          </w:tcPr>
          <w:p w14:paraId="58A25D48" w14:textId="77777777" w:rsidR="004B7622" w:rsidRPr="003B3D8A" w:rsidRDefault="004B7622" w:rsidP="00377989">
            <w:pPr>
              <w:spacing w:after="0" w:line="240" w:lineRule="auto"/>
              <w:jc w:val="right"/>
              <w:rPr>
                <w:rFonts w:ascii="Arial" w:eastAsia="Times New Roman" w:hAnsi="Arial" w:cs="Arial"/>
                <w:b/>
                <w:bCs/>
                <w:i/>
                <w:iCs/>
                <w:sz w:val="18"/>
                <w:szCs w:val="18"/>
                <w:lang w:eastAsia="sl-SI"/>
              </w:rPr>
            </w:pPr>
            <w:r w:rsidRPr="003B3D8A">
              <w:rPr>
                <w:rFonts w:ascii="Arial" w:eastAsia="Times New Roman" w:hAnsi="Arial" w:cs="Arial"/>
                <w:b/>
                <w:bCs/>
                <w:i/>
                <w:iCs/>
                <w:sz w:val="18"/>
                <w:szCs w:val="18"/>
                <w:lang w:eastAsia="sl-SI"/>
              </w:rPr>
              <w:t>6.837.639</w:t>
            </w:r>
          </w:p>
        </w:tc>
        <w:tc>
          <w:tcPr>
            <w:tcW w:w="1200" w:type="dxa"/>
            <w:tcBorders>
              <w:top w:val="double" w:sz="6" w:space="0" w:color="auto"/>
              <w:left w:val="nil"/>
              <w:bottom w:val="double" w:sz="6" w:space="0" w:color="auto"/>
              <w:right w:val="single" w:sz="4" w:space="0" w:color="auto"/>
            </w:tcBorders>
            <w:shd w:val="clear" w:color="auto" w:fill="auto"/>
            <w:vAlign w:val="center"/>
            <w:hideMark/>
          </w:tcPr>
          <w:p w14:paraId="67E176A9" w14:textId="77777777" w:rsidR="004B7622" w:rsidRPr="003B3D8A" w:rsidRDefault="004B7622" w:rsidP="00377989">
            <w:pPr>
              <w:spacing w:after="0" w:line="240" w:lineRule="auto"/>
              <w:jc w:val="right"/>
              <w:rPr>
                <w:rFonts w:ascii="Arial" w:eastAsia="Times New Roman" w:hAnsi="Arial" w:cs="Arial"/>
                <w:b/>
                <w:bCs/>
                <w:i/>
                <w:iCs/>
                <w:sz w:val="18"/>
                <w:szCs w:val="18"/>
                <w:lang w:eastAsia="sl-SI"/>
              </w:rPr>
            </w:pPr>
            <w:r w:rsidRPr="003B3D8A">
              <w:rPr>
                <w:rFonts w:ascii="Arial" w:eastAsia="Times New Roman" w:hAnsi="Arial" w:cs="Arial"/>
                <w:b/>
                <w:bCs/>
                <w:i/>
                <w:iCs/>
                <w:sz w:val="18"/>
                <w:szCs w:val="18"/>
                <w:lang w:eastAsia="sl-SI"/>
              </w:rPr>
              <w:t>14.858.231</w:t>
            </w:r>
          </w:p>
        </w:tc>
        <w:tc>
          <w:tcPr>
            <w:tcW w:w="1200" w:type="dxa"/>
            <w:tcBorders>
              <w:top w:val="double" w:sz="6" w:space="0" w:color="auto"/>
              <w:left w:val="nil"/>
              <w:bottom w:val="double" w:sz="6" w:space="0" w:color="auto"/>
              <w:right w:val="single" w:sz="4" w:space="0" w:color="auto"/>
            </w:tcBorders>
            <w:shd w:val="clear" w:color="auto" w:fill="auto"/>
            <w:vAlign w:val="center"/>
            <w:hideMark/>
          </w:tcPr>
          <w:p w14:paraId="4F9213A0" w14:textId="77777777" w:rsidR="004B7622" w:rsidRPr="003B3D8A" w:rsidRDefault="004B7622" w:rsidP="00377989">
            <w:pPr>
              <w:spacing w:after="0" w:line="240" w:lineRule="auto"/>
              <w:jc w:val="right"/>
              <w:rPr>
                <w:rFonts w:ascii="Arial" w:eastAsia="Times New Roman" w:hAnsi="Arial" w:cs="Arial"/>
                <w:b/>
                <w:bCs/>
                <w:i/>
                <w:iCs/>
                <w:sz w:val="18"/>
                <w:szCs w:val="18"/>
                <w:lang w:eastAsia="sl-SI"/>
              </w:rPr>
            </w:pPr>
            <w:r w:rsidRPr="003B3D8A">
              <w:rPr>
                <w:rFonts w:ascii="Arial" w:eastAsia="Times New Roman" w:hAnsi="Arial" w:cs="Arial"/>
                <w:b/>
                <w:bCs/>
                <w:i/>
                <w:iCs/>
                <w:sz w:val="18"/>
                <w:szCs w:val="18"/>
                <w:lang w:eastAsia="sl-SI"/>
              </w:rPr>
              <w:t>88.007.772</w:t>
            </w:r>
          </w:p>
        </w:tc>
      </w:tr>
      <w:tr w:rsidR="004B7622" w:rsidRPr="003B3D8A" w14:paraId="04F610EF" w14:textId="77777777" w:rsidTr="00377989">
        <w:trPr>
          <w:trHeight w:val="218"/>
        </w:trPr>
        <w:tc>
          <w:tcPr>
            <w:tcW w:w="1485" w:type="dxa"/>
            <w:tcBorders>
              <w:top w:val="nil"/>
              <w:left w:val="single" w:sz="4" w:space="0" w:color="auto"/>
              <w:bottom w:val="single" w:sz="4" w:space="0" w:color="auto"/>
              <w:right w:val="nil"/>
            </w:tcBorders>
            <w:shd w:val="clear" w:color="000000" w:fill="DCE6F1"/>
            <w:noWrap/>
            <w:vAlign w:val="center"/>
            <w:hideMark/>
          </w:tcPr>
          <w:p w14:paraId="6E5CFEBC" w14:textId="77777777" w:rsidR="004B7622" w:rsidRPr="003B3D8A" w:rsidRDefault="004B7622" w:rsidP="00377989">
            <w:pPr>
              <w:spacing w:after="0" w:line="240" w:lineRule="auto"/>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Proračun občin</w:t>
            </w:r>
          </w:p>
        </w:tc>
        <w:tc>
          <w:tcPr>
            <w:tcW w:w="1200" w:type="dxa"/>
            <w:tcBorders>
              <w:top w:val="nil"/>
              <w:left w:val="nil"/>
              <w:bottom w:val="single" w:sz="4" w:space="0" w:color="auto"/>
              <w:right w:val="nil"/>
            </w:tcBorders>
            <w:shd w:val="clear" w:color="000000" w:fill="DCE6F1"/>
            <w:noWrap/>
            <w:vAlign w:val="center"/>
            <w:hideMark/>
          </w:tcPr>
          <w:p w14:paraId="00A56A7C" w14:textId="77777777" w:rsidR="004B7622" w:rsidRPr="003B3D8A" w:rsidRDefault="004B7622" w:rsidP="00377989">
            <w:pPr>
              <w:spacing w:after="0" w:line="240" w:lineRule="auto"/>
              <w:rPr>
                <w:rFonts w:ascii="Arial" w:eastAsia="Times New Roman" w:hAnsi="Arial" w:cs="Arial"/>
                <w:sz w:val="18"/>
                <w:szCs w:val="18"/>
                <w:lang w:eastAsia="sl-SI"/>
              </w:rPr>
            </w:pPr>
            <w:r w:rsidRPr="003B3D8A">
              <w:rPr>
                <w:rFonts w:ascii="Arial" w:eastAsia="Times New Roman" w:hAnsi="Arial" w:cs="Arial"/>
                <w:sz w:val="18"/>
                <w:szCs w:val="18"/>
                <w:lang w:eastAsia="sl-SI"/>
              </w:rPr>
              <w:t> </w:t>
            </w:r>
          </w:p>
        </w:tc>
        <w:tc>
          <w:tcPr>
            <w:tcW w:w="1095" w:type="dxa"/>
            <w:tcBorders>
              <w:top w:val="nil"/>
              <w:left w:val="nil"/>
              <w:bottom w:val="single" w:sz="4" w:space="0" w:color="auto"/>
              <w:right w:val="nil"/>
            </w:tcBorders>
            <w:shd w:val="clear" w:color="000000" w:fill="DCE6F1"/>
            <w:noWrap/>
            <w:vAlign w:val="center"/>
            <w:hideMark/>
          </w:tcPr>
          <w:p w14:paraId="64F2D802" w14:textId="77777777" w:rsidR="004B7622" w:rsidRPr="003B3D8A" w:rsidRDefault="004B7622" w:rsidP="00377989">
            <w:pPr>
              <w:spacing w:after="0" w:line="240" w:lineRule="auto"/>
              <w:rPr>
                <w:rFonts w:ascii="Arial" w:eastAsia="Times New Roman" w:hAnsi="Arial" w:cs="Arial"/>
                <w:sz w:val="18"/>
                <w:szCs w:val="18"/>
                <w:lang w:eastAsia="sl-SI"/>
              </w:rPr>
            </w:pPr>
            <w:r w:rsidRPr="003B3D8A">
              <w:rPr>
                <w:rFonts w:ascii="Arial" w:eastAsia="Times New Roman" w:hAnsi="Arial" w:cs="Arial"/>
                <w:sz w:val="18"/>
                <w:szCs w:val="18"/>
                <w:lang w:eastAsia="sl-SI"/>
              </w:rPr>
              <w:t> </w:t>
            </w:r>
          </w:p>
        </w:tc>
        <w:tc>
          <w:tcPr>
            <w:tcW w:w="1118" w:type="dxa"/>
            <w:tcBorders>
              <w:top w:val="nil"/>
              <w:left w:val="nil"/>
              <w:bottom w:val="single" w:sz="4" w:space="0" w:color="auto"/>
              <w:right w:val="nil"/>
            </w:tcBorders>
            <w:shd w:val="clear" w:color="000000" w:fill="DCE6F1"/>
            <w:noWrap/>
            <w:vAlign w:val="center"/>
            <w:hideMark/>
          </w:tcPr>
          <w:p w14:paraId="5355B113" w14:textId="77777777" w:rsidR="004B7622" w:rsidRPr="003B3D8A" w:rsidRDefault="004B7622" w:rsidP="00377989">
            <w:pPr>
              <w:spacing w:after="0" w:line="240" w:lineRule="auto"/>
              <w:rPr>
                <w:rFonts w:ascii="Arial" w:eastAsia="Times New Roman" w:hAnsi="Arial" w:cs="Arial"/>
                <w:sz w:val="18"/>
                <w:szCs w:val="18"/>
                <w:lang w:eastAsia="sl-SI"/>
              </w:rPr>
            </w:pPr>
            <w:r w:rsidRPr="003B3D8A">
              <w:rPr>
                <w:rFonts w:ascii="Arial" w:eastAsia="Times New Roman" w:hAnsi="Arial" w:cs="Arial"/>
                <w:sz w:val="18"/>
                <w:szCs w:val="18"/>
                <w:lang w:eastAsia="sl-SI"/>
              </w:rPr>
              <w:t> </w:t>
            </w:r>
          </w:p>
        </w:tc>
        <w:tc>
          <w:tcPr>
            <w:tcW w:w="4592" w:type="dxa"/>
            <w:gridSpan w:val="4"/>
            <w:tcBorders>
              <w:top w:val="double" w:sz="6" w:space="0" w:color="auto"/>
              <w:left w:val="nil"/>
              <w:bottom w:val="single" w:sz="4" w:space="0" w:color="auto"/>
              <w:right w:val="single" w:sz="4" w:space="0" w:color="000000"/>
            </w:tcBorders>
            <w:shd w:val="clear" w:color="000000" w:fill="DCE6F1"/>
            <w:noWrap/>
            <w:vAlign w:val="center"/>
            <w:hideMark/>
          </w:tcPr>
          <w:p w14:paraId="1976FDDF" w14:textId="77777777" w:rsidR="004B7622" w:rsidRPr="003B3D8A" w:rsidRDefault="004B7622" w:rsidP="00377989">
            <w:pPr>
              <w:spacing w:after="0" w:line="240" w:lineRule="auto"/>
              <w:jc w:val="center"/>
              <w:rPr>
                <w:rFonts w:ascii="Arial" w:eastAsia="Times New Roman" w:hAnsi="Arial" w:cs="Arial"/>
                <w:sz w:val="18"/>
                <w:szCs w:val="18"/>
                <w:lang w:eastAsia="sl-SI"/>
              </w:rPr>
            </w:pPr>
            <w:r w:rsidRPr="003B3D8A">
              <w:rPr>
                <w:rFonts w:ascii="Arial" w:eastAsia="Times New Roman" w:hAnsi="Arial" w:cs="Arial"/>
                <w:sz w:val="18"/>
                <w:szCs w:val="18"/>
                <w:lang w:eastAsia="sl-SI"/>
              </w:rPr>
              <w:t> </w:t>
            </w:r>
          </w:p>
        </w:tc>
      </w:tr>
      <w:tr w:rsidR="004B7622" w:rsidRPr="003B3D8A" w14:paraId="151498C5" w14:textId="77777777" w:rsidTr="00377989">
        <w:trPr>
          <w:trHeight w:val="301"/>
        </w:trPr>
        <w:tc>
          <w:tcPr>
            <w:tcW w:w="1485" w:type="dxa"/>
            <w:tcBorders>
              <w:top w:val="nil"/>
              <w:left w:val="single" w:sz="4" w:space="0" w:color="auto"/>
              <w:bottom w:val="single" w:sz="4" w:space="0" w:color="auto"/>
              <w:right w:val="single" w:sz="4" w:space="0" w:color="auto"/>
            </w:tcBorders>
            <w:shd w:val="clear" w:color="auto" w:fill="auto"/>
            <w:vAlign w:val="center"/>
            <w:hideMark/>
          </w:tcPr>
          <w:p w14:paraId="6EF447C9" w14:textId="77777777" w:rsidR="004B7622" w:rsidRPr="003B3D8A" w:rsidRDefault="004B7622" w:rsidP="00377989">
            <w:pPr>
              <w:spacing w:after="0" w:line="240" w:lineRule="auto"/>
              <w:rPr>
                <w:rFonts w:ascii="Arial" w:eastAsia="Times New Roman" w:hAnsi="Arial" w:cs="Arial"/>
                <w:sz w:val="18"/>
                <w:szCs w:val="18"/>
                <w:lang w:eastAsia="sl-SI"/>
              </w:rPr>
            </w:pPr>
            <w:r w:rsidRPr="003B3D8A">
              <w:rPr>
                <w:rFonts w:ascii="Arial" w:eastAsia="Times New Roman" w:hAnsi="Arial" w:cs="Arial"/>
                <w:sz w:val="18"/>
                <w:szCs w:val="18"/>
                <w:lang w:eastAsia="sl-SI"/>
              </w:rPr>
              <w:t xml:space="preserve">Aktivni dolg </w:t>
            </w:r>
          </w:p>
        </w:tc>
        <w:tc>
          <w:tcPr>
            <w:tcW w:w="1200" w:type="dxa"/>
            <w:tcBorders>
              <w:top w:val="nil"/>
              <w:left w:val="nil"/>
              <w:bottom w:val="single" w:sz="4" w:space="0" w:color="auto"/>
              <w:right w:val="single" w:sz="4" w:space="0" w:color="auto"/>
            </w:tcBorders>
            <w:shd w:val="clear" w:color="auto" w:fill="auto"/>
            <w:vAlign w:val="center"/>
            <w:hideMark/>
          </w:tcPr>
          <w:p w14:paraId="2C72D53E"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2.524.239</w:t>
            </w:r>
          </w:p>
        </w:tc>
        <w:tc>
          <w:tcPr>
            <w:tcW w:w="1095" w:type="dxa"/>
            <w:tcBorders>
              <w:top w:val="nil"/>
              <w:left w:val="nil"/>
              <w:bottom w:val="single" w:sz="4" w:space="0" w:color="auto"/>
              <w:right w:val="single" w:sz="4" w:space="0" w:color="auto"/>
            </w:tcBorders>
            <w:shd w:val="clear" w:color="auto" w:fill="auto"/>
            <w:vAlign w:val="center"/>
            <w:hideMark/>
          </w:tcPr>
          <w:p w14:paraId="4C6B82AA"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1.014.746</w:t>
            </w:r>
          </w:p>
        </w:tc>
        <w:tc>
          <w:tcPr>
            <w:tcW w:w="1118" w:type="dxa"/>
            <w:tcBorders>
              <w:top w:val="nil"/>
              <w:left w:val="nil"/>
              <w:bottom w:val="single" w:sz="4" w:space="0" w:color="auto"/>
              <w:right w:val="single" w:sz="4" w:space="0" w:color="auto"/>
            </w:tcBorders>
            <w:shd w:val="clear" w:color="auto" w:fill="auto"/>
            <w:vAlign w:val="center"/>
            <w:hideMark/>
          </w:tcPr>
          <w:p w14:paraId="5380971D"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1.511.269</w:t>
            </w:r>
          </w:p>
        </w:tc>
        <w:tc>
          <w:tcPr>
            <w:tcW w:w="1095" w:type="dxa"/>
            <w:tcBorders>
              <w:top w:val="nil"/>
              <w:left w:val="nil"/>
              <w:bottom w:val="single" w:sz="4" w:space="0" w:color="auto"/>
              <w:right w:val="single" w:sz="4" w:space="0" w:color="auto"/>
            </w:tcBorders>
            <w:shd w:val="clear" w:color="auto" w:fill="auto"/>
            <w:vAlign w:val="center"/>
            <w:hideMark/>
          </w:tcPr>
          <w:p w14:paraId="073207D5"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1.118.992</w:t>
            </w:r>
          </w:p>
        </w:tc>
        <w:tc>
          <w:tcPr>
            <w:tcW w:w="1095" w:type="dxa"/>
            <w:tcBorders>
              <w:top w:val="nil"/>
              <w:left w:val="nil"/>
              <w:bottom w:val="single" w:sz="4" w:space="0" w:color="auto"/>
              <w:right w:val="single" w:sz="4" w:space="0" w:color="auto"/>
            </w:tcBorders>
            <w:shd w:val="clear" w:color="auto" w:fill="auto"/>
            <w:vAlign w:val="center"/>
            <w:hideMark/>
          </w:tcPr>
          <w:p w14:paraId="2563371E"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1.375.415</w:t>
            </w:r>
          </w:p>
        </w:tc>
        <w:tc>
          <w:tcPr>
            <w:tcW w:w="1200" w:type="dxa"/>
            <w:tcBorders>
              <w:top w:val="nil"/>
              <w:left w:val="nil"/>
              <w:bottom w:val="single" w:sz="4" w:space="0" w:color="auto"/>
              <w:right w:val="single" w:sz="4" w:space="0" w:color="auto"/>
            </w:tcBorders>
            <w:shd w:val="clear" w:color="auto" w:fill="auto"/>
            <w:vAlign w:val="center"/>
            <w:hideMark/>
          </w:tcPr>
          <w:p w14:paraId="6A465156"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4.493.776</w:t>
            </w:r>
          </w:p>
        </w:tc>
        <w:tc>
          <w:tcPr>
            <w:tcW w:w="1200" w:type="dxa"/>
            <w:tcBorders>
              <w:top w:val="nil"/>
              <w:left w:val="nil"/>
              <w:bottom w:val="single" w:sz="4" w:space="0" w:color="auto"/>
              <w:right w:val="single" w:sz="4" w:space="0" w:color="auto"/>
            </w:tcBorders>
            <w:shd w:val="clear" w:color="auto" w:fill="auto"/>
            <w:vAlign w:val="center"/>
            <w:hideMark/>
          </w:tcPr>
          <w:p w14:paraId="26AB4F79" w14:textId="77777777" w:rsidR="004B7622" w:rsidRPr="003B3D8A" w:rsidRDefault="004B7622" w:rsidP="00377989">
            <w:pPr>
              <w:spacing w:after="0" w:line="240" w:lineRule="auto"/>
              <w:jc w:val="right"/>
              <w:rPr>
                <w:rFonts w:ascii="Arial" w:eastAsia="Times New Roman" w:hAnsi="Arial" w:cs="Arial"/>
                <w:color w:val="000000"/>
                <w:sz w:val="18"/>
                <w:szCs w:val="18"/>
                <w:lang w:eastAsia="sl-SI"/>
              </w:rPr>
            </w:pPr>
            <w:r w:rsidRPr="003B3D8A">
              <w:rPr>
                <w:rFonts w:ascii="Arial" w:eastAsia="Times New Roman" w:hAnsi="Arial" w:cs="Arial"/>
                <w:color w:val="000000"/>
                <w:sz w:val="18"/>
                <w:szCs w:val="18"/>
                <w:lang w:eastAsia="sl-SI"/>
              </w:rPr>
              <w:t>12.038.437</w:t>
            </w:r>
          </w:p>
        </w:tc>
      </w:tr>
      <w:tr w:rsidR="004B7622" w:rsidRPr="003B3D8A" w14:paraId="1A57FA84" w14:textId="77777777" w:rsidTr="00377989">
        <w:trPr>
          <w:trHeight w:val="301"/>
        </w:trPr>
        <w:tc>
          <w:tcPr>
            <w:tcW w:w="1485" w:type="dxa"/>
            <w:tcBorders>
              <w:top w:val="nil"/>
              <w:left w:val="single" w:sz="4" w:space="0" w:color="auto"/>
              <w:bottom w:val="single" w:sz="4" w:space="0" w:color="auto"/>
              <w:right w:val="single" w:sz="4" w:space="0" w:color="auto"/>
            </w:tcBorders>
            <w:shd w:val="clear" w:color="auto" w:fill="auto"/>
            <w:vAlign w:val="center"/>
            <w:hideMark/>
          </w:tcPr>
          <w:p w14:paraId="52357FCD" w14:textId="77777777" w:rsidR="004B7622" w:rsidRPr="003B3D8A" w:rsidRDefault="004B7622" w:rsidP="00377989">
            <w:pPr>
              <w:spacing w:after="0" w:line="240" w:lineRule="auto"/>
              <w:rPr>
                <w:rFonts w:ascii="Arial" w:eastAsia="Times New Roman" w:hAnsi="Arial" w:cs="Arial"/>
                <w:sz w:val="18"/>
                <w:szCs w:val="18"/>
                <w:lang w:eastAsia="sl-SI"/>
              </w:rPr>
            </w:pPr>
            <w:r w:rsidRPr="003B3D8A">
              <w:rPr>
                <w:rFonts w:ascii="Arial" w:eastAsia="Times New Roman" w:hAnsi="Arial" w:cs="Arial"/>
                <w:sz w:val="18"/>
                <w:szCs w:val="18"/>
                <w:lang w:eastAsia="sl-SI"/>
              </w:rPr>
              <w:t xml:space="preserve">Pogojno izterljivi dolg </w:t>
            </w:r>
          </w:p>
        </w:tc>
        <w:tc>
          <w:tcPr>
            <w:tcW w:w="1200" w:type="dxa"/>
            <w:tcBorders>
              <w:top w:val="nil"/>
              <w:left w:val="nil"/>
              <w:bottom w:val="single" w:sz="4" w:space="0" w:color="auto"/>
              <w:right w:val="single" w:sz="4" w:space="0" w:color="auto"/>
            </w:tcBorders>
            <w:shd w:val="clear" w:color="auto" w:fill="auto"/>
            <w:vAlign w:val="center"/>
            <w:hideMark/>
          </w:tcPr>
          <w:p w14:paraId="6974CB30"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10.711.492</w:t>
            </w:r>
          </w:p>
        </w:tc>
        <w:tc>
          <w:tcPr>
            <w:tcW w:w="1095" w:type="dxa"/>
            <w:tcBorders>
              <w:top w:val="nil"/>
              <w:left w:val="nil"/>
              <w:bottom w:val="single" w:sz="4" w:space="0" w:color="auto"/>
              <w:right w:val="single" w:sz="4" w:space="0" w:color="auto"/>
            </w:tcBorders>
            <w:shd w:val="clear" w:color="auto" w:fill="auto"/>
            <w:vAlign w:val="center"/>
            <w:hideMark/>
          </w:tcPr>
          <w:p w14:paraId="40A3E9F9"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1.661.711</w:t>
            </w:r>
          </w:p>
        </w:tc>
        <w:tc>
          <w:tcPr>
            <w:tcW w:w="1118" w:type="dxa"/>
            <w:tcBorders>
              <w:top w:val="nil"/>
              <w:left w:val="nil"/>
              <w:bottom w:val="single" w:sz="4" w:space="0" w:color="auto"/>
              <w:right w:val="single" w:sz="4" w:space="0" w:color="auto"/>
            </w:tcBorders>
            <w:shd w:val="clear" w:color="auto" w:fill="auto"/>
            <w:vAlign w:val="center"/>
            <w:hideMark/>
          </w:tcPr>
          <w:p w14:paraId="6B53C0C2"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1.775.259</w:t>
            </w:r>
          </w:p>
        </w:tc>
        <w:tc>
          <w:tcPr>
            <w:tcW w:w="1095" w:type="dxa"/>
            <w:tcBorders>
              <w:top w:val="nil"/>
              <w:left w:val="nil"/>
              <w:bottom w:val="single" w:sz="4" w:space="0" w:color="auto"/>
              <w:right w:val="single" w:sz="4" w:space="0" w:color="auto"/>
            </w:tcBorders>
            <w:shd w:val="clear" w:color="auto" w:fill="auto"/>
            <w:vAlign w:val="center"/>
            <w:hideMark/>
          </w:tcPr>
          <w:p w14:paraId="0716C160"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824.770</w:t>
            </w:r>
          </w:p>
        </w:tc>
        <w:tc>
          <w:tcPr>
            <w:tcW w:w="1095" w:type="dxa"/>
            <w:tcBorders>
              <w:top w:val="nil"/>
              <w:left w:val="nil"/>
              <w:bottom w:val="single" w:sz="4" w:space="0" w:color="auto"/>
              <w:right w:val="single" w:sz="4" w:space="0" w:color="auto"/>
            </w:tcBorders>
            <w:shd w:val="clear" w:color="auto" w:fill="auto"/>
            <w:vAlign w:val="center"/>
            <w:hideMark/>
          </w:tcPr>
          <w:p w14:paraId="0F052CC3"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317.981</w:t>
            </w:r>
          </w:p>
        </w:tc>
        <w:tc>
          <w:tcPr>
            <w:tcW w:w="1200" w:type="dxa"/>
            <w:tcBorders>
              <w:top w:val="nil"/>
              <w:left w:val="nil"/>
              <w:bottom w:val="single" w:sz="4" w:space="0" w:color="auto"/>
              <w:right w:val="single" w:sz="4" w:space="0" w:color="auto"/>
            </w:tcBorders>
            <w:shd w:val="clear" w:color="auto" w:fill="auto"/>
            <w:vAlign w:val="center"/>
            <w:hideMark/>
          </w:tcPr>
          <w:p w14:paraId="5492E0BF"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368.150</w:t>
            </w:r>
          </w:p>
        </w:tc>
        <w:tc>
          <w:tcPr>
            <w:tcW w:w="1200" w:type="dxa"/>
            <w:tcBorders>
              <w:top w:val="nil"/>
              <w:left w:val="nil"/>
              <w:bottom w:val="single" w:sz="4" w:space="0" w:color="auto"/>
              <w:right w:val="single" w:sz="4" w:space="0" w:color="auto"/>
            </w:tcBorders>
            <w:shd w:val="clear" w:color="auto" w:fill="auto"/>
            <w:vAlign w:val="center"/>
            <w:hideMark/>
          </w:tcPr>
          <w:p w14:paraId="21C4EA29" w14:textId="77777777" w:rsidR="004B7622" w:rsidRPr="003B3D8A" w:rsidRDefault="004B7622" w:rsidP="00377989">
            <w:pPr>
              <w:spacing w:after="0" w:line="240" w:lineRule="auto"/>
              <w:jc w:val="right"/>
              <w:rPr>
                <w:rFonts w:ascii="Arial" w:eastAsia="Times New Roman" w:hAnsi="Arial" w:cs="Arial"/>
                <w:color w:val="000000"/>
                <w:sz w:val="18"/>
                <w:szCs w:val="18"/>
                <w:lang w:eastAsia="sl-SI"/>
              </w:rPr>
            </w:pPr>
            <w:r w:rsidRPr="003B3D8A">
              <w:rPr>
                <w:rFonts w:ascii="Arial" w:eastAsia="Times New Roman" w:hAnsi="Arial" w:cs="Arial"/>
                <w:color w:val="000000"/>
                <w:sz w:val="18"/>
                <w:szCs w:val="18"/>
                <w:lang w:eastAsia="sl-SI"/>
              </w:rPr>
              <w:t>15.659.363</w:t>
            </w:r>
          </w:p>
        </w:tc>
      </w:tr>
      <w:tr w:rsidR="004B7622" w:rsidRPr="003B3D8A" w14:paraId="6EAA6F7D" w14:textId="77777777" w:rsidTr="00377989">
        <w:trPr>
          <w:trHeight w:val="174"/>
        </w:trPr>
        <w:tc>
          <w:tcPr>
            <w:tcW w:w="1485" w:type="dxa"/>
            <w:tcBorders>
              <w:top w:val="double" w:sz="6" w:space="0" w:color="auto"/>
              <w:left w:val="single" w:sz="4" w:space="0" w:color="auto"/>
              <w:bottom w:val="double" w:sz="6" w:space="0" w:color="auto"/>
              <w:right w:val="single" w:sz="4" w:space="0" w:color="auto"/>
            </w:tcBorders>
            <w:shd w:val="clear" w:color="auto" w:fill="auto"/>
            <w:vAlign w:val="center"/>
            <w:hideMark/>
          </w:tcPr>
          <w:p w14:paraId="3C3268B4" w14:textId="77777777" w:rsidR="004B7622" w:rsidRPr="003B3D8A" w:rsidRDefault="004B7622" w:rsidP="00377989">
            <w:pPr>
              <w:spacing w:after="0" w:line="240" w:lineRule="auto"/>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Skupaj občine</w:t>
            </w:r>
          </w:p>
        </w:tc>
        <w:tc>
          <w:tcPr>
            <w:tcW w:w="1200" w:type="dxa"/>
            <w:tcBorders>
              <w:top w:val="double" w:sz="6" w:space="0" w:color="auto"/>
              <w:left w:val="nil"/>
              <w:bottom w:val="double" w:sz="6" w:space="0" w:color="auto"/>
              <w:right w:val="single" w:sz="4" w:space="0" w:color="auto"/>
            </w:tcBorders>
            <w:shd w:val="clear" w:color="auto" w:fill="auto"/>
            <w:vAlign w:val="center"/>
            <w:hideMark/>
          </w:tcPr>
          <w:p w14:paraId="74E7978E" w14:textId="77777777" w:rsidR="004B7622" w:rsidRPr="003B3D8A" w:rsidRDefault="004B7622" w:rsidP="00377989">
            <w:pPr>
              <w:spacing w:after="0" w:line="240" w:lineRule="auto"/>
              <w:jc w:val="right"/>
              <w:rPr>
                <w:rFonts w:ascii="Arial" w:eastAsia="Times New Roman" w:hAnsi="Arial" w:cs="Arial"/>
                <w:b/>
                <w:bCs/>
                <w:i/>
                <w:iCs/>
                <w:sz w:val="18"/>
                <w:szCs w:val="18"/>
                <w:lang w:eastAsia="sl-SI"/>
              </w:rPr>
            </w:pPr>
            <w:r w:rsidRPr="003B3D8A">
              <w:rPr>
                <w:rFonts w:ascii="Arial" w:eastAsia="Times New Roman" w:hAnsi="Arial" w:cs="Arial"/>
                <w:b/>
                <w:bCs/>
                <w:i/>
                <w:iCs/>
                <w:sz w:val="18"/>
                <w:szCs w:val="18"/>
                <w:lang w:eastAsia="sl-SI"/>
              </w:rPr>
              <w:t>13.235.731</w:t>
            </w:r>
          </w:p>
        </w:tc>
        <w:tc>
          <w:tcPr>
            <w:tcW w:w="1095" w:type="dxa"/>
            <w:tcBorders>
              <w:top w:val="double" w:sz="6" w:space="0" w:color="auto"/>
              <w:left w:val="nil"/>
              <w:bottom w:val="double" w:sz="6" w:space="0" w:color="auto"/>
              <w:right w:val="single" w:sz="4" w:space="0" w:color="auto"/>
            </w:tcBorders>
            <w:shd w:val="clear" w:color="auto" w:fill="auto"/>
            <w:vAlign w:val="center"/>
            <w:hideMark/>
          </w:tcPr>
          <w:p w14:paraId="73AE1E71" w14:textId="77777777" w:rsidR="004B7622" w:rsidRPr="003B3D8A" w:rsidRDefault="004B7622" w:rsidP="00377989">
            <w:pPr>
              <w:spacing w:after="0" w:line="240" w:lineRule="auto"/>
              <w:jc w:val="right"/>
              <w:rPr>
                <w:rFonts w:ascii="Arial" w:eastAsia="Times New Roman" w:hAnsi="Arial" w:cs="Arial"/>
                <w:b/>
                <w:bCs/>
                <w:i/>
                <w:iCs/>
                <w:sz w:val="18"/>
                <w:szCs w:val="18"/>
                <w:lang w:eastAsia="sl-SI"/>
              </w:rPr>
            </w:pPr>
            <w:r w:rsidRPr="003B3D8A">
              <w:rPr>
                <w:rFonts w:ascii="Arial" w:eastAsia="Times New Roman" w:hAnsi="Arial" w:cs="Arial"/>
                <w:b/>
                <w:bCs/>
                <w:i/>
                <w:iCs/>
                <w:sz w:val="18"/>
                <w:szCs w:val="18"/>
                <w:lang w:eastAsia="sl-SI"/>
              </w:rPr>
              <w:t>2.676.457</w:t>
            </w:r>
          </w:p>
        </w:tc>
        <w:tc>
          <w:tcPr>
            <w:tcW w:w="1118" w:type="dxa"/>
            <w:tcBorders>
              <w:top w:val="double" w:sz="6" w:space="0" w:color="auto"/>
              <w:left w:val="nil"/>
              <w:bottom w:val="double" w:sz="6" w:space="0" w:color="auto"/>
              <w:right w:val="single" w:sz="4" w:space="0" w:color="auto"/>
            </w:tcBorders>
            <w:shd w:val="clear" w:color="auto" w:fill="auto"/>
            <w:vAlign w:val="center"/>
            <w:hideMark/>
          </w:tcPr>
          <w:p w14:paraId="79D2B8A1" w14:textId="77777777" w:rsidR="004B7622" w:rsidRPr="003B3D8A" w:rsidRDefault="004B7622" w:rsidP="00377989">
            <w:pPr>
              <w:spacing w:after="0" w:line="240" w:lineRule="auto"/>
              <w:jc w:val="right"/>
              <w:rPr>
                <w:rFonts w:ascii="Arial" w:eastAsia="Times New Roman" w:hAnsi="Arial" w:cs="Arial"/>
                <w:b/>
                <w:bCs/>
                <w:i/>
                <w:iCs/>
                <w:sz w:val="18"/>
                <w:szCs w:val="18"/>
                <w:lang w:eastAsia="sl-SI"/>
              </w:rPr>
            </w:pPr>
            <w:r w:rsidRPr="003B3D8A">
              <w:rPr>
                <w:rFonts w:ascii="Arial" w:eastAsia="Times New Roman" w:hAnsi="Arial" w:cs="Arial"/>
                <w:b/>
                <w:bCs/>
                <w:i/>
                <w:iCs/>
                <w:sz w:val="18"/>
                <w:szCs w:val="18"/>
                <w:lang w:eastAsia="sl-SI"/>
              </w:rPr>
              <w:t>3.286.528</w:t>
            </w:r>
          </w:p>
        </w:tc>
        <w:tc>
          <w:tcPr>
            <w:tcW w:w="1095" w:type="dxa"/>
            <w:tcBorders>
              <w:top w:val="double" w:sz="6" w:space="0" w:color="auto"/>
              <w:left w:val="nil"/>
              <w:bottom w:val="double" w:sz="6" w:space="0" w:color="auto"/>
              <w:right w:val="single" w:sz="4" w:space="0" w:color="auto"/>
            </w:tcBorders>
            <w:shd w:val="clear" w:color="auto" w:fill="auto"/>
            <w:vAlign w:val="center"/>
            <w:hideMark/>
          </w:tcPr>
          <w:p w14:paraId="2401E1C4" w14:textId="77777777" w:rsidR="004B7622" w:rsidRPr="003B3D8A" w:rsidRDefault="004B7622" w:rsidP="00377989">
            <w:pPr>
              <w:spacing w:after="0" w:line="240" w:lineRule="auto"/>
              <w:jc w:val="right"/>
              <w:rPr>
                <w:rFonts w:ascii="Arial" w:eastAsia="Times New Roman" w:hAnsi="Arial" w:cs="Arial"/>
                <w:b/>
                <w:bCs/>
                <w:i/>
                <w:iCs/>
                <w:sz w:val="18"/>
                <w:szCs w:val="18"/>
                <w:lang w:eastAsia="sl-SI"/>
              </w:rPr>
            </w:pPr>
            <w:r w:rsidRPr="003B3D8A">
              <w:rPr>
                <w:rFonts w:ascii="Arial" w:eastAsia="Times New Roman" w:hAnsi="Arial" w:cs="Arial"/>
                <w:b/>
                <w:bCs/>
                <w:i/>
                <w:iCs/>
                <w:sz w:val="18"/>
                <w:szCs w:val="18"/>
                <w:lang w:eastAsia="sl-SI"/>
              </w:rPr>
              <w:t>1.943.762</w:t>
            </w:r>
          </w:p>
        </w:tc>
        <w:tc>
          <w:tcPr>
            <w:tcW w:w="1095" w:type="dxa"/>
            <w:tcBorders>
              <w:top w:val="double" w:sz="6" w:space="0" w:color="auto"/>
              <w:left w:val="nil"/>
              <w:bottom w:val="double" w:sz="6" w:space="0" w:color="auto"/>
              <w:right w:val="single" w:sz="4" w:space="0" w:color="auto"/>
            </w:tcBorders>
            <w:shd w:val="clear" w:color="auto" w:fill="auto"/>
            <w:vAlign w:val="center"/>
            <w:hideMark/>
          </w:tcPr>
          <w:p w14:paraId="773ED79E" w14:textId="77777777" w:rsidR="004B7622" w:rsidRPr="003B3D8A" w:rsidRDefault="004B7622" w:rsidP="00377989">
            <w:pPr>
              <w:spacing w:after="0" w:line="240" w:lineRule="auto"/>
              <w:jc w:val="right"/>
              <w:rPr>
                <w:rFonts w:ascii="Arial" w:eastAsia="Times New Roman" w:hAnsi="Arial" w:cs="Arial"/>
                <w:b/>
                <w:bCs/>
                <w:i/>
                <w:iCs/>
                <w:sz w:val="18"/>
                <w:szCs w:val="18"/>
                <w:lang w:eastAsia="sl-SI"/>
              </w:rPr>
            </w:pPr>
            <w:r w:rsidRPr="003B3D8A">
              <w:rPr>
                <w:rFonts w:ascii="Arial" w:eastAsia="Times New Roman" w:hAnsi="Arial" w:cs="Arial"/>
                <w:b/>
                <w:bCs/>
                <w:i/>
                <w:iCs/>
                <w:sz w:val="18"/>
                <w:szCs w:val="18"/>
                <w:lang w:eastAsia="sl-SI"/>
              </w:rPr>
              <w:t>1.693.396</w:t>
            </w:r>
          </w:p>
        </w:tc>
        <w:tc>
          <w:tcPr>
            <w:tcW w:w="1200" w:type="dxa"/>
            <w:tcBorders>
              <w:top w:val="double" w:sz="6" w:space="0" w:color="auto"/>
              <w:left w:val="nil"/>
              <w:bottom w:val="double" w:sz="6" w:space="0" w:color="auto"/>
              <w:right w:val="single" w:sz="4" w:space="0" w:color="auto"/>
            </w:tcBorders>
            <w:shd w:val="clear" w:color="auto" w:fill="auto"/>
            <w:vAlign w:val="center"/>
            <w:hideMark/>
          </w:tcPr>
          <w:p w14:paraId="40E2CA2D" w14:textId="77777777" w:rsidR="004B7622" w:rsidRPr="003B3D8A" w:rsidRDefault="004B7622" w:rsidP="00377989">
            <w:pPr>
              <w:spacing w:after="0" w:line="240" w:lineRule="auto"/>
              <w:jc w:val="right"/>
              <w:rPr>
                <w:rFonts w:ascii="Arial" w:eastAsia="Times New Roman" w:hAnsi="Arial" w:cs="Arial"/>
                <w:b/>
                <w:bCs/>
                <w:i/>
                <w:iCs/>
                <w:sz w:val="18"/>
                <w:szCs w:val="18"/>
                <w:lang w:eastAsia="sl-SI"/>
              </w:rPr>
            </w:pPr>
            <w:r w:rsidRPr="003B3D8A">
              <w:rPr>
                <w:rFonts w:ascii="Arial" w:eastAsia="Times New Roman" w:hAnsi="Arial" w:cs="Arial"/>
                <w:b/>
                <w:bCs/>
                <w:i/>
                <w:iCs/>
                <w:sz w:val="18"/>
                <w:szCs w:val="18"/>
                <w:lang w:eastAsia="sl-SI"/>
              </w:rPr>
              <w:t>4.861.926</w:t>
            </w:r>
          </w:p>
        </w:tc>
        <w:tc>
          <w:tcPr>
            <w:tcW w:w="1200" w:type="dxa"/>
            <w:tcBorders>
              <w:top w:val="double" w:sz="6" w:space="0" w:color="auto"/>
              <w:left w:val="nil"/>
              <w:bottom w:val="double" w:sz="6" w:space="0" w:color="auto"/>
              <w:right w:val="single" w:sz="4" w:space="0" w:color="auto"/>
            </w:tcBorders>
            <w:shd w:val="clear" w:color="auto" w:fill="auto"/>
            <w:vAlign w:val="center"/>
            <w:hideMark/>
          </w:tcPr>
          <w:p w14:paraId="5772EAE6" w14:textId="77777777" w:rsidR="004B7622" w:rsidRPr="003B3D8A" w:rsidRDefault="004B7622" w:rsidP="00377989">
            <w:pPr>
              <w:spacing w:after="0" w:line="240" w:lineRule="auto"/>
              <w:jc w:val="right"/>
              <w:rPr>
                <w:rFonts w:ascii="Arial" w:eastAsia="Times New Roman" w:hAnsi="Arial" w:cs="Arial"/>
                <w:b/>
                <w:bCs/>
                <w:i/>
                <w:iCs/>
                <w:sz w:val="18"/>
                <w:szCs w:val="18"/>
                <w:lang w:eastAsia="sl-SI"/>
              </w:rPr>
            </w:pPr>
            <w:r w:rsidRPr="003B3D8A">
              <w:rPr>
                <w:rFonts w:ascii="Arial" w:eastAsia="Times New Roman" w:hAnsi="Arial" w:cs="Arial"/>
                <w:b/>
                <w:bCs/>
                <w:i/>
                <w:iCs/>
                <w:sz w:val="18"/>
                <w:szCs w:val="18"/>
                <w:lang w:eastAsia="sl-SI"/>
              </w:rPr>
              <w:t>27.697.800</w:t>
            </w:r>
          </w:p>
        </w:tc>
      </w:tr>
      <w:tr w:rsidR="004B7622" w:rsidRPr="003B3D8A" w14:paraId="33A1B540" w14:textId="77777777" w:rsidTr="00377989">
        <w:trPr>
          <w:trHeight w:val="218"/>
        </w:trPr>
        <w:tc>
          <w:tcPr>
            <w:tcW w:w="9491" w:type="dxa"/>
            <w:gridSpan w:val="8"/>
            <w:tcBorders>
              <w:top w:val="double" w:sz="6" w:space="0" w:color="auto"/>
              <w:left w:val="single" w:sz="4" w:space="0" w:color="auto"/>
              <w:bottom w:val="single" w:sz="4" w:space="0" w:color="auto"/>
              <w:right w:val="single" w:sz="4" w:space="0" w:color="000000"/>
            </w:tcBorders>
            <w:shd w:val="clear" w:color="000000" w:fill="DCE6F1"/>
            <w:vAlign w:val="center"/>
            <w:hideMark/>
          </w:tcPr>
          <w:p w14:paraId="1B840ADE" w14:textId="77777777" w:rsidR="004B7622" w:rsidRPr="003B3D8A" w:rsidRDefault="004B7622" w:rsidP="00377989">
            <w:pPr>
              <w:spacing w:after="0" w:line="240" w:lineRule="auto"/>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Ostalo</w:t>
            </w:r>
          </w:p>
        </w:tc>
      </w:tr>
      <w:tr w:rsidR="004B7622" w:rsidRPr="003B3D8A" w14:paraId="63B8BA66" w14:textId="77777777" w:rsidTr="00377989">
        <w:trPr>
          <w:trHeight w:val="301"/>
        </w:trPr>
        <w:tc>
          <w:tcPr>
            <w:tcW w:w="1485" w:type="dxa"/>
            <w:tcBorders>
              <w:top w:val="nil"/>
              <w:left w:val="single" w:sz="4" w:space="0" w:color="auto"/>
              <w:bottom w:val="single" w:sz="4" w:space="0" w:color="auto"/>
              <w:right w:val="single" w:sz="4" w:space="0" w:color="auto"/>
            </w:tcBorders>
            <w:shd w:val="clear" w:color="auto" w:fill="auto"/>
            <w:vAlign w:val="center"/>
            <w:hideMark/>
          </w:tcPr>
          <w:p w14:paraId="5DB3207B" w14:textId="77777777" w:rsidR="004B7622" w:rsidRPr="003B3D8A" w:rsidRDefault="004B7622" w:rsidP="00377989">
            <w:pPr>
              <w:spacing w:after="0" w:line="240" w:lineRule="auto"/>
              <w:rPr>
                <w:rFonts w:ascii="Arial" w:eastAsia="Times New Roman" w:hAnsi="Arial" w:cs="Arial"/>
                <w:sz w:val="18"/>
                <w:szCs w:val="18"/>
                <w:lang w:eastAsia="sl-SI"/>
              </w:rPr>
            </w:pPr>
            <w:r w:rsidRPr="003B3D8A">
              <w:rPr>
                <w:rFonts w:ascii="Arial" w:eastAsia="Times New Roman" w:hAnsi="Arial" w:cs="Arial"/>
                <w:sz w:val="18"/>
                <w:szCs w:val="18"/>
                <w:lang w:eastAsia="sl-SI"/>
              </w:rPr>
              <w:t xml:space="preserve">Aktivni dolg </w:t>
            </w:r>
          </w:p>
        </w:tc>
        <w:tc>
          <w:tcPr>
            <w:tcW w:w="1200" w:type="dxa"/>
            <w:tcBorders>
              <w:top w:val="nil"/>
              <w:left w:val="nil"/>
              <w:bottom w:val="single" w:sz="4" w:space="0" w:color="auto"/>
              <w:right w:val="single" w:sz="4" w:space="0" w:color="auto"/>
            </w:tcBorders>
            <w:shd w:val="clear" w:color="auto" w:fill="auto"/>
            <w:vAlign w:val="center"/>
            <w:hideMark/>
          </w:tcPr>
          <w:p w14:paraId="3BF1EC6B" w14:textId="77777777" w:rsidR="004B7622" w:rsidRPr="003B3D8A" w:rsidRDefault="004B7622" w:rsidP="00377989">
            <w:pPr>
              <w:spacing w:after="0" w:line="240" w:lineRule="auto"/>
              <w:jc w:val="right"/>
              <w:rPr>
                <w:rFonts w:ascii="Arial" w:eastAsia="Times New Roman" w:hAnsi="Arial" w:cs="Arial"/>
                <w:i/>
                <w:iCs/>
                <w:sz w:val="18"/>
                <w:szCs w:val="18"/>
                <w:lang w:eastAsia="sl-SI"/>
              </w:rPr>
            </w:pPr>
            <w:r w:rsidRPr="003B3D8A">
              <w:rPr>
                <w:rFonts w:ascii="Arial" w:eastAsia="Times New Roman" w:hAnsi="Arial" w:cs="Arial"/>
                <w:i/>
                <w:iCs/>
                <w:sz w:val="18"/>
                <w:szCs w:val="18"/>
                <w:lang w:eastAsia="sl-SI"/>
              </w:rPr>
              <w:t>17</w:t>
            </w:r>
          </w:p>
        </w:tc>
        <w:tc>
          <w:tcPr>
            <w:tcW w:w="1095" w:type="dxa"/>
            <w:tcBorders>
              <w:top w:val="nil"/>
              <w:left w:val="nil"/>
              <w:bottom w:val="single" w:sz="4" w:space="0" w:color="auto"/>
              <w:right w:val="single" w:sz="4" w:space="0" w:color="auto"/>
            </w:tcBorders>
            <w:shd w:val="clear" w:color="auto" w:fill="auto"/>
            <w:vAlign w:val="center"/>
            <w:hideMark/>
          </w:tcPr>
          <w:p w14:paraId="4B07A7A0" w14:textId="77777777" w:rsidR="004B7622" w:rsidRPr="003B3D8A" w:rsidRDefault="004B7622" w:rsidP="00377989">
            <w:pPr>
              <w:spacing w:after="0" w:line="240" w:lineRule="auto"/>
              <w:jc w:val="right"/>
              <w:rPr>
                <w:rFonts w:ascii="Arial" w:eastAsia="Times New Roman" w:hAnsi="Arial" w:cs="Arial"/>
                <w:i/>
                <w:iCs/>
                <w:sz w:val="18"/>
                <w:szCs w:val="18"/>
                <w:lang w:eastAsia="sl-SI"/>
              </w:rPr>
            </w:pPr>
            <w:r w:rsidRPr="003B3D8A">
              <w:rPr>
                <w:rFonts w:ascii="Arial" w:eastAsia="Times New Roman" w:hAnsi="Arial" w:cs="Arial"/>
                <w:i/>
                <w:iCs/>
                <w:sz w:val="18"/>
                <w:szCs w:val="18"/>
                <w:lang w:eastAsia="sl-SI"/>
              </w:rPr>
              <w:t>81</w:t>
            </w:r>
          </w:p>
        </w:tc>
        <w:tc>
          <w:tcPr>
            <w:tcW w:w="1118" w:type="dxa"/>
            <w:tcBorders>
              <w:top w:val="nil"/>
              <w:left w:val="nil"/>
              <w:bottom w:val="single" w:sz="4" w:space="0" w:color="auto"/>
              <w:right w:val="single" w:sz="4" w:space="0" w:color="auto"/>
            </w:tcBorders>
            <w:shd w:val="clear" w:color="auto" w:fill="auto"/>
            <w:vAlign w:val="center"/>
            <w:hideMark/>
          </w:tcPr>
          <w:p w14:paraId="7FB68E65" w14:textId="77777777" w:rsidR="004B7622" w:rsidRPr="003B3D8A" w:rsidRDefault="004B7622" w:rsidP="00377989">
            <w:pPr>
              <w:spacing w:after="0" w:line="240" w:lineRule="auto"/>
              <w:jc w:val="right"/>
              <w:rPr>
                <w:rFonts w:ascii="Arial" w:eastAsia="Times New Roman" w:hAnsi="Arial" w:cs="Arial"/>
                <w:i/>
                <w:iCs/>
                <w:sz w:val="18"/>
                <w:szCs w:val="18"/>
                <w:lang w:eastAsia="sl-SI"/>
              </w:rPr>
            </w:pPr>
            <w:r w:rsidRPr="003B3D8A">
              <w:rPr>
                <w:rFonts w:ascii="Arial" w:eastAsia="Times New Roman" w:hAnsi="Arial" w:cs="Arial"/>
                <w:i/>
                <w:iCs/>
                <w:sz w:val="18"/>
                <w:szCs w:val="18"/>
                <w:lang w:eastAsia="sl-SI"/>
              </w:rPr>
              <w:t>37</w:t>
            </w:r>
          </w:p>
        </w:tc>
        <w:tc>
          <w:tcPr>
            <w:tcW w:w="1095" w:type="dxa"/>
            <w:tcBorders>
              <w:top w:val="nil"/>
              <w:left w:val="nil"/>
              <w:bottom w:val="single" w:sz="4" w:space="0" w:color="auto"/>
              <w:right w:val="single" w:sz="4" w:space="0" w:color="auto"/>
            </w:tcBorders>
            <w:shd w:val="clear" w:color="auto" w:fill="auto"/>
            <w:vAlign w:val="center"/>
            <w:hideMark/>
          </w:tcPr>
          <w:p w14:paraId="1981C0C4"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34</w:t>
            </w:r>
          </w:p>
        </w:tc>
        <w:tc>
          <w:tcPr>
            <w:tcW w:w="1095" w:type="dxa"/>
            <w:tcBorders>
              <w:top w:val="nil"/>
              <w:left w:val="nil"/>
              <w:bottom w:val="single" w:sz="4" w:space="0" w:color="auto"/>
              <w:right w:val="single" w:sz="4" w:space="0" w:color="auto"/>
            </w:tcBorders>
            <w:shd w:val="clear" w:color="auto" w:fill="auto"/>
            <w:vAlign w:val="center"/>
            <w:hideMark/>
          </w:tcPr>
          <w:p w14:paraId="21CCCD49"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452</w:t>
            </w:r>
          </w:p>
        </w:tc>
        <w:tc>
          <w:tcPr>
            <w:tcW w:w="1200" w:type="dxa"/>
            <w:tcBorders>
              <w:top w:val="nil"/>
              <w:left w:val="nil"/>
              <w:bottom w:val="single" w:sz="4" w:space="0" w:color="auto"/>
              <w:right w:val="single" w:sz="4" w:space="0" w:color="auto"/>
            </w:tcBorders>
            <w:shd w:val="clear" w:color="auto" w:fill="auto"/>
            <w:vAlign w:val="center"/>
            <w:hideMark/>
          </w:tcPr>
          <w:p w14:paraId="48EC3832"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325.459</w:t>
            </w:r>
          </w:p>
        </w:tc>
        <w:tc>
          <w:tcPr>
            <w:tcW w:w="1200" w:type="dxa"/>
            <w:tcBorders>
              <w:top w:val="nil"/>
              <w:left w:val="nil"/>
              <w:bottom w:val="single" w:sz="4" w:space="0" w:color="auto"/>
              <w:right w:val="single" w:sz="4" w:space="0" w:color="auto"/>
            </w:tcBorders>
            <w:shd w:val="clear" w:color="auto" w:fill="auto"/>
            <w:vAlign w:val="center"/>
            <w:hideMark/>
          </w:tcPr>
          <w:p w14:paraId="2934A55D" w14:textId="77777777" w:rsidR="004B7622" w:rsidRPr="003B3D8A" w:rsidRDefault="004B7622" w:rsidP="00377989">
            <w:pPr>
              <w:spacing w:after="0" w:line="240" w:lineRule="auto"/>
              <w:jc w:val="right"/>
              <w:rPr>
                <w:rFonts w:ascii="Arial" w:eastAsia="Times New Roman" w:hAnsi="Arial" w:cs="Arial"/>
                <w:color w:val="000000"/>
                <w:sz w:val="18"/>
                <w:szCs w:val="18"/>
                <w:lang w:eastAsia="sl-SI"/>
              </w:rPr>
            </w:pPr>
            <w:r w:rsidRPr="003B3D8A">
              <w:rPr>
                <w:rFonts w:ascii="Arial" w:eastAsia="Times New Roman" w:hAnsi="Arial" w:cs="Arial"/>
                <w:color w:val="000000"/>
                <w:sz w:val="18"/>
                <w:szCs w:val="18"/>
                <w:lang w:eastAsia="sl-SI"/>
              </w:rPr>
              <w:t>326.080</w:t>
            </w:r>
          </w:p>
        </w:tc>
      </w:tr>
      <w:tr w:rsidR="004B7622" w:rsidRPr="003B3D8A" w14:paraId="30FFC978" w14:textId="77777777" w:rsidTr="00377989">
        <w:trPr>
          <w:trHeight w:val="301"/>
        </w:trPr>
        <w:tc>
          <w:tcPr>
            <w:tcW w:w="1485" w:type="dxa"/>
            <w:tcBorders>
              <w:top w:val="nil"/>
              <w:left w:val="single" w:sz="4" w:space="0" w:color="auto"/>
              <w:bottom w:val="single" w:sz="4" w:space="0" w:color="auto"/>
              <w:right w:val="single" w:sz="4" w:space="0" w:color="auto"/>
            </w:tcBorders>
            <w:shd w:val="clear" w:color="auto" w:fill="auto"/>
            <w:vAlign w:val="center"/>
            <w:hideMark/>
          </w:tcPr>
          <w:p w14:paraId="40D3BE2F" w14:textId="77777777" w:rsidR="004B7622" w:rsidRPr="003B3D8A" w:rsidRDefault="004B7622" w:rsidP="00377989">
            <w:pPr>
              <w:spacing w:after="0" w:line="240" w:lineRule="auto"/>
              <w:rPr>
                <w:rFonts w:ascii="Arial" w:eastAsia="Times New Roman" w:hAnsi="Arial" w:cs="Arial"/>
                <w:sz w:val="18"/>
                <w:szCs w:val="18"/>
                <w:lang w:eastAsia="sl-SI"/>
              </w:rPr>
            </w:pPr>
            <w:r w:rsidRPr="003B3D8A">
              <w:rPr>
                <w:rFonts w:ascii="Arial" w:eastAsia="Times New Roman" w:hAnsi="Arial" w:cs="Arial"/>
                <w:sz w:val="18"/>
                <w:szCs w:val="18"/>
                <w:lang w:eastAsia="sl-SI"/>
              </w:rPr>
              <w:t xml:space="preserve">Pogojno izterljivi dolg </w:t>
            </w:r>
          </w:p>
        </w:tc>
        <w:tc>
          <w:tcPr>
            <w:tcW w:w="1200" w:type="dxa"/>
            <w:tcBorders>
              <w:top w:val="nil"/>
              <w:left w:val="nil"/>
              <w:bottom w:val="single" w:sz="4" w:space="0" w:color="auto"/>
              <w:right w:val="single" w:sz="4" w:space="0" w:color="auto"/>
            </w:tcBorders>
            <w:shd w:val="clear" w:color="auto" w:fill="auto"/>
            <w:vAlign w:val="center"/>
            <w:hideMark/>
          </w:tcPr>
          <w:p w14:paraId="1633F6D4" w14:textId="77777777" w:rsidR="004B7622" w:rsidRPr="003B3D8A" w:rsidRDefault="004B7622" w:rsidP="00377989">
            <w:pPr>
              <w:spacing w:after="0" w:line="240" w:lineRule="auto"/>
              <w:jc w:val="right"/>
              <w:rPr>
                <w:rFonts w:ascii="Arial" w:eastAsia="Times New Roman" w:hAnsi="Arial" w:cs="Arial"/>
                <w:i/>
                <w:iCs/>
                <w:sz w:val="18"/>
                <w:szCs w:val="18"/>
                <w:lang w:eastAsia="sl-SI"/>
              </w:rPr>
            </w:pPr>
            <w:r w:rsidRPr="003B3D8A">
              <w:rPr>
                <w:rFonts w:ascii="Arial" w:eastAsia="Times New Roman" w:hAnsi="Arial" w:cs="Arial"/>
                <w:i/>
                <w:iCs/>
                <w:sz w:val="18"/>
                <w:szCs w:val="18"/>
                <w:lang w:eastAsia="sl-SI"/>
              </w:rPr>
              <w:t>0</w:t>
            </w:r>
          </w:p>
        </w:tc>
        <w:tc>
          <w:tcPr>
            <w:tcW w:w="1095" w:type="dxa"/>
            <w:tcBorders>
              <w:top w:val="nil"/>
              <w:left w:val="nil"/>
              <w:bottom w:val="single" w:sz="4" w:space="0" w:color="auto"/>
              <w:right w:val="single" w:sz="4" w:space="0" w:color="auto"/>
            </w:tcBorders>
            <w:shd w:val="clear" w:color="auto" w:fill="auto"/>
            <w:vAlign w:val="center"/>
            <w:hideMark/>
          </w:tcPr>
          <w:p w14:paraId="6290F01D" w14:textId="77777777" w:rsidR="004B7622" w:rsidRPr="003B3D8A" w:rsidRDefault="004B7622" w:rsidP="00377989">
            <w:pPr>
              <w:spacing w:after="0" w:line="240" w:lineRule="auto"/>
              <w:jc w:val="right"/>
              <w:rPr>
                <w:rFonts w:ascii="Arial" w:eastAsia="Times New Roman" w:hAnsi="Arial" w:cs="Arial"/>
                <w:i/>
                <w:iCs/>
                <w:sz w:val="18"/>
                <w:szCs w:val="18"/>
                <w:lang w:eastAsia="sl-SI"/>
              </w:rPr>
            </w:pPr>
            <w:r w:rsidRPr="003B3D8A">
              <w:rPr>
                <w:rFonts w:ascii="Arial" w:eastAsia="Times New Roman" w:hAnsi="Arial" w:cs="Arial"/>
                <w:i/>
                <w:iCs/>
                <w:sz w:val="18"/>
                <w:szCs w:val="18"/>
                <w:lang w:eastAsia="sl-SI"/>
              </w:rPr>
              <w:t>0</w:t>
            </w:r>
          </w:p>
        </w:tc>
        <w:tc>
          <w:tcPr>
            <w:tcW w:w="1118" w:type="dxa"/>
            <w:tcBorders>
              <w:top w:val="nil"/>
              <w:left w:val="nil"/>
              <w:bottom w:val="single" w:sz="4" w:space="0" w:color="auto"/>
              <w:right w:val="single" w:sz="4" w:space="0" w:color="auto"/>
            </w:tcBorders>
            <w:shd w:val="clear" w:color="auto" w:fill="auto"/>
            <w:vAlign w:val="center"/>
            <w:hideMark/>
          </w:tcPr>
          <w:p w14:paraId="6D588537" w14:textId="77777777" w:rsidR="004B7622" w:rsidRPr="003B3D8A" w:rsidRDefault="004B7622" w:rsidP="00377989">
            <w:pPr>
              <w:spacing w:after="0" w:line="240" w:lineRule="auto"/>
              <w:jc w:val="right"/>
              <w:rPr>
                <w:rFonts w:ascii="Arial" w:eastAsia="Times New Roman" w:hAnsi="Arial" w:cs="Arial"/>
                <w:i/>
                <w:iCs/>
                <w:sz w:val="18"/>
                <w:szCs w:val="18"/>
                <w:lang w:eastAsia="sl-SI"/>
              </w:rPr>
            </w:pPr>
            <w:r w:rsidRPr="003B3D8A">
              <w:rPr>
                <w:rFonts w:ascii="Arial" w:eastAsia="Times New Roman" w:hAnsi="Arial" w:cs="Arial"/>
                <w:i/>
                <w:iCs/>
                <w:sz w:val="18"/>
                <w:szCs w:val="18"/>
                <w:lang w:eastAsia="sl-SI"/>
              </w:rPr>
              <w:t>0</w:t>
            </w:r>
          </w:p>
        </w:tc>
        <w:tc>
          <w:tcPr>
            <w:tcW w:w="1095" w:type="dxa"/>
            <w:tcBorders>
              <w:top w:val="nil"/>
              <w:left w:val="nil"/>
              <w:bottom w:val="single" w:sz="4" w:space="0" w:color="auto"/>
              <w:right w:val="single" w:sz="4" w:space="0" w:color="auto"/>
            </w:tcBorders>
            <w:shd w:val="clear" w:color="auto" w:fill="auto"/>
            <w:vAlign w:val="center"/>
            <w:hideMark/>
          </w:tcPr>
          <w:p w14:paraId="77FB7268"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0</w:t>
            </w:r>
          </w:p>
        </w:tc>
        <w:tc>
          <w:tcPr>
            <w:tcW w:w="1095" w:type="dxa"/>
            <w:tcBorders>
              <w:top w:val="nil"/>
              <w:left w:val="nil"/>
              <w:bottom w:val="nil"/>
              <w:right w:val="single" w:sz="4" w:space="0" w:color="auto"/>
            </w:tcBorders>
            <w:shd w:val="clear" w:color="auto" w:fill="auto"/>
            <w:vAlign w:val="center"/>
            <w:hideMark/>
          </w:tcPr>
          <w:p w14:paraId="0461017C"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0</w:t>
            </w:r>
          </w:p>
        </w:tc>
        <w:tc>
          <w:tcPr>
            <w:tcW w:w="1200" w:type="dxa"/>
            <w:tcBorders>
              <w:top w:val="nil"/>
              <w:left w:val="nil"/>
              <w:bottom w:val="nil"/>
              <w:right w:val="single" w:sz="4" w:space="0" w:color="auto"/>
            </w:tcBorders>
            <w:shd w:val="clear" w:color="auto" w:fill="auto"/>
            <w:vAlign w:val="center"/>
            <w:hideMark/>
          </w:tcPr>
          <w:p w14:paraId="1882B5B6" w14:textId="77777777" w:rsidR="004B7622" w:rsidRPr="003B3D8A" w:rsidRDefault="004B7622" w:rsidP="00377989">
            <w:pPr>
              <w:spacing w:after="0" w:line="240" w:lineRule="auto"/>
              <w:jc w:val="right"/>
              <w:rPr>
                <w:rFonts w:ascii="Arial" w:eastAsia="Times New Roman" w:hAnsi="Arial" w:cs="Arial"/>
                <w:sz w:val="18"/>
                <w:szCs w:val="18"/>
                <w:lang w:eastAsia="sl-SI"/>
              </w:rPr>
            </w:pPr>
            <w:r w:rsidRPr="003B3D8A">
              <w:rPr>
                <w:rFonts w:ascii="Arial" w:eastAsia="Times New Roman" w:hAnsi="Arial" w:cs="Arial"/>
                <w:sz w:val="18"/>
                <w:szCs w:val="18"/>
                <w:lang w:eastAsia="sl-SI"/>
              </w:rPr>
              <w:t>0</w:t>
            </w:r>
          </w:p>
        </w:tc>
        <w:tc>
          <w:tcPr>
            <w:tcW w:w="1200" w:type="dxa"/>
            <w:tcBorders>
              <w:top w:val="nil"/>
              <w:left w:val="nil"/>
              <w:bottom w:val="single" w:sz="4" w:space="0" w:color="auto"/>
              <w:right w:val="single" w:sz="4" w:space="0" w:color="auto"/>
            </w:tcBorders>
            <w:shd w:val="clear" w:color="auto" w:fill="auto"/>
            <w:vAlign w:val="center"/>
            <w:hideMark/>
          </w:tcPr>
          <w:p w14:paraId="6981BB6A" w14:textId="77777777" w:rsidR="004B7622" w:rsidRPr="003B3D8A" w:rsidRDefault="004B7622" w:rsidP="00377989">
            <w:pPr>
              <w:spacing w:after="0" w:line="240" w:lineRule="auto"/>
              <w:jc w:val="right"/>
              <w:rPr>
                <w:rFonts w:ascii="Arial" w:eastAsia="Times New Roman" w:hAnsi="Arial" w:cs="Arial"/>
                <w:color w:val="000000"/>
                <w:sz w:val="18"/>
                <w:szCs w:val="18"/>
                <w:lang w:eastAsia="sl-SI"/>
              </w:rPr>
            </w:pPr>
            <w:r w:rsidRPr="003B3D8A">
              <w:rPr>
                <w:rFonts w:ascii="Arial" w:eastAsia="Times New Roman" w:hAnsi="Arial" w:cs="Arial"/>
                <w:color w:val="000000"/>
                <w:sz w:val="18"/>
                <w:szCs w:val="18"/>
                <w:lang w:eastAsia="sl-SI"/>
              </w:rPr>
              <w:t>0</w:t>
            </w:r>
          </w:p>
        </w:tc>
      </w:tr>
      <w:tr w:rsidR="004B7622" w:rsidRPr="003B3D8A" w14:paraId="686BEE3F" w14:textId="77777777" w:rsidTr="00377989">
        <w:trPr>
          <w:trHeight w:val="174"/>
        </w:trPr>
        <w:tc>
          <w:tcPr>
            <w:tcW w:w="1485" w:type="dxa"/>
            <w:tcBorders>
              <w:top w:val="double" w:sz="6" w:space="0" w:color="auto"/>
              <w:left w:val="single" w:sz="4" w:space="0" w:color="auto"/>
              <w:bottom w:val="double" w:sz="6" w:space="0" w:color="auto"/>
              <w:right w:val="single" w:sz="4" w:space="0" w:color="auto"/>
            </w:tcBorders>
            <w:shd w:val="clear" w:color="auto" w:fill="auto"/>
            <w:vAlign w:val="center"/>
            <w:hideMark/>
          </w:tcPr>
          <w:p w14:paraId="5FE0D303" w14:textId="77777777" w:rsidR="004B7622" w:rsidRPr="003B3D8A" w:rsidRDefault="004B7622" w:rsidP="00377989">
            <w:pPr>
              <w:spacing w:after="0" w:line="240" w:lineRule="auto"/>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Skupaj ostalo</w:t>
            </w:r>
          </w:p>
        </w:tc>
        <w:tc>
          <w:tcPr>
            <w:tcW w:w="1200" w:type="dxa"/>
            <w:tcBorders>
              <w:top w:val="double" w:sz="6" w:space="0" w:color="auto"/>
              <w:left w:val="nil"/>
              <w:bottom w:val="double" w:sz="6" w:space="0" w:color="auto"/>
              <w:right w:val="single" w:sz="4" w:space="0" w:color="auto"/>
            </w:tcBorders>
            <w:shd w:val="clear" w:color="auto" w:fill="auto"/>
            <w:vAlign w:val="center"/>
            <w:hideMark/>
          </w:tcPr>
          <w:p w14:paraId="4F0C12CC" w14:textId="77777777" w:rsidR="004B7622" w:rsidRPr="003B3D8A" w:rsidRDefault="004B7622" w:rsidP="00377989">
            <w:pPr>
              <w:spacing w:after="0" w:line="240" w:lineRule="auto"/>
              <w:jc w:val="right"/>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17</w:t>
            </w:r>
          </w:p>
        </w:tc>
        <w:tc>
          <w:tcPr>
            <w:tcW w:w="1095" w:type="dxa"/>
            <w:tcBorders>
              <w:top w:val="double" w:sz="6" w:space="0" w:color="auto"/>
              <w:left w:val="nil"/>
              <w:bottom w:val="double" w:sz="6" w:space="0" w:color="auto"/>
              <w:right w:val="single" w:sz="4" w:space="0" w:color="auto"/>
            </w:tcBorders>
            <w:shd w:val="clear" w:color="auto" w:fill="auto"/>
            <w:vAlign w:val="center"/>
            <w:hideMark/>
          </w:tcPr>
          <w:p w14:paraId="1D3A0DDA" w14:textId="77777777" w:rsidR="004B7622" w:rsidRPr="003B3D8A" w:rsidRDefault="004B7622" w:rsidP="00377989">
            <w:pPr>
              <w:spacing w:after="0" w:line="240" w:lineRule="auto"/>
              <w:jc w:val="right"/>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81</w:t>
            </w:r>
          </w:p>
        </w:tc>
        <w:tc>
          <w:tcPr>
            <w:tcW w:w="1118" w:type="dxa"/>
            <w:tcBorders>
              <w:top w:val="double" w:sz="6" w:space="0" w:color="auto"/>
              <w:left w:val="nil"/>
              <w:bottom w:val="double" w:sz="6" w:space="0" w:color="auto"/>
              <w:right w:val="single" w:sz="4" w:space="0" w:color="auto"/>
            </w:tcBorders>
            <w:shd w:val="clear" w:color="auto" w:fill="auto"/>
            <w:vAlign w:val="center"/>
            <w:hideMark/>
          </w:tcPr>
          <w:p w14:paraId="573233B1" w14:textId="77777777" w:rsidR="004B7622" w:rsidRPr="003B3D8A" w:rsidRDefault="004B7622" w:rsidP="00377989">
            <w:pPr>
              <w:spacing w:after="0" w:line="240" w:lineRule="auto"/>
              <w:jc w:val="right"/>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37</w:t>
            </w:r>
          </w:p>
        </w:tc>
        <w:tc>
          <w:tcPr>
            <w:tcW w:w="1095" w:type="dxa"/>
            <w:tcBorders>
              <w:top w:val="double" w:sz="6" w:space="0" w:color="auto"/>
              <w:left w:val="nil"/>
              <w:bottom w:val="double" w:sz="6" w:space="0" w:color="auto"/>
              <w:right w:val="single" w:sz="4" w:space="0" w:color="auto"/>
            </w:tcBorders>
            <w:shd w:val="clear" w:color="auto" w:fill="auto"/>
            <w:vAlign w:val="center"/>
            <w:hideMark/>
          </w:tcPr>
          <w:p w14:paraId="3BF602CA" w14:textId="77777777" w:rsidR="004B7622" w:rsidRPr="003B3D8A" w:rsidRDefault="004B7622" w:rsidP="00377989">
            <w:pPr>
              <w:spacing w:after="0" w:line="240" w:lineRule="auto"/>
              <w:jc w:val="right"/>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34</w:t>
            </w:r>
          </w:p>
        </w:tc>
        <w:tc>
          <w:tcPr>
            <w:tcW w:w="1095" w:type="dxa"/>
            <w:tcBorders>
              <w:top w:val="double" w:sz="6" w:space="0" w:color="auto"/>
              <w:left w:val="nil"/>
              <w:bottom w:val="double" w:sz="6" w:space="0" w:color="auto"/>
              <w:right w:val="single" w:sz="4" w:space="0" w:color="auto"/>
            </w:tcBorders>
            <w:shd w:val="clear" w:color="auto" w:fill="auto"/>
            <w:vAlign w:val="center"/>
            <w:hideMark/>
          </w:tcPr>
          <w:p w14:paraId="67D5D207" w14:textId="77777777" w:rsidR="004B7622" w:rsidRPr="003B3D8A" w:rsidRDefault="004B7622" w:rsidP="00377989">
            <w:pPr>
              <w:spacing w:after="0" w:line="240" w:lineRule="auto"/>
              <w:jc w:val="right"/>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452</w:t>
            </w:r>
          </w:p>
        </w:tc>
        <w:tc>
          <w:tcPr>
            <w:tcW w:w="1200" w:type="dxa"/>
            <w:tcBorders>
              <w:top w:val="double" w:sz="6" w:space="0" w:color="auto"/>
              <w:left w:val="nil"/>
              <w:bottom w:val="double" w:sz="6" w:space="0" w:color="auto"/>
              <w:right w:val="single" w:sz="4" w:space="0" w:color="auto"/>
            </w:tcBorders>
            <w:shd w:val="clear" w:color="auto" w:fill="auto"/>
            <w:vAlign w:val="center"/>
            <w:hideMark/>
          </w:tcPr>
          <w:p w14:paraId="10E73DCC" w14:textId="77777777" w:rsidR="004B7622" w:rsidRPr="003B3D8A" w:rsidRDefault="004B7622" w:rsidP="00377989">
            <w:pPr>
              <w:spacing w:after="0" w:line="240" w:lineRule="auto"/>
              <w:jc w:val="right"/>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325459</w:t>
            </w:r>
          </w:p>
        </w:tc>
        <w:tc>
          <w:tcPr>
            <w:tcW w:w="1200" w:type="dxa"/>
            <w:tcBorders>
              <w:top w:val="double" w:sz="6" w:space="0" w:color="auto"/>
              <w:left w:val="nil"/>
              <w:bottom w:val="double" w:sz="6" w:space="0" w:color="auto"/>
              <w:right w:val="single" w:sz="4" w:space="0" w:color="auto"/>
            </w:tcBorders>
            <w:shd w:val="clear" w:color="auto" w:fill="auto"/>
            <w:vAlign w:val="center"/>
            <w:hideMark/>
          </w:tcPr>
          <w:p w14:paraId="123A7A21" w14:textId="77777777" w:rsidR="004B7622" w:rsidRPr="003B3D8A" w:rsidRDefault="004B7622" w:rsidP="00377989">
            <w:pPr>
              <w:spacing w:after="0" w:line="240" w:lineRule="auto"/>
              <w:jc w:val="right"/>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326.080</w:t>
            </w:r>
          </w:p>
        </w:tc>
      </w:tr>
      <w:tr w:rsidR="004B7622" w:rsidRPr="003B3D8A" w14:paraId="723098A4" w14:textId="77777777" w:rsidTr="00377989">
        <w:trPr>
          <w:trHeight w:val="327"/>
        </w:trPr>
        <w:tc>
          <w:tcPr>
            <w:tcW w:w="1485" w:type="dxa"/>
            <w:tcBorders>
              <w:top w:val="nil"/>
              <w:left w:val="single" w:sz="4" w:space="0" w:color="auto"/>
              <w:bottom w:val="single" w:sz="4" w:space="0" w:color="auto"/>
              <w:right w:val="single" w:sz="4" w:space="0" w:color="auto"/>
            </w:tcBorders>
            <w:shd w:val="clear" w:color="000000" w:fill="B8CCE4"/>
            <w:vAlign w:val="center"/>
            <w:hideMark/>
          </w:tcPr>
          <w:p w14:paraId="0F9FD1D0" w14:textId="77777777" w:rsidR="004B7622" w:rsidRPr="003B3D8A" w:rsidRDefault="004B7622" w:rsidP="00377989">
            <w:pPr>
              <w:spacing w:after="0" w:line="240" w:lineRule="auto"/>
              <w:rPr>
                <w:rFonts w:ascii="Arial" w:eastAsia="Times New Roman" w:hAnsi="Arial" w:cs="Arial"/>
                <w:sz w:val="18"/>
                <w:szCs w:val="18"/>
                <w:lang w:eastAsia="sl-SI"/>
              </w:rPr>
            </w:pPr>
            <w:r w:rsidRPr="003B3D8A">
              <w:rPr>
                <w:rFonts w:ascii="Arial" w:eastAsia="Times New Roman" w:hAnsi="Arial" w:cs="Arial"/>
                <w:sz w:val="18"/>
                <w:szCs w:val="18"/>
                <w:lang w:eastAsia="sl-SI"/>
              </w:rPr>
              <w:t>SKUPAJ AKTIVNI DOLG</w:t>
            </w:r>
          </w:p>
        </w:tc>
        <w:tc>
          <w:tcPr>
            <w:tcW w:w="1200" w:type="dxa"/>
            <w:tcBorders>
              <w:top w:val="nil"/>
              <w:left w:val="nil"/>
              <w:bottom w:val="single" w:sz="4" w:space="0" w:color="auto"/>
              <w:right w:val="single" w:sz="4" w:space="0" w:color="auto"/>
            </w:tcBorders>
            <w:shd w:val="clear" w:color="000000" w:fill="B8CCE4"/>
            <w:vAlign w:val="center"/>
            <w:hideMark/>
          </w:tcPr>
          <w:p w14:paraId="0140D3C3" w14:textId="77777777" w:rsidR="004B7622" w:rsidRPr="003B3D8A" w:rsidRDefault="004B7622" w:rsidP="00377989">
            <w:pPr>
              <w:spacing w:after="0" w:line="240" w:lineRule="auto"/>
              <w:jc w:val="right"/>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103.252.261</w:t>
            </w:r>
          </w:p>
        </w:tc>
        <w:tc>
          <w:tcPr>
            <w:tcW w:w="1095" w:type="dxa"/>
            <w:tcBorders>
              <w:top w:val="nil"/>
              <w:left w:val="nil"/>
              <w:bottom w:val="single" w:sz="4" w:space="0" w:color="auto"/>
              <w:right w:val="single" w:sz="4" w:space="0" w:color="auto"/>
            </w:tcBorders>
            <w:shd w:val="clear" w:color="000000" w:fill="B8CCE4"/>
            <w:vAlign w:val="center"/>
            <w:hideMark/>
          </w:tcPr>
          <w:p w14:paraId="2F087FFC" w14:textId="77777777" w:rsidR="004B7622" w:rsidRPr="003B3D8A" w:rsidRDefault="004B7622" w:rsidP="00377989">
            <w:pPr>
              <w:spacing w:after="0" w:line="240" w:lineRule="auto"/>
              <w:jc w:val="right"/>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28.988.764</w:t>
            </w:r>
          </w:p>
        </w:tc>
        <w:tc>
          <w:tcPr>
            <w:tcW w:w="1118" w:type="dxa"/>
            <w:tcBorders>
              <w:top w:val="nil"/>
              <w:left w:val="nil"/>
              <w:bottom w:val="single" w:sz="4" w:space="0" w:color="auto"/>
              <w:right w:val="single" w:sz="4" w:space="0" w:color="auto"/>
            </w:tcBorders>
            <w:shd w:val="clear" w:color="000000" w:fill="B8CCE4"/>
            <w:vAlign w:val="center"/>
            <w:hideMark/>
          </w:tcPr>
          <w:p w14:paraId="7422BD76" w14:textId="77777777" w:rsidR="004B7622" w:rsidRPr="003B3D8A" w:rsidRDefault="004B7622" w:rsidP="00377989">
            <w:pPr>
              <w:spacing w:after="0" w:line="240" w:lineRule="auto"/>
              <w:jc w:val="right"/>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24.053.184</w:t>
            </w:r>
          </w:p>
        </w:tc>
        <w:tc>
          <w:tcPr>
            <w:tcW w:w="1095" w:type="dxa"/>
            <w:tcBorders>
              <w:top w:val="nil"/>
              <w:left w:val="nil"/>
              <w:bottom w:val="single" w:sz="4" w:space="0" w:color="auto"/>
              <w:right w:val="single" w:sz="4" w:space="0" w:color="auto"/>
            </w:tcBorders>
            <w:shd w:val="clear" w:color="000000" w:fill="B8CCE4"/>
            <w:vAlign w:val="center"/>
            <w:hideMark/>
          </w:tcPr>
          <w:p w14:paraId="73CB582E" w14:textId="77777777" w:rsidR="004B7622" w:rsidRPr="003B3D8A" w:rsidRDefault="004B7622" w:rsidP="00377989">
            <w:pPr>
              <w:spacing w:after="0" w:line="240" w:lineRule="auto"/>
              <w:jc w:val="right"/>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39.115.822</w:t>
            </w:r>
          </w:p>
        </w:tc>
        <w:tc>
          <w:tcPr>
            <w:tcW w:w="1095" w:type="dxa"/>
            <w:tcBorders>
              <w:top w:val="nil"/>
              <w:left w:val="nil"/>
              <w:bottom w:val="single" w:sz="4" w:space="0" w:color="auto"/>
              <w:right w:val="single" w:sz="4" w:space="0" w:color="auto"/>
            </w:tcBorders>
            <w:shd w:val="clear" w:color="000000" w:fill="B8CCE4"/>
            <w:vAlign w:val="center"/>
            <w:hideMark/>
          </w:tcPr>
          <w:p w14:paraId="5B02CC21" w14:textId="77777777" w:rsidR="004B7622" w:rsidRPr="003B3D8A" w:rsidRDefault="004B7622" w:rsidP="00377989">
            <w:pPr>
              <w:spacing w:after="0" w:line="240" w:lineRule="auto"/>
              <w:jc w:val="right"/>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63.634.677</w:t>
            </w:r>
          </w:p>
        </w:tc>
        <w:tc>
          <w:tcPr>
            <w:tcW w:w="1200" w:type="dxa"/>
            <w:tcBorders>
              <w:top w:val="nil"/>
              <w:left w:val="nil"/>
              <w:bottom w:val="single" w:sz="4" w:space="0" w:color="auto"/>
              <w:right w:val="single" w:sz="4" w:space="0" w:color="auto"/>
            </w:tcBorders>
            <w:shd w:val="clear" w:color="000000" w:fill="B8CCE4"/>
            <w:vAlign w:val="center"/>
            <w:hideMark/>
          </w:tcPr>
          <w:p w14:paraId="155DEBBA" w14:textId="77777777" w:rsidR="004B7622" w:rsidRPr="003B3D8A" w:rsidRDefault="004B7622" w:rsidP="00377989">
            <w:pPr>
              <w:spacing w:after="0" w:line="240" w:lineRule="auto"/>
              <w:jc w:val="right"/>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172.113.461</w:t>
            </w:r>
          </w:p>
        </w:tc>
        <w:tc>
          <w:tcPr>
            <w:tcW w:w="1200" w:type="dxa"/>
            <w:tcBorders>
              <w:top w:val="nil"/>
              <w:left w:val="nil"/>
              <w:bottom w:val="single" w:sz="4" w:space="0" w:color="auto"/>
              <w:right w:val="single" w:sz="4" w:space="0" w:color="auto"/>
            </w:tcBorders>
            <w:shd w:val="clear" w:color="000000" w:fill="B8CCE4"/>
            <w:vAlign w:val="center"/>
            <w:hideMark/>
          </w:tcPr>
          <w:p w14:paraId="4F28FAF6" w14:textId="77777777" w:rsidR="004B7622" w:rsidRPr="003B3D8A" w:rsidRDefault="004B7622" w:rsidP="00377989">
            <w:pPr>
              <w:spacing w:after="0" w:line="240" w:lineRule="auto"/>
              <w:jc w:val="right"/>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431.158.169</w:t>
            </w:r>
          </w:p>
        </w:tc>
      </w:tr>
      <w:tr w:rsidR="004B7622" w:rsidRPr="003B3D8A" w14:paraId="4D937BB5" w14:textId="77777777" w:rsidTr="00377989">
        <w:trPr>
          <w:trHeight w:val="591"/>
        </w:trPr>
        <w:tc>
          <w:tcPr>
            <w:tcW w:w="1485" w:type="dxa"/>
            <w:tcBorders>
              <w:top w:val="nil"/>
              <w:left w:val="single" w:sz="4" w:space="0" w:color="auto"/>
              <w:bottom w:val="single" w:sz="4" w:space="0" w:color="auto"/>
              <w:right w:val="single" w:sz="4" w:space="0" w:color="auto"/>
            </w:tcBorders>
            <w:shd w:val="clear" w:color="000000" w:fill="B8CCE4"/>
            <w:vAlign w:val="center"/>
            <w:hideMark/>
          </w:tcPr>
          <w:p w14:paraId="4D5CAD49" w14:textId="77777777" w:rsidR="004B7622" w:rsidRPr="003B3D8A" w:rsidRDefault="004B7622" w:rsidP="00377989">
            <w:pPr>
              <w:spacing w:after="0" w:line="240" w:lineRule="auto"/>
              <w:rPr>
                <w:rFonts w:ascii="Arial" w:eastAsia="Times New Roman" w:hAnsi="Arial" w:cs="Arial"/>
                <w:sz w:val="18"/>
                <w:szCs w:val="18"/>
                <w:lang w:eastAsia="sl-SI"/>
              </w:rPr>
            </w:pPr>
            <w:r w:rsidRPr="003B3D8A">
              <w:rPr>
                <w:rFonts w:ascii="Arial" w:eastAsia="Times New Roman" w:hAnsi="Arial" w:cs="Arial"/>
                <w:sz w:val="18"/>
                <w:szCs w:val="18"/>
                <w:lang w:eastAsia="sl-SI"/>
              </w:rPr>
              <w:t>SKUPAJ POGOJNO IZTERLJIVI DOLG</w:t>
            </w:r>
          </w:p>
        </w:tc>
        <w:tc>
          <w:tcPr>
            <w:tcW w:w="1200" w:type="dxa"/>
            <w:tcBorders>
              <w:top w:val="nil"/>
              <w:left w:val="nil"/>
              <w:bottom w:val="single" w:sz="4" w:space="0" w:color="auto"/>
              <w:right w:val="single" w:sz="4" w:space="0" w:color="auto"/>
            </w:tcBorders>
            <w:shd w:val="clear" w:color="000000" w:fill="B8CCE4"/>
            <w:vAlign w:val="center"/>
            <w:hideMark/>
          </w:tcPr>
          <w:p w14:paraId="77709DF6" w14:textId="77777777" w:rsidR="004B7622" w:rsidRPr="003B3D8A" w:rsidRDefault="004B7622" w:rsidP="00377989">
            <w:pPr>
              <w:spacing w:after="0" w:line="240" w:lineRule="auto"/>
              <w:jc w:val="right"/>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317.253.784</w:t>
            </w:r>
          </w:p>
        </w:tc>
        <w:tc>
          <w:tcPr>
            <w:tcW w:w="1095" w:type="dxa"/>
            <w:tcBorders>
              <w:top w:val="nil"/>
              <w:left w:val="nil"/>
              <w:bottom w:val="single" w:sz="4" w:space="0" w:color="auto"/>
              <w:right w:val="single" w:sz="4" w:space="0" w:color="auto"/>
            </w:tcBorders>
            <w:shd w:val="clear" w:color="000000" w:fill="B8CCE4"/>
            <w:vAlign w:val="center"/>
            <w:hideMark/>
          </w:tcPr>
          <w:p w14:paraId="3668DB68" w14:textId="77777777" w:rsidR="004B7622" w:rsidRPr="003B3D8A" w:rsidRDefault="004B7622" w:rsidP="00377989">
            <w:pPr>
              <w:spacing w:after="0" w:line="240" w:lineRule="auto"/>
              <w:jc w:val="right"/>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41.290.966</w:t>
            </w:r>
          </w:p>
        </w:tc>
        <w:tc>
          <w:tcPr>
            <w:tcW w:w="1118" w:type="dxa"/>
            <w:tcBorders>
              <w:top w:val="nil"/>
              <w:left w:val="nil"/>
              <w:bottom w:val="single" w:sz="4" w:space="0" w:color="auto"/>
              <w:right w:val="single" w:sz="4" w:space="0" w:color="auto"/>
            </w:tcBorders>
            <w:shd w:val="clear" w:color="000000" w:fill="B8CCE4"/>
            <w:vAlign w:val="center"/>
            <w:hideMark/>
          </w:tcPr>
          <w:p w14:paraId="6FB5F421" w14:textId="77777777" w:rsidR="004B7622" w:rsidRPr="003B3D8A" w:rsidRDefault="004B7622" w:rsidP="00377989">
            <w:pPr>
              <w:spacing w:after="0" w:line="240" w:lineRule="auto"/>
              <w:jc w:val="right"/>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35.770.837</w:t>
            </w:r>
          </w:p>
        </w:tc>
        <w:tc>
          <w:tcPr>
            <w:tcW w:w="1095" w:type="dxa"/>
            <w:tcBorders>
              <w:top w:val="nil"/>
              <w:left w:val="nil"/>
              <w:bottom w:val="single" w:sz="4" w:space="0" w:color="auto"/>
              <w:right w:val="single" w:sz="4" w:space="0" w:color="auto"/>
            </w:tcBorders>
            <w:shd w:val="clear" w:color="000000" w:fill="B8CCE4"/>
            <w:vAlign w:val="center"/>
            <w:hideMark/>
          </w:tcPr>
          <w:p w14:paraId="32637D8A" w14:textId="77777777" w:rsidR="004B7622" w:rsidRPr="003B3D8A" w:rsidRDefault="004B7622" w:rsidP="00377989">
            <w:pPr>
              <w:spacing w:after="0" w:line="240" w:lineRule="auto"/>
              <w:jc w:val="right"/>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43.629.549</w:t>
            </w:r>
          </w:p>
        </w:tc>
        <w:tc>
          <w:tcPr>
            <w:tcW w:w="1095" w:type="dxa"/>
            <w:tcBorders>
              <w:top w:val="nil"/>
              <w:left w:val="nil"/>
              <w:bottom w:val="single" w:sz="4" w:space="0" w:color="auto"/>
              <w:right w:val="single" w:sz="4" w:space="0" w:color="auto"/>
            </w:tcBorders>
            <w:shd w:val="clear" w:color="000000" w:fill="B8CCE4"/>
            <w:vAlign w:val="center"/>
            <w:hideMark/>
          </w:tcPr>
          <w:p w14:paraId="2DD3F22C" w14:textId="77777777" w:rsidR="004B7622" w:rsidRPr="003B3D8A" w:rsidRDefault="004B7622" w:rsidP="00377989">
            <w:pPr>
              <w:spacing w:after="0" w:line="240" w:lineRule="auto"/>
              <w:jc w:val="right"/>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32.875.792</w:t>
            </w:r>
          </w:p>
        </w:tc>
        <w:tc>
          <w:tcPr>
            <w:tcW w:w="1200" w:type="dxa"/>
            <w:tcBorders>
              <w:top w:val="nil"/>
              <w:left w:val="nil"/>
              <w:bottom w:val="single" w:sz="4" w:space="0" w:color="auto"/>
              <w:right w:val="single" w:sz="4" w:space="0" w:color="auto"/>
            </w:tcBorders>
            <w:shd w:val="clear" w:color="000000" w:fill="B8CCE4"/>
            <w:vAlign w:val="center"/>
            <w:hideMark/>
          </w:tcPr>
          <w:p w14:paraId="36FE500F" w14:textId="77777777" w:rsidR="004B7622" w:rsidRPr="003B3D8A" w:rsidRDefault="004B7622" w:rsidP="00377989">
            <w:pPr>
              <w:spacing w:after="0" w:line="240" w:lineRule="auto"/>
              <w:jc w:val="right"/>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16.528.877</w:t>
            </w:r>
          </w:p>
        </w:tc>
        <w:tc>
          <w:tcPr>
            <w:tcW w:w="1200" w:type="dxa"/>
            <w:tcBorders>
              <w:top w:val="nil"/>
              <w:left w:val="nil"/>
              <w:bottom w:val="single" w:sz="4" w:space="0" w:color="auto"/>
              <w:right w:val="single" w:sz="4" w:space="0" w:color="auto"/>
            </w:tcBorders>
            <w:shd w:val="clear" w:color="000000" w:fill="B8CCE4"/>
            <w:vAlign w:val="center"/>
            <w:hideMark/>
          </w:tcPr>
          <w:p w14:paraId="555233A1" w14:textId="77777777" w:rsidR="004B7622" w:rsidRPr="003B3D8A" w:rsidRDefault="004B7622" w:rsidP="00377989">
            <w:pPr>
              <w:spacing w:after="0" w:line="240" w:lineRule="auto"/>
              <w:jc w:val="right"/>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487.349.805</w:t>
            </w:r>
          </w:p>
        </w:tc>
      </w:tr>
      <w:tr w:rsidR="004B7622" w:rsidRPr="003B3D8A" w14:paraId="2C8BB5F2" w14:textId="77777777" w:rsidTr="00377989">
        <w:trPr>
          <w:trHeight w:val="403"/>
        </w:trPr>
        <w:tc>
          <w:tcPr>
            <w:tcW w:w="1485" w:type="dxa"/>
            <w:tcBorders>
              <w:top w:val="nil"/>
              <w:left w:val="single" w:sz="4" w:space="0" w:color="auto"/>
              <w:bottom w:val="single" w:sz="4" w:space="0" w:color="auto"/>
              <w:right w:val="single" w:sz="4" w:space="0" w:color="auto"/>
            </w:tcBorders>
            <w:shd w:val="clear" w:color="000000" w:fill="B8CCE4"/>
            <w:vAlign w:val="center"/>
            <w:hideMark/>
          </w:tcPr>
          <w:p w14:paraId="2DFDAEE3" w14:textId="77777777" w:rsidR="004B7622" w:rsidRPr="003B3D8A" w:rsidRDefault="004B7622" w:rsidP="00377989">
            <w:pPr>
              <w:spacing w:after="0" w:line="240" w:lineRule="auto"/>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SKUPAJ DAVČNI DOLG</w:t>
            </w:r>
          </w:p>
        </w:tc>
        <w:tc>
          <w:tcPr>
            <w:tcW w:w="1200" w:type="dxa"/>
            <w:tcBorders>
              <w:top w:val="nil"/>
              <w:left w:val="nil"/>
              <w:bottom w:val="single" w:sz="4" w:space="0" w:color="auto"/>
              <w:right w:val="single" w:sz="4" w:space="0" w:color="auto"/>
            </w:tcBorders>
            <w:shd w:val="clear" w:color="000000" w:fill="B8CCE4"/>
            <w:vAlign w:val="center"/>
            <w:hideMark/>
          </w:tcPr>
          <w:p w14:paraId="782B1606" w14:textId="77777777" w:rsidR="004B7622" w:rsidRPr="003B3D8A" w:rsidRDefault="004B7622" w:rsidP="00377989">
            <w:pPr>
              <w:spacing w:after="0" w:line="240" w:lineRule="auto"/>
              <w:jc w:val="right"/>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420.506.045</w:t>
            </w:r>
          </w:p>
        </w:tc>
        <w:tc>
          <w:tcPr>
            <w:tcW w:w="1095" w:type="dxa"/>
            <w:tcBorders>
              <w:top w:val="nil"/>
              <w:left w:val="nil"/>
              <w:bottom w:val="single" w:sz="4" w:space="0" w:color="auto"/>
              <w:right w:val="single" w:sz="4" w:space="0" w:color="auto"/>
            </w:tcBorders>
            <w:shd w:val="clear" w:color="000000" w:fill="B8CCE4"/>
            <w:vAlign w:val="center"/>
            <w:hideMark/>
          </w:tcPr>
          <w:p w14:paraId="27F8E309" w14:textId="77777777" w:rsidR="004B7622" w:rsidRPr="003B3D8A" w:rsidRDefault="004B7622" w:rsidP="00377989">
            <w:pPr>
              <w:spacing w:after="0" w:line="240" w:lineRule="auto"/>
              <w:jc w:val="right"/>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70.279.730</w:t>
            </w:r>
          </w:p>
        </w:tc>
        <w:tc>
          <w:tcPr>
            <w:tcW w:w="1118" w:type="dxa"/>
            <w:tcBorders>
              <w:top w:val="nil"/>
              <w:left w:val="nil"/>
              <w:bottom w:val="single" w:sz="4" w:space="0" w:color="auto"/>
              <w:right w:val="single" w:sz="4" w:space="0" w:color="auto"/>
            </w:tcBorders>
            <w:shd w:val="clear" w:color="000000" w:fill="B8CCE4"/>
            <w:vAlign w:val="center"/>
            <w:hideMark/>
          </w:tcPr>
          <w:p w14:paraId="122A97AE" w14:textId="77777777" w:rsidR="004B7622" w:rsidRPr="003B3D8A" w:rsidRDefault="004B7622" w:rsidP="00377989">
            <w:pPr>
              <w:spacing w:after="0" w:line="240" w:lineRule="auto"/>
              <w:jc w:val="right"/>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59.824.021</w:t>
            </w:r>
          </w:p>
        </w:tc>
        <w:tc>
          <w:tcPr>
            <w:tcW w:w="1095" w:type="dxa"/>
            <w:tcBorders>
              <w:top w:val="nil"/>
              <w:left w:val="nil"/>
              <w:bottom w:val="single" w:sz="4" w:space="0" w:color="auto"/>
              <w:right w:val="single" w:sz="4" w:space="0" w:color="auto"/>
            </w:tcBorders>
            <w:shd w:val="clear" w:color="000000" w:fill="B8CCE4"/>
            <w:vAlign w:val="center"/>
            <w:hideMark/>
          </w:tcPr>
          <w:p w14:paraId="0709A5A9" w14:textId="77777777" w:rsidR="004B7622" w:rsidRPr="003B3D8A" w:rsidRDefault="004B7622" w:rsidP="00377989">
            <w:pPr>
              <w:spacing w:after="0" w:line="240" w:lineRule="auto"/>
              <w:jc w:val="right"/>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82.745.371</w:t>
            </w:r>
          </w:p>
        </w:tc>
        <w:tc>
          <w:tcPr>
            <w:tcW w:w="1095" w:type="dxa"/>
            <w:tcBorders>
              <w:top w:val="nil"/>
              <w:left w:val="nil"/>
              <w:bottom w:val="single" w:sz="4" w:space="0" w:color="auto"/>
              <w:right w:val="single" w:sz="4" w:space="0" w:color="auto"/>
            </w:tcBorders>
            <w:shd w:val="clear" w:color="000000" w:fill="B8CCE4"/>
            <w:vAlign w:val="center"/>
            <w:hideMark/>
          </w:tcPr>
          <w:p w14:paraId="182507C2" w14:textId="77777777" w:rsidR="004B7622" w:rsidRPr="003B3D8A" w:rsidRDefault="004B7622" w:rsidP="00377989">
            <w:pPr>
              <w:spacing w:after="0" w:line="240" w:lineRule="auto"/>
              <w:jc w:val="right"/>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96.510.469</w:t>
            </w:r>
          </w:p>
        </w:tc>
        <w:tc>
          <w:tcPr>
            <w:tcW w:w="1200" w:type="dxa"/>
            <w:tcBorders>
              <w:top w:val="nil"/>
              <w:left w:val="nil"/>
              <w:bottom w:val="single" w:sz="4" w:space="0" w:color="auto"/>
              <w:right w:val="single" w:sz="4" w:space="0" w:color="auto"/>
            </w:tcBorders>
            <w:shd w:val="clear" w:color="000000" w:fill="B8CCE4"/>
            <w:vAlign w:val="center"/>
            <w:hideMark/>
          </w:tcPr>
          <w:p w14:paraId="5FA75C44" w14:textId="77777777" w:rsidR="004B7622" w:rsidRPr="003B3D8A" w:rsidRDefault="004B7622" w:rsidP="00377989">
            <w:pPr>
              <w:spacing w:after="0" w:line="240" w:lineRule="auto"/>
              <w:jc w:val="right"/>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188.642.338</w:t>
            </w:r>
          </w:p>
        </w:tc>
        <w:tc>
          <w:tcPr>
            <w:tcW w:w="1200" w:type="dxa"/>
            <w:tcBorders>
              <w:top w:val="nil"/>
              <w:left w:val="nil"/>
              <w:bottom w:val="single" w:sz="4" w:space="0" w:color="auto"/>
              <w:right w:val="single" w:sz="4" w:space="0" w:color="auto"/>
            </w:tcBorders>
            <w:shd w:val="clear" w:color="000000" w:fill="B8CCE4"/>
            <w:vAlign w:val="center"/>
            <w:hideMark/>
          </w:tcPr>
          <w:p w14:paraId="328B7EC9" w14:textId="77777777" w:rsidR="004B7622" w:rsidRPr="003B3D8A" w:rsidRDefault="004B7622" w:rsidP="00377989">
            <w:pPr>
              <w:spacing w:after="0" w:line="240" w:lineRule="auto"/>
              <w:jc w:val="right"/>
              <w:rPr>
                <w:rFonts w:ascii="Arial" w:eastAsia="Times New Roman" w:hAnsi="Arial" w:cs="Arial"/>
                <w:b/>
                <w:bCs/>
                <w:sz w:val="18"/>
                <w:szCs w:val="18"/>
                <w:lang w:eastAsia="sl-SI"/>
              </w:rPr>
            </w:pPr>
            <w:r w:rsidRPr="003B3D8A">
              <w:rPr>
                <w:rFonts w:ascii="Arial" w:eastAsia="Times New Roman" w:hAnsi="Arial" w:cs="Arial"/>
                <w:b/>
                <w:bCs/>
                <w:sz w:val="18"/>
                <w:szCs w:val="18"/>
                <w:lang w:eastAsia="sl-SI"/>
              </w:rPr>
              <w:t>918.507.974</w:t>
            </w:r>
          </w:p>
        </w:tc>
      </w:tr>
    </w:tbl>
    <w:p w14:paraId="06CFBEFD" w14:textId="77777777" w:rsidR="004B7622" w:rsidRPr="00A33E86" w:rsidRDefault="004B7622" w:rsidP="004B7622">
      <w:pPr>
        <w:spacing w:after="0"/>
        <w:jc w:val="both"/>
        <w:rPr>
          <w:rFonts w:ascii="Arial" w:hAnsi="Arial" w:cs="Arial"/>
          <w:sz w:val="16"/>
          <w:szCs w:val="16"/>
        </w:rPr>
      </w:pPr>
      <w:r w:rsidRPr="00A33E86">
        <w:rPr>
          <w:rFonts w:ascii="Arial" w:hAnsi="Arial" w:cs="Arial"/>
          <w:sz w:val="16"/>
          <w:szCs w:val="16"/>
          <w:u w:val="single"/>
        </w:rPr>
        <w:t>Opomba:</w:t>
      </w:r>
      <w:r w:rsidRPr="00A33E86">
        <w:rPr>
          <w:rFonts w:ascii="Arial" w:hAnsi="Arial" w:cs="Arial"/>
          <w:sz w:val="16"/>
          <w:szCs w:val="16"/>
        </w:rPr>
        <w:t xml:space="preserve"> Absolutno zastaranje davčnega dolga nastopi po desetih letih, zaradi nekaterih postopkov se v skladu s predpisi rok zastaranja podaljša, zato je del dolga tudi starejši od 10 let (znesek je vključen v stolpec  »zapadlost dolga do vključno leta 201</w:t>
      </w:r>
      <w:r>
        <w:rPr>
          <w:rFonts w:ascii="Arial" w:hAnsi="Arial" w:cs="Arial"/>
          <w:sz w:val="16"/>
          <w:szCs w:val="16"/>
        </w:rPr>
        <w:t>6</w:t>
      </w:r>
      <w:r w:rsidRPr="00A33E86">
        <w:rPr>
          <w:rFonts w:ascii="Arial" w:hAnsi="Arial" w:cs="Arial"/>
          <w:sz w:val="16"/>
          <w:szCs w:val="16"/>
        </w:rPr>
        <w:t>«).</w:t>
      </w:r>
    </w:p>
    <w:p w14:paraId="6ADE9A9E" w14:textId="77777777" w:rsidR="004B7622" w:rsidRPr="00534703" w:rsidRDefault="004B7622" w:rsidP="004B7622">
      <w:pPr>
        <w:rPr>
          <w:rFonts w:ascii="Arial" w:hAnsi="Arial" w:cs="Arial"/>
          <w:i/>
          <w:sz w:val="20"/>
          <w:szCs w:val="20"/>
        </w:rPr>
      </w:pPr>
      <w:r w:rsidRPr="00534703">
        <w:rPr>
          <w:rFonts w:ascii="Arial" w:hAnsi="Arial" w:cs="Arial"/>
          <w:i/>
          <w:sz w:val="20"/>
          <w:szCs w:val="20"/>
        </w:rPr>
        <w:t>Vir: FURS</w:t>
      </w:r>
    </w:p>
    <w:p w14:paraId="78DE8DC4" w14:textId="77777777" w:rsidR="004B7622" w:rsidRDefault="004B7622" w:rsidP="004B7622">
      <w:pPr>
        <w:jc w:val="both"/>
        <w:rPr>
          <w:rFonts w:ascii="Arial" w:hAnsi="Arial" w:cs="Arial"/>
          <w:sz w:val="20"/>
          <w:szCs w:val="20"/>
        </w:rPr>
      </w:pPr>
      <w:r w:rsidRPr="002B7283">
        <w:rPr>
          <w:rFonts w:ascii="Arial" w:hAnsi="Arial" w:cs="Arial"/>
          <w:sz w:val="20"/>
          <w:szCs w:val="20"/>
        </w:rPr>
        <w:t>Delež aktivnega dolga z zapadlostjo v letu 20</w:t>
      </w:r>
      <w:r>
        <w:rPr>
          <w:rFonts w:ascii="Arial" w:hAnsi="Arial" w:cs="Arial"/>
          <w:sz w:val="20"/>
          <w:szCs w:val="20"/>
        </w:rPr>
        <w:t>21</w:t>
      </w:r>
      <w:r w:rsidRPr="002B7283">
        <w:rPr>
          <w:rFonts w:ascii="Arial" w:hAnsi="Arial" w:cs="Arial"/>
          <w:sz w:val="20"/>
          <w:szCs w:val="20"/>
        </w:rPr>
        <w:t xml:space="preserve"> znaša 3</w:t>
      </w:r>
      <w:r>
        <w:rPr>
          <w:rFonts w:ascii="Arial" w:hAnsi="Arial" w:cs="Arial"/>
          <w:sz w:val="20"/>
          <w:szCs w:val="20"/>
        </w:rPr>
        <w:t>9</w:t>
      </w:r>
      <w:r w:rsidRPr="002B7283">
        <w:rPr>
          <w:rFonts w:ascii="Arial" w:hAnsi="Arial" w:cs="Arial"/>
          <w:sz w:val="20"/>
          <w:szCs w:val="20"/>
        </w:rPr>
        <w:t>,</w:t>
      </w:r>
      <w:r>
        <w:rPr>
          <w:rFonts w:ascii="Arial" w:hAnsi="Arial" w:cs="Arial"/>
          <w:sz w:val="20"/>
          <w:szCs w:val="20"/>
        </w:rPr>
        <w:t>9</w:t>
      </w:r>
      <w:r w:rsidRPr="002B7283">
        <w:rPr>
          <w:rFonts w:ascii="Arial" w:hAnsi="Arial" w:cs="Arial"/>
          <w:sz w:val="20"/>
          <w:szCs w:val="20"/>
        </w:rPr>
        <w:t xml:space="preserve"> odstotka, pogojno izterljivega pa 3</w:t>
      </w:r>
      <w:r>
        <w:rPr>
          <w:rFonts w:ascii="Arial" w:hAnsi="Arial" w:cs="Arial"/>
          <w:sz w:val="20"/>
          <w:szCs w:val="20"/>
        </w:rPr>
        <w:t>,4</w:t>
      </w:r>
      <w:r w:rsidRPr="002B7283">
        <w:rPr>
          <w:rFonts w:ascii="Arial" w:hAnsi="Arial" w:cs="Arial"/>
          <w:sz w:val="20"/>
          <w:szCs w:val="20"/>
        </w:rPr>
        <w:t xml:space="preserve"> odstotka. Dolg iz leta 20</w:t>
      </w:r>
      <w:r>
        <w:rPr>
          <w:rFonts w:ascii="Arial" w:hAnsi="Arial" w:cs="Arial"/>
          <w:sz w:val="20"/>
          <w:szCs w:val="20"/>
        </w:rPr>
        <w:t>21</w:t>
      </w:r>
      <w:r w:rsidRPr="002B7283">
        <w:rPr>
          <w:rFonts w:ascii="Arial" w:hAnsi="Arial" w:cs="Arial"/>
          <w:sz w:val="20"/>
          <w:szCs w:val="20"/>
        </w:rPr>
        <w:t xml:space="preserve"> je predmet izvršb s sistemskimi ukrepi (sklepi na denarne prejemke in sredstva na računih), dolg pred letom 20</w:t>
      </w:r>
      <w:r>
        <w:rPr>
          <w:rFonts w:ascii="Arial" w:hAnsi="Arial" w:cs="Arial"/>
          <w:sz w:val="20"/>
          <w:szCs w:val="20"/>
        </w:rPr>
        <w:t>21</w:t>
      </w:r>
      <w:r w:rsidRPr="002B7283">
        <w:rPr>
          <w:rFonts w:ascii="Arial" w:hAnsi="Arial" w:cs="Arial"/>
          <w:sz w:val="20"/>
          <w:szCs w:val="20"/>
        </w:rPr>
        <w:t xml:space="preserve"> pa zahteva individualno obravnavo v postopkih glede na sredstva, ki so lahko predmet izvršbe (terjatve, premičnine, nepremičnine).</w:t>
      </w:r>
    </w:p>
    <w:p w14:paraId="0CF1877A" w14:textId="77777777" w:rsidR="004B7622" w:rsidRDefault="004B7622" w:rsidP="004B7622">
      <w:pPr>
        <w:spacing w:after="0" w:line="240" w:lineRule="auto"/>
        <w:rPr>
          <w:rFonts w:ascii="Arial" w:hAnsi="Arial" w:cs="Arial"/>
          <w:sz w:val="20"/>
          <w:szCs w:val="20"/>
        </w:rPr>
      </w:pPr>
      <w:r>
        <w:rPr>
          <w:rFonts w:ascii="Arial" w:hAnsi="Arial" w:cs="Arial"/>
          <w:sz w:val="20"/>
          <w:szCs w:val="20"/>
        </w:rPr>
        <w:br w:type="page"/>
      </w:r>
    </w:p>
    <w:p w14:paraId="28E6FCC2" w14:textId="77777777" w:rsidR="004B7622" w:rsidRDefault="004B7622" w:rsidP="004B7622">
      <w:pPr>
        <w:rPr>
          <w:rFonts w:ascii="Arial" w:hAnsi="Arial" w:cs="Arial"/>
          <w:i/>
          <w:sz w:val="20"/>
          <w:szCs w:val="20"/>
        </w:rPr>
      </w:pPr>
      <w:r w:rsidRPr="009838E2">
        <w:rPr>
          <w:rFonts w:ascii="Arial" w:hAnsi="Arial" w:cs="Arial"/>
          <w:i/>
          <w:sz w:val="20"/>
          <w:szCs w:val="20"/>
        </w:rPr>
        <w:lastRenderedPageBreak/>
        <w:t>Preglednica 9: Davčni dolg po javnofinančnih blagajnah glede na zapadlost v EUR</w:t>
      </w:r>
    </w:p>
    <w:tbl>
      <w:tblPr>
        <w:tblW w:w="9668" w:type="dxa"/>
        <w:tblCellMar>
          <w:left w:w="70" w:type="dxa"/>
          <w:right w:w="70" w:type="dxa"/>
        </w:tblCellMar>
        <w:tblLook w:val="04A0" w:firstRow="1" w:lastRow="0" w:firstColumn="1" w:lastColumn="0" w:noHBand="0" w:noVBand="1"/>
      </w:tblPr>
      <w:tblGrid>
        <w:gridCol w:w="1333"/>
        <w:gridCol w:w="1092"/>
        <w:gridCol w:w="1092"/>
        <w:gridCol w:w="1236"/>
        <w:gridCol w:w="1204"/>
        <w:gridCol w:w="1221"/>
        <w:gridCol w:w="1221"/>
        <w:gridCol w:w="1269"/>
      </w:tblGrid>
      <w:tr w:rsidR="004B7622" w:rsidRPr="00E36C29" w14:paraId="5DACBE94" w14:textId="77777777" w:rsidTr="00377989">
        <w:trPr>
          <w:trHeight w:val="884"/>
        </w:trPr>
        <w:tc>
          <w:tcPr>
            <w:tcW w:w="1333" w:type="dxa"/>
            <w:tcBorders>
              <w:top w:val="single" w:sz="4" w:space="0" w:color="auto"/>
              <w:left w:val="single" w:sz="4" w:space="0" w:color="auto"/>
              <w:bottom w:val="single" w:sz="4" w:space="0" w:color="auto"/>
              <w:right w:val="double" w:sz="6" w:space="0" w:color="auto"/>
            </w:tcBorders>
            <w:shd w:val="clear" w:color="000000" w:fill="B8CCE4"/>
            <w:vAlign w:val="center"/>
            <w:hideMark/>
          </w:tcPr>
          <w:p w14:paraId="407B631C" w14:textId="77777777" w:rsidR="004B7622" w:rsidRPr="00E36C29" w:rsidRDefault="004B7622" w:rsidP="00377989">
            <w:pPr>
              <w:spacing w:after="0" w:line="240" w:lineRule="auto"/>
              <w:jc w:val="center"/>
              <w:rPr>
                <w:rFonts w:ascii="Arial" w:eastAsia="Times New Roman" w:hAnsi="Arial" w:cs="Arial"/>
                <w:b/>
                <w:bCs/>
                <w:sz w:val="18"/>
                <w:szCs w:val="18"/>
                <w:lang w:eastAsia="sl-SI"/>
              </w:rPr>
            </w:pPr>
            <w:r w:rsidRPr="00E36C29">
              <w:rPr>
                <w:rFonts w:ascii="Arial" w:eastAsia="Times New Roman" w:hAnsi="Arial" w:cs="Arial"/>
                <w:b/>
                <w:bCs/>
                <w:sz w:val="18"/>
                <w:szCs w:val="18"/>
                <w:lang w:eastAsia="sl-SI"/>
              </w:rPr>
              <w:t>Delež davčnega dolga v strukturi dolga glede na zapadlost</w:t>
            </w:r>
          </w:p>
        </w:tc>
        <w:tc>
          <w:tcPr>
            <w:tcW w:w="1092" w:type="dxa"/>
            <w:tcBorders>
              <w:top w:val="single" w:sz="8" w:space="0" w:color="auto"/>
              <w:left w:val="nil"/>
              <w:bottom w:val="single" w:sz="8" w:space="0" w:color="auto"/>
              <w:right w:val="single" w:sz="8" w:space="0" w:color="auto"/>
            </w:tcBorders>
            <w:shd w:val="clear" w:color="000000" w:fill="B8CCE4"/>
            <w:vAlign w:val="center"/>
            <w:hideMark/>
          </w:tcPr>
          <w:p w14:paraId="589611B2" w14:textId="77777777" w:rsidR="004B7622" w:rsidRPr="00E36C29" w:rsidRDefault="004B7622" w:rsidP="00377989">
            <w:pPr>
              <w:spacing w:after="0" w:line="240" w:lineRule="auto"/>
              <w:jc w:val="center"/>
              <w:rPr>
                <w:rFonts w:ascii="Arial" w:eastAsia="Times New Roman" w:hAnsi="Arial" w:cs="Arial"/>
                <w:b/>
                <w:bCs/>
                <w:color w:val="000000"/>
                <w:sz w:val="18"/>
                <w:szCs w:val="18"/>
                <w:lang w:eastAsia="sl-SI"/>
              </w:rPr>
            </w:pPr>
            <w:r w:rsidRPr="00E36C29">
              <w:rPr>
                <w:rFonts w:ascii="Arial" w:eastAsia="Times New Roman" w:hAnsi="Arial" w:cs="Arial"/>
                <w:b/>
                <w:bCs/>
                <w:color w:val="000000"/>
                <w:sz w:val="18"/>
                <w:szCs w:val="18"/>
                <w:lang w:eastAsia="sl-SI"/>
              </w:rPr>
              <w:t>Zapadlost dolga v letu 2016</w:t>
            </w:r>
          </w:p>
        </w:tc>
        <w:tc>
          <w:tcPr>
            <w:tcW w:w="1092" w:type="dxa"/>
            <w:tcBorders>
              <w:top w:val="single" w:sz="8" w:space="0" w:color="auto"/>
              <w:left w:val="nil"/>
              <w:bottom w:val="single" w:sz="8" w:space="0" w:color="auto"/>
              <w:right w:val="single" w:sz="8" w:space="0" w:color="auto"/>
            </w:tcBorders>
            <w:shd w:val="clear" w:color="000000" w:fill="B8CCE4"/>
            <w:vAlign w:val="center"/>
            <w:hideMark/>
          </w:tcPr>
          <w:p w14:paraId="1031C26B" w14:textId="77777777" w:rsidR="004B7622" w:rsidRPr="00E36C29" w:rsidRDefault="004B7622" w:rsidP="00377989">
            <w:pPr>
              <w:spacing w:after="0" w:line="240" w:lineRule="auto"/>
              <w:jc w:val="center"/>
              <w:rPr>
                <w:rFonts w:ascii="Arial" w:eastAsia="Times New Roman" w:hAnsi="Arial" w:cs="Arial"/>
                <w:b/>
                <w:bCs/>
                <w:color w:val="000000"/>
                <w:sz w:val="18"/>
                <w:szCs w:val="18"/>
                <w:lang w:eastAsia="sl-SI"/>
              </w:rPr>
            </w:pPr>
            <w:r w:rsidRPr="00E36C29">
              <w:rPr>
                <w:rFonts w:ascii="Arial" w:eastAsia="Times New Roman" w:hAnsi="Arial" w:cs="Arial"/>
                <w:b/>
                <w:bCs/>
                <w:color w:val="000000"/>
                <w:sz w:val="18"/>
                <w:szCs w:val="18"/>
                <w:lang w:eastAsia="sl-SI"/>
              </w:rPr>
              <w:t>Zapadlost dolga v letu 2017</w:t>
            </w:r>
          </w:p>
        </w:tc>
        <w:tc>
          <w:tcPr>
            <w:tcW w:w="1236" w:type="dxa"/>
            <w:tcBorders>
              <w:top w:val="single" w:sz="8" w:space="0" w:color="auto"/>
              <w:left w:val="nil"/>
              <w:bottom w:val="single" w:sz="8" w:space="0" w:color="auto"/>
              <w:right w:val="single" w:sz="8" w:space="0" w:color="auto"/>
            </w:tcBorders>
            <w:shd w:val="clear" w:color="000000" w:fill="B8CCE4"/>
            <w:vAlign w:val="center"/>
            <w:hideMark/>
          </w:tcPr>
          <w:p w14:paraId="5FFC33CC" w14:textId="77777777" w:rsidR="004B7622" w:rsidRPr="00E36C29" w:rsidRDefault="004B7622" w:rsidP="00377989">
            <w:pPr>
              <w:spacing w:after="0" w:line="240" w:lineRule="auto"/>
              <w:jc w:val="center"/>
              <w:rPr>
                <w:rFonts w:ascii="Arial" w:eastAsia="Times New Roman" w:hAnsi="Arial" w:cs="Arial"/>
                <w:b/>
                <w:bCs/>
                <w:color w:val="000000"/>
                <w:sz w:val="18"/>
                <w:szCs w:val="18"/>
                <w:lang w:eastAsia="sl-SI"/>
              </w:rPr>
            </w:pPr>
            <w:r w:rsidRPr="00E36C29">
              <w:rPr>
                <w:rFonts w:ascii="Arial" w:eastAsia="Times New Roman" w:hAnsi="Arial" w:cs="Arial"/>
                <w:b/>
                <w:bCs/>
                <w:color w:val="000000"/>
                <w:sz w:val="18"/>
                <w:szCs w:val="18"/>
                <w:lang w:eastAsia="sl-SI"/>
              </w:rPr>
              <w:t>Zapadlost dolga v letu 2018</w:t>
            </w:r>
          </w:p>
        </w:tc>
        <w:tc>
          <w:tcPr>
            <w:tcW w:w="1204" w:type="dxa"/>
            <w:tcBorders>
              <w:top w:val="single" w:sz="8" w:space="0" w:color="auto"/>
              <w:left w:val="nil"/>
              <w:bottom w:val="single" w:sz="8" w:space="0" w:color="auto"/>
              <w:right w:val="single" w:sz="8" w:space="0" w:color="auto"/>
            </w:tcBorders>
            <w:shd w:val="clear" w:color="000000" w:fill="B8CCE4"/>
            <w:vAlign w:val="center"/>
            <w:hideMark/>
          </w:tcPr>
          <w:p w14:paraId="695C0A66" w14:textId="77777777" w:rsidR="004B7622" w:rsidRPr="00E36C29" w:rsidRDefault="004B7622" w:rsidP="00377989">
            <w:pPr>
              <w:spacing w:after="0" w:line="240" w:lineRule="auto"/>
              <w:jc w:val="center"/>
              <w:rPr>
                <w:rFonts w:ascii="Arial" w:eastAsia="Times New Roman" w:hAnsi="Arial" w:cs="Arial"/>
                <w:b/>
                <w:bCs/>
                <w:color w:val="000000"/>
                <w:sz w:val="18"/>
                <w:szCs w:val="18"/>
                <w:lang w:eastAsia="sl-SI"/>
              </w:rPr>
            </w:pPr>
            <w:r w:rsidRPr="00E36C29">
              <w:rPr>
                <w:rFonts w:ascii="Arial" w:eastAsia="Times New Roman" w:hAnsi="Arial" w:cs="Arial"/>
                <w:b/>
                <w:bCs/>
                <w:color w:val="000000"/>
                <w:sz w:val="18"/>
                <w:szCs w:val="18"/>
                <w:lang w:eastAsia="sl-SI"/>
              </w:rPr>
              <w:t>Zapadlost dolga v letu 2019</w:t>
            </w:r>
          </w:p>
        </w:tc>
        <w:tc>
          <w:tcPr>
            <w:tcW w:w="1221" w:type="dxa"/>
            <w:tcBorders>
              <w:top w:val="single" w:sz="8" w:space="0" w:color="auto"/>
              <w:left w:val="nil"/>
              <w:bottom w:val="single" w:sz="8" w:space="0" w:color="auto"/>
              <w:right w:val="nil"/>
            </w:tcBorders>
            <w:shd w:val="clear" w:color="000000" w:fill="B8CCE4"/>
            <w:vAlign w:val="center"/>
            <w:hideMark/>
          </w:tcPr>
          <w:p w14:paraId="0B07DD79" w14:textId="77777777" w:rsidR="004B7622" w:rsidRPr="00E36C29" w:rsidRDefault="004B7622" w:rsidP="00377989">
            <w:pPr>
              <w:spacing w:after="0" w:line="240" w:lineRule="auto"/>
              <w:jc w:val="center"/>
              <w:rPr>
                <w:rFonts w:ascii="Arial" w:eastAsia="Times New Roman" w:hAnsi="Arial" w:cs="Arial"/>
                <w:b/>
                <w:bCs/>
                <w:color w:val="000000"/>
                <w:sz w:val="18"/>
                <w:szCs w:val="18"/>
                <w:lang w:eastAsia="sl-SI"/>
              </w:rPr>
            </w:pPr>
            <w:r w:rsidRPr="00E36C29">
              <w:rPr>
                <w:rFonts w:ascii="Arial" w:eastAsia="Times New Roman" w:hAnsi="Arial" w:cs="Arial"/>
                <w:b/>
                <w:bCs/>
                <w:color w:val="000000"/>
                <w:sz w:val="18"/>
                <w:szCs w:val="18"/>
                <w:lang w:eastAsia="sl-SI"/>
              </w:rPr>
              <w:t>Zapadlost dolga v letu 2020</w:t>
            </w:r>
          </w:p>
        </w:tc>
        <w:tc>
          <w:tcPr>
            <w:tcW w:w="1221" w:type="dxa"/>
            <w:tcBorders>
              <w:top w:val="single" w:sz="8" w:space="0" w:color="auto"/>
              <w:left w:val="single" w:sz="8" w:space="0" w:color="auto"/>
              <w:bottom w:val="single" w:sz="8" w:space="0" w:color="auto"/>
              <w:right w:val="single" w:sz="8" w:space="0" w:color="auto"/>
            </w:tcBorders>
            <w:shd w:val="clear" w:color="000000" w:fill="B8CCE4"/>
            <w:vAlign w:val="center"/>
            <w:hideMark/>
          </w:tcPr>
          <w:p w14:paraId="47C82C72" w14:textId="77777777" w:rsidR="004B7622" w:rsidRPr="00E36C29" w:rsidRDefault="004B7622" w:rsidP="00377989">
            <w:pPr>
              <w:spacing w:after="0" w:line="240" w:lineRule="auto"/>
              <w:jc w:val="center"/>
              <w:rPr>
                <w:rFonts w:ascii="Arial" w:eastAsia="Times New Roman" w:hAnsi="Arial" w:cs="Arial"/>
                <w:b/>
                <w:bCs/>
                <w:color w:val="000000"/>
                <w:sz w:val="18"/>
                <w:szCs w:val="18"/>
                <w:lang w:eastAsia="sl-SI"/>
              </w:rPr>
            </w:pPr>
            <w:r w:rsidRPr="00E36C29">
              <w:rPr>
                <w:rFonts w:ascii="Arial" w:eastAsia="Times New Roman" w:hAnsi="Arial" w:cs="Arial"/>
                <w:b/>
                <w:bCs/>
                <w:color w:val="000000"/>
                <w:sz w:val="18"/>
                <w:szCs w:val="18"/>
                <w:lang w:eastAsia="sl-SI"/>
              </w:rPr>
              <w:t>Zapadlost dolga v letu 2021</w:t>
            </w:r>
          </w:p>
        </w:tc>
        <w:tc>
          <w:tcPr>
            <w:tcW w:w="1269" w:type="dxa"/>
            <w:tcBorders>
              <w:top w:val="single" w:sz="8" w:space="0" w:color="auto"/>
              <w:left w:val="nil"/>
              <w:bottom w:val="single" w:sz="8" w:space="0" w:color="auto"/>
              <w:right w:val="single" w:sz="8" w:space="0" w:color="auto"/>
            </w:tcBorders>
            <w:shd w:val="clear" w:color="000000" w:fill="B8CCE4"/>
            <w:vAlign w:val="center"/>
            <w:hideMark/>
          </w:tcPr>
          <w:p w14:paraId="655DE1CF" w14:textId="77777777" w:rsidR="004B7622" w:rsidRPr="00E36C29" w:rsidRDefault="004B7622" w:rsidP="00377989">
            <w:pPr>
              <w:spacing w:after="0" w:line="240" w:lineRule="auto"/>
              <w:jc w:val="center"/>
              <w:rPr>
                <w:rFonts w:ascii="Arial" w:eastAsia="Times New Roman" w:hAnsi="Arial" w:cs="Arial"/>
                <w:b/>
                <w:bCs/>
                <w:color w:val="000000"/>
                <w:sz w:val="18"/>
                <w:szCs w:val="18"/>
                <w:lang w:eastAsia="sl-SI"/>
              </w:rPr>
            </w:pPr>
            <w:r w:rsidRPr="00E36C29">
              <w:rPr>
                <w:rFonts w:ascii="Arial" w:eastAsia="Times New Roman" w:hAnsi="Arial" w:cs="Arial"/>
                <w:b/>
                <w:bCs/>
                <w:color w:val="000000"/>
                <w:sz w:val="18"/>
                <w:szCs w:val="18"/>
                <w:lang w:eastAsia="sl-SI"/>
              </w:rPr>
              <w:t>Skupaj delež dolga</w:t>
            </w:r>
          </w:p>
        </w:tc>
      </w:tr>
      <w:tr w:rsidR="004B7622" w:rsidRPr="00E36C29" w14:paraId="7415FCEC" w14:textId="77777777" w:rsidTr="00377989">
        <w:trPr>
          <w:trHeight w:val="381"/>
        </w:trPr>
        <w:tc>
          <w:tcPr>
            <w:tcW w:w="1333" w:type="dxa"/>
            <w:tcBorders>
              <w:top w:val="nil"/>
              <w:left w:val="single" w:sz="4" w:space="0" w:color="auto"/>
              <w:bottom w:val="single" w:sz="4" w:space="0" w:color="auto"/>
              <w:right w:val="double" w:sz="6" w:space="0" w:color="auto"/>
            </w:tcBorders>
            <w:shd w:val="clear" w:color="auto" w:fill="auto"/>
            <w:vAlign w:val="center"/>
            <w:hideMark/>
          </w:tcPr>
          <w:p w14:paraId="471821AF" w14:textId="77777777" w:rsidR="004B7622" w:rsidRPr="00E36C29" w:rsidRDefault="004B7622" w:rsidP="00377989">
            <w:pPr>
              <w:spacing w:after="0" w:line="240" w:lineRule="auto"/>
              <w:rPr>
                <w:rFonts w:ascii="Arial" w:eastAsia="Times New Roman" w:hAnsi="Arial" w:cs="Arial"/>
                <w:b/>
                <w:bCs/>
                <w:sz w:val="18"/>
                <w:szCs w:val="18"/>
                <w:lang w:eastAsia="sl-SI"/>
              </w:rPr>
            </w:pPr>
            <w:r w:rsidRPr="00E36C29">
              <w:rPr>
                <w:rFonts w:ascii="Arial" w:eastAsia="Times New Roman" w:hAnsi="Arial" w:cs="Arial"/>
                <w:b/>
                <w:bCs/>
                <w:sz w:val="18"/>
                <w:szCs w:val="18"/>
                <w:lang w:eastAsia="sl-SI"/>
              </w:rPr>
              <w:t>SKUPAJ AKTIVNI DOLG</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03D12253" w14:textId="77777777" w:rsidR="004B7622" w:rsidRPr="00E36C29" w:rsidRDefault="004B7622" w:rsidP="00377989">
            <w:pPr>
              <w:spacing w:after="0" w:line="240" w:lineRule="auto"/>
              <w:jc w:val="right"/>
              <w:rPr>
                <w:rFonts w:ascii="Arial" w:eastAsia="Times New Roman" w:hAnsi="Arial" w:cs="Arial"/>
                <w:b/>
                <w:bCs/>
                <w:sz w:val="18"/>
                <w:szCs w:val="18"/>
                <w:lang w:eastAsia="sl-SI"/>
              </w:rPr>
            </w:pPr>
            <w:r w:rsidRPr="00E36C29">
              <w:rPr>
                <w:rFonts w:ascii="Arial" w:eastAsia="Times New Roman" w:hAnsi="Arial" w:cs="Arial"/>
                <w:b/>
                <w:bCs/>
                <w:sz w:val="18"/>
                <w:szCs w:val="18"/>
                <w:lang w:eastAsia="sl-SI"/>
              </w:rPr>
              <w:t>23,9</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091E8546" w14:textId="77777777" w:rsidR="004B7622" w:rsidRPr="00E36C29" w:rsidRDefault="004B7622" w:rsidP="00377989">
            <w:pPr>
              <w:spacing w:after="0" w:line="240" w:lineRule="auto"/>
              <w:jc w:val="right"/>
              <w:rPr>
                <w:rFonts w:ascii="Arial" w:eastAsia="Times New Roman" w:hAnsi="Arial" w:cs="Arial"/>
                <w:b/>
                <w:bCs/>
                <w:sz w:val="18"/>
                <w:szCs w:val="18"/>
                <w:lang w:eastAsia="sl-SI"/>
              </w:rPr>
            </w:pPr>
            <w:r w:rsidRPr="00E36C29">
              <w:rPr>
                <w:rFonts w:ascii="Arial" w:eastAsia="Times New Roman" w:hAnsi="Arial" w:cs="Arial"/>
                <w:b/>
                <w:bCs/>
                <w:sz w:val="18"/>
                <w:szCs w:val="18"/>
                <w:lang w:eastAsia="sl-SI"/>
              </w:rPr>
              <w:t>6,7</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2EB8DF7" w14:textId="77777777" w:rsidR="004B7622" w:rsidRPr="00E36C29" w:rsidRDefault="004B7622" w:rsidP="00377989">
            <w:pPr>
              <w:spacing w:after="0" w:line="240" w:lineRule="auto"/>
              <w:jc w:val="right"/>
              <w:rPr>
                <w:rFonts w:ascii="Arial" w:eastAsia="Times New Roman" w:hAnsi="Arial" w:cs="Arial"/>
                <w:b/>
                <w:bCs/>
                <w:sz w:val="18"/>
                <w:szCs w:val="18"/>
                <w:lang w:eastAsia="sl-SI"/>
              </w:rPr>
            </w:pPr>
            <w:r w:rsidRPr="00E36C29">
              <w:rPr>
                <w:rFonts w:ascii="Arial" w:eastAsia="Times New Roman" w:hAnsi="Arial" w:cs="Arial"/>
                <w:b/>
                <w:bCs/>
                <w:sz w:val="18"/>
                <w:szCs w:val="18"/>
                <w:lang w:eastAsia="sl-SI"/>
              </w:rPr>
              <w:t>5,6</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51B23E22" w14:textId="77777777" w:rsidR="004B7622" w:rsidRPr="00E36C29" w:rsidRDefault="004B7622" w:rsidP="00377989">
            <w:pPr>
              <w:spacing w:after="0" w:line="240" w:lineRule="auto"/>
              <w:jc w:val="right"/>
              <w:rPr>
                <w:rFonts w:ascii="Arial" w:eastAsia="Times New Roman" w:hAnsi="Arial" w:cs="Arial"/>
                <w:b/>
                <w:bCs/>
                <w:sz w:val="18"/>
                <w:szCs w:val="18"/>
                <w:lang w:eastAsia="sl-SI"/>
              </w:rPr>
            </w:pPr>
            <w:r w:rsidRPr="00E36C29">
              <w:rPr>
                <w:rFonts w:ascii="Arial" w:eastAsia="Times New Roman" w:hAnsi="Arial" w:cs="Arial"/>
                <w:b/>
                <w:bCs/>
                <w:sz w:val="18"/>
                <w:szCs w:val="18"/>
                <w:lang w:eastAsia="sl-SI"/>
              </w:rPr>
              <w:t>9,1</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3E066C81" w14:textId="77777777" w:rsidR="004B7622" w:rsidRPr="00E36C29" w:rsidRDefault="004B7622" w:rsidP="00377989">
            <w:pPr>
              <w:spacing w:after="0" w:line="240" w:lineRule="auto"/>
              <w:jc w:val="right"/>
              <w:rPr>
                <w:rFonts w:ascii="Arial" w:eastAsia="Times New Roman" w:hAnsi="Arial" w:cs="Arial"/>
                <w:b/>
                <w:bCs/>
                <w:sz w:val="18"/>
                <w:szCs w:val="18"/>
                <w:lang w:eastAsia="sl-SI"/>
              </w:rPr>
            </w:pPr>
            <w:r w:rsidRPr="00E36C29">
              <w:rPr>
                <w:rFonts w:ascii="Arial" w:eastAsia="Times New Roman" w:hAnsi="Arial" w:cs="Arial"/>
                <w:b/>
                <w:bCs/>
                <w:sz w:val="18"/>
                <w:szCs w:val="18"/>
                <w:lang w:eastAsia="sl-SI"/>
              </w:rPr>
              <w:t>17,2</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177D55A6" w14:textId="77777777" w:rsidR="004B7622" w:rsidRPr="00E36C29" w:rsidRDefault="004B7622" w:rsidP="00377989">
            <w:pPr>
              <w:spacing w:after="0" w:line="240" w:lineRule="auto"/>
              <w:jc w:val="right"/>
              <w:rPr>
                <w:rFonts w:ascii="Arial" w:eastAsia="Times New Roman" w:hAnsi="Arial" w:cs="Arial"/>
                <w:b/>
                <w:bCs/>
                <w:sz w:val="18"/>
                <w:szCs w:val="18"/>
                <w:lang w:eastAsia="sl-SI"/>
              </w:rPr>
            </w:pPr>
            <w:r w:rsidRPr="00E36C29">
              <w:rPr>
                <w:rFonts w:ascii="Arial" w:eastAsia="Times New Roman" w:hAnsi="Arial" w:cs="Arial"/>
                <w:b/>
                <w:bCs/>
                <w:sz w:val="18"/>
                <w:szCs w:val="18"/>
                <w:lang w:eastAsia="sl-SI"/>
              </w:rPr>
              <w:t>39,9</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3E4B9167" w14:textId="77777777" w:rsidR="004B7622" w:rsidRPr="00E36C29" w:rsidRDefault="004B7622" w:rsidP="00377989">
            <w:pPr>
              <w:spacing w:after="0" w:line="240" w:lineRule="auto"/>
              <w:jc w:val="right"/>
              <w:rPr>
                <w:rFonts w:ascii="Arial" w:eastAsia="Times New Roman" w:hAnsi="Arial" w:cs="Arial"/>
                <w:b/>
                <w:bCs/>
                <w:sz w:val="18"/>
                <w:szCs w:val="18"/>
                <w:lang w:eastAsia="sl-SI"/>
              </w:rPr>
            </w:pPr>
            <w:r w:rsidRPr="00E36C29">
              <w:rPr>
                <w:rFonts w:ascii="Arial" w:eastAsia="Times New Roman" w:hAnsi="Arial" w:cs="Arial"/>
                <w:b/>
                <w:bCs/>
                <w:sz w:val="18"/>
                <w:szCs w:val="18"/>
                <w:lang w:eastAsia="sl-SI"/>
              </w:rPr>
              <w:t>100,0</w:t>
            </w:r>
          </w:p>
        </w:tc>
      </w:tr>
      <w:tr w:rsidR="004B7622" w:rsidRPr="00E36C29" w14:paraId="287F5D82" w14:textId="77777777" w:rsidTr="00377989">
        <w:trPr>
          <w:trHeight w:val="655"/>
        </w:trPr>
        <w:tc>
          <w:tcPr>
            <w:tcW w:w="1333" w:type="dxa"/>
            <w:tcBorders>
              <w:top w:val="nil"/>
              <w:left w:val="single" w:sz="4" w:space="0" w:color="auto"/>
              <w:bottom w:val="single" w:sz="4" w:space="0" w:color="auto"/>
              <w:right w:val="double" w:sz="6" w:space="0" w:color="auto"/>
            </w:tcBorders>
            <w:shd w:val="clear" w:color="auto" w:fill="auto"/>
            <w:vAlign w:val="center"/>
            <w:hideMark/>
          </w:tcPr>
          <w:p w14:paraId="0A94E824" w14:textId="77777777" w:rsidR="004B7622" w:rsidRPr="00E36C29" w:rsidRDefault="004B7622" w:rsidP="00377989">
            <w:pPr>
              <w:spacing w:after="0" w:line="240" w:lineRule="auto"/>
              <w:rPr>
                <w:rFonts w:ascii="Arial" w:eastAsia="Times New Roman" w:hAnsi="Arial" w:cs="Arial"/>
                <w:b/>
                <w:bCs/>
                <w:sz w:val="18"/>
                <w:szCs w:val="18"/>
                <w:lang w:eastAsia="sl-SI"/>
              </w:rPr>
            </w:pPr>
            <w:r w:rsidRPr="00E36C29">
              <w:rPr>
                <w:rFonts w:ascii="Arial" w:eastAsia="Times New Roman" w:hAnsi="Arial" w:cs="Arial"/>
                <w:b/>
                <w:bCs/>
                <w:sz w:val="18"/>
                <w:szCs w:val="18"/>
                <w:lang w:eastAsia="sl-SI"/>
              </w:rPr>
              <w:t>SKUPAJ POGOJNO IZTERLJIVI DOLG</w:t>
            </w:r>
          </w:p>
        </w:tc>
        <w:tc>
          <w:tcPr>
            <w:tcW w:w="1092" w:type="dxa"/>
            <w:tcBorders>
              <w:top w:val="nil"/>
              <w:left w:val="nil"/>
              <w:bottom w:val="single" w:sz="4" w:space="0" w:color="auto"/>
              <w:right w:val="single" w:sz="4" w:space="0" w:color="auto"/>
            </w:tcBorders>
            <w:shd w:val="clear" w:color="auto" w:fill="auto"/>
            <w:vAlign w:val="center"/>
            <w:hideMark/>
          </w:tcPr>
          <w:p w14:paraId="0D9A710B" w14:textId="77777777" w:rsidR="004B7622" w:rsidRPr="00E36C29" w:rsidRDefault="004B7622" w:rsidP="00377989">
            <w:pPr>
              <w:spacing w:after="0" w:line="240" w:lineRule="auto"/>
              <w:jc w:val="right"/>
              <w:rPr>
                <w:rFonts w:ascii="Arial" w:eastAsia="Times New Roman" w:hAnsi="Arial" w:cs="Arial"/>
                <w:b/>
                <w:bCs/>
                <w:sz w:val="18"/>
                <w:szCs w:val="18"/>
                <w:lang w:eastAsia="sl-SI"/>
              </w:rPr>
            </w:pPr>
            <w:r w:rsidRPr="00E36C29">
              <w:rPr>
                <w:rFonts w:ascii="Arial" w:eastAsia="Times New Roman" w:hAnsi="Arial" w:cs="Arial"/>
                <w:b/>
                <w:bCs/>
                <w:sz w:val="18"/>
                <w:szCs w:val="18"/>
                <w:lang w:eastAsia="sl-SI"/>
              </w:rPr>
              <w:t>65,1</w:t>
            </w:r>
          </w:p>
        </w:tc>
        <w:tc>
          <w:tcPr>
            <w:tcW w:w="1092" w:type="dxa"/>
            <w:tcBorders>
              <w:top w:val="nil"/>
              <w:left w:val="nil"/>
              <w:bottom w:val="single" w:sz="4" w:space="0" w:color="auto"/>
              <w:right w:val="single" w:sz="4" w:space="0" w:color="auto"/>
            </w:tcBorders>
            <w:shd w:val="clear" w:color="auto" w:fill="auto"/>
            <w:vAlign w:val="center"/>
            <w:hideMark/>
          </w:tcPr>
          <w:p w14:paraId="78EF5CCE" w14:textId="77777777" w:rsidR="004B7622" w:rsidRPr="00E36C29" w:rsidRDefault="004B7622" w:rsidP="00377989">
            <w:pPr>
              <w:spacing w:after="0" w:line="240" w:lineRule="auto"/>
              <w:jc w:val="right"/>
              <w:rPr>
                <w:rFonts w:ascii="Arial" w:eastAsia="Times New Roman" w:hAnsi="Arial" w:cs="Arial"/>
                <w:b/>
                <w:bCs/>
                <w:sz w:val="18"/>
                <w:szCs w:val="18"/>
                <w:lang w:eastAsia="sl-SI"/>
              </w:rPr>
            </w:pPr>
            <w:r w:rsidRPr="00E36C29">
              <w:rPr>
                <w:rFonts w:ascii="Arial" w:eastAsia="Times New Roman" w:hAnsi="Arial" w:cs="Arial"/>
                <w:b/>
                <w:bCs/>
                <w:sz w:val="18"/>
                <w:szCs w:val="18"/>
                <w:lang w:eastAsia="sl-SI"/>
              </w:rPr>
              <w:t>8,5</w:t>
            </w:r>
          </w:p>
        </w:tc>
        <w:tc>
          <w:tcPr>
            <w:tcW w:w="1236" w:type="dxa"/>
            <w:tcBorders>
              <w:top w:val="nil"/>
              <w:left w:val="nil"/>
              <w:bottom w:val="single" w:sz="4" w:space="0" w:color="auto"/>
              <w:right w:val="single" w:sz="4" w:space="0" w:color="auto"/>
            </w:tcBorders>
            <w:shd w:val="clear" w:color="auto" w:fill="auto"/>
            <w:vAlign w:val="center"/>
            <w:hideMark/>
          </w:tcPr>
          <w:p w14:paraId="11C83251" w14:textId="77777777" w:rsidR="004B7622" w:rsidRPr="00E36C29" w:rsidRDefault="004B7622" w:rsidP="00377989">
            <w:pPr>
              <w:spacing w:after="0" w:line="240" w:lineRule="auto"/>
              <w:jc w:val="right"/>
              <w:rPr>
                <w:rFonts w:ascii="Arial" w:eastAsia="Times New Roman" w:hAnsi="Arial" w:cs="Arial"/>
                <w:b/>
                <w:bCs/>
                <w:sz w:val="18"/>
                <w:szCs w:val="18"/>
                <w:lang w:eastAsia="sl-SI"/>
              </w:rPr>
            </w:pPr>
            <w:r w:rsidRPr="00E36C29">
              <w:rPr>
                <w:rFonts w:ascii="Arial" w:eastAsia="Times New Roman" w:hAnsi="Arial" w:cs="Arial"/>
                <w:b/>
                <w:bCs/>
                <w:sz w:val="18"/>
                <w:szCs w:val="18"/>
                <w:lang w:eastAsia="sl-SI"/>
              </w:rPr>
              <w:t>7,3</w:t>
            </w:r>
          </w:p>
        </w:tc>
        <w:tc>
          <w:tcPr>
            <w:tcW w:w="1204" w:type="dxa"/>
            <w:tcBorders>
              <w:top w:val="nil"/>
              <w:left w:val="nil"/>
              <w:bottom w:val="single" w:sz="4" w:space="0" w:color="auto"/>
              <w:right w:val="single" w:sz="4" w:space="0" w:color="auto"/>
            </w:tcBorders>
            <w:shd w:val="clear" w:color="auto" w:fill="auto"/>
            <w:vAlign w:val="center"/>
            <w:hideMark/>
          </w:tcPr>
          <w:p w14:paraId="483EFB0F" w14:textId="77777777" w:rsidR="004B7622" w:rsidRPr="00E36C29" w:rsidRDefault="004B7622" w:rsidP="00377989">
            <w:pPr>
              <w:spacing w:after="0" w:line="240" w:lineRule="auto"/>
              <w:jc w:val="right"/>
              <w:rPr>
                <w:rFonts w:ascii="Arial" w:eastAsia="Times New Roman" w:hAnsi="Arial" w:cs="Arial"/>
                <w:b/>
                <w:bCs/>
                <w:sz w:val="18"/>
                <w:szCs w:val="18"/>
                <w:lang w:eastAsia="sl-SI"/>
              </w:rPr>
            </w:pPr>
            <w:r w:rsidRPr="00E36C29">
              <w:rPr>
                <w:rFonts w:ascii="Arial" w:eastAsia="Times New Roman" w:hAnsi="Arial" w:cs="Arial"/>
                <w:b/>
                <w:bCs/>
                <w:sz w:val="18"/>
                <w:szCs w:val="18"/>
                <w:lang w:eastAsia="sl-SI"/>
              </w:rPr>
              <w:t>9,0</w:t>
            </w:r>
          </w:p>
        </w:tc>
        <w:tc>
          <w:tcPr>
            <w:tcW w:w="1221" w:type="dxa"/>
            <w:tcBorders>
              <w:top w:val="nil"/>
              <w:left w:val="nil"/>
              <w:bottom w:val="single" w:sz="4" w:space="0" w:color="auto"/>
              <w:right w:val="single" w:sz="4" w:space="0" w:color="auto"/>
            </w:tcBorders>
            <w:shd w:val="clear" w:color="auto" w:fill="auto"/>
            <w:vAlign w:val="center"/>
            <w:hideMark/>
          </w:tcPr>
          <w:p w14:paraId="333239AE" w14:textId="77777777" w:rsidR="004B7622" w:rsidRPr="00E36C29" w:rsidRDefault="004B7622" w:rsidP="00377989">
            <w:pPr>
              <w:spacing w:after="0" w:line="240" w:lineRule="auto"/>
              <w:jc w:val="right"/>
              <w:rPr>
                <w:rFonts w:ascii="Arial" w:eastAsia="Times New Roman" w:hAnsi="Arial" w:cs="Arial"/>
                <w:b/>
                <w:bCs/>
                <w:sz w:val="18"/>
                <w:szCs w:val="18"/>
                <w:lang w:eastAsia="sl-SI"/>
              </w:rPr>
            </w:pPr>
            <w:r w:rsidRPr="00E36C29">
              <w:rPr>
                <w:rFonts w:ascii="Arial" w:eastAsia="Times New Roman" w:hAnsi="Arial" w:cs="Arial"/>
                <w:b/>
                <w:bCs/>
                <w:sz w:val="18"/>
                <w:szCs w:val="18"/>
                <w:lang w:eastAsia="sl-SI"/>
              </w:rPr>
              <w:t>7,6</w:t>
            </w:r>
          </w:p>
        </w:tc>
        <w:tc>
          <w:tcPr>
            <w:tcW w:w="1221" w:type="dxa"/>
            <w:tcBorders>
              <w:top w:val="nil"/>
              <w:left w:val="nil"/>
              <w:bottom w:val="single" w:sz="4" w:space="0" w:color="auto"/>
              <w:right w:val="single" w:sz="4" w:space="0" w:color="auto"/>
            </w:tcBorders>
            <w:shd w:val="clear" w:color="auto" w:fill="auto"/>
            <w:vAlign w:val="center"/>
            <w:hideMark/>
          </w:tcPr>
          <w:p w14:paraId="28DB89C6" w14:textId="77777777" w:rsidR="004B7622" w:rsidRPr="00E36C29" w:rsidRDefault="004B7622" w:rsidP="00377989">
            <w:pPr>
              <w:spacing w:after="0" w:line="240" w:lineRule="auto"/>
              <w:jc w:val="right"/>
              <w:rPr>
                <w:rFonts w:ascii="Arial" w:eastAsia="Times New Roman" w:hAnsi="Arial" w:cs="Arial"/>
                <w:b/>
                <w:bCs/>
                <w:sz w:val="18"/>
                <w:szCs w:val="18"/>
                <w:lang w:eastAsia="sl-SI"/>
              </w:rPr>
            </w:pPr>
            <w:r w:rsidRPr="00E36C29">
              <w:rPr>
                <w:rFonts w:ascii="Arial" w:eastAsia="Times New Roman" w:hAnsi="Arial" w:cs="Arial"/>
                <w:b/>
                <w:bCs/>
                <w:sz w:val="18"/>
                <w:szCs w:val="18"/>
                <w:lang w:eastAsia="sl-SI"/>
              </w:rPr>
              <w:t>3,4</w:t>
            </w:r>
          </w:p>
        </w:tc>
        <w:tc>
          <w:tcPr>
            <w:tcW w:w="1269" w:type="dxa"/>
            <w:tcBorders>
              <w:top w:val="nil"/>
              <w:left w:val="nil"/>
              <w:bottom w:val="single" w:sz="4" w:space="0" w:color="auto"/>
              <w:right w:val="single" w:sz="4" w:space="0" w:color="auto"/>
            </w:tcBorders>
            <w:shd w:val="clear" w:color="auto" w:fill="auto"/>
            <w:vAlign w:val="center"/>
            <w:hideMark/>
          </w:tcPr>
          <w:p w14:paraId="0941484D" w14:textId="77777777" w:rsidR="004B7622" w:rsidRPr="00E36C29" w:rsidRDefault="004B7622" w:rsidP="00377989">
            <w:pPr>
              <w:spacing w:after="0" w:line="240" w:lineRule="auto"/>
              <w:jc w:val="right"/>
              <w:rPr>
                <w:rFonts w:ascii="Arial" w:eastAsia="Times New Roman" w:hAnsi="Arial" w:cs="Arial"/>
                <w:b/>
                <w:bCs/>
                <w:sz w:val="18"/>
                <w:szCs w:val="18"/>
                <w:lang w:eastAsia="sl-SI"/>
              </w:rPr>
            </w:pPr>
            <w:r w:rsidRPr="00E36C29">
              <w:rPr>
                <w:rFonts w:ascii="Arial" w:eastAsia="Times New Roman" w:hAnsi="Arial" w:cs="Arial"/>
                <w:b/>
                <w:bCs/>
                <w:sz w:val="18"/>
                <w:szCs w:val="18"/>
                <w:lang w:eastAsia="sl-SI"/>
              </w:rPr>
              <w:t>100,0</w:t>
            </w:r>
          </w:p>
        </w:tc>
      </w:tr>
      <w:tr w:rsidR="004B7622" w:rsidRPr="00E36C29" w14:paraId="5D8A013F" w14:textId="77777777" w:rsidTr="00377989">
        <w:trPr>
          <w:trHeight w:val="391"/>
        </w:trPr>
        <w:tc>
          <w:tcPr>
            <w:tcW w:w="1333" w:type="dxa"/>
            <w:tcBorders>
              <w:top w:val="nil"/>
              <w:left w:val="single" w:sz="4" w:space="0" w:color="auto"/>
              <w:bottom w:val="single" w:sz="4" w:space="0" w:color="auto"/>
              <w:right w:val="double" w:sz="6" w:space="0" w:color="auto"/>
            </w:tcBorders>
            <w:shd w:val="clear" w:color="000000" w:fill="B8CCE4"/>
            <w:vAlign w:val="center"/>
            <w:hideMark/>
          </w:tcPr>
          <w:p w14:paraId="39330C29" w14:textId="77777777" w:rsidR="004B7622" w:rsidRPr="00E36C29" w:rsidRDefault="004B7622" w:rsidP="00377989">
            <w:pPr>
              <w:spacing w:after="0" w:line="240" w:lineRule="auto"/>
              <w:rPr>
                <w:rFonts w:ascii="Arial" w:eastAsia="Times New Roman" w:hAnsi="Arial" w:cs="Arial"/>
                <w:b/>
                <w:bCs/>
                <w:sz w:val="18"/>
                <w:szCs w:val="18"/>
                <w:lang w:eastAsia="sl-SI"/>
              </w:rPr>
            </w:pPr>
            <w:r w:rsidRPr="00E36C29">
              <w:rPr>
                <w:rFonts w:ascii="Arial" w:eastAsia="Times New Roman" w:hAnsi="Arial" w:cs="Arial"/>
                <w:b/>
                <w:bCs/>
                <w:sz w:val="18"/>
                <w:szCs w:val="18"/>
                <w:lang w:eastAsia="sl-SI"/>
              </w:rPr>
              <w:t>SKUPAJ DAVČNI DOLG</w:t>
            </w:r>
          </w:p>
        </w:tc>
        <w:tc>
          <w:tcPr>
            <w:tcW w:w="1092" w:type="dxa"/>
            <w:tcBorders>
              <w:top w:val="nil"/>
              <w:left w:val="nil"/>
              <w:bottom w:val="single" w:sz="4" w:space="0" w:color="auto"/>
              <w:right w:val="single" w:sz="4" w:space="0" w:color="auto"/>
            </w:tcBorders>
            <w:shd w:val="clear" w:color="000000" w:fill="B8CCE4"/>
            <w:vAlign w:val="center"/>
            <w:hideMark/>
          </w:tcPr>
          <w:p w14:paraId="766642C1" w14:textId="77777777" w:rsidR="004B7622" w:rsidRPr="00E36C29" w:rsidRDefault="004B7622" w:rsidP="00377989">
            <w:pPr>
              <w:spacing w:after="0" w:line="240" w:lineRule="auto"/>
              <w:jc w:val="right"/>
              <w:rPr>
                <w:rFonts w:ascii="Arial" w:eastAsia="Times New Roman" w:hAnsi="Arial" w:cs="Arial"/>
                <w:b/>
                <w:bCs/>
                <w:sz w:val="18"/>
                <w:szCs w:val="18"/>
                <w:lang w:eastAsia="sl-SI"/>
              </w:rPr>
            </w:pPr>
            <w:r w:rsidRPr="00E36C29">
              <w:rPr>
                <w:rFonts w:ascii="Arial" w:eastAsia="Times New Roman" w:hAnsi="Arial" w:cs="Arial"/>
                <w:b/>
                <w:bCs/>
                <w:sz w:val="18"/>
                <w:szCs w:val="18"/>
                <w:lang w:eastAsia="sl-SI"/>
              </w:rPr>
              <w:t>45,8</w:t>
            </w:r>
          </w:p>
        </w:tc>
        <w:tc>
          <w:tcPr>
            <w:tcW w:w="1092" w:type="dxa"/>
            <w:tcBorders>
              <w:top w:val="nil"/>
              <w:left w:val="nil"/>
              <w:bottom w:val="single" w:sz="4" w:space="0" w:color="auto"/>
              <w:right w:val="single" w:sz="4" w:space="0" w:color="auto"/>
            </w:tcBorders>
            <w:shd w:val="clear" w:color="000000" w:fill="B8CCE4"/>
            <w:vAlign w:val="center"/>
            <w:hideMark/>
          </w:tcPr>
          <w:p w14:paraId="4C1BD95A" w14:textId="77777777" w:rsidR="004B7622" w:rsidRPr="00E36C29" w:rsidRDefault="004B7622" w:rsidP="00377989">
            <w:pPr>
              <w:spacing w:after="0" w:line="240" w:lineRule="auto"/>
              <w:jc w:val="right"/>
              <w:rPr>
                <w:rFonts w:ascii="Arial" w:eastAsia="Times New Roman" w:hAnsi="Arial" w:cs="Arial"/>
                <w:b/>
                <w:bCs/>
                <w:sz w:val="18"/>
                <w:szCs w:val="18"/>
                <w:lang w:eastAsia="sl-SI"/>
              </w:rPr>
            </w:pPr>
            <w:r w:rsidRPr="00E36C29">
              <w:rPr>
                <w:rFonts w:ascii="Arial" w:eastAsia="Times New Roman" w:hAnsi="Arial" w:cs="Arial"/>
                <w:b/>
                <w:bCs/>
                <w:sz w:val="18"/>
                <w:szCs w:val="18"/>
                <w:lang w:eastAsia="sl-SI"/>
              </w:rPr>
              <w:t>7,7</w:t>
            </w:r>
          </w:p>
        </w:tc>
        <w:tc>
          <w:tcPr>
            <w:tcW w:w="1236" w:type="dxa"/>
            <w:tcBorders>
              <w:top w:val="nil"/>
              <w:left w:val="nil"/>
              <w:bottom w:val="single" w:sz="4" w:space="0" w:color="auto"/>
              <w:right w:val="single" w:sz="4" w:space="0" w:color="auto"/>
            </w:tcBorders>
            <w:shd w:val="clear" w:color="000000" w:fill="B8CCE4"/>
            <w:vAlign w:val="center"/>
            <w:hideMark/>
          </w:tcPr>
          <w:p w14:paraId="636E399E" w14:textId="77777777" w:rsidR="004B7622" w:rsidRPr="00E36C29" w:rsidRDefault="004B7622" w:rsidP="00377989">
            <w:pPr>
              <w:spacing w:after="0" w:line="240" w:lineRule="auto"/>
              <w:jc w:val="right"/>
              <w:rPr>
                <w:rFonts w:ascii="Arial" w:eastAsia="Times New Roman" w:hAnsi="Arial" w:cs="Arial"/>
                <w:b/>
                <w:bCs/>
                <w:sz w:val="18"/>
                <w:szCs w:val="18"/>
                <w:lang w:eastAsia="sl-SI"/>
              </w:rPr>
            </w:pPr>
            <w:r w:rsidRPr="00E36C29">
              <w:rPr>
                <w:rFonts w:ascii="Arial" w:eastAsia="Times New Roman" w:hAnsi="Arial" w:cs="Arial"/>
                <w:b/>
                <w:bCs/>
                <w:sz w:val="18"/>
                <w:szCs w:val="18"/>
                <w:lang w:eastAsia="sl-SI"/>
              </w:rPr>
              <w:t>6,5</w:t>
            </w:r>
          </w:p>
        </w:tc>
        <w:tc>
          <w:tcPr>
            <w:tcW w:w="1204" w:type="dxa"/>
            <w:tcBorders>
              <w:top w:val="nil"/>
              <w:left w:val="nil"/>
              <w:bottom w:val="single" w:sz="4" w:space="0" w:color="auto"/>
              <w:right w:val="single" w:sz="4" w:space="0" w:color="auto"/>
            </w:tcBorders>
            <w:shd w:val="clear" w:color="000000" w:fill="B8CCE4"/>
            <w:vAlign w:val="center"/>
            <w:hideMark/>
          </w:tcPr>
          <w:p w14:paraId="16A56022" w14:textId="77777777" w:rsidR="004B7622" w:rsidRPr="00E36C29" w:rsidRDefault="004B7622" w:rsidP="00377989">
            <w:pPr>
              <w:spacing w:after="0" w:line="240" w:lineRule="auto"/>
              <w:jc w:val="right"/>
              <w:rPr>
                <w:rFonts w:ascii="Arial" w:eastAsia="Times New Roman" w:hAnsi="Arial" w:cs="Arial"/>
                <w:b/>
                <w:bCs/>
                <w:sz w:val="18"/>
                <w:szCs w:val="18"/>
                <w:lang w:eastAsia="sl-SI"/>
              </w:rPr>
            </w:pPr>
            <w:r w:rsidRPr="00E36C29">
              <w:rPr>
                <w:rFonts w:ascii="Arial" w:eastAsia="Times New Roman" w:hAnsi="Arial" w:cs="Arial"/>
                <w:b/>
                <w:bCs/>
                <w:sz w:val="18"/>
                <w:szCs w:val="18"/>
                <w:lang w:eastAsia="sl-SI"/>
              </w:rPr>
              <w:t>9,0</w:t>
            </w:r>
          </w:p>
        </w:tc>
        <w:tc>
          <w:tcPr>
            <w:tcW w:w="1221" w:type="dxa"/>
            <w:tcBorders>
              <w:top w:val="nil"/>
              <w:left w:val="nil"/>
              <w:bottom w:val="single" w:sz="4" w:space="0" w:color="auto"/>
              <w:right w:val="single" w:sz="4" w:space="0" w:color="auto"/>
            </w:tcBorders>
            <w:shd w:val="clear" w:color="000000" w:fill="B8CCE4"/>
            <w:vAlign w:val="center"/>
            <w:hideMark/>
          </w:tcPr>
          <w:p w14:paraId="6165A3E2" w14:textId="77777777" w:rsidR="004B7622" w:rsidRPr="00E36C29" w:rsidRDefault="004B7622" w:rsidP="00377989">
            <w:pPr>
              <w:spacing w:after="0" w:line="240" w:lineRule="auto"/>
              <w:jc w:val="right"/>
              <w:rPr>
                <w:rFonts w:ascii="Arial" w:eastAsia="Times New Roman" w:hAnsi="Arial" w:cs="Arial"/>
                <w:b/>
                <w:bCs/>
                <w:sz w:val="18"/>
                <w:szCs w:val="18"/>
                <w:lang w:eastAsia="sl-SI"/>
              </w:rPr>
            </w:pPr>
            <w:r w:rsidRPr="00E36C29">
              <w:rPr>
                <w:rFonts w:ascii="Arial" w:eastAsia="Times New Roman" w:hAnsi="Arial" w:cs="Arial"/>
                <w:b/>
                <w:bCs/>
                <w:sz w:val="18"/>
                <w:szCs w:val="18"/>
                <w:lang w:eastAsia="sl-SI"/>
              </w:rPr>
              <w:t>10,5</w:t>
            </w:r>
          </w:p>
        </w:tc>
        <w:tc>
          <w:tcPr>
            <w:tcW w:w="1221" w:type="dxa"/>
            <w:tcBorders>
              <w:top w:val="nil"/>
              <w:left w:val="nil"/>
              <w:bottom w:val="single" w:sz="4" w:space="0" w:color="auto"/>
              <w:right w:val="single" w:sz="4" w:space="0" w:color="auto"/>
            </w:tcBorders>
            <w:shd w:val="clear" w:color="000000" w:fill="B8CCE4"/>
            <w:vAlign w:val="center"/>
            <w:hideMark/>
          </w:tcPr>
          <w:p w14:paraId="134D0366" w14:textId="77777777" w:rsidR="004B7622" w:rsidRPr="00E36C29" w:rsidRDefault="004B7622" w:rsidP="00377989">
            <w:pPr>
              <w:spacing w:after="0" w:line="240" w:lineRule="auto"/>
              <w:jc w:val="right"/>
              <w:rPr>
                <w:rFonts w:ascii="Arial" w:eastAsia="Times New Roman" w:hAnsi="Arial" w:cs="Arial"/>
                <w:b/>
                <w:bCs/>
                <w:sz w:val="18"/>
                <w:szCs w:val="18"/>
                <w:lang w:eastAsia="sl-SI"/>
              </w:rPr>
            </w:pPr>
            <w:r w:rsidRPr="00E36C29">
              <w:rPr>
                <w:rFonts w:ascii="Arial" w:eastAsia="Times New Roman" w:hAnsi="Arial" w:cs="Arial"/>
                <w:b/>
                <w:bCs/>
                <w:sz w:val="18"/>
                <w:szCs w:val="18"/>
                <w:lang w:eastAsia="sl-SI"/>
              </w:rPr>
              <w:t>20,5</w:t>
            </w:r>
          </w:p>
        </w:tc>
        <w:tc>
          <w:tcPr>
            <w:tcW w:w="1269" w:type="dxa"/>
            <w:tcBorders>
              <w:top w:val="nil"/>
              <w:left w:val="nil"/>
              <w:bottom w:val="single" w:sz="4" w:space="0" w:color="auto"/>
              <w:right w:val="single" w:sz="4" w:space="0" w:color="auto"/>
            </w:tcBorders>
            <w:shd w:val="clear" w:color="000000" w:fill="B8CCE4"/>
            <w:vAlign w:val="center"/>
            <w:hideMark/>
          </w:tcPr>
          <w:p w14:paraId="0C8821EC" w14:textId="77777777" w:rsidR="004B7622" w:rsidRPr="00E36C29" w:rsidRDefault="004B7622" w:rsidP="00377989">
            <w:pPr>
              <w:spacing w:after="0" w:line="240" w:lineRule="auto"/>
              <w:jc w:val="right"/>
              <w:rPr>
                <w:rFonts w:ascii="Arial" w:eastAsia="Times New Roman" w:hAnsi="Arial" w:cs="Arial"/>
                <w:b/>
                <w:bCs/>
                <w:sz w:val="18"/>
                <w:szCs w:val="18"/>
                <w:lang w:eastAsia="sl-SI"/>
              </w:rPr>
            </w:pPr>
            <w:r w:rsidRPr="00E36C29">
              <w:rPr>
                <w:rFonts w:ascii="Arial" w:eastAsia="Times New Roman" w:hAnsi="Arial" w:cs="Arial"/>
                <w:b/>
                <w:bCs/>
                <w:sz w:val="18"/>
                <w:szCs w:val="18"/>
                <w:lang w:eastAsia="sl-SI"/>
              </w:rPr>
              <w:t>100,0</w:t>
            </w:r>
          </w:p>
        </w:tc>
      </w:tr>
    </w:tbl>
    <w:p w14:paraId="125EB5AA" w14:textId="77777777" w:rsidR="004B7622" w:rsidRPr="00815C36" w:rsidRDefault="004B7622" w:rsidP="004B7622">
      <w:pPr>
        <w:rPr>
          <w:rFonts w:ascii="Arial" w:hAnsi="Arial" w:cs="Arial"/>
          <w:i/>
          <w:sz w:val="20"/>
          <w:szCs w:val="20"/>
        </w:rPr>
      </w:pPr>
      <w:r w:rsidRPr="00815C36">
        <w:rPr>
          <w:rFonts w:ascii="Arial" w:hAnsi="Arial" w:cs="Arial"/>
          <w:i/>
          <w:sz w:val="20"/>
          <w:szCs w:val="20"/>
        </w:rPr>
        <w:t>Vir: FURS</w:t>
      </w:r>
    </w:p>
    <w:p w14:paraId="566C0430" w14:textId="77777777" w:rsidR="004B7622" w:rsidRPr="00616BD2" w:rsidRDefault="004B7622" w:rsidP="004B7622">
      <w:pPr>
        <w:pStyle w:val="Naslov3"/>
        <w:spacing w:after="0"/>
        <w:jc w:val="both"/>
        <w:rPr>
          <w:rFonts w:ascii="Arial" w:hAnsi="Arial" w:cs="Arial"/>
          <w:sz w:val="20"/>
          <w:szCs w:val="20"/>
        </w:rPr>
      </w:pPr>
      <w:r w:rsidRPr="00815C36">
        <w:rPr>
          <w:rFonts w:ascii="Arial" w:hAnsi="Arial" w:cs="Arial"/>
          <w:sz w:val="20"/>
          <w:szCs w:val="20"/>
        </w:rPr>
        <w:t>4.7 Odpis davčnih obveznosti</w:t>
      </w:r>
    </w:p>
    <w:p w14:paraId="02FB85AF" w14:textId="77777777" w:rsidR="005B3CE4" w:rsidRDefault="005B3CE4" w:rsidP="004B7622">
      <w:pPr>
        <w:jc w:val="both"/>
        <w:rPr>
          <w:rFonts w:ascii="Arial" w:hAnsi="Arial" w:cs="Arial"/>
          <w:sz w:val="20"/>
          <w:szCs w:val="20"/>
        </w:rPr>
      </w:pPr>
    </w:p>
    <w:p w14:paraId="00D017F4" w14:textId="15AF5924" w:rsidR="004B7622" w:rsidRPr="00D32CBE" w:rsidRDefault="004B7622" w:rsidP="004B7622">
      <w:pPr>
        <w:jc w:val="both"/>
        <w:rPr>
          <w:rFonts w:ascii="Arial" w:hAnsi="Arial" w:cs="Arial"/>
          <w:sz w:val="20"/>
          <w:szCs w:val="20"/>
        </w:rPr>
      </w:pPr>
      <w:r w:rsidRPr="00081276">
        <w:rPr>
          <w:rFonts w:ascii="Arial" w:hAnsi="Arial" w:cs="Arial"/>
          <w:sz w:val="20"/>
          <w:szCs w:val="20"/>
        </w:rPr>
        <w:t>Davčni organ v skladu z določbami 101., 105., 106. in 107. člen</w:t>
      </w:r>
      <w:r>
        <w:rPr>
          <w:rFonts w:ascii="Arial" w:hAnsi="Arial" w:cs="Arial"/>
          <w:sz w:val="20"/>
          <w:szCs w:val="20"/>
        </w:rPr>
        <w:t>a</w:t>
      </w:r>
      <w:r w:rsidRPr="00081276">
        <w:rPr>
          <w:rFonts w:ascii="Arial" w:hAnsi="Arial" w:cs="Arial"/>
          <w:sz w:val="20"/>
          <w:szCs w:val="20"/>
        </w:rPr>
        <w:t xml:space="preserve"> ZDavP-2 odpiše davek oziroma del davka</w:t>
      </w:r>
      <w:r w:rsidRPr="00D32CBE">
        <w:rPr>
          <w:rFonts w:ascii="Arial" w:hAnsi="Arial" w:cs="Arial"/>
          <w:sz w:val="20"/>
          <w:szCs w:val="20"/>
        </w:rPr>
        <w:t xml:space="preserve"> zaradi naslednjih razlogov: </w:t>
      </w:r>
    </w:p>
    <w:p w14:paraId="4A338E2F" w14:textId="77777777" w:rsidR="004B7622" w:rsidRPr="00E374C3" w:rsidRDefault="004B7622" w:rsidP="004B7622">
      <w:pPr>
        <w:pStyle w:val="Brezrazmikov"/>
        <w:numPr>
          <w:ilvl w:val="0"/>
          <w:numId w:val="11"/>
        </w:numPr>
        <w:jc w:val="both"/>
        <w:rPr>
          <w:rFonts w:ascii="Arial" w:hAnsi="Arial" w:cs="Arial"/>
          <w:sz w:val="20"/>
          <w:szCs w:val="20"/>
        </w:rPr>
      </w:pPr>
      <w:r w:rsidRPr="00E374C3">
        <w:rPr>
          <w:rFonts w:ascii="Arial" w:hAnsi="Arial" w:cs="Arial"/>
          <w:sz w:val="20"/>
          <w:szCs w:val="20"/>
        </w:rPr>
        <w:t xml:space="preserve">odpisi davka pri stečajih in prisilnih poravnavah – zaključek stečaja, prisilne poravnave, poenostavljene prisilne poravnave in stečaja zapuščine (prvi stolpec v preglednici 10),  </w:t>
      </w:r>
    </w:p>
    <w:p w14:paraId="36E270CD" w14:textId="77777777" w:rsidR="004B7622" w:rsidRPr="00E374C3" w:rsidRDefault="004B7622" w:rsidP="004B7622">
      <w:pPr>
        <w:pStyle w:val="Brezrazmikov"/>
        <w:numPr>
          <w:ilvl w:val="0"/>
          <w:numId w:val="11"/>
        </w:numPr>
        <w:jc w:val="both"/>
        <w:rPr>
          <w:rFonts w:ascii="Arial" w:hAnsi="Arial" w:cs="Arial"/>
          <w:sz w:val="20"/>
          <w:szCs w:val="20"/>
        </w:rPr>
      </w:pPr>
      <w:r w:rsidRPr="00E374C3">
        <w:rPr>
          <w:rFonts w:ascii="Arial" w:hAnsi="Arial" w:cs="Arial"/>
          <w:sz w:val="20"/>
          <w:szCs w:val="20"/>
        </w:rPr>
        <w:t xml:space="preserve">če je pravica do izterjave  zastarala, razen v primerih, ko je davčni dolg zavarovan s hipoteko in je pred potekom roka za zastaranje vložen predlog za izvršbo na nepremičnine (drugi stolpec v preglednici 10),  </w:t>
      </w:r>
    </w:p>
    <w:p w14:paraId="280E319B" w14:textId="77777777" w:rsidR="004B7622" w:rsidRPr="00E374C3" w:rsidRDefault="004B7622" w:rsidP="004B7622">
      <w:pPr>
        <w:pStyle w:val="Brezrazmikov"/>
        <w:numPr>
          <w:ilvl w:val="0"/>
          <w:numId w:val="11"/>
        </w:numPr>
        <w:jc w:val="both"/>
        <w:rPr>
          <w:rFonts w:ascii="Arial" w:hAnsi="Arial" w:cs="Arial"/>
          <w:sz w:val="20"/>
          <w:szCs w:val="20"/>
        </w:rPr>
      </w:pPr>
      <w:r w:rsidRPr="00E374C3">
        <w:rPr>
          <w:rFonts w:ascii="Arial" w:hAnsi="Arial" w:cs="Arial"/>
          <w:sz w:val="20"/>
          <w:szCs w:val="20"/>
        </w:rPr>
        <w:t xml:space="preserve">odpisi zaradi ogrožanja preživljanja davčnega zavezanca in njegovih družinskih članov (tretji stolpec v preglednici 10), </w:t>
      </w:r>
    </w:p>
    <w:p w14:paraId="4391C593" w14:textId="77777777" w:rsidR="004B7622" w:rsidRPr="00E374C3" w:rsidRDefault="004B7622" w:rsidP="004B7622">
      <w:pPr>
        <w:pStyle w:val="Brezrazmikov"/>
        <w:numPr>
          <w:ilvl w:val="0"/>
          <w:numId w:val="11"/>
        </w:numPr>
        <w:jc w:val="both"/>
        <w:rPr>
          <w:rFonts w:ascii="Arial" w:hAnsi="Arial" w:cs="Arial"/>
          <w:sz w:val="20"/>
          <w:szCs w:val="20"/>
        </w:rPr>
      </w:pPr>
      <w:r w:rsidRPr="00E374C3">
        <w:rPr>
          <w:rFonts w:ascii="Arial" w:hAnsi="Arial" w:cs="Arial"/>
          <w:sz w:val="20"/>
          <w:szCs w:val="20"/>
        </w:rPr>
        <w:t xml:space="preserve">odpisi po višini neplačanega davka do 1 evro (tretji stolpec v preglednici 10),  </w:t>
      </w:r>
    </w:p>
    <w:p w14:paraId="4A557011" w14:textId="77777777" w:rsidR="004B7622" w:rsidRPr="00E374C3" w:rsidRDefault="004B7622" w:rsidP="004B7622">
      <w:pPr>
        <w:pStyle w:val="Brezrazmikov"/>
        <w:numPr>
          <w:ilvl w:val="0"/>
          <w:numId w:val="11"/>
        </w:numPr>
        <w:jc w:val="both"/>
        <w:rPr>
          <w:rFonts w:ascii="Arial" w:hAnsi="Arial" w:cs="Arial"/>
          <w:sz w:val="20"/>
          <w:szCs w:val="20"/>
        </w:rPr>
      </w:pPr>
      <w:r w:rsidRPr="00E374C3">
        <w:rPr>
          <w:rFonts w:ascii="Arial" w:hAnsi="Arial" w:cs="Arial"/>
          <w:sz w:val="20"/>
          <w:szCs w:val="20"/>
        </w:rPr>
        <w:t xml:space="preserve">odpisi, če je davčni zavezanec umrl in ni zapustil premoženja, če ga ni mogoče izterjati od pravne osebe, zavezanca za davek, niti iz morebitnega predloženega instrumenta zavarovanja niti od njenega pravnega naslednika (tretji stolpec v preglednici 10),  </w:t>
      </w:r>
    </w:p>
    <w:p w14:paraId="4AB929F2" w14:textId="77777777" w:rsidR="004B7622" w:rsidRPr="00E374C3" w:rsidRDefault="004B7622" w:rsidP="004B7622">
      <w:pPr>
        <w:pStyle w:val="Brezrazmikov"/>
        <w:numPr>
          <w:ilvl w:val="0"/>
          <w:numId w:val="11"/>
        </w:numPr>
        <w:jc w:val="both"/>
        <w:rPr>
          <w:rFonts w:ascii="Arial" w:hAnsi="Arial" w:cs="Arial"/>
          <w:sz w:val="20"/>
          <w:szCs w:val="20"/>
        </w:rPr>
      </w:pPr>
      <w:r w:rsidRPr="00E374C3">
        <w:rPr>
          <w:rFonts w:ascii="Arial" w:hAnsi="Arial" w:cs="Arial"/>
          <w:sz w:val="20"/>
          <w:szCs w:val="20"/>
        </w:rPr>
        <w:t>in v drugih primerih, določenih z  zakonom (tretji stolpec v preglednici 10).</w:t>
      </w:r>
    </w:p>
    <w:p w14:paraId="3C8B06BA" w14:textId="77777777" w:rsidR="004B7622" w:rsidRPr="00E374C3" w:rsidRDefault="004B7622" w:rsidP="004B7622">
      <w:pPr>
        <w:jc w:val="both"/>
        <w:rPr>
          <w:rFonts w:ascii="Arial" w:hAnsi="Arial" w:cs="Arial"/>
          <w:sz w:val="20"/>
          <w:szCs w:val="20"/>
        </w:rPr>
      </w:pPr>
    </w:p>
    <w:p w14:paraId="3C8DD0EE" w14:textId="77777777" w:rsidR="004B7622" w:rsidRPr="00770F58" w:rsidRDefault="004B7622" w:rsidP="004B7622">
      <w:pPr>
        <w:jc w:val="both"/>
        <w:rPr>
          <w:rFonts w:ascii="Arial" w:hAnsi="Arial" w:cs="Arial"/>
          <w:sz w:val="20"/>
          <w:szCs w:val="20"/>
        </w:rPr>
      </w:pPr>
      <w:r w:rsidRPr="00770F58">
        <w:rPr>
          <w:rFonts w:ascii="Arial" w:hAnsi="Arial" w:cs="Arial"/>
          <w:sz w:val="20"/>
          <w:szCs w:val="20"/>
        </w:rPr>
        <w:t>Z odpisom davčna obveznost preneha. Davčni organ odpisani davek izbriše iz evidenc, ki izkazujejo terjatve do posameznega zavezanca za davek.</w:t>
      </w:r>
    </w:p>
    <w:p w14:paraId="27951F9E" w14:textId="77777777" w:rsidR="004B7622" w:rsidRDefault="004B7622" w:rsidP="004B7622">
      <w:pPr>
        <w:jc w:val="both"/>
        <w:rPr>
          <w:rFonts w:ascii="Arial" w:hAnsi="Arial" w:cs="Arial"/>
          <w:color w:val="000000"/>
          <w:sz w:val="20"/>
          <w:szCs w:val="20"/>
          <w:lang w:eastAsia="sl-SI"/>
        </w:rPr>
      </w:pPr>
      <w:bookmarkStart w:id="2" w:name="_Hlk99718294"/>
      <w:r w:rsidRPr="000D0089">
        <w:rPr>
          <w:rFonts w:ascii="Arial" w:hAnsi="Arial" w:cs="Arial"/>
          <w:sz w:val="20"/>
          <w:szCs w:val="20"/>
        </w:rPr>
        <w:t xml:space="preserve">V letu 2021 je bilo odpisanih za 180.634.418 EUR davčnih obveznosti. Največ obveznosti, in sicer v višini 119.650.637 EUR oziroma 66,2 odstotka je bilo odpisanih iz razloga zaključenih </w:t>
      </w:r>
      <w:proofErr w:type="spellStart"/>
      <w:r w:rsidRPr="000D0089">
        <w:rPr>
          <w:rFonts w:ascii="Arial" w:hAnsi="Arial" w:cs="Arial"/>
          <w:sz w:val="20"/>
          <w:szCs w:val="20"/>
        </w:rPr>
        <w:t>insolvenčnih</w:t>
      </w:r>
      <w:proofErr w:type="spellEnd"/>
      <w:r w:rsidRPr="000D0089">
        <w:rPr>
          <w:rFonts w:ascii="Arial" w:hAnsi="Arial" w:cs="Arial"/>
          <w:sz w:val="20"/>
          <w:szCs w:val="20"/>
        </w:rPr>
        <w:t xml:space="preserve"> postopkov</w:t>
      </w:r>
      <w:r w:rsidRPr="00860FFB">
        <w:rPr>
          <w:rFonts w:ascii="Arial" w:hAnsi="Arial" w:cs="Arial"/>
          <w:sz w:val="20"/>
          <w:szCs w:val="20"/>
        </w:rPr>
        <w:t xml:space="preserve">. Od tega je bilo le pri desetih zavezancih, pri katerih je bil pravomočno končan postopek stečaja, skupno odpisan dolg v višini </w:t>
      </w:r>
      <w:r w:rsidRPr="00860FFB">
        <w:rPr>
          <w:rFonts w:ascii="Arial" w:hAnsi="Arial" w:cs="Arial"/>
          <w:color w:val="000000"/>
          <w:sz w:val="20"/>
          <w:szCs w:val="20"/>
          <w:lang w:eastAsia="sl-SI"/>
        </w:rPr>
        <w:t>18.426.065 EUR</w:t>
      </w:r>
      <w:r w:rsidRPr="00860FFB">
        <w:rPr>
          <w:rFonts w:ascii="Arial" w:hAnsi="Arial" w:cs="Arial"/>
          <w:sz w:val="20"/>
          <w:szCs w:val="20"/>
          <w:lang w:eastAsia="sl-SI"/>
        </w:rPr>
        <w:t xml:space="preserve"> oziroma 15,5 odstotka</w:t>
      </w:r>
      <w:r w:rsidRPr="00860FFB">
        <w:rPr>
          <w:rFonts w:ascii="Arial" w:hAnsi="Arial" w:cs="Arial"/>
          <w:color w:val="000000"/>
          <w:sz w:val="20"/>
          <w:szCs w:val="20"/>
          <w:lang w:eastAsia="sl-SI"/>
        </w:rPr>
        <w:t xml:space="preserve">. </w:t>
      </w:r>
      <w:r w:rsidRPr="00860FFB">
        <w:rPr>
          <w:rFonts w:ascii="Arial" w:hAnsi="Arial" w:cs="Arial"/>
          <w:sz w:val="20"/>
          <w:szCs w:val="20"/>
          <w:lang w:eastAsia="sl-SI"/>
        </w:rPr>
        <w:t xml:space="preserve">Največji odpis je bil zaradi zaključka stečaja izveden v višini </w:t>
      </w:r>
      <w:r w:rsidRPr="00860FFB">
        <w:rPr>
          <w:rFonts w:ascii="Arial" w:hAnsi="Arial" w:cs="Arial"/>
          <w:color w:val="000000"/>
          <w:sz w:val="20"/>
          <w:szCs w:val="20"/>
          <w:lang w:eastAsia="sl-SI"/>
        </w:rPr>
        <w:t>2.923.449 EUR.</w:t>
      </w:r>
    </w:p>
    <w:p w14:paraId="1EEAAC1E" w14:textId="77777777" w:rsidR="004B7622" w:rsidRDefault="004B7622" w:rsidP="004B7622">
      <w:pPr>
        <w:jc w:val="both"/>
        <w:rPr>
          <w:rFonts w:ascii="Arial" w:hAnsi="Arial" w:cs="Arial"/>
          <w:sz w:val="20"/>
          <w:szCs w:val="20"/>
        </w:rPr>
      </w:pPr>
    </w:p>
    <w:p w14:paraId="2BD9CBD3" w14:textId="77777777" w:rsidR="004B7622" w:rsidRDefault="004B7622" w:rsidP="004B7622">
      <w:pPr>
        <w:jc w:val="both"/>
        <w:rPr>
          <w:rFonts w:ascii="Arial" w:hAnsi="Arial" w:cs="Arial"/>
          <w:sz w:val="20"/>
          <w:szCs w:val="20"/>
        </w:rPr>
      </w:pPr>
    </w:p>
    <w:bookmarkEnd w:id="2"/>
    <w:p w14:paraId="5D6D17B8" w14:textId="77777777" w:rsidR="004B7622" w:rsidRDefault="004B7622" w:rsidP="004B7622">
      <w:pPr>
        <w:jc w:val="both"/>
        <w:rPr>
          <w:rFonts w:ascii="Arial" w:hAnsi="Arial" w:cs="Arial"/>
          <w:sz w:val="20"/>
          <w:szCs w:val="20"/>
        </w:rPr>
      </w:pPr>
    </w:p>
    <w:p w14:paraId="3D33E548" w14:textId="77777777" w:rsidR="004B7622" w:rsidRDefault="004B7622" w:rsidP="004B7622">
      <w:pPr>
        <w:jc w:val="both"/>
        <w:rPr>
          <w:rFonts w:ascii="Arial" w:hAnsi="Arial" w:cs="Arial"/>
          <w:sz w:val="20"/>
          <w:szCs w:val="20"/>
        </w:rPr>
      </w:pPr>
    </w:p>
    <w:p w14:paraId="0AEFC32A" w14:textId="77777777" w:rsidR="004B7622" w:rsidRDefault="004B7622" w:rsidP="004B7622">
      <w:pPr>
        <w:jc w:val="both"/>
        <w:rPr>
          <w:rFonts w:ascii="Arial" w:hAnsi="Arial" w:cs="Arial"/>
          <w:color w:val="2F5496" w:themeColor="accent1" w:themeShade="BF"/>
          <w:sz w:val="20"/>
          <w:szCs w:val="20"/>
        </w:rPr>
      </w:pPr>
    </w:p>
    <w:p w14:paraId="2B1EEB17" w14:textId="77777777" w:rsidR="004B7622" w:rsidRDefault="004B7622" w:rsidP="004B7622">
      <w:pPr>
        <w:jc w:val="both"/>
        <w:rPr>
          <w:rFonts w:ascii="Arial" w:hAnsi="Arial" w:cs="Arial"/>
          <w:sz w:val="20"/>
          <w:szCs w:val="20"/>
        </w:rPr>
      </w:pPr>
    </w:p>
    <w:p w14:paraId="5C2D9A1C" w14:textId="77777777" w:rsidR="004B7622" w:rsidRPr="00174F3B" w:rsidRDefault="004B7622" w:rsidP="004B7622">
      <w:pPr>
        <w:jc w:val="both"/>
        <w:rPr>
          <w:rFonts w:ascii="Arial" w:hAnsi="Arial" w:cs="Arial"/>
          <w:sz w:val="20"/>
          <w:szCs w:val="20"/>
        </w:rPr>
      </w:pPr>
    </w:p>
    <w:p w14:paraId="5C7E0C52" w14:textId="77777777" w:rsidR="004B7622" w:rsidRDefault="004B7622" w:rsidP="004B7622">
      <w:pPr>
        <w:rPr>
          <w:rFonts w:ascii="Arial" w:hAnsi="Arial" w:cs="Arial"/>
          <w:i/>
          <w:sz w:val="20"/>
          <w:szCs w:val="20"/>
        </w:rPr>
      </w:pPr>
      <w:r w:rsidRPr="00843477">
        <w:rPr>
          <w:rFonts w:ascii="Arial" w:hAnsi="Arial" w:cs="Arial"/>
          <w:i/>
          <w:sz w:val="20"/>
          <w:szCs w:val="20"/>
        </w:rPr>
        <w:t xml:space="preserve">Preglednica </w:t>
      </w:r>
      <w:r>
        <w:rPr>
          <w:rFonts w:ascii="Arial" w:hAnsi="Arial" w:cs="Arial"/>
          <w:i/>
          <w:sz w:val="20"/>
          <w:szCs w:val="20"/>
        </w:rPr>
        <w:t xml:space="preserve">10: </w:t>
      </w:r>
      <w:r w:rsidRPr="00843477">
        <w:rPr>
          <w:rFonts w:ascii="Arial" w:hAnsi="Arial" w:cs="Arial"/>
          <w:i/>
          <w:sz w:val="20"/>
          <w:szCs w:val="20"/>
        </w:rPr>
        <w:t>Odpisi davčnih obveznosti po razlogih v EUR</w:t>
      </w:r>
    </w:p>
    <w:tbl>
      <w:tblPr>
        <w:tblW w:w="8945" w:type="dxa"/>
        <w:tblLayout w:type="fixed"/>
        <w:tblCellMar>
          <w:left w:w="70" w:type="dxa"/>
          <w:right w:w="70" w:type="dxa"/>
        </w:tblCellMar>
        <w:tblLook w:val="04A0" w:firstRow="1" w:lastRow="0" w:firstColumn="1" w:lastColumn="0" w:noHBand="0" w:noVBand="1"/>
      </w:tblPr>
      <w:tblGrid>
        <w:gridCol w:w="1684"/>
        <w:gridCol w:w="1891"/>
        <w:gridCol w:w="1790"/>
        <w:gridCol w:w="1790"/>
        <w:gridCol w:w="1790"/>
      </w:tblGrid>
      <w:tr w:rsidR="004B7622" w:rsidRPr="00A8427A" w14:paraId="4EDAF4F7" w14:textId="77777777" w:rsidTr="00377989">
        <w:trPr>
          <w:trHeight w:val="1047"/>
        </w:trPr>
        <w:tc>
          <w:tcPr>
            <w:tcW w:w="1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B920F" w14:textId="77777777" w:rsidR="004B7622" w:rsidRPr="00A8427A" w:rsidRDefault="004B7622" w:rsidP="00377989">
            <w:pPr>
              <w:spacing w:after="0" w:line="240" w:lineRule="auto"/>
              <w:jc w:val="center"/>
              <w:rPr>
                <w:rFonts w:ascii="Arial" w:eastAsia="Times New Roman" w:hAnsi="Arial" w:cs="Arial"/>
                <w:b/>
                <w:bCs/>
                <w:i/>
                <w:iCs/>
                <w:color w:val="000000"/>
                <w:sz w:val="20"/>
                <w:szCs w:val="20"/>
                <w:lang w:eastAsia="sl-SI"/>
              </w:rPr>
            </w:pPr>
            <w:r w:rsidRPr="00A8427A">
              <w:rPr>
                <w:rFonts w:ascii="Arial" w:eastAsia="Times New Roman" w:hAnsi="Arial" w:cs="Arial"/>
                <w:b/>
                <w:bCs/>
                <w:i/>
                <w:iCs/>
                <w:color w:val="000000"/>
                <w:sz w:val="20"/>
                <w:szCs w:val="20"/>
                <w:lang w:eastAsia="sl-SI"/>
              </w:rPr>
              <w:t>LETO</w:t>
            </w:r>
          </w:p>
        </w:tc>
        <w:tc>
          <w:tcPr>
            <w:tcW w:w="1891" w:type="dxa"/>
            <w:tcBorders>
              <w:top w:val="single" w:sz="4" w:space="0" w:color="auto"/>
              <w:left w:val="nil"/>
              <w:bottom w:val="single" w:sz="4" w:space="0" w:color="auto"/>
              <w:right w:val="single" w:sz="4" w:space="0" w:color="auto"/>
            </w:tcBorders>
            <w:shd w:val="clear" w:color="auto" w:fill="auto"/>
            <w:vAlign w:val="center"/>
            <w:hideMark/>
          </w:tcPr>
          <w:p w14:paraId="530F3558" w14:textId="77777777" w:rsidR="004B7622" w:rsidRPr="00A8427A" w:rsidRDefault="004B7622" w:rsidP="00377989">
            <w:pPr>
              <w:spacing w:after="0" w:line="240" w:lineRule="auto"/>
              <w:jc w:val="center"/>
              <w:rPr>
                <w:rFonts w:ascii="Arial" w:eastAsia="Times New Roman" w:hAnsi="Arial" w:cs="Arial"/>
                <w:b/>
                <w:bCs/>
                <w:i/>
                <w:iCs/>
                <w:color w:val="000000"/>
                <w:sz w:val="20"/>
                <w:szCs w:val="20"/>
                <w:lang w:eastAsia="sl-SI"/>
              </w:rPr>
            </w:pPr>
            <w:r w:rsidRPr="00A8427A">
              <w:rPr>
                <w:rFonts w:ascii="Arial" w:eastAsia="Times New Roman" w:hAnsi="Arial" w:cs="Arial"/>
                <w:b/>
                <w:bCs/>
                <w:i/>
                <w:iCs/>
                <w:color w:val="000000"/>
                <w:sz w:val="20"/>
                <w:szCs w:val="20"/>
                <w:lang w:eastAsia="sl-SI"/>
              </w:rPr>
              <w:t xml:space="preserve">Odpisan znesek insolventnost </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14:paraId="097E6064" w14:textId="77777777" w:rsidR="004B7622" w:rsidRPr="00A8427A" w:rsidRDefault="004B7622" w:rsidP="00377989">
            <w:pPr>
              <w:spacing w:after="0" w:line="240" w:lineRule="auto"/>
              <w:jc w:val="center"/>
              <w:rPr>
                <w:rFonts w:ascii="Arial" w:eastAsia="Times New Roman" w:hAnsi="Arial" w:cs="Arial"/>
                <w:b/>
                <w:bCs/>
                <w:i/>
                <w:iCs/>
                <w:color w:val="000000"/>
                <w:sz w:val="20"/>
                <w:szCs w:val="20"/>
                <w:lang w:eastAsia="sl-SI"/>
              </w:rPr>
            </w:pPr>
            <w:r w:rsidRPr="00A8427A">
              <w:rPr>
                <w:rFonts w:ascii="Arial" w:eastAsia="Times New Roman" w:hAnsi="Arial" w:cs="Arial"/>
                <w:b/>
                <w:bCs/>
                <w:i/>
                <w:iCs/>
                <w:color w:val="000000"/>
                <w:sz w:val="20"/>
                <w:szCs w:val="20"/>
                <w:lang w:eastAsia="sl-SI"/>
              </w:rPr>
              <w:t xml:space="preserve">Odpisan znesek zastaranje </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14:paraId="504493A0" w14:textId="77777777" w:rsidR="004B7622" w:rsidRPr="00A8427A" w:rsidRDefault="004B7622" w:rsidP="00377989">
            <w:pPr>
              <w:spacing w:after="0" w:line="240" w:lineRule="auto"/>
              <w:jc w:val="center"/>
              <w:rPr>
                <w:rFonts w:ascii="Arial" w:eastAsia="Times New Roman" w:hAnsi="Arial" w:cs="Arial"/>
                <w:b/>
                <w:bCs/>
                <w:i/>
                <w:iCs/>
                <w:color w:val="000000"/>
                <w:sz w:val="20"/>
                <w:szCs w:val="20"/>
                <w:lang w:eastAsia="sl-SI"/>
              </w:rPr>
            </w:pPr>
            <w:r w:rsidRPr="00A8427A">
              <w:rPr>
                <w:rFonts w:ascii="Arial" w:eastAsia="Times New Roman" w:hAnsi="Arial" w:cs="Arial"/>
                <w:b/>
                <w:bCs/>
                <w:i/>
                <w:iCs/>
                <w:color w:val="000000"/>
                <w:sz w:val="20"/>
                <w:szCs w:val="20"/>
                <w:lang w:eastAsia="sl-SI"/>
              </w:rPr>
              <w:t xml:space="preserve">Odpisan znesek ostalo </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14:paraId="71E03CE9" w14:textId="77777777" w:rsidR="004B7622" w:rsidRPr="00A8427A" w:rsidRDefault="004B7622" w:rsidP="00377989">
            <w:pPr>
              <w:spacing w:after="0" w:line="240" w:lineRule="auto"/>
              <w:jc w:val="center"/>
              <w:rPr>
                <w:rFonts w:ascii="Arial" w:eastAsia="Times New Roman" w:hAnsi="Arial" w:cs="Arial"/>
                <w:b/>
                <w:bCs/>
                <w:i/>
                <w:iCs/>
                <w:color w:val="000000"/>
                <w:sz w:val="20"/>
                <w:szCs w:val="20"/>
                <w:lang w:eastAsia="sl-SI"/>
              </w:rPr>
            </w:pPr>
            <w:r w:rsidRPr="00A8427A">
              <w:rPr>
                <w:rFonts w:ascii="Arial" w:eastAsia="Times New Roman" w:hAnsi="Arial" w:cs="Arial"/>
                <w:b/>
                <w:bCs/>
                <w:i/>
                <w:iCs/>
                <w:color w:val="000000"/>
                <w:sz w:val="20"/>
                <w:szCs w:val="20"/>
                <w:lang w:eastAsia="sl-SI"/>
              </w:rPr>
              <w:t xml:space="preserve">Odpisan znesek dajatev  </w:t>
            </w:r>
          </w:p>
          <w:p w14:paraId="428DA40A" w14:textId="77777777" w:rsidR="004B7622" w:rsidRPr="00A8427A" w:rsidRDefault="004B7622" w:rsidP="00377989">
            <w:pPr>
              <w:spacing w:after="0" w:line="240" w:lineRule="auto"/>
              <w:jc w:val="center"/>
              <w:rPr>
                <w:rFonts w:ascii="Arial" w:eastAsia="Times New Roman" w:hAnsi="Arial" w:cs="Arial"/>
                <w:b/>
                <w:bCs/>
                <w:i/>
                <w:iCs/>
                <w:color w:val="000000"/>
                <w:sz w:val="20"/>
                <w:szCs w:val="20"/>
                <w:lang w:eastAsia="sl-SI"/>
              </w:rPr>
            </w:pPr>
            <w:r w:rsidRPr="00A8427A">
              <w:rPr>
                <w:rFonts w:ascii="Arial" w:eastAsia="Times New Roman" w:hAnsi="Arial" w:cs="Arial"/>
                <w:b/>
                <w:bCs/>
                <w:i/>
                <w:iCs/>
                <w:color w:val="000000"/>
                <w:sz w:val="20"/>
                <w:szCs w:val="20"/>
                <w:lang w:eastAsia="sl-SI"/>
              </w:rPr>
              <w:t xml:space="preserve">SKUPAJ </w:t>
            </w:r>
          </w:p>
        </w:tc>
      </w:tr>
      <w:tr w:rsidR="004B7622" w:rsidRPr="00A8427A" w14:paraId="201E98A9" w14:textId="77777777" w:rsidTr="00377989">
        <w:trPr>
          <w:trHeight w:val="340"/>
        </w:trPr>
        <w:tc>
          <w:tcPr>
            <w:tcW w:w="1684" w:type="dxa"/>
            <w:tcBorders>
              <w:top w:val="nil"/>
              <w:left w:val="single" w:sz="4" w:space="0" w:color="auto"/>
              <w:bottom w:val="single" w:sz="4" w:space="0" w:color="auto"/>
              <w:right w:val="single" w:sz="4" w:space="0" w:color="auto"/>
            </w:tcBorders>
            <w:shd w:val="clear" w:color="auto" w:fill="auto"/>
            <w:noWrap/>
            <w:vAlign w:val="center"/>
            <w:hideMark/>
          </w:tcPr>
          <w:p w14:paraId="40F47FB2" w14:textId="77777777" w:rsidR="004B7622" w:rsidRPr="00A8427A" w:rsidRDefault="004B7622" w:rsidP="00377989">
            <w:pPr>
              <w:spacing w:after="0" w:line="240" w:lineRule="auto"/>
              <w:jc w:val="center"/>
              <w:rPr>
                <w:rFonts w:ascii="Arial" w:eastAsia="Times New Roman" w:hAnsi="Arial" w:cs="Arial"/>
                <w:b/>
                <w:bCs/>
                <w:sz w:val="20"/>
                <w:szCs w:val="20"/>
                <w:lang w:eastAsia="sl-SI"/>
              </w:rPr>
            </w:pPr>
            <w:r w:rsidRPr="00A8427A">
              <w:rPr>
                <w:rFonts w:ascii="Arial" w:eastAsia="Times New Roman" w:hAnsi="Arial" w:cs="Arial"/>
                <w:b/>
                <w:bCs/>
                <w:sz w:val="20"/>
                <w:szCs w:val="20"/>
                <w:lang w:eastAsia="sl-SI"/>
              </w:rPr>
              <w:t>2016</w:t>
            </w:r>
          </w:p>
        </w:tc>
        <w:tc>
          <w:tcPr>
            <w:tcW w:w="1891" w:type="dxa"/>
            <w:tcBorders>
              <w:top w:val="nil"/>
              <w:left w:val="nil"/>
              <w:bottom w:val="single" w:sz="4" w:space="0" w:color="auto"/>
              <w:right w:val="single" w:sz="4" w:space="0" w:color="auto"/>
            </w:tcBorders>
            <w:shd w:val="clear" w:color="auto" w:fill="auto"/>
            <w:vAlign w:val="center"/>
            <w:hideMark/>
          </w:tcPr>
          <w:p w14:paraId="7ED3B2F1" w14:textId="77777777" w:rsidR="004B7622" w:rsidRPr="00A8427A" w:rsidRDefault="004B7622" w:rsidP="00377989">
            <w:pPr>
              <w:spacing w:after="0" w:line="240" w:lineRule="auto"/>
              <w:jc w:val="right"/>
              <w:rPr>
                <w:rFonts w:ascii="Arial" w:eastAsia="Times New Roman" w:hAnsi="Arial" w:cs="Arial"/>
                <w:color w:val="000000"/>
                <w:sz w:val="20"/>
                <w:szCs w:val="20"/>
                <w:lang w:eastAsia="sl-SI"/>
              </w:rPr>
            </w:pPr>
            <w:r w:rsidRPr="00A8427A">
              <w:rPr>
                <w:rFonts w:ascii="Arial" w:eastAsia="Times New Roman" w:hAnsi="Arial" w:cs="Arial"/>
                <w:color w:val="000000"/>
                <w:sz w:val="20"/>
                <w:szCs w:val="20"/>
                <w:lang w:eastAsia="sl-SI"/>
              </w:rPr>
              <w:t>123.491.113</w:t>
            </w:r>
          </w:p>
        </w:tc>
        <w:tc>
          <w:tcPr>
            <w:tcW w:w="1790" w:type="dxa"/>
            <w:tcBorders>
              <w:top w:val="nil"/>
              <w:left w:val="nil"/>
              <w:bottom w:val="single" w:sz="4" w:space="0" w:color="auto"/>
              <w:right w:val="single" w:sz="4" w:space="0" w:color="auto"/>
            </w:tcBorders>
            <w:shd w:val="clear" w:color="auto" w:fill="auto"/>
            <w:vAlign w:val="center"/>
            <w:hideMark/>
          </w:tcPr>
          <w:p w14:paraId="1A84BB3E" w14:textId="77777777" w:rsidR="004B7622" w:rsidRPr="00A8427A" w:rsidRDefault="004B7622" w:rsidP="00377989">
            <w:pPr>
              <w:spacing w:after="0" w:line="240" w:lineRule="auto"/>
              <w:jc w:val="right"/>
              <w:rPr>
                <w:rFonts w:ascii="Arial" w:eastAsia="Times New Roman" w:hAnsi="Arial" w:cs="Arial"/>
                <w:color w:val="000000"/>
                <w:sz w:val="20"/>
                <w:szCs w:val="20"/>
                <w:lang w:eastAsia="sl-SI"/>
              </w:rPr>
            </w:pPr>
            <w:r w:rsidRPr="00A8427A">
              <w:rPr>
                <w:rFonts w:ascii="Arial" w:eastAsia="Times New Roman" w:hAnsi="Arial" w:cs="Arial"/>
                <w:color w:val="000000"/>
                <w:sz w:val="20"/>
                <w:szCs w:val="20"/>
                <w:lang w:eastAsia="sl-SI"/>
              </w:rPr>
              <w:t>25.214.466</w:t>
            </w:r>
          </w:p>
        </w:tc>
        <w:tc>
          <w:tcPr>
            <w:tcW w:w="1790" w:type="dxa"/>
            <w:tcBorders>
              <w:top w:val="nil"/>
              <w:left w:val="nil"/>
              <w:bottom w:val="single" w:sz="4" w:space="0" w:color="auto"/>
              <w:right w:val="single" w:sz="4" w:space="0" w:color="auto"/>
            </w:tcBorders>
            <w:shd w:val="clear" w:color="auto" w:fill="auto"/>
            <w:vAlign w:val="center"/>
            <w:hideMark/>
          </w:tcPr>
          <w:p w14:paraId="710FFE61" w14:textId="77777777" w:rsidR="004B7622" w:rsidRPr="00A8427A" w:rsidRDefault="004B7622" w:rsidP="00377989">
            <w:pPr>
              <w:spacing w:after="0" w:line="240" w:lineRule="auto"/>
              <w:jc w:val="right"/>
              <w:rPr>
                <w:rFonts w:ascii="Arial" w:eastAsia="Times New Roman" w:hAnsi="Arial" w:cs="Arial"/>
                <w:color w:val="000000"/>
                <w:sz w:val="20"/>
                <w:szCs w:val="20"/>
                <w:lang w:eastAsia="sl-SI"/>
              </w:rPr>
            </w:pPr>
            <w:r w:rsidRPr="00A8427A">
              <w:rPr>
                <w:rFonts w:ascii="Arial" w:eastAsia="Times New Roman" w:hAnsi="Arial" w:cs="Arial"/>
                <w:color w:val="000000"/>
                <w:sz w:val="20"/>
                <w:szCs w:val="20"/>
                <w:lang w:eastAsia="sl-SI"/>
              </w:rPr>
              <w:t>33.325.711</w:t>
            </w:r>
          </w:p>
        </w:tc>
        <w:tc>
          <w:tcPr>
            <w:tcW w:w="1790" w:type="dxa"/>
            <w:tcBorders>
              <w:top w:val="nil"/>
              <w:left w:val="nil"/>
              <w:bottom w:val="single" w:sz="4" w:space="0" w:color="auto"/>
              <w:right w:val="single" w:sz="4" w:space="0" w:color="auto"/>
            </w:tcBorders>
            <w:shd w:val="clear" w:color="auto" w:fill="auto"/>
            <w:vAlign w:val="center"/>
            <w:hideMark/>
          </w:tcPr>
          <w:p w14:paraId="0D9ECCAC" w14:textId="77777777" w:rsidR="004B7622" w:rsidRPr="00A8427A" w:rsidRDefault="004B7622" w:rsidP="00377989">
            <w:pPr>
              <w:spacing w:after="0" w:line="240" w:lineRule="auto"/>
              <w:jc w:val="right"/>
              <w:rPr>
                <w:rFonts w:ascii="Arial" w:eastAsia="Times New Roman" w:hAnsi="Arial" w:cs="Arial"/>
                <w:b/>
                <w:bCs/>
                <w:color w:val="000000"/>
                <w:sz w:val="20"/>
                <w:szCs w:val="20"/>
                <w:lang w:eastAsia="sl-SI"/>
              </w:rPr>
            </w:pPr>
            <w:r w:rsidRPr="00A8427A">
              <w:rPr>
                <w:rFonts w:ascii="Arial" w:eastAsia="Times New Roman" w:hAnsi="Arial" w:cs="Arial"/>
                <w:b/>
                <w:bCs/>
                <w:color w:val="000000"/>
                <w:sz w:val="20"/>
                <w:szCs w:val="20"/>
                <w:lang w:eastAsia="sl-SI"/>
              </w:rPr>
              <w:t>182.031.290</w:t>
            </w:r>
          </w:p>
        </w:tc>
      </w:tr>
      <w:tr w:rsidR="004B7622" w:rsidRPr="00A8427A" w14:paraId="686372B3" w14:textId="77777777" w:rsidTr="00377989">
        <w:trPr>
          <w:trHeight w:val="261"/>
        </w:trPr>
        <w:tc>
          <w:tcPr>
            <w:tcW w:w="1684" w:type="dxa"/>
            <w:tcBorders>
              <w:top w:val="nil"/>
              <w:left w:val="single" w:sz="4" w:space="0" w:color="auto"/>
              <w:bottom w:val="single" w:sz="4" w:space="0" w:color="auto"/>
              <w:right w:val="single" w:sz="4" w:space="0" w:color="auto"/>
            </w:tcBorders>
            <w:shd w:val="clear" w:color="auto" w:fill="auto"/>
            <w:noWrap/>
            <w:vAlign w:val="center"/>
            <w:hideMark/>
          </w:tcPr>
          <w:p w14:paraId="50D34B62" w14:textId="77777777" w:rsidR="004B7622" w:rsidRPr="00A8427A" w:rsidRDefault="004B7622" w:rsidP="00377989">
            <w:pPr>
              <w:spacing w:after="0" w:line="240" w:lineRule="auto"/>
              <w:jc w:val="center"/>
              <w:rPr>
                <w:rFonts w:ascii="Arial" w:eastAsia="Times New Roman" w:hAnsi="Arial" w:cs="Arial"/>
                <w:b/>
                <w:bCs/>
                <w:color w:val="000000"/>
                <w:sz w:val="20"/>
                <w:szCs w:val="20"/>
                <w:lang w:eastAsia="sl-SI"/>
              </w:rPr>
            </w:pPr>
            <w:r w:rsidRPr="00A8427A">
              <w:rPr>
                <w:rFonts w:ascii="Arial" w:eastAsia="Times New Roman" w:hAnsi="Arial" w:cs="Arial"/>
                <w:b/>
                <w:bCs/>
                <w:color w:val="000000"/>
                <w:sz w:val="20"/>
                <w:szCs w:val="20"/>
                <w:lang w:eastAsia="sl-SI"/>
              </w:rPr>
              <w:t>2017</w:t>
            </w:r>
          </w:p>
        </w:tc>
        <w:tc>
          <w:tcPr>
            <w:tcW w:w="1891" w:type="dxa"/>
            <w:tcBorders>
              <w:top w:val="nil"/>
              <w:left w:val="nil"/>
              <w:bottom w:val="single" w:sz="4" w:space="0" w:color="auto"/>
              <w:right w:val="single" w:sz="4" w:space="0" w:color="auto"/>
            </w:tcBorders>
            <w:shd w:val="clear" w:color="000000" w:fill="FFFFFF"/>
            <w:vAlign w:val="center"/>
            <w:hideMark/>
          </w:tcPr>
          <w:p w14:paraId="54FFCD16" w14:textId="77777777" w:rsidR="004B7622" w:rsidRPr="00A8427A" w:rsidRDefault="004B7622" w:rsidP="00377989">
            <w:pPr>
              <w:spacing w:after="0" w:line="240" w:lineRule="auto"/>
              <w:jc w:val="right"/>
              <w:rPr>
                <w:rFonts w:ascii="Arial" w:eastAsia="Times New Roman" w:hAnsi="Arial" w:cs="Arial"/>
                <w:color w:val="000000"/>
                <w:sz w:val="20"/>
                <w:szCs w:val="20"/>
                <w:lang w:eastAsia="sl-SI"/>
              </w:rPr>
            </w:pPr>
            <w:r w:rsidRPr="00A8427A">
              <w:rPr>
                <w:rFonts w:ascii="Arial" w:eastAsia="Times New Roman" w:hAnsi="Arial" w:cs="Arial"/>
                <w:color w:val="000000"/>
                <w:sz w:val="20"/>
                <w:szCs w:val="20"/>
                <w:lang w:eastAsia="sl-SI"/>
              </w:rPr>
              <w:t>129.466.573</w:t>
            </w:r>
          </w:p>
        </w:tc>
        <w:tc>
          <w:tcPr>
            <w:tcW w:w="1790" w:type="dxa"/>
            <w:tcBorders>
              <w:top w:val="nil"/>
              <w:left w:val="nil"/>
              <w:bottom w:val="single" w:sz="4" w:space="0" w:color="auto"/>
              <w:right w:val="single" w:sz="4" w:space="0" w:color="auto"/>
            </w:tcBorders>
            <w:shd w:val="clear" w:color="000000" w:fill="FFFFFF"/>
            <w:vAlign w:val="center"/>
            <w:hideMark/>
          </w:tcPr>
          <w:p w14:paraId="746BA0B4" w14:textId="77777777" w:rsidR="004B7622" w:rsidRPr="00A8427A" w:rsidRDefault="004B7622" w:rsidP="00377989">
            <w:pPr>
              <w:spacing w:after="0" w:line="240" w:lineRule="auto"/>
              <w:jc w:val="right"/>
              <w:rPr>
                <w:rFonts w:ascii="Arial" w:eastAsia="Times New Roman" w:hAnsi="Arial" w:cs="Arial"/>
                <w:color w:val="000000"/>
                <w:sz w:val="20"/>
                <w:szCs w:val="20"/>
                <w:lang w:eastAsia="sl-SI"/>
              </w:rPr>
            </w:pPr>
            <w:r w:rsidRPr="00A8427A">
              <w:rPr>
                <w:rFonts w:ascii="Arial" w:eastAsia="Times New Roman" w:hAnsi="Arial" w:cs="Arial"/>
                <w:color w:val="000000"/>
                <w:sz w:val="20"/>
                <w:szCs w:val="20"/>
                <w:lang w:eastAsia="sl-SI"/>
              </w:rPr>
              <w:t>20.080.108</w:t>
            </w:r>
          </w:p>
        </w:tc>
        <w:tc>
          <w:tcPr>
            <w:tcW w:w="1790" w:type="dxa"/>
            <w:tcBorders>
              <w:top w:val="nil"/>
              <w:left w:val="nil"/>
              <w:bottom w:val="single" w:sz="4" w:space="0" w:color="auto"/>
              <w:right w:val="single" w:sz="4" w:space="0" w:color="auto"/>
            </w:tcBorders>
            <w:shd w:val="clear" w:color="000000" w:fill="FFFFFF"/>
            <w:vAlign w:val="center"/>
            <w:hideMark/>
          </w:tcPr>
          <w:p w14:paraId="6000FFD1" w14:textId="77777777" w:rsidR="004B7622" w:rsidRPr="00A8427A" w:rsidRDefault="004B7622" w:rsidP="00377989">
            <w:pPr>
              <w:spacing w:after="0" w:line="240" w:lineRule="auto"/>
              <w:jc w:val="right"/>
              <w:rPr>
                <w:rFonts w:ascii="Arial" w:eastAsia="Times New Roman" w:hAnsi="Arial" w:cs="Arial"/>
                <w:color w:val="000000"/>
                <w:sz w:val="20"/>
                <w:szCs w:val="20"/>
                <w:lang w:eastAsia="sl-SI"/>
              </w:rPr>
            </w:pPr>
            <w:r w:rsidRPr="00A8427A">
              <w:rPr>
                <w:rFonts w:ascii="Arial" w:eastAsia="Times New Roman" w:hAnsi="Arial" w:cs="Arial"/>
                <w:color w:val="000000"/>
                <w:sz w:val="20"/>
                <w:szCs w:val="20"/>
                <w:lang w:eastAsia="sl-SI"/>
              </w:rPr>
              <w:t>25.218.437</w:t>
            </w:r>
          </w:p>
        </w:tc>
        <w:tc>
          <w:tcPr>
            <w:tcW w:w="1790" w:type="dxa"/>
            <w:tcBorders>
              <w:top w:val="nil"/>
              <w:left w:val="nil"/>
              <w:bottom w:val="single" w:sz="4" w:space="0" w:color="auto"/>
              <w:right w:val="single" w:sz="4" w:space="0" w:color="auto"/>
            </w:tcBorders>
            <w:shd w:val="clear" w:color="auto" w:fill="auto"/>
            <w:vAlign w:val="center"/>
            <w:hideMark/>
          </w:tcPr>
          <w:p w14:paraId="2162DA75" w14:textId="77777777" w:rsidR="004B7622" w:rsidRPr="00A8427A" w:rsidRDefault="004B7622" w:rsidP="00377989">
            <w:pPr>
              <w:spacing w:after="0" w:line="240" w:lineRule="auto"/>
              <w:jc w:val="right"/>
              <w:rPr>
                <w:rFonts w:ascii="Arial" w:eastAsia="Times New Roman" w:hAnsi="Arial" w:cs="Arial"/>
                <w:b/>
                <w:bCs/>
                <w:sz w:val="20"/>
                <w:szCs w:val="20"/>
                <w:lang w:eastAsia="sl-SI"/>
              </w:rPr>
            </w:pPr>
            <w:r w:rsidRPr="00A8427A">
              <w:rPr>
                <w:rFonts w:ascii="Arial" w:eastAsia="Times New Roman" w:hAnsi="Arial" w:cs="Arial"/>
                <w:b/>
                <w:bCs/>
                <w:sz w:val="20"/>
                <w:szCs w:val="20"/>
                <w:lang w:eastAsia="sl-SI"/>
              </w:rPr>
              <w:t>174.765.118</w:t>
            </w:r>
          </w:p>
        </w:tc>
      </w:tr>
      <w:tr w:rsidR="004B7622" w:rsidRPr="00A8427A" w14:paraId="1866FF7E" w14:textId="77777777" w:rsidTr="00377989">
        <w:trPr>
          <w:trHeight w:val="261"/>
        </w:trPr>
        <w:tc>
          <w:tcPr>
            <w:tcW w:w="1684" w:type="dxa"/>
            <w:tcBorders>
              <w:top w:val="nil"/>
              <w:left w:val="single" w:sz="4" w:space="0" w:color="auto"/>
              <w:bottom w:val="single" w:sz="4" w:space="0" w:color="auto"/>
              <w:right w:val="single" w:sz="4" w:space="0" w:color="auto"/>
            </w:tcBorders>
            <w:shd w:val="clear" w:color="auto" w:fill="auto"/>
            <w:noWrap/>
            <w:vAlign w:val="center"/>
            <w:hideMark/>
          </w:tcPr>
          <w:p w14:paraId="4A341FB5" w14:textId="77777777" w:rsidR="004B7622" w:rsidRPr="00A8427A" w:rsidRDefault="004B7622" w:rsidP="00377989">
            <w:pPr>
              <w:spacing w:after="0" w:line="240" w:lineRule="auto"/>
              <w:jc w:val="center"/>
              <w:rPr>
                <w:rFonts w:ascii="Arial" w:eastAsia="Times New Roman" w:hAnsi="Arial" w:cs="Arial"/>
                <w:b/>
                <w:bCs/>
                <w:color w:val="000000"/>
                <w:sz w:val="20"/>
                <w:szCs w:val="20"/>
                <w:lang w:eastAsia="sl-SI"/>
              </w:rPr>
            </w:pPr>
            <w:r w:rsidRPr="00A8427A">
              <w:rPr>
                <w:rFonts w:ascii="Arial" w:eastAsia="Times New Roman" w:hAnsi="Arial" w:cs="Arial"/>
                <w:b/>
                <w:bCs/>
                <w:color w:val="000000"/>
                <w:sz w:val="20"/>
                <w:szCs w:val="20"/>
                <w:lang w:eastAsia="sl-SI"/>
              </w:rPr>
              <w:t>2018</w:t>
            </w:r>
          </w:p>
        </w:tc>
        <w:tc>
          <w:tcPr>
            <w:tcW w:w="1891" w:type="dxa"/>
            <w:tcBorders>
              <w:top w:val="nil"/>
              <w:left w:val="nil"/>
              <w:bottom w:val="single" w:sz="4" w:space="0" w:color="auto"/>
              <w:right w:val="single" w:sz="4" w:space="0" w:color="auto"/>
            </w:tcBorders>
            <w:shd w:val="clear" w:color="000000" w:fill="FFFFFF"/>
            <w:vAlign w:val="center"/>
            <w:hideMark/>
          </w:tcPr>
          <w:p w14:paraId="4CB1450F" w14:textId="77777777" w:rsidR="004B7622" w:rsidRPr="00A8427A" w:rsidRDefault="004B7622" w:rsidP="00377989">
            <w:pPr>
              <w:spacing w:after="0" w:line="240" w:lineRule="auto"/>
              <w:jc w:val="right"/>
              <w:rPr>
                <w:rFonts w:ascii="Arial" w:eastAsia="Times New Roman" w:hAnsi="Arial" w:cs="Arial"/>
                <w:color w:val="000000"/>
                <w:sz w:val="20"/>
                <w:szCs w:val="20"/>
                <w:lang w:eastAsia="sl-SI"/>
              </w:rPr>
            </w:pPr>
            <w:r w:rsidRPr="00A8427A">
              <w:rPr>
                <w:rFonts w:ascii="Arial" w:eastAsia="Times New Roman" w:hAnsi="Arial" w:cs="Arial"/>
                <w:color w:val="000000"/>
                <w:sz w:val="20"/>
                <w:szCs w:val="20"/>
                <w:lang w:eastAsia="sl-SI"/>
              </w:rPr>
              <w:t>125.448.259</w:t>
            </w:r>
          </w:p>
        </w:tc>
        <w:tc>
          <w:tcPr>
            <w:tcW w:w="1790" w:type="dxa"/>
            <w:tcBorders>
              <w:top w:val="nil"/>
              <w:left w:val="nil"/>
              <w:bottom w:val="single" w:sz="4" w:space="0" w:color="auto"/>
              <w:right w:val="single" w:sz="4" w:space="0" w:color="auto"/>
            </w:tcBorders>
            <w:shd w:val="clear" w:color="000000" w:fill="FFFFFF"/>
            <w:vAlign w:val="center"/>
            <w:hideMark/>
          </w:tcPr>
          <w:p w14:paraId="47B33647" w14:textId="77777777" w:rsidR="004B7622" w:rsidRPr="00A8427A" w:rsidRDefault="004B7622" w:rsidP="00377989">
            <w:pPr>
              <w:spacing w:after="0" w:line="240" w:lineRule="auto"/>
              <w:jc w:val="right"/>
              <w:rPr>
                <w:rFonts w:ascii="Arial" w:eastAsia="Times New Roman" w:hAnsi="Arial" w:cs="Arial"/>
                <w:color w:val="000000"/>
                <w:sz w:val="20"/>
                <w:szCs w:val="20"/>
                <w:lang w:eastAsia="sl-SI"/>
              </w:rPr>
            </w:pPr>
            <w:r w:rsidRPr="00A8427A">
              <w:rPr>
                <w:rFonts w:ascii="Arial" w:eastAsia="Times New Roman" w:hAnsi="Arial" w:cs="Arial"/>
                <w:color w:val="000000"/>
                <w:sz w:val="20"/>
                <w:szCs w:val="20"/>
                <w:lang w:eastAsia="sl-SI"/>
              </w:rPr>
              <w:t>21.275.352</w:t>
            </w:r>
          </w:p>
        </w:tc>
        <w:tc>
          <w:tcPr>
            <w:tcW w:w="1790" w:type="dxa"/>
            <w:tcBorders>
              <w:top w:val="nil"/>
              <w:left w:val="nil"/>
              <w:bottom w:val="single" w:sz="4" w:space="0" w:color="auto"/>
              <w:right w:val="single" w:sz="4" w:space="0" w:color="auto"/>
            </w:tcBorders>
            <w:shd w:val="clear" w:color="000000" w:fill="FFFFFF"/>
            <w:vAlign w:val="center"/>
            <w:hideMark/>
          </w:tcPr>
          <w:p w14:paraId="413615DD" w14:textId="77777777" w:rsidR="004B7622" w:rsidRPr="00A8427A" w:rsidRDefault="004B7622" w:rsidP="00377989">
            <w:pPr>
              <w:spacing w:after="0" w:line="240" w:lineRule="auto"/>
              <w:jc w:val="right"/>
              <w:rPr>
                <w:rFonts w:ascii="Arial" w:eastAsia="Times New Roman" w:hAnsi="Arial" w:cs="Arial"/>
                <w:color w:val="000000"/>
                <w:sz w:val="20"/>
                <w:szCs w:val="20"/>
                <w:lang w:eastAsia="sl-SI"/>
              </w:rPr>
            </w:pPr>
            <w:r w:rsidRPr="00A8427A">
              <w:rPr>
                <w:rFonts w:ascii="Arial" w:eastAsia="Times New Roman" w:hAnsi="Arial" w:cs="Arial"/>
                <w:color w:val="000000"/>
                <w:sz w:val="20"/>
                <w:szCs w:val="20"/>
                <w:lang w:eastAsia="sl-SI"/>
              </w:rPr>
              <w:t>24.652.827</w:t>
            </w:r>
          </w:p>
        </w:tc>
        <w:tc>
          <w:tcPr>
            <w:tcW w:w="1790" w:type="dxa"/>
            <w:tcBorders>
              <w:top w:val="nil"/>
              <w:left w:val="nil"/>
              <w:bottom w:val="single" w:sz="4" w:space="0" w:color="auto"/>
              <w:right w:val="single" w:sz="4" w:space="0" w:color="auto"/>
            </w:tcBorders>
            <w:shd w:val="clear" w:color="auto" w:fill="auto"/>
            <w:vAlign w:val="center"/>
            <w:hideMark/>
          </w:tcPr>
          <w:p w14:paraId="52F1917B" w14:textId="77777777" w:rsidR="004B7622" w:rsidRPr="00A8427A" w:rsidRDefault="004B7622" w:rsidP="00377989">
            <w:pPr>
              <w:spacing w:after="0" w:line="240" w:lineRule="auto"/>
              <w:jc w:val="right"/>
              <w:rPr>
                <w:rFonts w:ascii="Arial" w:eastAsia="Times New Roman" w:hAnsi="Arial" w:cs="Arial"/>
                <w:b/>
                <w:bCs/>
                <w:sz w:val="20"/>
                <w:szCs w:val="20"/>
                <w:lang w:eastAsia="sl-SI"/>
              </w:rPr>
            </w:pPr>
            <w:r w:rsidRPr="00A8427A">
              <w:rPr>
                <w:rFonts w:ascii="Arial" w:eastAsia="Times New Roman" w:hAnsi="Arial" w:cs="Arial"/>
                <w:b/>
                <w:bCs/>
                <w:sz w:val="20"/>
                <w:szCs w:val="20"/>
                <w:lang w:eastAsia="sl-SI"/>
              </w:rPr>
              <w:t>171.376.438</w:t>
            </w:r>
          </w:p>
        </w:tc>
      </w:tr>
      <w:tr w:rsidR="004B7622" w:rsidRPr="00A8427A" w14:paraId="7DC3B6F2" w14:textId="77777777" w:rsidTr="00377989">
        <w:trPr>
          <w:trHeight w:val="261"/>
        </w:trPr>
        <w:tc>
          <w:tcPr>
            <w:tcW w:w="1684" w:type="dxa"/>
            <w:tcBorders>
              <w:top w:val="nil"/>
              <w:left w:val="single" w:sz="4" w:space="0" w:color="auto"/>
              <w:bottom w:val="single" w:sz="4" w:space="0" w:color="auto"/>
              <w:right w:val="single" w:sz="4" w:space="0" w:color="auto"/>
            </w:tcBorders>
            <w:shd w:val="clear" w:color="auto" w:fill="auto"/>
            <w:noWrap/>
            <w:vAlign w:val="center"/>
            <w:hideMark/>
          </w:tcPr>
          <w:p w14:paraId="42643627" w14:textId="77777777" w:rsidR="004B7622" w:rsidRPr="00A8427A" w:rsidRDefault="004B7622" w:rsidP="00377989">
            <w:pPr>
              <w:spacing w:after="0" w:line="240" w:lineRule="auto"/>
              <w:jc w:val="center"/>
              <w:rPr>
                <w:rFonts w:ascii="Arial" w:eastAsia="Times New Roman" w:hAnsi="Arial" w:cs="Arial"/>
                <w:b/>
                <w:bCs/>
                <w:color w:val="000000"/>
                <w:sz w:val="20"/>
                <w:szCs w:val="20"/>
                <w:lang w:eastAsia="sl-SI"/>
              </w:rPr>
            </w:pPr>
            <w:r w:rsidRPr="00A8427A">
              <w:rPr>
                <w:rFonts w:ascii="Arial" w:eastAsia="Times New Roman" w:hAnsi="Arial" w:cs="Arial"/>
                <w:b/>
                <w:bCs/>
                <w:color w:val="000000"/>
                <w:sz w:val="20"/>
                <w:szCs w:val="20"/>
                <w:lang w:eastAsia="sl-SI"/>
              </w:rPr>
              <w:t>2019</w:t>
            </w:r>
          </w:p>
        </w:tc>
        <w:tc>
          <w:tcPr>
            <w:tcW w:w="1891" w:type="dxa"/>
            <w:tcBorders>
              <w:top w:val="nil"/>
              <w:left w:val="nil"/>
              <w:bottom w:val="single" w:sz="4" w:space="0" w:color="auto"/>
              <w:right w:val="single" w:sz="4" w:space="0" w:color="auto"/>
            </w:tcBorders>
            <w:shd w:val="clear" w:color="000000" w:fill="FFFFFF"/>
            <w:vAlign w:val="center"/>
            <w:hideMark/>
          </w:tcPr>
          <w:p w14:paraId="197E448C" w14:textId="77777777" w:rsidR="004B7622" w:rsidRPr="00A8427A" w:rsidRDefault="004B7622" w:rsidP="00377989">
            <w:pPr>
              <w:spacing w:after="0" w:line="240" w:lineRule="auto"/>
              <w:jc w:val="right"/>
              <w:rPr>
                <w:rFonts w:ascii="Arial" w:eastAsia="Times New Roman" w:hAnsi="Arial" w:cs="Arial"/>
                <w:color w:val="000000"/>
                <w:sz w:val="20"/>
                <w:szCs w:val="20"/>
                <w:lang w:eastAsia="sl-SI"/>
              </w:rPr>
            </w:pPr>
            <w:r w:rsidRPr="00A8427A">
              <w:rPr>
                <w:rFonts w:ascii="Arial" w:eastAsia="Times New Roman" w:hAnsi="Arial" w:cs="Arial"/>
                <w:color w:val="000000"/>
                <w:sz w:val="20"/>
                <w:szCs w:val="20"/>
                <w:lang w:eastAsia="sl-SI"/>
              </w:rPr>
              <w:t>137.919.176</w:t>
            </w:r>
          </w:p>
        </w:tc>
        <w:tc>
          <w:tcPr>
            <w:tcW w:w="1790" w:type="dxa"/>
            <w:tcBorders>
              <w:top w:val="nil"/>
              <w:left w:val="nil"/>
              <w:bottom w:val="single" w:sz="4" w:space="0" w:color="auto"/>
              <w:right w:val="single" w:sz="4" w:space="0" w:color="auto"/>
            </w:tcBorders>
            <w:shd w:val="clear" w:color="000000" w:fill="FFFFFF"/>
            <w:vAlign w:val="center"/>
            <w:hideMark/>
          </w:tcPr>
          <w:p w14:paraId="1C186230" w14:textId="77777777" w:rsidR="004B7622" w:rsidRPr="00A8427A" w:rsidRDefault="004B7622" w:rsidP="00377989">
            <w:pPr>
              <w:spacing w:after="0" w:line="240" w:lineRule="auto"/>
              <w:jc w:val="right"/>
              <w:rPr>
                <w:rFonts w:ascii="Arial" w:eastAsia="Times New Roman" w:hAnsi="Arial" w:cs="Arial"/>
                <w:color w:val="000000"/>
                <w:sz w:val="20"/>
                <w:szCs w:val="20"/>
                <w:lang w:eastAsia="sl-SI"/>
              </w:rPr>
            </w:pPr>
            <w:r w:rsidRPr="00A8427A">
              <w:rPr>
                <w:rFonts w:ascii="Arial" w:eastAsia="Times New Roman" w:hAnsi="Arial" w:cs="Arial"/>
                <w:color w:val="000000"/>
                <w:sz w:val="20"/>
                <w:szCs w:val="20"/>
                <w:lang w:eastAsia="sl-SI"/>
              </w:rPr>
              <w:t>36.195.219</w:t>
            </w:r>
          </w:p>
        </w:tc>
        <w:tc>
          <w:tcPr>
            <w:tcW w:w="1790" w:type="dxa"/>
            <w:tcBorders>
              <w:top w:val="nil"/>
              <w:left w:val="nil"/>
              <w:bottom w:val="single" w:sz="4" w:space="0" w:color="auto"/>
              <w:right w:val="single" w:sz="4" w:space="0" w:color="auto"/>
            </w:tcBorders>
            <w:shd w:val="clear" w:color="000000" w:fill="FFFFFF"/>
            <w:vAlign w:val="center"/>
            <w:hideMark/>
          </w:tcPr>
          <w:p w14:paraId="6E7B8F2C" w14:textId="77777777" w:rsidR="004B7622" w:rsidRPr="00A8427A" w:rsidRDefault="004B7622" w:rsidP="00377989">
            <w:pPr>
              <w:spacing w:after="0" w:line="240" w:lineRule="auto"/>
              <w:jc w:val="right"/>
              <w:rPr>
                <w:rFonts w:ascii="Arial" w:eastAsia="Times New Roman" w:hAnsi="Arial" w:cs="Arial"/>
                <w:color w:val="000000"/>
                <w:sz w:val="20"/>
                <w:szCs w:val="20"/>
                <w:lang w:eastAsia="sl-SI"/>
              </w:rPr>
            </w:pPr>
            <w:r w:rsidRPr="00A8427A">
              <w:rPr>
                <w:rFonts w:ascii="Arial" w:eastAsia="Times New Roman" w:hAnsi="Arial" w:cs="Arial"/>
                <w:color w:val="000000"/>
                <w:sz w:val="20"/>
                <w:szCs w:val="20"/>
                <w:lang w:eastAsia="sl-SI"/>
              </w:rPr>
              <w:t>14.800.879</w:t>
            </w:r>
          </w:p>
        </w:tc>
        <w:tc>
          <w:tcPr>
            <w:tcW w:w="1790" w:type="dxa"/>
            <w:tcBorders>
              <w:top w:val="nil"/>
              <w:left w:val="nil"/>
              <w:bottom w:val="single" w:sz="4" w:space="0" w:color="auto"/>
              <w:right w:val="single" w:sz="4" w:space="0" w:color="auto"/>
            </w:tcBorders>
            <w:shd w:val="clear" w:color="auto" w:fill="auto"/>
            <w:vAlign w:val="center"/>
            <w:hideMark/>
          </w:tcPr>
          <w:p w14:paraId="15306C9E" w14:textId="77777777" w:rsidR="004B7622" w:rsidRPr="00A8427A" w:rsidRDefault="004B7622" w:rsidP="00377989">
            <w:pPr>
              <w:spacing w:after="0" w:line="240" w:lineRule="auto"/>
              <w:jc w:val="right"/>
              <w:rPr>
                <w:rFonts w:ascii="Arial" w:eastAsia="Times New Roman" w:hAnsi="Arial" w:cs="Arial"/>
                <w:b/>
                <w:bCs/>
                <w:sz w:val="20"/>
                <w:szCs w:val="20"/>
                <w:lang w:eastAsia="sl-SI"/>
              </w:rPr>
            </w:pPr>
            <w:r w:rsidRPr="00A8427A">
              <w:rPr>
                <w:rFonts w:ascii="Arial" w:eastAsia="Times New Roman" w:hAnsi="Arial" w:cs="Arial"/>
                <w:b/>
                <w:bCs/>
                <w:sz w:val="20"/>
                <w:szCs w:val="20"/>
                <w:lang w:eastAsia="sl-SI"/>
              </w:rPr>
              <w:t>188.915.274</w:t>
            </w:r>
          </w:p>
        </w:tc>
      </w:tr>
      <w:tr w:rsidR="004B7622" w:rsidRPr="00A8427A" w14:paraId="413A3E9C" w14:textId="77777777" w:rsidTr="00377989">
        <w:trPr>
          <w:trHeight w:val="261"/>
        </w:trPr>
        <w:tc>
          <w:tcPr>
            <w:tcW w:w="1684" w:type="dxa"/>
            <w:tcBorders>
              <w:top w:val="nil"/>
              <w:left w:val="single" w:sz="4" w:space="0" w:color="auto"/>
              <w:bottom w:val="single" w:sz="4" w:space="0" w:color="auto"/>
              <w:right w:val="single" w:sz="4" w:space="0" w:color="auto"/>
            </w:tcBorders>
            <w:shd w:val="clear" w:color="auto" w:fill="auto"/>
            <w:noWrap/>
            <w:vAlign w:val="center"/>
            <w:hideMark/>
          </w:tcPr>
          <w:p w14:paraId="584E620A" w14:textId="77777777" w:rsidR="004B7622" w:rsidRPr="00A8427A" w:rsidRDefault="004B7622" w:rsidP="00377989">
            <w:pPr>
              <w:spacing w:after="0" w:line="240" w:lineRule="auto"/>
              <w:jc w:val="center"/>
              <w:rPr>
                <w:rFonts w:ascii="Arial" w:eastAsia="Times New Roman" w:hAnsi="Arial" w:cs="Arial"/>
                <w:b/>
                <w:bCs/>
                <w:color w:val="000000"/>
                <w:sz w:val="20"/>
                <w:szCs w:val="20"/>
                <w:lang w:eastAsia="sl-SI"/>
              </w:rPr>
            </w:pPr>
            <w:r w:rsidRPr="00A8427A">
              <w:rPr>
                <w:rFonts w:ascii="Arial" w:eastAsia="Times New Roman" w:hAnsi="Arial" w:cs="Arial"/>
                <w:b/>
                <w:bCs/>
                <w:color w:val="000000"/>
                <w:sz w:val="20"/>
                <w:szCs w:val="20"/>
                <w:lang w:eastAsia="sl-SI"/>
              </w:rPr>
              <w:t>2020</w:t>
            </w:r>
          </w:p>
        </w:tc>
        <w:tc>
          <w:tcPr>
            <w:tcW w:w="1891" w:type="dxa"/>
            <w:tcBorders>
              <w:top w:val="nil"/>
              <w:left w:val="nil"/>
              <w:bottom w:val="single" w:sz="4" w:space="0" w:color="auto"/>
              <w:right w:val="single" w:sz="4" w:space="0" w:color="auto"/>
            </w:tcBorders>
            <w:shd w:val="clear" w:color="auto" w:fill="auto"/>
            <w:noWrap/>
            <w:vAlign w:val="bottom"/>
            <w:hideMark/>
          </w:tcPr>
          <w:p w14:paraId="52140AD9" w14:textId="77777777" w:rsidR="004B7622" w:rsidRPr="00A8427A" w:rsidRDefault="004B7622" w:rsidP="00377989">
            <w:pPr>
              <w:spacing w:after="0" w:line="240" w:lineRule="auto"/>
              <w:jc w:val="right"/>
              <w:rPr>
                <w:rFonts w:ascii="Arial" w:eastAsia="Times New Roman" w:hAnsi="Arial" w:cs="Arial"/>
                <w:color w:val="000000"/>
                <w:sz w:val="20"/>
                <w:szCs w:val="20"/>
                <w:lang w:eastAsia="sl-SI"/>
              </w:rPr>
            </w:pPr>
            <w:r w:rsidRPr="00A8427A">
              <w:rPr>
                <w:rFonts w:ascii="Arial" w:eastAsia="Times New Roman" w:hAnsi="Arial" w:cs="Arial"/>
                <w:color w:val="000000"/>
                <w:sz w:val="20"/>
                <w:szCs w:val="20"/>
                <w:lang w:eastAsia="sl-SI"/>
              </w:rPr>
              <w:t>161.003.981</w:t>
            </w:r>
          </w:p>
        </w:tc>
        <w:tc>
          <w:tcPr>
            <w:tcW w:w="1790" w:type="dxa"/>
            <w:tcBorders>
              <w:top w:val="nil"/>
              <w:left w:val="nil"/>
              <w:bottom w:val="single" w:sz="4" w:space="0" w:color="auto"/>
              <w:right w:val="single" w:sz="4" w:space="0" w:color="auto"/>
            </w:tcBorders>
            <w:shd w:val="clear" w:color="auto" w:fill="auto"/>
            <w:noWrap/>
            <w:vAlign w:val="bottom"/>
            <w:hideMark/>
          </w:tcPr>
          <w:p w14:paraId="65F11247" w14:textId="77777777" w:rsidR="004B7622" w:rsidRPr="00A8427A" w:rsidRDefault="004B7622" w:rsidP="00377989">
            <w:pPr>
              <w:spacing w:after="0" w:line="240" w:lineRule="auto"/>
              <w:jc w:val="right"/>
              <w:rPr>
                <w:rFonts w:ascii="Arial" w:eastAsia="Times New Roman" w:hAnsi="Arial" w:cs="Arial"/>
                <w:color w:val="000000"/>
                <w:sz w:val="20"/>
                <w:szCs w:val="20"/>
                <w:lang w:eastAsia="sl-SI"/>
              </w:rPr>
            </w:pPr>
            <w:r w:rsidRPr="00A8427A">
              <w:rPr>
                <w:rFonts w:ascii="Arial" w:eastAsia="Times New Roman" w:hAnsi="Arial" w:cs="Arial"/>
                <w:color w:val="000000"/>
                <w:sz w:val="20"/>
                <w:szCs w:val="20"/>
                <w:lang w:eastAsia="sl-SI"/>
              </w:rPr>
              <w:t>26.476.791</w:t>
            </w:r>
          </w:p>
        </w:tc>
        <w:tc>
          <w:tcPr>
            <w:tcW w:w="1790" w:type="dxa"/>
            <w:tcBorders>
              <w:top w:val="nil"/>
              <w:left w:val="nil"/>
              <w:bottom w:val="single" w:sz="4" w:space="0" w:color="auto"/>
              <w:right w:val="single" w:sz="4" w:space="0" w:color="auto"/>
            </w:tcBorders>
            <w:shd w:val="clear" w:color="auto" w:fill="auto"/>
            <w:noWrap/>
            <w:vAlign w:val="bottom"/>
            <w:hideMark/>
          </w:tcPr>
          <w:p w14:paraId="6C5719C3" w14:textId="77777777" w:rsidR="004B7622" w:rsidRPr="00A8427A" w:rsidRDefault="004B7622" w:rsidP="00377989">
            <w:pPr>
              <w:spacing w:after="0" w:line="240" w:lineRule="auto"/>
              <w:jc w:val="right"/>
              <w:rPr>
                <w:rFonts w:ascii="Arial" w:eastAsia="Times New Roman" w:hAnsi="Arial" w:cs="Arial"/>
                <w:color w:val="000000"/>
                <w:sz w:val="20"/>
                <w:szCs w:val="20"/>
                <w:lang w:eastAsia="sl-SI"/>
              </w:rPr>
            </w:pPr>
            <w:r w:rsidRPr="00A8427A">
              <w:rPr>
                <w:rFonts w:ascii="Arial" w:eastAsia="Times New Roman" w:hAnsi="Arial" w:cs="Arial"/>
                <w:color w:val="000000"/>
                <w:sz w:val="20"/>
                <w:szCs w:val="20"/>
                <w:lang w:eastAsia="sl-SI"/>
              </w:rPr>
              <w:t>22.214.061</w:t>
            </w:r>
          </w:p>
        </w:tc>
        <w:tc>
          <w:tcPr>
            <w:tcW w:w="1790" w:type="dxa"/>
            <w:tcBorders>
              <w:top w:val="nil"/>
              <w:left w:val="nil"/>
              <w:bottom w:val="single" w:sz="4" w:space="0" w:color="auto"/>
              <w:right w:val="single" w:sz="4" w:space="0" w:color="auto"/>
            </w:tcBorders>
            <w:shd w:val="clear" w:color="auto" w:fill="auto"/>
            <w:vAlign w:val="center"/>
            <w:hideMark/>
          </w:tcPr>
          <w:p w14:paraId="6484443A" w14:textId="77777777" w:rsidR="004B7622" w:rsidRPr="00A8427A" w:rsidRDefault="004B7622" w:rsidP="00377989">
            <w:pPr>
              <w:spacing w:after="0" w:line="240" w:lineRule="auto"/>
              <w:jc w:val="right"/>
              <w:rPr>
                <w:rFonts w:ascii="Arial" w:eastAsia="Times New Roman" w:hAnsi="Arial" w:cs="Arial"/>
                <w:b/>
                <w:bCs/>
                <w:sz w:val="20"/>
                <w:szCs w:val="20"/>
                <w:lang w:eastAsia="sl-SI"/>
              </w:rPr>
            </w:pPr>
            <w:r w:rsidRPr="00A8427A">
              <w:rPr>
                <w:rFonts w:ascii="Arial" w:eastAsia="Times New Roman" w:hAnsi="Arial" w:cs="Arial"/>
                <w:b/>
                <w:bCs/>
                <w:sz w:val="20"/>
                <w:szCs w:val="20"/>
                <w:lang w:eastAsia="sl-SI"/>
              </w:rPr>
              <w:t>209.694.833</w:t>
            </w:r>
          </w:p>
        </w:tc>
      </w:tr>
      <w:tr w:rsidR="004B7622" w:rsidRPr="00A8427A" w14:paraId="4FA6CC95" w14:textId="77777777" w:rsidTr="00377989">
        <w:trPr>
          <w:trHeight w:val="261"/>
        </w:trPr>
        <w:tc>
          <w:tcPr>
            <w:tcW w:w="1684" w:type="dxa"/>
            <w:tcBorders>
              <w:top w:val="nil"/>
              <w:left w:val="single" w:sz="4" w:space="0" w:color="auto"/>
              <w:bottom w:val="single" w:sz="4" w:space="0" w:color="auto"/>
              <w:right w:val="single" w:sz="4" w:space="0" w:color="auto"/>
            </w:tcBorders>
            <w:shd w:val="clear" w:color="auto" w:fill="auto"/>
            <w:noWrap/>
            <w:vAlign w:val="center"/>
            <w:hideMark/>
          </w:tcPr>
          <w:p w14:paraId="7280C2D5" w14:textId="77777777" w:rsidR="004B7622" w:rsidRPr="00A8427A" w:rsidRDefault="004B7622" w:rsidP="00377989">
            <w:pPr>
              <w:spacing w:after="0" w:line="240" w:lineRule="auto"/>
              <w:jc w:val="center"/>
              <w:rPr>
                <w:rFonts w:ascii="Arial" w:eastAsia="Times New Roman" w:hAnsi="Arial" w:cs="Arial"/>
                <w:b/>
                <w:bCs/>
                <w:color w:val="000000"/>
                <w:sz w:val="20"/>
                <w:szCs w:val="20"/>
                <w:lang w:eastAsia="sl-SI"/>
              </w:rPr>
            </w:pPr>
            <w:r w:rsidRPr="00A8427A">
              <w:rPr>
                <w:rFonts w:ascii="Arial" w:eastAsia="Times New Roman" w:hAnsi="Arial" w:cs="Arial"/>
                <w:b/>
                <w:bCs/>
                <w:color w:val="000000"/>
                <w:sz w:val="20"/>
                <w:szCs w:val="20"/>
                <w:lang w:eastAsia="sl-SI"/>
              </w:rPr>
              <w:t>2021</w:t>
            </w:r>
          </w:p>
        </w:tc>
        <w:tc>
          <w:tcPr>
            <w:tcW w:w="1891" w:type="dxa"/>
            <w:tcBorders>
              <w:top w:val="nil"/>
              <w:left w:val="nil"/>
              <w:bottom w:val="single" w:sz="4" w:space="0" w:color="auto"/>
              <w:right w:val="single" w:sz="4" w:space="0" w:color="auto"/>
            </w:tcBorders>
            <w:shd w:val="clear" w:color="auto" w:fill="auto"/>
            <w:noWrap/>
            <w:vAlign w:val="bottom"/>
            <w:hideMark/>
          </w:tcPr>
          <w:p w14:paraId="50BF4F40" w14:textId="77777777" w:rsidR="004B7622" w:rsidRPr="00A8427A" w:rsidRDefault="004B7622" w:rsidP="00377989">
            <w:pPr>
              <w:spacing w:after="0" w:line="240" w:lineRule="auto"/>
              <w:jc w:val="right"/>
              <w:rPr>
                <w:rFonts w:ascii="Arial" w:eastAsia="Times New Roman" w:hAnsi="Arial" w:cs="Arial"/>
                <w:color w:val="000000"/>
                <w:sz w:val="20"/>
                <w:szCs w:val="20"/>
                <w:lang w:eastAsia="sl-SI"/>
              </w:rPr>
            </w:pPr>
            <w:r w:rsidRPr="00A8427A">
              <w:rPr>
                <w:rFonts w:ascii="Arial" w:eastAsia="Times New Roman" w:hAnsi="Arial" w:cs="Arial"/>
                <w:color w:val="000000"/>
                <w:sz w:val="20"/>
                <w:szCs w:val="20"/>
                <w:lang w:eastAsia="sl-SI"/>
              </w:rPr>
              <w:t>119.650.637</w:t>
            </w:r>
          </w:p>
        </w:tc>
        <w:tc>
          <w:tcPr>
            <w:tcW w:w="1790" w:type="dxa"/>
            <w:tcBorders>
              <w:top w:val="nil"/>
              <w:left w:val="nil"/>
              <w:bottom w:val="single" w:sz="4" w:space="0" w:color="auto"/>
              <w:right w:val="single" w:sz="4" w:space="0" w:color="auto"/>
            </w:tcBorders>
            <w:shd w:val="clear" w:color="auto" w:fill="auto"/>
            <w:noWrap/>
            <w:vAlign w:val="bottom"/>
            <w:hideMark/>
          </w:tcPr>
          <w:p w14:paraId="56503D6A" w14:textId="77777777" w:rsidR="004B7622" w:rsidRPr="00A8427A" w:rsidRDefault="004B7622" w:rsidP="00377989">
            <w:pPr>
              <w:spacing w:after="0" w:line="240" w:lineRule="auto"/>
              <w:jc w:val="right"/>
              <w:rPr>
                <w:rFonts w:ascii="Arial" w:eastAsia="Times New Roman" w:hAnsi="Arial" w:cs="Arial"/>
                <w:color w:val="000000"/>
                <w:sz w:val="20"/>
                <w:szCs w:val="20"/>
                <w:lang w:eastAsia="sl-SI"/>
              </w:rPr>
            </w:pPr>
            <w:r w:rsidRPr="00A8427A">
              <w:rPr>
                <w:rFonts w:ascii="Arial" w:eastAsia="Times New Roman" w:hAnsi="Arial" w:cs="Arial"/>
                <w:color w:val="000000"/>
                <w:sz w:val="20"/>
                <w:szCs w:val="20"/>
                <w:lang w:eastAsia="sl-SI"/>
              </w:rPr>
              <w:t>39.045.370</w:t>
            </w:r>
          </w:p>
        </w:tc>
        <w:tc>
          <w:tcPr>
            <w:tcW w:w="1790" w:type="dxa"/>
            <w:tcBorders>
              <w:top w:val="nil"/>
              <w:left w:val="nil"/>
              <w:bottom w:val="single" w:sz="4" w:space="0" w:color="auto"/>
              <w:right w:val="single" w:sz="4" w:space="0" w:color="auto"/>
            </w:tcBorders>
            <w:shd w:val="clear" w:color="auto" w:fill="auto"/>
            <w:noWrap/>
            <w:vAlign w:val="bottom"/>
            <w:hideMark/>
          </w:tcPr>
          <w:p w14:paraId="5F50EC50" w14:textId="77777777" w:rsidR="004B7622" w:rsidRPr="00A8427A" w:rsidRDefault="004B7622" w:rsidP="00377989">
            <w:pPr>
              <w:spacing w:after="0" w:line="240" w:lineRule="auto"/>
              <w:jc w:val="right"/>
              <w:rPr>
                <w:rFonts w:ascii="Arial" w:eastAsia="Times New Roman" w:hAnsi="Arial" w:cs="Arial"/>
                <w:color w:val="000000"/>
                <w:sz w:val="20"/>
                <w:szCs w:val="20"/>
                <w:lang w:eastAsia="sl-SI"/>
              </w:rPr>
            </w:pPr>
            <w:r w:rsidRPr="00A8427A">
              <w:rPr>
                <w:rFonts w:ascii="Arial" w:eastAsia="Times New Roman" w:hAnsi="Arial" w:cs="Arial"/>
                <w:color w:val="000000"/>
                <w:sz w:val="20"/>
                <w:szCs w:val="20"/>
                <w:lang w:eastAsia="sl-SI"/>
              </w:rPr>
              <w:t>21.938.411</w:t>
            </w:r>
          </w:p>
        </w:tc>
        <w:tc>
          <w:tcPr>
            <w:tcW w:w="1790" w:type="dxa"/>
            <w:tcBorders>
              <w:top w:val="nil"/>
              <w:left w:val="nil"/>
              <w:bottom w:val="single" w:sz="4" w:space="0" w:color="auto"/>
              <w:right w:val="single" w:sz="4" w:space="0" w:color="auto"/>
            </w:tcBorders>
            <w:shd w:val="clear" w:color="auto" w:fill="auto"/>
            <w:vAlign w:val="center"/>
            <w:hideMark/>
          </w:tcPr>
          <w:p w14:paraId="3E86ACFA" w14:textId="77777777" w:rsidR="004B7622" w:rsidRPr="00A8427A" w:rsidRDefault="004B7622" w:rsidP="00377989">
            <w:pPr>
              <w:spacing w:after="0" w:line="240" w:lineRule="auto"/>
              <w:jc w:val="right"/>
              <w:rPr>
                <w:rFonts w:ascii="Arial" w:eastAsia="Times New Roman" w:hAnsi="Arial" w:cs="Arial"/>
                <w:b/>
                <w:bCs/>
                <w:sz w:val="20"/>
                <w:szCs w:val="20"/>
                <w:lang w:eastAsia="sl-SI"/>
              </w:rPr>
            </w:pPr>
            <w:r w:rsidRPr="00A8427A">
              <w:rPr>
                <w:rFonts w:ascii="Arial" w:eastAsia="Times New Roman" w:hAnsi="Arial" w:cs="Arial"/>
                <w:b/>
                <w:bCs/>
                <w:sz w:val="20"/>
                <w:szCs w:val="20"/>
                <w:lang w:eastAsia="sl-SI"/>
              </w:rPr>
              <w:t>180.634.418</w:t>
            </w:r>
          </w:p>
        </w:tc>
      </w:tr>
    </w:tbl>
    <w:p w14:paraId="4D036132" w14:textId="77777777" w:rsidR="004B7622" w:rsidRPr="00534703" w:rsidRDefault="004B7622" w:rsidP="004B7622">
      <w:pPr>
        <w:rPr>
          <w:rFonts w:ascii="Arial" w:hAnsi="Arial" w:cs="Arial"/>
          <w:i/>
          <w:sz w:val="20"/>
          <w:szCs w:val="20"/>
        </w:rPr>
      </w:pPr>
      <w:r w:rsidRPr="00534703">
        <w:rPr>
          <w:rFonts w:ascii="Arial" w:hAnsi="Arial" w:cs="Arial"/>
          <w:i/>
          <w:sz w:val="20"/>
          <w:szCs w:val="20"/>
        </w:rPr>
        <w:t>Vir: FURS</w:t>
      </w:r>
    </w:p>
    <w:p w14:paraId="15B498AD" w14:textId="77777777" w:rsidR="004B7622" w:rsidRPr="005263B6" w:rsidRDefault="004B7622" w:rsidP="004B7622">
      <w:pPr>
        <w:jc w:val="both"/>
        <w:rPr>
          <w:rFonts w:ascii="Arial" w:hAnsi="Arial" w:cs="Arial"/>
          <w:sz w:val="20"/>
          <w:szCs w:val="20"/>
        </w:rPr>
      </w:pPr>
      <w:r>
        <w:rPr>
          <w:rFonts w:ascii="Arial" w:hAnsi="Arial" w:cs="Arial"/>
          <w:sz w:val="20"/>
          <w:szCs w:val="20"/>
        </w:rPr>
        <w:t>P</w:t>
      </w:r>
      <w:r w:rsidRPr="005263B6">
        <w:rPr>
          <w:rFonts w:ascii="Arial" w:hAnsi="Arial" w:cs="Arial"/>
          <w:sz w:val="20"/>
          <w:szCs w:val="20"/>
        </w:rPr>
        <w:t>odatki o odpisanih davčnih obveznostih ločeno po javnofinančnih blaga</w:t>
      </w:r>
      <w:r>
        <w:rPr>
          <w:rFonts w:ascii="Arial" w:hAnsi="Arial" w:cs="Arial"/>
          <w:sz w:val="20"/>
          <w:szCs w:val="20"/>
        </w:rPr>
        <w:t>jnah so prikazani v preglednici 11.</w:t>
      </w:r>
    </w:p>
    <w:p w14:paraId="4C51F2B3" w14:textId="77777777" w:rsidR="004B7622" w:rsidRDefault="004B7622" w:rsidP="004B7622">
      <w:pPr>
        <w:rPr>
          <w:rFonts w:ascii="Arial" w:hAnsi="Arial" w:cs="Arial"/>
          <w:i/>
          <w:sz w:val="20"/>
          <w:szCs w:val="20"/>
        </w:rPr>
      </w:pPr>
      <w:r w:rsidRPr="002C0730">
        <w:rPr>
          <w:rFonts w:ascii="Arial" w:hAnsi="Arial" w:cs="Arial"/>
          <w:i/>
          <w:sz w:val="20"/>
          <w:szCs w:val="20"/>
        </w:rPr>
        <w:t>Preglednica 11: Odpisi davčnih obveznosti po blagajnah javnega financiranja v EUR</w:t>
      </w:r>
    </w:p>
    <w:tbl>
      <w:tblPr>
        <w:tblW w:w="9207" w:type="dxa"/>
        <w:tblCellMar>
          <w:left w:w="70" w:type="dxa"/>
          <w:right w:w="70" w:type="dxa"/>
        </w:tblCellMar>
        <w:tblLook w:val="04A0" w:firstRow="1" w:lastRow="0" w:firstColumn="1" w:lastColumn="0" w:noHBand="0" w:noVBand="1"/>
      </w:tblPr>
      <w:tblGrid>
        <w:gridCol w:w="1603"/>
        <w:gridCol w:w="1466"/>
        <w:gridCol w:w="1427"/>
        <w:gridCol w:w="1308"/>
        <w:gridCol w:w="1153"/>
        <w:gridCol w:w="1075"/>
        <w:gridCol w:w="1253"/>
      </w:tblGrid>
      <w:tr w:rsidR="004B7622" w:rsidRPr="00F91A57" w14:paraId="744D7E41" w14:textId="77777777" w:rsidTr="00377989">
        <w:trPr>
          <w:trHeight w:val="1175"/>
        </w:trPr>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88C4C" w14:textId="77777777" w:rsidR="004B7622" w:rsidRPr="00F91A57" w:rsidRDefault="004B7622" w:rsidP="00377989">
            <w:pPr>
              <w:spacing w:after="0" w:line="240" w:lineRule="auto"/>
              <w:rPr>
                <w:rFonts w:ascii="Arial" w:eastAsia="Times New Roman" w:hAnsi="Arial" w:cs="Arial"/>
                <w:b/>
                <w:bCs/>
                <w:color w:val="000000"/>
                <w:sz w:val="20"/>
                <w:szCs w:val="20"/>
                <w:lang w:eastAsia="sl-SI"/>
              </w:rPr>
            </w:pPr>
            <w:r w:rsidRPr="00F91A57">
              <w:rPr>
                <w:rFonts w:ascii="Arial" w:eastAsia="Times New Roman" w:hAnsi="Arial" w:cs="Arial"/>
                <w:b/>
                <w:bCs/>
                <w:color w:val="000000"/>
                <w:sz w:val="20"/>
                <w:szCs w:val="20"/>
                <w:lang w:eastAsia="sl-SI"/>
              </w:rPr>
              <w:t xml:space="preserve">Leto </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14:paraId="548B468E" w14:textId="77777777" w:rsidR="004B7622" w:rsidRPr="00F91A57" w:rsidRDefault="004B7622" w:rsidP="00377989">
            <w:pPr>
              <w:spacing w:after="0" w:line="240" w:lineRule="auto"/>
              <w:rPr>
                <w:rFonts w:ascii="Arial" w:eastAsia="Times New Roman" w:hAnsi="Arial" w:cs="Arial"/>
                <w:b/>
                <w:bCs/>
                <w:color w:val="000000"/>
                <w:sz w:val="20"/>
                <w:szCs w:val="20"/>
                <w:lang w:eastAsia="sl-SI"/>
              </w:rPr>
            </w:pPr>
            <w:r w:rsidRPr="00F91A57">
              <w:rPr>
                <w:rFonts w:ascii="Arial" w:eastAsia="Times New Roman" w:hAnsi="Arial" w:cs="Arial"/>
                <w:b/>
                <w:bCs/>
                <w:color w:val="000000"/>
                <w:sz w:val="20"/>
                <w:szCs w:val="20"/>
                <w:lang w:eastAsia="sl-SI"/>
              </w:rPr>
              <w:t xml:space="preserve">Državni proračun </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14:paraId="7E1E94AB" w14:textId="77777777" w:rsidR="004B7622" w:rsidRPr="00F91A57" w:rsidRDefault="004B7622" w:rsidP="00377989">
            <w:pPr>
              <w:spacing w:after="0" w:line="240" w:lineRule="auto"/>
              <w:rPr>
                <w:rFonts w:ascii="Arial" w:eastAsia="Times New Roman" w:hAnsi="Arial" w:cs="Arial"/>
                <w:b/>
                <w:bCs/>
                <w:sz w:val="20"/>
                <w:szCs w:val="20"/>
                <w:lang w:eastAsia="sl-SI"/>
              </w:rPr>
            </w:pPr>
            <w:r w:rsidRPr="00F91A57">
              <w:rPr>
                <w:rFonts w:ascii="Arial" w:eastAsia="Times New Roman" w:hAnsi="Arial" w:cs="Arial"/>
                <w:b/>
                <w:bCs/>
                <w:sz w:val="20"/>
                <w:szCs w:val="20"/>
                <w:lang w:eastAsia="sl-SI"/>
              </w:rPr>
              <w:t xml:space="preserve">Zavod za pokojninsko in invalidsko zavarovanje </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14:paraId="763A5137" w14:textId="77777777" w:rsidR="004B7622" w:rsidRPr="00F91A57" w:rsidRDefault="004B7622" w:rsidP="00377989">
            <w:pPr>
              <w:spacing w:after="0" w:line="240" w:lineRule="auto"/>
              <w:rPr>
                <w:rFonts w:ascii="Arial" w:eastAsia="Times New Roman" w:hAnsi="Arial" w:cs="Arial"/>
                <w:b/>
                <w:bCs/>
                <w:sz w:val="20"/>
                <w:szCs w:val="20"/>
                <w:lang w:eastAsia="sl-SI"/>
              </w:rPr>
            </w:pPr>
            <w:r w:rsidRPr="00F91A57">
              <w:rPr>
                <w:rFonts w:ascii="Arial" w:eastAsia="Times New Roman" w:hAnsi="Arial" w:cs="Arial"/>
                <w:b/>
                <w:bCs/>
                <w:sz w:val="20"/>
                <w:szCs w:val="20"/>
                <w:lang w:eastAsia="sl-SI"/>
              </w:rPr>
              <w:t xml:space="preserve">Zavod za zdravstveno zavarovanje Slovenije </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364A96CE" w14:textId="77777777" w:rsidR="004B7622" w:rsidRPr="00F91A57" w:rsidRDefault="004B7622" w:rsidP="00377989">
            <w:pPr>
              <w:spacing w:after="0" w:line="240" w:lineRule="auto"/>
              <w:rPr>
                <w:rFonts w:ascii="Arial" w:eastAsia="Times New Roman" w:hAnsi="Arial" w:cs="Arial"/>
                <w:b/>
                <w:bCs/>
                <w:sz w:val="20"/>
                <w:szCs w:val="20"/>
                <w:lang w:eastAsia="sl-SI"/>
              </w:rPr>
            </w:pPr>
            <w:r w:rsidRPr="00F91A57">
              <w:rPr>
                <w:rFonts w:ascii="Arial" w:eastAsia="Times New Roman" w:hAnsi="Arial" w:cs="Arial"/>
                <w:b/>
                <w:bCs/>
                <w:sz w:val="20"/>
                <w:szCs w:val="20"/>
                <w:lang w:eastAsia="sl-SI"/>
              </w:rPr>
              <w:t>Proračun občin</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14:paraId="66881EFF" w14:textId="77777777" w:rsidR="004B7622" w:rsidRPr="00F91A57" w:rsidRDefault="004B7622" w:rsidP="00377989">
            <w:pPr>
              <w:spacing w:after="0" w:line="240" w:lineRule="auto"/>
              <w:rPr>
                <w:rFonts w:ascii="Arial" w:eastAsia="Times New Roman" w:hAnsi="Arial" w:cs="Arial"/>
                <w:b/>
                <w:bCs/>
                <w:sz w:val="20"/>
                <w:szCs w:val="20"/>
                <w:lang w:eastAsia="sl-SI"/>
              </w:rPr>
            </w:pPr>
            <w:r w:rsidRPr="00F91A57">
              <w:rPr>
                <w:rFonts w:ascii="Arial" w:eastAsia="Times New Roman" w:hAnsi="Arial" w:cs="Arial"/>
                <w:b/>
                <w:bCs/>
                <w:sz w:val="20"/>
                <w:szCs w:val="20"/>
                <w:lang w:eastAsia="sl-SI"/>
              </w:rPr>
              <w:t>Ostalo</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0F1A0564" w14:textId="77777777" w:rsidR="004B7622" w:rsidRPr="00F91A57" w:rsidRDefault="004B7622" w:rsidP="00377989">
            <w:pPr>
              <w:spacing w:after="0" w:line="240" w:lineRule="auto"/>
              <w:rPr>
                <w:rFonts w:ascii="Arial" w:eastAsia="Times New Roman" w:hAnsi="Arial" w:cs="Arial"/>
                <w:b/>
                <w:bCs/>
                <w:sz w:val="20"/>
                <w:szCs w:val="20"/>
                <w:lang w:eastAsia="sl-SI"/>
              </w:rPr>
            </w:pPr>
            <w:r w:rsidRPr="00F91A57">
              <w:rPr>
                <w:rFonts w:ascii="Arial" w:eastAsia="Times New Roman" w:hAnsi="Arial" w:cs="Arial"/>
                <w:b/>
                <w:bCs/>
                <w:sz w:val="20"/>
                <w:szCs w:val="20"/>
                <w:lang w:eastAsia="sl-SI"/>
              </w:rPr>
              <w:t>SKUPAJ</w:t>
            </w:r>
          </w:p>
        </w:tc>
      </w:tr>
      <w:tr w:rsidR="004B7622" w:rsidRPr="00F91A57" w14:paraId="74BE10DA" w14:textId="77777777" w:rsidTr="00377989">
        <w:trPr>
          <w:trHeight w:val="381"/>
        </w:trPr>
        <w:tc>
          <w:tcPr>
            <w:tcW w:w="1603" w:type="dxa"/>
            <w:tcBorders>
              <w:top w:val="nil"/>
              <w:left w:val="single" w:sz="4" w:space="0" w:color="auto"/>
              <w:bottom w:val="single" w:sz="4" w:space="0" w:color="auto"/>
              <w:right w:val="single" w:sz="4" w:space="0" w:color="auto"/>
            </w:tcBorders>
            <w:shd w:val="clear" w:color="auto" w:fill="auto"/>
            <w:noWrap/>
            <w:vAlign w:val="center"/>
            <w:hideMark/>
          </w:tcPr>
          <w:p w14:paraId="5BF174E7" w14:textId="77777777" w:rsidR="004B7622" w:rsidRPr="00F91A57" w:rsidRDefault="004B7622" w:rsidP="00377989">
            <w:pPr>
              <w:spacing w:after="0" w:line="240" w:lineRule="auto"/>
              <w:jc w:val="center"/>
              <w:rPr>
                <w:rFonts w:ascii="Arial" w:eastAsia="Times New Roman" w:hAnsi="Arial" w:cs="Arial"/>
                <w:b/>
                <w:bCs/>
                <w:sz w:val="20"/>
                <w:szCs w:val="20"/>
                <w:lang w:eastAsia="sl-SI"/>
              </w:rPr>
            </w:pPr>
            <w:r w:rsidRPr="00F91A57">
              <w:rPr>
                <w:rFonts w:ascii="Arial" w:eastAsia="Times New Roman" w:hAnsi="Arial" w:cs="Arial"/>
                <w:b/>
                <w:bCs/>
                <w:sz w:val="20"/>
                <w:szCs w:val="20"/>
                <w:lang w:eastAsia="sl-SI"/>
              </w:rPr>
              <w:t>2016</w:t>
            </w:r>
          </w:p>
        </w:tc>
        <w:tc>
          <w:tcPr>
            <w:tcW w:w="1466" w:type="dxa"/>
            <w:tcBorders>
              <w:top w:val="nil"/>
              <w:left w:val="nil"/>
              <w:bottom w:val="single" w:sz="4" w:space="0" w:color="auto"/>
              <w:right w:val="single" w:sz="4" w:space="0" w:color="auto"/>
            </w:tcBorders>
            <w:shd w:val="clear" w:color="auto" w:fill="auto"/>
            <w:vAlign w:val="center"/>
            <w:hideMark/>
          </w:tcPr>
          <w:p w14:paraId="591EB455" w14:textId="77777777" w:rsidR="004B7622" w:rsidRPr="00F91A57" w:rsidRDefault="004B7622" w:rsidP="00377989">
            <w:pPr>
              <w:spacing w:after="0" w:line="240" w:lineRule="auto"/>
              <w:jc w:val="right"/>
              <w:rPr>
                <w:rFonts w:ascii="Arial" w:eastAsia="Times New Roman" w:hAnsi="Arial" w:cs="Arial"/>
                <w:color w:val="000000"/>
                <w:sz w:val="20"/>
                <w:szCs w:val="20"/>
                <w:lang w:eastAsia="sl-SI"/>
              </w:rPr>
            </w:pPr>
            <w:r w:rsidRPr="00F91A57">
              <w:rPr>
                <w:rFonts w:ascii="Arial" w:eastAsia="Times New Roman" w:hAnsi="Arial" w:cs="Arial"/>
                <w:color w:val="000000"/>
                <w:sz w:val="20"/>
                <w:szCs w:val="20"/>
                <w:lang w:eastAsia="sl-SI"/>
              </w:rPr>
              <w:t>134.878.424</w:t>
            </w:r>
          </w:p>
        </w:tc>
        <w:tc>
          <w:tcPr>
            <w:tcW w:w="1427" w:type="dxa"/>
            <w:tcBorders>
              <w:top w:val="nil"/>
              <w:left w:val="nil"/>
              <w:bottom w:val="single" w:sz="4" w:space="0" w:color="auto"/>
              <w:right w:val="single" w:sz="4" w:space="0" w:color="auto"/>
            </w:tcBorders>
            <w:shd w:val="clear" w:color="auto" w:fill="auto"/>
            <w:vAlign w:val="center"/>
            <w:hideMark/>
          </w:tcPr>
          <w:p w14:paraId="09F908BC" w14:textId="77777777" w:rsidR="004B7622" w:rsidRPr="00F91A57" w:rsidRDefault="004B7622" w:rsidP="00377989">
            <w:pPr>
              <w:spacing w:after="0" w:line="240" w:lineRule="auto"/>
              <w:jc w:val="right"/>
              <w:rPr>
                <w:rFonts w:ascii="Arial" w:eastAsia="Times New Roman" w:hAnsi="Arial" w:cs="Arial"/>
                <w:color w:val="000000"/>
                <w:sz w:val="20"/>
                <w:szCs w:val="20"/>
                <w:lang w:eastAsia="sl-SI"/>
              </w:rPr>
            </w:pPr>
            <w:r w:rsidRPr="00F91A57">
              <w:rPr>
                <w:rFonts w:ascii="Arial" w:eastAsia="Times New Roman" w:hAnsi="Arial" w:cs="Arial"/>
                <w:color w:val="000000"/>
                <w:sz w:val="20"/>
                <w:szCs w:val="20"/>
                <w:lang w:eastAsia="sl-SI"/>
              </w:rPr>
              <w:t>28.814.402</w:t>
            </w:r>
          </w:p>
        </w:tc>
        <w:tc>
          <w:tcPr>
            <w:tcW w:w="1173" w:type="dxa"/>
            <w:tcBorders>
              <w:top w:val="nil"/>
              <w:left w:val="nil"/>
              <w:bottom w:val="single" w:sz="4" w:space="0" w:color="auto"/>
              <w:right w:val="single" w:sz="4" w:space="0" w:color="auto"/>
            </w:tcBorders>
            <w:shd w:val="clear" w:color="auto" w:fill="auto"/>
            <w:vAlign w:val="center"/>
            <w:hideMark/>
          </w:tcPr>
          <w:p w14:paraId="31D0BE55" w14:textId="77777777" w:rsidR="004B7622" w:rsidRPr="00F91A57" w:rsidRDefault="004B7622" w:rsidP="00377989">
            <w:pPr>
              <w:spacing w:after="0" w:line="240" w:lineRule="auto"/>
              <w:jc w:val="right"/>
              <w:rPr>
                <w:rFonts w:ascii="Arial" w:eastAsia="Times New Roman" w:hAnsi="Arial" w:cs="Arial"/>
                <w:color w:val="000000"/>
                <w:sz w:val="20"/>
                <w:szCs w:val="20"/>
                <w:lang w:eastAsia="sl-SI"/>
              </w:rPr>
            </w:pPr>
            <w:r w:rsidRPr="00F91A57">
              <w:rPr>
                <w:rFonts w:ascii="Arial" w:eastAsia="Times New Roman" w:hAnsi="Arial" w:cs="Arial"/>
                <w:color w:val="000000"/>
                <w:sz w:val="20"/>
                <w:szCs w:val="20"/>
                <w:lang w:eastAsia="sl-SI"/>
              </w:rPr>
              <w:t>14.391.524</w:t>
            </w:r>
          </w:p>
        </w:tc>
        <w:tc>
          <w:tcPr>
            <w:tcW w:w="1153" w:type="dxa"/>
            <w:tcBorders>
              <w:top w:val="nil"/>
              <w:left w:val="nil"/>
              <w:bottom w:val="single" w:sz="4" w:space="0" w:color="auto"/>
              <w:right w:val="single" w:sz="4" w:space="0" w:color="auto"/>
            </w:tcBorders>
            <w:shd w:val="clear" w:color="auto" w:fill="auto"/>
            <w:vAlign w:val="center"/>
            <w:hideMark/>
          </w:tcPr>
          <w:p w14:paraId="302298E6" w14:textId="77777777" w:rsidR="004B7622" w:rsidRPr="00F91A57" w:rsidRDefault="004B7622" w:rsidP="00377989">
            <w:pPr>
              <w:spacing w:after="0" w:line="240" w:lineRule="auto"/>
              <w:jc w:val="right"/>
              <w:rPr>
                <w:rFonts w:ascii="Arial" w:eastAsia="Times New Roman" w:hAnsi="Arial" w:cs="Arial"/>
                <w:color w:val="000000"/>
                <w:sz w:val="20"/>
                <w:szCs w:val="20"/>
                <w:lang w:eastAsia="sl-SI"/>
              </w:rPr>
            </w:pPr>
            <w:r w:rsidRPr="00F91A57">
              <w:rPr>
                <w:rFonts w:ascii="Arial" w:eastAsia="Times New Roman" w:hAnsi="Arial" w:cs="Arial"/>
                <w:color w:val="000000"/>
                <w:sz w:val="20"/>
                <w:szCs w:val="20"/>
                <w:lang w:eastAsia="sl-SI"/>
              </w:rPr>
              <w:t>3.023.230</w:t>
            </w:r>
          </w:p>
        </w:tc>
        <w:tc>
          <w:tcPr>
            <w:tcW w:w="1075" w:type="dxa"/>
            <w:tcBorders>
              <w:top w:val="nil"/>
              <w:left w:val="nil"/>
              <w:bottom w:val="single" w:sz="4" w:space="0" w:color="auto"/>
              <w:right w:val="single" w:sz="4" w:space="0" w:color="auto"/>
            </w:tcBorders>
            <w:shd w:val="clear" w:color="auto" w:fill="auto"/>
            <w:vAlign w:val="center"/>
            <w:hideMark/>
          </w:tcPr>
          <w:p w14:paraId="3A50771D" w14:textId="77777777" w:rsidR="004B7622" w:rsidRPr="00F91A57" w:rsidRDefault="004B7622" w:rsidP="00377989">
            <w:pPr>
              <w:spacing w:after="0" w:line="240" w:lineRule="auto"/>
              <w:jc w:val="right"/>
              <w:rPr>
                <w:rFonts w:ascii="Arial" w:eastAsia="Times New Roman" w:hAnsi="Arial" w:cs="Arial"/>
                <w:sz w:val="20"/>
                <w:szCs w:val="20"/>
                <w:lang w:eastAsia="sl-SI"/>
              </w:rPr>
            </w:pPr>
            <w:r w:rsidRPr="00F91A57">
              <w:rPr>
                <w:rFonts w:ascii="Arial" w:eastAsia="Times New Roman" w:hAnsi="Arial" w:cs="Arial"/>
                <w:sz w:val="20"/>
                <w:szCs w:val="20"/>
                <w:lang w:eastAsia="sl-SI"/>
              </w:rPr>
              <w:t>923.710</w:t>
            </w:r>
          </w:p>
        </w:tc>
        <w:tc>
          <w:tcPr>
            <w:tcW w:w="1310" w:type="dxa"/>
            <w:tcBorders>
              <w:top w:val="nil"/>
              <w:left w:val="nil"/>
              <w:bottom w:val="single" w:sz="4" w:space="0" w:color="auto"/>
              <w:right w:val="single" w:sz="4" w:space="0" w:color="auto"/>
            </w:tcBorders>
            <w:shd w:val="clear" w:color="auto" w:fill="auto"/>
            <w:vAlign w:val="center"/>
            <w:hideMark/>
          </w:tcPr>
          <w:p w14:paraId="3BF658EB" w14:textId="77777777" w:rsidR="004B7622" w:rsidRPr="00F91A57" w:rsidRDefault="004B7622" w:rsidP="00377989">
            <w:pPr>
              <w:spacing w:after="0" w:line="240" w:lineRule="auto"/>
              <w:jc w:val="right"/>
              <w:rPr>
                <w:rFonts w:ascii="Arial" w:eastAsia="Times New Roman" w:hAnsi="Arial" w:cs="Arial"/>
                <w:b/>
                <w:bCs/>
                <w:color w:val="000000"/>
                <w:sz w:val="20"/>
                <w:szCs w:val="20"/>
                <w:lang w:eastAsia="sl-SI"/>
              </w:rPr>
            </w:pPr>
            <w:r w:rsidRPr="00F91A57">
              <w:rPr>
                <w:rFonts w:ascii="Arial" w:eastAsia="Times New Roman" w:hAnsi="Arial" w:cs="Arial"/>
                <w:b/>
                <w:bCs/>
                <w:color w:val="000000"/>
                <w:sz w:val="20"/>
                <w:szCs w:val="20"/>
                <w:lang w:eastAsia="sl-SI"/>
              </w:rPr>
              <w:t>182.031.290</w:t>
            </w:r>
          </w:p>
        </w:tc>
      </w:tr>
      <w:tr w:rsidR="004B7622" w:rsidRPr="00F91A57" w14:paraId="241DAEC4" w14:textId="77777777" w:rsidTr="00377989">
        <w:trPr>
          <w:trHeight w:val="293"/>
        </w:trPr>
        <w:tc>
          <w:tcPr>
            <w:tcW w:w="1603" w:type="dxa"/>
            <w:tcBorders>
              <w:top w:val="nil"/>
              <w:left w:val="single" w:sz="4" w:space="0" w:color="auto"/>
              <w:bottom w:val="single" w:sz="4" w:space="0" w:color="auto"/>
              <w:right w:val="single" w:sz="4" w:space="0" w:color="auto"/>
            </w:tcBorders>
            <w:shd w:val="clear" w:color="auto" w:fill="auto"/>
            <w:noWrap/>
            <w:vAlign w:val="center"/>
            <w:hideMark/>
          </w:tcPr>
          <w:p w14:paraId="3A996119" w14:textId="77777777" w:rsidR="004B7622" w:rsidRPr="00F91A57" w:rsidRDefault="004B7622" w:rsidP="00377989">
            <w:pPr>
              <w:spacing w:after="0" w:line="240" w:lineRule="auto"/>
              <w:jc w:val="center"/>
              <w:rPr>
                <w:rFonts w:ascii="Arial" w:eastAsia="Times New Roman" w:hAnsi="Arial" w:cs="Arial"/>
                <w:b/>
                <w:bCs/>
                <w:color w:val="000000"/>
                <w:sz w:val="20"/>
                <w:szCs w:val="20"/>
                <w:lang w:eastAsia="sl-SI"/>
              </w:rPr>
            </w:pPr>
            <w:r w:rsidRPr="00F91A57">
              <w:rPr>
                <w:rFonts w:ascii="Arial" w:eastAsia="Times New Roman" w:hAnsi="Arial" w:cs="Arial"/>
                <w:b/>
                <w:bCs/>
                <w:color w:val="000000"/>
                <w:sz w:val="20"/>
                <w:szCs w:val="20"/>
                <w:lang w:eastAsia="sl-SI"/>
              </w:rPr>
              <w:t>2017</w:t>
            </w:r>
          </w:p>
        </w:tc>
        <w:tc>
          <w:tcPr>
            <w:tcW w:w="1466" w:type="dxa"/>
            <w:tcBorders>
              <w:top w:val="nil"/>
              <w:left w:val="nil"/>
              <w:bottom w:val="single" w:sz="4" w:space="0" w:color="auto"/>
              <w:right w:val="single" w:sz="4" w:space="0" w:color="auto"/>
            </w:tcBorders>
            <w:shd w:val="clear" w:color="000000" w:fill="FFFFFF"/>
            <w:vAlign w:val="center"/>
            <w:hideMark/>
          </w:tcPr>
          <w:p w14:paraId="292ED71F" w14:textId="77777777" w:rsidR="004B7622" w:rsidRPr="00F91A57" w:rsidRDefault="004B7622" w:rsidP="00377989">
            <w:pPr>
              <w:spacing w:after="0" w:line="240" w:lineRule="auto"/>
              <w:jc w:val="right"/>
              <w:rPr>
                <w:rFonts w:ascii="Arial" w:eastAsia="Times New Roman" w:hAnsi="Arial" w:cs="Arial"/>
                <w:color w:val="000000"/>
                <w:sz w:val="20"/>
                <w:szCs w:val="20"/>
                <w:lang w:eastAsia="sl-SI"/>
              </w:rPr>
            </w:pPr>
            <w:r w:rsidRPr="00F91A57">
              <w:rPr>
                <w:rFonts w:ascii="Arial" w:eastAsia="Times New Roman" w:hAnsi="Arial" w:cs="Arial"/>
                <w:color w:val="000000"/>
                <w:sz w:val="20"/>
                <w:szCs w:val="20"/>
                <w:lang w:eastAsia="sl-SI"/>
              </w:rPr>
              <w:t>134.363.291</w:t>
            </w:r>
          </w:p>
        </w:tc>
        <w:tc>
          <w:tcPr>
            <w:tcW w:w="1427" w:type="dxa"/>
            <w:tcBorders>
              <w:top w:val="nil"/>
              <w:left w:val="nil"/>
              <w:bottom w:val="single" w:sz="4" w:space="0" w:color="auto"/>
              <w:right w:val="single" w:sz="4" w:space="0" w:color="auto"/>
            </w:tcBorders>
            <w:shd w:val="clear" w:color="000000" w:fill="FFFFFF"/>
            <w:vAlign w:val="center"/>
            <w:hideMark/>
          </w:tcPr>
          <w:p w14:paraId="04FF8E57" w14:textId="77777777" w:rsidR="004B7622" w:rsidRPr="00F91A57" w:rsidRDefault="004B7622" w:rsidP="00377989">
            <w:pPr>
              <w:spacing w:after="0" w:line="240" w:lineRule="auto"/>
              <w:jc w:val="right"/>
              <w:rPr>
                <w:rFonts w:ascii="Arial" w:eastAsia="Times New Roman" w:hAnsi="Arial" w:cs="Arial"/>
                <w:color w:val="000000"/>
                <w:sz w:val="20"/>
                <w:szCs w:val="20"/>
                <w:lang w:eastAsia="sl-SI"/>
              </w:rPr>
            </w:pPr>
            <w:r w:rsidRPr="00F91A57">
              <w:rPr>
                <w:rFonts w:ascii="Arial" w:eastAsia="Times New Roman" w:hAnsi="Arial" w:cs="Arial"/>
                <w:color w:val="000000"/>
                <w:sz w:val="20"/>
                <w:szCs w:val="20"/>
                <w:lang w:eastAsia="sl-SI"/>
              </w:rPr>
              <w:t>25.644.156</w:t>
            </w:r>
          </w:p>
        </w:tc>
        <w:tc>
          <w:tcPr>
            <w:tcW w:w="1173" w:type="dxa"/>
            <w:tcBorders>
              <w:top w:val="nil"/>
              <w:left w:val="nil"/>
              <w:bottom w:val="single" w:sz="4" w:space="0" w:color="auto"/>
              <w:right w:val="single" w:sz="4" w:space="0" w:color="auto"/>
            </w:tcBorders>
            <w:shd w:val="clear" w:color="000000" w:fill="FFFFFF"/>
            <w:vAlign w:val="center"/>
            <w:hideMark/>
          </w:tcPr>
          <w:p w14:paraId="5B045D6C" w14:textId="77777777" w:rsidR="004B7622" w:rsidRPr="00F91A57" w:rsidRDefault="004B7622" w:rsidP="00377989">
            <w:pPr>
              <w:spacing w:after="0" w:line="240" w:lineRule="auto"/>
              <w:jc w:val="right"/>
              <w:rPr>
                <w:rFonts w:ascii="Arial" w:eastAsia="Times New Roman" w:hAnsi="Arial" w:cs="Arial"/>
                <w:color w:val="000000"/>
                <w:sz w:val="20"/>
                <w:szCs w:val="20"/>
                <w:lang w:eastAsia="sl-SI"/>
              </w:rPr>
            </w:pPr>
            <w:r w:rsidRPr="00F91A57">
              <w:rPr>
                <w:rFonts w:ascii="Arial" w:eastAsia="Times New Roman" w:hAnsi="Arial" w:cs="Arial"/>
                <w:color w:val="000000"/>
                <w:sz w:val="20"/>
                <w:szCs w:val="20"/>
                <w:lang w:eastAsia="sl-SI"/>
              </w:rPr>
              <w:t>12.349.980</w:t>
            </w:r>
          </w:p>
        </w:tc>
        <w:tc>
          <w:tcPr>
            <w:tcW w:w="1153" w:type="dxa"/>
            <w:tcBorders>
              <w:top w:val="nil"/>
              <w:left w:val="nil"/>
              <w:bottom w:val="single" w:sz="4" w:space="0" w:color="auto"/>
              <w:right w:val="single" w:sz="4" w:space="0" w:color="auto"/>
            </w:tcBorders>
            <w:shd w:val="clear" w:color="000000" w:fill="FFFFFF"/>
            <w:vAlign w:val="center"/>
            <w:hideMark/>
          </w:tcPr>
          <w:p w14:paraId="5180CC74" w14:textId="77777777" w:rsidR="004B7622" w:rsidRPr="00F91A57" w:rsidRDefault="004B7622" w:rsidP="00377989">
            <w:pPr>
              <w:spacing w:after="0" w:line="240" w:lineRule="auto"/>
              <w:jc w:val="right"/>
              <w:rPr>
                <w:rFonts w:ascii="Arial" w:eastAsia="Times New Roman" w:hAnsi="Arial" w:cs="Arial"/>
                <w:color w:val="000000"/>
                <w:sz w:val="20"/>
                <w:szCs w:val="20"/>
                <w:lang w:eastAsia="sl-SI"/>
              </w:rPr>
            </w:pPr>
            <w:r w:rsidRPr="00F91A57">
              <w:rPr>
                <w:rFonts w:ascii="Arial" w:eastAsia="Times New Roman" w:hAnsi="Arial" w:cs="Arial"/>
                <w:color w:val="000000"/>
                <w:sz w:val="20"/>
                <w:szCs w:val="20"/>
                <w:lang w:eastAsia="sl-SI"/>
              </w:rPr>
              <w:t>2.407.691</w:t>
            </w:r>
          </w:p>
        </w:tc>
        <w:tc>
          <w:tcPr>
            <w:tcW w:w="1075" w:type="dxa"/>
            <w:tcBorders>
              <w:top w:val="nil"/>
              <w:left w:val="nil"/>
              <w:bottom w:val="single" w:sz="4" w:space="0" w:color="auto"/>
              <w:right w:val="single" w:sz="4" w:space="0" w:color="auto"/>
            </w:tcBorders>
            <w:shd w:val="clear" w:color="000000" w:fill="FFFFFF"/>
            <w:vAlign w:val="center"/>
            <w:hideMark/>
          </w:tcPr>
          <w:p w14:paraId="55305E46" w14:textId="77777777" w:rsidR="004B7622" w:rsidRPr="00F91A57" w:rsidRDefault="004B7622" w:rsidP="00377989">
            <w:pPr>
              <w:spacing w:after="0" w:line="240" w:lineRule="auto"/>
              <w:jc w:val="right"/>
              <w:rPr>
                <w:rFonts w:ascii="Arial" w:eastAsia="Times New Roman" w:hAnsi="Arial" w:cs="Arial"/>
                <w:color w:val="000000"/>
                <w:sz w:val="20"/>
                <w:szCs w:val="20"/>
                <w:lang w:eastAsia="sl-SI"/>
              </w:rPr>
            </w:pPr>
            <w:r w:rsidRPr="00F91A57">
              <w:rPr>
                <w:rFonts w:ascii="Arial" w:eastAsia="Times New Roman" w:hAnsi="Arial" w:cs="Arial"/>
                <w:color w:val="000000"/>
                <w:sz w:val="20"/>
                <w:szCs w:val="20"/>
                <w:lang w:eastAsia="sl-SI"/>
              </w:rPr>
              <w:t>0</w:t>
            </w:r>
          </w:p>
        </w:tc>
        <w:tc>
          <w:tcPr>
            <w:tcW w:w="1310" w:type="dxa"/>
            <w:tcBorders>
              <w:top w:val="nil"/>
              <w:left w:val="nil"/>
              <w:bottom w:val="single" w:sz="4" w:space="0" w:color="auto"/>
              <w:right w:val="single" w:sz="4" w:space="0" w:color="auto"/>
            </w:tcBorders>
            <w:shd w:val="clear" w:color="auto" w:fill="auto"/>
            <w:vAlign w:val="center"/>
            <w:hideMark/>
          </w:tcPr>
          <w:p w14:paraId="3B9D7EFE" w14:textId="77777777" w:rsidR="004B7622" w:rsidRPr="00F91A57" w:rsidRDefault="004B7622" w:rsidP="00377989">
            <w:pPr>
              <w:spacing w:after="0" w:line="240" w:lineRule="auto"/>
              <w:jc w:val="right"/>
              <w:rPr>
                <w:rFonts w:ascii="Arial" w:eastAsia="Times New Roman" w:hAnsi="Arial" w:cs="Arial"/>
                <w:b/>
                <w:bCs/>
                <w:color w:val="000000"/>
                <w:sz w:val="20"/>
                <w:szCs w:val="20"/>
                <w:lang w:eastAsia="sl-SI"/>
              </w:rPr>
            </w:pPr>
            <w:r w:rsidRPr="00F91A57">
              <w:rPr>
                <w:rFonts w:ascii="Arial" w:eastAsia="Times New Roman" w:hAnsi="Arial" w:cs="Arial"/>
                <w:b/>
                <w:bCs/>
                <w:color w:val="000000"/>
                <w:sz w:val="20"/>
                <w:szCs w:val="20"/>
                <w:lang w:eastAsia="sl-SI"/>
              </w:rPr>
              <w:t>174.765.118</w:t>
            </w:r>
          </w:p>
        </w:tc>
      </w:tr>
      <w:tr w:rsidR="004B7622" w:rsidRPr="00F91A57" w14:paraId="37DBD64D" w14:textId="77777777" w:rsidTr="00377989">
        <w:trPr>
          <w:trHeight w:val="293"/>
        </w:trPr>
        <w:tc>
          <w:tcPr>
            <w:tcW w:w="1603" w:type="dxa"/>
            <w:tcBorders>
              <w:top w:val="nil"/>
              <w:left w:val="single" w:sz="4" w:space="0" w:color="auto"/>
              <w:bottom w:val="single" w:sz="4" w:space="0" w:color="auto"/>
              <w:right w:val="single" w:sz="4" w:space="0" w:color="auto"/>
            </w:tcBorders>
            <w:shd w:val="clear" w:color="auto" w:fill="auto"/>
            <w:noWrap/>
            <w:vAlign w:val="center"/>
            <w:hideMark/>
          </w:tcPr>
          <w:p w14:paraId="21C65C89" w14:textId="77777777" w:rsidR="004B7622" w:rsidRPr="00F91A57" w:rsidRDefault="004B7622" w:rsidP="00377989">
            <w:pPr>
              <w:spacing w:after="0" w:line="240" w:lineRule="auto"/>
              <w:jc w:val="center"/>
              <w:rPr>
                <w:rFonts w:ascii="Arial" w:eastAsia="Times New Roman" w:hAnsi="Arial" w:cs="Arial"/>
                <w:b/>
                <w:bCs/>
                <w:color w:val="000000"/>
                <w:sz w:val="20"/>
                <w:szCs w:val="20"/>
                <w:lang w:eastAsia="sl-SI"/>
              </w:rPr>
            </w:pPr>
            <w:r w:rsidRPr="00F91A57">
              <w:rPr>
                <w:rFonts w:ascii="Arial" w:eastAsia="Times New Roman" w:hAnsi="Arial" w:cs="Arial"/>
                <w:b/>
                <w:bCs/>
                <w:color w:val="000000"/>
                <w:sz w:val="20"/>
                <w:szCs w:val="20"/>
                <w:lang w:eastAsia="sl-SI"/>
              </w:rPr>
              <w:t>2018</w:t>
            </w:r>
          </w:p>
        </w:tc>
        <w:tc>
          <w:tcPr>
            <w:tcW w:w="1466" w:type="dxa"/>
            <w:tcBorders>
              <w:top w:val="nil"/>
              <w:left w:val="nil"/>
              <w:bottom w:val="single" w:sz="4" w:space="0" w:color="auto"/>
              <w:right w:val="single" w:sz="4" w:space="0" w:color="auto"/>
            </w:tcBorders>
            <w:shd w:val="clear" w:color="000000" w:fill="FFFFFF"/>
            <w:vAlign w:val="center"/>
            <w:hideMark/>
          </w:tcPr>
          <w:p w14:paraId="51D8CA9C" w14:textId="77777777" w:rsidR="004B7622" w:rsidRPr="00F91A57" w:rsidRDefault="004B7622" w:rsidP="00377989">
            <w:pPr>
              <w:spacing w:after="0" w:line="240" w:lineRule="auto"/>
              <w:jc w:val="right"/>
              <w:rPr>
                <w:rFonts w:ascii="Arial" w:eastAsia="Times New Roman" w:hAnsi="Arial" w:cs="Arial"/>
                <w:color w:val="000000"/>
                <w:sz w:val="20"/>
                <w:szCs w:val="20"/>
                <w:lang w:eastAsia="sl-SI"/>
              </w:rPr>
            </w:pPr>
            <w:r w:rsidRPr="00F91A57">
              <w:rPr>
                <w:rFonts w:ascii="Arial" w:eastAsia="Times New Roman" w:hAnsi="Arial" w:cs="Arial"/>
                <w:color w:val="000000"/>
                <w:sz w:val="20"/>
                <w:szCs w:val="20"/>
                <w:lang w:eastAsia="sl-SI"/>
              </w:rPr>
              <w:t>124.381.850</w:t>
            </w:r>
          </w:p>
        </w:tc>
        <w:tc>
          <w:tcPr>
            <w:tcW w:w="1427" w:type="dxa"/>
            <w:tcBorders>
              <w:top w:val="nil"/>
              <w:left w:val="nil"/>
              <w:bottom w:val="single" w:sz="4" w:space="0" w:color="auto"/>
              <w:right w:val="single" w:sz="4" w:space="0" w:color="auto"/>
            </w:tcBorders>
            <w:shd w:val="clear" w:color="000000" w:fill="FFFFFF"/>
            <w:vAlign w:val="center"/>
            <w:hideMark/>
          </w:tcPr>
          <w:p w14:paraId="04E1B085" w14:textId="77777777" w:rsidR="004B7622" w:rsidRPr="00F91A57" w:rsidRDefault="004B7622" w:rsidP="00377989">
            <w:pPr>
              <w:spacing w:after="0" w:line="240" w:lineRule="auto"/>
              <w:jc w:val="right"/>
              <w:rPr>
                <w:rFonts w:ascii="Arial" w:eastAsia="Times New Roman" w:hAnsi="Arial" w:cs="Arial"/>
                <w:color w:val="000000"/>
                <w:sz w:val="20"/>
                <w:szCs w:val="20"/>
                <w:lang w:eastAsia="sl-SI"/>
              </w:rPr>
            </w:pPr>
            <w:r w:rsidRPr="00F91A57">
              <w:rPr>
                <w:rFonts w:ascii="Arial" w:eastAsia="Times New Roman" w:hAnsi="Arial" w:cs="Arial"/>
                <w:color w:val="000000"/>
                <w:sz w:val="20"/>
                <w:szCs w:val="20"/>
                <w:lang w:eastAsia="sl-SI"/>
              </w:rPr>
              <w:t>29.447.278</w:t>
            </w:r>
          </w:p>
        </w:tc>
        <w:tc>
          <w:tcPr>
            <w:tcW w:w="1173" w:type="dxa"/>
            <w:tcBorders>
              <w:top w:val="nil"/>
              <w:left w:val="nil"/>
              <w:bottom w:val="single" w:sz="4" w:space="0" w:color="auto"/>
              <w:right w:val="single" w:sz="4" w:space="0" w:color="auto"/>
            </w:tcBorders>
            <w:shd w:val="clear" w:color="000000" w:fill="FFFFFF"/>
            <w:vAlign w:val="center"/>
            <w:hideMark/>
          </w:tcPr>
          <w:p w14:paraId="613D9CBB" w14:textId="77777777" w:rsidR="004B7622" w:rsidRPr="00F91A57" w:rsidRDefault="004B7622" w:rsidP="00377989">
            <w:pPr>
              <w:spacing w:after="0" w:line="240" w:lineRule="auto"/>
              <w:jc w:val="right"/>
              <w:rPr>
                <w:rFonts w:ascii="Arial" w:eastAsia="Times New Roman" w:hAnsi="Arial" w:cs="Arial"/>
                <w:color w:val="000000"/>
                <w:sz w:val="20"/>
                <w:szCs w:val="20"/>
                <w:lang w:eastAsia="sl-SI"/>
              </w:rPr>
            </w:pPr>
            <w:r w:rsidRPr="00F91A57">
              <w:rPr>
                <w:rFonts w:ascii="Arial" w:eastAsia="Times New Roman" w:hAnsi="Arial" w:cs="Arial"/>
                <w:color w:val="000000"/>
                <w:sz w:val="20"/>
                <w:szCs w:val="20"/>
                <w:lang w:eastAsia="sl-SI"/>
              </w:rPr>
              <w:t>14.837.531</w:t>
            </w:r>
          </w:p>
        </w:tc>
        <w:tc>
          <w:tcPr>
            <w:tcW w:w="1153" w:type="dxa"/>
            <w:tcBorders>
              <w:top w:val="nil"/>
              <w:left w:val="nil"/>
              <w:bottom w:val="single" w:sz="4" w:space="0" w:color="auto"/>
              <w:right w:val="single" w:sz="4" w:space="0" w:color="auto"/>
            </w:tcBorders>
            <w:shd w:val="clear" w:color="000000" w:fill="FFFFFF"/>
            <w:vAlign w:val="center"/>
            <w:hideMark/>
          </w:tcPr>
          <w:p w14:paraId="13B2978A" w14:textId="77777777" w:rsidR="004B7622" w:rsidRPr="00F91A57" w:rsidRDefault="004B7622" w:rsidP="00377989">
            <w:pPr>
              <w:spacing w:after="0" w:line="240" w:lineRule="auto"/>
              <w:jc w:val="right"/>
              <w:rPr>
                <w:rFonts w:ascii="Arial" w:eastAsia="Times New Roman" w:hAnsi="Arial" w:cs="Arial"/>
                <w:color w:val="000000"/>
                <w:sz w:val="20"/>
                <w:szCs w:val="20"/>
                <w:lang w:eastAsia="sl-SI"/>
              </w:rPr>
            </w:pPr>
            <w:r w:rsidRPr="00F91A57">
              <w:rPr>
                <w:rFonts w:ascii="Arial" w:eastAsia="Times New Roman" w:hAnsi="Arial" w:cs="Arial"/>
                <w:color w:val="000000"/>
                <w:sz w:val="20"/>
                <w:szCs w:val="20"/>
                <w:lang w:eastAsia="sl-SI"/>
              </w:rPr>
              <w:t>2.709.779</w:t>
            </w:r>
          </w:p>
        </w:tc>
        <w:tc>
          <w:tcPr>
            <w:tcW w:w="1075" w:type="dxa"/>
            <w:tcBorders>
              <w:top w:val="nil"/>
              <w:left w:val="nil"/>
              <w:bottom w:val="single" w:sz="4" w:space="0" w:color="auto"/>
              <w:right w:val="single" w:sz="4" w:space="0" w:color="auto"/>
            </w:tcBorders>
            <w:shd w:val="clear" w:color="000000" w:fill="FFFFFF"/>
            <w:vAlign w:val="center"/>
            <w:hideMark/>
          </w:tcPr>
          <w:p w14:paraId="456C484C" w14:textId="77777777" w:rsidR="004B7622" w:rsidRPr="00F91A57" w:rsidRDefault="004B7622" w:rsidP="00377989">
            <w:pPr>
              <w:spacing w:after="0" w:line="240" w:lineRule="auto"/>
              <w:jc w:val="right"/>
              <w:rPr>
                <w:rFonts w:ascii="Arial" w:eastAsia="Times New Roman" w:hAnsi="Arial" w:cs="Arial"/>
                <w:color w:val="000000"/>
                <w:sz w:val="20"/>
                <w:szCs w:val="20"/>
                <w:lang w:eastAsia="sl-SI"/>
              </w:rPr>
            </w:pPr>
            <w:r w:rsidRPr="00F91A57">
              <w:rPr>
                <w:rFonts w:ascii="Arial" w:eastAsia="Times New Roman" w:hAnsi="Arial" w:cs="Arial"/>
                <w:color w:val="000000"/>
                <w:sz w:val="20"/>
                <w:szCs w:val="20"/>
                <w:lang w:eastAsia="sl-SI"/>
              </w:rPr>
              <w:t>0</w:t>
            </w:r>
          </w:p>
        </w:tc>
        <w:tc>
          <w:tcPr>
            <w:tcW w:w="1310" w:type="dxa"/>
            <w:tcBorders>
              <w:top w:val="nil"/>
              <w:left w:val="nil"/>
              <w:bottom w:val="single" w:sz="4" w:space="0" w:color="auto"/>
              <w:right w:val="single" w:sz="4" w:space="0" w:color="auto"/>
            </w:tcBorders>
            <w:shd w:val="clear" w:color="auto" w:fill="auto"/>
            <w:vAlign w:val="center"/>
            <w:hideMark/>
          </w:tcPr>
          <w:p w14:paraId="661E6A2B" w14:textId="77777777" w:rsidR="004B7622" w:rsidRPr="00F91A57" w:rsidRDefault="004B7622" w:rsidP="00377989">
            <w:pPr>
              <w:spacing w:after="0" w:line="240" w:lineRule="auto"/>
              <w:jc w:val="right"/>
              <w:rPr>
                <w:rFonts w:ascii="Arial" w:eastAsia="Times New Roman" w:hAnsi="Arial" w:cs="Arial"/>
                <w:b/>
                <w:bCs/>
                <w:color w:val="000000"/>
                <w:sz w:val="20"/>
                <w:szCs w:val="20"/>
                <w:lang w:eastAsia="sl-SI"/>
              </w:rPr>
            </w:pPr>
            <w:r w:rsidRPr="00F91A57">
              <w:rPr>
                <w:rFonts w:ascii="Arial" w:eastAsia="Times New Roman" w:hAnsi="Arial" w:cs="Arial"/>
                <w:b/>
                <w:bCs/>
                <w:color w:val="000000"/>
                <w:sz w:val="20"/>
                <w:szCs w:val="20"/>
                <w:lang w:eastAsia="sl-SI"/>
              </w:rPr>
              <w:t>171.376.438</w:t>
            </w:r>
          </w:p>
        </w:tc>
      </w:tr>
      <w:tr w:rsidR="004B7622" w:rsidRPr="00F91A57" w14:paraId="777D57A6" w14:textId="77777777" w:rsidTr="00377989">
        <w:trPr>
          <w:trHeight w:val="293"/>
        </w:trPr>
        <w:tc>
          <w:tcPr>
            <w:tcW w:w="1603" w:type="dxa"/>
            <w:tcBorders>
              <w:top w:val="nil"/>
              <w:left w:val="single" w:sz="4" w:space="0" w:color="auto"/>
              <w:bottom w:val="single" w:sz="4" w:space="0" w:color="auto"/>
              <w:right w:val="single" w:sz="4" w:space="0" w:color="auto"/>
            </w:tcBorders>
            <w:shd w:val="clear" w:color="auto" w:fill="auto"/>
            <w:noWrap/>
            <w:vAlign w:val="center"/>
            <w:hideMark/>
          </w:tcPr>
          <w:p w14:paraId="07B92A48" w14:textId="77777777" w:rsidR="004B7622" w:rsidRPr="00F91A57" w:rsidRDefault="004B7622" w:rsidP="00377989">
            <w:pPr>
              <w:spacing w:after="0" w:line="240" w:lineRule="auto"/>
              <w:jc w:val="center"/>
              <w:rPr>
                <w:rFonts w:ascii="Arial" w:eastAsia="Times New Roman" w:hAnsi="Arial" w:cs="Arial"/>
                <w:b/>
                <w:bCs/>
                <w:sz w:val="20"/>
                <w:szCs w:val="20"/>
                <w:lang w:eastAsia="sl-SI"/>
              </w:rPr>
            </w:pPr>
            <w:r w:rsidRPr="00F91A57">
              <w:rPr>
                <w:rFonts w:ascii="Arial" w:eastAsia="Times New Roman" w:hAnsi="Arial" w:cs="Arial"/>
                <w:b/>
                <w:bCs/>
                <w:sz w:val="20"/>
                <w:szCs w:val="20"/>
                <w:lang w:eastAsia="sl-SI"/>
              </w:rPr>
              <w:t>2019</w:t>
            </w:r>
          </w:p>
        </w:tc>
        <w:tc>
          <w:tcPr>
            <w:tcW w:w="1466" w:type="dxa"/>
            <w:tcBorders>
              <w:top w:val="nil"/>
              <w:left w:val="nil"/>
              <w:bottom w:val="single" w:sz="4" w:space="0" w:color="auto"/>
              <w:right w:val="single" w:sz="4" w:space="0" w:color="auto"/>
            </w:tcBorders>
            <w:shd w:val="clear" w:color="auto" w:fill="auto"/>
            <w:noWrap/>
            <w:vAlign w:val="bottom"/>
            <w:hideMark/>
          </w:tcPr>
          <w:p w14:paraId="6597CB9E" w14:textId="77777777" w:rsidR="004B7622" w:rsidRPr="00F91A57" w:rsidRDefault="004B7622" w:rsidP="00377989">
            <w:pPr>
              <w:spacing w:after="0" w:line="240" w:lineRule="auto"/>
              <w:jc w:val="right"/>
              <w:rPr>
                <w:rFonts w:ascii="Arial" w:eastAsia="Times New Roman" w:hAnsi="Arial" w:cs="Arial"/>
                <w:color w:val="000000"/>
                <w:sz w:val="20"/>
                <w:szCs w:val="20"/>
                <w:lang w:eastAsia="sl-SI"/>
              </w:rPr>
            </w:pPr>
            <w:r w:rsidRPr="00F91A57">
              <w:rPr>
                <w:rFonts w:ascii="Arial" w:eastAsia="Times New Roman" w:hAnsi="Arial" w:cs="Arial"/>
                <w:color w:val="000000"/>
                <w:sz w:val="20"/>
                <w:szCs w:val="20"/>
                <w:lang w:eastAsia="sl-SI"/>
              </w:rPr>
              <w:t>136.113.653</w:t>
            </w:r>
          </w:p>
        </w:tc>
        <w:tc>
          <w:tcPr>
            <w:tcW w:w="1427" w:type="dxa"/>
            <w:tcBorders>
              <w:top w:val="nil"/>
              <w:left w:val="nil"/>
              <w:bottom w:val="single" w:sz="4" w:space="0" w:color="auto"/>
              <w:right w:val="single" w:sz="4" w:space="0" w:color="auto"/>
            </w:tcBorders>
            <w:shd w:val="clear" w:color="auto" w:fill="auto"/>
            <w:noWrap/>
            <w:vAlign w:val="bottom"/>
            <w:hideMark/>
          </w:tcPr>
          <w:p w14:paraId="0B6B66D6" w14:textId="77777777" w:rsidR="004B7622" w:rsidRPr="00F91A57" w:rsidRDefault="004B7622" w:rsidP="00377989">
            <w:pPr>
              <w:spacing w:after="0" w:line="240" w:lineRule="auto"/>
              <w:jc w:val="right"/>
              <w:rPr>
                <w:rFonts w:ascii="Arial" w:eastAsia="Times New Roman" w:hAnsi="Arial" w:cs="Arial"/>
                <w:color w:val="000000"/>
                <w:sz w:val="20"/>
                <w:szCs w:val="20"/>
                <w:lang w:eastAsia="sl-SI"/>
              </w:rPr>
            </w:pPr>
            <w:r w:rsidRPr="00F91A57">
              <w:rPr>
                <w:rFonts w:ascii="Arial" w:eastAsia="Times New Roman" w:hAnsi="Arial" w:cs="Arial"/>
                <w:color w:val="000000"/>
                <w:sz w:val="20"/>
                <w:szCs w:val="20"/>
                <w:lang w:eastAsia="sl-SI"/>
              </w:rPr>
              <w:t>16.421.408</w:t>
            </w:r>
          </w:p>
        </w:tc>
        <w:tc>
          <w:tcPr>
            <w:tcW w:w="1173" w:type="dxa"/>
            <w:tcBorders>
              <w:top w:val="nil"/>
              <w:left w:val="nil"/>
              <w:bottom w:val="single" w:sz="4" w:space="0" w:color="auto"/>
              <w:right w:val="single" w:sz="4" w:space="0" w:color="auto"/>
            </w:tcBorders>
            <w:shd w:val="clear" w:color="auto" w:fill="auto"/>
            <w:noWrap/>
            <w:vAlign w:val="bottom"/>
            <w:hideMark/>
          </w:tcPr>
          <w:p w14:paraId="3254CB94" w14:textId="77777777" w:rsidR="004B7622" w:rsidRPr="00F91A57" w:rsidRDefault="004B7622" w:rsidP="00377989">
            <w:pPr>
              <w:spacing w:after="0" w:line="240" w:lineRule="auto"/>
              <w:jc w:val="right"/>
              <w:rPr>
                <w:rFonts w:ascii="Arial" w:eastAsia="Times New Roman" w:hAnsi="Arial" w:cs="Arial"/>
                <w:color w:val="000000"/>
                <w:sz w:val="20"/>
                <w:szCs w:val="20"/>
                <w:lang w:eastAsia="sl-SI"/>
              </w:rPr>
            </w:pPr>
            <w:r w:rsidRPr="00F91A57">
              <w:rPr>
                <w:rFonts w:ascii="Arial" w:eastAsia="Times New Roman" w:hAnsi="Arial" w:cs="Arial"/>
                <w:color w:val="000000"/>
                <w:sz w:val="20"/>
                <w:szCs w:val="20"/>
                <w:lang w:eastAsia="sl-SI"/>
              </w:rPr>
              <w:t>32.748.637</w:t>
            </w:r>
          </w:p>
        </w:tc>
        <w:tc>
          <w:tcPr>
            <w:tcW w:w="1153" w:type="dxa"/>
            <w:tcBorders>
              <w:top w:val="nil"/>
              <w:left w:val="nil"/>
              <w:bottom w:val="single" w:sz="4" w:space="0" w:color="auto"/>
              <w:right w:val="single" w:sz="4" w:space="0" w:color="auto"/>
            </w:tcBorders>
            <w:shd w:val="clear" w:color="auto" w:fill="auto"/>
            <w:noWrap/>
            <w:vAlign w:val="bottom"/>
            <w:hideMark/>
          </w:tcPr>
          <w:p w14:paraId="7A12AA34" w14:textId="77777777" w:rsidR="004B7622" w:rsidRPr="00F91A57" w:rsidRDefault="004B7622" w:rsidP="00377989">
            <w:pPr>
              <w:spacing w:after="0" w:line="240" w:lineRule="auto"/>
              <w:jc w:val="right"/>
              <w:rPr>
                <w:rFonts w:ascii="Arial" w:eastAsia="Times New Roman" w:hAnsi="Arial" w:cs="Arial"/>
                <w:color w:val="000000"/>
                <w:sz w:val="20"/>
                <w:szCs w:val="20"/>
                <w:lang w:eastAsia="sl-SI"/>
              </w:rPr>
            </w:pPr>
            <w:r w:rsidRPr="00F91A57">
              <w:rPr>
                <w:rFonts w:ascii="Arial" w:eastAsia="Times New Roman" w:hAnsi="Arial" w:cs="Arial"/>
                <w:color w:val="000000"/>
                <w:sz w:val="20"/>
                <w:szCs w:val="20"/>
                <w:lang w:eastAsia="sl-SI"/>
              </w:rPr>
              <w:t>3.631.575</w:t>
            </w:r>
          </w:p>
        </w:tc>
        <w:tc>
          <w:tcPr>
            <w:tcW w:w="1075" w:type="dxa"/>
            <w:tcBorders>
              <w:top w:val="nil"/>
              <w:left w:val="nil"/>
              <w:bottom w:val="single" w:sz="4" w:space="0" w:color="auto"/>
              <w:right w:val="single" w:sz="4" w:space="0" w:color="auto"/>
            </w:tcBorders>
            <w:shd w:val="clear" w:color="auto" w:fill="auto"/>
            <w:noWrap/>
            <w:vAlign w:val="bottom"/>
            <w:hideMark/>
          </w:tcPr>
          <w:p w14:paraId="39188AFF" w14:textId="77777777" w:rsidR="004B7622" w:rsidRPr="00F91A57" w:rsidRDefault="004B7622" w:rsidP="00377989">
            <w:pPr>
              <w:spacing w:after="0" w:line="240" w:lineRule="auto"/>
              <w:jc w:val="right"/>
              <w:rPr>
                <w:rFonts w:ascii="Arial" w:eastAsia="Times New Roman" w:hAnsi="Arial" w:cs="Arial"/>
                <w:color w:val="000000"/>
                <w:sz w:val="20"/>
                <w:szCs w:val="20"/>
                <w:lang w:eastAsia="sl-SI"/>
              </w:rPr>
            </w:pPr>
            <w:r w:rsidRPr="00F91A57">
              <w:rPr>
                <w:rFonts w:ascii="Arial" w:eastAsia="Times New Roman" w:hAnsi="Arial" w:cs="Arial"/>
                <w:color w:val="000000"/>
                <w:sz w:val="20"/>
                <w:szCs w:val="20"/>
                <w:lang w:eastAsia="sl-SI"/>
              </w:rPr>
              <w:t>0</w:t>
            </w:r>
          </w:p>
        </w:tc>
        <w:tc>
          <w:tcPr>
            <w:tcW w:w="1310" w:type="dxa"/>
            <w:tcBorders>
              <w:top w:val="nil"/>
              <w:left w:val="nil"/>
              <w:bottom w:val="single" w:sz="4" w:space="0" w:color="auto"/>
              <w:right w:val="single" w:sz="4" w:space="0" w:color="auto"/>
            </w:tcBorders>
            <w:shd w:val="clear" w:color="auto" w:fill="auto"/>
            <w:vAlign w:val="center"/>
            <w:hideMark/>
          </w:tcPr>
          <w:p w14:paraId="7D992715" w14:textId="77777777" w:rsidR="004B7622" w:rsidRPr="00F91A57" w:rsidRDefault="004B7622" w:rsidP="00377989">
            <w:pPr>
              <w:spacing w:after="0" w:line="240" w:lineRule="auto"/>
              <w:jc w:val="right"/>
              <w:rPr>
                <w:rFonts w:ascii="Arial" w:eastAsia="Times New Roman" w:hAnsi="Arial" w:cs="Arial"/>
                <w:b/>
                <w:bCs/>
                <w:color w:val="000000"/>
                <w:sz w:val="20"/>
                <w:szCs w:val="20"/>
                <w:lang w:eastAsia="sl-SI"/>
              </w:rPr>
            </w:pPr>
            <w:r w:rsidRPr="00F91A57">
              <w:rPr>
                <w:rFonts w:ascii="Arial" w:eastAsia="Times New Roman" w:hAnsi="Arial" w:cs="Arial"/>
                <w:b/>
                <w:bCs/>
                <w:color w:val="000000"/>
                <w:sz w:val="20"/>
                <w:szCs w:val="20"/>
                <w:lang w:eastAsia="sl-SI"/>
              </w:rPr>
              <w:t>188.915.274</w:t>
            </w:r>
          </w:p>
        </w:tc>
      </w:tr>
      <w:tr w:rsidR="004B7622" w:rsidRPr="00F91A57" w14:paraId="6F551BFB" w14:textId="77777777" w:rsidTr="00377989">
        <w:trPr>
          <w:trHeight w:val="293"/>
        </w:trPr>
        <w:tc>
          <w:tcPr>
            <w:tcW w:w="1603" w:type="dxa"/>
            <w:tcBorders>
              <w:top w:val="nil"/>
              <w:left w:val="single" w:sz="4" w:space="0" w:color="auto"/>
              <w:bottom w:val="single" w:sz="4" w:space="0" w:color="auto"/>
              <w:right w:val="single" w:sz="4" w:space="0" w:color="auto"/>
            </w:tcBorders>
            <w:shd w:val="clear" w:color="auto" w:fill="auto"/>
            <w:noWrap/>
            <w:vAlign w:val="center"/>
            <w:hideMark/>
          </w:tcPr>
          <w:p w14:paraId="1E98616F" w14:textId="77777777" w:rsidR="004B7622" w:rsidRPr="00F91A57" w:rsidRDefault="004B7622" w:rsidP="00377989">
            <w:pPr>
              <w:spacing w:after="0" w:line="240" w:lineRule="auto"/>
              <w:jc w:val="center"/>
              <w:rPr>
                <w:rFonts w:ascii="Arial" w:eastAsia="Times New Roman" w:hAnsi="Arial" w:cs="Arial"/>
                <w:b/>
                <w:bCs/>
                <w:sz w:val="20"/>
                <w:szCs w:val="20"/>
                <w:lang w:eastAsia="sl-SI"/>
              </w:rPr>
            </w:pPr>
            <w:r w:rsidRPr="00F91A57">
              <w:rPr>
                <w:rFonts w:ascii="Arial" w:eastAsia="Times New Roman" w:hAnsi="Arial" w:cs="Arial"/>
                <w:b/>
                <w:bCs/>
                <w:sz w:val="20"/>
                <w:szCs w:val="20"/>
                <w:lang w:eastAsia="sl-SI"/>
              </w:rPr>
              <w:t>2020</w:t>
            </w:r>
          </w:p>
        </w:tc>
        <w:tc>
          <w:tcPr>
            <w:tcW w:w="1466" w:type="dxa"/>
            <w:tcBorders>
              <w:top w:val="nil"/>
              <w:left w:val="nil"/>
              <w:bottom w:val="single" w:sz="4" w:space="0" w:color="auto"/>
              <w:right w:val="single" w:sz="4" w:space="0" w:color="auto"/>
            </w:tcBorders>
            <w:shd w:val="clear" w:color="auto" w:fill="auto"/>
            <w:noWrap/>
            <w:vAlign w:val="bottom"/>
            <w:hideMark/>
          </w:tcPr>
          <w:p w14:paraId="56DEA8FA" w14:textId="77777777" w:rsidR="004B7622" w:rsidRPr="00F91A57" w:rsidRDefault="004B7622" w:rsidP="00377989">
            <w:pPr>
              <w:spacing w:after="0" w:line="240" w:lineRule="auto"/>
              <w:jc w:val="right"/>
              <w:rPr>
                <w:rFonts w:ascii="Arial" w:eastAsia="Times New Roman" w:hAnsi="Arial" w:cs="Arial"/>
                <w:color w:val="000000"/>
                <w:sz w:val="20"/>
                <w:szCs w:val="20"/>
                <w:lang w:eastAsia="sl-SI"/>
              </w:rPr>
            </w:pPr>
            <w:r w:rsidRPr="00F91A57">
              <w:rPr>
                <w:rFonts w:ascii="Arial" w:eastAsia="Times New Roman" w:hAnsi="Arial" w:cs="Arial"/>
                <w:color w:val="000000"/>
                <w:sz w:val="20"/>
                <w:szCs w:val="20"/>
                <w:lang w:eastAsia="sl-SI"/>
              </w:rPr>
              <w:t>168.617.302</w:t>
            </w:r>
          </w:p>
        </w:tc>
        <w:tc>
          <w:tcPr>
            <w:tcW w:w="1427" w:type="dxa"/>
            <w:tcBorders>
              <w:top w:val="nil"/>
              <w:left w:val="nil"/>
              <w:bottom w:val="single" w:sz="4" w:space="0" w:color="auto"/>
              <w:right w:val="single" w:sz="4" w:space="0" w:color="auto"/>
            </w:tcBorders>
            <w:shd w:val="clear" w:color="auto" w:fill="auto"/>
            <w:noWrap/>
            <w:vAlign w:val="bottom"/>
            <w:hideMark/>
          </w:tcPr>
          <w:p w14:paraId="37056DDD" w14:textId="77777777" w:rsidR="004B7622" w:rsidRPr="00F91A57" w:rsidRDefault="004B7622" w:rsidP="00377989">
            <w:pPr>
              <w:spacing w:after="0" w:line="240" w:lineRule="auto"/>
              <w:jc w:val="right"/>
              <w:rPr>
                <w:rFonts w:ascii="Arial" w:eastAsia="Times New Roman" w:hAnsi="Arial" w:cs="Arial"/>
                <w:color w:val="000000"/>
                <w:sz w:val="20"/>
                <w:szCs w:val="20"/>
                <w:lang w:eastAsia="sl-SI"/>
              </w:rPr>
            </w:pPr>
            <w:r w:rsidRPr="00F91A57">
              <w:rPr>
                <w:rFonts w:ascii="Arial" w:eastAsia="Times New Roman" w:hAnsi="Arial" w:cs="Arial"/>
                <w:color w:val="000000"/>
                <w:sz w:val="20"/>
                <w:szCs w:val="20"/>
                <w:lang w:eastAsia="sl-SI"/>
              </w:rPr>
              <w:t>25.398.543</w:t>
            </w:r>
          </w:p>
        </w:tc>
        <w:tc>
          <w:tcPr>
            <w:tcW w:w="1173" w:type="dxa"/>
            <w:tcBorders>
              <w:top w:val="nil"/>
              <w:left w:val="nil"/>
              <w:bottom w:val="single" w:sz="4" w:space="0" w:color="auto"/>
              <w:right w:val="single" w:sz="4" w:space="0" w:color="auto"/>
            </w:tcBorders>
            <w:shd w:val="clear" w:color="auto" w:fill="auto"/>
            <w:noWrap/>
            <w:vAlign w:val="bottom"/>
            <w:hideMark/>
          </w:tcPr>
          <w:p w14:paraId="66549877" w14:textId="77777777" w:rsidR="004B7622" w:rsidRPr="00F91A57" w:rsidRDefault="004B7622" w:rsidP="00377989">
            <w:pPr>
              <w:spacing w:after="0" w:line="240" w:lineRule="auto"/>
              <w:jc w:val="right"/>
              <w:rPr>
                <w:rFonts w:ascii="Arial" w:eastAsia="Times New Roman" w:hAnsi="Arial" w:cs="Arial"/>
                <w:color w:val="000000"/>
                <w:sz w:val="20"/>
                <w:szCs w:val="20"/>
                <w:lang w:eastAsia="sl-SI"/>
              </w:rPr>
            </w:pPr>
            <w:r w:rsidRPr="00F91A57">
              <w:rPr>
                <w:rFonts w:ascii="Arial" w:eastAsia="Times New Roman" w:hAnsi="Arial" w:cs="Arial"/>
                <w:color w:val="000000"/>
                <w:sz w:val="20"/>
                <w:szCs w:val="20"/>
                <w:lang w:eastAsia="sl-SI"/>
              </w:rPr>
              <w:t>12.666.562</w:t>
            </w:r>
          </w:p>
        </w:tc>
        <w:tc>
          <w:tcPr>
            <w:tcW w:w="1153" w:type="dxa"/>
            <w:tcBorders>
              <w:top w:val="nil"/>
              <w:left w:val="nil"/>
              <w:bottom w:val="single" w:sz="4" w:space="0" w:color="auto"/>
              <w:right w:val="single" w:sz="4" w:space="0" w:color="auto"/>
            </w:tcBorders>
            <w:shd w:val="clear" w:color="auto" w:fill="auto"/>
            <w:noWrap/>
            <w:vAlign w:val="bottom"/>
            <w:hideMark/>
          </w:tcPr>
          <w:p w14:paraId="5669FD9F" w14:textId="77777777" w:rsidR="004B7622" w:rsidRPr="00F91A57" w:rsidRDefault="004B7622" w:rsidP="00377989">
            <w:pPr>
              <w:spacing w:after="0" w:line="240" w:lineRule="auto"/>
              <w:jc w:val="right"/>
              <w:rPr>
                <w:rFonts w:ascii="Arial" w:eastAsia="Times New Roman" w:hAnsi="Arial" w:cs="Arial"/>
                <w:color w:val="000000"/>
                <w:sz w:val="20"/>
                <w:szCs w:val="20"/>
                <w:lang w:eastAsia="sl-SI"/>
              </w:rPr>
            </w:pPr>
            <w:r w:rsidRPr="00F91A57">
              <w:rPr>
                <w:rFonts w:ascii="Arial" w:eastAsia="Times New Roman" w:hAnsi="Arial" w:cs="Arial"/>
                <w:color w:val="000000"/>
                <w:sz w:val="20"/>
                <w:szCs w:val="20"/>
                <w:lang w:eastAsia="sl-SI"/>
              </w:rPr>
              <w:t>3.012.426</w:t>
            </w:r>
          </w:p>
        </w:tc>
        <w:tc>
          <w:tcPr>
            <w:tcW w:w="1075" w:type="dxa"/>
            <w:tcBorders>
              <w:top w:val="nil"/>
              <w:left w:val="nil"/>
              <w:bottom w:val="single" w:sz="4" w:space="0" w:color="auto"/>
              <w:right w:val="single" w:sz="4" w:space="0" w:color="auto"/>
            </w:tcBorders>
            <w:shd w:val="clear" w:color="auto" w:fill="auto"/>
            <w:noWrap/>
            <w:vAlign w:val="bottom"/>
            <w:hideMark/>
          </w:tcPr>
          <w:p w14:paraId="3B33A849" w14:textId="77777777" w:rsidR="004B7622" w:rsidRPr="00F91A57" w:rsidRDefault="004B7622" w:rsidP="00377989">
            <w:pPr>
              <w:spacing w:after="0" w:line="240" w:lineRule="auto"/>
              <w:jc w:val="right"/>
              <w:rPr>
                <w:rFonts w:ascii="Arial" w:eastAsia="Times New Roman" w:hAnsi="Arial" w:cs="Arial"/>
                <w:color w:val="000000"/>
                <w:sz w:val="20"/>
                <w:szCs w:val="20"/>
                <w:lang w:eastAsia="sl-SI"/>
              </w:rPr>
            </w:pPr>
            <w:r w:rsidRPr="00F91A57">
              <w:rPr>
                <w:rFonts w:ascii="Arial" w:eastAsia="Times New Roman" w:hAnsi="Arial" w:cs="Arial"/>
                <w:color w:val="000000"/>
                <w:sz w:val="20"/>
                <w:szCs w:val="20"/>
                <w:lang w:eastAsia="sl-SI"/>
              </w:rPr>
              <w:t>0</w:t>
            </w:r>
          </w:p>
        </w:tc>
        <w:tc>
          <w:tcPr>
            <w:tcW w:w="1310" w:type="dxa"/>
            <w:tcBorders>
              <w:top w:val="nil"/>
              <w:left w:val="nil"/>
              <w:bottom w:val="single" w:sz="4" w:space="0" w:color="auto"/>
              <w:right w:val="single" w:sz="4" w:space="0" w:color="auto"/>
            </w:tcBorders>
            <w:shd w:val="clear" w:color="auto" w:fill="auto"/>
            <w:vAlign w:val="center"/>
            <w:hideMark/>
          </w:tcPr>
          <w:p w14:paraId="47CBC519" w14:textId="77777777" w:rsidR="004B7622" w:rsidRPr="00F91A57" w:rsidRDefault="004B7622" w:rsidP="00377989">
            <w:pPr>
              <w:spacing w:after="0" w:line="240" w:lineRule="auto"/>
              <w:jc w:val="right"/>
              <w:rPr>
                <w:rFonts w:ascii="Arial" w:eastAsia="Times New Roman" w:hAnsi="Arial" w:cs="Arial"/>
                <w:b/>
                <w:bCs/>
                <w:color w:val="000000"/>
                <w:sz w:val="20"/>
                <w:szCs w:val="20"/>
                <w:lang w:eastAsia="sl-SI"/>
              </w:rPr>
            </w:pPr>
            <w:r w:rsidRPr="00F91A57">
              <w:rPr>
                <w:rFonts w:ascii="Arial" w:eastAsia="Times New Roman" w:hAnsi="Arial" w:cs="Arial"/>
                <w:b/>
                <w:bCs/>
                <w:color w:val="000000"/>
                <w:sz w:val="20"/>
                <w:szCs w:val="20"/>
                <w:lang w:eastAsia="sl-SI"/>
              </w:rPr>
              <w:t>209.694.833</w:t>
            </w:r>
          </w:p>
        </w:tc>
      </w:tr>
      <w:tr w:rsidR="004B7622" w:rsidRPr="00F91A57" w14:paraId="41864B73" w14:textId="77777777" w:rsidTr="00377989">
        <w:trPr>
          <w:trHeight w:val="293"/>
        </w:trPr>
        <w:tc>
          <w:tcPr>
            <w:tcW w:w="1603" w:type="dxa"/>
            <w:tcBorders>
              <w:top w:val="nil"/>
              <w:left w:val="single" w:sz="4" w:space="0" w:color="auto"/>
              <w:bottom w:val="single" w:sz="4" w:space="0" w:color="auto"/>
              <w:right w:val="single" w:sz="4" w:space="0" w:color="auto"/>
            </w:tcBorders>
            <w:shd w:val="clear" w:color="auto" w:fill="auto"/>
            <w:noWrap/>
            <w:vAlign w:val="center"/>
            <w:hideMark/>
          </w:tcPr>
          <w:p w14:paraId="2F1F6C76" w14:textId="77777777" w:rsidR="004B7622" w:rsidRPr="00F91A57" w:rsidRDefault="004B7622" w:rsidP="00377989">
            <w:pPr>
              <w:spacing w:after="0" w:line="240" w:lineRule="auto"/>
              <w:jc w:val="center"/>
              <w:rPr>
                <w:rFonts w:ascii="Arial" w:eastAsia="Times New Roman" w:hAnsi="Arial" w:cs="Arial"/>
                <w:b/>
                <w:bCs/>
                <w:sz w:val="20"/>
                <w:szCs w:val="20"/>
                <w:lang w:eastAsia="sl-SI"/>
              </w:rPr>
            </w:pPr>
            <w:r w:rsidRPr="00F91A57">
              <w:rPr>
                <w:rFonts w:ascii="Arial" w:eastAsia="Times New Roman" w:hAnsi="Arial" w:cs="Arial"/>
                <w:b/>
                <w:bCs/>
                <w:sz w:val="20"/>
                <w:szCs w:val="20"/>
                <w:lang w:eastAsia="sl-SI"/>
              </w:rPr>
              <w:t>2021</w:t>
            </w:r>
          </w:p>
        </w:tc>
        <w:tc>
          <w:tcPr>
            <w:tcW w:w="1466" w:type="dxa"/>
            <w:tcBorders>
              <w:top w:val="nil"/>
              <w:left w:val="nil"/>
              <w:bottom w:val="single" w:sz="4" w:space="0" w:color="auto"/>
              <w:right w:val="single" w:sz="4" w:space="0" w:color="auto"/>
            </w:tcBorders>
            <w:shd w:val="clear" w:color="auto" w:fill="auto"/>
            <w:noWrap/>
            <w:vAlign w:val="bottom"/>
            <w:hideMark/>
          </w:tcPr>
          <w:p w14:paraId="6390C381" w14:textId="77777777" w:rsidR="004B7622" w:rsidRPr="00F91A57" w:rsidRDefault="004B7622" w:rsidP="00377989">
            <w:pPr>
              <w:spacing w:after="0" w:line="240" w:lineRule="auto"/>
              <w:jc w:val="right"/>
              <w:rPr>
                <w:rFonts w:ascii="Arial" w:eastAsia="Times New Roman" w:hAnsi="Arial" w:cs="Arial"/>
                <w:color w:val="000000"/>
                <w:sz w:val="20"/>
                <w:szCs w:val="20"/>
                <w:lang w:eastAsia="sl-SI"/>
              </w:rPr>
            </w:pPr>
            <w:r w:rsidRPr="00F91A57">
              <w:rPr>
                <w:rFonts w:ascii="Arial" w:eastAsia="Times New Roman" w:hAnsi="Arial" w:cs="Arial"/>
                <w:color w:val="000000"/>
                <w:sz w:val="20"/>
                <w:szCs w:val="20"/>
                <w:lang w:eastAsia="sl-SI"/>
              </w:rPr>
              <w:t>141.284.904</w:t>
            </w:r>
          </w:p>
        </w:tc>
        <w:tc>
          <w:tcPr>
            <w:tcW w:w="1427" w:type="dxa"/>
            <w:tcBorders>
              <w:top w:val="nil"/>
              <w:left w:val="nil"/>
              <w:bottom w:val="single" w:sz="4" w:space="0" w:color="auto"/>
              <w:right w:val="single" w:sz="4" w:space="0" w:color="auto"/>
            </w:tcBorders>
            <w:shd w:val="clear" w:color="auto" w:fill="auto"/>
            <w:noWrap/>
            <w:vAlign w:val="bottom"/>
            <w:hideMark/>
          </w:tcPr>
          <w:p w14:paraId="43A9277F" w14:textId="77777777" w:rsidR="004B7622" w:rsidRPr="00F91A57" w:rsidRDefault="004B7622" w:rsidP="00377989">
            <w:pPr>
              <w:spacing w:after="0" w:line="240" w:lineRule="auto"/>
              <w:jc w:val="right"/>
              <w:rPr>
                <w:rFonts w:ascii="Arial" w:eastAsia="Times New Roman" w:hAnsi="Arial" w:cs="Arial"/>
                <w:color w:val="000000"/>
                <w:sz w:val="20"/>
                <w:szCs w:val="20"/>
                <w:lang w:eastAsia="sl-SI"/>
              </w:rPr>
            </w:pPr>
            <w:r w:rsidRPr="00F91A57">
              <w:rPr>
                <w:rFonts w:ascii="Arial" w:eastAsia="Times New Roman" w:hAnsi="Arial" w:cs="Arial"/>
                <w:color w:val="000000"/>
                <w:sz w:val="20"/>
                <w:szCs w:val="20"/>
                <w:lang w:eastAsia="sl-SI"/>
              </w:rPr>
              <w:t>23.600.155</w:t>
            </w:r>
          </w:p>
        </w:tc>
        <w:tc>
          <w:tcPr>
            <w:tcW w:w="1173" w:type="dxa"/>
            <w:tcBorders>
              <w:top w:val="nil"/>
              <w:left w:val="nil"/>
              <w:bottom w:val="single" w:sz="4" w:space="0" w:color="auto"/>
              <w:right w:val="single" w:sz="4" w:space="0" w:color="auto"/>
            </w:tcBorders>
            <w:shd w:val="clear" w:color="auto" w:fill="auto"/>
            <w:noWrap/>
            <w:vAlign w:val="bottom"/>
            <w:hideMark/>
          </w:tcPr>
          <w:p w14:paraId="4B5D01BC" w14:textId="77777777" w:rsidR="004B7622" w:rsidRPr="00F91A57" w:rsidRDefault="004B7622" w:rsidP="00377989">
            <w:pPr>
              <w:spacing w:after="0" w:line="240" w:lineRule="auto"/>
              <w:jc w:val="right"/>
              <w:rPr>
                <w:rFonts w:ascii="Arial" w:eastAsia="Times New Roman" w:hAnsi="Arial" w:cs="Arial"/>
                <w:color w:val="000000"/>
                <w:sz w:val="20"/>
                <w:szCs w:val="20"/>
                <w:lang w:eastAsia="sl-SI"/>
              </w:rPr>
            </w:pPr>
            <w:r w:rsidRPr="00F91A57">
              <w:rPr>
                <w:rFonts w:ascii="Arial" w:eastAsia="Times New Roman" w:hAnsi="Arial" w:cs="Arial"/>
                <w:color w:val="000000"/>
                <w:sz w:val="20"/>
                <w:szCs w:val="20"/>
                <w:lang w:eastAsia="sl-SI"/>
              </w:rPr>
              <w:t>11.772.464</w:t>
            </w:r>
          </w:p>
        </w:tc>
        <w:tc>
          <w:tcPr>
            <w:tcW w:w="1153" w:type="dxa"/>
            <w:tcBorders>
              <w:top w:val="nil"/>
              <w:left w:val="nil"/>
              <w:bottom w:val="single" w:sz="4" w:space="0" w:color="auto"/>
              <w:right w:val="single" w:sz="4" w:space="0" w:color="auto"/>
            </w:tcBorders>
            <w:shd w:val="clear" w:color="auto" w:fill="auto"/>
            <w:noWrap/>
            <w:vAlign w:val="bottom"/>
            <w:hideMark/>
          </w:tcPr>
          <w:p w14:paraId="4A1877E4" w14:textId="77777777" w:rsidR="004B7622" w:rsidRPr="00F91A57" w:rsidRDefault="004B7622" w:rsidP="00377989">
            <w:pPr>
              <w:spacing w:after="0" w:line="240" w:lineRule="auto"/>
              <w:jc w:val="right"/>
              <w:rPr>
                <w:rFonts w:ascii="Arial" w:eastAsia="Times New Roman" w:hAnsi="Arial" w:cs="Arial"/>
                <w:color w:val="000000"/>
                <w:sz w:val="20"/>
                <w:szCs w:val="20"/>
                <w:lang w:eastAsia="sl-SI"/>
              </w:rPr>
            </w:pPr>
            <w:r w:rsidRPr="00F91A57">
              <w:rPr>
                <w:rFonts w:ascii="Arial" w:eastAsia="Times New Roman" w:hAnsi="Arial" w:cs="Arial"/>
                <w:color w:val="000000"/>
                <w:sz w:val="20"/>
                <w:szCs w:val="20"/>
                <w:lang w:eastAsia="sl-SI"/>
              </w:rPr>
              <w:t>3.973.309</w:t>
            </w:r>
          </w:p>
        </w:tc>
        <w:tc>
          <w:tcPr>
            <w:tcW w:w="1075" w:type="dxa"/>
            <w:tcBorders>
              <w:top w:val="nil"/>
              <w:left w:val="nil"/>
              <w:bottom w:val="single" w:sz="4" w:space="0" w:color="auto"/>
              <w:right w:val="single" w:sz="4" w:space="0" w:color="auto"/>
            </w:tcBorders>
            <w:shd w:val="clear" w:color="auto" w:fill="auto"/>
            <w:noWrap/>
            <w:vAlign w:val="bottom"/>
            <w:hideMark/>
          </w:tcPr>
          <w:p w14:paraId="27BC4391" w14:textId="77777777" w:rsidR="004B7622" w:rsidRPr="00F91A57" w:rsidRDefault="004B7622" w:rsidP="00377989">
            <w:pPr>
              <w:spacing w:after="0" w:line="240" w:lineRule="auto"/>
              <w:jc w:val="right"/>
              <w:rPr>
                <w:rFonts w:ascii="Arial" w:eastAsia="Times New Roman" w:hAnsi="Arial" w:cs="Arial"/>
                <w:color w:val="000000"/>
                <w:sz w:val="20"/>
                <w:szCs w:val="20"/>
                <w:lang w:eastAsia="sl-SI"/>
              </w:rPr>
            </w:pPr>
            <w:r w:rsidRPr="00F91A57">
              <w:rPr>
                <w:rFonts w:ascii="Arial" w:eastAsia="Times New Roman" w:hAnsi="Arial" w:cs="Arial"/>
                <w:color w:val="000000"/>
                <w:sz w:val="20"/>
                <w:szCs w:val="20"/>
                <w:lang w:eastAsia="sl-SI"/>
              </w:rPr>
              <w:t>3.586</w:t>
            </w:r>
          </w:p>
        </w:tc>
        <w:tc>
          <w:tcPr>
            <w:tcW w:w="1310" w:type="dxa"/>
            <w:tcBorders>
              <w:top w:val="nil"/>
              <w:left w:val="nil"/>
              <w:bottom w:val="single" w:sz="4" w:space="0" w:color="auto"/>
              <w:right w:val="single" w:sz="4" w:space="0" w:color="auto"/>
            </w:tcBorders>
            <w:shd w:val="clear" w:color="auto" w:fill="auto"/>
            <w:vAlign w:val="center"/>
            <w:hideMark/>
          </w:tcPr>
          <w:p w14:paraId="7C78CE11" w14:textId="77777777" w:rsidR="004B7622" w:rsidRPr="00F91A57" w:rsidRDefault="004B7622" w:rsidP="00377989">
            <w:pPr>
              <w:spacing w:after="0" w:line="240" w:lineRule="auto"/>
              <w:jc w:val="right"/>
              <w:rPr>
                <w:rFonts w:ascii="Arial" w:eastAsia="Times New Roman" w:hAnsi="Arial" w:cs="Arial"/>
                <w:b/>
                <w:bCs/>
                <w:color w:val="000000"/>
                <w:sz w:val="20"/>
                <w:szCs w:val="20"/>
                <w:lang w:eastAsia="sl-SI"/>
              </w:rPr>
            </w:pPr>
            <w:r w:rsidRPr="00F91A57">
              <w:rPr>
                <w:rFonts w:ascii="Arial" w:eastAsia="Times New Roman" w:hAnsi="Arial" w:cs="Arial"/>
                <w:b/>
                <w:bCs/>
                <w:color w:val="000000"/>
                <w:sz w:val="20"/>
                <w:szCs w:val="20"/>
                <w:lang w:eastAsia="sl-SI"/>
              </w:rPr>
              <w:t>180.634.418</w:t>
            </w:r>
          </w:p>
        </w:tc>
      </w:tr>
    </w:tbl>
    <w:p w14:paraId="58095C8F" w14:textId="77777777" w:rsidR="004B7622" w:rsidRPr="00534703" w:rsidRDefault="004B7622" w:rsidP="004B7622">
      <w:pPr>
        <w:rPr>
          <w:rFonts w:ascii="Arial" w:hAnsi="Arial" w:cs="Arial"/>
          <w:i/>
          <w:sz w:val="20"/>
          <w:szCs w:val="20"/>
        </w:rPr>
      </w:pPr>
      <w:r w:rsidRPr="00534703">
        <w:rPr>
          <w:rFonts w:ascii="Arial" w:hAnsi="Arial" w:cs="Arial"/>
          <w:i/>
          <w:sz w:val="20"/>
          <w:szCs w:val="20"/>
        </w:rPr>
        <w:t>Vir: FURS</w:t>
      </w:r>
    </w:p>
    <w:p w14:paraId="7A30B55C" w14:textId="77777777" w:rsidR="004B7622" w:rsidRPr="00907842" w:rsidRDefault="004B7622" w:rsidP="004B7622">
      <w:pPr>
        <w:rPr>
          <w:rFonts w:ascii="Arial" w:hAnsi="Arial" w:cs="Arial"/>
          <w:b/>
          <w:color w:val="538135" w:themeColor="accent6" w:themeShade="BF"/>
        </w:rPr>
      </w:pPr>
      <w:r w:rsidRPr="00815C36">
        <w:rPr>
          <w:rFonts w:ascii="Arial" w:hAnsi="Arial" w:cs="Arial"/>
          <w:b/>
        </w:rPr>
        <w:t xml:space="preserve">5.      </w:t>
      </w:r>
      <w:bookmarkStart w:id="3" w:name="_Hlk99717015"/>
      <w:r w:rsidRPr="00163E99">
        <w:rPr>
          <w:rFonts w:ascii="Arial" w:hAnsi="Arial" w:cs="Arial"/>
          <w:b/>
        </w:rPr>
        <w:t xml:space="preserve">Plačilne ugodnosti </w:t>
      </w:r>
    </w:p>
    <w:p w14:paraId="39AA7B57" w14:textId="77777777" w:rsidR="004B7622" w:rsidRDefault="004B7622" w:rsidP="004B7622">
      <w:pPr>
        <w:pStyle w:val="FURSNavaden"/>
        <w:rPr>
          <w:rFonts w:cs="Arial"/>
          <w:szCs w:val="20"/>
          <w:lang w:eastAsia="en-US"/>
        </w:rPr>
      </w:pPr>
      <w:r w:rsidRPr="006C6CC5">
        <w:rPr>
          <w:rFonts w:cs="Arial"/>
          <w:szCs w:val="20"/>
          <w:lang w:eastAsia="en-US"/>
        </w:rPr>
        <w:t>Odobritev plačilnih ugodnosti ima zaradi prestavitve roka zapadlosti posredno vpliv na davčni dolg. Zavezanci, ki se nahajajo v finančni stiski, imajo v skladu z zakonodajo pravico do obročnega odplačevanja, odloga ali celo do odpisa davka.</w:t>
      </w:r>
    </w:p>
    <w:p w14:paraId="5C4A8841" w14:textId="77777777" w:rsidR="004B7622" w:rsidRPr="00C272D5" w:rsidRDefault="004B7622" w:rsidP="004B7622">
      <w:pPr>
        <w:pStyle w:val="FURSNavaden"/>
        <w:rPr>
          <w:rFonts w:cs="Arial"/>
          <w:szCs w:val="20"/>
          <w:lang w:eastAsia="en-US"/>
        </w:rPr>
      </w:pPr>
    </w:p>
    <w:p w14:paraId="325A02AD" w14:textId="77777777" w:rsidR="004B7622" w:rsidRPr="00843477" w:rsidRDefault="004B7622" w:rsidP="004B7622">
      <w:pPr>
        <w:jc w:val="both"/>
        <w:rPr>
          <w:rFonts w:ascii="Arial" w:hAnsi="Arial" w:cs="Arial"/>
          <w:sz w:val="20"/>
          <w:szCs w:val="20"/>
        </w:rPr>
      </w:pPr>
      <w:r w:rsidRPr="00843477">
        <w:rPr>
          <w:rFonts w:ascii="Arial" w:hAnsi="Arial" w:cs="Arial"/>
          <w:sz w:val="20"/>
          <w:szCs w:val="20"/>
        </w:rPr>
        <w:t>Institut odloga oziroma obročnega plačevanja davka je urejen v 101., 102., 103., 104. in 110. členu ZDavP-2, podrobnejš</w:t>
      </w:r>
      <w:r>
        <w:rPr>
          <w:rFonts w:ascii="Arial" w:hAnsi="Arial" w:cs="Arial"/>
          <w:sz w:val="20"/>
          <w:szCs w:val="20"/>
        </w:rPr>
        <w:t>a merila</w:t>
      </w:r>
      <w:r w:rsidRPr="00843477">
        <w:rPr>
          <w:rFonts w:ascii="Arial" w:hAnsi="Arial" w:cs="Arial"/>
          <w:sz w:val="20"/>
          <w:szCs w:val="20"/>
        </w:rPr>
        <w:t xml:space="preserve"> pa določa Pravilnik o izvajanju Zakona o davčnem postopku</w:t>
      </w:r>
      <w:r>
        <w:rPr>
          <w:rStyle w:val="Sprotnaopomba-sklic"/>
          <w:rFonts w:cs="Arial"/>
          <w:sz w:val="20"/>
          <w:szCs w:val="20"/>
        </w:rPr>
        <w:footnoteReference w:id="19"/>
      </w:r>
      <w:r>
        <w:t>.</w:t>
      </w:r>
    </w:p>
    <w:p w14:paraId="42257140" w14:textId="77777777" w:rsidR="004B7622" w:rsidRPr="00843477" w:rsidRDefault="004B7622" w:rsidP="004B7622">
      <w:pPr>
        <w:pStyle w:val="FURSNavaden"/>
        <w:rPr>
          <w:rFonts w:cs="Arial"/>
          <w:szCs w:val="20"/>
          <w:lang w:eastAsia="en-US"/>
        </w:rPr>
      </w:pPr>
      <w:r w:rsidRPr="00843477">
        <w:rPr>
          <w:rFonts w:cs="Arial"/>
          <w:szCs w:val="20"/>
          <w:lang w:eastAsia="en-US"/>
        </w:rPr>
        <w:t xml:space="preserve">FURS lahko fizičnim osebam na podlagi 101. člena ZDavP-2 dovoli odpis, delni odpis </w:t>
      </w:r>
      <w:r>
        <w:rPr>
          <w:rFonts w:cs="Arial"/>
          <w:szCs w:val="20"/>
          <w:lang w:eastAsia="en-US"/>
        </w:rPr>
        <w:t>ali</w:t>
      </w:r>
      <w:r w:rsidRPr="00843477">
        <w:rPr>
          <w:rFonts w:cs="Arial"/>
          <w:szCs w:val="20"/>
          <w:lang w:eastAsia="en-US"/>
        </w:rPr>
        <w:t xml:space="preserve"> odlog plačila davka za do dve let</w:t>
      </w:r>
      <w:r>
        <w:rPr>
          <w:rFonts w:cs="Arial"/>
          <w:szCs w:val="20"/>
          <w:lang w:eastAsia="en-US"/>
        </w:rPr>
        <w:t>i</w:t>
      </w:r>
      <w:r w:rsidRPr="00843477">
        <w:rPr>
          <w:rFonts w:cs="Arial"/>
          <w:szCs w:val="20"/>
          <w:lang w:eastAsia="en-US"/>
        </w:rPr>
        <w:t xml:space="preserve"> oziroma dovoli plačilo davka v največ 24 mesečnih obrokih v obdobju 24 mesecev, če bi </w:t>
      </w:r>
      <w:r>
        <w:rPr>
          <w:rFonts w:cs="Arial"/>
          <w:szCs w:val="20"/>
          <w:lang w:eastAsia="en-US"/>
        </w:rPr>
        <w:t>bilo</w:t>
      </w:r>
      <w:r w:rsidRPr="00843477">
        <w:rPr>
          <w:rFonts w:cs="Arial"/>
          <w:szCs w:val="20"/>
          <w:lang w:eastAsia="en-US"/>
        </w:rPr>
        <w:t xml:space="preserve"> </w:t>
      </w:r>
      <w:r>
        <w:rPr>
          <w:rFonts w:cs="Arial"/>
          <w:szCs w:val="20"/>
          <w:lang w:eastAsia="en-US"/>
        </w:rPr>
        <w:t>zaradi</w:t>
      </w:r>
      <w:r w:rsidRPr="00843477">
        <w:rPr>
          <w:rFonts w:cs="Arial"/>
          <w:szCs w:val="20"/>
          <w:lang w:eastAsia="en-US"/>
        </w:rPr>
        <w:t xml:space="preserve"> plačil</w:t>
      </w:r>
      <w:r>
        <w:rPr>
          <w:rFonts w:cs="Arial"/>
          <w:szCs w:val="20"/>
          <w:lang w:eastAsia="en-US"/>
        </w:rPr>
        <w:t>a</w:t>
      </w:r>
      <w:r w:rsidRPr="00843477">
        <w:rPr>
          <w:rFonts w:cs="Arial"/>
          <w:szCs w:val="20"/>
          <w:lang w:eastAsia="en-US"/>
        </w:rPr>
        <w:t xml:space="preserve"> davčne obveznosti lahko ogro</w:t>
      </w:r>
      <w:r>
        <w:rPr>
          <w:rFonts w:cs="Arial"/>
          <w:szCs w:val="20"/>
          <w:lang w:eastAsia="en-US"/>
        </w:rPr>
        <w:t>ženo</w:t>
      </w:r>
      <w:r w:rsidRPr="00843477">
        <w:rPr>
          <w:rFonts w:cs="Arial"/>
          <w:szCs w:val="20"/>
          <w:lang w:eastAsia="en-US"/>
        </w:rPr>
        <w:t xml:space="preserve"> preživljanje davčnega zavezanca in njegovih družinskih članov. </w:t>
      </w:r>
    </w:p>
    <w:p w14:paraId="31768C40" w14:textId="77777777" w:rsidR="004B7622" w:rsidRDefault="004B7622" w:rsidP="004B7622">
      <w:pPr>
        <w:jc w:val="both"/>
        <w:rPr>
          <w:rFonts w:ascii="Arial" w:hAnsi="Arial" w:cs="Arial"/>
          <w:sz w:val="20"/>
          <w:szCs w:val="20"/>
        </w:rPr>
      </w:pPr>
    </w:p>
    <w:p w14:paraId="2BEF5196" w14:textId="77777777" w:rsidR="004B7622" w:rsidRPr="00C92301" w:rsidRDefault="004B7622" w:rsidP="004B7622">
      <w:pPr>
        <w:jc w:val="both"/>
        <w:rPr>
          <w:rFonts w:ascii="Arial" w:hAnsi="Arial" w:cs="Arial"/>
          <w:sz w:val="20"/>
          <w:szCs w:val="20"/>
        </w:rPr>
      </w:pPr>
      <w:r w:rsidRPr="00843477">
        <w:rPr>
          <w:rFonts w:ascii="Arial" w:hAnsi="Arial" w:cs="Arial"/>
          <w:sz w:val="20"/>
          <w:szCs w:val="20"/>
        </w:rPr>
        <w:t xml:space="preserve">V skladu s 102. členom ZDavP-2 se poslovnim subjektom lahko odobri odlog plačila davka za največ 24 mesecev ali obročno plačilo v največ 24 mesečnih obrokih, če bi jim zaradi trajnejše nelikvidnosti ali </w:t>
      </w:r>
      <w:r w:rsidRPr="00843477">
        <w:rPr>
          <w:rFonts w:ascii="Arial" w:hAnsi="Arial" w:cs="Arial"/>
          <w:sz w:val="20"/>
          <w:szCs w:val="20"/>
        </w:rPr>
        <w:lastRenderedPageBreak/>
        <w:t>izgube sposobnosti pridobivanja prihodkov iz razlogov, na katere</w:t>
      </w:r>
      <w:r>
        <w:rPr>
          <w:rFonts w:ascii="Arial" w:hAnsi="Arial" w:cs="Arial"/>
          <w:sz w:val="20"/>
          <w:szCs w:val="20"/>
        </w:rPr>
        <w:t xml:space="preserve"> </w:t>
      </w:r>
      <w:r w:rsidRPr="00C92301">
        <w:rPr>
          <w:rFonts w:ascii="Arial" w:hAnsi="Arial" w:cs="Arial"/>
          <w:sz w:val="20"/>
          <w:szCs w:val="20"/>
        </w:rPr>
        <w:t>davčni zavezanec ni mogel vplivati, nastala hujša gospodarska škoda in bi davčnemu zavezancu odlog in obročno plačevanje davka omogočilo preprečitev hujše gospodarske škode.</w:t>
      </w:r>
      <w:r>
        <w:rPr>
          <w:rFonts w:ascii="Arial" w:hAnsi="Arial" w:cs="Arial"/>
          <w:sz w:val="20"/>
          <w:szCs w:val="20"/>
        </w:rPr>
        <w:t xml:space="preserve"> </w:t>
      </w:r>
      <w:r w:rsidRPr="00C92301">
        <w:rPr>
          <w:rFonts w:ascii="Arial" w:hAnsi="Arial" w:cs="Arial"/>
          <w:sz w:val="20"/>
          <w:szCs w:val="20"/>
        </w:rPr>
        <w:t>FURS lahko dovoli plačilo davka v največ 60 mesečnih obrokih po drugem odstavku 102. člena ZDavP-2, če vlagatelj predloži pravnomočni sklep, s katerim je na podlagi zakona, ki ureja finančno poslovanje, postopke zaradi insolventnosti in postopke prisilnega prenehanja, potrjen sporazum o finančnem prestrukturiranju ali sklep o potrjeni poenostavljeni prisilni poravnavi.</w:t>
      </w:r>
    </w:p>
    <w:p w14:paraId="1719B545" w14:textId="77777777" w:rsidR="004B7622" w:rsidRPr="007144F7" w:rsidRDefault="004B7622" w:rsidP="004B7622">
      <w:pPr>
        <w:jc w:val="both"/>
        <w:rPr>
          <w:rFonts w:ascii="Arial" w:hAnsi="Arial" w:cs="Arial"/>
          <w:sz w:val="20"/>
          <w:szCs w:val="20"/>
        </w:rPr>
      </w:pPr>
      <w:r w:rsidRPr="00C92301">
        <w:rPr>
          <w:rFonts w:ascii="Arial" w:hAnsi="Arial" w:cs="Arial"/>
          <w:sz w:val="20"/>
          <w:szCs w:val="20"/>
        </w:rPr>
        <w:t xml:space="preserve">Ne glede na izpolnjevanje pogojev iz 101. in 102. člena ZDavP-2 lahko davčni organ v skladu s prvim odstavkom 103. člena ZDavP-2 dovoli plačilo davka v največ 24 mesečnih obrokih ali dovoli odlog za največ 24 mesecev davčnemu zavezancu, ki predloži ustrezen instrument zavarovanja iz 117. člena </w:t>
      </w:r>
      <w:r w:rsidRPr="007144F7">
        <w:rPr>
          <w:rFonts w:ascii="Arial" w:hAnsi="Arial" w:cs="Arial"/>
          <w:sz w:val="20"/>
          <w:szCs w:val="20"/>
        </w:rPr>
        <w:t>ZDavP-2 ali dovoli vknjižbo zastavne pravice v ustrezni register.</w:t>
      </w:r>
    </w:p>
    <w:p w14:paraId="504BE05F" w14:textId="77777777" w:rsidR="004B7622" w:rsidRPr="00087025" w:rsidRDefault="004B7622" w:rsidP="004B7622">
      <w:pPr>
        <w:jc w:val="both"/>
        <w:rPr>
          <w:rFonts w:ascii="Arial" w:hAnsi="Arial" w:cs="Arial"/>
          <w:sz w:val="20"/>
          <w:szCs w:val="20"/>
        </w:rPr>
      </w:pPr>
      <w:r w:rsidRPr="007144F7">
        <w:rPr>
          <w:rFonts w:ascii="Arial" w:hAnsi="Arial" w:cs="Arial"/>
          <w:sz w:val="20"/>
          <w:szCs w:val="20"/>
        </w:rPr>
        <w:t xml:space="preserve">Na podlagi drugega odstavka 103. člena ZDavP-2 se lahko fizični osebi odobri obročno plačilo davka v največ treh mesečnih obrokih, če gre za davek, ki se ne nanaša na opravljanje dejavnosti. </w:t>
      </w:r>
      <w:r>
        <w:rPr>
          <w:rFonts w:ascii="Arial" w:hAnsi="Arial" w:cs="Arial"/>
          <w:sz w:val="20"/>
          <w:szCs w:val="20"/>
        </w:rPr>
        <w:t>Večina</w:t>
      </w:r>
      <w:r w:rsidRPr="00087025">
        <w:rPr>
          <w:rFonts w:ascii="Arial" w:hAnsi="Arial" w:cs="Arial"/>
          <w:sz w:val="20"/>
          <w:szCs w:val="20"/>
        </w:rPr>
        <w:t xml:space="preserve"> obročnih plačil se odobri po tej pravni podlagi za plačila letnega poračuna dohodnine. </w:t>
      </w:r>
    </w:p>
    <w:p w14:paraId="09EB8138" w14:textId="77777777" w:rsidR="004B7622" w:rsidRPr="005E514E" w:rsidRDefault="004B7622" w:rsidP="004B7622">
      <w:pPr>
        <w:jc w:val="both"/>
        <w:rPr>
          <w:rFonts w:ascii="Arial" w:hAnsi="Arial" w:cs="Arial"/>
          <w:sz w:val="20"/>
          <w:szCs w:val="20"/>
        </w:rPr>
      </w:pPr>
      <w:r w:rsidRPr="005E514E">
        <w:rPr>
          <w:rFonts w:ascii="Arial" w:hAnsi="Arial" w:cs="Arial"/>
          <w:sz w:val="20"/>
          <w:szCs w:val="20"/>
        </w:rPr>
        <w:t>Kot je razvidno iz p</w:t>
      </w:r>
      <w:r>
        <w:rPr>
          <w:rFonts w:ascii="Arial" w:hAnsi="Arial" w:cs="Arial"/>
          <w:sz w:val="20"/>
          <w:szCs w:val="20"/>
        </w:rPr>
        <w:t>reglednice 12, se je v letu 2021</w:t>
      </w:r>
      <w:r w:rsidRPr="005E514E">
        <w:rPr>
          <w:rFonts w:ascii="Arial" w:hAnsi="Arial" w:cs="Arial"/>
          <w:sz w:val="20"/>
          <w:szCs w:val="20"/>
        </w:rPr>
        <w:t xml:space="preserve"> število odobrenih zahtevkov za odlog plačila </w:t>
      </w:r>
      <w:r>
        <w:rPr>
          <w:rFonts w:ascii="Arial" w:hAnsi="Arial" w:cs="Arial"/>
          <w:sz w:val="20"/>
          <w:szCs w:val="20"/>
        </w:rPr>
        <w:t xml:space="preserve">zmanjšalo </w:t>
      </w:r>
      <w:r w:rsidRPr="005E514E">
        <w:rPr>
          <w:rFonts w:ascii="Arial" w:hAnsi="Arial" w:cs="Arial"/>
          <w:sz w:val="20"/>
          <w:szCs w:val="20"/>
        </w:rPr>
        <w:t xml:space="preserve">za </w:t>
      </w:r>
      <w:r>
        <w:rPr>
          <w:rFonts w:ascii="Arial" w:hAnsi="Arial" w:cs="Arial"/>
          <w:sz w:val="20"/>
          <w:szCs w:val="20"/>
        </w:rPr>
        <w:t>200</w:t>
      </w:r>
      <w:r w:rsidRPr="005E514E">
        <w:rPr>
          <w:rFonts w:ascii="Arial" w:hAnsi="Arial" w:cs="Arial"/>
          <w:sz w:val="20"/>
          <w:szCs w:val="20"/>
        </w:rPr>
        <w:t xml:space="preserve"> zahtevkov oziroma </w:t>
      </w:r>
      <w:r>
        <w:rPr>
          <w:rFonts w:ascii="Arial" w:hAnsi="Arial" w:cs="Arial"/>
          <w:sz w:val="20"/>
          <w:szCs w:val="20"/>
        </w:rPr>
        <w:t>56,7</w:t>
      </w:r>
      <w:r w:rsidRPr="005E514E">
        <w:rPr>
          <w:rFonts w:ascii="Arial" w:hAnsi="Arial" w:cs="Arial"/>
          <w:sz w:val="20"/>
          <w:szCs w:val="20"/>
        </w:rPr>
        <w:t xml:space="preserve"> odstotka, število odobrenih zahtevkov za obročno plačilo pa se je zmanjšalo za </w:t>
      </w:r>
      <w:r>
        <w:rPr>
          <w:rFonts w:ascii="Arial" w:hAnsi="Arial" w:cs="Arial"/>
          <w:sz w:val="20"/>
          <w:szCs w:val="20"/>
        </w:rPr>
        <w:t>2.516</w:t>
      </w:r>
      <w:r w:rsidRPr="005E514E">
        <w:rPr>
          <w:rFonts w:ascii="Arial" w:hAnsi="Arial" w:cs="Arial"/>
          <w:sz w:val="20"/>
          <w:szCs w:val="20"/>
        </w:rPr>
        <w:t xml:space="preserve"> zahtevkov oziroma </w:t>
      </w:r>
      <w:r>
        <w:rPr>
          <w:rFonts w:ascii="Arial" w:hAnsi="Arial" w:cs="Arial"/>
          <w:sz w:val="20"/>
          <w:szCs w:val="20"/>
        </w:rPr>
        <w:t xml:space="preserve">21,4 </w:t>
      </w:r>
      <w:r w:rsidRPr="005E514E">
        <w:rPr>
          <w:rFonts w:ascii="Arial" w:hAnsi="Arial" w:cs="Arial"/>
          <w:sz w:val="20"/>
          <w:szCs w:val="20"/>
        </w:rPr>
        <w:t xml:space="preserve">odstotka. </w:t>
      </w:r>
    </w:p>
    <w:p w14:paraId="2AC8F99E" w14:textId="77777777" w:rsidR="004B7622" w:rsidRPr="005E514E" w:rsidRDefault="004B7622" w:rsidP="004B7622">
      <w:pPr>
        <w:jc w:val="both"/>
        <w:rPr>
          <w:rFonts w:ascii="Arial" w:hAnsi="Arial" w:cs="Arial"/>
          <w:sz w:val="20"/>
          <w:szCs w:val="20"/>
        </w:rPr>
      </w:pPr>
      <w:r w:rsidRPr="005E514E">
        <w:rPr>
          <w:rFonts w:ascii="Arial" w:hAnsi="Arial" w:cs="Arial"/>
          <w:sz w:val="20"/>
          <w:szCs w:val="20"/>
        </w:rPr>
        <w:t xml:space="preserve">Znesek odloženih davčnih obveznosti se je v primerjavi z letom </w:t>
      </w:r>
      <w:r>
        <w:rPr>
          <w:rFonts w:ascii="Arial" w:hAnsi="Arial" w:cs="Arial"/>
          <w:sz w:val="20"/>
          <w:szCs w:val="20"/>
        </w:rPr>
        <w:t>2020</w:t>
      </w:r>
      <w:r w:rsidRPr="005E514E">
        <w:rPr>
          <w:rFonts w:ascii="Arial" w:hAnsi="Arial" w:cs="Arial"/>
          <w:sz w:val="20"/>
          <w:szCs w:val="20"/>
        </w:rPr>
        <w:t xml:space="preserve"> povečal za </w:t>
      </w:r>
      <w:r>
        <w:rPr>
          <w:rFonts w:ascii="Arial" w:hAnsi="Arial" w:cs="Arial"/>
          <w:sz w:val="20"/>
          <w:szCs w:val="20"/>
        </w:rPr>
        <w:t>2.702.653</w:t>
      </w:r>
      <w:r w:rsidRPr="005E514E">
        <w:rPr>
          <w:rFonts w:ascii="Arial" w:hAnsi="Arial" w:cs="Arial"/>
          <w:sz w:val="20"/>
          <w:szCs w:val="20"/>
        </w:rPr>
        <w:t xml:space="preserve"> EUR oziroma </w:t>
      </w:r>
      <w:r>
        <w:rPr>
          <w:rFonts w:ascii="Arial" w:hAnsi="Arial" w:cs="Arial"/>
          <w:sz w:val="20"/>
          <w:szCs w:val="20"/>
        </w:rPr>
        <w:t xml:space="preserve">56,7 </w:t>
      </w:r>
      <w:r w:rsidRPr="005E514E">
        <w:rPr>
          <w:rFonts w:ascii="Arial" w:hAnsi="Arial" w:cs="Arial"/>
          <w:sz w:val="20"/>
          <w:szCs w:val="20"/>
        </w:rPr>
        <w:t>odstotka, znesek odobrenih obročnih plačil pa</w:t>
      </w:r>
      <w:r>
        <w:rPr>
          <w:rFonts w:ascii="Arial" w:hAnsi="Arial" w:cs="Arial"/>
          <w:sz w:val="20"/>
          <w:szCs w:val="20"/>
        </w:rPr>
        <w:t xml:space="preserve"> se je zmanjšal</w:t>
      </w:r>
      <w:r w:rsidRPr="005E514E">
        <w:rPr>
          <w:rFonts w:ascii="Arial" w:hAnsi="Arial" w:cs="Arial"/>
          <w:sz w:val="20"/>
          <w:szCs w:val="20"/>
        </w:rPr>
        <w:t xml:space="preserve"> za </w:t>
      </w:r>
      <w:r>
        <w:rPr>
          <w:rFonts w:ascii="Arial" w:hAnsi="Arial" w:cs="Arial"/>
          <w:sz w:val="20"/>
          <w:szCs w:val="20"/>
        </w:rPr>
        <w:t>30.089.816</w:t>
      </w:r>
      <w:r w:rsidRPr="005E514E">
        <w:rPr>
          <w:rFonts w:ascii="Arial" w:hAnsi="Arial" w:cs="Arial"/>
          <w:sz w:val="20"/>
          <w:szCs w:val="20"/>
        </w:rPr>
        <w:t xml:space="preserve"> EUR oziroma </w:t>
      </w:r>
      <w:r>
        <w:rPr>
          <w:rFonts w:ascii="Arial" w:hAnsi="Arial" w:cs="Arial"/>
          <w:sz w:val="20"/>
          <w:szCs w:val="20"/>
        </w:rPr>
        <w:t>50,9</w:t>
      </w:r>
      <w:r w:rsidRPr="005E514E">
        <w:rPr>
          <w:rFonts w:ascii="Arial" w:hAnsi="Arial" w:cs="Arial"/>
          <w:sz w:val="20"/>
          <w:szCs w:val="20"/>
        </w:rPr>
        <w:t xml:space="preserve"> odstotka.</w:t>
      </w:r>
    </w:p>
    <w:p w14:paraId="7B1CE5AE" w14:textId="77777777" w:rsidR="004B7622" w:rsidRDefault="004B7622" w:rsidP="004B7622">
      <w:pPr>
        <w:pStyle w:val="FURSNavaden"/>
        <w:tabs>
          <w:tab w:val="left" w:pos="6466"/>
        </w:tabs>
        <w:jc w:val="left"/>
        <w:rPr>
          <w:rFonts w:cs="Arial"/>
          <w:szCs w:val="20"/>
          <w:lang w:eastAsia="en-US"/>
        </w:rPr>
      </w:pPr>
      <w:r w:rsidRPr="00907842">
        <w:rPr>
          <w:rFonts w:cs="Arial"/>
          <w:i/>
          <w:iCs/>
          <w:szCs w:val="20"/>
          <w:lang w:eastAsia="en-US"/>
        </w:rPr>
        <w:t>Preglednica 12: Odlogi in obročno plačilo davka po ZDavP-2</w:t>
      </w:r>
    </w:p>
    <w:p w14:paraId="1EA448C3" w14:textId="77777777" w:rsidR="004B7622" w:rsidRDefault="004B7622" w:rsidP="004B7622">
      <w:pPr>
        <w:pStyle w:val="FURSNavaden"/>
        <w:tabs>
          <w:tab w:val="left" w:pos="6466"/>
        </w:tabs>
        <w:jc w:val="left"/>
        <w:rPr>
          <w:rFonts w:cs="Arial"/>
          <w:szCs w:val="20"/>
          <w:lang w:eastAsia="en-US"/>
        </w:rPr>
      </w:pPr>
    </w:p>
    <w:tbl>
      <w:tblPr>
        <w:tblW w:w="9408" w:type="dxa"/>
        <w:tblInd w:w="-5" w:type="dxa"/>
        <w:tblCellMar>
          <w:left w:w="70" w:type="dxa"/>
          <w:right w:w="70" w:type="dxa"/>
        </w:tblCellMar>
        <w:tblLook w:val="04A0" w:firstRow="1" w:lastRow="0" w:firstColumn="1" w:lastColumn="0" w:noHBand="0" w:noVBand="1"/>
      </w:tblPr>
      <w:tblGrid>
        <w:gridCol w:w="2109"/>
        <w:gridCol w:w="1257"/>
        <w:gridCol w:w="1284"/>
        <w:gridCol w:w="1257"/>
        <w:gridCol w:w="1284"/>
        <w:gridCol w:w="941"/>
        <w:gridCol w:w="1276"/>
      </w:tblGrid>
      <w:tr w:rsidR="004B7622" w:rsidRPr="0035399E" w14:paraId="35852315" w14:textId="77777777" w:rsidTr="00377989">
        <w:trPr>
          <w:trHeight w:val="189"/>
        </w:trPr>
        <w:tc>
          <w:tcPr>
            <w:tcW w:w="21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820C2" w14:textId="77777777" w:rsidR="004B7622" w:rsidRPr="0035399E" w:rsidRDefault="004B7622" w:rsidP="00377989">
            <w:pPr>
              <w:spacing w:after="0" w:line="240" w:lineRule="auto"/>
              <w:jc w:val="center"/>
              <w:rPr>
                <w:rFonts w:ascii="Arial" w:eastAsia="Times New Roman" w:hAnsi="Arial" w:cs="Arial"/>
                <w:b/>
                <w:bCs/>
                <w:color w:val="000000"/>
                <w:sz w:val="18"/>
                <w:szCs w:val="18"/>
                <w:lang w:eastAsia="sl-SI"/>
              </w:rPr>
            </w:pPr>
            <w:r w:rsidRPr="0035399E">
              <w:rPr>
                <w:rFonts w:ascii="Arial" w:eastAsia="Times New Roman" w:hAnsi="Arial" w:cs="Arial"/>
                <w:b/>
                <w:bCs/>
                <w:color w:val="000000"/>
                <w:sz w:val="18"/>
                <w:szCs w:val="18"/>
                <w:lang w:eastAsia="sl-SI"/>
              </w:rPr>
              <w:t>Vrsta zahtevka</w:t>
            </w:r>
          </w:p>
        </w:tc>
        <w:tc>
          <w:tcPr>
            <w:tcW w:w="25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5D63A1" w14:textId="77777777" w:rsidR="004B7622" w:rsidRPr="0035399E" w:rsidRDefault="004B7622" w:rsidP="00377989">
            <w:pPr>
              <w:spacing w:after="0" w:line="240" w:lineRule="auto"/>
              <w:jc w:val="center"/>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2020</w:t>
            </w:r>
          </w:p>
        </w:tc>
        <w:tc>
          <w:tcPr>
            <w:tcW w:w="25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C3F752" w14:textId="77777777" w:rsidR="004B7622" w:rsidRPr="005E514E" w:rsidRDefault="004B7622" w:rsidP="00377989">
            <w:pPr>
              <w:spacing w:after="0" w:line="240" w:lineRule="auto"/>
              <w:jc w:val="center"/>
              <w:rPr>
                <w:rFonts w:ascii="Arial" w:eastAsia="Times New Roman" w:hAnsi="Arial" w:cs="Arial"/>
                <w:b/>
                <w:bCs/>
                <w:sz w:val="18"/>
                <w:szCs w:val="18"/>
                <w:lang w:eastAsia="sl-SI"/>
              </w:rPr>
            </w:pPr>
            <w:r>
              <w:rPr>
                <w:rFonts w:ascii="Arial" w:eastAsia="Times New Roman" w:hAnsi="Arial" w:cs="Arial"/>
                <w:b/>
                <w:bCs/>
                <w:sz w:val="18"/>
                <w:szCs w:val="18"/>
                <w:lang w:eastAsia="sl-SI"/>
              </w:rPr>
              <w:t>2021</w:t>
            </w:r>
          </w:p>
        </w:tc>
        <w:tc>
          <w:tcPr>
            <w:tcW w:w="2217" w:type="dxa"/>
            <w:gridSpan w:val="2"/>
            <w:tcBorders>
              <w:top w:val="single" w:sz="4" w:space="0" w:color="auto"/>
              <w:left w:val="nil"/>
              <w:bottom w:val="single" w:sz="4" w:space="0" w:color="auto"/>
              <w:right w:val="single" w:sz="4" w:space="0" w:color="auto"/>
            </w:tcBorders>
            <w:shd w:val="clear" w:color="auto" w:fill="auto"/>
            <w:vAlign w:val="center"/>
            <w:hideMark/>
          </w:tcPr>
          <w:p w14:paraId="71F3EAD7" w14:textId="77777777" w:rsidR="004B7622" w:rsidRPr="0035399E" w:rsidRDefault="004B7622" w:rsidP="00377989">
            <w:pPr>
              <w:spacing w:after="0" w:line="240" w:lineRule="auto"/>
              <w:jc w:val="center"/>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Indeks 2021/2020</w:t>
            </w:r>
          </w:p>
        </w:tc>
      </w:tr>
      <w:tr w:rsidR="004B7622" w:rsidRPr="0035399E" w14:paraId="210F7FB5" w14:textId="77777777" w:rsidTr="00377989">
        <w:trPr>
          <w:trHeight w:val="645"/>
        </w:trPr>
        <w:tc>
          <w:tcPr>
            <w:tcW w:w="2109" w:type="dxa"/>
            <w:vMerge/>
            <w:tcBorders>
              <w:top w:val="single" w:sz="4" w:space="0" w:color="auto"/>
              <w:left w:val="single" w:sz="4" w:space="0" w:color="auto"/>
              <w:bottom w:val="single" w:sz="4" w:space="0" w:color="auto"/>
              <w:right w:val="single" w:sz="4" w:space="0" w:color="auto"/>
            </w:tcBorders>
            <w:vAlign w:val="center"/>
            <w:hideMark/>
          </w:tcPr>
          <w:p w14:paraId="4F9FA289" w14:textId="77777777" w:rsidR="004B7622" w:rsidRPr="0035399E" w:rsidRDefault="004B7622" w:rsidP="00377989">
            <w:pPr>
              <w:spacing w:after="0" w:line="240" w:lineRule="auto"/>
              <w:rPr>
                <w:rFonts w:ascii="Arial" w:eastAsia="Times New Roman" w:hAnsi="Arial" w:cs="Arial"/>
                <w:b/>
                <w:bCs/>
                <w:color w:val="000000"/>
                <w:sz w:val="18"/>
                <w:szCs w:val="18"/>
                <w:lang w:eastAsia="sl-SI"/>
              </w:rPr>
            </w:pPr>
          </w:p>
        </w:tc>
        <w:tc>
          <w:tcPr>
            <w:tcW w:w="1257" w:type="dxa"/>
            <w:tcBorders>
              <w:top w:val="nil"/>
              <w:left w:val="nil"/>
              <w:bottom w:val="single" w:sz="4" w:space="0" w:color="auto"/>
              <w:right w:val="single" w:sz="4" w:space="0" w:color="auto"/>
            </w:tcBorders>
            <w:shd w:val="clear" w:color="auto" w:fill="auto"/>
            <w:vAlign w:val="center"/>
            <w:hideMark/>
          </w:tcPr>
          <w:p w14:paraId="3A2B4DAB" w14:textId="77777777" w:rsidR="004B7622" w:rsidRPr="0035399E" w:rsidRDefault="004B7622" w:rsidP="00377989">
            <w:pPr>
              <w:spacing w:after="0" w:line="240" w:lineRule="auto"/>
              <w:jc w:val="center"/>
              <w:rPr>
                <w:rFonts w:ascii="Arial" w:eastAsia="Times New Roman" w:hAnsi="Arial" w:cs="Arial"/>
                <w:b/>
                <w:bCs/>
                <w:color w:val="000000"/>
                <w:sz w:val="18"/>
                <w:szCs w:val="18"/>
                <w:lang w:eastAsia="sl-SI"/>
              </w:rPr>
            </w:pPr>
            <w:r w:rsidRPr="0035399E">
              <w:rPr>
                <w:rFonts w:ascii="Arial" w:eastAsia="Times New Roman" w:hAnsi="Arial" w:cs="Arial"/>
                <w:b/>
                <w:bCs/>
                <w:color w:val="000000"/>
                <w:sz w:val="18"/>
                <w:szCs w:val="18"/>
                <w:lang w:eastAsia="sl-SI"/>
              </w:rPr>
              <w:t xml:space="preserve">Število odobrenih zahtevkov </w:t>
            </w:r>
          </w:p>
        </w:tc>
        <w:tc>
          <w:tcPr>
            <w:tcW w:w="1284" w:type="dxa"/>
            <w:tcBorders>
              <w:top w:val="nil"/>
              <w:left w:val="nil"/>
              <w:bottom w:val="single" w:sz="4" w:space="0" w:color="auto"/>
              <w:right w:val="single" w:sz="4" w:space="0" w:color="auto"/>
            </w:tcBorders>
            <w:shd w:val="clear" w:color="auto" w:fill="auto"/>
            <w:vAlign w:val="center"/>
            <w:hideMark/>
          </w:tcPr>
          <w:p w14:paraId="2A4F622E" w14:textId="77777777" w:rsidR="004B7622" w:rsidRPr="0035399E" w:rsidRDefault="004B7622" w:rsidP="00377989">
            <w:pPr>
              <w:spacing w:after="0" w:line="240" w:lineRule="auto"/>
              <w:jc w:val="center"/>
              <w:rPr>
                <w:rFonts w:ascii="Arial" w:eastAsia="Times New Roman" w:hAnsi="Arial" w:cs="Arial"/>
                <w:b/>
                <w:bCs/>
                <w:color w:val="000000"/>
                <w:sz w:val="18"/>
                <w:szCs w:val="18"/>
                <w:lang w:eastAsia="sl-SI"/>
              </w:rPr>
            </w:pPr>
            <w:r w:rsidRPr="0035399E">
              <w:rPr>
                <w:rFonts w:ascii="Arial" w:eastAsia="Times New Roman" w:hAnsi="Arial" w:cs="Arial"/>
                <w:b/>
                <w:bCs/>
                <w:color w:val="000000"/>
                <w:sz w:val="18"/>
                <w:szCs w:val="18"/>
                <w:lang w:eastAsia="sl-SI"/>
              </w:rPr>
              <w:t xml:space="preserve">Znesek odobrenih zahtevkov (v </w:t>
            </w:r>
            <w:r>
              <w:rPr>
                <w:rFonts w:ascii="Arial" w:eastAsia="Times New Roman" w:hAnsi="Arial" w:cs="Arial"/>
                <w:b/>
                <w:bCs/>
                <w:color w:val="000000"/>
                <w:sz w:val="18"/>
                <w:szCs w:val="18"/>
                <w:lang w:eastAsia="sl-SI"/>
              </w:rPr>
              <w:t>EUR</w:t>
            </w:r>
            <w:r w:rsidRPr="0035399E">
              <w:rPr>
                <w:rFonts w:ascii="Arial" w:eastAsia="Times New Roman" w:hAnsi="Arial" w:cs="Arial"/>
                <w:b/>
                <w:bCs/>
                <w:color w:val="000000"/>
                <w:sz w:val="18"/>
                <w:szCs w:val="18"/>
                <w:lang w:eastAsia="sl-SI"/>
              </w:rPr>
              <w:t>)</w:t>
            </w:r>
          </w:p>
        </w:tc>
        <w:tc>
          <w:tcPr>
            <w:tcW w:w="1257" w:type="dxa"/>
            <w:tcBorders>
              <w:top w:val="nil"/>
              <w:left w:val="nil"/>
              <w:bottom w:val="single" w:sz="4" w:space="0" w:color="auto"/>
              <w:right w:val="single" w:sz="4" w:space="0" w:color="auto"/>
            </w:tcBorders>
            <w:shd w:val="clear" w:color="auto" w:fill="auto"/>
            <w:vAlign w:val="center"/>
            <w:hideMark/>
          </w:tcPr>
          <w:p w14:paraId="42763602" w14:textId="77777777" w:rsidR="004B7622" w:rsidRPr="005E514E" w:rsidRDefault="004B7622" w:rsidP="00377989">
            <w:pPr>
              <w:spacing w:after="0" w:line="240" w:lineRule="auto"/>
              <w:jc w:val="center"/>
              <w:rPr>
                <w:rFonts w:ascii="Arial" w:eastAsia="Times New Roman" w:hAnsi="Arial" w:cs="Arial"/>
                <w:b/>
                <w:bCs/>
                <w:sz w:val="18"/>
                <w:szCs w:val="18"/>
                <w:lang w:eastAsia="sl-SI"/>
              </w:rPr>
            </w:pPr>
            <w:r w:rsidRPr="005E514E">
              <w:rPr>
                <w:rFonts w:ascii="Arial" w:eastAsia="Times New Roman" w:hAnsi="Arial" w:cs="Arial"/>
                <w:b/>
                <w:bCs/>
                <w:sz w:val="18"/>
                <w:szCs w:val="18"/>
                <w:lang w:eastAsia="sl-SI"/>
              </w:rPr>
              <w:t xml:space="preserve">Število odobrenih zahtevkov </w:t>
            </w:r>
          </w:p>
        </w:tc>
        <w:tc>
          <w:tcPr>
            <w:tcW w:w="1284" w:type="dxa"/>
            <w:tcBorders>
              <w:top w:val="nil"/>
              <w:left w:val="nil"/>
              <w:bottom w:val="single" w:sz="4" w:space="0" w:color="auto"/>
              <w:right w:val="single" w:sz="4" w:space="0" w:color="auto"/>
            </w:tcBorders>
            <w:shd w:val="clear" w:color="auto" w:fill="auto"/>
            <w:vAlign w:val="center"/>
            <w:hideMark/>
          </w:tcPr>
          <w:p w14:paraId="4C02C683" w14:textId="77777777" w:rsidR="004B7622" w:rsidRPr="005E514E" w:rsidRDefault="004B7622" w:rsidP="00377989">
            <w:pPr>
              <w:spacing w:after="0" w:line="240" w:lineRule="auto"/>
              <w:jc w:val="center"/>
              <w:rPr>
                <w:rFonts w:ascii="Arial" w:eastAsia="Times New Roman" w:hAnsi="Arial" w:cs="Arial"/>
                <w:b/>
                <w:bCs/>
                <w:sz w:val="18"/>
                <w:szCs w:val="18"/>
                <w:lang w:eastAsia="sl-SI"/>
              </w:rPr>
            </w:pPr>
            <w:r w:rsidRPr="005E514E">
              <w:rPr>
                <w:rFonts w:ascii="Arial" w:eastAsia="Times New Roman" w:hAnsi="Arial" w:cs="Arial"/>
                <w:b/>
                <w:bCs/>
                <w:sz w:val="18"/>
                <w:szCs w:val="18"/>
                <w:lang w:eastAsia="sl-SI"/>
              </w:rPr>
              <w:t>Znesek odobrenih zahtevkov          (v EUR)</w:t>
            </w:r>
          </w:p>
        </w:tc>
        <w:tc>
          <w:tcPr>
            <w:tcW w:w="941" w:type="dxa"/>
            <w:tcBorders>
              <w:top w:val="nil"/>
              <w:left w:val="nil"/>
              <w:bottom w:val="single" w:sz="4" w:space="0" w:color="auto"/>
              <w:right w:val="single" w:sz="4" w:space="0" w:color="auto"/>
            </w:tcBorders>
            <w:shd w:val="clear" w:color="auto" w:fill="auto"/>
            <w:noWrap/>
            <w:vAlign w:val="center"/>
            <w:hideMark/>
          </w:tcPr>
          <w:p w14:paraId="21867CFD" w14:textId="77777777" w:rsidR="004B7622" w:rsidRPr="0035399E" w:rsidRDefault="004B7622" w:rsidP="00377989">
            <w:pPr>
              <w:spacing w:after="0" w:line="240" w:lineRule="auto"/>
              <w:jc w:val="center"/>
              <w:rPr>
                <w:rFonts w:ascii="Arial" w:eastAsia="Times New Roman" w:hAnsi="Arial" w:cs="Arial"/>
                <w:b/>
                <w:bCs/>
                <w:color w:val="000000"/>
                <w:sz w:val="18"/>
                <w:szCs w:val="18"/>
                <w:lang w:eastAsia="sl-SI"/>
              </w:rPr>
            </w:pPr>
            <w:r w:rsidRPr="0035399E">
              <w:rPr>
                <w:rFonts w:ascii="Arial" w:eastAsia="Times New Roman" w:hAnsi="Arial" w:cs="Arial"/>
                <w:b/>
                <w:bCs/>
                <w:color w:val="000000"/>
                <w:sz w:val="18"/>
                <w:szCs w:val="18"/>
                <w:lang w:eastAsia="sl-SI"/>
              </w:rPr>
              <w:t>Število</w:t>
            </w:r>
          </w:p>
        </w:tc>
        <w:tc>
          <w:tcPr>
            <w:tcW w:w="1276" w:type="dxa"/>
            <w:tcBorders>
              <w:top w:val="nil"/>
              <w:left w:val="nil"/>
              <w:bottom w:val="single" w:sz="4" w:space="0" w:color="auto"/>
              <w:right w:val="single" w:sz="4" w:space="0" w:color="auto"/>
            </w:tcBorders>
            <w:shd w:val="clear" w:color="auto" w:fill="auto"/>
            <w:noWrap/>
            <w:vAlign w:val="center"/>
            <w:hideMark/>
          </w:tcPr>
          <w:p w14:paraId="3F75B0E1" w14:textId="77777777" w:rsidR="004B7622" w:rsidRPr="0035399E" w:rsidRDefault="004B7622" w:rsidP="00377989">
            <w:pPr>
              <w:spacing w:after="0" w:line="240" w:lineRule="auto"/>
              <w:jc w:val="center"/>
              <w:rPr>
                <w:rFonts w:ascii="Arial" w:eastAsia="Times New Roman" w:hAnsi="Arial" w:cs="Arial"/>
                <w:b/>
                <w:bCs/>
                <w:color w:val="000000"/>
                <w:sz w:val="18"/>
                <w:szCs w:val="18"/>
                <w:lang w:eastAsia="sl-SI"/>
              </w:rPr>
            </w:pPr>
            <w:r w:rsidRPr="0035399E">
              <w:rPr>
                <w:rFonts w:ascii="Arial" w:eastAsia="Times New Roman" w:hAnsi="Arial" w:cs="Arial"/>
                <w:b/>
                <w:bCs/>
                <w:color w:val="000000"/>
                <w:sz w:val="18"/>
                <w:szCs w:val="18"/>
                <w:lang w:eastAsia="sl-SI"/>
              </w:rPr>
              <w:t>Znesek</w:t>
            </w:r>
          </w:p>
        </w:tc>
      </w:tr>
      <w:tr w:rsidR="004B7622" w:rsidRPr="0035399E" w14:paraId="23F58DDD" w14:textId="77777777" w:rsidTr="00377989">
        <w:trPr>
          <w:trHeight w:val="189"/>
        </w:trPr>
        <w:tc>
          <w:tcPr>
            <w:tcW w:w="2109" w:type="dxa"/>
            <w:tcBorders>
              <w:top w:val="nil"/>
              <w:left w:val="single" w:sz="4" w:space="0" w:color="auto"/>
              <w:bottom w:val="single" w:sz="4" w:space="0" w:color="auto"/>
              <w:right w:val="single" w:sz="4" w:space="0" w:color="auto"/>
            </w:tcBorders>
            <w:shd w:val="clear" w:color="auto" w:fill="93CFDD"/>
            <w:noWrap/>
            <w:vAlign w:val="center"/>
            <w:hideMark/>
          </w:tcPr>
          <w:p w14:paraId="6AA2FFAB" w14:textId="77777777" w:rsidR="004B7622" w:rsidRPr="0035399E" w:rsidRDefault="004B7622" w:rsidP="00377989">
            <w:pPr>
              <w:spacing w:after="0" w:line="240" w:lineRule="auto"/>
              <w:rPr>
                <w:rFonts w:ascii="Arial" w:eastAsia="Times New Roman" w:hAnsi="Arial" w:cs="Arial"/>
                <w:b/>
                <w:bCs/>
                <w:color w:val="000000"/>
                <w:sz w:val="18"/>
                <w:szCs w:val="18"/>
                <w:lang w:eastAsia="sl-SI"/>
              </w:rPr>
            </w:pPr>
            <w:r w:rsidRPr="0035399E">
              <w:rPr>
                <w:rFonts w:ascii="Arial" w:eastAsia="Times New Roman" w:hAnsi="Arial" w:cs="Arial"/>
                <w:b/>
                <w:bCs/>
                <w:color w:val="000000"/>
                <w:sz w:val="18"/>
                <w:szCs w:val="18"/>
                <w:lang w:eastAsia="sl-SI"/>
              </w:rPr>
              <w:t>Odlog plačila</w:t>
            </w:r>
          </w:p>
        </w:tc>
        <w:tc>
          <w:tcPr>
            <w:tcW w:w="1257" w:type="dxa"/>
            <w:tcBorders>
              <w:top w:val="nil"/>
              <w:left w:val="nil"/>
              <w:bottom w:val="single" w:sz="8" w:space="0" w:color="auto"/>
              <w:right w:val="single" w:sz="8" w:space="0" w:color="auto"/>
            </w:tcBorders>
            <w:shd w:val="clear" w:color="000000" w:fill="93CFDD"/>
            <w:noWrap/>
            <w:hideMark/>
          </w:tcPr>
          <w:p w14:paraId="0A3736D0" w14:textId="77777777" w:rsidR="004B7622" w:rsidRDefault="004B7622" w:rsidP="00377989">
            <w:pPr>
              <w:spacing w:after="0" w:line="240" w:lineRule="auto"/>
              <w:jc w:val="right"/>
              <w:rPr>
                <w:rFonts w:ascii="Arial" w:eastAsia="Times New Roman" w:hAnsi="Arial" w:cs="Arial"/>
                <w:b/>
                <w:bCs/>
                <w:color w:val="000000"/>
                <w:sz w:val="18"/>
                <w:szCs w:val="18"/>
              </w:rPr>
            </w:pPr>
            <w:r>
              <w:rPr>
                <w:rFonts w:ascii="Arial" w:hAnsi="Arial" w:cs="Arial"/>
                <w:b/>
                <w:bCs/>
                <w:color w:val="000000"/>
                <w:sz w:val="18"/>
                <w:szCs w:val="18"/>
              </w:rPr>
              <w:t>353</w:t>
            </w:r>
          </w:p>
        </w:tc>
        <w:tc>
          <w:tcPr>
            <w:tcW w:w="1284" w:type="dxa"/>
            <w:tcBorders>
              <w:top w:val="nil"/>
              <w:left w:val="nil"/>
              <w:bottom w:val="single" w:sz="8" w:space="0" w:color="auto"/>
              <w:right w:val="single" w:sz="8" w:space="0" w:color="auto"/>
            </w:tcBorders>
            <w:shd w:val="clear" w:color="000000" w:fill="93CFDD"/>
            <w:noWrap/>
            <w:vAlign w:val="center"/>
            <w:hideMark/>
          </w:tcPr>
          <w:p w14:paraId="033E8E6D" w14:textId="77777777" w:rsidR="004B7622" w:rsidRDefault="004B7622" w:rsidP="00377989">
            <w:pPr>
              <w:jc w:val="right"/>
              <w:rPr>
                <w:rFonts w:ascii="Arial" w:hAnsi="Arial" w:cs="Arial"/>
                <w:b/>
                <w:bCs/>
                <w:color w:val="000000"/>
                <w:sz w:val="18"/>
                <w:szCs w:val="18"/>
              </w:rPr>
            </w:pPr>
            <w:r>
              <w:rPr>
                <w:rFonts w:ascii="Arial" w:hAnsi="Arial" w:cs="Arial"/>
                <w:b/>
                <w:bCs/>
                <w:color w:val="000000"/>
                <w:sz w:val="18"/>
                <w:szCs w:val="18"/>
              </w:rPr>
              <w:t>4.765.605</w:t>
            </w:r>
          </w:p>
        </w:tc>
        <w:tc>
          <w:tcPr>
            <w:tcW w:w="1257" w:type="dxa"/>
            <w:tcBorders>
              <w:top w:val="nil"/>
              <w:left w:val="nil"/>
              <w:bottom w:val="single" w:sz="8" w:space="0" w:color="auto"/>
              <w:right w:val="single" w:sz="8" w:space="0" w:color="auto"/>
            </w:tcBorders>
            <w:shd w:val="clear" w:color="000000" w:fill="93CFDD"/>
            <w:noWrap/>
            <w:vAlign w:val="center"/>
            <w:hideMark/>
          </w:tcPr>
          <w:p w14:paraId="11EA9C4E" w14:textId="77777777" w:rsidR="004B7622" w:rsidRDefault="004B7622" w:rsidP="00377989">
            <w:pPr>
              <w:jc w:val="right"/>
              <w:rPr>
                <w:rFonts w:ascii="Arial" w:hAnsi="Arial" w:cs="Arial"/>
                <w:b/>
                <w:bCs/>
                <w:color w:val="000000"/>
                <w:sz w:val="18"/>
                <w:szCs w:val="18"/>
              </w:rPr>
            </w:pPr>
            <w:r>
              <w:rPr>
                <w:rFonts w:ascii="Arial" w:hAnsi="Arial" w:cs="Arial"/>
                <w:b/>
                <w:bCs/>
                <w:color w:val="000000"/>
                <w:sz w:val="18"/>
                <w:szCs w:val="18"/>
              </w:rPr>
              <w:t>153</w:t>
            </w:r>
          </w:p>
        </w:tc>
        <w:tc>
          <w:tcPr>
            <w:tcW w:w="1284" w:type="dxa"/>
            <w:tcBorders>
              <w:top w:val="nil"/>
              <w:left w:val="nil"/>
              <w:bottom w:val="single" w:sz="8" w:space="0" w:color="auto"/>
              <w:right w:val="single" w:sz="8" w:space="0" w:color="auto"/>
            </w:tcBorders>
            <w:shd w:val="clear" w:color="000000" w:fill="93CFDD"/>
            <w:noWrap/>
            <w:vAlign w:val="center"/>
            <w:hideMark/>
          </w:tcPr>
          <w:p w14:paraId="707B125C" w14:textId="77777777" w:rsidR="004B7622" w:rsidRDefault="004B7622" w:rsidP="00377989">
            <w:pPr>
              <w:jc w:val="right"/>
              <w:rPr>
                <w:rFonts w:ascii="Arial" w:hAnsi="Arial" w:cs="Arial"/>
                <w:b/>
                <w:bCs/>
                <w:color w:val="000000"/>
                <w:sz w:val="18"/>
                <w:szCs w:val="18"/>
              </w:rPr>
            </w:pPr>
            <w:r>
              <w:rPr>
                <w:rFonts w:ascii="Arial" w:hAnsi="Arial" w:cs="Arial"/>
                <w:b/>
                <w:bCs/>
                <w:color w:val="000000"/>
                <w:sz w:val="18"/>
                <w:szCs w:val="18"/>
              </w:rPr>
              <w:t>7.468.258</w:t>
            </w:r>
          </w:p>
        </w:tc>
        <w:tc>
          <w:tcPr>
            <w:tcW w:w="941" w:type="dxa"/>
            <w:tcBorders>
              <w:top w:val="nil"/>
              <w:left w:val="nil"/>
              <w:bottom w:val="single" w:sz="8" w:space="0" w:color="auto"/>
              <w:right w:val="single" w:sz="8" w:space="0" w:color="auto"/>
            </w:tcBorders>
            <w:shd w:val="clear" w:color="000000" w:fill="93CFDD"/>
            <w:noWrap/>
            <w:vAlign w:val="center"/>
            <w:hideMark/>
          </w:tcPr>
          <w:p w14:paraId="3C7C42D7" w14:textId="77777777" w:rsidR="004B7622" w:rsidRDefault="004B7622" w:rsidP="00377989">
            <w:pPr>
              <w:jc w:val="right"/>
              <w:rPr>
                <w:rFonts w:ascii="Arial" w:hAnsi="Arial" w:cs="Arial"/>
                <w:b/>
                <w:bCs/>
                <w:color w:val="000000"/>
                <w:sz w:val="18"/>
                <w:szCs w:val="18"/>
              </w:rPr>
            </w:pPr>
            <w:r>
              <w:rPr>
                <w:rFonts w:ascii="Arial" w:hAnsi="Arial" w:cs="Arial"/>
                <w:b/>
                <w:bCs/>
                <w:color w:val="000000"/>
                <w:sz w:val="18"/>
                <w:szCs w:val="18"/>
              </w:rPr>
              <w:t>43,3</w:t>
            </w:r>
          </w:p>
        </w:tc>
        <w:tc>
          <w:tcPr>
            <w:tcW w:w="1276" w:type="dxa"/>
            <w:tcBorders>
              <w:top w:val="nil"/>
              <w:left w:val="nil"/>
              <w:bottom w:val="single" w:sz="8" w:space="0" w:color="auto"/>
              <w:right w:val="single" w:sz="8" w:space="0" w:color="auto"/>
            </w:tcBorders>
            <w:shd w:val="clear" w:color="000000" w:fill="93CFDD"/>
            <w:noWrap/>
            <w:vAlign w:val="center"/>
            <w:hideMark/>
          </w:tcPr>
          <w:p w14:paraId="061D0FD8" w14:textId="77777777" w:rsidR="004B7622" w:rsidRDefault="004B7622" w:rsidP="00377989">
            <w:pPr>
              <w:jc w:val="right"/>
              <w:rPr>
                <w:rFonts w:ascii="Arial" w:hAnsi="Arial" w:cs="Arial"/>
                <w:b/>
                <w:bCs/>
                <w:color w:val="000000"/>
                <w:sz w:val="18"/>
                <w:szCs w:val="18"/>
              </w:rPr>
            </w:pPr>
            <w:r>
              <w:rPr>
                <w:rFonts w:ascii="Arial" w:hAnsi="Arial" w:cs="Arial"/>
                <w:b/>
                <w:bCs/>
                <w:color w:val="000000"/>
                <w:sz w:val="18"/>
                <w:szCs w:val="18"/>
              </w:rPr>
              <w:t>156,7</w:t>
            </w:r>
          </w:p>
        </w:tc>
      </w:tr>
      <w:tr w:rsidR="004B7622" w:rsidRPr="0035399E" w14:paraId="017770AF" w14:textId="77777777" w:rsidTr="00377989">
        <w:trPr>
          <w:trHeight w:val="189"/>
        </w:trPr>
        <w:tc>
          <w:tcPr>
            <w:tcW w:w="2109" w:type="dxa"/>
            <w:tcBorders>
              <w:top w:val="nil"/>
              <w:left w:val="single" w:sz="4" w:space="0" w:color="auto"/>
              <w:bottom w:val="single" w:sz="4" w:space="0" w:color="auto"/>
              <w:right w:val="single" w:sz="4" w:space="0" w:color="auto"/>
            </w:tcBorders>
            <w:shd w:val="clear" w:color="auto" w:fill="auto"/>
            <w:noWrap/>
            <w:vAlign w:val="center"/>
            <w:hideMark/>
          </w:tcPr>
          <w:p w14:paraId="1E501A33" w14:textId="77777777" w:rsidR="004B7622" w:rsidRPr="0035399E" w:rsidRDefault="004B7622" w:rsidP="00377989">
            <w:pPr>
              <w:spacing w:after="0" w:line="240" w:lineRule="auto"/>
              <w:rPr>
                <w:rFonts w:ascii="Arial" w:eastAsia="Times New Roman" w:hAnsi="Arial" w:cs="Arial"/>
                <w:b/>
                <w:bCs/>
                <w:color w:val="000000"/>
                <w:sz w:val="18"/>
                <w:szCs w:val="18"/>
                <w:lang w:eastAsia="sl-SI"/>
              </w:rPr>
            </w:pPr>
            <w:r w:rsidRPr="0035399E">
              <w:rPr>
                <w:rFonts w:ascii="Arial" w:eastAsia="Times New Roman" w:hAnsi="Arial" w:cs="Arial"/>
                <w:b/>
                <w:bCs/>
                <w:color w:val="000000"/>
                <w:sz w:val="18"/>
                <w:szCs w:val="18"/>
                <w:lang w:eastAsia="sl-SI"/>
              </w:rPr>
              <w:t xml:space="preserve">od tega poslovnih subjektov </w:t>
            </w:r>
          </w:p>
        </w:tc>
        <w:tc>
          <w:tcPr>
            <w:tcW w:w="1257" w:type="dxa"/>
            <w:tcBorders>
              <w:top w:val="nil"/>
              <w:left w:val="nil"/>
              <w:bottom w:val="single" w:sz="8" w:space="0" w:color="auto"/>
              <w:right w:val="single" w:sz="8" w:space="0" w:color="auto"/>
            </w:tcBorders>
            <w:shd w:val="clear" w:color="auto" w:fill="auto"/>
            <w:noWrap/>
            <w:vAlign w:val="center"/>
            <w:hideMark/>
          </w:tcPr>
          <w:p w14:paraId="0209D1E0" w14:textId="77777777" w:rsidR="004B7622" w:rsidRDefault="004B7622" w:rsidP="00377989">
            <w:pPr>
              <w:jc w:val="right"/>
              <w:rPr>
                <w:rFonts w:ascii="Arial" w:hAnsi="Arial" w:cs="Arial"/>
                <w:color w:val="000000"/>
                <w:sz w:val="18"/>
                <w:szCs w:val="18"/>
              </w:rPr>
            </w:pPr>
            <w:r>
              <w:rPr>
                <w:rFonts w:ascii="Arial" w:hAnsi="Arial" w:cs="Arial"/>
                <w:color w:val="000000"/>
                <w:sz w:val="18"/>
                <w:szCs w:val="18"/>
              </w:rPr>
              <w:t>209</w:t>
            </w:r>
          </w:p>
        </w:tc>
        <w:tc>
          <w:tcPr>
            <w:tcW w:w="1284" w:type="dxa"/>
            <w:tcBorders>
              <w:top w:val="nil"/>
              <w:left w:val="nil"/>
              <w:bottom w:val="single" w:sz="8" w:space="0" w:color="auto"/>
              <w:right w:val="single" w:sz="8" w:space="0" w:color="auto"/>
            </w:tcBorders>
            <w:shd w:val="clear" w:color="auto" w:fill="auto"/>
            <w:noWrap/>
            <w:vAlign w:val="center"/>
            <w:hideMark/>
          </w:tcPr>
          <w:p w14:paraId="4DC52C75" w14:textId="77777777" w:rsidR="004B7622" w:rsidRDefault="004B7622" w:rsidP="00377989">
            <w:pPr>
              <w:jc w:val="right"/>
              <w:rPr>
                <w:rFonts w:ascii="Arial" w:hAnsi="Arial" w:cs="Arial"/>
                <w:color w:val="000000"/>
                <w:sz w:val="18"/>
                <w:szCs w:val="18"/>
              </w:rPr>
            </w:pPr>
            <w:r>
              <w:rPr>
                <w:rFonts w:ascii="Arial" w:hAnsi="Arial" w:cs="Arial"/>
                <w:color w:val="000000"/>
                <w:sz w:val="18"/>
                <w:szCs w:val="18"/>
              </w:rPr>
              <w:t>3.980.595</w:t>
            </w:r>
          </w:p>
        </w:tc>
        <w:tc>
          <w:tcPr>
            <w:tcW w:w="1257" w:type="dxa"/>
            <w:tcBorders>
              <w:top w:val="nil"/>
              <w:left w:val="nil"/>
              <w:bottom w:val="single" w:sz="8" w:space="0" w:color="auto"/>
              <w:right w:val="single" w:sz="8" w:space="0" w:color="auto"/>
            </w:tcBorders>
            <w:shd w:val="clear" w:color="auto" w:fill="auto"/>
            <w:noWrap/>
            <w:vAlign w:val="center"/>
            <w:hideMark/>
          </w:tcPr>
          <w:p w14:paraId="2047532F" w14:textId="77777777" w:rsidR="004B7622" w:rsidRDefault="004B7622" w:rsidP="00377989">
            <w:pPr>
              <w:jc w:val="right"/>
              <w:rPr>
                <w:rFonts w:ascii="Arial" w:hAnsi="Arial" w:cs="Arial"/>
                <w:color w:val="000000"/>
                <w:sz w:val="18"/>
                <w:szCs w:val="18"/>
              </w:rPr>
            </w:pPr>
            <w:r>
              <w:rPr>
                <w:rFonts w:ascii="Arial" w:hAnsi="Arial" w:cs="Arial"/>
                <w:color w:val="000000"/>
                <w:sz w:val="18"/>
                <w:szCs w:val="18"/>
              </w:rPr>
              <w:t>25</w:t>
            </w:r>
          </w:p>
        </w:tc>
        <w:tc>
          <w:tcPr>
            <w:tcW w:w="1284" w:type="dxa"/>
            <w:tcBorders>
              <w:top w:val="nil"/>
              <w:left w:val="nil"/>
              <w:bottom w:val="single" w:sz="8" w:space="0" w:color="auto"/>
              <w:right w:val="single" w:sz="8" w:space="0" w:color="auto"/>
            </w:tcBorders>
            <w:shd w:val="clear" w:color="auto" w:fill="auto"/>
            <w:noWrap/>
            <w:vAlign w:val="center"/>
            <w:hideMark/>
          </w:tcPr>
          <w:p w14:paraId="6B4EF1E9" w14:textId="77777777" w:rsidR="004B7622" w:rsidRDefault="004B7622" w:rsidP="00377989">
            <w:pPr>
              <w:jc w:val="right"/>
              <w:rPr>
                <w:rFonts w:ascii="Arial" w:hAnsi="Arial" w:cs="Arial"/>
                <w:color w:val="000000"/>
                <w:sz w:val="18"/>
                <w:szCs w:val="18"/>
              </w:rPr>
            </w:pPr>
            <w:r>
              <w:rPr>
                <w:rFonts w:ascii="Arial" w:hAnsi="Arial" w:cs="Arial"/>
                <w:color w:val="000000"/>
                <w:sz w:val="18"/>
                <w:szCs w:val="18"/>
              </w:rPr>
              <w:t>6.497.579</w:t>
            </w:r>
          </w:p>
        </w:tc>
        <w:tc>
          <w:tcPr>
            <w:tcW w:w="941" w:type="dxa"/>
            <w:tcBorders>
              <w:top w:val="nil"/>
              <w:left w:val="nil"/>
              <w:bottom w:val="single" w:sz="8" w:space="0" w:color="auto"/>
              <w:right w:val="single" w:sz="8" w:space="0" w:color="auto"/>
            </w:tcBorders>
            <w:shd w:val="clear" w:color="auto" w:fill="auto"/>
            <w:noWrap/>
            <w:vAlign w:val="center"/>
            <w:hideMark/>
          </w:tcPr>
          <w:p w14:paraId="4EA36E8E" w14:textId="77777777" w:rsidR="004B7622" w:rsidRDefault="004B7622" w:rsidP="00377989">
            <w:pPr>
              <w:jc w:val="right"/>
              <w:rPr>
                <w:rFonts w:ascii="Arial" w:hAnsi="Arial" w:cs="Arial"/>
                <w:color w:val="000000"/>
                <w:sz w:val="18"/>
                <w:szCs w:val="18"/>
              </w:rPr>
            </w:pPr>
            <w:r>
              <w:rPr>
                <w:rFonts w:ascii="Arial" w:hAnsi="Arial" w:cs="Arial"/>
                <w:color w:val="000000"/>
                <w:sz w:val="18"/>
                <w:szCs w:val="18"/>
              </w:rPr>
              <w:t>12,0</w:t>
            </w:r>
          </w:p>
        </w:tc>
        <w:tc>
          <w:tcPr>
            <w:tcW w:w="1276" w:type="dxa"/>
            <w:tcBorders>
              <w:top w:val="nil"/>
              <w:left w:val="nil"/>
              <w:bottom w:val="single" w:sz="8" w:space="0" w:color="auto"/>
              <w:right w:val="single" w:sz="8" w:space="0" w:color="auto"/>
            </w:tcBorders>
            <w:shd w:val="clear" w:color="auto" w:fill="auto"/>
            <w:noWrap/>
            <w:vAlign w:val="center"/>
            <w:hideMark/>
          </w:tcPr>
          <w:p w14:paraId="6ED5219D" w14:textId="77777777" w:rsidR="004B7622" w:rsidRDefault="004B7622" w:rsidP="00377989">
            <w:pPr>
              <w:jc w:val="right"/>
              <w:rPr>
                <w:rFonts w:ascii="Arial" w:hAnsi="Arial" w:cs="Arial"/>
                <w:color w:val="000000"/>
                <w:sz w:val="18"/>
                <w:szCs w:val="18"/>
              </w:rPr>
            </w:pPr>
            <w:r>
              <w:rPr>
                <w:rFonts w:ascii="Arial" w:hAnsi="Arial" w:cs="Arial"/>
                <w:color w:val="000000"/>
                <w:sz w:val="18"/>
                <w:szCs w:val="18"/>
              </w:rPr>
              <w:t>163,2</w:t>
            </w:r>
          </w:p>
        </w:tc>
      </w:tr>
      <w:tr w:rsidR="004B7622" w:rsidRPr="0035399E" w14:paraId="12847F8E" w14:textId="77777777" w:rsidTr="00377989">
        <w:trPr>
          <w:trHeight w:val="189"/>
        </w:trPr>
        <w:tc>
          <w:tcPr>
            <w:tcW w:w="2109" w:type="dxa"/>
            <w:tcBorders>
              <w:top w:val="nil"/>
              <w:left w:val="single" w:sz="4" w:space="0" w:color="auto"/>
              <w:bottom w:val="single" w:sz="4" w:space="0" w:color="auto"/>
              <w:right w:val="single" w:sz="4" w:space="0" w:color="auto"/>
            </w:tcBorders>
            <w:shd w:val="clear" w:color="auto" w:fill="93CFDD"/>
            <w:noWrap/>
            <w:vAlign w:val="center"/>
            <w:hideMark/>
          </w:tcPr>
          <w:p w14:paraId="5E2AABBC" w14:textId="77777777" w:rsidR="004B7622" w:rsidRPr="0035399E" w:rsidRDefault="004B7622" w:rsidP="00377989">
            <w:pPr>
              <w:spacing w:after="0" w:line="240" w:lineRule="auto"/>
              <w:rPr>
                <w:rFonts w:ascii="Arial" w:eastAsia="Times New Roman" w:hAnsi="Arial" w:cs="Arial"/>
                <w:b/>
                <w:bCs/>
                <w:color w:val="000000"/>
                <w:sz w:val="18"/>
                <w:szCs w:val="18"/>
                <w:lang w:eastAsia="sl-SI"/>
              </w:rPr>
            </w:pPr>
            <w:r w:rsidRPr="0035399E">
              <w:rPr>
                <w:rFonts w:ascii="Arial" w:eastAsia="Times New Roman" w:hAnsi="Arial" w:cs="Arial"/>
                <w:b/>
                <w:bCs/>
                <w:color w:val="000000"/>
                <w:sz w:val="18"/>
                <w:szCs w:val="18"/>
                <w:lang w:eastAsia="sl-SI"/>
              </w:rPr>
              <w:t>Obročno plačilo</w:t>
            </w:r>
          </w:p>
        </w:tc>
        <w:tc>
          <w:tcPr>
            <w:tcW w:w="1257" w:type="dxa"/>
            <w:tcBorders>
              <w:top w:val="nil"/>
              <w:left w:val="nil"/>
              <w:bottom w:val="single" w:sz="8" w:space="0" w:color="auto"/>
              <w:right w:val="single" w:sz="8" w:space="0" w:color="auto"/>
            </w:tcBorders>
            <w:shd w:val="clear" w:color="000000" w:fill="93CFDD"/>
            <w:noWrap/>
            <w:vAlign w:val="center"/>
            <w:hideMark/>
          </w:tcPr>
          <w:p w14:paraId="260B340D" w14:textId="77777777" w:rsidR="004B7622" w:rsidRDefault="004B7622" w:rsidP="00377989">
            <w:pPr>
              <w:jc w:val="right"/>
              <w:rPr>
                <w:rFonts w:ascii="Arial" w:hAnsi="Arial" w:cs="Arial"/>
                <w:b/>
                <w:bCs/>
                <w:color w:val="000000"/>
                <w:sz w:val="18"/>
                <w:szCs w:val="18"/>
              </w:rPr>
            </w:pPr>
            <w:r>
              <w:rPr>
                <w:rFonts w:ascii="Arial" w:hAnsi="Arial" w:cs="Arial"/>
                <w:b/>
                <w:bCs/>
                <w:color w:val="000000"/>
                <w:sz w:val="18"/>
                <w:szCs w:val="18"/>
              </w:rPr>
              <w:t>11.748</w:t>
            </w:r>
          </w:p>
        </w:tc>
        <w:tc>
          <w:tcPr>
            <w:tcW w:w="1284" w:type="dxa"/>
            <w:tcBorders>
              <w:top w:val="nil"/>
              <w:left w:val="nil"/>
              <w:bottom w:val="single" w:sz="8" w:space="0" w:color="auto"/>
              <w:right w:val="single" w:sz="8" w:space="0" w:color="auto"/>
            </w:tcBorders>
            <w:shd w:val="clear" w:color="000000" w:fill="93CFDD"/>
            <w:noWrap/>
            <w:vAlign w:val="center"/>
            <w:hideMark/>
          </w:tcPr>
          <w:p w14:paraId="16D8931E" w14:textId="77777777" w:rsidR="004B7622" w:rsidRDefault="004B7622" w:rsidP="00377989">
            <w:pPr>
              <w:jc w:val="right"/>
              <w:rPr>
                <w:rFonts w:ascii="Arial" w:hAnsi="Arial" w:cs="Arial"/>
                <w:b/>
                <w:bCs/>
                <w:color w:val="000000"/>
                <w:sz w:val="18"/>
                <w:szCs w:val="18"/>
              </w:rPr>
            </w:pPr>
            <w:r>
              <w:rPr>
                <w:rFonts w:ascii="Arial" w:hAnsi="Arial" w:cs="Arial"/>
                <w:b/>
                <w:bCs/>
                <w:color w:val="000000"/>
                <w:sz w:val="18"/>
                <w:szCs w:val="18"/>
              </w:rPr>
              <w:t>59.126.183</w:t>
            </w:r>
          </w:p>
        </w:tc>
        <w:tc>
          <w:tcPr>
            <w:tcW w:w="1257" w:type="dxa"/>
            <w:tcBorders>
              <w:top w:val="nil"/>
              <w:left w:val="nil"/>
              <w:bottom w:val="single" w:sz="8" w:space="0" w:color="auto"/>
              <w:right w:val="single" w:sz="8" w:space="0" w:color="auto"/>
            </w:tcBorders>
            <w:shd w:val="clear" w:color="000000" w:fill="93CFDD"/>
            <w:noWrap/>
            <w:vAlign w:val="center"/>
            <w:hideMark/>
          </w:tcPr>
          <w:p w14:paraId="0D90A8D0" w14:textId="77777777" w:rsidR="004B7622" w:rsidRDefault="004B7622" w:rsidP="00377989">
            <w:pPr>
              <w:jc w:val="right"/>
              <w:rPr>
                <w:rFonts w:ascii="Arial" w:hAnsi="Arial" w:cs="Arial"/>
                <w:b/>
                <w:bCs/>
                <w:color w:val="000000"/>
                <w:sz w:val="18"/>
                <w:szCs w:val="18"/>
              </w:rPr>
            </w:pPr>
            <w:r>
              <w:rPr>
                <w:rFonts w:ascii="Arial" w:hAnsi="Arial" w:cs="Arial"/>
                <w:b/>
                <w:bCs/>
                <w:color w:val="000000"/>
                <w:sz w:val="18"/>
                <w:szCs w:val="18"/>
              </w:rPr>
              <w:t>9232</w:t>
            </w:r>
          </w:p>
        </w:tc>
        <w:tc>
          <w:tcPr>
            <w:tcW w:w="1284" w:type="dxa"/>
            <w:tcBorders>
              <w:top w:val="nil"/>
              <w:left w:val="nil"/>
              <w:bottom w:val="single" w:sz="8" w:space="0" w:color="auto"/>
              <w:right w:val="single" w:sz="8" w:space="0" w:color="auto"/>
            </w:tcBorders>
            <w:shd w:val="clear" w:color="000000" w:fill="93CFDD"/>
            <w:noWrap/>
            <w:vAlign w:val="center"/>
            <w:hideMark/>
          </w:tcPr>
          <w:p w14:paraId="01A8EEE9" w14:textId="77777777" w:rsidR="004B7622" w:rsidRDefault="004B7622" w:rsidP="00377989">
            <w:pPr>
              <w:jc w:val="right"/>
              <w:rPr>
                <w:rFonts w:ascii="Arial" w:hAnsi="Arial" w:cs="Arial"/>
                <w:b/>
                <w:bCs/>
                <w:color w:val="000000"/>
                <w:sz w:val="18"/>
                <w:szCs w:val="18"/>
              </w:rPr>
            </w:pPr>
            <w:r>
              <w:rPr>
                <w:rFonts w:ascii="Arial" w:hAnsi="Arial" w:cs="Arial"/>
                <w:b/>
                <w:bCs/>
                <w:color w:val="000000"/>
                <w:sz w:val="18"/>
                <w:szCs w:val="18"/>
              </w:rPr>
              <w:t>29.036.367</w:t>
            </w:r>
          </w:p>
        </w:tc>
        <w:tc>
          <w:tcPr>
            <w:tcW w:w="941" w:type="dxa"/>
            <w:tcBorders>
              <w:top w:val="nil"/>
              <w:left w:val="nil"/>
              <w:bottom w:val="single" w:sz="8" w:space="0" w:color="auto"/>
              <w:right w:val="single" w:sz="8" w:space="0" w:color="auto"/>
            </w:tcBorders>
            <w:shd w:val="clear" w:color="000000" w:fill="93CFDD"/>
            <w:noWrap/>
            <w:vAlign w:val="center"/>
            <w:hideMark/>
          </w:tcPr>
          <w:p w14:paraId="48E20EBA" w14:textId="77777777" w:rsidR="004B7622" w:rsidRDefault="004B7622" w:rsidP="00377989">
            <w:pPr>
              <w:jc w:val="right"/>
              <w:rPr>
                <w:rFonts w:ascii="Arial" w:hAnsi="Arial" w:cs="Arial"/>
                <w:b/>
                <w:bCs/>
                <w:color w:val="000000"/>
                <w:sz w:val="18"/>
                <w:szCs w:val="18"/>
              </w:rPr>
            </w:pPr>
            <w:r>
              <w:rPr>
                <w:rFonts w:ascii="Arial" w:hAnsi="Arial" w:cs="Arial"/>
                <w:b/>
                <w:bCs/>
                <w:color w:val="000000"/>
                <w:sz w:val="18"/>
                <w:szCs w:val="18"/>
              </w:rPr>
              <w:t>78,6</w:t>
            </w:r>
          </w:p>
        </w:tc>
        <w:tc>
          <w:tcPr>
            <w:tcW w:w="1276" w:type="dxa"/>
            <w:tcBorders>
              <w:top w:val="nil"/>
              <w:left w:val="nil"/>
              <w:bottom w:val="single" w:sz="8" w:space="0" w:color="auto"/>
              <w:right w:val="single" w:sz="8" w:space="0" w:color="auto"/>
            </w:tcBorders>
            <w:shd w:val="clear" w:color="000000" w:fill="93CFDD"/>
            <w:noWrap/>
            <w:vAlign w:val="center"/>
            <w:hideMark/>
          </w:tcPr>
          <w:p w14:paraId="235BC440" w14:textId="77777777" w:rsidR="004B7622" w:rsidRDefault="004B7622" w:rsidP="00377989">
            <w:pPr>
              <w:jc w:val="right"/>
              <w:rPr>
                <w:rFonts w:ascii="Arial" w:hAnsi="Arial" w:cs="Arial"/>
                <w:b/>
                <w:bCs/>
                <w:color w:val="000000"/>
                <w:sz w:val="18"/>
                <w:szCs w:val="18"/>
              </w:rPr>
            </w:pPr>
            <w:r>
              <w:rPr>
                <w:rFonts w:ascii="Arial" w:hAnsi="Arial" w:cs="Arial"/>
                <w:b/>
                <w:bCs/>
                <w:color w:val="000000"/>
                <w:sz w:val="18"/>
                <w:szCs w:val="18"/>
              </w:rPr>
              <w:t>49,1</w:t>
            </w:r>
          </w:p>
        </w:tc>
      </w:tr>
      <w:tr w:rsidR="004B7622" w:rsidRPr="0035399E" w14:paraId="65DB37EA" w14:textId="77777777" w:rsidTr="00377989">
        <w:trPr>
          <w:trHeight w:val="189"/>
        </w:trPr>
        <w:tc>
          <w:tcPr>
            <w:tcW w:w="2109" w:type="dxa"/>
            <w:tcBorders>
              <w:top w:val="nil"/>
              <w:left w:val="single" w:sz="4" w:space="0" w:color="auto"/>
              <w:bottom w:val="single" w:sz="4" w:space="0" w:color="auto"/>
              <w:right w:val="single" w:sz="4" w:space="0" w:color="auto"/>
            </w:tcBorders>
            <w:shd w:val="clear" w:color="auto" w:fill="auto"/>
            <w:noWrap/>
            <w:vAlign w:val="center"/>
            <w:hideMark/>
          </w:tcPr>
          <w:p w14:paraId="001E15D3" w14:textId="77777777" w:rsidR="004B7622" w:rsidRPr="0035399E" w:rsidRDefault="004B7622" w:rsidP="00377989">
            <w:pPr>
              <w:spacing w:after="0" w:line="240" w:lineRule="auto"/>
              <w:rPr>
                <w:rFonts w:ascii="Arial" w:eastAsia="Times New Roman" w:hAnsi="Arial" w:cs="Arial"/>
                <w:b/>
                <w:bCs/>
                <w:color w:val="000000"/>
                <w:sz w:val="18"/>
                <w:szCs w:val="18"/>
                <w:lang w:eastAsia="sl-SI"/>
              </w:rPr>
            </w:pPr>
            <w:r w:rsidRPr="0035399E">
              <w:rPr>
                <w:rFonts w:ascii="Arial" w:eastAsia="Times New Roman" w:hAnsi="Arial" w:cs="Arial"/>
                <w:b/>
                <w:bCs/>
                <w:color w:val="000000"/>
                <w:sz w:val="18"/>
                <w:szCs w:val="18"/>
                <w:lang w:eastAsia="sl-SI"/>
              </w:rPr>
              <w:t>od tega poslovnih subjektov</w:t>
            </w:r>
          </w:p>
        </w:tc>
        <w:tc>
          <w:tcPr>
            <w:tcW w:w="1257" w:type="dxa"/>
            <w:tcBorders>
              <w:top w:val="nil"/>
              <w:left w:val="nil"/>
              <w:bottom w:val="single" w:sz="8" w:space="0" w:color="auto"/>
              <w:right w:val="single" w:sz="8" w:space="0" w:color="auto"/>
            </w:tcBorders>
            <w:shd w:val="clear" w:color="auto" w:fill="auto"/>
            <w:noWrap/>
            <w:vAlign w:val="center"/>
            <w:hideMark/>
          </w:tcPr>
          <w:p w14:paraId="1D37EBB6" w14:textId="77777777" w:rsidR="004B7622" w:rsidRDefault="004B7622" w:rsidP="00377989">
            <w:pPr>
              <w:jc w:val="right"/>
              <w:rPr>
                <w:rFonts w:ascii="Arial" w:hAnsi="Arial" w:cs="Arial"/>
                <w:color w:val="000000"/>
                <w:sz w:val="18"/>
                <w:szCs w:val="18"/>
              </w:rPr>
            </w:pPr>
            <w:r>
              <w:rPr>
                <w:rFonts w:ascii="Arial" w:hAnsi="Arial" w:cs="Arial"/>
                <w:color w:val="000000"/>
                <w:sz w:val="18"/>
                <w:szCs w:val="18"/>
              </w:rPr>
              <w:t>830</w:t>
            </w:r>
          </w:p>
        </w:tc>
        <w:tc>
          <w:tcPr>
            <w:tcW w:w="1284" w:type="dxa"/>
            <w:tcBorders>
              <w:top w:val="nil"/>
              <w:left w:val="nil"/>
              <w:bottom w:val="single" w:sz="8" w:space="0" w:color="auto"/>
              <w:right w:val="single" w:sz="8" w:space="0" w:color="auto"/>
            </w:tcBorders>
            <w:shd w:val="clear" w:color="auto" w:fill="auto"/>
            <w:noWrap/>
            <w:vAlign w:val="center"/>
            <w:hideMark/>
          </w:tcPr>
          <w:p w14:paraId="055A7778" w14:textId="77777777" w:rsidR="004B7622" w:rsidRDefault="004B7622" w:rsidP="00377989">
            <w:pPr>
              <w:jc w:val="right"/>
              <w:rPr>
                <w:rFonts w:ascii="Arial" w:hAnsi="Arial" w:cs="Arial"/>
                <w:color w:val="000000"/>
                <w:sz w:val="18"/>
                <w:szCs w:val="18"/>
              </w:rPr>
            </w:pPr>
            <w:r>
              <w:rPr>
                <w:rFonts w:ascii="Arial" w:hAnsi="Arial" w:cs="Arial"/>
                <w:color w:val="000000"/>
                <w:sz w:val="18"/>
                <w:szCs w:val="18"/>
              </w:rPr>
              <w:t>43.263.692</w:t>
            </w:r>
          </w:p>
        </w:tc>
        <w:tc>
          <w:tcPr>
            <w:tcW w:w="1257" w:type="dxa"/>
            <w:tcBorders>
              <w:top w:val="nil"/>
              <w:left w:val="nil"/>
              <w:bottom w:val="single" w:sz="8" w:space="0" w:color="auto"/>
              <w:right w:val="single" w:sz="8" w:space="0" w:color="auto"/>
            </w:tcBorders>
            <w:shd w:val="clear" w:color="auto" w:fill="auto"/>
            <w:noWrap/>
            <w:vAlign w:val="center"/>
            <w:hideMark/>
          </w:tcPr>
          <w:p w14:paraId="7AA5E9FE" w14:textId="77777777" w:rsidR="004B7622" w:rsidRDefault="004B7622" w:rsidP="00377989">
            <w:pPr>
              <w:jc w:val="right"/>
              <w:rPr>
                <w:rFonts w:ascii="Arial" w:hAnsi="Arial" w:cs="Arial"/>
                <w:color w:val="000000"/>
                <w:sz w:val="18"/>
                <w:szCs w:val="18"/>
              </w:rPr>
            </w:pPr>
            <w:r>
              <w:rPr>
                <w:rFonts w:ascii="Arial" w:hAnsi="Arial" w:cs="Arial"/>
                <w:color w:val="000000"/>
                <w:sz w:val="18"/>
                <w:szCs w:val="18"/>
              </w:rPr>
              <w:t>128</w:t>
            </w:r>
          </w:p>
        </w:tc>
        <w:tc>
          <w:tcPr>
            <w:tcW w:w="1284" w:type="dxa"/>
            <w:tcBorders>
              <w:top w:val="nil"/>
              <w:left w:val="nil"/>
              <w:bottom w:val="single" w:sz="8" w:space="0" w:color="auto"/>
              <w:right w:val="single" w:sz="8" w:space="0" w:color="auto"/>
            </w:tcBorders>
            <w:shd w:val="clear" w:color="auto" w:fill="auto"/>
            <w:noWrap/>
            <w:vAlign w:val="center"/>
            <w:hideMark/>
          </w:tcPr>
          <w:p w14:paraId="4A0EA657" w14:textId="77777777" w:rsidR="004B7622" w:rsidRDefault="004B7622" w:rsidP="00377989">
            <w:pPr>
              <w:jc w:val="right"/>
              <w:rPr>
                <w:rFonts w:ascii="Arial" w:hAnsi="Arial" w:cs="Arial"/>
                <w:color w:val="000000"/>
                <w:sz w:val="18"/>
                <w:szCs w:val="18"/>
              </w:rPr>
            </w:pPr>
            <w:r>
              <w:rPr>
                <w:rFonts w:ascii="Arial" w:hAnsi="Arial" w:cs="Arial"/>
                <w:color w:val="000000"/>
                <w:sz w:val="18"/>
                <w:szCs w:val="18"/>
              </w:rPr>
              <w:t>14.449.268</w:t>
            </w:r>
          </w:p>
        </w:tc>
        <w:tc>
          <w:tcPr>
            <w:tcW w:w="941" w:type="dxa"/>
            <w:tcBorders>
              <w:top w:val="nil"/>
              <w:left w:val="nil"/>
              <w:bottom w:val="single" w:sz="8" w:space="0" w:color="auto"/>
              <w:right w:val="single" w:sz="8" w:space="0" w:color="auto"/>
            </w:tcBorders>
            <w:shd w:val="clear" w:color="auto" w:fill="auto"/>
            <w:noWrap/>
            <w:vAlign w:val="center"/>
            <w:hideMark/>
          </w:tcPr>
          <w:p w14:paraId="2F103531" w14:textId="77777777" w:rsidR="004B7622" w:rsidRDefault="004B7622" w:rsidP="00377989">
            <w:pPr>
              <w:jc w:val="right"/>
              <w:rPr>
                <w:rFonts w:ascii="Arial" w:hAnsi="Arial" w:cs="Arial"/>
                <w:color w:val="000000"/>
                <w:sz w:val="18"/>
                <w:szCs w:val="18"/>
              </w:rPr>
            </w:pPr>
            <w:r>
              <w:rPr>
                <w:rFonts w:ascii="Arial" w:hAnsi="Arial" w:cs="Arial"/>
                <w:color w:val="000000"/>
                <w:sz w:val="18"/>
                <w:szCs w:val="18"/>
              </w:rPr>
              <w:t>15,4</w:t>
            </w:r>
          </w:p>
        </w:tc>
        <w:tc>
          <w:tcPr>
            <w:tcW w:w="1276" w:type="dxa"/>
            <w:tcBorders>
              <w:top w:val="nil"/>
              <w:left w:val="nil"/>
              <w:bottom w:val="single" w:sz="8" w:space="0" w:color="auto"/>
              <w:right w:val="single" w:sz="8" w:space="0" w:color="auto"/>
            </w:tcBorders>
            <w:shd w:val="clear" w:color="auto" w:fill="auto"/>
            <w:noWrap/>
            <w:vAlign w:val="center"/>
            <w:hideMark/>
          </w:tcPr>
          <w:p w14:paraId="1BD56D9F" w14:textId="77777777" w:rsidR="004B7622" w:rsidRDefault="004B7622" w:rsidP="00377989">
            <w:pPr>
              <w:jc w:val="right"/>
              <w:rPr>
                <w:rFonts w:ascii="Arial" w:hAnsi="Arial" w:cs="Arial"/>
                <w:color w:val="000000"/>
                <w:sz w:val="18"/>
                <w:szCs w:val="18"/>
              </w:rPr>
            </w:pPr>
            <w:r>
              <w:rPr>
                <w:rFonts w:ascii="Arial" w:hAnsi="Arial" w:cs="Arial"/>
                <w:color w:val="000000"/>
                <w:sz w:val="18"/>
                <w:szCs w:val="18"/>
              </w:rPr>
              <w:t>33,4</w:t>
            </w:r>
          </w:p>
        </w:tc>
      </w:tr>
    </w:tbl>
    <w:p w14:paraId="25FCECF8" w14:textId="77777777" w:rsidR="004B7622" w:rsidRDefault="004B7622" w:rsidP="004B7622">
      <w:pPr>
        <w:spacing w:after="0"/>
        <w:jc w:val="both"/>
        <w:rPr>
          <w:rFonts w:ascii="Arial" w:hAnsi="Arial" w:cs="Arial"/>
          <w:i/>
          <w:iCs/>
          <w:sz w:val="20"/>
          <w:szCs w:val="20"/>
        </w:rPr>
      </w:pPr>
      <w:r w:rsidRPr="00C92301">
        <w:rPr>
          <w:rFonts w:ascii="Arial" w:hAnsi="Arial" w:cs="Arial"/>
          <w:i/>
          <w:iCs/>
          <w:sz w:val="20"/>
          <w:szCs w:val="20"/>
        </w:rPr>
        <w:t>Vir: FURS</w:t>
      </w:r>
    </w:p>
    <w:p w14:paraId="731B9B37" w14:textId="77777777" w:rsidR="004B7622" w:rsidRDefault="004B7622" w:rsidP="004B7622">
      <w:pPr>
        <w:jc w:val="both"/>
        <w:rPr>
          <w:rFonts w:ascii="Arial" w:hAnsi="Arial" w:cs="Arial"/>
          <w:sz w:val="20"/>
          <w:szCs w:val="20"/>
        </w:rPr>
      </w:pPr>
    </w:p>
    <w:p w14:paraId="051E84DF" w14:textId="77777777" w:rsidR="004B7622" w:rsidRDefault="004B7622" w:rsidP="004B7622">
      <w:pPr>
        <w:jc w:val="both"/>
        <w:rPr>
          <w:rFonts w:ascii="Arial" w:hAnsi="Arial" w:cs="Arial"/>
          <w:sz w:val="20"/>
          <w:szCs w:val="20"/>
        </w:rPr>
      </w:pPr>
      <w:r w:rsidRPr="00075D84">
        <w:rPr>
          <w:rFonts w:ascii="Arial" w:hAnsi="Arial" w:cs="Arial"/>
          <w:sz w:val="20"/>
          <w:szCs w:val="20"/>
        </w:rPr>
        <w:t>V zvezi s postopki odloga in obročnega plačevanja davka ni dovoljeno odložiti oziroma dovoliti obročnega plačila za akontacije davka, davčni odtegljaj, prispevke za pokojninsko in invalidsko zavarovanje, prispevke za zdravstveno zavarovanje, globe in stroške postopka o prekršku, obveznosti, za katere davčni organ vodi samo izvršbo in ne vodi knjigovodskih evidenc</w:t>
      </w:r>
      <w:r>
        <w:rPr>
          <w:rFonts w:ascii="Arial" w:hAnsi="Arial" w:cs="Arial"/>
          <w:sz w:val="20"/>
          <w:szCs w:val="20"/>
        </w:rPr>
        <w:t>,</w:t>
      </w:r>
      <w:r w:rsidRPr="00075D84">
        <w:rPr>
          <w:rFonts w:ascii="Arial" w:hAnsi="Arial" w:cs="Arial"/>
          <w:sz w:val="20"/>
          <w:szCs w:val="20"/>
        </w:rPr>
        <w:t xml:space="preserve"> ter za obveznosti, na katere učinkuje postopek zaradi insolventnosti. </w:t>
      </w:r>
    </w:p>
    <w:p w14:paraId="7EDC0419" w14:textId="77777777" w:rsidR="004B7622" w:rsidRDefault="004B7622" w:rsidP="004B7622">
      <w:pPr>
        <w:jc w:val="both"/>
        <w:rPr>
          <w:rFonts w:ascii="Arial" w:hAnsi="Arial" w:cs="Arial"/>
          <w:sz w:val="20"/>
          <w:szCs w:val="20"/>
        </w:rPr>
      </w:pPr>
      <w:r w:rsidRPr="00075D84">
        <w:rPr>
          <w:rFonts w:ascii="Arial" w:hAnsi="Arial" w:cs="Arial"/>
          <w:sz w:val="20"/>
          <w:szCs w:val="20"/>
        </w:rPr>
        <w:t>V prim</w:t>
      </w:r>
      <w:r>
        <w:rPr>
          <w:rFonts w:ascii="Arial" w:hAnsi="Arial" w:cs="Arial"/>
          <w:sz w:val="20"/>
          <w:szCs w:val="20"/>
        </w:rPr>
        <w:t xml:space="preserve">eru glob in stroškov postopka o </w:t>
      </w:r>
      <w:r w:rsidRPr="00075D84">
        <w:rPr>
          <w:rFonts w:ascii="Arial" w:hAnsi="Arial" w:cs="Arial"/>
          <w:sz w:val="20"/>
          <w:szCs w:val="20"/>
        </w:rPr>
        <w:t>prekršku se lahko odobri le obročno odplačilo v skladu z določbami zakona, ki ureja prekrške.</w:t>
      </w:r>
      <w:r w:rsidRPr="009C2EB8">
        <w:rPr>
          <w:rFonts w:ascii="Arial" w:hAnsi="Arial" w:cs="Arial"/>
          <w:sz w:val="20"/>
          <w:szCs w:val="20"/>
        </w:rPr>
        <w:t xml:space="preserve"> </w:t>
      </w:r>
    </w:p>
    <w:p w14:paraId="59962FE9" w14:textId="77777777" w:rsidR="004B7622" w:rsidRPr="001D1E58" w:rsidRDefault="004B7622" w:rsidP="004B7622">
      <w:pPr>
        <w:outlineLvl w:val="0"/>
        <w:rPr>
          <w:rFonts w:ascii="Arial" w:hAnsi="Arial" w:cs="Arial"/>
          <w:sz w:val="20"/>
          <w:szCs w:val="20"/>
          <w:lang w:eastAsia="sl-SI"/>
        </w:rPr>
      </w:pPr>
      <w:r w:rsidRPr="001D1E58">
        <w:rPr>
          <w:rFonts w:ascii="Arial" w:hAnsi="Arial" w:cs="Arial"/>
          <w:b/>
          <w:bCs/>
          <w:i/>
          <w:iCs/>
          <w:sz w:val="20"/>
          <w:szCs w:val="20"/>
          <w:lang w:eastAsia="sl-SI"/>
        </w:rPr>
        <w:t xml:space="preserve">Izvajanje ukrepov, povezanih z epidemijo bolezni COVID-19  </w:t>
      </w:r>
    </w:p>
    <w:p w14:paraId="71B8EF28" w14:textId="77777777" w:rsidR="004B7622" w:rsidRPr="00225090" w:rsidRDefault="004B7622" w:rsidP="004B7622">
      <w:pPr>
        <w:pStyle w:val="FURSNavaden"/>
        <w:spacing w:line="276" w:lineRule="auto"/>
        <w:rPr>
          <w:rFonts w:cs="Arial"/>
          <w:b/>
          <w:i/>
          <w:szCs w:val="20"/>
        </w:rPr>
      </w:pPr>
      <w:r w:rsidRPr="001D1E58">
        <w:rPr>
          <w:rFonts w:cs="Arial"/>
          <w:szCs w:val="20"/>
        </w:rPr>
        <w:t>Za omilitev posledic prvega vala epidemije bolezni COVID-19 je dne 29. 3. 2020 stopil v veljavo Zakon o interventnih ukrepih na javnofinančnem področju (ZIUJP), ki je poslovnim subjektom omogočil lažje uveljavljanje pravic do odloga oziroma obročnega plačila davkov. Pogoj za odobritev plačilne ugodnosti</w:t>
      </w:r>
      <w:r w:rsidRPr="00225090">
        <w:rPr>
          <w:rFonts w:cs="Arial"/>
          <w:szCs w:val="20"/>
        </w:rPr>
        <w:t xml:space="preserve"> </w:t>
      </w:r>
      <w:r w:rsidRPr="00225090">
        <w:rPr>
          <w:rFonts w:cs="Arial"/>
          <w:szCs w:val="20"/>
        </w:rPr>
        <w:lastRenderedPageBreak/>
        <w:t>je bil izpolnjen, če je pri zavezancu prišlo do izgube sposobnosti pridobivanja prihodkov zaradi epidemije. Odlog oziroma obročno plačilo je bilo, ob izpolnjevanju pogojev, mogoče odobriti za vse davčne obveznosti, ki se nanašajo na opravljanje dejavnosti, ne glede na to, v kakšni obliki se plačujejo. ZIUJP je namreč možnost odloga plačila oziroma obročnega plačila predvidel tudi za davčni odtegljaj in akontacije davka. Ukrepi po ZIUJP so veljali do vključno 19. 6. 2020</w:t>
      </w:r>
      <w:r w:rsidRPr="00225090">
        <w:rPr>
          <w:rFonts w:cs="Arial"/>
          <w:b/>
          <w:i/>
          <w:szCs w:val="20"/>
        </w:rPr>
        <w:t>.</w:t>
      </w:r>
    </w:p>
    <w:p w14:paraId="5EBBD8DA" w14:textId="77777777" w:rsidR="004B7622" w:rsidRPr="00225090" w:rsidRDefault="004B7622" w:rsidP="004B7622">
      <w:pPr>
        <w:pStyle w:val="FURSNavaden"/>
        <w:rPr>
          <w:rFonts w:cs="Arial"/>
          <w:b/>
          <w:i/>
          <w:szCs w:val="20"/>
        </w:rPr>
      </w:pPr>
    </w:p>
    <w:p w14:paraId="677AFED5" w14:textId="77777777" w:rsidR="004B7622" w:rsidRPr="001D1E58" w:rsidRDefault="004B7622" w:rsidP="004B7622">
      <w:pPr>
        <w:pStyle w:val="FURSNavaden"/>
        <w:rPr>
          <w:rFonts w:cs="Arial"/>
          <w:szCs w:val="20"/>
        </w:rPr>
      </w:pPr>
      <w:r w:rsidRPr="001D1E58">
        <w:rPr>
          <w:rFonts w:cs="Arial"/>
          <w:szCs w:val="20"/>
        </w:rPr>
        <w:t xml:space="preserve">Dne 28. 11. 2020 je stopil v veljavo Zakon o interventnih ukrepih za omilitev posledic drugega vala epidemije (ZIUOPDVE), s katerim je bilo poslovnim subjektom ponovno omogočeno lažje uveljavljanje pravic do odloga in obročnega plačila davkov. Pogoji za odobritev odloga oz. obročnega plačila so enaki kot po ZIUJP, dodatno pa ZIUOPDVE omogoča tudi odlog in obročno plačilo prispevkov za socialno varnost. Ukrepi po ZIUOPDVE so veljali do 30. 6. 2021. </w:t>
      </w:r>
    </w:p>
    <w:p w14:paraId="748F10D6" w14:textId="77777777" w:rsidR="004B7622" w:rsidRPr="001D1E58" w:rsidRDefault="004B7622" w:rsidP="004B7622">
      <w:pPr>
        <w:pStyle w:val="FURSNavaden"/>
        <w:rPr>
          <w:rFonts w:cs="Arial"/>
          <w:szCs w:val="20"/>
        </w:rPr>
      </w:pPr>
    </w:p>
    <w:p w14:paraId="2F85CB51" w14:textId="77777777" w:rsidR="004B7622" w:rsidRPr="00E108C9" w:rsidRDefault="004B7622" w:rsidP="004B7622">
      <w:pPr>
        <w:pStyle w:val="FURSNavaden"/>
        <w:rPr>
          <w:rFonts w:cs="Arial"/>
          <w:szCs w:val="20"/>
        </w:rPr>
      </w:pPr>
      <w:r w:rsidRPr="001D1E58">
        <w:rPr>
          <w:rFonts w:cs="Arial"/>
          <w:szCs w:val="20"/>
        </w:rPr>
        <w:t>V obdobju veljavnosti ZIUJP je bilo poslovnim</w:t>
      </w:r>
      <w:r w:rsidRPr="00E108C9">
        <w:rPr>
          <w:rFonts w:cs="Arial"/>
          <w:szCs w:val="20"/>
        </w:rPr>
        <w:t xml:space="preserve"> subjektom odloženih oz. odobrenih obročnih plačil v skupnem znesku 256.624.981 EUR, od tega za 92.410.496 EUR odobrenih odlogov plačil ter za 164.214.485 EUR odobrenih obročnih plačil. </w:t>
      </w:r>
    </w:p>
    <w:p w14:paraId="3AD5B9B8" w14:textId="77777777" w:rsidR="004B7622" w:rsidRPr="00E108C9" w:rsidRDefault="004B7622" w:rsidP="004B7622">
      <w:pPr>
        <w:pStyle w:val="FURSNavaden"/>
        <w:rPr>
          <w:rFonts w:cs="Arial"/>
          <w:szCs w:val="20"/>
        </w:rPr>
      </w:pPr>
    </w:p>
    <w:p w14:paraId="344292C6" w14:textId="77777777" w:rsidR="004B7622" w:rsidRPr="00E108C9" w:rsidRDefault="004B7622" w:rsidP="004B7622">
      <w:pPr>
        <w:pStyle w:val="FURSNavaden"/>
        <w:rPr>
          <w:rFonts w:cs="Arial"/>
          <w:szCs w:val="20"/>
        </w:rPr>
      </w:pPr>
      <w:r w:rsidRPr="00E108C9">
        <w:rPr>
          <w:rFonts w:cs="Arial"/>
          <w:szCs w:val="20"/>
        </w:rPr>
        <w:t xml:space="preserve">Od uveljavitve ZIUOPDVE, to je od 28. 11. 2020 do vključno </w:t>
      </w:r>
      <w:r>
        <w:rPr>
          <w:rFonts w:cs="Arial"/>
          <w:szCs w:val="20"/>
        </w:rPr>
        <w:t>30. 6. 2021</w:t>
      </w:r>
      <w:r w:rsidRPr="00E108C9">
        <w:rPr>
          <w:rFonts w:cs="Arial"/>
          <w:szCs w:val="20"/>
        </w:rPr>
        <w:t xml:space="preserve"> je bilo odloženih in odobrenih obročnih plačil v skupnem znesku </w:t>
      </w:r>
      <w:r>
        <w:rPr>
          <w:rFonts w:cs="Arial"/>
          <w:szCs w:val="20"/>
        </w:rPr>
        <w:t xml:space="preserve">215.569.738 </w:t>
      </w:r>
      <w:r w:rsidRPr="00E108C9">
        <w:rPr>
          <w:rFonts w:cs="Arial"/>
          <w:szCs w:val="20"/>
        </w:rPr>
        <w:t xml:space="preserve">EUR, od tega za </w:t>
      </w:r>
      <w:r w:rsidRPr="00141D48">
        <w:rPr>
          <w:rFonts w:cs="Arial"/>
          <w:szCs w:val="20"/>
        </w:rPr>
        <w:t>28.693.272</w:t>
      </w:r>
      <w:r>
        <w:rPr>
          <w:rFonts w:cs="Arial"/>
          <w:szCs w:val="20"/>
        </w:rPr>
        <w:t xml:space="preserve"> </w:t>
      </w:r>
      <w:r w:rsidRPr="00E108C9">
        <w:rPr>
          <w:rFonts w:cs="Arial"/>
          <w:szCs w:val="20"/>
        </w:rPr>
        <w:t xml:space="preserve">EUR odobrenih odlogov plačil ter za </w:t>
      </w:r>
      <w:r w:rsidRPr="00141D48">
        <w:rPr>
          <w:rFonts w:cs="Arial"/>
          <w:szCs w:val="20"/>
        </w:rPr>
        <w:t>186.876.466</w:t>
      </w:r>
      <w:r>
        <w:rPr>
          <w:rFonts w:cs="Arial"/>
          <w:szCs w:val="20"/>
        </w:rPr>
        <w:t xml:space="preserve"> </w:t>
      </w:r>
      <w:r w:rsidRPr="00E108C9">
        <w:rPr>
          <w:rFonts w:cs="Arial"/>
          <w:szCs w:val="20"/>
        </w:rPr>
        <w:t>EUR odobrenih obročnih plačil.</w:t>
      </w:r>
    </w:p>
    <w:p w14:paraId="790581FB" w14:textId="77777777" w:rsidR="004B7622" w:rsidRPr="00E108C9" w:rsidRDefault="004B7622" w:rsidP="004B7622">
      <w:pPr>
        <w:pStyle w:val="FURSNavaden"/>
        <w:rPr>
          <w:rFonts w:cs="Arial"/>
          <w:szCs w:val="20"/>
        </w:rPr>
      </w:pPr>
    </w:p>
    <w:p w14:paraId="63586208" w14:textId="77777777" w:rsidR="004B7622" w:rsidRPr="00E108C9" w:rsidRDefault="004B7622" w:rsidP="004B7622">
      <w:pPr>
        <w:pStyle w:val="FURSNavaden"/>
        <w:jc w:val="left"/>
        <w:rPr>
          <w:rFonts w:cs="Arial"/>
          <w:szCs w:val="20"/>
        </w:rPr>
      </w:pPr>
      <w:r w:rsidRPr="00E108C9">
        <w:rPr>
          <w:rFonts w:cs="Arial"/>
          <w:szCs w:val="20"/>
        </w:rPr>
        <w:t xml:space="preserve">Skupno je bilo po interventni zakonodaji odobrenih za </w:t>
      </w:r>
      <w:r w:rsidRPr="00141D48">
        <w:rPr>
          <w:rFonts w:cs="Arial"/>
          <w:szCs w:val="20"/>
        </w:rPr>
        <w:t>472.194.719</w:t>
      </w:r>
      <w:r>
        <w:rPr>
          <w:rFonts w:cs="Arial"/>
          <w:szCs w:val="20"/>
        </w:rPr>
        <w:t xml:space="preserve"> </w:t>
      </w:r>
      <w:r w:rsidRPr="00E108C9">
        <w:rPr>
          <w:rFonts w:cs="Arial"/>
          <w:szCs w:val="20"/>
        </w:rPr>
        <w:t xml:space="preserve">EUR odlogov in obročnih plačil. </w:t>
      </w:r>
    </w:p>
    <w:p w14:paraId="50B5C3D1" w14:textId="77777777" w:rsidR="004B7622" w:rsidRPr="00E108C9" w:rsidRDefault="004B7622" w:rsidP="004B7622">
      <w:pPr>
        <w:pStyle w:val="FURSNavaden"/>
        <w:rPr>
          <w:rFonts w:cs="Arial"/>
          <w:b/>
          <w:i/>
          <w:szCs w:val="20"/>
        </w:rPr>
      </w:pPr>
    </w:p>
    <w:p w14:paraId="68260CE1" w14:textId="77777777" w:rsidR="004B7622" w:rsidRPr="00907842" w:rsidRDefault="004B7622" w:rsidP="004B7622">
      <w:pPr>
        <w:pStyle w:val="FURSNavaden"/>
        <w:rPr>
          <w:rFonts w:cs="Arial"/>
          <w:i/>
          <w:iCs/>
          <w:szCs w:val="20"/>
          <w:lang w:eastAsia="en-US"/>
        </w:rPr>
      </w:pPr>
      <w:r w:rsidRPr="00907842">
        <w:rPr>
          <w:rFonts w:cs="Arial"/>
          <w:i/>
          <w:iCs/>
          <w:szCs w:val="20"/>
          <w:lang w:eastAsia="en-US"/>
        </w:rPr>
        <w:t>Preglednica 15: Odlog in obročna plačila davka po interventni zakonodaji (ZIUJP in ZIUOPDVE)</w:t>
      </w:r>
    </w:p>
    <w:p w14:paraId="16C8F96B" w14:textId="77777777" w:rsidR="004B7622" w:rsidRPr="00C92FF9" w:rsidRDefault="004B7622" w:rsidP="004B7622">
      <w:pPr>
        <w:pStyle w:val="FURSNavaden"/>
        <w:rPr>
          <w:rFonts w:cs="Arial"/>
          <w:i/>
          <w:iCs/>
          <w:color w:val="2E74B5" w:themeColor="accent5" w:themeShade="BF"/>
          <w:szCs w:val="20"/>
          <w:lang w:eastAsia="en-US"/>
        </w:rPr>
      </w:pPr>
    </w:p>
    <w:tbl>
      <w:tblPr>
        <w:tblStyle w:val="Tabelatemnamrea5poudarek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1276"/>
        <w:gridCol w:w="1134"/>
        <w:gridCol w:w="1417"/>
        <w:gridCol w:w="1559"/>
      </w:tblGrid>
      <w:tr w:rsidR="004B7622" w:rsidRPr="00225090" w14:paraId="418DE23D" w14:textId="77777777" w:rsidTr="00377989">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right w:val="single" w:sz="4" w:space="0" w:color="auto"/>
            </w:tcBorders>
            <w:shd w:val="clear" w:color="auto" w:fill="31869B"/>
            <w:noWrap/>
            <w:vAlign w:val="center"/>
            <w:hideMark/>
          </w:tcPr>
          <w:p w14:paraId="37154401" w14:textId="77777777" w:rsidR="004B7622" w:rsidRPr="00255FD8" w:rsidRDefault="004B7622" w:rsidP="00377989">
            <w:pPr>
              <w:pStyle w:val="FURSNavaden"/>
              <w:rPr>
                <w:rFonts w:cs="Arial"/>
                <w:color w:val="auto"/>
                <w:sz w:val="18"/>
                <w:szCs w:val="18"/>
              </w:rPr>
            </w:pPr>
            <w:r w:rsidRPr="00255FD8">
              <w:rPr>
                <w:rFonts w:cs="Arial"/>
                <w:color w:val="auto"/>
                <w:sz w:val="18"/>
                <w:szCs w:val="18"/>
              </w:rPr>
              <w:t> </w:t>
            </w:r>
          </w:p>
        </w:tc>
        <w:tc>
          <w:tcPr>
            <w:tcW w:w="2410" w:type="dxa"/>
            <w:gridSpan w:val="2"/>
            <w:tcBorders>
              <w:top w:val="single" w:sz="4" w:space="0" w:color="auto"/>
              <w:left w:val="single" w:sz="4" w:space="0" w:color="auto"/>
              <w:right w:val="single" w:sz="4" w:space="0" w:color="auto"/>
            </w:tcBorders>
            <w:shd w:val="clear" w:color="auto" w:fill="31869B"/>
            <w:noWrap/>
            <w:vAlign w:val="center"/>
            <w:hideMark/>
          </w:tcPr>
          <w:p w14:paraId="45DEB4CD" w14:textId="77777777" w:rsidR="004B7622" w:rsidRPr="00FB198A" w:rsidRDefault="004B7622" w:rsidP="00377989">
            <w:pPr>
              <w:pStyle w:val="FURSNavaden"/>
              <w:jc w:val="center"/>
              <w:cnfStyle w:val="100000000000" w:firstRow="1" w:lastRow="0" w:firstColumn="0" w:lastColumn="0" w:oddVBand="0" w:evenVBand="0" w:oddHBand="0" w:evenHBand="0" w:firstRowFirstColumn="0" w:firstRowLastColumn="0" w:lastRowFirstColumn="0" w:lastRowLastColumn="0"/>
              <w:rPr>
                <w:rFonts w:cs="Arial"/>
                <w:sz w:val="16"/>
                <w:szCs w:val="18"/>
              </w:rPr>
            </w:pPr>
            <w:r w:rsidRPr="00FB198A">
              <w:rPr>
                <w:rFonts w:cs="Arial"/>
                <w:sz w:val="16"/>
                <w:szCs w:val="18"/>
              </w:rPr>
              <w:t>ZIUJP</w:t>
            </w:r>
          </w:p>
        </w:tc>
        <w:tc>
          <w:tcPr>
            <w:tcW w:w="2551" w:type="dxa"/>
            <w:gridSpan w:val="2"/>
            <w:tcBorders>
              <w:top w:val="single" w:sz="4" w:space="0" w:color="auto"/>
              <w:left w:val="single" w:sz="4" w:space="0" w:color="auto"/>
              <w:right w:val="single" w:sz="4" w:space="0" w:color="auto"/>
            </w:tcBorders>
            <w:shd w:val="clear" w:color="auto" w:fill="31869B"/>
            <w:noWrap/>
            <w:vAlign w:val="center"/>
            <w:hideMark/>
          </w:tcPr>
          <w:p w14:paraId="0BCAFF88" w14:textId="77777777" w:rsidR="004B7622" w:rsidRPr="00FB198A" w:rsidRDefault="004B7622" w:rsidP="00377989">
            <w:pPr>
              <w:pStyle w:val="FURSNavaden"/>
              <w:jc w:val="center"/>
              <w:cnfStyle w:val="100000000000" w:firstRow="1" w:lastRow="0" w:firstColumn="0" w:lastColumn="0" w:oddVBand="0" w:evenVBand="0" w:oddHBand="0" w:evenHBand="0" w:firstRowFirstColumn="0" w:firstRowLastColumn="0" w:lastRowFirstColumn="0" w:lastRowLastColumn="0"/>
              <w:rPr>
                <w:rFonts w:cs="Arial"/>
                <w:sz w:val="16"/>
                <w:szCs w:val="18"/>
              </w:rPr>
            </w:pPr>
            <w:r w:rsidRPr="00FB198A">
              <w:rPr>
                <w:rFonts w:cs="Arial"/>
                <w:sz w:val="16"/>
                <w:szCs w:val="18"/>
              </w:rPr>
              <w:t>ZIUOPDVE</w:t>
            </w:r>
          </w:p>
        </w:tc>
        <w:tc>
          <w:tcPr>
            <w:tcW w:w="1559" w:type="dxa"/>
            <w:vMerge w:val="restart"/>
            <w:tcBorders>
              <w:top w:val="single" w:sz="4" w:space="0" w:color="auto"/>
              <w:left w:val="single" w:sz="4" w:space="0" w:color="auto"/>
              <w:right w:val="single" w:sz="4" w:space="0" w:color="auto"/>
            </w:tcBorders>
            <w:shd w:val="clear" w:color="auto" w:fill="31869B"/>
            <w:vAlign w:val="center"/>
            <w:hideMark/>
          </w:tcPr>
          <w:p w14:paraId="05B9BCD5" w14:textId="77777777" w:rsidR="004B7622" w:rsidRPr="00FB198A" w:rsidRDefault="004B7622" w:rsidP="00377989">
            <w:pPr>
              <w:pStyle w:val="FURSNavaden"/>
              <w:jc w:val="center"/>
              <w:cnfStyle w:val="100000000000" w:firstRow="1" w:lastRow="0" w:firstColumn="0" w:lastColumn="0" w:oddVBand="0" w:evenVBand="0" w:oddHBand="0" w:evenHBand="0" w:firstRowFirstColumn="0" w:firstRowLastColumn="0" w:lastRowFirstColumn="0" w:lastRowLastColumn="0"/>
              <w:rPr>
                <w:rFonts w:cs="Arial"/>
                <w:sz w:val="16"/>
                <w:szCs w:val="18"/>
              </w:rPr>
            </w:pPr>
            <w:r w:rsidRPr="00FB198A">
              <w:rPr>
                <w:rFonts w:cs="Arial"/>
                <w:sz w:val="16"/>
                <w:szCs w:val="18"/>
              </w:rPr>
              <w:t>ODLOG/OBROČNO SKUPAJ</w:t>
            </w:r>
          </w:p>
        </w:tc>
      </w:tr>
      <w:tr w:rsidR="004B7622" w:rsidRPr="00225090" w14:paraId="4CF1AF3F" w14:textId="77777777" w:rsidTr="00377989">
        <w:trPr>
          <w:cnfStyle w:val="000000100000" w:firstRow="0" w:lastRow="0" w:firstColumn="0" w:lastColumn="0" w:oddVBand="0" w:evenVBand="0" w:oddHBand="1"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2547" w:type="dxa"/>
            <w:tcBorders>
              <w:left w:val="single" w:sz="4" w:space="0" w:color="auto"/>
            </w:tcBorders>
            <w:shd w:val="clear" w:color="auto" w:fill="31869B"/>
            <w:noWrap/>
            <w:vAlign w:val="center"/>
            <w:hideMark/>
          </w:tcPr>
          <w:p w14:paraId="7B2D141A" w14:textId="77777777" w:rsidR="004B7622" w:rsidRPr="009C5A69" w:rsidRDefault="004B7622" w:rsidP="00377989">
            <w:pPr>
              <w:pStyle w:val="FURSNavaden"/>
              <w:rPr>
                <w:rFonts w:cs="Arial"/>
                <w:sz w:val="18"/>
                <w:szCs w:val="18"/>
              </w:rPr>
            </w:pPr>
            <w:r w:rsidRPr="009C5A69">
              <w:rPr>
                <w:rFonts w:cs="Arial"/>
                <w:sz w:val="18"/>
                <w:szCs w:val="18"/>
              </w:rPr>
              <w:t> VRSTA DAVKA</w:t>
            </w:r>
          </w:p>
        </w:tc>
        <w:tc>
          <w:tcPr>
            <w:tcW w:w="1134" w:type="dxa"/>
            <w:shd w:val="clear" w:color="auto" w:fill="64BACE"/>
            <w:vAlign w:val="center"/>
            <w:hideMark/>
          </w:tcPr>
          <w:p w14:paraId="0B691066" w14:textId="77777777" w:rsidR="004B7622" w:rsidRPr="00FB198A" w:rsidRDefault="004B7622" w:rsidP="00377989">
            <w:pPr>
              <w:pStyle w:val="FURSNavaden"/>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16"/>
                <w:szCs w:val="18"/>
              </w:rPr>
            </w:pPr>
            <w:r w:rsidRPr="00FB198A">
              <w:rPr>
                <w:rFonts w:cs="Arial"/>
                <w:b/>
                <w:bCs/>
                <w:color w:val="FFFFFF" w:themeColor="background1"/>
                <w:sz w:val="16"/>
                <w:szCs w:val="18"/>
              </w:rPr>
              <w:t>Znesek odloženega plačila</w:t>
            </w:r>
          </w:p>
          <w:p w14:paraId="58A6E2B5" w14:textId="77777777" w:rsidR="004B7622" w:rsidRPr="00FB198A" w:rsidRDefault="004B7622" w:rsidP="00377989">
            <w:pPr>
              <w:pStyle w:val="FURSNavaden"/>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16"/>
                <w:szCs w:val="18"/>
              </w:rPr>
            </w:pPr>
            <w:r w:rsidRPr="00FB198A">
              <w:rPr>
                <w:rFonts w:cs="Arial"/>
                <w:b/>
                <w:bCs/>
                <w:color w:val="FFFFFF" w:themeColor="background1"/>
                <w:sz w:val="16"/>
                <w:szCs w:val="18"/>
              </w:rPr>
              <w:t>(v EUR)</w:t>
            </w:r>
          </w:p>
        </w:tc>
        <w:tc>
          <w:tcPr>
            <w:tcW w:w="1276" w:type="dxa"/>
            <w:shd w:val="clear" w:color="auto" w:fill="64BACE"/>
            <w:vAlign w:val="center"/>
            <w:hideMark/>
          </w:tcPr>
          <w:p w14:paraId="155428CD" w14:textId="77777777" w:rsidR="004B7622" w:rsidRPr="00FB198A" w:rsidRDefault="004B7622" w:rsidP="00377989">
            <w:pPr>
              <w:pStyle w:val="FURSNavaden"/>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16"/>
                <w:szCs w:val="18"/>
              </w:rPr>
            </w:pPr>
            <w:r w:rsidRPr="00FB198A">
              <w:rPr>
                <w:rFonts w:cs="Arial"/>
                <w:b/>
                <w:bCs/>
                <w:color w:val="FFFFFF" w:themeColor="background1"/>
                <w:sz w:val="16"/>
                <w:szCs w:val="18"/>
              </w:rPr>
              <w:t>Znesek odobrenega  obročnega plačila (v EUR)</w:t>
            </w:r>
          </w:p>
        </w:tc>
        <w:tc>
          <w:tcPr>
            <w:tcW w:w="1134" w:type="dxa"/>
            <w:shd w:val="clear" w:color="auto" w:fill="64BACE"/>
            <w:hideMark/>
          </w:tcPr>
          <w:p w14:paraId="58ADFB4A" w14:textId="77777777" w:rsidR="004B7622" w:rsidRPr="00FB198A" w:rsidRDefault="004B7622" w:rsidP="00377989">
            <w:pPr>
              <w:pStyle w:val="FURSNavaden"/>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16"/>
                <w:szCs w:val="18"/>
              </w:rPr>
            </w:pPr>
            <w:r w:rsidRPr="00FB198A">
              <w:rPr>
                <w:rFonts w:cs="Arial"/>
                <w:b/>
                <w:bCs/>
                <w:color w:val="FFFFFF" w:themeColor="background1"/>
                <w:sz w:val="16"/>
                <w:szCs w:val="18"/>
              </w:rPr>
              <w:t>Znesek odloženega plačila</w:t>
            </w:r>
          </w:p>
          <w:p w14:paraId="258E3647" w14:textId="77777777" w:rsidR="004B7622" w:rsidRPr="00FB198A" w:rsidRDefault="004B7622" w:rsidP="00377989">
            <w:pPr>
              <w:pStyle w:val="FURSNavaden"/>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16"/>
                <w:szCs w:val="18"/>
              </w:rPr>
            </w:pPr>
            <w:r w:rsidRPr="00FB198A">
              <w:rPr>
                <w:rFonts w:cs="Arial"/>
                <w:b/>
                <w:bCs/>
                <w:color w:val="FFFFFF" w:themeColor="background1"/>
                <w:sz w:val="16"/>
                <w:szCs w:val="18"/>
              </w:rPr>
              <w:t>(v EUR)</w:t>
            </w:r>
          </w:p>
        </w:tc>
        <w:tc>
          <w:tcPr>
            <w:tcW w:w="1417" w:type="dxa"/>
            <w:shd w:val="clear" w:color="auto" w:fill="64BACE"/>
            <w:hideMark/>
          </w:tcPr>
          <w:p w14:paraId="5BC506F3" w14:textId="77777777" w:rsidR="004B7622" w:rsidRPr="00FB198A" w:rsidRDefault="004B7622" w:rsidP="00377989">
            <w:pPr>
              <w:pStyle w:val="FURSNavaden"/>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16"/>
                <w:szCs w:val="18"/>
              </w:rPr>
            </w:pPr>
            <w:r w:rsidRPr="00FB198A">
              <w:rPr>
                <w:rFonts w:cs="Arial"/>
                <w:b/>
                <w:bCs/>
                <w:color w:val="FFFFFF" w:themeColor="background1"/>
                <w:sz w:val="16"/>
                <w:szCs w:val="18"/>
              </w:rPr>
              <w:t>Znesek odobrenega  obročnega plačila (v EUR)</w:t>
            </w:r>
          </w:p>
        </w:tc>
        <w:tc>
          <w:tcPr>
            <w:tcW w:w="1559" w:type="dxa"/>
            <w:vMerge/>
            <w:vAlign w:val="center"/>
            <w:hideMark/>
          </w:tcPr>
          <w:p w14:paraId="30A88B38" w14:textId="77777777" w:rsidR="004B7622" w:rsidRPr="00FB198A" w:rsidRDefault="004B7622" w:rsidP="00377989">
            <w:pPr>
              <w:pStyle w:val="FURSNavaden"/>
              <w:cnfStyle w:val="000000100000" w:firstRow="0" w:lastRow="0" w:firstColumn="0" w:lastColumn="0" w:oddVBand="0" w:evenVBand="0" w:oddHBand="1" w:evenHBand="0" w:firstRowFirstColumn="0" w:firstRowLastColumn="0" w:lastRowFirstColumn="0" w:lastRowLastColumn="0"/>
              <w:rPr>
                <w:rFonts w:cs="Arial"/>
                <w:b/>
                <w:bCs/>
                <w:sz w:val="16"/>
                <w:szCs w:val="18"/>
              </w:rPr>
            </w:pPr>
          </w:p>
        </w:tc>
      </w:tr>
      <w:tr w:rsidR="004B7622" w:rsidRPr="00225090" w14:paraId="3B703ADD" w14:textId="77777777" w:rsidTr="00377989">
        <w:trPr>
          <w:trHeight w:val="150"/>
        </w:trPr>
        <w:tc>
          <w:tcPr>
            <w:cnfStyle w:val="001000000000" w:firstRow="0" w:lastRow="0" w:firstColumn="1" w:lastColumn="0" w:oddVBand="0" w:evenVBand="0" w:oddHBand="0" w:evenHBand="0" w:firstRowFirstColumn="0" w:firstRowLastColumn="0" w:lastRowFirstColumn="0" w:lastRowLastColumn="0"/>
            <w:tcW w:w="2547" w:type="dxa"/>
            <w:tcBorders>
              <w:left w:val="single" w:sz="4" w:space="0" w:color="auto"/>
            </w:tcBorders>
            <w:shd w:val="clear" w:color="auto" w:fill="31869B"/>
            <w:vAlign w:val="center"/>
            <w:hideMark/>
          </w:tcPr>
          <w:p w14:paraId="6EDCDDCC" w14:textId="77777777" w:rsidR="004B7622" w:rsidRPr="009C5A69" w:rsidRDefault="004B7622" w:rsidP="00377989">
            <w:pPr>
              <w:pStyle w:val="FURSNavaden"/>
              <w:rPr>
                <w:rFonts w:cs="Arial"/>
                <w:sz w:val="18"/>
                <w:szCs w:val="18"/>
              </w:rPr>
            </w:pPr>
            <w:r w:rsidRPr="009C5A69">
              <w:rPr>
                <w:rFonts w:cs="Arial"/>
                <w:sz w:val="18"/>
                <w:szCs w:val="18"/>
              </w:rPr>
              <w:t>DDV</w:t>
            </w:r>
          </w:p>
        </w:tc>
        <w:tc>
          <w:tcPr>
            <w:tcW w:w="1134" w:type="dxa"/>
            <w:shd w:val="clear" w:color="auto" w:fill="auto"/>
            <w:noWrap/>
            <w:hideMark/>
          </w:tcPr>
          <w:p w14:paraId="2A35DA1D" w14:textId="77777777" w:rsidR="004B7622" w:rsidRPr="00FB198A" w:rsidRDefault="004B7622" w:rsidP="00377989">
            <w:pP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FB198A">
              <w:rPr>
                <w:rFonts w:ascii="Arial" w:hAnsi="Arial" w:cs="Arial"/>
                <w:sz w:val="18"/>
              </w:rPr>
              <w:t>64.734.072</w:t>
            </w:r>
          </w:p>
        </w:tc>
        <w:tc>
          <w:tcPr>
            <w:tcW w:w="1276" w:type="dxa"/>
            <w:shd w:val="clear" w:color="auto" w:fill="auto"/>
            <w:noWrap/>
            <w:hideMark/>
          </w:tcPr>
          <w:p w14:paraId="6EFD5FE0" w14:textId="77777777" w:rsidR="004B7622" w:rsidRPr="00FB198A" w:rsidRDefault="004B7622" w:rsidP="00377989">
            <w:pP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FB198A">
              <w:rPr>
                <w:rFonts w:ascii="Arial" w:hAnsi="Arial" w:cs="Arial"/>
                <w:sz w:val="18"/>
              </w:rPr>
              <w:t>85.065.421</w:t>
            </w:r>
          </w:p>
        </w:tc>
        <w:tc>
          <w:tcPr>
            <w:tcW w:w="1134" w:type="dxa"/>
            <w:shd w:val="clear" w:color="auto" w:fill="auto"/>
            <w:noWrap/>
            <w:hideMark/>
          </w:tcPr>
          <w:p w14:paraId="0954104F" w14:textId="77777777" w:rsidR="004B7622" w:rsidRPr="00FB198A" w:rsidRDefault="004B7622" w:rsidP="00377989">
            <w:pP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FB198A">
              <w:rPr>
                <w:rFonts w:ascii="Arial" w:hAnsi="Arial" w:cs="Arial"/>
                <w:sz w:val="18"/>
              </w:rPr>
              <w:t>14.324.016</w:t>
            </w:r>
          </w:p>
        </w:tc>
        <w:tc>
          <w:tcPr>
            <w:tcW w:w="1417" w:type="dxa"/>
            <w:shd w:val="clear" w:color="auto" w:fill="auto"/>
            <w:noWrap/>
            <w:hideMark/>
          </w:tcPr>
          <w:p w14:paraId="79026AF5" w14:textId="77777777" w:rsidR="004B7622" w:rsidRPr="00FB198A" w:rsidRDefault="004B7622" w:rsidP="00377989">
            <w:pP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FB198A">
              <w:rPr>
                <w:rFonts w:ascii="Arial" w:hAnsi="Arial" w:cs="Arial"/>
                <w:sz w:val="18"/>
              </w:rPr>
              <w:t>95.337.635</w:t>
            </w:r>
          </w:p>
        </w:tc>
        <w:tc>
          <w:tcPr>
            <w:tcW w:w="1559" w:type="dxa"/>
            <w:shd w:val="clear" w:color="auto" w:fill="auto"/>
            <w:noWrap/>
            <w:hideMark/>
          </w:tcPr>
          <w:p w14:paraId="6CCE250C" w14:textId="77777777" w:rsidR="004B7622" w:rsidRPr="00FB198A" w:rsidRDefault="004B7622" w:rsidP="00377989">
            <w:pP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FB198A">
              <w:rPr>
                <w:rFonts w:ascii="Arial" w:hAnsi="Arial" w:cs="Arial"/>
                <w:sz w:val="18"/>
              </w:rPr>
              <w:t>259.461.144</w:t>
            </w:r>
          </w:p>
        </w:tc>
      </w:tr>
      <w:tr w:rsidR="004B7622" w:rsidRPr="00225090" w14:paraId="22051925" w14:textId="77777777" w:rsidTr="00377989">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547" w:type="dxa"/>
            <w:tcBorders>
              <w:left w:val="single" w:sz="4" w:space="0" w:color="auto"/>
            </w:tcBorders>
            <w:shd w:val="clear" w:color="auto" w:fill="31869B"/>
            <w:vAlign w:val="center"/>
            <w:hideMark/>
          </w:tcPr>
          <w:p w14:paraId="5B8F13B7" w14:textId="77777777" w:rsidR="004B7622" w:rsidRPr="009C5A69" w:rsidRDefault="004B7622" w:rsidP="00377989">
            <w:pPr>
              <w:pStyle w:val="FURSNavaden"/>
              <w:rPr>
                <w:rFonts w:cs="Arial"/>
                <w:sz w:val="18"/>
                <w:szCs w:val="18"/>
              </w:rPr>
            </w:pPr>
            <w:r w:rsidRPr="009C5A69">
              <w:rPr>
                <w:rFonts w:cs="Arial"/>
                <w:sz w:val="18"/>
                <w:szCs w:val="18"/>
              </w:rPr>
              <w:t>DDPO</w:t>
            </w:r>
          </w:p>
        </w:tc>
        <w:tc>
          <w:tcPr>
            <w:tcW w:w="1134" w:type="dxa"/>
            <w:shd w:val="clear" w:color="auto" w:fill="auto"/>
            <w:noWrap/>
            <w:hideMark/>
          </w:tcPr>
          <w:p w14:paraId="1AF42EBF" w14:textId="77777777" w:rsidR="004B7622" w:rsidRPr="00FB198A" w:rsidRDefault="004B7622" w:rsidP="00377989">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FB198A">
              <w:rPr>
                <w:rFonts w:ascii="Arial" w:hAnsi="Arial" w:cs="Arial"/>
                <w:sz w:val="18"/>
              </w:rPr>
              <w:t>11.684.342</w:t>
            </w:r>
          </w:p>
        </w:tc>
        <w:tc>
          <w:tcPr>
            <w:tcW w:w="1276" w:type="dxa"/>
            <w:shd w:val="clear" w:color="auto" w:fill="auto"/>
            <w:noWrap/>
            <w:hideMark/>
          </w:tcPr>
          <w:p w14:paraId="24B21201" w14:textId="77777777" w:rsidR="004B7622" w:rsidRPr="00FB198A" w:rsidRDefault="004B7622" w:rsidP="00377989">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FB198A">
              <w:rPr>
                <w:rFonts w:ascii="Arial" w:hAnsi="Arial" w:cs="Arial"/>
                <w:sz w:val="18"/>
              </w:rPr>
              <w:t>17.076.709</w:t>
            </w:r>
          </w:p>
        </w:tc>
        <w:tc>
          <w:tcPr>
            <w:tcW w:w="1134" w:type="dxa"/>
            <w:shd w:val="clear" w:color="auto" w:fill="auto"/>
            <w:noWrap/>
            <w:hideMark/>
          </w:tcPr>
          <w:p w14:paraId="5E69882D" w14:textId="77777777" w:rsidR="004B7622" w:rsidRPr="00FB198A" w:rsidRDefault="004B7622" w:rsidP="00377989">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FB198A">
              <w:rPr>
                <w:rFonts w:ascii="Arial" w:hAnsi="Arial" w:cs="Arial"/>
                <w:sz w:val="18"/>
              </w:rPr>
              <w:t>2.012.081</w:t>
            </w:r>
          </w:p>
        </w:tc>
        <w:tc>
          <w:tcPr>
            <w:tcW w:w="1417" w:type="dxa"/>
            <w:shd w:val="clear" w:color="auto" w:fill="auto"/>
            <w:noWrap/>
            <w:hideMark/>
          </w:tcPr>
          <w:p w14:paraId="119A220F" w14:textId="77777777" w:rsidR="004B7622" w:rsidRPr="00FB198A" w:rsidRDefault="004B7622" w:rsidP="00377989">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FB198A">
              <w:rPr>
                <w:rFonts w:ascii="Arial" w:hAnsi="Arial" w:cs="Arial"/>
                <w:sz w:val="18"/>
              </w:rPr>
              <w:t>8.321.108</w:t>
            </w:r>
          </w:p>
        </w:tc>
        <w:tc>
          <w:tcPr>
            <w:tcW w:w="1559" w:type="dxa"/>
            <w:shd w:val="clear" w:color="auto" w:fill="auto"/>
            <w:noWrap/>
            <w:hideMark/>
          </w:tcPr>
          <w:p w14:paraId="611948A7" w14:textId="77777777" w:rsidR="004B7622" w:rsidRPr="00FB198A" w:rsidRDefault="004B7622" w:rsidP="00377989">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FB198A">
              <w:rPr>
                <w:rFonts w:ascii="Arial" w:hAnsi="Arial" w:cs="Arial"/>
                <w:sz w:val="18"/>
              </w:rPr>
              <w:t>39.094.240</w:t>
            </w:r>
          </w:p>
        </w:tc>
      </w:tr>
      <w:tr w:rsidR="004B7622" w:rsidRPr="00225090" w14:paraId="5C91F2FF" w14:textId="77777777" w:rsidTr="00377989">
        <w:trPr>
          <w:trHeight w:val="310"/>
        </w:trPr>
        <w:tc>
          <w:tcPr>
            <w:cnfStyle w:val="001000000000" w:firstRow="0" w:lastRow="0" w:firstColumn="1" w:lastColumn="0" w:oddVBand="0" w:evenVBand="0" w:oddHBand="0" w:evenHBand="0" w:firstRowFirstColumn="0" w:firstRowLastColumn="0" w:lastRowFirstColumn="0" w:lastRowLastColumn="0"/>
            <w:tcW w:w="2547" w:type="dxa"/>
            <w:tcBorders>
              <w:left w:val="single" w:sz="4" w:space="0" w:color="auto"/>
            </w:tcBorders>
            <w:shd w:val="clear" w:color="auto" w:fill="31869B"/>
            <w:vAlign w:val="center"/>
            <w:hideMark/>
          </w:tcPr>
          <w:p w14:paraId="38A25830" w14:textId="77777777" w:rsidR="004B7622" w:rsidRPr="009C5A69" w:rsidRDefault="004B7622" w:rsidP="00377989">
            <w:pPr>
              <w:pStyle w:val="FURSNavaden"/>
              <w:jc w:val="left"/>
              <w:rPr>
                <w:rFonts w:cs="Arial"/>
                <w:sz w:val="18"/>
                <w:szCs w:val="18"/>
              </w:rPr>
            </w:pPr>
            <w:r w:rsidRPr="009C5A69">
              <w:rPr>
                <w:rFonts w:cs="Arial"/>
                <w:sz w:val="18"/>
                <w:szCs w:val="18"/>
              </w:rPr>
              <w:t>Prispevki za pokojninsko in invalidsko zavarovanje</w:t>
            </w:r>
          </w:p>
        </w:tc>
        <w:tc>
          <w:tcPr>
            <w:tcW w:w="1134" w:type="dxa"/>
            <w:shd w:val="clear" w:color="auto" w:fill="auto"/>
            <w:noWrap/>
            <w:hideMark/>
          </w:tcPr>
          <w:p w14:paraId="471E08AC" w14:textId="77777777" w:rsidR="004B7622" w:rsidRPr="00FB198A" w:rsidRDefault="004B7622" w:rsidP="00377989">
            <w:pP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FB198A">
              <w:rPr>
                <w:rFonts w:ascii="Arial" w:hAnsi="Arial" w:cs="Arial"/>
                <w:sz w:val="18"/>
              </w:rPr>
              <w:t>0</w:t>
            </w:r>
          </w:p>
        </w:tc>
        <w:tc>
          <w:tcPr>
            <w:tcW w:w="1276" w:type="dxa"/>
            <w:shd w:val="clear" w:color="auto" w:fill="auto"/>
            <w:noWrap/>
            <w:hideMark/>
          </w:tcPr>
          <w:p w14:paraId="663F8327" w14:textId="77777777" w:rsidR="004B7622" w:rsidRPr="00FB198A" w:rsidRDefault="004B7622" w:rsidP="00377989">
            <w:pP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FB198A">
              <w:rPr>
                <w:rFonts w:ascii="Arial" w:hAnsi="Arial" w:cs="Arial"/>
                <w:sz w:val="18"/>
              </w:rPr>
              <w:t>0</w:t>
            </w:r>
          </w:p>
        </w:tc>
        <w:tc>
          <w:tcPr>
            <w:tcW w:w="1134" w:type="dxa"/>
            <w:shd w:val="clear" w:color="auto" w:fill="auto"/>
            <w:noWrap/>
            <w:hideMark/>
          </w:tcPr>
          <w:p w14:paraId="2D9752C0" w14:textId="77777777" w:rsidR="004B7622" w:rsidRPr="00FB198A" w:rsidRDefault="004B7622" w:rsidP="00377989">
            <w:pP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FB198A">
              <w:rPr>
                <w:rFonts w:ascii="Arial" w:hAnsi="Arial" w:cs="Arial"/>
                <w:sz w:val="18"/>
              </w:rPr>
              <w:t>4.877.219</w:t>
            </w:r>
          </w:p>
        </w:tc>
        <w:tc>
          <w:tcPr>
            <w:tcW w:w="1417" w:type="dxa"/>
            <w:shd w:val="clear" w:color="auto" w:fill="auto"/>
            <w:noWrap/>
            <w:hideMark/>
          </w:tcPr>
          <w:p w14:paraId="214E5297" w14:textId="77777777" w:rsidR="004B7622" w:rsidRPr="00FB198A" w:rsidRDefault="004B7622" w:rsidP="00377989">
            <w:pP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FB198A">
              <w:rPr>
                <w:rFonts w:ascii="Arial" w:hAnsi="Arial" w:cs="Arial"/>
                <w:sz w:val="18"/>
              </w:rPr>
              <w:t>19.278.805</w:t>
            </w:r>
          </w:p>
        </w:tc>
        <w:tc>
          <w:tcPr>
            <w:tcW w:w="1559" w:type="dxa"/>
            <w:shd w:val="clear" w:color="auto" w:fill="auto"/>
            <w:noWrap/>
            <w:hideMark/>
          </w:tcPr>
          <w:p w14:paraId="54C31F3B" w14:textId="77777777" w:rsidR="004B7622" w:rsidRPr="00FB198A" w:rsidRDefault="004B7622" w:rsidP="00377989">
            <w:pP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FB198A">
              <w:rPr>
                <w:rFonts w:ascii="Arial" w:hAnsi="Arial" w:cs="Arial"/>
                <w:sz w:val="18"/>
              </w:rPr>
              <w:t>24.156.024</w:t>
            </w:r>
          </w:p>
        </w:tc>
      </w:tr>
      <w:tr w:rsidR="004B7622" w:rsidRPr="00225090" w14:paraId="59405574" w14:textId="77777777" w:rsidTr="00377989">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2547" w:type="dxa"/>
            <w:tcBorders>
              <w:left w:val="single" w:sz="4" w:space="0" w:color="auto"/>
            </w:tcBorders>
            <w:shd w:val="clear" w:color="auto" w:fill="31869B"/>
            <w:vAlign w:val="center"/>
            <w:hideMark/>
          </w:tcPr>
          <w:p w14:paraId="6624154C" w14:textId="77777777" w:rsidR="004B7622" w:rsidRPr="009C5A69" w:rsidRDefault="004B7622" w:rsidP="00377989">
            <w:pPr>
              <w:pStyle w:val="FURSNavaden"/>
              <w:jc w:val="left"/>
              <w:rPr>
                <w:rFonts w:cs="Arial"/>
                <w:sz w:val="18"/>
                <w:szCs w:val="18"/>
              </w:rPr>
            </w:pPr>
            <w:r w:rsidRPr="009C5A69">
              <w:rPr>
                <w:rFonts w:cs="Arial"/>
                <w:sz w:val="18"/>
                <w:szCs w:val="18"/>
              </w:rPr>
              <w:t>Prispevki za zdravstveno varstvo</w:t>
            </w:r>
          </w:p>
        </w:tc>
        <w:tc>
          <w:tcPr>
            <w:tcW w:w="1134" w:type="dxa"/>
            <w:shd w:val="clear" w:color="auto" w:fill="auto"/>
            <w:noWrap/>
            <w:hideMark/>
          </w:tcPr>
          <w:p w14:paraId="1151FDB2" w14:textId="77777777" w:rsidR="004B7622" w:rsidRPr="00FB198A" w:rsidRDefault="004B7622" w:rsidP="00377989">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FB198A">
              <w:rPr>
                <w:rFonts w:ascii="Arial" w:hAnsi="Arial" w:cs="Arial"/>
                <w:sz w:val="18"/>
              </w:rPr>
              <w:t>0</w:t>
            </w:r>
          </w:p>
        </w:tc>
        <w:tc>
          <w:tcPr>
            <w:tcW w:w="1276" w:type="dxa"/>
            <w:shd w:val="clear" w:color="auto" w:fill="auto"/>
            <w:noWrap/>
            <w:hideMark/>
          </w:tcPr>
          <w:p w14:paraId="117E5D86" w14:textId="77777777" w:rsidR="004B7622" w:rsidRPr="00FB198A" w:rsidRDefault="004B7622" w:rsidP="00377989">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FB198A">
              <w:rPr>
                <w:rFonts w:ascii="Arial" w:hAnsi="Arial" w:cs="Arial"/>
                <w:sz w:val="18"/>
              </w:rPr>
              <w:t>0</w:t>
            </w:r>
          </w:p>
        </w:tc>
        <w:tc>
          <w:tcPr>
            <w:tcW w:w="1134" w:type="dxa"/>
            <w:shd w:val="clear" w:color="auto" w:fill="auto"/>
            <w:noWrap/>
            <w:hideMark/>
          </w:tcPr>
          <w:p w14:paraId="37D69893" w14:textId="77777777" w:rsidR="004B7622" w:rsidRPr="00FB198A" w:rsidRDefault="004B7622" w:rsidP="00377989">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FB198A">
              <w:rPr>
                <w:rFonts w:ascii="Arial" w:hAnsi="Arial" w:cs="Arial"/>
                <w:sz w:val="18"/>
              </w:rPr>
              <w:t>2.597.640</w:t>
            </w:r>
          </w:p>
        </w:tc>
        <w:tc>
          <w:tcPr>
            <w:tcW w:w="1417" w:type="dxa"/>
            <w:shd w:val="clear" w:color="auto" w:fill="auto"/>
            <w:noWrap/>
            <w:hideMark/>
          </w:tcPr>
          <w:p w14:paraId="3EA81066" w14:textId="77777777" w:rsidR="004B7622" w:rsidRPr="00FB198A" w:rsidRDefault="004B7622" w:rsidP="00377989">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FB198A">
              <w:rPr>
                <w:rFonts w:ascii="Arial" w:hAnsi="Arial" w:cs="Arial"/>
                <w:sz w:val="18"/>
              </w:rPr>
              <w:t>10.048.792</w:t>
            </w:r>
          </w:p>
        </w:tc>
        <w:tc>
          <w:tcPr>
            <w:tcW w:w="1559" w:type="dxa"/>
            <w:shd w:val="clear" w:color="auto" w:fill="auto"/>
            <w:noWrap/>
            <w:hideMark/>
          </w:tcPr>
          <w:p w14:paraId="508A0074" w14:textId="77777777" w:rsidR="004B7622" w:rsidRPr="00FB198A" w:rsidRDefault="004B7622" w:rsidP="00377989">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FB198A">
              <w:rPr>
                <w:rFonts w:ascii="Arial" w:hAnsi="Arial" w:cs="Arial"/>
                <w:sz w:val="18"/>
              </w:rPr>
              <w:t>12.646.432</w:t>
            </w:r>
          </w:p>
        </w:tc>
      </w:tr>
      <w:tr w:rsidR="004B7622" w:rsidRPr="00225090" w14:paraId="600937D9" w14:textId="77777777" w:rsidTr="00377989">
        <w:trPr>
          <w:trHeight w:val="195"/>
        </w:trPr>
        <w:tc>
          <w:tcPr>
            <w:cnfStyle w:val="001000000000" w:firstRow="0" w:lastRow="0" w:firstColumn="1" w:lastColumn="0" w:oddVBand="0" w:evenVBand="0" w:oddHBand="0" w:evenHBand="0" w:firstRowFirstColumn="0" w:firstRowLastColumn="0" w:lastRowFirstColumn="0" w:lastRowLastColumn="0"/>
            <w:tcW w:w="2547" w:type="dxa"/>
            <w:tcBorders>
              <w:left w:val="single" w:sz="4" w:space="0" w:color="auto"/>
            </w:tcBorders>
            <w:shd w:val="clear" w:color="auto" w:fill="31869B"/>
            <w:vAlign w:val="center"/>
            <w:hideMark/>
          </w:tcPr>
          <w:p w14:paraId="141B31E3" w14:textId="77777777" w:rsidR="004B7622" w:rsidRPr="009C5A69" w:rsidRDefault="004B7622" w:rsidP="00377989">
            <w:pPr>
              <w:pStyle w:val="FURSNavaden"/>
              <w:jc w:val="left"/>
              <w:rPr>
                <w:rFonts w:cs="Arial"/>
                <w:sz w:val="18"/>
                <w:szCs w:val="18"/>
              </w:rPr>
            </w:pPr>
            <w:r w:rsidRPr="009C5A69">
              <w:rPr>
                <w:rFonts w:cs="Arial"/>
                <w:sz w:val="18"/>
                <w:szCs w:val="18"/>
              </w:rPr>
              <w:t>Prispevki za zaposlovanje</w:t>
            </w:r>
          </w:p>
        </w:tc>
        <w:tc>
          <w:tcPr>
            <w:tcW w:w="1134" w:type="dxa"/>
            <w:shd w:val="clear" w:color="auto" w:fill="auto"/>
            <w:noWrap/>
            <w:hideMark/>
          </w:tcPr>
          <w:p w14:paraId="725596C5" w14:textId="77777777" w:rsidR="004B7622" w:rsidRPr="00FB198A" w:rsidRDefault="004B7622" w:rsidP="00377989">
            <w:pP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FB198A">
              <w:rPr>
                <w:rFonts w:ascii="Arial" w:hAnsi="Arial" w:cs="Arial"/>
                <w:sz w:val="18"/>
              </w:rPr>
              <w:t>0</w:t>
            </w:r>
          </w:p>
        </w:tc>
        <w:tc>
          <w:tcPr>
            <w:tcW w:w="1276" w:type="dxa"/>
            <w:shd w:val="clear" w:color="auto" w:fill="auto"/>
            <w:noWrap/>
            <w:hideMark/>
          </w:tcPr>
          <w:p w14:paraId="58860471" w14:textId="77777777" w:rsidR="004B7622" w:rsidRPr="00FB198A" w:rsidRDefault="004B7622" w:rsidP="00377989">
            <w:pP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FB198A">
              <w:rPr>
                <w:rFonts w:ascii="Arial" w:hAnsi="Arial" w:cs="Arial"/>
                <w:sz w:val="18"/>
              </w:rPr>
              <w:t>0</w:t>
            </w:r>
          </w:p>
        </w:tc>
        <w:tc>
          <w:tcPr>
            <w:tcW w:w="1134" w:type="dxa"/>
            <w:shd w:val="clear" w:color="auto" w:fill="auto"/>
            <w:noWrap/>
            <w:hideMark/>
          </w:tcPr>
          <w:p w14:paraId="28654D13" w14:textId="77777777" w:rsidR="004B7622" w:rsidRPr="00FB198A" w:rsidRDefault="004B7622" w:rsidP="00377989">
            <w:pP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FB198A">
              <w:rPr>
                <w:rFonts w:ascii="Arial" w:hAnsi="Arial" w:cs="Arial"/>
                <w:sz w:val="18"/>
              </w:rPr>
              <w:t>85.335</w:t>
            </w:r>
          </w:p>
        </w:tc>
        <w:tc>
          <w:tcPr>
            <w:tcW w:w="1417" w:type="dxa"/>
            <w:shd w:val="clear" w:color="auto" w:fill="auto"/>
            <w:noWrap/>
            <w:hideMark/>
          </w:tcPr>
          <w:p w14:paraId="514AAC91" w14:textId="77777777" w:rsidR="004B7622" w:rsidRPr="00FB198A" w:rsidRDefault="004B7622" w:rsidP="00377989">
            <w:pP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FB198A">
              <w:rPr>
                <w:rFonts w:ascii="Arial" w:hAnsi="Arial" w:cs="Arial"/>
                <w:sz w:val="18"/>
              </w:rPr>
              <w:t>51.048</w:t>
            </w:r>
          </w:p>
        </w:tc>
        <w:tc>
          <w:tcPr>
            <w:tcW w:w="1559" w:type="dxa"/>
            <w:shd w:val="clear" w:color="auto" w:fill="auto"/>
            <w:noWrap/>
            <w:hideMark/>
          </w:tcPr>
          <w:p w14:paraId="38CB0846" w14:textId="77777777" w:rsidR="004B7622" w:rsidRPr="00FB198A" w:rsidRDefault="004B7622" w:rsidP="00377989">
            <w:pP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FB198A">
              <w:rPr>
                <w:rFonts w:ascii="Arial" w:hAnsi="Arial" w:cs="Arial"/>
                <w:sz w:val="18"/>
              </w:rPr>
              <w:t>136.383</w:t>
            </w:r>
          </w:p>
        </w:tc>
      </w:tr>
      <w:tr w:rsidR="004B7622" w:rsidRPr="00225090" w14:paraId="40F519E2" w14:textId="77777777" w:rsidTr="00377989">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2547" w:type="dxa"/>
            <w:tcBorders>
              <w:left w:val="single" w:sz="4" w:space="0" w:color="auto"/>
            </w:tcBorders>
            <w:shd w:val="clear" w:color="auto" w:fill="31869B"/>
            <w:vAlign w:val="center"/>
            <w:hideMark/>
          </w:tcPr>
          <w:p w14:paraId="5CB0788A" w14:textId="77777777" w:rsidR="004B7622" w:rsidRPr="009C5A69" w:rsidRDefault="004B7622" w:rsidP="00377989">
            <w:pPr>
              <w:pStyle w:val="FURSNavaden"/>
              <w:jc w:val="left"/>
              <w:rPr>
                <w:rFonts w:cs="Arial"/>
                <w:sz w:val="18"/>
                <w:szCs w:val="18"/>
              </w:rPr>
            </w:pPr>
            <w:r w:rsidRPr="009C5A69">
              <w:rPr>
                <w:rFonts w:cs="Arial"/>
                <w:sz w:val="18"/>
                <w:szCs w:val="18"/>
              </w:rPr>
              <w:t>Prispevki za starševsko varstvo</w:t>
            </w:r>
          </w:p>
        </w:tc>
        <w:tc>
          <w:tcPr>
            <w:tcW w:w="1134" w:type="dxa"/>
            <w:shd w:val="clear" w:color="auto" w:fill="auto"/>
            <w:noWrap/>
            <w:hideMark/>
          </w:tcPr>
          <w:p w14:paraId="790D37DF" w14:textId="77777777" w:rsidR="004B7622" w:rsidRPr="00FB198A" w:rsidRDefault="004B7622" w:rsidP="00377989">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FB198A">
              <w:rPr>
                <w:rFonts w:ascii="Arial" w:hAnsi="Arial" w:cs="Arial"/>
                <w:sz w:val="18"/>
              </w:rPr>
              <w:t>0</w:t>
            </w:r>
          </w:p>
        </w:tc>
        <w:tc>
          <w:tcPr>
            <w:tcW w:w="1276" w:type="dxa"/>
            <w:shd w:val="clear" w:color="auto" w:fill="auto"/>
            <w:noWrap/>
            <w:hideMark/>
          </w:tcPr>
          <w:p w14:paraId="0B255BE1" w14:textId="77777777" w:rsidR="004B7622" w:rsidRPr="00FB198A" w:rsidRDefault="004B7622" w:rsidP="00377989">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FB198A">
              <w:rPr>
                <w:rFonts w:ascii="Arial" w:hAnsi="Arial" w:cs="Arial"/>
                <w:sz w:val="18"/>
              </w:rPr>
              <w:t>0</w:t>
            </w:r>
          </w:p>
        </w:tc>
        <w:tc>
          <w:tcPr>
            <w:tcW w:w="1134" w:type="dxa"/>
            <w:shd w:val="clear" w:color="auto" w:fill="auto"/>
            <w:noWrap/>
            <w:hideMark/>
          </w:tcPr>
          <w:p w14:paraId="33426F93" w14:textId="77777777" w:rsidR="004B7622" w:rsidRPr="00FB198A" w:rsidRDefault="004B7622" w:rsidP="00377989">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FB198A">
              <w:rPr>
                <w:rFonts w:ascii="Arial" w:hAnsi="Arial" w:cs="Arial"/>
                <w:sz w:val="18"/>
              </w:rPr>
              <w:t>42.556</w:t>
            </w:r>
          </w:p>
        </w:tc>
        <w:tc>
          <w:tcPr>
            <w:tcW w:w="1417" w:type="dxa"/>
            <w:shd w:val="clear" w:color="auto" w:fill="auto"/>
            <w:noWrap/>
            <w:hideMark/>
          </w:tcPr>
          <w:p w14:paraId="16BF3405" w14:textId="77777777" w:rsidR="004B7622" w:rsidRPr="00FB198A" w:rsidRDefault="004B7622" w:rsidP="00377989">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FB198A">
              <w:rPr>
                <w:rFonts w:ascii="Arial" w:hAnsi="Arial" w:cs="Arial"/>
                <w:sz w:val="18"/>
              </w:rPr>
              <w:t>58.171</w:t>
            </w:r>
          </w:p>
        </w:tc>
        <w:tc>
          <w:tcPr>
            <w:tcW w:w="1559" w:type="dxa"/>
            <w:shd w:val="clear" w:color="auto" w:fill="auto"/>
            <w:noWrap/>
            <w:hideMark/>
          </w:tcPr>
          <w:p w14:paraId="403B6095" w14:textId="77777777" w:rsidR="004B7622" w:rsidRPr="00FB198A" w:rsidRDefault="004B7622" w:rsidP="00377989">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FB198A">
              <w:rPr>
                <w:rFonts w:ascii="Arial" w:hAnsi="Arial" w:cs="Arial"/>
                <w:sz w:val="18"/>
              </w:rPr>
              <w:t>100.727</w:t>
            </w:r>
          </w:p>
        </w:tc>
      </w:tr>
      <w:tr w:rsidR="004B7622" w:rsidRPr="00225090" w14:paraId="5E873DF4" w14:textId="77777777" w:rsidTr="00377989">
        <w:trPr>
          <w:trHeight w:val="150"/>
        </w:trPr>
        <w:tc>
          <w:tcPr>
            <w:cnfStyle w:val="001000000000" w:firstRow="0" w:lastRow="0" w:firstColumn="1" w:lastColumn="0" w:oddVBand="0" w:evenVBand="0" w:oddHBand="0" w:evenHBand="0" w:firstRowFirstColumn="0" w:firstRowLastColumn="0" w:lastRowFirstColumn="0" w:lastRowLastColumn="0"/>
            <w:tcW w:w="2547" w:type="dxa"/>
            <w:tcBorders>
              <w:left w:val="single" w:sz="4" w:space="0" w:color="auto"/>
            </w:tcBorders>
            <w:shd w:val="clear" w:color="auto" w:fill="31869B"/>
            <w:noWrap/>
            <w:vAlign w:val="center"/>
            <w:hideMark/>
          </w:tcPr>
          <w:p w14:paraId="15EEC035" w14:textId="77777777" w:rsidR="004B7622" w:rsidRPr="009C5A69" w:rsidRDefault="004B7622" w:rsidP="00377989">
            <w:pPr>
              <w:pStyle w:val="FURSNavaden"/>
              <w:rPr>
                <w:rFonts w:cs="Arial"/>
                <w:sz w:val="18"/>
                <w:szCs w:val="18"/>
              </w:rPr>
            </w:pPr>
            <w:r w:rsidRPr="009C5A69">
              <w:rPr>
                <w:rFonts w:cs="Arial"/>
                <w:sz w:val="18"/>
                <w:szCs w:val="18"/>
              </w:rPr>
              <w:t xml:space="preserve">Akontacija dohodnine </w:t>
            </w:r>
          </w:p>
        </w:tc>
        <w:tc>
          <w:tcPr>
            <w:tcW w:w="1134" w:type="dxa"/>
            <w:shd w:val="clear" w:color="auto" w:fill="auto"/>
            <w:noWrap/>
            <w:hideMark/>
          </w:tcPr>
          <w:p w14:paraId="03506136" w14:textId="77777777" w:rsidR="004B7622" w:rsidRPr="00FB198A" w:rsidRDefault="004B7622" w:rsidP="00377989">
            <w:pP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FB198A">
              <w:rPr>
                <w:rFonts w:ascii="Arial" w:hAnsi="Arial" w:cs="Arial"/>
                <w:sz w:val="18"/>
              </w:rPr>
              <w:t>4.694.582</w:t>
            </w:r>
          </w:p>
        </w:tc>
        <w:tc>
          <w:tcPr>
            <w:tcW w:w="1276" w:type="dxa"/>
            <w:shd w:val="clear" w:color="auto" w:fill="auto"/>
            <w:noWrap/>
            <w:hideMark/>
          </w:tcPr>
          <w:p w14:paraId="3DAE11AF" w14:textId="77777777" w:rsidR="004B7622" w:rsidRPr="00FB198A" w:rsidRDefault="004B7622" w:rsidP="00377989">
            <w:pP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FB198A">
              <w:rPr>
                <w:rFonts w:ascii="Arial" w:hAnsi="Arial" w:cs="Arial"/>
                <w:sz w:val="18"/>
              </w:rPr>
              <w:t>4.305.068</w:t>
            </w:r>
          </w:p>
        </w:tc>
        <w:tc>
          <w:tcPr>
            <w:tcW w:w="1134" w:type="dxa"/>
            <w:shd w:val="clear" w:color="auto" w:fill="auto"/>
            <w:noWrap/>
            <w:hideMark/>
          </w:tcPr>
          <w:p w14:paraId="59E941D7" w14:textId="77777777" w:rsidR="004B7622" w:rsidRPr="00FB198A" w:rsidRDefault="004B7622" w:rsidP="00377989">
            <w:pP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FB198A">
              <w:rPr>
                <w:rFonts w:ascii="Arial" w:hAnsi="Arial" w:cs="Arial"/>
                <w:sz w:val="18"/>
              </w:rPr>
              <w:t>2.236.094</w:t>
            </w:r>
          </w:p>
        </w:tc>
        <w:tc>
          <w:tcPr>
            <w:tcW w:w="1417" w:type="dxa"/>
            <w:shd w:val="clear" w:color="auto" w:fill="auto"/>
            <w:noWrap/>
            <w:hideMark/>
          </w:tcPr>
          <w:p w14:paraId="648FA8B9" w14:textId="77777777" w:rsidR="004B7622" w:rsidRPr="00FB198A" w:rsidRDefault="004B7622" w:rsidP="00377989">
            <w:pP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FB198A">
              <w:rPr>
                <w:rFonts w:ascii="Arial" w:hAnsi="Arial" w:cs="Arial"/>
                <w:sz w:val="18"/>
              </w:rPr>
              <w:t>10.403.181</w:t>
            </w:r>
          </w:p>
        </w:tc>
        <w:tc>
          <w:tcPr>
            <w:tcW w:w="1559" w:type="dxa"/>
            <w:shd w:val="clear" w:color="auto" w:fill="auto"/>
            <w:noWrap/>
            <w:hideMark/>
          </w:tcPr>
          <w:p w14:paraId="7648B651" w14:textId="77777777" w:rsidR="004B7622" w:rsidRPr="00FB198A" w:rsidRDefault="004B7622" w:rsidP="00377989">
            <w:pP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FB198A">
              <w:rPr>
                <w:rFonts w:ascii="Arial" w:hAnsi="Arial" w:cs="Arial"/>
                <w:sz w:val="18"/>
              </w:rPr>
              <w:t>21.638.925</w:t>
            </w:r>
          </w:p>
        </w:tc>
      </w:tr>
      <w:tr w:rsidR="004B7622" w:rsidRPr="00225090" w14:paraId="09F2A5B1" w14:textId="77777777" w:rsidTr="00377989">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547" w:type="dxa"/>
            <w:tcBorders>
              <w:left w:val="single" w:sz="4" w:space="0" w:color="auto"/>
            </w:tcBorders>
            <w:shd w:val="clear" w:color="auto" w:fill="31869B"/>
            <w:noWrap/>
            <w:vAlign w:val="center"/>
            <w:hideMark/>
          </w:tcPr>
          <w:p w14:paraId="0560B5A7" w14:textId="77777777" w:rsidR="004B7622" w:rsidRPr="009C5A69" w:rsidRDefault="004B7622" w:rsidP="00377989">
            <w:pPr>
              <w:pStyle w:val="FURSNavaden"/>
              <w:rPr>
                <w:rFonts w:cs="Arial"/>
                <w:sz w:val="18"/>
                <w:szCs w:val="18"/>
              </w:rPr>
            </w:pPr>
            <w:r w:rsidRPr="009C5A69">
              <w:rPr>
                <w:rFonts w:cs="Arial"/>
                <w:sz w:val="18"/>
                <w:szCs w:val="18"/>
              </w:rPr>
              <w:t>Trošarina</w:t>
            </w:r>
          </w:p>
        </w:tc>
        <w:tc>
          <w:tcPr>
            <w:tcW w:w="1134" w:type="dxa"/>
            <w:shd w:val="clear" w:color="auto" w:fill="auto"/>
            <w:noWrap/>
            <w:hideMark/>
          </w:tcPr>
          <w:p w14:paraId="6A256C61" w14:textId="77777777" w:rsidR="004B7622" w:rsidRPr="00FB198A" w:rsidRDefault="004B7622" w:rsidP="00377989">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FB198A">
              <w:rPr>
                <w:rFonts w:ascii="Arial" w:hAnsi="Arial" w:cs="Arial"/>
                <w:sz w:val="18"/>
              </w:rPr>
              <w:t>2.407.551</w:t>
            </w:r>
          </w:p>
        </w:tc>
        <w:tc>
          <w:tcPr>
            <w:tcW w:w="1276" w:type="dxa"/>
            <w:shd w:val="clear" w:color="auto" w:fill="auto"/>
            <w:noWrap/>
            <w:hideMark/>
          </w:tcPr>
          <w:p w14:paraId="38BBC597" w14:textId="77777777" w:rsidR="004B7622" w:rsidRPr="00FB198A" w:rsidRDefault="004B7622" w:rsidP="00377989">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FB198A">
              <w:rPr>
                <w:rFonts w:ascii="Arial" w:hAnsi="Arial" w:cs="Arial"/>
                <w:sz w:val="18"/>
              </w:rPr>
              <w:t>56.317.720</w:t>
            </w:r>
          </w:p>
        </w:tc>
        <w:tc>
          <w:tcPr>
            <w:tcW w:w="1134" w:type="dxa"/>
            <w:shd w:val="clear" w:color="auto" w:fill="auto"/>
            <w:noWrap/>
            <w:hideMark/>
          </w:tcPr>
          <w:p w14:paraId="16981178" w14:textId="77777777" w:rsidR="004B7622" w:rsidRPr="00FB198A" w:rsidRDefault="004B7622" w:rsidP="00377989">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FB198A">
              <w:rPr>
                <w:rFonts w:ascii="Arial" w:hAnsi="Arial" w:cs="Arial"/>
                <w:sz w:val="18"/>
              </w:rPr>
              <w:t>1.133.929</w:t>
            </w:r>
          </w:p>
        </w:tc>
        <w:tc>
          <w:tcPr>
            <w:tcW w:w="1417" w:type="dxa"/>
            <w:shd w:val="clear" w:color="auto" w:fill="auto"/>
            <w:noWrap/>
            <w:hideMark/>
          </w:tcPr>
          <w:p w14:paraId="62E2D360" w14:textId="77777777" w:rsidR="004B7622" w:rsidRPr="00FB198A" w:rsidRDefault="004B7622" w:rsidP="00377989">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FB198A">
              <w:rPr>
                <w:rFonts w:ascii="Arial" w:hAnsi="Arial" w:cs="Arial"/>
                <w:sz w:val="18"/>
              </w:rPr>
              <w:t>39.381.348</w:t>
            </w:r>
          </w:p>
        </w:tc>
        <w:tc>
          <w:tcPr>
            <w:tcW w:w="1559" w:type="dxa"/>
            <w:shd w:val="clear" w:color="auto" w:fill="auto"/>
            <w:noWrap/>
            <w:hideMark/>
          </w:tcPr>
          <w:p w14:paraId="32D3FF37" w14:textId="77777777" w:rsidR="004B7622" w:rsidRPr="00FB198A" w:rsidRDefault="004B7622" w:rsidP="00377989">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FB198A">
              <w:rPr>
                <w:rFonts w:ascii="Arial" w:hAnsi="Arial" w:cs="Arial"/>
                <w:sz w:val="18"/>
              </w:rPr>
              <w:t>99.240.548</w:t>
            </w:r>
          </w:p>
        </w:tc>
      </w:tr>
      <w:tr w:rsidR="004B7622" w:rsidRPr="00225090" w14:paraId="6E3BD251" w14:textId="77777777" w:rsidTr="00377989">
        <w:trPr>
          <w:trHeight w:val="150"/>
        </w:trPr>
        <w:tc>
          <w:tcPr>
            <w:cnfStyle w:val="001000000000" w:firstRow="0" w:lastRow="0" w:firstColumn="1" w:lastColumn="0" w:oddVBand="0" w:evenVBand="0" w:oddHBand="0" w:evenHBand="0" w:firstRowFirstColumn="0" w:firstRowLastColumn="0" w:lastRowFirstColumn="0" w:lastRowLastColumn="0"/>
            <w:tcW w:w="2547" w:type="dxa"/>
            <w:tcBorders>
              <w:left w:val="single" w:sz="4" w:space="0" w:color="auto"/>
            </w:tcBorders>
            <w:shd w:val="clear" w:color="auto" w:fill="31869B"/>
            <w:noWrap/>
            <w:vAlign w:val="center"/>
            <w:hideMark/>
          </w:tcPr>
          <w:p w14:paraId="3CCB406E" w14:textId="77777777" w:rsidR="004B7622" w:rsidRPr="009C5A69" w:rsidRDefault="004B7622" w:rsidP="00377989">
            <w:pPr>
              <w:pStyle w:val="FURSNavaden"/>
              <w:rPr>
                <w:rFonts w:cs="Arial"/>
                <w:sz w:val="18"/>
                <w:szCs w:val="18"/>
              </w:rPr>
            </w:pPr>
            <w:r w:rsidRPr="009C5A69">
              <w:rPr>
                <w:rFonts w:cs="Arial"/>
                <w:sz w:val="18"/>
                <w:szCs w:val="18"/>
              </w:rPr>
              <w:t>NUSZ</w:t>
            </w:r>
          </w:p>
        </w:tc>
        <w:tc>
          <w:tcPr>
            <w:tcW w:w="1134" w:type="dxa"/>
            <w:shd w:val="clear" w:color="auto" w:fill="auto"/>
            <w:noWrap/>
            <w:hideMark/>
          </w:tcPr>
          <w:p w14:paraId="5C73A097" w14:textId="77777777" w:rsidR="004B7622" w:rsidRPr="00FB198A" w:rsidRDefault="004B7622" w:rsidP="00377989">
            <w:pP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FB198A">
              <w:rPr>
                <w:rFonts w:ascii="Arial" w:hAnsi="Arial" w:cs="Arial"/>
                <w:sz w:val="18"/>
              </w:rPr>
              <w:t>5.244.510</w:t>
            </w:r>
          </w:p>
        </w:tc>
        <w:tc>
          <w:tcPr>
            <w:tcW w:w="1276" w:type="dxa"/>
            <w:shd w:val="clear" w:color="auto" w:fill="auto"/>
            <w:noWrap/>
            <w:hideMark/>
          </w:tcPr>
          <w:p w14:paraId="5AE49885" w14:textId="77777777" w:rsidR="004B7622" w:rsidRPr="00FB198A" w:rsidRDefault="004B7622" w:rsidP="00377989">
            <w:pP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FB198A">
              <w:rPr>
                <w:rFonts w:ascii="Arial" w:hAnsi="Arial" w:cs="Arial"/>
                <w:sz w:val="18"/>
              </w:rPr>
              <w:t>665.616</w:t>
            </w:r>
          </w:p>
        </w:tc>
        <w:tc>
          <w:tcPr>
            <w:tcW w:w="1134" w:type="dxa"/>
            <w:shd w:val="clear" w:color="auto" w:fill="auto"/>
            <w:noWrap/>
            <w:hideMark/>
          </w:tcPr>
          <w:p w14:paraId="0EBC1417" w14:textId="77777777" w:rsidR="004B7622" w:rsidRPr="00FB198A" w:rsidRDefault="004B7622" w:rsidP="00377989">
            <w:pP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FB198A">
              <w:rPr>
                <w:rFonts w:ascii="Arial" w:hAnsi="Arial" w:cs="Arial"/>
                <w:sz w:val="18"/>
              </w:rPr>
              <w:t>1.096.824</w:t>
            </w:r>
          </w:p>
        </w:tc>
        <w:tc>
          <w:tcPr>
            <w:tcW w:w="1417" w:type="dxa"/>
            <w:shd w:val="clear" w:color="auto" w:fill="auto"/>
            <w:noWrap/>
            <w:hideMark/>
          </w:tcPr>
          <w:p w14:paraId="605B6DCD" w14:textId="77777777" w:rsidR="004B7622" w:rsidRPr="00FB198A" w:rsidRDefault="004B7622" w:rsidP="00377989">
            <w:pP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FB198A">
              <w:rPr>
                <w:rFonts w:ascii="Arial" w:hAnsi="Arial" w:cs="Arial"/>
                <w:sz w:val="18"/>
              </w:rPr>
              <w:t>3.211.419</w:t>
            </w:r>
          </w:p>
        </w:tc>
        <w:tc>
          <w:tcPr>
            <w:tcW w:w="1559" w:type="dxa"/>
            <w:shd w:val="clear" w:color="auto" w:fill="auto"/>
            <w:noWrap/>
            <w:hideMark/>
          </w:tcPr>
          <w:p w14:paraId="2E903B33" w14:textId="77777777" w:rsidR="004B7622" w:rsidRPr="00FB198A" w:rsidRDefault="004B7622" w:rsidP="00377989">
            <w:pP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FB198A">
              <w:rPr>
                <w:rFonts w:ascii="Arial" w:hAnsi="Arial" w:cs="Arial"/>
                <w:sz w:val="18"/>
              </w:rPr>
              <w:t>10.218.369</w:t>
            </w:r>
          </w:p>
        </w:tc>
      </w:tr>
      <w:tr w:rsidR="004B7622" w:rsidRPr="00225090" w14:paraId="0F6BD187" w14:textId="77777777" w:rsidTr="00377989">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2547" w:type="dxa"/>
            <w:tcBorders>
              <w:left w:val="single" w:sz="4" w:space="0" w:color="auto"/>
            </w:tcBorders>
            <w:shd w:val="clear" w:color="auto" w:fill="31869B"/>
            <w:noWrap/>
            <w:vAlign w:val="center"/>
            <w:hideMark/>
          </w:tcPr>
          <w:p w14:paraId="08004F83" w14:textId="77777777" w:rsidR="004B7622" w:rsidRPr="009C5A69" w:rsidRDefault="004B7622" w:rsidP="00377989">
            <w:pPr>
              <w:pStyle w:val="FURSNavaden"/>
              <w:rPr>
                <w:rFonts w:cs="Arial"/>
                <w:sz w:val="18"/>
                <w:szCs w:val="18"/>
              </w:rPr>
            </w:pPr>
            <w:r w:rsidRPr="009C5A69">
              <w:rPr>
                <w:rFonts w:cs="Arial"/>
                <w:sz w:val="18"/>
                <w:szCs w:val="18"/>
              </w:rPr>
              <w:t>Ostalo</w:t>
            </w:r>
          </w:p>
        </w:tc>
        <w:tc>
          <w:tcPr>
            <w:tcW w:w="1134" w:type="dxa"/>
            <w:shd w:val="clear" w:color="auto" w:fill="auto"/>
            <w:noWrap/>
            <w:hideMark/>
          </w:tcPr>
          <w:p w14:paraId="0EF6FF3A" w14:textId="77777777" w:rsidR="004B7622" w:rsidRPr="00FB198A" w:rsidRDefault="004B7622" w:rsidP="00377989">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FB198A">
              <w:rPr>
                <w:rFonts w:ascii="Arial" w:hAnsi="Arial" w:cs="Arial"/>
                <w:sz w:val="18"/>
              </w:rPr>
              <w:t>3.645.439</w:t>
            </w:r>
          </w:p>
        </w:tc>
        <w:tc>
          <w:tcPr>
            <w:tcW w:w="1276" w:type="dxa"/>
            <w:shd w:val="clear" w:color="auto" w:fill="auto"/>
            <w:noWrap/>
            <w:hideMark/>
          </w:tcPr>
          <w:p w14:paraId="34AA151C" w14:textId="77777777" w:rsidR="004B7622" w:rsidRPr="00FB198A" w:rsidRDefault="004B7622" w:rsidP="00377989">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FB198A">
              <w:rPr>
                <w:rFonts w:ascii="Arial" w:hAnsi="Arial" w:cs="Arial"/>
                <w:sz w:val="18"/>
              </w:rPr>
              <w:t>783.951</w:t>
            </w:r>
          </w:p>
        </w:tc>
        <w:tc>
          <w:tcPr>
            <w:tcW w:w="1134" w:type="dxa"/>
            <w:shd w:val="clear" w:color="auto" w:fill="auto"/>
            <w:noWrap/>
            <w:hideMark/>
          </w:tcPr>
          <w:p w14:paraId="7BF8A01F" w14:textId="77777777" w:rsidR="004B7622" w:rsidRPr="00FB198A" w:rsidRDefault="004B7622" w:rsidP="00377989">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FB198A">
              <w:rPr>
                <w:rFonts w:ascii="Arial" w:hAnsi="Arial" w:cs="Arial"/>
                <w:sz w:val="18"/>
              </w:rPr>
              <w:t>287.578</w:t>
            </w:r>
          </w:p>
        </w:tc>
        <w:tc>
          <w:tcPr>
            <w:tcW w:w="1417" w:type="dxa"/>
            <w:shd w:val="clear" w:color="auto" w:fill="auto"/>
            <w:noWrap/>
            <w:hideMark/>
          </w:tcPr>
          <w:p w14:paraId="0C23B402" w14:textId="77777777" w:rsidR="004B7622" w:rsidRPr="00FB198A" w:rsidRDefault="004B7622" w:rsidP="00377989">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FB198A">
              <w:rPr>
                <w:rFonts w:ascii="Arial" w:hAnsi="Arial" w:cs="Arial"/>
                <w:sz w:val="18"/>
              </w:rPr>
              <w:t>784.959</w:t>
            </w:r>
          </w:p>
        </w:tc>
        <w:tc>
          <w:tcPr>
            <w:tcW w:w="1559" w:type="dxa"/>
            <w:shd w:val="clear" w:color="auto" w:fill="auto"/>
            <w:noWrap/>
            <w:hideMark/>
          </w:tcPr>
          <w:p w14:paraId="50BD762F" w14:textId="77777777" w:rsidR="004B7622" w:rsidRPr="00FB198A" w:rsidRDefault="004B7622" w:rsidP="00377989">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FB198A">
              <w:rPr>
                <w:rFonts w:ascii="Arial" w:hAnsi="Arial" w:cs="Arial"/>
                <w:sz w:val="18"/>
              </w:rPr>
              <w:t>5.501.927</w:t>
            </w:r>
          </w:p>
        </w:tc>
      </w:tr>
      <w:tr w:rsidR="004B7622" w:rsidRPr="00225090" w14:paraId="6C70D2B3" w14:textId="77777777" w:rsidTr="00377989">
        <w:trPr>
          <w:trHeight w:val="158"/>
        </w:trPr>
        <w:tc>
          <w:tcPr>
            <w:cnfStyle w:val="001000000000" w:firstRow="0" w:lastRow="0" w:firstColumn="1" w:lastColumn="0" w:oddVBand="0" w:evenVBand="0" w:oddHBand="0" w:evenHBand="0" w:firstRowFirstColumn="0" w:firstRowLastColumn="0" w:lastRowFirstColumn="0" w:lastRowLastColumn="0"/>
            <w:tcW w:w="2547" w:type="dxa"/>
            <w:tcBorders>
              <w:left w:val="single" w:sz="4" w:space="0" w:color="auto"/>
              <w:bottom w:val="single" w:sz="4" w:space="0" w:color="auto"/>
            </w:tcBorders>
            <w:shd w:val="clear" w:color="auto" w:fill="31869B"/>
            <w:noWrap/>
            <w:vAlign w:val="center"/>
            <w:hideMark/>
          </w:tcPr>
          <w:p w14:paraId="3651E376" w14:textId="77777777" w:rsidR="004B7622" w:rsidRPr="009C5A69" w:rsidRDefault="004B7622" w:rsidP="00377989">
            <w:pPr>
              <w:pStyle w:val="FURSNavaden"/>
              <w:rPr>
                <w:rFonts w:cs="Arial"/>
                <w:sz w:val="18"/>
                <w:szCs w:val="18"/>
              </w:rPr>
            </w:pPr>
            <w:r w:rsidRPr="009C5A69">
              <w:rPr>
                <w:rFonts w:cs="Arial"/>
                <w:sz w:val="18"/>
                <w:szCs w:val="18"/>
              </w:rPr>
              <w:t>SKUPAJ</w:t>
            </w:r>
          </w:p>
        </w:tc>
        <w:tc>
          <w:tcPr>
            <w:tcW w:w="1134" w:type="dxa"/>
            <w:tcBorders>
              <w:bottom w:val="single" w:sz="4" w:space="0" w:color="auto"/>
            </w:tcBorders>
            <w:shd w:val="clear" w:color="auto" w:fill="auto"/>
            <w:noWrap/>
            <w:hideMark/>
          </w:tcPr>
          <w:p w14:paraId="7E900147" w14:textId="77777777" w:rsidR="004B7622" w:rsidRPr="00FB198A" w:rsidRDefault="004B7622" w:rsidP="00377989">
            <w:pPr>
              <w:cnfStyle w:val="000000000000" w:firstRow="0" w:lastRow="0" w:firstColumn="0" w:lastColumn="0" w:oddVBand="0" w:evenVBand="0" w:oddHBand="0" w:evenHBand="0" w:firstRowFirstColumn="0" w:firstRowLastColumn="0" w:lastRowFirstColumn="0" w:lastRowLastColumn="0"/>
              <w:rPr>
                <w:rFonts w:ascii="Arial" w:hAnsi="Arial" w:cs="Arial"/>
                <w:b/>
                <w:sz w:val="18"/>
              </w:rPr>
            </w:pPr>
            <w:r w:rsidRPr="00FB198A">
              <w:rPr>
                <w:rFonts w:ascii="Arial" w:hAnsi="Arial" w:cs="Arial"/>
                <w:b/>
                <w:sz w:val="18"/>
              </w:rPr>
              <w:t>92.410.496</w:t>
            </w:r>
          </w:p>
        </w:tc>
        <w:tc>
          <w:tcPr>
            <w:tcW w:w="1276" w:type="dxa"/>
            <w:tcBorders>
              <w:bottom w:val="single" w:sz="4" w:space="0" w:color="auto"/>
            </w:tcBorders>
            <w:shd w:val="clear" w:color="auto" w:fill="auto"/>
            <w:noWrap/>
            <w:hideMark/>
          </w:tcPr>
          <w:p w14:paraId="758DF1B5" w14:textId="77777777" w:rsidR="004B7622" w:rsidRPr="00FB198A" w:rsidRDefault="004B7622" w:rsidP="00377989">
            <w:pPr>
              <w:cnfStyle w:val="000000000000" w:firstRow="0" w:lastRow="0" w:firstColumn="0" w:lastColumn="0" w:oddVBand="0" w:evenVBand="0" w:oddHBand="0" w:evenHBand="0" w:firstRowFirstColumn="0" w:firstRowLastColumn="0" w:lastRowFirstColumn="0" w:lastRowLastColumn="0"/>
              <w:rPr>
                <w:rFonts w:ascii="Arial" w:hAnsi="Arial" w:cs="Arial"/>
                <w:b/>
                <w:sz w:val="18"/>
              </w:rPr>
            </w:pPr>
            <w:r w:rsidRPr="00FB198A">
              <w:rPr>
                <w:rFonts w:ascii="Arial" w:hAnsi="Arial" w:cs="Arial"/>
                <w:b/>
                <w:sz w:val="18"/>
              </w:rPr>
              <w:t>164.214.485</w:t>
            </w:r>
          </w:p>
        </w:tc>
        <w:tc>
          <w:tcPr>
            <w:tcW w:w="1134" w:type="dxa"/>
            <w:tcBorders>
              <w:bottom w:val="single" w:sz="4" w:space="0" w:color="auto"/>
            </w:tcBorders>
            <w:shd w:val="clear" w:color="auto" w:fill="auto"/>
            <w:noWrap/>
            <w:hideMark/>
          </w:tcPr>
          <w:p w14:paraId="617EA2C4" w14:textId="77777777" w:rsidR="004B7622" w:rsidRPr="00FB198A" w:rsidRDefault="004B7622" w:rsidP="00377989">
            <w:pPr>
              <w:cnfStyle w:val="000000000000" w:firstRow="0" w:lastRow="0" w:firstColumn="0" w:lastColumn="0" w:oddVBand="0" w:evenVBand="0" w:oddHBand="0" w:evenHBand="0" w:firstRowFirstColumn="0" w:firstRowLastColumn="0" w:lastRowFirstColumn="0" w:lastRowLastColumn="0"/>
              <w:rPr>
                <w:rFonts w:ascii="Arial" w:hAnsi="Arial" w:cs="Arial"/>
                <w:b/>
                <w:sz w:val="18"/>
              </w:rPr>
            </w:pPr>
            <w:r w:rsidRPr="00FB198A">
              <w:rPr>
                <w:rFonts w:ascii="Arial" w:hAnsi="Arial" w:cs="Arial"/>
                <w:b/>
                <w:sz w:val="18"/>
              </w:rPr>
              <w:t>28.693.272</w:t>
            </w:r>
          </w:p>
        </w:tc>
        <w:tc>
          <w:tcPr>
            <w:tcW w:w="1417" w:type="dxa"/>
            <w:tcBorders>
              <w:bottom w:val="single" w:sz="4" w:space="0" w:color="auto"/>
            </w:tcBorders>
            <w:shd w:val="clear" w:color="auto" w:fill="auto"/>
            <w:noWrap/>
            <w:hideMark/>
          </w:tcPr>
          <w:p w14:paraId="52371657" w14:textId="77777777" w:rsidR="004B7622" w:rsidRPr="00FB198A" w:rsidRDefault="004B7622" w:rsidP="00377989">
            <w:pPr>
              <w:cnfStyle w:val="000000000000" w:firstRow="0" w:lastRow="0" w:firstColumn="0" w:lastColumn="0" w:oddVBand="0" w:evenVBand="0" w:oddHBand="0" w:evenHBand="0" w:firstRowFirstColumn="0" w:firstRowLastColumn="0" w:lastRowFirstColumn="0" w:lastRowLastColumn="0"/>
              <w:rPr>
                <w:rFonts w:ascii="Arial" w:hAnsi="Arial" w:cs="Arial"/>
                <w:b/>
                <w:sz w:val="18"/>
              </w:rPr>
            </w:pPr>
            <w:r w:rsidRPr="00FB198A">
              <w:rPr>
                <w:rFonts w:ascii="Arial" w:hAnsi="Arial" w:cs="Arial"/>
                <w:b/>
                <w:sz w:val="18"/>
              </w:rPr>
              <w:t>186.876.466</w:t>
            </w:r>
          </w:p>
        </w:tc>
        <w:tc>
          <w:tcPr>
            <w:tcW w:w="1559" w:type="dxa"/>
            <w:tcBorders>
              <w:bottom w:val="single" w:sz="4" w:space="0" w:color="auto"/>
            </w:tcBorders>
            <w:shd w:val="clear" w:color="auto" w:fill="auto"/>
            <w:noWrap/>
            <w:hideMark/>
          </w:tcPr>
          <w:p w14:paraId="2660D8FB" w14:textId="77777777" w:rsidR="004B7622" w:rsidRPr="00FB198A" w:rsidRDefault="004B7622" w:rsidP="00377989">
            <w:pPr>
              <w:cnfStyle w:val="000000000000" w:firstRow="0" w:lastRow="0" w:firstColumn="0" w:lastColumn="0" w:oddVBand="0" w:evenVBand="0" w:oddHBand="0" w:evenHBand="0" w:firstRowFirstColumn="0" w:firstRowLastColumn="0" w:lastRowFirstColumn="0" w:lastRowLastColumn="0"/>
              <w:rPr>
                <w:rFonts w:ascii="Arial" w:hAnsi="Arial" w:cs="Arial"/>
                <w:b/>
                <w:sz w:val="18"/>
              </w:rPr>
            </w:pPr>
            <w:r w:rsidRPr="00FB198A">
              <w:rPr>
                <w:rFonts w:ascii="Arial" w:hAnsi="Arial" w:cs="Arial"/>
                <w:b/>
                <w:sz w:val="18"/>
              </w:rPr>
              <w:t>472.194.719</w:t>
            </w:r>
          </w:p>
        </w:tc>
      </w:tr>
    </w:tbl>
    <w:p w14:paraId="3F4FFBBD" w14:textId="77777777" w:rsidR="004B7622" w:rsidRDefault="004B7622" w:rsidP="004B7622">
      <w:pPr>
        <w:ind w:hanging="110"/>
        <w:rPr>
          <w:rFonts w:ascii="Arial" w:hAnsi="Arial" w:cs="Arial"/>
          <w:i/>
          <w:color w:val="000000"/>
          <w:sz w:val="20"/>
          <w:szCs w:val="20"/>
        </w:rPr>
      </w:pPr>
      <w:r w:rsidRPr="00601714">
        <w:rPr>
          <w:rFonts w:ascii="Arial" w:hAnsi="Arial" w:cs="Arial"/>
          <w:i/>
          <w:color w:val="000000"/>
          <w:sz w:val="20"/>
          <w:szCs w:val="20"/>
        </w:rPr>
        <w:t>Vir: FURS</w:t>
      </w:r>
    </w:p>
    <w:p w14:paraId="7A794BE9" w14:textId="77777777" w:rsidR="004B7622" w:rsidRDefault="004B7622" w:rsidP="004B7622">
      <w:pPr>
        <w:pStyle w:val="FURSNavaden"/>
        <w:rPr>
          <w:rFonts w:cs="Arial"/>
          <w:szCs w:val="20"/>
        </w:rPr>
      </w:pPr>
    </w:p>
    <w:p w14:paraId="1A622A13" w14:textId="77777777" w:rsidR="004B7622" w:rsidRPr="00274734" w:rsidRDefault="004B7622" w:rsidP="004B7622">
      <w:pPr>
        <w:jc w:val="both"/>
        <w:rPr>
          <w:rFonts w:ascii="Arial" w:hAnsi="Arial" w:cs="Arial"/>
          <w:sz w:val="20"/>
          <w:szCs w:val="20"/>
        </w:rPr>
      </w:pPr>
      <w:r w:rsidRPr="00274734">
        <w:rPr>
          <w:rFonts w:ascii="Arial" w:hAnsi="Arial" w:cs="Arial"/>
          <w:iCs/>
          <w:sz w:val="20"/>
          <w:szCs w:val="20"/>
        </w:rPr>
        <w:lastRenderedPageBreak/>
        <w:t>Odobrene zahtevke za odloženo oziroma obročno plačilo je potrebno v primeru zamude s plačilom razveljaviti in zagotovi pravilno knjigovodsko stanje davčnega zavezanca. Vsem zakonom, ki so podlaga za odobritev zahtevkov za odlog oziroma obročno plačilo, je namreč skupno to, da če davčni zavezanec zamudi s plačilom zapadlega obroka, z dnem zapadlosti neplačanega obroka zapadejo v plačilo vsi naslednji neplačani obroki. Zaradi zamude s plačilom je bila v letu 202</w:t>
      </w:r>
      <w:r>
        <w:rPr>
          <w:rFonts w:ascii="Arial" w:hAnsi="Arial" w:cs="Arial"/>
          <w:iCs/>
          <w:sz w:val="20"/>
          <w:szCs w:val="20"/>
        </w:rPr>
        <w:t>1</w:t>
      </w:r>
      <w:r w:rsidRPr="00274734">
        <w:rPr>
          <w:rFonts w:ascii="Arial" w:hAnsi="Arial" w:cs="Arial"/>
          <w:iCs/>
          <w:sz w:val="20"/>
          <w:szCs w:val="20"/>
        </w:rPr>
        <w:t xml:space="preserve"> izvedena razveljavitev odobrenega odloga oziroma obročnega plačila pri </w:t>
      </w:r>
      <w:r>
        <w:rPr>
          <w:rFonts w:ascii="Arial" w:hAnsi="Arial" w:cs="Arial"/>
          <w:iCs/>
          <w:sz w:val="20"/>
          <w:szCs w:val="20"/>
        </w:rPr>
        <w:t>9.523</w:t>
      </w:r>
      <w:r w:rsidRPr="00274734">
        <w:rPr>
          <w:rFonts w:ascii="Arial" w:hAnsi="Arial" w:cs="Arial"/>
          <w:iCs/>
          <w:sz w:val="20"/>
          <w:szCs w:val="20"/>
        </w:rPr>
        <w:t xml:space="preserve"> davčnih zavezancih. Pri tem pojasnjujemo, da ima lahko posamezni davčni zavezanec odobrenih več plačilnih ugodnosti na podlagi različnih pravnih podlag (interventna zakonodaja, ZDavP-2, ZP</w:t>
      </w:r>
      <w:r>
        <w:rPr>
          <w:rFonts w:ascii="Arial" w:hAnsi="Arial" w:cs="Arial"/>
          <w:iCs/>
          <w:sz w:val="20"/>
          <w:szCs w:val="20"/>
        </w:rPr>
        <w:t>-1</w:t>
      </w:r>
      <w:r w:rsidRPr="00274734">
        <w:rPr>
          <w:rFonts w:ascii="Arial" w:hAnsi="Arial" w:cs="Arial"/>
          <w:iCs/>
          <w:sz w:val="20"/>
          <w:szCs w:val="20"/>
        </w:rPr>
        <w:t>).</w:t>
      </w:r>
    </w:p>
    <w:p w14:paraId="42F4DB44" w14:textId="77777777" w:rsidR="004B7622" w:rsidRPr="00274734" w:rsidRDefault="004B7622" w:rsidP="004B7622">
      <w:pPr>
        <w:jc w:val="both"/>
        <w:rPr>
          <w:rFonts w:ascii="Arial" w:hAnsi="Arial" w:cs="Arial"/>
          <w:sz w:val="20"/>
          <w:szCs w:val="20"/>
        </w:rPr>
      </w:pPr>
      <w:r w:rsidRPr="00274734">
        <w:rPr>
          <w:rFonts w:ascii="Arial" w:hAnsi="Arial" w:cs="Arial"/>
          <w:sz w:val="20"/>
          <w:szCs w:val="20"/>
        </w:rPr>
        <w:t>Znesek obrokov in odlo</w:t>
      </w:r>
      <w:r>
        <w:rPr>
          <w:rFonts w:ascii="Arial" w:hAnsi="Arial" w:cs="Arial"/>
          <w:sz w:val="20"/>
          <w:szCs w:val="20"/>
        </w:rPr>
        <w:t>gov, odobrenih pred 31. 12. 2021</w:t>
      </w:r>
      <w:r w:rsidRPr="00274734">
        <w:rPr>
          <w:rFonts w:ascii="Arial" w:hAnsi="Arial" w:cs="Arial"/>
          <w:sz w:val="20"/>
          <w:szCs w:val="20"/>
        </w:rPr>
        <w:t>,  ki z</w:t>
      </w:r>
      <w:r>
        <w:rPr>
          <w:rFonts w:ascii="Arial" w:hAnsi="Arial" w:cs="Arial"/>
          <w:sz w:val="20"/>
          <w:szCs w:val="20"/>
        </w:rPr>
        <w:t>apadejo v plačilo po 1. 1.  2022</w:t>
      </w:r>
      <w:r w:rsidRPr="00274734">
        <w:rPr>
          <w:rFonts w:ascii="Arial" w:hAnsi="Arial" w:cs="Arial"/>
          <w:sz w:val="20"/>
          <w:szCs w:val="20"/>
        </w:rPr>
        <w:t xml:space="preserve"> glede na pravno podlago za odobritev plačilne ugodnosti, po stanju na dan 31. 12. 202</w:t>
      </w:r>
      <w:r>
        <w:rPr>
          <w:rFonts w:ascii="Arial" w:hAnsi="Arial" w:cs="Arial"/>
          <w:sz w:val="20"/>
          <w:szCs w:val="20"/>
        </w:rPr>
        <w:t>1</w:t>
      </w:r>
      <w:r w:rsidRPr="00274734">
        <w:rPr>
          <w:rFonts w:ascii="Arial" w:hAnsi="Arial" w:cs="Arial"/>
          <w:sz w:val="20"/>
          <w:szCs w:val="20"/>
        </w:rPr>
        <w:t xml:space="preserve"> znaša skupaj </w:t>
      </w:r>
      <w:r>
        <w:rPr>
          <w:rFonts w:ascii="Arial" w:hAnsi="Arial" w:cs="Arial"/>
          <w:sz w:val="20"/>
          <w:szCs w:val="20"/>
        </w:rPr>
        <w:t>135.094.072</w:t>
      </w:r>
      <w:r w:rsidRPr="00274734">
        <w:rPr>
          <w:rFonts w:ascii="Arial" w:hAnsi="Arial" w:cs="Arial"/>
          <w:sz w:val="20"/>
          <w:szCs w:val="20"/>
        </w:rPr>
        <w:t xml:space="preserve"> </w:t>
      </w:r>
      <w:r>
        <w:rPr>
          <w:rFonts w:ascii="Arial" w:hAnsi="Arial" w:cs="Arial"/>
          <w:sz w:val="20"/>
          <w:szCs w:val="20"/>
        </w:rPr>
        <w:t>EUR</w:t>
      </w:r>
      <w:r w:rsidRPr="00274734">
        <w:rPr>
          <w:rFonts w:ascii="Arial" w:hAnsi="Arial" w:cs="Arial"/>
          <w:sz w:val="20"/>
          <w:szCs w:val="20"/>
        </w:rPr>
        <w:t>.</w:t>
      </w:r>
      <w:r>
        <w:rPr>
          <w:rFonts w:ascii="Arial" w:hAnsi="Arial" w:cs="Arial"/>
          <w:sz w:val="20"/>
          <w:szCs w:val="20"/>
        </w:rPr>
        <w:t xml:space="preserve">  </w:t>
      </w:r>
    </w:p>
    <w:p w14:paraId="468C9AAA" w14:textId="77777777" w:rsidR="004B7622" w:rsidRPr="00907842" w:rsidRDefault="004B7622" w:rsidP="004B7622">
      <w:pPr>
        <w:rPr>
          <w:rFonts w:ascii="Arial" w:hAnsi="Arial" w:cs="Arial"/>
          <w:i/>
          <w:iCs/>
          <w:sz w:val="20"/>
          <w:szCs w:val="20"/>
        </w:rPr>
      </w:pPr>
      <w:r w:rsidRPr="00907842">
        <w:rPr>
          <w:rFonts w:ascii="Arial" w:hAnsi="Arial" w:cs="Arial"/>
          <w:i/>
          <w:iCs/>
          <w:sz w:val="20"/>
          <w:szCs w:val="20"/>
        </w:rPr>
        <w:t>Preglednica 17: Znesek nedospelih obrokov in odlogov, odobrenih pred 31.12.202</w:t>
      </w:r>
      <w:r>
        <w:rPr>
          <w:rFonts w:ascii="Arial" w:hAnsi="Arial" w:cs="Arial"/>
          <w:i/>
          <w:iCs/>
          <w:sz w:val="20"/>
          <w:szCs w:val="20"/>
        </w:rPr>
        <w:t>1</w:t>
      </w:r>
      <w:r w:rsidRPr="00907842">
        <w:rPr>
          <w:rFonts w:ascii="Arial" w:hAnsi="Arial" w:cs="Arial"/>
          <w:i/>
          <w:iCs/>
          <w:sz w:val="20"/>
          <w:szCs w:val="20"/>
        </w:rPr>
        <w:t>, (zneski v EUR)</w:t>
      </w:r>
    </w:p>
    <w:tbl>
      <w:tblPr>
        <w:tblStyle w:val="Tabelatemnamrea5poudarek5"/>
        <w:tblW w:w="6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2787"/>
      </w:tblGrid>
      <w:tr w:rsidR="004B7622" w:rsidRPr="00225090" w14:paraId="51EA865B" w14:textId="77777777" w:rsidTr="00377989">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176" w:type="dxa"/>
            <w:tcBorders>
              <w:top w:val="single" w:sz="4" w:space="0" w:color="auto"/>
              <w:left w:val="single" w:sz="4" w:space="0" w:color="auto"/>
              <w:right w:val="single" w:sz="4" w:space="0" w:color="auto"/>
            </w:tcBorders>
            <w:shd w:val="clear" w:color="auto" w:fill="31869B"/>
            <w:noWrap/>
            <w:vAlign w:val="center"/>
            <w:hideMark/>
          </w:tcPr>
          <w:p w14:paraId="1B16593B" w14:textId="77777777" w:rsidR="004B7622" w:rsidRPr="004E6370" w:rsidRDefault="004B7622" w:rsidP="00377989">
            <w:pPr>
              <w:jc w:val="center"/>
              <w:rPr>
                <w:rFonts w:ascii="Arial" w:hAnsi="Arial" w:cs="Arial"/>
                <w:sz w:val="18"/>
                <w:szCs w:val="18"/>
                <w:lang w:eastAsia="sl-SI"/>
              </w:rPr>
            </w:pPr>
            <w:r w:rsidRPr="004E6370">
              <w:rPr>
                <w:rFonts w:ascii="Arial" w:hAnsi="Arial" w:cs="Arial"/>
                <w:sz w:val="18"/>
                <w:szCs w:val="18"/>
                <w:lang w:eastAsia="sl-SI"/>
              </w:rPr>
              <w:t>PRAVNA PODLAGA</w:t>
            </w:r>
          </w:p>
        </w:tc>
        <w:tc>
          <w:tcPr>
            <w:tcW w:w="2787" w:type="dxa"/>
            <w:tcBorders>
              <w:top w:val="single" w:sz="4" w:space="0" w:color="auto"/>
              <w:left w:val="single" w:sz="4" w:space="0" w:color="auto"/>
              <w:right w:val="single" w:sz="4" w:space="0" w:color="auto"/>
            </w:tcBorders>
            <w:shd w:val="clear" w:color="auto" w:fill="31869B"/>
            <w:noWrap/>
            <w:hideMark/>
          </w:tcPr>
          <w:p w14:paraId="4369EE5F" w14:textId="77777777" w:rsidR="004B7622" w:rsidRPr="004E6370" w:rsidRDefault="004B7622" w:rsidP="0037798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eastAsia="sl-SI"/>
              </w:rPr>
            </w:pPr>
            <w:r w:rsidRPr="004E6370">
              <w:rPr>
                <w:rFonts w:ascii="Arial" w:hAnsi="Arial" w:cs="Arial"/>
                <w:sz w:val="18"/>
                <w:szCs w:val="18"/>
                <w:lang w:eastAsia="sl-SI"/>
              </w:rPr>
              <w:t xml:space="preserve">Znesek </w:t>
            </w:r>
            <w:proofErr w:type="spellStart"/>
            <w:r w:rsidRPr="004E6370">
              <w:rPr>
                <w:rFonts w:ascii="Arial" w:hAnsi="Arial" w:cs="Arial"/>
                <w:sz w:val="18"/>
                <w:szCs w:val="18"/>
                <w:lang w:eastAsia="sl-SI"/>
              </w:rPr>
              <w:t>nezapadlih</w:t>
            </w:r>
            <w:proofErr w:type="spellEnd"/>
            <w:r w:rsidRPr="004E6370">
              <w:rPr>
                <w:rFonts w:ascii="Arial" w:hAnsi="Arial" w:cs="Arial"/>
                <w:sz w:val="18"/>
                <w:szCs w:val="18"/>
                <w:lang w:eastAsia="sl-SI"/>
              </w:rPr>
              <w:t xml:space="preserve"> obro</w:t>
            </w:r>
            <w:r>
              <w:rPr>
                <w:rFonts w:ascii="Arial" w:hAnsi="Arial" w:cs="Arial"/>
                <w:sz w:val="18"/>
                <w:szCs w:val="18"/>
                <w:lang w:eastAsia="sl-SI"/>
              </w:rPr>
              <w:t>kov in odlogov na dan 31.12.2021</w:t>
            </w:r>
          </w:p>
        </w:tc>
      </w:tr>
      <w:tr w:rsidR="004B7622" w:rsidRPr="00225090" w14:paraId="0BBD3924" w14:textId="77777777" w:rsidTr="0037798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176" w:type="dxa"/>
            <w:tcBorders>
              <w:left w:val="single" w:sz="4" w:space="0" w:color="auto"/>
            </w:tcBorders>
            <w:shd w:val="clear" w:color="auto" w:fill="31869B"/>
            <w:noWrap/>
            <w:vAlign w:val="center"/>
            <w:hideMark/>
          </w:tcPr>
          <w:p w14:paraId="2D3134B7" w14:textId="77777777" w:rsidR="004B7622" w:rsidRPr="004E6370" w:rsidRDefault="004B7622" w:rsidP="00377989">
            <w:pPr>
              <w:rPr>
                <w:rFonts w:ascii="Arial" w:hAnsi="Arial" w:cs="Arial"/>
                <w:sz w:val="18"/>
                <w:szCs w:val="18"/>
                <w:lang w:eastAsia="sl-SI"/>
              </w:rPr>
            </w:pPr>
            <w:r w:rsidRPr="004E6370">
              <w:rPr>
                <w:rFonts w:ascii="Arial" w:hAnsi="Arial" w:cs="Arial"/>
                <w:sz w:val="18"/>
                <w:szCs w:val="18"/>
                <w:lang w:eastAsia="sl-SI"/>
              </w:rPr>
              <w:t>7. čl. ZIUJP in 67. čl. ZIUJPDVE (interventni ukrepi)</w:t>
            </w:r>
          </w:p>
        </w:tc>
        <w:tc>
          <w:tcPr>
            <w:tcW w:w="2787" w:type="dxa"/>
            <w:shd w:val="clear" w:color="auto" w:fill="auto"/>
            <w:noWrap/>
            <w:vAlign w:val="center"/>
            <w:hideMark/>
          </w:tcPr>
          <w:p w14:paraId="53C01A49" w14:textId="77777777" w:rsidR="004B7622" w:rsidRPr="004E6370" w:rsidRDefault="004B7622" w:rsidP="00377989">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sl-SI"/>
              </w:rPr>
            </w:pPr>
            <w:r>
              <w:rPr>
                <w:rFonts w:ascii="Arial" w:hAnsi="Arial" w:cs="Arial"/>
                <w:sz w:val="18"/>
                <w:szCs w:val="18"/>
              </w:rPr>
              <w:t>124.693.125</w:t>
            </w:r>
          </w:p>
        </w:tc>
      </w:tr>
      <w:tr w:rsidR="004B7622" w:rsidRPr="00225090" w14:paraId="6A09D0D3" w14:textId="77777777" w:rsidTr="00377989">
        <w:trPr>
          <w:trHeight w:val="289"/>
        </w:trPr>
        <w:tc>
          <w:tcPr>
            <w:cnfStyle w:val="001000000000" w:firstRow="0" w:lastRow="0" w:firstColumn="1" w:lastColumn="0" w:oddVBand="0" w:evenVBand="0" w:oddHBand="0" w:evenHBand="0" w:firstRowFirstColumn="0" w:firstRowLastColumn="0" w:lastRowFirstColumn="0" w:lastRowLastColumn="0"/>
            <w:tcW w:w="4176" w:type="dxa"/>
            <w:tcBorders>
              <w:left w:val="single" w:sz="4" w:space="0" w:color="auto"/>
            </w:tcBorders>
            <w:shd w:val="clear" w:color="auto" w:fill="31869B"/>
            <w:noWrap/>
            <w:vAlign w:val="center"/>
            <w:hideMark/>
          </w:tcPr>
          <w:p w14:paraId="7545CCA7" w14:textId="77777777" w:rsidR="004B7622" w:rsidRPr="004E6370" w:rsidRDefault="004B7622" w:rsidP="00377989">
            <w:pPr>
              <w:rPr>
                <w:rFonts w:ascii="Arial" w:hAnsi="Arial" w:cs="Arial"/>
                <w:sz w:val="18"/>
                <w:szCs w:val="18"/>
                <w:lang w:eastAsia="sl-SI"/>
              </w:rPr>
            </w:pPr>
            <w:r w:rsidRPr="004E6370">
              <w:rPr>
                <w:rFonts w:ascii="Arial" w:hAnsi="Arial" w:cs="Arial"/>
                <w:sz w:val="18"/>
                <w:szCs w:val="18"/>
                <w:lang w:eastAsia="sl-SI"/>
              </w:rPr>
              <w:t>12. in 12. a čl. ZIUPPP (interventni ukrepi)</w:t>
            </w:r>
          </w:p>
        </w:tc>
        <w:tc>
          <w:tcPr>
            <w:tcW w:w="2787" w:type="dxa"/>
            <w:shd w:val="clear" w:color="auto" w:fill="auto"/>
            <w:noWrap/>
            <w:vAlign w:val="center"/>
            <w:hideMark/>
          </w:tcPr>
          <w:p w14:paraId="11C913D0" w14:textId="77777777" w:rsidR="004B7622" w:rsidRPr="004E6370" w:rsidRDefault="004B7622" w:rsidP="0037798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sl-SI"/>
              </w:rPr>
            </w:pPr>
            <w:r>
              <w:rPr>
                <w:rFonts w:ascii="Arial" w:hAnsi="Arial" w:cs="Arial"/>
                <w:sz w:val="18"/>
                <w:szCs w:val="18"/>
              </w:rPr>
              <w:t>10.400.948</w:t>
            </w:r>
          </w:p>
        </w:tc>
      </w:tr>
      <w:tr w:rsidR="004B7622" w:rsidRPr="00225090" w14:paraId="184106FF" w14:textId="77777777" w:rsidTr="00377989">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4176" w:type="dxa"/>
            <w:tcBorders>
              <w:left w:val="single" w:sz="4" w:space="0" w:color="auto"/>
              <w:bottom w:val="single" w:sz="4" w:space="0" w:color="auto"/>
            </w:tcBorders>
            <w:shd w:val="clear" w:color="auto" w:fill="31869B"/>
            <w:noWrap/>
            <w:vAlign w:val="center"/>
            <w:hideMark/>
          </w:tcPr>
          <w:p w14:paraId="159D2CAF" w14:textId="77777777" w:rsidR="004B7622" w:rsidRPr="004E6370" w:rsidRDefault="004B7622" w:rsidP="00377989">
            <w:pPr>
              <w:rPr>
                <w:rFonts w:ascii="Arial" w:hAnsi="Arial" w:cs="Arial"/>
                <w:sz w:val="18"/>
                <w:szCs w:val="18"/>
                <w:lang w:eastAsia="sl-SI"/>
              </w:rPr>
            </w:pPr>
            <w:r w:rsidRPr="004E6370">
              <w:rPr>
                <w:rFonts w:ascii="Arial" w:hAnsi="Arial" w:cs="Arial"/>
                <w:sz w:val="18"/>
                <w:szCs w:val="18"/>
                <w:lang w:eastAsia="sl-SI"/>
              </w:rPr>
              <w:t>SKUPAJ</w:t>
            </w:r>
          </w:p>
        </w:tc>
        <w:tc>
          <w:tcPr>
            <w:tcW w:w="2787" w:type="dxa"/>
            <w:tcBorders>
              <w:bottom w:val="single" w:sz="4" w:space="0" w:color="auto"/>
            </w:tcBorders>
            <w:shd w:val="clear" w:color="auto" w:fill="auto"/>
            <w:noWrap/>
            <w:vAlign w:val="center"/>
            <w:hideMark/>
          </w:tcPr>
          <w:p w14:paraId="49C7FCFB" w14:textId="77777777" w:rsidR="004B7622" w:rsidRPr="004E6370" w:rsidRDefault="004B7622" w:rsidP="00377989">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eastAsia="sl-SI"/>
              </w:rPr>
            </w:pPr>
            <w:r>
              <w:rPr>
                <w:rFonts w:ascii="Arial" w:hAnsi="Arial" w:cs="Arial"/>
                <w:b/>
                <w:sz w:val="18"/>
                <w:szCs w:val="18"/>
              </w:rPr>
              <w:t>135.094.072</w:t>
            </w:r>
          </w:p>
        </w:tc>
      </w:tr>
    </w:tbl>
    <w:p w14:paraId="11B62800" w14:textId="77777777" w:rsidR="004B7622" w:rsidRDefault="004B7622" w:rsidP="004B7622">
      <w:pPr>
        <w:ind w:hanging="110"/>
        <w:rPr>
          <w:rFonts w:ascii="Arial" w:hAnsi="Arial" w:cs="Arial"/>
          <w:i/>
          <w:color w:val="000000"/>
          <w:sz w:val="20"/>
          <w:szCs w:val="20"/>
        </w:rPr>
      </w:pPr>
      <w:r w:rsidRPr="00601714">
        <w:rPr>
          <w:rFonts w:ascii="Arial" w:hAnsi="Arial" w:cs="Arial"/>
          <w:i/>
          <w:color w:val="000000"/>
          <w:sz w:val="20"/>
          <w:szCs w:val="20"/>
        </w:rPr>
        <w:t>Vir: FURS</w:t>
      </w:r>
    </w:p>
    <w:p w14:paraId="142946CB" w14:textId="77777777" w:rsidR="004B7622" w:rsidRDefault="004B7622" w:rsidP="004B7622">
      <w:pPr>
        <w:pStyle w:val="FURSNavaden"/>
        <w:rPr>
          <w:rFonts w:cs="Arial"/>
          <w:szCs w:val="20"/>
          <w:lang w:eastAsia="en-US"/>
        </w:rPr>
      </w:pPr>
    </w:p>
    <w:bookmarkEnd w:id="3"/>
    <w:p w14:paraId="0E8D9578" w14:textId="77777777" w:rsidR="004B7622" w:rsidRPr="00D35294" w:rsidRDefault="004B7622" w:rsidP="004B7622">
      <w:pPr>
        <w:pStyle w:val="Brezrazmikov"/>
        <w:rPr>
          <w:rFonts w:ascii="Arial" w:hAnsi="Arial" w:cs="Arial"/>
          <w:b/>
          <w:color w:val="538135" w:themeColor="accent6" w:themeShade="BF"/>
          <w:lang w:eastAsia="sl-SI"/>
        </w:rPr>
      </w:pPr>
      <w:r w:rsidRPr="00541942">
        <w:rPr>
          <w:rFonts w:ascii="Arial" w:hAnsi="Arial" w:cs="Arial"/>
          <w:b/>
          <w:lang w:eastAsia="sl-SI"/>
        </w:rPr>
        <w:t>6. Rezultati ukrepov izterjave</w:t>
      </w:r>
      <w:r w:rsidRPr="00E2109B">
        <w:rPr>
          <w:rFonts w:ascii="Arial" w:hAnsi="Arial" w:cs="Arial"/>
          <w:b/>
          <w:lang w:eastAsia="sl-SI"/>
        </w:rPr>
        <w:t xml:space="preserve"> </w:t>
      </w:r>
      <w:r>
        <w:rPr>
          <w:rFonts w:ascii="Arial" w:hAnsi="Arial" w:cs="Arial"/>
          <w:b/>
          <w:lang w:eastAsia="sl-SI"/>
        </w:rPr>
        <w:t xml:space="preserve"> </w:t>
      </w:r>
    </w:p>
    <w:p w14:paraId="68ABC727" w14:textId="77777777" w:rsidR="004B7622" w:rsidRPr="00E26F75" w:rsidRDefault="004B7622" w:rsidP="004B7622">
      <w:pPr>
        <w:pStyle w:val="Brezrazmikov"/>
        <w:rPr>
          <w:lang w:eastAsia="sl-SI"/>
        </w:rPr>
      </w:pPr>
    </w:p>
    <w:p w14:paraId="2104039A" w14:textId="77777777" w:rsidR="004B7622" w:rsidRPr="00E008FC" w:rsidRDefault="004B7622" w:rsidP="004B7622">
      <w:pPr>
        <w:spacing w:line="260" w:lineRule="exact"/>
        <w:jc w:val="both"/>
        <w:rPr>
          <w:rFonts w:ascii="Arial" w:hAnsi="Arial" w:cs="Arial"/>
          <w:bCs/>
          <w:sz w:val="20"/>
          <w:szCs w:val="20"/>
        </w:rPr>
      </w:pPr>
      <w:r w:rsidRPr="00E008FC">
        <w:rPr>
          <w:rFonts w:ascii="Arial" w:hAnsi="Arial" w:cs="Arial"/>
          <w:bCs/>
          <w:sz w:val="20"/>
          <w:szCs w:val="20"/>
        </w:rPr>
        <w:t xml:space="preserve">FURS je v prvi vrsti pristojen za izterjavo davkov, prispevkov in drugih obveznih dajatev, ki jih sam odmerja, izterjuje pa tudi nedavčne obveznosti drugih predlagateljev, če za to obstaja pravna podlaga v zakonu. </w:t>
      </w:r>
    </w:p>
    <w:p w14:paraId="320AFC05" w14:textId="77777777" w:rsidR="004B7622" w:rsidRPr="00E008FC" w:rsidRDefault="004B7622" w:rsidP="004B7622">
      <w:pPr>
        <w:jc w:val="both"/>
        <w:rPr>
          <w:rFonts w:ascii="Arial" w:eastAsia="Times New Roman" w:hAnsi="Arial" w:cs="Arial"/>
          <w:sz w:val="20"/>
          <w:szCs w:val="20"/>
        </w:rPr>
      </w:pPr>
      <w:r w:rsidRPr="00E008FC">
        <w:rPr>
          <w:rFonts w:ascii="Arial" w:eastAsia="Times New Roman" w:hAnsi="Arial" w:cs="Arial"/>
          <w:sz w:val="20"/>
          <w:szCs w:val="20"/>
        </w:rPr>
        <w:t xml:space="preserve">Kljub temu, da zakonodaja ne predpisuje obveznega opominjanja, FURS uporabnikom mobilne aplikacije </w:t>
      </w:r>
      <w:proofErr w:type="spellStart"/>
      <w:r w:rsidRPr="00E008FC">
        <w:rPr>
          <w:rFonts w:ascii="Arial" w:eastAsia="Times New Roman" w:hAnsi="Arial" w:cs="Arial"/>
          <w:sz w:val="20"/>
          <w:szCs w:val="20"/>
        </w:rPr>
        <w:t>eDavki</w:t>
      </w:r>
      <w:proofErr w:type="spellEnd"/>
      <w:r w:rsidRPr="00E008FC">
        <w:rPr>
          <w:rFonts w:ascii="Arial" w:eastAsia="Times New Roman" w:hAnsi="Arial" w:cs="Arial"/>
          <w:sz w:val="20"/>
          <w:szCs w:val="20"/>
        </w:rPr>
        <w:t xml:space="preserve"> pred zapadlostjo njihovih obveznosti omogoča obveščanje o izteku roka za plačilo davka, če so na to storitev naročeni. </w:t>
      </w:r>
    </w:p>
    <w:p w14:paraId="6A7313D2" w14:textId="77777777" w:rsidR="004B7622" w:rsidRPr="00E008FC" w:rsidRDefault="004B7622" w:rsidP="004B7622">
      <w:pPr>
        <w:jc w:val="both"/>
        <w:rPr>
          <w:rFonts w:ascii="Arial" w:eastAsia="Times New Roman" w:hAnsi="Arial" w:cs="Arial"/>
          <w:sz w:val="20"/>
          <w:szCs w:val="20"/>
        </w:rPr>
      </w:pPr>
      <w:r w:rsidRPr="00E008FC">
        <w:rPr>
          <w:rFonts w:ascii="Arial" w:eastAsia="Times New Roman" w:hAnsi="Arial" w:cs="Arial"/>
          <w:sz w:val="20"/>
          <w:szCs w:val="20"/>
        </w:rPr>
        <w:t xml:space="preserve">Po zapadlosti terjatev in pred začetkom davčne izvršbe, FURS pozove dolžnike k prostovoljni poravnavi zapadle obveznost z opominom, ki poleg poziva k plačilu, opozori tudi na posledice neplačila dolga in stroške, ki bi ga bremenili v primeru začetka izvršbe. </w:t>
      </w:r>
    </w:p>
    <w:p w14:paraId="5BCC4E7B" w14:textId="77777777" w:rsidR="004B7622" w:rsidRPr="003E2A34" w:rsidRDefault="004B7622" w:rsidP="004B7622">
      <w:pPr>
        <w:spacing w:line="260" w:lineRule="exact"/>
        <w:jc w:val="both"/>
        <w:rPr>
          <w:rFonts w:ascii="Arial" w:hAnsi="Arial" w:cs="Arial"/>
          <w:bCs/>
          <w:sz w:val="20"/>
          <w:szCs w:val="20"/>
        </w:rPr>
      </w:pPr>
      <w:r w:rsidRPr="00E008FC">
        <w:rPr>
          <w:rFonts w:ascii="Arial" w:hAnsi="Arial" w:cs="Arial"/>
          <w:bCs/>
          <w:sz w:val="20"/>
          <w:szCs w:val="20"/>
        </w:rPr>
        <w:t>FURS poziva dolžnike k plačilu tudi z izdajo pozivov za plačilo in predložitev seznama premoženja. V skladu z načelom ekonomičnosti in sorazmernosti izvršilnih sredstev, postopkov davčne izvršbe ni</w:t>
      </w:r>
      <w:r w:rsidRPr="0090615A">
        <w:rPr>
          <w:rFonts w:ascii="Arial" w:hAnsi="Arial" w:cs="Arial"/>
          <w:bCs/>
          <w:sz w:val="20"/>
          <w:szCs w:val="20"/>
        </w:rPr>
        <w:t xml:space="preserve"> mogoče oziroma smiselno začeti v primeru dolžnikov z nizkimi dolgovanimi obveznostmi, ki ne dosegajo niti stroškov vodenja postopka ali za nove obveznosti dolžnikov, ki po podatkih uradnih evidenc in/ali ob upoštevanju ugotovitev v predhodnih že izvedenih postopkih v Sloveniji nimajo </w:t>
      </w:r>
      <w:proofErr w:type="spellStart"/>
      <w:r w:rsidRPr="0090615A">
        <w:rPr>
          <w:rFonts w:ascii="Arial" w:hAnsi="Arial" w:cs="Arial"/>
          <w:bCs/>
          <w:sz w:val="20"/>
          <w:szCs w:val="20"/>
        </w:rPr>
        <w:t>rubljivega</w:t>
      </w:r>
      <w:proofErr w:type="spellEnd"/>
      <w:r w:rsidRPr="0090615A">
        <w:rPr>
          <w:rFonts w:ascii="Arial" w:hAnsi="Arial" w:cs="Arial"/>
          <w:bCs/>
          <w:sz w:val="20"/>
          <w:szCs w:val="20"/>
        </w:rPr>
        <w:t xml:space="preserve"> premoženja in/ali bivališča oziroma so na uradno registriranem naslovu neznani ali na prestajanju zaporne kazni. Navedenim dolžnikom se izda poziv, ki predstavlja uradno dejanje davčnega organa z namenom davčne izvršbe.</w:t>
      </w:r>
    </w:p>
    <w:p w14:paraId="47EBB3CD" w14:textId="77777777" w:rsidR="004B7622" w:rsidRPr="00C92301" w:rsidRDefault="004B7622" w:rsidP="004B76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r w:rsidRPr="00C92301">
        <w:rPr>
          <w:rFonts w:ascii="Arial" w:hAnsi="Arial" w:cs="Arial"/>
          <w:bCs/>
          <w:sz w:val="20"/>
          <w:szCs w:val="20"/>
        </w:rPr>
        <w:t>Kljub ukrepom za vzpodbujanje prostovoljnega plačevanja davkov (</w:t>
      </w:r>
      <w:r w:rsidRPr="00C92301">
        <w:rPr>
          <w:rFonts w:ascii="Arial" w:hAnsi="Arial" w:cs="Arial"/>
          <w:sz w:val="20"/>
          <w:szCs w:val="20"/>
        </w:rPr>
        <w:t xml:space="preserve">npr. ozaveščanje posameznih ciljnih skupin, medijske objave, pošiljanje opominov itd.) </w:t>
      </w:r>
      <w:r w:rsidRPr="00C92301">
        <w:rPr>
          <w:rFonts w:ascii="Arial" w:hAnsi="Arial" w:cs="Arial"/>
          <w:bCs/>
          <w:sz w:val="20"/>
          <w:szCs w:val="20"/>
        </w:rPr>
        <w:t>del davčnih obveznosti ostane neplačan, zato mora FURS dosledno, učinkovito in nepristransko uporabljati vsa zakonita sredstva prisile za izterjavo dolga</w:t>
      </w:r>
      <w:r>
        <w:rPr>
          <w:rFonts w:ascii="Arial" w:hAnsi="Arial" w:cs="Arial"/>
          <w:bCs/>
          <w:sz w:val="20"/>
          <w:szCs w:val="20"/>
        </w:rPr>
        <w:t>.</w:t>
      </w:r>
    </w:p>
    <w:p w14:paraId="385DA7A0" w14:textId="77777777" w:rsidR="004B7622" w:rsidRDefault="004B7622" w:rsidP="004B7622">
      <w:pPr>
        <w:spacing w:line="260" w:lineRule="exact"/>
        <w:jc w:val="both"/>
        <w:rPr>
          <w:rFonts w:ascii="Arial" w:hAnsi="Arial" w:cs="Arial"/>
          <w:bCs/>
          <w:sz w:val="20"/>
          <w:szCs w:val="20"/>
        </w:rPr>
      </w:pPr>
      <w:r w:rsidRPr="00DC377A">
        <w:rPr>
          <w:rFonts w:ascii="Arial" w:hAnsi="Arial" w:cs="Arial"/>
          <w:bCs/>
          <w:sz w:val="20"/>
          <w:szCs w:val="20"/>
        </w:rPr>
        <w:lastRenderedPageBreak/>
        <w:t>Postopek davčne izvršbe se začne z izdajo sklepa o davčni izvršbi. Z izvršbo po upravni poti se lahko poseže na dolžnikove denarne prejemke, denarna sredstva, ki jih ima dolžnik pri bankah ali hranilnicah, denarne terjatve do tretjih, vrednostne papirje in premičnine.</w:t>
      </w:r>
      <w:r>
        <w:rPr>
          <w:rFonts w:ascii="Arial" w:hAnsi="Arial" w:cs="Arial"/>
          <w:bCs/>
          <w:sz w:val="20"/>
          <w:szCs w:val="20"/>
        </w:rPr>
        <w:t xml:space="preserve"> </w:t>
      </w:r>
      <w:r w:rsidRPr="00C92301">
        <w:rPr>
          <w:rFonts w:ascii="Arial" w:hAnsi="Arial" w:cs="Arial"/>
          <w:bCs/>
          <w:sz w:val="20"/>
          <w:szCs w:val="20"/>
        </w:rPr>
        <w:t>Posebne oblike izvršbe so izvršba iz nepremičnega premoženja in deleža družbenika v družbi. Ukrepi davčne izvršbe so načrtovani glede na sredstva</w:t>
      </w:r>
      <w:r>
        <w:rPr>
          <w:rFonts w:ascii="Arial" w:hAnsi="Arial" w:cs="Arial"/>
          <w:bCs/>
          <w:sz w:val="20"/>
          <w:szCs w:val="20"/>
        </w:rPr>
        <w:t xml:space="preserve"> </w:t>
      </w:r>
      <w:r w:rsidRPr="00C92301">
        <w:rPr>
          <w:rFonts w:ascii="Arial" w:hAnsi="Arial" w:cs="Arial"/>
          <w:bCs/>
          <w:sz w:val="20"/>
          <w:szCs w:val="20"/>
        </w:rPr>
        <w:t>dolžnik</w:t>
      </w:r>
      <w:r>
        <w:rPr>
          <w:rFonts w:ascii="Arial" w:hAnsi="Arial" w:cs="Arial"/>
          <w:bCs/>
          <w:sz w:val="20"/>
          <w:szCs w:val="20"/>
        </w:rPr>
        <w:t>a</w:t>
      </w:r>
      <w:r w:rsidRPr="00C92301">
        <w:rPr>
          <w:rFonts w:ascii="Arial" w:hAnsi="Arial" w:cs="Arial"/>
          <w:bCs/>
          <w:sz w:val="20"/>
          <w:szCs w:val="20"/>
        </w:rPr>
        <w:t xml:space="preserve"> s ciljem čim lažjega poplačila dolga in glede na višino stroškov, ki nastanejo v postopku izvršbe za davčni organ in zavezanca. </w:t>
      </w:r>
    </w:p>
    <w:p w14:paraId="7BF46B08" w14:textId="77777777" w:rsidR="004B7622" w:rsidRDefault="004B7622" w:rsidP="004B76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r w:rsidRPr="00C92301">
        <w:rPr>
          <w:rFonts w:ascii="Arial" w:hAnsi="Arial" w:cs="Arial"/>
          <w:bCs/>
          <w:sz w:val="20"/>
          <w:szCs w:val="20"/>
        </w:rPr>
        <w:t xml:space="preserve">Skrajni ukrep za poplačilo oziroma obvladovanje dolga je predlog davčnega organa za uvedbo stečajnega postopka zoper dolžnika in izbris dolžnika iz Poslovnega registra Slovenije. </w:t>
      </w:r>
    </w:p>
    <w:p w14:paraId="6ABAFDCD" w14:textId="77777777" w:rsidR="004B7622" w:rsidRDefault="004B7622" w:rsidP="004B76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r w:rsidRPr="00BC13F8">
        <w:rPr>
          <w:rFonts w:ascii="Arial" w:hAnsi="Arial" w:cs="Arial"/>
          <w:bCs/>
          <w:sz w:val="20"/>
          <w:szCs w:val="20"/>
        </w:rPr>
        <w:t xml:space="preserve">V primeru, ko je zoper dolžnika v teku kateri izmed postopkov zaradi insolventnosti, je pri uveljavljanju terjatev potrebno upoštevati pravila </w:t>
      </w:r>
      <w:proofErr w:type="spellStart"/>
      <w:r w:rsidRPr="00BC13F8">
        <w:rPr>
          <w:rFonts w:ascii="Arial" w:hAnsi="Arial" w:cs="Arial"/>
          <w:bCs/>
          <w:sz w:val="20"/>
          <w:szCs w:val="20"/>
        </w:rPr>
        <w:t>insolvenčne</w:t>
      </w:r>
      <w:proofErr w:type="spellEnd"/>
      <w:r w:rsidRPr="00BC13F8">
        <w:rPr>
          <w:rFonts w:ascii="Arial" w:hAnsi="Arial" w:cs="Arial"/>
          <w:bCs/>
          <w:sz w:val="20"/>
          <w:szCs w:val="20"/>
        </w:rPr>
        <w:t xml:space="preserve"> zakonodaje. V času trajanja </w:t>
      </w:r>
      <w:proofErr w:type="spellStart"/>
      <w:r w:rsidRPr="00BC13F8">
        <w:rPr>
          <w:rFonts w:ascii="Arial" w:hAnsi="Arial" w:cs="Arial"/>
          <w:bCs/>
          <w:sz w:val="20"/>
          <w:szCs w:val="20"/>
        </w:rPr>
        <w:t>insolvenčnega</w:t>
      </w:r>
      <w:proofErr w:type="spellEnd"/>
      <w:r w:rsidRPr="00BC13F8">
        <w:rPr>
          <w:rFonts w:ascii="Arial" w:hAnsi="Arial" w:cs="Arial"/>
          <w:bCs/>
          <w:sz w:val="20"/>
          <w:szCs w:val="20"/>
        </w:rPr>
        <w:t xml:space="preserve"> postopka za dolg, na katerega učinkuje ta postopek, ni dovoljeno voditi postopka izvršbe niti zavarovanja. Terjatve zoper insolventnega dolžnika se lahko poplačajo le v skladu z </w:t>
      </w:r>
      <w:proofErr w:type="spellStart"/>
      <w:r w:rsidRPr="00BC13F8">
        <w:rPr>
          <w:rFonts w:ascii="Arial" w:hAnsi="Arial" w:cs="Arial"/>
          <w:bCs/>
          <w:sz w:val="20"/>
          <w:szCs w:val="20"/>
        </w:rPr>
        <w:t>insolvenčno</w:t>
      </w:r>
      <w:proofErr w:type="spellEnd"/>
      <w:r w:rsidRPr="00BC13F8">
        <w:rPr>
          <w:rFonts w:ascii="Arial" w:hAnsi="Arial" w:cs="Arial"/>
          <w:bCs/>
          <w:sz w:val="20"/>
          <w:szCs w:val="20"/>
        </w:rPr>
        <w:t xml:space="preserve"> zakonodajo, ki položaj davčnega organa izenačuje z drugimi (civilnimi) </w:t>
      </w:r>
      <w:r w:rsidRPr="003616C0">
        <w:rPr>
          <w:rFonts w:ascii="Arial" w:hAnsi="Arial" w:cs="Arial"/>
          <w:bCs/>
          <w:sz w:val="20"/>
          <w:szCs w:val="20"/>
        </w:rPr>
        <w:t>upniki. Po stanju na dan 31. 12. 202</w:t>
      </w:r>
      <w:r>
        <w:rPr>
          <w:rFonts w:ascii="Arial" w:hAnsi="Arial" w:cs="Arial"/>
          <w:bCs/>
          <w:sz w:val="20"/>
          <w:szCs w:val="20"/>
        </w:rPr>
        <w:t>1</w:t>
      </w:r>
      <w:r w:rsidRPr="003616C0">
        <w:rPr>
          <w:rFonts w:ascii="Arial" w:hAnsi="Arial" w:cs="Arial"/>
          <w:bCs/>
          <w:sz w:val="20"/>
          <w:szCs w:val="20"/>
        </w:rPr>
        <w:t xml:space="preserve"> je bilo pogojno izterljivega dolga, prijavljenega v </w:t>
      </w:r>
      <w:proofErr w:type="spellStart"/>
      <w:r w:rsidRPr="003616C0">
        <w:rPr>
          <w:rFonts w:ascii="Arial" w:hAnsi="Arial" w:cs="Arial"/>
          <w:bCs/>
          <w:sz w:val="20"/>
          <w:szCs w:val="20"/>
        </w:rPr>
        <w:t>insolvenčne</w:t>
      </w:r>
      <w:proofErr w:type="spellEnd"/>
      <w:r w:rsidRPr="003616C0">
        <w:rPr>
          <w:rFonts w:ascii="Arial" w:hAnsi="Arial" w:cs="Arial"/>
          <w:bCs/>
          <w:sz w:val="20"/>
          <w:szCs w:val="20"/>
        </w:rPr>
        <w:t xml:space="preserve"> postopke, ki ga davčni organ ne sme terjati v izvršbi, </w:t>
      </w:r>
      <w:r w:rsidRPr="0090615A">
        <w:rPr>
          <w:rFonts w:ascii="Arial" w:hAnsi="Arial" w:cs="Arial"/>
          <w:bCs/>
          <w:sz w:val="20"/>
          <w:szCs w:val="20"/>
        </w:rPr>
        <w:t>318</w:t>
      </w:r>
      <w:r w:rsidRPr="003616C0">
        <w:rPr>
          <w:rFonts w:ascii="Arial" w:hAnsi="Arial" w:cs="Arial"/>
          <w:bCs/>
          <w:sz w:val="20"/>
          <w:szCs w:val="20"/>
        </w:rPr>
        <w:t xml:space="preserve"> milijonov EUR, kar predstavlja skoraj 35,</w:t>
      </w:r>
      <w:r>
        <w:rPr>
          <w:rFonts w:ascii="Arial" w:hAnsi="Arial" w:cs="Arial"/>
          <w:bCs/>
          <w:sz w:val="20"/>
          <w:szCs w:val="20"/>
        </w:rPr>
        <w:t>7</w:t>
      </w:r>
      <w:r w:rsidRPr="003616C0">
        <w:rPr>
          <w:rFonts w:ascii="Arial" w:hAnsi="Arial" w:cs="Arial"/>
          <w:bCs/>
          <w:sz w:val="20"/>
          <w:szCs w:val="20"/>
        </w:rPr>
        <w:t xml:space="preserve"> odstotka davčnega dolga.    </w:t>
      </w:r>
    </w:p>
    <w:p w14:paraId="22A790E5" w14:textId="77777777" w:rsidR="004B7622" w:rsidRPr="003616C0" w:rsidRDefault="004B7622" w:rsidP="004B76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r w:rsidRPr="0090615A">
        <w:rPr>
          <w:rFonts w:ascii="Arial" w:hAnsi="Arial" w:cs="Arial"/>
          <w:bCs/>
          <w:sz w:val="20"/>
          <w:szCs w:val="20"/>
        </w:rPr>
        <w:t xml:space="preserve">V letu 2021 na podlagi izvedenih ukrepov izterjanega 452.703.923 </w:t>
      </w:r>
      <w:r>
        <w:rPr>
          <w:rFonts w:ascii="Arial" w:hAnsi="Arial" w:cs="Arial"/>
          <w:bCs/>
          <w:sz w:val="20"/>
          <w:szCs w:val="20"/>
        </w:rPr>
        <w:t>EUR</w:t>
      </w:r>
      <w:r w:rsidRPr="0090615A">
        <w:rPr>
          <w:rFonts w:ascii="Arial" w:hAnsi="Arial" w:cs="Arial"/>
          <w:bCs/>
          <w:sz w:val="20"/>
          <w:szCs w:val="20"/>
        </w:rPr>
        <w:t xml:space="preserve"> dolga (od tega 414.346.594 </w:t>
      </w:r>
      <w:r>
        <w:rPr>
          <w:rFonts w:ascii="Arial" w:hAnsi="Arial" w:cs="Arial"/>
          <w:bCs/>
          <w:sz w:val="20"/>
          <w:szCs w:val="20"/>
        </w:rPr>
        <w:t>EUR</w:t>
      </w:r>
      <w:r w:rsidRPr="0090615A">
        <w:rPr>
          <w:rFonts w:ascii="Arial" w:hAnsi="Arial" w:cs="Arial"/>
          <w:bCs/>
          <w:sz w:val="20"/>
          <w:szCs w:val="20"/>
        </w:rPr>
        <w:t xml:space="preserve"> iz naslova obveznih dajatev in 38.357.329 </w:t>
      </w:r>
      <w:r>
        <w:rPr>
          <w:rFonts w:ascii="Arial" w:hAnsi="Arial" w:cs="Arial"/>
          <w:bCs/>
          <w:sz w:val="20"/>
          <w:szCs w:val="20"/>
        </w:rPr>
        <w:t>EUR</w:t>
      </w:r>
      <w:r w:rsidRPr="0090615A">
        <w:rPr>
          <w:rFonts w:ascii="Arial" w:hAnsi="Arial" w:cs="Arial"/>
          <w:bCs/>
          <w:sz w:val="20"/>
          <w:szCs w:val="20"/>
        </w:rPr>
        <w:t xml:space="preserve"> iz naslova nedavčnih obveznosti). Največji delež predstavljajo plačila po opominih in pozivih, in sicer 71,5 odstotka vseh plačil. Plačila prejeta na podlagi sklepov o davčni izvršbi imajo 28,5 odstotni delež.</w:t>
      </w:r>
      <w:r w:rsidRPr="003616C0">
        <w:rPr>
          <w:rFonts w:ascii="Arial" w:hAnsi="Arial" w:cs="Arial"/>
          <w:bCs/>
          <w:sz w:val="20"/>
          <w:szCs w:val="20"/>
        </w:rPr>
        <w:t xml:space="preserve"> </w:t>
      </w:r>
    </w:p>
    <w:p w14:paraId="116E587E" w14:textId="4C66AB79" w:rsidR="004B7622" w:rsidRDefault="004B7622" w:rsidP="004B7622">
      <w:pPr>
        <w:jc w:val="both"/>
        <w:rPr>
          <w:rFonts w:ascii="Arial" w:hAnsi="Arial" w:cs="Arial"/>
          <w:i/>
          <w:sz w:val="20"/>
          <w:szCs w:val="20"/>
        </w:rPr>
      </w:pPr>
      <w:r w:rsidRPr="003872A4">
        <w:rPr>
          <w:rFonts w:ascii="Arial" w:hAnsi="Arial" w:cs="Arial"/>
          <w:bCs/>
          <w:i/>
          <w:sz w:val="20"/>
          <w:szCs w:val="20"/>
        </w:rPr>
        <w:t>Preglednica</w:t>
      </w:r>
      <w:r w:rsidRPr="003872A4">
        <w:rPr>
          <w:rFonts w:ascii="Arial" w:hAnsi="Arial" w:cs="Arial"/>
          <w:i/>
          <w:sz w:val="20"/>
          <w:szCs w:val="20"/>
        </w:rPr>
        <w:t xml:space="preserve"> 13: Ukrepi izterjave davkov in drugih obveznih dajatev ter nedavčnih obveznosti  </w:t>
      </w:r>
    </w:p>
    <w:tbl>
      <w:tblPr>
        <w:tblW w:w="9035" w:type="dxa"/>
        <w:tblCellMar>
          <w:left w:w="70" w:type="dxa"/>
          <w:right w:w="70" w:type="dxa"/>
        </w:tblCellMar>
        <w:tblLook w:val="04A0" w:firstRow="1" w:lastRow="0" w:firstColumn="1" w:lastColumn="0" w:noHBand="0" w:noVBand="1"/>
      </w:tblPr>
      <w:tblGrid>
        <w:gridCol w:w="2512"/>
        <w:gridCol w:w="996"/>
        <w:gridCol w:w="1185"/>
        <w:gridCol w:w="996"/>
        <w:gridCol w:w="1350"/>
        <w:gridCol w:w="996"/>
        <w:gridCol w:w="1000"/>
      </w:tblGrid>
      <w:tr w:rsidR="00377989" w:rsidRPr="00377989" w14:paraId="5D62B131" w14:textId="77777777" w:rsidTr="005F06E2">
        <w:trPr>
          <w:trHeight w:val="427"/>
        </w:trPr>
        <w:tc>
          <w:tcPr>
            <w:tcW w:w="2512" w:type="dxa"/>
            <w:vMerge w:val="restart"/>
            <w:tcBorders>
              <w:top w:val="single" w:sz="8" w:space="0" w:color="auto"/>
              <w:left w:val="single" w:sz="8" w:space="0" w:color="auto"/>
              <w:bottom w:val="single" w:sz="8" w:space="0" w:color="000000"/>
              <w:right w:val="single" w:sz="8" w:space="0" w:color="auto"/>
            </w:tcBorders>
            <w:shd w:val="clear" w:color="000000" w:fill="31849B"/>
            <w:vAlign w:val="center"/>
            <w:hideMark/>
          </w:tcPr>
          <w:p w14:paraId="5A9A619B" w14:textId="77777777" w:rsidR="00377989" w:rsidRPr="00377989" w:rsidRDefault="00377989" w:rsidP="00377989">
            <w:pPr>
              <w:spacing w:after="0" w:line="240" w:lineRule="auto"/>
              <w:jc w:val="center"/>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Ukrepi izterjave</w:t>
            </w:r>
          </w:p>
        </w:tc>
        <w:tc>
          <w:tcPr>
            <w:tcW w:w="2181" w:type="dxa"/>
            <w:gridSpan w:val="2"/>
            <w:tcBorders>
              <w:top w:val="single" w:sz="8" w:space="0" w:color="auto"/>
              <w:left w:val="nil"/>
              <w:bottom w:val="single" w:sz="8" w:space="0" w:color="auto"/>
              <w:right w:val="single" w:sz="8" w:space="0" w:color="000000"/>
            </w:tcBorders>
            <w:shd w:val="clear" w:color="000000" w:fill="31849B"/>
            <w:vAlign w:val="center"/>
            <w:hideMark/>
          </w:tcPr>
          <w:p w14:paraId="6F9F6F55" w14:textId="77777777" w:rsidR="00377989" w:rsidRPr="00377989" w:rsidRDefault="00377989" w:rsidP="00377989">
            <w:pPr>
              <w:spacing w:after="0" w:line="240" w:lineRule="auto"/>
              <w:jc w:val="center"/>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2020</w:t>
            </w:r>
          </w:p>
        </w:tc>
        <w:tc>
          <w:tcPr>
            <w:tcW w:w="2346" w:type="dxa"/>
            <w:gridSpan w:val="2"/>
            <w:tcBorders>
              <w:top w:val="single" w:sz="8" w:space="0" w:color="auto"/>
              <w:left w:val="nil"/>
              <w:bottom w:val="single" w:sz="8" w:space="0" w:color="auto"/>
              <w:right w:val="single" w:sz="8" w:space="0" w:color="000000"/>
            </w:tcBorders>
            <w:shd w:val="clear" w:color="000000" w:fill="31849B"/>
            <w:vAlign w:val="center"/>
            <w:hideMark/>
          </w:tcPr>
          <w:p w14:paraId="527F0058" w14:textId="77777777" w:rsidR="00377989" w:rsidRPr="00377989" w:rsidRDefault="00377989" w:rsidP="00377989">
            <w:pPr>
              <w:spacing w:after="0" w:line="240" w:lineRule="auto"/>
              <w:jc w:val="center"/>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2021</w:t>
            </w:r>
          </w:p>
        </w:tc>
        <w:tc>
          <w:tcPr>
            <w:tcW w:w="1995" w:type="dxa"/>
            <w:gridSpan w:val="2"/>
            <w:tcBorders>
              <w:top w:val="single" w:sz="8" w:space="0" w:color="auto"/>
              <w:left w:val="nil"/>
              <w:bottom w:val="single" w:sz="8" w:space="0" w:color="auto"/>
              <w:right w:val="single" w:sz="8" w:space="0" w:color="000000"/>
            </w:tcBorders>
            <w:shd w:val="clear" w:color="000000" w:fill="31849B"/>
            <w:vAlign w:val="center"/>
            <w:hideMark/>
          </w:tcPr>
          <w:p w14:paraId="6D3D2288" w14:textId="77777777" w:rsidR="00377989" w:rsidRPr="00377989" w:rsidRDefault="00377989" w:rsidP="00377989">
            <w:pPr>
              <w:spacing w:after="0" w:line="240" w:lineRule="auto"/>
              <w:jc w:val="center"/>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Indeks 2021/2020</w:t>
            </w:r>
          </w:p>
        </w:tc>
      </w:tr>
      <w:tr w:rsidR="00377989" w:rsidRPr="00377989" w14:paraId="5A399BB6" w14:textId="77777777" w:rsidTr="005F06E2">
        <w:trPr>
          <w:trHeight w:val="468"/>
        </w:trPr>
        <w:tc>
          <w:tcPr>
            <w:tcW w:w="2512" w:type="dxa"/>
            <w:vMerge/>
            <w:tcBorders>
              <w:top w:val="single" w:sz="8" w:space="0" w:color="auto"/>
              <w:left w:val="single" w:sz="8" w:space="0" w:color="auto"/>
              <w:bottom w:val="single" w:sz="8" w:space="0" w:color="000000"/>
              <w:right w:val="single" w:sz="8" w:space="0" w:color="auto"/>
            </w:tcBorders>
            <w:vAlign w:val="center"/>
            <w:hideMark/>
          </w:tcPr>
          <w:p w14:paraId="2E349352" w14:textId="77777777" w:rsidR="00377989" w:rsidRPr="00377989" w:rsidRDefault="00377989" w:rsidP="00377989">
            <w:pPr>
              <w:spacing w:after="0" w:line="240" w:lineRule="auto"/>
              <w:rPr>
                <w:rFonts w:ascii="Arial" w:eastAsia="Times New Roman" w:hAnsi="Arial" w:cs="Arial"/>
                <w:b/>
                <w:bCs/>
                <w:color w:val="FFFFFF"/>
                <w:sz w:val="18"/>
                <w:szCs w:val="18"/>
                <w:lang w:eastAsia="sl-SI"/>
              </w:rPr>
            </w:pPr>
          </w:p>
        </w:tc>
        <w:tc>
          <w:tcPr>
            <w:tcW w:w="996" w:type="dxa"/>
            <w:tcBorders>
              <w:top w:val="nil"/>
              <w:left w:val="nil"/>
              <w:bottom w:val="single" w:sz="8" w:space="0" w:color="auto"/>
              <w:right w:val="single" w:sz="8" w:space="0" w:color="auto"/>
            </w:tcBorders>
            <w:shd w:val="clear" w:color="000000" w:fill="31849B"/>
            <w:vAlign w:val="center"/>
            <w:hideMark/>
          </w:tcPr>
          <w:p w14:paraId="3204878F" w14:textId="77777777" w:rsidR="00377989" w:rsidRPr="00377989" w:rsidRDefault="00377989" w:rsidP="00377989">
            <w:pPr>
              <w:spacing w:after="0" w:line="240" w:lineRule="auto"/>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Število</w:t>
            </w:r>
          </w:p>
        </w:tc>
        <w:tc>
          <w:tcPr>
            <w:tcW w:w="1185" w:type="dxa"/>
            <w:tcBorders>
              <w:top w:val="nil"/>
              <w:left w:val="nil"/>
              <w:bottom w:val="single" w:sz="8" w:space="0" w:color="auto"/>
              <w:right w:val="single" w:sz="8" w:space="0" w:color="auto"/>
            </w:tcBorders>
            <w:shd w:val="clear" w:color="000000" w:fill="31849B"/>
            <w:vAlign w:val="center"/>
            <w:hideMark/>
          </w:tcPr>
          <w:p w14:paraId="72D13976" w14:textId="77777777" w:rsidR="00377989" w:rsidRPr="00377989" w:rsidRDefault="00377989" w:rsidP="00377989">
            <w:pPr>
              <w:spacing w:after="0" w:line="240" w:lineRule="auto"/>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Znesek v evrih</w:t>
            </w:r>
          </w:p>
        </w:tc>
        <w:tc>
          <w:tcPr>
            <w:tcW w:w="996" w:type="dxa"/>
            <w:tcBorders>
              <w:top w:val="nil"/>
              <w:left w:val="nil"/>
              <w:bottom w:val="single" w:sz="8" w:space="0" w:color="auto"/>
              <w:right w:val="single" w:sz="8" w:space="0" w:color="auto"/>
            </w:tcBorders>
            <w:shd w:val="clear" w:color="000000" w:fill="31849B"/>
            <w:vAlign w:val="center"/>
            <w:hideMark/>
          </w:tcPr>
          <w:p w14:paraId="5F964CC4" w14:textId="77777777" w:rsidR="00377989" w:rsidRPr="00377989" w:rsidRDefault="00377989" w:rsidP="00377989">
            <w:pPr>
              <w:spacing w:after="0" w:line="240" w:lineRule="auto"/>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Število</w:t>
            </w:r>
          </w:p>
        </w:tc>
        <w:tc>
          <w:tcPr>
            <w:tcW w:w="1350" w:type="dxa"/>
            <w:tcBorders>
              <w:top w:val="nil"/>
              <w:left w:val="nil"/>
              <w:bottom w:val="single" w:sz="8" w:space="0" w:color="auto"/>
              <w:right w:val="single" w:sz="8" w:space="0" w:color="auto"/>
            </w:tcBorders>
            <w:shd w:val="clear" w:color="000000" w:fill="31849B"/>
            <w:vAlign w:val="center"/>
            <w:hideMark/>
          </w:tcPr>
          <w:p w14:paraId="240BE06F" w14:textId="77777777" w:rsidR="00377989" w:rsidRPr="00377989" w:rsidRDefault="00377989" w:rsidP="00377989">
            <w:pPr>
              <w:spacing w:after="0" w:line="240" w:lineRule="auto"/>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Znesek v evrih</w:t>
            </w:r>
          </w:p>
        </w:tc>
        <w:tc>
          <w:tcPr>
            <w:tcW w:w="996" w:type="dxa"/>
            <w:tcBorders>
              <w:top w:val="nil"/>
              <w:left w:val="nil"/>
              <w:bottom w:val="single" w:sz="8" w:space="0" w:color="auto"/>
              <w:right w:val="single" w:sz="8" w:space="0" w:color="auto"/>
            </w:tcBorders>
            <w:shd w:val="clear" w:color="000000" w:fill="31849B"/>
            <w:vAlign w:val="center"/>
            <w:hideMark/>
          </w:tcPr>
          <w:p w14:paraId="76ADC502" w14:textId="77777777" w:rsidR="00377989" w:rsidRPr="00377989" w:rsidRDefault="00377989" w:rsidP="00377989">
            <w:pPr>
              <w:spacing w:after="0" w:line="240" w:lineRule="auto"/>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Število</w:t>
            </w:r>
          </w:p>
        </w:tc>
        <w:tc>
          <w:tcPr>
            <w:tcW w:w="998" w:type="dxa"/>
            <w:tcBorders>
              <w:top w:val="nil"/>
              <w:left w:val="nil"/>
              <w:bottom w:val="single" w:sz="8" w:space="0" w:color="auto"/>
              <w:right w:val="single" w:sz="8" w:space="0" w:color="auto"/>
            </w:tcBorders>
            <w:shd w:val="clear" w:color="000000" w:fill="31849B"/>
            <w:vAlign w:val="center"/>
            <w:hideMark/>
          </w:tcPr>
          <w:p w14:paraId="036BD0E5" w14:textId="77777777" w:rsidR="00377989" w:rsidRPr="00377989" w:rsidRDefault="00377989" w:rsidP="00377989">
            <w:pPr>
              <w:spacing w:after="0" w:line="240" w:lineRule="auto"/>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Znesek</w:t>
            </w:r>
          </w:p>
        </w:tc>
      </w:tr>
      <w:tr w:rsidR="00377989" w:rsidRPr="00377989" w14:paraId="703C67DB" w14:textId="77777777" w:rsidTr="005F06E2">
        <w:trPr>
          <w:trHeight w:val="289"/>
        </w:trPr>
        <w:tc>
          <w:tcPr>
            <w:tcW w:w="9035" w:type="dxa"/>
            <w:gridSpan w:val="7"/>
            <w:tcBorders>
              <w:top w:val="nil"/>
              <w:left w:val="single" w:sz="8" w:space="0" w:color="auto"/>
              <w:bottom w:val="single" w:sz="8" w:space="0" w:color="auto"/>
              <w:right w:val="single" w:sz="8" w:space="0" w:color="000000"/>
            </w:tcBorders>
            <w:shd w:val="clear" w:color="000000" w:fill="E36C0A"/>
            <w:vAlign w:val="center"/>
            <w:hideMark/>
          </w:tcPr>
          <w:p w14:paraId="6F1769A2" w14:textId="77777777" w:rsidR="00377989" w:rsidRPr="00377989" w:rsidRDefault="00377989" w:rsidP="00377989">
            <w:pPr>
              <w:spacing w:after="0" w:line="240" w:lineRule="auto"/>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 xml:space="preserve">Opomini pred začetkom davčne izvršbe </w:t>
            </w:r>
          </w:p>
        </w:tc>
      </w:tr>
      <w:tr w:rsidR="00377989" w:rsidRPr="00377989" w14:paraId="33E6B1A1" w14:textId="77777777" w:rsidTr="005F06E2">
        <w:trPr>
          <w:trHeight w:val="454"/>
        </w:trPr>
        <w:tc>
          <w:tcPr>
            <w:tcW w:w="2512" w:type="dxa"/>
            <w:tcBorders>
              <w:top w:val="nil"/>
              <w:left w:val="single" w:sz="8" w:space="0" w:color="auto"/>
              <w:bottom w:val="single" w:sz="8" w:space="0" w:color="auto"/>
              <w:right w:val="single" w:sz="8" w:space="0" w:color="auto"/>
            </w:tcBorders>
            <w:shd w:val="clear" w:color="auto" w:fill="auto"/>
            <w:vAlign w:val="center"/>
            <w:hideMark/>
          </w:tcPr>
          <w:p w14:paraId="58692E13" w14:textId="77777777" w:rsidR="00377989" w:rsidRPr="00377989" w:rsidRDefault="00377989" w:rsidP="00377989">
            <w:pPr>
              <w:spacing w:after="0" w:line="240" w:lineRule="auto"/>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 xml:space="preserve">Poslani opomini </w:t>
            </w:r>
          </w:p>
        </w:tc>
        <w:tc>
          <w:tcPr>
            <w:tcW w:w="996" w:type="dxa"/>
            <w:tcBorders>
              <w:top w:val="nil"/>
              <w:left w:val="nil"/>
              <w:bottom w:val="single" w:sz="8" w:space="0" w:color="auto"/>
              <w:right w:val="single" w:sz="8" w:space="0" w:color="auto"/>
            </w:tcBorders>
            <w:shd w:val="clear" w:color="auto" w:fill="auto"/>
            <w:vAlign w:val="center"/>
            <w:hideMark/>
          </w:tcPr>
          <w:p w14:paraId="56196FEF"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578.190</w:t>
            </w:r>
          </w:p>
        </w:tc>
        <w:tc>
          <w:tcPr>
            <w:tcW w:w="1185" w:type="dxa"/>
            <w:tcBorders>
              <w:top w:val="nil"/>
              <w:left w:val="nil"/>
              <w:bottom w:val="single" w:sz="8" w:space="0" w:color="auto"/>
              <w:right w:val="single" w:sz="8" w:space="0" w:color="auto"/>
            </w:tcBorders>
            <w:shd w:val="clear" w:color="000000" w:fill="DAEEF3"/>
            <w:vAlign w:val="center"/>
            <w:hideMark/>
          </w:tcPr>
          <w:p w14:paraId="28E80648"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330.175.368</w:t>
            </w:r>
          </w:p>
        </w:tc>
        <w:tc>
          <w:tcPr>
            <w:tcW w:w="996" w:type="dxa"/>
            <w:tcBorders>
              <w:top w:val="nil"/>
              <w:left w:val="nil"/>
              <w:bottom w:val="single" w:sz="8" w:space="0" w:color="auto"/>
              <w:right w:val="single" w:sz="8" w:space="0" w:color="auto"/>
            </w:tcBorders>
            <w:shd w:val="clear" w:color="auto" w:fill="auto"/>
            <w:vAlign w:val="center"/>
            <w:hideMark/>
          </w:tcPr>
          <w:p w14:paraId="6845C58E"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858.068</w:t>
            </w:r>
          </w:p>
        </w:tc>
        <w:tc>
          <w:tcPr>
            <w:tcW w:w="1350" w:type="dxa"/>
            <w:tcBorders>
              <w:top w:val="nil"/>
              <w:left w:val="nil"/>
              <w:bottom w:val="single" w:sz="8" w:space="0" w:color="auto"/>
              <w:right w:val="single" w:sz="8" w:space="0" w:color="auto"/>
            </w:tcBorders>
            <w:shd w:val="clear" w:color="000000" w:fill="DAEEF3"/>
            <w:vAlign w:val="center"/>
            <w:hideMark/>
          </w:tcPr>
          <w:p w14:paraId="57B8CAC7"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603.935.848</w:t>
            </w:r>
          </w:p>
        </w:tc>
        <w:tc>
          <w:tcPr>
            <w:tcW w:w="996" w:type="dxa"/>
            <w:tcBorders>
              <w:top w:val="nil"/>
              <w:left w:val="nil"/>
              <w:bottom w:val="single" w:sz="8" w:space="0" w:color="auto"/>
              <w:right w:val="single" w:sz="8" w:space="0" w:color="auto"/>
            </w:tcBorders>
            <w:shd w:val="clear" w:color="auto" w:fill="auto"/>
            <w:vAlign w:val="center"/>
            <w:hideMark/>
          </w:tcPr>
          <w:p w14:paraId="6748073D"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148,4</w:t>
            </w:r>
          </w:p>
        </w:tc>
        <w:tc>
          <w:tcPr>
            <w:tcW w:w="998" w:type="dxa"/>
            <w:tcBorders>
              <w:top w:val="nil"/>
              <w:left w:val="nil"/>
              <w:bottom w:val="single" w:sz="8" w:space="0" w:color="auto"/>
              <w:right w:val="single" w:sz="8" w:space="0" w:color="auto"/>
            </w:tcBorders>
            <w:shd w:val="clear" w:color="auto" w:fill="auto"/>
            <w:vAlign w:val="center"/>
            <w:hideMark/>
          </w:tcPr>
          <w:p w14:paraId="514A8BEC"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182,9</w:t>
            </w:r>
          </w:p>
        </w:tc>
      </w:tr>
      <w:tr w:rsidR="00377989" w:rsidRPr="00377989" w14:paraId="3C109C67" w14:textId="77777777" w:rsidTr="005F06E2">
        <w:trPr>
          <w:trHeight w:val="675"/>
        </w:trPr>
        <w:tc>
          <w:tcPr>
            <w:tcW w:w="2512" w:type="dxa"/>
            <w:tcBorders>
              <w:top w:val="nil"/>
              <w:left w:val="single" w:sz="8" w:space="0" w:color="auto"/>
              <w:bottom w:val="single" w:sz="8" w:space="0" w:color="auto"/>
              <w:right w:val="single" w:sz="8" w:space="0" w:color="auto"/>
            </w:tcBorders>
            <w:shd w:val="clear" w:color="auto" w:fill="auto"/>
            <w:vAlign w:val="center"/>
            <w:hideMark/>
          </w:tcPr>
          <w:p w14:paraId="34393F9C" w14:textId="77777777" w:rsidR="00377989" w:rsidRPr="00377989" w:rsidRDefault="00377989" w:rsidP="00377989">
            <w:pPr>
              <w:spacing w:after="0" w:line="240" w:lineRule="auto"/>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Plačila na podlagi opominov</w:t>
            </w:r>
          </w:p>
        </w:tc>
        <w:tc>
          <w:tcPr>
            <w:tcW w:w="996" w:type="dxa"/>
            <w:tcBorders>
              <w:top w:val="nil"/>
              <w:left w:val="nil"/>
              <w:bottom w:val="single" w:sz="8" w:space="0" w:color="auto"/>
              <w:right w:val="single" w:sz="8" w:space="0" w:color="auto"/>
            </w:tcBorders>
            <w:shd w:val="clear" w:color="auto" w:fill="auto"/>
            <w:vAlign w:val="center"/>
            <w:hideMark/>
          </w:tcPr>
          <w:p w14:paraId="134A2083"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377.154</w:t>
            </w:r>
          </w:p>
        </w:tc>
        <w:tc>
          <w:tcPr>
            <w:tcW w:w="1185" w:type="dxa"/>
            <w:tcBorders>
              <w:top w:val="nil"/>
              <w:left w:val="nil"/>
              <w:bottom w:val="single" w:sz="8" w:space="0" w:color="auto"/>
              <w:right w:val="single" w:sz="8" w:space="0" w:color="auto"/>
            </w:tcBorders>
            <w:shd w:val="clear" w:color="000000" w:fill="DAEEF3"/>
            <w:vAlign w:val="center"/>
            <w:hideMark/>
          </w:tcPr>
          <w:p w14:paraId="1DCDF717"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197.508.774</w:t>
            </w:r>
          </w:p>
        </w:tc>
        <w:tc>
          <w:tcPr>
            <w:tcW w:w="996" w:type="dxa"/>
            <w:tcBorders>
              <w:top w:val="nil"/>
              <w:left w:val="nil"/>
              <w:bottom w:val="single" w:sz="8" w:space="0" w:color="auto"/>
              <w:right w:val="single" w:sz="8" w:space="0" w:color="auto"/>
            </w:tcBorders>
            <w:shd w:val="clear" w:color="auto" w:fill="auto"/>
            <w:vAlign w:val="center"/>
            <w:hideMark/>
          </w:tcPr>
          <w:p w14:paraId="018CFB5C"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543.457</w:t>
            </w:r>
          </w:p>
        </w:tc>
        <w:tc>
          <w:tcPr>
            <w:tcW w:w="1350" w:type="dxa"/>
            <w:tcBorders>
              <w:top w:val="nil"/>
              <w:left w:val="nil"/>
              <w:bottom w:val="single" w:sz="8" w:space="0" w:color="auto"/>
              <w:right w:val="single" w:sz="8" w:space="0" w:color="auto"/>
            </w:tcBorders>
            <w:shd w:val="clear" w:color="000000" w:fill="DAEEF3"/>
            <w:vAlign w:val="center"/>
            <w:hideMark/>
          </w:tcPr>
          <w:p w14:paraId="1893AF46"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320.813.391</w:t>
            </w:r>
          </w:p>
        </w:tc>
        <w:tc>
          <w:tcPr>
            <w:tcW w:w="996" w:type="dxa"/>
            <w:tcBorders>
              <w:top w:val="nil"/>
              <w:left w:val="nil"/>
              <w:bottom w:val="single" w:sz="8" w:space="0" w:color="auto"/>
              <w:right w:val="single" w:sz="8" w:space="0" w:color="auto"/>
            </w:tcBorders>
            <w:shd w:val="clear" w:color="auto" w:fill="auto"/>
            <w:vAlign w:val="center"/>
            <w:hideMark/>
          </w:tcPr>
          <w:p w14:paraId="74B7C268"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144,1</w:t>
            </w:r>
          </w:p>
        </w:tc>
        <w:tc>
          <w:tcPr>
            <w:tcW w:w="998" w:type="dxa"/>
            <w:tcBorders>
              <w:top w:val="nil"/>
              <w:left w:val="nil"/>
              <w:bottom w:val="single" w:sz="8" w:space="0" w:color="auto"/>
              <w:right w:val="single" w:sz="8" w:space="0" w:color="auto"/>
            </w:tcBorders>
            <w:shd w:val="clear" w:color="auto" w:fill="auto"/>
            <w:vAlign w:val="center"/>
            <w:hideMark/>
          </w:tcPr>
          <w:p w14:paraId="48A9FB0A"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162,4</w:t>
            </w:r>
          </w:p>
        </w:tc>
      </w:tr>
      <w:tr w:rsidR="00377989" w:rsidRPr="00377989" w14:paraId="78020FCB" w14:textId="77777777" w:rsidTr="005F06E2">
        <w:trPr>
          <w:trHeight w:val="381"/>
        </w:trPr>
        <w:tc>
          <w:tcPr>
            <w:tcW w:w="9035" w:type="dxa"/>
            <w:gridSpan w:val="7"/>
            <w:tcBorders>
              <w:top w:val="single" w:sz="8" w:space="0" w:color="auto"/>
              <w:left w:val="single" w:sz="8" w:space="0" w:color="auto"/>
              <w:bottom w:val="single" w:sz="8" w:space="0" w:color="auto"/>
              <w:right w:val="single" w:sz="8" w:space="0" w:color="000000"/>
            </w:tcBorders>
            <w:shd w:val="clear" w:color="000000" w:fill="E36C0A"/>
            <w:vAlign w:val="center"/>
            <w:hideMark/>
          </w:tcPr>
          <w:p w14:paraId="644CF93A" w14:textId="77777777" w:rsidR="00377989" w:rsidRPr="00377989" w:rsidRDefault="00377989" w:rsidP="00377989">
            <w:pPr>
              <w:spacing w:after="0" w:line="240" w:lineRule="auto"/>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Pozivi za plačilo in predložitev seznama premoženja</w:t>
            </w:r>
          </w:p>
        </w:tc>
      </w:tr>
      <w:tr w:rsidR="00377989" w:rsidRPr="00377989" w14:paraId="5C3461B0" w14:textId="77777777" w:rsidTr="005F06E2">
        <w:trPr>
          <w:trHeight w:val="799"/>
        </w:trPr>
        <w:tc>
          <w:tcPr>
            <w:tcW w:w="2512" w:type="dxa"/>
            <w:tcBorders>
              <w:top w:val="nil"/>
              <w:left w:val="single" w:sz="8" w:space="0" w:color="auto"/>
              <w:bottom w:val="single" w:sz="8" w:space="0" w:color="auto"/>
              <w:right w:val="single" w:sz="8" w:space="0" w:color="auto"/>
            </w:tcBorders>
            <w:shd w:val="clear" w:color="auto" w:fill="auto"/>
            <w:vAlign w:val="center"/>
            <w:hideMark/>
          </w:tcPr>
          <w:p w14:paraId="0224C3E7" w14:textId="77777777" w:rsidR="00377989" w:rsidRPr="00377989" w:rsidRDefault="00377989" w:rsidP="00377989">
            <w:pPr>
              <w:spacing w:after="0" w:line="240" w:lineRule="auto"/>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Izdani pozivi za plačilo in predložitev seznama premoženja</w:t>
            </w:r>
          </w:p>
        </w:tc>
        <w:tc>
          <w:tcPr>
            <w:tcW w:w="996" w:type="dxa"/>
            <w:tcBorders>
              <w:top w:val="nil"/>
              <w:left w:val="nil"/>
              <w:bottom w:val="single" w:sz="8" w:space="0" w:color="auto"/>
              <w:right w:val="single" w:sz="8" w:space="0" w:color="auto"/>
            </w:tcBorders>
            <w:shd w:val="clear" w:color="auto" w:fill="auto"/>
            <w:vAlign w:val="center"/>
            <w:hideMark/>
          </w:tcPr>
          <w:p w14:paraId="577C30C9"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21.325</w:t>
            </w:r>
          </w:p>
        </w:tc>
        <w:tc>
          <w:tcPr>
            <w:tcW w:w="1185" w:type="dxa"/>
            <w:tcBorders>
              <w:top w:val="nil"/>
              <w:left w:val="nil"/>
              <w:bottom w:val="single" w:sz="8" w:space="0" w:color="auto"/>
              <w:right w:val="single" w:sz="8" w:space="0" w:color="auto"/>
            </w:tcBorders>
            <w:shd w:val="clear" w:color="000000" w:fill="DAEEF3"/>
            <w:vAlign w:val="center"/>
            <w:hideMark/>
          </w:tcPr>
          <w:p w14:paraId="52686DE1"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36.848.847</w:t>
            </w:r>
          </w:p>
        </w:tc>
        <w:tc>
          <w:tcPr>
            <w:tcW w:w="996" w:type="dxa"/>
            <w:tcBorders>
              <w:top w:val="nil"/>
              <w:left w:val="nil"/>
              <w:bottom w:val="single" w:sz="8" w:space="0" w:color="auto"/>
              <w:right w:val="single" w:sz="8" w:space="0" w:color="auto"/>
            </w:tcBorders>
            <w:shd w:val="clear" w:color="auto" w:fill="auto"/>
            <w:vAlign w:val="center"/>
            <w:hideMark/>
          </w:tcPr>
          <w:p w14:paraId="0B4C3FEF"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29.469</w:t>
            </w:r>
          </w:p>
        </w:tc>
        <w:tc>
          <w:tcPr>
            <w:tcW w:w="1350" w:type="dxa"/>
            <w:tcBorders>
              <w:top w:val="nil"/>
              <w:left w:val="nil"/>
              <w:bottom w:val="single" w:sz="8" w:space="0" w:color="auto"/>
              <w:right w:val="single" w:sz="8" w:space="0" w:color="auto"/>
            </w:tcBorders>
            <w:shd w:val="clear" w:color="000000" w:fill="DAEEF3"/>
            <w:vAlign w:val="center"/>
            <w:hideMark/>
          </w:tcPr>
          <w:p w14:paraId="073D7C95"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44.301.044</w:t>
            </w:r>
          </w:p>
        </w:tc>
        <w:tc>
          <w:tcPr>
            <w:tcW w:w="996" w:type="dxa"/>
            <w:tcBorders>
              <w:top w:val="nil"/>
              <w:left w:val="nil"/>
              <w:bottom w:val="single" w:sz="8" w:space="0" w:color="auto"/>
              <w:right w:val="single" w:sz="8" w:space="0" w:color="auto"/>
            </w:tcBorders>
            <w:shd w:val="clear" w:color="auto" w:fill="auto"/>
            <w:vAlign w:val="center"/>
            <w:hideMark/>
          </w:tcPr>
          <w:p w14:paraId="5CE121EA"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138,2</w:t>
            </w:r>
          </w:p>
        </w:tc>
        <w:tc>
          <w:tcPr>
            <w:tcW w:w="998" w:type="dxa"/>
            <w:tcBorders>
              <w:top w:val="nil"/>
              <w:left w:val="nil"/>
              <w:bottom w:val="single" w:sz="8" w:space="0" w:color="auto"/>
              <w:right w:val="single" w:sz="8" w:space="0" w:color="auto"/>
            </w:tcBorders>
            <w:shd w:val="clear" w:color="auto" w:fill="auto"/>
            <w:vAlign w:val="center"/>
            <w:hideMark/>
          </w:tcPr>
          <w:p w14:paraId="43DEFA47"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120,2</w:t>
            </w:r>
          </w:p>
        </w:tc>
      </w:tr>
      <w:tr w:rsidR="00377989" w:rsidRPr="00377989" w14:paraId="4AE7DE96" w14:textId="77777777" w:rsidTr="005F06E2">
        <w:trPr>
          <w:trHeight w:val="427"/>
        </w:trPr>
        <w:tc>
          <w:tcPr>
            <w:tcW w:w="2512" w:type="dxa"/>
            <w:tcBorders>
              <w:top w:val="nil"/>
              <w:left w:val="single" w:sz="8" w:space="0" w:color="auto"/>
              <w:bottom w:val="single" w:sz="8" w:space="0" w:color="auto"/>
              <w:right w:val="single" w:sz="8" w:space="0" w:color="auto"/>
            </w:tcBorders>
            <w:shd w:val="clear" w:color="auto" w:fill="auto"/>
            <w:vAlign w:val="center"/>
            <w:hideMark/>
          </w:tcPr>
          <w:p w14:paraId="60948C5B" w14:textId="77777777" w:rsidR="00377989" w:rsidRPr="00377989" w:rsidRDefault="00377989" w:rsidP="00377989">
            <w:pPr>
              <w:spacing w:after="0" w:line="240" w:lineRule="auto"/>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Plačila na podlagi pozivov</w:t>
            </w:r>
          </w:p>
        </w:tc>
        <w:tc>
          <w:tcPr>
            <w:tcW w:w="996" w:type="dxa"/>
            <w:tcBorders>
              <w:top w:val="nil"/>
              <w:left w:val="nil"/>
              <w:bottom w:val="single" w:sz="8" w:space="0" w:color="auto"/>
              <w:right w:val="single" w:sz="8" w:space="0" w:color="auto"/>
            </w:tcBorders>
            <w:shd w:val="clear" w:color="auto" w:fill="auto"/>
            <w:vAlign w:val="center"/>
            <w:hideMark/>
          </w:tcPr>
          <w:p w14:paraId="3DD95CB8"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54.114</w:t>
            </w:r>
          </w:p>
        </w:tc>
        <w:tc>
          <w:tcPr>
            <w:tcW w:w="1185" w:type="dxa"/>
            <w:tcBorders>
              <w:top w:val="nil"/>
              <w:left w:val="nil"/>
              <w:bottom w:val="single" w:sz="8" w:space="0" w:color="auto"/>
              <w:right w:val="single" w:sz="8" w:space="0" w:color="auto"/>
            </w:tcBorders>
            <w:shd w:val="clear" w:color="000000" w:fill="DAEEF3"/>
            <w:vAlign w:val="center"/>
            <w:hideMark/>
          </w:tcPr>
          <w:p w14:paraId="56C6DAA1"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1.856.632</w:t>
            </w:r>
          </w:p>
        </w:tc>
        <w:tc>
          <w:tcPr>
            <w:tcW w:w="996" w:type="dxa"/>
            <w:tcBorders>
              <w:top w:val="nil"/>
              <w:left w:val="nil"/>
              <w:bottom w:val="single" w:sz="8" w:space="0" w:color="auto"/>
              <w:right w:val="single" w:sz="8" w:space="0" w:color="auto"/>
            </w:tcBorders>
            <w:shd w:val="clear" w:color="auto" w:fill="auto"/>
            <w:vAlign w:val="center"/>
            <w:hideMark/>
          </w:tcPr>
          <w:p w14:paraId="25BE3FE3"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98.496</w:t>
            </w:r>
          </w:p>
        </w:tc>
        <w:tc>
          <w:tcPr>
            <w:tcW w:w="1350" w:type="dxa"/>
            <w:tcBorders>
              <w:top w:val="nil"/>
              <w:left w:val="nil"/>
              <w:bottom w:val="single" w:sz="8" w:space="0" w:color="auto"/>
              <w:right w:val="single" w:sz="8" w:space="0" w:color="auto"/>
            </w:tcBorders>
            <w:shd w:val="clear" w:color="000000" w:fill="DAEEF3"/>
            <w:vAlign w:val="center"/>
            <w:hideMark/>
          </w:tcPr>
          <w:p w14:paraId="0EA5A270"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2.887.117</w:t>
            </w:r>
          </w:p>
        </w:tc>
        <w:tc>
          <w:tcPr>
            <w:tcW w:w="996" w:type="dxa"/>
            <w:tcBorders>
              <w:top w:val="nil"/>
              <w:left w:val="nil"/>
              <w:bottom w:val="single" w:sz="8" w:space="0" w:color="auto"/>
              <w:right w:val="single" w:sz="8" w:space="0" w:color="auto"/>
            </w:tcBorders>
            <w:shd w:val="clear" w:color="auto" w:fill="auto"/>
            <w:vAlign w:val="center"/>
            <w:hideMark/>
          </w:tcPr>
          <w:p w14:paraId="0355544B"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182</w:t>
            </w:r>
          </w:p>
        </w:tc>
        <w:tc>
          <w:tcPr>
            <w:tcW w:w="998" w:type="dxa"/>
            <w:tcBorders>
              <w:top w:val="nil"/>
              <w:left w:val="nil"/>
              <w:bottom w:val="single" w:sz="8" w:space="0" w:color="auto"/>
              <w:right w:val="single" w:sz="8" w:space="0" w:color="auto"/>
            </w:tcBorders>
            <w:shd w:val="clear" w:color="auto" w:fill="auto"/>
            <w:vAlign w:val="center"/>
            <w:hideMark/>
          </w:tcPr>
          <w:p w14:paraId="7B8F7E29"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155,5</w:t>
            </w:r>
          </w:p>
        </w:tc>
      </w:tr>
      <w:tr w:rsidR="00377989" w:rsidRPr="00377989" w14:paraId="56AADCEE" w14:textId="77777777" w:rsidTr="005F06E2">
        <w:trPr>
          <w:trHeight w:val="349"/>
        </w:trPr>
        <w:tc>
          <w:tcPr>
            <w:tcW w:w="9035" w:type="dxa"/>
            <w:gridSpan w:val="7"/>
            <w:tcBorders>
              <w:top w:val="single" w:sz="8" w:space="0" w:color="auto"/>
              <w:left w:val="single" w:sz="8" w:space="0" w:color="auto"/>
              <w:bottom w:val="single" w:sz="8" w:space="0" w:color="auto"/>
              <w:right w:val="single" w:sz="8" w:space="0" w:color="000000"/>
            </w:tcBorders>
            <w:shd w:val="clear" w:color="000000" w:fill="E36C0A"/>
            <w:vAlign w:val="center"/>
            <w:hideMark/>
          </w:tcPr>
          <w:p w14:paraId="3C52FC6E" w14:textId="77777777" w:rsidR="00377989" w:rsidRPr="00377989" w:rsidRDefault="00377989" w:rsidP="00377989">
            <w:pPr>
              <w:spacing w:after="0" w:line="240" w:lineRule="auto"/>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Sklep o davčni izvršbi</w:t>
            </w:r>
          </w:p>
        </w:tc>
      </w:tr>
      <w:tr w:rsidR="00377989" w:rsidRPr="00377989" w14:paraId="41B6657E" w14:textId="77777777" w:rsidTr="005F06E2">
        <w:trPr>
          <w:trHeight w:val="427"/>
        </w:trPr>
        <w:tc>
          <w:tcPr>
            <w:tcW w:w="2512" w:type="dxa"/>
            <w:tcBorders>
              <w:top w:val="nil"/>
              <w:left w:val="single" w:sz="8" w:space="0" w:color="auto"/>
              <w:bottom w:val="single" w:sz="8" w:space="0" w:color="auto"/>
              <w:right w:val="single" w:sz="8" w:space="0" w:color="auto"/>
            </w:tcBorders>
            <w:shd w:val="clear" w:color="auto" w:fill="auto"/>
            <w:vAlign w:val="center"/>
            <w:hideMark/>
          </w:tcPr>
          <w:p w14:paraId="73EA6F8C" w14:textId="77777777" w:rsidR="00377989" w:rsidRPr="00377989" w:rsidRDefault="00377989" w:rsidP="00377989">
            <w:pPr>
              <w:spacing w:after="0" w:line="240" w:lineRule="auto"/>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Izdani sklepi</w:t>
            </w:r>
          </w:p>
        </w:tc>
        <w:tc>
          <w:tcPr>
            <w:tcW w:w="996" w:type="dxa"/>
            <w:tcBorders>
              <w:top w:val="nil"/>
              <w:left w:val="nil"/>
              <w:bottom w:val="single" w:sz="8" w:space="0" w:color="auto"/>
              <w:right w:val="single" w:sz="8" w:space="0" w:color="auto"/>
            </w:tcBorders>
            <w:shd w:val="clear" w:color="auto" w:fill="auto"/>
            <w:vAlign w:val="center"/>
            <w:hideMark/>
          </w:tcPr>
          <w:p w14:paraId="03C64CF1"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248.587</w:t>
            </w:r>
          </w:p>
        </w:tc>
        <w:tc>
          <w:tcPr>
            <w:tcW w:w="1185" w:type="dxa"/>
            <w:tcBorders>
              <w:top w:val="nil"/>
              <w:left w:val="nil"/>
              <w:bottom w:val="single" w:sz="8" w:space="0" w:color="auto"/>
              <w:right w:val="single" w:sz="8" w:space="0" w:color="auto"/>
            </w:tcBorders>
            <w:shd w:val="clear" w:color="000000" w:fill="DAEEF3"/>
            <w:vAlign w:val="center"/>
            <w:hideMark/>
          </w:tcPr>
          <w:p w14:paraId="69826F6C"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552.779.335</w:t>
            </w:r>
          </w:p>
        </w:tc>
        <w:tc>
          <w:tcPr>
            <w:tcW w:w="996" w:type="dxa"/>
            <w:tcBorders>
              <w:top w:val="nil"/>
              <w:left w:val="nil"/>
              <w:bottom w:val="single" w:sz="8" w:space="0" w:color="auto"/>
              <w:right w:val="single" w:sz="8" w:space="0" w:color="auto"/>
            </w:tcBorders>
            <w:shd w:val="clear" w:color="auto" w:fill="auto"/>
            <w:vAlign w:val="center"/>
            <w:hideMark/>
          </w:tcPr>
          <w:p w14:paraId="4BF97313"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242.310</w:t>
            </w:r>
          </w:p>
        </w:tc>
        <w:tc>
          <w:tcPr>
            <w:tcW w:w="1350" w:type="dxa"/>
            <w:tcBorders>
              <w:top w:val="nil"/>
              <w:left w:val="nil"/>
              <w:bottom w:val="single" w:sz="8" w:space="0" w:color="auto"/>
              <w:right w:val="single" w:sz="8" w:space="0" w:color="auto"/>
            </w:tcBorders>
            <w:shd w:val="clear" w:color="000000" w:fill="DAEEF3"/>
            <w:vAlign w:val="center"/>
            <w:hideMark/>
          </w:tcPr>
          <w:p w14:paraId="3BC08EDF"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545.155.488</w:t>
            </w:r>
          </w:p>
        </w:tc>
        <w:tc>
          <w:tcPr>
            <w:tcW w:w="996" w:type="dxa"/>
            <w:tcBorders>
              <w:top w:val="nil"/>
              <w:left w:val="nil"/>
              <w:bottom w:val="single" w:sz="8" w:space="0" w:color="auto"/>
              <w:right w:val="single" w:sz="8" w:space="0" w:color="auto"/>
            </w:tcBorders>
            <w:shd w:val="clear" w:color="auto" w:fill="auto"/>
            <w:vAlign w:val="center"/>
            <w:hideMark/>
          </w:tcPr>
          <w:p w14:paraId="6535DB39"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97,5</w:t>
            </w:r>
          </w:p>
        </w:tc>
        <w:tc>
          <w:tcPr>
            <w:tcW w:w="998" w:type="dxa"/>
            <w:tcBorders>
              <w:top w:val="nil"/>
              <w:left w:val="nil"/>
              <w:bottom w:val="single" w:sz="8" w:space="0" w:color="auto"/>
              <w:right w:val="single" w:sz="8" w:space="0" w:color="auto"/>
            </w:tcBorders>
            <w:shd w:val="clear" w:color="auto" w:fill="auto"/>
            <w:vAlign w:val="center"/>
            <w:hideMark/>
          </w:tcPr>
          <w:p w14:paraId="5E280E38"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98,6</w:t>
            </w:r>
          </w:p>
        </w:tc>
      </w:tr>
      <w:tr w:rsidR="00377989" w:rsidRPr="00377989" w14:paraId="09E7B95C" w14:textId="77777777" w:rsidTr="005F06E2">
        <w:trPr>
          <w:trHeight w:val="509"/>
        </w:trPr>
        <w:tc>
          <w:tcPr>
            <w:tcW w:w="2512" w:type="dxa"/>
            <w:tcBorders>
              <w:top w:val="nil"/>
              <w:left w:val="single" w:sz="8" w:space="0" w:color="auto"/>
              <w:bottom w:val="single" w:sz="8" w:space="0" w:color="auto"/>
              <w:right w:val="single" w:sz="8" w:space="0" w:color="auto"/>
            </w:tcBorders>
            <w:shd w:val="clear" w:color="auto" w:fill="auto"/>
            <w:vAlign w:val="center"/>
            <w:hideMark/>
          </w:tcPr>
          <w:p w14:paraId="0D6062E0" w14:textId="77777777" w:rsidR="00377989" w:rsidRPr="00377989" w:rsidRDefault="00377989" w:rsidP="00377989">
            <w:pPr>
              <w:spacing w:after="0" w:line="240" w:lineRule="auto"/>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Plačila na podlagi sklepov</w:t>
            </w:r>
          </w:p>
        </w:tc>
        <w:tc>
          <w:tcPr>
            <w:tcW w:w="996" w:type="dxa"/>
            <w:tcBorders>
              <w:top w:val="nil"/>
              <w:left w:val="nil"/>
              <w:bottom w:val="single" w:sz="8" w:space="0" w:color="auto"/>
              <w:right w:val="single" w:sz="8" w:space="0" w:color="auto"/>
            </w:tcBorders>
            <w:shd w:val="clear" w:color="auto" w:fill="auto"/>
            <w:vAlign w:val="center"/>
            <w:hideMark/>
          </w:tcPr>
          <w:p w14:paraId="45BDE585"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296.464</w:t>
            </w:r>
          </w:p>
        </w:tc>
        <w:tc>
          <w:tcPr>
            <w:tcW w:w="1185" w:type="dxa"/>
            <w:tcBorders>
              <w:top w:val="nil"/>
              <w:left w:val="nil"/>
              <w:bottom w:val="single" w:sz="8" w:space="0" w:color="auto"/>
              <w:right w:val="single" w:sz="8" w:space="0" w:color="auto"/>
            </w:tcBorders>
            <w:shd w:val="clear" w:color="000000" w:fill="DAEEF3"/>
            <w:vAlign w:val="center"/>
            <w:hideMark/>
          </w:tcPr>
          <w:p w14:paraId="211AF75C"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144.393.655</w:t>
            </w:r>
          </w:p>
        </w:tc>
        <w:tc>
          <w:tcPr>
            <w:tcW w:w="996" w:type="dxa"/>
            <w:tcBorders>
              <w:top w:val="nil"/>
              <w:left w:val="nil"/>
              <w:bottom w:val="single" w:sz="8" w:space="0" w:color="auto"/>
              <w:right w:val="single" w:sz="8" w:space="0" w:color="auto"/>
            </w:tcBorders>
            <w:shd w:val="clear" w:color="auto" w:fill="auto"/>
            <w:vAlign w:val="center"/>
            <w:hideMark/>
          </w:tcPr>
          <w:p w14:paraId="2290484F"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283.243</w:t>
            </w:r>
          </w:p>
        </w:tc>
        <w:tc>
          <w:tcPr>
            <w:tcW w:w="1350" w:type="dxa"/>
            <w:tcBorders>
              <w:top w:val="nil"/>
              <w:left w:val="nil"/>
              <w:bottom w:val="single" w:sz="8" w:space="0" w:color="auto"/>
              <w:right w:val="single" w:sz="8" w:space="0" w:color="auto"/>
            </w:tcBorders>
            <w:shd w:val="clear" w:color="000000" w:fill="DAEEF3"/>
            <w:vAlign w:val="center"/>
            <w:hideMark/>
          </w:tcPr>
          <w:p w14:paraId="1432C7E8"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129.003.415</w:t>
            </w:r>
          </w:p>
        </w:tc>
        <w:tc>
          <w:tcPr>
            <w:tcW w:w="996" w:type="dxa"/>
            <w:tcBorders>
              <w:top w:val="nil"/>
              <w:left w:val="nil"/>
              <w:bottom w:val="single" w:sz="8" w:space="0" w:color="auto"/>
              <w:right w:val="single" w:sz="8" w:space="0" w:color="auto"/>
            </w:tcBorders>
            <w:shd w:val="clear" w:color="auto" w:fill="auto"/>
            <w:vAlign w:val="center"/>
            <w:hideMark/>
          </w:tcPr>
          <w:p w14:paraId="7B2BD483"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95,5</w:t>
            </w:r>
          </w:p>
        </w:tc>
        <w:tc>
          <w:tcPr>
            <w:tcW w:w="998" w:type="dxa"/>
            <w:tcBorders>
              <w:top w:val="nil"/>
              <w:left w:val="nil"/>
              <w:bottom w:val="single" w:sz="8" w:space="0" w:color="auto"/>
              <w:right w:val="single" w:sz="8" w:space="0" w:color="auto"/>
            </w:tcBorders>
            <w:shd w:val="clear" w:color="auto" w:fill="auto"/>
            <w:vAlign w:val="center"/>
            <w:hideMark/>
          </w:tcPr>
          <w:p w14:paraId="5B849F7F"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89,3</w:t>
            </w:r>
          </w:p>
        </w:tc>
      </w:tr>
      <w:tr w:rsidR="00377989" w:rsidRPr="00377989" w14:paraId="2143DAD0" w14:textId="77777777" w:rsidTr="005F06E2">
        <w:trPr>
          <w:trHeight w:val="716"/>
        </w:trPr>
        <w:tc>
          <w:tcPr>
            <w:tcW w:w="2512" w:type="dxa"/>
            <w:tcBorders>
              <w:top w:val="nil"/>
              <w:left w:val="single" w:sz="8" w:space="0" w:color="auto"/>
              <w:bottom w:val="single" w:sz="8" w:space="0" w:color="auto"/>
              <w:right w:val="single" w:sz="8" w:space="0" w:color="auto"/>
            </w:tcBorders>
            <w:shd w:val="clear" w:color="000000" w:fill="31849B"/>
            <w:vAlign w:val="center"/>
            <w:hideMark/>
          </w:tcPr>
          <w:p w14:paraId="19BEB951" w14:textId="77777777" w:rsidR="00377989" w:rsidRPr="00377989" w:rsidRDefault="00377989" w:rsidP="00377989">
            <w:pPr>
              <w:spacing w:after="0" w:line="240" w:lineRule="auto"/>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 xml:space="preserve">Terjani dolg po opominih in sklepih SKUPAJ  </w:t>
            </w:r>
          </w:p>
        </w:tc>
        <w:tc>
          <w:tcPr>
            <w:tcW w:w="996" w:type="dxa"/>
            <w:tcBorders>
              <w:top w:val="nil"/>
              <w:left w:val="nil"/>
              <w:bottom w:val="single" w:sz="8" w:space="0" w:color="auto"/>
              <w:right w:val="single" w:sz="8" w:space="0" w:color="auto"/>
            </w:tcBorders>
            <w:shd w:val="clear" w:color="000000" w:fill="31849B"/>
            <w:vAlign w:val="center"/>
            <w:hideMark/>
          </w:tcPr>
          <w:p w14:paraId="44D8296C" w14:textId="77777777" w:rsidR="00377989" w:rsidRPr="00377989" w:rsidRDefault="00377989" w:rsidP="00377989">
            <w:pPr>
              <w:spacing w:after="0" w:line="240" w:lineRule="auto"/>
              <w:jc w:val="right"/>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848.102</w:t>
            </w:r>
          </w:p>
        </w:tc>
        <w:tc>
          <w:tcPr>
            <w:tcW w:w="1185" w:type="dxa"/>
            <w:tcBorders>
              <w:top w:val="nil"/>
              <w:left w:val="nil"/>
              <w:bottom w:val="single" w:sz="8" w:space="0" w:color="auto"/>
              <w:right w:val="single" w:sz="8" w:space="0" w:color="auto"/>
            </w:tcBorders>
            <w:shd w:val="clear" w:color="000000" w:fill="31849B"/>
            <w:vAlign w:val="center"/>
            <w:hideMark/>
          </w:tcPr>
          <w:p w14:paraId="33B9FBA3" w14:textId="77777777" w:rsidR="00377989" w:rsidRPr="00377989" w:rsidRDefault="00377989" w:rsidP="00377989">
            <w:pPr>
              <w:spacing w:after="0" w:line="240" w:lineRule="auto"/>
              <w:jc w:val="right"/>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919.803.550</w:t>
            </w:r>
          </w:p>
        </w:tc>
        <w:tc>
          <w:tcPr>
            <w:tcW w:w="996" w:type="dxa"/>
            <w:tcBorders>
              <w:top w:val="nil"/>
              <w:left w:val="nil"/>
              <w:bottom w:val="single" w:sz="8" w:space="0" w:color="auto"/>
              <w:right w:val="single" w:sz="8" w:space="0" w:color="auto"/>
            </w:tcBorders>
            <w:shd w:val="clear" w:color="000000" w:fill="31849B"/>
            <w:vAlign w:val="center"/>
            <w:hideMark/>
          </w:tcPr>
          <w:p w14:paraId="00F7692C" w14:textId="77777777" w:rsidR="00377989" w:rsidRPr="00377989" w:rsidRDefault="00377989" w:rsidP="00377989">
            <w:pPr>
              <w:spacing w:after="0" w:line="240" w:lineRule="auto"/>
              <w:jc w:val="right"/>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1.129.847</w:t>
            </w:r>
          </w:p>
        </w:tc>
        <w:tc>
          <w:tcPr>
            <w:tcW w:w="1350" w:type="dxa"/>
            <w:tcBorders>
              <w:top w:val="nil"/>
              <w:left w:val="nil"/>
              <w:bottom w:val="single" w:sz="8" w:space="0" w:color="auto"/>
              <w:right w:val="single" w:sz="8" w:space="0" w:color="auto"/>
            </w:tcBorders>
            <w:shd w:val="clear" w:color="000000" w:fill="31849B"/>
            <w:vAlign w:val="center"/>
            <w:hideMark/>
          </w:tcPr>
          <w:p w14:paraId="2E8A5F01" w14:textId="77777777" w:rsidR="00377989" w:rsidRPr="00377989" w:rsidRDefault="00377989" w:rsidP="00377989">
            <w:pPr>
              <w:spacing w:after="0" w:line="240" w:lineRule="auto"/>
              <w:jc w:val="right"/>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1.193.392.380</w:t>
            </w:r>
          </w:p>
        </w:tc>
        <w:tc>
          <w:tcPr>
            <w:tcW w:w="996" w:type="dxa"/>
            <w:tcBorders>
              <w:top w:val="nil"/>
              <w:left w:val="nil"/>
              <w:bottom w:val="single" w:sz="8" w:space="0" w:color="auto"/>
              <w:right w:val="single" w:sz="8" w:space="0" w:color="auto"/>
            </w:tcBorders>
            <w:shd w:val="clear" w:color="000000" w:fill="31849B"/>
            <w:vAlign w:val="center"/>
            <w:hideMark/>
          </w:tcPr>
          <w:p w14:paraId="0D6B6EAD" w14:textId="77777777" w:rsidR="00377989" w:rsidRPr="00377989" w:rsidRDefault="00377989" w:rsidP="00377989">
            <w:pPr>
              <w:spacing w:after="0" w:line="240" w:lineRule="auto"/>
              <w:jc w:val="right"/>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133,2</w:t>
            </w:r>
          </w:p>
        </w:tc>
        <w:tc>
          <w:tcPr>
            <w:tcW w:w="998" w:type="dxa"/>
            <w:tcBorders>
              <w:top w:val="nil"/>
              <w:left w:val="nil"/>
              <w:bottom w:val="single" w:sz="8" w:space="0" w:color="auto"/>
              <w:right w:val="single" w:sz="8" w:space="0" w:color="auto"/>
            </w:tcBorders>
            <w:shd w:val="clear" w:color="000000" w:fill="31849B"/>
            <w:vAlign w:val="center"/>
            <w:hideMark/>
          </w:tcPr>
          <w:p w14:paraId="6D81A27F" w14:textId="77777777" w:rsidR="00377989" w:rsidRPr="00377989" w:rsidRDefault="00377989" w:rsidP="00377989">
            <w:pPr>
              <w:spacing w:after="0" w:line="240" w:lineRule="auto"/>
              <w:jc w:val="right"/>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129,7</w:t>
            </w:r>
          </w:p>
        </w:tc>
      </w:tr>
      <w:tr w:rsidR="00377989" w:rsidRPr="00377989" w14:paraId="7A13D1D7" w14:textId="77777777" w:rsidTr="005F06E2">
        <w:trPr>
          <w:trHeight w:val="702"/>
        </w:trPr>
        <w:tc>
          <w:tcPr>
            <w:tcW w:w="2512" w:type="dxa"/>
            <w:tcBorders>
              <w:top w:val="nil"/>
              <w:left w:val="single" w:sz="8" w:space="0" w:color="auto"/>
              <w:bottom w:val="single" w:sz="8" w:space="0" w:color="auto"/>
              <w:right w:val="single" w:sz="8" w:space="0" w:color="auto"/>
            </w:tcBorders>
            <w:shd w:val="clear" w:color="000000" w:fill="31849B"/>
            <w:vAlign w:val="center"/>
            <w:hideMark/>
          </w:tcPr>
          <w:p w14:paraId="432E1263" w14:textId="77777777" w:rsidR="00377989" w:rsidRPr="00377989" w:rsidRDefault="00377989" w:rsidP="00377989">
            <w:pPr>
              <w:spacing w:after="0" w:line="240" w:lineRule="auto"/>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Realizacija po opominih in sklepih SKUPAJ</w:t>
            </w:r>
          </w:p>
        </w:tc>
        <w:tc>
          <w:tcPr>
            <w:tcW w:w="996" w:type="dxa"/>
            <w:tcBorders>
              <w:top w:val="nil"/>
              <w:left w:val="nil"/>
              <w:bottom w:val="single" w:sz="8" w:space="0" w:color="auto"/>
              <w:right w:val="single" w:sz="8" w:space="0" w:color="auto"/>
            </w:tcBorders>
            <w:shd w:val="clear" w:color="000000" w:fill="31849B"/>
            <w:vAlign w:val="center"/>
            <w:hideMark/>
          </w:tcPr>
          <w:p w14:paraId="59843BFA" w14:textId="77777777" w:rsidR="00377989" w:rsidRPr="00377989" w:rsidRDefault="00377989" w:rsidP="00377989">
            <w:pPr>
              <w:spacing w:after="0" w:line="240" w:lineRule="auto"/>
              <w:jc w:val="right"/>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727.732</w:t>
            </w:r>
          </w:p>
        </w:tc>
        <w:tc>
          <w:tcPr>
            <w:tcW w:w="1185" w:type="dxa"/>
            <w:tcBorders>
              <w:top w:val="nil"/>
              <w:left w:val="nil"/>
              <w:bottom w:val="single" w:sz="8" w:space="0" w:color="auto"/>
              <w:right w:val="single" w:sz="8" w:space="0" w:color="auto"/>
            </w:tcBorders>
            <w:shd w:val="clear" w:color="000000" w:fill="31849B"/>
            <w:vAlign w:val="center"/>
            <w:hideMark/>
          </w:tcPr>
          <w:p w14:paraId="40FDC1C2" w14:textId="77777777" w:rsidR="00377989" w:rsidRPr="00377989" w:rsidRDefault="00377989" w:rsidP="00377989">
            <w:pPr>
              <w:spacing w:after="0" w:line="240" w:lineRule="auto"/>
              <w:jc w:val="right"/>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343.759.061</w:t>
            </w:r>
          </w:p>
        </w:tc>
        <w:tc>
          <w:tcPr>
            <w:tcW w:w="996" w:type="dxa"/>
            <w:tcBorders>
              <w:top w:val="nil"/>
              <w:left w:val="nil"/>
              <w:bottom w:val="single" w:sz="8" w:space="0" w:color="auto"/>
              <w:right w:val="single" w:sz="8" w:space="0" w:color="auto"/>
            </w:tcBorders>
            <w:shd w:val="clear" w:color="000000" w:fill="31849B"/>
            <w:vAlign w:val="center"/>
            <w:hideMark/>
          </w:tcPr>
          <w:p w14:paraId="61FF0472" w14:textId="77777777" w:rsidR="00377989" w:rsidRPr="00377989" w:rsidRDefault="00377989" w:rsidP="00377989">
            <w:pPr>
              <w:spacing w:after="0" w:line="240" w:lineRule="auto"/>
              <w:jc w:val="right"/>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925.196</w:t>
            </w:r>
          </w:p>
        </w:tc>
        <w:tc>
          <w:tcPr>
            <w:tcW w:w="1350" w:type="dxa"/>
            <w:tcBorders>
              <w:top w:val="nil"/>
              <w:left w:val="nil"/>
              <w:bottom w:val="single" w:sz="8" w:space="0" w:color="auto"/>
              <w:right w:val="single" w:sz="8" w:space="0" w:color="auto"/>
            </w:tcBorders>
            <w:shd w:val="clear" w:color="000000" w:fill="31849B"/>
            <w:vAlign w:val="center"/>
            <w:hideMark/>
          </w:tcPr>
          <w:p w14:paraId="0F5A6282" w14:textId="77777777" w:rsidR="00377989" w:rsidRPr="00377989" w:rsidRDefault="00377989" w:rsidP="00377989">
            <w:pPr>
              <w:spacing w:after="0" w:line="240" w:lineRule="auto"/>
              <w:jc w:val="right"/>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452.703.923</w:t>
            </w:r>
          </w:p>
        </w:tc>
        <w:tc>
          <w:tcPr>
            <w:tcW w:w="996" w:type="dxa"/>
            <w:tcBorders>
              <w:top w:val="nil"/>
              <w:left w:val="nil"/>
              <w:bottom w:val="single" w:sz="8" w:space="0" w:color="auto"/>
              <w:right w:val="single" w:sz="8" w:space="0" w:color="auto"/>
            </w:tcBorders>
            <w:shd w:val="clear" w:color="000000" w:fill="31849B"/>
            <w:vAlign w:val="center"/>
            <w:hideMark/>
          </w:tcPr>
          <w:p w14:paraId="1981C795" w14:textId="77777777" w:rsidR="00377989" w:rsidRPr="00377989" w:rsidRDefault="00377989" w:rsidP="00377989">
            <w:pPr>
              <w:spacing w:after="0" w:line="240" w:lineRule="auto"/>
              <w:jc w:val="right"/>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127,1</w:t>
            </w:r>
          </w:p>
        </w:tc>
        <w:tc>
          <w:tcPr>
            <w:tcW w:w="998" w:type="dxa"/>
            <w:tcBorders>
              <w:top w:val="nil"/>
              <w:left w:val="nil"/>
              <w:bottom w:val="single" w:sz="8" w:space="0" w:color="auto"/>
              <w:right w:val="single" w:sz="8" w:space="0" w:color="auto"/>
            </w:tcBorders>
            <w:shd w:val="clear" w:color="000000" w:fill="31849B"/>
            <w:vAlign w:val="center"/>
            <w:hideMark/>
          </w:tcPr>
          <w:p w14:paraId="22D25501" w14:textId="77777777" w:rsidR="00377989" w:rsidRPr="00377989" w:rsidRDefault="00377989" w:rsidP="00377989">
            <w:pPr>
              <w:spacing w:after="0" w:line="240" w:lineRule="auto"/>
              <w:jc w:val="right"/>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131,7</w:t>
            </w:r>
          </w:p>
        </w:tc>
      </w:tr>
    </w:tbl>
    <w:p w14:paraId="33A87FAC" w14:textId="2E04F33C" w:rsidR="004B7622" w:rsidRDefault="004B7622" w:rsidP="004B7622">
      <w:pPr>
        <w:ind w:hanging="110"/>
        <w:rPr>
          <w:rFonts w:ascii="Arial" w:hAnsi="Arial" w:cs="Arial"/>
          <w:i/>
          <w:color w:val="000000"/>
          <w:sz w:val="20"/>
          <w:szCs w:val="20"/>
        </w:rPr>
      </w:pPr>
      <w:r w:rsidRPr="00601714">
        <w:rPr>
          <w:rFonts w:ascii="Arial" w:hAnsi="Arial" w:cs="Arial"/>
          <w:i/>
          <w:color w:val="000000"/>
          <w:sz w:val="20"/>
          <w:szCs w:val="20"/>
        </w:rPr>
        <w:t xml:space="preserve"> Vir: FURS</w:t>
      </w:r>
    </w:p>
    <w:p w14:paraId="0EF4090F" w14:textId="77777777" w:rsidR="00377989" w:rsidRDefault="00377989" w:rsidP="004B7622">
      <w:pPr>
        <w:ind w:hanging="110"/>
        <w:rPr>
          <w:rFonts w:ascii="Arial" w:hAnsi="Arial" w:cs="Arial"/>
          <w:i/>
          <w:color w:val="000000"/>
          <w:sz w:val="20"/>
          <w:szCs w:val="20"/>
        </w:rPr>
      </w:pPr>
    </w:p>
    <w:p w14:paraId="6236C8F1" w14:textId="77777777" w:rsidR="004B7622" w:rsidRPr="001E5D5E" w:rsidRDefault="004B7622" w:rsidP="004B7622">
      <w:pPr>
        <w:tabs>
          <w:tab w:val="left" w:pos="1260"/>
        </w:tabs>
        <w:jc w:val="both"/>
        <w:rPr>
          <w:rFonts w:ascii="Arial" w:hAnsi="Arial" w:cs="Arial"/>
          <w:sz w:val="20"/>
          <w:szCs w:val="20"/>
        </w:rPr>
      </w:pPr>
      <w:r w:rsidRPr="001D1E58">
        <w:rPr>
          <w:rFonts w:ascii="Arial" w:hAnsi="Arial" w:cs="Arial"/>
          <w:sz w:val="20"/>
          <w:szCs w:val="20"/>
        </w:rPr>
        <w:lastRenderedPageBreak/>
        <w:t xml:space="preserve">Tudi v letu 2021 je bilo na področju davčne izvršbe zaznati vpliv epidemije COVID-19. V skladu z </w:t>
      </w:r>
      <w:r w:rsidRPr="001C278F">
        <w:rPr>
          <w:rFonts w:ascii="Arial" w:hAnsi="Arial" w:cs="Arial"/>
          <w:sz w:val="20"/>
          <w:szCs w:val="20"/>
        </w:rPr>
        <w:t xml:space="preserve">Zakonom o interventnih ukrepih za pomoč pri omilitvi posledic drugega vala epidemije COVID-19 – (ZIUPOPDVE)  je v času od 31. 12. 2020 do 18. 4. 2021 veljala omejitev uvedbe novih postopkov davčne </w:t>
      </w:r>
      <w:r w:rsidRPr="001D1E58">
        <w:rPr>
          <w:rFonts w:ascii="Arial" w:hAnsi="Arial" w:cs="Arial"/>
          <w:sz w:val="20"/>
          <w:szCs w:val="20"/>
        </w:rPr>
        <w:t>izvršbe oziroma izdaja sklepov o davčni izvršbi. Izjemoma, se je v navedenem času, lahko davčna izvršba začela le v nujnih zadevah, ko je davčni organ na podlagi podatkov, s katerimi je razpolagal, utemeljeno pričakoval, da bo plačilo obveznih dajatev ali drugih denarnih nedavčnih obveznosti, ki jih izterjuje, po prenehanju ukrepa, onemogočeno ali precej oteženo. Naveden ukrep ni vplival na postopke davčne izvršbe, ki so bili začeti že pred uveljavitvijo ZIUPOPDVE, kar je pomenilo, da so se že začeti postopki davčne izvršbe lahko nadaljevali.</w:t>
      </w:r>
      <w:r w:rsidRPr="001E5D5E">
        <w:rPr>
          <w:rFonts w:ascii="Arial" w:hAnsi="Arial" w:cs="Arial"/>
          <w:sz w:val="20"/>
          <w:szCs w:val="20"/>
        </w:rPr>
        <w:t xml:space="preserve"> </w:t>
      </w:r>
    </w:p>
    <w:p w14:paraId="6AC7BAA0" w14:textId="77777777" w:rsidR="004B7622" w:rsidRPr="001E5D5E" w:rsidRDefault="004B7622" w:rsidP="004B7622">
      <w:pPr>
        <w:tabs>
          <w:tab w:val="left" w:pos="1260"/>
        </w:tabs>
        <w:jc w:val="both"/>
        <w:rPr>
          <w:rFonts w:ascii="Arial" w:hAnsi="Arial" w:cs="Arial"/>
          <w:sz w:val="20"/>
          <w:szCs w:val="20"/>
        </w:rPr>
      </w:pPr>
      <w:r w:rsidRPr="001E5D5E">
        <w:rPr>
          <w:rFonts w:ascii="Arial" w:hAnsi="Arial" w:cs="Arial"/>
          <w:sz w:val="20"/>
          <w:szCs w:val="20"/>
        </w:rPr>
        <w:t xml:space="preserve">Prav tako so bili v obdobju od 31. 12. 2020 do 18. 4. 2021 v skladu ZIUPOPDVE odloženi tudi vsi  postopkih izvršbe na nepremičnine, delež družbenika v družbi ter iz premoženjskih pravic zoper dolžnike – fizične osebe, ki so jih sodišča začela na predlog davčnega organa pred uveljavitvijo zakona in še niso bili zaključeni. </w:t>
      </w:r>
    </w:p>
    <w:p w14:paraId="0B4F7208" w14:textId="77777777" w:rsidR="004B7622" w:rsidRPr="001E5D5E" w:rsidRDefault="004B7622" w:rsidP="004B7622">
      <w:pPr>
        <w:tabs>
          <w:tab w:val="left" w:pos="1260"/>
        </w:tabs>
        <w:jc w:val="both"/>
        <w:rPr>
          <w:rFonts w:ascii="Arial" w:hAnsi="Arial" w:cs="Arial"/>
          <w:sz w:val="20"/>
          <w:szCs w:val="20"/>
        </w:rPr>
      </w:pPr>
      <w:r w:rsidRPr="001E5D5E">
        <w:rPr>
          <w:rFonts w:ascii="Arial" w:hAnsi="Arial" w:cs="Arial"/>
          <w:sz w:val="20"/>
          <w:szCs w:val="20"/>
        </w:rPr>
        <w:t xml:space="preserve">Ne glede na navedene omejitve je bilo </w:t>
      </w:r>
      <w:r>
        <w:rPr>
          <w:rFonts w:ascii="Arial" w:hAnsi="Arial" w:cs="Arial"/>
          <w:sz w:val="20"/>
          <w:szCs w:val="20"/>
        </w:rPr>
        <w:t xml:space="preserve">v </w:t>
      </w:r>
      <w:r w:rsidRPr="001E5D5E">
        <w:rPr>
          <w:rFonts w:ascii="Arial" w:hAnsi="Arial" w:cs="Arial"/>
          <w:sz w:val="20"/>
          <w:szCs w:val="20"/>
        </w:rPr>
        <w:t xml:space="preserve">primerjavi s preteklim letom v letu 2021 izterjano za 108.944.862 </w:t>
      </w:r>
      <w:r>
        <w:rPr>
          <w:rFonts w:ascii="Arial" w:hAnsi="Arial" w:cs="Arial"/>
          <w:sz w:val="20"/>
          <w:szCs w:val="20"/>
        </w:rPr>
        <w:t>EUR</w:t>
      </w:r>
      <w:r w:rsidRPr="001E5D5E">
        <w:rPr>
          <w:rFonts w:ascii="Arial" w:hAnsi="Arial" w:cs="Arial"/>
          <w:sz w:val="20"/>
          <w:szCs w:val="20"/>
        </w:rPr>
        <w:t xml:space="preserve"> več dolga. Navedeno je moč pripisati tudi povečanju aktivnosti na področju opominjanja in pozivanja dolžnikov k prostovoljnemu plačevanju neporavnanih obveznosti. V letu 2021 je bila namreč dopolnjena strategija opominjanja, ki po novem zagotavlja, da se zavezancem, zoper katere se že začeti postopki davčne izvršbe, izda opomin tudi za novo zapadle obveznosti. Prav tako so se v letu 2021 začeli izdajati opomini tudi zoper zavezance v postopkih zaradi insolventnosti, in sicer za zapadle neplačane obveznosti, nastale po začetku postopka zaradi insolventnosti. Opominjanje je potekalo ves čas  drugega vala epidemije Covid-19, ko so veljali interventni ukrepi </w:t>
      </w:r>
      <w:proofErr w:type="spellStart"/>
      <w:r w:rsidRPr="001E5D5E">
        <w:rPr>
          <w:rFonts w:ascii="Arial" w:hAnsi="Arial" w:cs="Arial"/>
          <w:sz w:val="20"/>
          <w:szCs w:val="20"/>
        </w:rPr>
        <w:t>t.j</w:t>
      </w:r>
      <w:proofErr w:type="spellEnd"/>
      <w:r w:rsidRPr="001E5D5E">
        <w:rPr>
          <w:rFonts w:ascii="Arial" w:hAnsi="Arial" w:cs="Arial"/>
          <w:sz w:val="20"/>
          <w:szCs w:val="20"/>
        </w:rPr>
        <w:t>. v obdobju od 31. 12. 2020 do 18. 4. 2021.</w:t>
      </w:r>
    </w:p>
    <w:p w14:paraId="01D65196" w14:textId="77777777" w:rsidR="004B7622" w:rsidRPr="001E5D5E" w:rsidRDefault="004B7622" w:rsidP="004B7622">
      <w:pPr>
        <w:tabs>
          <w:tab w:val="left" w:pos="1260"/>
        </w:tabs>
        <w:jc w:val="both"/>
        <w:rPr>
          <w:rFonts w:ascii="Arial" w:hAnsi="Arial" w:cs="Arial"/>
          <w:sz w:val="20"/>
          <w:szCs w:val="20"/>
        </w:rPr>
      </w:pPr>
      <w:r w:rsidRPr="001E5D5E">
        <w:rPr>
          <w:rFonts w:ascii="Arial" w:hAnsi="Arial" w:cs="Arial"/>
          <w:sz w:val="20"/>
          <w:szCs w:val="20"/>
        </w:rPr>
        <w:t>V letu 2021 je zaradi precejšnjega obsega odobrenih plačilnih ugodnosti po interventni zakonodaji  potekalo tudi obveščanje zavezancev pred razvezavo obročnega načrta odplačila dolga iz naslova davkov.  V juliju 2021 je bila vzpostavljena nova obdelava za izdajo obvestil o zapadlem neplačanem odlogu oziroma obroku po posameznem obročnem načrtu odplačila davkov, s katerimi  se zavezance poziva k prostovoljnemu plačilu zamujenih obveznosti oziroma uskladitvi knjigovodskega stanja v primeru uporabe napačne reference za plačilo ali iz drugih razlogov. Zavezancem je bilo tako v 6 mesecih poslano še 9.320 obvestil o neplačanem zapadlem odlogu oziroma obroku za davčne obveznosti.</w:t>
      </w:r>
    </w:p>
    <w:p w14:paraId="16048F35" w14:textId="1D90C6BE" w:rsidR="004B7622" w:rsidRPr="001E5D5E" w:rsidRDefault="004B7622" w:rsidP="004B7622">
      <w:pPr>
        <w:tabs>
          <w:tab w:val="left" w:pos="1260"/>
        </w:tabs>
        <w:jc w:val="both"/>
        <w:rPr>
          <w:rFonts w:ascii="Arial" w:hAnsi="Arial" w:cs="Arial"/>
          <w:sz w:val="20"/>
          <w:szCs w:val="20"/>
        </w:rPr>
      </w:pPr>
      <w:r w:rsidRPr="001E5D5E">
        <w:rPr>
          <w:rFonts w:ascii="Arial" w:hAnsi="Arial" w:cs="Arial"/>
          <w:sz w:val="20"/>
          <w:szCs w:val="20"/>
        </w:rPr>
        <w:t xml:space="preserve">Na učinke izterjave so vplivali tudi interventni ukrepi za omilitev posledic drugega vala epidemije nalezljive bolezni COVID-19, ki so poslovnim subjektom omogočili uveljavljanje pravic do odloga oziroma obročnega plačila davkov. Skupno je bilo v letu 2021 po interventni zakonodaji odobrenih za </w:t>
      </w:r>
      <w:r w:rsidR="00AD6114">
        <w:rPr>
          <w:rFonts w:ascii="Arial" w:hAnsi="Arial" w:cs="Arial"/>
          <w:sz w:val="20"/>
          <w:szCs w:val="20"/>
        </w:rPr>
        <w:t>138.477.452</w:t>
      </w:r>
      <w:r w:rsidRPr="00DF5FDE">
        <w:rPr>
          <w:rFonts w:ascii="Arial" w:hAnsi="Arial" w:cs="Arial"/>
          <w:sz w:val="20"/>
          <w:szCs w:val="20"/>
        </w:rPr>
        <w:t xml:space="preserve"> EUR odlogov</w:t>
      </w:r>
      <w:r w:rsidRPr="001E5D5E">
        <w:rPr>
          <w:rFonts w:ascii="Arial" w:hAnsi="Arial" w:cs="Arial"/>
          <w:sz w:val="20"/>
          <w:szCs w:val="20"/>
        </w:rPr>
        <w:t xml:space="preserve"> in obročnih plačil, ki bi bila v primeru, da do epidemije ne bi prišlo, prostovoljno poravnana ali predmet postopkov izvršbe v letu 2021. </w:t>
      </w:r>
    </w:p>
    <w:p w14:paraId="47F6A212" w14:textId="77777777" w:rsidR="004B7622" w:rsidRPr="00D459C5" w:rsidRDefault="004B7622" w:rsidP="004B7622">
      <w:pPr>
        <w:tabs>
          <w:tab w:val="left" w:pos="1260"/>
        </w:tabs>
        <w:jc w:val="both"/>
        <w:rPr>
          <w:rFonts w:ascii="Arial" w:hAnsi="Arial" w:cs="Arial"/>
          <w:sz w:val="20"/>
          <w:szCs w:val="20"/>
        </w:rPr>
      </w:pPr>
      <w:r w:rsidRPr="001E5D5E">
        <w:rPr>
          <w:rFonts w:ascii="Arial" w:hAnsi="Arial" w:cs="Arial"/>
          <w:sz w:val="20"/>
          <w:szCs w:val="20"/>
        </w:rPr>
        <w:t xml:space="preserve">Dodatno je na učinke izterjave vplival zmanjšan davčni dolg in povečan delež prostovoljno plačanih dajatev, kar pomeni še pred začetkom davčne izvršbe, ki je </w:t>
      </w:r>
      <w:r w:rsidRPr="000638CF">
        <w:rPr>
          <w:rFonts w:ascii="Arial" w:hAnsi="Arial" w:cs="Arial"/>
          <w:sz w:val="20"/>
          <w:szCs w:val="20"/>
        </w:rPr>
        <w:t xml:space="preserve">v 2021 znašal 97,2 </w:t>
      </w:r>
      <w:r>
        <w:rPr>
          <w:rFonts w:ascii="Arial" w:hAnsi="Arial" w:cs="Arial"/>
          <w:sz w:val="20"/>
          <w:szCs w:val="20"/>
        </w:rPr>
        <w:t>odstotka</w:t>
      </w:r>
      <w:r w:rsidRPr="000638CF">
        <w:rPr>
          <w:rFonts w:ascii="Arial" w:hAnsi="Arial" w:cs="Arial"/>
          <w:sz w:val="20"/>
          <w:szCs w:val="20"/>
        </w:rPr>
        <w:t>.</w:t>
      </w:r>
      <w:r w:rsidRPr="001E5D5E">
        <w:rPr>
          <w:rFonts w:ascii="Arial" w:hAnsi="Arial" w:cs="Arial"/>
          <w:sz w:val="20"/>
          <w:szCs w:val="20"/>
        </w:rPr>
        <w:t xml:space="preserve"> </w:t>
      </w:r>
    </w:p>
    <w:p w14:paraId="5BB477C3" w14:textId="77777777" w:rsidR="004B7622" w:rsidRDefault="004B7622" w:rsidP="004B7622">
      <w:pPr>
        <w:spacing w:line="260" w:lineRule="exact"/>
        <w:contextualSpacing/>
        <w:jc w:val="both"/>
        <w:rPr>
          <w:rFonts w:ascii="Arial" w:hAnsi="Arial" w:cs="Arial"/>
          <w:bCs/>
          <w:sz w:val="20"/>
          <w:szCs w:val="20"/>
        </w:rPr>
      </w:pPr>
    </w:p>
    <w:p w14:paraId="35634AE8" w14:textId="77777777" w:rsidR="004B7622" w:rsidRDefault="004B7622" w:rsidP="004B7622">
      <w:pPr>
        <w:spacing w:line="260" w:lineRule="exact"/>
        <w:contextualSpacing/>
        <w:jc w:val="both"/>
        <w:rPr>
          <w:rFonts w:ascii="Arial" w:hAnsi="Arial" w:cs="Arial"/>
          <w:bCs/>
          <w:sz w:val="20"/>
          <w:szCs w:val="20"/>
        </w:rPr>
      </w:pPr>
    </w:p>
    <w:p w14:paraId="3D3D82AB" w14:textId="77777777" w:rsidR="004B7622" w:rsidRDefault="004B7622" w:rsidP="004B7622">
      <w:pPr>
        <w:spacing w:line="260" w:lineRule="exact"/>
        <w:contextualSpacing/>
        <w:jc w:val="both"/>
        <w:rPr>
          <w:rFonts w:ascii="Arial" w:hAnsi="Arial" w:cs="Arial"/>
          <w:bCs/>
          <w:sz w:val="20"/>
          <w:szCs w:val="20"/>
        </w:rPr>
      </w:pPr>
    </w:p>
    <w:p w14:paraId="7BCAB288" w14:textId="77777777" w:rsidR="004B7622" w:rsidRDefault="004B7622" w:rsidP="004B7622">
      <w:pPr>
        <w:spacing w:line="260" w:lineRule="exact"/>
        <w:contextualSpacing/>
        <w:jc w:val="both"/>
        <w:rPr>
          <w:rFonts w:ascii="Arial" w:hAnsi="Arial" w:cs="Arial"/>
          <w:bCs/>
          <w:sz w:val="20"/>
          <w:szCs w:val="20"/>
        </w:rPr>
      </w:pPr>
    </w:p>
    <w:p w14:paraId="2A30187F" w14:textId="77777777" w:rsidR="004B7622" w:rsidRDefault="004B7622" w:rsidP="004B7622">
      <w:pPr>
        <w:spacing w:line="260" w:lineRule="exact"/>
        <w:contextualSpacing/>
        <w:jc w:val="both"/>
        <w:rPr>
          <w:rFonts w:ascii="Arial" w:hAnsi="Arial" w:cs="Arial"/>
          <w:bCs/>
          <w:sz w:val="20"/>
          <w:szCs w:val="20"/>
        </w:rPr>
      </w:pPr>
    </w:p>
    <w:p w14:paraId="12289B2D" w14:textId="77777777" w:rsidR="004B7622" w:rsidRDefault="004B7622" w:rsidP="004B7622">
      <w:pPr>
        <w:spacing w:line="260" w:lineRule="exact"/>
        <w:contextualSpacing/>
        <w:jc w:val="both"/>
        <w:rPr>
          <w:rFonts w:ascii="Arial" w:hAnsi="Arial" w:cs="Arial"/>
          <w:bCs/>
          <w:sz w:val="20"/>
          <w:szCs w:val="20"/>
        </w:rPr>
      </w:pPr>
    </w:p>
    <w:p w14:paraId="3AD5DB6C" w14:textId="77777777" w:rsidR="004B7622" w:rsidRDefault="004B7622" w:rsidP="004B7622">
      <w:pPr>
        <w:spacing w:line="260" w:lineRule="exact"/>
        <w:contextualSpacing/>
        <w:jc w:val="both"/>
        <w:rPr>
          <w:rFonts w:ascii="Arial" w:hAnsi="Arial" w:cs="Arial"/>
          <w:bCs/>
          <w:sz w:val="20"/>
          <w:szCs w:val="20"/>
        </w:rPr>
      </w:pPr>
    </w:p>
    <w:p w14:paraId="394FA26A" w14:textId="77777777" w:rsidR="004B7622" w:rsidRDefault="004B7622" w:rsidP="004B7622">
      <w:pPr>
        <w:spacing w:line="260" w:lineRule="exact"/>
        <w:contextualSpacing/>
        <w:jc w:val="both"/>
        <w:rPr>
          <w:rFonts w:ascii="Arial" w:hAnsi="Arial" w:cs="Arial"/>
          <w:bCs/>
          <w:sz w:val="20"/>
          <w:szCs w:val="20"/>
        </w:rPr>
      </w:pPr>
    </w:p>
    <w:p w14:paraId="3F1690BA" w14:textId="77777777" w:rsidR="004B7622" w:rsidRDefault="004B7622" w:rsidP="004B7622">
      <w:pPr>
        <w:spacing w:line="260" w:lineRule="exact"/>
        <w:contextualSpacing/>
        <w:jc w:val="both"/>
        <w:rPr>
          <w:rFonts w:ascii="Arial" w:hAnsi="Arial" w:cs="Arial"/>
          <w:bCs/>
          <w:sz w:val="20"/>
          <w:szCs w:val="20"/>
        </w:rPr>
      </w:pPr>
    </w:p>
    <w:p w14:paraId="5FBB0FB4" w14:textId="77777777" w:rsidR="004B7622" w:rsidRDefault="004B7622" w:rsidP="004B7622">
      <w:pPr>
        <w:spacing w:line="260" w:lineRule="exact"/>
        <w:contextualSpacing/>
        <w:jc w:val="both"/>
        <w:rPr>
          <w:rFonts w:ascii="Arial" w:hAnsi="Arial" w:cs="Arial"/>
          <w:bCs/>
          <w:sz w:val="20"/>
          <w:szCs w:val="20"/>
        </w:rPr>
      </w:pPr>
    </w:p>
    <w:p w14:paraId="265647F4" w14:textId="77777777" w:rsidR="004B7622" w:rsidRDefault="004B7622" w:rsidP="004B7622">
      <w:pPr>
        <w:spacing w:line="260" w:lineRule="exact"/>
        <w:contextualSpacing/>
        <w:jc w:val="both"/>
        <w:rPr>
          <w:rFonts w:ascii="Arial" w:hAnsi="Arial" w:cs="Arial"/>
          <w:bCs/>
          <w:sz w:val="20"/>
          <w:szCs w:val="20"/>
        </w:rPr>
      </w:pPr>
    </w:p>
    <w:p w14:paraId="57133421" w14:textId="77777777" w:rsidR="004B7622" w:rsidRDefault="004B7622" w:rsidP="004B7622">
      <w:pPr>
        <w:rPr>
          <w:rFonts w:ascii="Arial" w:hAnsi="Arial" w:cs="Arial"/>
          <w:i/>
          <w:sz w:val="20"/>
          <w:szCs w:val="20"/>
        </w:rPr>
      </w:pPr>
      <w:r w:rsidRPr="00E53B72">
        <w:rPr>
          <w:rFonts w:ascii="Arial" w:hAnsi="Arial" w:cs="Arial"/>
          <w:bCs/>
          <w:i/>
          <w:sz w:val="20"/>
          <w:szCs w:val="20"/>
        </w:rPr>
        <w:lastRenderedPageBreak/>
        <w:t>Preglednica</w:t>
      </w:r>
      <w:r w:rsidRPr="00E53B72">
        <w:rPr>
          <w:rFonts w:ascii="Arial" w:hAnsi="Arial" w:cs="Arial"/>
          <w:i/>
          <w:sz w:val="20"/>
          <w:szCs w:val="20"/>
        </w:rPr>
        <w:t xml:space="preserve"> 14: Ukrepi izterjave davkov in drugih obveznih dajatev ter nedavčne </w:t>
      </w:r>
      <w:r>
        <w:rPr>
          <w:rFonts w:ascii="Arial" w:hAnsi="Arial" w:cs="Arial"/>
          <w:i/>
          <w:sz w:val="20"/>
          <w:szCs w:val="20"/>
        </w:rPr>
        <w:t>obveznosti skupaj (zneski v evrih)</w:t>
      </w:r>
    </w:p>
    <w:tbl>
      <w:tblPr>
        <w:tblW w:w="8961" w:type="dxa"/>
        <w:tblCellMar>
          <w:left w:w="70" w:type="dxa"/>
          <w:right w:w="70" w:type="dxa"/>
        </w:tblCellMar>
        <w:tblLook w:val="04A0" w:firstRow="1" w:lastRow="0" w:firstColumn="1" w:lastColumn="0" w:noHBand="0" w:noVBand="1"/>
      </w:tblPr>
      <w:tblGrid>
        <w:gridCol w:w="2234"/>
        <w:gridCol w:w="1055"/>
        <w:gridCol w:w="1449"/>
        <w:gridCol w:w="1076"/>
        <w:gridCol w:w="1510"/>
        <w:gridCol w:w="785"/>
        <w:gridCol w:w="852"/>
      </w:tblGrid>
      <w:tr w:rsidR="004B7622" w:rsidRPr="00D459C5" w14:paraId="12D9D74E" w14:textId="77777777" w:rsidTr="00377989">
        <w:trPr>
          <w:trHeight w:val="269"/>
        </w:trPr>
        <w:tc>
          <w:tcPr>
            <w:tcW w:w="2234" w:type="dxa"/>
            <w:vMerge w:val="restart"/>
            <w:tcBorders>
              <w:top w:val="single" w:sz="4" w:space="0" w:color="auto"/>
              <w:left w:val="single" w:sz="4" w:space="0" w:color="auto"/>
              <w:bottom w:val="single" w:sz="4" w:space="0" w:color="auto"/>
              <w:right w:val="single" w:sz="4" w:space="0" w:color="auto"/>
            </w:tcBorders>
            <w:shd w:val="clear" w:color="000000" w:fill="31869B"/>
            <w:vAlign w:val="center"/>
            <w:hideMark/>
          </w:tcPr>
          <w:p w14:paraId="16C3C3B0" w14:textId="77777777" w:rsidR="004B7622" w:rsidRPr="00D459C5" w:rsidRDefault="004B7622" w:rsidP="00377989">
            <w:pPr>
              <w:spacing w:after="0" w:line="240" w:lineRule="auto"/>
              <w:jc w:val="center"/>
              <w:rPr>
                <w:rFonts w:ascii="Arial" w:eastAsia="Times New Roman" w:hAnsi="Arial" w:cs="Arial"/>
                <w:b/>
                <w:bCs/>
                <w:color w:val="FFFFFF"/>
                <w:sz w:val="18"/>
                <w:szCs w:val="18"/>
                <w:lang w:eastAsia="sl-SI"/>
              </w:rPr>
            </w:pPr>
            <w:r w:rsidRPr="00D459C5">
              <w:rPr>
                <w:rFonts w:ascii="Arial" w:eastAsia="Times New Roman" w:hAnsi="Arial" w:cs="Arial"/>
                <w:b/>
                <w:bCs/>
                <w:color w:val="FFFFFF"/>
                <w:sz w:val="18"/>
                <w:szCs w:val="18"/>
                <w:lang w:eastAsia="sl-SI"/>
              </w:rPr>
              <w:t>UKREPI IZTERJAVE</w:t>
            </w:r>
          </w:p>
        </w:tc>
        <w:tc>
          <w:tcPr>
            <w:tcW w:w="2504" w:type="dxa"/>
            <w:gridSpan w:val="2"/>
            <w:tcBorders>
              <w:top w:val="single" w:sz="4" w:space="0" w:color="auto"/>
              <w:left w:val="nil"/>
              <w:bottom w:val="single" w:sz="4" w:space="0" w:color="auto"/>
              <w:right w:val="single" w:sz="4" w:space="0" w:color="auto"/>
            </w:tcBorders>
            <w:shd w:val="clear" w:color="000000" w:fill="31869B"/>
            <w:vAlign w:val="center"/>
            <w:hideMark/>
          </w:tcPr>
          <w:p w14:paraId="6F36E76A" w14:textId="77777777" w:rsidR="004B7622" w:rsidRPr="00D459C5" w:rsidRDefault="004B7622" w:rsidP="00377989">
            <w:pPr>
              <w:spacing w:after="0" w:line="240" w:lineRule="auto"/>
              <w:jc w:val="center"/>
              <w:rPr>
                <w:rFonts w:ascii="Arial" w:eastAsia="Times New Roman" w:hAnsi="Arial" w:cs="Arial"/>
                <w:b/>
                <w:bCs/>
                <w:color w:val="FFFFFF"/>
                <w:sz w:val="18"/>
                <w:szCs w:val="18"/>
                <w:lang w:eastAsia="sl-SI"/>
              </w:rPr>
            </w:pPr>
            <w:r w:rsidRPr="00D459C5">
              <w:rPr>
                <w:rFonts w:ascii="Arial" w:eastAsia="Times New Roman" w:hAnsi="Arial" w:cs="Arial"/>
                <w:b/>
                <w:bCs/>
                <w:color w:val="FFFFFF"/>
                <w:sz w:val="18"/>
                <w:szCs w:val="18"/>
                <w:lang w:eastAsia="sl-SI"/>
              </w:rPr>
              <w:t>2020</w:t>
            </w:r>
          </w:p>
        </w:tc>
        <w:tc>
          <w:tcPr>
            <w:tcW w:w="2586" w:type="dxa"/>
            <w:gridSpan w:val="2"/>
            <w:tcBorders>
              <w:top w:val="single" w:sz="4" w:space="0" w:color="auto"/>
              <w:left w:val="nil"/>
              <w:bottom w:val="single" w:sz="4" w:space="0" w:color="auto"/>
              <w:right w:val="single" w:sz="4" w:space="0" w:color="auto"/>
            </w:tcBorders>
            <w:shd w:val="clear" w:color="000000" w:fill="31869B"/>
            <w:vAlign w:val="center"/>
            <w:hideMark/>
          </w:tcPr>
          <w:p w14:paraId="2858BB5B" w14:textId="77777777" w:rsidR="004B7622" w:rsidRPr="00D459C5" w:rsidRDefault="004B7622" w:rsidP="00377989">
            <w:pPr>
              <w:spacing w:after="0" w:line="240" w:lineRule="auto"/>
              <w:jc w:val="center"/>
              <w:rPr>
                <w:rFonts w:ascii="Arial" w:eastAsia="Times New Roman" w:hAnsi="Arial" w:cs="Arial"/>
                <w:b/>
                <w:bCs/>
                <w:color w:val="FFFFFF"/>
                <w:sz w:val="18"/>
                <w:szCs w:val="18"/>
                <w:lang w:eastAsia="sl-SI"/>
              </w:rPr>
            </w:pPr>
            <w:r w:rsidRPr="00D459C5">
              <w:rPr>
                <w:rFonts w:ascii="Arial" w:eastAsia="Times New Roman" w:hAnsi="Arial" w:cs="Arial"/>
                <w:b/>
                <w:bCs/>
                <w:color w:val="FFFFFF"/>
                <w:sz w:val="18"/>
                <w:szCs w:val="18"/>
                <w:lang w:eastAsia="sl-SI"/>
              </w:rPr>
              <w:t>2021</w:t>
            </w:r>
          </w:p>
        </w:tc>
        <w:tc>
          <w:tcPr>
            <w:tcW w:w="1635" w:type="dxa"/>
            <w:gridSpan w:val="2"/>
            <w:tcBorders>
              <w:top w:val="single" w:sz="4" w:space="0" w:color="auto"/>
              <w:left w:val="nil"/>
              <w:bottom w:val="single" w:sz="4" w:space="0" w:color="auto"/>
              <w:right w:val="single" w:sz="4" w:space="0" w:color="auto"/>
            </w:tcBorders>
            <w:shd w:val="clear" w:color="000000" w:fill="31869B"/>
            <w:vAlign w:val="center"/>
            <w:hideMark/>
          </w:tcPr>
          <w:p w14:paraId="6F18509F" w14:textId="77777777" w:rsidR="004B7622" w:rsidRPr="00D459C5" w:rsidRDefault="004B7622" w:rsidP="00377989">
            <w:pPr>
              <w:spacing w:after="0" w:line="240" w:lineRule="auto"/>
              <w:jc w:val="center"/>
              <w:rPr>
                <w:rFonts w:ascii="Arial" w:eastAsia="Times New Roman" w:hAnsi="Arial" w:cs="Arial"/>
                <w:b/>
                <w:bCs/>
                <w:color w:val="FFFFFF"/>
                <w:sz w:val="18"/>
                <w:szCs w:val="18"/>
                <w:lang w:eastAsia="sl-SI"/>
              </w:rPr>
            </w:pPr>
            <w:r w:rsidRPr="00D459C5">
              <w:rPr>
                <w:rFonts w:ascii="Arial" w:eastAsia="Times New Roman" w:hAnsi="Arial" w:cs="Arial"/>
                <w:b/>
                <w:bCs/>
                <w:color w:val="FFFFFF"/>
                <w:sz w:val="18"/>
                <w:szCs w:val="18"/>
                <w:lang w:eastAsia="sl-SI"/>
              </w:rPr>
              <w:t>IND</w:t>
            </w:r>
            <w:r w:rsidRPr="00D459C5">
              <w:rPr>
                <w:rFonts w:ascii="Arial" w:eastAsia="Times New Roman" w:hAnsi="Arial" w:cs="Arial"/>
                <w:b/>
                <w:bCs/>
                <w:color w:val="FFFFFF"/>
                <w:sz w:val="18"/>
                <w:szCs w:val="18"/>
                <w:lang w:eastAsia="sl-SI"/>
              </w:rPr>
              <w:br/>
              <w:t xml:space="preserve"> 2021/2020</w:t>
            </w:r>
          </w:p>
        </w:tc>
      </w:tr>
      <w:tr w:rsidR="004B7622" w:rsidRPr="00D459C5" w14:paraId="3A5C9AAB" w14:textId="77777777" w:rsidTr="00377989">
        <w:trPr>
          <w:trHeight w:val="278"/>
        </w:trPr>
        <w:tc>
          <w:tcPr>
            <w:tcW w:w="2234" w:type="dxa"/>
            <w:vMerge/>
            <w:tcBorders>
              <w:top w:val="single" w:sz="4" w:space="0" w:color="auto"/>
              <w:left w:val="single" w:sz="4" w:space="0" w:color="auto"/>
              <w:bottom w:val="single" w:sz="4" w:space="0" w:color="auto"/>
              <w:right w:val="single" w:sz="4" w:space="0" w:color="auto"/>
            </w:tcBorders>
            <w:vAlign w:val="center"/>
            <w:hideMark/>
          </w:tcPr>
          <w:p w14:paraId="4A258268" w14:textId="77777777" w:rsidR="004B7622" w:rsidRPr="00D459C5" w:rsidRDefault="004B7622" w:rsidP="00377989">
            <w:pPr>
              <w:spacing w:after="0" w:line="240" w:lineRule="auto"/>
              <w:rPr>
                <w:rFonts w:ascii="Arial" w:eastAsia="Times New Roman" w:hAnsi="Arial" w:cs="Arial"/>
                <w:b/>
                <w:bCs/>
                <w:color w:val="FFFFFF"/>
                <w:sz w:val="18"/>
                <w:szCs w:val="18"/>
                <w:lang w:eastAsia="sl-SI"/>
              </w:rPr>
            </w:pPr>
          </w:p>
        </w:tc>
        <w:tc>
          <w:tcPr>
            <w:tcW w:w="1055" w:type="dxa"/>
            <w:tcBorders>
              <w:top w:val="nil"/>
              <w:left w:val="nil"/>
              <w:bottom w:val="single" w:sz="4" w:space="0" w:color="auto"/>
              <w:right w:val="single" w:sz="4" w:space="0" w:color="auto"/>
            </w:tcBorders>
            <w:shd w:val="clear" w:color="000000" w:fill="31869B"/>
            <w:vAlign w:val="center"/>
            <w:hideMark/>
          </w:tcPr>
          <w:p w14:paraId="1C08BD07" w14:textId="77777777" w:rsidR="004B7622" w:rsidRPr="00D459C5" w:rsidRDefault="004B7622" w:rsidP="00377989">
            <w:pPr>
              <w:spacing w:after="0" w:line="240" w:lineRule="auto"/>
              <w:jc w:val="center"/>
              <w:rPr>
                <w:rFonts w:ascii="Arial" w:eastAsia="Times New Roman" w:hAnsi="Arial" w:cs="Arial"/>
                <w:b/>
                <w:bCs/>
                <w:color w:val="FFFFFF"/>
                <w:sz w:val="18"/>
                <w:szCs w:val="18"/>
                <w:lang w:eastAsia="sl-SI"/>
              </w:rPr>
            </w:pPr>
            <w:r w:rsidRPr="00D459C5">
              <w:rPr>
                <w:rFonts w:ascii="Arial" w:eastAsia="Times New Roman" w:hAnsi="Arial" w:cs="Arial"/>
                <w:b/>
                <w:bCs/>
                <w:color w:val="FFFFFF"/>
                <w:sz w:val="18"/>
                <w:szCs w:val="18"/>
                <w:lang w:eastAsia="sl-SI"/>
              </w:rPr>
              <w:t>število</w:t>
            </w:r>
          </w:p>
        </w:tc>
        <w:tc>
          <w:tcPr>
            <w:tcW w:w="1448" w:type="dxa"/>
            <w:tcBorders>
              <w:top w:val="nil"/>
              <w:left w:val="nil"/>
              <w:bottom w:val="single" w:sz="4" w:space="0" w:color="auto"/>
              <w:right w:val="single" w:sz="4" w:space="0" w:color="auto"/>
            </w:tcBorders>
            <w:shd w:val="clear" w:color="000000" w:fill="31869B"/>
            <w:vAlign w:val="center"/>
            <w:hideMark/>
          </w:tcPr>
          <w:p w14:paraId="164888F1" w14:textId="77777777" w:rsidR="004B7622" w:rsidRPr="00D459C5" w:rsidRDefault="004B7622" w:rsidP="00377989">
            <w:pPr>
              <w:spacing w:after="0" w:line="240" w:lineRule="auto"/>
              <w:jc w:val="center"/>
              <w:rPr>
                <w:rFonts w:ascii="Arial" w:eastAsia="Times New Roman" w:hAnsi="Arial" w:cs="Arial"/>
                <w:b/>
                <w:bCs/>
                <w:color w:val="FFFFFF"/>
                <w:sz w:val="18"/>
                <w:szCs w:val="18"/>
                <w:lang w:eastAsia="sl-SI"/>
              </w:rPr>
            </w:pPr>
            <w:r w:rsidRPr="00D459C5">
              <w:rPr>
                <w:rFonts w:ascii="Arial" w:eastAsia="Times New Roman" w:hAnsi="Arial" w:cs="Arial"/>
                <w:b/>
                <w:bCs/>
                <w:color w:val="FFFFFF"/>
                <w:sz w:val="18"/>
                <w:szCs w:val="18"/>
                <w:lang w:eastAsia="sl-SI"/>
              </w:rPr>
              <w:t>znesek</w:t>
            </w:r>
          </w:p>
        </w:tc>
        <w:tc>
          <w:tcPr>
            <w:tcW w:w="1076" w:type="dxa"/>
            <w:tcBorders>
              <w:top w:val="nil"/>
              <w:left w:val="nil"/>
              <w:bottom w:val="single" w:sz="4" w:space="0" w:color="auto"/>
              <w:right w:val="single" w:sz="4" w:space="0" w:color="auto"/>
            </w:tcBorders>
            <w:shd w:val="clear" w:color="000000" w:fill="31869B"/>
            <w:vAlign w:val="center"/>
            <w:hideMark/>
          </w:tcPr>
          <w:p w14:paraId="77BA3F64" w14:textId="77777777" w:rsidR="004B7622" w:rsidRPr="00D459C5" w:rsidRDefault="004B7622" w:rsidP="00377989">
            <w:pPr>
              <w:spacing w:after="0" w:line="240" w:lineRule="auto"/>
              <w:jc w:val="center"/>
              <w:rPr>
                <w:rFonts w:ascii="Arial" w:eastAsia="Times New Roman" w:hAnsi="Arial" w:cs="Arial"/>
                <w:b/>
                <w:bCs/>
                <w:color w:val="FFFFFF"/>
                <w:sz w:val="18"/>
                <w:szCs w:val="18"/>
                <w:lang w:eastAsia="sl-SI"/>
              </w:rPr>
            </w:pPr>
            <w:r w:rsidRPr="00D459C5">
              <w:rPr>
                <w:rFonts w:ascii="Arial" w:eastAsia="Times New Roman" w:hAnsi="Arial" w:cs="Arial"/>
                <w:b/>
                <w:bCs/>
                <w:color w:val="FFFFFF"/>
                <w:sz w:val="18"/>
                <w:szCs w:val="18"/>
                <w:lang w:eastAsia="sl-SI"/>
              </w:rPr>
              <w:t>število</w:t>
            </w:r>
          </w:p>
        </w:tc>
        <w:tc>
          <w:tcPr>
            <w:tcW w:w="1510" w:type="dxa"/>
            <w:tcBorders>
              <w:top w:val="nil"/>
              <w:left w:val="nil"/>
              <w:bottom w:val="single" w:sz="4" w:space="0" w:color="auto"/>
              <w:right w:val="single" w:sz="4" w:space="0" w:color="auto"/>
            </w:tcBorders>
            <w:shd w:val="clear" w:color="000000" w:fill="31869B"/>
            <w:vAlign w:val="center"/>
            <w:hideMark/>
          </w:tcPr>
          <w:p w14:paraId="3F1EE839" w14:textId="77777777" w:rsidR="004B7622" w:rsidRPr="00D459C5" w:rsidRDefault="004B7622" w:rsidP="00377989">
            <w:pPr>
              <w:spacing w:after="0" w:line="240" w:lineRule="auto"/>
              <w:jc w:val="center"/>
              <w:rPr>
                <w:rFonts w:ascii="Arial" w:eastAsia="Times New Roman" w:hAnsi="Arial" w:cs="Arial"/>
                <w:b/>
                <w:bCs/>
                <w:color w:val="FFFFFF"/>
                <w:sz w:val="18"/>
                <w:szCs w:val="18"/>
                <w:lang w:eastAsia="sl-SI"/>
              </w:rPr>
            </w:pPr>
            <w:r w:rsidRPr="00D459C5">
              <w:rPr>
                <w:rFonts w:ascii="Arial" w:eastAsia="Times New Roman" w:hAnsi="Arial" w:cs="Arial"/>
                <w:b/>
                <w:bCs/>
                <w:color w:val="FFFFFF"/>
                <w:sz w:val="18"/>
                <w:szCs w:val="18"/>
                <w:lang w:eastAsia="sl-SI"/>
              </w:rPr>
              <w:t>znesek</w:t>
            </w:r>
          </w:p>
        </w:tc>
        <w:tc>
          <w:tcPr>
            <w:tcW w:w="785" w:type="dxa"/>
            <w:tcBorders>
              <w:top w:val="nil"/>
              <w:left w:val="nil"/>
              <w:bottom w:val="single" w:sz="4" w:space="0" w:color="auto"/>
              <w:right w:val="single" w:sz="4" w:space="0" w:color="auto"/>
            </w:tcBorders>
            <w:shd w:val="clear" w:color="000000" w:fill="31869B"/>
            <w:vAlign w:val="center"/>
            <w:hideMark/>
          </w:tcPr>
          <w:p w14:paraId="1FBFA727" w14:textId="77777777" w:rsidR="004B7622" w:rsidRPr="00D459C5" w:rsidRDefault="004B7622" w:rsidP="00377989">
            <w:pPr>
              <w:spacing w:after="0" w:line="240" w:lineRule="auto"/>
              <w:jc w:val="center"/>
              <w:rPr>
                <w:rFonts w:ascii="Arial" w:eastAsia="Times New Roman" w:hAnsi="Arial" w:cs="Arial"/>
                <w:b/>
                <w:bCs/>
                <w:color w:val="FFFFFF"/>
                <w:sz w:val="18"/>
                <w:szCs w:val="18"/>
                <w:lang w:eastAsia="sl-SI"/>
              </w:rPr>
            </w:pPr>
            <w:r w:rsidRPr="00D459C5">
              <w:rPr>
                <w:rFonts w:ascii="Arial" w:eastAsia="Times New Roman" w:hAnsi="Arial" w:cs="Arial"/>
                <w:b/>
                <w:bCs/>
                <w:color w:val="FFFFFF"/>
                <w:sz w:val="18"/>
                <w:szCs w:val="18"/>
                <w:lang w:eastAsia="sl-SI"/>
              </w:rPr>
              <w:t>število</w:t>
            </w:r>
          </w:p>
        </w:tc>
        <w:tc>
          <w:tcPr>
            <w:tcW w:w="849" w:type="dxa"/>
            <w:tcBorders>
              <w:top w:val="nil"/>
              <w:left w:val="nil"/>
              <w:bottom w:val="single" w:sz="4" w:space="0" w:color="auto"/>
              <w:right w:val="single" w:sz="4" w:space="0" w:color="auto"/>
            </w:tcBorders>
            <w:shd w:val="clear" w:color="000000" w:fill="31869B"/>
            <w:vAlign w:val="center"/>
            <w:hideMark/>
          </w:tcPr>
          <w:p w14:paraId="167C51D8" w14:textId="77777777" w:rsidR="004B7622" w:rsidRPr="00D459C5" w:rsidRDefault="004B7622" w:rsidP="00377989">
            <w:pPr>
              <w:spacing w:after="0" w:line="240" w:lineRule="auto"/>
              <w:jc w:val="center"/>
              <w:rPr>
                <w:rFonts w:ascii="Arial" w:eastAsia="Times New Roman" w:hAnsi="Arial" w:cs="Arial"/>
                <w:b/>
                <w:bCs/>
                <w:color w:val="FFFFFF"/>
                <w:sz w:val="18"/>
                <w:szCs w:val="18"/>
                <w:lang w:eastAsia="sl-SI"/>
              </w:rPr>
            </w:pPr>
            <w:r w:rsidRPr="00D459C5">
              <w:rPr>
                <w:rFonts w:ascii="Arial" w:eastAsia="Times New Roman" w:hAnsi="Arial" w:cs="Arial"/>
                <w:b/>
                <w:bCs/>
                <w:color w:val="FFFFFF"/>
                <w:sz w:val="18"/>
                <w:szCs w:val="18"/>
                <w:lang w:eastAsia="sl-SI"/>
              </w:rPr>
              <w:t>znesek</w:t>
            </w:r>
          </w:p>
        </w:tc>
      </w:tr>
      <w:tr w:rsidR="004B7622" w:rsidRPr="00D459C5" w14:paraId="447FEE6D" w14:textId="77777777" w:rsidTr="00377989">
        <w:trPr>
          <w:trHeight w:val="272"/>
        </w:trPr>
        <w:tc>
          <w:tcPr>
            <w:tcW w:w="8961" w:type="dxa"/>
            <w:gridSpan w:val="7"/>
            <w:tcBorders>
              <w:top w:val="single" w:sz="4" w:space="0" w:color="auto"/>
              <w:left w:val="single" w:sz="4" w:space="0" w:color="auto"/>
              <w:bottom w:val="single" w:sz="4" w:space="0" w:color="auto"/>
              <w:right w:val="single" w:sz="4" w:space="0" w:color="auto"/>
            </w:tcBorders>
            <w:shd w:val="clear" w:color="000000" w:fill="E26B0A"/>
            <w:vAlign w:val="center"/>
            <w:hideMark/>
          </w:tcPr>
          <w:p w14:paraId="0DA66BBD" w14:textId="77777777" w:rsidR="004B7622" w:rsidRPr="00D459C5" w:rsidRDefault="004B7622" w:rsidP="00377989">
            <w:pPr>
              <w:spacing w:after="0" w:line="240" w:lineRule="auto"/>
              <w:rPr>
                <w:rFonts w:ascii="Arial" w:eastAsia="Times New Roman" w:hAnsi="Arial" w:cs="Arial"/>
                <w:b/>
                <w:bCs/>
                <w:color w:val="FFFFFF"/>
                <w:sz w:val="18"/>
                <w:szCs w:val="18"/>
                <w:lang w:eastAsia="sl-SI"/>
              </w:rPr>
            </w:pPr>
            <w:r w:rsidRPr="00D459C5">
              <w:rPr>
                <w:rFonts w:ascii="Arial" w:eastAsia="Times New Roman" w:hAnsi="Arial" w:cs="Arial"/>
                <w:b/>
                <w:bCs/>
                <w:color w:val="FFFFFF"/>
                <w:sz w:val="18"/>
                <w:szCs w:val="18"/>
                <w:lang w:eastAsia="sl-SI"/>
              </w:rPr>
              <w:t xml:space="preserve">Opomini pred začetkom davčne izvršbe </w:t>
            </w:r>
          </w:p>
        </w:tc>
      </w:tr>
      <w:tr w:rsidR="004B7622" w:rsidRPr="00D459C5" w14:paraId="675FF945" w14:textId="77777777" w:rsidTr="00377989">
        <w:trPr>
          <w:trHeight w:val="286"/>
        </w:trPr>
        <w:tc>
          <w:tcPr>
            <w:tcW w:w="2234" w:type="dxa"/>
            <w:tcBorders>
              <w:top w:val="nil"/>
              <w:left w:val="single" w:sz="4" w:space="0" w:color="auto"/>
              <w:bottom w:val="single" w:sz="4" w:space="0" w:color="auto"/>
              <w:right w:val="single" w:sz="4" w:space="0" w:color="auto"/>
            </w:tcBorders>
            <w:shd w:val="clear" w:color="auto" w:fill="auto"/>
            <w:vAlign w:val="center"/>
            <w:hideMark/>
          </w:tcPr>
          <w:p w14:paraId="7AEAB159" w14:textId="77777777" w:rsidR="004B7622" w:rsidRPr="00D459C5" w:rsidRDefault="004B7622" w:rsidP="00377989">
            <w:pPr>
              <w:spacing w:after="0" w:line="240" w:lineRule="auto"/>
              <w:rPr>
                <w:rFonts w:ascii="Arial" w:eastAsia="Times New Roman" w:hAnsi="Arial" w:cs="Arial"/>
                <w:sz w:val="18"/>
                <w:szCs w:val="18"/>
                <w:lang w:eastAsia="sl-SI"/>
              </w:rPr>
            </w:pPr>
            <w:r w:rsidRPr="00D459C5">
              <w:rPr>
                <w:rFonts w:ascii="Arial" w:eastAsia="Times New Roman" w:hAnsi="Arial" w:cs="Arial"/>
                <w:sz w:val="18"/>
                <w:szCs w:val="18"/>
                <w:lang w:eastAsia="sl-SI"/>
              </w:rPr>
              <w:t xml:space="preserve">Poslani opomini </w:t>
            </w:r>
          </w:p>
        </w:tc>
        <w:tc>
          <w:tcPr>
            <w:tcW w:w="1055" w:type="dxa"/>
            <w:tcBorders>
              <w:top w:val="nil"/>
              <w:left w:val="nil"/>
              <w:bottom w:val="single" w:sz="4" w:space="0" w:color="auto"/>
              <w:right w:val="single" w:sz="4" w:space="0" w:color="auto"/>
            </w:tcBorders>
            <w:shd w:val="clear" w:color="auto" w:fill="auto"/>
            <w:vAlign w:val="center"/>
            <w:hideMark/>
          </w:tcPr>
          <w:p w14:paraId="18A296CD" w14:textId="77777777" w:rsidR="004B7622" w:rsidRPr="00D459C5" w:rsidRDefault="004B7622" w:rsidP="00377989">
            <w:pPr>
              <w:spacing w:after="0" w:line="240" w:lineRule="auto"/>
              <w:jc w:val="right"/>
              <w:rPr>
                <w:rFonts w:ascii="Arial" w:eastAsia="Times New Roman" w:hAnsi="Arial" w:cs="Arial"/>
                <w:sz w:val="18"/>
                <w:szCs w:val="18"/>
                <w:lang w:eastAsia="sl-SI"/>
              </w:rPr>
            </w:pPr>
            <w:r w:rsidRPr="00D459C5">
              <w:rPr>
                <w:rFonts w:ascii="Arial" w:eastAsia="Times New Roman" w:hAnsi="Arial" w:cs="Arial"/>
                <w:sz w:val="18"/>
                <w:szCs w:val="18"/>
                <w:lang w:eastAsia="sl-SI"/>
              </w:rPr>
              <w:t>578.190</w:t>
            </w:r>
          </w:p>
        </w:tc>
        <w:tc>
          <w:tcPr>
            <w:tcW w:w="1448" w:type="dxa"/>
            <w:tcBorders>
              <w:top w:val="nil"/>
              <w:left w:val="nil"/>
              <w:bottom w:val="single" w:sz="4" w:space="0" w:color="auto"/>
              <w:right w:val="single" w:sz="4" w:space="0" w:color="auto"/>
            </w:tcBorders>
            <w:shd w:val="clear" w:color="auto" w:fill="auto"/>
            <w:vAlign w:val="center"/>
            <w:hideMark/>
          </w:tcPr>
          <w:p w14:paraId="307FE681" w14:textId="77777777" w:rsidR="004B7622" w:rsidRPr="00D459C5" w:rsidRDefault="004B7622" w:rsidP="00377989">
            <w:pPr>
              <w:spacing w:after="0" w:line="240" w:lineRule="auto"/>
              <w:jc w:val="right"/>
              <w:rPr>
                <w:rFonts w:ascii="Arial" w:eastAsia="Times New Roman" w:hAnsi="Arial" w:cs="Arial"/>
                <w:sz w:val="18"/>
                <w:szCs w:val="18"/>
                <w:lang w:eastAsia="sl-SI"/>
              </w:rPr>
            </w:pPr>
            <w:r w:rsidRPr="00D459C5">
              <w:rPr>
                <w:rFonts w:ascii="Arial" w:eastAsia="Times New Roman" w:hAnsi="Arial" w:cs="Arial"/>
                <w:sz w:val="18"/>
                <w:szCs w:val="18"/>
                <w:lang w:eastAsia="sl-SI"/>
              </w:rPr>
              <w:t>330.175.368</w:t>
            </w:r>
          </w:p>
        </w:tc>
        <w:tc>
          <w:tcPr>
            <w:tcW w:w="1076" w:type="dxa"/>
            <w:tcBorders>
              <w:top w:val="nil"/>
              <w:left w:val="nil"/>
              <w:bottom w:val="single" w:sz="4" w:space="0" w:color="auto"/>
              <w:right w:val="single" w:sz="4" w:space="0" w:color="auto"/>
            </w:tcBorders>
            <w:shd w:val="clear" w:color="auto" w:fill="auto"/>
            <w:vAlign w:val="center"/>
            <w:hideMark/>
          </w:tcPr>
          <w:p w14:paraId="35BAA6E6" w14:textId="77777777" w:rsidR="004B7622" w:rsidRPr="00D459C5" w:rsidRDefault="004B7622" w:rsidP="00377989">
            <w:pPr>
              <w:spacing w:after="0" w:line="240" w:lineRule="auto"/>
              <w:jc w:val="right"/>
              <w:rPr>
                <w:rFonts w:ascii="Arial" w:eastAsia="Times New Roman" w:hAnsi="Arial" w:cs="Arial"/>
                <w:sz w:val="18"/>
                <w:szCs w:val="18"/>
                <w:lang w:eastAsia="sl-SI"/>
              </w:rPr>
            </w:pPr>
            <w:r w:rsidRPr="00D459C5">
              <w:rPr>
                <w:rFonts w:ascii="Arial" w:eastAsia="Times New Roman" w:hAnsi="Arial" w:cs="Arial"/>
                <w:sz w:val="18"/>
                <w:szCs w:val="18"/>
                <w:lang w:eastAsia="sl-SI"/>
              </w:rPr>
              <w:t>858.068</w:t>
            </w:r>
          </w:p>
        </w:tc>
        <w:tc>
          <w:tcPr>
            <w:tcW w:w="1510" w:type="dxa"/>
            <w:tcBorders>
              <w:top w:val="nil"/>
              <w:left w:val="nil"/>
              <w:bottom w:val="single" w:sz="4" w:space="0" w:color="auto"/>
              <w:right w:val="single" w:sz="4" w:space="0" w:color="auto"/>
            </w:tcBorders>
            <w:shd w:val="clear" w:color="auto" w:fill="auto"/>
            <w:vAlign w:val="center"/>
            <w:hideMark/>
          </w:tcPr>
          <w:p w14:paraId="54A19CB2" w14:textId="77777777" w:rsidR="004B7622" w:rsidRPr="00D459C5" w:rsidRDefault="004B7622" w:rsidP="00377989">
            <w:pPr>
              <w:spacing w:after="0" w:line="240" w:lineRule="auto"/>
              <w:jc w:val="right"/>
              <w:rPr>
                <w:rFonts w:ascii="Arial" w:eastAsia="Times New Roman" w:hAnsi="Arial" w:cs="Arial"/>
                <w:sz w:val="18"/>
                <w:szCs w:val="18"/>
                <w:lang w:eastAsia="sl-SI"/>
              </w:rPr>
            </w:pPr>
            <w:r w:rsidRPr="00D459C5">
              <w:rPr>
                <w:rFonts w:ascii="Arial" w:eastAsia="Times New Roman" w:hAnsi="Arial" w:cs="Arial"/>
                <w:sz w:val="18"/>
                <w:szCs w:val="18"/>
                <w:lang w:eastAsia="sl-SI"/>
              </w:rPr>
              <w:t>603.935.848</w:t>
            </w:r>
          </w:p>
        </w:tc>
        <w:tc>
          <w:tcPr>
            <w:tcW w:w="785" w:type="dxa"/>
            <w:tcBorders>
              <w:top w:val="nil"/>
              <w:left w:val="nil"/>
              <w:bottom w:val="single" w:sz="4" w:space="0" w:color="auto"/>
              <w:right w:val="single" w:sz="4" w:space="0" w:color="auto"/>
            </w:tcBorders>
            <w:shd w:val="clear" w:color="auto" w:fill="auto"/>
            <w:vAlign w:val="center"/>
            <w:hideMark/>
          </w:tcPr>
          <w:p w14:paraId="57053C05" w14:textId="77777777" w:rsidR="004B7622" w:rsidRPr="00D459C5" w:rsidRDefault="004B7622" w:rsidP="00377989">
            <w:pPr>
              <w:spacing w:after="0" w:line="240" w:lineRule="auto"/>
              <w:jc w:val="right"/>
              <w:rPr>
                <w:rFonts w:ascii="Arial" w:eastAsia="Times New Roman" w:hAnsi="Arial" w:cs="Arial"/>
                <w:sz w:val="18"/>
                <w:szCs w:val="18"/>
                <w:lang w:eastAsia="sl-SI"/>
              </w:rPr>
            </w:pPr>
            <w:r w:rsidRPr="00D459C5">
              <w:rPr>
                <w:rFonts w:ascii="Arial" w:eastAsia="Times New Roman" w:hAnsi="Arial" w:cs="Arial"/>
                <w:sz w:val="18"/>
                <w:szCs w:val="18"/>
                <w:lang w:eastAsia="sl-SI"/>
              </w:rPr>
              <w:t>148,4</w:t>
            </w:r>
          </w:p>
        </w:tc>
        <w:tc>
          <w:tcPr>
            <w:tcW w:w="849" w:type="dxa"/>
            <w:tcBorders>
              <w:top w:val="nil"/>
              <w:left w:val="nil"/>
              <w:bottom w:val="single" w:sz="4" w:space="0" w:color="auto"/>
              <w:right w:val="single" w:sz="4" w:space="0" w:color="auto"/>
            </w:tcBorders>
            <w:shd w:val="clear" w:color="auto" w:fill="auto"/>
            <w:vAlign w:val="center"/>
            <w:hideMark/>
          </w:tcPr>
          <w:p w14:paraId="7EDC601B" w14:textId="77777777" w:rsidR="004B7622" w:rsidRPr="00D459C5" w:rsidRDefault="004B7622" w:rsidP="00377989">
            <w:pPr>
              <w:spacing w:after="0" w:line="240" w:lineRule="auto"/>
              <w:jc w:val="right"/>
              <w:rPr>
                <w:rFonts w:ascii="Arial" w:eastAsia="Times New Roman" w:hAnsi="Arial" w:cs="Arial"/>
                <w:sz w:val="18"/>
                <w:szCs w:val="18"/>
                <w:lang w:eastAsia="sl-SI"/>
              </w:rPr>
            </w:pPr>
            <w:r w:rsidRPr="00D459C5">
              <w:rPr>
                <w:rFonts w:ascii="Arial" w:eastAsia="Times New Roman" w:hAnsi="Arial" w:cs="Arial"/>
                <w:sz w:val="18"/>
                <w:szCs w:val="18"/>
                <w:lang w:eastAsia="sl-SI"/>
              </w:rPr>
              <w:t>182,9</w:t>
            </w:r>
          </w:p>
        </w:tc>
      </w:tr>
      <w:tr w:rsidR="004B7622" w:rsidRPr="00D459C5" w14:paraId="110D066C" w14:textId="77777777" w:rsidTr="00377989">
        <w:trPr>
          <w:trHeight w:val="458"/>
        </w:trPr>
        <w:tc>
          <w:tcPr>
            <w:tcW w:w="2234" w:type="dxa"/>
            <w:tcBorders>
              <w:top w:val="nil"/>
              <w:left w:val="single" w:sz="4" w:space="0" w:color="auto"/>
              <w:bottom w:val="single" w:sz="4" w:space="0" w:color="auto"/>
              <w:right w:val="single" w:sz="4" w:space="0" w:color="auto"/>
            </w:tcBorders>
            <w:shd w:val="clear" w:color="auto" w:fill="auto"/>
            <w:vAlign w:val="center"/>
            <w:hideMark/>
          </w:tcPr>
          <w:p w14:paraId="67EAC9DE" w14:textId="77777777" w:rsidR="004B7622" w:rsidRPr="00D459C5" w:rsidRDefault="004B7622" w:rsidP="00377989">
            <w:pPr>
              <w:spacing w:after="0" w:line="240" w:lineRule="auto"/>
              <w:rPr>
                <w:rFonts w:ascii="Arial" w:eastAsia="Times New Roman" w:hAnsi="Arial" w:cs="Arial"/>
                <w:sz w:val="18"/>
                <w:szCs w:val="18"/>
                <w:lang w:eastAsia="sl-SI"/>
              </w:rPr>
            </w:pPr>
            <w:r w:rsidRPr="00D459C5">
              <w:rPr>
                <w:rFonts w:ascii="Arial" w:eastAsia="Times New Roman" w:hAnsi="Arial" w:cs="Arial"/>
                <w:sz w:val="18"/>
                <w:szCs w:val="18"/>
                <w:lang w:eastAsia="sl-SI"/>
              </w:rPr>
              <w:t xml:space="preserve">Plačila na podlagi poslanih opominov </w:t>
            </w:r>
          </w:p>
        </w:tc>
        <w:tc>
          <w:tcPr>
            <w:tcW w:w="1055" w:type="dxa"/>
            <w:tcBorders>
              <w:top w:val="nil"/>
              <w:left w:val="nil"/>
              <w:bottom w:val="single" w:sz="4" w:space="0" w:color="auto"/>
              <w:right w:val="single" w:sz="4" w:space="0" w:color="auto"/>
            </w:tcBorders>
            <w:shd w:val="clear" w:color="auto" w:fill="auto"/>
            <w:vAlign w:val="center"/>
            <w:hideMark/>
          </w:tcPr>
          <w:p w14:paraId="354F48E1" w14:textId="77777777" w:rsidR="004B7622" w:rsidRPr="00D459C5" w:rsidRDefault="004B7622" w:rsidP="00377989">
            <w:pPr>
              <w:spacing w:after="0" w:line="240" w:lineRule="auto"/>
              <w:jc w:val="right"/>
              <w:rPr>
                <w:rFonts w:ascii="Arial" w:eastAsia="Times New Roman" w:hAnsi="Arial" w:cs="Arial"/>
                <w:sz w:val="18"/>
                <w:szCs w:val="18"/>
                <w:lang w:eastAsia="sl-SI"/>
              </w:rPr>
            </w:pPr>
            <w:r w:rsidRPr="00D459C5">
              <w:rPr>
                <w:rFonts w:ascii="Arial" w:eastAsia="Times New Roman" w:hAnsi="Arial" w:cs="Arial"/>
                <w:sz w:val="18"/>
                <w:szCs w:val="18"/>
                <w:lang w:eastAsia="sl-SI"/>
              </w:rPr>
              <w:t>377.154</w:t>
            </w:r>
          </w:p>
        </w:tc>
        <w:tc>
          <w:tcPr>
            <w:tcW w:w="1448" w:type="dxa"/>
            <w:tcBorders>
              <w:top w:val="nil"/>
              <w:left w:val="nil"/>
              <w:bottom w:val="single" w:sz="4" w:space="0" w:color="auto"/>
              <w:right w:val="single" w:sz="4" w:space="0" w:color="auto"/>
            </w:tcBorders>
            <w:shd w:val="clear" w:color="auto" w:fill="auto"/>
            <w:vAlign w:val="center"/>
            <w:hideMark/>
          </w:tcPr>
          <w:p w14:paraId="3DABA38D" w14:textId="77777777" w:rsidR="004B7622" w:rsidRPr="00D459C5" w:rsidRDefault="004B7622" w:rsidP="00377989">
            <w:pPr>
              <w:spacing w:after="0" w:line="240" w:lineRule="auto"/>
              <w:jc w:val="right"/>
              <w:rPr>
                <w:rFonts w:ascii="Arial" w:eastAsia="Times New Roman" w:hAnsi="Arial" w:cs="Arial"/>
                <w:sz w:val="18"/>
                <w:szCs w:val="18"/>
                <w:lang w:eastAsia="sl-SI"/>
              </w:rPr>
            </w:pPr>
            <w:r w:rsidRPr="00D459C5">
              <w:rPr>
                <w:rFonts w:ascii="Arial" w:eastAsia="Times New Roman" w:hAnsi="Arial" w:cs="Arial"/>
                <w:sz w:val="18"/>
                <w:szCs w:val="18"/>
                <w:lang w:eastAsia="sl-SI"/>
              </w:rPr>
              <w:t>197.508.774</w:t>
            </w:r>
          </w:p>
        </w:tc>
        <w:tc>
          <w:tcPr>
            <w:tcW w:w="1076" w:type="dxa"/>
            <w:tcBorders>
              <w:top w:val="nil"/>
              <w:left w:val="nil"/>
              <w:bottom w:val="single" w:sz="4" w:space="0" w:color="auto"/>
              <w:right w:val="single" w:sz="4" w:space="0" w:color="auto"/>
            </w:tcBorders>
            <w:shd w:val="clear" w:color="auto" w:fill="auto"/>
            <w:vAlign w:val="center"/>
            <w:hideMark/>
          </w:tcPr>
          <w:p w14:paraId="7CAE1A75" w14:textId="77777777" w:rsidR="004B7622" w:rsidRPr="00D459C5" w:rsidRDefault="004B7622" w:rsidP="00377989">
            <w:pPr>
              <w:spacing w:after="0" w:line="240" w:lineRule="auto"/>
              <w:jc w:val="right"/>
              <w:rPr>
                <w:rFonts w:ascii="Arial" w:eastAsia="Times New Roman" w:hAnsi="Arial" w:cs="Arial"/>
                <w:sz w:val="18"/>
                <w:szCs w:val="18"/>
                <w:lang w:eastAsia="sl-SI"/>
              </w:rPr>
            </w:pPr>
            <w:r w:rsidRPr="00D459C5">
              <w:rPr>
                <w:rFonts w:ascii="Arial" w:eastAsia="Times New Roman" w:hAnsi="Arial" w:cs="Arial"/>
                <w:sz w:val="18"/>
                <w:szCs w:val="18"/>
                <w:lang w:eastAsia="sl-SI"/>
              </w:rPr>
              <w:t>543.457</w:t>
            </w:r>
          </w:p>
        </w:tc>
        <w:tc>
          <w:tcPr>
            <w:tcW w:w="1510" w:type="dxa"/>
            <w:tcBorders>
              <w:top w:val="nil"/>
              <w:left w:val="nil"/>
              <w:bottom w:val="single" w:sz="4" w:space="0" w:color="auto"/>
              <w:right w:val="single" w:sz="4" w:space="0" w:color="auto"/>
            </w:tcBorders>
            <w:shd w:val="clear" w:color="auto" w:fill="auto"/>
            <w:vAlign w:val="center"/>
            <w:hideMark/>
          </w:tcPr>
          <w:p w14:paraId="3E39EA39" w14:textId="77777777" w:rsidR="004B7622" w:rsidRPr="00D459C5" w:rsidRDefault="004B7622" w:rsidP="00377989">
            <w:pPr>
              <w:spacing w:after="0" w:line="240" w:lineRule="auto"/>
              <w:jc w:val="right"/>
              <w:rPr>
                <w:rFonts w:ascii="Arial" w:eastAsia="Times New Roman" w:hAnsi="Arial" w:cs="Arial"/>
                <w:sz w:val="18"/>
                <w:szCs w:val="18"/>
                <w:lang w:eastAsia="sl-SI"/>
              </w:rPr>
            </w:pPr>
            <w:r w:rsidRPr="00D459C5">
              <w:rPr>
                <w:rFonts w:ascii="Arial" w:eastAsia="Times New Roman" w:hAnsi="Arial" w:cs="Arial"/>
                <w:sz w:val="18"/>
                <w:szCs w:val="18"/>
                <w:lang w:eastAsia="sl-SI"/>
              </w:rPr>
              <w:t>320.813.391</w:t>
            </w:r>
          </w:p>
        </w:tc>
        <w:tc>
          <w:tcPr>
            <w:tcW w:w="785" w:type="dxa"/>
            <w:tcBorders>
              <w:top w:val="nil"/>
              <w:left w:val="nil"/>
              <w:bottom w:val="single" w:sz="4" w:space="0" w:color="auto"/>
              <w:right w:val="single" w:sz="4" w:space="0" w:color="auto"/>
            </w:tcBorders>
            <w:shd w:val="clear" w:color="auto" w:fill="auto"/>
            <w:vAlign w:val="center"/>
            <w:hideMark/>
          </w:tcPr>
          <w:p w14:paraId="4EDB5FF4" w14:textId="77777777" w:rsidR="004B7622" w:rsidRPr="00D459C5" w:rsidRDefault="004B7622" w:rsidP="00377989">
            <w:pPr>
              <w:spacing w:after="0" w:line="240" w:lineRule="auto"/>
              <w:jc w:val="right"/>
              <w:rPr>
                <w:rFonts w:ascii="Arial" w:eastAsia="Times New Roman" w:hAnsi="Arial" w:cs="Arial"/>
                <w:sz w:val="18"/>
                <w:szCs w:val="18"/>
                <w:lang w:eastAsia="sl-SI"/>
              </w:rPr>
            </w:pPr>
            <w:r w:rsidRPr="00D459C5">
              <w:rPr>
                <w:rFonts w:ascii="Arial" w:eastAsia="Times New Roman" w:hAnsi="Arial" w:cs="Arial"/>
                <w:sz w:val="18"/>
                <w:szCs w:val="18"/>
                <w:lang w:eastAsia="sl-SI"/>
              </w:rPr>
              <w:t>144,1</w:t>
            </w:r>
          </w:p>
        </w:tc>
        <w:tc>
          <w:tcPr>
            <w:tcW w:w="849" w:type="dxa"/>
            <w:tcBorders>
              <w:top w:val="nil"/>
              <w:left w:val="nil"/>
              <w:bottom w:val="single" w:sz="4" w:space="0" w:color="auto"/>
              <w:right w:val="single" w:sz="4" w:space="0" w:color="auto"/>
            </w:tcBorders>
            <w:shd w:val="clear" w:color="auto" w:fill="auto"/>
            <w:vAlign w:val="center"/>
            <w:hideMark/>
          </w:tcPr>
          <w:p w14:paraId="50FCE5E9" w14:textId="77777777" w:rsidR="004B7622" w:rsidRPr="00D459C5" w:rsidRDefault="004B7622" w:rsidP="00377989">
            <w:pPr>
              <w:spacing w:after="0" w:line="240" w:lineRule="auto"/>
              <w:jc w:val="right"/>
              <w:rPr>
                <w:rFonts w:ascii="Arial" w:eastAsia="Times New Roman" w:hAnsi="Arial" w:cs="Arial"/>
                <w:sz w:val="18"/>
                <w:szCs w:val="18"/>
                <w:lang w:eastAsia="sl-SI"/>
              </w:rPr>
            </w:pPr>
            <w:r w:rsidRPr="00D459C5">
              <w:rPr>
                <w:rFonts w:ascii="Arial" w:eastAsia="Times New Roman" w:hAnsi="Arial" w:cs="Arial"/>
                <w:sz w:val="18"/>
                <w:szCs w:val="18"/>
                <w:lang w:eastAsia="sl-SI"/>
              </w:rPr>
              <w:t>162,4</w:t>
            </w:r>
          </w:p>
        </w:tc>
      </w:tr>
      <w:tr w:rsidR="004B7622" w:rsidRPr="00D459C5" w14:paraId="37EB5286" w14:textId="77777777" w:rsidTr="00377989">
        <w:trPr>
          <w:trHeight w:val="272"/>
        </w:trPr>
        <w:tc>
          <w:tcPr>
            <w:tcW w:w="8961" w:type="dxa"/>
            <w:gridSpan w:val="7"/>
            <w:tcBorders>
              <w:top w:val="single" w:sz="4" w:space="0" w:color="auto"/>
              <w:left w:val="single" w:sz="4" w:space="0" w:color="auto"/>
              <w:bottom w:val="single" w:sz="4" w:space="0" w:color="auto"/>
              <w:right w:val="single" w:sz="4" w:space="0" w:color="000000"/>
            </w:tcBorders>
            <w:shd w:val="clear" w:color="000000" w:fill="E26B0A"/>
            <w:vAlign w:val="center"/>
            <w:hideMark/>
          </w:tcPr>
          <w:p w14:paraId="3BBC0A7E" w14:textId="77777777" w:rsidR="004B7622" w:rsidRPr="00D459C5" w:rsidRDefault="004B7622" w:rsidP="00377989">
            <w:pPr>
              <w:spacing w:after="0" w:line="240" w:lineRule="auto"/>
              <w:rPr>
                <w:rFonts w:ascii="Arial" w:eastAsia="Times New Roman" w:hAnsi="Arial" w:cs="Arial"/>
                <w:b/>
                <w:bCs/>
                <w:color w:val="FFFFFF"/>
                <w:sz w:val="18"/>
                <w:szCs w:val="18"/>
                <w:lang w:eastAsia="sl-SI"/>
              </w:rPr>
            </w:pPr>
            <w:r w:rsidRPr="00D459C5">
              <w:rPr>
                <w:rFonts w:ascii="Arial" w:eastAsia="Times New Roman" w:hAnsi="Arial" w:cs="Arial"/>
                <w:b/>
                <w:bCs/>
                <w:color w:val="FFFFFF"/>
                <w:sz w:val="18"/>
                <w:szCs w:val="18"/>
                <w:lang w:eastAsia="sl-SI"/>
              </w:rPr>
              <w:t>Pozivi za plačilo in predložitev seznama premoženja</w:t>
            </w:r>
          </w:p>
        </w:tc>
      </w:tr>
      <w:tr w:rsidR="004B7622" w:rsidRPr="00D459C5" w14:paraId="2C39925D" w14:textId="77777777" w:rsidTr="00377989">
        <w:trPr>
          <w:trHeight w:val="508"/>
        </w:trPr>
        <w:tc>
          <w:tcPr>
            <w:tcW w:w="2234" w:type="dxa"/>
            <w:tcBorders>
              <w:top w:val="nil"/>
              <w:left w:val="single" w:sz="4" w:space="0" w:color="auto"/>
              <w:bottom w:val="single" w:sz="4" w:space="0" w:color="auto"/>
              <w:right w:val="single" w:sz="4" w:space="0" w:color="auto"/>
            </w:tcBorders>
            <w:shd w:val="clear" w:color="auto" w:fill="auto"/>
            <w:vAlign w:val="center"/>
            <w:hideMark/>
          </w:tcPr>
          <w:p w14:paraId="59C9B4D9" w14:textId="77777777" w:rsidR="004B7622" w:rsidRPr="00D459C5" w:rsidRDefault="004B7622" w:rsidP="00377989">
            <w:pPr>
              <w:spacing w:after="0" w:line="240" w:lineRule="auto"/>
              <w:rPr>
                <w:rFonts w:ascii="Arial" w:eastAsia="Times New Roman" w:hAnsi="Arial" w:cs="Arial"/>
                <w:sz w:val="18"/>
                <w:szCs w:val="18"/>
                <w:lang w:eastAsia="sl-SI"/>
              </w:rPr>
            </w:pPr>
            <w:r w:rsidRPr="00D459C5">
              <w:rPr>
                <w:rFonts w:ascii="Arial" w:eastAsia="Times New Roman" w:hAnsi="Arial" w:cs="Arial"/>
                <w:sz w:val="18"/>
                <w:szCs w:val="18"/>
                <w:lang w:eastAsia="sl-SI"/>
              </w:rPr>
              <w:t>Izdani pozivi za plačilo in predložitev seznama premoženja</w:t>
            </w:r>
          </w:p>
        </w:tc>
        <w:tc>
          <w:tcPr>
            <w:tcW w:w="1055" w:type="dxa"/>
            <w:tcBorders>
              <w:top w:val="nil"/>
              <w:left w:val="nil"/>
              <w:bottom w:val="single" w:sz="4" w:space="0" w:color="auto"/>
              <w:right w:val="single" w:sz="4" w:space="0" w:color="auto"/>
            </w:tcBorders>
            <w:shd w:val="clear" w:color="auto" w:fill="auto"/>
            <w:noWrap/>
            <w:vAlign w:val="bottom"/>
            <w:hideMark/>
          </w:tcPr>
          <w:p w14:paraId="2A2BBE54" w14:textId="77777777" w:rsidR="004B7622" w:rsidRPr="00D459C5" w:rsidRDefault="004B7622" w:rsidP="00377989">
            <w:pPr>
              <w:spacing w:after="0" w:line="240" w:lineRule="auto"/>
              <w:jc w:val="center"/>
              <w:rPr>
                <w:rFonts w:ascii="Arial" w:eastAsia="Times New Roman" w:hAnsi="Arial" w:cs="Arial"/>
                <w:color w:val="000000"/>
                <w:sz w:val="18"/>
                <w:szCs w:val="18"/>
                <w:lang w:eastAsia="sl-SI"/>
              </w:rPr>
            </w:pPr>
            <w:r w:rsidRPr="00D459C5">
              <w:rPr>
                <w:rFonts w:ascii="Arial" w:eastAsia="Times New Roman" w:hAnsi="Arial" w:cs="Arial"/>
                <w:color w:val="000000"/>
                <w:sz w:val="18"/>
                <w:szCs w:val="18"/>
                <w:lang w:eastAsia="sl-SI"/>
              </w:rPr>
              <w:t>21.325</w:t>
            </w:r>
          </w:p>
        </w:tc>
        <w:tc>
          <w:tcPr>
            <w:tcW w:w="1448" w:type="dxa"/>
            <w:tcBorders>
              <w:top w:val="nil"/>
              <w:left w:val="nil"/>
              <w:bottom w:val="single" w:sz="4" w:space="0" w:color="auto"/>
              <w:right w:val="single" w:sz="4" w:space="0" w:color="auto"/>
            </w:tcBorders>
            <w:shd w:val="clear" w:color="auto" w:fill="auto"/>
            <w:noWrap/>
            <w:vAlign w:val="bottom"/>
            <w:hideMark/>
          </w:tcPr>
          <w:p w14:paraId="6B3159A8" w14:textId="77777777" w:rsidR="004B7622" w:rsidRPr="00D459C5" w:rsidRDefault="004B7622" w:rsidP="00377989">
            <w:pPr>
              <w:spacing w:after="0" w:line="240" w:lineRule="auto"/>
              <w:jc w:val="center"/>
              <w:rPr>
                <w:rFonts w:ascii="Arial" w:eastAsia="Times New Roman" w:hAnsi="Arial" w:cs="Arial"/>
                <w:color w:val="000000"/>
                <w:sz w:val="18"/>
                <w:szCs w:val="18"/>
                <w:lang w:eastAsia="sl-SI"/>
              </w:rPr>
            </w:pPr>
            <w:r w:rsidRPr="00D459C5">
              <w:rPr>
                <w:rFonts w:ascii="Arial" w:eastAsia="Times New Roman" w:hAnsi="Arial" w:cs="Arial"/>
                <w:color w:val="000000"/>
                <w:sz w:val="18"/>
                <w:szCs w:val="18"/>
                <w:lang w:eastAsia="sl-SI"/>
              </w:rPr>
              <w:t>36.848.847</w:t>
            </w:r>
          </w:p>
        </w:tc>
        <w:tc>
          <w:tcPr>
            <w:tcW w:w="1076" w:type="dxa"/>
            <w:tcBorders>
              <w:top w:val="nil"/>
              <w:left w:val="nil"/>
              <w:bottom w:val="single" w:sz="4" w:space="0" w:color="auto"/>
              <w:right w:val="single" w:sz="4" w:space="0" w:color="auto"/>
            </w:tcBorders>
            <w:shd w:val="clear" w:color="auto" w:fill="auto"/>
            <w:vAlign w:val="center"/>
            <w:hideMark/>
          </w:tcPr>
          <w:p w14:paraId="5F496443" w14:textId="77777777" w:rsidR="004B7622" w:rsidRPr="00D459C5" w:rsidRDefault="004B7622" w:rsidP="00377989">
            <w:pPr>
              <w:spacing w:after="0" w:line="240" w:lineRule="auto"/>
              <w:jc w:val="right"/>
              <w:rPr>
                <w:rFonts w:ascii="Arial" w:eastAsia="Times New Roman" w:hAnsi="Arial" w:cs="Arial"/>
                <w:sz w:val="18"/>
                <w:szCs w:val="18"/>
                <w:lang w:eastAsia="sl-SI"/>
              </w:rPr>
            </w:pPr>
            <w:r w:rsidRPr="00D459C5">
              <w:rPr>
                <w:rFonts w:ascii="Arial" w:eastAsia="Times New Roman" w:hAnsi="Arial" w:cs="Arial"/>
                <w:sz w:val="18"/>
                <w:szCs w:val="18"/>
                <w:lang w:eastAsia="sl-SI"/>
              </w:rPr>
              <w:t>29.469</w:t>
            </w:r>
          </w:p>
        </w:tc>
        <w:tc>
          <w:tcPr>
            <w:tcW w:w="1510" w:type="dxa"/>
            <w:tcBorders>
              <w:top w:val="nil"/>
              <w:left w:val="nil"/>
              <w:bottom w:val="single" w:sz="4" w:space="0" w:color="auto"/>
              <w:right w:val="single" w:sz="4" w:space="0" w:color="auto"/>
            </w:tcBorders>
            <w:shd w:val="clear" w:color="auto" w:fill="auto"/>
            <w:vAlign w:val="center"/>
            <w:hideMark/>
          </w:tcPr>
          <w:p w14:paraId="1D983D47" w14:textId="77777777" w:rsidR="004B7622" w:rsidRPr="00D459C5" w:rsidRDefault="004B7622" w:rsidP="00377989">
            <w:pPr>
              <w:spacing w:after="0" w:line="240" w:lineRule="auto"/>
              <w:jc w:val="right"/>
              <w:rPr>
                <w:rFonts w:ascii="Arial" w:eastAsia="Times New Roman" w:hAnsi="Arial" w:cs="Arial"/>
                <w:sz w:val="18"/>
                <w:szCs w:val="18"/>
                <w:lang w:eastAsia="sl-SI"/>
              </w:rPr>
            </w:pPr>
            <w:r w:rsidRPr="00D459C5">
              <w:rPr>
                <w:rFonts w:ascii="Arial" w:eastAsia="Times New Roman" w:hAnsi="Arial" w:cs="Arial"/>
                <w:sz w:val="18"/>
                <w:szCs w:val="18"/>
                <w:lang w:eastAsia="sl-SI"/>
              </w:rPr>
              <w:t>44.301.044</w:t>
            </w:r>
          </w:p>
        </w:tc>
        <w:tc>
          <w:tcPr>
            <w:tcW w:w="785" w:type="dxa"/>
            <w:tcBorders>
              <w:top w:val="nil"/>
              <w:left w:val="nil"/>
              <w:bottom w:val="single" w:sz="4" w:space="0" w:color="auto"/>
              <w:right w:val="single" w:sz="4" w:space="0" w:color="auto"/>
            </w:tcBorders>
            <w:shd w:val="clear" w:color="auto" w:fill="auto"/>
            <w:noWrap/>
            <w:vAlign w:val="bottom"/>
            <w:hideMark/>
          </w:tcPr>
          <w:p w14:paraId="74738596" w14:textId="77777777" w:rsidR="004B7622" w:rsidRPr="00D459C5" w:rsidRDefault="004B7622" w:rsidP="00377989">
            <w:pPr>
              <w:spacing w:after="0" w:line="240" w:lineRule="auto"/>
              <w:jc w:val="center"/>
              <w:rPr>
                <w:rFonts w:ascii="Arial" w:eastAsia="Times New Roman" w:hAnsi="Arial" w:cs="Arial"/>
                <w:color w:val="000000"/>
                <w:sz w:val="18"/>
                <w:szCs w:val="18"/>
                <w:lang w:eastAsia="sl-SI"/>
              </w:rPr>
            </w:pPr>
            <w:r w:rsidRPr="00D459C5">
              <w:rPr>
                <w:rFonts w:ascii="Arial" w:eastAsia="Times New Roman" w:hAnsi="Arial" w:cs="Arial"/>
                <w:color w:val="000000"/>
                <w:sz w:val="18"/>
                <w:szCs w:val="18"/>
                <w:lang w:eastAsia="sl-SI"/>
              </w:rPr>
              <w:t>138,2</w:t>
            </w:r>
          </w:p>
        </w:tc>
        <w:tc>
          <w:tcPr>
            <w:tcW w:w="849" w:type="dxa"/>
            <w:tcBorders>
              <w:top w:val="nil"/>
              <w:left w:val="nil"/>
              <w:bottom w:val="single" w:sz="4" w:space="0" w:color="auto"/>
              <w:right w:val="single" w:sz="4" w:space="0" w:color="auto"/>
            </w:tcBorders>
            <w:shd w:val="clear" w:color="auto" w:fill="auto"/>
            <w:noWrap/>
            <w:vAlign w:val="bottom"/>
            <w:hideMark/>
          </w:tcPr>
          <w:p w14:paraId="0ED8BF8F" w14:textId="77777777" w:rsidR="004B7622" w:rsidRPr="00D459C5" w:rsidRDefault="004B7622" w:rsidP="00377989">
            <w:pPr>
              <w:spacing w:after="0" w:line="240" w:lineRule="auto"/>
              <w:jc w:val="center"/>
              <w:rPr>
                <w:rFonts w:ascii="Arial" w:eastAsia="Times New Roman" w:hAnsi="Arial" w:cs="Arial"/>
                <w:color w:val="000000"/>
                <w:sz w:val="18"/>
                <w:szCs w:val="18"/>
                <w:lang w:eastAsia="sl-SI"/>
              </w:rPr>
            </w:pPr>
            <w:r w:rsidRPr="00D459C5">
              <w:rPr>
                <w:rFonts w:ascii="Arial" w:eastAsia="Times New Roman" w:hAnsi="Arial" w:cs="Arial"/>
                <w:color w:val="000000"/>
                <w:sz w:val="18"/>
                <w:szCs w:val="18"/>
                <w:lang w:eastAsia="sl-SI"/>
              </w:rPr>
              <w:t>120,2</w:t>
            </w:r>
          </w:p>
        </w:tc>
      </w:tr>
      <w:tr w:rsidR="004B7622" w:rsidRPr="00D459C5" w14:paraId="3656FB5F" w14:textId="77777777" w:rsidTr="00377989">
        <w:trPr>
          <w:trHeight w:val="351"/>
        </w:trPr>
        <w:tc>
          <w:tcPr>
            <w:tcW w:w="2234" w:type="dxa"/>
            <w:tcBorders>
              <w:top w:val="nil"/>
              <w:left w:val="single" w:sz="4" w:space="0" w:color="auto"/>
              <w:bottom w:val="single" w:sz="4" w:space="0" w:color="auto"/>
              <w:right w:val="single" w:sz="4" w:space="0" w:color="auto"/>
            </w:tcBorders>
            <w:shd w:val="clear" w:color="auto" w:fill="auto"/>
            <w:vAlign w:val="center"/>
            <w:hideMark/>
          </w:tcPr>
          <w:p w14:paraId="37B0C337" w14:textId="77777777" w:rsidR="004B7622" w:rsidRPr="00D459C5" w:rsidRDefault="004B7622" w:rsidP="00377989">
            <w:pPr>
              <w:spacing w:after="0" w:line="240" w:lineRule="auto"/>
              <w:rPr>
                <w:rFonts w:ascii="Arial" w:eastAsia="Times New Roman" w:hAnsi="Arial" w:cs="Arial"/>
                <w:sz w:val="18"/>
                <w:szCs w:val="18"/>
                <w:lang w:eastAsia="sl-SI"/>
              </w:rPr>
            </w:pPr>
            <w:r w:rsidRPr="00D459C5">
              <w:rPr>
                <w:rFonts w:ascii="Arial" w:eastAsia="Times New Roman" w:hAnsi="Arial" w:cs="Arial"/>
                <w:sz w:val="18"/>
                <w:szCs w:val="18"/>
                <w:lang w:eastAsia="sl-SI"/>
              </w:rPr>
              <w:t>Plačila na podlagi pozivov</w:t>
            </w:r>
          </w:p>
        </w:tc>
        <w:tc>
          <w:tcPr>
            <w:tcW w:w="1055" w:type="dxa"/>
            <w:tcBorders>
              <w:top w:val="nil"/>
              <w:left w:val="nil"/>
              <w:bottom w:val="single" w:sz="4" w:space="0" w:color="auto"/>
              <w:right w:val="single" w:sz="4" w:space="0" w:color="auto"/>
            </w:tcBorders>
            <w:shd w:val="clear" w:color="auto" w:fill="auto"/>
            <w:noWrap/>
            <w:vAlign w:val="bottom"/>
            <w:hideMark/>
          </w:tcPr>
          <w:p w14:paraId="133DEF1F" w14:textId="77777777" w:rsidR="004B7622" w:rsidRPr="00D459C5" w:rsidRDefault="004B7622" w:rsidP="00377989">
            <w:pPr>
              <w:spacing w:after="0" w:line="240" w:lineRule="auto"/>
              <w:jc w:val="center"/>
              <w:rPr>
                <w:rFonts w:ascii="Arial" w:eastAsia="Times New Roman" w:hAnsi="Arial" w:cs="Arial"/>
                <w:color w:val="000000"/>
                <w:sz w:val="18"/>
                <w:szCs w:val="18"/>
                <w:lang w:eastAsia="sl-SI"/>
              </w:rPr>
            </w:pPr>
            <w:r w:rsidRPr="00D459C5">
              <w:rPr>
                <w:rFonts w:ascii="Arial" w:eastAsia="Times New Roman" w:hAnsi="Arial" w:cs="Arial"/>
                <w:color w:val="000000"/>
                <w:sz w:val="18"/>
                <w:szCs w:val="18"/>
                <w:lang w:eastAsia="sl-SI"/>
              </w:rPr>
              <w:t>54.114</w:t>
            </w:r>
          </w:p>
        </w:tc>
        <w:tc>
          <w:tcPr>
            <w:tcW w:w="1448" w:type="dxa"/>
            <w:tcBorders>
              <w:top w:val="nil"/>
              <w:left w:val="nil"/>
              <w:bottom w:val="single" w:sz="4" w:space="0" w:color="auto"/>
              <w:right w:val="single" w:sz="4" w:space="0" w:color="auto"/>
            </w:tcBorders>
            <w:shd w:val="clear" w:color="auto" w:fill="auto"/>
            <w:noWrap/>
            <w:vAlign w:val="bottom"/>
            <w:hideMark/>
          </w:tcPr>
          <w:p w14:paraId="4A0B3F71" w14:textId="77777777" w:rsidR="004B7622" w:rsidRPr="00D459C5" w:rsidRDefault="004B7622" w:rsidP="00377989">
            <w:pPr>
              <w:spacing w:after="0" w:line="240" w:lineRule="auto"/>
              <w:jc w:val="center"/>
              <w:rPr>
                <w:rFonts w:ascii="Arial" w:eastAsia="Times New Roman" w:hAnsi="Arial" w:cs="Arial"/>
                <w:color w:val="000000"/>
                <w:sz w:val="18"/>
                <w:szCs w:val="18"/>
                <w:lang w:eastAsia="sl-SI"/>
              </w:rPr>
            </w:pPr>
            <w:r w:rsidRPr="00D459C5">
              <w:rPr>
                <w:rFonts w:ascii="Arial" w:eastAsia="Times New Roman" w:hAnsi="Arial" w:cs="Arial"/>
                <w:color w:val="000000"/>
                <w:sz w:val="18"/>
                <w:szCs w:val="18"/>
                <w:lang w:eastAsia="sl-SI"/>
              </w:rPr>
              <w:t>1.856.632</w:t>
            </w:r>
          </w:p>
        </w:tc>
        <w:tc>
          <w:tcPr>
            <w:tcW w:w="1076" w:type="dxa"/>
            <w:tcBorders>
              <w:top w:val="nil"/>
              <w:left w:val="nil"/>
              <w:bottom w:val="single" w:sz="4" w:space="0" w:color="auto"/>
              <w:right w:val="single" w:sz="4" w:space="0" w:color="auto"/>
            </w:tcBorders>
            <w:shd w:val="clear" w:color="auto" w:fill="auto"/>
            <w:vAlign w:val="center"/>
            <w:hideMark/>
          </w:tcPr>
          <w:p w14:paraId="2C8DC152" w14:textId="77777777" w:rsidR="004B7622" w:rsidRPr="00D459C5" w:rsidRDefault="004B7622" w:rsidP="00377989">
            <w:pPr>
              <w:spacing w:after="0" w:line="240" w:lineRule="auto"/>
              <w:jc w:val="right"/>
              <w:rPr>
                <w:rFonts w:ascii="Arial" w:eastAsia="Times New Roman" w:hAnsi="Arial" w:cs="Arial"/>
                <w:sz w:val="18"/>
                <w:szCs w:val="18"/>
                <w:lang w:eastAsia="sl-SI"/>
              </w:rPr>
            </w:pPr>
            <w:r w:rsidRPr="00D459C5">
              <w:rPr>
                <w:rFonts w:ascii="Arial" w:eastAsia="Times New Roman" w:hAnsi="Arial" w:cs="Arial"/>
                <w:sz w:val="18"/>
                <w:szCs w:val="18"/>
                <w:lang w:eastAsia="sl-SI"/>
              </w:rPr>
              <w:t>98.496</w:t>
            </w:r>
          </w:p>
        </w:tc>
        <w:tc>
          <w:tcPr>
            <w:tcW w:w="1510" w:type="dxa"/>
            <w:tcBorders>
              <w:top w:val="nil"/>
              <w:left w:val="nil"/>
              <w:bottom w:val="single" w:sz="4" w:space="0" w:color="auto"/>
              <w:right w:val="single" w:sz="4" w:space="0" w:color="auto"/>
            </w:tcBorders>
            <w:shd w:val="clear" w:color="auto" w:fill="auto"/>
            <w:vAlign w:val="center"/>
            <w:hideMark/>
          </w:tcPr>
          <w:p w14:paraId="553E3683" w14:textId="77777777" w:rsidR="004B7622" w:rsidRPr="00D459C5" w:rsidRDefault="004B7622" w:rsidP="00377989">
            <w:pPr>
              <w:spacing w:after="0" w:line="240" w:lineRule="auto"/>
              <w:jc w:val="right"/>
              <w:rPr>
                <w:rFonts w:ascii="Arial" w:eastAsia="Times New Roman" w:hAnsi="Arial" w:cs="Arial"/>
                <w:sz w:val="18"/>
                <w:szCs w:val="18"/>
                <w:lang w:eastAsia="sl-SI"/>
              </w:rPr>
            </w:pPr>
            <w:r w:rsidRPr="00D459C5">
              <w:rPr>
                <w:rFonts w:ascii="Arial" w:eastAsia="Times New Roman" w:hAnsi="Arial" w:cs="Arial"/>
                <w:sz w:val="18"/>
                <w:szCs w:val="18"/>
                <w:lang w:eastAsia="sl-SI"/>
              </w:rPr>
              <w:t>2.887.117</w:t>
            </w:r>
          </w:p>
        </w:tc>
        <w:tc>
          <w:tcPr>
            <w:tcW w:w="785" w:type="dxa"/>
            <w:tcBorders>
              <w:top w:val="nil"/>
              <w:left w:val="nil"/>
              <w:bottom w:val="single" w:sz="4" w:space="0" w:color="auto"/>
              <w:right w:val="single" w:sz="4" w:space="0" w:color="auto"/>
            </w:tcBorders>
            <w:shd w:val="clear" w:color="auto" w:fill="auto"/>
            <w:noWrap/>
            <w:vAlign w:val="bottom"/>
            <w:hideMark/>
          </w:tcPr>
          <w:p w14:paraId="4EBE239E" w14:textId="77777777" w:rsidR="004B7622" w:rsidRPr="00D459C5" w:rsidRDefault="004B7622" w:rsidP="00377989">
            <w:pPr>
              <w:spacing w:after="0" w:line="240" w:lineRule="auto"/>
              <w:jc w:val="center"/>
              <w:rPr>
                <w:rFonts w:ascii="Arial" w:eastAsia="Times New Roman" w:hAnsi="Arial" w:cs="Arial"/>
                <w:color w:val="000000"/>
                <w:sz w:val="18"/>
                <w:szCs w:val="18"/>
                <w:lang w:eastAsia="sl-SI"/>
              </w:rPr>
            </w:pPr>
            <w:r w:rsidRPr="00D459C5">
              <w:rPr>
                <w:rFonts w:ascii="Arial" w:eastAsia="Times New Roman" w:hAnsi="Arial" w:cs="Arial"/>
                <w:color w:val="000000"/>
                <w:sz w:val="18"/>
                <w:szCs w:val="18"/>
                <w:lang w:eastAsia="sl-SI"/>
              </w:rPr>
              <w:t>182,0</w:t>
            </w:r>
          </w:p>
        </w:tc>
        <w:tc>
          <w:tcPr>
            <w:tcW w:w="849" w:type="dxa"/>
            <w:tcBorders>
              <w:top w:val="nil"/>
              <w:left w:val="nil"/>
              <w:bottom w:val="single" w:sz="4" w:space="0" w:color="auto"/>
              <w:right w:val="single" w:sz="4" w:space="0" w:color="auto"/>
            </w:tcBorders>
            <w:shd w:val="clear" w:color="auto" w:fill="auto"/>
            <w:noWrap/>
            <w:vAlign w:val="bottom"/>
            <w:hideMark/>
          </w:tcPr>
          <w:p w14:paraId="6F69510B" w14:textId="77777777" w:rsidR="004B7622" w:rsidRPr="00D459C5" w:rsidRDefault="004B7622" w:rsidP="00377989">
            <w:pPr>
              <w:spacing w:after="0" w:line="240" w:lineRule="auto"/>
              <w:jc w:val="center"/>
              <w:rPr>
                <w:rFonts w:ascii="Arial" w:eastAsia="Times New Roman" w:hAnsi="Arial" w:cs="Arial"/>
                <w:color w:val="000000"/>
                <w:sz w:val="18"/>
                <w:szCs w:val="18"/>
                <w:lang w:eastAsia="sl-SI"/>
              </w:rPr>
            </w:pPr>
            <w:r w:rsidRPr="00D459C5">
              <w:rPr>
                <w:rFonts w:ascii="Arial" w:eastAsia="Times New Roman" w:hAnsi="Arial" w:cs="Arial"/>
                <w:color w:val="000000"/>
                <w:sz w:val="18"/>
                <w:szCs w:val="18"/>
                <w:lang w:eastAsia="sl-SI"/>
              </w:rPr>
              <w:t>155,5</w:t>
            </w:r>
          </w:p>
        </w:tc>
      </w:tr>
      <w:tr w:rsidR="004B7622" w:rsidRPr="00D459C5" w14:paraId="1FF79D8F" w14:textId="77777777" w:rsidTr="00377989">
        <w:trPr>
          <w:trHeight w:val="195"/>
        </w:trPr>
        <w:tc>
          <w:tcPr>
            <w:tcW w:w="8961" w:type="dxa"/>
            <w:gridSpan w:val="7"/>
            <w:tcBorders>
              <w:top w:val="single" w:sz="4" w:space="0" w:color="auto"/>
              <w:left w:val="single" w:sz="4" w:space="0" w:color="auto"/>
              <w:bottom w:val="single" w:sz="4" w:space="0" w:color="auto"/>
              <w:right w:val="single" w:sz="4" w:space="0" w:color="auto"/>
            </w:tcBorders>
            <w:shd w:val="clear" w:color="000000" w:fill="E26B0A"/>
            <w:vAlign w:val="center"/>
            <w:hideMark/>
          </w:tcPr>
          <w:p w14:paraId="41F64666" w14:textId="77777777" w:rsidR="004B7622" w:rsidRPr="00D459C5" w:rsidRDefault="004B7622" w:rsidP="00377989">
            <w:pPr>
              <w:spacing w:after="0" w:line="240" w:lineRule="auto"/>
              <w:rPr>
                <w:rFonts w:ascii="Arial" w:eastAsia="Times New Roman" w:hAnsi="Arial" w:cs="Arial"/>
                <w:b/>
                <w:bCs/>
                <w:color w:val="FFFFFF"/>
                <w:sz w:val="18"/>
                <w:szCs w:val="18"/>
                <w:lang w:eastAsia="sl-SI"/>
              </w:rPr>
            </w:pPr>
            <w:r w:rsidRPr="00D459C5">
              <w:rPr>
                <w:rFonts w:ascii="Arial" w:eastAsia="Times New Roman" w:hAnsi="Arial" w:cs="Arial"/>
                <w:b/>
                <w:bCs/>
                <w:color w:val="FFFFFF"/>
                <w:sz w:val="18"/>
                <w:szCs w:val="18"/>
                <w:lang w:eastAsia="sl-SI"/>
              </w:rPr>
              <w:t>Sklep o davčni izvršbi</w:t>
            </w:r>
          </w:p>
        </w:tc>
      </w:tr>
      <w:tr w:rsidR="004B7622" w:rsidRPr="00D459C5" w14:paraId="2BBB562B" w14:textId="77777777" w:rsidTr="00377989">
        <w:trPr>
          <w:trHeight w:val="450"/>
        </w:trPr>
        <w:tc>
          <w:tcPr>
            <w:tcW w:w="2234" w:type="dxa"/>
            <w:tcBorders>
              <w:top w:val="nil"/>
              <w:left w:val="single" w:sz="4" w:space="0" w:color="auto"/>
              <w:bottom w:val="single" w:sz="4" w:space="0" w:color="auto"/>
              <w:right w:val="single" w:sz="4" w:space="0" w:color="auto"/>
            </w:tcBorders>
            <w:shd w:val="clear" w:color="auto" w:fill="auto"/>
            <w:vAlign w:val="center"/>
            <w:hideMark/>
          </w:tcPr>
          <w:p w14:paraId="79643D01" w14:textId="77777777" w:rsidR="004B7622" w:rsidRPr="00D459C5" w:rsidRDefault="004B7622" w:rsidP="00377989">
            <w:pPr>
              <w:spacing w:after="0" w:line="240" w:lineRule="auto"/>
              <w:rPr>
                <w:rFonts w:ascii="Arial" w:eastAsia="Times New Roman" w:hAnsi="Arial" w:cs="Arial"/>
                <w:sz w:val="18"/>
                <w:szCs w:val="18"/>
                <w:lang w:eastAsia="sl-SI"/>
              </w:rPr>
            </w:pPr>
            <w:r w:rsidRPr="00D459C5">
              <w:rPr>
                <w:rFonts w:ascii="Arial" w:eastAsia="Times New Roman" w:hAnsi="Arial" w:cs="Arial"/>
                <w:sz w:val="18"/>
                <w:szCs w:val="18"/>
                <w:lang w:eastAsia="sl-SI"/>
              </w:rPr>
              <w:t>Izdani sklepi</w:t>
            </w:r>
          </w:p>
        </w:tc>
        <w:tc>
          <w:tcPr>
            <w:tcW w:w="1055" w:type="dxa"/>
            <w:tcBorders>
              <w:top w:val="nil"/>
              <w:left w:val="nil"/>
              <w:bottom w:val="single" w:sz="4" w:space="0" w:color="auto"/>
              <w:right w:val="single" w:sz="4" w:space="0" w:color="auto"/>
            </w:tcBorders>
            <w:shd w:val="clear" w:color="auto" w:fill="auto"/>
            <w:vAlign w:val="center"/>
            <w:hideMark/>
          </w:tcPr>
          <w:p w14:paraId="15854933" w14:textId="77777777" w:rsidR="004B7622" w:rsidRPr="00D459C5" w:rsidRDefault="004B7622" w:rsidP="00377989">
            <w:pPr>
              <w:spacing w:after="0" w:line="240" w:lineRule="auto"/>
              <w:jc w:val="right"/>
              <w:rPr>
                <w:rFonts w:ascii="Arial" w:eastAsia="Times New Roman" w:hAnsi="Arial" w:cs="Arial"/>
                <w:sz w:val="18"/>
                <w:szCs w:val="18"/>
                <w:lang w:eastAsia="sl-SI"/>
              </w:rPr>
            </w:pPr>
            <w:r w:rsidRPr="00D459C5">
              <w:rPr>
                <w:rFonts w:ascii="Arial" w:eastAsia="Times New Roman" w:hAnsi="Arial" w:cs="Arial"/>
                <w:sz w:val="18"/>
                <w:szCs w:val="18"/>
                <w:lang w:eastAsia="sl-SI"/>
              </w:rPr>
              <w:t>248.587</w:t>
            </w:r>
          </w:p>
        </w:tc>
        <w:tc>
          <w:tcPr>
            <w:tcW w:w="1448" w:type="dxa"/>
            <w:tcBorders>
              <w:top w:val="nil"/>
              <w:left w:val="nil"/>
              <w:bottom w:val="single" w:sz="4" w:space="0" w:color="auto"/>
              <w:right w:val="single" w:sz="4" w:space="0" w:color="auto"/>
            </w:tcBorders>
            <w:shd w:val="clear" w:color="auto" w:fill="auto"/>
            <w:vAlign w:val="center"/>
            <w:hideMark/>
          </w:tcPr>
          <w:p w14:paraId="3555EA7E" w14:textId="77777777" w:rsidR="004B7622" w:rsidRPr="00D459C5" w:rsidRDefault="004B7622" w:rsidP="00377989">
            <w:pPr>
              <w:spacing w:after="0" w:line="240" w:lineRule="auto"/>
              <w:jc w:val="right"/>
              <w:rPr>
                <w:rFonts w:ascii="Arial" w:eastAsia="Times New Roman" w:hAnsi="Arial" w:cs="Arial"/>
                <w:sz w:val="18"/>
                <w:szCs w:val="18"/>
                <w:lang w:eastAsia="sl-SI"/>
              </w:rPr>
            </w:pPr>
            <w:r w:rsidRPr="00D459C5">
              <w:rPr>
                <w:rFonts w:ascii="Arial" w:eastAsia="Times New Roman" w:hAnsi="Arial" w:cs="Arial"/>
                <w:sz w:val="18"/>
                <w:szCs w:val="18"/>
                <w:lang w:eastAsia="sl-SI"/>
              </w:rPr>
              <w:t>552.779.335</w:t>
            </w:r>
          </w:p>
        </w:tc>
        <w:tc>
          <w:tcPr>
            <w:tcW w:w="1076" w:type="dxa"/>
            <w:tcBorders>
              <w:top w:val="nil"/>
              <w:left w:val="nil"/>
              <w:bottom w:val="single" w:sz="4" w:space="0" w:color="auto"/>
              <w:right w:val="single" w:sz="4" w:space="0" w:color="auto"/>
            </w:tcBorders>
            <w:shd w:val="clear" w:color="auto" w:fill="auto"/>
            <w:vAlign w:val="center"/>
            <w:hideMark/>
          </w:tcPr>
          <w:p w14:paraId="3C11A9C2" w14:textId="77777777" w:rsidR="004B7622" w:rsidRPr="00D459C5" w:rsidRDefault="004B7622" w:rsidP="00377989">
            <w:pPr>
              <w:spacing w:after="0" w:line="240" w:lineRule="auto"/>
              <w:jc w:val="right"/>
              <w:rPr>
                <w:rFonts w:ascii="Arial" w:eastAsia="Times New Roman" w:hAnsi="Arial" w:cs="Arial"/>
                <w:sz w:val="18"/>
                <w:szCs w:val="18"/>
                <w:lang w:eastAsia="sl-SI"/>
              </w:rPr>
            </w:pPr>
            <w:r w:rsidRPr="00D459C5">
              <w:rPr>
                <w:rFonts w:ascii="Arial" w:eastAsia="Times New Roman" w:hAnsi="Arial" w:cs="Arial"/>
                <w:sz w:val="18"/>
                <w:szCs w:val="18"/>
                <w:lang w:eastAsia="sl-SI"/>
              </w:rPr>
              <w:t>242.310</w:t>
            </w:r>
          </w:p>
        </w:tc>
        <w:tc>
          <w:tcPr>
            <w:tcW w:w="1510" w:type="dxa"/>
            <w:tcBorders>
              <w:top w:val="nil"/>
              <w:left w:val="nil"/>
              <w:bottom w:val="single" w:sz="4" w:space="0" w:color="auto"/>
              <w:right w:val="single" w:sz="4" w:space="0" w:color="auto"/>
            </w:tcBorders>
            <w:shd w:val="clear" w:color="auto" w:fill="auto"/>
            <w:vAlign w:val="center"/>
            <w:hideMark/>
          </w:tcPr>
          <w:p w14:paraId="0CAA43FB" w14:textId="77777777" w:rsidR="004B7622" w:rsidRPr="00D459C5" w:rsidRDefault="004B7622" w:rsidP="00377989">
            <w:pPr>
              <w:spacing w:after="0" w:line="240" w:lineRule="auto"/>
              <w:jc w:val="right"/>
              <w:rPr>
                <w:rFonts w:ascii="Arial" w:eastAsia="Times New Roman" w:hAnsi="Arial" w:cs="Arial"/>
                <w:sz w:val="18"/>
                <w:szCs w:val="18"/>
                <w:lang w:eastAsia="sl-SI"/>
              </w:rPr>
            </w:pPr>
            <w:r w:rsidRPr="00D459C5">
              <w:rPr>
                <w:rFonts w:ascii="Arial" w:eastAsia="Times New Roman" w:hAnsi="Arial" w:cs="Arial"/>
                <w:sz w:val="18"/>
                <w:szCs w:val="18"/>
                <w:lang w:eastAsia="sl-SI"/>
              </w:rPr>
              <w:t>545.155.488</w:t>
            </w:r>
          </w:p>
        </w:tc>
        <w:tc>
          <w:tcPr>
            <w:tcW w:w="785" w:type="dxa"/>
            <w:tcBorders>
              <w:top w:val="nil"/>
              <w:left w:val="nil"/>
              <w:bottom w:val="single" w:sz="4" w:space="0" w:color="auto"/>
              <w:right w:val="single" w:sz="4" w:space="0" w:color="auto"/>
            </w:tcBorders>
            <w:shd w:val="clear" w:color="auto" w:fill="auto"/>
            <w:vAlign w:val="center"/>
            <w:hideMark/>
          </w:tcPr>
          <w:p w14:paraId="7AFEB91D" w14:textId="77777777" w:rsidR="004B7622" w:rsidRPr="00D459C5" w:rsidRDefault="004B7622" w:rsidP="00377989">
            <w:pPr>
              <w:spacing w:after="0" w:line="240" w:lineRule="auto"/>
              <w:jc w:val="right"/>
              <w:rPr>
                <w:rFonts w:ascii="Arial" w:eastAsia="Times New Roman" w:hAnsi="Arial" w:cs="Arial"/>
                <w:sz w:val="18"/>
                <w:szCs w:val="18"/>
                <w:lang w:eastAsia="sl-SI"/>
              </w:rPr>
            </w:pPr>
            <w:r w:rsidRPr="00D459C5">
              <w:rPr>
                <w:rFonts w:ascii="Arial" w:eastAsia="Times New Roman" w:hAnsi="Arial" w:cs="Arial"/>
                <w:sz w:val="18"/>
                <w:szCs w:val="18"/>
                <w:lang w:eastAsia="sl-SI"/>
              </w:rPr>
              <w:t>97,5</w:t>
            </w:r>
          </w:p>
        </w:tc>
        <w:tc>
          <w:tcPr>
            <w:tcW w:w="849" w:type="dxa"/>
            <w:tcBorders>
              <w:top w:val="nil"/>
              <w:left w:val="nil"/>
              <w:bottom w:val="single" w:sz="4" w:space="0" w:color="auto"/>
              <w:right w:val="single" w:sz="4" w:space="0" w:color="auto"/>
            </w:tcBorders>
            <w:shd w:val="clear" w:color="auto" w:fill="auto"/>
            <w:vAlign w:val="center"/>
            <w:hideMark/>
          </w:tcPr>
          <w:p w14:paraId="191091F0" w14:textId="77777777" w:rsidR="004B7622" w:rsidRPr="00D459C5" w:rsidRDefault="004B7622" w:rsidP="00377989">
            <w:pPr>
              <w:spacing w:after="0" w:line="240" w:lineRule="auto"/>
              <w:jc w:val="right"/>
              <w:rPr>
                <w:rFonts w:ascii="Arial" w:eastAsia="Times New Roman" w:hAnsi="Arial" w:cs="Arial"/>
                <w:sz w:val="18"/>
                <w:szCs w:val="18"/>
                <w:lang w:eastAsia="sl-SI"/>
              </w:rPr>
            </w:pPr>
            <w:r w:rsidRPr="00D459C5">
              <w:rPr>
                <w:rFonts w:ascii="Arial" w:eastAsia="Times New Roman" w:hAnsi="Arial" w:cs="Arial"/>
                <w:sz w:val="18"/>
                <w:szCs w:val="18"/>
                <w:lang w:eastAsia="sl-SI"/>
              </w:rPr>
              <w:t>98,6</w:t>
            </w:r>
          </w:p>
        </w:tc>
      </w:tr>
      <w:tr w:rsidR="004B7622" w:rsidRPr="00D459C5" w14:paraId="29AC6262" w14:textId="77777777" w:rsidTr="00377989">
        <w:trPr>
          <w:trHeight w:val="474"/>
        </w:trPr>
        <w:tc>
          <w:tcPr>
            <w:tcW w:w="2234" w:type="dxa"/>
            <w:tcBorders>
              <w:top w:val="nil"/>
              <w:left w:val="single" w:sz="4" w:space="0" w:color="auto"/>
              <w:bottom w:val="single" w:sz="4" w:space="0" w:color="auto"/>
              <w:right w:val="single" w:sz="4" w:space="0" w:color="auto"/>
            </w:tcBorders>
            <w:shd w:val="clear" w:color="auto" w:fill="auto"/>
            <w:vAlign w:val="center"/>
            <w:hideMark/>
          </w:tcPr>
          <w:p w14:paraId="4CE56904" w14:textId="77777777" w:rsidR="004B7622" w:rsidRPr="00D459C5" w:rsidRDefault="004B7622" w:rsidP="00377989">
            <w:pPr>
              <w:spacing w:after="0" w:line="240" w:lineRule="auto"/>
              <w:rPr>
                <w:rFonts w:ascii="Arial" w:eastAsia="Times New Roman" w:hAnsi="Arial" w:cs="Arial"/>
                <w:sz w:val="18"/>
                <w:szCs w:val="18"/>
                <w:lang w:eastAsia="sl-SI"/>
              </w:rPr>
            </w:pPr>
            <w:r w:rsidRPr="00D459C5">
              <w:rPr>
                <w:rFonts w:ascii="Arial" w:eastAsia="Times New Roman" w:hAnsi="Arial" w:cs="Arial"/>
                <w:sz w:val="18"/>
                <w:szCs w:val="18"/>
                <w:lang w:eastAsia="sl-SI"/>
              </w:rPr>
              <w:t>Plačila na podlagi izdanih sklepov</w:t>
            </w:r>
          </w:p>
        </w:tc>
        <w:tc>
          <w:tcPr>
            <w:tcW w:w="1055" w:type="dxa"/>
            <w:tcBorders>
              <w:top w:val="nil"/>
              <w:left w:val="nil"/>
              <w:bottom w:val="single" w:sz="4" w:space="0" w:color="auto"/>
              <w:right w:val="single" w:sz="4" w:space="0" w:color="auto"/>
            </w:tcBorders>
            <w:shd w:val="clear" w:color="auto" w:fill="auto"/>
            <w:vAlign w:val="center"/>
            <w:hideMark/>
          </w:tcPr>
          <w:p w14:paraId="17FA9D8A" w14:textId="77777777" w:rsidR="004B7622" w:rsidRPr="00D459C5" w:rsidRDefault="004B7622" w:rsidP="00377989">
            <w:pPr>
              <w:spacing w:after="0" w:line="240" w:lineRule="auto"/>
              <w:jc w:val="right"/>
              <w:rPr>
                <w:rFonts w:ascii="Arial" w:eastAsia="Times New Roman" w:hAnsi="Arial" w:cs="Arial"/>
                <w:sz w:val="18"/>
                <w:szCs w:val="18"/>
                <w:lang w:eastAsia="sl-SI"/>
              </w:rPr>
            </w:pPr>
            <w:r w:rsidRPr="00D459C5">
              <w:rPr>
                <w:rFonts w:ascii="Arial" w:eastAsia="Times New Roman" w:hAnsi="Arial" w:cs="Arial"/>
                <w:sz w:val="18"/>
                <w:szCs w:val="18"/>
                <w:lang w:eastAsia="sl-SI"/>
              </w:rPr>
              <w:t>296.464</w:t>
            </w:r>
          </w:p>
        </w:tc>
        <w:tc>
          <w:tcPr>
            <w:tcW w:w="1448" w:type="dxa"/>
            <w:tcBorders>
              <w:top w:val="nil"/>
              <w:left w:val="nil"/>
              <w:bottom w:val="single" w:sz="4" w:space="0" w:color="auto"/>
              <w:right w:val="single" w:sz="4" w:space="0" w:color="auto"/>
            </w:tcBorders>
            <w:shd w:val="clear" w:color="auto" w:fill="auto"/>
            <w:vAlign w:val="center"/>
            <w:hideMark/>
          </w:tcPr>
          <w:p w14:paraId="047A7DDE" w14:textId="77777777" w:rsidR="004B7622" w:rsidRPr="00D459C5" w:rsidRDefault="004B7622" w:rsidP="00377989">
            <w:pPr>
              <w:spacing w:after="0" w:line="240" w:lineRule="auto"/>
              <w:jc w:val="right"/>
              <w:rPr>
                <w:rFonts w:ascii="Arial" w:eastAsia="Times New Roman" w:hAnsi="Arial" w:cs="Arial"/>
                <w:sz w:val="18"/>
                <w:szCs w:val="18"/>
                <w:lang w:eastAsia="sl-SI"/>
              </w:rPr>
            </w:pPr>
            <w:r w:rsidRPr="00D459C5">
              <w:rPr>
                <w:rFonts w:ascii="Arial" w:eastAsia="Times New Roman" w:hAnsi="Arial" w:cs="Arial"/>
                <w:sz w:val="18"/>
                <w:szCs w:val="18"/>
                <w:lang w:eastAsia="sl-SI"/>
              </w:rPr>
              <w:t>144.393.655</w:t>
            </w:r>
          </w:p>
        </w:tc>
        <w:tc>
          <w:tcPr>
            <w:tcW w:w="1076" w:type="dxa"/>
            <w:tcBorders>
              <w:top w:val="nil"/>
              <w:left w:val="nil"/>
              <w:bottom w:val="single" w:sz="4" w:space="0" w:color="auto"/>
              <w:right w:val="single" w:sz="4" w:space="0" w:color="auto"/>
            </w:tcBorders>
            <w:shd w:val="clear" w:color="auto" w:fill="auto"/>
            <w:vAlign w:val="center"/>
            <w:hideMark/>
          </w:tcPr>
          <w:p w14:paraId="6A3B731B" w14:textId="77777777" w:rsidR="004B7622" w:rsidRPr="00D459C5" w:rsidRDefault="004B7622" w:rsidP="00377989">
            <w:pPr>
              <w:spacing w:after="0" w:line="240" w:lineRule="auto"/>
              <w:jc w:val="right"/>
              <w:rPr>
                <w:rFonts w:ascii="Arial" w:eastAsia="Times New Roman" w:hAnsi="Arial" w:cs="Arial"/>
                <w:sz w:val="18"/>
                <w:szCs w:val="18"/>
                <w:lang w:eastAsia="sl-SI"/>
              </w:rPr>
            </w:pPr>
            <w:r w:rsidRPr="00D459C5">
              <w:rPr>
                <w:rFonts w:ascii="Arial" w:eastAsia="Times New Roman" w:hAnsi="Arial" w:cs="Arial"/>
                <w:sz w:val="18"/>
                <w:szCs w:val="18"/>
                <w:lang w:eastAsia="sl-SI"/>
              </w:rPr>
              <w:t>283.243</w:t>
            </w:r>
          </w:p>
        </w:tc>
        <w:tc>
          <w:tcPr>
            <w:tcW w:w="1510" w:type="dxa"/>
            <w:tcBorders>
              <w:top w:val="nil"/>
              <w:left w:val="nil"/>
              <w:bottom w:val="single" w:sz="4" w:space="0" w:color="auto"/>
              <w:right w:val="single" w:sz="4" w:space="0" w:color="auto"/>
            </w:tcBorders>
            <w:shd w:val="clear" w:color="auto" w:fill="auto"/>
            <w:vAlign w:val="center"/>
            <w:hideMark/>
          </w:tcPr>
          <w:p w14:paraId="05BBBB43" w14:textId="77777777" w:rsidR="004B7622" w:rsidRPr="00D459C5" w:rsidRDefault="004B7622" w:rsidP="00377989">
            <w:pPr>
              <w:spacing w:after="0" w:line="240" w:lineRule="auto"/>
              <w:jc w:val="right"/>
              <w:rPr>
                <w:rFonts w:ascii="Arial" w:eastAsia="Times New Roman" w:hAnsi="Arial" w:cs="Arial"/>
                <w:sz w:val="18"/>
                <w:szCs w:val="18"/>
                <w:lang w:eastAsia="sl-SI"/>
              </w:rPr>
            </w:pPr>
            <w:r w:rsidRPr="00D459C5">
              <w:rPr>
                <w:rFonts w:ascii="Arial" w:eastAsia="Times New Roman" w:hAnsi="Arial" w:cs="Arial"/>
                <w:sz w:val="18"/>
                <w:szCs w:val="18"/>
                <w:lang w:eastAsia="sl-SI"/>
              </w:rPr>
              <w:t>129.003.415</w:t>
            </w:r>
          </w:p>
        </w:tc>
        <w:tc>
          <w:tcPr>
            <w:tcW w:w="785" w:type="dxa"/>
            <w:tcBorders>
              <w:top w:val="nil"/>
              <w:left w:val="nil"/>
              <w:bottom w:val="single" w:sz="4" w:space="0" w:color="auto"/>
              <w:right w:val="single" w:sz="4" w:space="0" w:color="auto"/>
            </w:tcBorders>
            <w:shd w:val="clear" w:color="auto" w:fill="auto"/>
            <w:vAlign w:val="center"/>
            <w:hideMark/>
          </w:tcPr>
          <w:p w14:paraId="0E0BB4C3" w14:textId="77777777" w:rsidR="004B7622" w:rsidRPr="00D459C5" w:rsidRDefault="004B7622" w:rsidP="00377989">
            <w:pPr>
              <w:spacing w:after="0" w:line="240" w:lineRule="auto"/>
              <w:jc w:val="right"/>
              <w:rPr>
                <w:rFonts w:ascii="Arial" w:eastAsia="Times New Roman" w:hAnsi="Arial" w:cs="Arial"/>
                <w:sz w:val="18"/>
                <w:szCs w:val="18"/>
                <w:lang w:eastAsia="sl-SI"/>
              </w:rPr>
            </w:pPr>
            <w:r w:rsidRPr="00D459C5">
              <w:rPr>
                <w:rFonts w:ascii="Arial" w:eastAsia="Times New Roman" w:hAnsi="Arial" w:cs="Arial"/>
                <w:sz w:val="18"/>
                <w:szCs w:val="18"/>
                <w:lang w:eastAsia="sl-SI"/>
              </w:rPr>
              <w:t>95,5</w:t>
            </w:r>
          </w:p>
        </w:tc>
        <w:tc>
          <w:tcPr>
            <w:tcW w:w="849" w:type="dxa"/>
            <w:tcBorders>
              <w:top w:val="nil"/>
              <w:left w:val="nil"/>
              <w:bottom w:val="single" w:sz="4" w:space="0" w:color="auto"/>
              <w:right w:val="single" w:sz="4" w:space="0" w:color="auto"/>
            </w:tcBorders>
            <w:shd w:val="clear" w:color="auto" w:fill="auto"/>
            <w:vAlign w:val="center"/>
            <w:hideMark/>
          </w:tcPr>
          <w:p w14:paraId="722251E3" w14:textId="77777777" w:rsidR="004B7622" w:rsidRPr="00D459C5" w:rsidRDefault="004B7622" w:rsidP="00377989">
            <w:pPr>
              <w:spacing w:after="0" w:line="240" w:lineRule="auto"/>
              <w:jc w:val="right"/>
              <w:rPr>
                <w:rFonts w:ascii="Arial" w:eastAsia="Times New Roman" w:hAnsi="Arial" w:cs="Arial"/>
                <w:sz w:val="18"/>
                <w:szCs w:val="18"/>
                <w:lang w:eastAsia="sl-SI"/>
              </w:rPr>
            </w:pPr>
            <w:r w:rsidRPr="00D459C5">
              <w:rPr>
                <w:rFonts w:ascii="Arial" w:eastAsia="Times New Roman" w:hAnsi="Arial" w:cs="Arial"/>
                <w:sz w:val="18"/>
                <w:szCs w:val="18"/>
                <w:lang w:eastAsia="sl-SI"/>
              </w:rPr>
              <w:t>89,3</w:t>
            </w:r>
          </w:p>
        </w:tc>
      </w:tr>
      <w:tr w:rsidR="004B7622" w:rsidRPr="00D459C5" w14:paraId="3DE21722" w14:textId="77777777" w:rsidTr="00377989">
        <w:trPr>
          <w:trHeight w:val="441"/>
        </w:trPr>
        <w:tc>
          <w:tcPr>
            <w:tcW w:w="2234" w:type="dxa"/>
            <w:tcBorders>
              <w:top w:val="nil"/>
              <w:left w:val="single" w:sz="4" w:space="0" w:color="auto"/>
              <w:bottom w:val="single" w:sz="4" w:space="0" w:color="auto"/>
              <w:right w:val="single" w:sz="4" w:space="0" w:color="auto"/>
            </w:tcBorders>
            <w:shd w:val="clear" w:color="000000" w:fill="E26B0A"/>
            <w:vAlign w:val="bottom"/>
            <w:hideMark/>
          </w:tcPr>
          <w:p w14:paraId="55471940" w14:textId="77777777" w:rsidR="004B7622" w:rsidRPr="00D459C5" w:rsidRDefault="004B7622" w:rsidP="00377989">
            <w:pPr>
              <w:spacing w:after="0" w:line="240" w:lineRule="auto"/>
              <w:rPr>
                <w:rFonts w:ascii="Arial" w:eastAsia="Times New Roman" w:hAnsi="Arial" w:cs="Arial"/>
                <w:b/>
                <w:bCs/>
                <w:i/>
                <w:iCs/>
                <w:color w:val="FFFFFF"/>
                <w:sz w:val="18"/>
                <w:szCs w:val="18"/>
                <w:lang w:eastAsia="sl-SI"/>
              </w:rPr>
            </w:pPr>
            <w:r w:rsidRPr="00D459C5">
              <w:rPr>
                <w:rFonts w:ascii="Arial" w:eastAsia="Times New Roman" w:hAnsi="Arial" w:cs="Arial"/>
                <w:b/>
                <w:bCs/>
                <w:i/>
                <w:iCs/>
                <w:color w:val="FFFFFF"/>
                <w:sz w:val="18"/>
                <w:szCs w:val="18"/>
                <w:lang w:eastAsia="sl-SI"/>
              </w:rPr>
              <w:t xml:space="preserve">Terjani dolg po opominih in sklepih   </w:t>
            </w:r>
          </w:p>
        </w:tc>
        <w:tc>
          <w:tcPr>
            <w:tcW w:w="1055" w:type="dxa"/>
            <w:tcBorders>
              <w:top w:val="nil"/>
              <w:left w:val="nil"/>
              <w:bottom w:val="single" w:sz="4" w:space="0" w:color="auto"/>
              <w:right w:val="single" w:sz="4" w:space="0" w:color="auto"/>
            </w:tcBorders>
            <w:shd w:val="clear" w:color="000000" w:fill="E26B0A"/>
            <w:vAlign w:val="center"/>
            <w:hideMark/>
          </w:tcPr>
          <w:p w14:paraId="23A08950" w14:textId="77777777" w:rsidR="004B7622" w:rsidRPr="00D459C5" w:rsidRDefault="004B7622" w:rsidP="00377989">
            <w:pPr>
              <w:spacing w:after="0" w:line="240" w:lineRule="auto"/>
              <w:jc w:val="right"/>
              <w:rPr>
                <w:rFonts w:ascii="Arial" w:eastAsia="Times New Roman" w:hAnsi="Arial" w:cs="Arial"/>
                <w:b/>
                <w:bCs/>
                <w:i/>
                <w:iCs/>
                <w:color w:val="FFFFFF"/>
                <w:sz w:val="18"/>
                <w:szCs w:val="18"/>
                <w:lang w:eastAsia="sl-SI"/>
              </w:rPr>
            </w:pPr>
            <w:r w:rsidRPr="00D459C5">
              <w:rPr>
                <w:rFonts w:ascii="Arial" w:eastAsia="Times New Roman" w:hAnsi="Arial" w:cs="Arial"/>
                <w:b/>
                <w:bCs/>
                <w:i/>
                <w:iCs/>
                <w:color w:val="FFFFFF"/>
                <w:sz w:val="18"/>
                <w:szCs w:val="18"/>
                <w:lang w:eastAsia="sl-SI"/>
              </w:rPr>
              <w:t>826.777</w:t>
            </w:r>
          </w:p>
        </w:tc>
        <w:tc>
          <w:tcPr>
            <w:tcW w:w="1448" w:type="dxa"/>
            <w:tcBorders>
              <w:top w:val="nil"/>
              <w:left w:val="nil"/>
              <w:bottom w:val="single" w:sz="4" w:space="0" w:color="auto"/>
              <w:right w:val="single" w:sz="4" w:space="0" w:color="auto"/>
            </w:tcBorders>
            <w:shd w:val="clear" w:color="000000" w:fill="E26B0A"/>
            <w:vAlign w:val="center"/>
            <w:hideMark/>
          </w:tcPr>
          <w:p w14:paraId="60C08C77" w14:textId="77777777" w:rsidR="004B7622" w:rsidRPr="00D459C5" w:rsidRDefault="004B7622" w:rsidP="00377989">
            <w:pPr>
              <w:spacing w:after="0" w:line="240" w:lineRule="auto"/>
              <w:jc w:val="right"/>
              <w:rPr>
                <w:rFonts w:ascii="Arial" w:eastAsia="Times New Roman" w:hAnsi="Arial" w:cs="Arial"/>
                <w:b/>
                <w:bCs/>
                <w:i/>
                <w:iCs/>
                <w:color w:val="FFFFFF"/>
                <w:sz w:val="18"/>
                <w:szCs w:val="18"/>
                <w:lang w:eastAsia="sl-SI"/>
              </w:rPr>
            </w:pPr>
            <w:r w:rsidRPr="00D459C5">
              <w:rPr>
                <w:rFonts w:ascii="Arial" w:eastAsia="Times New Roman" w:hAnsi="Arial" w:cs="Arial"/>
                <w:b/>
                <w:bCs/>
                <w:i/>
                <w:iCs/>
                <w:color w:val="FFFFFF"/>
                <w:sz w:val="18"/>
                <w:szCs w:val="18"/>
                <w:lang w:eastAsia="sl-SI"/>
              </w:rPr>
              <w:t>919.803.550</w:t>
            </w:r>
          </w:p>
        </w:tc>
        <w:tc>
          <w:tcPr>
            <w:tcW w:w="1076" w:type="dxa"/>
            <w:tcBorders>
              <w:top w:val="nil"/>
              <w:left w:val="nil"/>
              <w:bottom w:val="single" w:sz="4" w:space="0" w:color="auto"/>
              <w:right w:val="single" w:sz="4" w:space="0" w:color="auto"/>
            </w:tcBorders>
            <w:shd w:val="clear" w:color="000000" w:fill="E26B0A"/>
            <w:vAlign w:val="center"/>
            <w:hideMark/>
          </w:tcPr>
          <w:p w14:paraId="55D9993B" w14:textId="77777777" w:rsidR="004B7622" w:rsidRPr="00D459C5" w:rsidRDefault="004B7622" w:rsidP="00377989">
            <w:pPr>
              <w:spacing w:after="0" w:line="240" w:lineRule="auto"/>
              <w:jc w:val="right"/>
              <w:rPr>
                <w:rFonts w:ascii="Arial" w:eastAsia="Times New Roman" w:hAnsi="Arial" w:cs="Arial"/>
                <w:b/>
                <w:bCs/>
                <w:i/>
                <w:iCs/>
                <w:color w:val="FFFFFF"/>
                <w:sz w:val="18"/>
                <w:szCs w:val="18"/>
                <w:lang w:eastAsia="sl-SI"/>
              </w:rPr>
            </w:pPr>
            <w:r w:rsidRPr="00D459C5">
              <w:rPr>
                <w:rFonts w:ascii="Arial" w:eastAsia="Times New Roman" w:hAnsi="Arial" w:cs="Arial"/>
                <w:b/>
                <w:bCs/>
                <w:i/>
                <w:iCs/>
                <w:color w:val="FFFFFF"/>
                <w:sz w:val="18"/>
                <w:szCs w:val="18"/>
                <w:lang w:eastAsia="sl-SI"/>
              </w:rPr>
              <w:t>1.129.847</w:t>
            </w:r>
          </w:p>
        </w:tc>
        <w:tc>
          <w:tcPr>
            <w:tcW w:w="1510" w:type="dxa"/>
            <w:tcBorders>
              <w:top w:val="nil"/>
              <w:left w:val="nil"/>
              <w:bottom w:val="single" w:sz="4" w:space="0" w:color="auto"/>
              <w:right w:val="single" w:sz="4" w:space="0" w:color="auto"/>
            </w:tcBorders>
            <w:shd w:val="clear" w:color="000000" w:fill="E26B0A"/>
            <w:vAlign w:val="center"/>
            <w:hideMark/>
          </w:tcPr>
          <w:p w14:paraId="17D84AC5" w14:textId="77777777" w:rsidR="004B7622" w:rsidRPr="00D459C5" w:rsidRDefault="004B7622" w:rsidP="00377989">
            <w:pPr>
              <w:spacing w:after="0" w:line="240" w:lineRule="auto"/>
              <w:jc w:val="right"/>
              <w:rPr>
                <w:rFonts w:ascii="Arial" w:eastAsia="Times New Roman" w:hAnsi="Arial" w:cs="Arial"/>
                <w:b/>
                <w:bCs/>
                <w:i/>
                <w:iCs/>
                <w:color w:val="FFFFFF"/>
                <w:sz w:val="18"/>
                <w:szCs w:val="18"/>
                <w:lang w:eastAsia="sl-SI"/>
              </w:rPr>
            </w:pPr>
            <w:r w:rsidRPr="00D459C5">
              <w:rPr>
                <w:rFonts w:ascii="Arial" w:eastAsia="Times New Roman" w:hAnsi="Arial" w:cs="Arial"/>
                <w:b/>
                <w:bCs/>
                <w:i/>
                <w:iCs/>
                <w:color w:val="FFFFFF"/>
                <w:sz w:val="18"/>
                <w:szCs w:val="18"/>
                <w:lang w:eastAsia="sl-SI"/>
              </w:rPr>
              <w:t>1.193.392.380</w:t>
            </w:r>
          </w:p>
        </w:tc>
        <w:tc>
          <w:tcPr>
            <w:tcW w:w="785" w:type="dxa"/>
            <w:tcBorders>
              <w:top w:val="nil"/>
              <w:left w:val="nil"/>
              <w:bottom w:val="single" w:sz="4" w:space="0" w:color="auto"/>
              <w:right w:val="single" w:sz="4" w:space="0" w:color="auto"/>
            </w:tcBorders>
            <w:shd w:val="clear" w:color="000000" w:fill="E26B0A"/>
            <w:vAlign w:val="center"/>
            <w:hideMark/>
          </w:tcPr>
          <w:p w14:paraId="5FB93557" w14:textId="77777777" w:rsidR="004B7622" w:rsidRPr="00D459C5" w:rsidRDefault="004B7622" w:rsidP="00377989">
            <w:pPr>
              <w:spacing w:after="0" w:line="240" w:lineRule="auto"/>
              <w:jc w:val="right"/>
              <w:rPr>
                <w:rFonts w:ascii="Arial" w:eastAsia="Times New Roman" w:hAnsi="Arial" w:cs="Arial"/>
                <w:b/>
                <w:bCs/>
                <w:i/>
                <w:iCs/>
                <w:color w:val="FFFFFF"/>
                <w:sz w:val="18"/>
                <w:szCs w:val="18"/>
                <w:lang w:eastAsia="sl-SI"/>
              </w:rPr>
            </w:pPr>
            <w:r w:rsidRPr="00D459C5">
              <w:rPr>
                <w:rFonts w:ascii="Arial" w:eastAsia="Times New Roman" w:hAnsi="Arial" w:cs="Arial"/>
                <w:b/>
                <w:bCs/>
                <w:i/>
                <w:iCs/>
                <w:color w:val="FFFFFF"/>
                <w:sz w:val="18"/>
                <w:szCs w:val="18"/>
                <w:lang w:eastAsia="sl-SI"/>
              </w:rPr>
              <w:t>136,7</w:t>
            </w:r>
          </w:p>
        </w:tc>
        <w:tc>
          <w:tcPr>
            <w:tcW w:w="849" w:type="dxa"/>
            <w:tcBorders>
              <w:top w:val="nil"/>
              <w:left w:val="nil"/>
              <w:bottom w:val="single" w:sz="4" w:space="0" w:color="auto"/>
              <w:right w:val="single" w:sz="4" w:space="0" w:color="auto"/>
            </w:tcBorders>
            <w:shd w:val="clear" w:color="000000" w:fill="E26B0A"/>
            <w:vAlign w:val="center"/>
            <w:hideMark/>
          </w:tcPr>
          <w:p w14:paraId="5F403946" w14:textId="77777777" w:rsidR="004B7622" w:rsidRPr="00D459C5" w:rsidRDefault="004B7622" w:rsidP="00377989">
            <w:pPr>
              <w:spacing w:after="0" w:line="240" w:lineRule="auto"/>
              <w:jc w:val="right"/>
              <w:rPr>
                <w:rFonts w:ascii="Arial" w:eastAsia="Times New Roman" w:hAnsi="Arial" w:cs="Arial"/>
                <w:b/>
                <w:bCs/>
                <w:i/>
                <w:iCs/>
                <w:color w:val="FFFFFF"/>
                <w:sz w:val="18"/>
                <w:szCs w:val="18"/>
                <w:lang w:eastAsia="sl-SI"/>
              </w:rPr>
            </w:pPr>
            <w:r w:rsidRPr="00D459C5">
              <w:rPr>
                <w:rFonts w:ascii="Arial" w:eastAsia="Times New Roman" w:hAnsi="Arial" w:cs="Arial"/>
                <w:b/>
                <w:bCs/>
                <w:i/>
                <w:iCs/>
                <w:color w:val="FFFFFF"/>
                <w:sz w:val="18"/>
                <w:szCs w:val="18"/>
                <w:lang w:eastAsia="sl-SI"/>
              </w:rPr>
              <w:t>129,7</w:t>
            </w:r>
          </w:p>
        </w:tc>
      </w:tr>
      <w:tr w:rsidR="004B7622" w:rsidRPr="00D459C5" w14:paraId="6D70468B" w14:textId="77777777" w:rsidTr="00377989">
        <w:trPr>
          <w:trHeight w:val="466"/>
        </w:trPr>
        <w:tc>
          <w:tcPr>
            <w:tcW w:w="2234" w:type="dxa"/>
            <w:tcBorders>
              <w:top w:val="nil"/>
              <w:left w:val="single" w:sz="4" w:space="0" w:color="auto"/>
              <w:bottom w:val="single" w:sz="4" w:space="0" w:color="auto"/>
              <w:right w:val="single" w:sz="4" w:space="0" w:color="auto"/>
            </w:tcBorders>
            <w:shd w:val="clear" w:color="000000" w:fill="E26B0A"/>
            <w:vAlign w:val="bottom"/>
            <w:hideMark/>
          </w:tcPr>
          <w:p w14:paraId="259E51FD" w14:textId="77777777" w:rsidR="004B7622" w:rsidRPr="00D459C5" w:rsidRDefault="004B7622" w:rsidP="00377989">
            <w:pPr>
              <w:spacing w:after="0" w:line="240" w:lineRule="auto"/>
              <w:rPr>
                <w:rFonts w:ascii="Arial" w:eastAsia="Times New Roman" w:hAnsi="Arial" w:cs="Arial"/>
                <w:b/>
                <w:bCs/>
                <w:i/>
                <w:iCs/>
                <w:color w:val="FFFFFF"/>
                <w:sz w:val="18"/>
                <w:szCs w:val="18"/>
                <w:lang w:eastAsia="sl-SI"/>
              </w:rPr>
            </w:pPr>
            <w:r w:rsidRPr="00D459C5">
              <w:rPr>
                <w:rFonts w:ascii="Arial" w:eastAsia="Times New Roman" w:hAnsi="Arial" w:cs="Arial"/>
                <w:b/>
                <w:bCs/>
                <w:i/>
                <w:iCs/>
                <w:color w:val="FFFFFF"/>
                <w:sz w:val="18"/>
                <w:szCs w:val="18"/>
                <w:lang w:eastAsia="sl-SI"/>
              </w:rPr>
              <w:t xml:space="preserve">Realizacija po opominih  in sklepih   </w:t>
            </w:r>
          </w:p>
        </w:tc>
        <w:tc>
          <w:tcPr>
            <w:tcW w:w="1055" w:type="dxa"/>
            <w:tcBorders>
              <w:top w:val="nil"/>
              <w:left w:val="nil"/>
              <w:bottom w:val="single" w:sz="4" w:space="0" w:color="auto"/>
              <w:right w:val="single" w:sz="4" w:space="0" w:color="auto"/>
            </w:tcBorders>
            <w:shd w:val="clear" w:color="000000" w:fill="E26B0A"/>
            <w:vAlign w:val="center"/>
            <w:hideMark/>
          </w:tcPr>
          <w:p w14:paraId="45BC1A32" w14:textId="77777777" w:rsidR="004B7622" w:rsidRPr="00D459C5" w:rsidRDefault="004B7622" w:rsidP="00377989">
            <w:pPr>
              <w:spacing w:after="0" w:line="240" w:lineRule="auto"/>
              <w:jc w:val="right"/>
              <w:rPr>
                <w:rFonts w:ascii="Arial" w:eastAsia="Times New Roman" w:hAnsi="Arial" w:cs="Arial"/>
                <w:b/>
                <w:bCs/>
                <w:i/>
                <w:iCs/>
                <w:color w:val="FFFFFF"/>
                <w:sz w:val="18"/>
                <w:szCs w:val="18"/>
                <w:lang w:eastAsia="sl-SI"/>
              </w:rPr>
            </w:pPr>
            <w:r w:rsidRPr="00D459C5">
              <w:rPr>
                <w:rFonts w:ascii="Arial" w:eastAsia="Times New Roman" w:hAnsi="Arial" w:cs="Arial"/>
                <w:b/>
                <w:bCs/>
                <w:i/>
                <w:iCs/>
                <w:color w:val="FFFFFF"/>
                <w:sz w:val="18"/>
                <w:szCs w:val="18"/>
                <w:lang w:eastAsia="sl-SI"/>
              </w:rPr>
              <w:t>673.618</w:t>
            </w:r>
          </w:p>
        </w:tc>
        <w:tc>
          <w:tcPr>
            <w:tcW w:w="1448" w:type="dxa"/>
            <w:tcBorders>
              <w:top w:val="nil"/>
              <w:left w:val="nil"/>
              <w:bottom w:val="single" w:sz="4" w:space="0" w:color="auto"/>
              <w:right w:val="single" w:sz="4" w:space="0" w:color="auto"/>
            </w:tcBorders>
            <w:shd w:val="clear" w:color="000000" w:fill="E26B0A"/>
            <w:vAlign w:val="center"/>
            <w:hideMark/>
          </w:tcPr>
          <w:p w14:paraId="5C45CE59" w14:textId="77777777" w:rsidR="004B7622" w:rsidRPr="00D459C5" w:rsidRDefault="004B7622" w:rsidP="00377989">
            <w:pPr>
              <w:spacing w:after="0" w:line="240" w:lineRule="auto"/>
              <w:jc w:val="right"/>
              <w:rPr>
                <w:rFonts w:ascii="Arial" w:eastAsia="Times New Roman" w:hAnsi="Arial" w:cs="Arial"/>
                <w:b/>
                <w:bCs/>
                <w:i/>
                <w:iCs/>
                <w:color w:val="FFFFFF"/>
                <w:sz w:val="18"/>
                <w:szCs w:val="18"/>
                <w:lang w:eastAsia="sl-SI"/>
              </w:rPr>
            </w:pPr>
            <w:r w:rsidRPr="00D459C5">
              <w:rPr>
                <w:rFonts w:ascii="Arial" w:eastAsia="Times New Roman" w:hAnsi="Arial" w:cs="Arial"/>
                <w:b/>
                <w:bCs/>
                <w:i/>
                <w:iCs/>
                <w:color w:val="FFFFFF"/>
                <w:sz w:val="18"/>
                <w:szCs w:val="18"/>
                <w:lang w:eastAsia="sl-SI"/>
              </w:rPr>
              <w:t>343.759.061</w:t>
            </w:r>
          </w:p>
        </w:tc>
        <w:tc>
          <w:tcPr>
            <w:tcW w:w="1076" w:type="dxa"/>
            <w:tcBorders>
              <w:top w:val="nil"/>
              <w:left w:val="nil"/>
              <w:bottom w:val="single" w:sz="4" w:space="0" w:color="auto"/>
              <w:right w:val="single" w:sz="4" w:space="0" w:color="auto"/>
            </w:tcBorders>
            <w:shd w:val="clear" w:color="000000" w:fill="E26B0A"/>
            <w:vAlign w:val="center"/>
            <w:hideMark/>
          </w:tcPr>
          <w:p w14:paraId="7D0A1288" w14:textId="77777777" w:rsidR="004B7622" w:rsidRPr="00D459C5" w:rsidRDefault="004B7622" w:rsidP="00377989">
            <w:pPr>
              <w:spacing w:after="0" w:line="240" w:lineRule="auto"/>
              <w:jc w:val="right"/>
              <w:rPr>
                <w:rFonts w:ascii="Arial" w:eastAsia="Times New Roman" w:hAnsi="Arial" w:cs="Arial"/>
                <w:b/>
                <w:bCs/>
                <w:i/>
                <w:iCs/>
                <w:color w:val="FFFFFF"/>
                <w:sz w:val="18"/>
                <w:szCs w:val="18"/>
                <w:lang w:eastAsia="sl-SI"/>
              </w:rPr>
            </w:pPr>
            <w:r w:rsidRPr="00D459C5">
              <w:rPr>
                <w:rFonts w:ascii="Arial" w:eastAsia="Times New Roman" w:hAnsi="Arial" w:cs="Arial"/>
                <w:b/>
                <w:bCs/>
                <w:i/>
                <w:iCs/>
                <w:color w:val="FFFFFF"/>
                <w:sz w:val="18"/>
                <w:szCs w:val="18"/>
                <w:lang w:eastAsia="sl-SI"/>
              </w:rPr>
              <w:t>925.196</w:t>
            </w:r>
          </w:p>
        </w:tc>
        <w:tc>
          <w:tcPr>
            <w:tcW w:w="1510" w:type="dxa"/>
            <w:tcBorders>
              <w:top w:val="nil"/>
              <w:left w:val="nil"/>
              <w:bottom w:val="single" w:sz="4" w:space="0" w:color="auto"/>
              <w:right w:val="single" w:sz="4" w:space="0" w:color="auto"/>
            </w:tcBorders>
            <w:shd w:val="clear" w:color="000000" w:fill="E26B0A"/>
            <w:vAlign w:val="center"/>
            <w:hideMark/>
          </w:tcPr>
          <w:p w14:paraId="0675E252" w14:textId="77777777" w:rsidR="004B7622" w:rsidRPr="00D459C5" w:rsidRDefault="004B7622" w:rsidP="00377989">
            <w:pPr>
              <w:spacing w:after="0" w:line="240" w:lineRule="auto"/>
              <w:jc w:val="right"/>
              <w:rPr>
                <w:rFonts w:ascii="Arial" w:eastAsia="Times New Roman" w:hAnsi="Arial" w:cs="Arial"/>
                <w:b/>
                <w:bCs/>
                <w:i/>
                <w:iCs/>
                <w:color w:val="FFFFFF"/>
                <w:sz w:val="18"/>
                <w:szCs w:val="18"/>
                <w:lang w:eastAsia="sl-SI"/>
              </w:rPr>
            </w:pPr>
            <w:r w:rsidRPr="00D459C5">
              <w:rPr>
                <w:rFonts w:ascii="Arial" w:eastAsia="Times New Roman" w:hAnsi="Arial" w:cs="Arial"/>
                <w:b/>
                <w:bCs/>
                <w:i/>
                <w:iCs/>
                <w:color w:val="FFFFFF"/>
                <w:sz w:val="18"/>
                <w:szCs w:val="18"/>
                <w:lang w:eastAsia="sl-SI"/>
              </w:rPr>
              <w:t>452.703.923</w:t>
            </w:r>
          </w:p>
        </w:tc>
        <w:tc>
          <w:tcPr>
            <w:tcW w:w="785" w:type="dxa"/>
            <w:tcBorders>
              <w:top w:val="nil"/>
              <w:left w:val="nil"/>
              <w:bottom w:val="single" w:sz="4" w:space="0" w:color="auto"/>
              <w:right w:val="single" w:sz="4" w:space="0" w:color="auto"/>
            </w:tcBorders>
            <w:shd w:val="clear" w:color="000000" w:fill="E26B0A"/>
            <w:vAlign w:val="center"/>
            <w:hideMark/>
          </w:tcPr>
          <w:p w14:paraId="73782174" w14:textId="77777777" w:rsidR="004B7622" w:rsidRPr="00D459C5" w:rsidRDefault="004B7622" w:rsidP="00377989">
            <w:pPr>
              <w:spacing w:after="0" w:line="240" w:lineRule="auto"/>
              <w:jc w:val="right"/>
              <w:rPr>
                <w:rFonts w:ascii="Arial" w:eastAsia="Times New Roman" w:hAnsi="Arial" w:cs="Arial"/>
                <w:b/>
                <w:bCs/>
                <w:i/>
                <w:iCs/>
                <w:color w:val="FFFFFF"/>
                <w:sz w:val="18"/>
                <w:szCs w:val="18"/>
                <w:lang w:eastAsia="sl-SI"/>
              </w:rPr>
            </w:pPr>
            <w:r w:rsidRPr="00D459C5">
              <w:rPr>
                <w:rFonts w:ascii="Arial" w:eastAsia="Times New Roman" w:hAnsi="Arial" w:cs="Arial"/>
                <w:b/>
                <w:bCs/>
                <w:i/>
                <w:iCs/>
                <w:color w:val="FFFFFF"/>
                <w:sz w:val="18"/>
                <w:szCs w:val="18"/>
                <w:lang w:eastAsia="sl-SI"/>
              </w:rPr>
              <w:t>137,3</w:t>
            </w:r>
          </w:p>
        </w:tc>
        <w:tc>
          <w:tcPr>
            <w:tcW w:w="849" w:type="dxa"/>
            <w:tcBorders>
              <w:top w:val="nil"/>
              <w:left w:val="nil"/>
              <w:bottom w:val="single" w:sz="4" w:space="0" w:color="auto"/>
              <w:right w:val="single" w:sz="4" w:space="0" w:color="auto"/>
            </w:tcBorders>
            <w:shd w:val="clear" w:color="000000" w:fill="E26B0A"/>
            <w:vAlign w:val="center"/>
            <w:hideMark/>
          </w:tcPr>
          <w:p w14:paraId="62A84BC9" w14:textId="77777777" w:rsidR="004B7622" w:rsidRPr="00D459C5" w:rsidRDefault="004B7622" w:rsidP="00377989">
            <w:pPr>
              <w:spacing w:after="0" w:line="240" w:lineRule="auto"/>
              <w:jc w:val="right"/>
              <w:rPr>
                <w:rFonts w:ascii="Arial" w:eastAsia="Times New Roman" w:hAnsi="Arial" w:cs="Arial"/>
                <w:b/>
                <w:bCs/>
                <w:i/>
                <w:iCs/>
                <w:color w:val="FFFFFF"/>
                <w:sz w:val="18"/>
                <w:szCs w:val="18"/>
                <w:lang w:eastAsia="sl-SI"/>
              </w:rPr>
            </w:pPr>
            <w:r w:rsidRPr="00D459C5">
              <w:rPr>
                <w:rFonts w:ascii="Arial" w:eastAsia="Times New Roman" w:hAnsi="Arial" w:cs="Arial"/>
                <w:b/>
                <w:bCs/>
                <w:i/>
                <w:iCs/>
                <w:color w:val="FFFFFF"/>
                <w:sz w:val="18"/>
                <w:szCs w:val="18"/>
                <w:lang w:eastAsia="sl-SI"/>
              </w:rPr>
              <w:t>131,7</w:t>
            </w:r>
          </w:p>
        </w:tc>
      </w:tr>
      <w:tr w:rsidR="004B7622" w:rsidRPr="00D459C5" w14:paraId="033AE755" w14:textId="77777777" w:rsidTr="00377989">
        <w:trPr>
          <w:trHeight w:val="343"/>
        </w:trPr>
        <w:tc>
          <w:tcPr>
            <w:tcW w:w="8961" w:type="dxa"/>
            <w:gridSpan w:val="7"/>
            <w:tcBorders>
              <w:top w:val="single" w:sz="4" w:space="0" w:color="auto"/>
              <w:left w:val="single" w:sz="4" w:space="0" w:color="auto"/>
              <w:bottom w:val="single" w:sz="4" w:space="0" w:color="auto"/>
              <w:right w:val="single" w:sz="4" w:space="0" w:color="auto"/>
            </w:tcBorders>
            <w:shd w:val="clear" w:color="000000" w:fill="31869B"/>
            <w:vAlign w:val="center"/>
            <w:hideMark/>
          </w:tcPr>
          <w:p w14:paraId="074F2B40" w14:textId="77777777" w:rsidR="004B7622" w:rsidRPr="00D459C5" w:rsidRDefault="004B7622" w:rsidP="00377989">
            <w:pPr>
              <w:spacing w:after="0" w:line="240" w:lineRule="auto"/>
              <w:rPr>
                <w:rFonts w:ascii="Arial" w:eastAsia="Times New Roman" w:hAnsi="Arial" w:cs="Arial"/>
                <w:b/>
                <w:bCs/>
                <w:color w:val="FFFFFF"/>
                <w:sz w:val="18"/>
                <w:szCs w:val="18"/>
                <w:lang w:eastAsia="sl-SI"/>
              </w:rPr>
            </w:pPr>
            <w:r w:rsidRPr="00D459C5">
              <w:rPr>
                <w:rFonts w:ascii="Arial" w:eastAsia="Times New Roman" w:hAnsi="Arial" w:cs="Arial"/>
                <w:b/>
                <w:bCs/>
                <w:color w:val="FFFFFF"/>
                <w:sz w:val="18"/>
                <w:szCs w:val="18"/>
                <w:lang w:eastAsia="sl-SI"/>
              </w:rPr>
              <w:t>DODATNI UKREPI IZTERJAVE</w:t>
            </w:r>
          </w:p>
        </w:tc>
      </w:tr>
      <w:tr w:rsidR="004B7622" w:rsidRPr="00D459C5" w14:paraId="3369AFCF" w14:textId="77777777" w:rsidTr="00377989">
        <w:trPr>
          <w:trHeight w:val="313"/>
        </w:trPr>
        <w:tc>
          <w:tcPr>
            <w:tcW w:w="2234" w:type="dxa"/>
            <w:tcBorders>
              <w:top w:val="nil"/>
              <w:left w:val="single" w:sz="4" w:space="0" w:color="auto"/>
              <w:bottom w:val="single" w:sz="4" w:space="0" w:color="auto"/>
              <w:right w:val="single" w:sz="4" w:space="0" w:color="auto"/>
            </w:tcBorders>
            <w:shd w:val="clear" w:color="auto" w:fill="auto"/>
            <w:vAlign w:val="bottom"/>
            <w:hideMark/>
          </w:tcPr>
          <w:p w14:paraId="05C95A62" w14:textId="77777777" w:rsidR="004B7622" w:rsidRPr="00D459C5" w:rsidRDefault="004B7622" w:rsidP="00377989">
            <w:pPr>
              <w:spacing w:after="0" w:line="240" w:lineRule="auto"/>
              <w:rPr>
                <w:rFonts w:ascii="Arial" w:eastAsia="Times New Roman" w:hAnsi="Arial" w:cs="Arial"/>
                <w:sz w:val="18"/>
                <w:szCs w:val="18"/>
                <w:lang w:eastAsia="sl-SI"/>
              </w:rPr>
            </w:pPr>
            <w:r w:rsidRPr="00D459C5">
              <w:rPr>
                <w:rFonts w:ascii="Arial" w:eastAsia="Times New Roman" w:hAnsi="Arial" w:cs="Arial"/>
                <w:sz w:val="18"/>
                <w:szCs w:val="18"/>
                <w:lang w:eastAsia="sl-SI"/>
              </w:rPr>
              <w:t>Poboti</w:t>
            </w:r>
          </w:p>
        </w:tc>
        <w:tc>
          <w:tcPr>
            <w:tcW w:w="1055" w:type="dxa"/>
            <w:tcBorders>
              <w:top w:val="nil"/>
              <w:left w:val="nil"/>
              <w:bottom w:val="single" w:sz="4" w:space="0" w:color="auto"/>
              <w:right w:val="single" w:sz="4" w:space="0" w:color="auto"/>
            </w:tcBorders>
            <w:shd w:val="clear" w:color="auto" w:fill="auto"/>
            <w:noWrap/>
            <w:vAlign w:val="bottom"/>
            <w:hideMark/>
          </w:tcPr>
          <w:p w14:paraId="189D256B" w14:textId="77777777" w:rsidR="004B7622" w:rsidRPr="00D459C5" w:rsidRDefault="004B7622" w:rsidP="00377989">
            <w:pPr>
              <w:spacing w:after="0" w:line="240" w:lineRule="auto"/>
              <w:jc w:val="center"/>
              <w:rPr>
                <w:rFonts w:ascii="Arial" w:eastAsia="Times New Roman" w:hAnsi="Arial" w:cs="Arial"/>
                <w:sz w:val="18"/>
                <w:szCs w:val="18"/>
                <w:lang w:eastAsia="sl-SI"/>
              </w:rPr>
            </w:pPr>
            <w:r w:rsidRPr="00D459C5">
              <w:rPr>
                <w:rFonts w:ascii="Arial" w:eastAsia="Times New Roman" w:hAnsi="Arial" w:cs="Arial"/>
                <w:sz w:val="18"/>
                <w:szCs w:val="18"/>
                <w:lang w:eastAsia="sl-SI"/>
              </w:rPr>
              <w:t>151.636</w:t>
            </w:r>
          </w:p>
        </w:tc>
        <w:tc>
          <w:tcPr>
            <w:tcW w:w="1448" w:type="dxa"/>
            <w:tcBorders>
              <w:top w:val="nil"/>
              <w:left w:val="nil"/>
              <w:bottom w:val="single" w:sz="4" w:space="0" w:color="auto"/>
              <w:right w:val="single" w:sz="4" w:space="0" w:color="auto"/>
            </w:tcBorders>
            <w:shd w:val="clear" w:color="auto" w:fill="auto"/>
            <w:noWrap/>
            <w:vAlign w:val="bottom"/>
            <w:hideMark/>
          </w:tcPr>
          <w:p w14:paraId="5FB12CBD" w14:textId="77777777" w:rsidR="004B7622" w:rsidRPr="00D459C5" w:rsidRDefault="004B7622" w:rsidP="00377989">
            <w:pPr>
              <w:spacing w:after="0" w:line="240" w:lineRule="auto"/>
              <w:jc w:val="right"/>
              <w:rPr>
                <w:rFonts w:ascii="Arial" w:eastAsia="Times New Roman" w:hAnsi="Arial" w:cs="Arial"/>
                <w:sz w:val="18"/>
                <w:szCs w:val="18"/>
                <w:lang w:eastAsia="sl-SI"/>
              </w:rPr>
            </w:pPr>
            <w:r w:rsidRPr="00D459C5">
              <w:rPr>
                <w:rFonts w:ascii="Arial" w:eastAsia="Times New Roman" w:hAnsi="Arial" w:cs="Arial"/>
                <w:sz w:val="18"/>
                <w:szCs w:val="18"/>
                <w:lang w:eastAsia="sl-SI"/>
              </w:rPr>
              <w:t>175.608.647</w:t>
            </w:r>
          </w:p>
        </w:tc>
        <w:tc>
          <w:tcPr>
            <w:tcW w:w="1076" w:type="dxa"/>
            <w:tcBorders>
              <w:top w:val="nil"/>
              <w:left w:val="nil"/>
              <w:bottom w:val="single" w:sz="4" w:space="0" w:color="auto"/>
              <w:right w:val="single" w:sz="4" w:space="0" w:color="auto"/>
            </w:tcBorders>
            <w:shd w:val="clear" w:color="auto" w:fill="auto"/>
            <w:noWrap/>
            <w:vAlign w:val="bottom"/>
            <w:hideMark/>
          </w:tcPr>
          <w:p w14:paraId="2B0E2611" w14:textId="77777777" w:rsidR="004B7622" w:rsidRPr="00D459C5" w:rsidRDefault="004B7622" w:rsidP="00377989">
            <w:pPr>
              <w:spacing w:after="0" w:line="240" w:lineRule="auto"/>
              <w:jc w:val="center"/>
              <w:rPr>
                <w:rFonts w:ascii="Arial" w:eastAsia="Times New Roman" w:hAnsi="Arial" w:cs="Arial"/>
                <w:sz w:val="18"/>
                <w:szCs w:val="18"/>
                <w:lang w:eastAsia="sl-SI"/>
              </w:rPr>
            </w:pPr>
            <w:r w:rsidRPr="00D459C5">
              <w:rPr>
                <w:rFonts w:ascii="Arial" w:eastAsia="Times New Roman" w:hAnsi="Arial" w:cs="Arial"/>
                <w:sz w:val="18"/>
                <w:szCs w:val="18"/>
                <w:lang w:eastAsia="sl-SI"/>
              </w:rPr>
              <w:t>409.090</w:t>
            </w:r>
          </w:p>
        </w:tc>
        <w:tc>
          <w:tcPr>
            <w:tcW w:w="1510" w:type="dxa"/>
            <w:tcBorders>
              <w:top w:val="nil"/>
              <w:left w:val="nil"/>
              <w:bottom w:val="single" w:sz="4" w:space="0" w:color="auto"/>
              <w:right w:val="single" w:sz="4" w:space="0" w:color="auto"/>
            </w:tcBorders>
            <w:shd w:val="clear" w:color="auto" w:fill="auto"/>
            <w:noWrap/>
            <w:vAlign w:val="bottom"/>
            <w:hideMark/>
          </w:tcPr>
          <w:p w14:paraId="58D71C69" w14:textId="77777777" w:rsidR="004B7622" w:rsidRPr="00D459C5" w:rsidRDefault="004B7622" w:rsidP="00377989">
            <w:pPr>
              <w:spacing w:after="0" w:line="240" w:lineRule="auto"/>
              <w:jc w:val="center"/>
              <w:rPr>
                <w:rFonts w:ascii="Arial" w:eastAsia="Times New Roman" w:hAnsi="Arial" w:cs="Arial"/>
                <w:sz w:val="18"/>
                <w:szCs w:val="18"/>
                <w:lang w:eastAsia="sl-SI"/>
              </w:rPr>
            </w:pPr>
            <w:r w:rsidRPr="00D459C5">
              <w:rPr>
                <w:rFonts w:ascii="Arial" w:eastAsia="Times New Roman" w:hAnsi="Arial" w:cs="Arial"/>
                <w:sz w:val="18"/>
                <w:szCs w:val="18"/>
                <w:lang w:eastAsia="sl-SI"/>
              </w:rPr>
              <w:t>212.397.593</w:t>
            </w:r>
          </w:p>
        </w:tc>
        <w:tc>
          <w:tcPr>
            <w:tcW w:w="785" w:type="dxa"/>
            <w:tcBorders>
              <w:top w:val="nil"/>
              <w:left w:val="nil"/>
              <w:bottom w:val="single" w:sz="4" w:space="0" w:color="auto"/>
              <w:right w:val="single" w:sz="4" w:space="0" w:color="auto"/>
            </w:tcBorders>
            <w:shd w:val="clear" w:color="auto" w:fill="auto"/>
            <w:noWrap/>
            <w:vAlign w:val="bottom"/>
            <w:hideMark/>
          </w:tcPr>
          <w:p w14:paraId="4F69D7DD" w14:textId="77777777" w:rsidR="004B7622" w:rsidRPr="00D459C5" w:rsidRDefault="004B7622" w:rsidP="00377989">
            <w:pPr>
              <w:spacing w:after="0" w:line="240" w:lineRule="auto"/>
              <w:jc w:val="center"/>
              <w:rPr>
                <w:rFonts w:ascii="Arial" w:eastAsia="Times New Roman" w:hAnsi="Arial" w:cs="Arial"/>
                <w:sz w:val="18"/>
                <w:szCs w:val="18"/>
                <w:lang w:eastAsia="sl-SI"/>
              </w:rPr>
            </w:pPr>
            <w:r w:rsidRPr="00D459C5">
              <w:rPr>
                <w:rFonts w:ascii="Arial" w:eastAsia="Times New Roman" w:hAnsi="Arial" w:cs="Arial"/>
                <w:sz w:val="18"/>
                <w:szCs w:val="18"/>
                <w:lang w:eastAsia="sl-SI"/>
              </w:rPr>
              <w:t>269,8</w:t>
            </w:r>
          </w:p>
        </w:tc>
        <w:tc>
          <w:tcPr>
            <w:tcW w:w="849" w:type="dxa"/>
            <w:tcBorders>
              <w:top w:val="nil"/>
              <w:left w:val="nil"/>
              <w:bottom w:val="single" w:sz="4" w:space="0" w:color="auto"/>
              <w:right w:val="single" w:sz="4" w:space="0" w:color="auto"/>
            </w:tcBorders>
            <w:shd w:val="clear" w:color="auto" w:fill="auto"/>
            <w:noWrap/>
            <w:vAlign w:val="bottom"/>
            <w:hideMark/>
          </w:tcPr>
          <w:p w14:paraId="2A8B0C75" w14:textId="77777777" w:rsidR="004B7622" w:rsidRPr="00D459C5" w:rsidRDefault="004B7622" w:rsidP="00377989">
            <w:pPr>
              <w:spacing w:after="0" w:line="240" w:lineRule="auto"/>
              <w:jc w:val="right"/>
              <w:rPr>
                <w:rFonts w:ascii="Arial" w:eastAsia="Times New Roman" w:hAnsi="Arial" w:cs="Arial"/>
                <w:sz w:val="18"/>
                <w:szCs w:val="18"/>
                <w:lang w:eastAsia="sl-SI"/>
              </w:rPr>
            </w:pPr>
            <w:r w:rsidRPr="00D459C5">
              <w:rPr>
                <w:rFonts w:ascii="Arial" w:eastAsia="Times New Roman" w:hAnsi="Arial" w:cs="Arial"/>
                <w:sz w:val="18"/>
                <w:szCs w:val="18"/>
                <w:lang w:eastAsia="sl-SI"/>
              </w:rPr>
              <w:t>120,9</w:t>
            </w:r>
          </w:p>
        </w:tc>
      </w:tr>
      <w:tr w:rsidR="004B7622" w:rsidRPr="00D459C5" w14:paraId="2CAAFF78" w14:textId="77777777" w:rsidTr="00377989">
        <w:trPr>
          <w:trHeight w:val="275"/>
        </w:trPr>
        <w:tc>
          <w:tcPr>
            <w:tcW w:w="2234" w:type="dxa"/>
            <w:tcBorders>
              <w:top w:val="nil"/>
              <w:left w:val="single" w:sz="4" w:space="0" w:color="auto"/>
              <w:bottom w:val="single" w:sz="4" w:space="0" w:color="auto"/>
              <w:right w:val="single" w:sz="4" w:space="0" w:color="auto"/>
            </w:tcBorders>
            <w:shd w:val="clear" w:color="auto" w:fill="auto"/>
            <w:vAlign w:val="bottom"/>
            <w:hideMark/>
          </w:tcPr>
          <w:p w14:paraId="788A60BA" w14:textId="77777777" w:rsidR="004B7622" w:rsidRPr="00D459C5" w:rsidRDefault="004B7622" w:rsidP="00377989">
            <w:pPr>
              <w:spacing w:after="0" w:line="240" w:lineRule="auto"/>
              <w:rPr>
                <w:rFonts w:ascii="Arial" w:eastAsia="Times New Roman" w:hAnsi="Arial" w:cs="Arial"/>
                <w:sz w:val="18"/>
                <w:szCs w:val="18"/>
                <w:lang w:eastAsia="sl-SI"/>
              </w:rPr>
            </w:pPr>
            <w:r w:rsidRPr="00D459C5">
              <w:rPr>
                <w:rFonts w:ascii="Arial" w:eastAsia="Times New Roman" w:hAnsi="Arial" w:cs="Arial"/>
                <w:sz w:val="18"/>
                <w:szCs w:val="18"/>
                <w:lang w:eastAsia="sl-SI"/>
              </w:rPr>
              <w:t>Unovčitve zavarovanj</w:t>
            </w:r>
          </w:p>
        </w:tc>
        <w:tc>
          <w:tcPr>
            <w:tcW w:w="1055" w:type="dxa"/>
            <w:tcBorders>
              <w:top w:val="nil"/>
              <w:left w:val="nil"/>
              <w:bottom w:val="single" w:sz="4" w:space="0" w:color="auto"/>
              <w:right w:val="single" w:sz="4" w:space="0" w:color="auto"/>
            </w:tcBorders>
            <w:shd w:val="clear" w:color="auto" w:fill="auto"/>
            <w:noWrap/>
            <w:vAlign w:val="bottom"/>
            <w:hideMark/>
          </w:tcPr>
          <w:p w14:paraId="6FADB92D" w14:textId="77777777" w:rsidR="004B7622" w:rsidRPr="00D459C5" w:rsidRDefault="004B7622" w:rsidP="00377989">
            <w:pPr>
              <w:spacing w:after="0" w:line="240" w:lineRule="auto"/>
              <w:jc w:val="center"/>
              <w:rPr>
                <w:rFonts w:ascii="Arial" w:eastAsia="Times New Roman" w:hAnsi="Arial" w:cs="Arial"/>
                <w:sz w:val="18"/>
                <w:szCs w:val="18"/>
                <w:lang w:eastAsia="sl-SI"/>
              </w:rPr>
            </w:pPr>
            <w:r w:rsidRPr="00D459C5">
              <w:rPr>
                <w:rFonts w:ascii="Arial" w:eastAsia="Times New Roman" w:hAnsi="Arial" w:cs="Arial"/>
                <w:sz w:val="18"/>
                <w:szCs w:val="18"/>
                <w:lang w:eastAsia="sl-SI"/>
              </w:rPr>
              <w:t>73</w:t>
            </w:r>
          </w:p>
        </w:tc>
        <w:tc>
          <w:tcPr>
            <w:tcW w:w="1448" w:type="dxa"/>
            <w:tcBorders>
              <w:top w:val="nil"/>
              <w:left w:val="nil"/>
              <w:bottom w:val="single" w:sz="4" w:space="0" w:color="auto"/>
              <w:right w:val="single" w:sz="4" w:space="0" w:color="auto"/>
            </w:tcBorders>
            <w:shd w:val="clear" w:color="auto" w:fill="auto"/>
            <w:noWrap/>
            <w:vAlign w:val="bottom"/>
            <w:hideMark/>
          </w:tcPr>
          <w:p w14:paraId="76A5EC0E" w14:textId="77777777" w:rsidR="004B7622" w:rsidRPr="00D459C5" w:rsidRDefault="004B7622" w:rsidP="00377989">
            <w:pPr>
              <w:spacing w:after="0" w:line="240" w:lineRule="auto"/>
              <w:jc w:val="right"/>
              <w:rPr>
                <w:rFonts w:ascii="Arial" w:eastAsia="Times New Roman" w:hAnsi="Arial" w:cs="Arial"/>
                <w:sz w:val="18"/>
                <w:szCs w:val="18"/>
                <w:lang w:eastAsia="sl-SI"/>
              </w:rPr>
            </w:pPr>
            <w:r w:rsidRPr="00D459C5">
              <w:rPr>
                <w:rFonts w:ascii="Arial" w:eastAsia="Times New Roman" w:hAnsi="Arial" w:cs="Arial"/>
                <w:sz w:val="18"/>
                <w:szCs w:val="18"/>
                <w:lang w:eastAsia="sl-SI"/>
              </w:rPr>
              <w:t>9.203.451</w:t>
            </w:r>
          </w:p>
        </w:tc>
        <w:tc>
          <w:tcPr>
            <w:tcW w:w="1076" w:type="dxa"/>
            <w:tcBorders>
              <w:top w:val="nil"/>
              <w:left w:val="nil"/>
              <w:bottom w:val="single" w:sz="4" w:space="0" w:color="auto"/>
              <w:right w:val="single" w:sz="4" w:space="0" w:color="auto"/>
            </w:tcBorders>
            <w:shd w:val="clear" w:color="auto" w:fill="auto"/>
            <w:noWrap/>
            <w:vAlign w:val="bottom"/>
            <w:hideMark/>
          </w:tcPr>
          <w:p w14:paraId="565DC6E7" w14:textId="77777777" w:rsidR="004B7622" w:rsidRPr="00D459C5" w:rsidRDefault="004B7622" w:rsidP="00377989">
            <w:pPr>
              <w:spacing w:after="0" w:line="240" w:lineRule="auto"/>
              <w:jc w:val="center"/>
              <w:rPr>
                <w:rFonts w:ascii="Arial" w:eastAsia="Times New Roman" w:hAnsi="Arial" w:cs="Arial"/>
                <w:sz w:val="18"/>
                <w:szCs w:val="18"/>
                <w:lang w:eastAsia="sl-SI"/>
              </w:rPr>
            </w:pPr>
            <w:r w:rsidRPr="00D459C5">
              <w:rPr>
                <w:rFonts w:ascii="Arial" w:eastAsia="Times New Roman" w:hAnsi="Arial" w:cs="Arial"/>
                <w:sz w:val="18"/>
                <w:szCs w:val="18"/>
                <w:lang w:eastAsia="sl-SI"/>
              </w:rPr>
              <w:t>93</w:t>
            </w:r>
          </w:p>
        </w:tc>
        <w:tc>
          <w:tcPr>
            <w:tcW w:w="1510" w:type="dxa"/>
            <w:tcBorders>
              <w:top w:val="nil"/>
              <w:left w:val="nil"/>
              <w:bottom w:val="single" w:sz="4" w:space="0" w:color="auto"/>
              <w:right w:val="single" w:sz="4" w:space="0" w:color="auto"/>
            </w:tcBorders>
            <w:shd w:val="clear" w:color="auto" w:fill="auto"/>
            <w:noWrap/>
            <w:vAlign w:val="bottom"/>
            <w:hideMark/>
          </w:tcPr>
          <w:p w14:paraId="66A46275" w14:textId="77777777" w:rsidR="004B7622" w:rsidRPr="00D459C5" w:rsidRDefault="004B7622" w:rsidP="00377989">
            <w:pPr>
              <w:spacing w:after="0" w:line="240" w:lineRule="auto"/>
              <w:jc w:val="center"/>
              <w:rPr>
                <w:rFonts w:ascii="Arial" w:eastAsia="Times New Roman" w:hAnsi="Arial" w:cs="Arial"/>
                <w:sz w:val="18"/>
                <w:szCs w:val="18"/>
                <w:lang w:eastAsia="sl-SI"/>
              </w:rPr>
            </w:pPr>
            <w:r w:rsidRPr="00D459C5">
              <w:rPr>
                <w:rFonts w:ascii="Arial" w:eastAsia="Times New Roman" w:hAnsi="Arial" w:cs="Arial"/>
                <w:sz w:val="18"/>
                <w:szCs w:val="18"/>
                <w:lang w:eastAsia="sl-SI"/>
              </w:rPr>
              <w:t>4.077.514</w:t>
            </w:r>
          </w:p>
        </w:tc>
        <w:tc>
          <w:tcPr>
            <w:tcW w:w="785" w:type="dxa"/>
            <w:tcBorders>
              <w:top w:val="nil"/>
              <w:left w:val="nil"/>
              <w:bottom w:val="single" w:sz="4" w:space="0" w:color="auto"/>
              <w:right w:val="single" w:sz="4" w:space="0" w:color="auto"/>
            </w:tcBorders>
            <w:shd w:val="clear" w:color="auto" w:fill="auto"/>
            <w:noWrap/>
            <w:vAlign w:val="bottom"/>
            <w:hideMark/>
          </w:tcPr>
          <w:p w14:paraId="4B621AD7" w14:textId="77777777" w:rsidR="004B7622" w:rsidRPr="00D459C5" w:rsidRDefault="004B7622" w:rsidP="00377989">
            <w:pPr>
              <w:spacing w:after="0" w:line="240" w:lineRule="auto"/>
              <w:jc w:val="center"/>
              <w:rPr>
                <w:rFonts w:ascii="Arial" w:eastAsia="Times New Roman" w:hAnsi="Arial" w:cs="Arial"/>
                <w:sz w:val="18"/>
                <w:szCs w:val="18"/>
                <w:lang w:eastAsia="sl-SI"/>
              </w:rPr>
            </w:pPr>
            <w:r w:rsidRPr="00D459C5">
              <w:rPr>
                <w:rFonts w:ascii="Arial" w:eastAsia="Times New Roman" w:hAnsi="Arial" w:cs="Arial"/>
                <w:sz w:val="18"/>
                <w:szCs w:val="18"/>
                <w:lang w:eastAsia="sl-SI"/>
              </w:rPr>
              <w:t>127,4</w:t>
            </w:r>
          </w:p>
        </w:tc>
        <w:tc>
          <w:tcPr>
            <w:tcW w:w="849" w:type="dxa"/>
            <w:tcBorders>
              <w:top w:val="nil"/>
              <w:left w:val="nil"/>
              <w:bottom w:val="single" w:sz="4" w:space="0" w:color="auto"/>
              <w:right w:val="single" w:sz="4" w:space="0" w:color="auto"/>
            </w:tcBorders>
            <w:shd w:val="clear" w:color="auto" w:fill="auto"/>
            <w:noWrap/>
            <w:vAlign w:val="bottom"/>
            <w:hideMark/>
          </w:tcPr>
          <w:p w14:paraId="0DAC7902" w14:textId="77777777" w:rsidR="004B7622" w:rsidRPr="00D459C5" w:rsidRDefault="004B7622" w:rsidP="00377989">
            <w:pPr>
              <w:spacing w:after="0" w:line="240" w:lineRule="auto"/>
              <w:jc w:val="right"/>
              <w:rPr>
                <w:rFonts w:ascii="Arial" w:eastAsia="Times New Roman" w:hAnsi="Arial" w:cs="Arial"/>
                <w:sz w:val="18"/>
                <w:szCs w:val="18"/>
                <w:lang w:eastAsia="sl-SI"/>
              </w:rPr>
            </w:pPr>
            <w:r w:rsidRPr="00D459C5">
              <w:rPr>
                <w:rFonts w:ascii="Arial" w:eastAsia="Times New Roman" w:hAnsi="Arial" w:cs="Arial"/>
                <w:sz w:val="18"/>
                <w:szCs w:val="18"/>
                <w:lang w:eastAsia="sl-SI"/>
              </w:rPr>
              <w:t>44,3</w:t>
            </w:r>
          </w:p>
        </w:tc>
      </w:tr>
      <w:tr w:rsidR="004B7622" w:rsidRPr="00D459C5" w14:paraId="593DD46E" w14:textId="77777777" w:rsidTr="00377989">
        <w:trPr>
          <w:trHeight w:val="407"/>
        </w:trPr>
        <w:tc>
          <w:tcPr>
            <w:tcW w:w="2234" w:type="dxa"/>
            <w:tcBorders>
              <w:top w:val="nil"/>
              <w:left w:val="single" w:sz="4" w:space="0" w:color="auto"/>
              <w:bottom w:val="single" w:sz="4" w:space="0" w:color="auto"/>
              <w:right w:val="single" w:sz="4" w:space="0" w:color="auto"/>
            </w:tcBorders>
            <w:shd w:val="clear" w:color="000000" w:fill="E26B0A"/>
            <w:vAlign w:val="bottom"/>
            <w:hideMark/>
          </w:tcPr>
          <w:p w14:paraId="37176BD8" w14:textId="77777777" w:rsidR="004B7622" w:rsidRPr="00D459C5" w:rsidRDefault="004B7622" w:rsidP="00377989">
            <w:pPr>
              <w:spacing w:after="0" w:line="240" w:lineRule="auto"/>
              <w:rPr>
                <w:rFonts w:ascii="Arial" w:eastAsia="Times New Roman" w:hAnsi="Arial" w:cs="Arial"/>
                <w:b/>
                <w:bCs/>
                <w:i/>
                <w:iCs/>
                <w:color w:val="FFFFFF"/>
                <w:sz w:val="18"/>
                <w:szCs w:val="18"/>
                <w:lang w:eastAsia="sl-SI"/>
              </w:rPr>
            </w:pPr>
            <w:r w:rsidRPr="00D459C5">
              <w:rPr>
                <w:rFonts w:ascii="Arial" w:eastAsia="Times New Roman" w:hAnsi="Arial" w:cs="Arial"/>
                <w:b/>
                <w:bCs/>
                <w:i/>
                <w:iCs/>
                <w:color w:val="FFFFFF"/>
                <w:sz w:val="18"/>
                <w:szCs w:val="18"/>
                <w:lang w:eastAsia="sl-SI"/>
              </w:rPr>
              <w:t>Skupaj - dodatni ukrepi</w:t>
            </w:r>
          </w:p>
        </w:tc>
        <w:tc>
          <w:tcPr>
            <w:tcW w:w="1055" w:type="dxa"/>
            <w:tcBorders>
              <w:top w:val="nil"/>
              <w:left w:val="nil"/>
              <w:bottom w:val="single" w:sz="4" w:space="0" w:color="auto"/>
              <w:right w:val="single" w:sz="4" w:space="0" w:color="auto"/>
            </w:tcBorders>
            <w:shd w:val="clear" w:color="000000" w:fill="E26B0A"/>
            <w:noWrap/>
            <w:vAlign w:val="bottom"/>
            <w:hideMark/>
          </w:tcPr>
          <w:p w14:paraId="189121BA" w14:textId="77777777" w:rsidR="004B7622" w:rsidRPr="00D459C5" w:rsidRDefault="004B7622" w:rsidP="00377989">
            <w:pPr>
              <w:spacing w:after="0" w:line="240" w:lineRule="auto"/>
              <w:jc w:val="right"/>
              <w:rPr>
                <w:rFonts w:ascii="Arial" w:eastAsia="Times New Roman" w:hAnsi="Arial" w:cs="Arial"/>
                <w:b/>
                <w:bCs/>
                <w:color w:val="FFFFFF"/>
                <w:sz w:val="18"/>
                <w:szCs w:val="18"/>
                <w:lang w:eastAsia="sl-SI"/>
              </w:rPr>
            </w:pPr>
            <w:r w:rsidRPr="00D459C5">
              <w:rPr>
                <w:rFonts w:ascii="Arial" w:eastAsia="Times New Roman" w:hAnsi="Arial" w:cs="Arial"/>
                <w:b/>
                <w:bCs/>
                <w:color w:val="FFFFFF"/>
                <w:sz w:val="18"/>
                <w:szCs w:val="18"/>
                <w:lang w:eastAsia="sl-SI"/>
              </w:rPr>
              <w:t>151.709</w:t>
            </w:r>
          </w:p>
        </w:tc>
        <w:tc>
          <w:tcPr>
            <w:tcW w:w="1448" w:type="dxa"/>
            <w:tcBorders>
              <w:top w:val="nil"/>
              <w:left w:val="nil"/>
              <w:bottom w:val="single" w:sz="4" w:space="0" w:color="auto"/>
              <w:right w:val="single" w:sz="4" w:space="0" w:color="auto"/>
            </w:tcBorders>
            <w:shd w:val="clear" w:color="000000" w:fill="E26B0A"/>
            <w:noWrap/>
            <w:vAlign w:val="bottom"/>
            <w:hideMark/>
          </w:tcPr>
          <w:p w14:paraId="12C79166" w14:textId="77777777" w:rsidR="004B7622" w:rsidRPr="00D459C5" w:rsidRDefault="004B7622" w:rsidP="00377989">
            <w:pPr>
              <w:spacing w:after="0" w:line="240" w:lineRule="auto"/>
              <w:jc w:val="right"/>
              <w:rPr>
                <w:rFonts w:ascii="Arial" w:eastAsia="Times New Roman" w:hAnsi="Arial" w:cs="Arial"/>
                <w:b/>
                <w:bCs/>
                <w:i/>
                <w:iCs/>
                <w:color w:val="FFFFFF"/>
                <w:sz w:val="18"/>
                <w:szCs w:val="18"/>
                <w:lang w:eastAsia="sl-SI"/>
              </w:rPr>
            </w:pPr>
            <w:r w:rsidRPr="00D459C5">
              <w:rPr>
                <w:rFonts w:ascii="Arial" w:eastAsia="Times New Roman" w:hAnsi="Arial" w:cs="Arial"/>
                <w:b/>
                <w:bCs/>
                <w:i/>
                <w:iCs/>
                <w:color w:val="FFFFFF"/>
                <w:sz w:val="18"/>
                <w:szCs w:val="18"/>
                <w:lang w:eastAsia="sl-SI"/>
              </w:rPr>
              <w:t>184.812.098</w:t>
            </w:r>
          </w:p>
        </w:tc>
        <w:tc>
          <w:tcPr>
            <w:tcW w:w="1076" w:type="dxa"/>
            <w:tcBorders>
              <w:top w:val="nil"/>
              <w:left w:val="nil"/>
              <w:bottom w:val="single" w:sz="4" w:space="0" w:color="auto"/>
              <w:right w:val="single" w:sz="4" w:space="0" w:color="auto"/>
            </w:tcBorders>
            <w:shd w:val="clear" w:color="000000" w:fill="E26B0A"/>
            <w:noWrap/>
            <w:vAlign w:val="bottom"/>
            <w:hideMark/>
          </w:tcPr>
          <w:p w14:paraId="0D21ABB5" w14:textId="77777777" w:rsidR="004B7622" w:rsidRPr="00D459C5" w:rsidRDefault="004B7622" w:rsidP="00377989">
            <w:pPr>
              <w:spacing w:after="0" w:line="240" w:lineRule="auto"/>
              <w:jc w:val="right"/>
              <w:rPr>
                <w:rFonts w:ascii="Arial" w:eastAsia="Times New Roman" w:hAnsi="Arial" w:cs="Arial"/>
                <w:b/>
                <w:bCs/>
                <w:i/>
                <w:iCs/>
                <w:color w:val="FFFFFF"/>
                <w:sz w:val="18"/>
                <w:szCs w:val="18"/>
                <w:lang w:eastAsia="sl-SI"/>
              </w:rPr>
            </w:pPr>
            <w:r w:rsidRPr="00D459C5">
              <w:rPr>
                <w:rFonts w:ascii="Arial" w:eastAsia="Times New Roman" w:hAnsi="Arial" w:cs="Arial"/>
                <w:b/>
                <w:bCs/>
                <w:i/>
                <w:iCs/>
                <w:color w:val="FFFFFF"/>
                <w:sz w:val="18"/>
                <w:szCs w:val="18"/>
                <w:lang w:eastAsia="sl-SI"/>
              </w:rPr>
              <w:t>409.183</w:t>
            </w:r>
          </w:p>
        </w:tc>
        <w:tc>
          <w:tcPr>
            <w:tcW w:w="1510" w:type="dxa"/>
            <w:tcBorders>
              <w:top w:val="nil"/>
              <w:left w:val="nil"/>
              <w:bottom w:val="single" w:sz="4" w:space="0" w:color="auto"/>
              <w:right w:val="single" w:sz="4" w:space="0" w:color="auto"/>
            </w:tcBorders>
            <w:shd w:val="clear" w:color="000000" w:fill="E26B0A"/>
            <w:noWrap/>
            <w:vAlign w:val="bottom"/>
            <w:hideMark/>
          </w:tcPr>
          <w:p w14:paraId="5FC4F453" w14:textId="77777777" w:rsidR="004B7622" w:rsidRPr="00D459C5" w:rsidRDefault="004B7622" w:rsidP="00377989">
            <w:pPr>
              <w:spacing w:after="0" w:line="240" w:lineRule="auto"/>
              <w:jc w:val="right"/>
              <w:rPr>
                <w:rFonts w:ascii="Arial" w:eastAsia="Times New Roman" w:hAnsi="Arial" w:cs="Arial"/>
                <w:b/>
                <w:bCs/>
                <w:i/>
                <w:iCs/>
                <w:color w:val="FFFFFF"/>
                <w:sz w:val="18"/>
                <w:szCs w:val="18"/>
                <w:lang w:eastAsia="sl-SI"/>
              </w:rPr>
            </w:pPr>
            <w:r w:rsidRPr="00D459C5">
              <w:rPr>
                <w:rFonts w:ascii="Arial" w:eastAsia="Times New Roman" w:hAnsi="Arial" w:cs="Arial"/>
                <w:b/>
                <w:bCs/>
                <w:i/>
                <w:iCs/>
                <w:color w:val="FFFFFF"/>
                <w:sz w:val="18"/>
                <w:szCs w:val="18"/>
                <w:lang w:eastAsia="sl-SI"/>
              </w:rPr>
              <w:t>216.475.107</w:t>
            </w:r>
          </w:p>
        </w:tc>
        <w:tc>
          <w:tcPr>
            <w:tcW w:w="785" w:type="dxa"/>
            <w:tcBorders>
              <w:top w:val="nil"/>
              <w:left w:val="nil"/>
              <w:bottom w:val="single" w:sz="4" w:space="0" w:color="auto"/>
              <w:right w:val="single" w:sz="4" w:space="0" w:color="auto"/>
            </w:tcBorders>
            <w:shd w:val="clear" w:color="000000" w:fill="E26B0A"/>
            <w:noWrap/>
            <w:vAlign w:val="bottom"/>
            <w:hideMark/>
          </w:tcPr>
          <w:p w14:paraId="21DE0F7D" w14:textId="77777777" w:rsidR="004B7622" w:rsidRPr="00D459C5" w:rsidRDefault="004B7622" w:rsidP="00377989">
            <w:pPr>
              <w:spacing w:after="0" w:line="240" w:lineRule="auto"/>
              <w:jc w:val="center"/>
              <w:rPr>
                <w:rFonts w:ascii="Arial" w:eastAsia="Times New Roman" w:hAnsi="Arial" w:cs="Arial"/>
                <w:b/>
                <w:bCs/>
                <w:color w:val="FFFFFF"/>
                <w:sz w:val="18"/>
                <w:szCs w:val="18"/>
                <w:lang w:eastAsia="sl-SI"/>
              </w:rPr>
            </w:pPr>
            <w:r w:rsidRPr="00D459C5">
              <w:rPr>
                <w:rFonts w:ascii="Arial" w:eastAsia="Times New Roman" w:hAnsi="Arial" w:cs="Arial"/>
                <w:b/>
                <w:bCs/>
                <w:color w:val="FFFFFF"/>
                <w:sz w:val="18"/>
                <w:szCs w:val="18"/>
                <w:lang w:eastAsia="sl-SI"/>
              </w:rPr>
              <w:t>269,7</w:t>
            </w:r>
          </w:p>
        </w:tc>
        <w:tc>
          <w:tcPr>
            <w:tcW w:w="849" w:type="dxa"/>
            <w:tcBorders>
              <w:top w:val="nil"/>
              <w:left w:val="nil"/>
              <w:bottom w:val="single" w:sz="4" w:space="0" w:color="auto"/>
              <w:right w:val="single" w:sz="4" w:space="0" w:color="auto"/>
            </w:tcBorders>
            <w:shd w:val="clear" w:color="000000" w:fill="E26B0A"/>
            <w:noWrap/>
            <w:vAlign w:val="bottom"/>
            <w:hideMark/>
          </w:tcPr>
          <w:p w14:paraId="5F04E123" w14:textId="77777777" w:rsidR="004B7622" w:rsidRPr="00D459C5" w:rsidRDefault="004B7622" w:rsidP="00377989">
            <w:pPr>
              <w:spacing w:after="0" w:line="240" w:lineRule="auto"/>
              <w:jc w:val="right"/>
              <w:rPr>
                <w:rFonts w:ascii="Arial" w:eastAsia="Times New Roman" w:hAnsi="Arial" w:cs="Arial"/>
                <w:b/>
                <w:bCs/>
                <w:color w:val="FFFFFF"/>
                <w:sz w:val="18"/>
                <w:szCs w:val="18"/>
                <w:lang w:eastAsia="sl-SI"/>
              </w:rPr>
            </w:pPr>
            <w:r w:rsidRPr="00D459C5">
              <w:rPr>
                <w:rFonts w:ascii="Arial" w:eastAsia="Times New Roman" w:hAnsi="Arial" w:cs="Arial"/>
                <w:b/>
                <w:bCs/>
                <w:color w:val="FFFFFF"/>
                <w:sz w:val="18"/>
                <w:szCs w:val="18"/>
                <w:lang w:eastAsia="sl-SI"/>
              </w:rPr>
              <w:t>117,1</w:t>
            </w:r>
          </w:p>
        </w:tc>
      </w:tr>
    </w:tbl>
    <w:p w14:paraId="340B5C33" w14:textId="77777777" w:rsidR="004B7622" w:rsidRPr="00534703" w:rsidRDefault="004B7622" w:rsidP="004B7622">
      <w:pPr>
        <w:rPr>
          <w:rFonts w:ascii="Arial" w:hAnsi="Arial" w:cs="Arial"/>
          <w:i/>
          <w:sz w:val="20"/>
          <w:szCs w:val="20"/>
        </w:rPr>
      </w:pPr>
      <w:r w:rsidRPr="00534703">
        <w:rPr>
          <w:rFonts w:ascii="Arial" w:hAnsi="Arial" w:cs="Arial"/>
          <w:i/>
          <w:sz w:val="20"/>
          <w:szCs w:val="20"/>
        </w:rPr>
        <w:t>Vir: FURS</w:t>
      </w:r>
    </w:p>
    <w:p w14:paraId="32DCDB02" w14:textId="77777777" w:rsidR="004B7622" w:rsidRDefault="004B7622" w:rsidP="004B7622">
      <w:pPr>
        <w:jc w:val="both"/>
        <w:rPr>
          <w:rFonts w:ascii="Arial" w:hAnsi="Arial" w:cs="Arial"/>
          <w:sz w:val="20"/>
          <w:szCs w:val="20"/>
        </w:rPr>
      </w:pPr>
      <w:r w:rsidRPr="00D459C5">
        <w:rPr>
          <w:rFonts w:ascii="Arial" w:hAnsi="Arial" w:cs="Arial"/>
          <w:sz w:val="20"/>
          <w:szCs w:val="20"/>
        </w:rPr>
        <w:t>Pri zavezancih, ki imajo v knjigovodski evidenci izkazane neporavnane obveznosti, hkrati pa so upravičeni do vračila davka, F</w:t>
      </w:r>
      <w:r>
        <w:rPr>
          <w:rFonts w:ascii="Arial" w:hAnsi="Arial" w:cs="Arial"/>
          <w:sz w:val="20"/>
          <w:szCs w:val="20"/>
        </w:rPr>
        <w:t>URS</w:t>
      </w:r>
      <w:r w:rsidRPr="00D459C5">
        <w:rPr>
          <w:rFonts w:ascii="Arial" w:hAnsi="Arial" w:cs="Arial"/>
          <w:sz w:val="20"/>
          <w:szCs w:val="20"/>
        </w:rPr>
        <w:t xml:space="preserve"> izvaja pobot obveznosti. V letu 2021 je bilo izvedenih za 212.397.593 </w:t>
      </w:r>
      <w:r>
        <w:rPr>
          <w:rFonts w:ascii="Arial" w:hAnsi="Arial" w:cs="Arial"/>
          <w:sz w:val="20"/>
          <w:szCs w:val="20"/>
        </w:rPr>
        <w:t>EUR</w:t>
      </w:r>
      <w:r w:rsidRPr="00D459C5">
        <w:rPr>
          <w:rFonts w:ascii="Arial" w:hAnsi="Arial" w:cs="Arial"/>
          <w:sz w:val="20"/>
          <w:szCs w:val="20"/>
        </w:rPr>
        <w:t xml:space="preserve"> pobotov. </w:t>
      </w:r>
    </w:p>
    <w:p w14:paraId="5DCAA455" w14:textId="77777777" w:rsidR="004B7622" w:rsidRPr="00961584" w:rsidRDefault="004B7622" w:rsidP="004B7622">
      <w:pPr>
        <w:jc w:val="both"/>
        <w:rPr>
          <w:rFonts w:ascii="Arial" w:hAnsi="Arial" w:cs="Arial"/>
          <w:sz w:val="20"/>
          <w:szCs w:val="20"/>
        </w:rPr>
      </w:pPr>
      <w:r w:rsidRPr="00D459C5">
        <w:rPr>
          <w:rFonts w:ascii="Arial" w:hAnsi="Arial" w:cs="Arial"/>
          <w:sz w:val="20"/>
          <w:szCs w:val="20"/>
        </w:rPr>
        <w:t>V primeru zavarovanja davčnega dolga F</w:t>
      </w:r>
      <w:r>
        <w:rPr>
          <w:rFonts w:ascii="Arial" w:hAnsi="Arial" w:cs="Arial"/>
          <w:sz w:val="20"/>
          <w:szCs w:val="20"/>
        </w:rPr>
        <w:t>URS</w:t>
      </w:r>
      <w:r w:rsidRPr="00D459C5">
        <w:rPr>
          <w:rFonts w:ascii="Arial" w:hAnsi="Arial" w:cs="Arial"/>
          <w:sz w:val="20"/>
          <w:szCs w:val="20"/>
        </w:rPr>
        <w:t xml:space="preserve"> izvede unovčitev predloženih instrumentov zavarovanja. V letu 2021 je bilo unovčenih zavarovanj za dolg v višini 4.077.514 </w:t>
      </w:r>
      <w:r>
        <w:rPr>
          <w:rFonts w:ascii="Arial" w:hAnsi="Arial" w:cs="Arial"/>
          <w:sz w:val="20"/>
          <w:szCs w:val="20"/>
        </w:rPr>
        <w:t>EUR</w:t>
      </w:r>
      <w:r w:rsidRPr="00D459C5">
        <w:rPr>
          <w:rFonts w:ascii="Arial" w:hAnsi="Arial" w:cs="Arial"/>
          <w:sz w:val="20"/>
          <w:szCs w:val="20"/>
        </w:rPr>
        <w:t>.</w:t>
      </w:r>
    </w:p>
    <w:p w14:paraId="420F2B18" w14:textId="77777777" w:rsidR="004B7622" w:rsidRDefault="004B7622" w:rsidP="004B7622">
      <w:pPr>
        <w:pStyle w:val="Naslov3"/>
        <w:rPr>
          <w:rFonts w:ascii="Arial" w:hAnsi="Arial" w:cs="Arial"/>
          <w:sz w:val="20"/>
          <w:szCs w:val="20"/>
          <w:lang w:eastAsia="sl-SI"/>
        </w:rPr>
      </w:pPr>
      <w:r w:rsidRPr="0094063C">
        <w:rPr>
          <w:rFonts w:ascii="Arial" w:hAnsi="Arial" w:cs="Arial"/>
          <w:sz w:val="20"/>
          <w:szCs w:val="20"/>
          <w:lang w:eastAsia="sl-SI"/>
        </w:rPr>
        <w:t>6.1.  Izterjava davkov in drugih obveznih dajatev</w:t>
      </w:r>
    </w:p>
    <w:p w14:paraId="5AF505DE" w14:textId="77777777" w:rsidR="004B7622" w:rsidRPr="00AD2B7D" w:rsidRDefault="004B7622" w:rsidP="004B7622">
      <w:pPr>
        <w:spacing w:after="0" w:line="260" w:lineRule="atLeast"/>
        <w:jc w:val="both"/>
        <w:rPr>
          <w:rFonts w:ascii="Arial" w:eastAsia="Times New Roman" w:hAnsi="Arial" w:cs="Arial"/>
          <w:sz w:val="20"/>
          <w:szCs w:val="20"/>
        </w:rPr>
      </w:pPr>
      <w:r w:rsidRPr="00AD2B7D">
        <w:rPr>
          <w:rFonts w:ascii="Arial" w:eastAsia="Times New Roman" w:hAnsi="Arial" w:cs="Arial"/>
          <w:sz w:val="20"/>
          <w:szCs w:val="20"/>
        </w:rPr>
        <w:t>V letu 2021 je F</w:t>
      </w:r>
      <w:r>
        <w:rPr>
          <w:rFonts w:ascii="Arial" w:eastAsia="Times New Roman" w:hAnsi="Arial" w:cs="Arial"/>
          <w:sz w:val="20"/>
          <w:szCs w:val="20"/>
        </w:rPr>
        <w:t>URS</w:t>
      </w:r>
      <w:r w:rsidRPr="00AD2B7D">
        <w:rPr>
          <w:rFonts w:ascii="Arial" w:eastAsia="Times New Roman" w:hAnsi="Arial" w:cs="Arial"/>
          <w:sz w:val="20"/>
          <w:szCs w:val="20"/>
        </w:rPr>
        <w:t xml:space="preserve"> z izdanimi opomini, pozivi in sklepi o davčni izvršbi terjal za 1.049.980.005 </w:t>
      </w:r>
      <w:r>
        <w:rPr>
          <w:rFonts w:ascii="Arial" w:eastAsia="Times New Roman" w:hAnsi="Arial" w:cs="Arial"/>
          <w:sz w:val="20"/>
          <w:szCs w:val="20"/>
        </w:rPr>
        <w:t>EUR</w:t>
      </w:r>
      <w:r w:rsidRPr="00AD2B7D">
        <w:rPr>
          <w:rFonts w:ascii="Arial" w:eastAsia="Times New Roman" w:hAnsi="Arial" w:cs="Arial"/>
          <w:sz w:val="20"/>
          <w:szCs w:val="20"/>
        </w:rPr>
        <w:t xml:space="preserve"> dolga iz naslova davčnih dajatev. Na podlagi izvedenih ukrepov je bilo izterjanih 414.346.594 </w:t>
      </w:r>
      <w:r>
        <w:rPr>
          <w:rFonts w:ascii="Arial" w:eastAsia="Times New Roman" w:hAnsi="Arial" w:cs="Arial"/>
          <w:sz w:val="20"/>
          <w:szCs w:val="20"/>
        </w:rPr>
        <w:t>EUR</w:t>
      </w:r>
      <w:r w:rsidRPr="00AD2B7D">
        <w:rPr>
          <w:rFonts w:ascii="Arial" w:eastAsia="Times New Roman" w:hAnsi="Arial" w:cs="Arial"/>
          <w:sz w:val="20"/>
          <w:szCs w:val="20"/>
        </w:rPr>
        <w:t xml:space="preserve">. Večji delež plačil predstavljajo sredstva, izterjana na podlagi opominov in pozivov, in sicer 72,9 </w:t>
      </w:r>
      <w:r>
        <w:rPr>
          <w:rFonts w:ascii="Arial" w:eastAsia="Times New Roman" w:hAnsi="Arial" w:cs="Arial"/>
          <w:sz w:val="20"/>
          <w:szCs w:val="20"/>
        </w:rPr>
        <w:t xml:space="preserve">odstotka </w:t>
      </w:r>
      <w:r w:rsidRPr="00AD2B7D">
        <w:rPr>
          <w:rFonts w:ascii="Arial" w:eastAsia="Times New Roman" w:hAnsi="Arial" w:cs="Arial"/>
          <w:sz w:val="20"/>
          <w:szCs w:val="20"/>
        </w:rPr>
        <w:t xml:space="preserve">vseh plačil, preostanek plačil s 27,1 </w:t>
      </w:r>
      <w:r>
        <w:rPr>
          <w:rFonts w:ascii="Arial" w:eastAsia="Times New Roman" w:hAnsi="Arial" w:cs="Arial"/>
          <w:sz w:val="20"/>
          <w:szCs w:val="20"/>
        </w:rPr>
        <w:t xml:space="preserve">odstotnim </w:t>
      </w:r>
      <w:r w:rsidRPr="00AD2B7D">
        <w:rPr>
          <w:rFonts w:ascii="Arial" w:eastAsia="Times New Roman" w:hAnsi="Arial" w:cs="Arial"/>
          <w:sz w:val="20"/>
          <w:szCs w:val="20"/>
        </w:rPr>
        <w:t>deležem pa odpade na izvršene sklepe o davčni izvršbi.</w:t>
      </w:r>
    </w:p>
    <w:p w14:paraId="04EF00CD" w14:textId="77777777" w:rsidR="004B7622" w:rsidRPr="00AD2B7D" w:rsidRDefault="004B7622" w:rsidP="004B7622">
      <w:pPr>
        <w:spacing w:after="0" w:line="260" w:lineRule="atLeast"/>
        <w:jc w:val="both"/>
        <w:rPr>
          <w:rFonts w:ascii="Arial" w:eastAsia="Times New Roman" w:hAnsi="Arial" w:cs="Arial"/>
          <w:sz w:val="20"/>
          <w:szCs w:val="20"/>
        </w:rPr>
      </w:pPr>
    </w:p>
    <w:p w14:paraId="5FFE6235" w14:textId="77777777" w:rsidR="004B7622" w:rsidRPr="00AD2B7D" w:rsidRDefault="004B7622" w:rsidP="004B7622">
      <w:pPr>
        <w:spacing w:after="0" w:line="260" w:lineRule="atLeast"/>
        <w:jc w:val="both"/>
        <w:rPr>
          <w:rFonts w:ascii="Arial" w:eastAsia="Times New Roman" w:hAnsi="Arial" w:cs="Arial"/>
          <w:sz w:val="20"/>
          <w:szCs w:val="20"/>
        </w:rPr>
      </w:pPr>
      <w:r w:rsidRPr="00AD2B7D">
        <w:rPr>
          <w:rFonts w:ascii="Arial" w:eastAsia="Times New Roman" w:hAnsi="Arial" w:cs="Arial"/>
          <w:sz w:val="20"/>
          <w:szCs w:val="20"/>
        </w:rPr>
        <w:t>V zvezi z izdanimi opomini v letu 2021 za področje davkov je F</w:t>
      </w:r>
      <w:r>
        <w:rPr>
          <w:rFonts w:ascii="Arial" w:eastAsia="Times New Roman" w:hAnsi="Arial" w:cs="Arial"/>
          <w:sz w:val="20"/>
          <w:szCs w:val="20"/>
        </w:rPr>
        <w:t xml:space="preserve">URS </w:t>
      </w:r>
      <w:r w:rsidRPr="00AD2B7D">
        <w:rPr>
          <w:rFonts w:ascii="Arial" w:eastAsia="Times New Roman" w:hAnsi="Arial" w:cs="Arial"/>
          <w:sz w:val="20"/>
          <w:szCs w:val="20"/>
        </w:rPr>
        <w:t>18.232-krat posredoval ustne informacije zavezancem, ki so se telefonsko odzvali na opomin preko klicnega centra za opomine in pripravila 4.478 pisnih odgovorov zavezancem. Ažuren servis v procesu opominjanja je zlasti pomemben z vidika preprečitve neupravičeno začete davčne izvršbe in uskladitve knjigovodskega stanja zavezancev.</w:t>
      </w:r>
    </w:p>
    <w:p w14:paraId="3D0A6BC3" w14:textId="77777777" w:rsidR="004B7622" w:rsidRPr="00AD2B7D" w:rsidRDefault="004B7622" w:rsidP="004B7622">
      <w:pPr>
        <w:spacing w:after="0" w:line="260" w:lineRule="atLeast"/>
        <w:jc w:val="both"/>
        <w:rPr>
          <w:rFonts w:ascii="Arial" w:eastAsia="Times New Roman" w:hAnsi="Arial" w:cs="Arial"/>
          <w:sz w:val="20"/>
          <w:szCs w:val="20"/>
        </w:rPr>
      </w:pPr>
    </w:p>
    <w:p w14:paraId="53D4EFE1" w14:textId="77777777" w:rsidR="004B7622" w:rsidRDefault="004B7622" w:rsidP="004B7622">
      <w:pPr>
        <w:spacing w:after="0" w:line="260" w:lineRule="atLeast"/>
        <w:jc w:val="both"/>
        <w:rPr>
          <w:rFonts w:ascii="Arial" w:eastAsia="Times New Roman" w:hAnsi="Arial" w:cs="Arial"/>
          <w:sz w:val="20"/>
          <w:szCs w:val="20"/>
        </w:rPr>
      </w:pPr>
      <w:r w:rsidRPr="00AD2B7D">
        <w:rPr>
          <w:rFonts w:ascii="Arial" w:eastAsia="Times New Roman" w:hAnsi="Arial" w:cs="Arial"/>
          <w:sz w:val="20"/>
          <w:szCs w:val="20"/>
        </w:rPr>
        <w:t xml:space="preserve">Po opominih je bilo v povprečju poplačanega 55,5 </w:t>
      </w:r>
      <w:r>
        <w:rPr>
          <w:rFonts w:ascii="Arial" w:eastAsia="Times New Roman" w:hAnsi="Arial" w:cs="Arial"/>
          <w:sz w:val="20"/>
          <w:szCs w:val="20"/>
        </w:rPr>
        <w:t xml:space="preserve">odstotka </w:t>
      </w:r>
      <w:r w:rsidRPr="00AD2B7D">
        <w:rPr>
          <w:rFonts w:ascii="Arial" w:eastAsia="Times New Roman" w:hAnsi="Arial" w:cs="Arial"/>
          <w:sz w:val="20"/>
          <w:szCs w:val="20"/>
        </w:rPr>
        <w:t>dolga, po sklepih o izvršbi pa 23,7</w:t>
      </w:r>
      <w:r>
        <w:rPr>
          <w:rFonts w:ascii="Arial" w:eastAsia="Times New Roman" w:hAnsi="Arial" w:cs="Arial"/>
          <w:sz w:val="20"/>
          <w:szCs w:val="20"/>
        </w:rPr>
        <w:t xml:space="preserve"> odstotka </w:t>
      </w:r>
      <w:r w:rsidRPr="00AD2B7D">
        <w:rPr>
          <w:rFonts w:ascii="Arial" w:eastAsia="Times New Roman" w:hAnsi="Arial" w:cs="Arial"/>
          <w:sz w:val="20"/>
          <w:szCs w:val="20"/>
        </w:rPr>
        <w:t>terjanega dolga.</w:t>
      </w:r>
    </w:p>
    <w:p w14:paraId="2B0374FD" w14:textId="77777777" w:rsidR="004B7622" w:rsidRDefault="004B7622" w:rsidP="004B7622">
      <w:pPr>
        <w:spacing w:after="0" w:line="260" w:lineRule="atLeast"/>
        <w:jc w:val="both"/>
        <w:rPr>
          <w:rFonts w:ascii="Arial" w:eastAsia="Times New Roman" w:hAnsi="Arial" w:cs="Arial"/>
          <w:sz w:val="20"/>
          <w:szCs w:val="20"/>
        </w:rPr>
      </w:pPr>
    </w:p>
    <w:p w14:paraId="3EABD71E" w14:textId="77777777" w:rsidR="004B7622" w:rsidRDefault="004B7622" w:rsidP="004B7622">
      <w:pPr>
        <w:spacing w:after="0" w:line="260" w:lineRule="atLeast"/>
        <w:jc w:val="both"/>
        <w:rPr>
          <w:rFonts w:ascii="Arial" w:eastAsia="Times New Roman" w:hAnsi="Arial" w:cs="Arial"/>
          <w:sz w:val="20"/>
          <w:szCs w:val="20"/>
        </w:rPr>
      </w:pPr>
    </w:p>
    <w:p w14:paraId="61685F21" w14:textId="77777777" w:rsidR="004B7622" w:rsidRDefault="004B7622" w:rsidP="004B7622">
      <w:pPr>
        <w:spacing w:after="0" w:line="260" w:lineRule="atLeast"/>
        <w:jc w:val="both"/>
        <w:rPr>
          <w:rFonts w:ascii="Arial" w:eastAsia="Times New Roman" w:hAnsi="Arial" w:cs="Arial"/>
          <w:sz w:val="20"/>
          <w:szCs w:val="20"/>
        </w:rPr>
      </w:pPr>
    </w:p>
    <w:p w14:paraId="03A93557" w14:textId="77777777" w:rsidR="004B7622" w:rsidRDefault="004B7622" w:rsidP="004B7622">
      <w:pPr>
        <w:spacing w:after="0" w:line="260" w:lineRule="atLeast"/>
        <w:jc w:val="both"/>
        <w:rPr>
          <w:rFonts w:ascii="Arial" w:eastAsia="Times New Roman" w:hAnsi="Arial" w:cs="Arial"/>
          <w:sz w:val="20"/>
          <w:szCs w:val="20"/>
        </w:rPr>
      </w:pPr>
    </w:p>
    <w:p w14:paraId="0D6FFEAF" w14:textId="2B5F62C3" w:rsidR="004B7622" w:rsidRDefault="004B7622" w:rsidP="004B7622">
      <w:pPr>
        <w:jc w:val="both"/>
        <w:rPr>
          <w:rFonts w:ascii="Arial" w:eastAsia="Times New Roman" w:hAnsi="Arial" w:cs="Arial"/>
          <w:i/>
          <w:sz w:val="20"/>
          <w:szCs w:val="20"/>
        </w:rPr>
      </w:pPr>
      <w:r w:rsidRPr="00087025">
        <w:rPr>
          <w:rFonts w:ascii="Arial" w:eastAsia="Times New Roman" w:hAnsi="Arial" w:cs="Arial"/>
          <w:i/>
          <w:sz w:val="20"/>
          <w:szCs w:val="20"/>
          <w:lang w:eastAsia="sl-SI"/>
        </w:rPr>
        <w:t xml:space="preserve">Preglednica 15: </w:t>
      </w:r>
      <w:r w:rsidRPr="00087025">
        <w:rPr>
          <w:rFonts w:ascii="Arial" w:eastAsia="Times New Roman" w:hAnsi="Arial" w:cs="Arial"/>
          <w:bCs/>
          <w:i/>
          <w:sz w:val="20"/>
          <w:szCs w:val="20"/>
        </w:rPr>
        <w:t>U</w:t>
      </w:r>
      <w:r w:rsidRPr="00087025">
        <w:rPr>
          <w:rFonts w:ascii="Arial" w:eastAsia="Times New Roman" w:hAnsi="Arial" w:cs="Arial"/>
          <w:i/>
          <w:sz w:val="20"/>
          <w:szCs w:val="20"/>
        </w:rPr>
        <w:t xml:space="preserve">krepi izterjave davkov in drugih obveznih dajatev </w:t>
      </w:r>
    </w:p>
    <w:tbl>
      <w:tblPr>
        <w:tblW w:w="9171" w:type="dxa"/>
        <w:tblCellMar>
          <w:left w:w="70" w:type="dxa"/>
          <w:right w:w="70" w:type="dxa"/>
        </w:tblCellMar>
        <w:tblLook w:val="04A0" w:firstRow="1" w:lastRow="0" w:firstColumn="1" w:lastColumn="0" w:noHBand="0" w:noVBand="1"/>
      </w:tblPr>
      <w:tblGrid>
        <w:gridCol w:w="1978"/>
        <w:gridCol w:w="1464"/>
        <w:gridCol w:w="1229"/>
        <w:gridCol w:w="1089"/>
        <w:gridCol w:w="1292"/>
        <w:gridCol w:w="1068"/>
        <w:gridCol w:w="1051"/>
      </w:tblGrid>
      <w:tr w:rsidR="00377989" w:rsidRPr="00377989" w14:paraId="7A69BFFD" w14:textId="77777777" w:rsidTr="00377989">
        <w:trPr>
          <w:trHeight w:val="564"/>
        </w:trPr>
        <w:tc>
          <w:tcPr>
            <w:tcW w:w="1980" w:type="dxa"/>
            <w:vMerge w:val="restart"/>
            <w:tcBorders>
              <w:top w:val="single" w:sz="8" w:space="0" w:color="auto"/>
              <w:left w:val="single" w:sz="8" w:space="0" w:color="auto"/>
              <w:bottom w:val="single" w:sz="8" w:space="0" w:color="000000"/>
              <w:right w:val="single" w:sz="8" w:space="0" w:color="auto"/>
            </w:tcBorders>
            <w:shd w:val="clear" w:color="000000" w:fill="31849B"/>
            <w:vAlign w:val="center"/>
            <w:hideMark/>
          </w:tcPr>
          <w:p w14:paraId="3DABE5AB" w14:textId="77777777" w:rsidR="00377989" w:rsidRPr="00377989" w:rsidRDefault="00377989" w:rsidP="00377989">
            <w:pPr>
              <w:spacing w:after="0" w:line="240" w:lineRule="auto"/>
              <w:jc w:val="center"/>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Ukrepi izterjave</w:t>
            </w:r>
          </w:p>
        </w:tc>
        <w:tc>
          <w:tcPr>
            <w:tcW w:w="2694" w:type="dxa"/>
            <w:gridSpan w:val="2"/>
            <w:tcBorders>
              <w:top w:val="single" w:sz="8" w:space="0" w:color="auto"/>
              <w:left w:val="nil"/>
              <w:bottom w:val="single" w:sz="8" w:space="0" w:color="auto"/>
              <w:right w:val="single" w:sz="8" w:space="0" w:color="000000"/>
            </w:tcBorders>
            <w:shd w:val="clear" w:color="000000" w:fill="31849B"/>
            <w:vAlign w:val="center"/>
            <w:hideMark/>
          </w:tcPr>
          <w:p w14:paraId="0696AFFC" w14:textId="77777777" w:rsidR="00377989" w:rsidRPr="00377989" w:rsidRDefault="00377989" w:rsidP="00377989">
            <w:pPr>
              <w:spacing w:after="0" w:line="240" w:lineRule="auto"/>
              <w:jc w:val="center"/>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2020</w:t>
            </w:r>
          </w:p>
        </w:tc>
        <w:tc>
          <w:tcPr>
            <w:tcW w:w="2377" w:type="dxa"/>
            <w:gridSpan w:val="2"/>
            <w:tcBorders>
              <w:top w:val="single" w:sz="8" w:space="0" w:color="auto"/>
              <w:left w:val="nil"/>
              <w:bottom w:val="single" w:sz="8" w:space="0" w:color="auto"/>
              <w:right w:val="single" w:sz="8" w:space="0" w:color="000000"/>
            </w:tcBorders>
            <w:shd w:val="clear" w:color="000000" w:fill="31849B"/>
            <w:vAlign w:val="center"/>
            <w:hideMark/>
          </w:tcPr>
          <w:p w14:paraId="5DEA085F" w14:textId="77777777" w:rsidR="00377989" w:rsidRPr="00377989" w:rsidRDefault="00377989" w:rsidP="00377989">
            <w:pPr>
              <w:spacing w:after="0" w:line="240" w:lineRule="auto"/>
              <w:jc w:val="center"/>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2021</w:t>
            </w:r>
          </w:p>
        </w:tc>
        <w:tc>
          <w:tcPr>
            <w:tcW w:w="2119" w:type="dxa"/>
            <w:gridSpan w:val="2"/>
            <w:tcBorders>
              <w:top w:val="single" w:sz="8" w:space="0" w:color="auto"/>
              <w:left w:val="nil"/>
              <w:bottom w:val="single" w:sz="8" w:space="0" w:color="auto"/>
              <w:right w:val="single" w:sz="8" w:space="0" w:color="000000"/>
            </w:tcBorders>
            <w:shd w:val="clear" w:color="000000" w:fill="31849B"/>
            <w:vAlign w:val="center"/>
            <w:hideMark/>
          </w:tcPr>
          <w:p w14:paraId="76501CB2" w14:textId="77777777" w:rsidR="00377989" w:rsidRPr="00377989" w:rsidRDefault="00377989" w:rsidP="00377989">
            <w:pPr>
              <w:spacing w:after="0" w:line="240" w:lineRule="auto"/>
              <w:jc w:val="center"/>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Indeks 2021/2020</w:t>
            </w:r>
          </w:p>
        </w:tc>
      </w:tr>
      <w:tr w:rsidR="00377989" w:rsidRPr="00377989" w14:paraId="2E6FE03E" w14:textId="77777777" w:rsidTr="00377989">
        <w:trPr>
          <w:trHeight w:val="619"/>
        </w:trPr>
        <w:tc>
          <w:tcPr>
            <w:tcW w:w="1980" w:type="dxa"/>
            <w:vMerge/>
            <w:tcBorders>
              <w:top w:val="single" w:sz="8" w:space="0" w:color="auto"/>
              <w:left w:val="single" w:sz="8" w:space="0" w:color="auto"/>
              <w:bottom w:val="single" w:sz="8" w:space="0" w:color="000000"/>
              <w:right w:val="single" w:sz="8" w:space="0" w:color="auto"/>
            </w:tcBorders>
            <w:vAlign w:val="center"/>
            <w:hideMark/>
          </w:tcPr>
          <w:p w14:paraId="45F73955" w14:textId="77777777" w:rsidR="00377989" w:rsidRPr="00377989" w:rsidRDefault="00377989" w:rsidP="00377989">
            <w:pPr>
              <w:spacing w:after="0" w:line="240" w:lineRule="auto"/>
              <w:rPr>
                <w:rFonts w:ascii="Arial" w:eastAsia="Times New Roman" w:hAnsi="Arial" w:cs="Arial"/>
                <w:b/>
                <w:bCs/>
                <w:color w:val="FFFFFF"/>
                <w:sz w:val="18"/>
                <w:szCs w:val="18"/>
                <w:lang w:eastAsia="sl-SI"/>
              </w:rPr>
            </w:pPr>
          </w:p>
        </w:tc>
        <w:tc>
          <w:tcPr>
            <w:tcW w:w="1465" w:type="dxa"/>
            <w:tcBorders>
              <w:top w:val="nil"/>
              <w:left w:val="nil"/>
              <w:bottom w:val="single" w:sz="8" w:space="0" w:color="auto"/>
              <w:right w:val="single" w:sz="8" w:space="0" w:color="auto"/>
            </w:tcBorders>
            <w:shd w:val="clear" w:color="000000" w:fill="31849B"/>
            <w:vAlign w:val="center"/>
            <w:hideMark/>
          </w:tcPr>
          <w:p w14:paraId="385F456D" w14:textId="77777777" w:rsidR="00377989" w:rsidRPr="00377989" w:rsidRDefault="00377989" w:rsidP="00377989">
            <w:pPr>
              <w:spacing w:after="0" w:line="240" w:lineRule="auto"/>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Število</w:t>
            </w:r>
          </w:p>
        </w:tc>
        <w:tc>
          <w:tcPr>
            <w:tcW w:w="1228" w:type="dxa"/>
            <w:tcBorders>
              <w:top w:val="nil"/>
              <w:left w:val="nil"/>
              <w:bottom w:val="single" w:sz="8" w:space="0" w:color="auto"/>
              <w:right w:val="single" w:sz="8" w:space="0" w:color="auto"/>
            </w:tcBorders>
            <w:shd w:val="clear" w:color="000000" w:fill="31849B"/>
            <w:vAlign w:val="center"/>
            <w:hideMark/>
          </w:tcPr>
          <w:p w14:paraId="39F72E61" w14:textId="77777777" w:rsidR="00377989" w:rsidRPr="00377989" w:rsidRDefault="00377989" w:rsidP="00377989">
            <w:pPr>
              <w:spacing w:after="0" w:line="240" w:lineRule="auto"/>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Znesek v evrih</w:t>
            </w:r>
          </w:p>
        </w:tc>
        <w:tc>
          <w:tcPr>
            <w:tcW w:w="1089" w:type="dxa"/>
            <w:tcBorders>
              <w:top w:val="nil"/>
              <w:left w:val="nil"/>
              <w:bottom w:val="single" w:sz="8" w:space="0" w:color="auto"/>
              <w:right w:val="single" w:sz="8" w:space="0" w:color="auto"/>
            </w:tcBorders>
            <w:shd w:val="clear" w:color="000000" w:fill="31849B"/>
            <w:vAlign w:val="center"/>
            <w:hideMark/>
          </w:tcPr>
          <w:p w14:paraId="5ABB1987" w14:textId="77777777" w:rsidR="00377989" w:rsidRPr="00377989" w:rsidRDefault="00377989" w:rsidP="00377989">
            <w:pPr>
              <w:spacing w:after="0" w:line="240" w:lineRule="auto"/>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Število</w:t>
            </w:r>
          </w:p>
        </w:tc>
        <w:tc>
          <w:tcPr>
            <w:tcW w:w="1287" w:type="dxa"/>
            <w:tcBorders>
              <w:top w:val="nil"/>
              <w:left w:val="nil"/>
              <w:bottom w:val="single" w:sz="8" w:space="0" w:color="auto"/>
              <w:right w:val="single" w:sz="8" w:space="0" w:color="auto"/>
            </w:tcBorders>
            <w:shd w:val="clear" w:color="000000" w:fill="31849B"/>
            <w:vAlign w:val="center"/>
            <w:hideMark/>
          </w:tcPr>
          <w:p w14:paraId="56CF2529" w14:textId="77777777" w:rsidR="00377989" w:rsidRPr="00377989" w:rsidRDefault="00377989" w:rsidP="00377989">
            <w:pPr>
              <w:spacing w:after="0" w:line="240" w:lineRule="auto"/>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Znesek v evrih</w:t>
            </w:r>
          </w:p>
        </w:tc>
        <w:tc>
          <w:tcPr>
            <w:tcW w:w="1069" w:type="dxa"/>
            <w:tcBorders>
              <w:top w:val="nil"/>
              <w:left w:val="nil"/>
              <w:bottom w:val="single" w:sz="8" w:space="0" w:color="auto"/>
              <w:right w:val="single" w:sz="8" w:space="0" w:color="auto"/>
            </w:tcBorders>
            <w:shd w:val="clear" w:color="000000" w:fill="31849B"/>
            <w:vAlign w:val="center"/>
            <w:hideMark/>
          </w:tcPr>
          <w:p w14:paraId="63D17CEB" w14:textId="77777777" w:rsidR="00377989" w:rsidRPr="00377989" w:rsidRDefault="00377989" w:rsidP="00377989">
            <w:pPr>
              <w:spacing w:after="0" w:line="240" w:lineRule="auto"/>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Število</w:t>
            </w:r>
          </w:p>
        </w:tc>
        <w:tc>
          <w:tcPr>
            <w:tcW w:w="1049" w:type="dxa"/>
            <w:tcBorders>
              <w:top w:val="nil"/>
              <w:left w:val="nil"/>
              <w:bottom w:val="single" w:sz="8" w:space="0" w:color="auto"/>
              <w:right w:val="single" w:sz="8" w:space="0" w:color="auto"/>
            </w:tcBorders>
            <w:shd w:val="clear" w:color="000000" w:fill="31849B"/>
            <w:vAlign w:val="center"/>
            <w:hideMark/>
          </w:tcPr>
          <w:p w14:paraId="76B23A34" w14:textId="77777777" w:rsidR="00377989" w:rsidRPr="00377989" w:rsidRDefault="00377989" w:rsidP="00377989">
            <w:pPr>
              <w:spacing w:after="0" w:line="240" w:lineRule="auto"/>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 xml:space="preserve">Znesek </w:t>
            </w:r>
          </w:p>
        </w:tc>
      </w:tr>
      <w:tr w:rsidR="00377989" w:rsidRPr="00377989" w14:paraId="665C1BFE" w14:textId="77777777" w:rsidTr="00377989">
        <w:trPr>
          <w:trHeight w:val="382"/>
        </w:trPr>
        <w:tc>
          <w:tcPr>
            <w:tcW w:w="9171" w:type="dxa"/>
            <w:gridSpan w:val="7"/>
            <w:tcBorders>
              <w:top w:val="nil"/>
              <w:left w:val="single" w:sz="8" w:space="0" w:color="auto"/>
              <w:bottom w:val="single" w:sz="8" w:space="0" w:color="auto"/>
              <w:right w:val="single" w:sz="8" w:space="0" w:color="000000"/>
            </w:tcBorders>
            <w:shd w:val="clear" w:color="000000" w:fill="E36C0A"/>
            <w:vAlign w:val="center"/>
            <w:hideMark/>
          </w:tcPr>
          <w:p w14:paraId="14FA6E09" w14:textId="77777777" w:rsidR="00377989" w:rsidRPr="00377989" w:rsidRDefault="00377989" w:rsidP="00377989">
            <w:pPr>
              <w:spacing w:after="0" w:line="240" w:lineRule="auto"/>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Opomini pred začetkom davčne izvršbe</w:t>
            </w:r>
          </w:p>
        </w:tc>
      </w:tr>
      <w:tr w:rsidR="00377989" w:rsidRPr="00377989" w14:paraId="28B7AE3A" w14:textId="77777777" w:rsidTr="00377989">
        <w:trPr>
          <w:trHeight w:val="382"/>
        </w:trPr>
        <w:tc>
          <w:tcPr>
            <w:tcW w:w="1980" w:type="dxa"/>
            <w:tcBorders>
              <w:top w:val="nil"/>
              <w:left w:val="single" w:sz="8" w:space="0" w:color="auto"/>
              <w:bottom w:val="single" w:sz="8" w:space="0" w:color="auto"/>
              <w:right w:val="single" w:sz="8" w:space="0" w:color="auto"/>
            </w:tcBorders>
            <w:shd w:val="clear" w:color="auto" w:fill="auto"/>
            <w:vAlign w:val="center"/>
            <w:hideMark/>
          </w:tcPr>
          <w:p w14:paraId="76AADF79" w14:textId="77777777" w:rsidR="00377989" w:rsidRPr="00377989" w:rsidRDefault="00377989" w:rsidP="00377989">
            <w:pPr>
              <w:spacing w:after="0" w:line="240" w:lineRule="auto"/>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 xml:space="preserve">Poslani opomini </w:t>
            </w:r>
          </w:p>
        </w:tc>
        <w:tc>
          <w:tcPr>
            <w:tcW w:w="1465" w:type="dxa"/>
            <w:tcBorders>
              <w:top w:val="nil"/>
              <w:left w:val="nil"/>
              <w:bottom w:val="single" w:sz="8" w:space="0" w:color="auto"/>
              <w:right w:val="single" w:sz="8" w:space="0" w:color="auto"/>
            </w:tcBorders>
            <w:shd w:val="clear" w:color="auto" w:fill="auto"/>
            <w:vAlign w:val="center"/>
            <w:hideMark/>
          </w:tcPr>
          <w:p w14:paraId="144C1CFF" w14:textId="77777777" w:rsidR="00377989" w:rsidRPr="00377989" w:rsidRDefault="00377989" w:rsidP="00377989">
            <w:pPr>
              <w:spacing w:after="0" w:line="240" w:lineRule="auto"/>
              <w:jc w:val="right"/>
              <w:rPr>
                <w:rFonts w:ascii="Arial" w:eastAsia="Times New Roman" w:hAnsi="Arial" w:cs="Arial"/>
                <w:b/>
                <w:bCs/>
                <w:color w:val="000000"/>
                <w:sz w:val="18"/>
                <w:szCs w:val="18"/>
                <w:lang w:eastAsia="sl-SI"/>
              </w:rPr>
            </w:pPr>
            <w:r w:rsidRPr="00377989">
              <w:rPr>
                <w:rFonts w:ascii="Arial" w:eastAsia="Times New Roman" w:hAnsi="Arial" w:cs="Arial"/>
                <w:b/>
                <w:bCs/>
                <w:color w:val="000000"/>
                <w:sz w:val="18"/>
                <w:szCs w:val="18"/>
                <w:lang w:eastAsia="sl-SI"/>
              </w:rPr>
              <w:t>422.080</w:t>
            </w:r>
          </w:p>
        </w:tc>
        <w:tc>
          <w:tcPr>
            <w:tcW w:w="1228" w:type="dxa"/>
            <w:tcBorders>
              <w:top w:val="nil"/>
              <w:left w:val="nil"/>
              <w:bottom w:val="single" w:sz="8" w:space="0" w:color="auto"/>
              <w:right w:val="single" w:sz="8" w:space="0" w:color="auto"/>
            </w:tcBorders>
            <w:shd w:val="clear" w:color="000000" w:fill="DAEEF3"/>
            <w:vAlign w:val="center"/>
            <w:hideMark/>
          </w:tcPr>
          <w:p w14:paraId="470115D0"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288.002.450</w:t>
            </w:r>
          </w:p>
        </w:tc>
        <w:tc>
          <w:tcPr>
            <w:tcW w:w="1089" w:type="dxa"/>
            <w:tcBorders>
              <w:top w:val="nil"/>
              <w:left w:val="nil"/>
              <w:bottom w:val="single" w:sz="8" w:space="0" w:color="auto"/>
              <w:right w:val="single" w:sz="8" w:space="0" w:color="auto"/>
            </w:tcBorders>
            <w:shd w:val="clear" w:color="auto" w:fill="auto"/>
            <w:vAlign w:val="center"/>
            <w:hideMark/>
          </w:tcPr>
          <w:p w14:paraId="0FAEA8BA" w14:textId="77777777" w:rsidR="00377989" w:rsidRPr="00377989" w:rsidRDefault="00377989" w:rsidP="00377989">
            <w:pPr>
              <w:spacing w:after="0" w:line="240" w:lineRule="auto"/>
              <w:jc w:val="right"/>
              <w:rPr>
                <w:rFonts w:ascii="Arial" w:eastAsia="Times New Roman" w:hAnsi="Arial" w:cs="Arial"/>
                <w:b/>
                <w:bCs/>
                <w:color w:val="000000"/>
                <w:sz w:val="18"/>
                <w:szCs w:val="18"/>
                <w:lang w:eastAsia="sl-SI"/>
              </w:rPr>
            </w:pPr>
            <w:r w:rsidRPr="00377989">
              <w:rPr>
                <w:rFonts w:ascii="Arial" w:eastAsia="Times New Roman" w:hAnsi="Arial" w:cs="Arial"/>
                <w:b/>
                <w:bCs/>
                <w:color w:val="000000"/>
                <w:sz w:val="18"/>
                <w:szCs w:val="18"/>
                <w:lang w:eastAsia="sl-SI"/>
              </w:rPr>
              <w:t>688.728</w:t>
            </w:r>
          </w:p>
        </w:tc>
        <w:tc>
          <w:tcPr>
            <w:tcW w:w="1287" w:type="dxa"/>
            <w:tcBorders>
              <w:top w:val="nil"/>
              <w:left w:val="nil"/>
              <w:bottom w:val="single" w:sz="8" w:space="0" w:color="auto"/>
              <w:right w:val="single" w:sz="8" w:space="0" w:color="auto"/>
            </w:tcBorders>
            <w:shd w:val="clear" w:color="000000" w:fill="DAEEF3"/>
            <w:vAlign w:val="center"/>
            <w:hideMark/>
          </w:tcPr>
          <w:p w14:paraId="3A8BAB15"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540.295.929</w:t>
            </w:r>
          </w:p>
        </w:tc>
        <w:tc>
          <w:tcPr>
            <w:tcW w:w="1069" w:type="dxa"/>
            <w:tcBorders>
              <w:top w:val="nil"/>
              <w:left w:val="nil"/>
              <w:bottom w:val="single" w:sz="8" w:space="0" w:color="auto"/>
              <w:right w:val="single" w:sz="8" w:space="0" w:color="auto"/>
            </w:tcBorders>
            <w:shd w:val="clear" w:color="auto" w:fill="auto"/>
            <w:vAlign w:val="center"/>
            <w:hideMark/>
          </w:tcPr>
          <w:p w14:paraId="1B2F115C"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163,2</w:t>
            </w:r>
          </w:p>
        </w:tc>
        <w:tc>
          <w:tcPr>
            <w:tcW w:w="1049" w:type="dxa"/>
            <w:tcBorders>
              <w:top w:val="nil"/>
              <w:left w:val="nil"/>
              <w:bottom w:val="single" w:sz="8" w:space="0" w:color="auto"/>
              <w:right w:val="single" w:sz="8" w:space="0" w:color="auto"/>
            </w:tcBorders>
            <w:shd w:val="clear" w:color="auto" w:fill="auto"/>
            <w:vAlign w:val="center"/>
            <w:hideMark/>
          </w:tcPr>
          <w:p w14:paraId="77B9A9E5"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187,6</w:t>
            </w:r>
          </w:p>
        </w:tc>
      </w:tr>
      <w:tr w:rsidR="00377989" w:rsidRPr="00377989" w14:paraId="546E9DB7" w14:textId="77777777" w:rsidTr="00377989">
        <w:trPr>
          <w:trHeight w:val="600"/>
        </w:trPr>
        <w:tc>
          <w:tcPr>
            <w:tcW w:w="1980" w:type="dxa"/>
            <w:tcBorders>
              <w:top w:val="nil"/>
              <w:left w:val="single" w:sz="8" w:space="0" w:color="auto"/>
              <w:bottom w:val="single" w:sz="8" w:space="0" w:color="auto"/>
              <w:right w:val="single" w:sz="8" w:space="0" w:color="auto"/>
            </w:tcBorders>
            <w:shd w:val="clear" w:color="auto" w:fill="auto"/>
            <w:vAlign w:val="center"/>
            <w:hideMark/>
          </w:tcPr>
          <w:p w14:paraId="29A3C09C" w14:textId="77777777" w:rsidR="00377989" w:rsidRPr="00377989" w:rsidRDefault="00377989" w:rsidP="00377989">
            <w:pPr>
              <w:spacing w:after="0" w:line="240" w:lineRule="auto"/>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 xml:space="preserve">Plačila na podlagi opominov </w:t>
            </w:r>
          </w:p>
        </w:tc>
        <w:tc>
          <w:tcPr>
            <w:tcW w:w="1465" w:type="dxa"/>
            <w:tcBorders>
              <w:top w:val="nil"/>
              <w:left w:val="nil"/>
              <w:bottom w:val="single" w:sz="8" w:space="0" w:color="auto"/>
              <w:right w:val="single" w:sz="8" w:space="0" w:color="auto"/>
            </w:tcBorders>
            <w:shd w:val="clear" w:color="auto" w:fill="auto"/>
            <w:vAlign w:val="center"/>
            <w:hideMark/>
          </w:tcPr>
          <w:p w14:paraId="0A20FCD6" w14:textId="77777777" w:rsidR="00377989" w:rsidRPr="00377989" w:rsidRDefault="00377989" w:rsidP="00377989">
            <w:pPr>
              <w:spacing w:after="0" w:line="240" w:lineRule="auto"/>
              <w:jc w:val="right"/>
              <w:rPr>
                <w:rFonts w:ascii="Arial" w:eastAsia="Times New Roman" w:hAnsi="Arial" w:cs="Arial"/>
                <w:b/>
                <w:bCs/>
                <w:color w:val="000000"/>
                <w:sz w:val="18"/>
                <w:szCs w:val="18"/>
                <w:lang w:eastAsia="sl-SI"/>
              </w:rPr>
            </w:pPr>
            <w:r w:rsidRPr="00377989">
              <w:rPr>
                <w:rFonts w:ascii="Arial" w:eastAsia="Times New Roman" w:hAnsi="Arial" w:cs="Arial"/>
                <w:b/>
                <w:bCs/>
                <w:color w:val="000000"/>
                <w:sz w:val="18"/>
                <w:szCs w:val="18"/>
                <w:lang w:eastAsia="sl-SI"/>
              </w:rPr>
              <w:t>307.188</w:t>
            </w:r>
          </w:p>
        </w:tc>
        <w:tc>
          <w:tcPr>
            <w:tcW w:w="1228" w:type="dxa"/>
            <w:tcBorders>
              <w:top w:val="nil"/>
              <w:left w:val="nil"/>
              <w:bottom w:val="single" w:sz="8" w:space="0" w:color="auto"/>
              <w:right w:val="single" w:sz="8" w:space="0" w:color="auto"/>
            </w:tcBorders>
            <w:shd w:val="clear" w:color="000000" w:fill="DAEEF3"/>
            <w:vAlign w:val="center"/>
            <w:hideMark/>
          </w:tcPr>
          <w:p w14:paraId="2E906141"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189.739.151</w:t>
            </w:r>
          </w:p>
        </w:tc>
        <w:tc>
          <w:tcPr>
            <w:tcW w:w="1089" w:type="dxa"/>
            <w:tcBorders>
              <w:top w:val="nil"/>
              <w:left w:val="nil"/>
              <w:bottom w:val="single" w:sz="8" w:space="0" w:color="auto"/>
              <w:right w:val="single" w:sz="8" w:space="0" w:color="auto"/>
            </w:tcBorders>
            <w:shd w:val="clear" w:color="auto" w:fill="auto"/>
            <w:vAlign w:val="center"/>
            <w:hideMark/>
          </w:tcPr>
          <w:p w14:paraId="73EFC756" w14:textId="77777777" w:rsidR="00377989" w:rsidRPr="00377989" w:rsidRDefault="00377989" w:rsidP="00377989">
            <w:pPr>
              <w:spacing w:after="0" w:line="240" w:lineRule="auto"/>
              <w:jc w:val="right"/>
              <w:rPr>
                <w:rFonts w:ascii="Arial" w:eastAsia="Times New Roman" w:hAnsi="Arial" w:cs="Arial"/>
                <w:b/>
                <w:bCs/>
                <w:color w:val="000000"/>
                <w:sz w:val="18"/>
                <w:szCs w:val="18"/>
                <w:lang w:eastAsia="sl-SI"/>
              </w:rPr>
            </w:pPr>
            <w:r w:rsidRPr="00377989">
              <w:rPr>
                <w:rFonts w:ascii="Arial" w:eastAsia="Times New Roman" w:hAnsi="Arial" w:cs="Arial"/>
                <w:b/>
                <w:bCs/>
                <w:color w:val="000000"/>
                <w:sz w:val="18"/>
                <w:szCs w:val="18"/>
                <w:lang w:eastAsia="sl-SI"/>
              </w:rPr>
              <w:t>450.609</w:t>
            </w:r>
          </w:p>
        </w:tc>
        <w:tc>
          <w:tcPr>
            <w:tcW w:w="1287" w:type="dxa"/>
            <w:tcBorders>
              <w:top w:val="nil"/>
              <w:left w:val="nil"/>
              <w:bottom w:val="single" w:sz="8" w:space="0" w:color="auto"/>
              <w:right w:val="single" w:sz="8" w:space="0" w:color="auto"/>
            </w:tcBorders>
            <w:shd w:val="clear" w:color="000000" w:fill="DAEEF3"/>
            <w:vAlign w:val="center"/>
            <w:hideMark/>
          </w:tcPr>
          <w:p w14:paraId="50BF2E72"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299.607.703</w:t>
            </w:r>
          </w:p>
        </w:tc>
        <w:tc>
          <w:tcPr>
            <w:tcW w:w="1069" w:type="dxa"/>
            <w:tcBorders>
              <w:top w:val="nil"/>
              <w:left w:val="nil"/>
              <w:bottom w:val="single" w:sz="8" w:space="0" w:color="auto"/>
              <w:right w:val="single" w:sz="8" w:space="0" w:color="auto"/>
            </w:tcBorders>
            <w:shd w:val="clear" w:color="auto" w:fill="auto"/>
            <w:vAlign w:val="center"/>
            <w:hideMark/>
          </w:tcPr>
          <w:p w14:paraId="51659D29"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146,7</w:t>
            </w:r>
          </w:p>
        </w:tc>
        <w:tc>
          <w:tcPr>
            <w:tcW w:w="1049" w:type="dxa"/>
            <w:tcBorders>
              <w:top w:val="nil"/>
              <w:left w:val="nil"/>
              <w:bottom w:val="single" w:sz="8" w:space="0" w:color="auto"/>
              <w:right w:val="single" w:sz="8" w:space="0" w:color="auto"/>
            </w:tcBorders>
            <w:shd w:val="clear" w:color="auto" w:fill="auto"/>
            <w:vAlign w:val="center"/>
            <w:hideMark/>
          </w:tcPr>
          <w:p w14:paraId="424B0E41"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157,9</w:t>
            </w:r>
          </w:p>
        </w:tc>
      </w:tr>
      <w:tr w:rsidR="00377989" w:rsidRPr="00377989" w14:paraId="0E9283EB" w14:textId="77777777" w:rsidTr="00377989">
        <w:trPr>
          <w:trHeight w:val="447"/>
        </w:trPr>
        <w:tc>
          <w:tcPr>
            <w:tcW w:w="9171" w:type="dxa"/>
            <w:gridSpan w:val="7"/>
            <w:tcBorders>
              <w:top w:val="single" w:sz="8" w:space="0" w:color="auto"/>
              <w:left w:val="single" w:sz="8" w:space="0" w:color="auto"/>
              <w:bottom w:val="single" w:sz="8" w:space="0" w:color="auto"/>
              <w:right w:val="single" w:sz="8" w:space="0" w:color="000000"/>
            </w:tcBorders>
            <w:shd w:val="clear" w:color="000000" w:fill="E36C0A"/>
            <w:vAlign w:val="center"/>
            <w:hideMark/>
          </w:tcPr>
          <w:p w14:paraId="32A567F9" w14:textId="77777777" w:rsidR="00377989" w:rsidRPr="00377989" w:rsidRDefault="00377989" w:rsidP="00377989">
            <w:pPr>
              <w:spacing w:after="0" w:line="240" w:lineRule="auto"/>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Pozivi za plačilo in predložitev seznama premoženja</w:t>
            </w:r>
          </w:p>
        </w:tc>
      </w:tr>
      <w:tr w:rsidR="00377989" w:rsidRPr="00377989" w14:paraId="29FB5BE8" w14:textId="77777777" w:rsidTr="00377989">
        <w:trPr>
          <w:trHeight w:val="892"/>
        </w:trPr>
        <w:tc>
          <w:tcPr>
            <w:tcW w:w="1980" w:type="dxa"/>
            <w:tcBorders>
              <w:top w:val="nil"/>
              <w:left w:val="single" w:sz="8" w:space="0" w:color="auto"/>
              <w:bottom w:val="single" w:sz="8" w:space="0" w:color="auto"/>
              <w:right w:val="single" w:sz="8" w:space="0" w:color="auto"/>
            </w:tcBorders>
            <w:shd w:val="clear" w:color="auto" w:fill="auto"/>
            <w:vAlign w:val="center"/>
            <w:hideMark/>
          </w:tcPr>
          <w:p w14:paraId="25DB7449" w14:textId="77777777" w:rsidR="00377989" w:rsidRPr="00377989" w:rsidRDefault="00377989" w:rsidP="00377989">
            <w:pPr>
              <w:spacing w:after="0" w:line="240" w:lineRule="auto"/>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Izdani pozivi za plačilo in predložitev seznama premoženja</w:t>
            </w:r>
          </w:p>
        </w:tc>
        <w:tc>
          <w:tcPr>
            <w:tcW w:w="1465" w:type="dxa"/>
            <w:tcBorders>
              <w:top w:val="nil"/>
              <w:left w:val="nil"/>
              <w:bottom w:val="single" w:sz="8" w:space="0" w:color="auto"/>
              <w:right w:val="single" w:sz="8" w:space="0" w:color="auto"/>
            </w:tcBorders>
            <w:shd w:val="clear" w:color="auto" w:fill="auto"/>
            <w:vAlign w:val="center"/>
            <w:hideMark/>
          </w:tcPr>
          <w:p w14:paraId="6F08EAE9" w14:textId="77777777" w:rsidR="00377989" w:rsidRPr="00377989" w:rsidRDefault="00377989" w:rsidP="00377989">
            <w:pPr>
              <w:spacing w:after="0" w:line="240" w:lineRule="auto"/>
              <w:jc w:val="right"/>
              <w:rPr>
                <w:rFonts w:ascii="Arial" w:eastAsia="Times New Roman" w:hAnsi="Arial" w:cs="Arial"/>
                <w:b/>
                <w:bCs/>
                <w:color w:val="000000"/>
                <w:sz w:val="18"/>
                <w:szCs w:val="18"/>
                <w:lang w:eastAsia="sl-SI"/>
              </w:rPr>
            </w:pPr>
            <w:r w:rsidRPr="00377989">
              <w:rPr>
                <w:rFonts w:ascii="Arial" w:eastAsia="Times New Roman" w:hAnsi="Arial" w:cs="Arial"/>
                <w:b/>
                <w:bCs/>
                <w:color w:val="000000"/>
                <w:sz w:val="18"/>
                <w:szCs w:val="18"/>
                <w:lang w:eastAsia="sl-SI"/>
              </w:rPr>
              <w:t>6.362</w:t>
            </w:r>
          </w:p>
        </w:tc>
        <w:tc>
          <w:tcPr>
            <w:tcW w:w="1228" w:type="dxa"/>
            <w:tcBorders>
              <w:top w:val="nil"/>
              <w:left w:val="nil"/>
              <w:bottom w:val="single" w:sz="8" w:space="0" w:color="auto"/>
              <w:right w:val="single" w:sz="8" w:space="0" w:color="auto"/>
            </w:tcBorders>
            <w:shd w:val="clear" w:color="000000" w:fill="DAEEF3"/>
            <w:vAlign w:val="center"/>
            <w:hideMark/>
          </w:tcPr>
          <w:p w14:paraId="4428D70B"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31.631.018</w:t>
            </w:r>
          </w:p>
        </w:tc>
        <w:tc>
          <w:tcPr>
            <w:tcW w:w="1089" w:type="dxa"/>
            <w:tcBorders>
              <w:top w:val="nil"/>
              <w:left w:val="nil"/>
              <w:bottom w:val="single" w:sz="8" w:space="0" w:color="auto"/>
              <w:right w:val="single" w:sz="8" w:space="0" w:color="auto"/>
            </w:tcBorders>
            <w:shd w:val="clear" w:color="auto" w:fill="auto"/>
            <w:vAlign w:val="center"/>
            <w:hideMark/>
          </w:tcPr>
          <w:p w14:paraId="6DCE9823" w14:textId="77777777" w:rsidR="00377989" w:rsidRPr="00377989" w:rsidRDefault="00377989" w:rsidP="00377989">
            <w:pPr>
              <w:spacing w:after="0" w:line="240" w:lineRule="auto"/>
              <w:jc w:val="right"/>
              <w:rPr>
                <w:rFonts w:ascii="Arial" w:eastAsia="Times New Roman" w:hAnsi="Arial" w:cs="Arial"/>
                <w:b/>
                <w:bCs/>
                <w:color w:val="000000"/>
                <w:sz w:val="18"/>
                <w:szCs w:val="18"/>
                <w:lang w:eastAsia="sl-SI"/>
              </w:rPr>
            </w:pPr>
            <w:r w:rsidRPr="00377989">
              <w:rPr>
                <w:rFonts w:ascii="Arial" w:eastAsia="Times New Roman" w:hAnsi="Arial" w:cs="Arial"/>
                <w:b/>
                <w:bCs/>
                <w:color w:val="000000"/>
                <w:sz w:val="18"/>
                <w:szCs w:val="18"/>
                <w:lang w:eastAsia="sl-SI"/>
              </w:rPr>
              <w:t>9.719</w:t>
            </w:r>
          </w:p>
        </w:tc>
        <w:tc>
          <w:tcPr>
            <w:tcW w:w="1287" w:type="dxa"/>
            <w:tcBorders>
              <w:top w:val="nil"/>
              <w:left w:val="nil"/>
              <w:bottom w:val="single" w:sz="8" w:space="0" w:color="auto"/>
              <w:right w:val="single" w:sz="8" w:space="0" w:color="auto"/>
            </w:tcBorders>
            <w:shd w:val="clear" w:color="000000" w:fill="DAEEF3"/>
            <w:vAlign w:val="center"/>
            <w:hideMark/>
          </w:tcPr>
          <w:p w14:paraId="29AF5A12"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35.697.014</w:t>
            </w:r>
          </w:p>
        </w:tc>
        <w:tc>
          <w:tcPr>
            <w:tcW w:w="1069" w:type="dxa"/>
            <w:tcBorders>
              <w:top w:val="nil"/>
              <w:left w:val="nil"/>
              <w:bottom w:val="single" w:sz="8" w:space="0" w:color="auto"/>
              <w:right w:val="single" w:sz="8" w:space="0" w:color="auto"/>
            </w:tcBorders>
            <w:shd w:val="clear" w:color="auto" w:fill="auto"/>
            <w:vAlign w:val="center"/>
            <w:hideMark/>
          </w:tcPr>
          <w:p w14:paraId="471F38FC"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152,8</w:t>
            </w:r>
          </w:p>
        </w:tc>
        <w:tc>
          <w:tcPr>
            <w:tcW w:w="1049" w:type="dxa"/>
            <w:tcBorders>
              <w:top w:val="nil"/>
              <w:left w:val="nil"/>
              <w:bottom w:val="single" w:sz="8" w:space="0" w:color="auto"/>
              <w:right w:val="single" w:sz="8" w:space="0" w:color="auto"/>
            </w:tcBorders>
            <w:shd w:val="clear" w:color="auto" w:fill="auto"/>
            <w:vAlign w:val="center"/>
            <w:hideMark/>
          </w:tcPr>
          <w:p w14:paraId="13D9EA39"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112,9</w:t>
            </w:r>
          </w:p>
        </w:tc>
      </w:tr>
      <w:tr w:rsidR="00377989" w:rsidRPr="00377989" w14:paraId="181579DE" w14:textId="77777777" w:rsidTr="00377989">
        <w:trPr>
          <w:trHeight w:val="564"/>
        </w:trPr>
        <w:tc>
          <w:tcPr>
            <w:tcW w:w="1980" w:type="dxa"/>
            <w:tcBorders>
              <w:top w:val="nil"/>
              <w:left w:val="single" w:sz="8" w:space="0" w:color="auto"/>
              <w:bottom w:val="single" w:sz="8" w:space="0" w:color="auto"/>
              <w:right w:val="single" w:sz="8" w:space="0" w:color="auto"/>
            </w:tcBorders>
            <w:shd w:val="clear" w:color="auto" w:fill="auto"/>
            <w:vAlign w:val="center"/>
            <w:hideMark/>
          </w:tcPr>
          <w:p w14:paraId="2B01ACE6" w14:textId="77777777" w:rsidR="00377989" w:rsidRPr="00377989" w:rsidRDefault="00377989" w:rsidP="00377989">
            <w:pPr>
              <w:spacing w:after="0" w:line="240" w:lineRule="auto"/>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Plačila na podlagi pozivov</w:t>
            </w:r>
          </w:p>
        </w:tc>
        <w:tc>
          <w:tcPr>
            <w:tcW w:w="1465" w:type="dxa"/>
            <w:tcBorders>
              <w:top w:val="nil"/>
              <w:left w:val="nil"/>
              <w:bottom w:val="single" w:sz="8" w:space="0" w:color="auto"/>
              <w:right w:val="single" w:sz="8" w:space="0" w:color="auto"/>
            </w:tcBorders>
            <w:shd w:val="clear" w:color="auto" w:fill="auto"/>
            <w:vAlign w:val="center"/>
            <w:hideMark/>
          </w:tcPr>
          <w:p w14:paraId="7A52B051" w14:textId="77777777" w:rsidR="00377989" w:rsidRPr="00377989" w:rsidRDefault="00377989" w:rsidP="00377989">
            <w:pPr>
              <w:spacing w:after="0" w:line="240" w:lineRule="auto"/>
              <w:jc w:val="right"/>
              <w:rPr>
                <w:rFonts w:ascii="Arial" w:eastAsia="Times New Roman" w:hAnsi="Arial" w:cs="Arial"/>
                <w:b/>
                <w:bCs/>
                <w:color w:val="000000"/>
                <w:sz w:val="18"/>
                <w:szCs w:val="18"/>
                <w:lang w:eastAsia="sl-SI"/>
              </w:rPr>
            </w:pPr>
            <w:r w:rsidRPr="00377989">
              <w:rPr>
                <w:rFonts w:ascii="Arial" w:eastAsia="Times New Roman" w:hAnsi="Arial" w:cs="Arial"/>
                <w:b/>
                <w:bCs/>
                <w:color w:val="000000"/>
                <w:sz w:val="18"/>
                <w:szCs w:val="18"/>
                <w:lang w:eastAsia="sl-SI"/>
              </w:rPr>
              <w:t>50.881</w:t>
            </w:r>
          </w:p>
        </w:tc>
        <w:tc>
          <w:tcPr>
            <w:tcW w:w="1228" w:type="dxa"/>
            <w:tcBorders>
              <w:top w:val="nil"/>
              <w:left w:val="nil"/>
              <w:bottom w:val="single" w:sz="8" w:space="0" w:color="auto"/>
              <w:right w:val="single" w:sz="8" w:space="0" w:color="auto"/>
            </w:tcBorders>
            <w:shd w:val="clear" w:color="000000" w:fill="DAEEF3"/>
            <w:vAlign w:val="center"/>
            <w:hideMark/>
          </w:tcPr>
          <w:p w14:paraId="51431F8A"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1.490.263</w:t>
            </w:r>
          </w:p>
        </w:tc>
        <w:tc>
          <w:tcPr>
            <w:tcW w:w="1089" w:type="dxa"/>
            <w:tcBorders>
              <w:top w:val="nil"/>
              <w:left w:val="nil"/>
              <w:bottom w:val="single" w:sz="8" w:space="0" w:color="auto"/>
              <w:right w:val="single" w:sz="8" w:space="0" w:color="auto"/>
            </w:tcBorders>
            <w:shd w:val="clear" w:color="auto" w:fill="auto"/>
            <w:vAlign w:val="center"/>
            <w:hideMark/>
          </w:tcPr>
          <w:p w14:paraId="171DE4C0" w14:textId="77777777" w:rsidR="00377989" w:rsidRPr="00377989" w:rsidRDefault="00377989" w:rsidP="00377989">
            <w:pPr>
              <w:spacing w:after="0" w:line="240" w:lineRule="auto"/>
              <w:jc w:val="right"/>
              <w:rPr>
                <w:rFonts w:ascii="Arial" w:eastAsia="Times New Roman" w:hAnsi="Arial" w:cs="Arial"/>
                <w:b/>
                <w:bCs/>
                <w:color w:val="000000"/>
                <w:sz w:val="18"/>
                <w:szCs w:val="18"/>
                <w:lang w:eastAsia="sl-SI"/>
              </w:rPr>
            </w:pPr>
            <w:r w:rsidRPr="00377989">
              <w:rPr>
                <w:rFonts w:ascii="Arial" w:eastAsia="Times New Roman" w:hAnsi="Arial" w:cs="Arial"/>
                <w:b/>
                <w:bCs/>
                <w:color w:val="000000"/>
                <w:sz w:val="18"/>
                <w:szCs w:val="18"/>
                <w:lang w:eastAsia="sl-SI"/>
              </w:rPr>
              <w:t>94.179</w:t>
            </w:r>
          </w:p>
        </w:tc>
        <w:tc>
          <w:tcPr>
            <w:tcW w:w="1287" w:type="dxa"/>
            <w:tcBorders>
              <w:top w:val="nil"/>
              <w:left w:val="nil"/>
              <w:bottom w:val="single" w:sz="8" w:space="0" w:color="auto"/>
              <w:right w:val="single" w:sz="8" w:space="0" w:color="auto"/>
            </w:tcBorders>
            <w:shd w:val="clear" w:color="000000" w:fill="DAEEF3"/>
            <w:vAlign w:val="center"/>
            <w:hideMark/>
          </w:tcPr>
          <w:p w14:paraId="70DD57A3"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2.394.204</w:t>
            </w:r>
          </w:p>
        </w:tc>
        <w:tc>
          <w:tcPr>
            <w:tcW w:w="1069" w:type="dxa"/>
            <w:tcBorders>
              <w:top w:val="nil"/>
              <w:left w:val="nil"/>
              <w:bottom w:val="single" w:sz="8" w:space="0" w:color="auto"/>
              <w:right w:val="single" w:sz="8" w:space="0" w:color="auto"/>
            </w:tcBorders>
            <w:shd w:val="clear" w:color="auto" w:fill="auto"/>
            <w:vAlign w:val="center"/>
            <w:hideMark/>
          </w:tcPr>
          <w:p w14:paraId="767809C3"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185,1</w:t>
            </w:r>
          </w:p>
        </w:tc>
        <w:tc>
          <w:tcPr>
            <w:tcW w:w="1049" w:type="dxa"/>
            <w:tcBorders>
              <w:top w:val="nil"/>
              <w:left w:val="nil"/>
              <w:bottom w:val="single" w:sz="8" w:space="0" w:color="auto"/>
              <w:right w:val="single" w:sz="8" w:space="0" w:color="auto"/>
            </w:tcBorders>
            <w:shd w:val="clear" w:color="auto" w:fill="auto"/>
            <w:vAlign w:val="center"/>
            <w:hideMark/>
          </w:tcPr>
          <w:p w14:paraId="761B8049"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160,7</w:t>
            </w:r>
          </w:p>
        </w:tc>
      </w:tr>
      <w:tr w:rsidR="00377989" w:rsidRPr="00377989" w14:paraId="577AF9A9" w14:textId="77777777" w:rsidTr="00377989">
        <w:trPr>
          <w:trHeight w:val="459"/>
        </w:trPr>
        <w:tc>
          <w:tcPr>
            <w:tcW w:w="9171" w:type="dxa"/>
            <w:gridSpan w:val="7"/>
            <w:tcBorders>
              <w:top w:val="single" w:sz="8" w:space="0" w:color="auto"/>
              <w:left w:val="single" w:sz="8" w:space="0" w:color="auto"/>
              <w:bottom w:val="single" w:sz="8" w:space="0" w:color="auto"/>
              <w:right w:val="single" w:sz="8" w:space="0" w:color="000000"/>
            </w:tcBorders>
            <w:shd w:val="clear" w:color="000000" w:fill="E36C0A"/>
            <w:vAlign w:val="center"/>
            <w:hideMark/>
          </w:tcPr>
          <w:p w14:paraId="0AF0EB2E" w14:textId="77777777" w:rsidR="00377989" w:rsidRPr="00377989" w:rsidRDefault="00377989" w:rsidP="00377989">
            <w:pPr>
              <w:spacing w:after="0" w:line="240" w:lineRule="auto"/>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Sklep o davčni izvršbi</w:t>
            </w:r>
          </w:p>
        </w:tc>
      </w:tr>
      <w:tr w:rsidR="00377989" w:rsidRPr="00377989" w14:paraId="169A58F1" w14:textId="77777777" w:rsidTr="00377989">
        <w:trPr>
          <w:trHeight w:val="564"/>
        </w:trPr>
        <w:tc>
          <w:tcPr>
            <w:tcW w:w="1980" w:type="dxa"/>
            <w:tcBorders>
              <w:top w:val="nil"/>
              <w:left w:val="single" w:sz="8" w:space="0" w:color="auto"/>
              <w:bottom w:val="single" w:sz="8" w:space="0" w:color="auto"/>
              <w:right w:val="single" w:sz="8" w:space="0" w:color="auto"/>
            </w:tcBorders>
            <w:shd w:val="clear" w:color="auto" w:fill="auto"/>
            <w:vAlign w:val="center"/>
            <w:hideMark/>
          </w:tcPr>
          <w:p w14:paraId="23C899D8" w14:textId="77777777" w:rsidR="00377989" w:rsidRPr="00377989" w:rsidRDefault="00377989" w:rsidP="00377989">
            <w:pPr>
              <w:spacing w:after="0" w:line="240" w:lineRule="auto"/>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Izdani sklepi</w:t>
            </w:r>
          </w:p>
        </w:tc>
        <w:tc>
          <w:tcPr>
            <w:tcW w:w="1465" w:type="dxa"/>
            <w:tcBorders>
              <w:top w:val="nil"/>
              <w:left w:val="nil"/>
              <w:bottom w:val="single" w:sz="8" w:space="0" w:color="auto"/>
              <w:right w:val="single" w:sz="8" w:space="0" w:color="auto"/>
            </w:tcBorders>
            <w:shd w:val="clear" w:color="auto" w:fill="auto"/>
            <w:vAlign w:val="center"/>
            <w:hideMark/>
          </w:tcPr>
          <w:p w14:paraId="61C2B7F4" w14:textId="77777777" w:rsidR="00377989" w:rsidRPr="00377989" w:rsidRDefault="00377989" w:rsidP="00377989">
            <w:pPr>
              <w:spacing w:after="0" w:line="240" w:lineRule="auto"/>
              <w:jc w:val="right"/>
              <w:rPr>
                <w:rFonts w:ascii="Arial" w:eastAsia="Times New Roman" w:hAnsi="Arial" w:cs="Arial"/>
                <w:b/>
                <w:bCs/>
                <w:color w:val="000000"/>
                <w:sz w:val="18"/>
                <w:szCs w:val="18"/>
                <w:lang w:eastAsia="sl-SI"/>
              </w:rPr>
            </w:pPr>
            <w:r w:rsidRPr="00377989">
              <w:rPr>
                <w:rFonts w:ascii="Arial" w:eastAsia="Times New Roman" w:hAnsi="Arial" w:cs="Arial"/>
                <w:b/>
                <w:bCs/>
                <w:color w:val="000000"/>
                <w:sz w:val="18"/>
                <w:szCs w:val="18"/>
                <w:lang w:eastAsia="sl-SI"/>
              </w:rPr>
              <w:t>125.303</w:t>
            </w:r>
          </w:p>
        </w:tc>
        <w:tc>
          <w:tcPr>
            <w:tcW w:w="1228" w:type="dxa"/>
            <w:tcBorders>
              <w:top w:val="nil"/>
              <w:left w:val="nil"/>
              <w:bottom w:val="single" w:sz="8" w:space="0" w:color="auto"/>
              <w:right w:val="single" w:sz="8" w:space="0" w:color="auto"/>
            </w:tcBorders>
            <w:shd w:val="clear" w:color="000000" w:fill="DAEEF3"/>
            <w:vAlign w:val="center"/>
            <w:hideMark/>
          </w:tcPr>
          <w:p w14:paraId="0617E63C"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504.731.572</w:t>
            </w:r>
          </w:p>
        </w:tc>
        <w:tc>
          <w:tcPr>
            <w:tcW w:w="1089" w:type="dxa"/>
            <w:tcBorders>
              <w:top w:val="nil"/>
              <w:left w:val="nil"/>
              <w:bottom w:val="single" w:sz="8" w:space="0" w:color="auto"/>
              <w:right w:val="single" w:sz="8" w:space="0" w:color="auto"/>
            </w:tcBorders>
            <w:shd w:val="clear" w:color="auto" w:fill="auto"/>
            <w:vAlign w:val="center"/>
            <w:hideMark/>
          </w:tcPr>
          <w:p w14:paraId="5DE83010" w14:textId="77777777" w:rsidR="00377989" w:rsidRPr="00377989" w:rsidRDefault="00377989" w:rsidP="00377989">
            <w:pPr>
              <w:spacing w:after="0" w:line="240" w:lineRule="auto"/>
              <w:jc w:val="right"/>
              <w:rPr>
                <w:rFonts w:ascii="Arial" w:eastAsia="Times New Roman" w:hAnsi="Arial" w:cs="Arial"/>
                <w:b/>
                <w:bCs/>
                <w:color w:val="000000"/>
                <w:sz w:val="18"/>
                <w:szCs w:val="18"/>
                <w:lang w:eastAsia="sl-SI"/>
              </w:rPr>
            </w:pPr>
            <w:r w:rsidRPr="00377989">
              <w:rPr>
                <w:rFonts w:ascii="Arial" w:eastAsia="Times New Roman" w:hAnsi="Arial" w:cs="Arial"/>
                <w:b/>
                <w:bCs/>
                <w:color w:val="000000"/>
                <w:sz w:val="18"/>
                <w:szCs w:val="18"/>
                <w:lang w:eastAsia="sl-SI"/>
              </w:rPr>
              <w:t>117.244</w:t>
            </w:r>
          </w:p>
        </w:tc>
        <w:tc>
          <w:tcPr>
            <w:tcW w:w="1287" w:type="dxa"/>
            <w:tcBorders>
              <w:top w:val="nil"/>
              <w:left w:val="nil"/>
              <w:bottom w:val="single" w:sz="8" w:space="0" w:color="auto"/>
              <w:right w:val="single" w:sz="8" w:space="0" w:color="auto"/>
            </w:tcBorders>
            <w:shd w:val="clear" w:color="000000" w:fill="DAEEF3"/>
            <w:vAlign w:val="center"/>
            <w:hideMark/>
          </w:tcPr>
          <w:p w14:paraId="2F88AC5B"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473.987.062</w:t>
            </w:r>
          </w:p>
        </w:tc>
        <w:tc>
          <w:tcPr>
            <w:tcW w:w="1069" w:type="dxa"/>
            <w:tcBorders>
              <w:top w:val="nil"/>
              <w:left w:val="nil"/>
              <w:bottom w:val="single" w:sz="8" w:space="0" w:color="auto"/>
              <w:right w:val="single" w:sz="8" w:space="0" w:color="auto"/>
            </w:tcBorders>
            <w:shd w:val="clear" w:color="auto" w:fill="auto"/>
            <w:vAlign w:val="center"/>
            <w:hideMark/>
          </w:tcPr>
          <w:p w14:paraId="2948F108"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93,6</w:t>
            </w:r>
          </w:p>
        </w:tc>
        <w:tc>
          <w:tcPr>
            <w:tcW w:w="1049" w:type="dxa"/>
            <w:tcBorders>
              <w:top w:val="nil"/>
              <w:left w:val="nil"/>
              <w:bottom w:val="single" w:sz="8" w:space="0" w:color="auto"/>
              <w:right w:val="single" w:sz="8" w:space="0" w:color="auto"/>
            </w:tcBorders>
            <w:shd w:val="clear" w:color="auto" w:fill="auto"/>
            <w:vAlign w:val="center"/>
            <w:hideMark/>
          </w:tcPr>
          <w:p w14:paraId="6E538ECE"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93,9</w:t>
            </w:r>
          </w:p>
        </w:tc>
      </w:tr>
      <w:tr w:rsidR="00377989" w:rsidRPr="00377989" w14:paraId="2E543187" w14:textId="77777777" w:rsidTr="00377989">
        <w:trPr>
          <w:trHeight w:val="673"/>
        </w:trPr>
        <w:tc>
          <w:tcPr>
            <w:tcW w:w="1980" w:type="dxa"/>
            <w:tcBorders>
              <w:top w:val="nil"/>
              <w:left w:val="single" w:sz="8" w:space="0" w:color="auto"/>
              <w:bottom w:val="single" w:sz="8" w:space="0" w:color="auto"/>
              <w:right w:val="single" w:sz="8" w:space="0" w:color="auto"/>
            </w:tcBorders>
            <w:shd w:val="clear" w:color="auto" w:fill="auto"/>
            <w:vAlign w:val="center"/>
            <w:hideMark/>
          </w:tcPr>
          <w:p w14:paraId="3A52E2CD" w14:textId="77777777" w:rsidR="00377989" w:rsidRPr="00377989" w:rsidRDefault="00377989" w:rsidP="00377989">
            <w:pPr>
              <w:spacing w:after="0" w:line="240" w:lineRule="auto"/>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Plačila na podlagi sklepov</w:t>
            </w:r>
          </w:p>
        </w:tc>
        <w:tc>
          <w:tcPr>
            <w:tcW w:w="1465" w:type="dxa"/>
            <w:tcBorders>
              <w:top w:val="nil"/>
              <w:left w:val="nil"/>
              <w:bottom w:val="single" w:sz="8" w:space="0" w:color="auto"/>
              <w:right w:val="single" w:sz="8" w:space="0" w:color="auto"/>
            </w:tcBorders>
            <w:shd w:val="clear" w:color="auto" w:fill="auto"/>
            <w:vAlign w:val="center"/>
            <w:hideMark/>
          </w:tcPr>
          <w:p w14:paraId="18D3B6BB" w14:textId="77777777" w:rsidR="00377989" w:rsidRPr="00377989" w:rsidRDefault="00377989" w:rsidP="00377989">
            <w:pPr>
              <w:spacing w:after="0" w:line="240" w:lineRule="auto"/>
              <w:jc w:val="right"/>
              <w:rPr>
                <w:rFonts w:ascii="Arial" w:eastAsia="Times New Roman" w:hAnsi="Arial" w:cs="Arial"/>
                <w:b/>
                <w:bCs/>
                <w:color w:val="000000"/>
                <w:sz w:val="18"/>
                <w:szCs w:val="18"/>
                <w:lang w:eastAsia="sl-SI"/>
              </w:rPr>
            </w:pPr>
            <w:r w:rsidRPr="00377989">
              <w:rPr>
                <w:rFonts w:ascii="Arial" w:eastAsia="Times New Roman" w:hAnsi="Arial" w:cs="Arial"/>
                <w:b/>
                <w:bCs/>
                <w:color w:val="000000"/>
                <w:sz w:val="18"/>
                <w:szCs w:val="18"/>
                <w:lang w:eastAsia="sl-SI"/>
              </w:rPr>
              <w:t>195.564</w:t>
            </w:r>
          </w:p>
        </w:tc>
        <w:tc>
          <w:tcPr>
            <w:tcW w:w="1228" w:type="dxa"/>
            <w:tcBorders>
              <w:top w:val="nil"/>
              <w:left w:val="nil"/>
              <w:bottom w:val="single" w:sz="8" w:space="0" w:color="auto"/>
              <w:right w:val="single" w:sz="8" w:space="0" w:color="auto"/>
            </w:tcBorders>
            <w:shd w:val="clear" w:color="000000" w:fill="DAEEF3"/>
            <w:vAlign w:val="center"/>
            <w:hideMark/>
          </w:tcPr>
          <w:p w14:paraId="0D15D8C3"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129.440.515</w:t>
            </w:r>
          </w:p>
        </w:tc>
        <w:tc>
          <w:tcPr>
            <w:tcW w:w="1089" w:type="dxa"/>
            <w:tcBorders>
              <w:top w:val="nil"/>
              <w:left w:val="nil"/>
              <w:bottom w:val="single" w:sz="8" w:space="0" w:color="auto"/>
              <w:right w:val="single" w:sz="8" w:space="0" w:color="auto"/>
            </w:tcBorders>
            <w:shd w:val="clear" w:color="auto" w:fill="auto"/>
            <w:vAlign w:val="center"/>
            <w:hideMark/>
          </w:tcPr>
          <w:p w14:paraId="1A29667E" w14:textId="77777777" w:rsidR="00377989" w:rsidRPr="00377989" w:rsidRDefault="00377989" w:rsidP="00377989">
            <w:pPr>
              <w:spacing w:after="0" w:line="240" w:lineRule="auto"/>
              <w:jc w:val="right"/>
              <w:rPr>
                <w:rFonts w:ascii="Arial" w:eastAsia="Times New Roman" w:hAnsi="Arial" w:cs="Arial"/>
                <w:b/>
                <w:bCs/>
                <w:color w:val="000000"/>
                <w:sz w:val="18"/>
                <w:szCs w:val="18"/>
                <w:lang w:eastAsia="sl-SI"/>
              </w:rPr>
            </w:pPr>
            <w:r w:rsidRPr="00377989">
              <w:rPr>
                <w:rFonts w:ascii="Arial" w:eastAsia="Times New Roman" w:hAnsi="Arial" w:cs="Arial"/>
                <w:b/>
                <w:bCs/>
                <w:color w:val="000000"/>
                <w:sz w:val="18"/>
                <w:szCs w:val="18"/>
                <w:lang w:eastAsia="sl-SI"/>
              </w:rPr>
              <w:t>173.679</w:t>
            </w:r>
          </w:p>
        </w:tc>
        <w:tc>
          <w:tcPr>
            <w:tcW w:w="1287" w:type="dxa"/>
            <w:tcBorders>
              <w:top w:val="nil"/>
              <w:left w:val="nil"/>
              <w:bottom w:val="single" w:sz="8" w:space="0" w:color="auto"/>
              <w:right w:val="single" w:sz="8" w:space="0" w:color="auto"/>
            </w:tcBorders>
            <w:shd w:val="clear" w:color="000000" w:fill="DAEEF3"/>
            <w:vAlign w:val="center"/>
            <w:hideMark/>
          </w:tcPr>
          <w:p w14:paraId="414DA559"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112.344.687</w:t>
            </w:r>
          </w:p>
        </w:tc>
        <w:tc>
          <w:tcPr>
            <w:tcW w:w="1069" w:type="dxa"/>
            <w:tcBorders>
              <w:top w:val="nil"/>
              <w:left w:val="nil"/>
              <w:bottom w:val="single" w:sz="8" w:space="0" w:color="auto"/>
              <w:right w:val="single" w:sz="8" w:space="0" w:color="auto"/>
            </w:tcBorders>
            <w:shd w:val="clear" w:color="auto" w:fill="auto"/>
            <w:vAlign w:val="center"/>
            <w:hideMark/>
          </w:tcPr>
          <w:p w14:paraId="5ACD1C4D"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88,8</w:t>
            </w:r>
          </w:p>
        </w:tc>
        <w:tc>
          <w:tcPr>
            <w:tcW w:w="1049" w:type="dxa"/>
            <w:tcBorders>
              <w:top w:val="nil"/>
              <w:left w:val="nil"/>
              <w:bottom w:val="single" w:sz="8" w:space="0" w:color="auto"/>
              <w:right w:val="single" w:sz="8" w:space="0" w:color="auto"/>
            </w:tcBorders>
            <w:shd w:val="clear" w:color="auto" w:fill="auto"/>
            <w:vAlign w:val="center"/>
            <w:hideMark/>
          </w:tcPr>
          <w:p w14:paraId="09C38F11" w14:textId="77777777" w:rsidR="00377989" w:rsidRPr="00377989" w:rsidRDefault="00377989" w:rsidP="00377989">
            <w:pPr>
              <w:spacing w:after="0" w:line="240" w:lineRule="auto"/>
              <w:jc w:val="right"/>
              <w:rPr>
                <w:rFonts w:ascii="Arial" w:eastAsia="Times New Roman" w:hAnsi="Arial" w:cs="Arial"/>
                <w:color w:val="000000"/>
                <w:sz w:val="18"/>
                <w:szCs w:val="18"/>
                <w:lang w:eastAsia="sl-SI"/>
              </w:rPr>
            </w:pPr>
            <w:r w:rsidRPr="00377989">
              <w:rPr>
                <w:rFonts w:ascii="Arial" w:eastAsia="Times New Roman" w:hAnsi="Arial" w:cs="Arial"/>
                <w:color w:val="000000"/>
                <w:sz w:val="18"/>
                <w:szCs w:val="18"/>
                <w:lang w:eastAsia="sl-SI"/>
              </w:rPr>
              <w:t>86,8</w:t>
            </w:r>
          </w:p>
        </w:tc>
      </w:tr>
      <w:tr w:rsidR="00377989" w:rsidRPr="00377989" w14:paraId="1AC66DAB" w14:textId="77777777" w:rsidTr="00377989">
        <w:trPr>
          <w:trHeight w:val="946"/>
        </w:trPr>
        <w:tc>
          <w:tcPr>
            <w:tcW w:w="1980" w:type="dxa"/>
            <w:tcBorders>
              <w:top w:val="nil"/>
              <w:left w:val="single" w:sz="8" w:space="0" w:color="auto"/>
              <w:bottom w:val="single" w:sz="8" w:space="0" w:color="auto"/>
              <w:right w:val="single" w:sz="8" w:space="0" w:color="auto"/>
            </w:tcBorders>
            <w:shd w:val="clear" w:color="000000" w:fill="31849B"/>
            <w:vAlign w:val="center"/>
            <w:hideMark/>
          </w:tcPr>
          <w:p w14:paraId="6EFCE447" w14:textId="77777777" w:rsidR="00377989" w:rsidRPr="00377989" w:rsidRDefault="00377989" w:rsidP="00377989">
            <w:pPr>
              <w:spacing w:after="0" w:line="240" w:lineRule="auto"/>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 xml:space="preserve">Terjani dolg po opominih in sklepih SKUPAJ  </w:t>
            </w:r>
          </w:p>
        </w:tc>
        <w:tc>
          <w:tcPr>
            <w:tcW w:w="1465" w:type="dxa"/>
            <w:tcBorders>
              <w:top w:val="nil"/>
              <w:left w:val="nil"/>
              <w:bottom w:val="single" w:sz="8" w:space="0" w:color="auto"/>
              <w:right w:val="single" w:sz="8" w:space="0" w:color="auto"/>
            </w:tcBorders>
            <w:shd w:val="clear" w:color="000000" w:fill="31849B"/>
            <w:vAlign w:val="center"/>
            <w:hideMark/>
          </w:tcPr>
          <w:p w14:paraId="76CE68A2" w14:textId="77777777" w:rsidR="00377989" w:rsidRPr="00377989" w:rsidRDefault="00377989" w:rsidP="00377989">
            <w:pPr>
              <w:spacing w:after="0" w:line="240" w:lineRule="auto"/>
              <w:jc w:val="right"/>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553.745</w:t>
            </w:r>
          </w:p>
        </w:tc>
        <w:tc>
          <w:tcPr>
            <w:tcW w:w="1228" w:type="dxa"/>
            <w:tcBorders>
              <w:top w:val="nil"/>
              <w:left w:val="nil"/>
              <w:bottom w:val="single" w:sz="8" w:space="0" w:color="auto"/>
              <w:right w:val="single" w:sz="8" w:space="0" w:color="auto"/>
            </w:tcBorders>
            <w:shd w:val="clear" w:color="000000" w:fill="31849B"/>
            <w:vAlign w:val="center"/>
            <w:hideMark/>
          </w:tcPr>
          <w:p w14:paraId="6790FDF8" w14:textId="77777777" w:rsidR="00377989" w:rsidRPr="00377989" w:rsidRDefault="00377989" w:rsidP="00377989">
            <w:pPr>
              <w:spacing w:after="0" w:line="240" w:lineRule="auto"/>
              <w:jc w:val="right"/>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824.365.040</w:t>
            </w:r>
          </w:p>
        </w:tc>
        <w:tc>
          <w:tcPr>
            <w:tcW w:w="1089" w:type="dxa"/>
            <w:tcBorders>
              <w:top w:val="nil"/>
              <w:left w:val="nil"/>
              <w:bottom w:val="single" w:sz="8" w:space="0" w:color="auto"/>
              <w:right w:val="single" w:sz="8" w:space="0" w:color="auto"/>
            </w:tcBorders>
            <w:shd w:val="clear" w:color="000000" w:fill="31849B"/>
            <w:vAlign w:val="center"/>
            <w:hideMark/>
          </w:tcPr>
          <w:p w14:paraId="406BFB52" w14:textId="77777777" w:rsidR="00377989" w:rsidRPr="00377989" w:rsidRDefault="00377989" w:rsidP="00377989">
            <w:pPr>
              <w:spacing w:after="0" w:line="240" w:lineRule="auto"/>
              <w:jc w:val="right"/>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815.691</w:t>
            </w:r>
          </w:p>
        </w:tc>
        <w:tc>
          <w:tcPr>
            <w:tcW w:w="1287" w:type="dxa"/>
            <w:tcBorders>
              <w:top w:val="nil"/>
              <w:left w:val="nil"/>
              <w:bottom w:val="single" w:sz="8" w:space="0" w:color="auto"/>
              <w:right w:val="single" w:sz="8" w:space="0" w:color="auto"/>
            </w:tcBorders>
            <w:shd w:val="clear" w:color="000000" w:fill="31849B"/>
            <w:vAlign w:val="center"/>
            <w:hideMark/>
          </w:tcPr>
          <w:p w14:paraId="099545AB" w14:textId="77777777" w:rsidR="00377989" w:rsidRPr="00377989" w:rsidRDefault="00377989" w:rsidP="00377989">
            <w:pPr>
              <w:spacing w:after="0" w:line="240" w:lineRule="auto"/>
              <w:jc w:val="right"/>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1.049.980.005</w:t>
            </w:r>
          </w:p>
        </w:tc>
        <w:tc>
          <w:tcPr>
            <w:tcW w:w="1069" w:type="dxa"/>
            <w:tcBorders>
              <w:top w:val="nil"/>
              <w:left w:val="nil"/>
              <w:bottom w:val="single" w:sz="8" w:space="0" w:color="auto"/>
              <w:right w:val="single" w:sz="8" w:space="0" w:color="auto"/>
            </w:tcBorders>
            <w:shd w:val="clear" w:color="000000" w:fill="31849B"/>
            <w:vAlign w:val="center"/>
            <w:hideMark/>
          </w:tcPr>
          <w:p w14:paraId="3E9E7289" w14:textId="77777777" w:rsidR="00377989" w:rsidRPr="00377989" w:rsidRDefault="00377989" w:rsidP="00377989">
            <w:pPr>
              <w:spacing w:after="0" w:line="240" w:lineRule="auto"/>
              <w:jc w:val="right"/>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147,3</w:t>
            </w:r>
          </w:p>
        </w:tc>
        <w:tc>
          <w:tcPr>
            <w:tcW w:w="1049" w:type="dxa"/>
            <w:tcBorders>
              <w:top w:val="nil"/>
              <w:left w:val="nil"/>
              <w:bottom w:val="single" w:sz="8" w:space="0" w:color="auto"/>
              <w:right w:val="single" w:sz="8" w:space="0" w:color="auto"/>
            </w:tcBorders>
            <w:shd w:val="clear" w:color="000000" w:fill="31849B"/>
            <w:vAlign w:val="center"/>
            <w:hideMark/>
          </w:tcPr>
          <w:p w14:paraId="5F9CBB33" w14:textId="77777777" w:rsidR="00377989" w:rsidRPr="00377989" w:rsidRDefault="00377989" w:rsidP="00377989">
            <w:pPr>
              <w:spacing w:after="0" w:line="240" w:lineRule="auto"/>
              <w:jc w:val="right"/>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127,4</w:t>
            </w:r>
          </w:p>
        </w:tc>
      </w:tr>
      <w:tr w:rsidR="00377989" w:rsidRPr="00377989" w14:paraId="6EC2A1FB" w14:textId="77777777" w:rsidTr="00377989">
        <w:trPr>
          <w:trHeight w:val="928"/>
        </w:trPr>
        <w:tc>
          <w:tcPr>
            <w:tcW w:w="1980" w:type="dxa"/>
            <w:tcBorders>
              <w:top w:val="nil"/>
              <w:left w:val="single" w:sz="8" w:space="0" w:color="auto"/>
              <w:bottom w:val="single" w:sz="8" w:space="0" w:color="auto"/>
              <w:right w:val="single" w:sz="8" w:space="0" w:color="auto"/>
            </w:tcBorders>
            <w:shd w:val="clear" w:color="000000" w:fill="31849B"/>
            <w:vAlign w:val="center"/>
            <w:hideMark/>
          </w:tcPr>
          <w:p w14:paraId="496A004D" w14:textId="77777777" w:rsidR="00377989" w:rsidRPr="00377989" w:rsidRDefault="00377989" w:rsidP="00377989">
            <w:pPr>
              <w:spacing w:after="0" w:line="240" w:lineRule="auto"/>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Realizacija po opominih in sklepih SKUPAJ</w:t>
            </w:r>
          </w:p>
        </w:tc>
        <w:tc>
          <w:tcPr>
            <w:tcW w:w="1465" w:type="dxa"/>
            <w:tcBorders>
              <w:top w:val="nil"/>
              <w:left w:val="nil"/>
              <w:bottom w:val="single" w:sz="8" w:space="0" w:color="auto"/>
              <w:right w:val="single" w:sz="8" w:space="0" w:color="auto"/>
            </w:tcBorders>
            <w:shd w:val="clear" w:color="000000" w:fill="31849B"/>
            <w:vAlign w:val="center"/>
            <w:hideMark/>
          </w:tcPr>
          <w:p w14:paraId="029A793F" w14:textId="77777777" w:rsidR="00377989" w:rsidRPr="00377989" w:rsidRDefault="00377989" w:rsidP="00377989">
            <w:pPr>
              <w:spacing w:after="0" w:line="240" w:lineRule="auto"/>
              <w:jc w:val="right"/>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553.633</w:t>
            </w:r>
          </w:p>
        </w:tc>
        <w:tc>
          <w:tcPr>
            <w:tcW w:w="1228" w:type="dxa"/>
            <w:tcBorders>
              <w:top w:val="nil"/>
              <w:left w:val="nil"/>
              <w:bottom w:val="single" w:sz="8" w:space="0" w:color="auto"/>
              <w:right w:val="single" w:sz="8" w:space="0" w:color="auto"/>
            </w:tcBorders>
            <w:shd w:val="clear" w:color="000000" w:fill="31849B"/>
            <w:vAlign w:val="center"/>
            <w:hideMark/>
          </w:tcPr>
          <w:p w14:paraId="7B2A0F3E" w14:textId="77777777" w:rsidR="00377989" w:rsidRPr="00377989" w:rsidRDefault="00377989" w:rsidP="00377989">
            <w:pPr>
              <w:spacing w:after="0" w:line="240" w:lineRule="auto"/>
              <w:jc w:val="right"/>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320.669.929</w:t>
            </w:r>
          </w:p>
        </w:tc>
        <w:tc>
          <w:tcPr>
            <w:tcW w:w="1089" w:type="dxa"/>
            <w:tcBorders>
              <w:top w:val="nil"/>
              <w:left w:val="nil"/>
              <w:bottom w:val="single" w:sz="8" w:space="0" w:color="auto"/>
              <w:right w:val="single" w:sz="8" w:space="0" w:color="auto"/>
            </w:tcBorders>
            <w:shd w:val="clear" w:color="000000" w:fill="31849B"/>
            <w:vAlign w:val="center"/>
            <w:hideMark/>
          </w:tcPr>
          <w:p w14:paraId="1797C7EC" w14:textId="77777777" w:rsidR="00377989" w:rsidRPr="00377989" w:rsidRDefault="00377989" w:rsidP="00377989">
            <w:pPr>
              <w:spacing w:after="0" w:line="240" w:lineRule="auto"/>
              <w:jc w:val="right"/>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718.467</w:t>
            </w:r>
          </w:p>
        </w:tc>
        <w:tc>
          <w:tcPr>
            <w:tcW w:w="1287" w:type="dxa"/>
            <w:tcBorders>
              <w:top w:val="nil"/>
              <w:left w:val="nil"/>
              <w:bottom w:val="single" w:sz="8" w:space="0" w:color="auto"/>
              <w:right w:val="single" w:sz="8" w:space="0" w:color="auto"/>
            </w:tcBorders>
            <w:shd w:val="clear" w:color="000000" w:fill="31849B"/>
            <w:vAlign w:val="center"/>
            <w:hideMark/>
          </w:tcPr>
          <w:p w14:paraId="34DD5FA8" w14:textId="77777777" w:rsidR="00377989" w:rsidRPr="00377989" w:rsidRDefault="00377989" w:rsidP="00377989">
            <w:pPr>
              <w:spacing w:after="0" w:line="240" w:lineRule="auto"/>
              <w:jc w:val="right"/>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414.346.594</w:t>
            </w:r>
          </w:p>
        </w:tc>
        <w:tc>
          <w:tcPr>
            <w:tcW w:w="1069" w:type="dxa"/>
            <w:tcBorders>
              <w:top w:val="nil"/>
              <w:left w:val="nil"/>
              <w:bottom w:val="single" w:sz="8" w:space="0" w:color="auto"/>
              <w:right w:val="single" w:sz="8" w:space="0" w:color="auto"/>
            </w:tcBorders>
            <w:shd w:val="clear" w:color="000000" w:fill="31849B"/>
            <w:vAlign w:val="center"/>
            <w:hideMark/>
          </w:tcPr>
          <w:p w14:paraId="2BAB8F57" w14:textId="77777777" w:rsidR="00377989" w:rsidRPr="00377989" w:rsidRDefault="00377989" w:rsidP="00377989">
            <w:pPr>
              <w:spacing w:after="0" w:line="240" w:lineRule="auto"/>
              <w:jc w:val="right"/>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129,8</w:t>
            </w:r>
          </w:p>
        </w:tc>
        <w:tc>
          <w:tcPr>
            <w:tcW w:w="1049" w:type="dxa"/>
            <w:tcBorders>
              <w:top w:val="nil"/>
              <w:left w:val="nil"/>
              <w:bottom w:val="single" w:sz="8" w:space="0" w:color="auto"/>
              <w:right w:val="single" w:sz="8" w:space="0" w:color="auto"/>
            </w:tcBorders>
            <w:shd w:val="clear" w:color="000000" w:fill="31849B"/>
            <w:vAlign w:val="center"/>
            <w:hideMark/>
          </w:tcPr>
          <w:p w14:paraId="6FA6D83D" w14:textId="77777777" w:rsidR="00377989" w:rsidRPr="00377989" w:rsidRDefault="00377989" w:rsidP="00377989">
            <w:pPr>
              <w:spacing w:after="0" w:line="240" w:lineRule="auto"/>
              <w:jc w:val="right"/>
              <w:rPr>
                <w:rFonts w:ascii="Arial" w:eastAsia="Times New Roman" w:hAnsi="Arial" w:cs="Arial"/>
                <w:b/>
                <w:bCs/>
                <w:color w:val="FFFFFF"/>
                <w:sz w:val="18"/>
                <w:szCs w:val="18"/>
                <w:lang w:eastAsia="sl-SI"/>
              </w:rPr>
            </w:pPr>
            <w:r w:rsidRPr="00377989">
              <w:rPr>
                <w:rFonts w:ascii="Arial" w:eastAsia="Times New Roman" w:hAnsi="Arial" w:cs="Arial"/>
                <w:b/>
                <w:bCs/>
                <w:color w:val="FFFFFF"/>
                <w:sz w:val="18"/>
                <w:szCs w:val="18"/>
                <w:lang w:eastAsia="sl-SI"/>
              </w:rPr>
              <w:t>129,2</w:t>
            </w:r>
          </w:p>
        </w:tc>
      </w:tr>
    </w:tbl>
    <w:p w14:paraId="036ACCBC" w14:textId="77777777" w:rsidR="004B7622" w:rsidRPr="007F7410" w:rsidRDefault="004B7622" w:rsidP="004B7622">
      <w:pPr>
        <w:ind w:hanging="110"/>
        <w:rPr>
          <w:rFonts w:ascii="Arial" w:hAnsi="Arial" w:cs="Arial"/>
          <w:i/>
          <w:sz w:val="20"/>
          <w:szCs w:val="20"/>
        </w:rPr>
      </w:pPr>
      <w:r w:rsidRPr="007F7410">
        <w:rPr>
          <w:rFonts w:ascii="Arial" w:hAnsi="Arial" w:cs="Arial"/>
          <w:i/>
          <w:sz w:val="20"/>
          <w:szCs w:val="20"/>
        </w:rPr>
        <w:t>Vir: FURS</w:t>
      </w:r>
    </w:p>
    <w:p w14:paraId="333D0CDB" w14:textId="77777777" w:rsidR="004B7622" w:rsidRPr="00AD2B7D" w:rsidRDefault="004B7622" w:rsidP="004B7622">
      <w:pPr>
        <w:pStyle w:val="FURSNavaden"/>
        <w:spacing w:line="260" w:lineRule="exact"/>
        <w:rPr>
          <w:rFonts w:eastAsia="Times New Roman" w:cs="Arial"/>
          <w:szCs w:val="20"/>
        </w:rPr>
      </w:pPr>
      <w:r w:rsidRPr="00AD2B7D">
        <w:rPr>
          <w:rFonts w:eastAsia="Times New Roman" w:cs="Arial"/>
          <w:szCs w:val="20"/>
        </w:rPr>
        <w:t xml:space="preserve">V letu 2021 je bilo izdanih 117.244 sklepov o davčni izvršbi, s katerimi je bil terjan dolg v znesku 473.987.062 </w:t>
      </w:r>
      <w:r>
        <w:rPr>
          <w:rFonts w:eastAsia="Times New Roman" w:cs="Arial"/>
          <w:szCs w:val="20"/>
        </w:rPr>
        <w:t>EUR</w:t>
      </w:r>
      <w:r w:rsidRPr="00AD2B7D">
        <w:rPr>
          <w:rFonts w:eastAsia="Times New Roman" w:cs="Arial"/>
          <w:szCs w:val="20"/>
        </w:rPr>
        <w:t xml:space="preserve">. Na podlagi izdanih sklepov je bilo izterjano 112.344.687 </w:t>
      </w:r>
      <w:r>
        <w:rPr>
          <w:rFonts w:eastAsia="Times New Roman" w:cs="Arial"/>
          <w:szCs w:val="20"/>
        </w:rPr>
        <w:t>EUR</w:t>
      </w:r>
      <w:r w:rsidRPr="00AD2B7D">
        <w:rPr>
          <w:rFonts w:eastAsia="Times New Roman" w:cs="Arial"/>
          <w:szCs w:val="20"/>
        </w:rPr>
        <w:t>.</w:t>
      </w:r>
    </w:p>
    <w:p w14:paraId="48230F1D" w14:textId="77777777" w:rsidR="004B7622" w:rsidRPr="00AD2B7D" w:rsidRDefault="004B7622" w:rsidP="004B7622">
      <w:pPr>
        <w:pStyle w:val="FURSNavaden"/>
        <w:spacing w:line="260" w:lineRule="exact"/>
        <w:rPr>
          <w:rFonts w:eastAsia="Times New Roman" w:cs="Arial"/>
          <w:szCs w:val="20"/>
        </w:rPr>
      </w:pPr>
    </w:p>
    <w:p w14:paraId="0407B869" w14:textId="77777777" w:rsidR="004B7622" w:rsidRPr="00AD2B7D" w:rsidRDefault="004B7622" w:rsidP="004B7622">
      <w:pPr>
        <w:pStyle w:val="FURSNavaden"/>
        <w:spacing w:line="260" w:lineRule="exact"/>
        <w:rPr>
          <w:rFonts w:eastAsia="Times New Roman" w:cs="Arial"/>
          <w:szCs w:val="20"/>
        </w:rPr>
      </w:pPr>
      <w:r w:rsidRPr="00AD2B7D">
        <w:rPr>
          <w:rFonts w:eastAsia="Times New Roman" w:cs="Arial"/>
          <w:szCs w:val="20"/>
        </w:rPr>
        <w:t xml:space="preserve">Največ sklepov o izvršbi je bilo izdano na denarna sredstva pri bankah in hranilnicah, in sicer 63.689 (54,3 </w:t>
      </w:r>
      <w:r>
        <w:rPr>
          <w:rFonts w:eastAsia="Times New Roman" w:cs="Arial"/>
          <w:szCs w:val="20"/>
        </w:rPr>
        <w:t xml:space="preserve">odstotka </w:t>
      </w:r>
      <w:r w:rsidRPr="00AD2B7D">
        <w:rPr>
          <w:rFonts w:eastAsia="Times New Roman" w:cs="Arial"/>
          <w:szCs w:val="20"/>
        </w:rPr>
        <w:t xml:space="preserve">vseh). Sledijo sklepi o izvršbi na denarne prejemke, ki jih je bilo izdanih 45.014  (38,4 </w:t>
      </w:r>
      <w:r>
        <w:rPr>
          <w:rFonts w:eastAsia="Times New Roman" w:cs="Arial"/>
          <w:szCs w:val="20"/>
        </w:rPr>
        <w:t>odstotka)</w:t>
      </w:r>
      <w:r w:rsidRPr="00AD2B7D">
        <w:rPr>
          <w:rFonts w:eastAsia="Times New Roman" w:cs="Arial"/>
          <w:szCs w:val="20"/>
        </w:rPr>
        <w:t xml:space="preserve">. Izvršba na dolžnikove premičnine je bila začeta v 7.677 primerih (6,5 </w:t>
      </w:r>
      <w:r>
        <w:rPr>
          <w:rFonts w:eastAsia="Times New Roman" w:cs="Arial"/>
          <w:szCs w:val="20"/>
        </w:rPr>
        <w:t>odstotka</w:t>
      </w:r>
      <w:r w:rsidRPr="00AD2B7D">
        <w:rPr>
          <w:rFonts w:eastAsia="Times New Roman" w:cs="Arial"/>
          <w:szCs w:val="20"/>
        </w:rPr>
        <w:t xml:space="preserve">). Manj sklepov pa je bilo izdanih na denarno terjatev dolžnika (853 oz. 0,8 </w:t>
      </w:r>
      <w:r>
        <w:rPr>
          <w:rFonts w:eastAsia="Times New Roman" w:cs="Arial"/>
          <w:szCs w:val="20"/>
        </w:rPr>
        <w:t>odstotka</w:t>
      </w:r>
      <w:r w:rsidRPr="00AD2B7D">
        <w:rPr>
          <w:rFonts w:eastAsia="Times New Roman" w:cs="Arial"/>
          <w:szCs w:val="20"/>
        </w:rPr>
        <w:t xml:space="preserve"> vseh) oziroma na vrednostne papirje (11).</w:t>
      </w:r>
    </w:p>
    <w:p w14:paraId="373A44B3" w14:textId="77777777" w:rsidR="004B7622" w:rsidRPr="00AD2B7D" w:rsidRDefault="004B7622" w:rsidP="004B7622">
      <w:pPr>
        <w:pStyle w:val="FURSNavaden"/>
        <w:spacing w:line="260" w:lineRule="exact"/>
        <w:rPr>
          <w:rFonts w:eastAsia="Times New Roman" w:cs="Arial"/>
          <w:szCs w:val="20"/>
        </w:rPr>
      </w:pPr>
    </w:p>
    <w:p w14:paraId="516A557A" w14:textId="77777777" w:rsidR="004B7622" w:rsidRDefault="004B7622" w:rsidP="004B7622">
      <w:pPr>
        <w:pStyle w:val="FURSNavaden"/>
        <w:spacing w:line="260" w:lineRule="exact"/>
        <w:rPr>
          <w:rFonts w:eastAsia="Times New Roman" w:cs="Arial"/>
          <w:szCs w:val="20"/>
        </w:rPr>
      </w:pPr>
      <w:r w:rsidRPr="00AD2B7D">
        <w:rPr>
          <w:rFonts w:eastAsia="Times New Roman" w:cs="Arial"/>
          <w:szCs w:val="20"/>
        </w:rPr>
        <w:t xml:space="preserve">Najučinkovitejše sredstvo izvršbe z vidika plačil je bila izvršba na denarna sredstva dolžnika pri bankah ali hranilnicah s 67,3 </w:t>
      </w:r>
      <w:r>
        <w:rPr>
          <w:rFonts w:eastAsia="Times New Roman" w:cs="Arial"/>
          <w:szCs w:val="20"/>
        </w:rPr>
        <w:t xml:space="preserve">odstotnim </w:t>
      </w:r>
      <w:r w:rsidRPr="00AD2B7D">
        <w:rPr>
          <w:rFonts w:eastAsia="Times New Roman" w:cs="Arial"/>
          <w:szCs w:val="20"/>
        </w:rPr>
        <w:t xml:space="preserve">deležem plačil, sledi izvršba na premično premoženje z 19,3 </w:t>
      </w:r>
      <w:r>
        <w:rPr>
          <w:rFonts w:eastAsia="Times New Roman" w:cs="Arial"/>
          <w:szCs w:val="20"/>
        </w:rPr>
        <w:t>odstotka</w:t>
      </w:r>
      <w:r w:rsidRPr="00AD2B7D">
        <w:rPr>
          <w:rFonts w:eastAsia="Times New Roman" w:cs="Arial"/>
          <w:szCs w:val="20"/>
        </w:rPr>
        <w:t xml:space="preserve">, 9,8 </w:t>
      </w:r>
      <w:r>
        <w:rPr>
          <w:rFonts w:eastAsia="Times New Roman" w:cs="Arial"/>
          <w:szCs w:val="20"/>
        </w:rPr>
        <w:t xml:space="preserve">odstotka </w:t>
      </w:r>
      <w:r w:rsidRPr="00AD2B7D">
        <w:rPr>
          <w:rFonts w:eastAsia="Times New Roman" w:cs="Arial"/>
          <w:szCs w:val="20"/>
        </w:rPr>
        <w:t>predstavlja izvršba na dolžnikove denarne prejemke, 3,5</w:t>
      </w:r>
      <w:r>
        <w:rPr>
          <w:rFonts w:eastAsia="Times New Roman" w:cs="Arial"/>
          <w:szCs w:val="20"/>
        </w:rPr>
        <w:t xml:space="preserve"> odstotka </w:t>
      </w:r>
      <w:r w:rsidRPr="00AD2B7D">
        <w:rPr>
          <w:rFonts w:eastAsia="Times New Roman" w:cs="Arial"/>
          <w:szCs w:val="20"/>
        </w:rPr>
        <w:t xml:space="preserve">izvršba na dolžnikove denarne terjatve in 0,1 </w:t>
      </w:r>
      <w:r>
        <w:rPr>
          <w:rFonts w:eastAsia="Times New Roman" w:cs="Arial"/>
          <w:szCs w:val="20"/>
        </w:rPr>
        <w:t xml:space="preserve">odstotka </w:t>
      </w:r>
      <w:r w:rsidRPr="00AD2B7D">
        <w:rPr>
          <w:rFonts w:eastAsia="Times New Roman" w:cs="Arial"/>
          <w:szCs w:val="20"/>
        </w:rPr>
        <w:t>izvršba na vrednostne papirje.</w:t>
      </w:r>
    </w:p>
    <w:p w14:paraId="775E09FA" w14:textId="77777777" w:rsidR="004B7622" w:rsidRDefault="004B7622" w:rsidP="004B7622">
      <w:pPr>
        <w:pStyle w:val="FURSNavaden"/>
        <w:spacing w:line="260" w:lineRule="exact"/>
        <w:rPr>
          <w:rFonts w:eastAsia="Times New Roman" w:cs="Arial"/>
          <w:szCs w:val="20"/>
        </w:rPr>
      </w:pPr>
    </w:p>
    <w:p w14:paraId="2305ED00" w14:textId="77777777" w:rsidR="00377989" w:rsidRDefault="00377989" w:rsidP="004B7622">
      <w:pPr>
        <w:jc w:val="both"/>
        <w:rPr>
          <w:rFonts w:ascii="Arial" w:eastAsia="Times New Roman" w:hAnsi="Arial" w:cs="Arial"/>
          <w:i/>
          <w:sz w:val="20"/>
          <w:szCs w:val="20"/>
          <w:lang w:eastAsia="sl-SI"/>
        </w:rPr>
      </w:pPr>
    </w:p>
    <w:p w14:paraId="04E56AE0" w14:textId="77777777" w:rsidR="00377989" w:rsidRDefault="00377989" w:rsidP="004B7622">
      <w:pPr>
        <w:jc w:val="both"/>
        <w:rPr>
          <w:rFonts w:ascii="Arial" w:eastAsia="Times New Roman" w:hAnsi="Arial" w:cs="Arial"/>
          <w:i/>
          <w:sz w:val="20"/>
          <w:szCs w:val="20"/>
          <w:lang w:eastAsia="sl-SI"/>
        </w:rPr>
      </w:pPr>
    </w:p>
    <w:p w14:paraId="512D1CE1" w14:textId="3561D2EC" w:rsidR="004B7622" w:rsidRDefault="004B7622" w:rsidP="004B7622">
      <w:pPr>
        <w:jc w:val="both"/>
        <w:rPr>
          <w:rFonts w:ascii="Arial" w:eastAsia="Times New Roman" w:hAnsi="Arial" w:cs="Arial"/>
          <w:i/>
          <w:sz w:val="20"/>
          <w:szCs w:val="20"/>
          <w:lang w:eastAsia="sl-SI"/>
        </w:rPr>
      </w:pPr>
      <w:r w:rsidRPr="0094063C">
        <w:rPr>
          <w:rFonts w:ascii="Arial" w:eastAsia="Times New Roman" w:hAnsi="Arial" w:cs="Arial"/>
          <w:i/>
          <w:sz w:val="20"/>
          <w:szCs w:val="20"/>
          <w:lang w:eastAsia="sl-SI"/>
        </w:rPr>
        <w:lastRenderedPageBreak/>
        <w:t xml:space="preserve">Preglednica 16: Sklepi o izvršbi po načinu </w:t>
      </w:r>
    </w:p>
    <w:tbl>
      <w:tblPr>
        <w:tblW w:w="9203" w:type="dxa"/>
        <w:tblCellMar>
          <w:left w:w="70" w:type="dxa"/>
          <w:right w:w="70" w:type="dxa"/>
        </w:tblCellMar>
        <w:tblLook w:val="04A0" w:firstRow="1" w:lastRow="0" w:firstColumn="1" w:lastColumn="0" w:noHBand="0" w:noVBand="1"/>
      </w:tblPr>
      <w:tblGrid>
        <w:gridCol w:w="1031"/>
        <w:gridCol w:w="791"/>
        <w:gridCol w:w="1194"/>
        <w:gridCol w:w="1141"/>
        <w:gridCol w:w="791"/>
        <w:gridCol w:w="1146"/>
        <w:gridCol w:w="1141"/>
        <w:gridCol w:w="731"/>
        <w:gridCol w:w="681"/>
        <w:gridCol w:w="711"/>
      </w:tblGrid>
      <w:tr w:rsidR="004B7622" w:rsidRPr="00AD2B7D" w14:paraId="147A63B5" w14:textId="77777777" w:rsidTr="00377989">
        <w:trPr>
          <w:trHeight w:val="218"/>
        </w:trPr>
        <w:tc>
          <w:tcPr>
            <w:tcW w:w="1007" w:type="dxa"/>
            <w:vMerge w:val="restart"/>
            <w:tcBorders>
              <w:top w:val="single" w:sz="4" w:space="0" w:color="auto"/>
              <w:left w:val="single" w:sz="4" w:space="0" w:color="auto"/>
              <w:bottom w:val="single" w:sz="4" w:space="0" w:color="000000"/>
              <w:right w:val="single" w:sz="4" w:space="0" w:color="auto"/>
            </w:tcBorders>
            <w:shd w:val="clear" w:color="auto" w:fill="31869B"/>
            <w:vAlign w:val="center"/>
            <w:hideMark/>
          </w:tcPr>
          <w:p w14:paraId="4AB9C00D" w14:textId="77777777" w:rsidR="004B7622" w:rsidRPr="00AD2B7D" w:rsidRDefault="004B7622" w:rsidP="00377989">
            <w:pPr>
              <w:jc w:val="center"/>
              <w:rPr>
                <w:rFonts w:ascii="Arial" w:eastAsia="Times New Roman" w:hAnsi="Arial" w:cs="Arial"/>
                <w:b/>
                <w:bCs/>
                <w:color w:val="FFFFFF"/>
                <w:sz w:val="18"/>
                <w:szCs w:val="18"/>
                <w:lang w:eastAsia="sl-SI"/>
              </w:rPr>
            </w:pPr>
            <w:bookmarkStart w:id="4" w:name="_Hlk98506698"/>
            <w:r w:rsidRPr="00AD2B7D">
              <w:rPr>
                <w:rFonts w:ascii="Arial" w:eastAsia="Times New Roman" w:hAnsi="Arial" w:cs="Arial"/>
                <w:b/>
                <w:bCs/>
                <w:color w:val="FFFFFF"/>
                <w:sz w:val="18"/>
                <w:szCs w:val="18"/>
                <w:lang w:eastAsia="sl-SI"/>
              </w:rPr>
              <w:t>Način izvršbe glede na predmet</w:t>
            </w:r>
          </w:p>
        </w:tc>
        <w:tc>
          <w:tcPr>
            <w:tcW w:w="3084" w:type="dxa"/>
            <w:gridSpan w:val="3"/>
            <w:tcBorders>
              <w:top w:val="single" w:sz="4" w:space="0" w:color="auto"/>
              <w:left w:val="nil"/>
              <w:bottom w:val="single" w:sz="4" w:space="0" w:color="auto"/>
              <w:right w:val="single" w:sz="4" w:space="0" w:color="auto"/>
            </w:tcBorders>
            <w:shd w:val="clear" w:color="auto" w:fill="31869B"/>
            <w:vAlign w:val="center"/>
            <w:hideMark/>
          </w:tcPr>
          <w:p w14:paraId="5309842B" w14:textId="77777777" w:rsidR="004B7622" w:rsidRPr="00AD2B7D" w:rsidRDefault="004B7622" w:rsidP="00377989">
            <w:pPr>
              <w:jc w:val="center"/>
              <w:rPr>
                <w:rFonts w:ascii="Arial" w:eastAsia="Times New Roman" w:hAnsi="Arial" w:cs="Arial"/>
                <w:b/>
                <w:bCs/>
                <w:color w:val="FFFFFF"/>
                <w:sz w:val="18"/>
                <w:szCs w:val="18"/>
                <w:lang w:eastAsia="sl-SI"/>
              </w:rPr>
            </w:pPr>
            <w:r w:rsidRPr="00AD2B7D">
              <w:rPr>
                <w:rFonts w:ascii="Arial" w:eastAsia="Times New Roman" w:hAnsi="Arial" w:cs="Arial"/>
                <w:b/>
                <w:bCs/>
                <w:color w:val="FFFFFF"/>
                <w:sz w:val="18"/>
                <w:szCs w:val="18"/>
                <w:lang w:eastAsia="sl-SI"/>
              </w:rPr>
              <w:t>2020</w:t>
            </w:r>
          </w:p>
        </w:tc>
        <w:tc>
          <w:tcPr>
            <w:tcW w:w="3036" w:type="dxa"/>
            <w:gridSpan w:val="3"/>
            <w:tcBorders>
              <w:top w:val="single" w:sz="4" w:space="0" w:color="auto"/>
              <w:left w:val="nil"/>
              <w:bottom w:val="single" w:sz="4" w:space="0" w:color="auto"/>
              <w:right w:val="single" w:sz="4" w:space="0" w:color="auto"/>
            </w:tcBorders>
            <w:shd w:val="clear" w:color="auto" w:fill="31869B"/>
            <w:vAlign w:val="center"/>
            <w:hideMark/>
          </w:tcPr>
          <w:p w14:paraId="2F205078" w14:textId="77777777" w:rsidR="004B7622" w:rsidRPr="00AD2B7D" w:rsidRDefault="004B7622" w:rsidP="00377989">
            <w:pPr>
              <w:jc w:val="center"/>
              <w:rPr>
                <w:rFonts w:ascii="Arial" w:eastAsia="Times New Roman" w:hAnsi="Arial" w:cs="Arial"/>
                <w:b/>
                <w:bCs/>
                <w:color w:val="FFFFFF"/>
                <w:sz w:val="18"/>
                <w:szCs w:val="18"/>
                <w:lang w:eastAsia="sl-SI"/>
              </w:rPr>
            </w:pPr>
            <w:r w:rsidRPr="00AD2B7D">
              <w:rPr>
                <w:rFonts w:ascii="Arial" w:eastAsia="Times New Roman" w:hAnsi="Arial" w:cs="Arial"/>
                <w:b/>
                <w:bCs/>
                <w:color w:val="FFFFFF"/>
                <w:sz w:val="18"/>
                <w:szCs w:val="18"/>
                <w:lang w:eastAsia="sl-SI"/>
              </w:rPr>
              <w:t>2021</w:t>
            </w:r>
          </w:p>
        </w:tc>
        <w:tc>
          <w:tcPr>
            <w:tcW w:w="2076" w:type="dxa"/>
            <w:gridSpan w:val="3"/>
            <w:tcBorders>
              <w:top w:val="single" w:sz="4" w:space="0" w:color="auto"/>
              <w:left w:val="nil"/>
              <w:bottom w:val="single" w:sz="4" w:space="0" w:color="auto"/>
              <w:right w:val="single" w:sz="4" w:space="0" w:color="000000"/>
            </w:tcBorders>
            <w:shd w:val="clear" w:color="auto" w:fill="31869B"/>
            <w:vAlign w:val="center"/>
            <w:hideMark/>
          </w:tcPr>
          <w:p w14:paraId="05BBE630" w14:textId="77777777" w:rsidR="004B7622" w:rsidRPr="00AD2B7D" w:rsidRDefault="004B7622" w:rsidP="00377989">
            <w:pPr>
              <w:jc w:val="center"/>
              <w:rPr>
                <w:rFonts w:ascii="Arial" w:eastAsia="Times New Roman" w:hAnsi="Arial" w:cs="Arial"/>
                <w:b/>
                <w:bCs/>
                <w:color w:val="FFFFFF"/>
                <w:sz w:val="18"/>
                <w:szCs w:val="18"/>
                <w:lang w:eastAsia="sl-SI"/>
              </w:rPr>
            </w:pPr>
            <w:r w:rsidRPr="00AD2B7D">
              <w:rPr>
                <w:rFonts w:ascii="Arial" w:eastAsia="Times New Roman" w:hAnsi="Arial" w:cs="Arial"/>
                <w:b/>
                <w:bCs/>
                <w:color w:val="FFFFFF"/>
                <w:sz w:val="18"/>
                <w:szCs w:val="18"/>
                <w:lang w:eastAsia="sl-SI"/>
              </w:rPr>
              <w:t>Indeks 2021/2020</w:t>
            </w:r>
          </w:p>
        </w:tc>
      </w:tr>
      <w:tr w:rsidR="004B7622" w:rsidRPr="00AD2B7D" w14:paraId="6387F1C4" w14:textId="77777777" w:rsidTr="00377989">
        <w:trPr>
          <w:trHeight w:val="73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64FC6EF" w14:textId="77777777" w:rsidR="004B7622" w:rsidRPr="00AD2B7D" w:rsidRDefault="004B7622" w:rsidP="00377989">
            <w:pPr>
              <w:rPr>
                <w:rFonts w:ascii="Arial" w:eastAsia="Times New Roman" w:hAnsi="Arial" w:cs="Arial"/>
                <w:b/>
                <w:bCs/>
                <w:color w:val="FFFFFF"/>
                <w:sz w:val="18"/>
                <w:szCs w:val="18"/>
                <w:lang w:eastAsia="sl-SI"/>
              </w:rPr>
            </w:pPr>
          </w:p>
        </w:tc>
        <w:tc>
          <w:tcPr>
            <w:tcW w:w="772" w:type="dxa"/>
            <w:tcBorders>
              <w:top w:val="nil"/>
              <w:left w:val="nil"/>
              <w:bottom w:val="single" w:sz="4" w:space="0" w:color="auto"/>
              <w:right w:val="single" w:sz="4" w:space="0" w:color="auto"/>
            </w:tcBorders>
            <w:shd w:val="clear" w:color="auto" w:fill="31869B"/>
            <w:vAlign w:val="center"/>
            <w:hideMark/>
          </w:tcPr>
          <w:p w14:paraId="2D8F90CC" w14:textId="77777777" w:rsidR="004B7622" w:rsidRPr="00AD2B7D" w:rsidRDefault="004B7622" w:rsidP="00377989">
            <w:pPr>
              <w:rPr>
                <w:rFonts w:ascii="Arial" w:eastAsia="Times New Roman" w:hAnsi="Arial" w:cs="Arial"/>
                <w:b/>
                <w:bCs/>
                <w:color w:val="FFFFFF"/>
                <w:sz w:val="18"/>
                <w:szCs w:val="18"/>
                <w:lang w:eastAsia="sl-SI"/>
              </w:rPr>
            </w:pPr>
            <w:r w:rsidRPr="00AD2B7D">
              <w:rPr>
                <w:rFonts w:ascii="Arial" w:eastAsia="Times New Roman" w:hAnsi="Arial" w:cs="Arial"/>
                <w:b/>
                <w:bCs/>
                <w:color w:val="FFFFFF"/>
                <w:sz w:val="18"/>
                <w:szCs w:val="18"/>
                <w:lang w:eastAsia="sl-SI"/>
              </w:rPr>
              <w:t>Število</w:t>
            </w:r>
          </w:p>
        </w:tc>
        <w:tc>
          <w:tcPr>
            <w:tcW w:w="1194" w:type="dxa"/>
            <w:tcBorders>
              <w:top w:val="nil"/>
              <w:left w:val="nil"/>
              <w:bottom w:val="single" w:sz="4" w:space="0" w:color="auto"/>
              <w:right w:val="single" w:sz="4" w:space="0" w:color="auto"/>
            </w:tcBorders>
            <w:shd w:val="clear" w:color="auto" w:fill="31869B"/>
            <w:vAlign w:val="center"/>
            <w:hideMark/>
          </w:tcPr>
          <w:p w14:paraId="77B2B101" w14:textId="77777777" w:rsidR="004B7622" w:rsidRPr="00AD2B7D" w:rsidRDefault="004B7622" w:rsidP="00377989">
            <w:pPr>
              <w:jc w:val="center"/>
              <w:rPr>
                <w:rFonts w:ascii="Arial" w:eastAsia="Times New Roman" w:hAnsi="Arial" w:cs="Arial"/>
                <w:b/>
                <w:bCs/>
                <w:color w:val="FFFFFF"/>
                <w:sz w:val="18"/>
                <w:szCs w:val="18"/>
                <w:lang w:eastAsia="sl-SI"/>
              </w:rPr>
            </w:pPr>
            <w:r w:rsidRPr="00AD2B7D">
              <w:rPr>
                <w:rFonts w:ascii="Arial" w:eastAsia="Times New Roman" w:hAnsi="Arial" w:cs="Arial"/>
                <w:b/>
                <w:bCs/>
                <w:color w:val="FFFFFF"/>
                <w:sz w:val="18"/>
                <w:szCs w:val="18"/>
                <w:lang w:eastAsia="sl-SI"/>
              </w:rPr>
              <w:t>Znesek terjanega dolga po izdanih sklepih v evrih</w:t>
            </w:r>
          </w:p>
        </w:tc>
        <w:tc>
          <w:tcPr>
            <w:tcW w:w="1117" w:type="dxa"/>
            <w:tcBorders>
              <w:top w:val="nil"/>
              <w:left w:val="nil"/>
              <w:bottom w:val="single" w:sz="4" w:space="0" w:color="auto"/>
              <w:right w:val="single" w:sz="4" w:space="0" w:color="auto"/>
            </w:tcBorders>
            <w:shd w:val="clear" w:color="auto" w:fill="31869B"/>
            <w:vAlign w:val="center"/>
            <w:hideMark/>
          </w:tcPr>
          <w:p w14:paraId="1D3D7DD5" w14:textId="77777777" w:rsidR="004B7622" w:rsidRPr="00AD2B7D" w:rsidRDefault="004B7622" w:rsidP="00377989">
            <w:pPr>
              <w:jc w:val="center"/>
              <w:rPr>
                <w:rFonts w:ascii="Arial" w:eastAsia="Times New Roman" w:hAnsi="Arial" w:cs="Arial"/>
                <w:b/>
                <w:bCs/>
                <w:color w:val="FFFFFF"/>
                <w:sz w:val="18"/>
                <w:szCs w:val="18"/>
                <w:lang w:eastAsia="sl-SI"/>
              </w:rPr>
            </w:pPr>
            <w:r w:rsidRPr="00AD2B7D">
              <w:rPr>
                <w:rFonts w:ascii="Arial" w:eastAsia="Times New Roman" w:hAnsi="Arial" w:cs="Arial"/>
                <w:b/>
                <w:bCs/>
                <w:color w:val="FFFFFF"/>
                <w:sz w:val="18"/>
                <w:szCs w:val="18"/>
                <w:lang w:eastAsia="sl-SI"/>
              </w:rPr>
              <w:t>Plačila po izdanih sklepih v evrih</w:t>
            </w:r>
          </w:p>
        </w:tc>
        <w:tc>
          <w:tcPr>
            <w:tcW w:w="772" w:type="dxa"/>
            <w:tcBorders>
              <w:top w:val="nil"/>
              <w:left w:val="nil"/>
              <w:bottom w:val="single" w:sz="4" w:space="0" w:color="auto"/>
              <w:right w:val="single" w:sz="4" w:space="0" w:color="auto"/>
            </w:tcBorders>
            <w:shd w:val="clear" w:color="auto" w:fill="31869B"/>
            <w:vAlign w:val="center"/>
            <w:hideMark/>
          </w:tcPr>
          <w:p w14:paraId="5B1121A1" w14:textId="77777777" w:rsidR="004B7622" w:rsidRPr="00AD2B7D" w:rsidRDefault="004B7622" w:rsidP="00377989">
            <w:pPr>
              <w:rPr>
                <w:rFonts w:ascii="Arial" w:eastAsia="Times New Roman" w:hAnsi="Arial" w:cs="Arial"/>
                <w:b/>
                <w:bCs/>
                <w:color w:val="FFFFFF"/>
                <w:sz w:val="18"/>
                <w:szCs w:val="18"/>
                <w:lang w:eastAsia="sl-SI"/>
              </w:rPr>
            </w:pPr>
            <w:r w:rsidRPr="00AD2B7D">
              <w:rPr>
                <w:rFonts w:ascii="Arial" w:eastAsia="Times New Roman" w:hAnsi="Arial" w:cs="Arial"/>
                <w:b/>
                <w:bCs/>
                <w:color w:val="FFFFFF"/>
                <w:sz w:val="18"/>
                <w:szCs w:val="18"/>
                <w:lang w:eastAsia="sl-SI"/>
              </w:rPr>
              <w:t>Število</w:t>
            </w:r>
          </w:p>
        </w:tc>
        <w:tc>
          <w:tcPr>
            <w:tcW w:w="1146" w:type="dxa"/>
            <w:tcBorders>
              <w:top w:val="nil"/>
              <w:left w:val="nil"/>
              <w:bottom w:val="single" w:sz="4" w:space="0" w:color="auto"/>
              <w:right w:val="single" w:sz="4" w:space="0" w:color="auto"/>
            </w:tcBorders>
            <w:shd w:val="clear" w:color="auto" w:fill="31869B"/>
            <w:vAlign w:val="center"/>
            <w:hideMark/>
          </w:tcPr>
          <w:p w14:paraId="3B4401BE" w14:textId="77777777" w:rsidR="004B7622" w:rsidRPr="00AD2B7D" w:rsidRDefault="004B7622" w:rsidP="00377989">
            <w:pPr>
              <w:jc w:val="center"/>
              <w:rPr>
                <w:rFonts w:ascii="Arial" w:eastAsia="Times New Roman" w:hAnsi="Arial" w:cs="Arial"/>
                <w:b/>
                <w:bCs/>
                <w:color w:val="FFFFFF"/>
                <w:sz w:val="18"/>
                <w:szCs w:val="18"/>
                <w:lang w:eastAsia="sl-SI"/>
              </w:rPr>
            </w:pPr>
            <w:r w:rsidRPr="00AD2B7D">
              <w:rPr>
                <w:rFonts w:ascii="Arial" w:eastAsia="Times New Roman" w:hAnsi="Arial" w:cs="Arial"/>
                <w:b/>
                <w:bCs/>
                <w:color w:val="FFFFFF"/>
                <w:sz w:val="18"/>
                <w:szCs w:val="18"/>
                <w:lang w:eastAsia="sl-SI"/>
              </w:rPr>
              <w:t>Znesek terjanega dolga po izdanih sklepih v evrih</w:t>
            </w:r>
          </w:p>
        </w:tc>
        <w:tc>
          <w:tcPr>
            <w:tcW w:w="1117" w:type="dxa"/>
            <w:tcBorders>
              <w:top w:val="nil"/>
              <w:left w:val="nil"/>
              <w:bottom w:val="single" w:sz="4" w:space="0" w:color="auto"/>
              <w:right w:val="single" w:sz="4" w:space="0" w:color="auto"/>
            </w:tcBorders>
            <w:shd w:val="clear" w:color="auto" w:fill="31869B"/>
            <w:vAlign w:val="center"/>
            <w:hideMark/>
          </w:tcPr>
          <w:p w14:paraId="3B03B136" w14:textId="77777777" w:rsidR="004B7622" w:rsidRPr="00AD2B7D" w:rsidRDefault="004B7622" w:rsidP="00377989">
            <w:pPr>
              <w:jc w:val="center"/>
              <w:rPr>
                <w:rFonts w:ascii="Arial" w:eastAsia="Times New Roman" w:hAnsi="Arial" w:cs="Arial"/>
                <w:b/>
                <w:bCs/>
                <w:color w:val="FFFFFF"/>
                <w:sz w:val="18"/>
                <w:szCs w:val="18"/>
                <w:lang w:eastAsia="sl-SI"/>
              </w:rPr>
            </w:pPr>
            <w:r w:rsidRPr="00AD2B7D">
              <w:rPr>
                <w:rFonts w:ascii="Arial" w:eastAsia="Times New Roman" w:hAnsi="Arial" w:cs="Arial"/>
                <w:b/>
                <w:bCs/>
                <w:color w:val="FFFFFF"/>
                <w:sz w:val="18"/>
                <w:szCs w:val="18"/>
                <w:lang w:eastAsia="sl-SI"/>
              </w:rPr>
              <w:t xml:space="preserve">Plačila po izdanih sklepih v evrih </w:t>
            </w:r>
          </w:p>
        </w:tc>
        <w:tc>
          <w:tcPr>
            <w:tcW w:w="714" w:type="dxa"/>
            <w:tcBorders>
              <w:top w:val="nil"/>
              <w:left w:val="nil"/>
              <w:bottom w:val="single" w:sz="4" w:space="0" w:color="auto"/>
              <w:right w:val="single" w:sz="4" w:space="0" w:color="auto"/>
            </w:tcBorders>
            <w:shd w:val="clear" w:color="auto" w:fill="31869B"/>
            <w:vAlign w:val="center"/>
            <w:hideMark/>
          </w:tcPr>
          <w:p w14:paraId="17B240A2" w14:textId="77777777" w:rsidR="004B7622" w:rsidRPr="00AD2B7D" w:rsidRDefault="004B7622" w:rsidP="00377989">
            <w:pPr>
              <w:rPr>
                <w:rFonts w:ascii="Arial" w:eastAsia="Times New Roman" w:hAnsi="Arial" w:cs="Arial"/>
                <w:b/>
                <w:bCs/>
                <w:color w:val="FFFFFF"/>
                <w:sz w:val="18"/>
                <w:szCs w:val="18"/>
                <w:lang w:eastAsia="sl-SI"/>
              </w:rPr>
            </w:pPr>
            <w:r w:rsidRPr="00AD2B7D">
              <w:rPr>
                <w:rFonts w:ascii="Arial" w:eastAsia="Times New Roman" w:hAnsi="Arial" w:cs="Arial"/>
                <w:b/>
                <w:bCs/>
                <w:color w:val="FFFFFF"/>
                <w:sz w:val="18"/>
                <w:szCs w:val="18"/>
                <w:lang w:eastAsia="sl-SI"/>
              </w:rPr>
              <w:t>Število</w:t>
            </w:r>
          </w:p>
        </w:tc>
        <w:tc>
          <w:tcPr>
            <w:tcW w:w="665" w:type="dxa"/>
            <w:tcBorders>
              <w:top w:val="nil"/>
              <w:left w:val="nil"/>
              <w:bottom w:val="single" w:sz="4" w:space="0" w:color="auto"/>
              <w:right w:val="single" w:sz="4" w:space="0" w:color="auto"/>
            </w:tcBorders>
            <w:shd w:val="clear" w:color="auto" w:fill="31869B"/>
            <w:vAlign w:val="center"/>
            <w:hideMark/>
          </w:tcPr>
          <w:p w14:paraId="2C663C6D" w14:textId="77777777" w:rsidR="004B7622" w:rsidRPr="00AD2B7D" w:rsidRDefault="004B7622" w:rsidP="00377989">
            <w:pPr>
              <w:rPr>
                <w:rFonts w:ascii="Arial" w:eastAsia="Times New Roman" w:hAnsi="Arial" w:cs="Arial"/>
                <w:b/>
                <w:bCs/>
                <w:color w:val="FFFFFF"/>
                <w:sz w:val="18"/>
                <w:szCs w:val="18"/>
                <w:lang w:eastAsia="sl-SI"/>
              </w:rPr>
            </w:pPr>
            <w:r w:rsidRPr="00AD2B7D">
              <w:rPr>
                <w:rFonts w:ascii="Arial" w:eastAsia="Times New Roman" w:hAnsi="Arial" w:cs="Arial"/>
                <w:b/>
                <w:bCs/>
                <w:color w:val="FFFFFF"/>
                <w:sz w:val="18"/>
                <w:szCs w:val="18"/>
                <w:lang w:eastAsia="sl-SI"/>
              </w:rPr>
              <w:t>Terjan dolg</w:t>
            </w:r>
          </w:p>
        </w:tc>
        <w:tc>
          <w:tcPr>
            <w:tcW w:w="696" w:type="dxa"/>
            <w:tcBorders>
              <w:top w:val="nil"/>
              <w:left w:val="nil"/>
              <w:bottom w:val="single" w:sz="4" w:space="0" w:color="auto"/>
              <w:right w:val="single" w:sz="4" w:space="0" w:color="auto"/>
            </w:tcBorders>
            <w:shd w:val="clear" w:color="auto" w:fill="31869B"/>
            <w:vAlign w:val="center"/>
            <w:hideMark/>
          </w:tcPr>
          <w:p w14:paraId="6928F690" w14:textId="77777777" w:rsidR="004B7622" w:rsidRPr="00AD2B7D" w:rsidRDefault="004B7622" w:rsidP="00377989">
            <w:pPr>
              <w:rPr>
                <w:rFonts w:ascii="Arial" w:eastAsia="Times New Roman" w:hAnsi="Arial" w:cs="Arial"/>
                <w:b/>
                <w:bCs/>
                <w:color w:val="FFFFFF"/>
                <w:sz w:val="18"/>
                <w:szCs w:val="18"/>
                <w:lang w:eastAsia="sl-SI"/>
              </w:rPr>
            </w:pPr>
            <w:r w:rsidRPr="00AD2B7D">
              <w:rPr>
                <w:rFonts w:ascii="Arial" w:eastAsia="Times New Roman" w:hAnsi="Arial" w:cs="Arial"/>
                <w:b/>
                <w:bCs/>
                <w:color w:val="FFFFFF"/>
                <w:sz w:val="18"/>
                <w:szCs w:val="18"/>
                <w:lang w:eastAsia="sl-SI"/>
              </w:rPr>
              <w:t>Plačila</w:t>
            </w:r>
          </w:p>
        </w:tc>
      </w:tr>
      <w:tr w:rsidR="004B7622" w:rsidRPr="00AD2B7D" w14:paraId="1F9F255D" w14:textId="77777777" w:rsidTr="00377989">
        <w:trPr>
          <w:trHeight w:val="547"/>
        </w:trPr>
        <w:tc>
          <w:tcPr>
            <w:tcW w:w="1007" w:type="dxa"/>
            <w:tcBorders>
              <w:top w:val="nil"/>
              <w:left w:val="single" w:sz="4" w:space="0" w:color="auto"/>
              <w:bottom w:val="single" w:sz="4" w:space="0" w:color="auto"/>
              <w:right w:val="single" w:sz="4" w:space="0" w:color="auto"/>
            </w:tcBorders>
            <w:vAlign w:val="bottom"/>
            <w:hideMark/>
          </w:tcPr>
          <w:p w14:paraId="7152C4EA" w14:textId="77777777" w:rsidR="004B7622" w:rsidRPr="00AD2B7D" w:rsidRDefault="004B7622" w:rsidP="00377989">
            <w:pPr>
              <w:rPr>
                <w:rFonts w:ascii="Arial" w:eastAsia="Times New Roman" w:hAnsi="Arial" w:cs="Arial"/>
                <w:sz w:val="18"/>
                <w:szCs w:val="18"/>
                <w:lang w:eastAsia="sl-SI"/>
              </w:rPr>
            </w:pPr>
            <w:r w:rsidRPr="00AD2B7D">
              <w:rPr>
                <w:rFonts w:ascii="Arial" w:eastAsia="Times New Roman" w:hAnsi="Arial" w:cs="Arial"/>
                <w:sz w:val="18"/>
                <w:szCs w:val="18"/>
                <w:lang w:eastAsia="sl-SI"/>
              </w:rPr>
              <w:t>Izvršba na denarna sredstva pri bankah oz. hranilnicah</w:t>
            </w:r>
          </w:p>
        </w:tc>
        <w:tc>
          <w:tcPr>
            <w:tcW w:w="772" w:type="dxa"/>
            <w:tcBorders>
              <w:top w:val="nil"/>
              <w:left w:val="nil"/>
              <w:bottom w:val="single" w:sz="4" w:space="0" w:color="auto"/>
              <w:right w:val="single" w:sz="4" w:space="0" w:color="auto"/>
            </w:tcBorders>
            <w:vAlign w:val="bottom"/>
            <w:hideMark/>
          </w:tcPr>
          <w:p w14:paraId="0F59479C" w14:textId="77777777" w:rsidR="004B7622" w:rsidRPr="00AD2B7D" w:rsidRDefault="004B7622" w:rsidP="00377989">
            <w:pPr>
              <w:jc w:val="right"/>
              <w:rPr>
                <w:rFonts w:ascii="Arial" w:eastAsia="Times New Roman" w:hAnsi="Arial" w:cs="Arial"/>
                <w:b/>
                <w:bCs/>
                <w:sz w:val="18"/>
                <w:szCs w:val="18"/>
                <w:lang w:eastAsia="sl-SI"/>
              </w:rPr>
            </w:pPr>
            <w:r w:rsidRPr="00AD2B7D">
              <w:rPr>
                <w:rFonts w:ascii="Arial" w:eastAsia="Times New Roman" w:hAnsi="Arial" w:cs="Arial"/>
                <w:b/>
                <w:bCs/>
                <w:sz w:val="18"/>
                <w:szCs w:val="18"/>
                <w:lang w:eastAsia="sl-SI"/>
              </w:rPr>
              <w:t>69.028</w:t>
            </w:r>
          </w:p>
        </w:tc>
        <w:tc>
          <w:tcPr>
            <w:tcW w:w="1194" w:type="dxa"/>
            <w:tcBorders>
              <w:top w:val="nil"/>
              <w:left w:val="nil"/>
              <w:bottom w:val="single" w:sz="4" w:space="0" w:color="auto"/>
              <w:right w:val="single" w:sz="4" w:space="0" w:color="auto"/>
            </w:tcBorders>
            <w:shd w:val="clear" w:color="auto" w:fill="DAEEF3"/>
            <w:vAlign w:val="bottom"/>
            <w:hideMark/>
          </w:tcPr>
          <w:p w14:paraId="6F1CF639" w14:textId="77777777" w:rsidR="004B7622" w:rsidRPr="00AD2B7D" w:rsidRDefault="004B7622" w:rsidP="00377989">
            <w:pPr>
              <w:jc w:val="right"/>
              <w:rPr>
                <w:rFonts w:ascii="Arial" w:eastAsia="Times New Roman" w:hAnsi="Arial" w:cs="Arial"/>
                <w:sz w:val="18"/>
                <w:szCs w:val="18"/>
                <w:lang w:eastAsia="sl-SI"/>
              </w:rPr>
            </w:pPr>
            <w:r w:rsidRPr="00AD2B7D">
              <w:rPr>
                <w:rFonts w:ascii="Arial" w:eastAsia="Times New Roman" w:hAnsi="Arial" w:cs="Arial"/>
                <w:sz w:val="18"/>
                <w:szCs w:val="18"/>
                <w:lang w:eastAsia="sl-SI"/>
              </w:rPr>
              <w:t>188.408.864</w:t>
            </w:r>
          </w:p>
        </w:tc>
        <w:tc>
          <w:tcPr>
            <w:tcW w:w="1117" w:type="dxa"/>
            <w:tcBorders>
              <w:top w:val="nil"/>
              <w:left w:val="nil"/>
              <w:bottom w:val="single" w:sz="4" w:space="0" w:color="auto"/>
              <w:right w:val="single" w:sz="4" w:space="0" w:color="auto"/>
            </w:tcBorders>
            <w:shd w:val="clear" w:color="auto" w:fill="DAEEF3"/>
            <w:vAlign w:val="bottom"/>
            <w:hideMark/>
          </w:tcPr>
          <w:p w14:paraId="451EDEA5" w14:textId="77777777" w:rsidR="004B7622" w:rsidRPr="00AD2B7D" w:rsidRDefault="004B7622" w:rsidP="00377989">
            <w:pPr>
              <w:jc w:val="right"/>
              <w:rPr>
                <w:rFonts w:ascii="Arial" w:eastAsia="Times New Roman" w:hAnsi="Arial" w:cs="Arial"/>
                <w:sz w:val="18"/>
                <w:szCs w:val="18"/>
                <w:lang w:eastAsia="sl-SI"/>
              </w:rPr>
            </w:pPr>
            <w:r w:rsidRPr="00AD2B7D">
              <w:rPr>
                <w:rFonts w:ascii="Arial" w:eastAsia="Times New Roman" w:hAnsi="Arial" w:cs="Arial"/>
                <w:sz w:val="18"/>
                <w:szCs w:val="18"/>
                <w:lang w:eastAsia="sl-SI"/>
              </w:rPr>
              <w:t>85.949.195</w:t>
            </w:r>
          </w:p>
        </w:tc>
        <w:tc>
          <w:tcPr>
            <w:tcW w:w="772" w:type="dxa"/>
            <w:tcBorders>
              <w:top w:val="nil"/>
              <w:left w:val="nil"/>
              <w:bottom w:val="single" w:sz="4" w:space="0" w:color="auto"/>
              <w:right w:val="single" w:sz="4" w:space="0" w:color="auto"/>
            </w:tcBorders>
            <w:vAlign w:val="bottom"/>
            <w:hideMark/>
          </w:tcPr>
          <w:p w14:paraId="4C50362F" w14:textId="77777777" w:rsidR="004B7622" w:rsidRPr="00AD2B7D" w:rsidRDefault="004B7622" w:rsidP="00377989">
            <w:pPr>
              <w:jc w:val="right"/>
              <w:rPr>
                <w:rFonts w:ascii="Arial" w:eastAsia="Times New Roman" w:hAnsi="Arial" w:cs="Arial"/>
                <w:b/>
                <w:bCs/>
                <w:sz w:val="18"/>
                <w:szCs w:val="18"/>
                <w:lang w:eastAsia="sl-SI"/>
              </w:rPr>
            </w:pPr>
            <w:r w:rsidRPr="00AD2B7D">
              <w:rPr>
                <w:rFonts w:ascii="Arial" w:eastAsia="Times New Roman" w:hAnsi="Arial" w:cs="Arial"/>
                <w:b/>
                <w:bCs/>
                <w:sz w:val="18"/>
                <w:szCs w:val="18"/>
                <w:lang w:eastAsia="sl-SI"/>
              </w:rPr>
              <w:t>63.689</w:t>
            </w:r>
          </w:p>
        </w:tc>
        <w:tc>
          <w:tcPr>
            <w:tcW w:w="1146" w:type="dxa"/>
            <w:tcBorders>
              <w:top w:val="nil"/>
              <w:left w:val="nil"/>
              <w:bottom w:val="single" w:sz="4" w:space="0" w:color="auto"/>
              <w:right w:val="single" w:sz="4" w:space="0" w:color="auto"/>
            </w:tcBorders>
            <w:shd w:val="clear" w:color="auto" w:fill="DAEEF3"/>
            <w:noWrap/>
            <w:vAlign w:val="bottom"/>
            <w:hideMark/>
          </w:tcPr>
          <w:p w14:paraId="3C3B8589" w14:textId="77777777" w:rsidR="004B7622" w:rsidRPr="00AD2B7D" w:rsidRDefault="004B7622" w:rsidP="00377989">
            <w:pPr>
              <w:jc w:val="right"/>
              <w:rPr>
                <w:rFonts w:ascii="Arial" w:eastAsia="Times New Roman" w:hAnsi="Arial" w:cs="Arial"/>
                <w:sz w:val="18"/>
                <w:szCs w:val="18"/>
                <w:lang w:eastAsia="sl-SI"/>
              </w:rPr>
            </w:pPr>
            <w:r w:rsidRPr="00AD2B7D">
              <w:rPr>
                <w:rFonts w:ascii="Arial" w:eastAsia="Times New Roman" w:hAnsi="Arial" w:cs="Arial"/>
                <w:sz w:val="18"/>
                <w:szCs w:val="18"/>
                <w:lang w:eastAsia="sl-SI"/>
              </w:rPr>
              <w:t>181.305.189</w:t>
            </w:r>
          </w:p>
        </w:tc>
        <w:tc>
          <w:tcPr>
            <w:tcW w:w="1117" w:type="dxa"/>
            <w:tcBorders>
              <w:top w:val="nil"/>
              <w:left w:val="nil"/>
              <w:bottom w:val="single" w:sz="4" w:space="0" w:color="auto"/>
              <w:right w:val="single" w:sz="4" w:space="0" w:color="auto"/>
            </w:tcBorders>
            <w:shd w:val="clear" w:color="auto" w:fill="DAEEF3"/>
            <w:noWrap/>
            <w:vAlign w:val="bottom"/>
            <w:hideMark/>
          </w:tcPr>
          <w:p w14:paraId="527EB827" w14:textId="77777777" w:rsidR="004B7622" w:rsidRPr="00AD2B7D" w:rsidRDefault="004B7622" w:rsidP="00377989">
            <w:pPr>
              <w:jc w:val="right"/>
              <w:rPr>
                <w:rFonts w:ascii="Arial" w:eastAsia="Times New Roman" w:hAnsi="Arial" w:cs="Arial"/>
                <w:sz w:val="18"/>
                <w:szCs w:val="18"/>
                <w:lang w:eastAsia="sl-SI"/>
              </w:rPr>
            </w:pPr>
            <w:r w:rsidRPr="00AD2B7D">
              <w:rPr>
                <w:rFonts w:ascii="Arial" w:eastAsia="Times New Roman" w:hAnsi="Arial" w:cs="Arial"/>
                <w:sz w:val="18"/>
                <w:szCs w:val="18"/>
                <w:lang w:eastAsia="sl-SI"/>
              </w:rPr>
              <w:t>75.644.932</w:t>
            </w:r>
          </w:p>
        </w:tc>
        <w:tc>
          <w:tcPr>
            <w:tcW w:w="714" w:type="dxa"/>
            <w:tcBorders>
              <w:top w:val="nil"/>
              <w:left w:val="nil"/>
              <w:bottom w:val="single" w:sz="4" w:space="0" w:color="auto"/>
              <w:right w:val="single" w:sz="4" w:space="0" w:color="auto"/>
            </w:tcBorders>
            <w:noWrap/>
            <w:vAlign w:val="bottom"/>
            <w:hideMark/>
          </w:tcPr>
          <w:p w14:paraId="626B92C6" w14:textId="77777777" w:rsidR="004B7622" w:rsidRPr="00AD2B7D" w:rsidRDefault="004B7622" w:rsidP="00377989">
            <w:pPr>
              <w:jc w:val="right"/>
              <w:rPr>
                <w:rFonts w:ascii="Arial" w:eastAsia="Times New Roman" w:hAnsi="Arial" w:cs="Arial"/>
                <w:sz w:val="18"/>
                <w:szCs w:val="18"/>
                <w:lang w:eastAsia="sl-SI"/>
              </w:rPr>
            </w:pPr>
            <w:r w:rsidRPr="00AD2B7D">
              <w:rPr>
                <w:rFonts w:ascii="Arial" w:eastAsia="Times New Roman" w:hAnsi="Arial" w:cs="Arial"/>
                <w:sz w:val="18"/>
                <w:szCs w:val="18"/>
                <w:lang w:eastAsia="sl-SI"/>
              </w:rPr>
              <w:t>92,3</w:t>
            </w:r>
          </w:p>
        </w:tc>
        <w:tc>
          <w:tcPr>
            <w:tcW w:w="665" w:type="dxa"/>
            <w:tcBorders>
              <w:top w:val="nil"/>
              <w:left w:val="nil"/>
              <w:bottom w:val="single" w:sz="4" w:space="0" w:color="auto"/>
              <w:right w:val="single" w:sz="4" w:space="0" w:color="auto"/>
            </w:tcBorders>
            <w:noWrap/>
            <w:vAlign w:val="bottom"/>
            <w:hideMark/>
          </w:tcPr>
          <w:p w14:paraId="53EA9144" w14:textId="77777777" w:rsidR="004B7622" w:rsidRPr="00AD2B7D" w:rsidRDefault="004B7622" w:rsidP="00377989">
            <w:pPr>
              <w:jc w:val="right"/>
              <w:rPr>
                <w:rFonts w:ascii="Arial" w:eastAsia="Times New Roman" w:hAnsi="Arial" w:cs="Arial"/>
                <w:sz w:val="18"/>
                <w:szCs w:val="18"/>
                <w:lang w:eastAsia="sl-SI"/>
              </w:rPr>
            </w:pPr>
            <w:r w:rsidRPr="00AD2B7D">
              <w:rPr>
                <w:rFonts w:ascii="Arial" w:eastAsia="Times New Roman" w:hAnsi="Arial" w:cs="Arial"/>
                <w:sz w:val="18"/>
                <w:szCs w:val="18"/>
                <w:lang w:eastAsia="sl-SI"/>
              </w:rPr>
              <w:t>96,2</w:t>
            </w:r>
          </w:p>
        </w:tc>
        <w:tc>
          <w:tcPr>
            <w:tcW w:w="696" w:type="dxa"/>
            <w:tcBorders>
              <w:top w:val="nil"/>
              <w:left w:val="nil"/>
              <w:bottom w:val="single" w:sz="4" w:space="0" w:color="auto"/>
              <w:right w:val="single" w:sz="4" w:space="0" w:color="auto"/>
            </w:tcBorders>
            <w:noWrap/>
            <w:vAlign w:val="bottom"/>
            <w:hideMark/>
          </w:tcPr>
          <w:p w14:paraId="68D3C7A6" w14:textId="77777777" w:rsidR="004B7622" w:rsidRPr="00AD2B7D" w:rsidRDefault="004B7622" w:rsidP="00377989">
            <w:pPr>
              <w:jc w:val="right"/>
              <w:rPr>
                <w:rFonts w:ascii="Arial" w:eastAsia="Times New Roman" w:hAnsi="Arial" w:cs="Arial"/>
                <w:sz w:val="18"/>
                <w:szCs w:val="18"/>
                <w:lang w:eastAsia="sl-SI"/>
              </w:rPr>
            </w:pPr>
            <w:r w:rsidRPr="00AD2B7D">
              <w:rPr>
                <w:rFonts w:ascii="Arial" w:eastAsia="Times New Roman" w:hAnsi="Arial" w:cs="Arial"/>
                <w:sz w:val="18"/>
                <w:szCs w:val="18"/>
                <w:lang w:eastAsia="sl-SI"/>
              </w:rPr>
              <w:t>88,0</w:t>
            </w:r>
          </w:p>
        </w:tc>
      </w:tr>
      <w:tr w:rsidR="004B7622" w:rsidRPr="00AD2B7D" w14:paraId="430AEE7E" w14:textId="77777777" w:rsidTr="00377989">
        <w:trPr>
          <w:trHeight w:val="424"/>
        </w:trPr>
        <w:tc>
          <w:tcPr>
            <w:tcW w:w="1007" w:type="dxa"/>
            <w:tcBorders>
              <w:top w:val="nil"/>
              <w:left w:val="single" w:sz="4" w:space="0" w:color="auto"/>
              <w:bottom w:val="single" w:sz="4" w:space="0" w:color="auto"/>
              <w:right w:val="single" w:sz="4" w:space="0" w:color="auto"/>
            </w:tcBorders>
            <w:vAlign w:val="bottom"/>
            <w:hideMark/>
          </w:tcPr>
          <w:p w14:paraId="37693681" w14:textId="77777777" w:rsidR="004B7622" w:rsidRPr="00AD2B7D" w:rsidRDefault="004B7622" w:rsidP="00377989">
            <w:pPr>
              <w:rPr>
                <w:rFonts w:ascii="Arial" w:eastAsia="Times New Roman" w:hAnsi="Arial" w:cs="Arial"/>
                <w:sz w:val="18"/>
                <w:szCs w:val="18"/>
                <w:lang w:eastAsia="sl-SI"/>
              </w:rPr>
            </w:pPr>
            <w:r w:rsidRPr="00AD2B7D">
              <w:rPr>
                <w:rFonts w:ascii="Arial" w:eastAsia="Times New Roman" w:hAnsi="Arial" w:cs="Arial"/>
                <w:sz w:val="18"/>
                <w:szCs w:val="18"/>
                <w:lang w:eastAsia="sl-SI"/>
              </w:rPr>
              <w:t>Izvršba na denarne prejemke</w:t>
            </w:r>
          </w:p>
        </w:tc>
        <w:tc>
          <w:tcPr>
            <w:tcW w:w="772" w:type="dxa"/>
            <w:tcBorders>
              <w:top w:val="nil"/>
              <w:left w:val="nil"/>
              <w:bottom w:val="single" w:sz="4" w:space="0" w:color="auto"/>
              <w:right w:val="single" w:sz="4" w:space="0" w:color="auto"/>
            </w:tcBorders>
            <w:vAlign w:val="bottom"/>
            <w:hideMark/>
          </w:tcPr>
          <w:p w14:paraId="5A5CC4E9" w14:textId="77777777" w:rsidR="004B7622" w:rsidRPr="00AD2B7D" w:rsidRDefault="004B7622" w:rsidP="00377989">
            <w:pPr>
              <w:jc w:val="right"/>
              <w:rPr>
                <w:rFonts w:ascii="Arial" w:eastAsia="Times New Roman" w:hAnsi="Arial" w:cs="Arial"/>
                <w:b/>
                <w:bCs/>
                <w:sz w:val="18"/>
                <w:szCs w:val="18"/>
                <w:lang w:eastAsia="sl-SI"/>
              </w:rPr>
            </w:pPr>
            <w:r w:rsidRPr="00AD2B7D">
              <w:rPr>
                <w:rFonts w:ascii="Arial" w:eastAsia="Times New Roman" w:hAnsi="Arial" w:cs="Arial"/>
                <w:b/>
                <w:bCs/>
                <w:sz w:val="18"/>
                <w:szCs w:val="18"/>
                <w:lang w:eastAsia="sl-SI"/>
              </w:rPr>
              <w:t>46.166</w:t>
            </w:r>
          </w:p>
        </w:tc>
        <w:tc>
          <w:tcPr>
            <w:tcW w:w="1194" w:type="dxa"/>
            <w:tcBorders>
              <w:top w:val="nil"/>
              <w:left w:val="nil"/>
              <w:bottom w:val="single" w:sz="4" w:space="0" w:color="auto"/>
              <w:right w:val="single" w:sz="4" w:space="0" w:color="auto"/>
            </w:tcBorders>
            <w:shd w:val="clear" w:color="auto" w:fill="DAEEF3"/>
            <w:vAlign w:val="bottom"/>
            <w:hideMark/>
          </w:tcPr>
          <w:p w14:paraId="33FAF483" w14:textId="77777777" w:rsidR="004B7622" w:rsidRPr="00AD2B7D" w:rsidRDefault="004B7622" w:rsidP="00377989">
            <w:pPr>
              <w:jc w:val="right"/>
              <w:rPr>
                <w:rFonts w:ascii="Arial" w:eastAsia="Times New Roman" w:hAnsi="Arial" w:cs="Arial"/>
                <w:sz w:val="18"/>
                <w:szCs w:val="18"/>
                <w:lang w:eastAsia="sl-SI"/>
              </w:rPr>
            </w:pPr>
            <w:r w:rsidRPr="00AD2B7D">
              <w:rPr>
                <w:rFonts w:ascii="Arial" w:eastAsia="Times New Roman" w:hAnsi="Arial" w:cs="Arial"/>
                <w:sz w:val="18"/>
                <w:szCs w:val="18"/>
                <w:lang w:eastAsia="sl-SI"/>
              </w:rPr>
              <w:t>77.913.214</w:t>
            </w:r>
          </w:p>
        </w:tc>
        <w:tc>
          <w:tcPr>
            <w:tcW w:w="1117" w:type="dxa"/>
            <w:tcBorders>
              <w:top w:val="nil"/>
              <w:left w:val="nil"/>
              <w:bottom w:val="single" w:sz="4" w:space="0" w:color="auto"/>
              <w:right w:val="single" w:sz="4" w:space="0" w:color="auto"/>
            </w:tcBorders>
            <w:shd w:val="clear" w:color="auto" w:fill="DAEEF3"/>
            <w:vAlign w:val="bottom"/>
            <w:hideMark/>
          </w:tcPr>
          <w:p w14:paraId="3D832593" w14:textId="77777777" w:rsidR="004B7622" w:rsidRPr="00AD2B7D" w:rsidRDefault="004B7622" w:rsidP="00377989">
            <w:pPr>
              <w:jc w:val="right"/>
              <w:rPr>
                <w:rFonts w:ascii="Arial" w:eastAsia="Times New Roman" w:hAnsi="Arial" w:cs="Arial"/>
                <w:sz w:val="18"/>
                <w:szCs w:val="18"/>
                <w:lang w:eastAsia="sl-SI"/>
              </w:rPr>
            </w:pPr>
            <w:r w:rsidRPr="00AD2B7D">
              <w:rPr>
                <w:rFonts w:ascii="Arial" w:eastAsia="Times New Roman" w:hAnsi="Arial" w:cs="Arial"/>
                <w:sz w:val="18"/>
                <w:szCs w:val="18"/>
                <w:lang w:eastAsia="sl-SI"/>
              </w:rPr>
              <w:t>11.793.398</w:t>
            </w:r>
          </w:p>
        </w:tc>
        <w:tc>
          <w:tcPr>
            <w:tcW w:w="772" w:type="dxa"/>
            <w:tcBorders>
              <w:top w:val="nil"/>
              <w:left w:val="nil"/>
              <w:bottom w:val="single" w:sz="4" w:space="0" w:color="auto"/>
              <w:right w:val="single" w:sz="4" w:space="0" w:color="auto"/>
            </w:tcBorders>
            <w:vAlign w:val="bottom"/>
            <w:hideMark/>
          </w:tcPr>
          <w:p w14:paraId="6B454607" w14:textId="77777777" w:rsidR="004B7622" w:rsidRPr="00AD2B7D" w:rsidRDefault="004B7622" w:rsidP="00377989">
            <w:pPr>
              <w:jc w:val="right"/>
              <w:rPr>
                <w:rFonts w:ascii="Arial" w:eastAsia="Times New Roman" w:hAnsi="Arial" w:cs="Arial"/>
                <w:b/>
                <w:bCs/>
                <w:sz w:val="18"/>
                <w:szCs w:val="18"/>
                <w:lang w:eastAsia="sl-SI"/>
              </w:rPr>
            </w:pPr>
            <w:r w:rsidRPr="00AD2B7D">
              <w:rPr>
                <w:rFonts w:ascii="Arial" w:eastAsia="Times New Roman" w:hAnsi="Arial" w:cs="Arial"/>
                <w:b/>
                <w:bCs/>
                <w:sz w:val="18"/>
                <w:szCs w:val="18"/>
                <w:lang w:eastAsia="sl-SI"/>
              </w:rPr>
              <w:t>45.014</w:t>
            </w:r>
          </w:p>
        </w:tc>
        <w:tc>
          <w:tcPr>
            <w:tcW w:w="1146" w:type="dxa"/>
            <w:tcBorders>
              <w:top w:val="nil"/>
              <w:left w:val="nil"/>
              <w:bottom w:val="single" w:sz="4" w:space="0" w:color="auto"/>
              <w:right w:val="single" w:sz="4" w:space="0" w:color="auto"/>
            </w:tcBorders>
            <w:shd w:val="clear" w:color="auto" w:fill="DAEEF3"/>
            <w:noWrap/>
            <w:vAlign w:val="bottom"/>
            <w:hideMark/>
          </w:tcPr>
          <w:p w14:paraId="5B9C5B46" w14:textId="77777777" w:rsidR="004B7622" w:rsidRPr="00AD2B7D" w:rsidRDefault="004B7622" w:rsidP="00377989">
            <w:pPr>
              <w:jc w:val="right"/>
              <w:rPr>
                <w:rFonts w:ascii="Arial" w:eastAsia="Times New Roman" w:hAnsi="Arial" w:cs="Arial"/>
                <w:sz w:val="18"/>
                <w:szCs w:val="18"/>
                <w:lang w:eastAsia="sl-SI"/>
              </w:rPr>
            </w:pPr>
            <w:r w:rsidRPr="00AD2B7D">
              <w:rPr>
                <w:rFonts w:ascii="Arial" w:eastAsia="Times New Roman" w:hAnsi="Arial" w:cs="Arial"/>
                <w:sz w:val="18"/>
                <w:szCs w:val="18"/>
                <w:lang w:eastAsia="sl-SI"/>
              </w:rPr>
              <w:t>83.098.827</w:t>
            </w:r>
          </w:p>
        </w:tc>
        <w:tc>
          <w:tcPr>
            <w:tcW w:w="1117" w:type="dxa"/>
            <w:tcBorders>
              <w:top w:val="nil"/>
              <w:left w:val="nil"/>
              <w:bottom w:val="single" w:sz="4" w:space="0" w:color="auto"/>
              <w:right w:val="single" w:sz="4" w:space="0" w:color="auto"/>
            </w:tcBorders>
            <w:shd w:val="clear" w:color="auto" w:fill="DAEEF3"/>
            <w:noWrap/>
            <w:vAlign w:val="bottom"/>
            <w:hideMark/>
          </w:tcPr>
          <w:p w14:paraId="18667974" w14:textId="77777777" w:rsidR="004B7622" w:rsidRPr="00AD2B7D" w:rsidRDefault="004B7622" w:rsidP="00377989">
            <w:pPr>
              <w:jc w:val="right"/>
              <w:rPr>
                <w:rFonts w:ascii="Arial" w:eastAsia="Times New Roman" w:hAnsi="Arial" w:cs="Arial"/>
                <w:sz w:val="18"/>
                <w:szCs w:val="18"/>
                <w:lang w:eastAsia="sl-SI"/>
              </w:rPr>
            </w:pPr>
            <w:r w:rsidRPr="00AD2B7D">
              <w:rPr>
                <w:rFonts w:ascii="Arial" w:eastAsia="Times New Roman" w:hAnsi="Arial" w:cs="Arial"/>
                <w:sz w:val="18"/>
                <w:szCs w:val="18"/>
                <w:lang w:eastAsia="sl-SI"/>
              </w:rPr>
              <w:t>11.012.602</w:t>
            </w:r>
          </w:p>
        </w:tc>
        <w:tc>
          <w:tcPr>
            <w:tcW w:w="714" w:type="dxa"/>
            <w:tcBorders>
              <w:top w:val="nil"/>
              <w:left w:val="nil"/>
              <w:bottom w:val="single" w:sz="4" w:space="0" w:color="auto"/>
              <w:right w:val="single" w:sz="4" w:space="0" w:color="auto"/>
            </w:tcBorders>
            <w:noWrap/>
            <w:vAlign w:val="bottom"/>
            <w:hideMark/>
          </w:tcPr>
          <w:p w14:paraId="2E4E15A2" w14:textId="77777777" w:rsidR="004B7622" w:rsidRPr="00AD2B7D" w:rsidRDefault="004B7622" w:rsidP="00377989">
            <w:pPr>
              <w:jc w:val="right"/>
              <w:rPr>
                <w:rFonts w:ascii="Arial" w:eastAsia="Times New Roman" w:hAnsi="Arial" w:cs="Arial"/>
                <w:sz w:val="18"/>
                <w:szCs w:val="18"/>
                <w:lang w:eastAsia="sl-SI"/>
              </w:rPr>
            </w:pPr>
            <w:r w:rsidRPr="00AD2B7D">
              <w:rPr>
                <w:rFonts w:ascii="Arial" w:eastAsia="Times New Roman" w:hAnsi="Arial" w:cs="Arial"/>
                <w:sz w:val="18"/>
                <w:szCs w:val="18"/>
                <w:lang w:eastAsia="sl-SI"/>
              </w:rPr>
              <w:t>97,5</w:t>
            </w:r>
          </w:p>
        </w:tc>
        <w:tc>
          <w:tcPr>
            <w:tcW w:w="665" w:type="dxa"/>
            <w:tcBorders>
              <w:top w:val="nil"/>
              <w:left w:val="nil"/>
              <w:bottom w:val="single" w:sz="4" w:space="0" w:color="auto"/>
              <w:right w:val="single" w:sz="4" w:space="0" w:color="auto"/>
            </w:tcBorders>
            <w:noWrap/>
            <w:vAlign w:val="bottom"/>
            <w:hideMark/>
          </w:tcPr>
          <w:p w14:paraId="04A0AE10" w14:textId="77777777" w:rsidR="004B7622" w:rsidRPr="00AD2B7D" w:rsidRDefault="004B7622" w:rsidP="00377989">
            <w:pPr>
              <w:jc w:val="right"/>
              <w:rPr>
                <w:rFonts w:ascii="Arial" w:eastAsia="Times New Roman" w:hAnsi="Arial" w:cs="Arial"/>
                <w:sz w:val="18"/>
                <w:szCs w:val="18"/>
                <w:lang w:eastAsia="sl-SI"/>
              </w:rPr>
            </w:pPr>
            <w:r w:rsidRPr="00AD2B7D">
              <w:rPr>
                <w:rFonts w:ascii="Arial" w:eastAsia="Times New Roman" w:hAnsi="Arial" w:cs="Arial"/>
                <w:sz w:val="18"/>
                <w:szCs w:val="18"/>
                <w:lang w:eastAsia="sl-SI"/>
              </w:rPr>
              <w:t>106,7</w:t>
            </w:r>
          </w:p>
        </w:tc>
        <w:tc>
          <w:tcPr>
            <w:tcW w:w="696" w:type="dxa"/>
            <w:tcBorders>
              <w:top w:val="nil"/>
              <w:left w:val="nil"/>
              <w:bottom w:val="single" w:sz="4" w:space="0" w:color="auto"/>
              <w:right w:val="single" w:sz="4" w:space="0" w:color="auto"/>
            </w:tcBorders>
            <w:noWrap/>
            <w:vAlign w:val="bottom"/>
            <w:hideMark/>
          </w:tcPr>
          <w:p w14:paraId="234256DC" w14:textId="77777777" w:rsidR="004B7622" w:rsidRPr="00AD2B7D" w:rsidRDefault="004B7622" w:rsidP="00377989">
            <w:pPr>
              <w:jc w:val="right"/>
              <w:rPr>
                <w:rFonts w:ascii="Arial" w:eastAsia="Times New Roman" w:hAnsi="Arial" w:cs="Arial"/>
                <w:sz w:val="18"/>
                <w:szCs w:val="18"/>
                <w:lang w:eastAsia="sl-SI"/>
              </w:rPr>
            </w:pPr>
            <w:r w:rsidRPr="00AD2B7D">
              <w:rPr>
                <w:rFonts w:ascii="Arial" w:eastAsia="Times New Roman" w:hAnsi="Arial" w:cs="Arial"/>
                <w:sz w:val="18"/>
                <w:szCs w:val="18"/>
                <w:lang w:eastAsia="sl-SI"/>
              </w:rPr>
              <w:t>93,4</w:t>
            </w:r>
          </w:p>
        </w:tc>
      </w:tr>
      <w:tr w:rsidR="004B7622" w:rsidRPr="00AD2B7D" w14:paraId="795DE07A" w14:textId="77777777" w:rsidTr="00377989">
        <w:trPr>
          <w:trHeight w:val="348"/>
        </w:trPr>
        <w:tc>
          <w:tcPr>
            <w:tcW w:w="1007" w:type="dxa"/>
            <w:tcBorders>
              <w:top w:val="nil"/>
              <w:left w:val="single" w:sz="4" w:space="0" w:color="auto"/>
              <w:bottom w:val="single" w:sz="4" w:space="0" w:color="auto"/>
              <w:right w:val="single" w:sz="4" w:space="0" w:color="auto"/>
            </w:tcBorders>
            <w:vAlign w:val="bottom"/>
            <w:hideMark/>
          </w:tcPr>
          <w:p w14:paraId="156C36EF" w14:textId="77777777" w:rsidR="004B7622" w:rsidRPr="00AD2B7D" w:rsidRDefault="004B7622" w:rsidP="00377989">
            <w:pPr>
              <w:rPr>
                <w:rFonts w:ascii="Arial" w:eastAsia="Times New Roman" w:hAnsi="Arial" w:cs="Arial"/>
                <w:sz w:val="18"/>
                <w:szCs w:val="18"/>
                <w:lang w:eastAsia="sl-SI"/>
              </w:rPr>
            </w:pPr>
            <w:r w:rsidRPr="00AD2B7D">
              <w:rPr>
                <w:rFonts w:ascii="Arial" w:eastAsia="Times New Roman" w:hAnsi="Arial" w:cs="Arial"/>
                <w:sz w:val="18"/>
                <w:szCs w:val="18"/>
                <w:lang w:eastAsia="sl-SI"/>
              </w:rPr>
              <w:t>Izvršba na premičnine</w:t>
            </w:r>
          </w:p>
        </w:tc>
        <w:tc>
          <w:tcPr>
            <w:tcW w:w="772" w:type="dxa"/>
            <w:tcBorders>
              <w:top w:val="nil"/>
              <w:left w:val="nil"/>
              <w:bottom w:val="single" w:sz="4" w:space="0" w:color="auto"/>
              <w:right w:val="single" w:sz="4" w:space="0" w:color="auto"/>
            </w:tcBorders>
            <w:vAlign w:val="bottom"/>
            <w:hideMark/>
          </w:tcPr>
          <w:p w14:paraId="73843C86" w14:textId="77777777" w:rsidR="004B7622" w:rsidRPr="00AD2B7D" w:rsidRDefault="004B7622" w:rsidP="00377989">
            <w:pPr>
              <w:jc w:val="right"/>
              <w:rPr>
                <w:rFonts w:ascii="Arial" w:eastAsia="Times New Roman" w:hAnsi="Arial" w:cs="Arial"/>
                <w:b/>
                <w:bCs/>
                <w:sz w:val="18"/>
                <w:szCs w:val="18"/>
                <w:lang w:eastAsia="sl-SI"/>
              </w:rPr>
            </w:pPr>
            <w:r w:rsidRPr="00AD2B7D">
              <w:rPr>
                <w:rFonts w:ascii="Arial" w:eastAsia="Times New Roman" w:hAnsi="Arial" w:cs="Arial"/>
                <w:b/>
                <w:bCs/>
                <w:sz w:val="18"/>
                <w:szCs w:val="18"/>
                <w:lang w:eastAsia="sl-SI"/>
              </w:rPr>
              <w:t>9.143</w:t>
            </w:r>
          </w:p>
        </w:tc>
        <w:tc>
          <w:tcPr>
            <w:tcW w:w="1194" w:type="dxa"/>
            <w:tcBorders>
              <w:top w:val="nil"/>
              <w:left w:val="nil"/>
              <w:bottom w:val="single" w:sz="4" w:space="0" w:color="auto"/>
              <w:right w:val="single" w:sz="4" w:space="0" w:color="auto"/>
            </w:tcBorders>
            <w:shd w:val="clear" w:color="auto" w:fill="DAEEF3"/>
            <w:vAlign w:val="bottom"/>
            <w:hideMark/>
          </w:tcPr>
          <w:p w14:paraId="3312C862" w14:textId="77777777" w:rsidR="004B7622" w:rsidRPr="00AD2B7D" w:rsidRDefault="004B7622" w:rsidP="00377989">
            <w:pPr>
              <w:jc w:val="right"/>
              <w:rPr>
                <w:rFonts w:ascii="Arial" w:eastAsia="Times New Roman" w:hAnsi="Arial" w:cs="Arial"/>
                <w:sz w:val="18"/>
                <w:szCs w:val="18"/>
                <w:lang w:eastAsia="sl-SI"/>
              </w:rPr>
            </w:pPr>
            <w:r w:rsidRPr="00AD2B7D">
              <w:rPr>
                <w:rFonts w:ascii="Arial" w:eastAsia="Times New Roman" w:hAnsi="Arial" w:cs="Arial"/>
                <w:sz w:val="18"/>
                <w:szCs w:val="18"/>
                <w:lang w:eastAsia="sl-SI"/>
              </w:rPr>
              <w:t>216.560.466</w:t>
            </w:r>
          </w:p>
        </w:tc>
        <w:tc>
          <w:tcPr>
            <w:tcW w:w="1117" w:type="dxa"/>
            <w:tcBorders>
              <w:top w:val="nil"/>
              <w:left w:val="nil"/>
              <w:bottom w:val="single" w:sz="4" w:space="0" w:color="auto"/>
              <w:right w:val="single" w:sz="4" w:space="0" w:color="auto"/>
            </w:tcBorders>
            <w:shd w:val="clear" w:color="auto" w:fill="DAEEF3"/>
            <w:vAlign w:val="bottom"/>
            <w:hideMark/>
          </w:tcPr>
          <w:p w14:paraId="729E1A0F" w14:textId="77777777" w:rsidR="004B7622" w:rsidRPr="00AD2B7D" w:rsidRDefault="004B7622" w:rsidP="00377989">
            <w:pPr>
              <w:jc w:val="right"/>
              <w:rPr>
                <w:rFonts w:ascii="Arial" w:eastAsia="Times New Roman" w:hAnsi="Arial" w:cs="Arial"/>
                <w:sz w:val="18"/>
                <w:szCs w:val="18"/>
                <w:lang w:eastAsia="sl-SI"/>
              </w:rPr>
            </w:pPr>
            <w:r w:rsidRPr="00AD2B7D">
              <w:rPr>
                <w:rFonts w:ascii="Arial" w:eastAsia="Times New Roman" w:hAnsi="Arial" w:cs="Arial"/>
                <w:sz w:val="18"/>
                <w:szCs w:val="18"/>
                <w:lang w:eastAsia="sl-SI"/>
              </w:rPr>
              <w:t>26.001.521</w:t>
            </w:r>
          </w:p>
        </w:tc>
        <w:tc>
          <w:tcPr>
            <w:tcW w:w="772" w:type="dxa"/>
            <w:tcBorders>
              <w:top w:val="nil"/>
              <w:left w:val="nil"/>
              <w:bottom w:val="single" w:sz="4" w:space="0" w:color="auto"/>
              <w:right w:val="single" w:sz="4" w:space="0" w:color="auto"/>
            </w:tcBorders>
            <w:vAlign w:val="bottom"/>
            <w:hideMark/>
          </w:tcPr>
          <w:p w14:paraId="365AB613" w14:textId="77777777" w:rsidR="004B7622" w:rsidRPr="00AD2B7D" w:rsidRDefault="004B7622" w:rsidP="00377989">
            <w:pPr>
              <w:jc w:val="right"/>
              <w:rPr>
                <w:rFonts w:ascii="Arial" w:eastAsia="Times New Roman" w:hAnsi="Arial" w:cs="Arial"/>
                <w:b/>
                <w:bCs/>
                <w:sz w:val="18"/>
                <w:szCs w:val="18"/>
                <w:lang w:eastAsia="sl-SI"/>
              </w:rPr>
            </w:pPr>
            <w:r w:rsidRPr="00AD2B7D">
              <w:rPr>
                <w:rFonts w:ascii="Arial" w:eastAsia="Times New Roman" w:hAnsi="Arial" w:cs="Arial"/>
                <w:b/>
                <w:bCs/>
                <w:sz w:val="18"/>
                <w:szCs w:val="18"/>
                <w:lang w:eastAsia="sl-SI"/>
              </w:rPr>
              <w:t>7.677</w:t>
            </w:r>
          </w:p>
        </w:tc>
        <w:tc>
          <w:tcPr>
            <w:tcW w:w="1146" w:type="dxa"/>
            <w:tcBorders>
              <w:top w:val="nil"/>
              <w:left w:val="nil"/>
              <w:bottom w:val="single" w:sz="4" w:space="0" w:color="auto"/>
              <w:right w:val="single" w:sz="4" w:space="0" w:color="auto"/>
            </w:tcBorders>
            <w:shd w:val="clear" w:color="auto" w:fill="DAEEF3"/>
            <w:noWrap/>
            <w:vAlign w:val="bottom"/>
            <w:hideMark/>
          </w:tcPr>
          <w:p w14:paraId="5107BDDC" w14:textId="77777777" w:rsidR="004B7622" w:rsidRPr="00AD2B7D" w:rsidRDefault="004B7622" w:rsidP="00377989">
            <w:pPr>
              <w:jc w:val="right"/>
              <w:rPr>
                <w:rFonts w:ascii="Arial" w:eastAsia="Times New Roman" w:hAnsi="Arial" w:cs="Arial"/>
                <w:sz w:val="18"/>
                <w:szCs w:val="18"/>
                <w:lang w:eastAsia="sl-SI"/>
              </w:rPr>
            </w:pPr>
            <w:r w:rsidRPr="00AD2B7D">
              <w:rPr>
                <w:rFonts w:ascii="Arial" w:eastAsia="Times New Roman" w:hAnsi="Arial" w:cs="Arial"/>
                <w:sz w:val="18"/>
                <w:szCs w:val="18"/>
                <w:lang w:eastAsia="sl-SI"/>
              </w:rPr>
              <w:t>194.284.732</w:t>
            </w:r>
          </w:p>
        </w:tc>
        <w:tc>
          <w:tcPr>
            <w:tcW w:w="1117" w:type="dxa"/>
            <w:tcBorders>
              <w:top w:val="nil"/>
              <w:left w:val="nil"/>
              <w:bottom w:val="single" w:sz="4" w:space="0" w:color="auto"/>
              <w:right w:val="single" w:sz="4" w:space="0" w:color="auto"/>
            </w:tcBorders>
            <w:shd w:val="clear" w:color="auto" w:fill="DAEEF3"/>
            <w:noWrap/>
            <w:vAlign w:val="bottom"/>
            <w:hideMark/>
          </w:tcPr>
          <w:p w14:paraId="310B7B49" w14:textId="77777777" w:rsidR="004B7622" w:rsidRPr="00AD2B7D" w:rsidRDefault="004B7622" w:rsidP="00377989">
            <w:pPr>
              <w:jc w:val="right"/>
              <w:rPr>
                <w:rFonts w:ascii="Arial" w:eastAsia="Times New Roman" w:hAnsi="Arial" w:cs="Arial"/>
                <w:sz w:val="18"/>
                <w:szCs w:val="18"/>
                <w:lang w:eastAsia="sl-SI"/>
              </w:rPr>
            </w:pPr>
            <w:r w:rsidRPr="00AD2B7D">
              <w:rPr>
                <w:rFonts w:ascii="Arial" w:eastAsia="Times New Roman" w:hAnsi="Arial" w:cs="Arial"/>
                <w:sz w:val="18"/>
                <w:szCs w:val="18"/>
                <w:lang w:eastAsia="sl-SI"/>
              </w:rPr>
              <w:t>21.670.082</w:t>
            </w:r>
          </w:p>
        </w:tc>
        <w:tc>
          <w:tcPr>
            <w:tcW w:w="714" w:type="dxa"/>
            <w:tcBorders>
              <w:top w:val="nil"/>
              <w:left w:val="nil"/>
              <w:bottom w:val="single" w:sz="4" w:space="0" w:color="auto"/>
              <w:right w:val="single" w:sz="4" w:space="0" w:color="auto"/>
            </w:tcBorders>
            <w:noWrap/>
            <w:vAlign w:val="bottom"/>
            <w:hideMark/>
          </w:tcPr>
          <w:p w14:paraId="20857B9C" w14:textId="77777777" w:rsidR="004B7622" w:rsidRPr="00AD2B7D" w:rsidRDefault="004B7622" w:rsidP="00377989">
            <w:pPr>
              <w:jc w:val="right"/>
              <w:rPr>
                <w:rFonts w:ascii="Arial" w:eastAsia="Times New Roman" w:hAnsi="Arial" w:cs="Arial"/>
                <w:sz w:val="18"/>
                <w:szCs w:val="18"/>
                <w:lang w:eastAsia="sl-SI"/>
              </w:rPr>
            </w:pPr>
            <w:r w:rsidRPr="00AD2B7D">
              <w:rPr>
                <w:rFonts w:ascii="Arial" w:eastAsia="Times New Roman" w:hAnsi="Arial" w:cs="Arial"/>
                <w:sz w:val="18"/>
                <w:szCs w:val="18"/>
                <w:lang w:eastAsia="sl-SI"/>
              </w:rPr>
              <w:t>84,0</w:t>
            </w:r>
          </w:p>
        </w:tc>
        <w:tc>
          <w:tcPr>
            <w:tcW w:w="665" w:type="dxa"/>
            <w:tcBorders>
              <w:top w:val="nil"/>
              <w:left w:val="nil"/>
              <w:bottom w:val="single" w:sz="4" w:space="0" w:color="auto"/>
              <w:right w:val="single" w:sz="4" w:space="0" w:color="auto"/>
            </w:tcBorders>
            <w:noWrap/>
            <w:vAlign w:val="bottom"/>
            <w:hideMark/>
          </w:tcPr>
          <w:p w14:paraId="3BE3CC37" w14:textId="77777777" w:rsidR="004B7622" w:rsidRPr="00AD2B7D" w:rsidRDefault="004B7622" w:rsidP="00377989">
            <w:pPr>
              <w:jc w:val="right"/>
              <w:rPr>
                <w:rFonts w:ascii="Arial" w:eastAsia="Times New Roman" w:hAnsi="Arial" w:cs="Arial"/>
                <w:sz w:val="18"/>
                <w:szCs w:val="18"/>
                <w:lang w:eastAsia="sl-SI"/>
              </w:rPr>
            </w:pPr>
            <w:r w:rsidRPr="00AD2B7D">
              <w:rPr>
                <w:rFonts w:ascii="Arial" w:eastAsia="Times New Roman" w:hAnsi="Arial" w:cs="Arial"/>
                <w:sz w:val="18"/>
                <w:szCs w:val="18"/>
                <w:lang w:eastAsia="sl-SI"/>
              </w:rPr>
              <w:t>89,7</w:t>
            </w:r>
          </w:p>
        </w:tc>
        <w:tc>
          <w:tcPr>
            <w:tcW w:w="696" w:type="dxa"/>
            <w:tcBorders>
              <w:top w:val="nil"/>
              <w:left w:val="nil"/>
              <w:bottom w:val="single" w:sz="4" w:space="0" w:color="auto"/>
              <w:right w:val="single" w:sz="4" w:space="0" w:color="auto"/>
            </w:tcBorders>
            <w:noWrap/>
            <w:vAlign w:val="bottom"/>
            <w:hideMark/>
          </w:tcPr>
          <w:p w14:paraId="2D1E2AD4" w14:textId="77777777" w:rsidR="004B7622" w:rsidRPr="00AD2B7D" w:rsidRDefault="004B7622" w:rsidP="00377989">
            <w:pPr>
              <w:jc w:val="right"/>
              <w:rPr>
                <w:rFonts w:ascii="Arial" w:eastAsia="Times New Roman" w:hAnsi="Arial" w:cs="Arial"/>
                <w:sz w:val="18"/>
                <w:szCs w:val="18"/>
                <w:lang w:eastAsia="sl-SI"/>
              </w:rPr>
            </w:pPr>
            <w:r w:rsidRPr="00AD2B7D">
              <w:rPr>
                <w:rFonts w:ascii="Arial" w:eastAsia="Times New Roman" w:hAnsi="Arial" w:cs="Arial"/>
                <w:sz w:val="18"/>
                <w:szCs w:val="18"/>
                <w:lang w:eastAsia="sl-SI"/>
              </w:rPr>
              <w:t>83,3</w:t>
            </w:r>
          </w:p>
        </w:tc>
      </w:tr>
      <w:tr w:rsidR="004B7622" w:rsidRPr="00AD2B7D" w14:paraId="117CD9E5" w14:textId="77777777" w:rsidTr="00377989">
        <w:trPr>
          <w:trHeight w:val="377"/>
        </w:trPr>
        <w:tc>
          <w:tcPr>
            <w:tcW w:w="1007" w:type="dxa"/>
            <w:tcBorders>
              <w:top w:val="nil"/>
              <w:left w:val="single" w:sz="4" w:space="0" w:color="auto"/>
              <w:bottom w:val="single" w:sz="4" w:space="0" w:color="auto"/>
              <w:right w:val="single" w:sz="4" w:space="0" w:color="auto"/>
            </w:tcBorders>
            <w:vAlign w:val="bottom"/>
            <w:hideMark/>
          </w:tcPr>
          <w:p w14:paraId="2179A3E1" w14:textId="77777777" w:rsidR="004B7622" w:rsidRPr="00AD2B7D" w:rsidRDefault="004B7622" w:rsidP="00377989">
            <w:pPr>
              <w:rPr>
                <w:rFonts w:ascii="Arial" w:eastAsia="Times New Roman" w:hAnsi="Arial" w:cs="Arial"/>
                <w:sz w:val="18"/>
                <w:szCs w:val="18"/>
                <w:lang w:eastAsia="sl-SI"/>
              </w:rPr>
            </w:pPr>
            <w:r w:rsidRPr="00AD2B7D">
              <w:rPr>
                <w:rFonts w:ascii="Arial" w:eastAsia="Times New Roman" w:hAnsi="Arial" w:cs="Arial"/>
                <w:sz w:val="18"/>
                <w:szCs w:val="18"/>
                <w:lang w:eastAsia="sl-SI"/>
              </w:rPr>
              <w:t>Izvršba na  denarne terjatve</w:t>
            </w:r>
          </w:p>
        </w:tc>
        <w:tc>
          <w:tcPr>
            <w:tcW w:w="772" w:type="dxa"/>
            <w:tcBorders>
              <w:top w:val="nil"/>
              <w:left w:val="nil"/>
              <w:bottom w:val="single" w:sz="4" w:space="0" w:color="auto"/>
              <w:right w:val="single" w:sz="4" w:space="0" w:color="auto"/>
            </w:tcBorders>
            <w:vAlign w:val="bottom"/>
            <w:hideMark/>
          </w:tcPr>
          <w:p w14:paraId="5290B672" w14:textId="77777777" w:rsidR="004B7622" w:rsidRPr="00AD2B7D" w:rsidRDefault="004B7622" w:rsidP="00377989">
            <w:pPr>
              <w:jc w:val="right"/>
              <w:rPr>
                <w:rFonts w:ascii="Arial" w:eastAsia="Times New Roman" w:hAnsi="Arial" w:cs="Arial"/>
                <w:b/>
                <w:bCs/>
                <w:sz w:val="18"/>
                <w:szCs w:val="18"/>
                <w:lang w:eastAsia="sl-SI"/>
              </w:rPr>
            </w:pPr>
            <w:r w:rsidRPr="00AD2B7D">
              <w:rPr>
                <w:rFonts w:ascii="Arial" w:eastAsia="Times New Roman" w:hAnsi="Arial" w:cs="Arial"/>
                <w:b/>
                <w:bCs/>
                <w:sz w:val="18"/>
                <w:szCs w:val="18"/>
                <w:lang w:eastAsia="sl-SI"/>
              </w:rPr>
              <w:t>955</w:t>
            </w:r>
          </w:p>
        </w:tc>
        <w:tc>
          <w:tcPr>
            <w:tcW w:w="1194" w:type="dxa"/>
            <w:tcBorders>
              <w:top w:val="nil"/>
              <w:left w:val="nil"/>
              <w:bottom w:val="single" w:sz="4" w:space="0" w:color="auto"/>
              <w:right w:val="single" w:sz="4" w:space="0" w:color="auto"/>
            </w:tcBorders>
            <w:shd w:val="clear" w:color="auto" w:fill="DAEEF3"/>
            <w:vAlign w:val="bottom"/>
            <w:hideMark/>
          </w:tcPr>
          <w:p w14:paraId="14B406BD" w14:textId="77777777" w:rsidR="004B7622" w:rsidRPr="00AD2B7D" w:rsidRDefault="004B7622" w:rsidP="00377989">
            <w:pPr>
              <w:jc w:val="right"/>
              <w:rPr>
                <w:rFonts w:ascii="Arial" w:eastAsia="Times New Roman" w:hAnsi="Arial" w:cs="Arial"/>
                <w:sz w:val="18"/>
                <w:szCs w:val="18"/>
                <w:lang w:eastAsia="sl-SI"/>
              </w:rPr>
            </w:pPr>
            <w:r w:rsidRPr="00AD2B7D">
              <w:rPr>
                <w:rFonts w:ascii="Arial" w:eastAsia="Times New Roman" w:hAnsi="Arial" w:cs="Arial"/>
                <w:sz w:val="18"/>
                <w:szCs w:val="18"/>
                <w:lang w:eastAsia="sl-SI"/>
              </w:rPr>
              <w:t>21.307.591</w:t>
            </w:r>
          </w:p>
        </w:tc>
        <w:tc>
          <w:tcPr>
            <w:tcW w:w="1117" w:type="dxa"/>
            <w:tcBorders>
              <w:top w:val="nil"/>
              <w:left w:val="nil"/>
              <w:bottom w:val="single" w:sz="4" w:space="0" w:color="auto"/>
              <w:right w:val="single" w:sz="4" w:space="0" w:color="auto"/>
            </w:tcBorders>
            <w:shd w:val="clear" w:color="auto" w:fill="DAEEF3"/>
            <w:vAlign w:val="bottom"/>
            <w:hideMark/>
          </w:tcPr>
          <w:p w14:paraId="59733389" w14:textId="77777777" w:rsidR="004B7622" w:rsidRPr="00AD2B7D" w:rsidRDefault="004B7622" w:rsidP="00377989">
            <w:pPr>
              <w:jc w:val="right"/>
              <w:rPr>
                <w:rFonts w:ascii="Arial" w:eastAsia="Times New Roman" w:hAnsi="Arial" w:cs="Arial"/>
                <w:sz w:val="18"/>
                <w:szCs w:val="18"/>
                <w:lang w:eastAsia="sl-SI"/>
              </w:rPr>
            </w:pPr>
            <w:r w:rsidRPr="00AD2B7D">
              <w:rPr>
                <w:rFonts w:ascii="Arial" w:eastAsia="Times New Roman" w:hAnsi="Arial" w:cs="Arial"/>
                <w:sz w:val="18"/>
                <w:szCs w:val="18"/>
                <w:lang w:eastAsia="sl-SI"/>
              </w:rPr>
              <w:t>5.624.198</w:t>
            </w:r>
          </w:p>
        </w:tc>
        <w:tc>
          <w:tcPr>
            <w:tcW w:w="772" w:type="dxa"/>
            <w:tcBorders>
              <w:top w:val="nil"/>
              <w:left w:val="nil"/>
              <w:bottom w:val="single" w:sz="4" w:space="0" w:color="auto"/>
              <w:right w:val="single" w:sz="4" w:space="0" w:color="auto"/>
            </w:tcBorders>
            <w:vAlign w:val="bottom"/>
            <w:hideMark/>
          </w:tcPr>
          <w:p w14:paraId="338CF56C" w14:textId="77777777" w:rsidR="004B7622" w:rsidRPr="00AD2B7D" w:rsidRDefault="004B7622" w:rsidP="00377989">
            <w:pPr>
              <w:jc w:val="right"/>
              <w:rPr>
                <w:rFonts w:ascii="Arial" w:eastAsia="Times New Roman" w:hAnsi="Arial" w:cs="Arial"/>
                <w:b/>
                <w:bCs/>
                <w:sz w:val="18"/>
                <w:szCs w:val="18"/>
                <w:lang w:eastAsia="sl-SI"/>
              </w:rPr>
            </w:pPr>
            <w:r w:rsidRPr="00AD2B7D">
              <w:rPr>
                <w:rFonts w:ascii="Arial" w:eastAsia="Times New Roman" w:hAnsi="Arial" w:cs="Arial"/>
                <w:b/>
                <w:bCs/>
                <w:sz w:val="18"/>
                <w:szCs w:val="18"/>
                <w:lang w:eastAsia="sl-SI"/>
              </w:rPr>
              <w:t>853</w:t>
            </w:r>
          </w:p>
        </w:tc>
        <w:tc>
          <w:tcPr>
            <w:tcW w:w="1146" w:type="dxa"/>
            <w:tcBorders>
              <w:top w:val="nil"/>
              <w:left w:val="nil"/>
              <w:bottom w:val="single" w:sz="4" w:space="0" w:color="auto"/>
              <w:right w:val="single" w:sz="4" w:space="0" w:color="auto"/>
            </w:tcBorders>
            <w:shd w:val="clear" w:color="auto" w:fill="DAEEF3"/>
            <w:noWrap/>
            <w:vAlign w:val="bottom"/>
            <w:hideMark/>
          </w:tcPr>
          <w:p w14:paraId="41B0043B" w14:textId="77777777" w:rsidR="004B7622" w:rsidRPr="00AD2B7D" w:rsidRDefault="004B7622" w:rsidP="00377989">
            <w:pPr>
              <w:jc w:val="right"/>
              <w:rPr>
                <w:rFonts w:ascii="Arial" w:eastAsia="Times New Roman" w:hAnsi="Arial" w:cs="Arial"/>
                <w:sz w:val="18"/>
                <w:szCs w:val="18"/>
                <w:lang w:eastAsia="sl-SI"/>
              </w:rPr>
            </w:pPr>
            <w:r w:rsidRPr="00AD2B7D">
              <w:rPr>
                <w:rFonts w:ascii="Arial" w:eastAsia="Times New Roman" w:hAnsi="Arial" w:cs="Arial"/>
                <w:sz w:val="18"/>
                <w:szCs w:val="18"/>
                <w:lang w:eastAsia="sl-SI"/>
              </w:rPr>
              <w:t>15.263.864</w:t>
            </w:r>
          </w:p>
        </w:tc>
        <w:tc>
          <w:tcPr>
            <w:tcW w:w="1117" w:type="dxa"/>
            <w:tcBorders>
              <w:top w:val="nil"/>
              <w:left w:val="nil"/>
              <w:bottom w:val="single" w:sz="4" w:space="0" w:color="auto"/>
              <w:right w:val="single" w:sz="4" w:space="0" w:color="auto"/>
            </w:tcBorders>
            <w:shd w:val="clear" w:color="auto" w:fill="DAEEF3"/>
            <w:noWrap/>
            <w:vAlign w:val="bottom"/>
            <w:hideMark/>
          </w:tcPr>
          <w:p w14:paraId="189F16AA" w14:textId="77777777" w:rsidR="004B7622" w:rsidRPr="00AD2B7D" w:rsidRDefault="004B7622" w:rsidP="00377989">
            <w:pPr>
              <w:jc w:val="right"/>
              <w:rPr>
                <w:rFonts w:ascii="Arial" w:eastAsia="Times New Roman" w:hAnsi="Arial" w:cs="Arial"/>
                <w:sz w:val="18"/>
                <w:szCs w:val="18"/>
                <w:lang w:eastAsia="sl-SI"/>
              </w:rPr>
            </w:pPr>
            <w:r w:rsidRPr="00AD2B7D">
              <w:rPr>
                <w:rFonts w:ascii="Arial" w:eastAsia="Times New Roman" w:hAnsi="Arial" w:cs="Arial"/>
                <w:sz w:val="18"/>
                <w:szCs w:val="18"/>
                <w:lang w:eastAsia="sl-SI"/>
              </w:rPr>
              <w:t>3.974.726</w:t>
            </w:r>
          </w:p>
        </w:tc>
        <w:tc>
          <w:tcPr>
            <w:tcW w:w="714" w:type="dxa"/>
            <w:tcBorders>
              <w:top w:val="nil"/>
              <w:left w:val="nil"/>
              <w:bottom w:val="single" w:sz="4" w:space="0" w:color="auto"/>
              <w:right w:val="single" w:sz="4" w:space="0" w:color="auto"/>
            </w:tcBorders>
            <w:noWrap/>
            <w:vAlign w:val="bottom"/>
            <w:hideMark/>
          </w:tcPr>
          <w:p w14:paraId="2A353952" w14:textId="77777777" w:rsidR="004B7622" w:rsidRPr="00AD2B7D" w:rsidRDefault="004B7622" w:rsidP="00377989">
            <w:pPr>
              <w:jc w:val="right"/>
              <w:rPr>
                <w:rFonts w:ascii="Arial" w:eastAsia="Times New Roman" w:hAnsi="Arial" w:cs="Arial"/>
                <w:sz w:val="18"/>
                <w:szCs w:val="18"/>
                <w:lang w:eastAsia="sl-SI"/>
              </w:rPr>
            </w:pPr>
            <w:r w:rsidRPr="00AD2B7D">
              <w:rPr>
                <w:rFonts w:ascii="Arial" w:eastAsia="Times New Roman" w:hAnsi="Arial" w:cs="Arial"/>
                <w:sz w:val="18"/>
                <w:szCs w:val="18"/>
                <w:lang w:eastAsia="sl-SI"/>
              </w:rPr>
              <w:t>89,3</w:t>
            </w:r>
          </w:p>
        </w:tc>
        <w:tc>
          <w:tcPr>
            <w:tcW w:w="665" w:type="dxa"/>
            <w:tcBorders>
              <w:top w:val="nil"/>
              <w:left w:val="nil"/>
              <w:bottom w:val="single" w:sz="4" w:space="0" w:color="auto"/>
              <w:right w:val="single" w:sz="4" w:space="0" w:color="auto"/>
            </w:tcBorders>
            <w:noWrap/>
            <w:vAlign w:val="bottom"/>
            <w:hideMark/>
          </w:tcPr>
          <w:p w14:paraId="56E4D628" w14:textId="77777777" w:rsidR="004B7622" w:rsidRPr="00AD2B7D" w:rsidRDefault="004B7622" w:rsidP="00377989">
            <w:pPr>
              <w:jc w:val="right"/>
              <w:rPr>
                <w:rFonts w:ascii="Arial" w:eastAsia="Times New Roman" w:hAnsi="Arial" w:cs="Arial"/>
                <w:sz w:val="18"/>
                <w:szCs w:val="18"/>
                <w:lang w:eastAsia="sl-SI"/>
              </w:rPr>
            </w:pPr>
            <w:r w:rsidRPr="00AD2B7D">
              <w:rPr>
                <w:rFonts w:ascii="Arial" w:eastAsia="Times New Roman" w:hAnsi="Arial" w:cs="Arial"/>
                <w:sz w:val="18"/>
                <w:szCs w:val="18"/>
                <w:lang w:eastAsia="sl-SI"/>
              </w:rPr>
              <w:t>71,6</w:t>
            </w:r>
          </w:p>
        </w:tc>
        <w:tc>
          <w:tcPr>
            <w:tcW w:w="696" w:type="dxa"/>
            <w:tcBorders>
              <w:top w:val="nil"/>
              <w:left w:val="nil"/>
              <w:bottom w:val="single" w:sz="4" w:space="0" w:color="auto"/>
              <w:right w:val="single" w:sz="4" w:space="0" w:color="auto"/>
            </w:tcBorders>
            <w:noWrap/>
            <w:vAlign w:val="bottom"/>
            <w:hideMark/>
          </w:tcPr>
          <w:p w14:paraId="23F88E6E" w14:textId="77777777" w:rsidR="004B7622" w:rsidRPr="00AD2B7D" w:rsidRDefault="004B7622" w:rsidP="00377989">
            <w:pPr>
              <w:jc w:val="right"/>
              <w:rPr>
                <w:rFonts w:ascii="Arial" w:eastAsia="Times New Roman" w:hAnsi="Arial" w:cs="Arial"/>
                <w:sz w:val="18"/>
                <w:szCs w:val="18"/>
                <w:lang w:eastAsia="sl-SI"/>
              </w:rPr>
            </w:pPr>
            <w:r w:rsidRPr="00AD2B7D">
              <w:rPr>
                <w:rFonts w:ascii="Arial" w:eastAsia="Times New Roman" w:hAnsi="Arial" w:cs="Arial"/>
                <w:sz w:val="18"/>
                <w:szCs w:val="18"/>
                <w:lang w:eastAsia="sl-SI"/>
              </w:rPr>
              <w:t>70,7</w:t>
            </w:r>
          </w:p>
        </w:tc>
      </w:tr>
      <w:tr w:rsidR="004B7622" w:rsidRPr="00AD2B7D" w14:paraId="1DB84F9F" w14:textId="77777777" w:rsidTr="00377989">
        <w:trPr>
          <w:trHeight w:val="377"/>
        </w:trPr>
        <w:tc>
          <w:tcPr>
            <w:tcW w:w="1007" w:type="dxa"/>
            <w:tcBorders>
              <w:top w:val="nil"/>
              <w:left w:val="single" w:sz="4" w:space="0" w:color="auto"/>
              <w:bottom w:val="single" w:sz="4" w:space="0" w:color="auto"/>
              <w:right w:val="single" w:sz="4" w:space="0" w:color="auto"/>
            </w:tcBorders>
            <w:vAlign w:val="bottom"/>
            <w:hideMark/>
          </w:tcPr>
          <w:p w14:paraId="7DBFE80D" w14:textId="77777777" w:rsidR="004B7622" w:rsidRPr="00AD2B7D" w:rsidRDefault="004B7622" w:rsidP="00377989">
            <w:pPr>
              <w:rPr>
                <w:rFonts w:ascii="Arial" w:eastAsia="Times New Roman" w:hAnsi="Arial" w:cs="Arial"/>
                <w:sz w:val="18"/>
                <w:szCs w:val="18"/>
                <w:lang w:eastAsia="sl-SI"/>
              </w:rPr>
            </w:pPr>
            <w:r w:rsidRPr="00AD2B7D">
              <w:rPr>
                <w:rFonts w:ascii="Arial" w:eastAsia="Times New Roman" w:hAnsi="Arial" w:cs="Arial"/>
                <w:sz w:val="18"/>
                <w:szCs w:val="18"/>
                <w:lang w:eastAsia="sl-SI"/>
              </w:rPr>
              <w:t>Izvršba na vrednostne papirje</w:t>
            </w:r>
          </w:p>
        </w:tc>
        <w:tc>
          <w:tcPr>
            <w:tcW w:w="772" w:type="dxa"/>
            <w:tcBorders>
              <w:top w:val="nil"/>
              <w:left w:val="nil"/>
              <w:bottom w:val="single" w:sz="4" w:space="0" w:color="auto"/>
              <w:right w:val="single" w:sz="4" w:space="0" w:color="auto"/>
            </w:tcBorders>
            <w:vAlign w:val="bottom"/>
            <w:hideMark/>
          </w:tcPr>
          <w:p w14:paraId="46362DF6" w14:textId="77777777" w:rsidR="004B7622" w:rsidRPr="00AD2B7D" w:rsidRDefault="004B7622" w:rsidP="00377989">
            <w:pPr>
              <w:jc w:val="right"/>
              <w:rPr>
                <w:rFonts w:ascii="Arial" w:eastAsia="Times New Roman" w:hAnsi="Arial" w:cs="Arial"/>
                <w:b/>
                <w:bCs/>
                <w:sz w:val="18"/>
                <w:szCs w:val="18"/>
                <w:lang w:eastAsia="sl-SI"/>
              </w:rPr>
            </w:pPr>
            <w:r w:rsidRPr="00AD2B7D">
              <w:rPr>
                <w:rFonts w:ascii="Arial" w:eastAsia="Times New Roman" w:hAnsi="Arial" w:cs="Arial"/>
                <w:b/>
                <w:bCs/>
                <w:sz w:val="18"/>
                <w:szCs w:val="18"/>
                <w:lang w:eastAsia="sl-SI"/>
              </w:rPr>
              <w:t>11</w:t>
            </w:r>
          </w:p>
        </w:tc>
        <w:tc>
          <w:tcPr>
            <w:tcW w:w="1194" w:type="dxa"/>
            <w:tcBorders>
              <w:top w:val="nil"/>
              <w:left w:val="nil"/>
              <w:bottom w:val="single" w:sz="4" w:space="0" w:color="auto"/>
              <w:right w:val="single" w:sz="4" w:space="0" w:color="auto"/>
            </w:tcBorders>
            <w:shd w:val="clear" w:color="auto" w:fill="DAEEF3"/>
            <w:vAlign w:val="bottom"/>
            <w:hideMark/>
          </w:tcPr>
          <w:p w14:paraId="278E1E4B" w14:textId="77777777" w:rsidR="004B7622" w:rsidRPr="00AD2B7D" w:rsidRDefault="004B7622" w:rsidP="00377989">
            <w:pPr>
              <w:jc w:val="right"/>
              <w:rPr>
                <w:rFonts w:ascii="Arial" w:eastAsia="Times New Roman" w:hAnsi="Arial" w:cs="Arial"/>
                <w:sz w:val="18"/>
                <w:szCs w:val="18"/>
                <w:lang w:eastAsia="sl-SI"/>
              </w:rPr>
            </w:pPr>
            <w:r w:rsidRPr="00AD2B7D">
              <w:rPr>
                <w:rFonts w:ascii="Arial" w:eastAsia="Times New Roman" w:hAnsi="Arial" w:cs="Arial"/>
                <w:sz w:val="18"/>
                <w:szCs w:val="18"/>
                <w:lang w:eastAsia="sl-SI"/>
              </w:rPr>
              <w:t>541.437</w:t>
            </w:r>
          </w:p>
        </w:tc>
        <w:tc>
          <w:tcPr>
            <w:tcW w:w="1117" w:type="dxa"/>
            <w:tcBorders>
              <w:top w:val="nil"/>
              <w:left w:val="nil"/>
              <w:bottom w:val="single" w:sz="4" w:space="0" w:color="auto"/>
              <w:right w:val="single" w:sz="4" w:space="0" w:color="auto"/>
            </w:tcBorders>
            <w:shd w:val="clear" w:color="auto" w:fill="DAEEF3"/>
            <w:vAlign w:val="bottom"/>
            <w:hideMark/>
          </w:tcPr>
          <w:p w14:paraId="122CFA9E" w14:textId="77777777" w:rsidR="004B7622" w:rsidRPr="00AD2B7D" w:rsidRDefault="004B7622" w:rsidP="00377989">
            <w:pPr>
              <w:jc w:val="right"/>
              <w:rPr>
                <w:rFonts w:ascii="Arial" w:eastAsia="Times New Roman" w:hAnsi="Arial" w:cs="Arial"/>
                <w:sz w:val="18"/>
                <w:szCs w:val="18"/>
                <w:lang w:eastAsia="sl-SI"/>
              </w:rPr>
            </w:pPr>
            <w:r w:rsidRPr="00AD2B7D">
              <w:rPr>
                <w:rFonts w:ascii="Arial" w:eastAsia="Times New Roman" w:hAnsi="Arial" w:cs="Arial"/>
                <w:sz w:val="18"/>
                <w:szCs w:val="18"/>
                <w:lang w:eastAsia="sl-SI"/>
              </w:rPr>
              <w:t>72.203</w:t>
            </w:r>
          </w:p>
        </w:tc>
        <w:tc>
          <w:tcPr>
            <w:tcW w:w="772" w:type="dxa"/>
            <w:tcBorders>
              <w:top w:val="nil"/>
              <w:left w:val="nil"/>
              <w:bottom w:val="single" w:sz="4" w:space="0" w:color="auto"/>
              <w:right w:val="single" w:sz="4" w:space="0" w:color="auto"/>
            </w:tcBorders>
            <w:vAlign w:val="bottom"/>
            <w:hideMark/>
          </w:tcPr>
          <w:p w14:paraId="62972AEE" w14:textId="77777777" w:rsidR="004B7622" w:rsidRPr="00AD2B7D" w:rsidRDefault="004B7622" w:rsidP="00377989">
            <w:pPr>
              <w:jc w:val="right"/>
              <w:rPr>
                <w:rFonts w:ascii="Arial" w:eastAsia="Times New Roman" w:hAnsi="Arial" w:cs="Arial"/>
                <w:b/>
                <w:bCs/>
                <w:sz w:val="18"/>
                <w:szCs w:val="18"/>
                <w:lang w:eastAsia="sl-SI"/>
              </w:rPr>
            </w:pPr>
            <w:r w:rsidRPr="00AD2B7D">
              <w:rPr>
                <w:rFonts w:ascii="Arial" w:eastAsia="Times New Roman" w:hAnsi="Arial" w:cs="Arial"/>
                <w:b/>
                <w:bCs/>
                <w:sz w:val="18"/>
                <w:szCs w:val="18"/>
                <w:lang w:eastAsia="sl-SI"/>
              </w:rPr>
              <w:t>11</w:t>
            </w:r>
          </w:p>
        </w:tc>
        <w:tc>
          <w:tcPr>
            <w:tcW w:w="1146" w:type="dxa"/>
            <w:tcBorders>
              <w:top w:val="nil"/>
              <w:left w:val="nil"/>
              <w:bottom w:val="single" w:sz="4" w:space="0" w:color="auto"/>
              <w:right w:val="single" w:sz="4" w:space="0" w:color="auto"/>
            </w:tcBorders>
            <w:shd w:val="clear" w:color="auto" w:fill="DAEEF3"/>
            <w:noWrap/>
            <w:vAlign w:val="bottom"/>
            <w:hideMark/>
          </w:tcPr>
          <w:p w14:paraId="5C56DAC1" w14:textId="77777777" w:rsidR="004B7622" w:rsidRPr="00AD2B7D" w:rsidRDefault="004B7622" w:rsidP="00377989">
            <w:pPr>
              <w:jc w:val="right"/>
              <w:rPr>
                <w:rFonts w:ascii="Arial" w:eastAsia="Times New Roman" w:hAnsi="Arial" w:cs="Arial"/>
                <w:sz w:val="18"/>
                <w:szCs w:val="18"/>
                <w:lang w:eastAsia="sl-SI"/>
              </w:rPr>
            </w:pPr>
            <w:r w:rsidRPr="00AD2B7D">
              <w:rPr>
                <w:rFonts w:ascii="Arial" w:eastAsia="Times New Roman" w:hAnsi="Arial" w:cs="Arial"/>
                <w:sz w:val="18"/>
                <w:szCs w:val="18"/>
                <w:lang w:eastAsia="sl-SI"/>
              </w:rPr>
              <w:t>34.450</w:t>
            </w:r>
          </w:p>
        </w:tc>
        <w:tc>
          <w:tcPr>
            <w:tcW w:w="1117" w:type="dxa"/>
            <w:tcBorders>
              <w:top w:val="nil"/>
              <w:left w:val="nil"/>
              <w:bottom w:val="single" w:sz="4" w:space="0" w:color="auto"/>
              <w:right w:val="single" w:sz="4" w:space="0" w:color="auto"/>
            </w:tcBorders>
            <w:shd w:val="clear" w:color="auto" w:fill="DAEEF3"/>
            <w:noWrap/>
            <w:vAlign w:val="bottom"/>
            <w:hideMark/>
          </w:tcPr>
          <w:p w14:paraId="0B130658" w14:textId="77777777" w:rsidR="004B7622" w:rsidRPr="00AD2B7D" w:rsidRDefault="004B7622" w:rsidP="00377989">
            <w:pPr>
              <w:jc w:val="right"/>
              <w:rPr>
                <w:rFonts w:ascii="Arial" w:eastAsia="Times New Roman" w:hAnsi="Arial" w:cs="Arial"/>
                <w:sz w:val="18"/>
                <w:szCs w:val="18"/>
                <w:lang w:eastAsia="sl-SI"/>
              </w:rPr>
            </w:pPr>
            <w:r w:rsidRPr="00AD2B7D">
              <w:rPr>
                <w:rFonts w:ascii="Arial" w:eastAsia="Times New Roman" w:hAnsi="Arial" w:cs="Arial"/>
                <w:sz w:val="18"/>
                <w:szCs w:val="18"/>
                <w:lang w:eastAsia="sl-SI"/>
              </w:rPr>
              <w:t>42.345</w:t>
            </w:r>
          </w:p>
        </w:tc>
        <w:tc>
          <w:tcPr>
            <w:tcW w:w="714" w:type="dxa"/>
            <w:tcBorders>
              <w:top w:val="nil"/>
              <w:left w:val="nil"/>
              <w:bottom w:val="single" w:sz="4" w:space="0" w:color="auto"/>
              <w:right w:val="single" w:sz="4" w:space="0" w:color="auto"/>
            </w:tcBorders>
            <w:noWrap/>
            <w:vAlign w:val="bottom"/>
            <w:hideMark/>
          </w:tcPr>
          <w:p w14:paraId="73E7047B" w14:textId="77777777" w:rsidR="004B7622" w:rsidRPr="00AD2B7D" w:rsidRDefault="004B7622" w:rsidP="00377989">
            <w:pPr>
              <w:jc w:val="right"/>
              <w:rPr>
                <w:rFonts w:ascii="Arial" w:eastAsia="Times New Roman" w:hAnsi="Arial" w:cs="Arial"/>
                <w:sz w:val="18"/>
                <w:szCs w:val="18"/>
                <w:lang w:eastAsia="sl-SI"/>
              </w:rPr>
            </w:pPr>
            <w:r w:rsidRPr="00AD2B7D">
              <w:rPr>
                <w:rFonts w:ascii="Arial" w:eastAsia="Times New Roman" w:hAnsi="Arial" w:cs="Arial"/>
                <w:sz w:val="18"/>
                <w:szCs w:val="18"/>
                <w:lang w:eastAsia="sl-SI"/>
              </w:rPr>
              <w:t>100,0</w:t>
            </w:r>
          </w:p>
        </w:tc>
        <w:tc>
          <w:tcPr>
            <w:tcW w:w="665" w:type="dxa"/>
            <w:tcBorders>
              <w:top w:val="nil"/>
              <w:left w:val="nil"/>
              <w:bottom w:val="single" w:sz="4" w:space="0" w:color="auto"/>
              <w:right w:val="single" w:sz="4" w:space="0" w:color="auto"/>
            </w:tcBorders>
            <w:noWrap/>
            <w:vAlign w:val="bottom"/>
            <w:hideMark/>
          </w:tcPr>
          <w:p w14:paraId="00A3CA77" w14:textId="77777777" w:rsidR="004B7622" w:rsidRPr="00AD2B7D" w:rsidRDefault="004B7622" w:rsidP="00377989">
            <w:pPr>
              <w:jc w:val="right"/>
              <w:rPr>
                <w:rFonts w:ascii="Arial" w:eastAsia="Times New Roman" w:hAnsi="Arial" w:cs="Arial"/>
                <w:sz w:val="18"/>
                <w:szCs w:val="18"/>
                <w:lang w:eastAsia="sl-SI"/>
              </w:rPr>
            </w:pPr>
            <w:r w:rsidRPr="00AD2B7D">
              <w:rPr>
                <w:rFonts w:ascii="Arial" w:eastAsia="Times New Roman" w:hAnsi="Arial" w:cs="Arial"/>
                <w:sz w:val="18"/>
                <w:szCs w:val="18"/>
                <w:lang w:eastAsia="sl-SI"/>
              </w:rPr>
              <w:t>6,4</w:t>
            </w:r>
          </w:p>
        </w:tc>
        <w:tc>
          <w:tcPr>
            <w:tcW w:w="696" w:type="dxa"/>
            <w:tcBorders>
              <w:top w:val="nil"/>
              <w:left w:val="nil"/>
              <w:bottom w:val="single" w:sz="4" w:space="0" w:color="auto"/>
              <w:right w:val="single" w:sz="4" w:space="0" w:color="auto"/>
            </w:tcBorders>
            <w:noWrap/>
            <w:vAlign w:val="bottom"/>
            <w:hideMark/>
          </w:tcPr>
          <w:p w14:paraId="269ADA60" w14:textId="77777777" w:rsidR="004B7622" w:rsidRPr="00AD2B7D" w:rsidRDefault="004B7622" w:rsidP="00377989">
            <w:pPr>
              <w:jc w:val="right"/>
              <w:rPr>
                <w:rFonts w:ascii="Arial" w:eastAsia="Times New Roman" w:hAnsi="Arial" w:cs="Arial"/>
                <w:sz w:val="18"/>
                <w:szCs w:val="18"/>
                <w:lang w:eastAsia="sl-SI"/>
              </w:rPr>
            </w:pPr>
            <w:r w:rsidRPr="00AD2B7D">
              <w:rPr>
                <w:rFonts w:ascii="Arial" w:eastAsia="Times New Roman" w:hAnsi="Arial" w:cs="Arial"/>
                <w:sz w:val="18"/>
                <w:szCs w:val="18"/>
                <w:lang w:eastAsia="sl-SI"/>
              </w:rPr>
              <w:t>58,6</w:t>
            </w:r>
          </w:p>
        </w:tc>
      </w:tr>
      <w:tr w:rsidR="004B7622" w:rsidRPr="00AD2B7D" w14:paraId="26C793D5" w14:textId="77777777" w:rsidTr="00377989">
        <w:trPr>
          <w:trHeight w:val="300"/>
        </w:trPr>
        <w:tc>
          <w:tcPr>
            <w:tcW w:w="1007" w:type="dxa"/>
            <w:tcBorders>
              <w:top w:val="nil"/>
              <w:left w:val="single" w:sz="4" w:space="0" w:color="auto"/>
              <w:bottom w:val="single" w:sz="4" w:space="0" w:color="auto"/>
              <w:right w:val="single" w:sz="4" w:space="0" w:color="auto"/>
            </w:tcBorders>
            <w:shd w:val="clear" w:color="auto" w:fill="31869B"/>
            <w:vAlign w:val="bottom"/>
            <w:hideMark/>
          </w:tcPr>
          <w:p w14:paraId="42D35553" w14:textId="77777777" w:rsidR="004B7622" w:rsidRPr="00AD2B7D" w:rsidRDefault="004B7622" w:rsidP="00377989">
            <w:pPr>
              <w:rPr>
                <w:rFonts w:ascii="Arial" w:eastAsia="Times New Roman" w:hAnsi="Arial" w:cs="Arial"/>
                <w:b/>
                <w:bCs/>
                <w:color w:val="FFFFFF"/>
                <w:sz w:val="18"/>
                <w:szCs w:val="18"/>
                <w:lang w:eastAsia="sl-SI"/>
              </w:rPr>
            </w:pPr>
            <w:r w:rsidRPr="00AD2B7D">
              <w:rPr>
                <w:rFonts w:ascii="Arial" w:eastAsia="Times New Roman" w:hAnsi="Arial" w:cs="Arial"/>
                <w:b/>
                <w:bCs/>
                <w:color w:val="FFFFFF"/>
                <w:sz w:val="18"/>
                <w:szCs w:val="18"/>
                <w:lang w:eastAsia="sl-SI"/>
              </w:rPr>
              <w:t xml:space="preserve">Skupaj </w:t>
            </w:r>
          </w:p>
        </w:tc>
        <w:tc>
          <w:tcPr>
            <w:tcW w:w="772" w:type="dxa"/>
            <w:tcBorders>
              <w:top w:val="nil"/>
              <w:left w:val="nil"/>
              <w:bottom w:val="single" w:sz="4" w:space="0" w:color="auto"/>
              <w:right w:val="single" w:sz="4" w:space="0" w:color="auto"/>
            </w:tcBorders>
            <w:shd w:val="clear" w:color="auto" w:fill="31869B"/>
            <w:noWrap/>
            <w:vAlign w:val="bottom"/>
            <w:hideMark/>
          </w:tcPr>
          <w:p w14:paraId="407D2915" w14:textId="77777777" w:rsidR="004B7622" w:rsidRPr="00AD2B7D" w:rsidRDefault="004B7622" w:rsidP="00377989">
            <w:pPr>
              <w:jc w:val="right"/>
              <w:rPr>
                <w:rFonts w:ascii="Arial" w:eastAsia="Times New Roman" w:hAnsi="Arial" w:cs="Arial"/>
                <w:b/>
                <w:bCs/>
                <w:color w:val="FFFFFF"/>
                <w:sz w:val="18"/>
                <w:szCs w:val="18"/>
                <w:lang w:eastAsia="sl-SI"/>
              </w:rPr>
            </w:pPr>
            <w:r w:rsidRPr="00AD2B7D">
              <w:rPr>
                <w:rFonts w:ascii="Arial" w:eastAsia="Times New Roman" w:hAnsi="Arial" w:cs="Arial"/>
                <w:b/>
                <w:bCs/>
                <w:color w:val="FFFFFF"/>
                <w:sz w:val="18"/>
                <w:szCs w:val="18"/>
                <w:lang w:eastAsia="sl-SI"/>
              </w:rPr>
              <w:t>197.667</w:t>
            </w:r>
          </w:p>
        </w:tc>
        <w:tc>
          <w:tcPr>
            <w:tcW w:w="1194" w:type="dxa"/>
            <w:tcBorders>
              <w:top w:val="nil"/>
              <w:left w:val="nil"/>
              <w:bottom w:val="single" w:sz="4" w:space="0" w:color="auto"/>
              <w:right w:val="single" w:sz="4" w:space="0" w:color="auto"/>
            </w:tcBorders>
            <w:shd w:val="clear" w:color="auto" w:fill="31869B"/>
            <w:noWrap/>
            <w:vAlign w:val="bottom"/>
            <w:hideMark/>
          </w:tcPr>
          <w:p w14:paraId="1C9DD735" w14:textId="77777777" w:rsidR="004B7622" w:rsidRPr="00AD2B7D" w:rsidRDefault="004B7622" w:rsidP="00377989">
            <w:pPr>
              <w:jc w:val="right"/>
              <w:rPr>
                <w:rFonts w:ascii="Arial" w:eastAsia="Times New Roman" w:hAnsi="Arial" w:cs="Arial"/>
                <w:b/>
                <w:bCs/>
                <w:color w:val="FFFFFF"/>
                <w:sz w:val="18"/>
                <w:szCs w:val="18"/>
                <w:lang w:eastAsia="sl-SI"/>
              </w:rPr>
            </w:pPr>
            <w:r w:rsidRPr="00AD2B7D">
              <w:rPr>
                <w:rFonts w:ascii="Arial" w:eastAsia="Times New Roman" w:hAnsi="Arial" w:cs="Arial"/>
                <w:b/>
                <w:bCs/>
                <w:color w:val="FFFFFF"/>
                <w:sz w:val="18"/>
                <w:szCs w:val="18"/>
                <w:lang w:eastAsia="sl-SI"/>
              </w:rPr>
              <w:t>687.317.397</w:t>
            </w:r>
          </w:p>
        </w:tc>
        <w:tc>
          <w:tcPr>
            <w:tcW w:w="1117" w:type="dxa"/>
            <w:tcBorders>
              <w:top w:val="nil"/>
              <w:left w:val="nil"/>
              <w:bottom w:val="single" w:sz="4" w:space="0" w:color="auto"/>
              <w:right w:val="single" w:sz="4" w:space="0" w:color="auto"/>
            </w:tcBorders>
            <w:shd w:val="clear" w:color="auto" w:fill="31869B"/>
            <w:noWrap/>
            <w:vAlign w:val="bottom"/>
            <w:hideMark/>
          </w:tcPr>
          <w:p w14:paraId="6E55D827" w14:textId="77777777" w:rsidR="004B7622" w:rsidRPr="00AD2B7D" w:rsidRDefault="004B7622" w:rsidP="00377989">
            <w:pPr>
              <w:jc w:val="right"/>
              <w:rPr>
                <w:rFonts w:ascii="Arial" w:eastAsia="Times New Roman" w:hAnsi="Arial" w:cs="Arial"/>
                <w:b/>
                <w:bCs/>
                <w:color w:val="FFFFFF"/>
                <w:sz w:val="18"/>
                <w:szCs w:val="18"/>
                <w:lang w:eastAsia="sl-SI"/>
              </w:rPr>
            </w:pPr>
            <w:r w:rsidRPr="00AD2B7D">
              <w:rPr>
                <w:rFonts w:ascii="Arial" w:eastAsia="Times New Roman" w:hAnsi="Arial" w:cs="Arial"/>
                <w:b/>
                <w:bCs/>
                <w:color w:val="FFFFFF"/>
                <w:sz w:val="18"/>
                <w:szCs w:val="18"/>
                <w:lang w:eastAsia="sl-SI"/>
              </w:rPr>
              <w:t>186.865.483</w:t>
            </w:r>
          </w:p>
        </w:tc>
        <w:tc>
          <w:tcPr>
            <w:tcW w:w="772" w:type="dxa"/>
            <w:tcBorders>
              <w:top w:val="nil"/>
              <w:left w:val="nil"/>
              <w:bottom w:val="single" w:sz="4" w:space="0" w:color="auto"/>
              <w:right w:val="single" w:sz="4" w:space="0" w:color="auto"/>
            </w:tcBorders>
            <w:shd w:val="clear" w:color="auto" w:fill="31869B"/>
            <w:noWrap/>
            <w:vAlign w:val="bottom"/>
            <w:hideMark/>
          </w:tcPr>
          <w:p w14:paraId="6E525071" w14:textId="77777777" w:rsidR="004B7622" w:rsidRPr="00AD2B7D" w:rsidRDefault="004B7622" w:rsidP="00377989">
            <w:pPr>
              <w:jc w:val="right"/>
              <w:rPr>
                <w:rFonts w:ascii="Arial" w:eastAsia="Times New Roman" w:hAnsi="Arial" w:cs="Arial"/>
                <w:b/>
                <w:bCs/>
                <w:color w:val="FFFFFF"/>
                <w:sz w:val="18"/>
                <w:szCs w:val="18"/>
                <w:lang w:eastAsia="sl-SI"/>
              </w:rPr>
            </w:pPr>
            <w:r w:rsidRPr="00AD2B7D">
              <w:rPr>
                <w:rFonts w:ascii="Arial" w:eastAsia="Times New Roman" w:hAnsi="Arial" w:cs="Arial"/>
                <w:b/>
                <w:bCs/>
                <w:color w:val="FFFFFF"/>
                <w:sz w:val="18"/>
                <w:szCs w:val="18"/>
                <w:lang w:eastAsia="sl-SI"/>
              </w:rPr>
              <w:t>117.244</w:t>
            </w:r>
          </w:p>
        </w:tc>
        <w:tc>
          <w:tcPr>
            <w:tcW w:w="1146" w:type="dxa"/>
            <w:tcBorders>
              <w:top w:val="nil"/>
              <w:left w:val="nil"/>
              <w:bottom w:val="single" w:sz="4" w:space="0" w:color="auto"/>
              <w:right w:val="single" w:sz="4" w:space="0" w:color="auto"/>
            </w:tcBorders>
            <w:shd w:val="clear" w:color="auto" w:fill="31869B"/>
            <w:noWrap/>
            <w:vAlign w:val="bottom"/>
            <w:hideMark/>
          </w:tcPr>
          <w:p w14:paraId="66E4FE0D" w14:textId="77777777" w:rsidR="004B7622" w:rsidRPr="00AD2B7D" w:rsidRDefault="004B7622" w:rsidP="00377989">
            <w:pPr>
              <w:jc w:val="right"/>
              <w:rPr>
                <w:rFonts w:ascii="Arial" w:eastAsia="Times New Roman" w:hAnsi="Arial" w:cs="Arial"/>
                <w:b/>
                <w:bCs/>
                <w:color w:val="FFFFFF"/>
                <w:sz w:val="18"/>
                <w:szCs w:val="18"/>
                <w:lang w:eastAsia="sl-SI"/>
              </w:rPr>
            </w:pPr>
            <w:r w:rsidRPr="00AD2B7D">
              <w:rPr>
                <w:rFonts w:ascii="Arial" w:eastAsia="Times New Roman" w:hAnsi="Arial" w:cs="Arial"/>
                <w:b/>
                <w:bCs/>
                <w:color w:val="FFFFFF"/>
                <w:sz w:val="18"/>
                <w:szCs w:val="18"/>
                <w:lang w:eastAsia="sl-SI"/>
              </w:rPr>
              <w:t>473.987.062</w:t>
            </w:r>
          </w:p>
        </w:tc>
        <w:tc>
          <w:tcPr>
            <w:tcW w:w="1117" w:type="dxa"/>
            <w:tcBorders>
              <w:top w:val="nil"/>
              <w:left w:val="nil"/>
              <w:bottom w:val="single" w:sz="4" w:space="0" w:color="auto"/>
              <w:right w:val="single" w:sz="4" w:space="0" w:color="auto"/>
            </w:tcBorders>
            <w:shd w:val="clear" w:color="auto" w:fill="31869B"/>
            <w:noWrap/>
            <w:vAlign w:val="bottom"/>
            <w:hideMark/>
          </w:tcPr>
          <w:p w14:paraId="79F3346D" w14:textId="77777777" w:rsidR="004B7622" w:rsidRPr="00AD2B7D" w:rsidRDefault="004B7622" w:rsidP="00377989">
            <w:pPr>
              <w:jc w:val="right"/>
              <w:rPr>
                <w:rFonts w:ascii="Arial" w:eastAsia="Times New Roman" w:hAnsi="Arial" w:cs="Arial"/>
                <w:b/>
                <w:bCs/>
                <w:color w:val="FFFFFF"/>
                <w:sz w:val="18"/>
                <w:szCs w:val="18"/>
                <w:lang w:eastAsia="sl-SI"/>
              </w:rPr>
            </w:pPr>
            <w:r w:rsidRPr="00AD2B7D">
              <w:rPr>
                <w:rFonts w:ascii="Arial" w:eastAsia="Times New Roman" w:hAnsi="Arial" w:cs="Arial"/>
                <w:b/>
                <w:bCs/>
                <w:color w:val="FFFFFF"/>
                <w:sz w:val="18"/>
                <w:szCs w:val="18"/>
                <w:lang w:eastAsia="sl-SI"/>
              </w:rPr>
              <w:t>112.344.687</w:t>
            </w:r>
          </w:p>
        </w:tc>
        <w:tc>
          <w:tcPr>
            <w:tcW w:w="714" w:type="dxa"/>
            <w:tcBorders>
              <w:top w:val="nil"/>
              <w:left w:val="nil"/>
              <w:bottom w:val="single" w:sz="4" w:space="0" w:color="auto"/>
              <w:right w:val="single" w:sz="4" w:space="0" w:color="auto"/>
            </w:tcBorders>
            <w:shd w:val="clear" w:color="auto" w:fill="31869B"/>
            <w:noWrap/>
            <w:vAlign w:val="bottom"/>
            <w:hideMark/>
          </w:tcPr>
          <w:p w14:paraId="022F3588" w14:textId="77777777" w:rsidR="004B7622" w:rsidRPr="00AD2B7D" w:rsidRDefault="004B7622" w:rsidP="00377989">
            <w:pPr>
              <w:jc w:val="right"/>
              <w:rPr>
                <w:rFonts w:ascii="Arial" w:eastAsia="Times New Roman" w:hAnsi="Arial" w:cs="Arial"/>
                <w:b/>
                <w:bCs/>
                <w:color w:val="FFFFFF"/>
                <w:sz w:val="18"/>
                <w:szCs w:val="18"/>
                <w:lang w:eastAsia="sl-SI"/>
              </w:rPr>
            </w:pPr>
            <w:r w:rsidRPr="00AD2B7D">
              <w:rPr>
                <w:rFonts w:ascii="Arial" w:eastAsia="Times New Roman" w:hAnsi="Arial" w:cs="Arial"/>
                <w:b/>
                <w:bCs/>
                <w:color w:val="FFFFFF"/>
                <w:sz w:val="18"/>
                <w:szCs w:val="18"/>
                <w:lang w:eastAsia="sl-SI"/>
              </w:rPr>
              <w:t>59,3</w:t>
            </w:r>
          </w:p>
        </w:tc>
        <w:tc>
          <w:tcPr>
            <w:tcW w:w="665" w:type="dxa"/>
            <w:tcBorders>
              <w:top w:val="nil"/>
              <w:left w:val="nil"/>
              <w:bottom w:val="single" w:sz="4" w:space="0" w:color="auto"/>
              <w:right w:val="single" w:sz="4" w:space="0" w:color="auto"/>
            </w:tcBorders>
            <w:shd w:val="clear" w:color="auto" w:fill="31869B"/>
            <w:noWrap/>
            <w:vAlign w:val="bottom"/>
            <w:hideMark/>
          </w:tcPr>
          <w:p w14:paraId="682566AA" w14:textId="77777777" w:rsidR="004B7622" w:rsidRPr="00AD2B7D" w:rsidRDefault="004B7622" w:rsidP="00377989">
            <w:pPr>
              <w:jc w:val="right"/>
              <w:rPr>
                <w:rFonts w:ascii="Arial" w:eastAsia="Times New Roman" w:hAnsi="Arial" w:cs="Arial"/>
                <w:b/>
                <w:bCs/>
                <w:color w:val="FFFFFF"/>
                <w:sz w:val="18"/>
                <w:szCs w:val="18"/>
                <w:lang w:eastAsia="sl-SI"/>
              </w:rPr>
            </w:pPr>
            <w:r w:rsidRPr="00AD2B7D">
              <w:rPr>
                <w:rFonts w:ascii="Arial" w:eastAsia="Times New Roman" w:hAnsi="Arial" w:cs="Arial"/>
                <w:b/>
                <w:bCs/>
                <w:color w:val="FFFFFF"/>
                <w:sz w:val="18"/>
                <w:szCs w:val="18"/>
                <w:lang w:eastAsia="sl-SI"/>
              </w:rPr>
              <w:t>69,0</w:t>
            </w:r>
          </w:p>
        </w:tc>
        <w:tc>
          <w:tcPr>
            <w:tcW w:w="696" w:type="dxa"/>
            <w:tcBorders>
              <w:top w:val="nil"/>
              <w:left w:val="nil"/>
              <w:bottom w:val="single" w:sz="4" w:space="0" w:color="auto"/>
              <w:right w:val="single" w:sz="4" w:space="0" w:color="auto"/>
            </w:tcBorders>
            <w:shd w:val="clear" w:color="auto" w:fill="31869B"/>
            <w:noWrap/>
            <w:vAlign w:val="bottom"/>
            <w:hideMark/>
          </w:tcPr>
          <w:p w14:paraId="7DE073CE" w14:textId="77777777" w:rsidR="004B7622" w:rsidRPr="00AD2B7D" w:rsidRDefault="004B7622" w:rsidP="00377989">
            <w:pPr>
              <w:jc w:val="right"/>
              <w:rPr>
                <w:rFonts w:ascii="Arial" w:eastAsia="Times New Roman" w:hAnsi="Arial" w:cs="Arial"/>
                <w:b/>
                <w:bCs/>
                <w:color w:val="FFFFFF"/>
                <w:sz w:val="18"/>
                <w:szCs w:val="18"/>
                <w:lang w:eastAsia="sl-SI"/>
              </w:rPr>
            </w:pPr>
            <w:r w:rsidRPr="00AD2B7D">
              <w:rPr>
                <w:rFonts w:ascii="Arial" w:eastAsia="Times New Roman" w:hAnsi="Arial" w:cs="Arial"/>
                <w:b/>
                <w:bCs/>
                <w:color w:val="FFFFFF"/>
                <w:sz w:val="18"/>
                <w:szCs w:val="18"/>
                <w:lang w:eastAsia="sl-SI"/>
              </w:rPr>
              <w:t>60,1</w:t>
            </w:r>
          </w:p>
        </w:tc>
      </w:tr>
    </w:tbl>
    <w:bookmarkEnd w:id="4"/>
    <w:p w14:paraId="517F1EBB" w14:textId="77777777" w:rsidR="004B7622" w:rsidRPr="00087025" w:rsidRDefault="004B7622" w:rsidP="004B7622">
      <w:pPr>
        <w:ind w:hanging="110"/>
        <w:rPr>
          <w:rFonts w:ascii="Arial" w:hAnsi="Arial" w:cs="Arial"/>
          <w:i/>
          <w:sz w:val="20"/>
          <w:szCs w:val="20"/>
        </w:rPr>
      </w:pPr>
      <w:r w:rsidRPr="00087025">
        <w:rPr>
          <w:rFonts w:ascii="Arial" w:hAnsi="Arial" w:cs="Arial"/>
          <w:i/>
          <w:sz w:val="20"/>
          <w:szCs w:val="20"/>
        </w:rPr>
        <w:t>Vir: FURS</w:t>
      </w:r>
    </w:p>
    <w:p w14:paraId="14CAC94C" w14:textId="77777777" w:rsidR="004B7622" w:rsidRDefault="004B7622" w:rsidP="004B7622">
      <w:pPr>
        <w:pStyle w:val="FURSNavaden"/>
        <w:spacing w:line="260" w:lineRule="exact"/>
      </w:pPr>
      <w:r w:rsidRPr="00AD2B7D">
        <w:t xml:space="preserve">Glavnino davčnega dolga, ki je bil v letu 2021 terjan s sklepi o izvršbi, predstavljajo obveznosti iz naslova prispevkov za socialno varnost (32,2 </w:t>
      </w:r>
      <w:r>
        <w:t>odstotka</w:t>
      </w:r>
      <w:r w:rsidRPr="00AD2B7D">
        <w:t xml:space="preserve">) in davkov na dohodek in dobiček (31,1 </w:t>
      </w:r>
      <w:r>
        <w:t>odstotek)</w:t>
      </w:r>
      <w:r w:rsidRPr="00AD2B7D">
        <w:t xml:space="preserve">. Sledijo domači davki na blago in storitve (27,1 </w:t>
      </w:r>
      <w:r>
        <w:t>odstotek)</w:t>
      </w:r>
      <w:r w:rsidRPr="00AD2B7D">
        <w:t xml:space="preserve">, davki na premoženje (1,9 </w:t>
      </w:r>
      <w:r w:rsidRPr="007B0E38">
        <w:t>odstotka</w:t>
      </w:r>
      <w:r>
        <w:t>)</w:t>
      </w:r>
      <w:r w:rsidRPr="00AD2B7D">
        <w:t xml:space="preserve"> ter obveznosti iz naslova ostalih davkov (7,7 </w:t>
      </w:r>
      <w:r>
        <w:t>odstotka)</w:t>
      </w:r>
      <w:r w:rsidRPr="00AD2B7D">
        <w:t>.</w:t>
      </w:r>
    </w:p>
    <w:p w14:paraId="42992886" w14:textId="77777777" w:rsidR="004B7622" w:rsidRDefault="004B7622" w:rsidP="004B7622">
      <w:pPr>
        <w:pStyle w:val="FURSNavaden"/>
        <w:spacing w:line="260" w:lineRule="exact"/>
      </w:pPr>
    </w:p>
    <w:p w14:paraId="08B47433" w14:textId="77777777" w:rsidR="004B7622" w:rsidRDefault="004B7622" w:rsidP="004B7622">
      <w:pPr>
        <w:jc w:val="both"/>
        <w:rPr>
          <w:rFonts w:ascii="Arial" w:hAnsi="Arial"/>
          <w:sz w:val="20"/>
          <w:szCs w:val="24"/>
          <w:lang w:eastAsia="sl-SI"/>
        </w:rPr>
      </w:pPr>
      <w:r w:rsidRPr="00AD2B7D">
        <w:rPr>
          <w:rFonts w:ascii="Arial" w:hAnsi="Arial"/>
          <w:sz w:val="20"/>
          <w:szCs w:val="24"/>
          <w:lang w:eastAsia="sl-SI"/>
        </w:rPr>
        <w:t>Največji delež izterjanih sredstev po sklepih o izvršbi predstavljajo plačila iz naslova prispevkov za socialno varnost (39,6</w:t>
      </w:r>
      <w:r>
        <w:rPr>
          <w:rFonts w:ascii="Arial" w:hAnsi="Arial"/>
          <w:sz w:val="20"/>
          <w:szCs w:val="24"/>
          <w:lang w:eastAsia="sl-SI"/>
        </w:rPr>
        <w:t xml:space="preserve"> </w:t>
      </w:r>
      <w:r w:rsidRPr="007B0E38">
        <w:rPr>
          <w:rFonts w:ascii="Arial" w:hAnsi="Arial"/>
          <w:sz w:val="20"/>
          <w:szCs w:val="24"/>
          <w:lang w:eastAsia="sl-SI"/>
        </w:rPr>
        <w:t>odstotka</w:t>
      </w:r>
      <w:r>
        <w:rPr>
          <w:rFonts w:ascii="Arial" w:hAnsi="Arial"/>
          <w:sz w:val="20"/>
          <w:szCs w:val="24"/>
          <w:lang w:eastAsia="sl-SI"/>
        </w:rPr>
        <w:t>)</w:t>
      </w:r>
      <w:r w:rsidRPr="00AD2B7D">
        <w:rPr>
          <w:rFonts w:ascii="Arial" w:hAnsi="Arial"/>
          <w:sz w:val="20"/>
          <w:szCs w:val="24"/>
          <w:lang w:eastAsia="sl-SI"/>
        </w:rPr>
        <w:t xml:space="preserve">, sledijo domači davki na blago in storitve (24,6 </w:t>
      </w:r>
      <w:r w:rsidRPr="007B0E38">
        <w:rPr>
          <w:rFonts w:ascii="Arial" w:hAnsi="Arial"/>
          <w:sz w:val="20"/>
          <w:szCs w:val="24"/>
          <w:lang w:eastAsia="sl-SI"/>
        </w:rPr>
        <w:t>odstotka</w:t>
      </w:r>
      <w:r w:rsidRPr="00AD2B7D">
        <w:rPr>
          <w:rFonts w:ascii="Arial" w:hAnsi="Arial"/>
          <w:sz w:val="20"/>
          <w:szCs w:val="24"/>
          <w:lang w:eastAsia="sl-SI"/>
        </w:rPr>
        <w:t xml:space="preserve">), davki na dohodek in dobiček (26,9 </w:t>
      </w:r>
      <w:r w:rsidRPr="007B0E38">
        <w:rPr>
          <w:rFonts w:ascii="Arial" w:hAnsi="Arial"/>
          <w:sz w:val="20"/>
          <w:szCs w:val="24"/>
          <w:lang w:eastAsia="sl-SI"/>
        </w:rPr>
        <w:t>odstotka</w:t>
      </w:r>
      <w:r>
        <w:rPr>
          <w:rFonts w:ascii="Arial" w:hAnsi="Arial"/>
          <w:sz w:val="20"/>
          <w:szCs w:val="24"/>
          <w:lang w:eastAsia="sl-SI"/>
        </w:rPr>
        <w:t>)</w:t>
      </w:r>
      <w:r w:rsidRPr="00AD2B7D">
        <w:rPr>
          <w:rFonts w:ascii="Arial" w:hAnsi="Arial"/>
          <w:sz w:val="20"/>
          <w:szCs w:val="24"/>
          <w:lang w:eastAsia="sl-SI"/>
        </w:rPr>
        <w:t xml:space="preserve">, davki na premoženje (3,7 </w:t>
      </w:r>
      <w:r w:rsidRPr="007B0E38">
        <w:rPr>
          <w:rFonts w:ascii="Arial" w:hAnsi="Arial"/>
          <w:sz w:val="20"/>
          <w:szCs w:val="24"/>
          <w:lang w:eastAsia="sl-SI"/>
        </w:rPr>
        <w:t>odstotka</w:t>
      </w:r>
      <w:r>
        <w:rPr>
          <w:rFonts w:ascii="Arial" w:hAnsi="Arial"/>
          <w:sz w:val="20"/>
          <w:szCs w:val="24"/>
          <w:lang w:eastAsia="sl-SI"/>
        </w:rPr>
        <w:t>)</w:t>
      </w:r>
      <w:r w:rsidRPr="00AD2B7D">
        <w:rPr>
          <w:rFonts w:ascii="Arial" w:hAnsi="Arial"/>
          <w:sz w:val="20"/>
          <w:szCs w:val="24"/>
          <w:lang w:eastAsia="sl-SI"/>
        </w:rPr>
        <w:t xml:space="preserve"> in plačila iz naslova ostalih davkov (5,2 </w:t>
      </w:r>
      <w:r w:rsidRPr="007B0E38">
        <w:rPr>
          <w:rFonts w:ascii="Arial" w:hAnsi="Arial"/>
          <w:sz w:val="20"/>
          <w:szCs w:val="24"/>
          <w:lang w:eastAsia="sl-SI"/>
        </w:rPr>
        <w:t>odstotka</w:t>
      </w:r>
      <w:r>
        <w:rPr>
          <w:rFonts w:ascii="Arial" w:hAnsi="Arial"/>
          <w:sz w:val="20"/>
          <w:szCs w:val="24"/>
          <w:lang w:eastAsia="sl-SI"/>
        </w:rPr>
        <w:t>)</w:t>
      </w:r>
      <w:r w:rsidRPr="00AD2B7D">
        <w:rPr>
          <w:rFonts w:ascii="Arial" w:hAnsi="Arial"/>
          <w:sz w:val="20"/>
          <w:szCs w:val="24"/>
          <w:lang w:eastAsia="sl-SI"/>
        </w:rPr>
        <w:t xml:space="preserve">. </w:t>
      </w:r>
    </w:p>
    <w:p w14:paraId="0DDA8200" w14:textId="77777777" w:rsidR="004B7622" w:rsidRDefault="004B7622" w:rsidP="004B7622">
      <w:pPr>
        <w:jc w:val="both"/>
        <w:rPr>
          <w:rFonts w:ascii="Arial" w:hAnsi="Arial"/>
          <w:sz w:val="20"/>
          <w:szCs w:val="24"/>
          <w:lang w:eastAsia="sl-SI"/>
        </w:rPr>
      </w:pPr>
    </w:p>
    <w:p w14:paraId="12B9F9B1" w14:textId="77777777" w:rsidR="004B7622" w:rsidRDefault="004B7622" w:rsidP="004B7622">
      <w:pPr>
        <w:jc w:val="both"/>
        <w:rPr>
          <w:rFonts w:ascii="Arial" w:hAnsi="Arial"/>
          <w:sz w:val="20"/>
          <w:szCs w:val="24"/>
          <w:lang w:eastAsia="sl-SI"/>
        </w:rPr>
      </w:pPr>
    </w:p>
    <w:p w14:paraId="03ACBDEB" w14:textId="77777777" w:rsidR="004B7622" w:rsidRDefault="004B7622" w:rsidP="004B7622">
      <w:pPr>
        <w:jc w:val="both"/>
        <w:rPr>
          <w:rFonts w:ascii="Arial" w:hAnsi="Arial"/>
          <w:sz w:val="20"/>
          <w:szCs w:val="24"/>
          <w:lang w:eastAsia="sl-SI"/>
        </w:rPr>
      </w:pPr>
    </w:p>
    <w:p w14:paraId="14FE7FD8" w14:textId="77777777" w:rsidR="004B7622" w:rsidRDefault="004B7622" w:rsidP="004B7622">
      <w:pPr>
        <w:jc w:val="both"/>
        <w:rPr>
          <w:rFonts w:ascii="Arial" w:hAnsi="Arial"/>
          <w:sz w:val="20"/>
          <w:szCs w:val="24"/>
          <w:lang w:eastAsia="sl-SI"/>
        </w:rPr>
      </w:pPr>
    </w:p>
    <w:p w14:paraId="027B400A" w14:textId="77777777" w:rsidR="004B7622" w:rsidRDefault="004B7622" w:rsidP="004B7622">
      <w:pPr>
        <w:jc w:val="both"/>
        <w:rPr>
          <w:rFonts w:ascii="Arial" w:hAnsi="Arial"/>
          <w:sz w:val="20"/>
          <w:szCs w:val="24"/>
          <w:lang w:eastAsia="sl-SI"/>
        </w:rPr>
      </w:pPr>
    </w:p>
    <w:p w14:paraId="4D546672" w14:textId="77777777" w:rsidR="004B7622" w:rsidRPr="00AD2B7D" w:rsidRDefault="004B7622" w:rsidP="004B7622">
      <w:pPr>
        <w:jc w:val="both"/>
        <w:rPr>
          <w:rFonts w:ascii="Arial" w:hAnsi="Arial"/>
          <w:sz w:val="20"/>
          <w:szCs w:val="24"/>
          <w:lang w:eastAsia="sl-SI"/>
        </w:rPr>
      </w:pPr>
    </w:p>
    <w:p w14:paraId="39EB00B4" w14:textId="77777777" w:rsidR="004B7622" w:rsidRDefault="004B7622" w:rsidP="004B7622">
      <w:pPr>
        <w:jc w:val="both"/>
        <w:rPr>
          <w:rFonts w:ascii="Arial" w:eastAsia="Times New Roman" w:hAnsi="Arial" w:cs="Arial"/>
          <w:i/>
          <w:sz w:val="20"/>
          <w:szCs w:val="20"/>
          <w:lang w:eastAsia="sl-SI"/>
        </w:rPr>
      </w:pPr>
      <w:r w:rsidRPr="00001AC8">
        <w:rPr>
          <w:rFonts w:ascii="Arial" w:eastAsia="Times New Roman" w:hAnsi="Arial" w:cs="Arial"/>
          <w:i/>
          <w:sz w:val="20"/>
          <w:szCs w:val="20"/>
          <w:lang w:eastAsia="sl-SI"/>
        </w:rPr>
        <w:lastRenderedPageBreak/>
        <w:t xml:space="preserve">Preglednica </w:t>
      </w:r>
      <w:r w:rsidRPr="00001AC8">
        <w:rPr>
          <w:rFonts w:ascii="Arial" w:eastAsia="Times New Roman" w:hAnsi="Arial" w:cs="Arial"/>
          <w:i/>
          <w:sz w:val="20"/>
          <w:szCs w:val="20"/>
        </w:rPr>
        <w:t>17</w:t>
      </w:r>
      <w:r w:rsidRPr="00001AC8">
        <w:rPr>
          <w:rFonts w:ascii="Arial" w:eastAsia="Times New Roman" w:hAnsi="Arial" w:cs="Arial"/>
          <w:i/>
          <w:sz w:val="20"/>
          <w:szCs w:val="20"/>
          <w:lang w:eastAsia="sl-SI"/>
        </w:rPr>
        <w:t>: Učinkovitost izvršbe po vrstah dajatev v letu 20</w:t>
      </w:r>
      <w:r>
        <w:rPr>
          <w:rFonts w:ascii="Arial" w:eastAsia="Times New Roman" w:hAnsi="Arial" w:cs="Arial"/>
          <w:i/>
          <w:sz w:val="20"/>
          <w:szCs w:val="20"/>
          <w:lang w:eastAsia="sl-SI"/>
        </w:rPr>
        <w:t>21</w:t>
      </w:r>
      <w:r w:rsidRPr="00001AC8">
        <w:rPr>
          <w:rFonts w:ascii="Arial" w:eastAsia="Times New Roman" w:hAnsi="Arial" w:cs="Arial"/>
          <w:i/>
          <w:sz w:val="20"/>
          <w:szCs w:val="20"/>
          <w:lang w:eastAsia="sl-SI"/>
        </w:rPr>
        <w:t xml:space="preserve"> (zneski v EUR)</w:t>
      </w:r>
    </w:p>
    <w:tbl>
      <w:tblPr>
        <w:tblW w:w="9880" w:type="dxa"/>
        <w:tblInd w:w="-1" w:type="dxa"/>
        <w:tblCellMar>
          <w:left w:w="70" w:type="dxa"/>
          <w:right w:w="70" w:type="dxa"/>
        </w:tblCellMar>
        <w:tblLook w:val="04A0" w:firstRow="1" w:lastRow="0" w:firstColumn="1" w:lastColumn="0" w:noHBand="0" w:noVBand="1"/>
      </w:tblPr>
      <w:tblGrid>
        <w:gridCol w:w="3080"/>
        <w:gridCol w:w="2120"/>
        <w:gridCol w:w="1580"/>
        <w:gridCol w:w="1700"/>
        <w:gridCol w:w="1400"/>
      </w:tblGrid>
      <w:tr w:rsidR="004B7622" w:rsidRPr="00E23845" w14:paraId="10AC570E" w14:textId="77777777" w:rsidTr="00377989">
        <w:trPr>
          <w:trHeight w:val="720"/>
        </w:trPr>
        <w:tc>
          <w:tcPr>
            <w:tcW w:w="3080" w:type="dxa"/>
            <w:tcBorders>
              <w:top w:val="single" w:sz="4" w:space="0" w:color="auto"/>
              <w:left w:val="single" w:sz="4" w:space="0" w:color="auto"/>
              <w:bottom w:val="single" w:sz="4" w:space="0" w:color="auto"/>
              <w:right w:val="single" w:sz="4" w:space="0" w:color="auto"/>
            </w:tcBorders>
            <w:shd w:val="clear" w:color="auto" w:fill="31849B"/>
            <w:vAlign w:val="center"/>
            <w:hideMark/>
          </w:tcPr>
          <w:p w14:paraId="0786C958" w14:textId="77777777" w:rsidR="004B7622" w:rsidRPr="00E23845" w:rsidRDefault="004B7622" w:rsidP="00377989">
            <w:pPr>
              <w:rPr>
                <w:rFonts w:ascii="Arial" w:eastAsia="Times New Roman" w:hAnsi="Arial" w:cs="Arial"/>
                <w:b/>
                <w:bCs/>
                <w:color w:val="FFFFFF"/>
                <w:sz w:val="18"/>
                <w:szCs w:val="18"/>
                <w:lang w:eastAsia="sl-SI"/>
              </w:rPr>
            </w:pPr>
            <w:r w:rsidRPr="00E23845">
              <w:rPr>
                <w:rFonts w:ascii="Arial" w:eastAsia="Times New Roman" w:hAnsi="Arial" w:cs="Arial"/>
                <w:b/>
                <w:bCs/>
                <w:color w:val="FFFFFF"/>
                <w:sz w:val="18"/>
                <w:szCs w:val="18"/>
                <w:lang w:eastAsia="sl-SI"/>
              </w:rPr>
              <w:t>Vrsta obveznosti</w:t>
            </w:r>
          </w:p>
        </w:tc>
        <w:tc>
          <w:tcPr>
            <w:tcW w:w="2120" w:type="dxa"/>
            <w:tcBorders>
              <w:top w:val="single" w:sz="4" w:space="0" w:color="auto"/>
              <w:left w:val="nil"/>
              <w:bottom w:val="single" w:sz="4" w:space="0" w:color="auto"/>
              <w:right w:val="single" w:sz="4" w:space="0" w:color="auto"/>
            </w:tcBorders>
            <w:shd w:val="clear" w:color="auto" w:fill="31849B"/>
            <w:vAlign w:val="center"/>
            <w:hideMark/>
          </w:tcPr>
          <w:p w14:paraId="58E6E12D" w14:textId="77777777" w:rsidR="004B7622" w:rsidRPr="00E23845" w:rsidRDefault="004B7622" w:rsidP="00377989">
            <w:pPr>
              <w:jc w:val="center"/>
              <w:rPr>
                <w:rFonts w:ascii="Arial" w:eastAsia="Times New Roman" w:hAnsi="Arial" w:cs="Arial"/>
                <w:b/>
                <w:bCs/>
                <w:color w:val="FFFFFF"/>
                <w:sz w:val="18"/>
                <w:szCs w:val="18"/>
                <w:lang w:eastAsia="sl-SI"/>
              </w:rPr>
            </w:pPr>
            <w:r w:rsidRPr="00E23845">
              <w:rPr>
                <w:rFonts w:ascii="Arial" w:eastAsia="Times New Roman" w:hAnsi="Arial" w:cs="Arial"/>
                <w:b/>
                <w:bCs/>
                <w:color w:val="FFFFFF"/>
                <w:sz w:val="18"/>
                <w:szCs w:val="18"/>
                <w:lang w:eastAsia="sl-SI"/>
              </w:rPr>
              <w:t>Znesek terjanega dolga po izdanih sklepih</w:t>
            </w:r>
          </w:p>
        </w:tc>
        <w:tc>
          <w:tcPr>
            <w:tcW w:w="1580" w:type="dxa"/>
            <w:tcBorders>
              <w:top w:val="single" w:sz="4" w:space="0" w:color="auto"/>
              <w:left w:val="nil"/>
              <w:bottom w:val="single" w:sz="4" w:space="0" w:color="auto"/>
              <w:right w:val="single" w:sz="4" w:space="0" w:color="auto"/>
            </w:tcBorders>
            <w:shd w:val="clear" w:color="auto" w:fill="31849B"/>
            <w:vAlign w:val="center"/>
            <w:hideMark/>
          </w:tcPr>
          <w:p w14:paraId="2C595BA2" w14:textId="77777777" w:rsidR="004B7622" w:rsidRPr="00E23845" w:rsidRDefault="004B7622" w:rsidP="00377989">
            <w:pPr>
              <w:jc w:val="center"/>
              <w:rPr>
                <w:rFonts w:ascii="Arial" w:eastAsia="Times New Roman" w:hAnsi="Arial" w:cs="Arial"/>
                <w:b/>
                <w:bCs/>
                <w:color w:val="FFFFFF"/>
                <w:sz w:val="18"/>
                <w:szCs w:val="18"/>
                <w:lang w:eastAsia="sl-SI"/>
              </w:rPr>
            </w:pPr>
            <w:r>
              <w:rPr>
                <w:rFonts w:ascii="Arial" w:eastAsia="Times New Roman" w:hAnsi="Arial" w:cs="Arial"/>
                <w:b/>
                <w:bCs/>
                <w:color w:val="FFFFFF"/>
                <w:sz w:val="18"/>
                <w:szCs w:val="18"/>
                <w:lang w:eastAsia="sl-SI"/>
              </w:rPr>
              <w:t>odstotka</w:t>
            </w:r>
            <w:r w:rsidRPr="00E23845">
              <w:rPr>
                <w:rFonts w:ascii="Arial" w:eastAsia="Times New Roman" w:hAnsi="Arial" w:cs="Arial"/>
                <w:b/>
                <w:bCs/>
                <w:color w:val="FFFFFF"/>
                <w:sz w:val="18"/>
                <w:szCs w:val="18"/>
                <w:lang w:eastAsia="sl-SI"/>
              </w:rPr>
              <w:t xml:space="preserve"> v znesku dolga po izdanih sklepih</w:t>
            </w:r>
          </w:p>
        </w:tc>
        <w:tc>
          <w:tcPr>
            <w:tcW w:w="1700" w:type="dxa"/>
            <w:tcBorders>
              <w:top w:val="single" w:sz="4" w:space="0" w:color="auto"/>
              <w:left w:val="nil"/>
              <w:bottom w:val="single" w:sz="4" w:space="0" w:color="auto"/>
              <w:right w:val="single" w:sz="4" w:space="0" w:color="auto"/>
            </w:tcBorders>
            <w:shd w:val="clear" w:color="auto" w:fill="31849B"/>
            <w:vAlign w:val="center"/>
            <w:hideMark/>
          </w:tcPr>
          <w:p w14:paraId="7B1D18FC" w14:textId="77777777" w:rsidR="004B7622" w:rsidRPr="00E23845" w:rsidRDefault="004B7622" w:rsidP="00377989">
            <w:pPr>
              <w:jc w:val="center"/>
              <w:rPr>
                <w:rFonts w:ascii="Arial" w:eastAsia="Times New Roman" w:hAnsi="Arial" w:cs="Arial"/>
                <w:b/>
                <w:bCs/>
                <w:color w:val="FFFFFF"/>
                <w:sz w:val="18"/>
                <w:szCs w:val="18"/>
                <w:lang w:eastAsia="sl-SI"/>
              </w:rPr>
            </w:pPr>
            <w:r w:rsidRPr="00E23845">
              <w:rPr>
                <w:rFonts w:ascii="Arial" w:eastAsia="Times New Roman" w:hAnsi="Arial" w:cs="Arial"/>
                <w:b/>
                <w:bCs/>
                <w:color w:val="FFFFFF"/>
                <w:sz w:val="18"/>
                <w:szCs w:val="18"/>
                <w:lang w:eastAsia="sl-SI"/>
              </w:rPr>
              <w:t>Plačila po izdanih sklepih</w:t>
            </w:r>
          </w:p>
        </w:tc>
        <w:tc>
          <w:tcPr>
            <w:tcW w:w="1400" w:type="dxa"/>
            <w:tcBorders>
              <w:top w:val="single" w:sz="4" w:space="0" w:color="auto"/>
              <w:left w:val="nil"/>
              <w:bottom w:val="single" w:sz="4" w:space="0" w:color="auto"/>
              <w:right w:val="single" w:sz="4" w:space="0" w:color="auto"/>
            </w:tcBorders>
            <w:shd w:val="clear" w:color="auto" w:fill="31849B"/>
            <w:vAlign w:val="center"/>
            <w:hideMark/>
          </w:tcPr>
          <w:p w14:paraId="26547229" w14:textId="77777777" w:rsidR="004B7622" w:rsidRPr="00E23845" w:rsidRDefault="004B7622" w:rsidP="00377989">
            <w:pPr>
              <w:jc w:val="center"/>
              <w:rPr>
                <w:rFonts w:ascii="Arial" w:eastAsia="Times New Roman" w:hAnsi="Arial" w:cs="Arial"/>
                <w:b/>
                <w:bCs/>
                <w:color w:val="FFFFFF"/>
                <w:sz w:val="18"/>
                <w:szCs w:val="18"/>
                <w:lang w:eastAsia="sl-SI"/>
              </w:rPr>
            </w:pPr>
            <w:r>
              <w:rPr>
                <w:rFonts w:ascii="Arial" w:eastAsia="Times New Roman" w:hAnsi="Arial" w:cs="Arial"/>
                <w:b/>
                <w:bCs/>
                <w:color w:val="FFFFFF"/>
                <w:sz w:val="18"/>
                <w:szCs w:val="18"/>
                <w:lang w:eastAsia="sl-SI"/>
              </w:rPr>
              <w:t>odstotka</w:t>
            </w:r>
            <w:r w:rsidRPr="00E23845">
              <w:rPr>
                <w:rFonts w:ascii="Arial" w:eastAsia="Times New Roman" w:hAnsi="Arial" w:cs="Arial"/>
                <w:b/>
                <w:bCs/>
                <w:color w:val="FFFFFF"/>
                <w:sz w:val="18"/>
                <w:szCs w:val="18"/>
                <w:lang w:eastAsia="sl-SI"/>
              </w:rPr>
              <w:t xml:space="preserve"> plačil po sklepih</w:t>
            </w:r>
          </w:p>
        </w:tc>
      </w:tr>
      <w:tr w:rsidR="004B7622" w:rsidRPr="00E23845" w14:paraId="244FBE07" w14:textId="77777777" w:rsidTr="00377989">
        <w:trPr>
          <w:trHeight w:val="405"/>
        </w:trPr>
        <w:tc>
          <w:tcPr>
            <w:tcW w:w="3080" w:type="dxa"/>
            <w:tcBorders>
              <w:top w:val="nil"/>
              <w:left w:val="single" w:sz="4" w:space="0" w:color="auto"/>
              <w:bottom w:val="single" w:sz="4" w:space="0" w:color="auto"/>
              <w:right w:val="single" w:sz="4" w:space="0" w:color="auto"/>
            </w:tcBorders>
            <w:vAlign w:val="center"/>
            <w:hideMark/>
          </w:tcPr>
          <w:p w14:paraId="3E94647D" w14:textId="77777777" w:rsidR="004B7622" w:rsidRPr="00E23845" w:rsidRDefault="004B7622" w:rsidP="00377989">
            <w:pPr>
              <w:rPr>
                <w:rFonts w:ascii="Arial" w:eastAsia="Times New Roman" w:hAnsi="Arial" w:cs="Arial"/>
                <w:sz w:val="18"/>
                <w:szCs w:val="18"/>
                <w:lang w:eastAsia="sl-SI"/>
              </w:rPr>
            </w:pPr>
            <w:r w:rsidRPr="00E23845">
              <w:rPr>
                <w:rFonts w:ascii="Arial" w:eastAsia="Times New Roman" w:hAnsi="Arial" w:cs="Arial"/>
                <w:sz w:val="18"/>
                <w:szCs w:val="18"/>
                <w:lang w:eastAsia="sl-SI"/>
              </w:rPr>
              <w:t>Prispevki za socialno varnost</w:t>
            </w:r>
          </w:p>
        </w:tc>
        <w:tc>
          <w:tcPr>
            <w:tcW w:w="2120" w:type="dxa"/>
            <w:tcBorders>
              <w:top w:val="nil"/>
              <w:left w:val="nil"/>
              <w:bottom w:val="single" w:sz="4" w:space="0" w:color="auto"/>
              <w:right w:val="single" w:sz="4" w:space="0" w:color="auto"/>
            </w:tcBorders>
            <w:shd w:val="clear" w:color="auto" w:fill="DAEEF3"/>
            <w:vAlign w:val="center"/>
            <w:hideMark/>
          </w:tcPr>
          <w:p w14:paraId="5DDFF649" w14:textId="77777777" w:rsidR="004B7622" w:rsidRPr="00E23845" w:rsidRDefault="004B7622" w:rsidP="00377989">
            <w:pPr>
              <w:jc w:val="right"/>
              <w:rPr>
                <w:rFonts w:ascii="Arial" w:eastAsia="Times New Roman" w:hAnsi="Arial" w:cs="Arial"/>
                <w:sz w:val="18"/>
                <w:szCs w:val="18"/>
                <w:lang w:eastAsia="sl-SI"/>
              </w:rPr>
            </w:pPr>
            <w:r w:rsidRPr="00E23845">
              <w:rPr>
                <w:rFonts w:ascii="Arial" w:eastAsia="Times New Roman" w:hAnsi="Arial" w:cs="Arial"/>
                <w:sz w:val="18"/>
                <w:szCs w:val="18"/>
                <w:lang w:eastAsia="sl-SI"/>
              </w:rPr>
              <w:t>152.477.335</w:t>
            </w:r>
          </w:p>
        </w:tc>
        <w:tc>
          <w:tcPr>
            <w:tcW w:w="1580" w:type="dxa"/>
            <w:tcBorders>
              <w:top w:val="nil"/>
              <w:left w:val="nil"/>
              <w:bottom w:val="single" w:sz="4" w:space="0" w:color="auto"/>
              <w:right w:val="single" w:sz="4" w:space="0" w:color="auto"/>
            </w:tcBorders>
            <w:vAlign w:val="center"/>
            <w:hideMark/>
          </w:tcPr>
          <w:p w14:paraId="73F8376B" w14:textId="77777777" w:rsidR="004B7622" w:rsidRPr="00E23845" w:rsidRDefault="004B7622" w:rsidP="00377989">
            <w:pPr>
              <w:jc w:val="right"/>
              <w:rPr>
                <w:rFonts w:ascii="Arial" w:eastAsia="Times New Roman" w:hAnsi="Arial" w:cs="Arial"/>
                <w:sz w:val="18"/>
                <w:szCs w:val="18"/>
                <w:lang w:eastAsia="sl-SI"/>
              </w:rPr>
            </w:pPr>
            <w:r w:rsidRPr="00E23845">
              <w:rPr>
                <w:rFonts w:ascii="Arial" w:eastAsia="Times New Roman" w:hAnsi="Arial" w:cs="Arial"/>
                <w:sz w:val="18"/>
                <w:szCs w:val="18"/>
                <w:lang w:eastAsia="sl-SI"/>
              </w:rPr>
              <w:t>32,2</w:t>
            </w:r>
          </w:p>
        </w:tc>
        <w:tc>
          <w:tcPr>
            <w:tcW w:w="1700" w:type="dxa"/>
            <w:tcBorders>
              <w:top w:val="nil"/>
              <w:left w:val="nil"/>
              <w:bottom w:val="single" w:sz="4" w:space="0" w:color="auto"/>
              <w:right w:val="single" w:sz="4" w:space="0" w:color="auto"/>
            </w:tcBorders>
            <w:shd w:val="clear" w:color="auto" w:fill="DAEEF3"/>
            <w:vAlign w:val="center"/>
            <w:hideMark/>
          </w:tcPr>
          <w:p w14:paraId="1472E91A" w14:textId="77777777" w:rsidR="004B7622" w:rsidRPr="00E23845" w:rsidRDefault="004B7622" w:rsidP="00377989">
            <w:pPr>
              <w:jc w:val="right"/>
              <w:rPr>
                <w:rFonts w:ascii="Arial" w:eastAsia="Times New Roman" w:hAnsi="Arial" w:cs="Arial"/>
                <w:sz w:val="18"/>
                <w:szCs w:val="18"/>
                <w:lang w:eastAsia="sl-SI"/>
              </w:rPr>
            </w:pPr>
            <w:r w:rsidRPr="00E23845">
              <w:rPr>
                <w:rFonts w:ascii="Arial" w:eastAsia="Times New Roman" w:hAnsi="Arial" w:cs="Arial"/>
                <w:sz w:val="18"/>
                <w:szCs w:val="18"/>
                <w:lang w:eastAsia="sl-SI"/>
              </w:rPr>
              <w:t>44.514.152</w:t>
            </w:r>
          </w:p>
        </w:tc>
        <w:tc>
          <w:tcPr>
            <w:tcW w:w="1400" w:type="dxa"/>
            <w:tcBorders>
              <w:top w:val="nil"/>
              <w:left w:val="nil"/>
              <w:bottom w:val="single" w:sz="4" w:space="0" w:color="auto"/>
              <w:right w:val="single" w:sz="4" w:space="0" w:color="auto"/>
            </w:tcBorders>
            <w:vAlign w:val="center"/>
            <w:hideMark/>
          </w:tcPr>
          <w:p w14:paraId="17654D36" w14:textId="77777777" w:rsidR="004B7622" w:rsidRPr="00E23845" w:rsidRDefault="004B7622" w:rsidP="00377989">
            <w:pPr>
              <w:jc w:val="right"/>
              <w:rPr>
                <w:rFonts w:ascii="Arial" w:eastAsia="Times New Roman" w:hAnsi="Arial" w:cs="Arial"/>
                <w:sz w:val="18"/>
                <w:szCs w:val="18"/>
                <w:lang w:eastAsia="sl-SI"/>
              </w:rPr>
            </w:pPr>
            <w:r w:rsidRPr="00E23845">
              <w:rPr>
                <w:rFonts w:ascii="Arial" w:eastAsia="Times New Roman" w:hAnsi="Arial" w:cs="Arial"/>
                <w:sz w:val="18"/>
                <w:szCs w:val="18"/>
                <w:lang w:eastAsia="sl-SI"/>
              </w:rPr>
              <w:t>39,6</w:t>
            </w:r>
          </w:p>
        </w:tc>
      </w:tr>
      <w:tr w:rsidR="004B7622" w:rsidRPr="00E23845" w14:paraId="15D7E215" w14:textId="77777777" w:rsidTr="00377989">
        <w:trPr>
          <w:trHeight w:val="405"/>
        </w:trPr>
        <w:tc>
          <w:tcPr>
            <w:tcW w:w="3080" w:type="dxa"/>
            <w:tcBorders>
              <w:top w:val="nil"/>
              <w:left w:val="single" w:sz="4" w:space="0" w:color="auto"/>
              <w:bottom w:val="single" w:sz="4" w:space="0" w:color="auto"/>
              <w:right w:val="single" w:sz="4" w:space="0" w:color="auto"/>
            </w:tcBorders>
            <w:vAlign w:val="center"/>
            <w:hideMark/>
          </w:tcPr>
          <w:p w14:paraId="2239C8DE" w14:textId="77777777" w:rsidR="004B7622" w:rsidRPr="00E23845" w:rsidRDefault="004B7622" w:rsidP="00377989">
            <w:pPr>
              <w:rPr>
                <w:rFonts w:ascii="Arial" w:eastAsia="Times New Roman" w:hAnsi="Arial" w:cs="Arial"/>
                <w:sz w:val="18"/>
                <w:szCs w:val="18"/>
                <w:lang w:eastAsia="sl-SI"/>
              </w:rPr>
            </w:pPr>
            <w:r w:rsidRPr="00E23845">
              <w:rPr>
                <w:rFonts w:ascii="Arial" w:eastAsia="Times New Roman" w:hAnsi="Arial" w:cs="Arial"/>
                <w:sz w:val="18"/>
                <w:szCs w:val="18"/>
                <w:lang w:eastAsia="sl-SI"/>
              </w:rPr>
              <w:t>Domači davki na blago in storitve</w:t>
            </w:r>
          </w:p>
        </w:tc>
        <w:tc>
          <w:tcPr>
            <w:tcW w:w="2120" w:type="dxa"/>
            <w:tcBorders>
              <w:top w:val="nil"/>
              <w:left w:val="nil"/>
              <w:bottom w:val="single" w:sz="4" w:space="0" w:color="auto"/>
              <w:right w:val="single" w:sz="4" w:space="0" w:color="auto"/>
            </w:tcBorders>
            <w:shd w:val="clear" w:color="auto" w:fill="DAEEF3"/>
            <w:vAlign w:val="center"/>
            <w:hideMark/>
          </w:tcPr>
          <w:p w14:paraId="1DDBBA94" w14:textId="77777777" w:rsidR="004B7622" w:rsidRPr="00E23845" w:rsidRDefault="004B7622" w:rsidP="00377989">
            <w:pPr>
              <w:jc w:val="right"/>
              <w:rPr>
                <w:rFonts w:ascii="Arial" w:eastAsia="Times New Roman" w:hAnsi="Arial" w:cs="Arial"/>
                <w:sz w:val="18"/>
                <w:szCs w:val="18"/>
                <w:lang w:eastAsia="sl-SI"/>
              </w:rPr>
            </w:pPr>
            <w:r w:rsidRPr="00E23845">
              <w:rPr>
                <w:rFonts w:ascii="Arial" w:eastAsia="Times New Roman" w:hAnsi="Arial" w:cs="Arial"/>
                <w:sz w:val="18"/>
                <w:szCs w:val="18"/>
                <w:lang w:eastAsia="sl-SI"/>
              </w:rPr>
              <w:t>128.299.934</w:t>
            </w:r>
          </w:p>
        </w:tc>
        <w:tc>
          <w:tcPr>
            <w:tcW w:w="1580" w:type="dxa"/>
            <w:tcBorders>
              <w:top w:val="nil"/>
              <w:left w:val="nil"/>
              <w:bottom w:val="single" w:sz="4" w:space="0" w:color="auto"/>
              <w:right w:val="single" w:sz="4" w:space="0" w:color="auto"/>
            </w:tcBorders>
            <w:vAlign w:val="center"/>
            <w:hideMark/>
          </w:tcPr>
          <w:p w14:paraId="11916FA6" w14:textId="77777777" w:rsidR="004B7622" w:rsidRPr="00E23845" w:rsidRDefault="004B7622" w:rsidP="00377989">
            <w:pPr>
              <w:jc w:val="right"/>
              <w:rPr>
                <w:rFonts w:ascii="Arial" w:eastAsia="Times New Roman" w:hAnsi="Arial" w:cs="Arial"/>
                <w:sz w:val="18"/>
                <w:szCs w:val="18"/>
                <w:lang w:eastAsia="sl-SI"/>
              </w:rPr>
            </w:pPr>
            <w:r w:rsidRPr="00E23845">
              <w:rPr>
                <w:rFonts w:ascii="Arial" w:eastAsia="Times New Roman" w:hAnsi="Arial" w:cs="Arial"/>
                <w:sz w:val="18"/>
                <w:szCs w:val="18"/>
                <w:lang w:eastAsia="sl-SI"/>
              </w:rPr>
              <w:t>27,1</w:t>
            </w:r>
          </w:p>
        </w:tc>
        <w:tc>
          <w:tcPr>
            <w:tcW w:w="1700" w:type="dxa"/>
            <w:tcBorders>
              <w:top w:val="nil"/>
              <w:left w:val="nil"/>
              <w:bottom w:val="single" w:sz="4" w:space="0" w:color="auto"/>
              <w:right w:val="single" w:sz="4" w:space="0" w:color="auto"/>
            </w:tcBorders>
            <w:shd w:val="clear" w:color="auto" w:fill="DAEEF3"/>
            <w:vAlign w:val="center"/>
            <w:hideMark/>
          </w:tcPr>
          <w:p w14:paraId="1374E968" w14:textId="77777777" w:rsidR="004B7622" w:rsidRPr="00E23845" w:rsidRDefault="004B7622" w:rsidP="00377989">
            <w:pPr>
              <w:jc w:val="right"/>
              <w:rPr>
                <w:rFonts w:ascii="Arial" w:eastAsia="Times New Roman" w:hAnsi="Arial" w:cs="Arial"/>
                <w:sz w:val="18"/>
                <w:szCs w:val="18"/>
                <w:lang w:eastAsia="sl-SI"/>
              </w:rPr>
            </w:pPr>
            <w:r w:rsidRPr="00E23845">
              <w:rPr>
                <w:rFonts w:ascii="Arial" w:eastAsia="Times New Roman" w:hAnsi="Arial" w:cs="Arial"/>
                <w:sz w:val="18"/>
                <w:szCs w:val="18"/>
                <w:lang w:eastAsia="sl-SI"/>
              </w:rPr>
              <w:t>27.654.118</w:t>
            </w:r>
          </w:p>
        </w:tc>
        <w:tc>
          <w:tcPr>
            <w:tcW w:w="1400" w:type="dxa"/>
            <w:tcBorders>
              <w:top w:val="nil"/>
              <w:left w:val="nil"/>
              <w:bottom w:val="single" w:sz="4" w:space="0" w:color="auto"/>
              <w:right w:val="single" w:sz="4" w:space="0" w:color="auto"/>
            </w:tcBorders>
            <w:vAlign w:val="center"/>
            <w:hideMark/>
          </w:tcPr>
          <w:p w14:paraId="072AF3CE" w14:textId="77777777" w:rsidR="004B7622" w:rsidRPr="00E23845" w:rsidRDefault="004B7622" w:rsidP="00377989">
            <w:pPr>
              <w:jc w:val="right"/>
              <w:rPr>
                <w:rFonts w:ascii="Arial" w:eastAsia="Times New Roman" w:hAnsi="Arial" w:cs="Arial"/>
                <w:sz w:val="18"/>
                <w:szCs w:val="18"/>
                <w:lang w:eastAsia="sl-SI"/>
              </w:rPr>
            </w:pPr>
            <w:r w:rsidRPr="00E23845">
              <w:rPr>
                <w:rFonts w:ascii="Arial" w:eastAsia="Times New Roman" w:hAnsi="Arial" w:cs="Arial"/>
                <w:sz w:val="18"/>
                <w:szCs w:val="18"/>
                <w:lang w:eastAsia="sl-SI"/>
              </w:rPr>
              <w:t>24,6</w:t>
            </w:r>
          </w:p>
        </w:tc>
      </w:tr>
      <w:tr w:rsidR="004B7622" w:rsidRPr="00E23845" w14:paraId="03CA7D06" w14:textId="77777777" w:rsidTr="00377989">
        <w:trPr>
          <w:trHeight w:val="390"/>
        </w:trPr>
        <w:tc>
          <w:tcPr>
            <w:tcW w:w="3080" w:type="dxa"/>
            <w:tcBorders>
              <w:top w:val="nil"/>
              <w:left w:val="single" w:sz="4" w:space="0" w:color="auto"/>
              <w:bottom w:val="single" w:sz="4" w:space="0" w:color="auto"/>
              <w:right w:val="single" w:sz="4" w:space="0" w:color="auto"/>
            </w:tcBorders>
            <w:vAlign w:val="center"/>
            <w:hideMark/>
          </w:tcPr>
          <w:p w14:paraId="1608F49B" w14:textId="77777777" w:rsidR="004B7622" w:rsidRPr="00E23845" w:rsidRDefault="004B7622" w:rsidP="00377989">
            <w:pPr>
              <w:rPr>
                <w:rFonts w:ascii="Arial" w:eastAsia="Times New Roman" w:hAnsi="Arial" w:cs="Arial"/>
                <w:sz w:val="18"/>
                <w:szCs w:val="18"/>
                <w:lang w:eastAsia="sl-SI"/>
              </w:rPr>
            </w:pPr>
            <w:r w:rsidRPr="00E23845">
              <w:rPr>
                <w:rFonts w:ascii="Arial" w:eastAsia="Times New Roman" w:hAnsi="Arial" w:cs="Arial"/>
                <w:sz w:val="18"/>
                <w:szCs w:val="18"/>
                <w:lang w:eastAsia="sl-SI"/>
              </w:rPr>
              <w:t>Davki na dohodek in dobiček</w:t>
            </w:r>
          </w:p>
        </w:tc>
        <w:tc>
          <w:tcPr>
            <w:tcW w:w="2120" w:type="dxa"/>
            <w:tcBorders>
              <w:top w:val="nil"/>
              <w:left w:val="nil"/>
              <w:bottom w:val="single" w:sz="4" w:space="0" w:color="auto"/>
              <w:right w:val="single" w:sz="4" w:space="0" w:color="auto"/>
            </w:tcBorders>
            <w:shd w:val="clear" w:color="auto" w:fill="DAEEF3"/>
            <w:vAlign w:val="center"/>
            <w:hideMark/>
          </w:tcPr>
          <w:p w14:paraId="709CA1E4" w14:textId="77777777" w:rsidR="004B7622" w:rsidRPr="00E23845" w:rsidRDefault="004B7622" w:rsidP="00377989">
            <w:pPr>
              <w:jc w:val="right"/>
              <w:rPr>
                <w:rFonts w:ascii="Arial" w:eastAsia="Times New Roman" w:hAnsi="Arial" w:cs="Arial"/>
                <w:sz w:val="18"/>
                <w:szCs w:val="18"/>
                <w:lang w:eastAsia="sl-SI"/>
              </w:rPr>
            </w:pPr>
            <w:r w:rsidRPr="00E23845">
              <w:rPr>
                <w:rFonts w:ascii="Arial" w:eastAsia="Times New Roman" w:hAnsi="Arial" w:cs="Arial"/>
                <w:sz w:val="18"/>
                <w:szCs w:val="18"/>
                <w:lang w:eastAsia="sl-SI"/>
              </w:rPr>
              <w:t>147.612.632</w:t>
            </w:r>
          </w:p>
        </w:tc>
        <w:tc>
          <w:tcPr>
            <w:tcW w:w="1580" w:type="dxa"/>
            <w:tcBorders>
              <w:top w:val="nil"/>
              <w:left w:val="nil"/>
              <w:bottom w:val="single" w:sz="4" w:space="0" w:color="auto"/>
              <w:right w:val="single" w:sz="4" w:space="0" w:color="auto"/>
            </w:tcBorders>
            <w:vAlign w:val="center"/>
            <w:hideMark/>
          </w:tcPr>
          <w:p w14:paraId="43FBA1E3" w14:textId="77777777" w:rsidR="004B7622" w:rsidRPr="00E23845" w:rsidRDefault="004B7622" w:rsidP="00377989">
            <w:pPr>
              <w:jc w:val="right"/>
              <w:rPr>
                <w:rFonts w:ascii="Arial" w:eastAsia="Times New Roman" w:hAnsi="Arial" w:cs="Arial"/>
                <w:sz w:val="18"/>
                <w:szCs w:val="18"/>
                <w:lang w:eastAsia="sl-SI"/>
              </w:rPr>
            </w:pPr>
            <w:r w:rsidRPr="00E23845">
              <w:rPr>
                <w:rFonts w:ascii="Arial" w:eastAsia="Times New Roman" w:hAnsi="Arial" w:cs="Arial"/>
                <w:sz w:val="18"/>
                <w:szCs w:val="18"/>
                <w:lang w:eastAsia="sl-SI"/>
              </w:rPr>
              <w:t>31,1</w:t>
            </w:r>
          </w:p>
        </w:tc>
        <w:tc>
          <w:tcPr>
            <w:tcW w:w="1700" w:type="dxa"/>
            <w:tcBorders>
              <w:top w:val="nil"/>
              <w:left w:val="nil"/>
              <w:bottom w:val="single" w:sz="4" w:space="0" w:color="auto"/>
              <w:right w:val="single" w:sz="4" w:space="0" w:color="auto"/>
            </w:tcBorders>
            <w:shd w:val="clear" w:color="auto" w:fill="DAEEF3"/>
            <w:vAlign w:val="center"/>
            <w:hideMark/>
          </w:tcPr>
          <w:p w14:paraId="277E5742" w14:textId="77777777" w:rsidR="004B7622" w:rsidRPr="00E23845" w:rsidRDefault="004B7622" w:rsidP="00377989">
            <w:pPr>
              <w:jc w:val="right"/>
              <w:rPr>
                <w:rFonts w:ascii="Arial" w:eastAsia="Times New Roman" w:hAnsi="Arial" w:cs="Arial"/>
                <w:sz w:val="18"/>
                <w:szCs w:val="18"/>
                <w:lang w:eastAsia="sl-SI"/>
              </w:rPr>
            </w:pPr>
            <w:r w:rsidRPr="00E23845">
              <w:rPr>
                <w:rFonts w:ascii="Arial" w:eastAsia="Times New Roman" w:hAnsi="Arial" w:cs="Arial"/>
                <w:sz w:val="18"/>
                <w:szCs w:val="18"/>
                <w:lang w:eastAsia="sl-SI"/>
              </w:rPr>
              <w:t>30.212.415</w:t>
            </w:r>
          </w:p>
        </w:tc>
        <w:tc>
          <w:tcPr>
            <w:tcW w:w="1400" w:type="dxa"/>
            <w:tcBorders>
              <w:top w:val="nil"/>
              <w:left w:val="nil"/>
              <w:bottom w:val="single" w:sz="4" w:space="0" w:color="auto"/>
              <w:right w:val="single" w:sz="4" w:space="0" w:color="auto"/>
            </w:tcBorders>
            <w:vAlign w:val="center"/>
            <w:hideMark/>
          </w:tcPr>
          <w:p w14:paraId="34E657FE" w14:textId="77777777" w:rsidR="004B7622" w:rsidRPr="00E23845" w:rsidRDefault="004B7622" w:rsidP="00377989">
            <w:pPr>
              <w:jc w:val="right"/>
              <w:rPr>
                <w:rFonts w:ascii="Arial" w:eastAsia="Times New Roman" w:hAnsi="Arial" w:cs="Arial"/>
                <w:sz w:val="18"/>
                <w:szCs w:val="18"/>
                <w:lang w:eastAsia="sl-SI"/>
              </w:rPr>
            </w:pPr>
            <w:r w:rsidRPr="00E23845">
              <w:rPr>
                <w:rFonts w:ascii="Arial" w:eastAsia="Times New Roman" w:hAnsi="Arial" w:cs="Arial"/>
                <w:sz w:val="18"/>
                <w:szCs w:val="18"/>
                <w:lang w:eastAsia="sl-SI"/>
              </w:rPr>
              <w:t>26,9</w:t>
            </w:r>
          </w:p>
        </w:tc>
      </w:tr>
      <w:tr w:rsidR="004B7622" w:rsidRPr="00E23845" w14:paraId="6E118765" w14:textId="77777777" w:rsidTr="00377989">
        <w:trPr>
          <w:trHeight w:val="360"/>
        </w:trPr>
        <w:tc>
          <w:tcPr>
            <w:tcW w:w="3080" w:type="dxa"/>
            <w:tcBorders>
              <w:top w:val="nil"/>
              <w:left w:val="single" w:sz="4" w:space="0" w:color="auto"/>
              <w:bottom w:val="single" w:sz="4" w:space="0" w:color="auto"/>
              <w:right w:val="single" w:sz="4" w:space="0" w:color="auto"/>
            </w:tcBorders>
            <w:vAlign w:val="center"/>
            <w:hideMark/>
          </w:tcPr>
          <w:p w14:paraId="0A2B092E" w14:textId="77777777" w:rsidR="004B7622" w:rsidRPr="00E23845" w:rsidRDefault="004B7622" w:rsidP="00377989">
            <w:pPr>
              <w:rPr>
                <w:rFonts w:ascii="Arial" w:eastAsia="Times New Roman" w:hAnsi="Arial" w:cs="Arial"/>
                <w:sz w:val="18"/>
                <w:szCs w:val="18"/>
                <w:lang w:eastAsia="sl-SI"/>
              </w:rPr>
            </w:pPr>
            <w:r w:rsidRPr="00E23845">
              <w:rPr>
                <w:rFonts w:ascii="Arial" w:eastAsia="Times New Roman" w:hAnsi="Arial" w:cs="Arial"/>
                <w:sz w:val="18"/>
                <w:szCs w:val="18"/>
                <w:lang w:eastAsia="sl-SI"/>
              </w:rPr>
              <w:t>Davki na premoženje</w:t>
            </w:r>
          </w:p>
        </w:tc>
        <w:tc>
          <w:tcPr>
            <w:tcW w:w="2120" w:type="dxa"/>
            <w:tcBorders>
              <w:top w:val="nil"/>
              <w:left w:val="nil"/>
              <w:bottom w:val="single" w:sz="4" w:space="0" w:color="auto"/>
              <w:right w:val="single" w:sz="4" w:space="0" w:color="auto"/>
            </w:tcBorders>
            <w:shd w:val="clear" w:color="auto" w:fill="DAEEF3"/>
            <w:vAlign w:val="center"/>
            <w:hideMark/>
          </w:tcPr>
          <w:p w14:paraId="300BCD74" w14:textId="77777777" w:rsidR="004B7622" w:rsidRPr="00E23845" w:rsidRDefault="004B7622" w:rsidP="00377989">
            <w:pPr>
              <w:jc w:val="right"/>
              <w:rPr>
                <w:rFonts w:ascii="Arial" w:eastAsia="Times New Roman" w:hAnsi="Arial" w:cs="Arial"/>
                <w:sz w:val="18"/>
                <w:szCs w:val="18"/>
                <w:lang w:eastAsia="sl-SI"/>
              </w:rPr>
            </w:pPr>
            <w:r w:rsidRPr="00E23845">
              <w:rPr>
                <w:rFonts w:ascii="Arial" w:eastAsia="Times New Roman" w:hAnsi="Arial" w:cs="Arial"/>
                <w:sz w:val="18"/>
                <w:szCs w:val="18"/>
                <w:lang w:eastAsia="sl-SI"/>
              </w:rPr>
              <w:t>8.875.813</w:t>
            </w:r>
          </w:p>
        </w:tc>
        <w:tc>
          <w:tcPr>
            <w:tcW w:w="1580" w:type="dxa"/>
            <w:tcBorders>
              <w:top w:val="nil"/>
              <w:left w:val="nil"/>
              <w:bottom w:val="single" w:sz="4" w:space="0" w:color="auto"/>
              <w:right w:val="single" w:sz="4" w:space="0" w:color="auto"/>
            </w:tcBorders>
            <w:vAlign w:val="center"/>
            <w:hideMark/>
          </w:tcPr>
          <w:p w14:paraId="4FD5A744" w14:textId="77777777" w:rsidR="004B7622" w:rsidRPr="00E23845" w:rsidRDefault="004B7622" w:rsidP="00377989">
            <w:pPr>
              <w:jc w:val="right"/>
              <w:rPr>
                <w:rFonts w:ascii="Arial" w:eastAsia="Times New Roman" w:hAnsi="Arial" w:cs="Arial"/>
                <w:sz w:val="18"/>
                <w:szCs w:val="18"/>
                <w:lang w:eastAsia="sl-SI"/>
              </w:rPr>
            </w:pPr>
            <w:r w:rsidRPr="00E23845">
              <w:rPr>
                <w:rFonts w:ascii="Arial" w:eastAsia="Times New Roman" w:hAnsi="Arial" w:cs="Arial"/>
                <w:sz w:val="18"/>
                <w:szCs w:val="18"/>
                <w:lang w:eastAsia="sl-SI"/>
              </w:rPr>
              <w:t>1,9</w:t>
            </w:r>
          </w:p>
        </w:tc>
        <w:tc>
          <w:tcPr>
            <w:tcW w:w="1700" w:type="dxa"/>
            <w:tcBorders>
              <w:top w:val="nil"/>
              <w:left w:val="nil"/>
              <w:bottom w:val="single" w:sz="4" w:space="0" w:color="auto"/>
              <w:right w:val="single" w:sz="4" w:space="0" w:color="auto"/>
            </w:tcBorders>
            <w:shd w:val="clear" w:color="auto" w:fill="DAEEF3"/>
            <w:vAlign w:val="center"/>
            <w:hideMark/>
          </w:tcPr>
          <w:p w14:paraId="527ECA85" w14:textId="77777777" w:rsidR="004B7622" w:rsidRPr="00E23845" w:rsidRDefault="004B7622" w:rsidP="00377989">
            <w:pPr>
              <w:jc w:val="right"/>
              <w:rPr>
                <w:rFonts w:ascii="Arial" w:eastAsia="Times New Roman" w:hAnsi="Arial" w:cs="Arial"/>
                <w:sz w:val="18"/>
                <w:szCs w:val="18"/>
                <w:lang w:eastAsia="sl-SI"/>
              </w:rPr>
            </w:pPr>
            <w:r w:rsidRPr="00E23845">
              <w:rPr>
                <w:rFonts w:ascii="Arial" w:eastAsia="Times New Roman" w:hAnsi="Arial" w:cs="Arial"/>
                <w:sz w:val="18"/>
                <w:szCs w:val="18"/>
                <w:lang w:eastAsia="sl-SI"/>
              </w:rPr>
              <w:t>4.145.710</w:t>
            </w:r>
          </w:p>
        </w:tc>
        <w:tc>
          <w:tcPr>
            <w:tcW w:w="1400" w:type="dxa"/>
            <w:tcBorders>
              <w:top w:val="nil"/>
              <w:left w:val="nil"/>
              <w:bottom w:val="single" w:sz="4" w:space="0" w:color="auto"/>
              <w:right w:val="single" w:sz="4" w:space="0" w:color="auto"/>
            </w:tcBorders>
            <w:vAlign w:val="center"/>
            <w:hideMark/>
          </w:tcPr>
          <w:p w14:paraId="652C42F4" w14:textId="77777777" w:rsidR="004B7622" w:rsidRPr="00E23845" w:rsidRDefault="004B7622" w:rsidP="00377989">
            <w:pPr>
              <w:jc w:val="right"/>
              <w:rPr>
                <w:rFonts w:ascii="Arial" w:eastAsia="Times New Roman" w:hAnsi="Arial" w:cs="Arial"/>
                <w:sz w:val="18"/>
                <w:szCs w:val="18"/>
                <w:lang w:eastAsia="sl-SI"/>
              </w:rPr>
            </w:pPr>
            <w:r w:rsidRPr="00E23845">
              <w:rPr>
                <w:rFonts w:ascii="Arial" w:eastAsia="Times New Roman" w:hAnsi="Arial" w:cs="Arial"/>
                <w:sz w:val="18"/>
                <w:szCs w:val="18"/>
                <w:lang w:eastAsia="sl-SI"/>
              </w:rPr>
              <w:t>3,7</w:t>
            </w:r>
          </w:p>
        </w:tc>
      </w:tr>
      <w:tr w:rsidR="004B7622" w:rsidRPr="00E23845" w14:paraId="50D6903C" w14:textId="77777777" w:rsidTr="00377989">
        <w:trPr>
          <w:trHeight w:val="360"/>
        </w:trPr>
        <w:tc>
          <w:tcPr>
            <w:tcW w:w="3080" w:type="dxa"/>
            <w:tcBorders>
              <w:top w:val="nil"/>
              <w:left w:val="single" w:sz="4" w:space="0" w:color="auto"/>
              <w:bottom w:val="single" w:sz="4" w:space="0" w:color="auto"/>
              <w:right w:val="single" w:sz="4" w:space="0" w:color="auto"/>
            </w:tcBorders>
            <w:vAlign w:val="center"/>
            <w:hideMark/>
          </w:tcPr>
          <w:p w14:paraId="31841817" w14:textId="77777777" w:rsidR="004B7622" w:rsidRPr="00E23845" w:rsidRDefault="004B7622" w:rsidP="00377989">
            <w:pPr>
              <w:rPr>
                <w:rFonts w:ascii="Arial" w:eastAsia="Times New Roman" w:hAnsi="Arial" w:cs="Arial"/>
                <w:sz w:val="18"/>
                <w:szCs w:val="18"/>
                <w:lang w:eastAsia="sl-SI"/>
              </w:rPr>
            </w:pPr>
            <w:r w:rsidRPr="00E23845">
              <w:rPr>
                <w:rFonts w:ascii="Arial" w:eastAsia="Times New Roman" w:hAnsi="Arial" w:cs="Arial"/>
                <w:sz w:val="18"/>
                <w:szCs w:val="18"/>
                <w:lang w:eastAsia="sl-SI"/>
              </w:rPr>
              <w:t>Ostali davki</w:t>
            </w:r>
          </w:p>
        </w:tc>
        <w:tc>
          <w:tcPr>
            <w:tcW w:w="2120" w:type="dxa"/>
            <w:tcBorders>
              <w:top w:val="nil"/>
              <w:left w:val="nil"/>
              <w:bottom w:val="single" w:sz="4" w:space="0" w:color="auto"/>
              <w:right w:val="single" w:sz="4" w:space="0" w:color="auto"/>
            </w:tcBorders>
            <w:shd w:val="clear" w:color="auto" w:fill="DAEEF3"/>
            <w:vAlign w:val="center"/>
            <w:hideMark/>
          </w:tcPr>
          <w:p w14:paraId="339D0180" w14:textId="77777777" w:rsidR="004B7622" w:rsidRPr="00E23845" w:rsidRDefault="004B7622" w:rsidP="00377989">
            <w:pPr>
              <w:jc w:val="right"/>
              <w:rPr>
                <w:rFonts w:ascii="Arial" w:eastAsia="Times New Roman" w:hAnsi="Arial" w:cs="Arial"/>
                <w:sz w:val="18"/>
                <w:szCs w:val="18"/>
                <w:lang w:eastAsia="sl-SI"/>
              </w:rPr>
            </w:pPr>
            <w:r w:rsidRPr="00E23845">
              <w:rPr>
                <w:rFonts w:ascii="Arial" w:eastAsia="Times New Roman" w:hAnsi="Arial" w:cs="Arial"/>
                <w:sz w:val="18"/>
                <w:szCs w:val="18"/>
                <w:lang w:eastAsia="sl-SI"/>
              </w:rPr>
              <w:t>36.721.349</w:t>
            </w:r>
          </w:p>
        </w:tc>
        <w:tc>
          <w:tcPr>
            <w:tcW w:w="1580" w:type="dxa"/>
            <w:tcBorders>
              <w:top w:val="nil"/>
              <w:left w:val="nil"/>
              <w:bottom w:val="single" w:sz="4" w:space="0" w:color="auto"/>
              <w:right w:val="single" w:sz="4" w:space="0" w:color="auto"/>
            </w:tcBorders>
            <w:vAlign w:val="center"/>
            <w:hideMark/>
          </w:tcPr>
          <w:p w14:paraId="294F487E" w14:textId="77777777" w:rsidR="004B7622" w:rsidRPr="00E23845" w:rsidRDefault="004B7622" w:rsidP="00377989">
            <w:pPr>
              <w:jc w:val="right"/>
              <w:rPr>
                <w:rFonts w:ascii="Arial" w:eastAsia="Times New Roman" w:hAnsi="Arial" w:cs="Arial"/>
                <w:sz w:val="18"/>
                <w:szCs w:val="18"/>
                <w:lang w:eastAsia="sl-SI"/>
              </w:rPr>
            </w:pPr>
            <w:r w:rsidRPr="00E23845">
              <w:rPr>
                <w:rFonts w:ascii="Arial" w:eastAsia="Times New Roman" w:hAnsi="Arial" w:cs="Arial"/>
                <w:sz w:val="18"/>
                <w:szCs w:val="18"/>
                <w:lang w:eastAsia="sl-SI"/>
              </w:rPr>
              <w:t>7,7</w:t>
            </w:r>
          </w:p>
        </w:tc>
        <w:tc>
          <w:tcPr>
            <w:tcW w:w="1700" w:type="dxa"/>
            <w:tcBorders>
              <w:top w:val="nil"/>
              <w:left w:val="nil"/>
              <w:bottom w:val="single" w:sz="4" w:space="0" w:color="auto"/>
              <w:right w:val="single" w:sz="4" w:space="0" w:color="auto"/>
            </w:tcBorders>
            <w:shd w:val="clear" w:color="auto" w:fill="DAEEF3"/>
            <w:vAlign w:val="center"/>
            <w:hideMark/>
          </w:tcPr>
          <w:p w14:paraId="619CDE11" w14:textId="77777777" w:rsidR="004B7622" w:rsidRPr="00E23845" w:rsidRDefault="004B7622" w:rsidP="00377989">
            <w:pPr>
              <w:jc w:val="right"/>
              <w:rPr>
                <w:rFonts w:ascii="Arial" w:eastAsia="Times New Roman" w:hAnsi="Arial" w:cs="Arial"/>
                <w:sz w:val="18"/>
                <w:szCs w:val="18"/>
                <w:lang w:eastAsia="sl-SI"/>
              </w:rPr>
            </w:pPr>
            <w:r w:rsidRPr="00E23845">
              <w:rPr>
                <w:rFonts w:ascii="Arial" w:eastAsia="Times New Roman" w:hAnsi="Arial" w:cs="Arial"/>
                <w:sz w:val="18"/>
                <w:szCs w:val="18"/>
                <w:lang w:eastAsia="sl-SI"/>
              </w:rPr>
              <w:t>5.818.293</w:t>
            </w:r>
          </w:p>
        </w:tc>
        <w:tc>
          <w:tcPr>
            <w:tcW w:w="1400" w:type="dxa"/>
            <w:tcBorders>
              <w:top w:val="nil"/>
              <w:left w:val="nil"/>
              <w:bottom w:val="single" w:sz="4" w:space="0" w:color="auto"/>
              <w:right w:val="single" w:sz="4" w:space="0" w:color="auto"/>
            </w:tcBorders>
            <w:vAlign w:val="center"/>
            <w:hideMark/>
          </w:tcPr>
          <w:p w14:paraId="5A001947" w14:textId="77777777" w:rsidR="004B7622" w:rsidRPr="00E23845" w:rsidRDefault="004B7622" w:rsidP="00377989">
            <w:pPr>
              <w:jc w:val="right"/>
              <w:rPr>
                <w:rFonts w:ascii="Arial" w:eastAsia="Times New Roman" w:hAnsi="Arial" w:cs="Arial"/>
                <w:sz w:val="18"/>
                <w:szCs w:val="18"/>
                <w:lang w:eastAsia="sl-SI"/>
              </w:rPr>
            </w:pPr>
            <w:r w:rsidRPr="00E23845">
              <w:rPr>
                <w:rFonts w:ascii="Arial" w:eastAsia="Times New Roman" w:hAnsi="Arial" w:cs="Arial"/>
                <w:sz w:val="18"/>
                <w:szCs w:val="18"/>
                <w:lang w:eastAsia="sl-SI"/>
              </w:rPr>
              <w:t>5,2</w:t>
            </w:r>
          </w:p>
        </w:tc>
      </w:tr>
      <w:tr w:rsidR="004B7622" w:rsidRPr="00E23845" w14:paraId="4D36314F" w14:textId="77777777" w:rsidTr="00377989">
        <w:trPr>
          <w:trHeight w:val="465"/>
        </w:trPr>
        <w:tc>
          <w:tcPr>
            <w:tcW w:w="3080" w:type="dxa"/>
            <w:tcBorders>
              <w:top w:val="nil"/>
              <w:left w:val="single" w:sz="4" w:space="0" w:color="auto"/>
              <w:bottom w:val="single" w:sz="4" w:space="0" w:color="auto"/>
              <w:right w:val="single" w:sz="4" w:space="0" w:color="auto"/>
            </w:tcBorders>
            <w:shd w:val="clear" w:color="auto" w:fill="31849B"/>
            <w:vAlign w:val="center"/>
            <w:hideMark/>
          </w:tcPr>
          <w:p w14:paraId="526826A9" w14:textId="77777777" w:rsidR="004B7622" w:rsidRPr="00E23845" w:rsidRDefault="004B7622" w:rsidP="00377989">
            <w:pPr>
              <w:rPr>
                <w:rFonts w:ascii="Arial" w:eastAsia="Times New Roman" w:hAnsi="Arial" w:cs="Arial"/>
                <w:b/>
                <w:bCs/>
                <w:color w:val="FFFFFF"/>
                <w:sz w:val="18"/>
                <w:szCs w:val="18"/>
                <w:lang w:eastAsia="sl-SI"/>
              </w:rPr>
            </w:pPr>
            <w:r w:rsidRPr="00E23845">
              <w:rPr>
                <w:rFonts w:ascii="Arial" w:eastAsia="Times New Roman" w:hAnsi="Arial" w:cs="Arial"/>
                <w:b/>
                <w:bCs/>
                <w:color w:val="FFFFFF"/>
                <w:sz w:val="18"/>
                <w:szCs w:val="18"/>
                <w:lang w:eastAsia="sl-SI"/>
              </w:rPr>
              <w:t>Skupaj</w:t>
            </w:r>
          </w:p>
        </w:tc>
        <w:tc>
          <w:tcPr>
            <w:tcW w:w="2120" w:type="dxa"/>
            <w:tcBorders>
              <w:top w:val="nil"/>
              <w:left w:val="nil"/>
              <w:bottom w:val="single" w:sz="4" w:space="0" w:color="auto"/>
              <w:right w:val="single" w:sz="4" w:space="0" w:color="auto"/>
            </w:tcBorders>
            <w:shd w:val="clear" w:color="auto" w:fill="31849B"/>
            <w:vAlign w:val="center"/>
            <w:hideMark/>
          </w:tcPr>
          <w:p w14:paraId="00A00B92" w14:textId="77777777" w:rsidR="004B7622" w:rsidRPr="00E23845" w:rsidRDefault="004B7622" w:rsidP="00377989">
            <w:pPr>
              <w:jc w:val="right"/>
              <w:rPr>
                <w:rFonts w:ascii="Arial" w:eastAsia="Times New Roman" w:hAnsi="Arial" w:cs="Arial"/>
                <w:b/>
                <w:bCs/>
                <w:color w:val="FFFFFF"/>
                <w:sz w:val="18"/>
                <w:szCs w:val="18"/>
                <w:lang w:eastAsia="sl-SI"/>
              </w:rPr>
            </w:pPr>
            <w:r w:rsidRPr="00E23845">
              <w:rPr>
                <w:rFonts w:ascii="Arial" w:eastAsia="Times New Roman" w:hAnsi="Arial" w:cs="Arial"/>
                <w:b/>
                <w:bCs/>
                <w:color w:val="FFFFFF"/>
                <w:sz w:val="18"/>
                <w:szCs w:val="18"/>
                <w:lang w:eastAsia="sl-SI"/>
              </w:rPr>
              <w:t>473.987.062</w:t>
            </w:r>
          </w:p>
        </w:tc>
        <w:tc>
          <w:tcPr>
            <w:tcW w:w="1580" w:type="dxa"/>
            <w:tcBorders>
              <w:top w:val="nil"/>
              <w:left w:val="nil"/>
              <w:bottom w:val="single" w:sz="4" w:space="0" w:color="auto"/>
              <w:right w:val="single" w:sz="4" w:space="0" w:color="auto"/>
            </w:tcBorders>
            <w:shd w:val="clear" w:color="auto" w:fill="31849B"/>
            <w:vAlign w:val="center"/>
            <w:hideMark/>
          </w:tcPr>
          <w:p w14:paraId="16E8A247" w14:textId="77777777" w:rsidR="004B7622" w:rsidRPr="00E23845" w:rsidRDefault="004B7622" w:rsidP="00377989">
            <w:pPr>
              <w:jc w:val="right"/>
              <w:rPr>
                <w:rFonts w:ascii="Arial" w:eastAsia="Times New Roman" w:hAnsi="Arial" w:cs="Arial"/>
                <w:color w:val="FFFFFF"/>
                <w:sz w:val="18"/>
                <w:szCs w:val="18"/>
                <w:lang w:eastAsia="sl-SI"/>
              </w:rPr>
            </w:pPr>
            <w:r w:rsidRPr="00E23845">
              <w:rPr>
                <w:rFonts w:ascii="Arial" w:eastAsia="Times New Roman" w:hAnsi="Arial" w:cs="Arial"/>
                <w:color w:val="FFFFFF"/>
                <w:sz w:val="18"/>
                <w:szCs w:val="18"/>
                <w:lang w:eastAsia="sl-SI"/>
              </w:rPr>
              <w:t> </w:t>
            </w:r>
          </w:p>
        </w:tc>
        <w:tc>
          <w:tcPr>
            <w:tcW w:w="1700" w:type="dxa"/>
            <w:tcBorders>
              <w:top w:val="nil"/>
              <w:left w:val="nil"/>
              <w:bottom w:val="single" w:sz="4" w:space="0" w:color="auto"/>
              <w:right w:val="single" w:sz="4" w:space="0" w:color="auto"/>
            </w:tcBorders>
            <w:shd w:val="clear" w:color="auto" w:fill="31849B"/>
            <w:vAlign w:val="center"/>
            <w:hideMark/>
          </w:tcPr>
          <w:p w14:paraId="75A64725" w14:textId="77777777" w:rsidR="004B7622" w:rsidRPr="00E23845" w:rsidRDefault="004B7622" w:rsidP="00377989">
            <w:pPr>
              <w:jc w:val="right"/>
              <w:rPr>
                <w:rFonts w:ascii="Arial" w:eastAsia="Times New Roman" w:hAnsi="Arial" w:cs="Arial"/>
                <w:b/>
                <w:bCs/>
                <w:color w:val="FFFFFF"/>
                <w:sz w:val="18"/>
                <w:szCs w:val="18"/>
                <w:lang w:eastAsia="sl-SI"/>
              </w:rPr>
            </w:pPr>
            <w:r w:rsidRPr="00E23845">
              <w:rPr>
                <w:rFonts w:ascii="Arial" w:eastAsia="Times New Roman" w:hAnsi="Arial" w:cs="Arial"/>
                <w:b/>
                <w:bCs/>
                <w:color w:val="FFFFFF"/>
                <w:sz w:val="18"/>
                <w:szCs w:val="18"/>
                <w:lang w:eastAsia="sl-SI"/>
              </w:rPr>
              <w:t>112.344.687</w:t>
            </w:r>
          </w:p>
        </w:tc>
        <w:tc>
          <w:tcPr>
            <w:tcW w:w="1400" w:type="dxa"/>
            <w:tcBorders>
              <w:top w:val="nil"/>
              <w:left w:val="nil"/>
              <w:bottom w:val="single" w:sz="4" w:space="0" w:color="auto"/>
              <w:right w:val="single" w:sz="4" w:space="0" w:color="auto"/>
            </w:tcBorders>
            <w:shd w:val="clear" w:color="auto" w:fill="31849B"/>
            <w:vAlign w:val="center"/>
            <w:hideMark/>
          </w:tcPr>
          <w:p w14:paraId="07045B7B" w14:textId="77777777" w:rsidR="004B7622" w:rsidRPr="00E23845" w:rsidRDefault="004B7622" w:rsidP="00377989">
            <w:pPr>
              <w:jc w:val="right"/>
              <w:rPr>
                <w:rFonts w:ascii="Arial" w:eastAsia="Times New Roman" w:hAnsi="Arial" w:cs="Arial"/>
                <w:color w:val="FFFFFF"/>
                <w:sz w:val="18"/>
                <w:szCs w:val="18"/>
                <w:lang w:eastAsia="sl-SI"/>
              </w:rPr>
            </w:pPr>
            <w:r w:rsidRPr="00E23845">
              <w:rPr>
                <w:rFonts w:ascii="Arial" w:eastAsia="Times New Roman" w:hAnsi="Arial" w:cs="Arial"/>
                <w:color w:val="FFFFFF"/>
                <w:sz w:val="18"/>
                <w:szCs w:val="18"/>
                <w:lang w:eastAsia="sl-SI"/>
              </w:rPr>
              <w:t> </w:t>
            </w:r>
          </w:p>
        </w:tc>
      </w:tr>
    </w:tbl>
    <w:p w14:paraId="330E834F" w14:textId="77777777" w:rsidR="004B7622" w:rsidRPr="00534703" w:rsidRDefault="004B7622" w:rsidP="004B7622">
      <w:pPr>
        <w:rPr>
          <w:rFonts w:ascii="Arial" w:hAnsi="Arial" w:cs="Arial"/>
          <w:i/>
          <w:sz w:val="20"/>
          <w:szCs w:val="20"/>
        </w:rPr>
      </w:pPr>
      <w:r w:rsidRPr="00534703">
        <w:rPr>
          <w:rFonts w:ascii="Arial" w:hAnsi="Arial" w:cs="Arial"/>
          <w:i/>
          <w:sz w:val="20"/>
          <w:szCs w:val="20"/>
        </w:rPr>
        <w:t>Vir: FURS</w:t>
      </w:r>
    </w:p>
    <w:p w14:paraId="4ED03ED9" w14:textId="77777777" w:rsidR="004B7622" w:rsidRDefault="004B7622" w:rsidP="004B7622">
      <w:pPr>
        <w:jc w:val="both"/>
        <w:rPr>
          <w:rFonts w:ascii="Arial" w:eastAsia="Times New Roman" w:hAnsi="Arial" w:cs="Arial"/>
          <w:b/>
          <w:sz w:val="20"/>
          <w:szCs w:val="20"/>
          <w:lang w:eastAsia="sl-SI"/>
        </w:rPr>
      </w:pPr>
      <w:r w:rsidRPr="0094063C">
        <w:rPr>
          <w:rFonts w:ascii="Arial" w:eastAsia="Times New Roman" w:hAnsi="Arial" w:cs="Arial"/>
          <w:b/>
          <w:sz w:val="20"/>
          <w:szCs w:val="20"/>
          <w:lang w:eastAsia="sl-SI"/>
        </w:rPr>
        <w:t>Izvršba na dolžnikove premičnine</w:t>
      </w:r>
    </w:p>
    <w:p w14:paraId="2607D9CF" w14:textId="77777777" w:rsidR="004B7622" w:rsidRPr="008A2473" w:rsidRDefault="004B7622" w:rsidP="004B7622">
      <w:pPr>
        <w:jc w:val="both"/>
        <w:rPr>
          <w:rFonts w:ascii="Arial" w:eastAsia="Times New Roman" w:hAnsi="Arial" w:cs="Arial"/>
          <w:sz w:val="20"/>
          <w:szCs w:val="20"/>
          <w:lang w:eastAsia="sl-SI"/>
        </w:rPr>
      </w:pPr>
      <w:r w:rsidRPr="008A2473">
        <w:rPr>
          <w:rFonts w:ascii="Arial" w:eastAsia="Times New Roman" w:hAnsi="Arial" w:cs="Arial"/>
          <w:sz w:val="20"/>
          <w:szCs w:val="20"/>
          <w:lang w:eastAsia="sl-SI"/>
        </w:rPr>
        <w:t xml:space="preserve">V letu 2021 je bilo v postopkih davčne izvršbe zarubljenih 1.990 premičnin, ocenjenih na 8.276.325 </w:t>
      </w:r>
      <w:r>
        <w:rPr>
          <w:rFonts w:ascii="Arial" w:eastAsia="Times New Roman" w:hAnsi="Arial" w:cs="Arial"/>
          <w:sz w:val="20"/>
          <w:szCs w:val="20"/>
          <w:lang w:eastAsia="sl-SI"/>
        </w:rPr>
        <w:t>EUR</w:t>
      </w:r>
      <w:r w:rsidRPr="008A2473">
        <w:rPr>
          <w:rFonts w:ascii="Arial" w:eastAsia="Times New Roman" w:hAnsi="Arial" w:cs="Arial"/>
          <w:sz w:val="20"/>
          <w:szCs w:val="20"/>
          <w:lang w:eastAsia="sl-SI"/>
        </w:rPr>
        <w:t xml:space="preserve">. Največ je bilo rubežev motornih vozil, in sicer 795 oziroma 39,9 </w:t>
      </w:r>
      <w:r w:rsidRPr="007B0E38">
        <w:rPr>
          <w:rFonts w:ascii="Arial" w:eastAsia="Times New Roman" w:hAnsi="Arial" w:cs="Arial"/>
          <w:sz w:val="20"/>
          <w:szCs w:val="20"/>
          <w:lang w:eastAsia="sl-SI"/>
        </w:rPr>
        <w:t xml:space="preserve">odstotka </w:t>
      </w:r>
      <w:r w:rsidRPr="008A2473">
        <w:rPr>
          <w:rFonts w:ascii="Arial" w:eastAsia="Times New Roman" w:hAnsi="Arial" w:cs="Arial"/>
          <w:sz w:val="20"/>
          <w:szCs w:val="20"/>
          <w:lang w:eastAsia="sl-SI"/>
        </w:rPr>
        <w:t xml:space="preserve">vseh ter rubežev gotovine 712 (35,8 </w:t>
      </w:r>
      <w:r w:rsidRPr="007B0E38">
        <w:rPr>
          <w:rFonts w:ascii="Arial" w:eastAsia="Times New Roman" w:hAnsi="Arial" w:cs="Arial"/>
          <w:sz w:val="20"/>
          <w:szCs w:val="20"/>
          <w:lang w:eastAsia="sl-SI"/>
        </w:rPr>
        <w:t>odstotka</w:t>
      </w:r>
      <w:r w:rsidRPr="008A2473">
        <w:rPr>
          <w:rFonts w:ascii="Arial" w:eastAsia="Times New Roman" w:hAnsi="Arial" w:cs="Arial"/>
          <w:sz w:val="20"/>
          <w:szCs w:val="20"/>
          <w:lang w:eastAsia="sl-SI"/>
        </w:rPr>
        <w:t xml:space="preserve">). 266 (13,4 </w:t>
      </w:r>
      <w:r w:rsidRPr="007B0E38">
        <w:rPr>
          <w:rFonts w:ascii="Arial" w:eastAsia="Times New Roman" w:hAnsi="Arial" w:cs="Arial"/>
          <w:sz w:val="20"/>
          <w:szCs w:val="20"/>
          <w:lang w:eastAsia="sl-SI"/>
        </w:rPr>
        <w:t>odstotk</w:t>
      </w:r>
      <w:r>
        <w:rPr>
          <w:rFonts w:ascii="Arial" w:eastAsia="Times New Roman" w:hAnsi="Arial" w:cs="Arial"/>
          <w:sz w:val="20"/>
          <w:szCs w:val="20"/>
          <w:lang w:eastAsia="sl-SI"/>
        </w:rPr>
        <w:t>a</w:t>
      </w:r>
      <w:r w:rsidRPr="008A2473">
        <w:rPr>
          <w:rFonts w:ascii="Arial" w:eastAsia="Times New Roman" w:hAnsi="Arial" w:cs="Arial"/>
          <w:sz w:val="20"/>
          <w:szCs w:val="20"/>
          <w:lang w:eastAsia="sl-SI"/>
        </w:rPr>
        <w:t xml:space="preserve">) je bilo rubežev osnovnih sredstev, 204 (10,3 </w:t>
      </w:r>
      <w:r w:rsidRPr="007B0E38">
        <w:rPr>
          <w:rFonts w:ascii="Arial" w:eastAsia="Times New Roman" w:hAnsi="Arial" w:cs="Arial"/>
          <w:sz w:val="20"/>
          <w:szCs w:val="20"/>
          <w:lang w:eastAsia="sl-SI"/>
        </w:rPr>
        <w:t>odstotka</w:t>
      </w:r>
      <w:r w:rsidRPr="008A2473">
        <w:rPr>
          <w:rFonts w:ascii="Arial" w:eastAsia="Times New Roman" w:hAnsi="Arial" w:cs="Arial"/>
          <w:sz w:val="20"/>
          <w:szCs w:val="20"/>
          <w:lang w:eastAsia="sl-SI"/>
        </w:rPr>
        <w:t xml:space="preserve">) rubežev trgovskega blaga </w:t>
      </w:r>
      <w:r w:rsidRPr="007B0E38">
        <w:rPr>
          <w:rFonts w:ascii="Arial" w:eastAsia="Times New Roman" w:hAnsi="Arial" w:cs="Arial"/>
          <w:sz w:val="20"/>
          <w:szCs w:val="20"/>
          <w:lang w:eastAsia="sl-SI"/>
        </w:rPr>
        <w:t xml:space="preserve">in 13 (0,6 </w:t>
      </w:r>
      <w:r w:rsidRPr="007B0E38">
        <w:rPr>
          <w:rFonts w:ascii="Arial" w:hAnsi="Arial" w:cs="Arial"/>
          <w:sz w:val="20"/>
          <w:szCs w:val="20"/>
        </w:rPr>
        <w:t>odstotka</w:t>
      </w:r>
      <w:r w:rsidRPr="007B0E38">
        <w:rPr>
          <w:rFonts w:ascii="Arial" w:eastAsia="Times New Roman" w:hAnsi="Arial" w:cs="Arial"/>
          <w:sz w:val="20"/>
          <w:szCs w:val="20"/>
          <w:lang w:eastAsia="sl-SI"/>
        </w:rPr>
        <w:t>) rubežev drugih</w:t>
      </w:r>
      <w:r w:rsidRPr="008A2473">
        <w:rPr>
          <w:rFonts w:ascii="Arial" w:eastAsia="Times New Roman" w:hAnsi="Arial" w:cs="Arial"/>
          <w:sz w:val="20"/>
          <w:szCs w:val="20"/>
          <w:lang w:eastAsia="sl-SI"/>
        </w:rPr>
        <w:t xml:space="preserve"> premičnin. Vrednostni papirji v letu 2021 niso bili zarubljeni. </w:t>
      </w:r>
    </w:p>
    <w:p w14:paraId="163B9EE9" w14:textId="77777777" w:rsidR="004B7622" w:rsidRPr="00087025" w:rsidRDefault="004B7622" w:rsidP="004B7622">
      <w:pPr>
        <w:jc w:val="both"/>
        <w:rPr>
          <w:rFonts w:ascii="Arial" w:eastAsia="Times New Roman" w:hAnsi="Arial" w:cs="Arial"/>
          <w:i/>
          <w:sz w:val="20"/>
          <w:szCs w:val="20"/>
          <w:lang w:eastAsia="sl-SI"/>
        </w:rPr>
      </w:pPr>
      <w:r w:rsidRPr="00087025">
        <w:rPr>
          <w:rFonts w:ascii="Arial" w:eastAsia="Times New Roman" w:hAnsi="Arial" w:cs="Arial"/>
          <w:i/>
          <w:sz w:val="20"/>
          <w:szCs w:val="20"/>
          <w:lang w:eastAsia="sl-SI"/>
        </w:rPr>
        <w:t>Slika</w:t>
      </w:r>
      <w:r>
        <w:rPr>
          <w:rFonts w:ascii="Arial" w:eastAsia="Times New Roman" w:hAnsi="Arial" w:cs="Arial"/>
          <w:i/>
          <w:sz w:val="20"/>
          <w:szCs w:val="20"/>
          <w:lang w:eastAsia="sl-SI"/>
        </w:rPr>
        <w:t xml:space="preserve"> 9:</w:t>
      </w:r>
      <w:r w:rsidRPr="00087025">
        <w:rPr>
          <w:rFonts w:ascii="Arial" w:eastAsia="Times New Roman" w:hAnsi="Arial" w:cs="Arial"/>
          <w:i/>
          <w:sz w:val="20"/>
          <w:szCs w:val="20"/>
          <w:lang w:eastAsia="sl-SI"/>
        </w:rPr>
        <w:t xml:space="preserve"> Število zarubljenih premičnin po vrstah zarubljenih predmetov v letu 20</w:t>
      </w:r>
      <w:r>
        <w:rPr>
          <w:rFonts w:ascii="Arial" w:eastAsia="Times New Roman" w:hAnsi="Arial" w:cs="Arial"/>
          <w:i/>
          <w:sz w:val="20"/>
          <w:szCs w:val="20"/>
          <w:lang w:eastAsia="sl-SI"/>
        </w:rPr>
        <w:t>21</w:t>
      </w:r>
    </w:p>
    <w:p w14:paraId="084C19C7" w14:textId="77777777" w:rsidR="004B7622" w:rsidRDefault="004B7622" w:rsidP="004B7622">
      <w:pPr>
        <w:jc w:val="both"/>
        <w:rPr>
          <w:noProof/>
          <w:lang w:eastAsia="sl-SI"/>
        </w:rPr>
      </w:pPr>
      <w:r>
        <w:rPr>
          <w:noProof/>
          <w:lang w:eastAsia="sl-SI"/>
        </w:rPr>
        <w:drawing>
          <wp:inline distT="0" distB="0" distL="0" distR="0" wp14:anchorId="77548F0E" wp14:editId="0200F643">
            <wp:extent cx="4717473" cy="2705100"/>
            <wp:effectExtent l="0" t="0" r="6985" b="0"/>
            <wp:docPr id="25" name="Grafikon 25">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A85A58E" w14:textId="77777777" w:rsidR="004B7622" w:rsidRPr="00087025" w:rsidRDefault="004B7622" w:rsidP="004B7622">
      <w:pPr>
        <w:jc w:val="both"/>
        <w:rPr>
          <w:rFonts w:ascii="Arial" w:hAnsi="Arial" w:cs="Arial"/>
          <w:i/>
          <w:sz w:val="20"/>
          <w:szCs w:val="20"/>
        </w:rPr>
      </w:pPr>
      <w:r w:rsidRPr="00087025">
        <w:rPr>
          <w:rFonts w:ascii="Arial" w:hAnsi="Arial" w:cs="Arial"/>
          <w:i/>
          <w:sz w:val="20"/>
          <w:szCs w:val="20"/>
        </w:rPr>
        <w:t>Vir: FURS</w:t>
      </w:r>
    </w:p>
    <w:p w14:paraId="242D369E" w14:textId="77777777" w:rsidR="004B7622" w:rsidRDefault="004B7622" w:rsidP="004B7622">
      <w:pPr>
        <w:pStyle w:val="FURSNavaden"/>
        <w:spacing w:line="260" w:lineRule="exact"/>
        <w:rPr>
          <w:lang w:eastAsia="en-US"/>
        </w:rPr>
      </w:pPr>
      <w:r>
        <w:rPr>
          <w:lang w:eastAsia="en-US"/>
        </w:rPr>
        <w:t>Po začetku postopka davčne izvršbe na premičnine je v izogib prisilne prodaje zarubljenih premičnin 16.071 dolžnikov poravnalo svoj dolg v znesku 21.554.575 EUR. Zarubljene predmete, ocenjene na 2.195.761 EUR, je FURS prodajal na javnih dražbah, z zbiranjem ponudb, z neposrednimi pogodbami, s komisijskimi pogodbami ali tako, da je bilo dolžnikom dano pooblastilo, da zarubljene premičnine prodajo sami. S prodajami zarubljenih premičnin je bil poravnan dolg v višini 365.928 EUR.</w:t>
      </w:r>
    </w:p>
    <w:p w14:paraId="759512CD" w14:textId="77777777" w:rsidR="004B7622" w:rsidRDefault="004B7622" w:rsidP="004B7622">
      <w:pPr>
        <w:pStyle w:val="FURSNavaden"/>
        <w:spacing w:line="260" w:lineRule="exact"/>
        <w:rPr>
          <w:lang w:eastAsia="en-US"/>
        </w:rPr>
      </w:pPr>
    </w:p>
    <w:p w14:paraId="72FF46A5" w14:textId="77777777" w:rsidR="004B7622" w:rsidRDefault="004B7622" w:rsidP="004B7622">
      <w:pPr>
        <w:pStyle w:val="FURSNavaden"/>
        <w:spacing w:line="260" w:lineRule="exact"/>
        <w:rPr>
          <w:lang w:eastAsia="en-US"/>
        </w:rPr>
      </w:pPr>
      <w:r>
        <w:rPr>
          <w:lang w:eastAsia="en-US"/>
        </w:rPr>
        <w:lastRenderedPageBreak/>
        <w:t xml:space="preserve">V največ primerih (254) je dolžnik po pooblastilu sam prodajal zarubljene premičnine. To premoženje je bilo ocenjeno na 1.195.013 EUR. V 99 primerih je bila prodaja uspešna in iz tega naslova dosežena kupnina v višini 252.528 EUR. Za prodajo zarubljenega premoženja je bilo oklicanih 52 javnih dražb. Premičnine, ki so bile predmet prodaje na javni dražbi, so bile ocenjene na 831.192 EUR. Uspešnih je bilo 17 javnih dražb, katerih izkupiček je bil 51.950 EUR. </w:t>
      </w:r>
    </w:p>
    <w:p w14:paraId="464611AA" w14:textId="77777777" w:rsidR="004B7622" w:rsidRDefault="004B7622" w:rsidP="004B7622">
      <w:pPr>
        <w:pStyle w:val="FURSNavaden"/>
        <w:spacing w:line="260" w:lineRule="exact"/>
        <w:rPr>
          <w:lang w:eastAsia="en-US"/>
        </w:rPr>
      </w:pPr>
    </w:p>
    <w:p w14:paraId="09208BFD" w14:textId="77777777" w:rsidR="004B7622" w:rsidRDefault="004B7622" w:rsidP="004B7622">
      <w:pPr>
        <w:pStyle w:val="FURSNavaden"/>
        <w:spacing w:line="260" w:lineRule="exact"/>
        <w:rPr>
          <w:lang w:eastAsia="en-US"/>
        </w:rPr>
      </w:pPr>
      <w:r>
        <w:rPr>
          <w:lang w:eastAsia="en-US"/>
        </w:rPr>
        <w:t xml:space="preserve">V letu 2021 je bilo izvedenih tudi 40 prodaj z zbiranjem ponudb za zarubljene predmete, ocenjene na 151.086 EUR. Uspešnih je bilo 23 prodaj, katerih izkupiček je znašal 51.470 EUR. </w:t>
      </w:r>
    </w:p>
    <w:p w14:paraId="40A72B99" w14:textId="77777777" w:rsidR="004B7622" w:rsidRDefault="004B7622" w:rsidP="004B7622">
      <w:pPr>
        <w:pStyle w:val="FURSNavaden"/>
        <w:spacing w:line="260" w:lineRule="exact"/>
        <w:rPr>
          <w:lang w:eastAsia="en-US"/>
        </w:rPr>
      </w:pPr>
    </w:p>
    <w:p w14:paraId="68405962" w14:textId="77777777" w:rsidR="004B7622" w:rsidRDefault="004B7622" w:rsidP="004B7622">
      <w:pPr>
        <w:pStyle w:val="FURSNavaden"/>
        <w:spacing w:line="260" w:lineRule="exact"/>
        <w:rPr>
          <w:lang w:eastAsia="en-US"/>
        </w:rPr>
      </w:pPr>
      <w:r>
        <w:rPr>
          <w:lang w:eastAsia="en-US"/>
        </w:rPr>
        <w:t>Zarubljene premičnine se lahko prodajo tudi z neposredno pogodbo. Ta je dovoljena v primerih prodaje živali, hitro pokvarljivega blaga, premičnin, katerih hramba je povezana z velikimi stroški ter premičnin, za katere ni večjega povpraševanja. V letu 2021 je bilo sklenjenih 8 neposrednih pogodb o prodaji za premičnine, ocenjene na 18.470 EUR. Uspešnih je bilo 5 prodaj z izkupičkom 9.980 EUR.</w:t>
      </w:r>
    </w:p>
    <w:p w14:paraId="07B1E56A" w14:textId="77777777" w:rsidR="004B7622" w:rsidRDefault="004B7622" w:rsidP="004B7622">
      <w:pPr>
        <w:pStyle w:val="FURSNavaden"/>
        <w:spacing w:line="260" w:lineRule="exact"/>
        <w:rPr>
          <w:lang w:eastAsia="en-US"/>
        </w:rPr>
      </w:pPr>
    </w:p>
    <w:p w14:paraId="4EBABAB2" w14:textId="77777777" w:rsidR="004B7622" w:rsidRPr="00087025" w:rsidRDefault="004B7622" w:rsidP="004B7622">
      <w:pPr>
        <w:jc w:val="both"/>
        <w:rPr>
          <w:rFonts w:ascii="Arial" w:eastAsia="Times New Roman" w:hAnsi="Arial" w:cs="Arial"/>
          <w:b/>
          <w:bCs/>
          <w:iCs/>
          <w:sz w:val="20"/>
          <w:szCs w:val="20"/>
          <w:lang w:eastAsia="sl-SI"/>
        </w:rPr>
      </w:pPr>
      <w:r w:rsidRPr="0094063C">
        <w:rPr>
          <w:rFonts w:ascii="Arial" w:eastAsia="Times New Roman" w:hAnsi="Arial" w:cs="Arial"/>
          <w:b/>
          <w:bCs/>
          <w:iCs/>
          <w:sz w:val="20"/>
          <w:szCs w:val="20"/>
          <w:lang w:eastAsia="sl-SI"/>
        </w:rPr>
        <w:t>Predlogi sodišču za izvršbo na dolžnikove nepremičnine na podlagi vknjižbe zastavne pravice</w:t>
      </w:r>
      <w:r w:rsidRPr="00087025">
        <w:rPr>
          <w:rFonts w:ascii="Arial" w:eastAsia="Times New Roman" w:hAnsi="Arial" w:cs="Arial"/>
          <w:b/>
          <w:bCs/>
          <w:iCs/>
          <w:sz w:val="20"/>
          <w:szCs w:val="20"/>
          <w:lang w:eastAsia="sl-SI"/>
        </w:rPr>
        <w:t xml:space="preserve"> </w:t>
      </w:r>
    </w:p>
    <w:p w14:paraId="6C99186D" w14:textId="77777777" w:rsidR="004B7622" w:rsidRPr="00331616" w:rsidRDefault="004B7622" w:rsidP="004B7622">
      <w:pPr>
        <w:spacing w:after="0" w:line="260" w:lineRule="atLeast"/>
        <w:jc w:val="both"/>
        <w:rPr>
          <w:rFonts w:ascii="Arial" w:hAnsi="Arial" w:cs="Arial"/>
          <w:noProof/>
          <w:sz w:val="20"/>
          <w:szCs w:val="20"/>
        </w:rPr>
      </w:pPr>
      <w:r w:rsidRPr="00331616">
        <w:rPr>
          <w:rFonts w:ascii="Arial" w:hAnsi="Arial" w:cs="Arial"/>
          <w:noProof/>
          <w:sz w:val="20"/>
          <w:szCs w:val="20"/>
        </w:rPr>
        <w:t>Če dolga ni mogoče izterjati z ukrepi davčne izvršbe po upravni poti (iz dolžnikovih denarnih prejemkov, denarnih sredstev, vrednostnih papirjev ali premičnin) se z izvršbo lahko poseže na nepremičnine ali na poslovni delež dolžnika v družbi. Ta postopek na predlog F</w:t>
      </w:r>
      <w:r>
        <w:rPr>
          <w:rFonts w:ascii="Arial" w:hAnsi="Arial" w:cs="Arial"/>
          <w:noProof/>
          <w:sz w:val="20"/>
          <w:szCs w:val="20"/>
        </w:rPr>
        <w:t xml:space="preserve">URS </w:t>
      </w:r>
      <w:r w:rsidRPr="00331616">
        <w:rPr>
          <w:rFonts w:ascii="Arial" w:hAnsi="Arial" w:cs="Arial"/>
          <w:noProof/>
          <w:sz w:val="20"/>
          <w:szCs w:val="20"/>
        </w:rPr>
        <w:t>oziroma Državnega odvetništva RS vodi sodišče. F</w:t>
      </w:r>
      <w:r>
        <w:rPr>
          <w:rFonts w:ascii="Arial" w:hAnsi="Arial" w:cs="Arial"/>
          <w:noProof/>
          <w:sz w:val="20"/>
          <w:szCs w:val="20"/>
        </w:rPr>
        <w:t xml:space="preserve">URS </w:t>
      </w:r>
      <w:r w:rsidRPr="00331616">
        <w:rPr>
          <w:rFonts w:ascii="Arial" w:hAnsi="Arial" w:cs="Arial"/>
          <w:noProof/>
          <w:sz w:val="20"/>
          <w:szCs w:val="20"/>
        </w:rPr>
        <w:t xml:space="preserve">je preko državnega odvetništva predlagal sodiščem vknjižbo zastavne pravice na dolžnikove nepremičnine, prav tako je podal tudi več predlogov za izvršbo na dolžnikove nepremičnine. </w:t>
      </w:r>
    </w:p>
    <w:p w14:paraId="484AFEAA" w14:textId="77777777" w:rsidR="004B7622" w:rsidRPr="00331616" w:rsidRDefault="004B7622" w:rsidP="004B7622">
      <w:pPr>
        <w:spacing w:after="0" w:line="260" w:lineRule="atLeast"/>
        <w:jc w:val="both"/>
        <w:rPr>
          <w:rFonts w:ascii="Arial" w:hAnsi="Arial" w:cs="Arial"/>
          <w:noProof/>
          <w:sz w:val="20"/>
          <w:szCs w:val="20"/>
        </w:rPr>
      </w:pPr>
    </w:p>
    <w:p w14:paraId="00189D59" w14:textId="77777777" w:rsidR="004B7622" w:rsidRDefault="004B7622" w:rsidP="004B7622">
      <w:pPr>
        <w:spacing w:after="0" w:line="260" w:lineRule="atLeast"/>
        <w:jc w:val="both"/>
        <w:rPr>
          <w:rFonts w:ascii="Arial" w:hAnsi="Arial" w:cs="Arial"/>
          <w:noProof/>
          <w:sz w:val="20"/>
          <w:szCs w:val="20"/>
        </w:rPr>
      </w:pPr>
      <w:r w:rsidRPr="00331616">
        <w:rPr>
          <w:rFonts w:ascii="Arial" w:hAnsi="Arial" w:cs="Arial"/>
          <w:noProof/>
          <w:sz w:val="20"/>
          <w:szCs w:val="20"/>
        </w:rPr>
        <w:t xml:space="preserve">V 285 primerih je bil vložen predlog za izvršbo na dolžnikovo nepremičnino premoženje za dolg v znesku 8.439.298 </w:t>
      </w:r>
      <w:r>
        <w:rPr>
          <w:rFonts w:ascii="Arial" w:hAnsi="Arial" w:cs="Arial"/>
          <w:noProof/>
          <w:sz w:val="20"/>
          <w:szCs w:val="20"/>
        </w:rPr>
        <w:t>EUR</w:t>
      </w:r>
      <w:r w:rsidRPr="00331616">
        <w:rPr>
          <w:rFonts w:ascii="Arial" w:hAnsi="Arial" w:cs="Arial"/>
          <w:noProof/>
          <w:sz w:val="20"/>
          <w:szCs w:val="20"/>
        </w:rPr>
        <w:t xml:space="preserve">. S prodajo nepremičnin v okviru postopka sodne izvršbe je bilo poplačanega za 2.690.055 </w:t>
      </w:r>
      <w:r>
        <w:rPr>
          <w:rFonts w:ascii="Arial" w:hAnsi="Arial" w:cs="Arial"/>
          <w:noProof/>
          <w:sz w:val="20"/>
          <w:szCs w:val="20"/>
        </w:rPr>
        <w:t>EUR</w:t>
      </w:r>
      <w:r w:rsidRPr="00331616">
        <w:rPr>
          <w:rFonts w:ascii="Arial" w:hAnsi="Arial" w:cs="Arial"/>
          <w:noProof/>
          <w:sz w:val="20"/>
          <w:szCs w:val="20"/>
        </w:rPr>
        <w:t xml:space="preserve"> dolga. Ob koncu leta 2021 je bil v izvršbi pri sodiščih dolg v višini 47.267.087 </w:t>
      </w:r>
      <w:r>
        <w:rPr>
          <w:rFonts w:ascii="Arial" w:hAnsi="Arial" w:cs="Arial"/>
          <w:noProof/>
          <w:sz w:val="20"/>
          <w:szCs w:val="20"/>
        </w:rPr>
        <w:t>EUR</w:t>
      </w:r>
      <w:r w:rsidRPr="00331616">
        <w:rPr>
          <w:rFonts w:ascii="Arial" w:hAnsi="Arial" w:cs="Arial"/>
          <w:noProof/>
          <w:sz w:val="20"/>
          <w:szCs w:val="20"/>
        </w:rPr>
        <w:t xml:space="preserve">. </w:t>
      </w:r>
    </w:p>
    <w:p w14:paraId="4B590DCA" w14:textId="77777777" w:rsidR="004B7622" w:rsidRDefault="004B7622" w:rsidP="004B7622">
      <w:pPr>
        <w:spacing w:after="0" w:line="260" w:lineRule="atLeast"/>
        <w:jc w:val="both"/>
        <w:rPr>
          <w:rFonts w:ascii="Arial" w:hAnsi="Arial" w:cs="Arial"/>
          <w:noProof/>
          <w:sz w:val="20"/>
          <w:szCs w:val="20"/>
        </w:rPr>
      </w:pPr>
    </w:p>
    <w:p w14:paraId="3272C98A" w14:textId="77777777" w:rsidR="004B7622" w:rsidRDefault="004B7622" w:rsidP="004B7622">
      <w:pPr>
        <w:jc w:val="both"/>
        <w:rPr>
          <w:rFonts w:ascii="Arial" w:eastAsia="Times New Roman" w:hAnsi="Arial" w:cs="Arial"/>
          <w:i/>
          <w:sz w:val="20"/>
          <w:szCs w:val="20"/>
          <w:lang w:eastAsia="sl-SI"/>
        </w:rPr>
      </w:pPr>
      <w:r w:rsidRPr="00087025">
        <w:rPr>
          <w:rFonts w:ascii="Arial" w:eastAsia="Times New Roman" w:hAnsi="Arial" w:cs="Arial"/>
          <w:i/>
          <w:sz w:val="20"/>
          <w:szCs w:val="20"/>
          <w:lang w:eastAsia="sl-SI"/>
        </w:rPr>
        <w:t>Preglednica 1</w:t>
      </w:r>
      <w:r>
        <w:rPr>
          <w:rFonts w:ascii="Arial" w:eastAsia="Times New Roman" w:hAnsi="Arial" w:cs="Arial"/>
          <w:i/>
          <w:sz w:val="20"/>
          <w:szCs w:val="20"/>
          <w:lang w:eastAsia="sl-SI"/>
        </w:rPr>
        <w:t>8</w:t>
      </w:r>
      <w:r w:rsidRPr="00087025">
        <w:rPr>
          <w:rFonts w:ascii="Arial" w:eastAsia="Times New Roman" w:hAnsi="Arial" w:cs="Arial"/>
          <w:i/>
          <w:sz w:val="20"/>
          <w:szCs w:val="20"/>
          <w:lang w:eastAsia="sl-SI"/>
        </w:rPr>
        <w:t>: Izvršba na dolžnikovo nepremično premoženje (zneski v EUR)</w:t>
      </w:r>
    </w:p>
    <w:tbl>
      <w:tblPr>
        <w:tblW w:w="9038" w:type="dxa"/>
        <w:tblCellMar>
          <w:left w:w="70" w:type="dxa"/>
          <w:right w:w="70" w:type="dxa"/>
        </w:tblCellMar>
        <w:tblLook w:val="04A0" w:firstRow="1" w:lastRow="0" w:firstColumn="1" w:lastColumn="0" w:noHBand="0" w:noVBand="1"/>
      </w:tblPr>
      <w:tblGrid>
        <w:gridCol w:w="3242"/>
        <w:gridCol w:w="851"/>
        <w:gridCol w:w="1123"/>
        <w:gridCol w:w="742"/>
        <w:gridCol w:w="1287"/>
        <w:gridCol w:w="832"/>
        <w:gridCol w:w="961"/>
      </w:tblGrid>
      <w:tr w:rsidR="004B7622" w:rsidRPr="00331616" w14:paraId="0E8A4B2A" w14:textId="77777777" w:rsidTr="00377989">
        <w:trPr>
          <w:trHeight w:val="324"/>
        </w:trPr>
        <w:tc>
          <w:tcPr>
            <w:tcW w:w="3242" w:type="dxa"/>
            <w:vMerge w:val="restart"/>
            <w:tcBorders>
              <w:top w:val="single" w:sz="4" w:space="0" w:color="auto"/>
              <w:left w:val="single" w:sz="4" w:space="0" w:color="auto"/>
              <w:bottom w:val="single" w:sz="4" w:space="0" w:color="auto"/>
              <w:right w:val="single" w:sz="4" w:space="0" w:color="auto"/>
            </w:tcBorders>
            <w:shd w:val="clear" w:color="auto" w:fill="31849B"/>
            <w:vAlign w:val="center"/>
            <w:hideMark/>
          </w:tcPr>
          <w:p w14:paraId="78AA7B5C" w14:textId="77777777" w:rsidR="004B7622" w:rsidRPr="00331616" w:rsidRDefault="004B7622" w:rsidP="00377989">
            <w:pPr>
              <w:jc w:val="center"/>
              <w:rPr>
                <w:rFonts w:ascii="Arial" w:eastAsia="Times New Roman" w:hAnsi="Arial" w:cs="Arial"/>
                <w:b/>
                <w:bCs/>
                <w:color w:val="FFFFFF"/>
                <w:sz w:val="18"/>
                <w:szCs w:val="18"/>
                <w:lang w:eastAsia="sl-SI"/>
              </w:rPr>
            </w:pPr>
            <w:r w:rsidRPr="00331616">
              <w:rPr>
                <w:rFonts w:ascii="Arial" w:eastAsia="Times New Roman" w:hAnsi="Arial" w:cs="Arial"/>
                <w:b/>
                <w:bCs/>
                <w:color w:val="FFFFFF"/>
                <w:sz w:val="18"/>
                <w:szCs w:val="18"/>
                <w:lang w:eastAsia="sl-SI"/>
              </w:rPr>
              <w:t>Vsebina postopka</w:t>
            </w:r>
          </w:p>
        </w:tc>
        <w:tc>
          <w:tcPr>
            <w:tcW w:w="1974" w:type="dxa"/>
            <w:gridSpan w:val="2"/>
            <w:tcBorders>
              <w:top w:val="single" w:sz="4" w:space="0" w:color="auto"/>
              <w:left w:val="nil"/>
              <w:bottom w:val="single" w:sz="4" w:space="0" w:color="auto"/>
              <w:right w:val="single" w:sz="4" w:space="0" w:color="000000"/>
            </w:tcBorders>
            <w:shd w:val="clear" w:color="auto" w:fill="31869B"/>
            <w:vAlign w:val="center"/>
            <w:hideMark/>
          </w:tcPr>
          <w:p w14:paraId="3F4B7C85" w14:textId="77777777" w:rsidR="004B7622" w:rsidRPr="00331616" w:rsidRDefault="004B7622" w:rsidP="00377989">
            <w:pPr>
              <w:jc w:val="center"/>
              <w:rPr>
                <w:rFonts w:ascii="Arial" w:eastAsia="Times New Roman" w:hAnsi="Arial" w:cs="Arial"/>
                <w:b/>
                <w:bCs/>
                <w:color w:val="FFFFFF"/>
                <w:sz w:val="18"/>
                <w:szCs w:val="18"/>
                <w:lang w:eastAsia="sl-SI"/>
              </w:rPr>
            </w:pPr>
            <w:r w:rsidRPr="00331616">
              <w:rPr>
                <w:rFonts w:ascii="Arial" w:eastAsia="Times New Roman" w:hAnsi="Arial" w:cs="Arial"/>
                <w:b/>
                <w:bCs/>
                <w:color w:val="FFFFFF"/>
                <w:sz w:val="18"/>
                <w:szCs w:val="18"/>
                <w:lang w:eastAsia="sl-SI"/>
              </w:rPr>
              <w:t>2020</w:t>
            </w:r>
          </w:p>
        </w:tc>
        <w:tc>
          <w:tcPr>
            <w:tcW w:w="2029" w:type="dxa"/>
            <w:gridSpan w:val="2"/>
            <w:tcBorders>
              <w:top w:val="single" w:sz="4" w:space="0" w:color="auto"/>
              <w:left w:val="nil"/>
              <w:bottom w:val="single" w:sz="4" w:space="0" w:color="auto"/>
              <w:right w:val="single" w:sz="4" w:space="0" w:color="000000"/>
            </w:tcBorders>
            <w:shd w:val="clear" w:color="auto" w:fill="31869B"/>
            <w:vAlign w:val="center"/>
            <w:hideMark/>
          </w:tcPr>
          <w:p w14:paraId="4DF4DD25" w14:textId="77777777" w:rsidR="004B7622" w:rsidRPr="00331616" w:rsidRDefault="004B7622" w:rsidP="00377989">
            <w:pPr>
              <w:jc w:val="center"/>
              <w:rPr>
                <w:rFonts w:ascii="Arial" w:eastAsia="Times New Roman" w:hAnsi="Arial" w:cs="Arial"/>
                <w:b/>
                <w:bCs/>
                <w:color w:val="FFFFFF"/>
                <w:sz w:val="18"/>
                <w:szCs w:val="18"/>
                <w:lang w:eastAsia="sl-SI"/>
              </w:rPr>
            </w:pPr>
            <w:r w:rsidRPr="00331616">
              <w:rPr>
                <w:rFonts w:ascii="Arial" w:eastAsia="Times New Roman" w:hAnsi="Arial" w:cs="Arial"/>
                <w:b/>
                <w:bCs/>
                <w:color w:val="FFFFFF"/>
                <w:sz w:val="18"/>
                <w:szCs w:val="18"/>
                <w:lang w:eastAsia="sl-SI"/>
              </w:rPr>
              <w:t>2021</w:t>
            </w:r>
          </w:p>
        </w:tc>
        <w:tc>
          <w:tcPr>
            <w:tcW w:w="1793" w:type="dxa"/>
            <w:gridSpan w:val="2"/>
            <w:tcBorders>
              <w:top w:val="single" w:sz="4" w:space="0" w:color="auto"/>
              <w:left w:val="nil"/>
              <w:bottom w:val="single" w:sz="4" w:space="0" w:color="auto"/>
              <w:right w:val="single" w:sz="4" w:space="0" w:color="auto"/>
            </w:tcBorders>
            <w:shd w:val="clear" w:color="auto" w:fill="31849B"/>
            <w:vAlign w:val="center"/>
            <w:hideMark/>
          </w:tcPr>
          <w:p w14:paraId="45D4C4AF" w14:textId="77777777" w:rsidR="004B7622" w:rsidRPr="00331616" w:rsidRDefault="004B7622" w:rsidP="00377989">
            <w:pPr>
              <w:jc w:val="center"/>
              <w:rPr>
                <w:rFonts w:ascii="Arial" w:eastAsia="Times New Roman" w:hAnsi="Arial" w:cs="Arial"/>
                <w:b/>
                <w:bCs/>
                <w:color w:val="FFFFFF"/>
                <w:sz w:val="18"/>
                <w:szCs w:val="18"/>
                <w:lang w:eastAsia="sl-SI"/>
              </w:rPr>
            </w:pPr>
            <w:r w:rsidRPr="00331616">
              <w:rPr>
                <w:rFonts w:ascii="Arial" w:eastAsia="Times New Roman" w:hAnsi="Arial" w:cs="Arial"/>
                <w:b/>
                <w:bCs/>
                <w:color w:val="FFFFFF"/>
                <w:sz w:val="18"/>
                <w:szCs w:val="18"/>
                <w:lang w:eastAsia="sl-SI"/>
              </w:rPr>
              <w:t>Indeks 2021/2020</w:t>
            </w:r>
          </w:p>
        </w:tc>
      </w:tr>
      <w:tr w:rsidR="004B7622" w:rsidRPr="00331616" w14:paraId="2B44DFDA" w14:textId="77777777" w:rsidTr="00377989">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7238B6" w14:textId="77777777" w:rsidR="004B7622" w:rsidRPr="00331616" w:rsidRDefault="004B7622" w:rsidP="00377989">
            <w:pPr>
              <w:rPr>
                <w:rFonts w:ascii="Arial" w:eastAsia="Times New Roman" w:hAnsi="Arial" w:cs="Arial"/>
                <w:b/>
                <w:bCs/>
                <w:color w:val="FFFFFF"/>
                <w:sz w:val="18"/>
                <w:szCs w:val="18"/>
                <w:lang w:eastAsia="sl-SI"/>
              </w:rPr>
            </w:pPr>
          </w:p>
        </w:tc>
        <w:tc>
          <w:tcPr>
            <w:tcW w:w="851" w:type="dxa"/>
            <w:tcBorders>
              <w:top w:val="nil"/>
              <w:left w:val="nil"/>
              <w:bottom w:val="single" w:sz="4" w:space="0" w:color="auto"/>
              <w:right w:val="single" w:sz="4" w:space="0" w:color="auto"/>
            </w:tcBorders>
            <w:shd w:val="clear" w:color="auto" w:fill="31869B"/>
            <w:vAlign w:val="center"/>
            <w:hideMark/>
          </w:tcPr>
          <w:p w14:paraId="3AF68FA2" w14:textId="77777777" w:rsidR="004B7622" w:rsidRPr="00331616" w:rsidRDefault="004B7622" w:rsidP="00377989">
            <w:pPr>
              <w:jc w:val="center"/>
              <w:rPr>
                <w:rFonts w:ascii="Arial" w:eastAsia="Times New Roman" w:hAnsi="Arial" w:cs="Arial"/>
                <w:b/>
                <w:bCs/>
                <w:color w:val="FFFFFF"/>
                <w:sz w:val="18"/>
                <w:szCs w:val="18"/>
                <w:lang w:eastAsia="sl-SI"/>
              </w:rPr>
            </w:pPr>
            <w:r w:rsidRPr="00331616">
              <w:rPr>
                <w:rFonts w:ascii="Arial" w:eastAsia="Times New Roman" w:hAnsi="Arial" w:cs="Arial"/>
                <w:b/>
                <w:bCs/>
                <w:color w:val="FFFFFF"/>
                <w:sz w:val="18"/>
                <w:szCs w:val="18"/>
                <w:lang w:eastAsia="sl-SI"/>
              </w:rPr>
              <w:t>Število</w:t>
            </w:r>
          </w:p>
        </w:tc>
        <w:tc>
          <w:tcPr>
            <w:tcW w:w="1123" w:type="dxa"/>
            <w:tcBorders>
              <w:top w:val="nil"/>
              <w:left w:val="nil"/>
              <w:bottom w:val="single" w:sz="4" w:space="0" w:color="auto"/>
              <w:right w:val="single" w:sz="4" w:space="0" w:color="auto"/>
            </w:tcBorders>
            <w:shd w:val="clear" w:color="auto" w:fill="31869B"/>
            <w:vAlign w:val="center"/>
            <w:hideMark/>
          </w:tcPr>
          <w:p w14:paraId="1FF11AD0" w14:textId="77777777" w:rsidR="004B7622" w:rsidRPr="00331616" w:rsidRDefault="004B7622" w:rsidP="00377989">
            <w:pPr>
              <w:jc w:val="center"/>
              <w:rPr>
                <w:rFonts w:ascii="Arial" w:eastAsia="Times New Roman" w:hAnsi="Arial" w:cs="Arial"/>
                <w:b/>
                <w:bCs/>
                <w:color w:val="FFFFFF"/>
                <w:sz w:val="18"/>
                <w:szCs w:val="18"/>
                <w:lang w:eastAsia="sl-SI"/>
              </w:rPr>
            </w:pPr>
            <w:r w:rsidRPr="00331616">
              <w:rPr>
                <w:rFonts w:ascii="Arial" w:eastAsia="Times New Roman" w:hAnsi="Arial" w:cs="Arial"/>
                <w:b/>
                <w:bCs/>
                <w:color w:val="FFFFFF"/>
                <w:sz w:val="18"/>
                <w:szCs w:val="18"/>
                <w:lang w:eastAsia="sl-SI"/>
              </w:rPr>
              <w:t xml:space="preserve">Znesek v evrih </w:t>
            </w:r>
          </w:p>
        </w:tc>
        <w:tc>
          <w:tcPr>
            <w:tcW w:w="742" w:type="dxa"/>
            <w:tcBorders>
              <w:top w:val="nil"/>
              <w:left w:val="nil"/>
              <w:bottom w:val="single" w:sz="4" w:space="0" w:color="auto"/>
              <w:right w:val="single" w:sz="4" w:space="0" w:color="auto"/>
            </w:tcBorders>
            <w:shd w:val="clear" w:color="auto" w:fill="31869B"/>
            <w:vAlign w:val="center"/>
            <w:hideMark/>
          </w:tcPr>
          <w:p w14:paraId="7F9E52AF" w14:textId="77777777" w:rsidR="004B7622" w:rsidRPr="00331616" w:rsidRDefault="004B7622" w:rsidP="00377989">
            <w:pPr>
              <w:jc w:val="center"/>
              <w:rPr>
                <w:rFonts w:ascii="Arial" w:eastAsia="Times New Roman" w:hAnsi="Arial" w:cs="Arial"/>
                <w:b/>
                <w:bCs/>
                <w:color w:val="FFFFFF"/>
                <w:sz w:val="18"/>
                <w:szCs w:val="18"/>
                <w:lang w:eastAsia="sl-SI"/>
              </w:rPr>
            </w:pPr>
            <w:r w:rsidRPr="00331616">
              <w:rPr>
                <w:rFonts w:ascii="Arial" w:eastAsia="Times New Roman" w:hAnsi="Arial" w:cs="Arial"/>
                <w:b/>
                <w:bCs/>
                <w:color w:val="FFFFFF"/>
                <w:sz w:val="18"/>
                <w:szCs w:val="18"/>
                <w:lang w:eastAsia="sl-SI"/>
              </w:rPr>
              <w:t>Število</w:t>
            </w:r>
          </w:p>
        </w:tc>
        <w:tc>
          <w:tcPr>
            <w:tcW w:w="1286" w:type="dxa"/>
            <w:tcBorders>
              <w:top w:val="nil"/>
              <w:left w:val="nil"/>
              <w:bottom w:val="single" w:sz="4" w:space="0" w:color="auto"/>
              <w:right w:val="single" w:sz="4" w:space="0" w:color="auto"/>
            </w:tcBorders>
            <w:shd w:val="clear" w:color="auto" w:fill="31869B"/>
            <w:vAlign w:val="center"/>
            <w:hideMark/>
          </w:tcPr>
          <w:p w14:paraId="77D6FB75" w14:textId="77777777" w:rsidR="004B7622" w:rsidRPr="00331616" w:rsidRDefault="004B7622" w:rsidP="00377989">
            <w:pPr>
              <w:jc w:val="center"/>
              <w:rPr>
                <w:rFonts w:ascii="Arial" w:eastAsia="Times New Roman" w:hAnsi="Arial" w:cs="Arial"/>
                <w:b/>
                <w:bCs/>
                <w:color w:val="FFFFFF"/>
                <w:sz w:val="18"/>
                <w:szCs w:val="18"/>
                <w:lang w:eastAsia="sl-SI"/>
              </w:rPr>
            </w:pPr>
            <w:r w:rsidRPr="00331616">
              <w:rPr>
                <w:rFonts w:ascii="Arial" w:eastAsia="Times New Roman" w:hAnsi="Arial" w:cs="Arial"/>
                <w:b/>
                <w:bCs/>
                <w:color w:val="FFFFFF"/>
                <w:sz w:val="18"/>
                <w:szCs w:val="18"/>
                <w:lang w:eastAsia="sl-SI"/>
              </w:rPr>
              <w:t>Znesek v evrih</w:t>
            </w:r>
          </w:p>
        </w:tc>
        <w:tc>
          <w:tcPr>
            <w:tcW w:w="832" w:type="dxa"/>
            <w:tcBorders>
              <w:top w:val="nil"/>
              <w:left w:val="nil"/>
              <w:bottom w:val="single" w:sz="4" w:space="0" w:color="auto"/>
              <w:right w:val="single" w:sz="4" w:space="0" w:color="auto"/>
            </w:tcBorders>
            <w:shd w:val="clear" w:color="auto" w:fill="31869B"/>
            <w:vAlign w:val="center"/>
            <w:hideMark/>
          </w:tcPr>
          <w:p w14:paraId="0D79A953" w14:textId="77777777" w:rsidR="004B7622" w:rsidRPr="00331616" w:rsidRDefault="004B7622" w:rsidP="00377989">
            <w:pPr>
              <w:jc w:val="center"/>
              <w:rPr>
                <w:rFonts w:ascii="Arial" w:eastAsia="Times New Roman" w:hAnsi="Arial" w:cs="Arial"/>
                <w:b/>
                <w:bCs/>
                <w:color w:val="FFFFFF"/>
                <w:sz w:val="18"/>
                <w:szCs w:val="18"/>
                <w:lang w:eastAsia="sl-SI"/>
              </w:rPr>
            </w:pPr>
            <w:r w:rsidRPr="00331616">
              <w:rPr>
                <w:rFonts w:ascii="Arial" w:eastAsia="Times New Roman" w:hAnsi="Arial" w:cs="Arial"/>
                <w:b/>
                <w:bCs/>
                <w:color w:val="FFFFFF"/>
                <w:sz w:val="18"/>
                <w:szCs w:val="18"/>
                <w:lang w:eastAsia="sl-SI"/>
              </w:rPr>
              <w:t>Število</w:t>
            </w:r>
          </w:p>
        </w:tc>
        <w:tc>
          <w:tcPr>
            <w:tcW w:w="960" w:type="dxa"/>
            <w:tcBorders>
              <w:top w:val="nil"/>
              <w:left w:val="nil"/>
              <w:bottom w:val="single" w:sz="4" w:space="0" w:color="auto"/>
              <w:right w:val="single" w:sz="4" w:space="0" w:color="auto"/>
            </w:tcBorders>
            <w:shd w:val="clear" w:color="auto" w:fill="31869B"/>
            <w:vAlign w:val="center"/>
            <w:hideMark/>
          </w:tcPr>
          <w:p w14:paraId="0F618556" w14:textId="77777777" w:rsidR="004B7622" w:rsidRPr="00331616" w:rsidRDefault="004B7622" w:rsidP="00377989">
            <w:pPr>
              <w:jc w:val="center"/>
              <w:rPr>
                <w:rFonts w:ascii="Arial" w:eastAsia="Times New Roman" w:hAnsi="Arial" w:cs="Arial"/>
                <w:b/>
                <w:bCs/>
                <w:color w:val="FFFFFF"/>
                <w:sz w:val="18"/>
                <w:szCs w:val="18"/>
                <w:lang w:eastAsia="sl-SI"/>
              </w:rPr>
            </w:pPr>
            <w:r w:rsidRPr="00331616">
              <w:rPr>
                <w:rFonts w:ascii="Arial" w:eastAsia="Times New Roman" w:hAnsi="Arial" w:cs="Arial"/>
                <w:b/>
                <w:bCs/>
                <w:color w:val="FFFFFF"/>
                <w:sz w:val="18"/>
                <w:szCs w:val="18"/>
                <w:lang w:eastAsia="sl-SI"/>
              </w:rPr>
              <w:t>Znesek</w:t>
            </w:r>
          </w:p>
        </w:tc>
      </w:tr>
      <w:tr w:rsidR="004B7622" w:rsidRPr="00331616" w14:paraId="276255BE" w14:textId="77777777" w:rsidTr="00377989">
        <w:trPr>
          <w:trHeight w:val="483"/>
        </w:trPr>
        <w:tc>
          <w:tcPr>
            <w:tcW w:w="3242" w:type="dxa"/>
            <w:tcBorders>
              <w:top w:val="nil"/>
              <w:left w:val="single" w:sz="4" w:space="0" w:color="auto"/>
              <w:bottom w:val="single" w:sz="4" w:space="0" w:color="auto"/>
              <w:right w:val="single" w:sz="4" w:space="0" w:color="auto"/>
            </w:tcBorders>
            <w:vAlign w:val="center"/>
            <w:hideMark/>
          </w:tcPr>
          <w:p w14:paraId="0C4C7D19" w14:textId="77777777" w:rsidR="004B7622" w:rsidRPr="00331616" w:rsidRDefault="004B7622" w:rsidP="00377989">
            <w:pPr>
              <w:rPr>
                <w:rFonts w:ascii="Arial" w:eastAsia="Times New Roman" w:hAnsi="Arial" w:cs="Arial"/>
                <w:sz w:val="18"/>
                <w:szCs w:val="18"/>
                <w:lang w:eastAsia="sl-SI"/>
              </w:rPr>
            </w:pPr>
            <w:r w:rsidRPr="00331616">
              <w:rPr>
                <w:rFonts w:ascii="Arial" w:eastAsia="Times New Roman" w:hAnsi="Arial" w:cs="Arial"/>
                <w:sz w:val="18"/>
                <w:szCs w:val="18"/>
                <w:lang w:eastAsia="sl-SI"/>
              </w:rPr>
              <w:t xml:space="preserve">Vknjižbe zastavne pravice na nepremičnine   </w:t>
            </w:r>
          </w:p>
        </w:tc>
        <w:tc>
          <w:tcPr>
            <w:tcW w:w="851" w:type="dxa"/>
            <w:tcBorders>
              <w:top w:val="nil"/>
              <w:left w:val="nil"/>
              <w:bottom w:val="single" w:sz="4" w:space="0" w:color="auto"/>
              <w:right w:val="single" w:sz="4" w:space="0" w:color="auto"/>
            </w:tcBorders>
            <w:vAlign w:val="center"/>
            <w:hideMark/>
          </w:tcPr>
          <w:p w14:paraId="6D67E5D2" w14:textId="77777777" w:rsidR="004B7622" w:rsidRPr="00331616" w:rsidRDefault="004B7622" w:rsidP="00377989">
            <w:pPr>
              <w:jc w:val="right"/>
              <w:rPr>
                <w:rFonts w:ascii="Arial" w:eastAsia="Times New Roman" w:hAnsi="Arial" w:cs="Arial"/>
                <w:sz w:val="18"/>
                <w:szCs w:val="18"/>
                <w:lang w:eastAsia="sl-SI"/>
              </w:rPr>
            </w:pPr>
            <w:r w:rsidRPr="00331616">
              <w:rPr>
                <w:rFonts w:ascii="Arial" w:eastAsia="Times New Roman" w:hAnsi="Arial" w:cs="Arial"/>
                <w:sz w:val="18"/>
                <w:szCs w:val="18"/>
                <w:lang w:eastAsia="sl-SI"/>
              </w:rPr>
              <w:t>1.952</w:t>
            </w:r>
          </w:p>
        </w:tc>
        <w:tc>
          <w:tcPr>
            <w:tcW w:w="1123" w:type="dxa"/>
            <w:tcBorders>
              <w:top w:val="nil"/>
              <w:left w:val="nil"/>
              <w:bottom w:val="single" w:sz="4" w:space="0" w:color="auto"/>
              <w:right w:val="single" w:sz="4" w:space="0" w:color="auto"/>
            </w:tcBorders>
            <w:shd w:val="clear" w:color="auto" w:fill="DAEEF3"/>
            <w:vAlign w:val="center"/>
            <w:hideMark/>
          </w:tcPr>
          <w:p w14:paraId="45E89CE7" w14:textId="77777777" w:rsidR="004B7622" w:rsidRPr="00331616" w:rsidRDefault="004B7622" w:rsidP="00377989">
            <w:pPr>
              <w:jc w:val="right"/>
              <w:rPr>
                <w:rFonts w:ascii="Arial" w:eastAsia="Times New Roman" w:hAnsi="Arial" w:cs="Arial"/>
                <w:sz w:val="18"/>
                <w:szCs w:val="18"/>
                <w:lang w:eastAsia="sl-SI"/>
              </w:rPr>
            </w:pPr>
            <w:r w:rsidRPr="00331616">
              <w:rPr>
                <w:rFonts w:ascii="Arial" w:eastAsia="Times New Roman" w:hAnsi="Arial" w:cs="Arial"/>
                <w:sz w:val="18"/>
                <w:szCs w:val="18"/>
                <w:lang w:eastAsia="sl-SI"/>
              </w:rPr>
              <w:t>33.894.535</w:t>
            </w:r>
          </w:p>
        </w:tc>
        <w:tc>
          <w:tcPr>
            <w:tcW w:w="742" w:type="dxa"/>
            <w:tcBorders>
              <w:top w:val="nil"/>
              <w:left w:val="nil"/>
              <w:bottom w:val="single" w:sz="4" w:space="0" w:color="auto"/>
              <w:right w:val="single" w:sz="4" w:space="0" w:color="auto"/>
            </w:tcBorders>
            <w:vAlign w:val="center"/>
            <w:hideMark/>
          </w:tcPr>
          <w:p w14:paraId="07D82E40" w14:textId="77777777" w:rsidR="004B7622" w:rsidRPr="00331616" w:rsidRDefault="004B7622" w:rsidP="00377989">
            <w:pPr>
              <w:jc w:val="right"/>
              <w:rPr>
                <w:rFonts w:ascii="Arial" w:eastAsia="Times New Roman" w:hAnsi="Arial" w:cs="Arial"/>
                <w:sz w:val="18"/>
                <w:szCs w:val="18"/>
                <w:lang w:eastAsia="sl-SI"/>
              </w:rPr>
            </w:pPr>
            <w:r w:rsidRPr="00331616">
              <w:rPr>
                <w:rFonts w:ascii="Arial" w:eastAsia="Times New Roman" w:hAnsi="Arial" w:cs="Arial"/>
                <w:sz w:val="18"/>
                <w:szCs w:val="18"/>
                <w:lang w:eastAsia="sl-SI"/>
              </w:rPr>
              <w:t>1.690</w:t>
            </w:r>
          </w:p>
        </w:tc>
        <w:tc>
          <w:tcPr>
            <w:tcW w:w="1286" w:type="dxa"/>
            <w:tcBorders>
              <w:top w:val="nil"/>
              <w:left w:val="nil"/>
              <w:bottom w:val="single" w:sz="4" w:space="0" w:color="auto"/>
              <w:right w:val="single" w:sz="4" w:space="0" w:color="auto"/>
            </w:tcBorders>
            <w:shd w:val="clear" w:color="auto" w:fill="DAEEF3"/>
            <w:vAlign w:val="center"/>
            <w:hideMark/>
          </w:tcPr>
          <w:p w14:paraId="0B73090C" w14:textId="77777777" w:rsidR="004B7622" w:rsidRPr="00331616" w:rsidRDefault="004B7622" w:rsidP="00377989">
            <w:pPr>
              <w:jc w:val="right"/>
              <w:rPr>
                <w:rFonts w:ascii="Arial" w:eastAsia="Times New Roman" w:hAnsi="Arial" w:cs="Arial"/>
                <w:sz w:val="18"/>
                <w:szCs w:val="18"/>
                <w:lang w:eastAsia="sl-SI"/>
              </w:rPr>
            </w:pPr>
            <w:r w:rsidRPr="00331616">
              <w:rPr>
                <w:rFonts w:ascii="Arial" w:eastAsia="Times New Roman" w:hAnsi="Arial" w:cs="Arial"/>
                <w:sz w:val="18"/>
                <w:szCs w:val="18"/>
                <w:lang w:eastAsia="sl-SI"/>
              </w:rPr>
              <w:t>33.642.286</w:t>
            </w:r>
          </w:p>
        </w:tc>
        <w:tc>
          <w:tcPr>
            <w:tcW w:w="832" w:type="dxa"/>
            <w:tcBorders>
              <w:top w:val="nil"/>
              <w:left w:val="nil"/>
              <w:bottom w:val="single" w:sz="4" w:space="0" w:color="auto"/>
              <w:right w:val="single" w:sz="4" w:space="0" w:color="auto"/>
            </w:tcBorders>
            <w:vAlign w:val="center"/>
            <w:hideMark/>
          </w:tcPr>
          <w:p w14:paraId="572EC2E3" w14:textId="77777777" w:rsidR="004B7622" w:rsidRPr="00331616" w:rsidRDefault="004B7622" w:rsidP="00377989">
            <w:pPr>
              <w:jc w:val="right"/>
              <w:rPr>
                <w:rFonts w:ascii="Arial" w:eastAsia="Times New Roman" w:hAnsi="Arial" w:cs="Arial"/>
                <w:sz w:val="18"/>
                <w:szCs w:val="18"/>
                <w:lang w:eastAsia="sl-SI"/>
              </w:rPr>
            </w:pPr>
            <w:r w:rsidRPr="00331616">
              <w:rPr>
                <w:rFonts w:ascii="Arial" w:eastAsia="Times New Roman" w:hAnsi="Arial" w:cs="Arial"/>
                <w:sz w:val="18"/>
                <w:szCs w:val="18"/>
                <w:lang w:eastAsia="sl-SI"/>
              </w:rPr>
              <w:t>86,6</w:t>
            </w:r>
          </w:p>
        </w:tc>
        <w:tc>
          <w:tcPr>
            <w:tcW w:w="960" w:type="dxa"/>
            <w:tcBorders>
              <w:top w:val="nil"/>
              <w:left w:val="nil"/>
              <w:bottom w:val="single" w:sz="4" w:space="0" w:color="auto"/>
              <w:right w:val="single" w:sz="4" w:space="0" w:color="auto"/>
            </w:tcBorders>
            <w:vAlign w:val="center"/>
            <w:hideMark/>
          </w:tcPr>
          <w:p w14:paraId="37F75AC7" w14:textId="77777777" w:rsidR="004B7622" w:rsidRPr="00331616" w:rsidRDefault="004B7622" w:rsidP="00377989">
            <w:pPr>
              <w:jc w:val="right"/>
              <w:rPr>
                <w:rFonts w:ascii="Arial" w:eastAsia="Times New Roman" w:hAnsi="Arial" w:cs="Arial"/>
                <w:sz w:val="18"/>
                <w:szCs w:val="18"/>
                <w:lang w:eastAsia="sl-SI"/>
              </w:rPr>
            </w:pPr>
            <w:r w:rsidRPr="00331616">
              <w:rPr>
                <w:rFonts w:ascii="Arial" w:eastAsia="Times New Roman" w:hAnsi="Arial" w:cs="Arial"/>
                <w:sz w:val="18"/>
                <w:szCs w:val="18"/>
                <w:lang w:eastAsia="sl-SI"/>
              </w:rPr>
              <w:t>99,3</w:t>
            </w:r>
          </w:p>
        </w:tc>
      </w:tr>
      <w:tr w:rsidR="004B7622" w:rsidRPr="00331616" w14:paraId="7B1D08C7" w14:textId="77777777" w:rsidTr="00377989">
        <w:trPr>
          <w:trHeight w:val="449"/>
        </w:trPr>
        <w:tc>
          <w:tcPr>
            <w:tcW w:w="3242" w:type="dxa"/>
            <w:tcBorders>
              <w:top w:val="nil"/>
              <w:left w:val="single" w:sz="4" w:space="0" w:color="auto"/>
              <w:bottom w:val="single" w:sz="4" w:space="0" w:color="auto"/>
              <w:right w:val="single" w:sz="4" w:space="0" w:color="auto"/>
            </w:tcBorders>
            <w:vAlign w:val="center"/>
            <w:hideMark/>
          </w:tcPr>
          <w:p w14:paraId="02801E83" w14:textId="77777777" w:rsidR="004B7622" w:rsidRPr="00331616" w:rsidRDefault="004B7622" w:rsidP="00377989">
            <w:pPr>
              <w:rPr>
                <w:rFonts w:ascii="Arial" w:eastAsia="Times New Roman" w:hAnsi="Arial" w:cs="Arial"/>
                <w:sz w:val="18"/>
                <w:szCs w:val="18"/>
                <w:lang w:eastAsia="sl-SI"/>
              </w:rPr>
            </w:pPr>
            <w:r w:rsidRPr="00331616">
              <w:rPr>
                <w:rFonts w:ascii="Arial" w:eastAsia="Times New Roman" w:hAnsi="Arial" w:cs="Arial"/>
                <w:sz w:val="18"/>
                <w:szCs w:val="18"/>
                <w:lang w:eastAsia="sl-SI"/>
              </w:rPr>
              <w:t xml:space="preserve">Predlogi sodišču za izvršbo na nepremičnine  </w:t>
            </w:r>
          </w:p>
        </w:tc>
        <w:tc>
          <w:tcPr>
            <w:tcW w:w="851" w:type="dxa"/>
            <w:tcBorders>
              <w:top w:val="nil"/>
              <w:left w:val="nil"/>
              <w:bottom w:val="single" w:sz="4" w:space="0" w:color="auto"/>
              <w:right w:val="single" w:sz="4" w:space="0" w:color="auto"/>
            </w:tcBorders>
            <w:vAlign w:val="center"/>
            <w:hideMark/>
          </w:tcPr>
          <w:p w14:paraId="081F3BD2" w14:textId="77777777" w:rsidR="004B7622" w:rsidRPr="00331616" w:rsidRDefault="004B7622" w:rsidP="00377989">
            <w:pPr>
              <w:jc w:val="right"/>
              <w:rPr>
                <w:rFonts w:ascii="Arial" w:eastAsia="Times New Roman" w:hAnsi="Arial" w:cs="Arial"/>
                <w:sz w:val="18"/>
                <w:szCs w:val="18"/>
                <w:lang w:eastAsia="sl-SI"/>
              </w:rPr>
            </w:pPr>
            <w:r w:rsidRPr="00331616">
              <w:rPr>
                <w:rFonts w:ascii="Arial" w:eastAsia="Times New Roman" w:hAnsi="Arial" w:cs="Arial"/>
                <w:sz w:val="18"/>
                <w:szCs w:val="18"/>
                <w:lang w:eastAsia="sl-SI"/>
              </w:rPr>
              <w:t>385</w:t>
            </w:r>
          </w:p>
        </w:tc>
        <w:tc>
          <w:tcPr>
            <w:tcW w:w="1123" w:type="dxa"/>
            <w:tcBorders>
              <w:top w:val="nil"/>
              <w:left w:val="nil"/>
              <w:bottom w:val="single" w:sz="4" w:space="0" w:color="auto"/>
              <w:right w:val="single" w:sz="4" w:space="0" w:color="auto"/>
            </w:tcBorders>
            <w:shd w:val="clear" w:color="auto" w:fill="DAEEF3"/>
            <w:vAlign w:val="center"/>
            <w:hideMark/>
          </w:tcPr>
          <w:p w14:paraId="31468B8F" w14:textId="77777777" w:rsidR="004B7622" w:rsidRPr="00331616" w:rsidRDefault="004B7622" w:rsidP="00377989">
            <w:pPr>
              <w:jc w:val="right"/>
              <w:rPr>
                <w:rFonts w:ascii="Arial" w:eastAsia="Times New Roman" w:hAnsi="Arial" w:cs="Arial"/>
                <w:sz w:val="18"/>
                <w:szCs w:val="18"/>
                <w:lang w:eastAsia="sl-SI"/>
              </w:rPr>
            </w:pPr>
            <w:r w:rsidRPr="00331616">
              <w:rPr>
                <w:rFonts w:ascii="Arial" w:eastAsia="Times New Roman" w:hAnsi="Arial" w:cs="Arial"/>
                <w:sz w:val="18"/>
                <w:szCs w:val="18"/>
                <w:lang w:eastAsia="sl-SI"/>
              </w:rPr>
              <w:t>15.455.084</w:t>
            </w:r>
          </w:p>
        </w:tc>
        <w:tc>
          <w:tcPr>
            <w:tcW w:w="742" w:type="dxa"/>
            <w:tcBorders>
              <w:top w:val="nil"/>
              <w:left w:val="nil"/>
              <w:bottom w:val="single" w:sz="4" w:space="0" w:color="auto"/>
              <w:right w:val="single" w:sz="4" w:space="0" w:color="auto"/>
            </w:tcBorders>
            <w:vAlign w:val="center"/>
            <w:hideMark/>
          </w:tcPr>
          <w:p w14:paraId="7A64B41E" w14:textId="77777777" w:rsidR="004B7622" w:rsidRPr="00331616" w:rsidRDefault="004B7622" w:rsidP="00377989">
            <w:pPr>
              <w:jc w:val="right"/>
              <w:rPr>
                <w:rFonts w:ascii="Arial" w:eastAsia="Times New Roman" w:hAnsi="Arial" w:cs="Arial"/>
                <w:sz w:val="18"/>
                <w:szCs w:val="18"/>
                <w:lang w:eastAsia="sl-SI"/>
              </w:rPr>
            </w:pPr>
            <w:r w:rsidRPr="00331616">
              <w:rPr>
                <w:rFonts w:ascii="Arial" w:eastAsia="Times New Roman" w:hAnsi="Arial" w:cs="Arial"/>
                <w:sz w:val="18"/>
                <w:szCs w:val="18"/>
                <w:lang w:eastAsia="sl-SI"/>
              </w:rPr>
              <w:t>285</w:t>
            </w:r>
          </w:p>
        </w:tc>
        <w:tc>
          <w:tcPr>
            <w:tcW w:w="1286" w:type="dxa"/>
            <w:tcBorders>
              <w:top w:val="nil"/>
              <w:left w:val="nil"/>
              <w:bottom w:val="single" w:sz="4" w:space="0" w:color="auto"/>
              <w:right w:val="single" w:sz="4" w:space="0" w:color="auto"/>
            </w:tcBorders>
            <w:shd w:val="clear" w:color="auto" w:fill="DAEEF3"/>
            <w:vAlign w:val="center"/>
            <w:hideMark/>
          </w:tcPr>
          <w:p w14:paraId="045EE949" w14:textId="77777777" w:rsidR="004B7622" w:rsidRPr="00331616" w:rsidRDefault="004B7622" w:rsidP="00377989">
            <w:pPr>
              <w:jc w:val="right"/>
              <w:rPr>
                <w:rFonts w:ascii="Arial" w:eastAsia="Times New Roman" w:hAnsi="Arial" w:cs="Arial"/>
                <w:sz w:val="18"/>
                <w:szCs w:val="18"/>
                <w:lang w:eastAsia="sl-SI"/>
              </w:rPr>
            </w:pPr>
            <w:r w:rsidRPr="00331616">
              <w:rPr>
                <w:rFonts w:ascii="Arial" w:eastAsia="Times New Roman" w:hAnsi="Arial" w:cs="Arial"/>
                <w:sz w:val="18"/>
                <w:szCs w:val="18"/>
                <w:lang w:eastAsia="sl-SI"/>
              </w:rPr>
              <w:t>8.439.298</w:t>
            </w:r>
          </w:p>
        </w:tc>
        <w:tc>
          <w:tcPr>
            <w:tcW w:w="832" w:type="dxa"/>
            <w:tcBorders>
              <w:top w:val="nil"/>
              <w:left w:val="nil"/>
              <w:bottom w:val="single" w:sz="4" w:space="0" w:color="auto"/>
              <w:right w:val="single" w:sz="4" w:space="0" w:color="auto"/>
            </w:tcBorders>
            <w:vAlign w:val="center"/>
            <w:hideMark/>
          </w:tcPr>
          <w:p w14:paraId="4828537C" w14:textId="77777777" w:rsidR="004B7622" w:rsidRPr="00331616" w:rsidRDefault="004B7622" w:rsidP="00377989">
            <w:pPr>
              <w:jc w:val="right"/>
              <w:rPr>
                <w:rFonts w:ascii="Arial" w:eastAsia="Times New Roman" w:hAnsi="Arial" w:cs="Arial"/>
                <w:sz w:val="18"/>
                <w:szCs w:val="18"/>
                <w:lang w:eastAsia="sl-SI"/>
              </w:rPr>
            </w:pPr>
            <w:r w:rsidRPr="00331616">
              <w:rPr>
                <w:rFonts w:ascii="Arial" w:eastAsia="Times New Roman" w:hAnsi="Arial" w:cs="Arial"/>
                <w:sz w:val="18"/>
                <w:szCs w:val="18"/>
                <w:lang w:eastAsia="sl-SI"/>
              </w:rPr>
              <w:t>74,0</w:t>
            </w:r>
          </w:p>
        </w:tc>
        <w:tc>
          <w:tcPr>
            <w:tcW w:w="960" w:type="dxa"/>
            <w:tcBorders>
              <w:top w:val="nil"/>
              <w:left w:val="nil"/>
              <w:bottom w:val="single" w:sz="4" w:space="0" w:color="auto"/>
              <w:right w:val="single" w:sz="4" w:space="0" w:color="auto"/>
            </w:tcBorders>
            <w:vAlign w:val="center"/>
            <w:hideMark/>
          </w:tcPr>
          <w:p w14:paraId="4E179E34" w14:textId="77777777" w:rsidR="004B7622" w:rsidRPr="00331616" w:rsidRDefault="004B7622" w:rsidP="00377989">
            <w:pPr>
              <w:jc w:val="right"/>
              <w:rPr>
                <w:rFonts w:ascii="Arial" w:eastAsia="Times New Roman" w:hAnsi="Arial" w:cs="Arial"/>
                <w:sz w:val="18"/>
                <w:szCs w:val="18"/>
                <w:lang w:eastAsia="sl-SI"/>
              </w:rPr>
            </w:pPr>
            <w:r w:rsidRPr="00331616">
              <w:rPr>
                <w:rFonts w:ascii="Arial" w:eastAsia="Times New Roman" w:hAnsi="Arial" w:cs="Arial"/>
                <w:sz w:val="18"/>
                <w:szCs w:val="18"/>
                <w:lang w:eastAsia="sl-SI"/>
              </w:rPr>
              <w:t>54,6</w:t>
            </w:r>
          </w:p>
        </w:tc>
      </w:tr>
      <w:tr w:rsidR="004B7622" w:rsidRPr="00331616" w14:paraId="42EFF549" w14:textId="77777777" w:rsidTr="00377989">
        <w:trPr>
          <w:trHeight w:val="391"/>
        </w:trPr>
        <w:tc>
          <w:tcPr>
            <w:tcW w:w="3242" w:type="dxa"/>
            <w:tcBorders>
              <w:top w:val="nil"/>
              <w:left w:val="single" w:sz="4" w:space="0" w:color="auto"/>
              <w:bottom w:val="single" w:sz="4" w:space="0" w:color="auto"/>
              <w:right w:val="single" w:sz="4" w:space="0" w:color="auto"/>
            </w:tcBorders>
            <w:vAlign w:val="center"/>
            <w:hideMark/>
          </w:tcPr>
          <w:p w14:paraId="23E6BCF8" w14:textId="77777777" w:rsidR="004B7622" w:rsidRPr="00331616" w:rsidRDefault="004B7622" w:rsidP="00377989">
            <w:pPr>
              <w:rPr>
                <w:rFonts w:ascii="Arial" w:eastAsia="Times New Roman" w:hAnsi="Arial" w:cs="Arial"/>
                <w:sz w:val="18"/>
                <w:szCs w:val="18"/>
                <w:lang w:eastAsia="sl-SI"/>
              </w:rPr>
            </w:pPr>
            <w:r w:rsidRPr="00331616">
              <w:rPr>
                <w:rFonts w:ascii="Arial" w:eastAsia="Times New Roman" w:hAnsi="Arial" w:cs="Arial"/>
                <w:sz w:val="18"/>
                <w:szCs w:val="18"/>
                <w:lang w:eastAsia="sl-SI"/>
              </w:rPr>
              <w:t>Plačila na podlagi prodaje nepremičnine</w:t>
            </w:r>
          </w:p>
        </w:tc>
        <w:tc>
          <w:tcPr>
            <w:tcW w:w="851" w:type="dxa"/>
            <w:tcBorders>
              <w:top w:val="nil"/>
              <w:left w:val="nil"/>
              <w:bottom w:val="single" w:sz="4" w:space="0" w:color="auto"/>
              <w:right w:val="single" w:sz="4" w:space="0" w:color="auto"/>
            </w:tcBorders>
            <w:vAlign w:val="center"/>
            <w:hideMark/>
          </w:tcPr>
          <w:p w14:paraId="65EC478A" w14:textId="77777777" w:rsidR="004B7622" w:rsidRPr="00331616" w:rsidRDefault="004B7622" w:rsidP="00377989">
            <w:pPr>
              <w:jc w:val="right"/>
              <w:rPr>
                <w:rFonts w:ascii="Arial" w:eastAsia="Times New Roman" w:hAnsi="Arial" w:cs="Arial"/>
                <w:sz w:val="18"/>
                <w:szCs w:val="18"/>
                <w:lang w:eastAsia="sl-SI"/>
              </w:rPr>
            </w:pPr>
            <w:r w:rsidRPr="00331616">
              <w:rPr>
                <w:rFonts w:ascii="Arial" w:eastAsia="Times New Roman" w:hAnsi="Arial" w:cs="Arial"/>
                <w:sz w:val="18"/>
                <w:szCs w:val="18"/>
                <w:lang w:eastAsia="sl-SI"/>
              </w:rPr>
              <w:t>914</w:t>
            </w:r>
          </w:p>
        </w:tc>
        <w:tc>
          <w:tcPr>
            <w:tcW w:w="1123" w:type="dxa"/>
            <w:tcBorders>
              <w:top w:val="nil"/>
              <w:left w:val="nil"/>
              <w:bottom w:val="single" w:sz="4" w:space="0" w:color="auto"/>
              <w:right w:val="single" w:sz="4" w:space="0" w:color="auto"/>
            </w:tcBorders>
            <w:shd w:val="clear" w:color="auto" w:fill="DAEEF3"/>
            <w:vAlign w:val="center"/>
            <w:hideMark/>
          </w:tcPr>
          <w:p w14:paraId="348163FB" w14:textId="77777777" w:rsidR="004B7622" w:rsidRPr="00331616" w:rsidRDefault="004B7622" w:rsidP="00377989">
            <w:pPr>
              <w:jc w:val="right"/>
              <w:rPr>
                <w:rFonts w:ascii="Arial" w:eastAsia="Times New Roman" w:hAnsi="Arial" w:cs="Arial"/>
                <w:sz w:val="18"/>
                <w:szCs w:val="18"/>
                <w:lang w:eastAsia="sl-SI"/>
              </w:rPr>
            </w:pPr>
            <w:r w:rsidRPr="00331616">
              <w:rPr>
                <w:rFonts w:ascii="Arial" w:eastAsia="Times New Roman" w:hAnsi="Arial" w:cs="Arial"/>
                <w:sz w:val="18"/>
                <w:szCs w:val="18"/>
                <w:lang w:eastAsia="sl-SI"/>
              </w:rPr>
              <w:t>3.004.933</w:t>
            </w:r>
          </w:p>
        </w:tc>
        <w:tc>
          <w:tcPr>
            <w:tcW w:w="742" w:type="dxa"/>
            <w:tcBorders>
              <w:top w:val="nil"/>
              <w:left w:val="nil"/>
              <w:bottom w:val="single" w:sz="4" w:space="0" w:color="auto"/>
              <w:right w:val="single" w:sz="4" w:space="0" w:color="auto"/>
            </w:tcBorders>
            <w:vAlign w:val="center"/>
            <w:hideMark/>
          </w:tcPr>
          <w:p w14:paraId="62E56EC5" w14:textId="77777777" w:rsidR="004B7622" w:rsidRPr="00331616" w:rsidRDefault="004B7622" w:rsidP="00377989">
            <w:pPr>
              <w:jc w:val="right"/>
              <w:rPr>
                <w:rFonts w:ascii="Arial" w:eastAsia="Times New Roman" w:hAnsi="Arial" w:cs="Arial"/>
                <w:sz w:val="18"/>
                <w:szCs w:val="18"/>
                <w:lang w:eastAsia="sl-SI"/>
              </w:rPr>
            </w:pPr>
            <w:r w:rsidRPr="00331616">
              <w:rPr>
                <w:rFonts w:ascii="Arial" w:eastAsia="Times New Roman" w:hAnsi="Arial" w:cs="Arial"/>
                <w:sz w:val="18"/>
                <w:szCs w:val="18"/>
                <w:lang w:eastAsia="sl-SI"/>
              </w:rPr>
              <w:t>802</w:t>
            </w:r>
          </w:p>
        </w:tc>
        <w:tc>
          <w:tcPr>
            <w:tcW w:w="1286" w:type="dxa"/>
            <w:tcBorders>
              <w:top w:val="nil"/>
              <w:left w:val="nil"/>
              <w:bottom w:val="single" w:sz="4" w:space="0" w:color="auto"/>
              <w:right w:val="single" w:sz="4" w:space="0" w:color="auto"/>
            </w:tcBorders>
            <w:shd w:val="clear" w:color="auto" w:fill="DAEEF3"/>
            <w:vAlign w:val="center"/>
            <w:hideMark/>
          </w:tcPr>
          <w:p w14:paraId="16D76C90" w14:textId="77777777" w:rsidR="004B7622" w:rsidRPr="00331616" w:rsidRDefault="004B7622" w:rsidP="00377989">
            <w:pPr>
              <w:jc w:val="right"/>
              <w:rPr>
                <w:rFonts w:ascii="Arial" w:eastAsia="Times New Roman" w:hAnsi="Arial" w:cs="Arial"/>
                <w:sz w:val="18"/>
                <w:szCs w:val="18"/>
                <w:lang w:eastAsia="sl-SI"/>
              </w:rPr>
            </w:pPr>
            <w:r w:rsidRPr="00331616">
              <w:rPr>
                <w:rFonts w:ascii="Arial" w:eastAsia="Times New Roman" w:hAnsi="Arial" w:cs="Arial"/>
                <w:sz w:val="18"/>
                <w:szCs w:val="18"/>
                <w:lang w:eastAsia="sl-SI"/>
              </w:rPr>
              <w:t>2.690.055</w:t>
            </w:r>
          </w:p>
        </w:tc>
        <w:tc>
          <w:tcPr>
            <w:tcW w:w="832" w:type="dxa"/>
            <w:tcBorders>
              <w:top w:val="nil"/>
              <w:left w:val="nil"/>
              <w:bottom w:val="single" w:sz="4" w:space="0" w:color="auto"/>
              <w:right w:val="single" w:sz="4" w:space="0" w:color="auto"/>
            </w:tcBorders>
            <w:vAlign w:val="center"/>
            <w:hideMark/>
          </w:tcPr>
          <w:p w14:paraId="616C807D" w14:textId="77777777" w:rsidR="004B7622" w:rsidRPr="00331616" w:rsidRDefault="004B7622" w:rsidP="00377989">
            <w:pPr>
              <w:jc w:val="right"/>
              <w:rPr>
                <w:rFonts w:ascii="Arial" w:eastAsia="Times New Roman" w:hAnsi="Arial" w:cs="Arial"/>
                <w:sz w:val="18"/>
                <w:szCs w:val="18"/>
                <w:lang w:eastAsia="sl-SI"/>
              </w:rPr>
            </w:pPr>
            <w:r w:rsidRPr="00331616">
              <w:rPr>
                <w:rFonts w:ascii="Arial" w:eastAsia="Times New Roman" w:hAnsi="Arial" w:cs="Arial"/>
                <w:sz w:val="18"/>
                <w:szCs w:val="18"/>
                <w:lang w:eastAsia="sl-SI"/>
              </w:rPr>
              <w:t>87,7</w:t>
            </w:r>
          </w:p>
        </w:tc>
        <w:tc>
          <w:tcPr>
            <w:tcW w:w="960" w:type="dxa"/>
            <w:tcBorders>
              <w:top w:val="nil"/>
              <w:left w:val="nil"/>
              <w:bottom w:val="single" w:sz="4" w:space="0" w:color="auto"/>
              <w:right w:val="single" w:sz="4" w:space="0" w:color="auto"/>
            </w:tcBorders>
            <w:vAlign w:val="center"/>
            <w:hideMark/>
          </w:tcPr>
          <w:p w14:paraId="1A8A33BF" w14:textId="77777777" w:rsidR="004B7622" w:rsidRPr="00331616" w:rsidRDefault="004B7622" w:rsidP="00377989">
            <w:pPr>
              <w:jc w:val="right"/>
              <w:rPr>
                <w:rFonts w:ascii="Arial" w:eastAsia="Times New Roman" w:hAnsi="Arial" w:cs="Arial"/>
                <w:sz w:val="18"/>
                <w:szCs w:val="18"/>
                <w:lang w:eastAsia="sl-SI"/>
              </w:rPr>
            </w:pPr>
            <w:r w:rsidRPr="00331616">
              <w:rPr>
                <w:rFonts w:ascii="Arial" w:eastAsia="Times New Roman" w:hAnsi="Arial" w:cs="Arial"/>
                <w:sz w:val="18"/>
                <w:szCs w:val="18"/>
                <w:lang w:eastAsia="sl-SI"/>
              </w:rPr>
              <w:t>89,5</w:t>
            </w:r>
          </w:p>
        </w:tc>
      </w:tr>
    </w:tbl>
    <w:p w14:paraId="0AA1D5A1" w14:textId="77777777" w:rsidR="004B7622" w:rsidRPr="0094063C" w:rsidRDefault="004B7622" w:rsidP="004B7622">
      <w:pPr>
        <w:ind w:hanging="110"/>
        <w:rPr>
          <w:rFonts w:ascii="Arial" w:hAnsi="Arial" w:cs="Arial"/>
          <w:i/>
          <w:sz w:val="20"/>
          <w:szCs w:val="20"/>
        </w:rPr>
      </w:pPr>
      <w:r w:rsidRPr="0094063C">
        <w:rPr>
          <w:rFonts w:ascii="Arial" w:hAnsi="Arial" w:cs="Arial"/>
          <w:i/>
          <w:sz w:val="20"/>
          <w:szCs w:val="20"/>
        </w:rPr>
        <w:t>Vir: FURS</w:t>
      </w:r>
    </w:p>
    <w:p w14:paraId="7D8D285F" w14:textId="77777777" w:rsidR="004B7622" w:rsidRPr="00087025" w:rsidRDefault="004B7622" w:rsidP="004B7622">
      <w:pPr>
        <w:jc w:val="both"/>
        <w:rPr>
          <w:rFonts w:ascii="Arial" w:eastAsia="Times New Roman" w:hAnsi="Arial" w:cs="Arial"/>
          <w:b/>
          <w:bCs/>
          <w:iCs/>
          <w:sz w:val="20"/>
          <w:szCs w:val="20"/>
          <w:lang w:eastAsia="sl-SI"/>
        </w:rPr>
      </w:pPr>
      <w:r w:rsidRPr="0083741D">
        <w:rPr>
          <w:rFonts w:ascii="Arial" w:eastAsia="Times New Roman" w:hAnsi="Arial" w:cs="Arial"/>
          <w:b/>
          <w:bCs/>
          <w:iCs/>
          <w:sz w:val="20"/>
          <w:szCs w:val="20"/>
          <w:lang w:eastAsia="sl-SI"/>
        </w:rPr>
        <w:t>Predlaganje izbrisov poslovnih subjektov</w:t>
      </w:r>
    </w:p>
    <w:p w14:paraId="2B52CF21" w14:textId="77777777" w:rsidR="004B7622" w:rsidRPr="00794A92" w:rsidRDefault="004B7622" w:rsidP="004B7622">
      <w:pPr>
        <w:spacing w:line="260" w:lineRule="exact"/>
        <w:jc w:val="both"/>
        <w:rPr>
          <w:rFonts w:ascii="Arial" w:eastAsia="Times New Roman" w:hAnsi="Arial" w:cs="Arial"/>
          <w:sz w:val="20"/>
          <w:szCs w:val="20"/>
          <w:lang w:eastAsia="sl-SI"/>
        </w:rPr>
      </w:pPr>
      <w:r w:rsidRPr="004D56C9">
        <w:rPr>
          <w:rFonts w:ascii="Arial" w:eastAsia="Times New Roman" w:hAnsi="Arial" w:cs="Arial"/>
          <w:sz w:val="20"/>
          <w:szCs w:val="20"/>
          <w:lang w:eastAsia="sl-SI"/>
        </w:rPr>
        <w:t>FURS se poslužuje tudi zakonskih možnosti za izbris neaktivnih poslovnih subjektov, v skladu z Zakonom o gospodarskih družbah za samostojne podjetnike posameznike (ZGD-1) in Zakonom o finančnem poslovanju, postopkih zaradi insolventnosti in prisilnem prenehanju za subjekte vpisa v sodni register (ZFPPIPP).</w:t>
      </w:r>
      <w:r w:rsidRPr="00794A92">
        <w:rPr>
          <w:rFonts w:ascii="Arial" w:eastAsia="Times New Roman" w:hAnsi="Arial" w:cs="Arial"/>
          <w:sz w:val="20"/>
          <w:szCs w:val="20"/>
          <w:lang w:eastAsia="sl-SI"/>
        </w:rPr>
        <w:t xml:space="preserve"> </w:t>
      </w:r>
    </w:p>
    <w:p w14:paraId="22E10054" w14:textId="77777777" w:rsidR="004B7622" w:rsidRDefault="004B7622" w:rsidP="004B7622">
      <w:pPr>
        <w:spacing w:line="260" w:lineRule="exact"/>
        <w:jc w:val="both"/>
        <w:rPr>
          <w:rFonts w:ascii="Arial" w:eastAsia="Times New Roman" w:hAnsi="Arial" w:cs="Arial"/>
          <w:sz w:val="20"/>
          <w:szCs w:val="20"/>
          <w:lang w:eastAsia="sl-SI"/>
        </w:rPr>
      </w:pPr>
      <w:r w:rsidRPr="00794A92">
        <w:rPr>
          <w:rFonts w:ascii="Arial" w:eastAsia="Times New Roman" w:hAnsi="Arial" w:cs="Arial"/>
          <w:sz w:val="20"/>
          <w:szCs w:val="20"/>
          <w:lang w:eastAsia="sl-SI"/>
        </w:rPr>
        <w:t xml:space="preserve">V letu 2021 je bilo podanih 405 obvestil o obstoju razlogov za izbris. Od tega 61 za samostojne podjetnike in 344 za pravne osebe. Prav tako je </w:t>
      </w:r>
      <w:r>
        <w:rPr>
          <w:rFonts w:ascii="Arial" w:eastAsia="Times New Roman" w:hAnsi="Arial" w:cs="Arial"/>
          <w:sz w:val="20"/>
          <w:szCs w:val="20"/>
          <w:lang w:eastAsia="sl-SI"/>
        </w:rPr>
        <w:t>FURS</w:t>
      </w:r>
      <w:r w:rsidRPr="00794A92">
        <w:rPr>
          <w:rFonts w:ascii="Arial" w:eastAsia="Times New Roman" w:hAnsi="Arial" w:cs="Arial"/>
          <w:sz w:val="20"/>
          <w:szCs w:val="20"/>
          <w:lang w:eastAsia="sl-SI"/>
        </w:rPr>
        <w:t xml:space="preserve"> podala zoper pravne osebe 31 predlogov za prisilno likvidacijo v skladu z </w:t>
      </w:r>
      <w:r w:rsidRPr="004D56C9">
        <w:rPr>
          <w:rFonts w:ascii="Arial" w:eastAsia="Times New Roman" w:hAnsi="Arial" w:cs="Arial"/>
          <w:sz w:val="20"/>
          <w:szCs w:val="20"/>
          <w:lang w:eastAsia="sl-SI"/>
        </w:rPr>
        <w:t>ZFPPIPP</w:t>
      </w:r>
      <w:r>
        <w:rPr>
          <w:rFonts w:ascii="Arial" w:eastAsia="Times New Roman" w:hAnsi="Arial" w:cs="Arial"/>
          <w:sz w:val="20"/>
          <w:szCs w:val="20"/>
          <w:lang w:eastAsia="sl-SI"/>
        </w:rPr>
        <w:t>.</w:t>
      </w:r>
    </w:p>
    <w:p w14:paraId="2CD65A1A" w14:textId="77777777" w:rsidR="004B7622" w:rsidRDefault="004B7622" w:rsidP="004B7622">
      <w:pPr>
        <w:spacing w:line="260" w:lineRule="exact"/>
        <w:jc w:val="both"/>
        <w:rPr>
          <w:rFonts w:ascii="Arial" w:eastAsia="Times New Roman" w:hAnsi="Arial" w:cs="Arial"/>
          <w:sz w:val="20"/>
          <w:szCs w:val="20"/>
          <w:lang w:eastAsia="sl-SI"/>
        </w:rPr>
      </w:pPr>
    </w:p>
    <w:p w14:paraId="364B6B24" w14:textId="77777777" w:rsidR="004B7622" w:rsidRDefault="004B7622" w:rsidP="004B7622">
      <w:pPr>
        <w:rPr>
          <w:rFonts w:ascii="Arial" w:eastAsia="Times New Roman" w:hAnsi="Arial" w:cs="Arial"/>
          <w:i/>
          <w:sz w:val="20"/>
          <w:szCs w:val="20"/>
          <w:lang w:eastAsia="sl-SI"/>
        </w:rPr>
      </w:pPr>
      <w:r w:rsidRPr="00BF32CF">
        <w:rPr>
          <w:rFonts w:ascii="Arial" w:eastAsia="Times New Roman" w:hAnsi="Arial" w:cs="Arial"/>
          <w:i/>
          <w:sz w:val="20"/>
          <w:szCs w:val="20"/>
          <w:lang w:eastAsia="sl-SI"/>
        </w:rPr>
        <w:lastRenderedPageBreak/>
        <w:t xml:space="preserve">Preglednica 19: Predlogi za izbris in prisilno likvidacijo </w:t>
      </w:r>
    </w:p>
    <w:tbl>
      <w:tblPr>
        <w:tblW w:w="8410" w:type="dxa"/>
        <w:tblCellMar>
          <w:left w:w="70" w:type="dxa"/>
          <w:right w:w="70" w:type="dxa"/>
        </w:tblCellMar>
        <w:tblLook w:val="04A0" w:firstRow="1" w:lastRow="0" w:firstColumn="1" w:lastColumn="0" w:noHBand="0" w:noVBand="1"/>
      </w:tblPr>
      <w:tblGrid>
        <w:gridCol w:w="4537"/>
        <w:gridCol w:w="1170"/>
        <w:gridCol w:w="1428"/>
        <w:gridCol w:w="1275"/>
      </w:tblGrid>
      <w:tr w:rsidR="004B7622" w14:paraId="60420342" w14:textId="77777777" w:rsidTr="00377989">
        <w:trPr>
          <w:trHeight w:val="392"/>
        </w:trPr>
        <w:tc>
          <w:tcPr>
            <w:tcW w:w="4537" w:type="dxa"/>
            <w:tcBorders>
              <w:top w:val="single" w:sz="4" w:space="0" w:color="auto"/>
              <w:left w:val="single" w:sz="4" w:space="0" w:color="auto"/>
              <w:bottom w:val="single" w:sz="4" w:space="0" w:color="auto"/>
              <w:right w:val="single" w:sz="4" w:space="0" w:color="auto"/>
            </w:tcBorders>
            <w:shd w:val="clear" w:color="auto" w:fill="31849B"/>
            <w:vAlign w:val="center"/>
            <w:hideMark/>
          </w:tcPr>
          <w:p w14:paraId="065A19CD" w14:textId="77777777" w:rsidR="004B7622" w:rsidRPr="00794A92" w:rsidRDefault="004B7622" w:rsidP="00377989">
            <w:pPr>
              <w:rPr>
                <w:rFonts w:ascii="Arial" w:eastAsia="Times New Roman" w:hAnsi="Arial" w:cs="Arial"/>
                <w:b/>
                <w:bCs/>
                <w:color w:val="FFFFFF"/>
                <w:sz w:val="18"/>
                <w:szCs w:val="18"/>
                <w:lang w:eastAsia="sl-SI"/>
              </w:rPr>
            </w:pPr>
            <w:r w:rsidRPr="00794A92">
              <w:rPr>
                <w:rFonts w:ascii="Arial" w:eastAsia="Times New Roman" w:hAnsi="Arial" w:cs="Arial"/>
                <w:b/>
                <w:bCs/>
                <w:color w:val="FFFFFF"/>
                <w:sz w:val="18"/>
                <w:szCs w:val="18"/>
                <w:lang w:eastAsia="sl-SI"/>
              </w:rPr>
              <w:t>Vsebina postopka</w:t>
            </w:r>
          </w:p>
        </w:tc>
        <w:tc>
          <w:tcPr>
            <w:tcW w:w="1170" w:type="dxa"/>
            <w:tcBorders>
              <w:top w:val="single" w:sz="4" w:space="0" w:color="auto"/>
              <w:left w:val="nil"/>
              <w:bottom w:val="single" w:sz="4" w:space="0" w:color="auto"/>
              <w:right w:val="single" w:sz="4" w:space="0" w:color="auto"/>
            </w:tcBorders>
            <w:shd w:val="clear" w:color="auto" w:fill="31869B"/>
            <w:vAlign w:val="center"/>
            <w:hideMark/>
          </w:tcPr>
          <w:p w14:paraId="499C7928" w14:textId="77777777" w:rsidR="004B7622" w:rsidRPr="00794A92" w:rsidRDefault="004B7622" w:rsidP="00377989">
            <w:pPr>
              <w:jc w:val="center"/>
              <w:rPr>
                <w:rFonts w:ascii="Arial" w:eastAsia="Times New Roman" w:hAnsi="Arial" w:cs="Arial"/>
                <w:b/>
                <w:bCs/>
                <w:color w:val="FFFFFF"/>
                <w:sz w:val="18"/>
                <w:szCs w:val="18"/>
                <w:lang w:eastAsia="sl-SI"/>
              </w:rPr>
            </w:pPr>
            <w:r w:rsidRPr="00794A92">
              <w:rPr>
                <w:rFonts w:ascii="Arial" w:eastAsia="Times New Roman" w:hAnsi="Arial" w:cs="Arial"/>
                <w:b/>
                <w:bCs/>
                <w:color w:val="FFFFFF"/>
                <w:sz w:val="18"/>
                <w:szCs w:val="18"/>
                <w:lang w:eastAsia="sl-SI"/>
              </w:rPr>
              <w:t>2020</w:t>
            </w:r>
          </w:p>
        </w:tc>
        <w:tc>
          <w:tcPr>
            <w:tcW w:w="1428" w:type="dxa"/>
            <w:tcBorders>
              <w:top w:val="single" w:sz="4" w:space="0" w:color="auto"/>
              <w:left w:val="nil"/>
              <w:bottom w:val="single" w:sz="4" w:space="0" w:color="auto"/>
              <w:right w:val="single" w:sz="4" w:space="0" w:color="auto"/>
            </w:tcBorders>
            <w:shd w:val="clear" w:color="auto" w:fill="31869B"/>
            <w:vAlign w:val="center"/>
            <w:hideMark/>
          </w:tcPr>
          <w:p w14:paraId="12E0C967" w14:textId="77777777" w:rsidR="004B7622" w:rsidRPr="00794A92" w:rsidRDefault="004B7622" w:rsidP="00377989">
            <w:pPr>
              <w:jc w:val="center"/>
              <w:rPr>
                <w:rFonts w:ascii="Arial" w:eastAsia="Times New Roman" w:hAnsi="Arial" w:cs="Arial"/>
                <w:b/>
                <w:bCs/>
                <w:color w:val="FFFFFF"/>
                <w:sz w:val="18"/>
                <w:szCs w:val="18"/>
                <w:lang w:eastAsia="sl-SI"/>
              </w:rPr>
            </w:pPr>
            <w:r w:rsidRPr="00794A92">
              <w:rPr>
                <w:rFonts w:ascii="Arial" w:eastAsia="Times New Roman" w:hAnsi="Arial" w:cs="Arial"/>
                <w:b/>
                <w:bCs/>
                <w:color w:val="FFFFFF"/>
                <w:sz w:val="18"/>
                <w:szCs w:val="18"/>
                <w:lang w:eastAsia="sl-SI"/>
              </w:rPr>
              <w:t>2021</w:t>
            </w:r>
          </w:p>
        </w:tc>
        <w:tc>
          <w:tcPr>
            <w:tcW w:w="1275" w:type="dxa"/>
            <w:tcBorders>
              <w:top w:val="single" w:sz="4" w:space="0" w:color="auto"/>
              <w:left w:val="nil"/>
              <w:bottom w:val="single" w:sz="4" w:space="0" w:color="auto"/>
              <w:right w:val="single" w:sz="4" w:space="0" w:color="auto"/>
            </w:tcBorders>
            <w:shd w:val="clear" w:color="auto" w:fill="31849B"/>
            <w:vAlign w:val="center"/>
            <w:hideMark/>
          </w:tcPr>
          <w:p w14:paraId="549B2E09" w14:textId="77777777" w:rsidR="004B7622" w:rsidRPr="00794A92" w:rsidRDefault="004B7622" w:rsidP="00377989">
            <w:pPr>
              <w:jc w:val="center"/>
              <w:rPr>
                <w:rFonts w:ascii="Arial" w:eastAsia="Times New Roman" w:hAnsi="Arial" w:cs="Arial"/>
                <w:b/>
                <w:bCs/>
                <w:color w:val="FFFFFF"/>
                <w:sz w:val="18"/>
                <w:szCs w:val="18"/>
                <w:lang w:eastAsia="sl-SI"/>
              </w:rPr>
            </w:pPr>
            <w:r w:rsidRPr="00794A92">
              <w:rPr>
                <w:rFonts w:ascii="Arial" w:eastAsia="Times New Roman" w:hAnsi="Arial" w:cs="Arial"/>
                <w:b/>
                <w:bCs/>
                <w:color w:val="FFFFFF"/>
                <w:sz w:val="18"/>
                <w:szCs w:val="18"/>
                <w:lang w:eastAsia="sl-SI"/>
              </w:rPr>
              <w:t>Indeks 2021/2020</w:t>
            </w:r>
          </w:p>
        </w:tc>
      </w:tr>
      <w:tr w:rsidR="004B7622" w14:paraId="22028A47" w14:textId="77777777" w:rsidTr="00377989">
        <w:trPr>
          <w:trHeight w:val="288"/>
        </w:trPr>
        <w:tc>
          <w:tcPr>
            <w:tcW w:w="4537" w:type="dxa"/>
            <w:tcBorders>
              <w:top w:val="nil"/>
              <w:left w:val="single" w:sz="4" w:space="0" w:color="auto"/>
              <w:bottom w:val="single" w:sz="4" w:space="0" w:color="auto"/>
              <w:right w:val="single" w:sz="4" w:space="0" w:color="auto"/>
            </w:tcBorders>
            <w:vAlign w:val="center"/>
            <w:hideMark/>
          </w:tcPr>
          <w:p w14:paraId="5F83DBB5" w14:textId="77777777" w:rsidR="004B7622" w:rsidRPr="00794A92" w:rsidRDefault="004B7622" w:rsidP="00377989">
            <w:pPr>
              <w:rPr>
                <w:rFonts w:ascii="Arial" w:eastAsia="Times New Roman" w:hAnsi="Arial" w:cs="Arial"/>
                <w:sz w:val="18"/>
                <w:szCs w:val="18"/>
                <w:lang w:eastAsia="sl-SI"/>
              </w:rPr>
            </w:pPr>
            <w:r w:rsidRPr="00794A92">
              <w:rPr>
                <w:rFonts w:ascii="Arial" w:eastAsia="Times New Roman" w:hAnsi="Arial" w:cs="Arial"/>
                <w:sz w:val="18"/>
                <w:szCs w:val="18"/>
                <w:lang w:eastAsia="sl-SI"/>
              </w:rPr>
              <w:t>Število podanih obvestil o obstoju razlogov za izbris</w:t>
            </w:r>
          </w:p>
        </w:tc>
        <w:tc>
          <w:tcPr>
            <w:tcW w:w="1170" w:type="dxa"/>
            <w:tcBorders>
              <w:top w:val="nil"/>
              <w:left w:val="nil"/>
              <w:bottom w:val="single" w:sz="4" w:space="0" w:color="auto"/>
              <w:right w:val="single" w:sz="4" w:space="0" w:color="auto"/>
            </w:tcBorders>
            <w:vAlign w:val="center"/>
            <w:hideMark/>
          </w:tcPr>
          <w:p w14:paraId="60909BB3" w14:textId="77777777" w:rsidR="004B7622" w:rsidRPr="00794A92" w:rsidRDefault="004B7622" w:rsidP="00377989">
            <w:pPr>
              <w:jc w:val="center"/>
              <w:rPr>
                <w:rFonts w:ascii="Arial" w:eastAsia="Times New Roman" w:hAnsi="Arial" w:cs="Arial"/>
                <w:sz w:val="18"/>
                <w:szCs w:val="18"/>
                <w:lang w:eastAsia="sl-SI"/>
              </w:rPr>
            </w:pPr>
            <w:r w:rsidRPr="00794A92">
              <w:rPr>
                <w:rFonts w:ascii="Arial" w:eastAsia="Times New Roman" w:hAnsi="Arial" w:cs="Arial"/>
                <w:sz w:val="18"/>
                <w:szCs w:val="18"/>
                <w:lang w:eastAsia="sl-SI"/>
              </w:rPr>
              <w:t>503</w:t>
            </w:r>
          </w:p>
        </w:tc>
        <w:tc>
          <w:tcPr>
            <w:tcW w:w="1428" w:type="dxa"/>
            <w:tcBorders>
              <w:top w:val="nil"/>
              <w:left w:val="nil"/>
              <w:bottom w:val="single" w:sz="4" w:space="0" w:color="auto"/>
              <w:right w:val="single" w:sz="4" w:space="0" w:color="auto"/>
            </w:tcBorders>
            <w:vAlign w:val="center"/>
            <w:hideMark/>
          </w:tcPr>
          <w:p w14:paraId="26B1FFEA" w14:textId="77777777" w:rsidR="004B7622" w:rsidRPr="00794A92" w:rsidRDefault="004B7622" w:rsidP="00377989">
            <w:pPr>
              <w:jc w:val="center"/>
              <w:rPr>
                <w:rFonts w:ascii="Arial" w:eastAsia="Times New Roman" w:hAnsi="Arial" w:cs="Arial"/>
                <w:sz w:val="18"/>
                <w:szCs w:val="18"/>
                <w:lang w:eastAsia="sl-SI"/>
              </w:rPr>
            </w:pPr>
            <w:r w:rsidRPr="00794A92">
              <w:rPr>
                <w:rFonts w:ascii="Arial" w:eastAsia="Times New Roman" w:hAnsi="Arial" w:cs="Arial"/>
                <w:sz w:val="18"/>
                <w:szCs w:val="18"/>
                <w:lang w:eastAsia="sl-SI"/>
              </w:rPr>
              <w:t>405</w:t>
            </w:r>
          </w:p>
        </w:tc>
        <w:tc>
          <w:tcPr>
            <w:tcW w:w="1275" w:type="dxa"/>
            <w:tcBorders>
              <w:top w:val="nil"/>
              <w:left w:val="nil"/>
              <w:bottom w:val="single" w:sz="4" w:space="0" w:color="auto"/>
              <w:right w:val="single" w:sz="4" w:space="0" w:color="auto"/>
            </w:tcBorders>
            <w:vAlign w:val="center"/>
            <w:hideMark/>
          </w:tcPr>
          <w:p w14:paraId="15B37E57" w14:textId="77777777" w:rsidR="004B7622" w:rsidRPr="00794A92" w:rsidRDefault="004B7622" w:rsidP="00377989">
            <w:pPr>
              <w:jc w:val="right"/>
              <w:rPr>
                <w:rFonts w:ascii="Arial" w:eastAsia="Times New Roman" w:hAnsi="Arial" w:cs="Arial"/>
                <w:sz w:val="18"/>
                <w:szCs w:val="18"/>
                <w:lang w:eastAsia="sl-SI"/>
              </w:rPr>
            </w:pPr>
            <w:r w:rsidRPr="00794A92">
              <w:rPr>
                <w:rFonts w:ascii="Arial" w:eastAsia="Times New Roman" w:hAnsi="Arial" w:cs="Arial"/>
                <w:sz w:val="18"/>
                <w:szCs w:val="18"/>
                <w:lang w:eastAsia="sl-SI"/>
              </w:rPr>
              <w:t>80,5</w:t>
            </w:r>
          </w:p>
        </w:tc>
      </w:tr>
      <w:tr w:rsidR="004B7622" w14:paraId="4591D277" w14:textId="77777777" w:rsidTr="00377989">
        <w:trPr>
          <w:trHeight w:val="288"/>
        </w:trPr>
        <w:tc>
          <w:tcPr>
            <w:tcW w:w="4537" w:type="dxa"/>
            <w:tcBorders>
              <w:top w:val="nil"/>
              <w:left w:val="single" w:sz="4" w:space="0" w:color="auto"/>
              <w:bottom w:val="single" w:sz="4" w:space="0" w:color="auto"/>
              <w:right w:val="single" w:sz="4" w:space="0" w:color="auto"/>
            </w:tcBorders>
            <w:vAlign w:val="center"/>
            <w:hideMark/>
          </w:tcPr>
          <w:p w14:paraId="567F81E2" w14:textId="77777777" w:rsidR="004B7622" w:rsidRPr="00794A92" w:rsidRDefault="004B7622" w:rsidP="00377989">
            <w:pPr>
              <w:rPr>
                <w:rFonts w:ascii="Arial" w:eastAsia="Times New Roman" w:hAnsi="Arial" w:cs="Arial"/>
                <w:sz w:val="18"/>
                <w:szCs w:val="18"/>
                <w:lang w:eastAsia="sl-SI"/>
              </w:rPr>
            </w:pPr>
            <w:r w:rsidRPr="00794A92">
              <w:rPr>
                <w:rFonts w:ascii="Arial" w:eastAsia="Times New Roman" w:hAnsi="Arial" w:cs="Arial"/>
                <w:sz w:val="18"/>
                <w:szCs w:val="18"/>
                <w:lang w:eastAsia="sl-SI"/>
              </w:rPr>
              <w:t>Število podanih predlogov  za prisilno likvidacijo</w:t>
            </w:r>
          </w:p>
        </w:tc>
        <w:tc>
          <w:tcPr>
            <w:tcW w:w="1170" w:type="dxa"/>
            <w:tcBorders>
              <w:top w:val="nil"/>
              <w:left w:val="nil"/>
              <w:bottom w:val="single" w:sz="4" w:space="0" w:color="auto"/>
              <w:right w:val="single" w:sz="4" w:space="0" w:color="auto"/>
            </w:tcBorders>
            <w:vAlign w:val="center"/>
            <w:hideMark/>
          </w:tcPr>
          <w:p w14:paraId="74A6AEDD" w14:textId="77777777" w:rsidR="004B7622" w:rsidRPr="00794A92" w:rsidRDefault="004B7622" w:rsidP="00377989">
            <w:pPr>
              <w:jc w:val="center"/>
              <w:rPr>
                <w:rFonts w:ascii="Arial" w:eastAsia="Times New Roman" w:hAnsi="Arial" w:cs="Arial"/>
                <w:sz w:val="18"/>
                <w:szCs w:val="18"/>
                <w:lang w:eastAsia="sl-SI"/>
              </w:rPr>
            </w:pPr>
            <w:r w:rsidRPr="00794A92">
              <w:rPr>
                <w:rFonts w:ascii="Arial" w:eastAsia="Times New Roman" w:hAnsi="Arial" w:cs="Arial"/>
                <w:sz w:val="18"/>
                <w:szCs w:val="18"/>
                <w:lang w:eastAsia="sl-SI"/>
              </w:rPr>
              <w:t>92</w:t>
            </w:r>
          </w:p>
        </w:tc>
        <w:tc>
          <w:tcPr>
            <w:tcW w:w="1428" w:type="dxa"/>
            <w:tcBorders>
              <w:top w:val="nil"/>
              <w:left w:val="nil"/>
              <w:bottom w:val="single" w:sz="4" w:space="0" w:color="auto"/>
              <w:right w:val="single" w:sz="4" w:space="0" w:color="auto"/>
            </w:tcBorders>
            <w:vAlign w:val="center"/>
            <w:hideMark/>
          </w:tcPr>
          <w:p w14:paraId="398F467A" w14:textId="77777777" w:rsidR="004B7622" w:rsidRPr="00794A92" w:rsidRDefault="004B7622" w:rsidP="00377989">
            <w:pPr>
              <w:jc w:val="center"/>
              <w:rPr>
                <w:rFonts w:ascii="Arial" w:eastAsia="Times New Roman" w:hAnsi="Arial" w:cs="Arial"/>
                <w:sz w:val="18"/>
                <w:szCs w:val="18"/>
                <w:lang w:eastAsia="sl-SI"/>
              </w:rPr>
            </w:pPr>
            <w:r w:rsidRPr="00794A92">
              <w:rPr>
                <w:rFonts w:ascii="Arial" w:eastAsia="Times New Roman" w:hAnsi="Arial" w:cs="Arial"/>
                <w:sz w:val="18"/>
                <w:szCs w:val="18"/>
                <w:lang w:eastAsia="sl-SI"/>
              </w:rPr>
              <w:t>31</w:t>
            </w:r>
          </w:p>
        </w:tc>
        <w:tc>
          <w:tcPr>
            <w:tcW w:w="1275" w:type="dxa"/>
            <w:tcBorders>
              <w:top w:val="nil"/>
              <w:left w:val="nil"/>
              <w:bottom w:val="single" w:sz="4" w:space="0" w:color="auto"/>
              <w:right w:val="single" w:sz="4" w:space="0" w:color="auto"/>
            </w:tcBorders>
            <w:vAlign w:val="center"/>
            <w:hideMark/>
          </w:tcPr>
          <w:p w14:paraId="488F8944" w14:textId="77777777" w:rsidR="004B7622" w:rsidRPr="00794A92" w:rsidRDefault="004B7622" w:rsidP="00377989">
            <w:pPr>
              <w:jc w:val="right"/>
              <w:rPr>
                <w:rFonts w:ascii="Arial" w:eastAsia="Times New Roman" w:hAnsi="Arial" w:cs="Arial"/>
                <w:sz w:val="18"/>
                <w:szCs w:val="18"/>
                <w:lang w:eastAsia="sl-SI"/>
              </w:rPr>
            </w:pPr>
            <w:r w:rsidRPr="00794A92">
              <w:rPr>
                <w:rFonts w:ascii="Arial" w:eastAsia="Times New Roman" w:hAnsi="Arial" w:cs="Arial"/>
                <w:sz w:val="18"/>
                <w:szCs w:val="18"/>
                <w:lang w:eastAsia="sl-SI"/>
              </w:rPr>
              <w:t>33,7</w:t>
            </w:r>
          </w:p>
        </w:tc>
      </w:tr>
    </w:tbl>
    <w:p w14:paraId="0643F421" w14:textId="77777777" w:rsidR="004B7622" w:rsidRPr="00534703" w:rsidRDefault="004B7622" w:rsidP="004B7622">
      <w:pPr>
        <w:rPr>
          <w:rFonts w:ascii="Arial" w:hAnsi="Arial" w:cs="Arial"/>
          <w:i/>
          <w:sz w:val="20"/>
          <w:szCs w:val="20"/>
        </w:rPr>
      </w:pPr>
      <w:r w:rsidRPr="00534703">
        <w:rPr>
          <w:rFonts w:ascii="Arial" w:hAnsi="Arial" w:cs="Arial"/>
          <w:i/>
          <w:sz w:val="20"/>
          <w:szCs w:val="20"/>
        </w:rPr>
        <w:t>Vir: FURS</w:t>
      </w:r>
    </w:p>
    <w:p w14:paraId="77F941BE" w14:textId="77777777" w:rsidR="004B7622" w:rsidRPr="0057297B" w:rsidRDefault="004B7622" w:rsidP="004B7622">
      <w:pPr>
        <w:jc w:val="both"/>
        <w:rPr>
          <w:rFonts w:ascii="Arial" w:eastAsia="Times New Roman" w:hAnsi="Arial" w:cs="Arial"/>
          <w:b/>
          <w:bCs/>
          <w:iCs/>
          <w:sz w:val="20"/>
          <w:szCs w:val="20"/>
          <w:lang w:eastAsia="sl-SI"/>
        </w:rPr>
      </w:pPr>
      <w:r w:rsidRPr="00EB2807">
        <w:rPr>
          <w:rFonts w:ascii="Arial" w:eastAsia="Times New Roman" w:hAnsi="Arial" w:cs="Arial"/>
          <w:b/>
          <w:bCs/>
          <w:iCs/>
          <w:sz w:val="20"/>
          <w:szCs w:val="20"/>
          <w:lang w:eastAsia="sl-SI"/>
        </w:rPr>
        <w:t>Predlogi za začetek stečajnih postopkov</w:t>
      </w:r>
    </w:p>
    <w:p w14:paraId="305C1939" w14:textId="77777777" w:rsidR="004B7622" w:rsidRDefault="004B7622" w:rsidP="004B7622">
      <w:pPr>
        <w:pStyle w:val="FURSNavaden"/>
        <w:spacing w:line="260" w:lineRule="exact"/>
      </w:pPr>
      <w:r w:rsidRPr="00D43106">
        <w:t>V letu 2021 je F</w:t>
      </w:r>
      <w:r>
        <w:t xml:space="preserve">URS </w:t>
      </w:r>
      <w:r w:rsidRPr="00D43106">
        <w:t xml:space="preserve">predlagal začetek stečajnih postopkov zoper 501 dolžnika, ki so skupaj dolgovali 63.951.792 </w:t>
      </w:r>
      <w:r>
        <w:t>EUR</w:t>
      </w:r>
      <w:r w:rsidRPr="00D43106">
        <w:t xml:space="preserve">.  </w:t>
      </w:r>
    </w:p>
    <w:p w14:paraId="58407BA5" w14:textId="77777777" w:rsidR="004B7622" w:rsidRDefault="004B7622" w:rsidP="004B7622">
      <w:pPr>
        <w:pStyle w:val="FURSNavaden"/>
        <w:spacing w:line="260" w:lineRule="exact"/>
      </w:pPr>
    </w:p>
    <w:p w14:paraId="3CD43DE9" w14:textId="77777777" w:rsidR="004B7622" w:rsidRDefault="004B7622" w:rsidP="004B7622">
      <w:pPr>
        <w:pStyle w:val="FURSNavaden"/>
        <w:spacing w:line="260" w:lineRule="exact"/>
      </w:pPr>
    </w:p>
    <w:p w14:paraId="3557ECBC" w14:textId="77777777" w:rsidR="004B7622" w:rsidRDefault="004B7622" w:rsidP="004B7622">
      <w:pPr>
        <w:jc w:val="both"/>
        <w:rPr>
          <w:rFonts w:ascii="Arial" w:eastAsia="Times New Roman" w:hAnsi="Arial" w:cs="Arial"/>
          <w:i/>
          <w:sz w:val="20"/>
          <w:szCs w:val="20"/>
          <w:lang w:eastAsia="sl-SI"/>
        </w:rPr>
      </w:pPr>
      <w:r w:rsidRPr="00237554">
        <w:rPr>
          <w:rFonts w:ascii="Arial" w:eastAsia="Times New Roman" w:hAnsi="Arial" w:cs="Arial"/>
          <w:i/>
          <w:sz w:val="20"/>
          <w:szCs w:val="20"/>
          <w:lang w:eastAsia="sl-SI"/>
        </w:rPr>
        <w:t>Preglednica</w:t>
      </w:r>
      <w:r>
        <w:rPr>
          <w:rFonts w:ascii="Arial" w:eastAsia="Times New Roman" w:hAnsi="Arial" w:cs="Arial"/>
          <w:i/>
          <w:sz w:val="20"/>
          <w:szCs w:val="20"/>
          <w:lang w:eastAsia="sl-SI"/>
        </w:rPr>
        <w:t xml:space="preserve"> 20</w:t>
      </w:r>
      <w:r w:rsidRPr="00237554">
        <w:rPr>
          <w:rFonts w:ascii="Arial" w:eastAsia="Times New Roman" w:hAnsi="Arial" w:cs="Arial"/>
          <w:sz w:val="20"/>
          <w:szCs w:val="20"/>
          <w:lang w:eastAsia="sl-SI"/>
        </w:rPr>
        <w:t xml:space="preserve">: </w:t>
      </w:r>
      <w:r w:rsidRPr="00237554">
        <w:rPr>
          <w:rFonts w:ascii="Arial" w:eastAsia="Times New Roman" w:hAnsi="Arial" w:cs="Arial"/>
          <w:i/>
          <w:sz w:val="20"/>
          <w:szCs w:val="20"/>
          <w:lang w:eastAsia="sl-SI"/>
        </w:rPr>
        <w:t>Predlogi FURS za začetek stečajnega postopka zneski v EUR)</w:t>
      </w:r>
    </w:p>
    <w:tbl>
      <w:tblPr>
        <w:tblW w:w="9108" w:type="dxa"/>
        <w:tblCellMar>
          <w:left w:w="70" w:type="dxa"/>
          <w:right w:w="70" w:type="dxa"/>
        </w:tblCellMar>
        <w:tblLook w:val="04A0" w:firstRow="1" w:lastRow="0" w:firstColumn="1" w:lastColumn="0" w:noHBand="0" w:noVBand="1"/>
      </w:tblPr>
      <w:tblGrid>
        <w:gridCol w:w="3443"/>
        <w:gridCol w:w="895"/>
        <w:gridCol w:w="1094"/>
        <w:gridCol w:w="949"/>
        <w:gridCol w:w="1041"/>
        <w:gridCol w:w="913"/>
        <w:gridCol w:w="773"/>
      </w:tblGrid>
      <w:tr w:rsidR="004B7622" w14:paraId="6479038D" w14:textId="77777777" w:rsidTr="00377989">
        <w:trPr>
          <w:trHeight w:val="810"/>
        </w:trPr>
        <w:tc>
          <w:tcPr>
            <w:tcW w:w="3471" w:type="dxa"/>
            <w:vMerge w:val="restart"/>
            <w:tcBorders>
              <w:top w:val="single" w:sz="4" w:space="0" w:color="auto"/>
              <w:left w:val="single" w:sz="4" w:space="0" w:color="auto"/>
              <w:bottom w:val="single" w:sz="4" w:space="0" w:color="auto"/>
              <w:right w:val="single" w:sz="4" w:space="0" w:color="auto"/>
            </w:tcBorders>
            <w:shd w:val="clear" w:color="auto" w:fill="31849B"/>
            <w:vAlign w:val="center"/>
            <w:hideMark/>
          </w:tcPr>
          <w:p w14:paraId="0921C104" w14:textId="77777777" w:rsidR="004B7622" w:rsidRPr="00D43106" w:rsidRDefault="004B7622" w:rsidP="00377989">
            <w:pPr>
              <w:jc w:val="center"/>
              <w:rPr>
                <w:rFonts w:ascii="Arial" w:eastAsia="Times New Roman" w:hAnsi="Arial" w:cs="Arial"/>
                <w:b/>
                <w:bCs/>
                <w:color w:val="FFFFFF"/>
                <w:sz w:val="18"/>
                <w:szCs w:val="18"/>
                <w:lang w:eastAsia="sl-SI"/>
              </w:rPr>
            </w:pPr>
            <w:r w:rsidRPr="00D43106">
              <w:rPr>
                <w:rFonts w:ascii="Arial" w:eastAsia="Times New Roman" w:hAnsi="Arial" w:cs="Arial"/>
                <w:b/>
                <w:bCs/>
                <w:color w:val="FFFFFF"/>
                <w:sz w:val="18"/>
                <w:szCs w:val="18"/>
                <w:lang w:eastAsia="sl-SI"/>
              </w:rPr>
              <w:t>Vsebina postopka</w:t>
            </w:r>
          </w:p>
        </w:tc>
        <w:tc>
          <w:tcPr>
            <w:tcW w:w="1992" w:type="dxa"/>
            <w:gridSpan w:val="2"/>
            <w:tcBorders>
              <w:top w:val="single" w:sz="4" w:space="0" w:color="auto"/>
              <w:left w:val="nil"/>
              <w:bottom w:val="single" w:sz="4" w:space="0" w:color="auto"/>
              <w:right w:val="single" w:sz="4" w:space="0" w:color="auto"/>
            </w:tcBorders>
            <w:shd w:val="clear" w:color="auto" w:fill="31869B"/>
            <w:vAlign w:val="center"/>
            <w:hideMark/>
          </w:tcPr>
          <w:p w14:paraId="6EF66C53" w14:textId="77777777" w:rsidR="004B7622" w:rsidRPr="00D43106" w:rsidRDefault="004B7622" w:rsidP="00377989">
            <w:pPr>
              <w:jc w:val="center"/>
              <w:rPr>
                <w:rFonts w:ascii="Arial" w:eastAsia="Times New Roman" w:hAnsi="Arial" w:cs="Arial"/>
                <w:b/>
                <w:bCs/>
                <w:color w:val="FFFFFF"/>
                <w:sz w:val="18"/>
                <w:szCs w:val="18"/>
                <w:lang w:eastAsia="sl-SI"/>
              </w:rPr>
            </w:pPr>
            <w:r w:rsidRPr="00D43106">
              <w:rPr>
                <w:rFonts w:ascii="Arial" w:eastAsia="Times New Roman" w:hAnsi="Arial" w:cs="Arial"/>
                <w:b/>
                <w:bCs/>
                <w:color w:val="FFFFFF"/>
                <w:sz w:val="18"/>
                <w:szCs w:val="18"/>
                <w:lang w:eastAsia="sl-SI"/>
              </w:rPr>
              <w:t>2020</w:t>
            </w:r>
          </w:p>
        </w:tc>
        <w:tc>
          <w:tcPr>
            <w:tcW w:w="1957" w:type="dxa"/>
            <w:gridSpan w:val="2"/>
            <w:tcBorders>
              <w:top w:val="single" w:sz="4" w:space="0" w:color="auto"/>
              <w:left w:val="nil"/>
              <w:bottom w:val="single" w:sz="4" w:space="0" w:color="auto"/>
              <w:right w:val="single" w:sz="4" w:space="0" w:color="auto"/>
            </w:tcBorders>
            <w:shd w:val="clear" w:color="auto" w:fill="31869B"/>
            <w:vAlign w:val="center"/>
            <w:hideMark/>
          </w:tcPr>
          <w:p w14:paraId="7EA69CFE" w14:textId="77777777" w:rsidR="004B7622" w:rsidRPr="00D43106" w:rsidRDefault="004B7622" w:rsidP="00377989">
            <w:pPr>
              <w:jc w:val="center"/>
              <w:rPr>
                <w:rFonts w:ascii="Arial" w:eastAsia="Times New Roman" w:hAnsi="Arial" w:cs="Arial"/>
                <w:b/>
                <w:bCs/>
                <w:color w:val="FFFFFF"/>
                <w:sz w:val="18"/>
                <w:szCs w:val="18"/>
                <w:lang w:eastAsia="sl-SI"/>
              </w:rPr>
            </w:pPr>
            <w:r w:rsidRPr="00D43106">
              <w:rPr>
                <w:rFonts w:ascii="Arial" w:eastAsia="Times New Roman" w:hAnsi="Arial" w:cs="Arial"/>
                <w:b/>
                <w:bCs/>
                <w:color w:val="FFFFFF"/>
                <w:sz w:val="18"/>
                <w:szCs w:val="18"/>
                <w:lang w:eastAsia="sl-SI"/>
              </w:rPr>
              <w:t>2021</w:t>
            </w:r>
          </w:p>
        </w:tc>
        <w:tc>
          <w:tcPr>
            <w:tcW w:w="1688" w:type="dxa"/>
            <w:gridSpan w:val="2"/>
            <w:tcBorders>
              <w:top w:val="single" w:sz="4" w:space="0" w:color="auto"/>
              <w:left w:val="nil"/>
              <w:bottom w:val="single" w:sz="4" w:space="0" w:color="auto"/>
              <w:right w:val="single" w:sz="4" w:space="0" w:color="auto"/>
            </w:tcBorders>
            <w:shd w:val="clear" w:color="auto" w:fill="31849B"/>
            <w:vAlign w:val="center"/>
            <w:hideMark/>
          </w:tcPr>
          <w:p w14:paraId="58E1AB64" w14:textId="77777777" w:rsidR="004B7622" w:rsidRPr="00D43106" w:rsidRDefault="004B7622" w:rsidP="00377989">
            <w:pPr>
              <w:jc w:val="center"/>
              <w:rPr>
                <w:rFonts w:ascii="Arial" w:eastAsia="Times New Roman" w:hAnsi="Arial" w:cs="Arial"/>
                <w:b/>
                <w:bCs/>
                <w:color w:val="FFFFFF"/>
                <w:sz w:val="18"/>
                <w:szCs w:val="18"/>
                <w:lang w:eastAsia="sl-SI"/>
              </w:rPr>
            </w:pPr>
            <w:r w:rsidRPr="00D43106">
              <w:rPr>
                <w:rFonts w:ascii="Arial" w:eastAsia="Times New Roman" w:hAnsi="Arial" w:cs="Arial"/>
                <w:b/>
                <w:bCs/>
                <w:color w:val="FFFFFF"/>
                <w:sz w:val="18"/>
                <w:szCs w:val="18"/>
                <w:lang w:eastAsia="sl-SI"/>
              </w:rPr>
              <w:t>Indeks 2021/2020</w:t>
            </w:r>
          </w:p>
        </w:tc>
      </w:tr>
      <w:tr w:rsidR="004B7622" w14:paraId="639895A6" w14:textId="77777777" w:rsidTr="00377989">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8A2B77" w14:textId="77777777" w:rsidR="004B7622" w:rsidRPr="00D43106" w:rsidRDefault="004B7622" w:rsidP="00377989">
            <w:pPr>
              <w:rPr>
                <w:rFonts w:ascii="Arial" w:eastAsia="Times New Roman" w:hAnsi="Arial" w:cs="Arial"/>
                <w:b/>
                <w:bCs/>
                <w:color w:val="FFFFFF"/>
                <w:sz w:val="18"/>
                <w:szCs w:val="18"/>
                <w:lang w:eastAsia="sl-SI"/>
              </w:rPr>
            </w:pPr>
          </w:p>
        </w:tc>
        <w:tc>
          <w:tcPr>
            <w:tcW w:w="897" w:type="dxa"/>
            <w:tcBorders>
              <w:top w:val="nil"/>
              <w:left w:val="nil"/>
              <w:bottom w:val="single" w:sz="4" w:space="0" w:color="auto"/>
              <w:right w:val="single" w:sz="4" w:space="0" w:color="auto"/>
            </w:tcBorders>
            <w:shd w:val="clear" w:color="auto" w:fill="31869B"/>
            <w:vAlign w:val="center"/>
            <w:hideMark/>
          </w:tcPr>
          <w:p w14:paraId="7CB235A4" w14:textId="77777777" w:rsidR="004B7622" w:rsidRPr="00D43106" w:rsidRDefault="004B7622" w:rsidP="00377989">
            <w:pPr>
              <w:jc w:val="center"/>
              <w:rPr>
                <w:rFonts w:ascii="Arial" w:eastAsia="Times New Roman" w:hAnsi="Arial" w:cs="Arial"/>
                <w:b/>
                <w:bCs/>
                <w:color w:val="FFFFFF"/>
                <w:sz w:val="18"/>
                <w:szCs w:val="18"/>
                <w:lang w:eastAsia="sl-SI"/>
              </w:rPr>
            </w:pPr>
            <w:r w:rsidRPr="00D43106">
              <w:rPr>
                <w:rFonts w:ascii="Arial" w:eastAsia="Times New Roman" w:hAnsi="Arial" w:cs="Arial"/>
                <w:b/>
                <w:bCs/>
                <w:color w:val="FFFFFF"/>
                <w:sz w:val="18"/>
                <w:szCs w:val="18"/>
                <w:lang w:eastAsia="sl-SI"/>
              </w:rPr>
              <w:t>Število</w:t>
            </w:r>
          </w:p>
        </w:tc>
        <w:tc>
          <w:tcPr>
            <w:tcW w:w="1095" w:type="dxa"/>
            <w:tcBorders>
              <w:top w:val="nil"/>
              <w:left w:val="nil"/>
              <w:bottom w:val="single" w:sz="4" w:space="0" w:color="auto"/>
              <w:right w:val="single" w:sz="4" w:space="0" w:color="auto"/>
            </w:tcBorders>
            <w:shd w:val="clear" w:color="auto" w:fill="31869B"/>
            <w:vAlign w:val="center"/>
            <w:hideMark/>
          </w:tcPr>
          <w:p w14:paraId="5BC0C45F" w14:textId="77777777" w:rsidR="004B7622" w:rsidRPr="00D43106" w:rsidRDefault="004B7622" w:rsidP="00377989">
            <w:pPr>
              <w:jc w:val="center"/>
              <w:rPr>
                <w:rFonts w:ascii="Arial" w:eastAsia="Times New Roman" w:hAnsi="Arial" w:cs="Arial"/>
                <w:b/>
                <w:bCs/>
                <w:color w:val="FFFFFF"/>
                <w:sz w:val="18"/>
                <w:szCs w:val="18"/>
                <w:lang w:eastAsia="sl-SI"/>
              </w:rPr>
            </w:pPr>
            <w:r w:rsidRPr="00D43106">
              <w:rPr>
                <w:rFonts w:ascii="Arial" w:eastAsia="Times New Roman" w:hAnsi="Arial" w:cs="Arial"/>
                <w:b/>
                <w:bCs/>
                <w:color w:val="FFFFFF"/>
                <w:sz w:val="18"/>
                <w:szCs w:val="18"/>
                <w:lang w:eastAsia="sl-SI"/>
              </w:rPr>
              <w:t>Znesek v evrih</w:t>
            </w:r>
          </w:p>
        </w:tc>
        <w:tc>
          <w:tcPr>
            <w:tcW w:w="951" w:type="dxa"/>
            <w:tcBorders>
              <w:top w:val="nil"/>
              <w:left w:val="nil"/>
              <w:bottom w:val="single" w:sz="4" w:space="0" w:color="auto"/>
              <w:right w:val="single" w:sz="4" w:space="0" w:color="auto"/>
            </w:tcBorders>
            <w:shd w:val="clear" w:color="auto" w:fill="31869B"/>
            <w:vAlign w:val="center"/>
            <w:hideMark/>
          </w:tcPr>
          <w:p w14:paraId="0D3A4AA7" w14:textId="77777777" w:rsidR="004B7622" w:rsidRPr="00D43106" w:rsidRDefault="004B7622" w:rsidP="00377989">
            <w:pPr>
              <w:jc w:val="center"/>
              <w:rPr>
                <w:rFonts w:ascii="Arial" w:eastAsia="Times New Roman" w:hAnsi="Arial" w:cs="Arial"/>
                <w:b/>
                <w:bCs/>
                <w:color w:val="FFFFFF"/>
                <w:sz w:val="18"/>
                <w:szCs w:val="18"/>
                <w:lang w:eastAsia="sl-SI"/>
              </w:rPr>
            </w:pPr>
            <w:r w:rsidRPr="00D43106">
              <w:rPr>
                <w:rFonts w:ascii="Arial" w:eastAsia="Times New Roman" w:hAnsi="Arial" w:cs="Arial"/>
                <w:b/>
                <w:bCs/>
                <w:color w:val="FFFFFF"/>
                <w:sz w:val="18"/>
                <w:szCs w:val="18"/>
                <w:lang w:eastAsia="sl-SI"/>
              </w:rPr>
              <w:t>Število</w:t>
            </w:r>
          </w:p>
        </w:tc>
        <w:tc>
          <w:tcPr>
            <w:tcW w:w="1006" w:type="dxa"/>
            <w:tcBorders>
              <w:top w:val="nil"/>
              <w:left w:val="nil"/>
              <w:bottom w:val="single" w:sz="4" w:space="0" w:color="auto"/>
              <w:right w:val="single" w:sz="4" w:space="0" w:color="auto"/>
            </w:tcBorders>
            <w:shd w:val="clear" w:color="auto" w:fill="31869B"/>
            <w:vAlign w:val="center"/>
            <w:hideMark/>
          </w:tcPr>
          <w:p w14:paraId="104EAFDA" w14:textId="77777777" w:rsidR="004B7622" w:rsidRPr="00D43106" w:rsidRDefault="004B7622" w:rsidP="00377989">
            <w:pPr>
              <w:jc w:val="center"/>
              <w:rPr>
                <w:rFonts w:ascii="Arial" w:eastAsia="Times New Roman" w:hAnsi="Arial" w:cs="Arial"/>
                <w:b/>
                <w:bCs/>
                <w:color w:val="FFFFFF"/>
                <w:sz w:val="18"/>
                <w:szCs w:val="18"/>
                <w:lang w:eastAsia="sl-SI"/>
              </w:rPr>
            </w:pPr>
            <w:r w:rsidRPr="00D43106">
              <w:rPr>
                <w:rFonts w:ascii="Arial" w:eastAsia="Times New Roman" w:hAnsi="Arial" w:cs="Arial"/>
                <w:b/>
                <w:bCs/>
                <w:color w:val="FFFFFF"/>
                <w:sz w:val="18"/>
                <w:szCs w:val="18"/>
                <w:lang w:eastAsia="sl-SI"/>
              </w:rPr>
              <w:t>Znesek v evrih</w:t>
            </w:r>
          </w:p>
        </w:tc>
        <w:tc>
          <w:tcPr>
            <w:tcW w:w="915" w:type="dxa"/>
            <w:tcBorders>
              <w:top w:val="nil"/>
              <w:left w:val="nil"/>
              <w:bottom w:val="single" w:sz="4" w:space="0" w:color="auto"/>
              <w:right w:val="single" w:sz="4" w:space="0" w:color="auto"/>
            </w:tcBorders>
            <w:shd w:val="clear" w:color="auto" w:fill="31869B"/>
            <w:vAlign w:val="center"/>
            <w:hideMark/>
          </w:tcPr>
          <w:p w14:paraId="35BD071A" w14:textId="77777777" w:rsidR="004B7622" w:rsidRPr="00D43106" w:rsidRDefault="004B7622" w:rsidP="00377989">
            <w:pPr>
              <w:jc w:val="center"/>
              <w:rPr>
                <w:rFonts w:ascii="Arial" w:eastAsia="Times New Roman" w:hAnsi="Arial" w:cs="Arial"/>
                <w:b/>
                <w:bCs/>
                <w:color w:val="FFFFFF"/>
                <w:sz w:val="18"/>
                <w:szCs w:val="18"/>
                <w:lang w:eastAsia="sl-SI"/>
              </w:rPr>
            </w:pPr>
            <w:r w:rsidRPr="00D43106">
              <w:rPr>
                <w:rFonts w:ascii="Arial" w:eastAsia="Times New Roman" w:hAnsi="Arial" w:cs="Arial"/>
                <w:b/>
                <w:bCs/>
                <w:color w:val="FFFFFF"/>
                <w:sz w:val="18"/>
                <w:szCs w:val="18"/>
                <w:lang w:eastAsia="sl-SI"/>
              </w:rPr>
              <w:t>Število</w:t>
            </w:r>
          </w:p>
        </w:tc>
        <w:tc>
          <w:tcPr>
            <w:tcW w:w="772" w:type="dxa"/>
            <w:tcBorders>
              <w:top w:val="nil"/>
              <w:left w:val="nil"/>
              <w:bottom w:val="single" w:sz="4" w:space="0" w:color="auto"/>
              <w:right w:val="single" w:sz="4" w:space="0" w:color="auto"/>
            </w:tcBorders>
            <w:shd w:val="clear" w:color="auto" w:fill="31869B"/>
            <w:vAlign w:val="center"/>
            <w:hideMark/>
          </w:tcPr>
          <w:p w14:paraId="2FC6402C" w14:textId="77777777" w:rsidR="004B7622" w:rsidRPr="00D43106" w:rsidRDefault="004B7622" w:rsidP="00377989">
            <w:pPr>
              <w:jc w:val="center"/>
              <w:rPr>
                <w:rFonts w:ascii="Arial" w:eastAsia="Times New Roman" w:hAnsi="Arial" w:cs="Arial"/>
                <w:b/>
                <w:bCs/>
                <w:color w:val="FFFFFF"/>
                <w:sz w:val="18"/>
                <w:szCs w:val="18"/>
                <w:lang w:eastAsia="sl-SI"/>
              </w:rPr>
            </w:pPr>
            <w:r w:rsidRPr="00D43106">
              <w:rPr>
                <w:rFonts w:ascii="Arial" w:eastAsia="Times New Roman" w:hAnsi="Arial" w:cs="Arial"/>
                <w:b/>
                <w:bCs/>
                <w:color w:val="FFFFFF"/>
                <w:sz w:val="18"/>
                <w:szCs w:val="18"/>
                <w:lang w:eastAsia="sl-SI"/>
              </w:rPr>
              <w:t xml:space="preserve">Znesek </w:t>
            </w:r>
          </w:p>
        </w:tc>
      </w:tr>
      <w:tr w:rsidR="004B7622" w14:paraId="466C610C" w14:textId="77777777" w:rsidTr="00377989">
        <w:trPr>
          <w:trHeight w:val="879"/>
        </w:trPr>
        <w:tc>
          <w:tcPr>
            <w:tcW w:w="3471" w:type="dxa"/>
            <w:tcBorders>
              <w:top w:val="nil"/>
              <w:left w:val="single" w:sz="4" w:space="0" w:color="auto"/>
              <w:bottom w:val="single" w:sz="4" w:space="0" w:color="auto"/>
              <w:right w:val="single" w:sz="4" w:space="0" w:color="auto"/>
            </w:tcBorders>
            <w:vAlign w:val="center"/>
            <w:hideMark/>
          </w:tcPr>
          <w:p w14:paraId="6FB1EDF3" w14:textId="77777777" w:rsidR="004B7622" w:rsidRPr="00D43106" w:rsidRDefault="004B7622" w:rsidP="00377989">
            <w:pPr>
              <w:rPr>
                <w:rFonts w:ascii="Arial" w:eastAsia="Times New Roman" w:hAnsi="Arial" w:cs="Arial"/>
                <w:sz w:val="18"/>
                <w:szCs w:val="18"/>
                <w:lang w:eastAsia="sl-SI"/>
              </w:rPr>
            </w:pPr>
            <w:r w:rsidRPr="00D43106">
              <w:rPr>
                <w:rFonts w:ascii="Arial" w:eastAsia="Times New Roman" w:hAnsi="Arial" w:cs="Arial"/>
                <w:sz w:val="18"/>
                <w:szCs w:val="18"/>
                <w:lang w:eastAsia="sl-SI"/>
              </w:rPr>
              <w:t>Predlogi za začetek stečajnega postopka</w:t>
            </w:r>
          </w:p>
        </w:tc>
        <w:tc>
          <w:tcPr>
            <w:tcW w:w="897" w:type="dxa"/>
            <w:tcBorders>
              <w:top w:val="nil"/>
              <w:left w:val="nil"/>
              <w:bottom w:val="single" w:sz="4" w:space="0" w:color="auto"/>
              <w:right w:val="single" w:sz="4" w:space="0" w:color="auto"/>
            </w:tcBorders>
            <w:vAlign w:val="center"/>
            <w:hideMark/>
          </w:tcPr>
          <w:p w14:paraId="18026BA8" w14:textId="77777777" w:rsidR="004B7622" w:rsidRPr="00D43106" w:rsidRDefault="004B7622" w:rsidP="00377989">
            <w:pPr>
              <w:jc w:val="right"/>
              <w:rPr>
                <w:rFonts w:ascii="Arial" w:eastAsia="Times New Roman" w:hAnsi="Arial" w:cs="Arial"/>
                <w:sz w:val="18"/>
                <w:szCs w:val="18"/>
                <w:lang w:eastAsia="sl-SI"/>
              </w:rPr>
            </w:pPr>
            <w:r w:rsidRPr="00D43106">
              <w:rPr>
                <w:rFonts w:ascii="Arial" w:eastAsia="Times New Roman" w:hAnsi="Arial" w:cs="Arial"/>
                <w:sz w:val="18"/>
                <w:szCs w:val="18"/>
                <w:lang w:eastAsia="sl-SI"/>
              </w:rPr>
              <w:t>491</w:t>
            </w:r>
          </w:p>
        </w:tc>
        <w:tc>
          <w:tcPr>
            <w:tcW w:w="1095" w:type="dxa"/>
            <w:tcBorders>
              <w:top w:val="nil"/>
              <w:left w:val="nil"/>
              <w:bottom w:val="single" w:sz="4" w:space="0" w:color="auto"/>
              <w:right w:val="single" w:sz="4" w:space="0" w:color="auto"/>
            </w:tcBorders>
            <w:shd w:val="clear" w:color="auto" w:fill="DAEEF3"/>
            <w:vAlign w:val="center"/>
            <w:hideMark/>
          </w:tcPr>
          <w:p w14:paraId="2FE8C08F" w14:textId="77777777" w:rsidR="004B7622" w:rsidRPr="00D43106" w:rsidRDefault="004B7622" w:rsidP="00377989">
            <w:pPr>
              <w:jc w:val="right"/>
              <w:rPr>
                <w:rFonts w:ascii="Arial" w:eastAsia="Times New Roman" w:hAnsi="Arial" w:cs="Arial"/>
                <w:sz w:val="18"/>
                <w:szCs w:val="18"/>
                <w:lang w:eastAsia="sl-SI"/>
              </w:rPr>
            </w:pPr>
            <w:r w:rsidRPr="00D43106">
              <w:rPr>
                <w:rFonts w:ascii="Arial" w:eastAsia="Times New Roman" w:hAnsi="Arial" w:cs="Arial"/>
                <w:sz w:val="18"/>
                <w:szCs w:val="18"/>
                <w:lang w:eastAsia="sl-SI"/>
              </w:rPr>
              <w:t>60.890.723</w:t>
            </w:r>
          </w:p>
        </w:tc>
        <w:tc>
          <w:tcPr>
            <w:tcW w:w="951" w:type="dxa"/>
            <w:tcBorders>
              <w:top w:val="nil"/>
              <w:left w:val="nil"/>
              <w:bottom w:val="single" w:sz="4" w:space="0" w:color="auto"/>
              <w:right w:val="single" w:sz="4" w:space="0" w:color="auto"/>
            </w:tcBorders>
            <w:vAlign w:val="center"/>
            <w:hideMark/>
          </w:tcPr>
          <w:p w14:paraId="0F2FEE17" w14:textId="77777777" w:rsidR="004B7622" w:rsidRPr="00D43106" w:rsidRDefault="004B7622" w:rsidP="00377989">
            <w:pPr>
              <w:jc w:val="right"/>
              <w:rPr>
                <w:rFonts w:ascii="Arial" w:eastAsia="Times New Roman" w:hAnsi="Arial" w:cs="Arial"/>
                <w:sz w:val="18"/>
                <w:szCs w:val="18"/>
                <w:lang w:eastAsia="sl-SI"/>
              </w:rPr>
            </w:pPr>
            <w:r w:rsidRPr="00D43106">
              <w:rPr>
                <w:rFonts w:ascii="Arial" w:eastAsia="Times New Roman" w:hAnsi="Arial" w:cs="Arial"/>
                <w:sz w:val="18"/>
                <w:szCs w:val="18"/>
                <w:lang w:eastAsia="sl-SI"/>
              </w:rPr>
              <w:t>501</w:t>
            </w:r>
          </w:p>
        </w:tc>
        <w:tc>
          <w:tcPr>
            <w:tcW w:w="1006" w:type="dxa"/>
            <w:tcBorders>
              <w:top w:val="nil"/>
              <w:left w:val="nil"/>
              <w:bottom w:val="single" w:sz="4" w:space="0" w:color="auto"/>
              <w:right w:val="single" w:sz="4" w:space="0" w:color="auto"/>
            </w:tcBorders>
            <w:shd w:val="clear" w:color="auto" w:fill="DAEEF3"/>
            <w:vAlign w:val="center"/>
            <w:hideMark/>
          </w:tcPr>
          <w:p w14:paraId="3CCDAE6A" w14:textId="77777777" w:rsidR="004B7622" w:rsidRPr="00D43106" w:rsidRDefault="004B7622" w:rsidP="00377989">
            <w:pPr>
              <w:jc w:val="right"/>
              <w:rPr>
                <w:rFonts w:ascii="Arial" w:eastAsia="Times New Roman" w:hAnsi="Arial" w:cs="Arial"/>
                <w:sz w:val="18"/>
                <w:szCs w:val="18"/>
                <w:lang w:eastAsia="sl-SI"/>
              </w:rPr>
            </w:pPr>
            <w:r w:rsidRPr="00D43106">
              <w:rPr>
                <w:rFonts w:ascii="Arial" w:eastAsia="Times New Roman" w:hAnsi="Arial" w:cs="Arial"/>
                <w:sz w:val="18"/>
                <w:szCs w:val="18"/>
                <w:lang w:eastAsia="sl-SI"/>
              </w:rPr>
              <w:t>63.951.792</w:t>
            </w:r>
          </w:p>
        </w:tc>
        <w:tc>
          <w:tcPr>
            <w:tcW w:w="915" w:type="dxa"/>
            <w:tcBorders>
              <w:top w:val="nil"/>
              <w:left w:val="nil"/>
              <w:bottom w:val="single" w:sz="4" w:space="0" w:color="auto"/>
              <w:right w:val="single" w:sz="4" w:space="0" w:color="auto"/>
            </w:tcBorders>
            <w:vAlign w:val="center"/>
            <w:hideMark/>
          </w:tcPr>
          <w:p w14:paraId="39A8EBFB" w14:textId="77777777" w:rsidR="004B7622" w:rsidRPr="00D43106" w:rsidRDefault="004B7622" w:rsidP="00377989">
            <w:pPr>
              <w:jc w:val="right"/>
              <w:rPr>
                <w:rFonts w:ascii="Arial" w:eastAsia="Times New Roman" w:hAnsi="Arial" w:cs="Arial"/>
                <w:sz w:val="18"/>
                <w:szCs w:val="18"/>
                <w:lang w:eastAsia="sl-SI"/>
              </w:rPr>
            </w:pPr>
            <w:r w:rsidRPr="00D43106">
              <w:rPr>
                <w:rFonts w:ascii="Arial" w:eastAsia="Times New Roman" w:hAnsi="Arial" w:cs="Arial"/>
                <w:sz w:val="18"/>
                <w:szCs w:val="18"/>
                <w:lang w:eastAsia="sl-SI"/>
              </w:rPr>
              <w:t>102,0</w:t>
            </w:r>
          </w:p>
        </w:tc>
        <w:tc>
          <w:tcPr>
            <w:tcW w:w="772" w:type="dxa"/>
            <w:tcBorders>
              <w:top w:val="nil"/>
              <w:left w:val="nil"/>
              <w:bottom w:val="single" w:sz="4" w:space="0" w:color="auto"/>
              <w:right w:val="single" w:sz="4" w:space="0" w:color="auto"/>
            </w:tcBorders>
            <w:vAlign w:val="center"/>
            <w:hideMark/>
          </w:tcPr>
          <w:p w14:paraId="2071BD00" w14:textId="77777777" w:rsidR="004B7622" w:rsidRPr="00D43106" w:rsidRDefault="004B7622" w:rsidP="00377989">
            <w:pPr>
              <w:jc w:val="right"/>
              <w:rPr>
                <w:rFonts w:ascii="Arial" w:eastAsia="Times New Roman" w:hAnsi="Arial" w:cs="Arial"/>
                <w:sz w:val="18"/>
                <w:szCs w:val="18"/>
                <w:lang w:eastAsia="sl-SI"/>
              </w:rPr>
            </w:pPr>
            <w:r w:rsidRPr="00D43106">
              <w:rPr>
                <w:rFonts w:ascii="Arial" w:eastAsia="Times New Roman" w:hAnsi="Arial" w:cs="Arial"/>
                <w:sz w:val="18"/>
                <w:szCs w:val="18"/>
                <w:lang w:eastAsia="sl-SI"/>
              </w:rPr>
              <w:t>105,0</w:t>
            </w:r>
          </w:p>
        </w:tc>
      </w:tr>
    </w:tbl>
    <w:p w14:paraId="46D3DE1A" w14:textId="77777777" w:rsidR="004B7622" w:rsidRPr="00534703" w:rsidRDefault="004B7622" w:rsidP="004B7622">
      <w:pPr>
        <w:rPr>
          <w:rFonts w:ascii="Arial" w:hAnsi="Arial" w:cs="Arial"/>
          <w:i/>
          <w:sz w:val="20"/>
          <w:szCs w:val="20"/>
        </w:rPr>
      </w:pPr>
      <w:r w:rsidRPr="00534703">
        <w:rPr>
          <w:rFonts w:ascii="Arial" w:hAnsi="Arial" w:cs="Arial"/>
          <w:i/>
          <w:sz w:val="20"/>
          <w:szCs w:val="20"/>
        </w:rPr>
        <w:t>Vir: FURS</w:t>
      </w:r>
    </w:p>
    <w:p w14:paraId="48FC75FE" w14:textId="77777777" w:rsidR="004B7622" w:rsidRPr="00CA37CE" w:rsidRDefault="004B7622" w:rsidP="004B7622">
      <w:pPr>
        <w:spacing w:line="260" w:lineRule="exact"/>
        <w:jc w:val="both"/>
        <w:rPr>
          <w:rFonts w:ascii="Arial" w:eastAsiaTheme="majorEastAsia" w:hAnsi="Arial" w:cs="Arial"/>
          <w:b/>
          <w:bCs/>
          <w:iCs/>
          <w:sz w:val="20"/>
          <w:szCs w:val="20"/>
          <w:lang w:eastAsia="sl-SI"/>
        </w:rPr>
      </w:pPr>
      <w:r w:rsidRPr="00EB2807">
        <w:rPr>
          <w:rFonts w:ascii="Arial" w:eastAsiaTheme="majorEastAsia" w:hAnsi="Arial" w:cs="Arial"/>
          <w:b/>
          <w:bCs/>
          <w:iCs/>
          <w:sz w:val="20"/>
          <w:szCs w:val="20"/>
          <w:lang w:eastAsia="sl-SI"/>
        </w:rPr>
        <w:t>Medsebojna upravna pravna pomoč med državami članicami EU na področju davščin in mednarodna izterjava prispevkov</w:t>
      </w:r>
      <w:r w:rsidRPr="00CA37CE">
        <w:rPr>
          <w:rFonts w:ascii="Arial" w:eastAsiaTheme="majorEastAsia" w:hAnsi="Arial" w:cs="Arial"/>
          <w:b/>
          <w:bCs/>
          <w:iCs/>
          <w:sz w:val="20"/>
          <w:szCs w:val="20"/>
          <w:lang w:eastAsia="sl-SI"/>
        </w:rPr>
        <w:t xml:space="preserve">  </w:t>
      </w:r>
    </w:p>
    <w:p w14:paraId="1847765B" w14:textId="77777777" w:rsidR="004B7622" w:rsidRPr="00CC4B9A" w:rsidRDefault="004B7622" w:rsidP="004B7622">
      <w:pPr>
        <w:spacing w:line="260" w:lineRule="exact"/>
        <w:jc w:val="both"/>
        <w:rPr>
          <w:rFonts w:ascii="Arial" w:hAnsi="Arial" w:cs="Arial"/>
          <w:sz w:val="20"/>
          <w:szCs w:val="20"/>
        </w:rPr>
      </w:pPr>
      <w:r w:rsidRPr="00CC4B9A">
        <w:rPr>
          <w:rFonts w:ascii="Arial" w:hAnsi="Arial" w:cs="Arial"/>
          <w:sz w:val="20"/>
          <w:szCs w:val="20"/>
        </w:rPr>
        <w:t>Ob upoštevanju pravil o medsebojni upravni pomoči med državami članicami EU je F</w:t>
      </w:r>
      <w:r>
        <w:rPr>
          <w:rFonts w:ascii="Arial" w:hAnsi="Arial" w:cs="Arial"/>
          <w:sz w:val="20"/>
          <w:szCs w:val="20"/>
        </w:rPr>
        <w:t xml:space="preserve">URS </w:t>
      </w:r>
      <w:r w:rsidRPr="00CC4B9A">
        <w:rPr>
          <w:rFonts w:ascii="Arial" w:hAnsi="Arial" w:cs="Arial"/>
          <w:sz w:val="20"/>
          <w:szCs w:val="20"/>
        </w:rPr>
        <w:t xml:space="preserve">v letu 2021 v tujino posredoval 574 zaprosil za izterjavo davčnih obveznosti v skupnem znesku 19.075.373 </w:t>
      </w:r>
      <w:r>
        <w:rPr>
          <w:rFonts w:ascii="Arial" w:hAnsi="Arial" w:cs="Arial"/>
          <w:sz w:val="20"/>
          <w:szCs w:val="20"/>
        </w:rPr>
        <w:t>EUR</w:t>
      </w:r>
      <w:r w:rsidRPr="00CC4B9A">
        <w:rPr>
          <w:rFonts w:ascii="Arial" w:hAnsi="Arial" w:cs="Arial"/>
          <w:sz w:val="20"/>
          <w:szCs w:val="20"/>
        </w:rPr>
        <w:t xml:space="preserve"> in iz tega naslova prejela 1.105.345 </w:t>
      </w:r>
      <w:r>
        <w:rPr>
          <w:rFonts w:ascii="Arial" w:hAnsi="Arial" w:cs="Arial"/>
          <w:sz w:val="20"/>
          <w:szCs w:val="20"/>
        </w:rPr>
        <w:t>EUR</w:t>
      </w:r>
      <w:r w:rsidRPr="00CC4B9A">
        <w:rPr>
          <w:rFonts w:ascii="Arial" w:hAnsi="Arial" w:cs="Arial"/>
          <w:sz w:val="20"/>
          <w:szCs w:val="20"/>
        </w:rPr>
        <w:t xml:space="preserve"> plačil. Zmanjšanje števila poslanih zaprosil v druge države članice EU je predvsem posledica sprejete politike izvajanja davčne izvršbe zaradi epidemije nalezljive bolezni COVID-19.  </w:t>
      </w:r>
    </w:p>
    <w:p w14:paraId="089435D0" w14:textId="77777777" w:rsidR="004B7622" w:rsidRDefault="004B7622" w:rsidP="004B7622">
      <w:pPr>
        <w:spacing w:line="260" w:lineRule="exact"/>
        <w:jc w:val="both"/>
        <w:rPr>
          <w:rFonts w:ascii="Arial" w:hAnsi="Arial" w:cs="Arial"/>
          <w:sz w:val="20"/>
          <w:szCs w:val="20"/>
        </w:rPr>
      </w:pPr>
      <w:r w:rsidRPr="00CC4B9A">
        <w:rPr>
          <w:rFonts w:ascii="Arial" w:hAnsi="Arial" w:cs="Arial"/>
          <w:sz w:val="20"/>
          <w:szCs w:val="20"/>
        </w:rPr>
        <w:t>Zaradi epidemije nalezljive bolezni COVID-19 so tudi v letu 2021 številne evropske države sprejele ukrepe, ki so vplivali na postopke izterjave (neizvajanje oz. zadržanje postopkov davčne izvršbe, odobritev plačilnih ugodnosti, ipd.). Posledice teh ukrepov so vidne v učinku mednarodne izterjave oziroma v nižjem znesku plačil, ki so bila v letu 2021 prejeta na podlagi posredovanih zaprosil v tujino.</w:t>
      </w:r>
    </w:p>
    <w:p w14:paraId="38E11B3E" w14:textId="77777777" w:rsidR="004B7622" w:rsidRDefault="004B7622" w:rsidP="004B7622">
      <w:pPr>
        <w:spacing w:line="260" w:lineRule="exact"/>
        <w:jc w:val="both"/>
        <w:rPr>
          <w:rFonts w:ascii="Arial" w:hAnsi="Arial" w:cs="Arial"/>
          <w:sz w:val="20"/>
          <w:szCs w:val="20"/>
        </w:rPr>
      </w:pPr>
      <w:r w:rsidRPr="00CC4B9A">
        <w:rPr>
          <w:rFonts w:ascii="Arial" w:hAnsi="Arial" w:cs="Arial"/>
          <w:sz w:val="20"/>
          <w:szCs w:val="20"/>
        </w:rPr>
        <w:t xml:space="preserve">Za zavarovanje plačila davčnih obveznosti so bila posredovana 4 zaprosila v skupni višini 533.917 </w:t>
      </w:r>
      <w:r>
        <w:rPr>
          <w:rFonts w:ascii="Arial" w:hAnsi="Arial" w:cs="Arial"/>
          <w:sz w:val="20"/>
          <w:szCs w:val="20"/>
        </w:rPr>
        <w:t>EUR</w:t>
      </w:r>
      <w:r w:rsidRPr="00CC4B9A">
        <w:rPr>
          <w:rFonts w:ascii="Arial" w:hAnsi="Arial" w:cs="Arial"/>
          <w:sz w:val="20"/>
          <w:szCs w:val="20"/>
        </w:rPr>
        <w:t xml:space="preserve">, iz tega naslova še ni bilo prejetih plačil.  </w:t>
      </w:r>
    </w:p>
    <w:p w14:paraId="2EDEF995" w14:textId="77777777" w:rsidR="004B7622" w:rsidRDefault="004B7622" w:rsidP="004B7622">
      <w:pPr>
        <w:spacing w:line="260" w:lineRule="exact"/>
        <w:jc w:val="both"/>
        <w:rPr>
          <w:rFonts w:ascii="Arial" w:hAnsi="Arial" w:cs="Arial"/>
          <w:sz w:val="20"/>
          <w:szCs w:val="20"/>
        </w:rPr>
      </w:pPr>
    </w:p>
    <w:p w14:paraId="3B199DB9" w14:textId="77777777" w:rsidR="004B7622" w:rsidRDefault="004B7622" w:rsidP="004B7622">
      <w:pPr>
        <w:spacing w:line="260" w:lineRule="exact"/>
        <w:jc w:val="both"/>
        <w:rPr>
          <w:rFonts w:ascii="Arial" w:hAnsi="Arial" w:cs="Arial"/>
          <w:sz w:val="20"/>
          <w:szCs w:val="20"/>
        </w:rPr>
      </w:pPr>
    </w:p>
    <w:p w14:paraId="60C49ED1" w14:textId="77777777" w:rsidR="004B7622" w:rsidRDefault="004B7622" w:rsidP="004B7622">
      <w:pPr>
        <w:spacing w:line="260" w:lineRule="exact"/>
        <w:jc w:val="both"/>
        <w:rPr>
          <w:rFonts w:ascii="Arial" w:hAnsi="Arial" w:cs="Arial"/>
          <w:sz w:val="20"/>
          <w:szCs w:val="20"/>
        </w:rPr>
      </w:pPr>
    </w:p>
    <w:p w14:paraId="720DA53E" w14:textId="77777777" w:rsidR="004B7622" w:rsidRDefault="004B7622" w:rsidP="004B7622">
      <w:pPr>
        <w:spacing w:line="260" w:lineRule="exact"/>
        <w:jc w:val="both"/>
        <w:rPr>
          <w:rFonts w:ascii="Arial" w:hAnsi="Arial" w:cs="Arial"/>
          <w:sz w:val="20"/>
          <w:szCs w:val="20"/>
        </w:rPr>
      </w:pPr>
    </w:p>
    <w:p w14:paraId="10893C41" w14:textId="77777777" w:rsidR="004B7622" w:rsidRDefault="004B7622" w:rsidP="004B7622">
      <w:pPr>
        <w:spacing w:line="260" w:lineRule="exact"/>
        <w:jc w:val="both"/>
        <w:rPr>
          <w:rFonts w:ascii="Arial" w:hAnsi="Arial" w:cs="Arial"/>
          <w:sz w:val="20"/>
          <w:szCs w:val="20"/>
        </w:rPr>
      </w:pPr>
    </w:p>
    <w:p w14:paraId="7BD93F7C" w14:textId="77777777" w:rsidR="004B7622" w:rsidRDefault="004B7622" w:rsidP="004B7622">
      <w:pPr>
        <w:pStyle w:val="FURSNavaden"/>
        <w:rPr>
          <w:rFonts w:eastAsia="Times New Roman" w:cs="Arial"/>
          <w:i/>
          <w:szCs w:val="20"/>
        </w:rPr>
      </w:pPr>
      <w:r w:rsidRPr="009F62ED">
        <w:rPr>
          <w:rFonts w:eastAsia="Times New Roman" w:cs="Arial"/>
          <w:i/>
          <w:szCs w:val="20"/>
        </w:rPr>
        <w:lastRenderedPageBreak/>
        <w:t xml:space="preserve">Preglednica </w:t>
      </w:r>
      <w:r>
        <w:rPr>
          <w:rFonts w:eastAsia="Times New Roman" w:cs="Arial"/>
          <w:i/>
          <w:szCs w:val="20"/>
        </w:rPr>
        <w:t>21</w:t>
      </w:r>
      <w:r w:rsidRPr="009F62ED">
        <w:rPr>
          <w:rFonts w:eastAsia="Times New Roman" w:cs="Arial"/>
          <w:i/>
          <w:szCs w:val="20"/>
        </w:rPr>
        <w:t xml:space="preserve">: Posredovana zaprosila za izterjavo davčnih obveznosti na podlagi medsebojne upravne pomoči med članicami EU </w:t>
      </w:r>
    </w:p>
    <w:p w14:paraId="586568E3" w14:textId="77777777" w:rsidR="004B7622" w:rsidRDefault="004B7622" w:rsidP="004B7622">
      <w:pPr>
        <w:pStyle w:val="FURSNavaden"/>
        <w:rPr>
          <w:rFonts w:eastAsia="Times New Roman" w:cs="Arial"/>
          <w:i/>
          <w:szCs w:val="20"/>
        </w:rPr>
      </w:pPr>
    </w:p>
    <w:tbl>
      <w:tblPr>
        <w:tblW w:w="9011" w:type="dxa"/>
        <w:tblCellMar>
          <w:left w:w="70" w:type="dxa"/>
          <w:right w:w="70" w:type="dxa"/>
        </w:tblCellMar>
        <w:tblLook w:val="04A0" w:firstRow="1" w:lastRow="0" w:firstColumn="1" w:lastColumn="0" w:noHBand="0" w:noVBand="1"/>
      </w:tblPr>
      <w:tblGrid>
        <w:gridCol w:w="3386"/>
        <w:gridCol w:w="888"/>
        <w:gridCol w:w="1085"/>
        <w:gridCol w:w="941"/>
        <w:gridCol w:w="1041"/>
        <w:gridCol w:w="905"/>
        <w:gridCol w:w="765"/>
      </w:tblGrid>
      <w:tr w:rsidR="004B7622" w14:paraId="4679632C" w14:textId="77777777" w:rsidTr="00377989">
        <w:trPr>
          <w:trHeight w:val="554"/>
        </w:trPr>
        <w:tc>
          <w:tcPr>
            <w:tcW w:w="3391" w:type="dxa"/>
            <w:vMerge w:val="restart"/>
            <w:tcBorders>
              <w:top w:val="single" w:sz="4" w:space="0" w:color="auto"/>
              <w:left w:val="single" w:sz="4" w:space="0" w:color="auto"/>
              <w:bottom w:val="single" w:sz="4" w:space="0" w:color="auto"/>
              <w:right w:val="single" w:sz="4" w:space="0" w:color="auto"/>
            </w:tcBorders>
            <w:shd w:val="clear" w:color="auto" w:fill="31849B"/>
            <w:vAlign w:val="center"/>
            <w:hideMark/>
          </w:tcPr>
          <w:p w14:paraId="4575BB95" w14:textId="77777777" w:rsidR="004B7622" w:rsidRPr="00CC4B9A" w:rsidRDefault="004B7622" w:rsidP="00377989">
            <w:pPr>
              <w:jc w:val="center"/>
              <w:rPr>
                <w:rFonts w:ascii="Arial" w:eastAsia="Times New Roman" w:hAnsi="Arial" w:cs="Arial"/>
                <w:b/>
                <w:bCs/>
                <w:color w:val="FFFFFF"/>
                <w:sz w:val="18"/>
                <w:szCs w:val="18"/>
                <w:lang w:eastAsia="sl-SI"/>
              </w:rPr>
            </w:pPr>
            <w:r w:rsidRPr="00CC4B9A">
              <w:rPr>
                <w:rFonts w:ascii="Arial" w:eastAsia="Times New Roman" w:hAnsi="Arial" w:cs="Arial"/>
                <w:b/>
                <w:bCs/>
                <w:color w:val="FFFFFF"/>
                <w:sz w:val="18"/>
                <w:szCs w:val="18"/>
                <w:lang w:eastAsia="sl-SI"/>
              </w:rPr>
              <w:t>Vsebina postopka*</w:t>
            </w:r>
          </w:p>
        </w:tc>
        <w:tc>
          <w:tcPr>
            <w:tcW w:w="1973" w:type="dxa"/>
            <w:gridSpan w:val="2"/>
            <w:tcBorders>
              <w:top w:val="single" w:sz="4" w:space="0" w:color="auto"/>
              <w:left w:val="nil"/>
              <w:bottom w:val="single" w:sz="4" w:space="0" w:color="auto"/>
              <w:right w:val="single" w:sz="4" w:space="0" w:color="auto"/>
            </w:tcBorders>
            <w:shd w:val="clear" w:color="auto" w:fill="31869B"/>
            <w:vAlign w:val="bottom"/>
            <w:hideMark/>
          </w:tcPr>
          <w:p w14:paraId="50AA2B47" w14:textId="77777777" w:rsidR="004B7622" w:rsidRPr="00CC4B9A" w:rsidRDefault="004B7622" w:rsidP="00377989">
            <w:pPr>
              <w:jc w:val="center"/>
              <w:rPr>
                <w:rFonts w:ascii="Arial" w:eastAsia="Times New Roman" w:hAnsi="Arial" w:cs="Arial"/>
                <w:b/>
                <w:bCs/>
                <w:color w:val="FFFFFF"/>
                <w:sz w:val="18"/>
                <w:szCs w:val="18"/>
                <w:lang w:eastAsia="sl-SI"/>
              </w:rPr>
            </w:pPr>
            <w:r w:rsidRPr="00CC4B9A">
              <w:rPr>
                <w:rFonts w:ascii="Arial" w:eastAsia="Times New Roman" w:hAnsi="Arial" w:cs="Arial"/>
                <w:b/>
                <w:bCs/>
                <w:color w:val="FFFFFF"/>
                <w:sz w:val="18"/>
                <w:szCs w:val="18"/>
                <w:lang w:eastAsia="sl-SI"/>
              </w:rPr>
              <w:t>2020</w:t>
            </w:r>
          </w:p>
        </w:tc>
        <w:tc>
          <w:tcPr>
            <w:tcW w:w="1977" w:type="dxa"/>
            <w:gridSpan w:val="2"/>
            <w:tcBorders>
              <w:top w:val="single" w:sz="4" w:space="0" w:color="auto"/>
              <w:left w:val="nil"/>
              <w:bottom w:val="single" w:sz="4" w:space="0" w:color="auto"/>
              <w:right w:val="single" w:sz="4" w:space="0" w:color="auto"/>
            </w:tcBorders>
            <w:shd w:val="clear" w:color="auto" w:fill="31869B"/>
            <w:noWrap/>
            <w:vAlign w:val="bottom"/>
            <w:hideMark/>
          </w:tcPr>
          <w:p w14:paraId="2B4B2F11" w14:textId="77777777" w:rsidR="004B7622" w:rsidRPr="00CC4B9A" w:rsidRDefault="004B7622" w:rsidP="00377989">
            <w:pPr>
              <w:jc w:val="center"/>
              <w:rPr>
                <w:rFonts w:ascii="Arial" w:eastAsia="Times New Roman" w:hAnsi="Arial" w:cs="Arial"/>
                <w:b/>
                <w:bCs/>
                <w:color w:val="FFFFFF"/>
                <w:sz w:val="18"/>
                <w:szCs w:val="18"/>
                <w:lang w:eastAsia="sl-SI"/>
              </w:rPr>
            </w:pPr>
            <w:r w:rsidRPr="00CC4B9A">
              <w:rPr>
                <w:rFonts w:ascii="Arial" w:eastAsia="Times New Roman" w:hAnsi="Arial" w:cs="Arial"/>
                <w:b/>
                <w:bCs/>
                <w:color w:val="FFFFFF"/>
                <w:sz w:val="18"/>
                <w:szCs w:val="18"/>
                <w:lang w:eastAsia="sl-SI"/>
              </w:rPr>
              <w:t>2021</w:t>
            </w:r>
          </w:p>
        </w:tc>
        <w:tc>
          <w:tcPr>
            <w:tcW w:w="1670" w:type="dxa"/>
            <w:gridSpan w:val="2"/>
            <w:tcBorders>
              <w:top w:val="single" w:sz="4" w:space="0" w:color="auto"/>
              <w:left w:val="nil"/>
              <w:bottom w:val="single" w:sz="4" w:space="0" w:color="auto"/>
              <w:right w:val="single" w:sz="4" w:space="0" w:color="auto"/>
            </w:tcBorders>
            <w:shd w:val="clear" w:color="auto" w:fill="31849B"/>
            <w:vAlign w:val="center"/>
            <w:hideMark/>
          </w:tcPr>
          <w:p w14:paraId="7E5964B5" w14:textId="77777777" w:rsidR="004B7622" w:rsidRPr="00CC4B9A" w:rsidRDefault="004B7622" w:rsidP="00377989">
            <w:pPr>
              <w:jc w:val="center"/>
              <w:rPr>
                <w:rFonts w:ascii="Arial" w:eastAsia="Times New Roman" w:hAnsi="Arial" w:cs="Arial"/>
                <w:b/>
                <w:bCs/>
                <w:color w:val="FFFFFF"/>
                <w:sz w:val="18"/>
                <w:szCs w:val="18"/>
                <w:lang w:eastAsia="sl-SI"/>
              </w:rPr>
            </w:pPr>
            <w:r w:rsidRPr="00CC4B9A">
              <w:rPr>
                <w:rFonts w:ascii="Arial" w:eastAsia="Times New Roman" w:hAnsi="Arial" w:cs="Arial"/>
                <w:b/>
                <w:bCs/>
                <w:color w:val="FFFFFF"/>
                <w:sz w:val="18"/>
                <w:szCs w:val="18"/>
                <w:lang w:eastAsia="sl-SI"/>
              </w:rPr>
              <w:t>Indeks 2021/2020</w:t>
            </w:r>
          </w:p>
        </w:tc>
      </w:tr>
      <w:tr w:rsidR="004B7622" w14:paraId="2F3CC375" w14:textId="77777777" w:rsidTr="00377989">
        <w:trPr>
          <w:trHeight w:val="6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DE6CB8" w14:textId="77777777" w:rsidR="004B7622" w:rsidRPr="00CC4B9A" w:rsidRDefault="004B7622" w:rsidP="00377989">
            <w:pPr>
              <w:rPr>
                <w:rFonts w:ascii="Arial" w:eastAsia="Times New Roman" w:hAnsi="Arial" w:cs="Arial"/>
                <w:b/>
                <w:bCs/>
                <w:color w:val="FFFFFF"/>
                <w:sz w:val="18"/>
                <w:szCs w:val="18"/>
                <w:lang w:eastAsia="sl-SI"/>
              </w:rPr>
            </w:pPr>
          </w:p>
        </w:tc>
        <w:tc>
          <w:tcPr>
            <w:tcW w:w="888" w:type="dxa"/>
            <w:tcBorders>
              <w:top w:val="nil"/>
              <w:left w:val="nil"/>
              <w:bottom w:val="single" w:sz="4" w:space="0" w:color="auto"/>
              <w:right w:val="single" w:sz="4" w:space="0" w:color="auto"/>
            </w:tcBorders>
            <w:shd w:val="clear" w:color="auto" w:fill="31869B"/>
            <w:vAlign w:val="center"/>
            <w:hideMark/>
          </w:tcPr>
          <w:p w14:paraId="24FDB19A" w14:textId="77777777" w:rsidR="004B7622" w:rsidRPr="00CC4B9A" w:rsidRDefault="004B7622" w:rsidP="00377989">
            <w:pPr>
              <w:jc w:val="center"/>
              <w:rPr>
                <w:rFonts w:ascii="Arial" w:eastAsia="Times New Roman" w:hAnsi="Arial" w:cs="Arial"/>
                <w:b/>
                <w:bCs/>
                <w:color w:val="FFFFFF"/>
                <w:sz w:val="18"/>
                <w:szCs w:val="18"/>
                <w:lang w:eastAsia="sl-SI"/>
              </w:rPr>
            </w:pPr>
            <w:r w:rsidRPr="00CC4B9A">
              <w:rPr>
                <w:rFonts w:ascii="Arial" w:eastAsia="Times New Roman" w:hAnsi="Arial" w:cs="Arial"/>
                <w:b/>
                <w:bCs/>
                <w:color w:val="FFFFFF"/>
                <w:sz w:val="18"/>
                <w:szCs w:val="18"/>
                <w:lang w:eastAsia="sl-SI"/>
              </w:rPr>
              <w:t>Število</w:t>
            </w:r>
          </w:p>
        </w:tc>
        <w:tc>
          <w:tcPr>
            <w:tcW w:w="1084" w:type="dxa"/>
            <w:tcBorders>
              <w:top w:val="nil"/>
              <w:left w:val="nil"/>
              <w:bottom w:val="single" w:sz="4" w:space="0" w:color="auto"/>
              <w:right w:val="single" w:sz="4" w:space="0" w:color="auto"/>
            </w:tcBorders>
            <w:shd w:val="clear" w:color="auto" w:fill="31869B"/>
            <w:vAlign w:val="center"/>
            <w:hideMark/>
          </w:tcPr>
          <w:p w14:paraId="339323DB" w14:textId="77777777" w:rsidR="004B7622" w:rsidRPr="00CC4B9A" w:rsidRDefault="004B7622" w:rsidP="00377989">
            <w:pPr>
              <w:jc w:val="center"/>
              <w:rPr>
                <w:rFonts w:ascii="Arial" w:eastAsia="Times New Roman" w:hAnsi="Arial" w:cs="Arial"/>
                <w:b/>
                <w:bCs/>
                <w:color w:val="FFFFFF"/>
                <w:sz w:val="18"/>
                <w:szCs w:val="18"/>
                <w:lang w:eastAsia="sl-SI"/>
              </w:rPr>
            </w:pPr>
            <w:r w:rsidRPr="00CC4B9A">
              <w:rPr>
                <w:rFonts w:ascii="Arial" w:eastAsia="Times New Roman" w:hAnsi="Arial" w:cs="Arial"/>
                <w:b/>
                <w:bCs/>
                <w:color w:val="FFFFFF"/>
                <w:sz w:val="18"/>
                <w:szCs w:val="18"/>
                <w:lang w:eastAsia="sl-SI"/>
              </w:rPr>
              <w:t>Znesek v evrih</w:t>
            </w:r>
          </w:p>
        </w:tc>
        <w:tc>
          <w:tcPr>
            <w:tcW w:w="941" w:type="dxa"/>
            <w:tcBorders>
              <w:top w:val="nil"/>
              <w:left w:val="nil"/>
              <w:bottom w:val="single" w:sz="4" w:space="0" w:color="auto"/>
              <w:right w:val="single" w:sz="4" w:space="0" w:color="auto"/>
            </w:tcBorders>
            <w:shd w:val="clear" w:color="auto" w:fill="31869B"/>
            <w:vAlign w:val="center"/>
            <w:hideMark/>
          </w:tcPr>
          <w:p w14:paraId="2ED36A44" w14:textId="77777777" w:rsidR="004B7622" w:rsidRPr="00CC4B9A" w:rsidRDefault="004B7622" w:rsidP="00377989">
            <w:pPr>
              <w:jc w:val="center"/>
              <w:rPr>
                <w:rFonts w:ascii="Arial" w:eastAsia="Times New Roman" w:hAnsi="Arial" w:cs="Arial"/>
                <w:b/>
                <w:bCs/>
                <w:color w:val="FFFFFF"/>
                <w:sz w:val="18"/>
                <w:szCs w:val="18"/>
                <w:lang w:eastAsia="sl-SI"/>
              </w:rPr>
            </w:pPr>
            <w:r w:rsidRPr="00CC4B9A">
              <w:rPr>
                <w:rFonts w:ascii="Arial" w:eastAsia="Times New Roman" w:hAnsi="Arial" w:cs="Arial"/>
                <w:b/>
                <w:bCs/>
                <w:color w:val="FFFFFF"/>
                <w:sz w:val="18"/>
                <w:szCs w:val="18"/>
                <w:lang w:eastAsia="sl-SI"/>
              </w:rPr>
              <w:t>Število</w:t>
            </w:r>
          </w:p>
        </w:tc>
        <w:tc>
          <w:tcPr>
            <w:tcW w:w="1035" w:type="dxa"/>
            <w:tcBorders>
              <w:top w:val="nil"/>
              <w:left w:val="nil"/>
              <w:bottom w:val="single" w:sz="4" w:space="0" w:color="auto"/>
              <w:right w:val="single" w:sz="4" w:space="0" w:color="auto"/>
            </w:tcBorders>
            <w:shd w:val="clear" w:color="auto" w:fill="31869B"/>
            <w:vAlign w:val="center"/>
            <w:hideMark/>
          </w:tcPr>
          <w:p w14:paraId="7FA08725" w14:textId="77777777" w:rsidR="004B7622" w:rsidRPr="00CC4B9A" w:rsidRDefault="004B7622" w:rsidP="00377989">
            <w:pPr>
              <w:jc w:val="center"/>
              <w:rPr>
                <w:rFonts w:ascii="Arial" w:eastAsia="Times New Roman" w:hAnsi="Arial" w:cs="Arial"/>
                <w:b/>
                <w:bCs/>
                <w:color w:val="FFFFFF"/>
                <w:sz w:val="18"/>
                <w:szCs w:val="18"/>
                <w:lang w:eastAsia="sl-SI"/>
              </w:rPr>
            </w:pPr>
            <w:r w:rsidRPr="00CC4B9A">
              <w:rPr>
                <w:rFonts w:ascii="Arial" w:eastAsia="Times New Roman" w:hAnsi="Arial" w:cs="Arial"/>
                <w:b/>
                <w:bCs/>
                <w:color w:val="FFFFFF"/>
                <w:sz w:val="18"/>
                <w:szCs w:val="18"/>
                <w:lang w:eastAsia="sl-SI"/>
              </w:rPr>
              <w:t>Znesek v evrih</w:t>
            </w:r>
          </w:p>
        </w:tc>
        <w:tc>
          <w:tcPr>
            <w:tcW w:w="905" w:type="dxa"/>
            <w:tcBorders>
              <w:top w:val="nil"/>
              <w:left w:val="nil"/>
              <w:bottom w:val="single" w:sz="4" w:space="0" w:color="auto"/>
              <w:right w:val="single" w:sz="4" w:space="0" w:color="auto"/>
            </w:tcBorders>
            <w:shd w:val="clear" w:color="auto" w:fill="31869B"/>
            <w:vAlign w:val="center"/>
            <w:hideMark/>
          </w:tcPr>
          <w:p w14:paraId="4C6D8B7B" w14:textId="77777777" w:rsidR="004B7622" w:rsidRPr="00CC4B9A" w:rsidRDefault="004B7622" w:rsidP="00377989">
            <w:pPr>
              <w:jc w:val="center"/>
              <w:rPr>
                <w:rFonts w:ascii="Arial" w:eastAsia="Times New Roman" w:hAnsi="Arial" w:cs="Arial"/>
                <w:b/>
                <w:bCs/>
                <w:color w:val="FFFFFF"/>
                <w:sz w:val="18"/>
                <w:szCs w:val="18"/>
                <w:lang w:eastAsia="sl-SI"/>
              </w:rPr>
            </w:pPr>
            <w:r w:rsidRPr="00CC4B9A">
              <w:rPr>
                <w:rFonts w:ascii="Arial" w:eastAsia="Times New Roman" w:hAnsi="Arial" w:cs="Arial"/>
                <w:b/>
                <w:bCs/>
                <w:color w:val="FFFFFF"/>
                <w:sz w:val="18"/>
                <w:szCs w:val="18"/>
                <w:lang w:eastAsia="sl-SI"/>
              </w:rPr>
              <w:t>Število</w:t>
            </w:r>
          </w:p>
        </w:tc>
        <w:tc>
          <w:tcPr>
            <w:tcW w:w="764" w:type="dxa"/>
            <w:tcBorders>
              <w:top w:val="nil"/>
              <w:left w:val="nil"/>
              <w:bottom w:val="single" w:sz="4" w:space="0" w:color="auto"/>
              <w:right w:val="single" w:sz="4" w:space="0" w:color="auto"/>
            </w:tcBorders>
            <w:shd w:val="clear" w:color="auto" w:fill="31869B"/>
            <w:vAlign w:val="center"/>
            <w:hideMark/>
          </w:tcPr>
          <w:p w14:paraId="218CBD09" w14:textId="77777777" w:rsidR="004B7622" w:rsidRPr="00CC4B9A" w:rsidRDefault="004B7622" w:rsidP="00377989">
            <w:pPr>
              <w:jc w:val="center"/>
              <w:rPr>
                <w:rFonts w:ascii="Arial" w:eastAsia="Times New Roman" w:hAnsi="Arial" w:cs="Arial"/>
                <w:b/>
                <w:bCs/>
                <w:color w:val="FFFFFF"/>
                <w:sz w:val="18"/>
                <w:szCs w:val="18"/>
                <w:lang w:eastAsia="sl-SI"/>
              </w:rPr>
            </w:pPr>
            <w:r w:rsidRPr="00CC4B9A">
              <w:rPr>
                <w:rFonts w:ascii="Arial" w:eastAsia="Times New Roman" w:hAnsi="Arial" w:cs="Arial"/>
                <w:b/>
                <w:bCs/>
                <w:color w:val="FFFFFF"/>
                <w:sz w:val="18"/>
                <w:szCs w:val="18"/>
                <w:lang w:eastAsia="sl-SI"/>
              </w:rPr>
              <w:t xml:space="preserve">Znesek </w:t>
            </w:r>
          </w:p>
        </w:tc>
      </w:tr>
      <w:tr w:rsidR="004B7622" w14:paraId="17617E8D" w14:textId="77777777" w:rsidTr="00377989">
        <w:trPr>
          <w:trHeight w:val="629"/>
        </w:trPr>
        <w:tc>
          <w:tcPr>
            <w:tcW w:w="3391" w:type="dxa"/>
            <w:tcBorders>
              <w:top w:val="nil"/>
              <w:left w:val="single" w:sz="4" w:space="0" w:color="auto"/>
              <w:bottom w:val="single" w:sz="4" w:space="0" w:color="auto"/>
              <w:right w:val="single" w:sz="4" w:space="0" w:color="auto"/>
            </w:tcBorders>
            <w:vAlign w:val="center"/>
            <w:hideMark/>
          </w:tcPr>
          <w:p w14:paraId="49233A64" w14:textId="77777777" w:rsidR="004B7622" w:rsidRPr="00CC4B9A" w:rsidRDefault="004B7622" w:rsidP="00377989">
            <w:pPr>
              <w:rPr>
                <w:rFonts w:ascii="Arial" w:eastAsia="Times New Roman" w:hAnsi="Arial" w:cs="Arial"/>
                <w:sz w:val="18"/>
                <w:szCs w:val="18"/>
                <w:lang w:eastAsia="sl-SI"/>
              </w:rPr>
            </w:pPr>
            <w:r w:rsidRPr="00CC4B9A">
              <w:rPr>
                <w:rFonts w:ascii="Arial" w:eastAsia="Times New Roman" w:hAnsi="Arial" w:cs="Arial"/>
                <w:sz w:val="18"/>
                <w:szCs w:val="18"/>
                <w:lang w:eastAsia="sl-SI"/>
              </w:rPr>
              <w:t>Posredovana zaprosila za izterjavo davčnih obveznosti v EU</w:t>
            </w:r>
          </w:p>
        </w:tc>
        <w:tc>
          <w:tcPr>
            <w:tcW w:w="888" w:type="dxa"/>
            <w:tcBorders>
              <w:top w:val="nil"/>
              <w:left w:val="nil"/>
              <w:bottom w:val="single" w:sz="4" w:space="0" w:color="auto"/>
              <w:right w:val="single" w:sz="4" w:space="0" w:color="auto"/>
            </w:tcBorders>
            <w:noWrap/>
            <w:vAlign w:val="bottom"/>
            <w:hideMark/>
          </w:tcPr>
          <w:p w14:paraId="6783F4D4" w14:textId="77777777" w:rsidR="004B7622" w:rsidRPr="00CC4B9A" w:rsidRDefault="004B7622" w:rsidP="00377989">
            <w:pPr>
              <w:jc w:val="right"/>
              <w:rPr>
                <w:rFonts w:ascii="Arial" w:eastAsia="Times New Roman" w:hAnsi="Arial" w:cs="Arial"/>
                <w:sz w:val="18"/>
                <w:szCs w:val="18"/>
                <w:lang w:eastAsia="sl-SI"/>
              </w:rPr>
            </w:pPr>
            <w:r w:rsidRPr="00CC4B9A">
              <w:rPr>
                <w:rFonts w:ascii="Arial" w:eastAsia="Times New Roman" w:hAnsi="Arial" w:cs="Arial"/>
                <w:sz w:val="18"/>
                <w:szCs w:val="18"/>
                <w:lang w:eastAsia="sl-SI"/>
              </w:rPr>
              <w:t>809</w:t>
            </w:r>
          </w:p>
        </w:tc>
        <w:tc>
          <w:tcPr>
            <w:tcW w:w="1084" w:type="dxa"/>
            <w:tcBorders>
              <w:top w:val="nil"/>
              <w:left w:val="nil"/>
              <w:bottom w:val="single" w:sz="4" w:space="0" w:color="auto"/>
              <w:right w:val="single" w:sz="4" w:space="0" w:color="auto"/>
            </w:tcBorders>
            <w:shd w:val="clear" w:color="auto" w:fill="DAEEF3"/>
            <w:noWrap/>
            <w:vAlign w:val="bottom"/>
            <w:hideMark/>
          </w:tcPr>
          <w:p w14:paraId="4C545570" w14:textId="77777777" w:rsidR="004B7622" w:rsidRPr="00CC4B9A" w:rsidRDefault="004B7622" w:rsidP="00377989">
            <w:pPr>
              <w:jc w:val="right"/>
              <w:rPr>
                <w:rFonts w:ascii="Arial" w:eastAsia="Times New Roman" w:hAnsi="Arial" w:cs="Arial"/>
                <w:sz w:val="18"/>
                <w:szCs w:val="18"/>
                <w:lang w:eastAsia="sl-SI"/>
              </w:rPr>
            </w:pPr>
            <w:r w:rsidRPr="00CC4B9A">
              <w:rPr>
                <w:rFonts w:ascii="Arial" w:eastAsia="Times New Roman" w:hAnsi="Arial" w:cs="Arial"/>
                <w:sz w:val="18"/>
                <w:szCs w:val="18"/>
                <w:lang w:eastAsia="sl-SI"/>
              </w:rPr>
              <w:t>61.015.995</w:t>
            </w:r>
          </w:p>
        </w:tc>
        <w:tc>
          <w:tcPr>
            <w:tcW w:w="941" w:type="dxa"/>
            <w:tcBorders>
              <w:top w:val="nil"/>
              <w:left w:val="nil"/>
              <w:bottom w:val="single" w:sz="4" w:space="0" w:color="auto"/>
              <w:right w:val="single" w:sz="4" w:space="0" w:color="auto"/>
            </w:tcBorders>
            <w:noWrap/>
            <w:vAlign w:val="bottom"/>
            <w:hideMark/>
          </w:tcPr>
          <w:p w14:paraId="5A5E7D28" w14:textId="77777777" w:rsidR="004B7622" w:rsidRPr="00CC4B9A" w:rsidRDefault="004B7622" w:rsidP="00377989">
            <w:pPr>
              <w:jc w:val="right"/>
              <w:rPr>
                <w:rFonts w:ascii="Arial" w:eastAsia="Times New Roman" w:hAnsi="Arial" w:cs="Arial"/>
                <w:sz w:val="18"/>
                <w:szCs w:val="18"/>
                <w:lang w:eastAsia="sl-SI"/>
              </w:rPr>
            </w:pPr>
            <w:r w:rsidRPr="00CC4B9A">
              <w:rPr>
                <w:rFonts w:ascii="Arial" w:eastAsia="Times New Roman" w:hAnsi="Arial" w:cs="Arial"/>
                <w:sz w:val="18"/>
                <w:szCs w:val="18"/>
                <w:lang w:eastAsia="sl-SI"/>
              </w:rPr>
              <w:t>574</w:t>
            </w:r>
          </w:p>
        </w:tc>
        <w:tc>
          <w:tcPr>
            <w:tcW w:w="1035" w:type="dxa"/>
            <w:tcBorders>
              <w:top w:val="nil"/>
              <w:left w:val="nil"/>
              <w:bottom w:val="single" w:sz="4" w:space="0" w:color="auto"/>
              <w:right w:val="single" w:sz="4" w:space="0" w:color="auto"/>
            </w:tcBorders>
            <w:shd w:val="clear" w:color="auto" w:fill="DAEEF3"/>
            <w:noWrap/>
            <w:vAlign w:val="bottom"/>
            <w:hideMark/>
          </w:tcPr>
          <w:p w14:paraId="75F44EB4" w14:textId="77777777" w:rsidR="004B7622" w:rsidRPr="00CC4B9A" w:rsidRDefault="004B7622" w:rsidP="00377989">
            <w:pPr>
              <w:jc w:val="right"/>
              <w:rPr>
                <w:rFonts w:ascii="Arial" w:eastAsia="Times New Roman" w:hAnsi="Arial" w:cs="Arial"/>
                <w:sz w:val="18"/>
                <w:szCs w:val="18"/>
                <w:lang w:eastAsia="sl-SI"/>
              </w:rPr>
            </w:pPr>
            <w:r w:rsidRPr="00CC4B9A">
              <w:rPr>
                <w:rFonts w:ascii="Arial" w:eastAsia="Times New Roman" w:hAnsi="Arial" w:cs="Arial"/>
                <w:sz w:val="18"/>
                <w:szCs w:val="18"/>
                <w:lang w:eastAsia="sl-SI"/>
              </w:rPr>
              <w:t>19.075.373</w:t>
            </w:r>
          </w:p>
        </w:tc>
        <w:tc>
          <w:tcPr>
            <w:tcW w:w="905" w:type="dxa"/>
            <w:tcBorders>
              <w:top w:val="nil"/>
              <w:left w:val="nil"/>
              <w:bottom w:val="single" w:sz="4" w:space="0" w:color="auto"/>
              <w:right w:val="single" w:sz="4" w:space="0" w:color="auto"/>
            </w:tcBorders>
            <w:noWrap/>
            <w:vAlign w:val="bottom"/>
            <w:hideMark/>
          </w:tcPr>
          <w:p w14:paraId="387C542A" w14:textId="77777777" w:rsidR="004B7622" w:rsidRPr="00CC4B9A" w:rsidRDefault="004B7622" w:rsidP="00377989">
            <w:pPr>
              <w:jc w:val="right"/>
              <w:rPr>
                <w:rFonts w:ascii="Arial" w:eastAsia="Times New Roman" w:hAnsi="Arial" w:cs="Arial"/>
                <w:sz w:val="18"/>
                <w:szCs w:val="18"/>
                <w:lang w:eastAsia="sl-SI"/>
              </w:rPr>
            </w:pPr>
            <w:r w:rsidRPr="00CC4B9A">
              <w:rPr>
                <w:rFonts w:ascii="Arial" w:eastAsia="Times New Roman" w:hAnsi="Arial" w:cs="Arial"/>
                <w:sz w:val="18"/>
                <w:szCs w:val="18"/>
                <w:lang w:eastAsia="sl-SI"/>
              </w:rPr>
              <w:t>71,0</w:t>
            </w:r>
          </w:p>
        </w:tc>
        <w:tc>
          <w:tcPr>
            <w:tcW w:w="764" w:type="dxa"/>
            <w:tcBorders>
              <w:top w:val="nil"/>
              <w:left w:val="nil"/>
              <w:bottom w:val="single" w:sz="4" w:space="0" w:color="auto"/>
              <w:right w:val="single" w:sz="4" w:space="0" w:color="auto"/>
            </w:tcBorders>
            <w:noWrap/>
            <w:vAlign w:val="bottom"/>
            <w:hideMark/>
          </w:tcPr>
          <w:p w14:paraId="14B5A401" w14:textId="77777777" w:rsidR="004B7622" w:rsidRPr="00CC4B9A" w:rsidRDefault="004B7622" w:rsidP="00377989">
            <w:pPr>
              <w:jc w:val="right"/>
              <w:rPr>
                <w:rFonts w:ascii="Arial" w:eastAsia="Times New Roman" w:hAnsi="Arial" w:cs="Arial"/>
                <w:sz w:val="18"/>
                <w:szCs w:val="18"/>
                <w:lang w:eastAsia="sl-SI"/>
              </w:rPr>
            </w:pPr>
            <w:r w:rsidRPr="00CC4B9A">
              <w:rPr>
                <w:rFonts w:ascii="Arial" w:eastAsia="Times New Roman" w:hAnsi="Arial" w:cs="Arial"/>
                <w:sz w:val="18"/>
                <w:szCs w:val="18"/>
                <w:lang w:eastAsia="sl-SI"/>
              </w:rPr>
              <w:t>31,3</w:t>
            </w:r>
          </w:p>
        </w:tc>
      </w:tr>
      <w:tr w:rsidR="004B7622" w14:paraId="36EFD772" w14:textId="77777777" w:rsidTr="00377989">
        <w:trPr>
          <w:trHeight w:val="572"/>
        </w:trPr>
        <w:tc>
          <w:tcPr>
            <w:tcW w:w="3391" w:type="dxa"/>
            <w:tcBorders>
              <w:top w:val="nil"/>
              <w:left w:val="single" w:sz="4" w:space="0" w:color="auto"/>
              <w:bottom w:val="single" w:sz="4" w:space="0" w:color="auto"/>
              <w:right w:val="single" w:sz="4" w:space="0" w:color="auto"/>
            </w:tcBorders>
            <w:vAlign w:val="center"/>
            <w:hideMark/>
          </w:tcPr>
          <w:p w14:paraId="1240A5F1" w14:textId="77777777" w:rsidR="004B7622" w:rsidRPr="00CC4B9A" w:rsidRDefault="004B7622" w:rsidP="00377989">
            <w:pPr>
              <w:rPr>
                <w:rFonts w:ascii="Arial" w:eastAsia="Times New Roman" w:hAnsi="Arial" w:cs="Arial"/>
                <w:sz w:val="18"/>
                <w:szCs w:val="18"/>
                <w:lang w:eastAsia="sl-SI"/>
              </w:rPr>
            </w:pPr>
            <w:r w:rsidRPr="00CC4B9A">
              <w:rPr>
                <w:rFonts w:ascii="Arial" w:eastAsia="Times New Roman" w:hAnsi="Arial" w:cs="Arial"/>
                <w:sz w:val="18"/>
                <w:szCs w:val="18"/>
                <w:lang w:eastAsia="sl-SI"/>
              </w:rPr>
              <w:t xml:space="preserve">Prejeta plačila </w:t>
            </w:r>
          </w:p>
        </w:tc>
        <w:tc>
          <w:tcPr>
            <w:tcW w:w="888" w:type="dxa"/>
            <w:tcBorders>
              <w:top w:val="nil"/>
              <w:left w:val="nil"/>
              <w:bottom w:val="single" w:sz="4" w:space="0" w:color="auto"/>
              <w:right w:val="single" w:sz="4" w:space="0" w:color="auto"/>
            </w:tcBorders>
            <w:noWrap/>
            <w:vAlign w:val="bottom"/>
            <w:hideMark/>
          </w:tcPr>
          <w:p w14:paraId="552AC34D" w14:textId="77777777" w:rsidR="004B7622" w:rsidRPr="00CC4B9A" w:rsidRDefault="004B7622" w:rsidP="00377989">
            <w:pPr>
              <w:rPr>
                <w:rFonts w:ascii="Arial" w:eastAsia="Times New Roman" w:hAnsi="Arial" w:cs="Arial"/>
                <w:sz w:val="18"/>
                <w:szCs w:val="18"/>
                <w:lang w:eastAsia="sl-SI"/>
              </w:rPr>
            </w:pPr>
            <w:r w:rsidRPr="00CC4B9A">
              <w:rPr>
                <w:rFonts w:ascii="Arial" w:eastAsia="Times New Roman" w:hAnsi="Arial" w:cs="Arial"/>
                <w:sz w:val="18"/>
                <w:szCs w:val="18"/>
                <w:lang w:eastAsia="sl-SI"/>
              </w:rPr>
              <w:t> </w:t>
            </w:r>
          </w:p>
        </w:tc>
        <w:tc>
          <w:tcPr>
            <w:tcW w:w="1084" w:type="dxa"/>
            <w:tcBorders>
              <w:top w:val="nil"/>
              <w:left w:val="nil"/>
              <w:bottom w:val="single" w:sz="4" w:space="0" w:color="auto"/>
              <w:right w:val="single" w:sz="4" w:space="0" w:color="auto"/>
            </w:tcBorders>
            <w:shd w:val="clear" w:color="auto" w:fill="DAEEF3"/>
            <w:noWrap/>
            <w:vAlign w:val="bottom"/>
            <w:hideMark/>
          </w:tcPr>
          <w:p w14:paraId="64933604" w14:textId="77777777" w:rsidR="004B7622" w:rsidRPr="00CC4B9A" w:rsidRDefault="004B7622" w:rsidP="00377989">
            <w:pPr>
              <w:jc w:val="right"/>
              <w:rPr>
                <w:rFonts w:ascii="Arial" w:eastAsia="Times New Roman" w:hAnsi="Arial" w:cs="Arial"/>
                <w:sz w:val="18"/>
                <w:szCs w:val="18"/>
                <w:lang w:eastAsia="sl-SI"/>
              </w:rPr>
            </w:pPr>
            <w:r w:rsidRPr="00CC4B9A">
              <w:rPr>
                <w:rFonts w:ascii="Arial" w:eastAsia="Times New Roman" w:hAnsi="Arial" w:cs="Arial"/>
                <w:sz w:val="18"/>
                <w:szCs w:val="18"/>
                <w:lang w:eastAsia="sl-SI"/>
              </w:rPr>
              <w:t>1.374.425</w:t>
            </w:r>
          </w:p>
        </w:tc>
        <w:tc>
          <w:tcPr>
            <w:tcW w:w="941" w:type="dxa"/>
            <w:tcBorders>
              <w:top w:val="nil"/>
              <w:left w:val="nil"/>
              <w:bottom w:val="single" w:sz="4" w:space="0" w:color="auto"/>
              <w:right w:val="single" w:sz="4" w:space="0" w:color="auto"/>
            </w:tcBorders>
            <w:noWrap/>
            <w:vAlign w:val="bottom"/>
            <w:hideMark/>
          </w:tcPr>
          <w:p w14:paraId="7E8C1782" w14:textId="77777777" w:rsidR="004B7622" w:rsidRPr="00CC4B9A" w:rsidRDefault="004B7622" w:rsidP="00377989">
            <w:pPr>
              <w:rPr>
                <w:rFonts w:ascii="Arial" w:eastAsia="Times New Roman" w:hAnsi="Arial" w:cs="Arial"/>
                <w:sz w:val="18"/>
                <w:szCs w:val="18"/>
                <w:lang w:eastAsia="sl-SI"/>
              </w:rPr>
            </w:pPr>
            <w:r w:rsidRPr="00CC4B9A">
              <w:rPr>
                <w:rFonts w:ascii="Arial" w:eastAsia="Times New Roman" w:hAnsi="Arial" w:cs="Arial"/>
                <w:sz w:val="18"/>
                <w:szCs w:val="18"/>
                <w:lang w:eastAsia="sl-SI"/>
              </w:rPr>
              <w:t> </w:t>
            </w:r>
          </w:p>
        </w:tc>
        <w:tc>
          <w:tcPr>
            <w:tcW w:w="1035" w:type="dxa"/>
            <w:tcBorders>
              <w:top w:val="nil"/>
              <w:left w:val="nil"/>
              <w:bottom w:val="single" w:sz="4" w:space="0" w:color="auto"/>
              <w:right w:val="single" w:sz="4" w:space="0" w:color="auto"/>
            </w:tcBorders>
            <w:shd w:val="clear" w:color="auto" w:fill="DAEEF3"/>
            <w:noWrap/>
            <w:vAlign w:val="bottom"/>
            <w:hideMark/>
          </w:tcPr>
          <w:p w14:paraId="5F6ED12F" w14:textId="77777777" w:rsidR="004B7622" w:rsidRPr="00CC4B9A" w:rsidRDefault="004B7622" w:rsidP="00377989">
            <w:pPr>
              <w:jc w:val="right"/>
              <w:rPr>
                <w:rFonts w:ascii="Arial" w:eastAsia="Times New Roman" w:hAnsi="Arial" w:cs="Arial"/>
                <w:sz w:val="18"/>
                <w:szCs w:val="18"/>
                <w:lang w:eastAsia="sl-SI"/>
              </w:rPr>
            </w:pPr>
            <w:r w:rsidRPr="00CC4B9A">
              <w:rPr>
                <w:rFonts w:ascii="Arial" w:eastAsia="Times New Roman" w:hAnsi="Arial" w:cs="Arial"/>
                <w:sz w:val="18"/>
                <w:szCs w:val="18"/>
                <w:lang w:eastAsia="sl-SI"/>
              </w:rPr>
              <w:t>1.105.345</w:t>
            </w:r>
          </w:p>
        </w:tc>
        <w:tc>
          <w:tcPr>
            <w:tcW w:w="905" w:type="dxa"/>
            <w:tcBorders>
              <w:top w:val="nil"/>
              <w:left w:val="nil"/>
              <w:bottom w:val="single" w:sz="4" w:space="0" w:color="auto"/>
              <w:right w:val="single" w:sz="4" w:space="0" w:color="auto"/>
            </w:tcBorders>
            <w:noWrap/>
            <w:vAlign w:val="bottom"/>
            <w:hideMark/>
          </w:tcPr>
          <w:p w14:paraId="395BD4C3" w14:textId="77777777" w:rsidR="004B7622" w:rsidRPr="00CC4B9A" w:rsidRDefault="004B7622" w:rsidP="00377989">
            <w:pPr>
              <w:rPr>
                <w:rFonts w:ascii="Arial" w:eastAsia="Times New Roman" w:hAnsi="Arial" w:cs="Arial"/>
                <w:sz w:val="18"/>
                <w:szCs w:val="18"/>
                <w:lang w:eastAsia="sl-SI"/>
              </w:rPr>
            </w:pPr>
            <w:r w:rsidRPr="00CC4B9A">
              <w:rPr>
                <w:rFonts w:ascii="Arial" w:eastAsia="Times New Roman" w:hAnsi="Arial" w:cs="Arial"/>
                <w:sz w:val="18"/>
                <w:szCs w:val="18"/>
                <w:lang w:eastAsia="sl-SI"/>
              </w:rPr>
              <w:t> </w:t>
            </w:r>
          </w:p>
        </w:tc>
        <w:tc>
          <w:tcPr>
            <w:tcW w:w="764" w:type="dxa"/>
            <w:tcBorders>
              <w:top w:val="nil"/>
              <w:left w:val="nil"/>
              <w:bottom w:val="single" w:sz="4" w:space="0" w:color="auto"/>
              <w:right w:val="single" w:sz="4" w:space="0" w:color="auto"/>
            </w:tcBorders>
            <w:noWrap/>
            <w:vAlign w:val="bottom"/>
            <w:hideMark/>
          </w:tcPr>
          <w:p w14:paraId="12FE0AC5" w14:textId="77777777" w:rsidR="004B7622" w:rsidRPr="00CC4B9A" w:rsidRDefault="004B7622" w:rsidP="00377989">
            <w:pPr>
              <w:jc w:val="right"/>
              <w:rPr>
                <w:rFonts w:ascii="Arial" w:eastAsia="Times New Roman" w:hAnsi="Arial" w:cs="Arial"/>
                <w:sz w:val="18"/>
                <w:szCs w:val="18"/>
                <w:lang w:eastAsia="sl-SI"/>
              </w:rPr>
            </w:pPr>
            <w:r w:rsidRPr="00CC4B9A">
              <w:rPr>
                <w:rFonts w:ascii="Arial" w:eastAsia="Times New Roman" w:hAnsi="Arial" w:cs="Arial"/>
                <w:sz w:val="18"/>
                <w:szCs w:val="18"/>
                <w:lang w:eastAsia="sl-SI"/>
              </w:rPr>
              <w:t>80,4</w:t>
            </w:r>
          </w:p>
        </w:tc>
      </w:tr>
      <w:tr w:rsidR="004B7622" w14:paraId="461F97EB" w14:textId="77777777" w:rsidTr="00377989">
        <w:trPr>
          <w:trHeight w:val="679"/>
        </w:trPr>
        <w:tc>
          <w:tcPr>
            <w:tcW w:w="3391" w:type="dxa"/>
            <w:tcBorders>
              <w:top w:val="nil"/>
              <w:left w:val="single" w:sz="4" w:space="0" w:color="auto"/>
              <w:bottom w:val="single" w:sz="4" w:space="0" w:color="auto"/>
              <w:right w:val="single" w:sz="4" w:space="0" w:color="auto"/>
            </w:tcBorders>
            <w:vAlign w:val="center"/>
            <w:hideMark/>
          </w:tcPr>
          <w:p w14:paraId="2A290CE1" w14:textId="77777777" w:rsidR="004B7622" w:rsidRPr="00CC4B9A" w:rsidRDefault="004B7622" w:rsidP="00377989">
            <w:pPr>
              <w:rPr>
                <w:rFonts w:ascii="Arial" w:eastAsia="Times New Roman" w:hAnsi="Arial" w:cs="Arial"/>
                <w:sz w:val="18"/>
                <w:szCs w:val="18"/>
                <w:lang w:eastAsia="sl-SI"/>
              </w:rPr>
            </w:pPr>
            <w:r w:rsidRPr="00CC4B9A">
              <w:rPr>
                <w:rFonts w:ascii="Arial" w:eastAsia="Times New Roman" w:hAnsi="Arial" w:cs="Arial"/>
                <w:sz w:val="18"/>
                <w:szCs w:val="18"/>
                <w:lang w:eastAsia="sl-SI"/>
              </w:rPr>
              <w:t>Prejeta zaprosila za izterjavo davčnih obveznosti v EU</w:t>
            </w:r>
          </w:p>
        </w:tc>
        <w:tc>
          <w:tcPr>
            <w:tcW w:w="888" w:type="dxa"/>
            <w:tcBorders>
              <w:top w:val="nil"/>
              <w:left w:val="nil"/>
              <w:bottom w:val="single" w:sz="4" w:space="0" w:color="auto"/>
              <w:right w:val="single" w:sz="4" w:space="0" w:color="auto"/>
            </w:tcBorders>
            <w:noWrap/>
            <w:vAlign w:val="bottom"/>
            <w:hideMark/>
          </w:tcPr>
          <w:p w14:paraId="03DFCCC3" w14:textId="77777777" w:rsidR="004B7622" w:rsidRPr="00CC4B9A" w:rsidRDefault="004B7622" w:rsidP="00377989">
            <w:pPr>
              <w:jc w:val="right"/>
              <w:rPr>
                <w:rFonts w:ascii="Arial" w:eastAsia="Times New Roman" w:hAnsi="Arial" w:cs="Arial"/>
                <w:sz w:val="18"/>
                <w:szCs w:val="18"/>
                <w:lang w:eastAsia="sl-SI"/>
              </w:rPr>
            </w:pPr>
            <w:r w:rsidRPr="00CC4B9A">
              <w:rPr>
                <w:rFonts w:ascii="Arial" w:eastAsia="Times New Roman" w:hAnsi="Arial" w:cs="Arial"/>
                <w:sz w:val="18"/>
                <w:szCs w:val="18"/>
                <w:lang w:eastAsia="sl-SI"/>
              </w:rPr>
              <w:t>210</w:t>
            </w:r>
          </w:p>
        </w:tc>
        <w:tc>
          <w:tcPr>
            <w:tcW w:w="1084" w:type="dxa"/>
            <w:tcBorders>
              <w:top w:val="nil"/>
              <w:left w:val="nil"/>
              <w:bottom w:val="single" w:sz="4" w:space="0" w:color="auto"/>
              <w:right w:val="single" w:sz="4" w:space="0" w:color="auto"/>
            </w:tcBorders>
            <w:shd w:val="clear" w:color="auto" w:fill="DAEEF3"/>
            <w:noWrap/>
            <w:vAlign w:val="bottom"/>
            <w:hideMark/>
          </w:tcPr>
          <w:p w14:paraId="3BBF1115" w14:textId="77777777" w:rsidR="004B7622" w:rsidRPr="00CC4B9A" w:rsidRDefault="004B7622" w:rsidP="00377989">
            <w:pPr>
              <w:jc w:val="right"/>
              <w:rPr>
                <w:rFonts w:ascii="Arial" w:eastAsia="Times New Roman" w:hAnsi="Arial" w:cs="Arial"/>
                <w:sz w:val="18"/>
                <w:szCs w:val="18"/>
                <w:lang w:eastAsia="sl-SI"/>
              </w:rPr>
            </w:pPr>
            <w:r w:rsidRPr="00CC4B9A">
              <w:rPr>
                <w:rFonts w:ascii="Arial" w:eastAsia="Times New Roman" w:hAnsi="Arial" w:cs="Arial"/>
                <w:sz w:val="18"/>
                <w:szCs w:val="18"/>
                <w:lang w:eastAsia="sl-SI"/>
              </w:rPr>
              <w:t>18.680.381</w:t>
            </w:r>
          </w:p>
        </w:tc>
        <w:tc>
          <w:tcPr>
            <w:tcW w:w="941" w:type="dxa"/>
            <w:tcBorders>
              <w:top w:val="nil"/>
              <w:left w:val="nil"/>
              <w:bottom w:val="single" w:sz="4" w:space="0" w:color="auto"/>
              <w:right w:val="single" w:sz="4" w:space="0" w:color="auto"/>
            </w:tcBorders>
            <w:noWrap/>
            <w:vAlign w:val="bottom"/>
            <w:hideMark/>
          </w:tcPr>
          <w:p w14:paraId="2BFF2DF8" w14:textId="77777777" w:rsidR="004B7622" w:rsidRPr="00CC4B9A" w:rsidRDefault="004B7622" w:rsidP="00377989">
            <w:pPr>
              <w:jc w:val="right"/>
              <w:rPr>
                <w:rFonts w:ascii="Arial" w:eastAsia="Times New Roman" w:hAnsi="Arial" w:cs="Arial"/>
                <w:sz w:val="18"/>
                <w:szCs w:val="18"/>
                <w:lang w:eastAsia="sl-SI"/>
              </w:rPr>
            </w:pPr>
            <w:r w:rsidRPr="00CC4B9A">
              <w:rPr>
                <w:rFonts w:ascii="Arial" w:eastAsia="Times New Roman" w:hAnsi="Arial" w:cs="Arial"/>
                <w:sz w:val="18"/>
                <w:szCs w:val="18"/>
                <w:lang w:eastAsia="sl-SI"/>
              </w:rPr>
              <w:t>251</w:t>
            </w:r>
          </w:p>
        </w:tc>
        <w:tc>
          <w:tcPr>
            <w:tcW w:w="1035" w:type="dxa"/>
            <w:tcBorders>
              <w:top w:val="nil"/>
              <w:left w:val="nil"/>
              <w:bottom w:val="single" w:sz="4" w:space="0" w:color="auto"/>
              <w:right w:val="single" w:sz="4" w:space="0" w:color="auto"/>
            </w:tcBorders>
            <w:shd w:val="clear" w:color="auto" w:fill="DAEEF3"/>
            <w:noWrap/>
            <w:vAlign w:val="bottom"/>
            <w:hideMark/>
          </w:tcPr>
          <w:p w14:paraId="779346AD" w14:textId="77777777" w:rsidR="004B7622" w:rsidRPr="00CC4B9A" w:rsidRDefault="004B7622" w:rsidP="00377989">
            <w:pPr>
              <w:jc w:val="right"/>
              <w:rPr>
                <w:rFonts w:ascii="Arial" w:eastAsia="Times New Roman" w:hAnsi="Arial" w:cs="Arial"/>
                <w:sz w:val="18"/>
                <w:szCs w:val="18"/>
                <w:lang w:eastAsia="sl-SI"/>
              </w:rPr>
            </w:pPr>
            <w:r w:rsidRPr="00CC4B9A">
              <w:rPr>
                <w:rFonts w:ascii="Arial" w:eastAsia="Times New Roman" w:hAnsi="Arial" w:cs="Arial"/>
                <w:sz w:val="18"/>
                <w:szCs w:val="18"/>
                <w:lang w:eastAsia="sl-SI"/>
              </w:rPr>
              <w:t>23.300.088</w:t>
            </w:r>
          </w:p>
        </w:tc>
        <w:tc>
          <w:tcPr>
            <w:tcW w:w="905" w:type="dxa"/>
            <w:tcBorders>
              <w:top w:val="nil"/>
              <w:left w:val="nil"/>
              <w:bottom w:val="single" w:sz="4" w:space="0" w:color="auto"/>
              <w:right w:val="single" w:sz="4" w:space="0" w:color="auto"/>
            </w:tcBorders>
            <w:noWrap/>
            <w:vAlign w:val="bottom"/>
            <w:hideMark/>
          </w:tcPr>
          <w:p w14:paraId="680B54E7" w14:textId="77777777" w:rsidR="004B7622" w:rsidRPr="00CC4B9A" w:rsidRDefault="004B7622" w:rsidP="00377989">
            <w:pPr>
              <w:jc w:val="right"/>
              <w:rPr>
                <w:rFonts w:ascii="Arial" w:eastAsia="Times New Roman" w:hAnsi="Arial" w:cs="Arial"/>
                <w:sz w:val="18"/>
                <w:szCs w:val="18"/>
                <w:lang w:eastAsia="sl-SI"/>
              </w:rPr>
            </w:pPr>
            <w:r w:rsidRPr="00CC4B9A">
              <w:rPr>
                <w:rFonts w:ascii="Arial" w:eastAsia="Times New Roman" w:hAnsi="Arial" w:cs="Arial"/>
                <w:sz w:val="18"/>
                <w:szCs w:val="18"/>
                <w:lang w:eastAsia="sl-SI"/>
              </w:rPr>
              <w:t>119,5</w:t>
            </w:r>
          </w:p>
        </w:tc>
        <w:tc>
          <w:tcPr>
            <w:tcW w:w="764" w:type="dxa"/>
            <w:tcBorders>
              <w:top w:val="nil"/>
              <w:left w:val="nil"/>
              <w:bottom w:val="single" w:sz="4" w:space="0" w:color="auto"/>
              <w:right w:val="single" w:sz="4" w:space="0" w:color="auto"/>
            </w:tcBorders>
            <w:noWrap/>
            <w:vAlign w:val="bottom"/>
            <w:hideMark/>
          </w:tcPr>
          <w:p w14:paraId="15C51E14" w14:textId="77777777" w:rsidR="004B7622" w:rsidRPr="00CC4B9A" w:rsidRDefault="004B7622" w:rsidP="00377989">
            <w:pPr>
              <w:jc w:val="right"/>
              <w:rPr>
                <w:rFonts w:ascii="Arial" w:eastAsia="Times New Roman" w:hAnsi="Arial" w:cs="Arial"/>
                <w:sz w:val="18"/>
                <w:szCs w:val="18"/>
                <w:lang w:eastAsia="sl-SI"/>
              </w:rPr>
            </w:pPr>
            <w:r w:rsidRPr="00CC4B9A">
              <w:rPr>
                <w:rFonts w:ascii="Arial" w:eastAsia="Times New Roman" w:hAnsi="Arial" w:cs="Arial"/>
                <w:sz w:val="18"/>
                <w:szCs w:val="18"/>
                <w:lang w:eastAsia="sl-SI"/>
              </w:rPr>
              <w:t>124,7</w:t>
            </w:r>
          </w:p>
        </w:tc>
      </w:tr>
      <w:tr w:rsidR="004B7622" w14:paraId="40E003E2" w14:textId="77777777" w:rsidTr="00377989">
        <w:trPr>
          <w:trHeight w:val="572"/>
        </w:trPr>
        <w:tc>
          <w:tcPr>
            <w:tcW w:w="3391" w:type="dxa"/>
            <w:tcBorders>
              <w:top w:val="nil"/>
              <w:left w:val="single" w:sz="4" w:space="0" w:color="auto"/>
              <w:bottom w:val="single" w:sz="4" w:space="0" w:color="auto"/>
              <w:right w:val="single" w:sz="4" w:space="0" w:color="auto"/>
            </w:tcBorders>
            <w:vAlign w:val="center"/>
            <w:hideMark/>
          </w:tcPr>
          <w:p w14:paraId="4513E41E" w14:textId="77777777" w:rsidR="004B7622" w:rsidRPr="00CC4B9A" w:rsidRDefault="004B7622" w:rsidP="00377989">
            <w:pPr>
              <w:rPr>
                <w:rFonts w:ascii="Arial" w:eastAsia="Times New Roman" w:hAnsi="Arial" w:cs="Arial"/>
                <w:sz w:val="18"/>
                <w:szCs w:val="18"/>
                <w:lang w:eastAsia="sl-SI"/>
              </w:rPr>
            </w:pPr>
            <w:r w:rsidRPr="00CC4B9A">
              <w:rPr>
                <w:rFonts w:ascii="Arial" w:eastAsia="Times New Roman" w:hAnsi="Arial" w:cs="Arial"/>
                <w:sz w:val="18"/>
                <w:szCs w:val="18"/>
                <w:lang w:eastAsia="sl-SI"/>
              </w:rPr>
              <w:t xml:space="preserve">Prejeta plačila </w:t>
            </w:r>
          </w:p>
        </w:tc>
        <w:tc>
          <w:tcPr>
            <w:tcW w:w="888" w:type="dxa"/>
            <w:tcBorders>
              <w:top w:val="nil"/>
              <w:left w:val="nil"/>
              <w:bottom w:val="single" w:sz="4" w:space="0" w:color="auto"/>
              <w:right w:val="single" w:sz="4" w:space="0" w:color="auto"/>
            </w:tcBorders>
            <w:noWrap/>
            <w:vAlign w:val="bottom"/>
            <w:hideMark/>
          </w:tcPr>
          <w:p w14:paraId="27233342" w14:textId="77777777" w:rsidR="004B7622" w:rsidRPr="00CC4B9A" w:rsidRDefault="004B7622" w:rsidP="00377989">
            <w:pPr>
              <w:rPr>
                <w:rFonts w:ascii="Arial" w:eastAsia="Times New Roman" w:hAnsi="Arial" w:cs="Arial"/>
                <w:sz w:val="18"/>
                <w:szCs w:val="18"/>
                <w:lang w:eastAsia="sl-SI"/>
              </w:rPr>
            </w:pPr>
            <w:r w:rsidRPr="00CC4B9A">
              <w:rPr>
                <w:rFonts w:ascii="Arial" w:eastAsia="Times New Roman" w:hAnsi="Arial" w:cs="Arial"/>
                <w:sz w:val="18"/>
                <w:szCs w:val="18"/>
                <w:lang w:eastAsia="sl-SI"/>
              </w:rPr>
              <w:t> </w:t>
            </w:r>
          </w:p>
        </w:tc>
        <w:tc>
          <w:tcPr>
            <w:tcW w:w="1084" w:type="dxa"/>
            <w:tcBorders>
              <w:top w:val="nil"/>
              <w:left w:val="nil"/>
              <w:bottom w:val="single" w:sz="4" w:space="0" w:color="auto"/>
              <w:right w:val="single" w:sz="4" w:space="0" w:color="auto"/>
            </w:tcBorders>
            <w:shd w:val="clear" w:color="auto" w:fill="DAEEF3"/>
            <w:noWrap/>
            <w:vAlign w:val="bottom"/>
            <w:hideMark/>
          </w:tcPr>
          <w:p w14:paraId="0C723516" w14:textId="77777777" w:rsidR="004B7622" w:rsidRPr="00CC4B9A" w:rsidRDefault="004B7622" w:rsidP="00377989">
            <w:pPr>
              <w:jc w:val="right"/>
              <w:rPr>
                <w:rFonts w:ascii="Arial" w:eastAsia="Times New Roman" w:hAnsi="Arial" w:cs="Arial"/>
                <w:sz w:val="18"/>
                <w:szCs w:val="18"/>
                <w:lang w:eastAsia="sl-SI"/>
              </w:rPr>
            </w:pPr>
            <w:r w:rsidRPr="00CC4B9A">
              <w:rPr>
                <w:rFonts w:ascii="Arial" w:eastAsia="Times New Roman" w:hAnsi="Arial" w:cs="Arial"/>
                <w:sz w:val="18"/>
                <w:szCs w:val="18"/>
                <w:lang w:eastAsia="sl-SI"/>
              </w:rPr>
              <w:t>667.169</w:t>
            </w:r>
          </w:p>
        </w:tc>
        <w:tc>
          <w:tcPr>
            <w:tcW w:w="941" w:type="dxa"/>
            <w:tcBorders>
              <w:top w:val="nil"/>
              <w:left w:val="nil"/>
              <w:bottom w:val="single" w:sz="4" w:space="0" w:color="auto"/>
              <w:right w:val="single" w:sz="4" w:space="0" w:color="auto"/>
            </w:tcBorders>
            <w:noWrap/>
            <w:vAlign w:val="bottom"/>
            <w:hideMark/>
          </w:tcPr>
          <w:p w14:paraId="146B32C2" w14:textId="77777777" w:rsidR="004B7622" w:rsidRPr="00CC4B9A" w:rsidRDefault="004B7622" w:rsidP="00377989">
            <w:pPr>
              <w:rPr>
                <w:rFonts w:ascii="Arial" w:eastAsia="Times New Roman" w:hAnsi="Arial" w:cs="Arial"/>
                <w:sz w:val="18"/>
                <w:szCs w:val="18"/>
                <w:lang w:eastAsia="sl-SI"/>
              </w:rPr>
            </w:pPr>
            <w:r w:rsidRPr="00CC4B9A">
              <w:rPr>
                <w:rFonts w:ascii="Arial" w:eastAsia="Times New Roman" w:hAnsi="Arial" w:cs="Arial"/>
                <w:sz w:val="18"/>
                <w:szCs w:val="18"/>
                <w:lang w:eastAsia="sl-SI"/>
              </w:rPr>
              <w:t> </w:t>
            </w:r>
          </w:p>
        </w:tc>
        <w:tc>
          <w:tcPr>
            <w:tcW w:w="1035" w:type="dxa"/>
            <w:tcBorders>
              <w:top w:val="nil"/>
              <w:left w:val="nil"/>
              <w:bottom w:val="single" w:sz="4" w:space="0" w:color="auto"/>
              <w:right w:val="single" w:sz="4" w:space="0" w:color="auto"/>
            </w:tcBorders>
            <w:shd w:val="clear" w:color="auto" w:fill="DAEEF3"/>
            <w:noWrap/>
            <w:vAlign w:val="bottom"/>
            <w:hideMark/>
          </w:tcPr>
          <w:p w14:paraId="6F8704EE" w14:textId="77777777" w:rsidR="004B7622" w:rsidRPr="00CC4B9A" w:rsidRDefault="004B7622" w:rsidP="00377989">
            <w:pPr>
              <w:jc w:val="right"/>
              <w:rPr>
                <w:rFonts w:ascii="Arial" w:eastAsia="Times New Roman" w:hAnsi="Arial" w:cs="Arial"/>
                <w:sz w:val="18"/>
                <w:szCs w:val="18"/>
                <w:lang w:eastAsia="sl-SI"/>
              </w:rPr>
            </w:pPr>
            <w:r w:rsidRPr="00CC4B9A">
              <w:rPr>
                <w:rFonts w:ascii="Arial" w:eastAsia="Times New Roman" w:hAnsi="Arial" w:cs="Arial"/>
                <w:sz w:val="18"/>
                <w:szCs w:val="18"/>
                <w:lang w:eastAsia="sl-SI"/>
              </w:rPr>
              <w:t>694.142</w:t>
            </w:r>
          </w:p>
        </w:tc>
        <w:tc>
          <w:tcPr>
            <w:tcW w:w="905" w:type="dxa"/>
            <w:tcBorders>
              <w:top w:val="nil"/>
              <w:left w:val="nil"/>
              <w:bottom w:val="single" w:sz="4" w:space="0" w:color="auto"/>
              <w:right w:val="single" w:sz="4" w:space="0" w:color="auto"/>
            </w:tcBorders>
            <w:noWrap/>
            <w:vAlign w:val="bottom"/>
            <w:hideMark/>
          </w:tcPr>
          <w:p w14:paraId="29D5111A" w14:textId="77777777" w:rsidR="004B7622" w:rsidRPr="00CC4B9A" w:rsidRDefault="004B7622" w:rsidP="00377989">
            <w:pPr>
              <w:rPr>
                <w:rFonts w:ascii="Arial" w:eastAsia="Times New Roman" w:hAnsi="Arial" w:cs="Arial"/>
                <w:sz w:val="18"/>
                <w:szCs w:val="18"/>
                <w:lang w:eastAsia="sl-SI"/>
              </w:rPr>
            </w:pPr>
            <w:r w:rsidRPr="00CC4B9A">
              <w:rPr>
                <w:rFonts w:ascii="Arial" w:eastAsia="Times New Roman" w:hAnsi="Arial" w:cs="Arial"/>
                <w:sz w:val="18"/>
                <w:szCs w:val="18"/>
                <w:lang w:eastAsia="sl-SI"/>
              </w:rPr>
              <w:t> </w:t>
            </w:r>
          </w:p>
        </w:tc>
        <w:tc>
          <w:tcPr>
            <w:tcW w:w="764" w:type="dxa"/>
            <w:tcBorders>
              <w:top w:val="nil"/>
              <w:left w:val="nil"/>
              <w:bottom w:val="single" w:sz="4" w:space="0" w:color="auto"/>
              <w:right w:val="single" w:sz="4" w:space="0" w:color="auto"/>
            </w:tcBorders>
            <w:noWrap/>
            <w:vAlign w:val="bottom"/>
            <w:hideMark/>
          </w:tcPr>
          <w:p w14:paraId="6DFDE8FC" w14:textId="77777777" w:rsidR="004B7622" w:rsidRPr="00CC4B9A" w:rsidRDefault="004B7622" w:rsidP="00377989">
            <w:pPr>
              <w:jc w:val="right"/>
              <w:rPr>
                <w:rFonts w:ascii="Arial" w:eastAsia="Times New Roman" w:hAnsi="Arial" w:cs="Arial"/>
                <w:sz w:val="18"/>
                <w:szCs w:val="18"/>
                <w:lang w:eastAsia="sl-SI"/>
              </w:rPr>
            </w:pPr>
            <w:r w:rsidRPr="00CC4B9A">
              <w:rPr>
                <w:rFonts w:ascii="Arial" w:eastAsia="Times New Roman" w:hAnsi="Arial" w:cs="Arial"/>
                <w:sz w:val="18"/>
                <w:szCs w:val="18"/>
                <w:lang w:eastAsia="sl-SI"/>
              </w:rPr>
              <w:t>104,0</w:t>
            </w:r>
          </w:p>
        </w:tc>
      </w:tr>
    </w:tbl>
    <w:p w14:paraId="6D01C426" w14:textId="77777777" w:rsidR="004B7622" w:rsidRPr="00A33E86" w:rsidRDefault="004B7622" w:rsidP="004B7622">
      <w:pPr>
        <w:pStyle w:val="FURSNavaden"/>
        <w:rPr>
          <w:i/>
          <w:sz w:val="18"/>
          <w:szCs w:val="18"/>
        </w:rPr>
      </w:pPr>
      <w:r w:rsidRPr="00A33E86">
        <w:rPr>
          <w:i/>
          <w:sz w:val="16"/>
          <w:szCs w:val="16"/>
        </w:rPr>
        <w:t>*</w:t>
      </w:r>
      <w:r w:rsidRPr="00A33E86">
        <w:rPr>
          <w:i/>
          <w:sz w:val="18"/>
          <w:szCs w:val="18"/>
        </w:rPr>
        <w:t>Med podatki so zajeta tudi zaprosila, ki se izterjujejo na podlagi sporazuma Slovenija – Norveška iz naslova davka od dohodka.</w:t>
      </w:r>
    </w:p>
    <w:p w14:paraId="77CED7D8" w14:textId="77777777" w:rsidR="004B7622" w:rsidRPr="00534703" w:rsidRDefault="004B7622" w:rsidP="004B7622">
      <w:pPr>
        <w:rPr>
          <w:rFonts w:ascii="Arial" w:hAnsi="Arial" w:cs="Arial"/>
          <w:i/>
          <w:sz w:val="20"/>
          <w:szCs w:val="20"/>
        </w:rPr>
      </w:pPr>
      <w:r w:rsidRPr="00534703">
        <w:rPr>
          <w:rFonts w:ascii="Arial" w:hAnsi="Arial" w:cs="Arial"/>
          <w:i/>
          <w:sz w:val="20"/>
          <w:szCs w:val="20"/>
        </w:rPr>
        <w:t>Vir: FURS</w:t>
      </w:r>
    </w:p>
    <w:p w14:paraId="553B64FD" w14:textId="77777777" w:rsidR="004B7622" w:rsidRPr="00D953E8" w:rsidRDefault="004B7622" w:rsidP="004B7622">
      <w:pPr>
        <w:spacing w:line="260" w:lineRule="exact"/>
        <w:jc w:val="both"/>
        <w:rPr>
          <w:rFonts w:ascii="Arial" w:hAnsi="Arial" w:cs="Arial"/>
          <w:sz w:val="20"/>
          <w:szCs w:val="20"/>
        </w:rPr>
      </w:pPr>
      <w:r w:rsidRPr="00D953E8">
        <w:rPr>
          <w:rFonts w:ascii="Arial" w:hAnsi="Arial" w:cs="Arial"/>
          <w:sz w:val="20"/>
          <w:szCs w:val="20"/>
        </w:rPr>
        <w:t>V letu 2021 je F</w:t>
      </w:r>
      <w:r>
        <w:rPr>
          <w:rFonts w:ascii="Arial" w:hAnsi="Arial" w:cs="Arial"/>
          <w:sz w:val="20"/>
          <w:szCs w:val="20"/>
        </w:rPr>
        <w:t xml:space="preserve">URS </w:t>
      </w:r>
      <w:r w:rsidRPr="00D953E8">
        <w:rPr>
          <w:rFonts w:ascii="Arial" w:hAnsi="Arial" w:cs="Arial"/>
          <w:sz w:val="20"/>
          <w:szCs w:val="20"/>
        </w:rPr>
        <w:t xml:space="preserve">prejel 251 zaprosil za izterjavo neporavnanih davčnih obveznosti, ki so nastale v drugih državah članicah EU, v višini 23.300.088 </w:t>
      </w:r>
      <w:r>
        <w:rPr>
          <w:rFonts w:ascii="Arial" w:hAnsi="Arial" w:cs="Arial"/>
          <w:sz w:val="20"/>
          <w:szCs w:val="20"/>
        </w:rPr>
        <w:t>EUR</w:t>
      </w:r>
      <w:r w:rsidRPr="00D953E8">
        <w:rPr>
          <w:rFonts w:ascii="Arial" w:hAnsi="Arial" w:cs="Arial"/>
          <w:sz w:val="20"/>
          <w:szCs w:val="20"/>
        </w:rPr>
        <w:t xml:space="preserve">. Z namenom izterjave je bilo izdano 139 opominov za dolg v višini 12.111.327 </w:t>
      </w:r>
      <w:r>
        <w:rPr>
          <w:rFonts w:ascii="Arial" w:hAnsi="Arial" w:cs="Arial"/>
          <w:sz w:val="20"/>
          <w:szCs w:val="20"/>
        </w:rPr>
        <w:t>EUR</w:t>
      </w:r>
      <w:r w:rsidRPr="00D953E8">
        <w:rPr>
          <w:rFonts w:ascii="Arial" w:hAnsi="Arial" w:cs="Arial"/>
          <w:sz w:val="20"/>
          <w:szCs w:val="20"/>
        </w:rPr>
        <w:t xml:space="preserve"> ter 47 sklepov o izvršbi za dolg v višini 4.104.945 </w:t>
      </w:r>
      <w:r>
        <w:rPr>
          <w:rFonts w:ascii="Arial" w:hAnsi="Arial" w:cs="Arial"/>
          <w:sz w:val="20"/>
          <w:szCs w:val="20"/>
        </w:rPr>
        <w:t>EUR</w:t>
      </w:r>
      <w:r w:rsidRPr="00D953E8">
        <w:rPr>
          <w:rFonts w:ascii="Arial" w:hAnsi="Arial" w:cs="Arial"/>
          <w:sz w:val="20"/>
          <w:szCs w:val="20"/>
        </w:rPr>
        <w:t xml:space="preserve">. Na podlagi izvedenih ukrepov je bilo izterjanega 692.834 </w:t>
      </w:r>
      <w:r>
        <w:rPr>
          <w:rFonts w:ascii="Arial" w:hAnsi="Arial" w:cs="Arial"/>
          <w:sz w:val="20"/>
          <w:szCs w:val="20"/>
        </w:rPr>
        <w:t>EUR</w:t>
      </w:r>
      <w:r w:rsidRPr="00D953E8">
        <w:rPr>
          <w:rFonts w:ascii="Arial" w:hAnsi="Arial" w:cs="Arial"/>
          <w:sz w:val="20"/>
          <w:szCs w:val="20"/>
        </w:rPr>
        <w:t xml:space="preserve"> dolga. Za zavarovanje plačila davčnih obveznosti je bilo prejeto eno zaprosilo v višini 377.893 </w:t>
      </w:r>
      <w:r>
        <w:rPr>
          <w:rFonts w:ascii="Arial" w:hAnsi="Arial" w:cs="Arial"/>
          <w:sz w:val="20"/>
          <w:szCs w:val="20"/>
        </w:rPr>
        <w:t>EUR</w:t>
      </w:r>
      <w:r w:rsidRPr="00D953E8">
        <w:rPr>
          <w:rFonts w:ascii="Arial" w:hAnsi="Arial" w:cs="Arial"/>
          <w:sz w:val="20"/>
          <w:szCs w:val="20"/>
        </w:rPr>
        <w:t xml:space="preserve">. </w:t>
      </w:r>
    </w:p>
    <w:p w14:paraId="629E30EC" w14:textId="77777777" w:rsidR="004B7622" w:rsidRPr="00D953E8" w:rsidRDefault="004B7622" w:rsidP="004B7622">
      <w:pPr>
        <w:spacing w:line="260" w:lineRule="exact"/>
        <w:jc w:val="both"/>
        <w:rPr>
          <w:rFonts w:ascii="Arial" w:hAnsi="Arial" w:cs="Arial"/>
          <w:sz w:val="20"/>
          <w:szCs w:val="20"/>
        </w:rPr>
      </w:pPr>
      <w:r w:rsidRPr="00D953E8">
        <w:rPr>
          <w:rFonts w:ascii="Arial" w:hAnsi="Arial" w:cs="Arial"/>
          <w:sz w:val="20"/>
          <w:szCs w:val="20"/>
        </w:rPr>
        <w:t xml:space="preserve">Podatki o učinkovitosti v letu  2020 in 2021 iz razlogov, navedenih predhodno, niso relevantni (epidemija nalezljive bolezni COVID-19, zaradi katere so Slovenija in večina evropskih držav sprejele ukrepe, ki so vplivali tudi na postopke izterjave, npr. neizvajanje postopkov mednarodne izterjave, neizvajanje oz. zadržanje postopkov davčne izvršbe, </w:t>
      </w:r>
      <w:proofErr w:type="spellStart"/>
      <w:r w:rsidRPr="00D953E8">
        <w:rPr>
          <w:rFonts w:ascii="Arial" w:hAnsi="Arial" w:cs="Arial"/>
          <w:sz w:val="20"/>
          <w:szCs w:val="20"/>
        </w:rPr>
        <w:t>ipd</w:t>
      </w:r>
      <w:proofErr w:type="spellEnd"/>
      <w:r w:rsidRPr="00D953E8">
        <w:rPr>
          <w:rFonts w:ascii="Arial" w:hAnsi="Arial" w:cs="Arial"/>
          <w:sz w:val="20"/>
          <w:szCs w:val="20"/>
        </w:rPr>
        <w:t>).</w:t>
      </w:r>
    </w:p>
    <w:p w14:paraId="69C7C6F7" w14:textId="77777777" w:rsidR="004B7622" w:rsidRPr="00D953E8" w:rsidRDefault="004B7622" w:rsidP="004B7622">
      <w:pPr>
        <w:spacing w:line="260" w:lineRule="exact"/>
        <w:jc w:val="both"/>
        <w:rPr>
          <w:rFonts w:ascii="Arial" w:hAnsi="Arial" w:cs="Arial"/>
          <w:sz w:val="20"/>
          <w:szCs w:val="20"/>
        </w:rPr>
      </w:pPr>
      <w:r w:rsidRPr="00D953E8">
        <w:rPr>
          <w:rFonts w:ascii="Arial" w:hAnsi="Arial" w:cs="Arial"/>
          <w:sz w:val="20"/>
          <w:szCs w:val="20"/>
        </w:rPr>
        <w:t xml:space="preserve">Po ureditvi mednarodne izterjave je potrebno pred posredovanjem zahtevkov za izterjavo v drugo državo članico EU, izvesti postopke izterjave v državi prosilki. Zahtevki za izterjavo se tako v zaprošeno državo posredujejo relativno pozno, kar zmanjšuje učinkovitost izterjave v tej državi. Dodatni razlog manjše učinkovitosti mednarodne izterjave je tudi ta, da se zaprosila za izterjavo zaradi dolgotrajnih postopkov pogosto izvršujejo več let, s čimer so učinki izterjave razporejeni na večletno obdobje. Učinkovitost izterjave je odvisna tudi in predvsem od premoženjskega stanja dolžnika (ki pogosto nima premoženja, na katerega bi bilo mogoče poseči z izterjavo), nenazadnje pa k nizki učinkovitosti pripomorejo tudi različni pravni predpisi in organizacija izterjave v državah članicah ter različno razpoložljivi resursi v njih. </w:t>
      </w:r>
    </w:p>
    <w:p w14:paraId="3028EDE3" w14:textId="77777777" w:rsidR="004B7622" w:rsidRDefault="004B7622" w:rsidP="004B7622">
      <w:pPr>
        <w:spacing w:line="260" w:lineRule="exact"/>
        <w:jc w:val="both"/>
        <w:rPr>
          <w:rFonts w:ascii="Arial" w:hAnsi="Arial" w:cs="Arial"/>
          <w:sz w:val="20"/>
          <w:szCs w:val="20"/>
        </w:rPr>
      </w:pPr>
      <w:r w:rsidRPr="00D953E8">
        <w:rPr>
          <w:rFonts w:ascii="Arial" w:hAnsi="Arial" w:cs="Arial"/>
          <w:sz w:val="20"/>
          <w:szCs w:val="20"/>
        </w:rPr>
        <w:t>F</w:t>
      </w:r>
      <w:r>
        <w:rPr>
          <w:rFonts w:ascii="Arial" w:hAnsi="Arial" w:cs="Arial"/>
          <w:sz w:val="20"/>
          <w:szCs w:val="20"/>
        </w:rPr>
        <w:t xml:space="preserve">URS </w:t>
      </w:r>
      <w:r w:rsidRPr="00D953E8">
        <w:rPr>
          <w:rFonts w:ascii="Arial" w:hAnsi="Arial" w:cs="Arial"/>
          <w:sz w:val="20"/>
          <w:szCs w:val="20"/>
        </w:rPr>
        <w:t xml:space="preserve">je na podlagi Uredbe (ES) št. 883/2004 o koordinaciji sistemov socialne varnosti in Izvedbene Uredbe (ES) št. 987/2009 nosilcem socialne varnosti v Sloveniji v letu 2021 posredoval 582 predlogov za izterjavo prispevkov za socialno varnost v skupni višini 4.055.664 </w:t>
      </w:r>
      <w:r>
        <w:rPr>
          <w:rFonts w:ascii="Arial" w:hAnsi="Arial" w:cs="Arial"/>
          <w:sz w:val="20"/>
          <w:szCs w:val="20"/>
        </w:rPr>
        <w:t>EUR</w:t>
      </w:r>
      <w:r w:rsidRPr="00D953E8">
        <w:rPr>
          <w:rFonts w:ascii="Arial" w:hAnsi="Arial" w:cs="Arial"/>
          <w:sz w:val="20"/>
          <w:szCs w:val="20"/>
        </w:rPr>
        <w:t xml:space="preserve"> ter prejela</w:t>
      </w:r>
      <w:r>
        <w:rPr>
          <w:rFonts w:ascii="Arial" w:hAnsi="Arial" w:cs="Arial"/>
          <w:sz w:val="20"/>
          <w:szCs w:val="20"/>
        </w:rPr>
        <w:t xml:space="preserve"> </w:t>
      </w:r>
      <w:r w:rsidRPr="00D953E8">
        <w:rPr>
          <w:rFonts w:ascii="Arial" w:hAnsi="Arial" w:cs="Arial"/>
          <w:sz w:val="20"/>
          <w:szCs w:val="20"/>
        </w:rPr>
        <w:t xml:space="preserve">156.624 </w:t>
      </w:r>
      <w:r>
        <w:rPr>
          <w:rFonts w:ascii="Arial" w:hAnsi="Arial" w:cs="Arial"/>
          <w:sz w:val="20"/>
          <w:szCs w:val="20"/>
        </w:rPr>
        <w:t>EUR</w:t>
      </w:r>
      <w:r w:rsidRPr="00D953E8">
        <w:rPr>
          <w:rFonts w:ascii="Arial" w:hAnsi="Arial" w:cs="Arial"/>
          <w:sz w:val="20"/>
          <w:szCs w:val="20"/>
        </w:rPr>
        <w:t xml:space="preserve"> plačil.</w:t>
      </w:r>
    </w:p>
    <w:p w14:paraId="2D3AF67B" w14:textId="77777777" w:rsidR="004B7622" w:rsidRDefault="004B7622" w:rsidP="004B7622">
      <w:pPr>
        <w:spacing w:line="260" w:lineRule="exact"/>
        <w:jc w:val="both"/>
        <w:rPr>
          <w:rFonts w:ascii="Arial" w:hAnsi="Arial" w:cs="Arial"/>
          <w:sz w:val="20"/>
          <w:szCs w:val="20"/>
        </w:rPr>
      </w:pPr>
    </w:p>
    <w:p w14:paraId="4A0E9E6E" w14:textId="77777777" w:rsidR="004B7622" w:rsidRDefault="004B7622" w:rsidP="004B7622">
      <w:pPr>
        <w:spacing w:line="260" w:lineRule="exact"/>
        <w:jc w:val="both"/>
        <w:rPr>
          <w:rFonts w:ascii="Arial" w:hAnsi="Arial" w:cs="Arial"/>
          <w:sz w:val="20"/>
          <w:szCs w:val="20"/>
        </w:rPr>
      </w:pPr>
    </w:p>
    <w:p w14:paraId="2DE0C252" w14:textId="77777777" w:rsidR="004B7622" w:rsidRDefault="004B7622" w:rsidP="004B7622">
      <w:pPr>
        <w:spacing w:line="260" w:lineRule="exact"/>
        <w:jc w:val="both"/>
        <w:rPr>
          <w:rFonts w:ascii="Arial" w:hAnsi="Arial" w:cs="Arial"/>
          <w:sz w:val="20"/>
          <w:szCs w:val="20"/>
        </w:rPr>
      </w:pPr>
    </w:p>
    <w:p w14:paraId="228B8DE5" w14:textId="77777777" w:rsidR="004B7622" w:rsidRDefault="004B7622" w:rsidP="004B7622">
      <w:pPr>
        <w:spacing w:line="260" w:lineRule="exact"/>
        <w:jc w:val="both"/>
        <w:rPr>
          <w:rFonts w:ascii="Arial" w:hAnsi="Arial" w:cs="Arial"/>
          <w:sz w:val="20"/>
          <w:szCs w:val="20"/>
        </w:rPr>
      </w:pPr>
    </w:p>
    <w:p w14:paraId="5ECF5651" w14:textId="77777777" w:rsidR="004B7622" w:rsidRPr="00D953E8" w:rsidRDefault="004B7622" w:rsidP="004B7622">
      <w:pPr>
        <w:spacing w:line="260" w:lineRule="exact"/>
        <w:jc w:val="both"/>
        <w:rPr>
          <w:rFonts w:ascii="Arial" w:hAnsi="Arial" w:cs="Arial"/>
          <w:sz w:val="20"/>
          <w:szCs w:val="20"/>
        </w:rPr>
      </w:pPr>
    </w:p>
    <w:p w14:paraId="532F503E" w14:textId="77777777" w:rsidR="004B7622" w:rsidRDefault="004B7622" w:rsidP="004B7622">
      <w:pPr>
        <w:pStyle w:val="FURSNavaden"/>
        <w:rPr>
          <w:rFonts w:eastAsia="Times New Roman" w:cs="Arial"/>
          <w:i/>
          <w:szCs w:val="20"/>
        </w:rPr>
      </w:pPr>
      <w:r w:rsidRPr="009F62ED">
        <w:rPr>
          <w:rFonts w:eastAsia="Times New Roman" w:cs="Arial"/>
          <w:i/>
          <w:szCs w:val="20"/>
        </w:rPr>
        <w:t xml:space="preserve">Preglednica 22: Predlogi za izterjavo prispevkov, ki jih je FURS posredoval nosilcem socialne varnosti </w:t>
      </w:r>
    </w:p>
    <w:p w14:paraId="59264D2A" w14:textId="77777777" w:rsidR="004B7622" w:rsidRDefault="004B7622" w:rsidP="004B7622">
      <w:pPr>
        <w:pStyle w:val="FURSNavaden"/>
        <w:rPr>
          <w:rFonts w:eastAsia="Times New Roman" w:cs="Arial"/>
          <w:i/>
          <w:szCs w:val="20"/>
        </w:rPr>
      </w:pPr>
    </w:p>
    <w:tbl>
      <w:tblPr>
        <w:tblW w:w="9220" w:type="dxa"/>
        <w:tblCellMar>
          <w:left w:w="70" w:type="dxa"/>
          <w:right w:w="70" w:type="dxa"/>
        </w:tblCellMar>
        <w:tblLook w:val="04A0" w:firstRow="1" w:lastRow="0" w:firstColumn="1" w:lastColumn="0" w:noHBand="0" w:noVBand="1"/>
      </w:tblPr>
      <w:tblGrid>
        <w:gridCol w:w="1100"/>
        <w:gridCol w:w="1840"/>
        <w:gridCol w:w="980"/>
        <w:gridCol w:w="980"/>
        <w:gridCol w:w="980"/>
        <w:gridCol w:w="980"/>
        <w:gridCol w:w="1140"/>
        <w:gridCol w:w="1220"/>
      </w:tblGrid>
      <w:tr w:rsidR="004B7622" w14:paraId="60F864A3" w14:textId="77777777" w:rsidTr="00377989">
        <w:trPr>
          <w:trHeight w:val="384"/>
        </w:trPr>
        <w:tc>
          <w:tcPr>
            <w:tcW w:w="1100" w:type="dxa"/>
            <w:vMerge w:val="restart"/>
            <w:tcBorders>
              <w:top w:val="single" w:sz="4" w:space="0" w:color="auto"/>
              <w:left w:val="single" w:sz="4" w:space="0" w:color="auto"/>
              <w:bottom w:val="single" w:sz="4" w:space="0" w:color="auto"/>
              <w:right w:val="single" w:sz="4" w:space="0" w:color="auto"/>
            </w:tcBorders>
            <w:shd w:val="clear" w:color="auto" w:fill="31869B"/>
            <w:vAlign w:val="center"/>
            <w:hideMark/>
          </w:tcPr>
          <w:p w14:paraId="2D6B1AA7" w14:textId="77777777" w:rsidR="004B7622" w:rsidRPr="00D953E8" w:rsidRDefault="004B7622" w:rsidP="00377989">
            <w:pPr>
              <w:jc w:val="center"/>
              <w:rPr>
                <w:rFonts w:ascii="Arial" w:eastAsia="Times New Roman" w:hAnsi="Arial" w:cs="Arial"/>
                <w:b/>
                <w:bCs/>
                <w:color w:val="FFFFFF"/>
                <w:sz w:val="18"/>
                <w:szCs w:val="18"/>
                <w:lang w:eastAsia="sl-SI"/>
              </w:rPr>
            </w:pPr>
            <w:r w:rsidRPr="00D953E8">
              <w:rPr>
                <w:rFonts w:ascii="Arial" w:eastAsia="Times New Roman" w:hAnsi="Arial" w:cs="Arial"/>
                <w:b/>
                <w:bCs/>
                <w:color w:val="FFFFFF"/>
                <w:sz w:val="18"/>
                <w:szCs w:val="18"/>
                <w:lang w:eastAsia="sl-SI"/>
              </w:rPr>
              <w:t>Nosilec socialne varnosti</w:t>
            </w:r>
          </w:p>
        </w:tc>
        <w:tc>
          <w:tcPr>
            <w:tcW w:w="1840" w:type="dxa"/>
            <w:tcBorders>
              <w:top w:val="single" w:sz="4" w:space="0" w:color="auto"/>
              <w:left w:val="nil"/>
              <w:bottom w:val="single" w:sz="4" w:space="0" w:color="auto"/>
              <w:right w:val="single" w:sz="4" w:space="0" w:color="auto"/>
            </w:tcBorders>
            <w:shd w:val="clear" w:color="auto" w:fill="31869B"/>
            <w:vAlign w:val="center"/>
            <w:hideMark/>
          </w:tcPr>
          <w:p w14:paraId="00EA3CB5" w14:textId="77777777" w:rsidR="004B7622" w:rsidRPr="00D953E8" w:rsidRDefault="004B7622" w:rsidP="00377989">
            <w:pPr>
              <w:jc w:val="center"/>
              <w:rPr>
                <w:rFonts w:ascii="Arial" w:eastAsia="Times New Roman" w:hAnsi="Arial" w:cs="Arial"/>
                <w:b/>
                <w:bCs/>
                <w:color w:val="FFFFFF"/>
                <w:sz w:val="18"/>
                <w:szCs w:val="18"/>
                <w:lang w:eastAsia="sl-SI"/>
              </w:rPr>
            </w:pPr>
            <w:r w:rsidRPr="00D953E8">
              <w:rPr>
                <w:rFonts w:ascii="Arial" w:eastAsia="Times New Roman" w:hAnsi="Arial" w:cs="Arial"/>
                <w:b/>
                <w:bCs/>
                <w:color w:val="FFFFFF"/>
                <w:sz w:val="18"/>
                <w:szCs w:val="18"/>
                <w:lang w:eastAsia="sl-SI"/>
              </w:rPr>
              <w:t> </w:t>
            </w:r>
          </w:p>
        </w:tc>
        <w:tc>
          <w:tcPr>
            <w:tcW w:w="1960" w:type="dxa"/>
            <w:gridSpan w:val="2"/>
            <w:tcBorders>
              <w:top w:val="single" w:sz="4" w:space="0" w:color="auto"/>
              <w:left w:val="nil"/>
              <w:bottom w:val="single" w:sz="4" w:space="0" w:color="auto"/>
              <w:right w:val="single" w:sz="4" w:space="0" w:color="auto"/>
            </w:tcBorders>
            <w:shd w:val="clear" w:color="auto" w:fill="31869B"/>
            <w:vAlign w:val="center"/>
            <w:hideMark/>
          </w:tcPr>
          <w:p w14:paraId="35279C89" w14:textId="77777777" w:rsidR="004B7622" w:rsidRPr="00D953E8" w:rsidRDefault="004B7622" w:rsidP="00377989">
            <w:pPr>
              <w:jc w:val="center"/>
              <w:rPr>
                <w:rFonts w:ascii="Arial" w:eastAsia="Times New Roman" w:hAnsi="Arial" w:cs="Arial"/>
                <w:b/>
                <w:bCs/>
                <w:color w:val="FFFFFF"/>
                <w:sz w:val="18"/>
                <w:szCs w:val="18"/>
                <w:lang w:eastAsia="sl-SI"/>
              </w:rPr>
            </w:pPr>
            <w:r w:rsidRPr="00D953E8">
              <w:rPr>
                <w:rFonts w:ascii="Arial" w:eastAsia="Times New Roman" w:hAnsi="Arial" w:cs="Arial"/>
                <w:b/>
                <w:bCs/>
                <w:color w:val="FFFFFF"/>
                <w:sz w:val="18"/>
                <w:szCs w:val="18"/>
                <w:lang w:eastAsia="sl-SI"/>
              </w:rPr>
              <w:t>2020</w:t>
            </w:r>
          </w:p>
        </w:tc>
        <w:tc>
          <w:tcPr>
            <w:tcW w:w="1960" w:type="dxa"/>
            <w:gridSpan w:val="2"/>
            <w:tcBorders>
              <w:top w:val="single" w:sz="4" w:space="0" w:color="auto"/>
              <w:left w:val="nil"/>
              <w:bottom w:val="single" w:sz="4" w:space="0" w:color="auto"/>
              <w:right w:val="single" w:sz="4" w:space="0" w:color="auto"/>
            </w:tcBorders>
            <w:shd w:val="clear" w:color="auto" w:fill="31869B"/>
            <w:noWrap/>
            <w:vAlign w:val="center"/>
            <w:hideMark/>
          </w:tcPr>
          <w:p w14:paraId="4BACF0C3" w14:textId="77777777" w:rsidR="004B7622" w:rsidRPr="00D953E8" w:rsidRDefault="004B7622" w:rsidP="00377989">
            <w:pPr>
              <w:jc w:val="center"/>
              <w:rPr>
                <w:rFonts w:ascii="Arial" w:eastAsia="Times New Roman" w:hAnsi="Arial" w:cs="Arial"/>
                <w:b/>
                <w:bCs/>
                <w:color w:val="FFFFFF"/>
                <w:sz w:val="18"/>
                <w:szCs w:val="18"/>
                <w:lang w:eastAsia="sl-SI"/>
              </w:rPr>
            </w:pPr>
            <w:r w:rsidRPr="00D953E8">
              <w:rPr>
                <w:rFonts w:ascii="Arial" w:eastAsia="Times New Roman" w:hAnsi="Arial" w:cs="Arial"/>
                <w:b/>
                <w:bCs/>
                <w:color w:val="FFFFFF"/>
                <w:sz w:val="18"/>
                <w:szCs w:val="18"/>
                <w:lang w:eastAsia="sl-SI"/>
              </w:rPr>
              <w:t>2021</w:t>
            </w:r>
          </w:p>
        </w:tc>
        <w:tc>
          <w:tcPr>
            <w:tcW w:w="2360" w:type="dxa"/>
            <w:gridSpan w:val="2"/>
            <w:tcBorders>
              <w:top w:val="single" w:sz="4" w:space="0" w:color="auto"/>
              <w:left w:val="nil"/>
              <w:bottom w:val="single" w:sz="4" w:space="0" w:color="auto"/>
              <w:right w:val="single" w:sz="4" w:space="0" w:color="auto"/>
            </w:tcBorders>
            <w:shd w:val="clear" w:color="auto" w:fill="31869B"/>
            <w:vAlign w:val="center"/>
            <w:hideMark/>
          </w:tcPr>
          <w:p w14:paraId="449D48A3" w14:textId="77777777" w:rsidR="004B7622" w:rsidRPr="00D953E8" w:rsidRDefault="004B7622" w:rsidP="00377989">
            <w:pPr>
              <w:jc w:val="center"/>
              <w:rPr>
                <w:rFonts w:ascii="Arial" w:eastAsia="Times New Roman" w:hAnsi="Arial" w:cs="Arial"/>
                <w:b/>
                <w:bCs/>
                <w:color w:val="FFFFFF"/>
                <w:sz w:val="18"/>
                <w:szCs w:val="18"/>
                <w:lang w:eastAsia="sl-SI"/>
              </w:rPr>
            </w:pPr>
            <w:r w:rsidRPr="00D953E8">
              <w:rPr>
                <w:rFonts w:ascii="Arial" w:eastAsia="Times New Roman" w:hAnsi="Arial" w:cs="Arial"/>
                <w:b/>
                <w:bCs/>
                <w:color w:val="FFFFFF"/>
                <w:sz w:val="18"/>
                <w:szCs w:val="18"/>
                <w:lang w:eastAsia="sl-SI"/>
              </w:rPr>
              <w:t>Indeks 2021/202</w:t>
            </w:r>
            <w:r>
              <w:rPr>
                <w:rFonts w:ascii="Arial" w:eastAsia="Times New Roman" w:hAnsi="Arial" w:cs="Arial"/>
                <w:b/>
                <w:bCs/>
                <w:color w:val="FFFFFF"/>
                <w:sz w:val="18"/>
                <w:szCs w:val="18"/>
                <w:lang w:eastAsia="sl-SI"/>
              </w:rPr>
              <w:t>0</w:t>
            </w:r>
          </w:p>
        </w:tc>
      </w:tr>
      <w:tr w:rsidR="004B7622" w14:paraId="3F1ED86E" w14:textId="77777777" w:rsidTr="00377989">
        <w:trPr>
          <w:trHeight w:val="5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39AFBC" w14:textId="77777777" w:rsidR="004B7622" w:rsidRPr="00D953E8" w:rsidRDefault="004B7622" w:rsidP="00377989">
            <w:pPr>
              <w:rPr>
                <w:rFonts w:ascii="Arial" w:eastAsia="Times New Roman" w:hAnsi="Arial" w:cs="Arial"/>
                <w:b/>
                <w:bCs/>
                <w:color w:val="FFFFFF"/>
                <w:sz w:val="18"/>
                <w:szCs w:val="18"/>
                <w:lang w:eastAsia="sl-SI"/>
              </w:rPr>
            </w:pPr>
          </w:p>
        </w:tc>
        <w:tc>
          <w:tcPr>
            <w:tcW w:w="1840" w:type="dxa"/>
            <w:tcBorders>
              <w:top w:val="nil"/>
              <w:left w:val="nil"/>
              <w:bottom w:val="single" w:sz="4" w:space="0" w:color="auto"/>
              <w:right w:val="single" w:sz="4" w:space="0" w:color="auto"/>
            </w:tcBorders>
            <w:shd w:val="clear" w:color="auto" w:fill="31869B"/>
            <w:vAlign w:val="center"/>
            <w:hideMark/>
          </w:tcPr>
          <w:p w14:paraId="24179611" w14:textId="77777777" w:rsidR="004B7622" w:rsidRPr="00D953E8" w:rsidRDefault="004B7622" w:rsidP="00377989">
            <w:pPr>
              <w:jc w:val="center"/>
              <w:rPr>
                <w:rFonts w:ascii="Arial" w:eastAsia="Times New Roman" w:hAnsi="Arial" w:cs="Arial"/>
                <w:b/>
                <w:bCs/>
                <w:color w:val="FFFFFF"/>
                <w:sz w:val="18"/>
                <w:szCs w:val="18"/>
                <w:lang w:eastAsia="sl-SI"/>
              </w:rPr>
            </w:pPr>
            <w:r w:rsidRPr="00D953E8">
              <w:rPr>
                <w:rFonts w:ascii="Arial" w:eastAsia="Times New Roman" w:hAnsi="Arial" w:cs="Arial"/>
                <w:b/>
                <w:bCs/>
                <w:color w:val="FFFFFF"/>
                <w:sz w:val="18"/>
                <w:szCs w:val="18"/>
                <w:lang w:eastAsia="sl-SI"/>
              </w:rPr>
              <w:t>Število predlogov / prejeta plačila</w:t>
            </w:r>
          </w:p>
        </w:tc>
        <w:tc>
          <w:tcPr>
            <w:tcW w:w="980" w:type="dxa"/>
            <w:tcBorders>
              <w:top w:val="nil"/>
              <w:left w:val="nil"/>
              <w:bottom w:val="single" w:sz="4" w:space="0" w:color="auto"/>
              <w:right w:val="single" w:sz="4" w:space="0" w:color="auto"/>
            </w:tcBorders>
            <w:shd w:val="clear" w:color="auto" w:fill="31869B"/>
            <w:vAlign w:val="center"/>
            <w:hideMark/>
          </w:tcPr>
          <w:p w14:paraId="37E4CAB1" w14:textId="77777777" w:rsidR="004B7622" w:rsidRPr="00D953E8" w:rsidRDefault="004B7622" w:rsidP="00377989">
            <w:pPr>
              <w:jc w:val="center"/>
              <w:rPr>
                <w:rFonts w:ascii="Arial" w:eastAsia="Times New Roman" w:hAnsi="Arial" w:cs="Arial"/>
                <w:b/>
                <w:bCs/>
                <w:color w:val="FFFFFF"/>
                <w:sz w:val="18"/>
                <w:szCs w:val="18"/>
                <w:lang w:eastAsia="sl-SI"/>
              </w:rPr>
            </w:pPr>
            <w:r w:rsidRPr="00D953E8">
              <w:rPr>
                <w:rFonts w:ascii="Arial" w:eastAsia="Times New Roman" w:hAnsi="Arial" w:cs="Arial"/>
                <w:b/>
                <w:bCs/>
                <w:color w:val="FFFFFF"/>
                <w:sz w:val="18"/>
                <w:szCs w:val="18"/>
                <w:lang w:eastAsia="sl-SI"/>
              </w:rPr>
              <w:t>Število</w:t>
            </w:r>
          </w:p>
        </w:tc>
        <w:tc>
          <w:tcPr>
            <w:tcW w:w="980" w:type="dxa"/>
            <w:tcBorders>
              <w:top w:val="nil"/>
              <w:left w:val="nil"/>
              <w:bottom w:val="single" w:sz="4" w:space="0" w:color="auto"/>
              <w:right w:val="single" w:sz="4" w:space="0" w:color="auto"/>
            </w:tcBorders>
            <w:shd w:val="clear" w:color="auto" w:fill="31869B"/>
            <w:vAlign w:val="center"/>
            <w:hideMark/>
          </w:tcPr>
          <w:p w14:paraId="5F40AAD6" w14:textId="77777777" w:rsidR="004B7622" w:rsidRPr="00D953E8" w:rsidRDefault="004B7622" w:rsidP="00377989">
            <w:pPr>
              <w:jc w:val="center"/>
              <w:rPr>
                <w:rFonts w:ascii="Arial" w:eastAsia="Times New Roman" w:hAnsi="Arial" w:cs="Arial"/>
                <w:b/>
                <w:bCs/>
                <w:color w:val="FFFFFF"/>
                <w:sz w:val="18"/>
                <w:szCs w:val="18"/>
                <w:lang w:eastAsia="sl-SI"/>
              </w:rPr>
            </w:pPr>
            <w:r w:rsidRPr="00D953E8">
              <w:rPr>
                <w:rFonts w:ascii="Arial" w:eastAsia="Times New Roman" w:hAnsi="Arial" w:cs="Arial"/>
                <w:b/>
                <w:bCs/>
                <w:color w:val="FFFFFF"/>
                <w:sz w:val="18"/>
                <w:szCs w:val="18"/>
                <w:lang w:eastAsia="sl-SI"/>
              </w:rPr>
              <w:t>Znesek v evrih</w:t>
            </w:r>
          </w:p>
        </w:tc>
        <w:tc>
          <w:tcPr>
            <w:tcW w:w="980" w:type="dxa"/>
            <w:tcBorders>
              <w:top w:val="nil"/>
              <w:left w:val="nil"/>
              <w:bottom w:val="single" w:sz="4" w:space="0" w:color="auto"/>
              <w:right w:val="single" w:sz="4" w:space="0" w:color="auto"/>
            </w:tcBorders>
            <w:shd w:val="clear" w:color="auto" w:fill="31869B"/>
            <w:vAlign w:val="center"/>
            <w:hideMark/>
          </w:tcPr>
          <w:p w14:paraId="4EE6B8F8" w14:textId="77777777" w:rsidR="004B7622" w:rsidRPr="00D953E8" w:rsidRDefault="004B7622" w:rsidP="00377989">
            <w:pPr>
              <w:jc w:val="center"/>
              <w:rPr>
                <w:rFonts w:ascii="Arial" w:eastAsia="Times New Roman" w:hAnsi="Arial" w:cs="Arial"/>
                <w:b/>
                <w:bCs/>
                <w:color w:val="FFFFFF"/>
                <w:sz w:val="18"/>
                <w:szCs w:val="18"/>
                <w:lang w:eastAsia="sl-SI"/>
              </w:rPr>
            </w:pPr>
            <w:r w:rsidRPr="00D953E8">
              <w:rPr>
                <w:rFonts w:ascii="Arial" w:eastAsia="Times New Roman" w:hAnsi="Arial" w:cs="Arial"/>
                <w:b/>
                <w:bCs/>
                <w:color w:val="FFFFFF"/>
                <w:sz w:val="18"/>
                <w:szCs w:val="18"/>
                <w:lang w:eastAsia="sl-SI"/>
              </w:rPr>
              <w:t>Število</w:t>
            </w:r>
          </w:p>
        </w:tc>
        <w:tc>
          <w:tcPr>
            <w:tcW w:w="980" w:type="dxa"/>
            <w:tcBorders>
              <w:top w:val="nil"/>
              <w:left w:val="nil"/>
              <w:bottom w:val="single" w:sz="4" w:space="0" w:color="auto"/>
              <w:right w:val="single" w:sz="4" w:space="0" w:color="auto"/>
            </w:tcBorders>
            <w:shd w:val="clear" w:color="auto" w:fill="31869B"/>
            <w:vAlign w:val="center"/>
            <w:hideMark/>
          </w:tcPr>
          <w:p w14:paraId="0452EB26" w14:textId="77777777" w:rsidR="004B7622" w:rsidRPr="00D953E8" w:rsidRDefault="004B7622" w:rsidP="00377989">
            <w:pPr>
              <w:jc w:val="center"/>
              <w:rPr>
                <w:rFonts w:ascii="Arial" w:eastAsia="Times New Roman" w:hAnsi="Arial" w:cs="Arial"/>
                <w:b/>
                <w:bCs/>
                <w:color w:val="FFFFFF"/>
                <w:sz w:val="18"/>
                <w:szCs w:val="18"/>
                <w:lang w:eastAsia="sl-SI"/>
              </w:rPr>
            </w:pPr>
            <w:r w:rsidRPr="00D953E8">
              <w:rPr>
                <w:rFonts w:ascii="Arial" w:eastAsia="Times New Roman" w:hAnsi="Arial" w:cs="Arial"/>
                <w:b/>
                <w:bCs/>
                <w:color w:val="FFFFFF"/>
                <w:sz w:val="18"/>
                <w:szCs w:val="18"/>
                <w:lang w:eastAsia="sl-SI"/>
              </w:rPr>
              <w:t>Znesek v evrih</w:t>
            </w:r>
          </w:p>
        </w:tc>
        <w:tc>
          <w:tcPr>
            <w:tcW w:w="1140" w:type="dxa"/>
            <w:tcBorders>
              <w:top w:val="nil"/>
              <w:left w:val="nil"/>
              <w:bottom w:val="single" w:sz="4" w:space="0" w:color="auto"/>
              <w:right w:val="single" w:sz="4" w:space="0" w:color="auto"/>
            </w:tcBorders>
            <w:shd w:val="clear" w:color="auto" w:fill="31869B"/>
            <w:vAlign w:val="center"/>
            <w:hideMark/>
          </w:tcPr>
          <w:p w14:paraId="7C13B73D" w14:textId="77777777" w:rsidR="004B7622" w:rsidRPr="00D953E8" w:rsidRDefault="004B7622" w:rsidP="00377989">
            <w:pPr>
              <w:jc w:val="center"/>
              <w:rPr>
                <w:rFonts w:ascii="Arial" w:eastAsia="Times New Roman" w:hAnsi="Arial" w:cs="Arial"/>
                <w:b/>
                <w:bCs/>
                <w:color w:val="FFFFFF"/>
                <w:sz w:val="18"/>
                <w:szCs w:val="18"/>
                <w:lang w:eastAsia="sl-SI"/>
              </w:rPr>
            </w:pPr>
            <w:r w:rsidRPr="00D953E8">
              <w:rPr>
                <w:rFonts w:ascii="Arial" w:eastAsia="Times New Roman" w:hAnsi="Arial" w:cs="Arial"/>
                <w:b/>
                <w:bCs/>
                <w:color w:val="FFFFFF"/>
                <w:sz w:val="18"/>
                <w:szCs w:val="18"/>
                <w:lang w:eastAsia="sl-SI"/>
              </w:rPr>
              <w:t>Število</w:t>
            </w:r>
          </w:p>
        </w:tc>
        <w:tc>
          <w:tcPr>
            <w:tcW w:w="1220" w:type="dxa"/>
            <w:tcBorders>
              <w:top w:val="nil"/>
              <w:left w:val="nil"/>
              <w:bottom w:val="single" w:sz="4" w:space="0" w:color="auto"/>
              <w:right w:val="single" w:sz="4" w:space="0" w:color="auto"/>
            </w:tcBorders>
            <w:shd w:val="clear" w:color="auto" w:fill="31869B"/>
            <w:vAlign w:val="center"/>
            <w:hideMark/>
          </w:tcPr>
          <w:p w14:paraId="1B69A655" w14:textId="77777777" w:rsidR="004B7622" w:rsidRPr="00D953E8" w:rsidRDefault="004B7622" w:rsidP="00377989">
            <w:pPr>
              <w:jc w:val="center"/>
              <w:rPr>
                <w:rFonts w:ascii="Arial" w:eastAsia="Times New Roman" w:hAnsi="Arial" w:cs="Arial"/>
                <w:b/>
                <w:bCs/>
                <w:color w:val="FFFFFF"/>
                <w:sz w:val="18"/>
                <w:szCs w:val="18"/>
                <w:lang w:eastAsia="sl-SI"/>
              </w:rPr>
            </w:pPr>
            <w:r w:rsidRPr="00D953E8">
              <w:rPr>
                <w:rFonts w:ascii="Arial" w:eastAsia="Times New Roman" w:hAnsi="Arial" w:cs="Arial"/>
                <w:b/>
                <w:bCs/>
                <w:color w:val="FFFFFF"/>
                <w:sz w:val="18"/>
                <w:szCs w:val="18"/>
                <w:lang w:eastAsia="sl-SI"/>
              </w:rPr>
              <w:t xml:space="preserve">Znesek </w:t>
            </w:r>
          </w:p>
        </w:tc>
      </w:tr>
      <w:tr w:rsidR="004B7622" w14:paraId="351A448E" w14:textId="77777777" w:rsidTr="00377989">
        <w:trPr>
          <w:trHeight w:val="528"/>
        </w:trPr>
        <w:tc>
          <w:tcPr>
            <w:tcW w:w="1100" w:type="dxa"/>
            <w:vMerge w:val="restart"/>
            <w:tcBorders>
              <w:top w:val="nil"/>
              <w:left w:val="single" w:sz="4" w:space="0" w:color="auto"/>
              <w:bottom w:val="single" w:sz="4" w:space="0" w:color="auto"/>
              <w:right w:val="single" w:sz="4" w:space="0" w:color="auto"/>
            </w:tcBorders>
            <w:vAlign w:val="center"/>
            <w:hideMark/>
          </w:tcPr>
          <w:p w14:paraId="1D61CDBA" w14:textId="77777777" w:rsidR="004B7622" w:rsidRPr="00D953E8" w:rsidRDefault="004B7622" w:rsidP="00377989">
            <w:pPr>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 xml:space="preserve">ZPIZ                       </w:t>
            </w:r>
          </w:p>
        </w:tc>
        <w:tc>
          <w:tcPr>
            <w:tcW w:w="1840" w:type="dxa"/>
            <w:tcBorders>
              <w:top w:val="nil"/>
              <w:left w:val="nil"/>
              <w:bottom w:val="single" w:sz="4" w:space="0" w:color="auto"/>
              <w:right w:val="single" w:sz="4" w:space="0" w:color="auto"/>
            </w:tcBorders>
            <w:vAlign w:val="center"/>
            <w:hideMark/>
          </w:tcPr>
          <w:p w14:paraId="4C1E2346" w14:textId="77777777" w:rsidR="004B7622" w:rsidRPr="00D953E8" w:rsidRDefault="004B7622" w:rsidP="00377989">
            <w:pPr>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Posredovani predlogi</w:t>
            </w:r>
          </w:p>
        </w:tc>
        <w:tc>
          <w:tcPr>
            <w:tcW w:w="980" w:type="dxa"/>
            <w:tcBorders>
              <w:top w:val="nil"/>
              <w:left w:val="nil"/>
              <w:bottom w:val="single" w:sz="4" w:space="0" w:color="auto"/>
              <w:right w:val="single" w:sz="4" w:space="0" w:color="auto"/>
            </w:tcBorders>
            <w:noWrap/>
            <w:vAlign w:val="center"/>
            <w:hideMark/>
          </w:tcPr>
          <w:p w14:paraId="3B3C11F1" w14:textId="77777777" w:rsidR="004B7622" w:rsidRPr="00D953E8" w:rsidRDefault="004B7622" w:rsidP="00377989">
            <w:pPr>
              <w:jc w:val="right"/>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433</w:t>
            </w:r>
          </w:p>
        </w:tc>
        <w:tc>
          <w:tcPr>
            <w:tcW w:w="980" w:type="dxa"/>
            <w:tcBorders>
              <w:top w:val="nil"/>
              <w:left w:val="nil"/>
              <w:bottom w:val="single" w:sz="4" w:space="0" w:color="auto"/>
              <w:right w:val="single" w:sz="4" w:space="0" w:color="auto"/>
            </w:tcBorders>
            <w:shd w:val="clear" w:color="auto" w:fill="DAEEF3"/>
            <w:noWrap/>
            <w:vAlign w:val="center"/>
            <w:hideMark/>
          </w:tcPr>
          <w:p w14:paraId="0A891868" w14:textId="77777777" w:rsidR="004B7622" w:rsidRPr="00D953E8" w:rsidRDefault="004B7622" w:rsidP="00377989">
            <w:pPr>
              <w:jc w:val="right"/>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3.702.906</w:t>
            </w:r>
          </w:p>
        </w:tc>
        <w:tc>
          <w:tcPr>
            <w:tcW w:w="980" w:type="dxa"/>
            <w:tcBorders>
              <w:top w:val="nil"/>
              <w:left w:val="nil"/>
              <w:bottom w:val="single" w:sz="4" w:space="0" w:color="auto"/>
              <w:right w:val="single" w:sz="4" w:space="0" w:color="auto"/>
            </w:tcBorders>
            <w:noWrap/>
            <w:vAlign w:val="center"/>
            <w:hideMark/>
          </w:tcPr>
          <w:p w14:paraId="4879F6B1" w14:textId="77777777" w:rsidR="004B7622" w:rsidRPr="00D953E8" w:rsidRDefault="004B7622" w:rsidP="00377989">
            <w:pPr>
              <w:jc w:val="right"/>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295</w:t>
            </w:r>
          </w:p>
        </w:tc>
        <w:tc>
          <w:tcPr>
            <w:tcW w:w="980" w:type="dxa"/>
            <w:tcBorders>
              <w:top w:val="nil"/>
              <w:left w:val="nil"/>
              <w:bottom w:val="single" w:sz="4" w:space="0" w:color="auto"/>
              <w:right w:val="single" w:sz="4" w:space="0" w:color="auto"/>
            </w:tcBorders>
            <w:shd w:val="clear" w:color="auto" w:fill="DAEEF3"/>
            <w:noWrap/>
            <w:vAlign w:val="center"/>
            <w:hideMark/>
          </w:tcPr>
          <w:p w14:paraId="09F9C4E3" w14:textId="77777777" w:rsidR="004B7622" w:rsidRPr="00D953E8" w:rsidRDefault="004B7622" w:rsidP="00377989">
            <w:pPr>
              <w:jc w:val="right"/>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2.566.646</w:t>
            </w:r>
          </w:p>
        </w:tc>
        <w:tc>
          <w:tcPr>
            <w:tcW w:w="1140" w:type="dxa"/>
            <w:tcBorders>
              <w:top w:val="nil"/>
              <w:left w:val="nil"/>
              <w:bottom w:val="single" w:sz="4" w:space="0" w:color="auto"/>
              <w:right w:val="single" w:sz="4" w:space="0" w:color="auto"/>
            </w:tcBorders>
            <w:noWrap/>
            <w:vAlign w:val="center"/>
            <w:hideMark/>
          </w:tcPr>
          <w:p w14:paraId="4E02F11C" w14:textId="77777777" w:rsidR="004B7622" w:rsidRPr="00D953E8" w:rsidRDefault="004B7622" w:rsidP="00377989">
            <w:pPr>
              <w:jc w:val="right"/>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68,13</w:t>
            </w:r>
          </w:p>
        </w:tc>
        <w:tc>
          <w:tcPr>
            <w:tcW w:w="1220" w:type="dxa"/>
            <w:tcBorders>
              <w:top w:val="nil"/>
              <w:left w:val="nil"/>
              <w:bottom w:val="single" w:sz="4" w:space="0" w:color="auto"/>
              <w:right w:val="single" w:sz="4" w:space="0" w:color="auto"/>
            </w:tcBorders>
            <w:noWrap/>
            <w:vAlign w:val="center"/>
            <w:hideMark/>
          </w:tcPr>
          <w:p w14:paraId="61E8A54C" w14:textId="77777777" w:rsidR="004B7622" w:rsidRPr="00D953E8" w:rsidRDefault="004B7622" w:rsidP="00377989">
            <w:pPr>
              <w:jc w:val="right"/>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69,31</w:t>
            </w:r>
          </w:p>
        </w:tc>
      </w:tr>
      <w:tr w:rsidR="004B7622" w14:paraId="5B87A52B" w14:textId="77777777" w:rsidTr="00377989">
        <w:trPr>
          <w:trHeight w:val="288"/>
        </w:trPr>
        <w:tc>
          <w:tcPr>
            <w:tcW w:w="0" w:type="auto"/>
            <w:vMerge/>
            <w:tcBorders>
              <w:top w:val="nil"/>
              <w:left w:val="single" w:sz="4" w:space="0" w:color="auto"/>
              <w:bottom w:val="single" w:sz="4" w:space="0" w:color="auto"/>
              <w:right w:val="single" w:sz="4" w:space="0" w:color="auto"/>
            </w:tcBorders>
            <w:vAlign w:val="center"/>
            <w:hideMark/>
          </w:tcPr>
          <w:p w14:paraId="4BC4BD4C" w14:textId="77777777" w:rsidR="004B7622" w:rsidRPr="00D953E8" w:rsidRDefault="004B7622" w:rsidP="00377989">
            <w:pPr>
              <w:rPr>
                <w:rFonts w:ascii="Arial" w:eastAsia="Times New Roman" w:hAnsi="Arial" w:cs="Arial"/>
                <w:color w:val="000000"/>
                <w:sz w:val="18"/>
                <w:szCs w:val="18"/>
                <w:lang w:eastAsia="sl-SI"/>
              </w:rPr>
            </w:pPr>
          </w:p>
        </w:tc>
        <w:tc>
          <w:tcPr>
            <w:tcW w:w="1840" w:type="dxa"/>
            <w:tcBorders>
              <w:top w:val="nil"/>
              <w:left w:val="nil"/>
              <w:bottom w:val="single" w:sz="4" w:space="0" w:color="auto"/>
              <w:right w:val="single" w:sz="4" w:space="0" w:color="auto"/>
            </w:tcBorders>
            <w:vAlign w:val="center"/>
            <w:hideMark/>
          </w:tcPr>
          <w:p w14:paraId="559EF1E9" w14:textId="77777777" w:rsidR="004B7622" w:rsidRPr="00D953E8" w:rsidRDefault="004B7622" w:rsidP="00377989">
            <w:pPr>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Prejeta plačila</w:t>
            </w:r>
          </w:p>
        </w:tc>
        <w:tc>
          <w:tcPr>
            <w:tcW w:w="980" w:type="dxa"/>
            <w:tcBorders>
              <w:top w:val="nil"/>
              <w:left w:val="nil"/>
              <w:bottom w:val="single" w:sz="4" w:space="0" w:color="auto"/>
              <w:right w:val="single" w:sz="4" w:space="0" w:color="auto"/>
            </w:tcBorders>
            <w:noWrap/>
            <w:vAlign w:val="center"/>
            <w:hideMark/>
          </w:tcPr>
          <w:p w14:paraId="4DB367A9" w14:textId="77777777" w:rsidR="004B7622" w:rsidRPr="00D953E8" w:rsidRDefault="004B7622" w:rsidP="00377989">
            <w:pPr>
              <w:jc w:val="right"/>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w:t>
            </w:r>
          </w:p>
        </w:tc>
        <w:tc>
          <w:tcPr>
            <w:tcW w:w="980" w:type="dxa"/>
            <w:tcBorders>
              <w:top w:val="nil"/>
              <w:left w:val="nil"/>
              <w:bottom w:val="single" w:sz="4" w:space="0" w:color="auto"/>
              <w:right w:val="single" w:sz="4" w:space="0" w:color="auto"/>
            </w:tcBorders>
            <w:shd w:val="clear" w:color="auto" w:fill="DAEEF3"/>
            <w:noWrap/>
            <w:vAlign w:val="center"/>
            <w:hideMark/>
          </w:tcPr>
          <w:p w14:paraId="769CAD6F" w14:textId="77777777" w:rsidR="004B7622" w:rsidRPr="00D953E8" w:rsidRDefault="004B7622" w:rsidP="00377989">
            <w:pPr>
              <w:jc w:val="right"/>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29.680</w:t>
            </w:r>
          </w:p>
        </w:tc>
        <w:tc>
          <w:tcPr>
            <w:tcW w:w="980" w:type="dxa"/>
            <w:tcBorders>
              <w:top w:val="nil"/>
              <w:left w:val="nil"/>
              <w:bottom w:val="single" w:sz="4" w:space="0" w:color="auto"/>
              <w:right w:val="single" w:sz="4" w:space="0" w:color="auto"/>
            </w:tcBorders>
            <w:noWrap/>
            <w:vAlign w:val="center"/>
            <w:hideMark/>
          </w:tcPr>
          <w:p w14:paraId="73B682DE" w14:textId="77777777" w:rsidR="004B7622" w:rsidRPr="00D953E8" w:rsidRDefault="004B7622" w:rsidP="00377989">
            <w:pPr>
              <w:jc w:val="right"/>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w:t>
            </w:r>
          </w:p>
        </w:tc>
        <w:tc>
          <w:tcPr>
            <w:tcW w:w="980" w:type="dxa"/>
            <w:tcBorders>
              <w:top w:val="nil"/>
              <w:left w:val="nil"/>
              <w:bottom w:val="single" w:sz="4" w:space="0" w:color="auto"/>
              <w:right w:val="single" w:sz="4" w:space="0" w:color="auto"/>
            </w:tcBorders>
            <w:shd w:val="clear" w:color="auto" w:fill="DAEEF3"/>
            <w:noWrap/>
            <w:vAlign w:val="center"/>
            <w:hideMark/>
          </w:tcPr>
          <w:p w14:paraId="3BC76F1E" w14:textId="77777777" w:rsidR="004B7622" w:rsidRPr="00D953E8" w:rsidRDefault="004B7622" w:rsidP="00377989">
            <w:pPr>
              <w:jc w:val="right"/>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87.550</w:t>
            </w:r>
          </w:p>
        </w:tc>
        <w:tc>
          <w:tcPr>
            <w:tcW w:w="1140" w:type="dxa"/>
            <w:tcBorders>
              <w:top w:val="nil"/>
              <w:left w:val="nil"/>
              <w:bottom w:val="single" w:sz="4" w:space="0" w:color="auto"/>
              <w:right w:val="single" w:sz="4" w:space="0" w:color="auto"/>
            </w:tcBorders>
            <w:noWrap/>
            <w:vAlign w:val="center"/>
            <w:hideMark/>
          </w:tcPr>
          <w:p w14:paraId="6CFE9E19" w14:textId="77777777" w:rsidR="004B7622" w:rsidRPr="00D953E8" w:rsidRDefault="004B7622" w:rsidP="00377989">
            <w:pPr>
              <w:jc w:val="right"/>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w:t>
            </w:r>
          </w:p>
        </w:tc>
        <w:tc>
          <w:tcPr>
            <w:tcW w:w="1220" w:type="dxa"/>
            <w:tcBorders>
              <w:top w:val="nil"/>
              <w:left w:val="nil"/>
              <w:bottom w:val="single" w:sz="4" w:space="0" w:color="auto"/>
              <w:right w:val="single" w:sz="4" w:space="0" w:color="auto"/>
            </w:tcBorders>
            <w:noWrap/>
            <w:vAlign w:val="center"/>
            <w:hideMark/>
          </w:tcPr>
          <w:p w14:paraId="7F041ADE" w14:textId="77777777" w:rsidR="004B7622" w:rsidRPr="00D953E8" w:rsidRDefault="004B7622" w:rsidP="00377989">
            <w:pPr>
              <w:jc w:val="right"/>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w:t>
            </w:r>
          </w:p>
        </w:tc>
      </w:tr>
      <w:tr w:rsidR="004B7622" w14:paraId="4BBF0D4E" w14:textId="77777777" w:rsidTr="00377989">
        <w:trPr>
          <w:trHeight w:val="528"/>
        </w:trPr>
        <w:tc>
          <w:tcPr>
            <w:tcW w:w="1100" w:type="dxa"/>
            <w:vMerge w:val="restart"/>
            <w:tcBorders>
              <w:top w:val="nil"/>
              <w:left w:val="single" w:sz="4" w:space="0" w:color="auto"/>
              <w:bottom w:val="single" w:sz="4" w:space="0" w:color="auto"/>
              <w:right w:val="single" w:sz="4" w:space="0" w:color="auto"/>
            </w:tcBorders>
            <w:vAlign w:val="center"/>
            <w:hideMark/>
          </w:tcPr>
          <w:p w14:paraId="7DD83976" w14:textId="77777777" w:rsidR="004B7622" w:rsidRPr="00D953E8" w:rsidRDefault="004B7622" w:rsidP="00377989">
            <w:pPr>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 xml:space="preserve">ZZZS                      </w:t>
            </w:r>
          </w:p>
        </w:tc>
        <w:tc>
          <w:tcPr>
            <w:tcW w:w="1840" w:type="dxa"/>
            <w:tcBorders>
              <w:top w:val="nil"/>
              <w:left w:val="nil"/>
              <w:bottom w:val="single" w:sz="4" w:space="0" w:color="auto"/>
              <w:right w:val="single" w:sz="4" w:space="0" w:color="auto"/>
            </w:tcBorders>
            <w:vAlign w:val="center"/>
            <w:hideMark/>
          </w:tcPr>
          <w:p w14:paraId="6B2151B6" w14:textId="77777777" w:rsidR="004B7622" w:rsidRPr="00D953E8" w:rsidRDefault="004B7622" w:rsidP="00377989">
            <w:pPr>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Posredovani predlogi</w:t>
            </w:r>
          </w:p>
        </w:tc>
        <w:tc>
          <w:tcPr>
            <w:tcW w:w="980" w:type="dxa"/>
            <w:tcBorders>
              <w:top w:val="nil"/>
              <w:left w:val="nil"/>
              <w:bottom w:val="single" w:sz="4" w:space="0" w:color="auto"/>
              <w:right w:val="single" w:sz="4" w:space="0" w:color="auto"/>
            </w:tcBorders>
            <w:noWrap/>
            <w:vAlign w:val="center"/>
            <w:hideMark/>
          </w:tcPr>
          <w:p w14:paraId="7848980B" w14:textId="77777777" w:rsidR="004B7622" w:rsidRPr="00D953E8" w:rsidRDefault="004B7622" w:rsidP="00377989">
            <w:pPr>
              <w:jc w:val="right"/>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356</w:t>
            </w:r>
          </w:p>
        </w:tc>
        <w:tc>
          <w:tcPr>
            <w:tcW w:w="980" w:type="dxa"/>
            <w:tcBorders>
              <w:top w:val="nil"/>
              <w:left w:val="nil"/>
              <w:bottom w:val="single" w:sz="4" w:space="0" w:color="auto"/>
              <w:right w:val="single" w:sz="4" w:space="0" w:color="auto"/>
            </w:tcBorders>
            <w:shd w:val="clear" w:color="auto" w:fill="DAEEF3"/>
            <w:noWrap/>
            <w:vAlign w:val="center"/>
            <w:hideMark/>
          </w:tcPr>
          <w:p w14:paraId="13FDD19D" w14:textId="77777777" w:rsidR="004B7622" w:rsidRPr="00D953E8" w:rsidRDefault="004B7622" w:rsidP="00377989">
            <w:pPr>
              <w:jc w:val="right"/>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1.786.804</w:t>
            </w:r>
          </w:p>
        </w:tc>
        <w:tc>
          <w:tcPr>
            <w:tcW w:w="980" w:type="dxa"/>
            <w:tcBorders>
              <w:top w:val="nil"/>
              <w:left w:val="nil"/>
              <w:bottom w:val="single" w:sz="4" w:space="0" w:color="auto"/>
              <w:right w:val="single" w:sz="4" w:space="0" w:color="auto"/>
            </w:tcBorders>
            <w:noWrap/>
            <w:vAlign w:val="center"/>
            <w:hideMark/>
          </w:tcPr>
          <w:p w14:paraId="0B5F3201" w14:textId="77777777" w:rsidR="004B7622" w:rsidRPr="00D953E8" w:rsidRDefault="004B7622" w:rsidP="00377989">
            <w:pPr>
              <w:jc w:val="right"/>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287</w:t>
            </w:r>
          </w:p>
        </w:tc>
        <w:tc>
          <w:tcPr>
            <w:tcW w:w="980" w:type="dxa"/>
            <w:tcBorders>
              <w:top w:val="nil"/>
              <w:left w:val="nil"/>
              <w:bottom w:val="single" w:sz="4" w:space="0" w:color="auto"/>
              <w:right w:val="single" w:sz="4" w:space="0" w:color="auto"/>
            </w:tcBorders>
            <w:shd w:val="clear" w:color="auto" w:fill="DAEEF3"/>
            <w:noWrap/>
            <w:vAlign w:val="center"/>
            <w:hideMark/>
          </w:tcPr>
          <w:p w14:paraId="5E0E0C28" w14:textId="77777777" w:rsidR="004B7622" w:rsidRPr="00D953E8" w:rsidRDefault="004B7622" w:rsidP="00377989">
            <w:pPr>
              <w:jc w:val="right"/>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1.489.018</w:t>
            </w:r>
          </w:p>
        </w:tc>
        <w:tc>
          <w:tcPr>
            <w:tcW w:w="1140" w:type="dxa"/>
            <w:tcBorders>
              <w:top w:val="nil"/>
              <w:left w:val="nil"/>
              <w:bottom w:val="single" w:sz="4" w:space="0" w:color="auto"/>
              <w:right w:val="single" w:sz="4" w:space="0" w:color="auto"/>
            </w:tcBorders>
            <w:noWrap/>
            <w:vAlign w:val="center"/>
            <w:hideMark/>
          </w:tcPr>
          <w:p w14:paraId="5BF5326C" w14:textId="77777777" w:rsidR="004B7622" w:rsidRPr="00D953E8" w:rsidRDefault="004B7622" w:rsidP="00377989">
            <w:pPr>
              <w:jc w:val="right"/>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80,62</w:t>
            </w:r>
          </w:p>
        </w:tc>
        <w:tc>
          <w:tcPr>
            <w:tcW w:w="1220" w:type="dxa"/>
            <w:tcBorders>
              <w:top w:val="nil"/>
              <w:left w:val="nil"/>
              <w:bottom w:val="single" w:sz="4" w:space="0" w:color="auto"/>
              <w:right w:val="single" w:sz="4" w:space="0" w:color="auto"/>
            </w:tcBorders>
            <w:noWrap/>
            <w:vAlign w:val="center"/>
            <w:hideMark/>
          </w:tcPr>
          <w:p w14:paraId="689C358B" w14:textId="77777777" w:rsidR="004B7622" w:rsidRPr="00D953E8" w:rsidRDefault="004B7622" w:rsidP="00377989">
            <w:pPr>
              <w:jc w:val="right"/>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83,33</w:t>
            </w:r>
          </w:p>
        </w:tc>
      </w:tr>
      <w:tr w:rsidR="004B7622" w14:paraId="7A2A7FFC" w14:textId="77777777" w:rsidTr="00377989">
        <w:trPr>
          <w:trHeight w:val="288"/>
        </w:trPr>
        <w:tc>
          <w:tcPr>
            <w:tcW w:w="0" w:type="auto"/>
            <w:vMerge/>
            <w:tcBorders>
              <w:top w:val="nil"/>
              <w:left w:val="single" w:sz="4" w:space="0" w:color="auto"/>
              <w:bottom w:val="single" w:sz="4" w:space="0" w:color="auto"/>
              <w:right w:val="single" w:sz="4" w:space="0" w:color="auto"/>
            </w:tcBorders>
            <w:vAlign w:val="center"/>
            <w:hideMark/>
          </w:tcPr>
          <w:p w14:paraId="7B6E542E" w14:textId="77777777" w:rsidR="004B7622" w:rsidRPr="00D953E8" w:rsidRDefault="004B7622" w:rsidP="00377989">
            <w:pPr>
              <w:rPr>
                <w:rFonts w:ascii="Arial" w:eastAsia="Times New Roman" w:hAnsi="Arial" w:cs="Arial"/>
                <w:color w:val="000000"/>
                <w:sz w:val="18"/>
                <w:szCs w:val="18"/>
                <w:lang w:eastAsia="sl-SI"/>
              </w:rPr>
            </w:pPr>
          </w:p>
        </w:tc>
        <w:tc>
          <w:tcPr>
            <w:tcW w:w="1840" w:type="dxa"/>
            <w:tcBorders>
              <w:top w:val="nil"/>
              <w:left w:val="nil"/>
              <w:bottom w:val="single" w:sz="4" w:space="0" w:color="auto"/>
              <w:right w:val="single" w:sz="4" w:space="0" w:color="auto"/>
            </w:tcBorders>
            <w:vAlign w:val="center"/>
            <w:hideMark/>
          </w:tcPr>
          <w:p w14:paraId="52A069A9" w14:textId="77777777" w:rsidR="004B7622" w:rsidRPr="00D953E8" w:rsidRDefault="004B7622" w:rsidP="00377989">
            <w:pPr>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Prejeta plačila</w:t>
            </w:r>
          </w:p>
        </w:tc>
        <w:tc>
          <w:tcPr>
            <w:tcW w:w="980" w:type="dxa"/>
            <w:tcBorders>
              <w:top w:val="nil"/>
              <w:left w:val="nil"/>
              <w:bottom w:val="single" w:sz="4" w:space="0" w:color="auto"/>
              <w:right w:val="single" w:sz="4" w:space="0" w:color="auto"/>
            </w:tcBorders>
            <w:noWrap/>
            <w:vAlign w:val="center"/>
            <w:hideMark/>
          </w:tcPr>
          <w:p w14:paraId="6F026975" w14:textId="77777777" w:rsidR="004B7622" w:rsidRPr="00D953E8" w:rsidRDefault="004B7622" w:rsidP="00377989">
            <w:pPr>
              <w:jc w:val="right"/>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w:t>
            </w:r>
          </w:p>
        </w:tc>
        <w:tc>
          <w:tcPr>
            <w:tcW w:w="980" w:type="dxa"/>
            <w:tcBorders>
              <w:top w:val="nil"/>
              <w:left w:val="nil"/>
              <w:bottom w:val="single" w:sz="4" w:space="0" w:color="auto"/>
              <w:right w:val="single" w:sz="4" w:space="0" w:color="auto"/>
            </w:tcBorders>
            <w:shd w:val="clear" w:color="auto" w:fill="DAEEF3"/>
            <w:noWrap/>
            <w:vAlign w:val="center"/>
            <w:hideMark/>
          </w:tcPr>
          <w:p w14:paraId="4A94B161" w14:textId="77777777" w:rsidR="004B7622" w:rsidRPr="00D953E8" w:rsidRDefault="004B7622" w:rsidP="00377989">
            <w:pPr>
              <w:jc w:val="right"/>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53.783</w:t>
            </w:r>
          </w:p>
        </w:tc>
        <w:tc>
          <w:tcPr>
            <w:tcW w:w="980" w:type="dxa"/>
            <w:tcBorders>
              <w:top w:val="nil"/>
              <w:left w:val="nil"/>
              <w:bottom w:val="single" w:sz="4" w:space="0" w:color="auto"/>
              <w:right w:val="single" w:sz="4" w:space="0" w:color="auto"/>
            </w:tcBorders>
            <w:noWrap/>
            <w:vAlign w:val="center"/>
            <w:hideMark/>
          </w:tcPr>
          <w:p w14:paraId="4565A417" w14:textId="77777777" w:rsidR="004B7622" w:rsidRPr="00D953E8" w:rsidRDefault="004B7622" w:rsidP="00377989">
            <w:pPr>
              <w:jc w:val="right"/>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w:t>
            </w:r>
          </w:p>
        </w:tc>
        <w:tc>
          <w:tcPr>
            <w:tcW w:w="980" w:type="dxa"/>
            <w:tcBorders>
              <w:top w:val="nil"/>
              <w:left w:val="nil"/>
              <w:bottom w:val="single" w:sz="4" w:space="0" w:color="auto"/>
              <w:right w:val="single" w:sz="4" w:space="0" w:color="auto"/>
            </w:tcBorders>
            <w:shd w:val="clear" w:color="auto" w:fill="DAEEF3"/>
            <w:noWrap/>
            <w:vAlign w:val="center"/>
            <w:hideMark/>
          </w:tcPr>
          <w:p w14:paraId="6754D5A1" w14:textId="77777777" w:rsidR="004B7622" w:rsidRPr="00D953E8" w:rsidRDefault="004B7622" w:rsidP="00377989">
            <w:pPr>
              <w:jc w:val="right"/>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69.074</w:t>
            </w:r>
          </w:p>
        </w:tc>
        <w:tc>
          <w:tcPr>
            <w:tcW w:w="1140" w:type="dxa"/>
            <w:tcBorders>
              <w:top w:val="nil"/>
              <w:left w:val="nil"/>
              <w:bottom w:val="single" w:sz="4" w:space="0" w:color="auto"/>
              <w:right w:val="single" w:sz="4" w:space="0" w:color="auto"/>
            </w:tcBorders>
            <w:noWrap/>
            <w:vAlign w:val="center"/>
            <w:hideMark/>
          </w:tcPr>
          <w:p w14:paraId="3C946212" w14:textId="77777777" w:rsidR="004B7622" w:rsidRPr="00D953E8" w:rsidRDefault="004B7622" w:rsidP="00377989">
            <w:pPr>
              <w:jc w:val="right"/>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w:t>
            </w:r>
          </w:p>
        </w:tc>
        <w:tc>
          <w:tcPr>
            <w:tcW w:w="1220" w:type="dxa"/>
            <w:tcBorders>
              <w:top w:val="nil"/>
              <w:left w:val="nil"/>
              <w:bottom w:val="single" w:sz="4" w:space="0" w:color="auto"/>
              <w:right w:val="single" w:sz="4" w:space="0" w:color="auto"/>
            </w:tcBorders>
            <w:noWrap/>
            <w:vAlign w:val="center"/>
            <w:hideMark/>
          </w:tcPr>
          <w:p w14:paraId="23832B8D" w14:textId="77777777" w:rsidR="004B7622" w:rsidRPr="00D953E8" w:rsidRDefault="004B7622" w:rsidP="00377989">
            <w:pPr>
              <w:jc w:val="right"/>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128,43</w:t>
            </w:r>
          </w:p>
        </w:tc>
      </w:tr>
      <w:tr w:rsidR="004B7622" w14:paraId="326A72E5" w14:textId="77777777" w:rsidTr="00377989">
        <w:trPr>
          <w:trHeight w:val="528"/>
        </w:trPr>
        <w:tc>
          <w:tcPr>
            <w:tcW w:w="1100" w:type="dxa"/>
            <w:vMerge w:val="restart"/>
            <w:tcBorders>
              <w:top w:val="nil"/>
              <w:left w:val="single" w:sz="4" w:space="0" w:color="auto"/>
              <w:bottom w:val="single" w:sz="4" w:space="0" w:color="auto"/>
              <w:right w:val="single" w:sz="4" w:space="0" w:color="auto"/>
            </w:tcBorders>
            <w:vAlign w:val="center"/>
            <w:hideMark/>
          </w:tcPr>
          <w:p w14:paraId="4B7CD67D" w14:textId="77777777" w:rsidR="004B7622" w:rsidRPr="00D953E8" w:rsidRDefault="004B7622" w:rsidP="00377989">
            <w:pPr>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 xml:space="preserve">MDDSZ                  </w:t>
            </w:r>
          </w:p>
        </w:tc>
        <w:tc>
          <w:tcPr>
            <w:tcW w:w="1840" w:type="dxa"/>
            <w:tcBorders>
              <w:top w:val="nil"/>
              <w:left w:val="nil"/>
              <w:bottom w:val="single" w:sz="4" w:space="0" w:color="auto"/>
              <w:right w:val="single" w:sz="4" w:space="0" w:color="auto"/>
            </w:tcBorders>
            <w:vAlign w:val="center"/>
            <w:hideMark/>
          </w:tcPr>
          <w:p w14:paraId="0F3D61A4" w14:textId="77777777" w:rsidR="004B7622" w:rsidRPr="00D953E8" w:rsidRDefault="004B7622" w:rsidP="00377989">
            <w:pPr>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Posredovani predlogi</w:t>
            </w:r>
          </w:p>
        </w:tc>
        <w:tc>
          <w:tcPr>
            <w:tcW w:w="980" w:type="dxa"/>
            <w:tcBorders>
              <w:top w:val="nil"/>
              <w:left w:val="nil"/>
              <w:bottom w:val="single" w:sz="4" w:space="0" w:color="auto"/>
              <w:right w:val="single" w:sz="4" w:space="0" w:color="auto"/>
            </w:tcBorders>
            <w:noWrap/>
            <w:vAlign w:val="center"/>
            <w:hideMark/>
          </w:tcPr>
          <w:p w14:paraId="40D77717" w14:textId="77777777" w:rsidR="004B7622" w:rsidRPr="00D953E8" w:rsidRDefault="004B7622" w:rsidP="00377989">
            <w:pPr>
              <w:jc w:val="right"/>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0</w:t>
            </w:r>
          </w:p>
        </w:tc>
        <w:tc>
          <w:tcPr>
            <w:tcW w:w="980" w:type="dxa"/>
            <w:tcBorders>
              <w:top w:val="nil"/>
              <w:left w:val="nil"/>
              <w:bottom w:val="single" w:sz="4" w:space="0" w:color="auto"/>
              <w:right w:val="single" w:sz="4" w:space="0" w:color="auto"/>
            </w:tcBorders>
            <w:shd w:val="clear" w:color="auto" w:fill="DAEEF3"/>
            <w:noWrap/>
            <w:vAlign w:val="center"/>
            <w:hideMark/>
          </w:tcPr>
          <w:p w14:paraId="25009522" w14:textId="77777777" w:rsidR="004B7622" w:rsidRPr="00D953E8" w:rsidRDefault="004B7622" w:rsidP="00377989">
            <w:pPr>
              <w:jc w:val="right"/>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0</w:t>
            </w:r>
          </w:p>
        </w:tc>
        <w:tc>
          <w:tcPr>
            <w:tcW w:w="980" w:type="dxa"/>
            <w:tcBorders>
              <w:top w:val="nil"/>
              <w:left w:val="nil"/>
              <w:bottom w:val="single" w:sz="4" w:space="0" w:color="auto"/>
              <w:right w:val="single" w:sz="4" w:space="0" w:color="auto"/>
            </w:tcBorders>
            <w:noWrap/>
            <w:vAlign w:val="center"/>
            <w:hideMark/>
          </w:tcPr>
          <w:p w14:paraId="226602C9" w14:textId="77777777" w:rsidR="004B7622" w:rsidRPr="00D953E8" w:rsidRDefault="004B7622" w:rsidP="00377989">
            <w:pPr>
              <w:jc w:val="right"/>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0</w:t>
            </w:r>
          </w:p>
        </w:tc>
        <w:tc>
          <w:tcPr>
            <w:tcW w:w="980" w:type="dxa"/>
            <w:tcBorders>
              <w:top w:val="nil"/>
              <w:left w:val="nil"/>
              <w:bottom w:val="single" w:sz="4" w:space="0" w:color="auto"/>
              <w:right w:val="single" w:sz="4" w:space="0" w:color="auto"/>
            </w:tcBorders>
            <w:shd w:val="clear" w:color="auto" w:fill="DAEEF3"/>
            <w:noWrap/>
            <w:vAlign w:val="center"/>
            <w:hideMark/>
          </w:tcPr>
          <w:p w14:paraId="3E858CCC" w14:textId="77777777" w:rsidR="004B7622" w:rsidRPr="00D953E8" w:rsidRDefault="004B7622" w:rsidP="00377989">
            <w:pPr>
              <w:jc w:val="right"/>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0</w:t>
            </w:r>
          </w:p>
        </w:tc>
        <w:tc>
          <w:tcPr>
            <w:tcW w:w="1140" w:type="dxa"/>
            <w:tcBorders>
              <w:top w:val="nil"/>
              <w:left w:val="nil"/>
              <w:bottom w:val="single" w:sz="4" w:space="0" w:color="auto"/>
              <w:right w:val="single" w:sz="4" w:space="0" w:color="auto"/>
            </w:tcBorders>
            <w:noWrap/>
            <w:vAlign w:val="center"/>
            <w:hideMark/>
          </w:tcPr>
          <w:p w14:paraId="2477354B" w14:textId="77777777" w:rsidR="004B7622" w:rsidRPr="00D953E8" w:rsidRDefault="004B7622" w:rsidP="00377989">
            <w:pPr>
              <w:jc w:val="right"/>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w:t>
            </w:r>
          </w:p>
        </w:tc>
        <w:tc>
          <w:tcPr>
            <w:tcW w:w="1220" w:type="dxa"/>
            <w:tcBorders>
              <w:top w:val="nil"/>
              <w:left w:val="nil"/>
              <w:bottom w:val="single" w:sz="4" w:space="0" w:color="auto"/>
              <w:right w:val="single" w:sz="4" w:space="0" w:color="auto"/>
            </w:tcBorders>
            <w:noWrap/>
            <w:vAlign w:val="center"/>
            <w:hideMark/>
          </w:tcPr>
          <w:p w14:paraId="0C444728" w14:textId="77777777" w:rsidR="004B7622" w:rsidRPr="00D953E8" w:rsidRDefault="004B7622" w:rsidP="00377989">
            <w:pPr>
              <w:jc w:val="right"/>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w:t>
            </w:r>
          </w:p>
        </w:tc>
      </w:tr>
      <w:tr w:rsidR="004B7622" w14:paraId="33500AAD" w14:textId="77777777" w:rsidTr="00377989">
        <w:trPr>
          <w:trHeight w:val="288"/>
        </w:trPr>
        <w:tc>
          <w:tcPr>
            <w:tcW w:w="0" w:type="auto"/>
            <w:vMerge/>
            <w:tcBorders>
              <w:top w:val="nil"/>
              <w:left w:val="single" w:sz="4" w:space="0" w:color="auto"/>
              <w:bottom w:val="single" w:sz="4" w:space="0" w:color="auto"/>
              <w:right w:val="single" w:sz="4" w:space="0" w:color="auto"/>
            </w:tcBorders>
            <w:vAlign w:val="center"/>
            <w:hideMark/>
          </w:tcPr>
          <w:p w14:paraId="38C678DC" w14:textId="77777777" w:rsidR="004B7622" w:rsidRPr="00D953E8" w:rsidRDefault="004B7622" w:rsidP="00377989">
            <w:pPr>
              <w:rPr>
                <w:rFonts w:ascii="Arial" w:eastAsia="Times New Roman" w:hAnsi="Arial" w:cs="Arial"/>
                <w:color w:val="000000"/>
                <w:sz w:val="18"/>
                <w:szCs w:val="18"/>
                <w:lang w:eastAsia="sl-SI"/>
              </w:rPr>
            </w:pPr>
          </w:p>
        </w:tc>
        <w:tc>
          <w:tcPr>
            <w:tcW w:w="1840" w:type="dxa"/>
            <w:tcBorders>
              <w:top w:val="nil"/>
              <w:left w:val="nil"/>
              <w:bottom w:val="single" w:sz="4" w:space="0" w:color="auto"/>
              <w:right w:val="single" w:sz="4" w:space="0" w:color="auto"/>
            </w:tcBorders>
            <w:vAlign w:val="center"/>
            <w:hideMark/>
          </w:tcPr>
          <w:p w14:paraId="31175635" w14:textId="77777777" w:rsidR="004B7622" w:rsidRPr="00D953E8" w:rsidRDefault="004B7622" w:rsidP="00377989">
            <w:pPr>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Prejeta plačila</w:t>
            </w:r>
          </w:p>
        </w:tc>
        <w:tc>
          <w:tcPr>
            <w:tcW w:w="980" w:type="dxa"/>
            <w:tcBorders>
              <w:top w:val="nil"/>
              <w:left w:val="nil"/>
              <w:bottom w:val="single" w:sz="4" w:space="0" w:color="auto"/>
              <w:right w:val="single" w:sz="4" w:space="0" w:color="auto"/>
            </w:tcBorders>
            <w:noWrap/>
            <w:vAlign w:val="center"/>
            <w:hideMark/>
          </w:tcPr>
          <w:p w14:paraId="6752F143" w14:textId="77777777" w:rsidR="004B7622" w:rsidRPr="00D953E8" w:rsidRDefault="004B7622" w:rsidP="00377989">
            <w:pPr>
              <w:jc w:val="right"/>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0</w:t>
            </w:r>
          </w:p>
        </w:tc>
        <w:tc>
          <w:tcPr>
            <w:tcW w:w="980" w:type="dxa"/>
            <w:tcBorders>
              <w:top w:val="nil"/>
              <w:left w:val="nil"/>
              <w:bottom w:val="single" w:sz="4" w:space="0" w:color="auto"/>
              <w:right w:val="single" w:sz="4" w:space="0" w:color="auto"/>
            </w:tcBorders>
            <w:shd w:val="clear" w:color="auto" w:fill="DAEEF3"/>
            <w:noWrap/>
            <w:vAlign w:val="center"/>
            <w:hideMark/>
          </w:tcPr>
          <w:p w14:paraId="73FE9883" w14:textId="77777777" w:rsidR="004B7622" w:rsidRPr="00D953E8" w:rsidRDefault="004B7622" w:rsidP="00377989">
            <w:pPr>
              <w:jc w:val="right"/>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0</w:t>
            </w:r>
          </w:p>
        </w:tc>
        <w:tc>
          <w:tcPr>
            <w:tcW w:w="980" w:type="dxa"/>
            <w:tcBorders>
              <w:top w:val="nil"/>
              <w:left w:val="nil"/>
              <w:bottom w:val="single" w:sz="4" w:space="0" w:color="auto"/>
              <w:right w:val="single" w:sz="4" w:space="0" w:color="auto"/>
            </w:tcBorders>
            <w:noWrap/>
            <w:vAlign w:val="center"/>
            <w:hideMark/>
          </w:tcPr>
          <w:p w14:paraId="092DDF7E" w14:textId="77777777" w:rsidR="004B7622" w:rsidRPr="00D953E8" w:rsidRDefault="004B7622" w:rsidP="00377989">
            <w:pPr>
              <w:jc w:val="right"/>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0</w:t>
            </w:r>
          </w:p>
        </w:tc>
        <w:tc>
          <w:tcPr>
            <w:tcW w:w="980" w:type="dxa"/>
            <w:tcBorders>
              <w:top w:val="nil"/>
              <w:left w:val="nil"/>
              <w:bottom w:val="single" w:sz="4" w:space="0" w:color="auto"/>
              <w:right w:val="single" w:sz="4" w:space="0" w:color="auto"/>
            </w:tcBorders>
            <w:shd w:val="clear" w:color="auto" w:fill="DAEEF3"/>
            <w:noWrap/>
            <w:vAlign w:val="center"/>
            <w:hideMark/>
          </w:tcPr>
          <w:p w14:paraId="3FE388AA" w14:textId="77777777" w:rsidR="004B7622" w:rsidRPr="00D953E8" w:rsidRDefault="004B7622" w:rsidP="00377989">
            <w:pPr>
              <w:jc w:val="right"/>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0</w:t>
            </w:r>
          </w:p>
        </w:tc>
        <w:tc>
          <w:tcPr>
            <w:tcW w:w="1140" w:type="dxa"/>
            <w:tcBorders>
              <w:top w:val="nil"/>
              <w:left w:val="nil"/>
              <w:bottom w:val="single" w:sz="4" w:space="0" w:color="auto"/>
              <w:right w:val="single" w:sz="4" w:space="0" w:color="auto"/>
            </w:tcBorders>
            <w:noWrap/>
            <w:vAlign w:val="center"/>
            <w:hideMark/>
          </w:tcPr>
          <w:p w14:paraId="16FEBBD3" w14:textId="77777777" w:rsidR="004B7622" w:rsidRPr="00D953E8" w:rsidRDefault="004B7622" w:rsidP="00377989">
            <w:pPr>
              <w:jc w:val="right"/>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w:t>
            </w:r>
          </w:p>
        </w:tc>
        <w:tc>
          <w:tcPr>
            <w:tcW w:w="1220" w:type="dxa"/>
            <w:tcBorders>
              <w:top w:val="nil"/>
              <w:left w:val="nil"/>
              <w:bottom w:val="single" w:sz="4" w:space="0" w:color="auto"/>
              <w:right w:val="single" w:sz="4" w:space="0" w:color="auto"/>
            </w:tcBorders>
            <w:noWrap/>
            <w:vAlign w:val="center"/>
            <w:hideMark/>
          </w:tcPr>
          <w:p w14:paraId="45784DDE" w14:textId="77777777" w:rsidR="004B7622" w:rsidRPr="00D953E8" w:rsidRDefault="004B7622" w:rsidP="00377989">
            <w:pPr>
              <w:jc w:val="right"/>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w:t>
            </w:r>
          </w:p>
        </w:tc>
      </w:tr>
      <w:tr w:rsidR="004B7622" w14:paraId="4B796F6A" w14:textId="77777777" w:rsidTr="00377989">
        <w:trPr>
          <w:trHeight w:val="528"/>
        </w:trPr>
        <w:tc>
          <w:tcPr>
            <w:tcW w:w="1100" w:type="dxa"/>
            <w:vMerge w:val="restart"/>
            <w:tcBorders>
              <w:top w:val="nil"/>
              <w:left w:val="single" w:sz="4" w:space="0" w:color="auto"/>
              <w:bottom w:val="single" w:sz="4" w:space="0" w:color="auto"/>
              <w:right w:val="single" w:sz="4" w:space="0" w:color="auto"/>
            </w:tcBorders>
            <w:vAlign w:val="center"/>
            <w:hideMark/>
          </w:tcPr>
          <w:p w14:paraId="20B65E33" w14:textId="77777777" w:rsidR="004B7622" w:rsidRPr="00D953E8" w:rsidRDefault="004B7622" w:rsidP="00377989">
            <w:pPr>
              <w:rPr>
                <w:rFonts w:ascii="Arial" w:eastAsia="Times New Roman" w:hAnsi="Arial" w:cs="Arial"/>
                <w:b/>
                <w:bCs/>
                <w:color w:val="000000"/>
                <w:sz w:val="18"/>
                <w:szCs w:val="18"/>
                <w:lang w:eastAsia="sl-SI"/>
              </w:rPr>
            </w:pPr>
            <w:r w:rsidRPr="00D953E8">
              <w:rPr>
                <w:rFonts w:ascii="Arial" w:eastAsia="Times New Roman" w:hAnsi="Arial" w:cs="Arial"/>
                <w:b/>
                <w:bCs/>
                <w:color w:val="000000"/>
                <w:sz w:val="18"/>
                <w:szCs w:val="18"/>
                <w:lang w:eastAsia="sl-SI"/>
              </w:rPr>
              <w:t>Skupaj</w:t>
            </w:r>
          </w:p>
        </w:tc>
        <w:tc>
          <w:tcPr>
            <w:tcW w:w="1840" w:type="dxa"/>
            <w:tcBorders>
              <w:top w:val="nil"/>
              <w:left w:val="nil"/>
              <w:bottom w:val="single" w:sz="4" w:space="0" w:color="auto"/>
              <w:right w:val="single" w:sz="4" w:space="0" w:color="auto"/>
            </w:tcBorders>
            <w:vAlign w:val="center"/>
            <w:hideMark/>
          </w:tcPr>
          <w:p w14:paraId="0F488BB8" w14:textId="77777777" w:rsidR="004B7622" w:rsidRPr="00D953E8" w:rsidRDefault="004B7622" w:rsidP="00377989">
            <w:pPr>
              <w:rPr>
                <w:rFonts w:ascii="Arial" w:eastAsia="Times New Roman" w:hAnsi="Arial" w:cs="Arial"/>
                <w:b/>
                <w:bCs/>
                <w:color w:val="000000"/>
                <w:sz w:val="18"/>
                <w:szCs w:val="18"/>
                <w:lang w:eastAsia="sl-SI"/>
              </w:rPr>
            </w:pPr>
            <w:r w:rsidRPr="00D953E8">
              <w:rPr>
                <w:rFonts w:ascii="Arial" w:eastAsia="Times New Roman" w:hAnsi="Arial" w:cs="Arial"/>
                <w:b/>
                <w:bCs/>
                <w:color w:val="000000"/>
                <w:sz w:val="18"/>
                <w:szCs w:val="18"/>
                <w:lang w:eastAsia="sl-SI"/>
              </w:rPr>
              <w:t>Skupaj poslanih predlogov</w:t>
            </w:r>
          </w:p>
        </w:tc>
        <w:tc>
          <w:tcPr>
            <w:tcW w:w="980" w:type="dxa"/>
            <w:tcBorders>
              <w:top w:val="nil"/>
              <w:left w:val="nil"/>
              <w:bottom w:val="single" w:sz="4" w:space="0" w:color="auto"/>
              <w:right w:val="single" w:sz="4" w:space="0" w:color="auto"/>
            </w:tcBorders>
            <w:noWrap/>
            <w:vAlign w:val="center"/>
            <w:hideMark/>
          </w:tcPr>
          <w:p w14:paraId="6D24C65E" w14:textId="77777777" w:rsidR="004B7622" w:rsidRPr="00D953E8" w:rsidRDefault="004B7622" w:rsidP="00377989">
            <w:pPr>
              <w:jc w:val="right"/>
              <w:rPr>
                <w:rFonts w:ascii="Arial" w:eastAsia="Times New Roman" w:hAnsi="Arial" w:cs="Arial"/>
                <w:b/>
                <w:bCs/>
                <w:color w:val="000000"/>
                <w:sz w:val="18"/>
                <w:szCs w:val="18"/>
                <w:lang w:eastAsia="sl-SI"/>
              </w:rPr>
            </w:pPr>
            <w:r w:rsidRPr="00D953E8">
              <w:rPr>
                <w:rFonts w:ascii="Arial" w:eastAsia="Times New Roman" w:hAnsi="Arial" w:cs="Arial"/>
                <w:b/>
                <w:bCs/>
                <w:color w:val="000000"/>
                <w:sz w:val="18"/>
                <w:szCs w:val="18"/>
                <w:lang w:eastAsia="sl-SI"/>
              </w:rPr>
              <w:t>789</w:t>
            </w:r>
          </w:p>
        </w:tc>
        <w:tc>
          <w:tcPr>
            <w:tcW w:w="980" w:type="dxa"/>
            <w:tcBorders>
              <w:top w:val="nil"/>
              <w:left w:val="nil"/>
              <w:bottom w:val="single" w:sz="4" w:space="0" w:color="auto"/>
              <w:right w:val="single" w:sz="4" w:space="0" w:color="auto"/>
            </w:tcBorders>
            <w:shd w:val="clear" w:color="auto" w:fill="DAEEF3"/>
            <w:noWrap/>
            <w:vAlign w:val="center"/>
            <w:hideMark/>
          </w:tcPr>
          <w:p w14:paraId="36DAEAA7" w14:textId="77777777" w:rsidR="004B7622" w:rsidRPr="00D953E8" w:rsidRDefault="004B7622" w:rsidP="00377989">
            <w:pPr>
              <w:jc w:val="right"/>
              <w:rPr>
                <w:rFonts w:ascii="Arial" w:eastAsia="Times New Roman" w:hAnsi="Arial" w:cs="Arial"/>
                <w:b/>
                <w:bCs/>
                <w:color w:val="000000"/>
                <w:sz w:val="18"/>
                <w:szCs w:val="18"/>
                <w:lang w:eastAsia="sl-SI"/>
              </w:rPr>
            </w:pPr>
            <w:r w:rsidRPr="00D953E8">
              <w:rPr>
                <w:rFonts w:ascii="Arial" w:eastAsia="Times New Roman" w:hAnsi="Arial" w:cs="Arial"/>
                <w:b/>
                <w:bCs/>
                <w:color w:val="000000"/>
                <w:sz w:val="18"/>
                <w:szCs w:val="18"/>
                <w:lang w:eastAsia="sl-SI"/>
              </w:rPr>
              <w:t>5.489.710</w:t>
            </w:r>
          </w:p>
        </w:tc>
        <w:tc>
          <w:tcPr>
            <w:tcW w:w="980" w:type="dxa"/>
            <w:tcBorders>
              <w:top w:val="nil"/>
              <w:left w:val="nil"/>
              <w:bottom w:val="single" w:sz="4" w:space="0" w:color="auto"/>
              <w:right w:val="single" w:sz="4" w:space="0" w:color="auto"/>
            </w:tcBorders>
            <w:noWrap/>
            <w:vAlign w:val="center"/>
            <w:hideMark/>
          </w:tcPr>
          <w:p w14:paraId="0768CEBB" w14:textId="77777777" w:rsidR="004B7622" w:rsidRPr="00D953E8" w:rsidRDefault="004B7622" w:rsidP="00377989">
            <w:pPr>
              <w:jc w:val="right"/>
              <w:rPr>
                <w:rFonts w:ascii="Arial" w:eastAsia="Times New Roman" w:hAnsi="Arial" w:cs="Arial"/>
                <w:b/>
                <w:bCs/>
                <w:color w:val="000000"/>
                <w:sz w:val="18"/>
                <w:szCs w:val="18"/>
                <w:lang w:eastAsia="sl-SI"/>
              </w:rPr>
            </w:pPr>
            <w:r w:rsidRPr="00D953E8">
              <w:rPr>
                <w:rFonts w:ascii="Arial" w:eastAsia="Times New Roman" w:hAnsi="Arial" w:cs="Arial"/>
                <w:b/>
                <w:bCs/>
                <w:color w:val="000000"/>
                <w:sz w:val="18"/>
                <w:szCs w:val="18"/>
                <w:lang w:eastAsia="sl-SI"/>
              </w:rPr>
              <w:t>582</w:t>
            </w:r>
          </w:p>
        </w:tc>
        <w:tc>
          <w:tcPr>
            <w:tcW w:w="980" w:type="dxa"/>
            <w:tcBorders>
              <w:top w:val="nil"/>
              <w:left w:val="nil"/>
              <w:bottom w:val="single" w:sz="4" w:space="0" w:color="auto"/>
              <w:right w:val="single" w:sz="4" w:space="0" w:color="auto"/>
            </w:tcBorders>
            <w:shd w:val="clear" w:color="auto" w:fill="DAEEF3"/>
            <w:noWrap/>
            <w:vAlign w:val="center"/>
            <w:hideMark/>
          </w:tcPr>
          <w:p w14:paraId="5ACF890A" w14:textId="77777777" w:rsidR="004B7622" w:rsidRPr="00D953E8" w:rsidRDefault="004B7622" w:rsidP="00377989">
            <w:pPr>
              <w:jc w:val="right"/>
              <w:rPr>
                <w:rFonts w:ascii="Arial" w:eastAsia="Times New Roman" w:hAnsi="Arial" w:cs="Arial"/>
                <w:b/>
                <w:bCs/>
                <w:color w:val="000000"/>
                <w:sz w:val="18"/>
                <w:szCs w:val="18"/>
                <w:lang w:eastAsia="sl-SI"/>
              </w:rPr>
            </w:pPr>
            <w:r w:rsidRPr="00D953E8">
              <w:rPr>
                <w:rFonts w:ascii="Arial" w:eastAsia="Times New Roman" w:hAnsi="Arial" w:cs="Arial"/>
                <w:b/>
                <w:bCs/>
                <w:color w:val="000000"/>
                <w:sz w:val="18"/>
                <w:szCs w:val="18"/>
                <w:lang w:eastAsia="sl-SI"/>
              </w:rPr>
              <w:t>4.055.664</w:t>
            </w:r>
          </w:p>
        </w:tc>
        <w:tc>
          <w:tcPr>
            <w:tcW w:w="1140" w:type="dxa"/>
            <w:tcBorders>
              <w:top w:val="nil"/>
              <w:left w:val="nil"/>
              <w:bottom w:val="single" w:sz="4" w:space="0" w:color="auto"/>
              <w:right w:val="single" w:sz="4" w:space="0" w:color="auto"/>
            </w:tcBorders>
            <w:noWrap/>
            <w:vAlign w:val="center"/>
            <w:hideMark/>
          </w:tcPr>
          <w:p w14:paraId="66C92BCF" w14:textId="77777777" w:rsidR="004B7622" w:rsidRPr="00D953E8" w:rsidRDefault="004B7622" w:rsidP="00377989">
            <w:pPr>
              <w:jc w:val="right"/>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73,76</w:t>
            </w:r>
          </w:p>
        </w:tc>
        <w:tc>
          <w:tcPr>
            <w:tcW w:w="1220" w:type="dxa"/>
            <w:tcBorders>
              <w:top w:val="nil"/>
              <w:left w:val="nil"/>
              <w:bottom w:val="single" w:sz="4" w:space="0" w:color="auto"/>
              <w:right w:val="single" w:sz="4" w:space="0" w:color="auto"/>
            </w:tcBorders>
            <w:noWrap/>
            <w:vAlign w:val="center"/>
            <w:hideMark/>
          </w:tcPr>
          <w:p w14:paraId="4EA2829C" w14:textId="77777777" w:rsidR="004B7622" w:rsidRPr="00D953E8" w:rsidRDefault="004B7622" w:rsidP="00377989">
            <w:pPr>
              <w:jc w:val="right"/>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73,88</w:t>
            </w:r>
          </w:p>
        </w:tc>
      </w:tr>
      <w:tr w:rsidR="004B7622" w14:paraId="380B97A0" w14:textId="77777777" w:rsidTr="00377989">
        <w:trPr>
          <w:trHeight w:val="528"/>
        </w:trPr>
        <w:tc>
          <w:tcPr>
            <w:tcW w:w="0" w:type="auto"/>
            <w:vMerge/>
            <w:tcBorders>
              <w:top w:val="nil"/>
              <w:left w:val="single" w:sz="4" w:space="0" w:color="auto"/>
              <w:bottom w:val="single" w:sz="4" w:space="0" w:color="auto"/>
              <w:right w:val="single" w:sz="4" w:space="0" w:color="auto"/>
            </w:tcBorders>
            <w:vAlign w:val="center"/>
            <w:hideMark/>
          </w:tcPr>
          <w:p w14:paraId="0CB4200F" w14:textId="77777777" w:rsidR="004B7622" w:rsidRPr="00D953E8" w:rsidRDefault="004B7622" w:rsidP="00377989">
            <w:pPr>
              <w:rPr>
                <w:rFonts w:ascii="Arial" w:eastAsia="Times New Roman" w:hAnsi="Arial" w:cs="Arial"/>
                <w:b/>
                <w:bCs/>
                <w:color w:val="000000"/>
                <w:sz w:val="18"/>
                <w:szCs w:val="18"/>
                <w:lang w:eastAsia="sl-SI"/>
              </w:rPr>
            </w:pPr>
          </w:p>
        </w:tc>
        <w:tc>
          <w:tcPr>
            <w:tcW w:w="1840" w:type="dxa"/>
            <w:tcBorders>
              <w:top w:val="nil"/>
              <w:left w:val="nil"/>
              <w:bottom w:val="single" w:sz="4" w:space="0" w:color="auto"/>
              <w:right w:val="single" w:sz="4" w:space="0" w:color="auto"/>
            </w:tcBorders>
            <w:vAlign w:val="center"/>
            <w:hideMark/>
          </w:tcPr>
          <w:p w14:paraId="753E9E29" w14:textId="77777777" w:rsidR="004B7622" w:rsidRPr="00D953E8" w:rsidRDefault="004B7622" w:rsidP="00377989">
            <w:pPr>
              <w:rPr>
                <w:rFonts w:ascii="Arial" w:eastAsia="Times New Roman" w:hAnsi="Arial" w:cs="Arial"/>
                <w:b/>
                <w:bCs/>
                <w:color w:val="000000"/>
                <w:sz w:val="18"/>
                <w:szCs w:val="18"/>
                <w:lang w:eastAsia="sl-SI"/>
              </w:rPr>
            </w:pPr>
            <w:r w:rsidRPr="00D953E8">
              <w:rPr>
                <w:rFonts w:ascii="Arial" w:eastAsia="Times New Roman" w:hAnsi="Arial" w:cs="Arial"/>
                <w:b/>
                <w:bCs/>
                <w:color w:val="000000"/>
                <w:sz w:val="18"/>
                <w:szCs w:val="18"/>
                <w:lang w:eastAsia="sl-SI"/>
              </w:rPr>
              <w:t>Skupaj prejetih plačil</w:t>
            </w:r>
          </w:p>
        </w:tc>
        <w:tc>
          <w:tcPr>
            <w:tcW w:w="980" w:type="dxa"/>
            <w:tcBorders>
              <w:top w:val="nil"/>
              <w:left w:val="nil"/>
              <w:bottom w:val="single" w:sz="4" w:space="0" w:color="auto"/>
              <w:right w:val="single" w:sz="4" w:space="0" w:color="auto"/>
            </w:tcBorders>
            <w:noWrap/>
            <w:vAlign w:val="center"/>
            <w:hideMark/>
          </w:tcPr>
          <w:p w14:paraId="7E468C5E" w14:textId="77777777" w:rsidR="004B7622" w:rsidRPr="00D953E8" w:rsidRDefault="004B7622" w:rsidP="00377989">
            <w:pPr>
              <w:jc w:val="right"/>
              <w:rPr>
                <w:rFonts w:ascii="Arial" w:eastAsia="Times New Roman" w:hAnsi="Arial" w:cs="Arial"/>
                <w:b/>
                <w:bCs/>
                <w:color w:val="000000"/>
                <w:sz w:val="18"/>
                <w:szCs w:val="18"/>
                <w:lang w:eastAsia="sl-SI"/>
              </w:rPr>
            </w:pPr>
            <w:r w:rsidRPr="00D953E8">
              <w:rPr>
                <w:rFonts w:ascii="Arial" w:eastAsia="Times New Roman" w:hAnsi="Arial" w:cs="Arial"/>
                <w:b/>
                <w:bCs/>
                <w:color w:val="000000"/>
                <w:sz w:val="18"/>
                <w:szCs w:val="18"/>
                <w:lang w:eastAsia="sl-SI"/>
              </w:rPr>
              <w:t>/</w:t>
            </w:r>
          </w:p>
        </w:tc>
        <w:tc>
          <w:tcPr>
            <w:tcW w:w="980" w:type="dxa"/>
            <w:tcBorders>
              <w:top w:val="nil"/>
              <w:left w:val="nil"/>
              <w:bottom w:val="single" w:sz="4" w:space="0" w:color="auto"/>
              <w:right w:val="single" w:sz="4" w:space="0" w:color="auto"/>
            </w:tcBorders>
            <w:shd w:val="clear" w:color="auto" w:fill="DAEEF3"/>
            <w:noWrap/>
            <w:vAlign w:val="center"/>
            <w:hideMark/>
          </w:tcPr>
          <w:p w14:paraId="7383ED8D" w14:textId="77777777" w:rsidR="004B7622" w:rsidRPr="00D953E8" w:rsidRDefault="004B7622" w:rsidP="00377989">
            <w:pPr>
              <w:jc w:val="right"/>
              <w:rPr>
                <w:rFonts w:ascii="Arial" w:eastAsia="Times New Roman" w:hAnsi="Arial" w:cs="Arial"/>
                <w:b/>
                <w:bCs/>
                <w:color w:val="000000"/>
                <w:sz w:val="18"/>
                <w:szCs w:val="18"/>
                <w:lang w:eastAsia="sl-SI"/>
              </w:rPr>
            </w:pPr>
            <w:r w:rsidRPr="00D953E8">
              <w:rPr>
                <w:rFonts w:ascii="Arial" w:eastAsia="Times New Roman" w:hAnsi="Arial" w:cs="Arial"/>
                <w:b/>
                <w:bCs/>
                <w:color w:val="000000"/>
                <w:sz w:val="18"/>
                <w:szCs w:val="18"/>
                <w:lang w:eastAsia="sl-SI"/>
              </w:rPr>
              <w:t>83.463</w:t>
            </w:r>
          </w:p>
        </w:tc>
        <w:tc>
          <w:tcPr>
            <w:tcW w:w="980" w:type="dxa"/>
            <w:tcBorders>
              <w:top w:val="nil"/>
              <w:left w:val="nil"/>
              <w:bottom w:val="single" w:sz="4" w:space="0" w:color="auto"/>
              <w:right w:val="single" w:sz="4" w:space="0" w:color="auto"/>
            </w:tcBorders>
            <w:noWrap/>
            <w:vAlign w:val="center"/>
            <w:hideMark/>
          </w:tcPr>
          <w:p w14:paraId="273D40B9" w14:textId="77777777" w:rsidR="004B7622" w:rsidRPr="00D953E8" w:rsidRDefault="004B7622" w:rsidP="00377989">
            <w:pPr>
              <w:jc w:val="right"/>
              <w:rPr>
                <w:rFonts w:ascii="Arial" w:eastAsia="Times New Roman" w:hAnsi="Arial" w:cs="Arial"/>
                <w:b/>
                <w:bCs/>
                <w:color w:val="000000"/>
                <w:sz w:val="18"/>
                <w:szCs w:val="18"/>
                <w:lang w:eastAsia="sl-SI"/>
              </w:rPr>
            </w:pPr>
            <w:r w:rsidRPr="00D953E8">
              <w:rPr>
                <w:rFonts w:ascii="Arial" w:eastAsia="Times New Roman" w:hAnsi="Arial" w:cs="Arial"/>
                <w:b/>
                <w:bCs/>
                <w:color w:val="000000"/>
                <w:sz w:val="18"/>
                <w:szCs w:val="18"/>
                <w:lang w:eastAsia="sl-SI"/>
              </w:rPr>
              <w:t>/</w:t>
            </w:r>
          </w:p>
        </w:tc>
        <w:tc>
          <w:tcPr>
            <w:tcW w:w="980" w:type="dxa"/>
            <w:tcBorders>
              <w:top w:val="nil"/>
              <w:left w:val="nil"/>
              <w:bottom w:val="single" w:sz="4" w:space="0" w:color="auto"/>
              <w:right w:val="single" w:sz="4" w:space="0" w:color="auto"/>
            </w:tcBorders>
            <w:shd w:val="clear" w:color="auto" w:fill="DAEEF3"/>
            <w:noWrap/>
            <w:vAlign w:val="center"/>
            <w:hideMark/>
          </w:tcPr>
          <w:p w14:paraId="73E8AE7A" w14:textId="77777777" w:rsidR="004B7622" w:rsidRPr="00D953E8" w:rsidRDefault="004B7622" w:rsidP="00377989">
            <w:pPr>
              <w:jc w:val="right"/>
              <w:rPr>
                <w:rFonts w:ascii="Arial" w:eastAsia="Times New Roman" w:hAnsi="Arial" w:cs="Arial"/>
                <w:b/>
                <w:bCs/>
                <w:color w:val="000000"/>
                <w:sz w:val="18"/>
                <w:szCs w:val="18"/>
                <w:lang w:eastAsia="sl-SI"/>
              </w:rPr>
            </w:pPr>
            <w:r w:rsidRPr="00D953E8">
              <w:rPr>
                <w:rFonts w:ascii="Arial" w:eastAsia="Times New Roman" w:hAnsi="Arial" w:cs="Arial"/>
                <w:b/>
                <w:bCs/>
                <w:color w:val="000000"/>
                <w:sz w:val="18"/>
                <w:szCs w:val="18"/>
                <w:lang w:eastAsia="sl-SI"/>
              </w:rPr>
              <w:t>156.624</w:t>
            </w:r>
          </w:p>
        </w:tc>
        <w:tc>
          <w:tcPr>
            <w:tcW w:w="1140" w:type="dxa"/>
            <w:tcBorders>
              <w:top w:val="nil"/>
              <w:left w:val="nil"/>
              <w:bottom w:val="single" w:sz="4" w:space="0" w:color="auto"/>
              <w:right w:val="single" w:sz="4" w:space="0" w:color="auto"/>
            </w:tcBorders>
            <w:noWrap/>
            <w:vAlign w:val="center"/>
            <w:hideMark/>
          </w:tcPr>
          <w:p w14:paraId="407A8424" w14:textId="77777777" w:rsidR="004B7622" w:rsidRPr="00D953E8" w:rsidRDefault="004B7622" w:rsidP="00377989">
            <w:pPr>
              <w:jc w:val="right"/>
              <w:rPr>
                <w:rFonts w:ascii="Arial" w:eastAsia="Times New Roman" w:hAnsi="Arial" w:cs="Arial"/>
                <w:b/>
                <w:bCs/>
                <w:color w:val="000000"/>
                <w:sz w:val="18"/>
                <w:szCs w:val="18"/>
                <w:lang w:eastAsia="sl-SI"/>
              </w:rPr>
            </w:pPr>
            <w:r w:rsidRPr="00D953E8">
              <w:rPr>
                <w:rFonts w:ascii="Arial" w:eastAsia="Times New Roman" w:hAnsi="Arial" w:cs="Arial"/>
                <w:b/>
                <w:bCs/>
                <w:color w:val="000000"/>
                <w:sz w:val="18"/>
                <w:szCs w:val="18"/>
                <w:lang w:eastAsia="sl-SI"/>
              </w:rPr>
              <w:t>/</w:t>
            </w:r>
          </w:p>
        </w:tc>
        <w:tc>
          <w:tcPr>
            <w:tcW w:w="1220" w:type="dxa"/>
            <w:tcBorders>
              <w:top w:val="nil"/>
              <w:left w:val="nil"/>
              <w:bottom w:val="single" w:sz="4" w:space="0" w:color="auto"/>
              <w:right w:val="single" w:sz="4" w:space="0" w:color="auto"/>
            </w:tcBorders>
            <w:noWrap/>
            <w:vAlign w:val="center"/>
            <w:hideMark/>
          </w:tcPr>
          <w:p w14:paraId="372C42CE" w14:textId="77777777" w:rsidR="004B7622" w:rsidRPr="00D953E8" w:rsidRDefault="004B7622" w:rsidP="00377989">
            <w:pPr>
              <w:jc w:val="right"/>
              <w:rPr>
                <w:rFonts w:ascii="Arial" w:eastAsia="Times New Roman" w:hAnsi="Arial" w:cs="Arial"/>
                <w:color w:val="000000"/>
                <w:sz w:val="18"/>
                <w:szCs w:val="18"/>
                <w:lang w:eastAsia="sl-SI"/>
              </w:rPr>
            </w:pPr>
            <w:r w:rsidRPr="00D953E8">
              <w:rPr>
                <w:rFonts w:ascii="Arial" w:eastAsia="Times New Roman" w:hAnsi="Arial" w:cs="Arial"/>
                <w:color w:val="000000"/>
                <w:sz w:val="18"/>
                <w:szCs w:val="18"/>
                <w:lang w:eastAsia="sl-SI"/>
              </w:rPr>
              <w:t>187,66</w:t>
            </w:r>
          </w:p>
        </w:tc>
      </w:tr>
    </w:tbl>
    <w:p w14:paraId="2FC4B735" w14:textId="77777777" w:rsidR="004B7622" w:rsidRPr="00534703" w:rsidRDefault="004B7622" w:rsidP="004B7622">
      <w:pPr>
        <w:pStyle w:val="FURSNavaden"/>
        <w:rPr>
          <w:rFonts w:cs="Arial"/>
          <w:i/>
          <w:szCs w:val="20"/>
        </w:rPr>
      </w:pPr>
      <w:r w:rsidRPr="00534703">
        <w:rPr>
          <w:rFonts w:cs="Arial"/>
          <w:i/>
          <w:szCs w:val="20"/>
        </w:rPr>
        <w:t>Vir: FURS</w:t>
      </w:r>
    </w:p>
    <w:p w14:paraId="28B53D2E" w14:textId="77777777" w:rsidR="004B7622" w:rsidRDefault="004B7622" w:rsidP="004B7622">
      <w:pPr>
        <w:spacing w:line="260" w:lineRule="exact"/>
        <w:jc w:val="both"/>
        <w:rPr>
          <w:rFonts w:ascii="Arial" w:hAnsi="Arial" w:cs="Arial"/>
          <w:sz w:val="20"/>
          <w:szCs w:val="20"/>
        </w:rPr>
      </w:pPr>
    </w:p>
    <w:p w14:paraId="4BF8C7C8" w14:textId="77777777" w:rsidR="004B7622" w:rsidRDefault="004B7622" w:rsidP="004B7622">
      <w:pPr>
        <w:spacing w:line="260" w:lineRule="exact"/>
        <w:jc w:val="both"/>
        <w:rPr>
          <w:rFonts w:ascii="Arial" w:hAnsi="Arial" w:cs="Arial"/>
          <w:sz w:val="20"/>
          <w:szCs w:val="20"/>
        </w:rPr>
      </w:pPr>
      <w:r w:rsidRPr="00111509">
        <w:rPr>
          <w:rFonts w:ascii="Arial" w:hAnsi="Arial" w:cs="Arial"/>
          <w:sz w:val="20"/>
          <w:szCs w:val="20"/>
        </w:rPr>
        <w:t xml:space="preserve">Na podlagi predlogov davčnega organa (ki so bili posredovani v letu 2021 in preteklih letih) so nosilci socialne varnosti v Sloveniji v letu 2021 v druge države članice EU posredovali 393 predlogov za izterjavo prispevkov v skupni višini 3.055.358 </w:t>
      </w:r>
      <w:r>
        <w:rPr>
          <w:rFonts w:ascii="Arial" w:hAnsi="Arial" w:cs="Arial"/>
          <w:sz w:val="20"/>
          <w:szCs w:val="20"/>
        </w:rPr>
        <w:t>EUR</w:t>
      </w:r>
      <w:r w:rsidRPr="00111509">
        <w:rPr>
          <w:rFonts w:ascii="Arial" w:hAnsi="Arial" w:cs="Arial"/>
          <w:sz w:val="20"/>
          <w:szCs w:val="20"/>
        </w:rPr>
        <w:t>.</w:t>
      </w:r>
    </w:p>
    <w:p w14:paraId="221514BB" w14:textId="77777777" w:rsidR="004B7622" w:rsidRDefault="004B7622" w:rsidP="004B7622">
      <w:pPr>
        <w:pStyle w:val="FURSNavaden"/>
        <w:rPr>
          <w:rFonts w:eastAsia="Times New Roman" w:cs="Arial"/>
          <w:i/>
          <w:szCs w:val="20"/>
        </w:rPr>
      </w:pPr>
      <w:r w:rsidRPr="00825100">
        <w:rPr>
          <w:rFonts w:eastAsia="Times New Roman" w:cs="Arial"/>
          <w:i/>
          <w:szCs w:val="20"/>
        </w:rPr>
        <w:t>Preglednica 23: Zaprosila za izterjavo prispevkov, ki so jih nosilci socialne varnosti posredovali v druge države članice</w:t>
      </w:r>
      <w:r>
        <w:rPr>
          <w:rFonts w:eastAsia="Times New Roman" w:cs="Arial"/>
          <w:i/>
          <w:szCs w:val="20"/>
        </w:rPr>
        <w:t xml:space="preserve"> </w:t>
      </w:r>
    </w:p>
    <w:p w14:paraId="1DC911F1" w14:textId="77777777" w:rsidR="004B7622" w:rsidRDefault="004B7622" w:rsidP="004B7622">
      <w:pPr>
        <w:pStyle w:val="FURSNavaden"/>
        <w:rPr>
          <w:rFonts w:eastAsia="Times New Roman" w:cs="Arial"/>
          <w:i/>
          <w:szCs w:val="20"/>
        </w:rPr>
      </w:pPr>
    </w:p>
    <w:p w14:paraId="45C21362" w14:textId="77777777" w:rsidR="004B7622" w:rsidRDefault="004B7622" w:rsidP="004B7622">
      <w:pPr>
        <w:pStyle w:val="FURSNavaden"/>
        <w:rPr>
          <w:rFonts w:eastAsia="Times New Roman" w:cs="Arial"/>
          <w:i/>
          <w:szCs w:val="20"/>
        </w:rPr>
      </w:pPr>
    </w:p>
    <w:tbl>
      <w:tblPr>
        <w:tblW w:w="8595" w:type="dxa"/>
        <w:tblCellMar>
          <w:left w:w="70" w:type="dxa"/>
          <w:right w:w="70" w:type="dxa"/>
        </w:tblCellMar>
        <w:tblLook w:val="04A0" w:firstRow="1" w:lastRow="0" w:firstColumn="1" w:lastColumn="0" w:noHBand="0" w:noVBand="1"/>
      </w:tblPr>
      <w:tblGrid>
        <w:gridCol w:w="1158"/>
        <w:gridCol w:w="1938"/>
        <w:gridCol w:w="1054"/>
        <w:gridCol w:w="1053"/>
        <w:gridCol w:w="1117"/>
        <w:gridCol w:w="1053"/>
        <w:gridCol w:w="1222"/>
      </w:tblGrid>
      <w:tr w:rsidR="004B7622" w14:paraId="721BC1D1" w14:textId="77777777" w:rsidTr="00377989">
        <w:trPr>
          <w:trHeight w:val="362"/>
        </w:trPr>
        <w:tc>
          <w:tcPr>
            <w:tcW w:w="1158" w:type="dxa"/>
            <w:vMerge w:val="restart"/>
            <w:tcBorders>
              <w:top w:val="single" w:sz="4" w:space="0" w:color="auto"/>
              <w:left w:val="single" w:sz="4" w:space="0" w:color="auto"/>
              <w:bottom w:val="single" w:sz="4" w:space="0" w:color="auto"/>
              <w:right w:val="single" w:sz="4" w:space="0" w:color="auto"/>
            </w:tcBorders>
            <w:shd w:val="clear" w:color="auto" w:fill="31869B"/>
            <w:vAlign w:val="center"/>
            <w:hideMark/>
          </w:tcPr>
          <w:p w14:paraId="416E5F5B" w14:textId="77777777" w:rsidR="004B7622" w:rsidRPr="00825100" w:rsidRDefault="004B7622" w:rsidP="00377989">
            <w:pPr>
              <w:spacing w:line="240" w:lineRule="auto"/>
              <w:jc w:val="center"/>
              <w:rPr>
                <w:rFonts w:ascii="Arial" w:eastAsia="Times New Roman" w:hAnsi="Arial" w:cs="Arial"/>
                <w:color w:val="FFFFFF"/>
                <w:sz w:val="18"/>
                <w:szCs w:val="18"/>
                <w:lang w:eastAsia="sl-SI"/>
              </w:rPr>
            </w:pPr>
            <w:r w:rsidRPr="00825100">
              <w:rPr>
                <w:rFonts w:ascii="Arial" w:eastAsia="Times New Roman" w:hAnsi="Arial" w:cs="Arial"/>
                <w:color w:val="FFFFFF"/>
                <w:sz w:val="18"/>
                <w:szCs w:val="18"/>
                <w:lang w:eastAsia="sl-SI"/>
              </w:rPr>
              <w:t>Nosilec socialne varnosti</w:t>
            </w:r>
          </w:p>
        </w:tc>
        <w:tc>
          <w:tcPr>
            <w:tcW w:w="2992" w:type="dxa"/>
            <w:gridSpan w:val="2"/>
            <w:tcBorders>
              <w:top w:val="single" w:sz="4" w:space="0" w:color="auto"/>
              <w:left w:val="nil"/>
              <w:bottom w:val="single" w:sz="4" w:space="0" w:color="auto"/>
              <w:right w:val="single" w:sz="4" w:space="0" w:color="auto"/>
            </w:tcBorders>
            <w:shd w:val="clear" w:color="auto" w:fill="31869B"/>
            <w:noWrap/>
            <w:vAlign w:val="center"/>
            <w:hideMark/>
          </w:tcPr>
          <w:p w14:paraId="424D0E36" w14:textId="77777777" w:rsidR="004B7622" w:rsidRPr="00825100" w:rsidRDefault="004B7622" w:rsidP="00377989">
            <w:pPr>
              <w:spacing w:line="240" w:lineRule="auto"/>
              <w:jc w:val="center"/>
              <w:rPr>
                <w:rFonts w:ascii="Arial" w:eastAsia="Times New Roman" w:hAnsi="Arial" w:cs="Arial"/>
                <w:color w:val="FFFFFF"/>
                <w:sz w:val="18"/>
                <w:szCs w:val="18"/>
                <w:lang w:eastAsia="sl-SI"/>
              </w:rPr>
            </w:pPr>
            <w:r w:rsidRPr="00825100">
              <w:rPr>
                <w:rFonts w:ascii="Arial" w:eastAsia="Times New Roman" w:hAnsi="Arial" w:cs="Arial"/>
                <w:color w:val="FFFFFF"/>
                <w:sz w:val="18"/>
                <w:szCs w:val="18"/>
                <w:lang w:eastAsia="sl-SI"/>
              </w:rPr>
              <w:t>2020</w:t>
            </w:r>
          </w:p>
        </w:tc>
        <w:tc>
          <w:tcPr>
            <w:tcW w:w="2170" w:type="dxa"/>
            <w:gridSpan w:val="2"/>
            <w:tcBorders>
              <w:top w:val="single" w:sz="4" w:space="0" w:color="auto"/>
              <w:left w:val="nil"/>
              <w:bottom w:val="single" w:sz="4" w:space="0" w:color="auto"/>
              <w:right w:val="single" w:sz="4" w:space="0" w:color="auto"/>
            </w:tcBorders>
            <w:shd w:val="clear" w:color="auto" w:fill="31869B"/>
            <w:noWrap/>
            <w:vAlign w:val="center"/>
            <w:hideMark/>
          </w:tcPr>
          <w:p w14:paraId="2126F387" w14:textId="77777777" w:rsidR="004B7622" w:rsidRPr="00825100" w:rsidRDefault="004B7622" w:rsidP="00377989">
            <w:pPr>
              <w:spacing w:line="240" w:lineRule="auto"/>
              <w:jc w:val="center"/>
              <w:rPr>
                <w:rFonts w:ascii="Arial" w:eastAsia="Times New Roman" w:hAnsi="Arial" w:cs="Arial"/>
                <w:color w:val="FFFFFF"/>
                <w:sz w:val="18"/>
                <w:szCs w:val="18"/>
                <w:lang w:eastAsia="sl-SI"/>
              </w:rPr>
            </w:pPr>
            <w:r w:rsidRPr="00825100">
              <w:rPr>
                <w:rFonts w:ascii="Arial" w:eastAsia="Times New Roman" w:hAnsi="Arial" w:cs="Arial"/>
                <w:color w:val="FFFFFF"/>
                <w:sz w:val="18"/>
                <w:szCs w:val="18"/>
                <w:lang w:eastAsia="sl-SI"/>
              </w:rPr>
              <w:t>2021</w:t>
            </w:r>
          </w:p>
        </w:tc>
        <w:tc>
          <w:tcPr>
            <w:tcW w:w="2275" w:type="dxa"/>
            <w:gridSpan w:val="2"/>
            <w:tcBorders>
              <w:top w:val="single" w:sz="4" w:space="0" w:color="auto"/>
              <w:left w:val="nil"/>
              <w:bottom w:val="single" w:sz="4" w:space="0" w:color="auto"/>
              <w:right w:val="single" w:sz="4" w:space="0" w:color="auto"/>
            </w:tcBorders>
            <w:shd w:val="clear" w:color="auto" w:fill="31869B"/>
            <w:vAlign w:val="center"/>
            <w:hideMark/>
          </w:tcPr>
          <w:p w14:paraId="6E594793" w14:textId="77777777" w:rsidR="004B7622" w:rsidRPr="00825100" w:rsidRDefault="004B7622" w:rsidP="00377989">
            <w:pPr>
              <w:spacing w:line="240" w:lineRule="auto"/>
              <w:jc w:val="center"/>
              <w:rPr>
                <w:rFonts w:ascii="Arial" w:eastAsia="Times New Roman" w:hAnsi="Arial" w:cs="Arial"/>
                <w:color w:val="FFFFFF"/>
                <w:sz w:val="18"/>
                <w:szCs w:val="18"/>
                <w:lang w:eastAsia="sl-SI"/>
              </w:rPr>
            </w:pPr>
            <w:r w:rsidRPr="00825100">
              <w:rPr>
                <w:rFonts w:ascii="Arial" w:eastAsia="Times New Roman" w:hAnsi="Arial" w:cs="Arial"/>
                <w:color w:val="FFFFFF"/>
                <w:sz w:val="18"/>
                <w:szCs w:val="18"/>
                <w:lang w:eastAsia="sl-SI"/>
              </w:rPr>
              <w:t>Indeks 2021/2020</w:t>
            </w:r>
          </w:p>
        </w:tc>
      </w:tr>
      <w:tr w:rsidR="004B7622" w14:paraId="1CFB5A6C" w14:textId="77777777" w:rsidTr="00377989">
        <w:trPr>
          <w:trHeight w:val="4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E77307" w14:textId="77777777" w:rsidR="004B7622" w:rsidRPr="00825100" w:rsidRDefault="004B7622" w:rsidP="00377989">
            <w:pPr>
              <w:rPr>
                <w:rFonts w:ascii="Arial" w:eastAsia="Times New Roman" w:hAnsi="Arial" w:cs="Arial"/>
                <w:color w:val="FFFFFF"/>
                <w:sz w:val="18"/>
                <w:szCs w:val="18"/>
                <w:lang w:eastAsia="sl-SI"/>
              </w:rPr>
            </w:pPr>
          </w:p>
        </w:tc>
        <w:tc>
          <w:tcPr>
            <w:tcW w:w="1938" w:type="dxa"/>
            <w:tcBorders>
              <w:top w:val="nil"/>
              <w:left w:val="nil"/>
              <w:bottom w:val="single" w:sz="4" w:space="0" w:color="auto"/>
              <w:right w:val="single" w:sz="4" w:space="0" w:color="auto"/>
            </w:tcBorders>
            <w:shd w:val="clear" w:color="auto" w:fill="31869B"/>
            <w:vAlign w:val="center"/>
            <w:hideMark/>
          </w:tcPr>
          <w:p w14:paraId="23349003" w14:textId="77777777" w:rsidR="004B7622" w:rsidRPr="00825100" w:rsidRDefault="004B7622" w:rsidP="00377989">
            <w:pPr>
              <w:spacing w:line="240" w:lineRule="auto"/>
              <w:jc w:val="center"/>
              <w:rPr>
                <w:rFonts w:ascii="Arial" w:eastAsia="Times New Roman" w:hAnsi="Arial" w:cs="Arial"/>
                <w:color w:val="FFFFFF"/>
                <w:sz w:val="18"/>
                <w:szCs w:val="18"/>
                <w:lang w:eastAsia="sl-SI"/>
              </w:rPr>
            </w:pPr>
            <w:r w:rsidRPr="00825100">
              <w:rPr>
                <w:rFonts w:ascii="Arial" w:eastAsia="Times New Roman" w:hAnsi="Arial" w:cs="Arial"/>
                <w:color w:val="FFFFFF"/>
                <w:sz w:val="18"/>
                <w:szCs w:val="18"/>
                <w:lang w:eastAsia="sl-SI"/>
              </w:rPr>
              <w:t>Število</w:t>
            </w:r>
          </w:p>
        </w:tc>
        <w:tc>
          <w:tcPr>
            <w:tcW w:w="1053" w:type="dxa"/>
            <w:tcBorders>
              <w:top w:val="nil"/>
              <w:left w:val="nil"/>
              <w:bottom w:val="single" w:sz="4" w:space="0" w:color="auto"/>
              <w:right w:val="single" w:sz="4" w:space="0" w:color="auto"/>
            </w:tcBorders>
            <w:shd w:val="clear" w:color="auto" w:fill="31869B"/>
            <w:vAlign w:val="center"/>
            <w:hideMark/>
          </w:tcPr>
          <w:p w14:paraId="32858CF8" w14:textId="77777777" w:rsidR="004B7622" w:rsidRPr="00825100" w:rsidRDefault="004B7622" w:rsidP="00377989">
            <w:pPr>
              <w:spacing w:line="240" w:lineRule="auto"/>
              <w:jc w:val="center"/>
              <w:rPr>
                <w:rFonts w:ascii="Arial" w:eastAsia="Times New Roman" w:hAnsi="Arial" w:cs="Arial"/>
                <w:color w:val="FFFFFF"/>
                <w:sz w:val="18"/>
                <w:szCs w:val="18"/>
                <w:lang w:eastAsia="sl-SI"/>
              </w:rPr>
            </w:pPr>
            <w:r w:rsidRPr="00825100">
              <w:rPr>
                <w:rFonts w:ascii="Arial" w:eastAsia="Times New Roman" w:hAnsi="Arial" w:cs="Arial"/>
                <w:color w:val="FFFFFF"/>
                <w:sz w:val="18"/>
                <w:szCs w:val="18"/>
                <w:lang w:eastAsia="sl-SI"/>
              </w:rPr>
              <w:t>Znesek v evrih</w:t>
            </w:r>
          </w:p>
        </w:tc>
        <w:tc>
          <w:tcPr>
            <w:tcW w:w="1053" w:type="dxa"/>
            <w:tcBorders>
              <w:top w:val="nil"/>
              <w:left w:val="nil"/>
              <w:bottom w:val="single" w:sz="4" w:space="0" w:color="auto"/>
              <w:right w:val="single" w:sz="4" w:space="0" w:color="auto"/>
            </w:tcBorders>
            <w:shd w:val="clear" w:color="auto" w:fill="31869B"/>
            <w:vAlign w:val="center"/>
            <w:hideMark/>
          </w:tcPr>
          <w:p w14:paraId="487DE3AE" w14:textId="77777777" w:rsidR="004B7622" w:rsidRPr="00825100" w:rsidRDefault="004B7622" w:rsidP="00377989">
            <w:pPr>
              <w:spacing w:line="240" w:lineRule="auto"/>
              <w:jc w:val="center"/>
              <w:rPr>
                <w:rFonts w:ascii="Arial" w:eastAsia="Times New Roman" w:hAnsi="Arial" w:cs="Arial"/>
                <w:color w:val="FFFFFF"/>
                <w:sz w:val="18"/>
                <w:szCs w:val="18"/>
                <w:lang w:eastAsia="sl-SI"/>
              </w:rPr>
            </w:pPr>
            <w:r w:rsidRPr="00825100">
              <w:rPr>
                <w:rFonts w:ascii="Arial" w:eastAsia="Times New Roman" w:hAnsi="Arial" w:cs="Arial"/>
                <w:color w:val="FFFFFF"/>
                <w:sz w:val="18"/>
                <w:szCs w:val="18"/>
                <w:lang w:eastAsia="sl-SI"/>
              </w:rPr>
              <w:t>Število</w:t>
            </w:r>
          </w:p>
        </w:tc>
        <w:tc>
          <w:tcPr>
            <w:tcW w:w="1116" w:type="dxa"/>
            <w:tcBorders>
              <w:top w:val="nil"/>
              <w:left w:val="nil"/>
              <w:bottom w:val="single" w:sz="4" w:space="0" w:color="auto"/>
              <w:right w:val="single" w:sz="4" w:space="0" w:color="auto"/>
            </w:tcBorders>
            <w:shd w:val="clear" w:color="auto" w:fill="31869B"/>
            <w:vAlign w:val="center"/>
            <w:hideMark/>
          </w:tcPr>
          <w:p w14:paraId="20945F08" w14:textId="77777777" w:rsidR="004B7622" w:rsidRPr="00825100" w:rsidRDefault="004B7622" w:rsidP="00377989">
            <w:pPr>
              <w:spacing w:line="240" w:lineRule="auto"/>
              <w:jc w:val="center"/>
              <w:rPr>
                <w:rFonts w:ascii="Arial" w:eastAsia="Times New Roman" w:hAnsi="Arial" w:cs="Arial"/>
                <w:color w:val="FFFFFF"/>
                <w:sz w:val="18"/>
                <w:szCs w:val="18"/>
                <w:lang w:eastAsia="sl-SI"/>
              </w:rPr>
            </w:pPr>
            <w:r w:rsidRPr="00825100">
              <w:rPr>
                <w:rFonts w:ascii="Arial" w:eastAsia="Times New Roman" w:hAnsi="Arial" w:cs="Arial"/>
                <w:color w:val="FFFFFF"/>
                <w:sz w:val="18"/>
                <w:szCs w:val="18"/>
                <w:lang w:eastAsia="sl-SI"/>
              </w:rPr>
              <w:t>Znesek v evrih</w:t>
            </w:r>
          </w:p>
        </w:tc>
        <w:tc>
          <w:tcPr>
            <w:tcW w:w="1053" w:type="dxa"/>
            <w:tcBorders>
              <w:top w:val="nil"/>
              <w:left w:val="nil"/>
              <w:bottom w:val="single" w:sz="4" w:space="0" w:color="auto"/>
              <w:right w:val="single" w:sz="4" w:space="0" w:color="auto"/>
            </w:tcBorders>
            <w:shd w:val="clear" w:color="auto" w:fill="31869B"/>
            <w:vAlign w:val="center"/>
            <w:hideMark/>
          </w:tcPr>
          <w:p w14:paraId="770E810E" w14:textId="77777777" w:rsidR="004B7622" w:rsidRPr="00825100" w:rsidRDefault="004B7622" w:rsidP="00377989">
            <w:pPr>
              <w:spacing w:line="240" w:lineRule="auto"/>
              <w:jc w:val="center"/>
              <w:rPr>
                <w:rFonts w:ascii="Arial" w:eastAsia="Times New Roman" w:hAnsi="Arial" w:cs="Arial"/>
                <w:color w:val="FFFFFF"/>
                <w:sz w:val="18"/>
                <w:szCs w:val="18"/>
                <w:lang w:eastAsia="sl-SI"/>
              </w:rPr>
            </w:pPr>
            <w:r w:rsidRPr="00825100">
              <w:rPr>
                <w:rFonts w:ascii="Arial" w:eastAsia="Times New Roman" w:hAnsi="Arial" w:cs="Arial"/>
                <w:color w:val="FFFFFF"/>
                <w:sz w:val="18"/>
                <w:szCs w:val="18"/>
                <w:lang w:eastAsia="sl-SI"/>
              </w:rPr>
              <w:t>Število</w:t>
            </w:r>
          </w:p>
        </w:tc>
        <w:tc>
          <w:tcPr>
            <w:tcW w:w="1222" w:type="dxa"/>
            <w:tcBorders>
              <w:top w:val="nil"/>
              <w:left w:val="nil"/>
              <w:bottom w:val="single" w:sz="4" w:space="0" w:color="auto"/>
              <w:right w:val="single" w:sz="4" w:space="0" w:color="auto"/>
            </w:tcBorders>
            <w:shd w:val="clear" w:color="auto" w:fill="31869B"/>
            <w:vAlign w:val="center"/>
            <w:hideMark/>
          </w:tcPr>
          <w:p w14:paraId="0279FD69" w14:textId="77777777" w:rsidR="004B7622" w:rsidRPr="00825100" w:rsidRDefault="004B7622" w:rsidP="00377989">
            <w:pPr>
              <w:spacing w:line="240" w:lineRule="auto"/>
              <w:jc w:val="center"/>
              <w:rPr>
                <w:rFonts w:ascii="Arial" w:eastAsia="Times New Roman" w:hAnsi="Arial" w:cs="Arial"/>
                <w:color w:val="FFFFFF"/>
                <w:sz w:val="18"/>
                <w:szCs w:val="18"/>
                <w:lang w:eastAsia="sl-SI"/>
              </w:rPr>
            </w:pPr>
            <w:r w:rsidRPr="00825100">
              <w:rPr>
                <w:rFonts w:ascii="Arial" w:eastAsia="Times New Roman" w:hAnsi="Arial" w:cs="Arial"/>
                <w:color w:val="FFFFFF"/>
                <w:sz w:val="18"/>
                <w:szCs w:val="18"/>
                <w:lang w:eastAsia="sl-SI"/>
              </w:rPr>
              <w:t xml:space="preserve">Znesek </w:t>
            </w:r>
          </w:p>
        </w:tc>
      </w:tr>
      <w:tr w:rsidR="004B7622" w14:paraId="2DC2A310" w14:textId="77777777" w:rsidTr="00377989">
        <w:trPr>
          <w:trHeight w:val="267"/>
        </w:trPr>
        <w:tc>
          <w:tcPr>
            <w:tcW w:w="1158" w:type="dxa"/>
            <w:tcBorders>
              <w:top w:val="nil"/>
              <w:left w:val="single" w:sz="4" w:space="0" w:color="auto"/>
              <w:bottom w:val="single" w:sz="4" w:space="0" w:color="auto"/>
              <w:right w:val="single" w:sz="4" w:space="0" w:color="auto"/>
            </w:tcBorders>
            <w:vAlign w:val="center"/>
            <w:hideMark/>
          </w:tcPr>
          <w:p w14:paraId="71C89A54" w14:textId="77777777" w:rsidR="004B7622" w:rsidRPr="00825100" w:rsidRDefault="004B7622" w:rsidP="00377989">
            <w:pPr>
              <w:spacing w:line="240" w:lineRule="auto"/>
              <w:rPr>
                <w:rFonts w:ascii="Arial" w:eastAsia="Times New Roman" w:hAnsi="Arial" w:cs="Arial"/>
                <w:color w:val="000000"/>
                <w:sz w:val="18"/>
                <w:szCs w:val="18"/>
                <w:lang w:eastAsia="sl-SI"/>
              </w:rPr>
            </w:pPr>
            <w:r w:rsidRPr="00825100">
              <w:rPr>
                <w:rFonts w:ascii="Arial" w:eastAsia="Times New Roman" w:hAnsi="Arial" w:cs="Arial"/>
                <w:color w:val="000000"/>
                <w:sz w:val="18"/>
                <w:szCs w:val="18"/>
                <w:lang w:eastAsia="sl-SI"/>
              </w:rPr>
              <w:t>ZPIZ</w:t>
            </w:r>
          </w:p>
        </w:tc>
        <w:tc>
          <w:tcPr>
            <w:tcW w:w="1938" w:type="dxa"/>
            <w:tcBorders>
              <w:top w:val="nil"/>
              <w:left w:val="nil"/>
              <w:bottom w:val="single" w:sz="4" w:space="0" w:color="auto"/>
              <w:right w:val="single" w:sz="4" w:space="0" w:color="auto"/>
            </w:tcBorders>
            <w:noWrap/>
            <w:vAlign w:val="center"/>
            <w:hideMark/>
          </w:tcPr>
          <w:p w14:paraId="37D58918" w14:textId="77777777" w:rsidR="004B7622" w:rsidRPr="00825100" w:rsidRDefault="004B7622" w:rsidP="00377989">
            <w:pPr>
              <w:spacing w:line="240" w:lineRule="auto"/>
              <w:jc w:val="right"/>
              <w:rPr>
                <w:rFonts w:ascii="Arial" w:eastAsia="Times New Roman" w:hAnsi="Arial" w:cs="Arial"/>
                <w:color w:val="000000"/>
                <w:sz w:val="18"/>
                <w:szCs w:val="18"/>
                <w:lang w:eastAsia="sl-SI"/>
              </w:rPr>
            </w:pPr>
            <w:r w:rsidRPr="00825100">
              <w:rPr>
                <w:rFonts w:ascii="Arial" w:eastAsia="Times New Roman" w:hAnsi="Arial" w:cs="Arial"/>
                <w:color w:val="000000"/>
                <w:sz w:val="18"/>
                <w:szCs w:val="18"/>
                <w:lang w:eastAsia="sl-SI"/>
              </w:rPr>
              <w:t>930</w:t>
            </w:r>
          </w:p>
        </w:tc>
        <w:tc>
          <w:tcPr>
            <w:tcW w:w="1053" w:type="dxa"/>
            <w:tcBorders>
              <w:top w:val="nil"/>
              <w:left w:val="nil"/>
              <w:bottom w:val="single" w:sz="4" w:space="0" w:color="auto"/>
              <w:right w:val="single" w:sz="4" w:space="0" w:color="auto"/>
            </w:tcBorders>
            <w:shd w:val="clear" w:color="auto" w:fill="DAEEF3"/>
            <w:noWrap/>
            <w:vAlign w:val="center"/>
            <w:hideMark/>
          </w:tcPr>
          <w:p w14:paraId="15F92BDF" w14:textId="77777777" w:rsidR="004B7622" w:rsidRPr="00825100" w:rsidRDefault="004B7622" w:rsidP="00377989">
            <w:pPr>
              <w:spacing w:line="240" w:lineRule="auto"/>
              <w:jc w:val="right"/>
              <w:rPr>
                <w:rFonts w:ascii="Arial" w:eastAsia="Times New Roman" w:hAnsi="Arial" w:cs="Arial"/>
                <w:color w:val="000000"/>
                <w:sz w:val="18"/>
                <w:szCs w:val="18"/>
                <w:lang w:eastAsia="sl-SI"/>
              </w:rPr>
            </w:pPr>
            <w:r w:rsidRPr="00825100">
              <w:rPr>
                <w:rFonts w:ascii="Arial" w:eastAsia="Times New Roman" w:hAnsi="Arial" w:cs="Arial"/>
                <w:color w:val="000000"/>
                <w:sz w:val="18"/>
                <w:szCs w:val="18"/>
                <w:lang w:eastAsia="sl-SI"/>
              </w:rPr>
              <w:t>8.089.508</w:t>
            </w:r>
          </w:p>
        </w:tc>
        <w:tc>
          <w:tcPr>
            <w:tcW w:w="1053" w:type="dxa"/>
            <w:tcBorders>
              <w:top w:val="nil"/>
              <w:left w:val="nil"/>
              <w:bottom w:val="single" w:sz="4" w:space="0" w:color="auto"/>
              <w:right w:val="single" w:sz="4" w:space="0" w:color="auto"/>
            </w:tcBorders>
            <w:noWrap/>
            <w:vAlign w:val="center"/>
            <w:hideMark/>
          </w:tcPr>
          <w:p w14:paraId="1314CECD" w14:textId="77777777" w:rsidR="004B7622" w:rsidRPr="00825100" w:rsidRDefault="004B7622" w:rsidP="00377989">
            <w:pPr>
              <w:spacing w:line="240" w:lineRule="auto"/>
              <w:jc w:val="right"/>
              <w:rPr>
                <w:rFonts w:ascii="Arial" w:eastAsia="Times New Roman" w:hAnsi="Arial" w:cs="Arial"/>
                <w:sz w:val="18"/>
                <w:szCs w:val="18"/>
                <w:lang w:eastAsia="sl-SI"/>
              </w:rPr>
            </w:pPr>
            <w:r w:rsidRPr="00825100">
              <w:rPr>
                <w:rFonts w:ascii="Arial" w:eastAsia="Times New Roman" w:hAnsi="Arial" w:cs="Arial"/>
                <w:sz w:val="18"/>
                <w:szCs w:val="18"/>
                <w:lang w:eastAsia="sl-SI"/>
              </w:rPr>
              <w:t>360</w:t>
            </w:r>
          </w:p>
        </w:tc>
        <w:tc>
          <w:tcPr>
            <w:tcW w:w="1116" w:type="dxa"/>
            <w:shd w:val="clear" w:color="auto" w:fill="DAEEF3"/>
            <w:noWrap/>
            <w:vAlign w:val="bottom"/>
            <w:hideMark/>
          </w:tcPr>
          <w:p w14:paraId="204E3836" w14:textId="77777777" w:rsidR="004B7622" w:rsidRPr="00825100" w:rsidRDefault="004B7622" w:rsidP="00377989">
            <w:pPr>
              <w:spacing w:line="240" w:lineRule="auto"/>
              <w:jc w:val="right"/>
              <w:rPr>
                <w:rFonts w:ascii="Arial" w:eastAsia="Times New Roman" w:hAnsi="Arial" w:cs="Arial"/>
                <w:sz w:val="18"/>
                <w:szCs w:val="18"/>
                <w:lang w:eastAsia="sl-SI"/>
              </w:rPr>
            </w:pPr>
            <w:r w:rsidRPr="00825100">
              <w:rPr>
                <w:rFonts w:ascii="Arial" w:eastAsia="Times New Roman" w:hAnsi="Arial" w:cs="Arial"/>
                <w:sz w:val="18"/>
                <w:szCs w:val="18"/>
                <w:lang w:eastAsia="sl-SI"/>
              </w:rPr>
              <w:t>2.913.818</w:t>
            </w:r>
          </w:p>
        </w:tc>
        <w:tc>
          <w:tcPr>
            <w:tcW w:w="1053" w:type="dxa"/>
            <w:tcBorders>
              <w:top w:val="nil"/>
              <w:left w:val="single" w:sz="4" w:space="0" w:color="auto"/>
              <w:bottom w:val="single" w:sz="4" w:space="0" w:color="auto"/>
              <w:right w:val="single" w:sz="4" w:space="0" w:color="auto"/>
            </w:tcBorders>
            <w:noWrap/>
            <w:vAlign w:val="center"/>
            <w:hideMark/>
          </w:tcPr>
          <w:p w14:paraId="73CF29C2" w14:textId="77777777" w:rsidR="004B7622" w:rsidRPr="00825100" w:rsidRDefault="004B7622" w:rsidP="00377989">
            <w:pPr>
              <w:spacing w:line="240" w:lineRule="auto"/>
              <w:jc w:val="right"/>
              <w:rPr>
                <w:rFonts w:ascii="Arial" w:eastAsia="Times New Roman" w:hAnsi="Arial" w:cs="Arial"/>
                <w:sz w:val="18"/>
                <w:szCs w:val="18"/>
                <w:lang w:eastAsia="sl-SI"/>
              </w:rPr>
            </w:pPr>
            <w:r w:rsidRPr="00825100">
              <w:rPr>
                <w:rFonts w:ascii="Arial" w:eastAsia="Times New Roman" w:hAnsi="Arial" w:cs="Arial"/>
                <w:sz w:val="18"/>
                <w:szCs w:val="18"/>
                <w:lang w:eastAsia="sl-SI"/>
              </w:rPr>
              <w:t>38,7</w:t>
            </w:r>
          </w:p>
        </w:tc>
        <w:tc>
          <w:tcPr>
            <w:tcW w:w="1222" w:type="dxa"/>
            <w:tcBorders>
              <w:top w:val="nil"/>
              <w:left w:val="nil"/>
              <w:bottom w:val="single" w:sz="4" w:space="0" w:color="auto"/>
              <w:right w:val="single" w:sz="4" w:space="0" w:color="auto"/>
            </w:tcBorders>
            <w:noWrap/>
            <w:vAlign w:val="center"/>
            <w:hideMark/>
          </w:tcPr>
          <w:p w14:paraId="6D81F5E1" w14:textId="77777777" w:rsidR="004B7622" w:rsidRPr="00825100" w:rsidRDefault="004B7622" w:rsidP="00377989">
            <w:pPr>
              <w:spacing w:line="240" w:lineRule="auto"/>
              <w:jc w:val="right"/>
              <w:rPr>
                <w:rFonts w:ascii="Arial" w:eastAsia="Times New Roman" w:hAnsi="Arial" w:cs="Arial"/>
                <w:sz w:val="18"/>
                <w:szCs w:val="18"/>
                <w:lang w:eastAsia="sl-SI"/>
              </w:rPr>
            </w:pPr>
            <w:r w:rsidRPr="00825100">
              <w:rPr>
                <w:rFonts w:ascii="Arial" w:eastAsia="Times New Roman" w:hAnsi="Arial" w:cs="Arial"/>
                <w:sz w:val="18"/>
                <w:szCs w:val="18"/>
                <w:lang w:eastAsia="sl-SI"/>
              </w:rPr>
              <w:t>36,0</w:t>
            </w:r>
          </w:p>
        </w:tc>
      </w:tr>
      <w:tr w:rsidR="004B7622" w14:paraId="040FD352" w14:textId="77777777" w:rsidTr="00377989">
        <w:trPr>
          <w:trHeight w:val="267"/>
        </w:trPr>
        <w:tc>
          <w:tcPr>
            <w:tcW w:w="1158" w:type="dxa"/>
            <w:tcBorders>
              <w:top w:val="nil"/>
              <w:left w:val="single" w:sz="4" w:space="0" w:color="auto"/>
              <w:bottom w:val="single" w:sz="4" w:space="0" w:color="auto"/>
              <w:right w:val="single" w:sz="4" w:space="0" w:color="auto"/>
            </w:tcBorders>
            <w:vAlign w:val="center"/>
            <w:hideMark/>
          </w:tcPr>
          <w:p w14:paraId="1EF66D10" w14:textId="77777777" w:rsidR="004B7622" w:rsidRPr="00825100" w:rsidRDefault="004B7622" w:rsidP="00377989">
            <w:pPr>
              <w:spacing w:line="240" w:lineRule="auto"/>
              <w:rPr>
                <w:rFonts w:ascii="Arial" w:eastAsia="Times New Roman" w:hAnsi="Arial" w:cs="Arial"/>
                <w:color w:val="000000"/>
                <w:sz w:val="18"/>
                <w:szCs w:val="18"/>
                <w:lang w:eastAsia="sl-SI"/>
              </w:rPr>
            </w:pPr>
            <w:r w:rsidRPr="00825100">
              <w:rPr>
                <w:rFonts w:ascii="Arial" w:eastAsia="Times New Roman" w:hAnsi="Arial" w:cs="Arial"/>
                <w:color w:val="000000"/>
                <w:sz w:val="18"/>
                <w:szCs w:val="18"/>
                <w:lang w:eastAsia="sl-SI"/>
              </w:rPr>
              <w:t>ZZZS</w:t>
            </w:r>
          </w:p>
        </w:tc>
        <w:tc>
          <w:tcPr>
            <w:tcW w:w="1938" w:type="dxa"/>
            <w:tcBorders>
              <w:top w:val="nil"/>
              <w:left w:val="nil"/>
              <w:bottom w:val="single" w:sz="4" w:space="0" w:color="auto"/>
              <w:right w:val="single" w:sz="4" w:space="0" w:color="auto"/>
            </w:tcBorders>
            <w:noWrap/>
            <w:vAlign w:val="center"/>
            <w:hideMark/>
          </w:tcPr>
          <w:p w14:paraId="6EC2C6E4" w14:textId="77777777" w:rsidR="004B7622" w:rsidRPr="00825100" w:rsidRDefault="004B7622" w:rsidP="00377989">
            <w:pPr>
              <w:spacing w:line="240" w:lineRule="auto"/>
              <w:jc w:val="right"/>
              <w:rPr>
                <w:rFonts w:ascii="Arial" w:eastAsia="Times New Roman" w:hAnsi="Arial" w:cs="Arial"/>
                <w:color w:val="000000"/>
                <w:sz w:val="18"/>
                <w:szCs w:val="18"/>
                <w:lang w:eastAsia="sl-SI"/>
              </w:rPr>
            </w:pPr>
            <w:r w:rsidRPr="00825100">
              <w:rPr>
                <w:rFonts w:ascii="Arial" w:eastAsia="Times New Roman" w:hAnsi="Arial" w:cs="Arial"/>
                <w:color w:val="000000"/>
                <w:sz w:val="18"/>
                <w:szCs w:val="18"/>
                <w:lang w:eastAsia="sl-SI"/>
              </w:rPr>
              <w:t>248</w:t>
            </w:r>
          </w:p>
        </w:tc>
        <w:tc>
          <w:tcPr>
            <w:tcW w:w="1053" w:type="dxa"/>
            <w:tcBorders>
              <w:top w:val="nil"/>
              <w:left w:val="nil"/>
              <w:bottom w:val="single" w:sz="4" w:space="0" w:color="auto"/>
              <w:right w:val="single" w:sz="4" w:space="0" w:color="auto"/>
            </w:tcBorders>
            <w:shd w:val="clear" w:color="auto" w:fill="DAEEF3"/>
            <w:noWrap/>
            <w:vAlign w:val="center"/>
            <w:hideMark/>
          </w:tcPr>
          <w:p w14:paraId="41550EFE" w14:textId="77777777" w:rsidR="004B7622" w:rsidRPr="00825100" w:rsidRDefault="004B7622" w:rsidP="00377989">
            <w:pPr>
              <w:spacing w:line="240" w:lineRule="auto"/>
              <w:jc w:val="right"/>
              <w:rPr>
                <w:rFonts w:ascii="Arial" w:eastAsia="Times New Roman" w:hAnsi="Arial" w:cs="Arial"/>
                <w:color w:val="000000"/>
                <w:sz w:val="18"/>
                <w:szCs w:val="18"/>
                <w:lang w:eastAsia="sl-SI"/>
              </w:rPr>
            </w:pPr>
            <w:r w:rsidRPr="00825100">
              <w:rPr>
                <w:rFonts w:ascii="Arial" w:eastAsia="Times New Roman" w:hAnsi="Arial" w:cs="Arial"/>
                <w:color w:val="000000"/>
                <w:sz w:val="18"/>
                <w:szCs w:val="18"/>
                <w:lang w:eastAsia="sl-SI"/>
              </w:rPr>
              <w:t>1.194.661</w:t>
            </w:r>
          </w:p>
        </w:tc>
        <w:tc>
          <w:tcPr>
            <w:tcW w:w="1053" w:type="dxa"/>
            <w:tcBorders>
              <w:top w:val="nil"/>
              <w:left w:val="nil"/>
              <w:bottom w:val="single" w:sz="4" w:space="0" w:color="auto"/>
              <w:right w:val="single" w:sz="4" w:space="0" w:color="auto"/>
            </w:tcBorders>
            <w:noWrap/>
            <w:vAlign w:val="bottom"/>
            <w:hideMark/>
          </w:tcPr>
          <w:p w14:paraId="772CEAFB" w14:textId="77777777" w:rsidR="004B7622" w:rsidRPr="00825100" w:rsidRDefault="004B7622" w:rsidP="00377989">
            <w:pPr>
              <w:spacing w:line="240" w:lineRule="auto"/>
              <w:jc w:val="right"/>
              <w:rPr>
                <w:rFonts w:ascii="Arial" w:eastAsia="Times New Roman" w:hAnsi="Arial" w:cs="Arial"/>
                <w:sz w:val="18"/>
                <w:szCs w:val="18"/>
                <w:lang w:eastAsia="sl-SI"/>
              </w:rPr>
            </w:pPr>
            <w:r w:rsidRPr="00825100">
              <w:rPr>
                <w:rFonts w:ascii="Arial" w:eastAsia="Times New Roman" w:hAnsi="Arial" w:cs="Arial"/>
                <w:sz w:val="18"/>
                <w:szCs w:val="18"/>
                <w:lang w:eastAsia="sl-SI"/>
              </w:rPr>
              <w:t>33</w:t>
            </w:r>
          </w:p>
        </w:tc>
        <w:tc>
          <w:tcPr>
            <w:tcW w:w="1116" w:type="dxa"/>
            <w:tcBorders>
              <w:top w:val="single" w:sz="4" w:space="0" w:color="auto"/>
              <w:left w:val="nil"/>
              <w:bottom w:val="single" w:sz="4" w:space="0" w:color="auto"/>
              <w:right w:val="single" w:sz="4" w:space="0" w:color="auto"/>
            </w:tcBorders>
            <w:shd w:val="clear" w:color="auto" w:fill="DAEEF3"/>
            <w:noWrap/>
            <w:vAlign w:val="bottom"/>
            <w:hideMark/>
          </w:tcPr>
          <w:p w14:paraId="113F8EAE" w14:textId="77777777" w:rsidR="004B7622" w:rsidRPr="00825100" w:rsidRDefault="004B7622" w:rsidP="00377989">
            <w:pPr>
              <w:spacing w:line="240" w:lineRule="auto"/>
              <w:jc w:val="right"/>
              <w:rPr>
                <w:rFonts w:ascii="Arial" w:eastAsia="Times New Roman" w:hAnsi="Arial" w:cs="Arial"/>
                <w:sz w:val="18"/>
                <w:szCs w:val="18"/>
                <w:lang w:eastAsia="sl-SI"/>
              </w:rPr>
            </w:pPr>
            <w:r w:rsidRPr="00825100">
              <w:rPr>
                <w:rFonts w:ascii="Arial" w:eastAsia="Times New Roman" w:hAnsi="Arial" w:cs="Arial"/>
                <w:sz w:val="18"/>
                <w:szCs w:val="18"/>
                <w:lang w:eastAsia="sl-SI"/>
              </w:rPr>
              <w:t>141.540</w:t>
            </w:r>
          </w:p>
        </w:tc>
        <w:tc>
          <w:tcPr>
            <w:tcW w:w="1053" w:type="dxa"/>
            <w:tcBorders>
              <w:top w:val="nil"/>
              <w:left w:val="nil"/>
              <w:bottom w:val="single" w:sz="4" w:space="0" w:color="auto"/>
              <w:right w:val="single" w:sz="4" w:space="0" w:color="auto"/>
            </w:tcBorders>
            <w:noWrap/>
            <w:vAlign w:val="center"/>
            <w:hideMark/>
          </w:tcPr>
          <w:p w14:paraId="4E51677A" w14:textId="77777777" w:rsidR="004B7622" w:rsidRPr="00825100" w:rsidRDefault="004B7622" w:rsidP="00377989">
            <w:pPr>
              <w:spacing w:line="240" w:lineRule="auto"/>
              <w:jc w:val="right"/>
              <w:rPr>
                <w:rFonts w:ascii="Arial" w:eastAsia="Times New Roman" w:hAnsi="Arial" w:cs="Arial"/>
                <w:sz w:val="18"/>
                <w:szCs w:val="18"/>
                <w:lang w:eastAsia="sl-SI"/>
              </w:rPr>
            </w:pPr>
            <w:r w:rsidRPr="00825100">
              <w:rPr>
                <w:rFonts w:ascii="Arial" w:eastAsia="Times New Roman" w:hAnsi="Arial" w:cs="Arial"/>
                <w:sz w:val="18"/>
                <w:szCs w:val="18"/>
                <w:lang w:eastAsia="sl-SI"/>
              </w:rPr>
              <w:t>13,3</w:t>
            </w:r>
          </w:p>
        </w:tc>
        <w:tc>
          <w:tcPr>
            <w:tcW w:w="1222" w:type="dxa"/>
            <w:tcBorders>
              <w:top w:val="nil"/>
              <w:left w:val="nil"/>
              <w:bottom w:val="single" w:sz="4" w:space="0" w:color="auto"/>
              <w:right w:val="single" w:sz="4" w:space="0" w:color="auto"/>
            </w:tcBorders>
            <w:noWrap/>
            <w:vAlign w:val="center"/>
            <w:hideMark/>
          </w:tcPr>
          <w:p w14:paraId="23FB8AFD" w14:textId="77777777" w:rsidR="004B7622" w:rsidRPr="00825100" w:rsidRDefault="004B7622" w:rsidP="00377989">
            <w:pPr>
              <w:spacing w:line="240" w:lineRule="auto"/>
              <w:jc w:val="right"/>
              <w:rPr>
                <w:rFonts w:ascii="Arial" w:eastAsia="Times New Roman" w:hAnsi="Arial" w:cs="Arial"/>
                <w:sz w:val="18"/>
                <w:szCs w:val="18"/>
                <w:lang w:eastAsia="sl-SI"/>
              </w:rPr>
            </w:pPr>
            <w:r w:rsidRPr="00825100">
              <w:rPr>
                <w:rFonts w:ascii="Arial" w:eastAsia="Times New Roman" w:hAnsi="Arial" w:cs="Arial"/>
                <w:sz w:val="18"/>
                <w:szCs w:val="18"/>
                <w:lang w:eastAsia="sl-SI"/>
              </w:rPr>
              <w:t>11,8</w:t>
            </w:r>
          </w:p>
        </w:tc>
      </w:tr>
      <w:tr w:rsidR="004B7622" w14:paraId="6B668A2E" w14:textId="77777777" w:rsidTr="00377989">
        <w:trPr>
          <w:trHeight w:val="267"/>
        </w:trPr>
        <w:tc>
          <w:tcPr>
            <w:tcW w:w="1158" w:type="dxa"/>
            <w:tcBorders>
              <w:top w:val="nil"/>
              <w:left w:val="single" w:sz="4" w:space="0" w:color="auto"/>
              <w:bottom w:val="single" w:sz="4" w:space="0" w:color="auto"/>
              <w:right w:val="single" w:sz="4" w:space="0" w:color="auto"/>
            </w:tcBorders>
            <w:vAlign w:val="center"/>
            <w:hideMark/>
          </w:tcPr>
          <w:p w14:paraId="6E2AA83C" w14:textId="77777777" w:rsidR="004B7622" w:rsidRPr="00825100" w:rsidRDefault="004B7622" w:rsidP="00377989">
            <w:pPr>
              <w:spacing w:line="240" w:lineRule="auto"/>
              <w:rPr>
                <w:rFonts w:ascii="Arial" w:eastAsia="Times New Roman" w:hAnsi="Arial" w:cs="Arial"/>
                <w:color w:val="000000"/>
                <w:sz w:val="18"/>
                <w:szCs w:val="18"/>
                <w:lang w:eastAsia="sl-SI"/>
              </w:rPr>
            </w:pPr>
            <w:r w:rsidRPr="00825100">
              <w:rPr>
                <w:rFonts w:ascii="Arial" w:eastAsia="Times New Roman" w:hAnsi="Arial" w:cs="Arial"/>
                <w:color w:val="000000"/>
                <w:sz w:val="18"/>
                <w:szCs w:val="18"/>
                <w:lang w:eastAsia="sl-SI"/>
              </w:rPr>
              <w:t>MDDSZ</w:t>
            </w:r>
          </w:p>
        </w:tc>
        <w:tc>
          <w:tcPr>
            <w:tcW w:w="1938" w:type="dxa"/>
            <w:tcBorders>
              <w:top w:val="nil"/>
              <w:left w:val="nil"/>
              <w:bottom w:val="single" w:sz="4" w:space="0" w:color="auto"/>
              <w:right w:val="single" w:sz="4" w:space="0" w:color="auto"/>
            </w:tcBorders>
            <w:noWrap/>
            <w:vAlign w:val="center"/>
            <w:hideMark/>
          </w:tcPr>
          <w:p w14:paraId="7584EF85" w14:textId="77777777" w:rsidR="004B7622" w:rsidRPr="00825100" w:rsidRDefault="004B7622" w:rsidP="00377989">
            <w:pPr>
              <w:spacing w:line="240" w:lineRule="auto"/>
              <w:jc w:val="right"/>
              <w:rPr>
                <w:rFonts w:ascii="Arial" w:eastAsia="Times New Roman" w:hAnsi="Arial" w:cs="Arial"/>
                <w:color w:val="000000"/>
                <w:sz w:val="18"/>
                <w:szCs w:val="18"/>
                <w:lang w:eastAsia="sl-SI"/>
              </w:rPr>
            </w:pPr>
            <w:r w:rsidRPr="00825100">
              <w:rPr>
                <w:rFonts w:ascii="Arial" w:eastAsia="Times New Roman" w:hAnsi="Arial" w:cs="Arial"/>
                <w:color w:val="000000"/>
                <w:sz w:val="18"/>
                <w:szCs w:val="18"/>
                <w:lang w:eastAsia="sl-SI"/>
              </w:rPr>
              <w:t>0</w:t>
            </w:r>
          </w:p>
        </w:tc>
        <w:tc>
          <w:tcPr>
            <w:tcW w:w="1053" w:type="dxa"/>
            <w:tcBorders>
              <w:top w:val="nil"/>
              <w:left w:val="nil"/>
              <w:bottom w:val="single" w:sz="4" w:space="0" w:color="auto"/>
              <w:right w:val="single" w:sz="4" w:space="0" w:color="auto"/>
            </w:tcBorders>
            <w:shd w:val="clear" w:color="auto" w:fill="DAEEF3"/>
            <w:noWrap/>
            <w:vAlign w:val="center"/>
            <w:hideMark/>
          </w:tcPr>
          <w:p w14:paraId="07E5A68C" w14:textId="77777777" w:rsidR="004B7622" w:rsidRPr="00825100" w:rsidRDefault="004B7622" w:rsidP="00377989">
            <w:pPr>
              <w:spacing w:line="240" w:lineRule="auto"/>
              <w:jc w:val="right"/>
              <w:rPr>
                <w:rFonts w:ascii="Arial" w:eastAsia="Times New Roman" w:hAnsi="Arial" w:cs="Arial"/>
                <w:color w:val="000000"/>
                <w:sz w:val="18"/>
                <w:szCs w:val="18"/>
                <w:lang w:eastAsia="sl-SI"/>
              </w:rPr>
            </w:pPr>
            <w:r w:rsidRPr="00825100">
              <w:rPr>
                <w:rFonts w:ascii="Arial" w:eastAsia="Times New Roman" w:hAnsi="Arial" w:cs="Arial"/>
                <w:color w:val="000000"/>
                <w:sz w:val="18"/>
                <w:szCs w:val="18"/>
                <w:lang w:eastAsia="sl-SI"/>
              </w:rPr>
              <w:t>0</w:t>
            </w:r>
          </w:p>
        </w:tc>
        <w:tc>
          <w:tcPr>
            <w:tcW w:w="1053" w:type="dxa"/>
            <w:tcBorders>
              <w:top w:val="nil"/>
              <w:left w:val="nil"/>
              <w:bottom w:val="single" w:sz="4" w:space="0" w:color="auto"/>
              <w:right w:val="single" w:sz="4" w:space="0" w:color="auto"/>
            </w:tcBorders>
            <w:noWrap/>
            <w:vAlign w:val="center"/>
            <w:hideMark/>
          </w:tcPr>
          <w:p w14:paraId="10330BA0" w14:textId="77777777" w:rsidR="004B7622" w:rsidRPr="00825100" w:rsidRDefault="004B7622" w:rsidP="00377989">
            <w:pPr>
              <w:spacing w:line="240" w:lineRule="auto"/>
              <w:jc w:val="right"/>
              <w:rPr>
                <w:rFonts w:ascii="Arial" w:eastAsia="Times New Roman" w:hAnsi="Arial" w:cs="Arial"/>
                <w:sz w:val="18"/>
                <w:szCs w:val="18"/>
                <w:lang w:eastAsia="sl-SI"/>
              </w:rPr>
            </w:pPr>
            <w:r w:rsidRPr="00825100">
              <w:rPr>
                <w:rFonts w:ascii="Arial" w:eastAsia="Times New Roman" w:hAnsi="Arial" w:cs="Arial"/>
                <w:sz w:val="18"/>
                <w:szCs w:val="18"/>
                <w:lang w:eastAsia="sl-SI"/>
              </w:rPr>
              <w:t>0</w:t>
            </w:r>
          </w:p>
        </w:tc>
        <w:tc>
          <w:tcPr>
            <w:tcW w:w="1116" w:type="dxa"/>
            <w:shd w:val="clear" w:color="auto" w:fill="DAEEF3"/>
            <w:noWrap/>
            <w:vAlign w:val="bottom"/>
            <w:hideMark/>
          </w:tcPr>
          <w:p w14:paraId="1151A689" w14:textId="77777777" w:rsidR="004B7622" w:rsidRPr="00825100" w:rsidRDefault="004B7622" w:rsidP="00377989">
            <w:pPr>
              <w:spacing w:line="240" w:lineRule="auto"/>
              <w:jc w:val="right"/>
              <w:rPr>
                <w:rFonts w:ascii="Arial" w:eastAsia="Times New Roman" w:hAnsi="Arial" w:cs="Arial"/>
                <w:sz w:val="18"/>
                <w:szCs w:val="18"/>
                <w:lang w:eastAsia="sl-SI"/>
              </w:rPr>
            </w:pPr>
            <w:r w:rsidRPr="00825100">
              <w:rPr>
                <w:rFonts w:ascii="Arial" w:eastAsia="Times New Roman" w:hAnsi="Arial" w:cs="Arial"/>
                <w:sz w:val="18"/>
                <w:szCs w:val="18"/>
                <w:lang w:eastAsia="sl-SI"/>
              </w:rPr>
              <w:t>0</w:t>
            </w:r>
          </w:p>
        </w:tc>
        <w:tc>
          <w:tcPr>
            <w:tcW w:w="1053" w:type="dxa"/>
            <w:tcBorders>
              <w:top w:val="nil"/>
              <w:left w:val="single" w:sz="4" w:space="0" w:color="auto"/>
              <w:bottom w:val="single" w:sz="4" w:space="0" w:color="auto"/>
              <w:right w:val="single" w:sz="4" w:space="0" w:color="auto"/>
            </w:tcBorders>
            <w:noWrap/>
            <w:vAlign w:val="center"/>
            <w:hideMark/>
          </w:tcPr>
          <w:p w14:paraId="046E8C19" w14:textId="77777777" w:rsidR="004B7622" w:rsidRPr="00825100" w:rsidRDefault="004B7622" w:rsidP="00377989">
            <w:pPr>
              <w:spacing w:line="240" w:lineRule="auto"/>
              <w:jc w:val="right"/>
              <w:rPr>
                <w:rFonts w:ascii="Arial" w:eastAsia="Times New Roman" w:hAnsi="Arial" w:cs="Arial"/>
                <w:color w:val="000000"/>
                <w:sz w:val="18"/>
                <w:szCs w:val="18"/>
                <w:lang w:eastAsia="sl-SI"/>
              </w:rPr>
            </w:pPr>
            <w:r w:rsidRPr="00825100">
              <w:rPr>
                <w:rFonts w:ascii="Arial" w:eastAsia="Times New Roman" w:hAnsi="Arial" w:cs="Arial"/>
                <w:color w:val="000000"/>
                <w:sz w:val="18"/>
                <w:szCs w:val="18"/>
                <w:lang w:eastAsia="sl-SI"/>
              </w:rPr>
              <w:t>/</w:t>
            </w:r>
          </w:p>
        </w:tc>
        <w:tc>
          <w:tcPr>
            <w:tcW w:w="1222" w:type="dxa"/>
            <w:tcBorders>
              <w:top w:val="nil"/>
              <w:left w:val="nil"/>
              <w:bottom w:val="single" w:sz="4" w:space="0" w:color="auto"/>
              <w:right w:val="single" w:sz="4" w:space="0" w:color="auto"/>
            </w:tcBorders>
            <w:noWrap/>
            <w:vAlign w:val="center"/>
            <w:hideMark/>
          </w:tcPr>
          <w:p w14:paraId="200142A5" w14:textId="77777777" w:rsidR="004B7622" w:rsidRPr="00825100" w:rsidRDefault="004B7622" w:rsidP="00377989">
            <w:pPr>
              <w:spacing w:line="240" w:lineRule="auto"/>
              <w:jc w:val="right"/>
              <w:rPr>
                <w:rFonts w:ascii="Arial" w:eastAsia="Times New Roman" w:hAnsi="Arial" w:cs="Arial"/>
                <w:color w:val="000000"/>
                <w:sz w:val="18"/>
                <w:szCs w:val="18"/>
                <w:lang w:eastAsia="sl-SI"/>
              </w:rPr>
            </w:pPr>
            <w:r w:rsidRPr="00825100">
              <w:rPr>
                <w:rFonts w:ascii="Arial" w:eastAsia="Times New Roman" w:hAnsi="Arial" w:cs="Arial"/>
                <w:color w:val="000000"/>
                <w:sz w:val="18"/>
                <w:szCs w:val="18"/>
                <w:lang w:eastAsia="sl-SI"/>
              </w:rPr>
              <w:t>/</w:t>
            </w:r>
          </w:p>
        </w:tc>
      </w:tr>
      <w:tr w:rsidR="004B7622" w14:paraId="6871195E" w14:textId="77777777" w:rsidTr="00377989">
        <w:trPr>
          <w:trHeight w:val="736"/>
        </w:trPr>
        <w:tc>
          <w:tcPr>
            <w:tcW w:w="1158" w:type="dxa"/>
            <w:tcBorders>
              <w:top w:val="nil"/>
              <w:left w:val="single" w:sz="4" w:space="0" w:color="auto"/>
              <w:bottom w:val="single" w:sz="4" w:space="0" w:color="auto"/>
              <w:right w:val="single" w:sz="4" w:space="0" w:color="auto"/>
            </w:tcBorders>
            <w:vAlign w:val="center"/>
            <w:hideMark/>
          </w:tcPr>
          <w:p w14:paraId="57D00989" w14:textId="77777777" w:rsidR="004B7622" w:rsidRPr="00825100" w:rsidRDefault="004B7622" w:rsidP="00377989">
            <w:pPr>
              <w:spacing w:line="240" w:lineRule="auto"/>
              <w:rPr>
                <w:rFonts w:ascii="Arial" w:eastAsia="Times New Roman" w:hAnsi="Arial" w:cs="Arial"/>
                <w:b/>
                <w:bCs/>
                <w:color w:val="000000"/>
                <w:sz w:val="18"/>
                <w:szCs w:val="18"/>
                <w:lang w:eastAsia="sl-SI"/>
              </w:rPr>
            </w:pPr>
            <w:r w:rsidRPr="00825100">
              <w:rPr>
                <w:rFonts w:ascii="Arial" w:eastAsia="Times New Roman" w:hAnsi="Arial" w:cs="Arial"/>
                <w:b/>
                <w:bCs/>
                <w:color w:val="000000"/>
                <w:sz w:val="18"/>
                <w:szCs w:val="18"/>
                <w:lang w:eastAsia="sl-SI"/>
              </w:rPr>
              <w:t>Skupaj poslanih predlogov</w:t>
            </w:r>
          </w:p>
        </w:tc>
        <w:tc>
          <w:tcPr>
            <w:tcW w:w="1938" w:type="dxa"/>
            <w:tcBorders>
              <w:top w:val="nil"/>
              <w:left w:val="nil"/>
              <w:bottom w:val="single" w:sz="4" w:space="0" w:color="auto"/>
              <w:right w:val="single" w:sz="4" w:space="0" w:color="auto"/>
            </w:tcBorders>
            <w:noWrap/>
            <w:vAlign w:val="center"/>
            <w:hideMark/>
          </w:tcPr>
          <w:p w14:paraId="630AAC4D" w14:textId="77777777" w:rsidR="004B7622" w:rsidRPr="00825100" w:rsidRDefault="004B7622" w:rsidP="00377989">
            <w:pPr>
              <w:spacing w:line="240" w:lineRule="auto"/>
              <w:jc w:val="right"/>
              <w:rPr>
                <w:rFonts w:ascii="Arial" w:eastAsia="Times New Roman" w:hAnsi="Arial" w:cs="Arial"/>
                <w:b/>
                <w:bCs/>
                <w:color w:val="000000"/>
                <w:sz w:val="18"/>
                <w:szCs w:val="18"/>
                <w:lang w:eastAsia="sl-SI"/>
              </w:rPr>
            </w:pPr>
            <w:r w:rsidRPr="00825100">
              <w:rPr>
                <w:rFonts w:ascii="Arial" w:eastAsia="Times New Roman" w:hAnsi="Arial" w:cs="Arial"/>
                <w:b/>
                <w:bCs/>
                <w:color w:val="000000"/>
                <w:sz w:val="18"/>
                <w:szCs w:val="18"/>
                <w:lang w:eastAsia="sl-SI"/>
              </w:rPr>
              <w:t>1.178</w:t>
            </w:r>
          </w:p>
        </w:tc>
        <w:tc>
          <w:tcPr>
            <w:tcW w:w="1053" w:type="dxa"/>
            <w:tcBorders>
              <w:top w:val="nil"/>
              <w:left w:val="nil"/>
              <w:bottom w:val="single" w:sz="4" w:space="0" w:color="auto"/>
              <w:right w:val="single" w:sz="4" w:space="0" w:color="auto"/>
            </w:tcBorders>
            <w:shd w:val="clear" w:color="auto" w:fill="DAEEF3"/>
            <w:noWrap/>
            <w:vAlign w:val="center"/>
            <w:hideMark/>
          </w:tcPr>
          <w:p w14:paraId="2B80F684" w14:textId="77777777" w:rsidR="004B7622" w:rsidRPr="00825100" w:rsidRDefault="004B7622" w:rsidP="00377989">
            <w:pPr>
              <w:spacing w:line="240" w:lineRule="auto"/>
              <w:jc w:val="right"/>
              <w:rPr>
                <w:rFonts w:ascii="Arial" w:eastAsia="Times New Roman" w:hAnsi="Arial" w:cs="Arial"/>
                <w:color w:val="000000"/>
                <w:sz w:val="18"/>
                <w:szCs w:val="18"/>
                <w:lang w:eastAsia="sl-SI"/>
              </w:rPr>
            </w:pPr>
            <w:r w:rsidRPr="00825100">
              <w:rPr>
                <w:rFonts w:ascii="Arial" w:eastAsia="Times New Roman" w:hAnsi="Arial" w:cs="Arial"/>
                <w:color w:val="000000"/>
                <w:sz w:val="18"/>
                <w:szCs w:val="18"/>
                <w:lang w:eastAsia="sl-SI"/>
              </w:rPr>
              <w:t>9.284.169</w:t>
            </w:r>
          </w:p>
        </w:tc>
        <w:tc>
          <w:tcPr>
            <w:tcW w:w="1053" w:type="dxa"/>
            <w:tcBorders>
              <w:top w:val="nil"/>
              <w:left w:val="nil"/>
              <w:bottom w:val="single" w:sz="4" w:space="0" w:color="auto"/>
              <w:right w:val="single" w:sz="4" w:space="0" w:color="auto"/>
            </w:tcBorders>
            <w:noWrap/>
            <w:vAlign w:val="center"/>
            <w:hideMark/>
          </w:tcPr>
          <w:p w14:paraId="0D7DF90D" w14:textId="77777777" w:rsidR="004B7622" w:rsidRPr="00825100" w:rsidRDefault="004B7622" w:rsidP="00377989">
            <w:pPr>
              <w:spacing w:line="240" w:lineRule="auto"/>
              <w:jc w:val="right"/>
              <w:rPr>
                <w:rFonts w:ascii="Arial" w:eastAsia="Times New Roman" w:hAnsi="Arial" w:cs="Arial"/>
                <w:b/>
                <w:bCs/>
                <w:color w:val="000000"/>
                <w:sz w:val="18"/>
                <w:szCs w:val="18"/>
                <w:lang w:eastAsia="sl-SI"/>
              </w:rPr>
            </w:pPr>
            <w:r w:rsidRPr="00825100">
              <w:rPr>
                <w:rFonts w:ascii="Arial" w:eastAsia="Times New Roman" w:hAnsi="Arial" w:cs="Arial"/>
                <w:b/>
                <w:bCs/>
                <w:color w:val="000000"/>
                <w:sz w:val="18"/>
                <w:szCs w:val="18"/>
                <w:lang w:eastAsia="sl-SI"/>
              </w:rPr>
              <w:t>393</w:t>
            </w:r>
          </w:p>
        </w:tc>
        <w:tc>
          <w:tcPr>
            <w:tcW w:w="1116" w:type="dxa"/>
            <w:tcBorders>
              <w:top w:val="single" w:sz="4" w:space="0" w:color="auto"/>
              <w:left w:val="nil"/>
              <w:bottom w:val="single" w:sz="4" w:space="0" w:color="auto"/>
              <w:right w:val="single" w:sz="4" w:space="0" w:color="auto"/>
            </w:tcBorders>
            <w:shd w:val="clear" w:color="auto" w:fill="DAEEF3"/>
            <w:noWrap/>
            <w:vAlign w:val="center"/>
            <w:hideMark/>
          </w:tcPr>
          <w:p w14:paraId="34C82C0F" w14:textId="77777777" w:rsidR="004B7622" w:rsidRPr="00825100" w:rsidRDefault="004B7622" w:rsidP="00377989">
            <w:pPr>
              <w:spacing w:line="240" w:lineRule="auto"/>
              <w:jc w:val="right"/>
              <w:rPr>
                <w:rFonts w:ascii="Arial" w:eastAsia="Times New Roman" w:hAnsi="Arial" w:cs="Arial"/>
                <w:b/>
                <w:bCs/>
                <w:color w:val="000000"/>
                <w:sz w:val="18"/>
                <w:szCs w:val="18"/>
                <w:lang w:eastAsia="sl-SI"/>
              </w:rPr>
            </w:pPr>
            <w:r w:rsidRPr="00825100">
              <w:rPr>
                <w:rFonts w:ascii="Arial" w:eastAsia="Times New Roman" w:hAnsi="Arial" w:cs="Arial"/>
                <w:b/>
                <w:bCs/>
                <w:color w:val="000000"/>
                <w:sz w:val="18"/>
                <w:szCs w:val="18"/>
                <w:lang w:eastAsia="sl-SI"/>
              </w:rPr>
              <w:t>3.055.358</w:t>
            </w:r>
          </w:p>
        </w:tc>
        <w:tc>
          <w:tcPr>
            <w:tcW w:w="1053" w:type="dxa"/>
            <w:tcBorders>
              <w:top w:val="nil"/>
              <w:left w:val="nil"/>
              <w:bottom w:val="single" w:sz="4" w:space="0" w:color="auto"/>
              <w:right w:val="single" w:sz="4" w:space="0" w:color="auto"/>
            </w:tcBorders>
            <w:noWrap/>
            <w:vAlign w:val="center"/>
            <w:hideMark/>
          </w:tcPr>
          <w:p w14:paraId="7E4F0819" w14:textId="77777777" w:rsidR="004B7622" w:rsidRPr="00825100" w:rsidRDefault="004B7622" w:rsidP="00377989">
            <w:pPr>
              <w:spacing w:line="240" w:lineRule="auto"/>
              <w:jc w:val="right"/>
              <w:rPr>
                <w:rFonts w:ascii="Arial" w:eastAsia="Times New Roman" w:hAnsi="Arial" w:cs="Arial"/>
                <w:sz w:val="18"/>
                <w:szCs w:val="18"/>
                <w:lang w:eastAsia="sl-SI"/>
              </w:rPr>
            </w:pPr>
            <w:r w:rsidRPr="00825100">
              <w:rPr>
                <w:rFonts w:ascii="Arial" w:eastAsia="Times New Roman" w:hAnsi="Arial" w:cs="Arial"/>
                <w:sz w:val="18"/>
                <w:szCs w:val="18"/>
                <w:lang w:eastAsia="sl-SI"/>
              </w:rPr>
              <w:t>33,4</w:t>
            </w:r>
          </w:p>
        </w:tc>
        <w:tc>
          <w:tcPr>
            <w:tcW w:w="1222" w:type="dxa"/>
            <w:tcBorders>
              <w:top w:val="nil"/>
              <w:left w:val="nil"/>
              <w:bottom w:val="single" w:sz="4" w:space="0" w:color="auto"/>
              <w:right w:val="single" w:sz="4" w:space="0" w:color="auto"/>
            </w:tcBorders>
            <w:noWrap/>
            <w:vAlign w:val="center"/>
            <w:hideMark/>
          </w:tcPr>
          <w:p w14:paraId="38F6A051" w14:textId="77777777" w:rsidR="004B7622" w:rsidRPr="00825100" w:rsidRDefault="004B7622" w:rsidP="00377989">
            <w:pPr>
              <w:spacing w:line="240" w:lineRule="auto"/>
              <w:jc w:val="right"/>
              <w:rPr>
                <w:rFonts w:ascii="Arial" w:eastAsia="Times New Roman" w:hAnsi="Arial" w:cs="Arial"/>
                <w:sz w:val="18"/>
                <w:szCs w:val="18"/>
                <w:lang w:eastAsia="sl-SI"/>
              </w:rPr>
            </w:pPr>
            <w:r w:rsidRPr="00825100">
              <w:rPr>
                <w:rFonts w:ascii="Arial" w:eastAsia="Times New Roman" w:hAnsi="Arial" w:cs="Arial"/>
                <w:sz w:val="18"/>
                <w:szCs w:val="18"/>
                <w:lang w:eastAsia="sl-SI"/>
              </w:rPr>
              <w:t>32,9</w:t>
            </w:r>
          </w:p>
        </w:tc>
      </w:tr>
    </w:tbl>
    <w:p w14:paraId="55E71219" w14:textId="77777777" w:rsidR="004B7622" w:rsidRPr="00534703" w:rsidRDefault="004B7622" w:rsidP="004B7622">
      <w:pPr>
        <w:rPr>
          <w:rFonts w:ascii="Arial" w:hAnsi="Arial" w:cs="Arial"/>
          <w:i/>
          <w:sz w:val="20"/>
          <w:szCs w:val="20"/>
        </w:rPr>
      </w:pPr>
      <w:r w:rsidRPr="00534703">
        <w:rPr>
          <w:rFonts w:ascii="Arial" w:hAnsi="Arial" w:cs="Arial"/>
          <w:i/>
          <w:sz w:val="20"/>
          <w:szCs w:val="20"/>
        </w:rPr>
        <w:t>Vir: FURS</w:t>
      </w:r>
    </w:p>
    <w:p w14:paraId="1CAE38F4" w14:textId="77777777" w:rsidR="004B7622" w:rsidRPr="00825100" w:rsidRDefault="004B7622" w:rsidP="004B7622">
      <w:pPr>
        <w:jc w:val="both"/>
        <w:rPr>
          <w:rFonts w:ascii="Arial" w:hAnsi="Arial" w:cs="Arial"/>
          <w:sz w:val="20"/>
          <w:szCs w:val="20"/>
        </w:rPr>
      </w:pPr>
      <w:r w:rsidRPr="00825100">
        <w:rPr>
          <w:rFonts w:ascii="Arial" w:hAnsi="Arial" w:cs="Arial"/>
          <w:sz w:val="20"/>
          <w:szCs w:val="20"/>
        </w:rPr>
        <w:t>S strani nosilcev socialne varnosti v Sloveniji je F</w:t>
      </w:r>
      <w:r>
        <w:rPr>
          <w:rFonts w:ascii="Arial" w:hAnsi="Arial" w:cs="Arial"/>
          <w:sz w:val="20"/>
          <w:szCs w:val="20"/>
        </w:rPr>
        <w:t>URS p</w:t>
      </w:r>
      <w:r w:rsidRPr="00825100">
        <w:rPr>
          <w:rFonts w:ascii="Arial" w:hAnsi="Arial" w:cs="Arial"/>
          <w:sz w:val="20"/>
          <w:szCs w:val="20"/>
        </w:rPr>
        <w:t xml:space="preserve">rejel 103 zahtevke za izterjavo prispevkov za druge države članice EU v skupni višini 280.190 </w:t>
      </w:r>
      <w:r>
        <w:rPr>
          <w:rFonts w:ascii="Arial" w:hAnsi="Arial" w:cs="Arial"/>
          <w:sz w:val="20"/>
          <w:szCs w:val="20"/>
        </w:rPr>
        <w:t>EUR</w:t>
      </w:r>
      <w:r w:rsidRPr="00825100">
        <w:rPr>
          <w:rFonts w:ascii="Arial" w:hAnsi="Arial" w:cs="Arial"/>
          <w:sz w:val="20"/>
          <w:szCs w:val="20"/>
        </w:rPr>
        <w:t xml:space="preserve">. Na podlagi izvedenih ukrepov je bilo izterjanega za 64.950 </w:t>
      </w:r>
      <w:r>
        <w:rPr>
          <w:rFonts w:ascii="Arial" w:hAnsi="Arial" w:cs="Arial"/>
          <w:sz w:val="20"/>
          <w:szCs w:val="20"/>
        </w:rPr>
        <w:t>EUR</w:t>
      </w:r>
      <w:r w:rsidRPr="00825100">
        <w:rPr>
          <w:rFonts w:ascii="Arial" w:hAnsi="Arial" w:cs="Arial"/>
          <w:sz w:val="20"/>
          <w:szCs w:val="20"/>
        </w:rPr>
        <w:t xml:space="preserve"> dolga.</w:t>
      </w:r>
    </w:p>
    <w:p w14:paraId="62CBA362" w14:textId="77777777" w:rsidR="004B7622" w:rsidRDefault="004B7622" w:rsidP="004B7622">
      <w:pPr>
        <w:pStyle w:val="FURSNavaden"/>
        <w:rPr>
          <w:rFonts w:eastAsia="Times New Roman" w:cs="Arial"/>
          <w:i/>
          <w:szCs w:val="20"/>
        </w:rPr>
      </w:pPr>
      <w:r w:rsidRPr="009F62ED">
        <w:rPr>
          <w:rFonts w:eastAsia="Times New Roman" w:cs="Arial"/>
          <w:i/>
          <w:szCs w:val="20"/>
        </w:rPr>
        <w:lastRenderedPageBreak/>
        <w:t>Preglednica 2</w:t>
      </w:r>
      <w:r>
        <w:rPr>
          <w:rFonts w:eastAsia="Times New Roman" w:cs="Arial"/>
          <w:i/>
          <w:szCs w:val="20"/>
        </w:rPr>
        <w:t>4</w:t>
      </w:r>
      <w:r w:rsidRPr="009F62ED">
        <w:rPr>
          <w:rFonts w:eastAsia="Times New Roman" w:cs="Arial"/>
          <w:i/>
          <w:szCs w:val="20"/>
        </w:rPr>
        <w:t>: Prejeta zaprosila za izterjavo prispevkov, ki so jih nosilci socialne varnosti posredovali FURS</w:t>
      </w:r>
    </w:p>
    <w:p w14:paraId="3947D007" w14:textId="77777777" w:rsidR="004B7622" w:rsidRDefault="004B7622" w:rsidP="004B7622">
      <w:pPr>
        <w:pStyle w:val="FURSNavaden"/>
        <w:rPr>
          <w:rFonts w:eastAsia="Times New Roman" w:cs="Arial"/>
          <w:i/>
          <w:szCs w:val="20"/>
        </w:rPr>
      </w:pPr>
    </w:p>
    <w:tbl>
      <w:tblPr>
        <w:tblW w:w="8670" w:type="dxa"/>
        <w:tblCellMar>
          <w:left w:w="70" w:type="dxa"/>
          <w:right w:w="70" w:type="dxa"/>
        </w:tblCellMar>
        <w:tblLook w:val="04A0" w:firstRow="1" w:lastRow="0" w:firstColumn="1" w:lastColumn="0" w:noHBand="0" w:noVBand="1"/>
      </w:tblPr>
      <w:tblGrid>
        <w:gridCol w:w="925"/>
        <w:gridCol w:w="1889"/>
        <w:gridCol w:w="925"/>
        <w:gridCol w:w="926"/>
        <w:gridCol w:w="925"/>
        <w:gridCol w:w="926"/>
        <w:gridCol w:w="1228"/>
        <w:gridCol w:w="926"/>
      </w:tblGrid>
      <w:tr w:rsidR="004B7622" w:rsidRPr="00825100" w14:paraId="17C1C369" w14:textId="77777777" w:rsidTr="00377989">
        <w:trPr>
          <w:trHeight w:val="422"/>
        </w:trPr>
        <w:tc>
          <w:tcPr>
            <w:tcW w:w="925" w:type="dxa"/>
            <w:vMerge w:val="restart"/>
            <w:tcBorders>
              <w:top w:val="single" w:sz="4" w:space="0" w:color="auto"/>
              <w:left w:val="single" w:sz="4" w:space="0" w:color="auto"/>
              <w:bottom w:val="single" w:sz="4" w:space="0" w:color="auto"/>
              <w:right w:val="single" w:sz="4" w:space="0" w:color="auto"/>
            </w:tcBorders>
            <w:shd w:val="clear" w:color="auto" w:fill="31869B"/>
            <w:vAlign w:val="center"/>
            <w:hideMark/>
          </w:tcPr>
          <w:p w14:paraId="130465D3" w14:textId="77777777" w:rsidR="004B7622" w:rsidRPr="00825100" w:rsidRDefault="004B7622" w:rsidP="00377989">
            <w:pPr>
              <w:jc w:val="center"/>
              <w:rPr>
                <w:rFonts w:ascii="Arial" w:eastAsia="Times New Roman" w:hAnsi="Arial" w:cs="Arial"/>
                <w:b/>
                <w:bCs/>
                <w:color w:val="FFFFFF"/>
                <w:sz w:val="18"/>
                <w:szCs w:val="18"/>
                <w:lang w:eastAsia="sl-SI"/>
              </w:rPr>
            </w:pPr>
            <w:r w:rsidRPr="00825100">
              <w:rPr>
                <w:rFonts w:ascii="Arial" w:eastAsia="Times New Roman" w:hAnsi="Arial" w:cs="Arial"/>
                <w:b/>
                <w:bCs/>
                <w:color w:val="FFFFFF"/>
                <w:sz w:val="18"/>
                <w:szCs w:val="18"/>
                <w:lang w:eastAsia="sl-SI"/>
              </w:rPr>
              <w:t>Nosilec socialne varnosti</w:t>
            </w:r>
          </w:p>
        </w:tc>
        <w:tc>
          <w:tcPr>
            <w:tcW w:w="1889" w:type="dxa"/>
            <w:tcBorders>
              <w:top w:val="single" w:sz="4" w:space="0" w:color="auto"/>
              <w:left w:val="nil"/>
              <w:bottom w:val="single" w:sz="4" w:space="0" w:color="auto"/>
              <w:right w:val="single" w:sz="4" w:space="0" w:color="auto"/>
            </w:tcBorders>
            <w:shd w:val="clear" w:color="auto" w:fill="31869B"/>
            <w:vAlign w:val="center"/>
            <w:hideMark/>
          </w:tcPr>
          <w:p w14:paraId="2AC31BDB" w14:textId="77777777" w:rsidR="004B7622" w:rsidRPr="00825100" w:rsidRDefault="004B7622" w:rsidP="00377989">
            <w:pPr>
              <w:jc w:val="center"/>
              <w:rPr>
                <w:rFonts w:ascii="Arial" w:eastAsia="Times New Roman" w:hAnsi="Arial" w:cs="Arial"/>
                <w:b/>
                <w:bCs/>
                <w:color w:val="FFFFFF"/>
                <w:sz w:val="18"/>
                <w:szCs w:val="18"/>
                <w:lang w:eastAsia="sl-SI"/>
              </w:rPr>
            </w:pPr>
            <w:r w:rsidRPr="00825100">
              <w:rPr>
                <w:rFonts w:ascii="Arial" w:eastAsia="Times New Roman" w:hAnsi="Arial" w:cs="Arial"/>
                <w:b/>
                <w:bCs/>
                <w:color w:val="FFFFFF"/>
                <w:sz w:val="18"/>
                <w:szCs w:val="18"/>
                <w:lang w:eastAsia="sl-SI"/>
              </w:rPr>
              <w:t> </w:t>
            </w:r>
          </w:p>
        </w:tc>
        <w:tc>
          <w:tcPr>
            <w:tcW w:w="1851" w:type="dxa"/>
            <w:gridSpan w:val="2"/>
            <w:tcBorders>
              <w:top w:val="single" w:sz="4" w:space="0" w:color="auto"/>
              <w:left w:val="nil"/>
              <w:bottom w:val="single" w:sz="4" w:space="0" w:color="auto"/>
              <w:right w:val="single" w:sz="4" w:space="0" w:color="auto"/>
            </w:tcBorders>
            <w:shd w:val="clear" w:color="auto" w:fill="31869B"/>
            <w:vAlign w:val="center"/>
            <w:hideMark/>
          </w:tcPr>
          <w:p w14:paraId="1A106FFC" w14:textId="77777777" w:rsidR="004B7622" w:rsidRPr="00825100" w:rsidRDefault="004B7622" w:rsidP="00377989">
            <w:pPr>
              <w:jc w:val="center"/>
              <w:rPr>
                <w:rFonts w:ascii="Arial" w:eastAsia="Times New Roman" w:hAnsi="Arial" w:cs="Arial"/>
                <w:b/>
                <w:bCs/>
                <w:color w:val="FFFFFF"/>
                <w:sz w:val="18"/>
                <w:szCs w:val="18"/>
                <w:lang w:eastAsia="sl-SI"/>
              </w:rPr>
            </w:pPr>
            <w:r w:rsidRPr="00825100">
              <w:rPr>
                <w:rFonts w:ascii="Arial" w:eastAsia="Times New Roman" w:hAnsi="Arial" w:cs="Arial"/>
                <w:b/>
                <w:bCs/>
                <w:color w:val="FFFFFF"/>
                <w:sz w:val="18"/>
                <w:szCs w:val="18"/>
                <w:lang w:eastAsia="sl-SI"/>
              </w:rPr>
              <w:t>2020</w:t>
            </w:r>
          </w:p>
        </w:tc>
        <w:tc>
          <w:tcPr>
            <w:tcW w:w="1851" w:type="dxa"/>
            <w:gridSpan w:val="2"/>
            <w:tcBorders>
              <w:top w:val="single" w:sz="4" w:space="0" w:color="auto"/>
              <w:left w:val="nil"/>
              <w:bottom w:val="single" w:sz="4" w:space="0" w:color="auto"/>
              <w:right w:val="single" w:sz="4" w:space="0" w:color="auto"/>
            </w:tcBorders>
            <w:shd w:val="clear" w:color="auto" w:fill="31869B"/>
            <w:noWrap/>
            <w:vAlign w:val="center"/>
            <w:hideMark/>
          </w:tcPr>
          <w:p w14:paraId="03A4DEB5" w14:textId="77777777" w:rsidR="004B7622" w:rsidRPr="00825100" w:rsidRDefault="004B7622" w:rsidP="00377989">
            <w:pPr>
              <w:jc w:val="center"/>
              <w:rPr>
                <w:rFonts w:ascii="Arial" w:eastAsia="Times New Roman" w:hAnsi="Arial" w:cs="Arial"/>
                <w:b/>
                <w:bCs/>
                <w:color w:val="FFFFFF"/>
                <w:sz w:val="18"/>
                <w:szCs w:val="18"/>
                <w:lang w:eastAsia="sl-SI"/>
              </w:rPr>
            </w:pPr>
            <w:r w:rsidRPr="00825100">
              <w:rPr>
                <w:rFonts w:ascii="Arial" w:eastAsia="Times New Roman" w:hAnsi="Arial" w:cs="Arial"/>
                <w:b/>
                <w:bCs/>
                <w:color w:val="FFFFFF"/>
                <w:sz w:val="18"/>
                <w:szCs w:val="18"/>
                <w:lang w:eastAsia="sl-SI"/>
              </w:rPr>
              <w:t>2021</w:t>
            </w:r>
          </w:p>
        </w:tc>
        <w:tc>
          <w:tcPr>
            <w:tcW w:w="2154" w:type="dxa"/>
            <w:gridSpan w:val="2"/>
            <w:tcBorders>
              <w:top w:val="single" w:sz="4" w:space="0" w:color="auto"/>
              <w:left w:val="nil"/>
              <w:bottom w:val="single" w:sz="4" w:space="0" w:color="auto"/>
              <w:right w:val="single" w:sz="4" w:space="0" w:color="auto"/>
            </w:tcBorders>
            <w:shd w:val="clear" w:color="auto" w:fill="31869B"/>
            <w:vAlign w:val="center"/>
            <w:hideMark/>
          </w:tcPr>
          <w:p w14:paraId="67007628" w14:textId="77777777" w:rsidR="004B7622" w:rsidRPr="00825100" w:rsidRDefault="004B7622" w:rsidP="00377989">
            <w:pPr>
              <w:jc w:val="center"/>
              <w:rPr>
                <w:rFonts w:ascii="Arial" w:eastAsia="Times New Roman" w:hAnsi="Arial" w:cs="Arial"/>
                <w:b/>
                <w:bCs/>
                <w:color w:val="FFFFFF"/>
                <w:sz w:val="18"/>
                <w:szCs w:val="18"/>
                <w:lang w:eastAsia="sl-SI"/>
              </w:rPr>
            </w:pPr>
            <w:r w:rsidRPr="00825100">
              <w:rPr>
                <w:rFonts w:ascii="Arial" w:eastAsia="Times New Roman" w:hAnsi="Arial" w:cs="Arial"/>
                <w:b/>
                <w:bCs/>
                <w:color w:val="FFFFFF"/>
                <w:sz w:val="18"/>
                <w:szCs w:val="18"/>
                <w:lang w:eastAsia="sl-SI"/>
              </w:rPr>
              <w:t>Indeks 2021/2020</w:t>
            </w:r>
          </w:p>
        </w:tc>
      </w:tr>
      <w:tr w:rsidR="004B7622" w:rsidRPr="00825100" w14:paraId="6ACB8F6F" w14:textId="77777777" w:rsidTr="00377989">
        <w:trPr>
          <w:trHeight w:val="5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255AD" w14:textId="77777777" w:rsidR="004B7622" w:rsidRPr="00825100" w:rsidRDefault="004B7622" w:rsidP="00377989">
            <w:pPr>
              <w:rPr>
                <w:rFonts w:ascii="Arial" w:eastAsia="Times New Roman" w:hAnsi="Arial" w:cs="Arial"/>
                <w:b/>
                <w:bCs/>
                <w:color w:val="FFFFFF"/>
                <w:sz w:val="18"/>
                <w:szCs w:val="18"/>
                <w:lang w:eastAsia="sl-SI"/>
              </w:rPr>
            </w:pPr>
          </w:p>
        </w:tc>
        <w:tc>
          <w:tcPr>
            <w:tcW w:w="1889" w:type="dxa"/>
            <w:tcBorders>
              <w:top w:val="nil"/>
              <w:left w:val="nil"/>
              <w:bottom w:val="single" w:sz="4" w:space="0" w:color="auto"/>
              <w:right w:val="single" w:sz="4" w:space="0" w:color="auto"/>
            </w:tcBorders>
            <w:shd w:val="clear" w:color="auto" w:fill="31869B"/>
            <w:vAlign w:val="center"/>
            <w:hideMark/>
          </w:tcPr>
          <w:p w14:paraId="604DD970" w14:textId="77777777" w:rsidR="004B7622" w:rsidRPr="00825100" w:rsidRDefault="004B7622" w:rsidP="00377989">
            <w:pPr>
              <w:jc w:val="center"/>
              <w:rPr>
                <w:rFonts w:ascii="Arial" w:eastAsia="Times New Roman" w:hAnsi="Arial" w:cs="Arial"/>
                <w:b/>
                <w:bCs/>
                <w:color w:val="FFFFFF"/>
                <w:sz w:val="18"/>
                <w:szCs w:val="18"/>
                <w:lang w:eastAsia="sl-SI"/>
              </w:rPr>
            </w:pPr>
            <w:r w:rsidRPr="00825100">
              <w:rPr>
                <w:rFonts w:ascii="Arial" w:eastAsia="Times New Roman" w:hAnsi="Arial" w:cs="Arial"/>
                <w:b/>
                <w:bCs/>
                <w:color w:val="FFFFFF"/>
                <w:sz w:val="18"/>
                <w:szCs w:val="18"/>
                <w:lang w:eastAsia="sl-SI"/>
              </w:rPr>
              <w:t>Število predlogov / prejeta plačila</w:t>
            </w:r>
          </w:p>
        </w:tc>
        <w:tc>
          <w:tcPr>
            <w:tcW w:w="925" w:type="dxa"/>
            <w:tcBorders>
              <w:top w:val="nil"/>
              <w:left w:val="nil"/>
              <w:bottom w:val="single" w:sz="4" w:space="0" w:color="auto"/>
              <w:right w:val="single" w:sz="4" w:space="0" w:color="auto"/>
            </w:tcBorders>
            <w:shd w:val="clear" w:color="auto" w:fill="31869B"/>
            <w:vAlign w:val="center"/>
            <w:hideMark/>
          </w:tcPr>
          <w:p w14:paraId="259B86D0" w14:textId="77777777" w:rsidR="004B7622" w:rsidRPr="00825100" w:rsidRDefault="004B7622" w:rsidP="00377989">
            <w:pPr>
              <w:jc w:val="center"/>
              <w:rPr>
                <w:rFonts w:ascii="Arial" w:eastAsia="Times New Roman" w:hAnsi="Arial" w:cs="Arial"/>
                <w:b/>
                <w:bCs/>
                <w:color w:val="FFFFFF"/>
                <w:sz w:val="18"/>
                <w:szCs w:val="18"/>
                <w:lang w:eastAsia="sl-SI"/>
              </w:rPr>
            </w:pPr>
            <w:r w:rsidRPr="00825100">
              <w:rPr>
                <w:rFonts w:ascii="Arial" w:eastAsia="Times New Roman" w:hAnsi="Arial" w:cs="Arial"/>
                <w:b/>
                <w:bCs/>
                <w:color w:val="FFFFFF"/>
                <w:sz w:val="18"/>
                <w:szCs w:val="18"/>
                <w:lang w:eastAsia="sl-SI"/>
              </w:rPr>
              <w:t>Število</w:t>
            </w:r>
          </w:p>
        </w:tc>
        <w:tc>
          <w:tcPr>
            <w:tcW w:w="925" w:type="dxa"/>
            <w:tcBorders>
              <w:top w:val="nil"/>
              <w:left w:val="nil"/>
              <w:bottom w:val="single" w:sz="4" w:space="0" w:color="auto"/>
              <w:right w:val="single" w:sz="4" w:space="0" w:color="auto"/>
            </w:tcBorders>
            <w:shd w:val="clear" w:color="auto" w:fill="31869B"/>
            <w:vAlign w:val="center"/>
            <w:hideMark/>
          </w:tcPr>
          <w:p w14:paraId="5A8FAD55" w14:textId="77777777" w:rsidR="004B7622" w:rsidRPr="00825100" w:rsidRDefault="004B7622" w:rsidP="00377989">
            <w:pPr>
              <w:jc w:val="center"/>
              <w:rPr>
                <w:rFonts w:ascii="Arial" w:eastAsia="Times New Roman" w:hAnsi="Arial" w:cs="Arial"/>
                <w:b/>
                <w:bCs/>
                <w:color w:val="FFFFFF"/>
                <w:sz w:val="18"/>
                <w:szCs w:val="18"/>
                <w:lang w:eastAsia="sl-SI"/>
              </w:rPr>
            </w:pPr>
            <w:r w:rsidRPr="00825100">
              <w:rPr>
                <w:rFonts w:ascii="Arial" w:eastAsia="Times New Roman" w:hAnsi="Arial" w:cs="Arial"/>
                <w:b/>
                <w:bCs/>
                <w:color w:val="FFFFFF"/>
                <w:sz w:val="18"/>
                <w:szCs w:val="18"/>
                <w:lang w:eastAsia="sl-SI"/>
              </w:rPr>
              <w:t>Znesek v evrih</w:t>
            </w:r>
          </w:p>
        </w:tc>
        <w:tc>
          <w:tcPr>
            <w:tcW w:w="925" w:type="dxa"/>
            <w:tcBorders>
              <w:top w:val="nil"/>
              <w:left w:val="nil"/>
              <w:bottom w:val="single" w:sz="4" w:space="0" w:color="auto"/>
              <w:right w:val="single" w:sz="4" w:space="0" w:color="auto"/>
            </w:tcBorders>
            <w:shd w:val="clear" w:color="auto" w:fill="31869B"/>
            <w:vAlign w:val="center"/>
            <w:hideMark/>
          </w:tcPr>
          <w:p w14:paraId="54F97290" w14:textId="77777777" w:rsidR="004B7622" w:rsidRPr="00825100" w:rsidRDefault="004B7622" w:rsidP="00377989">
            <w:pPr>
              <w:jc w:val="center"/>
              <w:rPr>
                <w:rFonts w:ascii="Arial" w:eastAsia="Times New Roman" w:hAnsi="Arial" w:cs="Arial"/>
                <w:b/>
                <w:bCs/>
                <w:color w:val="FFFFFF"/>
                <w:sz w:val="18"/>
                <w:szCs w:val="18"/>
                <w:lang w:eastAsia="sl-SI"/>
              </w:rPr>
            </w:pPr>
            <w:r w:rsidRPr="00825100">
              <w:rPr>
                <w:rFonts w:ascii="Arial" w:eastAsia="Times New Roman" w:hAnsi="Arial" w:cs="Arial"/>
                <w:b/>
                <w:bCs/>
                <w:color w:val="FFFFFF"/>
                <w:sz w:val="18"/>
                <w:szCs w:val="18"/>
                <w:lang w:eastAsia="sl-SI"/>
              </w:rPr>
              <w:t>Število</w:t>
            </w:r>
          </w:p>
        </w:tc>
        <w:tc>
          <w:tcPr>
            <w:tcW w:w="925" w:type="dxa"/>
            <w:tcBorders>
              <w:top w:val="nil"/>
              <w:left w:val="nil"/>
              <w:bottom w:val="single" w:sz="4" w:space="0" w:color="auto"/>
              <w:right w:val="single" w:sz="4" w:space="0" w:color="auto"/>
            </w:tcBorders>
            <w:shd w:val="clear" w:color="auto" w:fill="31869B"/>
            <w:vAlign w:val="center"/>
            <w:hideMark/>
          </w:tcPr>
          <w:p w14:paraId="00ACF29B" w14:textId="77777777" w:rsidR="004B7622" w:rsidRPr="00825100" w:rsidRDefault="004B7622" w:rsidP="00377989">
            <w:pPr>
              <w:jc w:val="center"/>
              <w:rPr>
                <w:rFonts w:ascii="Arial" w:eastAsia="Times New Roman" w:hAnsi="Arial" w:cs="Arial"/>
                <w:b/>
                <w:bCs/>
                <w:color w:val="FFFFFF"/>
                <w:sz w:val="18"/>
                <w:szCs w:val="18"/>
                <w:lang w:eastAsia="sl-SI"/>
              </w:rPr>
            </w:pPr>
            <w:r w:rsidRPr="00825100">
              <w:rPr>
                <w:rFonts w:ascii="Arial" w:eastAsia="Times New Roman" w:hAnsi="Arial" w:cs="Arial"/>
                <w:b/>
                <w:bCs/>
                <w:color w:val="FFFFFF"/>
                <w:sz w:val="18"/>
                <w:szCs w:val="18"/>
                <w:lang w:eastAsia="sl-SI"/>
              </w:rPr>
              <w:t>Znesek v evrih</w:t>
            </w:r>
          </w:p>
        </w:tc>
        <w:tc>
          <w:tcPr>
            <w:tcW w:w="1228" w:type="dxa"/>
            <w:tcBorders>
              <w:top w:val="nil"/>
              <w:left w:val="nil"/>
              <w:bottom w:val="single" w:sz="4" w:space="0" w:color="auto"/>
              <w:right w:val="single" w:sz="4" w:space="0" w:color="auto"/>
            </w:tcBorders>
            <w:shd w:val="clear" w:color="auto" w:fill="31869B"/>
            <w:vAlign w:val="center"/>
            <w:hideMark/>
          </w:tcPr>
          <w:p w14:paraId="05E3D431" w14:textId="77777777" w:rsidR="004B7622" w:rsidRPr="00825100" w:rsidRDefault="004B7622" w:rsidP="00377989">
            <w:pPr>
              <w:jc w:val="center"/>
              <w:rPr>
                <w:rFonts w:ascii="Arial" w:eastAsia="Times New Roman" w:hAnsi="Arial" w:cs="Arial"/>
                <w:b/>
                <w:bCs/>
                <w:color w:val="FFFFFF"/>
                <w:sz w:val="18"/>
                <w:szCs w:val="18"/>
                <w:lang w:eastAsia="sl-SI"/>
              </w:rPr>
            </w:pPr>
            <w:r w:rsidRPr="00825100">
              <w:rPr>
                <w:rFonts w:ascii="Arial" w:eastAsia="Times New Roman" w:hAnsi="Arial" w:cs="Arial"/>
                <w:b/>
                <w:bCs/>
                <w:color w:val="FFFFFF"/>
                <w:sz w:val="18"/>
                <w:szCs w:val="18"/>
                <w:lang w:eastAsia="sl-SI"/>
              </w:rPr>
              <w:t>Število</w:t>
            </w:r>
          </w:p>
        </w:tc>
        <w:tc>
          <w:tcPr>
            <w:tcW w:w="925" w:type="dxa"/>
            <w:tcBorders>
              <w:top w:val="nil"/>
              <w:left w:val="nil"/>
              <w:bottom w:val="single" w:sz="4" w:space="0" w:color="auto"/>
              <w:right w:val="single" w:sz="4" w:space="0" w:color="auto"/>
            </w:tcBorders>
            <w:shd w:val="clear" w:color="auto" w:fill="31869B"/>
            <w:vAlign w:val="center"/>
            <w:hideMark/>
          </w:tcPr>
          <w:p w14:paraId="105011E7" w14:textId="77777777" w:rsidR="004B7622" w:rsidRPr="00825100" w:rsidRDefault="004B7622" w:rsidP="00377989">
            <w:pPr>
              <w:jc w:val="center"/>
              <w:rPr>
                <w:rFonts w:ascii="Arial" w:eastAsia="Times New Roman" w:hAnsi="Arial" w:cs="Arial"/>
                <w:b/>
                <w:bCs/>
                <w:color w:val="FFFFFF"/>
                <w:sz w:val="18"/>
                <w:szCs w:val="18"/>
                <w:lang w:eastAsia="sl-SI"/>
              </w:rPr>
            </w:pPr>
            <w:r w:rsidRPr="00825100">
              <w:rPr>
                <w:rFonts w:ascii="Arial" w:eastAsia="Times New Roman" w:hAnsi="Arial" w:cs="Arial"/>
                <w:b/>
                <w:bCs/>
                <w:color w:val="FFFFFF"/>
                <w:sz w:val="18"/>
                <w:szCs w:val="18"/>
                <w:lang w:eastAsia="sl-SI"/>
              </w:rPr>
              <w:t xml:space="preserve">Znesek </w:t>
            </w:r>
          </w:p>
        </w:tc>
      </w:tr>
      <w:tr w:rsidR="004B7622" w:rsidRPr="00825100" w14:paraId="1093A3A1" w14:textId="77777777" w:rsidTr="00377989">
        <w:trPr>
          <w:trHeight w:val="581"/>
        </w:trPr>
        <w:tc>
          <w:tcPr>
            <w:tcW w:w="925" w:type="dxa"/>
            <w:vMerge w:val="restart"/>
            <w:tcBorders>
              <w:top w:val="nil"/>
              <w:left w:val="single" w:sz="4" w:space="0" w:color="auto"/>
              <w:bottom w:val="single" w:sz="4" w:space="0" w:color="auto"/>
              <w:right w:val="single" w:sz="4" w:space="0" w:color="auto"/>
            </w:tcBorders>
            <w:vAlign w:val="center"/>
            <w:hideMark/>
          </w:tcPr>
          <w:p w14:paraId="1E4A7EF5" w14:textId="77777777" w:rsidR="004B7622" w:rsidRPr="00825100" w:rsidRDefault="004B7622" w:rsidP="00377989">
            <w:pPr>
              <w:rPr>
                <w:rFonts w:ascii="Arial" w:eastAsia="Times New Roman" w:hAnsi="Arial" w:cs="Arial"/>
                <w:color w:val="000000"/>
                <w:sz w:val="18"/>
                <w:szCs w:val="18"/>
                <w:lang w:eastAsia="sl-SI"/>
              </w:rPr>
            </w:pPr>
            <w:r w:rsidRPr="00825100">
              <w:rPr>
                <w:rFonts w:ascii="Arial" w:eastAsia="Times New Roman" w:hAnsi="Arial" w:cs="Arial"/>
                <w:color w:val="000000"/>
                <w:sz w:val="18"/>
                <w:szCs w:val="18"/>
                <w:lang w:eastAsia="sl-SI"/>
              </w:rPr>
              <w:t xml:space="preserve">ZPIZ                       </w:t>
            </w:r>
          </w:p>
        </w:tc>
        <w:tc>
          <w:tcPr>
            <w:tcW w:w="1889" w:type="dxa"/>
            <w:tcBorders>
              <w:top w:val="nil"/>
              <w:left w:val="nil"/>
              <w:bottom w:val="single" w:sz="4" w:space="0" w:color="auto"/>
              <w:right w:val="single" w:sz="4" w:space="0" w:color="auto"/>
            </w:tcBorders>
            <w:vAlign w:val="center"/>
            <w:hideMark/>
          </w:tcPr>
          <w:p w14:paraId="2AF53CC5" w14:textId="77777777" w:rsidR="004B7622" w:rsidRPr="00825100" w:rsidRDefault="004B7622" w:rsidP="00377989">
            <w:pPr>
              <w:rPr>
                <w:rFonts w:ascii="Arial" w:eastAsia="Times New Roman" w:hAnsi="Arial" w:cs="Arial"/>
                <w:color w:val="000000"/>
                <w:sz w:val="18"/>
                <w:szCs w:val="18"/>
                <w:lang w:eastAsia="sl-SI"/>
              </w:rPr>
            </w:pPr>
            <w:r w:rsidRPr="00825100">
              <w:rPr>
                <w:rFonts w:ascii="Arial" w:eastAsia="Times New Roman" w:hAnsi="Arial" w:cs="Arial"/>
                <w:color w:val="000000"/>
                <w:sz w:val="18"/>
                <w:szCs w:val="18"/>
                <w:lang w:eastAsia="sl-SI"/>
              </w:rPr>
              <w:t>Prejeta zaprosila</w:t>
            </w:r>
          </w:p>
        </w:tc>
        <w:tc>
          <w:tcPr>
            <w:tcW w:w="925" w:type="dxa"/>
            <w:tcBorders>
              <w:top w:val="nil"/>
              <w:left w:val="nil"/>
              <w:bottom w:val="single" w:sz="4" w:space="0" w:color="auto"/>
              <w:right w:val="single" w:sz="4" w:space="0" w:color="auto"/>
            </w:tcBorders>
            <w:noWrap/>
            <w:vAlign w:val="center"/>
            <w:hideMark/>
          </w:tcPr>
          <w:p w14:paraId="1D291B26" w14:textId="77777777" w:rsidR="004B7622" w:rsidRPr="00825100" w:rsidRDefault="004B7622" w:rsidP="00377989">
            <w:pPr>
              <w:jc w:val="right"/>
              <w:rPr>
                <w:rFonts w:ascii="Arial" w:eastAsia="Times New Roman" w:hAnsi="Arial" w:cs="Arial"/>
                <w:sz w:val="18"/>
                <w:szCs w:val="18"/>
                <w:lang w:eastAsia="sl-SI"/>
              </w:rPr>
            </w:pPr>
            <w:r w:rsidRPr="00825100">
              <w:rPr>
                <w:rFonts w:ascii="Arial" w:eastAsia="Times New Roman" w:hAnsi="Arial" w:cs="Arial"/>
                <w:sz w:val="18"/>
                <w:szCs w:val="18"/>
                <w:lang w:eastAsia="sl-SI"/>
              </w:rPr>
              <w:t>4</w:t>
            </w:r>
          </w:p>
        </w:tc>
        <w:tc>
          <w:tcPr>
            <w:tcW w:w="925" w:type="dxa"/>
            <w:tcBorders>
              <w:top w:val="nil"/>
              <w:left w:val="nil"/>
              <w:bottom w:val="single" w:sz="4" w:space="0" w:color="auto"/>
              <w:right w:val="single" w:sz="4" w:space="0" w:color="auto"/>
            </w:tcBorders>
            <w:shd w:val="clear" w:color="auto" w:fill="DAEEF3"/>
            <w:noWrap/>
            <w:vAlign w:val="center"/>
            <w:hideMark/>
          </w:tcPr>
          <w:p w14:paraId="4D034284" w14:textId="77777777" w:rsidR="004B7622" w:rsidRPr="00825100" w:rsidRDefault="004B7622" w:rsidP="00377989">
            <w:pPr>
              <w:jc w:val="right"/>
              <w:rPr>
                <w:rFonts w:ascii="Arial" w:eastAsia="Times New Roman" w:hAnsi="Arial" w:cs="Arial"/>
                <w:sz w:val="18"/>
                <w:szCs w:val="18"/>
                <w:lang w:eastAsia="sl-SI"/>
              </w:rPr>
            </w:pPr>
            <w:r w:rsidRPr="00825100">
              <w:rPr>
                <w:rFonts w:ascii="Arial" w:eastAsia="Times New Roman" w:hAnsi="Arial" w:cs="Arial"/>
                <w:sz w:val="18"/>
                <w:szCs w:val="18"/>
                <w:lang w:eastAsia="sl-SI"/>
              </w:rPr>
              <w:t>7509</w:t>
            </w:r>
          </w:p>
        </w:tc>
        <w:tc>
          <w:tcPr>
            <w:tcW w:w="925" w:type="dxa"/>
            <w:tcBorders>
              <w:top w:val="nil"/>
              <w:left w:val="nil"/>
              <w:bottom w:val="single" w:sz="4" w:space="0" w:color="auto"/>
              <w:right w:val="single" w:sz="4" w:space="0" w:color="auto"/>
            </w:tcBorders>
            <w:noWrap/>
            <w:vAlign w:val="center"/>
            <w:hideMark/>
          </w:tcPr>
          <w:p w14:paraId="111BA742" w14:textId="77777777" w:rsidR="004B7622" w:rsidRPr="00825100" w:rsidRDefault="004B7622" w:rsidP="00377989">
            <w:pPr>
              <w:jc w:val="right"/>
              <w:rPr>
                <w:rFonts w:ascii="Arial" w:eastAsia="Times New Roman" w:hAnsi="Arial" w:cs="Arial"/>
                <w:color w:val="000000"/>
                <w:sz w:val="18"/>
                <w:szCs w:val="18"/>
                <w:lang w:eastAsia="sl-SI"/>
              </w:rPr>
            </w:pPr>
            <w:r w:rsidRPr="00825100">
              <w:rPr>
                <w:rFonts w:ascii="Arial" w:eastAsia="Times New Roman" w:hAnsi="Arial" w:cs="Arial"/>
                <w:color w:val="000000"/>
                <w:sz w:val="18"/>
                <w:szCs w:val="18"/>
                <w:lang w:eastAsia="sl-SI"/>
              </w:rPr>
              <w:t>3</w:t>
            </w:r>
          </w:p>
        </w:tc>
        <w:tc>
          <w:tcPr>
            <w:tcW w:w="925" w:type="dxa"/>
            <w:tcBorders>
              <w:top w:val="nil"/>
              <w:left w:val="nil"/>
              <w:bottom w:val="single" w:sz="4" w:space="0" w:color="auto"/>
              <w:right w:val="single" w:sz="4" w:space="0" w:color="auto"/>
            </w:tcBorders>
            <w:shd w:val="clear" w:color="auto" w:fill="DAEEF3"/>
            <w:noWrap/>
            <w:vAlign w:val="center"/>
            <w:hideMark/>
          </w:tcPr>
          <w:p w14:paraId="6CEC58A1" w14:textId="77777777" w:rsidR="004B7622" w:rsidRPr="00825100" w:rsidRDefault="004B7622" w:rsidP="00377989">
            <w:pPr>
              <w:jc w:val="right"/>
              <w:rPr>
                <w:rFonts w:ascii="Arial" w:eastAsia="Times New Roman" w:hAnsi="Arial" w:cs="Arial"/>
                <w:color w:val="000000"/>
                <w:sz w:val="18"/>
                <w:szCs w:val="18"/>
                <w:lang w:eastAsia="sl-SI"/>
              </w:rPr>
            </w:pPr>
            <w:r w:rsidRPr="00825100">
              <w:rPr>
                <w:rFonts w:ascii="Arial" w:eastAsia="Times New Roman" w:hAnsi="Arial" w:cs="Arial"/>
                <w:color w:val="000000"/>
                <w:sz w:val="18"/>
                <w:szCs w:val="18"/>
                <w:lang w:eastAsia="sl-SI"/>
              </w:rPr>
              <w:t>3.438</w:t>
            </w:r>
          </w:p>
        </w:tc>
        <w:tc>
          <w:tcPr>
            <w:tcW w:w="1228" w:type="dxa"/>
            <w:tcBorders>
              <w:top w:val="nil"/>
              <w:left w:val="nil"/>
              <w:bottom w:val="single" w:sz="4" w:space="0" w:color="auto"/>
              <w:right w:val="single" w:sz="4" w:space="0" w:color="auto"/>
            </w:tcBorders>
            <w:noWrap/>
            <w:vAlign w:val="center"/>
            <w:hideMark/>
          </w:tcPr>
          <w:p w14:paraId="42110788" w14:textId="77777777" w:rsidR="004B7622" w:rsidRPr="00825100" w:rsidRDefault="004B7622" w:rsidP="00377989">
            <w:pPr>
              <w:jc w:val="right"/>
              <w:rPr>
                <w:rFonts w:ascii="Arial" w:eastAsia="Times New Roman" w:hAnsi="Arial" w:cs="Arial"/>
                <w:color w:val="000000"/>
                <w:sz w:val="18"/>
                <w:szCs w:val="18"/>
                <w:lang w:eastAsia="sl-SI"/>
              </w:rPr>
            </w:pPr>
            <w:r w:rsidRPr="00825100">
              <w:rPr>
                <w:rFonts w:ascii="Arial" w:eastAsia="Times New Roman" w:hAnsi="Arial" w:cs="Arial"/>
                <w:color w:val="000000"/>
                <w:sz w:val="18"/>
                <w:szCs w:val="18"/>
                <w:lang w:eastAsia="sl-SI"/>
              </w:rPr>
              <w:t>0</w:t>
            </w:r>
          </w:p>
        </w:tc>
        <w:tc>
          <w:tcPr>
            <w:tcW w:w="925" w:type="dxa"/>
            <w:tcBorders>
              <w:top w:val="nil"/>
              <w:left w:val="nil"/>
              <w:bottom w:val="single" w:sz="4" w:space="0" w:color="auto"/>
              <w:right w:val="single" w:sz="4" w:space="0" w:color="auto"/>
            </w:tcBorders>
            <w:noWrap/>
            <w:vAlign w:val="center"/>
            <w:hideMark/>
          </w:tcPr>
          <w:p w14:paraId="225ACDBE" w14:textId="77777777" w:rsidR="004B7622" w:rsidRPr="00825100" w:rsidRDefault="004B7622" w:rsidP="00377989">
            <w:pPr>
              <w:jc w:val="right"/>
              <w:rPr>
                <w:rFonts w:ascii="Arial" w:eastAsia="Times New Roman" w:hAnsi="Arial" w:cs="Arial"/>
                <w:color w:val="000000"/>
                <w:sz w:val="18"/>
                <w:szCs w:val="18"/>
                <w:lang w:eastAsia="sl-SI"/>
              </w:rPr>
            </w:pPr>
            <w:r w:rsidRPr="00825100">
              <w:rPr>
                <w:rFonts w:ascii="Arial" w:eastAsia="Times New Roman" w:hAnsi="Arial" w:cs="Arial"/>
                <w:color w:val="000000"/>
                <w:sz w:val="18"/>
                <w:szCs w:val="18"/>
                <w:lang w:eastAsia="sl-SI"/>
              </w:rPr>
              <w:t>0</w:t>
            </w:r>
          </w:p>
        </w:tc>
      </w:tr>
      <w:tr w:rsidR="004B7622" w:rsidRPr="00825100" w14:paraId="2C832C4B" w14:textId="77777777" w:rsidTr="00377989">
        <w:trPr>
          <w:trHeight w:val="316"/>
        </w:trPr>
        <w:tc>
          <w:tcPr>
            <w:tcW w:w="0" w:type="auto"/>
            <w:vMerge/>
            <w:tcBorders>
              <w:top w:val="nil"/>
              <w:left w:val="single" w:sz="4" w:space="0" w:color="auto"/>
              <w:bottom w:val="single" w:sz="4" w:space="0" w:color="auto"/>
              <w:right w:val="single" w:sz="4" w:space="0" w:color="auto"/>
            </w:tcBorders>
            <w:vAlign w:val="center"/>
            <w:hideMark/>
          </w:tcPr>
          <w:p w14:paraId="0AF91469" w14:textId="77777777" w:rsidR="004B7622" w:rsidRPr="00825100" w:rsidRDefault="004B7622" w:rsidP="00377989">
            <w:pPr>
              <w:rPr>
                <w:rFonts w:ascii="Arial" w:eastAsia="Times New Roman" w:hAnsi="Arial" w:cs="Arial"/>
                <w:color w:val="000000"/>
                <w:sz w:val="18"/>
                <w:szCs w:val="18"/>
                <w:lang w:eastAsia="sl-SI"/>
              </w:rPr>
            </w:pPr>
          </w:p>
        </w:tc>
        <w:tc>
          <w:tcPr>
            <w:tcW w:w="1889" w:type="dxa"/>
            <w:tcBorders>
              <w:top w:val="nil"/>
              <w:left w:val="nil"/>
              <w:bottom w:val="single" w:sz="4" w:space="0" w:color="auto"/>
              <w:right w:val="single" w:sz="4" w:space="0" w:color="auto"/>
            </w:tcBorders>
            <w:vAlign w:val="center"/>
            <w:hideMark/>
          </w:tcPr>
          <w:p w14:paraId="1090A71C" w14:textId="77777777" w:rsidR="004B7622" w:rsidRPr="00825100" w:rsidRDefault="004B7622" w:rsidP="00377989">
            <w:pPr>
              <w:rPr>
                <w:rFonts w:ascii="Arial" w:eastAsia="Times New Roman" w:hAnsi="Arial" w:cs="Arial"/>
                <w:color w:val="000000"/>
                <w:sz w:val="18"/>
                <w:szCs w:val="18"/>
                <w:lang w:eastAsia="sl-SI"/>
              </w:rPr>
            </w:pPr>
            <w:r w:rsidRPr="00825100">
              <w:rPr>
                <w:rFonts w:ascii="Arial" w:eastAsia="Times New Roman" w:hAnsi="Arial" w:cs="Arial"/>
                <w:color w:val="000000"/>
                <w:sz w:val="18"/>
                <w:szCs w:val="18"/>
                <w:lang w:eastAsia="sl-SI"/>
              </w:rPr>
              <w:t>Prejeta plačila</w:t>
            </w:r>
          </w:p>
        </w:tc>
        <w:tc>
          <w:tcPr>
            <w:tcW w:w="925" w:type="dxa"/>
            <w:tcBorders>
              <w:top w:val="nil"/>
              <w:left w:val="nil"/>
              <w:bottom w:val="single" w:sz="4" w:space="0" w:color="auto"/>
              <w:right w:val="single" w:sz="4" w:space="0" w:color="auto"/>
            </w:tcBorders>
            <w:noWrap/>
            <w:vAlign w:val="center"/>
            <w:hideMark/>
          </w:tcPr>
          <w:p w14:paraId="1867A209" w14:textId="77777777" w:rsidR="004B7622" w:rsidRPr="00825100" w:rsidRDefault="004B7622" w:rsidP="00377989">
            <w:pPr>
              <w:jc w:val="right"/>
              <w:rPr>
                <w:rFonts w:ascii="Arial" w:eastAsia="Times New Roman" w:hAnsi="Arial" w:cs="Arial"/>
                <w:sz w:val="18"/>
                <w:szCs w:val="18"/>
                <w:lang w:eastAsia="sl-SI"/>
              </w:rPr>
            </w:pPr>
            <w:r w:rsidRPr="00825100">
              <w:rPr>
                <w:rFonts w:ascii="Arial" w:eastAsia="Times New Roman" w:hAnsi="Arial" w:cs="Arial"/>
                <w:sz w:val="18"/>
                <w:szCs w:val="18"/>
                <w:lang w:eastAsia="sl-SI"/>
              </w:rPr>
              <w:t>1</w:t>
            </w:r>
          </w:p>
        </w:tc>
        <w:tc>
          <w:tcPr>
            <w:tcW w:w="925" w:type="dxa"/>
            <w:tcBorders>
              <w:top w:val="nil"/>
              <w:left w:val="nil"/>
              <w:bottom w:val="single" w:sz="4" w:space="0" w:color="auto"/>
              <w:right w:val="single" w:sz="4" w:space="0" w:color="auto"/>
            </w:tcBorders>
            <w:shd w:val="clear" w:color="auto" w:fill="DAEEF3"/>
            <w:noWrap/>
            <w:vAlign w:val="center"/>
            <w:hideMark/>
          </w:tcPr>
          <w:p w14:paraId="5ABFE3F9" w14:textId="77777777" w:rsidR="004B7622" w:rsidRPr="00825100" w:rsidRDefault="004B7622" w:rsidP="00377989">
            <w:pPr>
              <w:jc w:val="right"/>
              <w:rPr>
                <w:rFonts w:ascii="Arial" w:eastAsia="Times New Roman" w:hAnsi="Arial" w:cs="Arial"/>
                <w:sz w:val="18"/>
                <w:szCs w:val="18"/>
                <w:lang w:eastAsia="sl-SI"/>
              </w:rPr>
            </w:pPr>
            <w:r w:rsidRPr="00825100">
              <w:rPr>
                <w:rFonts w:ascii="Arial" w:eastAsia="Times New Roman" w:hAnsi="Arial" w:cs="Arial"/>
                <w:sz w:val="18"/>
                <w:szCs w:val="18"/>
                <w:lang w:eastAsia="sl-SI"/>
              </w:rPr>
              <w:t>642</w:t>
            </w:r>
          </w:p>
        </w:tc>
        <w:tc>
          <w:tcPr>
            <w:tcW w:w="925" w:type="dxa"/>
            <w:tcBorders>
              <w:top w:val="nil"/>
              <w:left w:val="nil"/>
              <w:bottom w:val="single" w:sz="4" w:space="0" w:color="auto"/>
              <w:right w:val="single" w:sz="4" w:space="0" w:color="auto"/>
            </w:tcBorders>
            <w:noWrap/>
            <w:vAlign w:val="center"/>
            <w:hideMark/>
          </w:tcPr>
          <w:p w14:paraId="0E99A3D9" w14:textId="77777777" w:rsidR="004B7622" w:rsidRPr="00825100" w:rsidRDefault="004B7622" w:rsidP="00377989">
            <w:pPr>
              <w:jc w:val="right"/>
              <w:rPr>
                <w:rFonts w:ascii="Arial" w:eastAsia="Times New Roman" w:hAnsi="Arial" w:cs="Arial"/>
                <w:sz w:val="18"/>
                <w:szCs w:val="18"/>
                <w:lang w:eastAsia="sl-SI"/>
              </w:rPr>
            </w:pPr>
            <w:r w:rsidRPr="00825100">
              <w:rPr>
                <w:rFonts w:ascii="Arial" w:eastAsia="Times New Roman" w:hAnsi="Arial" w:cs="Arial"/>
                <w:sz w:val="18"/>
                <w:szCs w:val="18"/>
                <w:lang w:eastAsia="sl-SI"/>
              </w:rPr>
              <w:t>/</w:t>
            </w:r>
          </w:p>
        </w:tc>
        <w:tc>
          <w:tcPr>
            <w:tcW w:w="925" w:type="dxa"/>
            <w:tcBorders>
              <w:top w:val="nil"/>
              <w:left w:val="nil"/>
              <w:bottom w:val="single" w:sz="4" w:space="0" w:color="auto"/>
              <w:right w:val="single" w:sz="4" w:space="0" w:color="auto"/>
            </w:tcBorders>
            <w:shd w:val="clear" w:color="auto" w:fill="DAEEF3"/>
            <w:noWrap/>
            <w:vAlign w:val="center"/>
            <w:hideMark/>
          </w:tcPr>
          <w:p w14:paraId="372F6DE3" w14:textId="77777777" w:rsidR="004B7622" w:rsidRPr="00825100" w:rsidRDefault="004B7622" w:rsidP="00377989">
            <w:pPr>
              <w:jc w:val="right"/>
              <w:rPr>
                <w:rFonts w:ascii="Arial" w:eastAsia="Times New Roman" w:hAnsi="Arial" w:cs="Arial"/>
                <w:color w:val="000000"/>
                <w:sz w:val="18"/>
                <w:szCs w:val="18"/>
                <w:lang w:eastAsia="sl-SI"/>
              </w:rPr>
            </w:pPr>
            <w:r w:rsidRPr="00825100">
              <w:rPr>
                <w:rFonts w:ascii="Arial" w:eastAsia="Times New Roman" w:hAnsi="Arial" w:cs="Arial"/>
                <w:color w:val="000000"/>
                <w:sz w:val="18"/>
                <w:szCs w:val="18"/>
                <w:lang w:eastAsia="sl-SI"/>
              </w:rPr>
              <w:t>0</w:t>
            </w:r>
          </w:p>
        </w:tc>
        <w:tc>
          <w:tcPr>
            <w:tcW w:w="1228" w:type="dxa"/>
            <w:tcBorders>
              <w:top w:val="nil"/>
              <w:left w:val="nil"/>
              <w:bottom w:val="single" w:sz="4" w:space="0" w:color="auto"/>
              <w:right w:val="single" w:sz="4" w:space="0" w:color="auto"/>
            </w:tcBorders>
            <w:noWrap/>
            <w:vAlign w:val="center"/>
            <w:hideMark/>
          </w:tcPr>
          <w:p w14:paraId="31975DD4" w14:textId="77777777" w:rsidR="004B7622" w:rsidRPr="00825100" w:rsidRDefault="004B7622" w:rsidP="00377989">
            <w:pPr>
              <w:jc w:val="right"/>
              <w:rPr>
                <w:rFonts w:ascii="Arial" w:eastAsia="Times New Roman" w:hAnsi="Arial" w:cs="Arial"/>
                <w:color w:val="000000"/>
                <w:sz w:val="18"/>
                <w:szCs w:val="18"/>
                <w:lang w:eastAsia="sl-SI"/>
              </w:rPr>
            </w:pPr>
            <w:r w:rsidRPr="00825100">
              <w:rPr>
                <w:rFonts w:ascii="Arial" w:eastAsia="Times New Roman" w:hAnsi="Arial" w:cs="Arial"/>
                <w:color w:val="000000"/>
                <w:sz w:val="18"/>
                <w:szCs w:val="18"/>
                <w:lang w:eastAsia="sl-SI"/>
              </w:rPr>
              <w:t>/</w:t>
            </w:r>
          </w:p>
        </w:tc>
        <w:tc>
          <w:tcPr>
            <w:tcW w:w="925" w:type="dxa"/>
            <w:tcBorders>
              <w:top w:val="nil"/>
              <w:left w:val="nil"/>
              <w:bottom w:val="single" w:sz="4" w:space="0" w:color="auto"/>
              <w:right w:val="single" w:sz="4" w:space="0" w:color="auto"/>
            </w:tcBorders>
            <w:noWrap/>
            <w:vAlign w:val="center"/>
            <w:hideMark/>
          </w:tcPr>
          <w:p w14:paraId="16F768FB" w14:textId="77777777" w:rsidR="004B7622" w:rsidRPr="00825100" w:rsidRDefault="004B7622" w:rsidP="00377989">
            <w:pPr>
              <w:jc w:val="right"/>
              <w:rPr>
                <w:rFonts w:ascii="Arial" w:eastAsia="Times New Roman" w:hAnsi="Arial" w:cs="Arial"/>
                <w:color w:val="000000"/>
                <w:sz w:val="18"/>
                <w:szCs w:val="18"/>
                <w:lang w:eastAsia="sl-SI"/>
              </w:rPr>
            </w:pPr>
            <w:r w:rsidRPr="00825100">
              <w:rPr>
                <w:rFonts w:ascii="Arial" w:eastAsia="Times New Roman" w:hAnsi="Arial" w:cs="Arial"/>
                <w:color w:val="000000"/>
                <w:sz w:val="18"/>
                <w:szCs w:val="18"/>
                <w:lang w:eastAsia="sl-SI"/>
              </w:rPr>
              <w:t>0</w:t>
            </w:r>
          </w:p>
        </w:tc>
      </w:tr>
      <w:tr w:rsidR="004B7622" w:rsidRPr="00825100" w14:paraId="22C1BB7F" w14:textId="77777777" w:rsidTr="00377989">
        <w:trPr>
          <w:trHeight w:val="581"/>
        </w:trPr>
        <w:tc>
          <w:tcPr>
            <w:tcW w:w="925" w:type="dxa"/>
            <w:vMerge w:val="restart"/>
            <w:tcBorders>
              <w:top w:val="nil"/>
              <w:left w:val="single" w:sz="4" w:space="0" w:color="auto"/>
              <w:bottom w:val="single" w:sz="4" w:space="0" w:color="auto"/>
              <w:right w:val="single" w:sz="4" w:space="0" w:color="auto"/>
            </w:tcBorders>
            <w:vAlign w:val="center"/>
            <w:hideMark/>
          </w:tcPr>
          <w:p w14:paraId="3F46FB2F" w14:textId="77777777" w:rsidR="004B7622" w:rsidRPr="00825100" w:rsidRDefault="004B7622" w:rsidP="00377989">
            <w:pPr>
              <w:rPr>
                <w:rFonts w:ascii="Arial" w:eastAsia="Times New Roman" w:hAnsi="Arial" w:cs="Arial"/>
                <w:color w:val="000000"/>
                <w:sz w:val="18"/>
                <w:szCs w:val="18"/>
                <w:lang w:eastAsia="sl-SI"/>
              </w:rPr>
            </w:pPr>
            <w:r w:rsidRPr="00825100">
              <w:rPr>
                <w:rFonts w:ascii="Arial" w:eastAsia="Times New Roman" w:hAnsi="Arial" w:cs="Arial"/>
                <w:color w:val="000000"/>
                <w:sz w:val="18"/>
                <w:szCs w:val="18"/>
                <w:lang w:eastAsia="sl-SI"/>
              </w:rPr>
              <w:t xml:space="preserve">ZZZS                      </w:t>
            </w:r>
          </w:p>
        </w:tc>
        <w:tc>
          <w:tcPr>
            <w:tcW w:w="1889" w:type="dxa"/>
            <w:tcBorders>
              <w:top w:val="nil"/>
              <w:left w:val="nil"/>
              <w:bottom w:val="single" w:sz="4" w:space="0" w:color="auto"/>
              <w:right w:val="single" w:sz="4" w:space="0" w:color="auto"/>
            </w:tcBorders>
            <w:vAlign w:val="center"/>
            <w:hideMark/>
          </w:tcPr>
          <w:p w14:paraId="211F0DEC" w14:textId="77777777" w:rsidR="004B7622" w:rsidRPr="00825100" w:rsidRDefault="004B7622" w:rsidP="00377989">
            <w:pPr>
              <w:rPr>
                <w:rFonts w:ascii="Arial" w:eastAsia="Times New Roman" w:hAnsi="Arial" w:cs="Arial"/>
                <w:color w:val="000000"/>
                <w:sz w:val="18"/>
                <w:szCs w:val="18"/>
                <w:lang w:eastAsia="sl-SI"/>
              </w:rPr>
            </w:pPr>
            <w:r w:rsidRPr="00825100">
              <w:rPr>
                <w:rFonts w:ascii="Arial" w:eastAsia="Times New Roman" w:hAnsi="Arial" w:cs="Arial"/>
                <w:color w:val="000000"/>
                <w:sz w:val="18"/>
                <w:szCs w:val="18"/>
                <w:lang w:eastAsia="sl-SI"/>
              </w:rPr>
              <w:t>Prejeta zaprosila</w:t>
            </w:r>
          </w:p>
        </w:tc>
        <w:tc>
          <w:tcPr>
            <w:tcW w:w="925" w:type="dxa"/>
            <w:tcBorders>
              <w:top w:val="nil"/>
              <w:left w:val="nil"/>
              <w:bottom w:val="single" w:sz="4" w:space="0" w:color="auto"/>
              <w:right w:val="single" w:sz="4" w:space="0" w:color="auto"/>
            </w:tcBorders>
            <w:noWrap/>
            <w:vAlign w:val="center"/>
            <w:hideMark/>
          </w:tcPr>
          <w:p w14:paraId="3F65D407" w14:textId="77777777" w:rsidR="004B7622" w:rsidRPr="00825100" w:rsidRDefault="004B7622" w:rsidP="00377989">
            <w:pPr>
              <w:jc w:val="right"/>
              <w:rPr>
                <w:rFonts w:ascii="Arial" w:eastAsia="Times New Roman" w:hAnsi="Arial" w:cs="Arial"/>
                <w:sz w:val="18"/>
                <w:szCs w:val="18"/>
                <w:lang w:eastAsia="sl-SI"/>
              </w:rPr>
            </w:pPr>
            <w:r w:rsidRPr="00825100">
              <w:rPr>
                <w:rFonts w:ascii="Arial" w:eastAsia="Times New Roman" w:hAnsi="Arial" w:cs="Arial"/>
                <w:sz w:val="18"/>
                <w:szCs w:val="18"/>
                <w:lang w:eastAsia="sl-SI"/>
              </w:rPr>
              <w:t>12</w:t>
            </w:r>
          </w:p>
        </w:tc>
        <w:tc>
          <w:tcPr>
            <w:tcW w:w="925" w:type="dxa"/>
            <w:tcBorders>
              <w:top w:val="nil"/>
              <w:left w:val="nil"/>
              <w:bottom w:val="single" w:sz="4" w:space="0" w:color="auto"/>
              <w:right w:val="single" w:sz="4" w:space="0" w:color="auto"/>
            </w:tcBorders>
            <w:shd w:val="clear" w:color="auto" w:fill="DAEEF3"/>
            <w:noWrap/>
            <w:vAlign w:val="center"/>
            <w:hideMark/>
          </w:tcPr>
          <w:p w14:paraId="4083DA59" w14:textId="77777777" w:rsidR="004B7622" w:rsidRPr="00825100" w:rsidRDefault="004B7622" w:rsidP="00377989">
            <w:pPr>
              <w:jc w:val="right"/>
              <w:rPr>
                <w:rFonts w:ascii="Arial" w:eastAsia="Times New Roman" w:hAnsi="Arial" w:cs="Arial"/>
                <w:sz w:val="18"/>
                <w:szCs w:val="18"/>
                <w:lang w:eastAsia="sl-SI"/>
              </w:rPr>
            </w:pPr>
            <w:r w:rsidRPr="00825100">
              <w:rPr>
                <w:rFonts w:ascii="Arial" w:eastAsia="Times New Roman" w:hAnsi="Arial" w:cs="Arial"/>
                <w:sz w:val="18"/>
                <w:szCs w:val="18"/>
                <w:lang w:eastAsia="sl-SI"/>
              </w:rPr>
              <w:t>103.128</w:t>
            </w:r>
          </w:p>
        </w:tc>
        <w:tc>
          <w:tcPr>
            <w:tcW w:w="925" w:type="dxa"/>
            <w:tcBorders>
              <w:top w:val="nil"/>
              <w:left w:val="nil"/>
              <w:bottom w:val="single" w:sz="4" w:space="0" w:color="auto"/>
              <w:right w:val="single" w:sz="4" w:space="0" w:color="auto"/>
            </w:tcBorders>
            <w:noWrap/>
            <w:vAlign w:val="center"/>
            <w:hideMark/>
          </w:tcPr>
          <w:p w14:paraId="1D5C5EF4" w14:textId="77777777" w:rsidR="004B7622" w:rsidRPr="00825100" w:rsidRDefault="004B7622" w:rsidP="00377989">
            <w:pPr>
              <w:jc w:val="right"/>
              <w:rPr>
                <w:rFonts w:ascii="Arial" w:eastAsia="Times New Roman" w:hAnsi="Arial" w:cs="Arial"/>
                <w:color w:val="000000"/>
                <w:sz w:val="18"/>
                <w:szCs w:val="18"/>
                <w:lang w:eastAsia="sl-SI"/>
              </w:rPr>
            </w:pPr>
            <w:r w:rsidRPr="00825100">
              <w:rPr>
                <w:rFonts w:ascii="Arial" w:eastAsia="Times New Roman" w:hAnsi="Arial" w:cs="Arial"/>
                <w:color w:val="000000"/>
                <w:sz w:val="18"/>
                <w:szCs w:val="18"/>
                <w:lang w:eastAsia="sl-SI"/>
              </w:rPr>
              <w:t>95</w:t>
            </w:r>
          </w:p>
        </w:tc>
        <w:tc>
          <w:tcPr>
            <w:tcW w:w="925" w:type="dxa"/>
            <w:tcBorders>
              <w:top w:val="nil"/>
              <w:left w:val="nil"/>
              <w:bottom w:val="single" w:sz="4" w:space="0" w:color="auto"/>
              <w:right w:val="single" w:sz="4" w:space="0" w:color="auto"/>
            </w:tcBorders>
            <w:shd w:val="clear" w:color="auto" w:fill="DAEEF3"/>
            <w:noWrap/>
            <w:vAlign w:val="center"/>
            <w:hideMark/>
          </w:tcPr>
          <w:p w14:paraId="7BB36937" w14:textId="77777777" w:rsidR="004B7622" w:rsidRPr="00825100" w:rsidRDefault="004B7622" w:rsidP="00377989">
            <w:pPr>
              <w:jc w:val="right"/>
              <w:rPr>
                <w:rFonts w:ascii="Arial" w:eastAsia="Times New Roman" w:hAnsi="Arial" w:cs="Arial"/>
                <w:color w:val="000000"/>
                <w:sz w:val="18"/>
                <w:szCs w:val="18"/>
                <w:lang w:eastAsia="sl-SI"/>
              </w:rPr>
            </w:pPr>
            <w:r w:rsidRPr="00825100">
              <w:rPr>
                <w:rFonts w:ascii="Arial" w:eastAsia="Times New Roman" w:hAnsi="Arial" w:cs="Arial"/>
                <w:color w:val="000000"/>
                <w:sz w:val="18"/>
                <w:szCs w:val="18"/>
                <w:lang w:eastAsia="sl-SI"/>
              </w:rPr>
              <w:t>269.772</w:t>
            </w:r>
          </w:p>
        </w:tc>
        <w:tc>
          <w:tcPr>
            <w:tcW w:w="1228" w:type="dxa"/>
            <w:tcBorders>
              <w:top w:val="nil"/>
              <w:left w:val="nil"/>
              <w:bottom w:val="single" w:sz="4" w:space="0" w:color="auto"/>
              <w:right w:val="single" w:sz="4" w:space="0" w:color="auto"/>
            </w:tcBorders>
            <w:noWrap/>
            <w:vAlign w:val="center"/>
            <w:hideMark/>
          </w:tcPr>
          <w:p w14:paraId="2CD85420" w14:textId="77777777" w:rsidR="004B7622" w:rsidRPr="00825100" w:rsidRDefault="004B7622" w:rsidP="00377989">
            <w:pPr>
              <w:jc w:val="right"/>
              <w:rPr>
                <w:rFonts w:ascii="Arial" w:eastAsia="Times New Roman" w:hAnsi="Arial" w:cs="Arial"/>
                <w:color w:val="000000"/>
                <w:sz w:val="18"/>
                <w:szCs w:val="18"/>
                <w:lang w:eastAsia="sl-SI"/>
              </w:rPr>
            </w:pPr>
            <w:r w:rsidRPr="00825100">
              <w:rPr>
                <w:rFonts w:ascii="Arial" w:eastAsia="Times New Roman" w:hAnsi="Arial" w:cs="Arial"/>
                <w:color w:val="000000"/>
                <w:sz w:val="18"/>
                <w:szCs w:val="18"/>
                <w:lang w:eastAsia="sl-SI"/>
              </w:rPr>
              <w:t>791,67</w:t>
            </w:r>
          </w:p>
        </w:tc>
        <w:tc>
          <w:tcPr>
            <w:tcW w:w="925" w:type="dxa"/>
            <w:tcBorders>
              <w:top w:val="nil"/>
              <w:left w:val="nil"/>
              <w:bottom w:val="single" w:sz="4" w:space="0" w:color="auto"/>
              <w:right w:val="single" w:sz="4" w:space="0" w:color="auto"/>
            </w:tcBorders>
            <w:noWrap/>
            <w:vAlign w:val="center"/>
            <w:hideMark/>
          </w:tcPr>
          <w:p w14:paraId="02200DE5" w14:textId="77777777" w:rsidR="004B7622" w:rsidRPr="00825100" w:rsidRDefault="004B7622" w:rsidP="00377989">
            <w:pPr>
              <w:jc w:val="right"/>
              <w:rPr>
                <w:rFonts w:ascii="Arial" w:eastAsia="Times New Roman" w:hAnsi="Arial" w:cs="Arial"/>
                <w:color w:val="000000"/>
                <w:sz w:val="18"/>
                <w:szCs w:val="18"/>
                <w:lang w:eastAsia="sl-SI"/>
              </w:rPr>
            </w:pPr>
            <w:r w:rsidRPr="00825100">
              <w:rPr>
                <w:rFonts w:ascii="Arial" w:eastAsia="Times New Roman" w:hAnsi="Arial" w:cs="Arial"/>
                <w:color w:val="000000"/>
                <w:sz w:val="18"/>
                <w:szCs w:val="18"/>
                <w:lang w:eastAsia="sl-SI"/>
              </w:rPr>
              <w:t>261,59</w:t>
            </w:r>
          </w:p>
        </w:tc>
      </w:tr>
      <w:tr w:rsidR="004B7622" w:rsidRPr="00825100" w14:paraId="17E96EEF" w14:textId="77777777" w:rsidTr="00377989">
        <w:trPr>
          <w:trHeight w:val="316"/>
        </w:trPr>
        <w:tc>
          <w:tcPr>
            <w:tcW w:w="0" w:type="auto"/>
            <w:vMerge/>
            <w:tcBorders>
              <w:top w:val="nil"/>
              <w:left w:val="single" w:sz="4" w:space="0" w:color="auto"/>
              <w:bottom w:val="single" w:sz="4" w:space="0" w:color="auto"/>
              <w:right w:val="single" w:sz="4" w:space="0" w:color="auto"/>
            </w:tcBorders>
            <w:vAlign w:val="center"/>
            <w:hideMark/>
          </w:tcPr>
          <w:p w14:paraId="7D42BE8B" w14:textId="77777777" w:rsidR="004B7622" w:rsidRPr="00825100" w:rsidRDefault="004B7622" w:rsidP="00377989">
            <w:pPr>
              <w:rPr>
                <w:rFonts w:ascii="Arial" w:eastAsia="Times New Roman" w:hAnsi="Arial" w:cs="Arial"/>
                <w:color w:val="000000"/>
                <w:sz w:val="18"/>
                <w:szCs w:val="18"/>
                <w:lang w:eastAsia="sl-SI"/>
              </w:rPr>
            </w:pPr>
          </w:p>
        </w:tc>
        <w:tc>
          <w:tcPr>
            <w:tcW w:w="1889" w:type="dxa"/>
            <w:tcBorders>
              <w:top w:val="nil"/>
              <w:left w:val="nil"/>
              <w:bottom w:val="single" w:sz="4" w:space="0" w:color="auto"/>
              <w:right w:val="single" w:sz="4" w:space="0" w:color="auto"/>
            </w:tcBorders>
            <w:vAlign w:val="center"/>
            <w:hideMark/>
          </w:tcPr>
          <w:p w14:paraId="0494CF50" w14:textId="77777777" w:rsidR="004B7622" w:rsidRPr="00825100" w:rsidRDefault="004B7622" w:rsidP="00377989">
            <w:pPr>
              <w:rPr>
                <w:rFonts w:ascii="Arial" w:eastAsia="Times New Roman" w:hAnsi="Arial" w:cs="Arial"/>
                <w:color w:val="000000"/>
                <w:sz w:val="18"/>
                <w:szCs w:val="18"/>
                <w:lang w:eastAsia="sl-SI"/>
              </w:rPr>
            </w:pPr>
            <w:r w:rsidRPr="00825100">
              <w:rPr>
                <w:rFonts w:ascii="Arial" w:eastAsia="Times New Roman" w:hAnsi="Arial" w:cs="Arial"/>
                <w:color w:val="000000"/>
                <w:sz w:val="18"/>
                <w:szCs w:val="18"/>
                <w:lang w:eastAsia="sl-SI"/>
              </w:rPr>
              <w:t>Prejeta plačila</w:t>
            </w:r>
          </w:p>
        </w:tc>
        <w:tc>
          <w:tcPr>
            <w:tcW w:w="925" w:type="dxa"/>
            <w:tcBorders>
              <w:top w:val="nil"/>
              <w:left w:val="nil"/>
              <w:bottom w:val="single" w:sz="4" w:space="0" w:color="auto"/>
              <w:right w:val="single" w:sz="4" w:space="0" w:color="auto"/>
            </w:tcBorders>
            <w:noWrap/>
            <w:vAlign w:val="center"/>
            <w:hideMark/>
          </w:tcPr>
          <w:p w14:paraId="5BE1EA6E" w14:textId="77777777" w:rsidR="004B7622" w:rsidRPr="00825100" w:rsidRDefault="004B7622" w:rsidP="00377989">
            <w:pPr>
              <w:jc w:val="right"/>
              <w:rPr>
                <w:rFonts w:ascii="Arial" w:eastAsia="Times New Roman" w:hAnsi="Arial" w:cs="Arial"/>
                <w:sz w:val="18"/>
                <w:szCs w:val="18"/>
                <w:lang w:eastAsia="sl-SI"/>
              </w:rPr>
            </w:pPr>
            <w:r w:rsidRPr="00825100">
              <w:rPr>
                <w:rFonts w:ascii="Arial" w:eastAsia="Times New Roman" w:hAnsi="Arial" w:cs="Arial"/>
                <w:sz w:val="18"/>
                <w:szCs w:val="18"/>
                <w:lang w:eastAsia="sl-SI"/>
              </w:rPr>
              <w:t>/</w:t>
            </w:r>
          </w:p>
        </w:tc>
        <w:tc>
          <w:tcPr>
            <w:tcW w:w="925" w:type="dxa"/>
            <w:tcBorders>
              <w:top w:val="nil"/>
              <w:left w:val="nil"/>
              <w:bottom w:val="single" w:sz="4" w:space="0" w:color="auto"/>
              <w:right w:val="single" w:sz="4" w:space="0" w:color="auto"/>
            </w:tcBorders>
            <w:shd w:val="clear" w:color="auto" w:fill="DAEEF3"/>
            <w:noWrap/>
            <w:vAlign w:val="center"/>
            <w:hideMark/>
          </w:tcPr>
          <w:p w14:paraId="04EB6AE9" w14:textId="77777777" w:rsidR="004B7622" w:rsidRPr="00825100" w:rsidRDefault="004B7622" w:rsidP="00377989">
            <w:pPr>
              <w:jc w:val="right"/>
              <w:rPr>
                <w:rFonts w:ascii="Arial" w:eastAsia="Times New Roman" w:hAnsi="Arial" w:cs="Arial"/>
                <w:sz w:val="18"/>
                <w:szCs w:val="18"/>
                <w:lang w:eastAsia="sl-SI"/>
              </w:rPr>
            </w:pPr>
            <w:r w:rsidRPr="00825100">
              <w:rPr>
                <w:rFonts w:ascii="Arial" w:eastAsia="Times New Roman" w:hAnsi="Arial" w:cs="Arial"/>
                <w:sz w:val="18"/>
                <w:szCs w:val="18"/>
                <w:lang w:eastAsia="sl-SI"/>
              </w:rPr>
              <w:t>24.470</w:t>
            </w:r>
          </w:p>
        </w:tc>
        <w:tc>
          <w:tcPr>
            <w:tcW w:w="925" w:type="dxa"/>
            <w:tcBorders>
              <w:top w:val="nil"/>
              <w:left w:val="nil"/>
              <w:bottom w:val="single" w:sz="4" w:space="0" w:color="auto"/>
              <w:right w:val="single" w:sz="4" w:space="0" w:color="auto"/>
            </w:tcBorders>
            <w:noWrap/>
            <w:vAlign w:val="center"/>
            <w:hideMark/>
          </w:tcPr>
          <w:p w14:paraId="5671242A" w14:textId="77777777" w:rsidR="004B7622" w:rsidRPr="00825100" w:rsidRDefault="004B7622" w:rsidP="00377989">
            <w:pPr>
              <w:jc w:val="right"/>
              <w:rPr>
                <w:rFonts w:ascii="Arial" w:eastAsia="Times New Roman" w:hAnsi="Arial" w:cs="Arial"/>
                <w:sz w:val="18"/>
                <w:szCs w:val="18"/>
                <w:lang w:eastAsia="sl-SI"/>
              </w:rPr>
            </w:pPr>
            <w:r w:rsidRPr="00825100">
              <w:rPr>
                <w:rFonts w:ascii="Arial" w:eastAsia="Times New Roman" w:hAnsi="Arial" w:cs="Arial"/>
                <w:sz w:val="18"/>
                <w:szCs w:val="18"/>
                <w:lang w:eastAsia="sl-SI"/>
              </w:rPr>
              <w:t>/</w:t>
            </w:r>
          </w:p>
        </w:tc>
        <w:tc>
          <w:tcPr>
            <w:tcW w:w="925" w:type="dxa"/>
            <w:tcBorders>
              <w:top w:val="nil"/>
              <w:left w:val="nil"/>
              <w:bottom w:val="single" w:sz="4" w:space="0" w:color="auto"/>
              <w:right w:val="single" w:sz="4" w:space="0" w:color="auto"/>
            </w:tcBorders>
            <w:shd w:val="clear" w:color="auto" w:fill="DAEEF3"/>
            <w:noWrap/>
            <w:vAlign w:val="center"/>
            <w:hideMark/>
          </w:tcPr>
          <w:p w14:paraId="4D854FF3" w14:textId="77777777" w:rsidR="004B7622" w:rsidRPr="00825100" w:rsidRDefault="004B7622" w:rsidP="00377989">
            <w:pPr>
              <w:jc w:val="right"/>
              <w:rPr>
                <w:rFonts w:ascii="Arial" w:eastAsia="Times New Roman" w:hAnsi="Arial" w:cs="Arial"/>
                <w:sz w:val="18"/>
                <w:szCs w:val="18"/>
                <w:lang w:eastAsia="sl-SI"/>
              </w:rPr>
            </w:pPr>
            <w:r w:rsidRPr="00825100">
              <w:rPr>
                <w:rFonts w:ascii="Arial" w:eastAsia="Times New Roman" w:hAnsi="Arial" w:cs="Arial"/>
                <w:sz w:val="18"/>
                <w:szCs w:val="18"/>
                <w:lang w:eastAsia="sl-SI"/>
              </w:rPr>
              <w:t>63.550</w:t>
            </w:r>
          </w:p>
        </w:tc>
        <w:tc>
          <w:tcPr>
            <w:tcW w:w="1228" w:type="dxa"/>
            <w:tcBorders>
              <w:top w:val="nil"/>
              <w:left w:val="nil"/>
              <w:bottom w:val="single" w:sz="4" w:space="0" w:color="auto"/>
              <w:right w:val="single" w:sz="4" w:space="0" w:color="auto"/>
            </w:tcBorders>
            <w:noWrap/>
            <w:vAlign w:val="center"/>
            <w:hideMark/>
          </w:tcPr>
          <w:p w14:paraId="0E58FE50" w14:textId="77777777" w:rsidR="004B7622" w:rsidRPr="00825100" w:rsidRDefault="004B7622" w:rsidP="00377989">
            <w:pPr>
              <w:jc w:val="right"/>
              <w:rPr>
                <w:rFonts w:ascii="Arial" w:eastAsia="Times New Roman" w:hAnsi="Arial" w:cs="Arial"/>
                <w:b/>
                <w:bCs/>
                <w:color w:val="000000"/>
                <w:sz w:val="18"/>
                <w:szCs w:val="18"/>
                <w:lang w:eastAsia="sl-SI"/>
              </w:rPr>
            </w:pPr>
            <w:r w:rsidRPr="00825100">
              <w:rPr>
                <w:rFonts w:ascii="Arial" w:eastAsia="Times New Roman" w:hAnsi="Arial" w:cs="Arial"/>
                <w:b/>
                <w:bCs/>
                <w:color w:val="000000"/>
                <w:sz w:val="18"/>
                <w:szCs w:val="18"/>
                <w:lang w:eastAsia="sl-SI"/>
              </w:rPr>
              <w:t>/</w:t>
            </w:r>
          </w:p>
        </w:tc>
        <w:tc>
          <w:tcPr>
            <w:tcW w:w="925" w:type="dxa"/>
            <w:tcBorders>
              <w:top w:val="nil"/>
              <w:left w:val="nil"/>
              <w:bottom w:val="single" w:sz="4" w:space="0" w:color="auto"/>
              <w:right w:val="single" w:sz="4" w:space="0" w:color="auto"/>
            </w:tcBorders>
            <w:noWrap/>
            <w:vAlign w:val="center"/>
            <w:hideMark/>
          </w:tcPr>
          <w:p w14:paraId="0720FF29" w14:textId="77777777" w:rsidR="004B7622" w:rsidRPr="00825100" w:rsidRDefault="004B7622" w:rsidP="00377989">
            <w:pPr>
              <w:jc w:val="right"/>
              <w:rPr>
                <w:rFonts w:ascii="Arial" w:eastAsia="Times New Roman" w:hAnsi="Arial" w:cs="Arial"/>
                <w:sz w:val="18"/>
                <w:szCs w:val="18"/>
                <w:lang w:eastAsia="sl-SI"/>
              </w:rPr>
            </w:pPr>
            <w:r w:rsidRPr="00825100">
              <w:rPr>
                <w:rFonts w:ascii="Arial" w:eastAsia="Times New Roman" w:hAnsi="Arial" w:cs="Arial"/>
                <w:sz w:val="18"/>
                <w:szCs w:val="18"/>
                <w:lang w:eastAsia="sl-SI"/>
              </w:rPr>
              <w:t>259,71</w:t>
            </w:r>
          </w:p>
        </w:tc>
      </w:tr>
      <w:tr w:rsidR="004B7622" w:rsidRPr="00825100" w14:paraId="3243234D" w14:textId="77777777" w:rsidTr="00377989">
        <w:trPr>
          <w:trHeight w:val="581"/>
        </w:trPr>
        <w:tc>
          <w:tcPr>
            <w:tcW w:w="925" w:type="dxa"/>
            <w:vMerge w:val="restart"/>
            <w:tcBorders>
              <w:top w:val="nil"/>
              <w:left w:val="single" w:sz="4" w:space="0" w:color="auto"/>
              <w:bottom w:val="single" w:sz="4" w:space="0" w:color="auto"/>
              <w:right w:val="single" w:sz="4" w:space="0" w:color="auto"/>
            </w:tcBorders>
            <w:vAlign w:val="center"/>
            <w:hideMark/>
          </w:tcPr>
          <w:p w14:paraId="715192A6" w14:textId="77777777" w:rsidR="004B7622" w:rsidRPr="00825100" w:rsidRDefault="004B7622" w:rsidP="00377989">
            <w:pPr>
              <w:rPr>
                <w:rFonts w:ascii="Arial" w:eastAsia="Times New Roman" w:hAnsi="Arial" w:cs="Arial"/>
                <w:color w:val="000000"/>
                <w:sz w:val="18"/>
                <w:szCs w:val="18"/>
                <w:lang w:eastAsia="sl-SI"/>
              </w:rPr>
            </w:pPr>
            <w:r w:rsidRPr="00825100">
              <w:rPr>
                <w:rFonts w:ascii="Arial" w:eastAsia="Times New Roman" w:hAnsi="Arial" w:cs="Arial"/>
                <w:color w:val="000000"/>
                <w:sz w:val="18"/>
                <w:szCs w:val="18"/>
                <w:lang w:eastAsia="sl-SI"/>
              </w:rPr>
              <w:t xml:space="preserve">MDDSZ                  </w:t>
            </w:r>
          </w:p>
        </w:tc>
        <w:tc>
          <w:tcPr>
            <w:tcW w:w="1889" w:type="dxa"/>
            <w:tcBorders>
              <w:top w:val="nil"/>
              <w:left w:val="nil"/>
              <w:bottom w:val="single" w:sz="4" w:space="0" w:color="auto"/>
              <w:right w:val="single" w:sz="4" w:space="0" w:color="auto"/>
            </w:tcBorders>
            <w:vAlign w:val="center"/>
            <w:hideMark/>
          </w:tcPr>
          <w:p w14:paraId="6173E39D" w14:textId="77777777" w:rsidR="004B7622" w:rsidRPr="00825100" w:rsidRDefault="004B7622" w:rsidP="00377989">
            <w:pPr>
              <w:rPr>
                <w:rFonts w:ascii="Arial" w:eastAsia="Times New Roman" w:hAnsi="Arial" w:cs="Arial"/>
                <w:color w:val="000000"/>
                <w:sz w:val="18"/>
                <w:szCs w:val="18"/>
                <w:lang w:eastAsia="sl-SI"/>
              </w:rPr>
            </w:pPr>
            <w:r w:rsidRPr="00825100">
              <w:rPr>
                <w:rFonts w:ascii="Arial" w:eastAsia="Times New Roman" w:hAnsi="Arial" w:cs="Arial"/>
                <w:color w:val="000000"/>
                <w:sz w:val="18"/>
                <w:szCs w:val="18"/>
                <w:lang w:eastAsia="sl-SI"/>
              </w:rPr>
              <w:t>Prejeta zaprosila</w:t>
            </w:r>
          </w:p>
        </w:tc>
        <w:tc>
          <w:tcPr>
            <w:tcW w:w="925" w:type="dxa"/>
            <w:tcBorders>
              <w:top w:val="nil"/>
              <w:left w:val="nil"/>
              <w:bottom w:val="single" w:sz="4" w:space="0" w:color="auto"/>
              <w:right w:val="single" w:sz="4" w:space="0" w:color="auto"/>
            </w:tcBorders>
            <w:noWrap/>
            <w:vAlign w:val="center"/>
            <w:hideMark/>
          </w:tcPr>
          <w:p w14:paraId="35EFDADF" w14:textId="77777777" w:rsidR="004B7622" w:rsidRPr="00825100" w:rsidRDefault="004B7622" w:rsidP="00377989">
            <w:pPr>
              <w:jc w:val="right"/>
              <w:rPr>
                <w:rFonts w:ascii="Arial" w:eastAsia="Times New Roman" w:hAnsi="Arial" w:cs="Arial"/>
                <w:sz w:val="18"/>
                <w:szCs w:val="18"/>
                <w:lang w:eastAsia="sl-SI"/>
              </w:rPr>
            </w:pPr>
            <w:r w:rsidRPr="00825100">
              <w:rPr>
                <w:rFonts w:ascii="Arial" w:eastAsia="Times New Roman" w:hAnsi="Arial" w:cs="Arial"/>
                <w:sz w:val="18"/>
                <w:szCs w:val="18"/>
                <w:lang w:eastAsia="sl-SI"/>
              </w:rPr>
              <w:t>0</w:t>
            </w:r>
          </w:p>
        </w:tc>
        <w:tc>
          <w:tcPr>
            <w:tcW w:w="925" w:type="dxa"/>
            <w:tcBorders>
              <w:top w:val="nil"/>
              <w:left w:val="nil"/>
              <w:bottom w:val="single" w:sz="4" w:space="0" w:color="auto"/>
              <w:right w:val="single" w:sz="4" w:space="0" w:color="auto"/>
            </w:tcBorders>
            <w:shd w:val="clear" w:color="auto" w:fill="DAEEF3"/>
            <w:noWrap/>
            <w:vAlign w:val="center"/>
            <w:hideMark/>
          </w:tcPr>
          <w:p w14:paraId="4DAC78E0" w14:textId="77777777" w:rsidR="004B7622" w:rsidRPr="00825100" w:rsidRDefault="004B7622" w:rsidP="00377989">
            <w:pPr>
              <w:jc w:val="right"/>
              <w:rPr>
                <w:rFonts w:ascii="Arial" w:eastAsia="Times New Roman" w:hAnsi="Arial" w:cs="Arial"/>
                <w:sz w:val="18"/>
                <w:szCs w:val="18"/>
                <w:lang w:eastAsia="sl-SI"/>
              </w:rPr>
            </w:pPr>
            <w:r w:rsidRPr="00825100">
              <w:rPr>
                <w:rFonts w:ascii="Arial" w:eastAsia="Times New Roman" w:hAnsi="Arial" w:cs="Arial"/>
                <w:sz w:val="18"/>
                <w:szCs w:val="18"/>
                <w:lang w:eastAsia="sl-SI"/>
              </w:rPr>
              <w:t>0</w:t>
            </w:r>
          </w:p>
        </w:tc>
        <w:tc>
          <w:tcPr>
            <w:tcW w:w="925" w:type="dxa"/>
            <w:tcBorders>
              <w:top w:val="nil"/>
              <w:left w:val="nil"/>
              <w:bottom w:val="single" w:sz="4" w:space="0" w:color="auto"/>
              <w:right w:val="single" w:sz="4" w:space="0" w:color="auto"/>
            </w:tcBorders>
            <w:noWrap/>
            <w:vAlign w:val="center"/>
            <w:hideMark/>
          </w:tcPr>
          <w:p w14:paraId="6CA5F75F" w14:textId="77777777" w:rsidR="004B7622" w:rsidRPr="00825100" w:rsidRDefault="004B7622" w:rsidP="00377989">
            <w:pPr>
              <w:jc w:val="right"/>
              <w:rPr>
                <w:rFonts w:ascii="Arial" w:eastAsia="Times New Roman" w:hAnsi="Arial" w:cs="Arial"/>
                <w:color w:val="000000"/>
                <w:sz w:val="18"/>
                <w:szCs w:val="18"/>
                <w:lang w:eastAsia="sl-SI"/>
              </w:rPr>
            </w:pPr>
            <w:r w:rsidRPr="00825100">
              <w:rPr>
                <w:rFonts w:ascii="Arial" w:eastAsia="Times New Roman" w:hAnsi="Arial" w:cs="Arial"/>
                <w:color w:val="000000"/>
                <w:sz w:val="18"/>
                <w:szCs w:val="18"/>
                <w:lang w:eastAsia="sl-SI"/>
              </w:rPr>
              <w:t>5</w:t>
            </w:r>
          </w:p>
        </w:tc>
        <w:tc>
          <w:tcPr>
            <w:tcW w:w="925" w:type="dxa"/>
            <w:tcBorders>
              <w:top w:val="nil"/>
              <w:left w:val="nil"/>
              <w:bottom w:val="single" w:sz="4" w:space="0" w:color="auto"/>
              <w:right w:val="single" w:sz="4" w:space="0" w:color="auto"/>
            </w:tcBorders>
            <w:shd w:val="clear" w:color="auto" w:fill="DAEEF3"/>
            <w:noWrap/>
            <w:vAlign w:val="center"/>
            <w:hideMark/>
          </w:tcPr>
          <w:p w14:paraId="360FFB16" w14:textId="77777777" w:rsidR="004B7622" w:rsidRPr="00825100" w:rsidRDefault="004B7622" w:rsidP="00377989">
            <w:pPr>
              <w:jc w:val="right"/>
              <w:rPr>
                <w:rFonts w:ascii="Arial" w:eastAsia="Times New Roman" w:hAnsi="Arial" w:cs="Arial"/>
                <w:color w:val="000000"/>
                <w:sz w:val="18"/>
                <w:szCs w:val="18"/>
                <w:lang w:eastAsia="sl-SI"/>
              </w:rPr>
            </w:pPr>
            <w:r w:rsidRPr="00825100">
              <w:rPr>
                <w:rFonts w:ascii="Arial" w:eastAsia="Times New Roman" w:hAnsi="Arial" w:cs="Arial"/>
                <w:color w:val="000000"/>
                <w:sz w:val="18"/>
                <w:szCs w:val="18"/>
                <w:lang w:eastAsia="sl-SI"/>
              </w:rPr>
              <w:t>6.980</w:t>
            </w:r>
          </w:p>
        </w:tc>
        <w:tc>
          <w:tcPr>
            <w:tcW w:w="1228" w:type="dxa"/>
            <w:tcBorders>
              <w:top w:val="nil"/>
              <w:left w:val="nil"/>
              <w:bottom w:val="single" w:sz="4" w:space="0" w:color="auto"/>
              <w:right w:val="single" w:sz="4" w:space="0" w:color="auto"/>
            </w:tcBorders>
            <w:noWrap/>
            <w:vAlign w:val="center"/>
            <w:hideMark/>
          </w:tcPr>
          <w:p w14:paraId="1E205356" w14:textId="77777777" w:rsidR="004B7622" w:rsidRPr="00825100" w:rsidRDefault="004B7622" w:rsidP="00377989">
            <w:pPr>
              <w:jc w:val="right"/>
              <w:rPr>
                <w:rFonts w:ascii="Arial" w:eastAsia="Times New Roman" w:hAnsi="Arial" w:cs="Arial"/>
                <w:color w:val="000000"/>
                <w:sz w:val="18"/>
                <w:szCs w:val="18"/>
                <w:lang w:eastAsia="sl-SI"/>
              </w:rPr>
            </w:pPr>
            <w:r w:rsidRPr="00825100">
              <w:rPr>
                <w:rFonts w:ascii="Arial" w:eastAsia="Times New Roman" w:hAnsi="Arial" w:cs="Arial"/>
                <w:color w:val="000000"/>
                <w:sz w:val="18"/>
                <w:szCs w:val="18"/>
                <w:lang w:eastAsia="sl-SI"/>
              </w:rPr>
              <w:t>0,00</w:t>
            </w:r>
          </w:p>
        </w:tc>
        <w:tc>
          <w:tcPr>
            <w:tcW w:w="925" w:type="dxa"/>
            <w:tcBorders>
              <w:top w:val="nil"/>
              <w:left w:val="nil"/>
              <w:bottom w:val="single" w:sz="4" w:space="0" w:color="auto"/>
              <w:right w:val="single" w:sz="4" w:space="0" w:color="auto"/>
            </w:tcBorders>
            <w:noWrap/>
            <w:vAlign w:val="center"/>
            <w:hideMark/>
          </w:tcPr>
          <w:p w14:paraId="5929C3A3" w14:textId="77777777" w:rsidR="004B7622" w:rsidRPr="00825100" w:rsidRDefault="004B7622" w:rsidP="00377989">
            <w:pPr>
              <w:jc w:val="right"/>
              <w:rPr>
                <w:rFonts w:ascii="Arial" w:eastAsia="Times New Roman" w:hAnsi="Arial" w:cs="Arial"/>
                <w:color w:val="000000"/>
                <w:sz w:val="18"/>
                <w:szCs w:val="18"/>
                <w:lang w:eastAsia="sl-SI"/>
              </w:rPr>
            </w:pPr>
            <w:r w:rsidRPr="00825100">
              <w:rPr>
                <w:rFonts w:ascii="Arial" w:eastAsia="Times New Roman" w:hAnsi="Arial" w:cs="Arial"/>
                <w:color w:val="000000"/>
                <w:sz w:val="18"/>
                <w:szCs w:val="18"/>
                <w:lang w:eastAsia="sl-SI"/>
              </w:rPr>
              <w:t>0,00</w:t>
            </w:r>
          </w:p>
        </w:tc>
      </w:tr>
      <w:tr w:rsidR="004B7622" w:rsidRPr="00825100" w14:paraId="4236A4D5" w14:textId="77777777" w:rsidTr="00377989">
        <w:trPr>
          <w:trHeight w:val="316"/>
        </w:trPr>
        <w:tc>
          <w:tcPr>
            <w:tcW w:w="0" w:type="auto"/>
            <w:vMerge/>
            <w:tcBorders>
              <w:top w:val="nil"/>
              <w:left w:val="single" w:sz="4" w:space="0" w:color="auto"/>
              <w:bottom w:val="single" w:sz="4" w:space="0" w:color="auto"/>
              <w:right w:val="single" w:sz="4" w:space="0" w:color="auto"/>
            </w:tcBorders>
            <w:vAlign w:val="center"/>
            <w:hideMark/>
          </w:tcPr>
          <w:p w14:paraId="54AE07B4" w14:textId="77777777" w:rsidR="004B7622" w:rsidRPr="00825100" w:rsidRDefault="004B7622" w:rsidP="00377989">
            <w:pPr>
              <w:rPr>
                <w:rFonts w:ascii="Arial" w:eastAsia="Times New Roman" w:hAnsi="Arial" w:cs="Arial"/>
                <w:color w:val="000000"/>
                <w:sz w:val="18"/>
                <w:szCs w:val="18"/>
                <w:lang w:eastAsia="sl-SI"/>
              </w:rPr>
            </w:pPr>
          </w:p>
        </w:tc>
        <w:tc>
          <w:tcPr>
            <w:tcW w:w="1889" w:type="dxa"/>
            <w:tcBorders>
              <w:top w:val="nil"/>
              <w:left w:val="nil"/>
              <w:bottom w:val="single" w:sz="4" w:space="0" w:color="auto"/>
              <w:right w:val="single" w:sz="4" w:space="0" w:color="auto"/>
            </w:tcBorders>
            <w:vAlign w:val="center"/>
            <w:hideMark/>
          </w:tcPr>
          <w:p w14:paraId="336A7037" w14:textId="77777777" w:rsidR="004B7622" w:rsidRPr="00825100" w:rsidRDefault="004B7622" w:rsidP="00377989">
            <w:pPr>
              <w:rPr>
                <w:rFonts w:ascii="Arial" w:eastAsia="Times New Roman" w:hAnsi="Arial" w:cs="Arial"/>
                <w:color w:val="000000"/>
                <w:sz w:val="18"/>
                <w:szCs w:val="18"/>
                <w:lang w:eastAsia="sl-SI"/>
              </w:rPr>
            </w:pPr>
            <w:r w:rsidRPr="00825100">
              <w:rPr>
                <w:rFonts w:ascii="Arial" w:eastAsia="Times New Roman" w:hAnsi="Arial" w:cs="Arial"/>
                <w:color w:val="000000"/>
                <w:sz w:val="18"/>
                <w:szCs w:val="18"/>
                <w:lang w:eastAsia="sl-SI"/>
              </w:rPr>
              <w:t>Prejeta plačila</w:t>
            </w:r>
          </w:p>
        </w:tc>
        <w:tc>
          <w:tcPr>
            <w:tcW w:w="925" w:type="dxa"/>
            <w:tcBorders>
              <w:top w:val="nil"/>
              <w:left w:val="nil"/>
              <w:bottom w:val="single" w:sz="4" w:space="0" w:color="auto"/>
              <w:right w:val="single" w:sz="4" w:space="0" w:color="auto"/>
            </w:tcBorders>
            <w:noWrap/>
            <w:vAlign w:val="center"/>
            <w:hideMark/>
          </w:tcPr>
          <w:p w14:paraId="155FB012" w14:textId="77777777" w:rsidR="004B7622" w:rsidRPr="00825100" w:rsidRDefault="004B7622" w:rsidP="00377989">
            <w:pPr>
              <w:jc w:val="right"/>
              <w:rPr>
                <w:rFonts w:ascii="Arial" w:eastAsia="Times New Roman" w:hAnsi="Arial" w:cs="Arial"/>
                <w:sz w:val="18"/>
                <w:szCs w:val="18"/>
                <w:lang w:eastAsia="sl-SI"/>
              </w:rPr>
            </w:pPr>
            <w:r w:rsidRPr="00825100">
              <w:rPr>
                <w:rFonts w:ascii="Arial" w:eastAsia="Times New Roman" w:hAnsi="Arial" w:cs="Arial"/>
                <w:sz w:val="18"/>
                <w:szCs w:val="18"/>
                <w:lang w:eastAsia="sl-SI"/>
              </w:rPr>
              <w:t>/</w:t>
            </w:r>
          </w:p>
        </w:tc>
        <w:tc>
          <w:tcPr>
            <w:tcW w:w="925" w:type="dxa"/>
            <w:tcBorders>
              <w:top w:val="nil"/>
              <w:left w:val="nil"/>
              <w:bottom w:val="single" w:sz="4" w:space="0" w:color="auto"/>
              <w:right w:val="single" w:sz="4" w:space="0" w:color="auto"/>
            </w:tcBorders>
            <w:shd w:val="clear" w:color="auto" w:fill="DAEEF3"/>
            <w:noWrap/>
            <w:vAlign w:val="center"/>
            <w:hideMark/>
          </w:tcPr>
          <w:p w14:paraId="12F25DF6" w14:textId="77777777" w:rsidR="004B7622" w:rsidRPr="00825100" w:rsidRDefault="004B7622" w:rsidP="00377989">
            <w:pPr>
              <w:jc w:val="right"/>
              <w:rPr>
                <w:rFonts w:ascii="Arial" w:eastAsia="Times New Roman" w:hAnsi="Arial" w:cs="Arial"/>
                <w:sz w:val="18"/>
                <w:szCs w:val="18"/>
                <w:lang w:eastAsia="sl-SI"/>
              </w:rPr>
            </w:pPr>
            <w:r w:rsidRPr="00825100">
              <w:rPr>
                <w:rFonts w:ascii="Arial" w:eastAsia="Times New Roman" w:hAnsi="Arial" w:cs="Arial"/>
                <w:sz w:val="18"/>
                <w:szCs w:val="18"/>
                <w:lang w:eastAsia="sl-SI"/>
              </w:rPr>
              <w:t>0</w:t>
            </w:r>
          </w:p>
        </w:tc>
        <w:tc>
          <w:tcPr>
            <w:tcW w:w="925" w:type="dxa"/>
            <w:tcBorders>
              <w:top w:val="nil"/>
              <w:left w:val="nil"/>
              <w:bottom w:val="single" w:sz="4" w:space="0" w:color="auto"/>
              <w:right w:val="single" w:sz="4" w:space="0" w:color="auto"/>
            </w:tcBorders>
            <w:noWrap/>
            <w:vAlign w:val="center"/>
            <w:hideMark/>
          </w:tcPr>
          <w:p w14:paraId="770B5B6A" w14:textId="77777777" w:rsidR="004B7622" w:rsidRPr="00825100" w:rsidRDefault="004B7622" w:rsidP="00377989">
            <w:pPr>
              <w:jc w:val="right"/>
              <w:rPr>
                <w:rFonts w:ascii="Arial" w:eastAsia="Times New Roman" w:hAnsi="Arial" w:cs="Arial"/>
                <w:sz w:val="18"/>
                <w:szCs w:val="18"/>
                <w:lang w:eastAsia="sl-SI"/>
              </w:rPr>
            </w:pPr>
            <w:r w:rsidRPr="00825100">
              <w:rPr>
                <w:rFonts w:ascii="Arial" w:eastAsia="Times New Roman" w:hAnsi="Arial" w:cs="Arial"/>
                <w:sz w:val="18"/>
                <w:szCs w:val="18"/>
                <w:lang w:eastAsia="sl-SI"/>
              </w:rPr>
              <w:t>/</w:t>
            </w:r>
          </w:p>
        </w:tc>
        <w:tc>
          <w:tcPr>
            <w:tcW w:w="925" w:type="dxa"/>
            <w:tcBorders>
              <w:top w:val="nil"/>
              <w:left w:val="nil"/>
              <w:bottom w:val="single" w:sz="4" w:space="0" w:color="auto"/>
              <w:right w:val="single" w:sz="4" w:space="0" w:color="auto"/>
            </w:tcBorders>
            <w:shd w:val="clear" w:color="auto" w:fill="DAEEF3"/>
            <w:noWrap/>
            <w:vAlign w:val="center"/>
            <w:hideMark/>
          </w:tcPr>
          <w:p w14:paraId="09BEE26E" w14:textId="77777777" w:rsidR="004B7622" w:rsidRPr="00825100" w:rsidRDefault="004B7622" w:rsidP="00377989">
            <w:pPr>
              <w:jc w:val="right"/>
              <w:rPr>
                <w:rFonts w:ascii="Arial" w:eastAsia="Times New Roman" w:hAnsi="Arial" w:cs="Arial"/>
                <w:color w:val="000000"/>
                <w:sz w:val="18"/>
                <w:szCs w:val="18"/>
                <w:lang w:eastAsia="sl-SI"/>
              </w:rPr>
            </w:pPr>
            <w:r w:rsidRPr="00825100">
              <w:rPr>
                <w:rFonts w:ascii="Arial" w:eastAsia="Times New Roman" w:hAnsi="Arial" w:cs="Arial"/>
                <w:color w:val="000000"/>
                <w:sz w:val="18"/>
                <w:szCs w:val="18"/>
                <w:lang w:eastAsia="sl-SI"/>
              </w:rPr>
              <w:t>1.400</w:t>
            </w:r>
          </w:p>
        </w:tc>
        <w:tc>
          <w:tcPr>
            <w:tcW w:w="1228" w:type="dxa"/>
            <w:tcBorders>
              <w:top w:val="nil"/>
              <w:left w:val="nil"/>
              <w:bottom w:val="single" w:sz="4" w:space="0" w:color="auto"/>
              <w:right w:val="single" w:sz="4" w:space="0" w:color="auto"/>
            </w:tcBorders>
            <w:noWrap/>
            <w:vAlign w:val="center"/>
            <w:hideMark/>
          </w:tcPr>
          <w:p w14:paraId="7B013F3E" w14:textId="77777777" w:rsidR="004B7622" w:rsidRPr="00825100" w:rsidRDefault="004B7622" w:rsidP="00377989">
            <w:pPr>
              <w:jc w:val="right"/>
              <w:rPr>
                <w:rFonts w:ascii="Arial" w:eastAsia="Times New Roman" w:hAnsi="Arial" w:cs="Arial"/>
                <w:color w:val="000000"/>
                <w:sz w:val="18"/>
                <w:szCs w:val="18"/>
                <w:lang w:eastAsia="sl-SI"/>
              </w:rPr>
            </w:pPr>
            <w:r w:rsidRPr="00825100">
              <w:rPr>
                <w:rFonts w:ascii="Arial" w:eastAsia="Times New Roman" w:hAnsi="Arial" w:cs="Arial"/>
                <w:color w:val="000000"/>
                <w:sz w:val="18"/>
                <w:szCs w:val="18"/>
                <w:lang w:eastAsia="sl-SI"/>
              </w:rPr>
              <w:t>/</w:t>
            </w:r>
          </w:p>
        </w:tc>
        <w:tc>
          <w:tcPr>
            <w:tcW w:w="925" w:type="dxa"/>
            <w:tcBorders>
              <w:top w:val="nil"/>
              <w:left w:val="nil"/>
              <w:bottom w:val="single" w:sz="4" w:space="0" w:color="auto"/>
              <w:right w:val="single" w:sz="4" w:space="0" w:color="auto"/>
            </w:tcBorders>
            <w:noWrap/>
            <w:vAlign w:val="center"/>
            <w:hideMark/>
          </w:tcPr>
          <w:p w14:paraId="79E430F2" w14:textId="77777777" w:rsidR="004B7622" w:rsidRPr="00825100" w:rsidRDefault="004B7622" w:rsidP="00377989">
            <w:pPr>
              <w:jc w:val="right"/>
              <w:rPr>
                <w:rFonts w:ascii="Arial" w:eastAsia="Times New Roman" w:hAnsi="Arial" w:cs="Arial"/>
                <w:color w:val="000000"/>
                <w:sz w:val="18"/>
                <w:szCs w:val="18"/>
                <w:lang w:eastAsia="sl-SI"/>
              </w:rPr>
            </w:pPr>
            <w:r w:rsidRPr="00825100">
              <w:rPr>
                <w:rFonts w:ascii="Arial" w:eastAsia="Times New Roman" w:hAnsi="Arial" w:cs="Arial"/>
                <w:color w:val="000000"/>
                <w:sz w:val="18"/>
                <w:szCs w:val="18"/>
                <w:lang w:eastAsia="sl-SI"/>
              </w:rPr>
              <w:t>0,00</w:t>
            </w:r>
          </w:p>
        </w:tc>
      </w:tr>
      <w:tr w:rsidR="004B7622" w:rsidRPr="00825100" w14:paraId="04C60C24" w14:textId="77777777" w:rsidTr="00377989">
        <w:trPr>
          <w:trHeight w:val="581"/>
        </w:trPr>
        <w:tc>
          <w:tcPr>
            <w:tcW w:w="925" w:type="dxa"/>
            <w:vMerge w:val="restart"/>
            <w:tcBorders>
              <w:top w:val="nil"/>
              <w:left w:val="single" w:sz="4" w:space="0" w:color="auto"/>
              <w:bottom w:val="single" w:sz="4" w:space="0" w:color="auto"/>
              <w:right w:val="single" w:sz="4" w:space="0" w:color="auto"/>
            </w:tcBorders>
            <w:vAlign w:val="center"/>
            <w:hideMark/>
          </w:tcPr>
          <w:p w14:paraId="455E4F07" w14:textId="77777777" w:rsidR="004B7622" w:rsidRPr="00825100" w:rsidRDefault="004B7622" w:rsidP="00377989">
            <w:pPr>
              <w:rPr>
                <w:rFonts w:ascii="Arial" w:eastAsia="Times New Roman" w:hAnsi="Arial" w:cs="Arial"/>
                <w:b/>
                <w:bCs/>
                <w:color w:val="000000"/>
                <w:sz w:val="18"/>
                <w:szCs w:val="18"/>
                <w:lang w:eastAsia="sl-SI"/>
              </w:rPr>
            </w:pPr>
            <w:r w:rsidRPr="00825100">
              <w:rPr>
                <w:rFonts w:ascii="Arial" w:eastAsia="Times New Roman" w:hAnsi="Arial" w:cs="Arial"/>
                <w:b/>
                <w:bCs/>
                <w:color w:val="000000"/>
                <w:sz w:val="18"/>
                <w:szCs w:val="18"/>
                <w:lang w:eastAsia="sl-SI"/>
              </w:rPr>
              <w:t>Skupaj</w:t>
            </w:r>
          </w:p>
        </w:tc>
        <w:tc>
          <w:tcPr>
            <w:tcW w:w="1889" w:type="dxa"/>
            <w:tcBorders>
              <w:top w:val="nil"/>
              <w:left w:val="nil"/>
              <w:bottom w:val="single" w:sz="4" w:space="0" w:color="auto"/>
              <w:right w:val="single" w:sz="4" w:space="0" w:color="auto"/>
            </w:tcBorders>
            <w:vAlign w:val="center"/>
            <w:hideMark/>
          </w:tcPr>
          <w:p w14:paraId="4E0A9C9A" w14:textId="77777777" w:rsidR="004B7622" w:rsidRPr="00825100" w:rsidRDefault="004B7622" w:rsidP="00377989">
            <w:pPr>
              <w:rPr>
                <w:rFonts w:ascii="Arial" w:eastAsia="Times New Roman" w:hAnsi="Arial" w:cs="Arial"/>
                <w:b/>
                <w:bCs/>
                <w:color w:val="000000"/>
                <w:sz w:val="18"/>
                <w:szCs w:val="18"/>
                <w:lang w:eastAsia="sl-SI"/>
              </w:rPr>
            </w:pPr>
            <w:r w:rsidRPr="00825100">
              <w:rPr>
                <w:rFonts w:ascii="Arial" w:eastAsia="Times New Roman" w:hAnsi="Arial" w:cs="Arial"/>
                <w:b/>
                <w:bCs/>
                <w:color w:val="000000"/>
                <w:sz w:val="18"/>
                <w:szCs w:val="18"/>
                <w:lang w:eastAsia="sl-SI"/>
              </w:rPr>
              <w:t>Skupaj prejetih zaprosil</w:t>
            </w:r>
          </w:p>
        </w:tc>
        <w:tc>
          <w:tcPr>
            <w:tcW w:w="925" w:type="dxa"/>
            <w:tcBorders>
              <w:top w:val="nil"/>
              <w:left w:val="nil"/>
              <w:bottom w:val="single" w:sz="4" w:space="0" w:color="auto"/>
              <w:right w:val="single" w:sz="4" w:space="0" w:color="auto"/>
            </w:tcBorders>
            <w:noWrap/>
            <w:vAlign w:val="center"/>
            <w:hideMark/>
          </w:tcPr>
          <w:p w14:paraId="0826B0B7" w14:textId="77777777" w:rsidR="004B7622" w:rsidRPr="00825100" w:rsidRDefault="004B7622" w:rsidP="00377989">
            <w:pPr>
              <w:jc w:val="right"/>
              <w:rPr>
                <w:rFonts w:ascii="Arial" w:eastAsia="Times New Roman" w:hAnsi="Arial" w:cs="Arial"/>
                <w:b/>
                <w:bCs/>
                <w:sz w:val="18"/>
                <w:szCs w:val="18"/>
                <w:lang w:eastAsia="sl-SI"/>
              </w:rPr>
            </w:pPr>
            <w:r w:rsidRPr="00825100">
              <w:rPr>
                <w:rFonts w:ascii="Arial" w:eastAsia="Times New Roman" w:hAnsi="Arial" w:cs="Arial"/>
                <w:b/>
                <w:bCs/>
                <w:sz w:val="18"/>
                <w:szCs w:val="18"/>
                <w:lang w:eastAsia="sl-SI"/>
              </w:rPr>
              <w:t>16</w:t>
            </w:r>
          </w:p>
        </w:tc>
        <w:tc>
          <w:tcPr>
            <w:tcW w:w="925" w:type="dxa"/>
            <w:tcBorders>
              <w:top w:val="nil"/>
              <w:left w:val="nil"/>
              <w:bottom w:val="single" w:sz="4" w:space="0" w:color="auto"/>
              <w:right w:val="single" w:sz="4" w:space="0" w:color="auto"/>
            </w:tcBorders>
            <w:shd w:val="clear" w:color="auto" w:fill="DAEEF3"/>
            <w:noWrap/>
            <w:vAlign w:val="center"/>
            <w:hideMark/>
          </w:tcPr>
          <w:p w14:paraId="4F561E1E" w14:textId="77777777" w:rsidR="004B7622" w:rsidRPr="00825100" w:rsidRDefault="004B7622" w:rsidP="00377989">
            <w:pPr>
              <w:jc w:val="right"/>
              <w:rPr>
                <w:rFonts w:ascii="Arial" w:eastAsia="Times New Roman" w:hAnsi="Arial" w:cs="Arial"/>
                <w:b/>
                <w:bCs/>
                <w:sz w:val="18"/>
                <w:szCs w:val="18"/>
                <w:lang w:eastAsia="sl-SI"/>
              </w:rPr>
            </w:pPr>
            <w:r w:rsidRPr="00825100">
              <w:rPr>
                <w:rFonts w:ascii="Arial" w:eastAsia="Times New Roman" w:hAnsi="Arial" w:cs="Arial"/>
                <w:b/>
                <w:bCs/>
                <w:sz w:val="18"/>
                <w:szCs w:val="18"/>
                <w:lang w:eastAsia="sl-SI"/>
              </w:rPr>
              <w:t>110.637</w:t>
            </w:r>
          </w:p>
        </w:tc>
        <w:tc>
          <w:tcPr>
            <w:tcW w:w="925" w:type="dxa"/>
            <w:tcBorders>
              <w:top w:val="nil"/>
              <w:left w:val="nil"/>
              <w:bottom w:val="single" w:sz="4" w:space="0" w:color="auto"/>
              <w:right w:val="single" w:sz="4" w:space="0" w:color="auto"/>
            </w:tcBorders>
            <w:noWrap/>
            <w:vAlign w:val="center"/>
            <w:hideMark/>
          </w:tcPr>
          <w:p w14:paraId="35CE433C" w14:textId="77777777" w:rsidR="004B7622" w:rsidRPr="00825100" w:rsidRDefault="004B7622" w:rsidP="00377989">
            <w:pPr>
              <w:jc w:val="right"/>
              <w:rPr>
                <w:rFonts w:ascii="Arial" w:eastAsia="Times New Roman" w:hAnsi="Arial" w:cs="Arial"/>
                <w:b/>
                <w:bCs/>
                <w:sz w:val="18"/>
                <w:szCs w:val="18"/>
                <w:lang w:eastAsia="sl-SI"/>
              </w:rPr>
            </w:pPr>
            <w:r w:rsidRPr="00825100">
              <w:rPr>
                <w:rFonts w:ascii="Arial" w:eastAsia="Times New Roman" w:hAnsi="Arial" w:cs="Arial"/>
                <w:b/>
                <w:bCs/>
                <w:sz w:val="18"/>
                <w:szCs w:val="18"/>
                <w:lang w:eastAsia="sl-SI"/>
              </w:rPr>
              <w:t>103</w:t>
            </w:r>
          </w:p>
        </w:tc>
        <w:tc>
          <w:tcPr>
            <w:tcW w:w="925" w:type="dxa"/>
            <w:tcBorders>
              <w:top w:val="nil"/>
              <w:left w:val="nil"/>
              <w:bottom w:val="single" w:sz="4" w:space="0" w:color="auto"/>
              <w:right w:val="single" w:sz="4" w:space="0" w:color="auto"/>
            </w:tcBorders>
            <w:shd w:val="clear" w:color="auto" w:fill="DAEEF3"/>
            <w:noWrap/>
            <w:vAlign w:val="center"/>
            <w:hideMark/>
          </w:tcPr>
          <w:p w14:paraId="44F62293" w14:textId="77777777" w:rsidR="004B7622" w:rsidRPr="00825100" w:rsidRDefault="004B7622" w:rsidP="00377989">
            <w:pPr>
              <w:jc w:val="right"/>
              <w:rPr>
                <w:rFonts w:ascii="Arial" w:eastAsia="Times New Roman" w:hAnsi="Arial" w:cs="Arial"/>
                <w:b/>
                <w:bCs/>
                <w:sz w:val="18"/>
                <w:szCs w:val="18"/>
                <w:lang w:eastAsia="sl-SI"/>
              </w:rPr>
            </w:pPr>
            <w:r w:rsidRPr="00825100">
              <w:rPr>
                <w:rFonts w:ascii="Arial" w:eastAsia="Times New Roman" w:hAnsi="Arial" w:cs="Arial"/>
                <w:b/>
                <w:bCs/>
                <w:sz w:val="18"/>
                <w:szCs w:val="18"/>
                <w:lang w:eastAsia="sl-SI"/>
              </w:rPr>
              <w:t>280.190</w:t>
            </w:r>
          </w:p>
        </w:tc>
        <w:tc>
          <w:tcPr>
            <w:tcW w:w="1228" w:type="dxa"/>
            <w:tcBorders>
              <w:top w:val="nil"/>
              <w:left w:val="nil"/>
              <w:bottom w:val="single" w:sz="4" w:space="0" w:color="auto"/>
              <w:right w:val="single" w:sz="4" w:space="0" w:color="auto"/>
            </w:tcBorders>
            <w:noWrap/>
            <w:vAlign w:val="center"/>
            <w:hideMark/>
          </w:tcPr>
          <w:p w14:paraId="319929B6" w14:textId="77777777" w:rsidR="004B7622" w:rsidRPr="00825100" w:rsidRDefault="004B7622" w:rsidP="00377989">
            <w:pPr>
              <w:jc w:val="right"/>
              <w:rPr>
                <w:rFonts w:ascii="Arial" w:eastAsia="Times New Roman" w:hAnsi="Arial" w:cs="Arial"/>
                <w:sz w:val="18"/>
                <w:szCs w:val="18"/>
                <w:lang w:eastAsia="sl-SI"/>
              </w:rPr>
            </w:pPr>
            <w:r w:rsidRPr="00825100">
              <w:rPr>
                <w:rFonts w:ascii="Arial" w:eastAsia="Times New Roman" w:hAnsi="Arial" w:cs="Arial"/>
                <w:sz w:val="18"/>
                <w:szCs w:val="18"/>
                <w:lang w:eastAsia="sl-SI"/>
              </w:rPr>
              <w:t>643,75</w:t>
            </w:r>
          </w:p>
        </w:tc>
        <w:tc>
          <w:tcPr>
            <w:tcW w:w="925" w:type="dxa"/>
            <w:tcBorders>
              <w:top w:val="nil"/>
              <w:left w:val="nil"/>
              <w:bottom w:val="single" w:sz="4" w:space="0" w:color="auto"/>
              <w:right w:val="single" w:sz="4" w:space="0" w:color="auto"/>
            </w:tcBorders>
            <w:noWrap/>
            <w:vAlign w:val="center"/>
            <w:hideMark/>
          </w:tcPr>
          <w:p w14:paraId="5BE1E975" w14:textId="77777777" w:rsidR="004B7622" w:rsidRPr="00825100" w:rsidRDefault="004B7622" w:rsidP="00377989">
            <w:pPr>
              <w:jc w:val="right"/>
              <w:rPr>
                <w:rFonts w:ascii="Arial" w:eastAsia="Times New Roman" w:hAnsi="Arial" w:cs="Arial"/>
                <w:sz w:val="18"/>
                <w:szCs w:val="18"/>
                <w:lang w:eastAsia="sl-SI"/>
              </w:rPr>
            </w:pPr>
            <w:r w:rsidRPr="00825100">
              <w:rPr>
                <w:rFonts w:ascii="Arial" w:eastAsia="Times New Roman" w:hAnsi="Arial" w:cs="Arial"/>
                <w:sz w:val="18"/>
                <w:szCs w:val="18"/>
                <w:lang w:eastAsia="sl-SI"/>
              </w:rPr>
              <w:t>253,25</w:t>
            </w:r>
          </w:p>
        </w:tc>
      </w:tr>
      <w:tr w:rsidR="004B7622" w:rsidRPr="00825100" w14:paraId="78E74911" w14:textId="77777777" w:rsidTr="00377989">
        <w:trPr>
          <w:trHeight w:val="581"/>
        </w:trPr>
        <w:tc>
          <w:tcPr>
            <w:tcW w:w="0" w:type="auto"/>
            <w:vMerge/>
            <w:tcBorders>
              <w:top w:val="nil"/>
              <w:left w:val="single" w:sz="4" w:space="0" w:color="auto"/>
              <w:bottom w:val="single" w:sz="4" w:space="0" w:color="auto"/>
              <w:right w:val="single" w:sz="4" w:space="0" w:color="auto"/>
            </w:tcBorders>
            <w:vAlign w:val="center"/>
            <w:hideMark/>
          </w:tcPr>
          <w:p w14:paraId="3CCC845D" w14:textId="77777777" w:rsidR="004B7622" w:rsidRPr="00825100" w:rsidRDefault="004B7622" w:rsidP="00377989">
            <w:pPr>
              <w:rPr>
                <w:rFonts w:ascii="Arial" w:eastAsia="Times New Roman" w:hAnsi="Arial" w:cs="Arial"/>
                <w:b/>
                <w:bCs/>
                <w:color w:val="000000"/>
                <w:sz w:val="18"/>
                <w:szCs w:val="18"/>
                <w:lang w:eastAsia="sl-SI"/>
              </w:rPr>
            </w:pPr>
          </w:p>
        </w:tc>
        <w:tc>
          <w:tcPr>
            <w:tcW w:w="1889" w:type="dxa"/>
            <w:tcBorders>
              <w:top w:val="nil"/>
              <w:left w:val="nil"/>
              <w:bottom w:val="single" w:sz="4" w:space="0" w:color="auto"/>
              <w:right w:val="single" w:sz="4" w:space="0" w:color="auto"/>
            </w:tcBorders>
            <w:vAlign w:val="center"/>
            <w:hideMark/>
          </w:tcPr>
          <w:p w14:paraId="0CFEC1F9" w14:textId="77777777" w:rsidR="004B7622" w:rsidRPr="00825100" w:rsidRDefault="004B7622" w:rsidP="00377989">
            <w:pPr>
              <w:rPr>
                <w:rFonts w:ascii="Arial" w:eastAsia="Times New Roman" w:hAnsi="Arial" w:cs="Arial"/>
                <w:b/>
                <w:bCs/>
                <w:color w:val="000000"/>
                <w:sz w:val="18"/>
                <w:szCs w:val="18"/>
                <w:lang w:eastAsia="sl-SI"/>
              </w:rPr>
            </w:pPr>
            <w:r w:rsidRPr="00825100">
              <w:rPr>
                <w:rFonts w:ascii="Arial" w:eastAsia="Times New Roman" w:hAnsi="Arial" w:cs="Arial"/>
                <w:b/>
                <w:bCs/>
                <w:color w:val="000000"/>
                <w:sz w:val="18"/>
                <w:szCs w:val="18"/>
                <w:lang w:eastAsia="sl-SI"/>
              </w:rPr>
              <w:t>Skupaj prejetih plačil</w:t>
            </w:r>
          </w:p>
        </w:tc>
        <w:tc>
          <w:tcPr>
            <w:tcW w:w="925" w:type="dxa"/>
            <w:tcBorders>
              <w:top w:val="nil"/>
              <w:left w:val="nil"/>
              <w:bottom w:val="single" w:sz="4" w:space="0" w:color="auto"/>
              <w:right w:val="single" w:sz="4" w:space="0" w:color="auto"/>
            </w:tcBorders>
            <w:noWrap/>
            <w:vAlign w:val="center"/>
            <w:hideMark/>
          </w:tcPr>
          <w:p w14:paraId="24642D4C" w14:textId="77777777" w:rsidR="004B7622" w:rsidRPr="00825100" w:rsidRDefault="004B7622" w:rsidP="00377989">
            <w:pPr>
              <w:jc w:val="right"/>
              <w:rPr>
                <w:rFonts w:ascii="Arial" w:eastAsia="Times New Roman" w:hAnsi="Arial" w:cs="Arial"/>
                <w:b/>
                <w:bCs/>
                <w:sz w:val="18"/>
                <w:szCs w:val="18"/>
                <w:lang w:eastAsia="sl-SI"/>
              </w:rPr>
            </w:pPr>
            <w:r w:rsidRPr="00825100">
              <w:rPr>
                <w:rFonts w:ascii="Arial" w:eastAsia="Times New Roman" w:hAnsi="Arial" w:cs="Arial"/>
                <w:b/>
                <w:bCs/>
                <w:sz w:val="18"/>
                <w:szCs w:val="18"/>
                <w:lang w:eastAsia="sl-SI"/>
              </w:rPr>
              <w:t>/</w:t>
            </w:r>
          </w:p>
        </w:tc>
        <w:tc>
          <w:tcPr>
            <w:tcW w:w="925" w:type="dxa"/>
            <w:tcBorders>
              <w:top w:val="nil"/>
              <w:left w:val="nil"/>
              <w:bottom w:val="single" w:sz="4" w:space="0" w:color="auto"/>
              <w:right w:val="single" w:sz="4" w:space="0" w:color="auto"/>
            </w:tcBorders>
            <w:shd w:val="clear" w:color="auto" w:fill="DAEEF3"/>
            <w:noWrap/>
            <w:vAlign w:val="center"/>
            <w:hideMark/>
          </w:tcPr>
          <w:p w14:paraId="322A8D29" w14:textId="77777777" w:rsidR="004B7622" w:rsidRPr="00825100" w:rsidRDefault="004B7622" w:rsidP="00377989">
            <w:pPr>
              <w:jc w:val="right"/>
              <w:rPr>
                <w:rFonts w:ascii="Arial" w:eastAsia="Times New Roman" w:hAnsi="Arial" w:cs="Arial"/>
                <w:b/>
                <w:bCs/>
                <w:sz w:val="18"/>
                <w:szCs w:val="18"/>
                <w:lang w:eastAsia="sl-SI"/>
              </w:rPr>
            </w:pPr>
            <w:r w:rsidRPr="00825100">
              <w:rPr>
                <w:rFonts w:ascii="Arial" w:eastAsia="Times New Roman" w:hAnsi="Arial" w:cs="Arial"/>
                <w:b/>
                <w:bCs/>
                <w:sz w:val="18"/>
                <w:szCs w:val="18"/>
                <w:lang w:eastAsia="sl-SI"/>
              </w:rPr>
              <w:t>25.112</w:t>
            </w:r>
          </w:p>
        </w:tc>
        <w:tc>
          <w:tcPr>
            <w:tcW w:w="925" w:type="dxa"/>
            <w:tcBorders>
              <w:top w:val="nil"/>
              <w:left w:val="nil"/>
              <w:bottom w:val="single" w:sz="4" w:space="0" w:color="auto"/>
              <w:right w:val="single" w:sz="4" w:space="0" w:color="auto"/>
            </w:tcBorders>
            <w:noWrap/>
            <w:vAlign w:val="center"/>
            <w:hideMark/>
          </w:tcPr>
          <w:p w14:paraId="25761B7D" w14:textId="77777777" w:rsidR="004B7622" w:rsidRPr="00825100" w:rsidRDefault="004B7622" w:rsidP="00377989">
            <w:pPr>
              <w:jc w:val="right"/>
              <w:rPr>
                <w:rFonts w:ascii="Arial" w:eastAsia="Times New Roman" w:hAnsi="Arial" w:cs="Arial"/>
                <w:b/>
                <w:bCs/>
                <w:sz w:val="18"/>
                <w:szCs w:val="18"/>
                <w:lang w:eastAsia="sl-SI"/>
              </w:rPr>
            </w:pPr>
            <w:r w:rsidRPr="00825100">
              <w:rPr>
                <w:rFonts w:ascii="Arial" w:eastAsia="Times New Roman" w:hAnsi="Arial" w:cs="Arial"/>
                <w:b/>
                <w:bCs/>
                <w:sz w:val="18"/>
                <w:szCs w:val="18"/>
                <w:lang w:eastAsia="sl-SI"/>
              </w:rPr>
              <w:t>/</w:t>
            </w:r>
          </w:p>
        </w:tc>
        <w:tc>
          <w:tcPr>
            <w:tcW w:w="925" w:type="dxa"/>
            <w:tcBorders>
              <w:top w:val="nil"/>
              <w:left w:val="nil"/>
              <w:bottom w:val="single" w:sz="4" w:space="0" w:color="auto"/>
              <w:right w:val="single" w:sz="4" w:space="0" w:color="auto"/>
            </w:tcBorders>
            <w:shd w:val="clear" w:color="auto" w:fill="DAEEF3"/>
            <w:noWrap/>
            <w:vAlign w:val="center"/>
            <w:hideMark/>
          </w:tcPr>
          <w:p w14:paraId="3F0949BA" w14:textId="77777777" w:rsidR="004B7622" w:rsidRPr="00825100" w:rsidRDefault="004B7622" w:rsidP="00377989">
            <w:pPr>
              <w:jc w:val="right"/>
              <w:rPr>
                <w:rFonts w:ascii="Arial" w:eastAsia="Times New Roman" w:hAnsi="Arial" w:cs="Arial"/>
                <w:b/>
                <w:bCs/>
                <w:sz w:val="18"/>
                <w:szCs w:val="18"/>
                <w:lang w:eastAsia="sl-SI"/>
              </w:rPr>
            </w:pPr>
            <w:r w:rsidRPr="00825100">
              <w:rPr>
                <w:rFonts w:ascii="Arial" w:eastAsia="Times New Roman" w:hAnsi="Arial" w:cs="Arial"/>
                <w:b/>
                <w:bCs/>
                <w:sz w:val="18"/>
                <w:szCs w:val="18"/>
                <w:lang w:eastAsia="sl-SI"/>
              </w:rPr>
              <w:t>64.950</w:t>
            </w:r>
          </w:p>
        </w:tc>
        <w:tc>
          <w:tcPr>
            <w:tcW w:w="1228" w:type="dxa"/>
            <w:tcBorders>
              <w:top w:val="nil"/>
              <w:left w:val="nil"/>
              <w:bottom w:val="single" w:sz="4" w:space="0" w:color="auto"/>
              <w:right w:val="single" w:sz="4" w:space="0" w:color="auto"/>
            </w:tcBorders>
            <w:noWrap/>
            <w:vAlign w:val="center"/>
            <w:hideMark/>
          </w:tcPr>
          <w:p w14:paraId="625E2AB4" w14:textId="77777777" w:rsidR="004B7622" w:rsidRPr="00825100" w:rsidRDefault="004B7622" w:rsidP="00377989">
            <w:pPr>
              <w:jc w:val="right"/>
              <w:rPr>
                <w:rFonts w:ascii="Arial" w:eastAsia="Times New Roman" w:hAnsi="Arial" w:cs="Arial"/>
                <w:b/>
                <w:bCs/>
                <w:color w:val="000000"/>
                <w:sz w:val="18"/>
                <w:szCs w:val="18"/>
                <w:lang w:eastAsia="sl-SI"/>
              </w:rPr>
            </w:pPr>
            <w:r w:rsidRPr="00825100">
              <w:rPr>
                <w:rFonts w:ascii="Arial" w:eastAsia="Times New Roman" w:hAnsi="Arial" w:cs="Arial"/>
                <w:b/>
                <w:bCs/>
                <w:color w:val="000000"/>
                <w:sz w:val="18"/>
                <w:szCs w:val="18"/>
                <w:lang w:eastAsia="sl-SI"/>
              </w:rPr>
              <w:t>/</w:t>
            </w:r>
          </w:p>
        </w:tc>
        <w:tc>
          <w:tcPr>
            <w:tcW w:w="925" w:type="dxa"/>
            <w:tcBorders>
              <w:top w:val="nil"/>
              <w:left w:val="nil"/>
              <w:bottom w:val="single" w:sz="4" w:space="0" w:color="auto"/>
              <w:right w:val="single" w:sz="4" w:space="0" w:color="auto"/>
            </w:tcBorders>
            <w:noWrap/>
            <w:vAlign w:val="center"/>
            <w:hideMark/>
          </w:tcPr>
          <w:p w14:paraId="519915D4" w14:textId="77777777" w:rsidR="004B7622" w:rsidRPr="00825100" w:rsidRDefault="004B7622" w:rsidP="00377989">
            <w:pPr>
              <w:jc w:val="right"/>
              <w:rPr>
                <w:rFonts w:ascii="Arial" w:eastAsia="Times New Roman" w:hAnsi="Arial" w:cs="Arial"/>
                <w:sz w:val="18"/>
                <w:szCs w:val="18"/>
                <w:lang w:eastAsia="sl-SI"/>
              </w:rPr>
            </w:pPr>
            <w:r w:rsidRPr="00825100">
              <w:rPr>
                <w:rFonts w:ascii="Arial" w:eastAsia="Times New Roman" w:hAnsi="Arial" w:cs="Arial"/>
                <w:sz w:val="18"/>
                <w:szCs w:val="18"/>
                <w:lang w:eastAsia="sl-SI"/>
              </w:rPr>
              <w:t>258,64</w:t>
            </w:r>
          </w:p>
        </w:tc>
      </w:tr>
    </w:tbl>
    <w:p w14:paraId="5BEB1652" w14:textId="77777777" w:rsidR="004B7622" w:rsidRPr="00534703" w:rsidRDefault="004B7622" w:rsidP="004B7622">
      <w:pPr>
        <w:rPr>
          <w:rFonts w:ascii="Arial" w:hAnsi="Arial" w:cs="Arial"/>
          <w:i/>
          <w:sz w:val="20"/>
          <w:szCs w:val="20"/>
        </w:rPr>
      </w:pPr>
      <w:r w:rsidRPr="00534703">
        <w:rPr>
          <w:rFonts w:ascii="Arial" w:hAnsi="Arial" w:cs="Arial"/>
          <w:i/>
          <w:sz w:val="20"/>
          <w:szCs w:val="20"/>
        </w:rPr>
        <w:t>Vir: FURS</w:t>
      </w:r>
    </w:p>
    <w:p w14:paraId="64C43F73" w14:textId="77777777" w:rsidR="004B7622" w:rsidRDefault="004B7622" w:rsidP="004B7622">
      <w:pPr>
        <w:rPr>
          <w:rFonts w:ascii="Arial" w:hAnsi="Arial" w:cs="Arial"/>
          <w:b/>
          <w:sz w:val="20"/>
          <w:szCs w:val="20"/>
          <w:lang w:eastAsia="sl-SI"/>
        </w:rPr>
      </w:pPr>
      <w:r w:rsidRPr="0094063C">
        <w:rPr>
          <w:rFonts w:ascii="Arial" w:hAnsi="Arial" w:cs="Arial"/>
          <w:b/>
          <w:sz w:val="20"/>
          <w:szCs w:val="20"/>
          <w:lang w:eastAsia="sl-SI"/>
        </w:rPr>
        <w:t>Zahtevnejši ukrepi uveljavljanja davčnega dolga</w:t>
      </w:r>
    </w:p>
    <w:p w14:paraId="57C2FBB0" w14:textId="77777777" w:rsidR="004B7622" w:rsidRPr="00825100" w:rsidRDefault="004B7622" w:rsidP="004B7622">
      <w:pPr>
        <w:jc w:val="both"/>
        <w:rPr>
          <w:rFonts w:ascii="Arial" w:eastAsia="Times New Roman" w:hAnsi="Arial" w:cs="Arial"/>
          <w:sz w:val="20"/>
          <w:szCs w:val="20"/>
        </w:rPr>
      </w:pPr>
      <w:r w:rsidRPr="00825100">
        <w:rPr>
          <w:rFonts w:ascii="Arial" w:eastAsia="Times New Roman" w:hAnsi="Arial" w:cs="Arial"/>
          <w:sz w:val="20"/>
          <w:szCs w:val="20"/>
        </w:rPr>
        <w:t>F</w:t>
      </w:r>
      <w:r>
        <w:rPr>
          <w:rFonts w:ascii="Arial" w:eastAsia="Times New Roman" w:hAnsi="Arial" w:cs="Arial"/>
          <w:sz w:val="20"/>
          <w:szCs w:val="20"/>
        </w:rPr>
        <w:t xml:space="preserve">URS </w:t>
      </w:r>
      <w:r w:rsidRPr="00825100">
        <w:rPr>
          <w:rFonts w:ascii="Arial" w:eastAsia="Times New Roman" w:hAnsi="Arial" w:cs="Arial"/>
          <w:sz w:val="20"/>
          <w:szCs w:val="20"/>
        </w:rPr>
        <w:t xml:space="preserve">dolžnike, od katerih dolga ni bilo mogoče izterjati v postopku davčne izvršbe, obstaja pa indic razpolaganja s premoženjem zaradi izogibanja plačila davčnega dolga, obravnava v posebnih postopkih. Poleg ukrepov, ki so predvideni v davčni zakonodaji (npr. institut poroštva po 148. členu ZDavP-2), v ta okvir sodijo tudi drugi zahtevnejši ukrepi oziroma instituti, predvideni v ZFPPIPP, OZ, ZGD-1 in DZ (npr. uveljavljanje odškodninske odgovornosti poslovodstva v okviru stečaja nad dolžnikom ali po izbrisu, izpodbijanje dolžnikovih pravnih dejanj, spregled pravne osebnosti, določitev deleža na skupnem premoženju zakoncev, </w:t>
      </w:r>
      <w:proofErr w:type="spellStart"/>
      <w:r w:rsidRPr="00825100">
        <w:rPr>
          <w:rFonts w:ascii="Arial" w:eastAsia="Times New Roman" w:hAnsi="Arial" w:cs="Arial"/>
          <w:sz w:val="20"/>
          <w:szCs w:val="20"/>
        </w:rPr>
        <w:t>itd</w:t>
      </w:r>
      <w:proofErr w:type="spellEnd"/>
      <w:r w:rsidRPr="00825100">
        <w:rPr>
          <w:rFonts w:ascii="Arial" w:eastAsia="Times New Roman" w:hAnsi="Arial" w:cs="Arial"/>
          <w:sz w:val="20"/>
          <w:szCs w:val="20"/>
        </w:rPr>
        <w:t>). Gre za institute, ki so namenjeni uveljavljanju davčnega dolga v primerih, ko z rednimi ukrepi izterjave ni mogoče pričakovati uspeha in torej predstavljajo nadgradnjo postopka izterjave.</w:t>
      </w:r>
    </w:p>
    <w:p w14:paraId="6E3E71C4" w14:textId="77777777" w:rsidR="004B7622" w:rsidRDefault="004B7622" w:rsidP="004B7622">
      <w:pPr>
        <w:jc w:val="both"/>
        <w:rPr>
          <w:rFonts w:ascii="Arial" w:eastAsia="Times New Roman" w:hAnsi="Arial" w:cs="Arial"/>
          <w:sz w:val="20"/>
          <w:szCs w:val="20"/>
        </w:rPr>
      </w:pPr>
      <w:r w:rsidRPr="00825100">
        <w:rPr>
          <w:rFonts w:ascii="Arial" w:eastAsia="Times New Roman" w:hAnsi="Arial" w:cs="Arial"/>
          <w:sz w:val="20"/>
          <w:szCs w:val="20"/>
        </w:rPr>
        <w:t>V spodnji tabeli so prikazani bistveni instituti, ki jih F</w:t>
      </w:r>
      <w:r>
        <w:rPr>
          <w:rFonts w:ascii="Arial" w:eastAsia="Times New Roman" w:hAnsi="Arial" w:cs="Arial"/>
          <w:sz w:val="20"/>
          <w:szCs w:val="20"/>
        </w:rPr>
        <w:t xml:space="preserve">URS </w:t>
      </w:r>
      <w:r w:rsidRPr="00825100">
        <w:rPr>
          <w:rFonts w:ascii="Arial" w:eastAsia="Times New Roman" w:hAnsi="Arial" w:cs="Arial"/>
          <w:sz w:val="20"/>
          <w:szCs w:val="20"/>
        </w:rPr>
        <w:t xml:space="preserve">uporabi ob zaznavi zlorabe s strani davčnih dolžnikov. Prikazani podatki kažejo, da se je v letu 2021 število začetih postopkov z uporabo posebnih institutov v primerjavi z letom 2020 povečalo, predvsem na področju poroštva. Kljub navedenemu pa je znesek izterjanega dolga v teh postopkih nižji, saj je učinke po uvedenih postopkih v letu 2021 mogoče pričakovati (tudi) v prihodnjem obdobju.  </w:t>
      </w:r>
    </w:p>
    <w:p w14:paraId="6C9F5C71" w14:textId="77777777" w:rsidR="004B7622" w:rsidRDefault="004B7622" w:rsidP="004B7622">
      <w:pPr>
        <w:jc w:val="both"/>
        <w:rPr>
          <w:rFonts w:ascii="Arial" w:eastAsia="Times New Roman" w:hAnsi="Arial" w:cs="Arial"/>
          <w:sz w:val="20"/>
          <w:szCs w:val="20"/>
        </w:rPr>
      </w:pPr>
    </w:p>
    <w:p w14:paraId="38AA5F26" w14:textId="77777777" w:rsidR="004B7622" w:rsidRDefault="004B7622" w:rsidP="004B7622">
      <w:pPr>
        <w:jc w:val="both"/>
        <w:rPr>
          <w:rFonts w:ascii="Arial" w:eastAsia="Times New Roman" w:hAnsi="Arial" w:cs="Arial"/>
          <w:sz w:val="20"/>
          <w:szCs w:val="20"/>
        </w:rPr>
      </w:pPr>
    </w:p>
    <w:p w14:paraId="7B1117A2" w14:textId="77777777" w:rsidR="004B7622" w:rsidRDefault="004B7622" w:rsidP="004B7622">
      <w:pPr>
        <w:jc w:val="both"/>
        <w:rPr>
          <w:rFonts w:ascii="Arial" w:eastAsia="Times New Roman" w:hAnsi="Arial" w:cs="Arial"/>
          <w:sz w:val="20"/>
          <w:szCs w:val="20"/>
        </w:rPr>
      </w:pPr>
    </w:p>
    <w:p w14:paraId="59C49218" w14:textId="77777777" w:rsidR="004B7622" w:rsidRDefault="004B7622" w:rsidP="004B7622">
      <w:pPr>
        <w:jc w:val="both"/>
        <w:rPr>
          <w:rFonts w:ascii="Arial" w:eastAsia="Times New Roman" w:hAnsi="Arial" w:cs="Arial"/>
          <w:sz w:val="20"/>
          <w:szCs w:val="20"/>
        </w:rPr>
      </w:pPr>
    </w:p>
    <w:p w14:paraId="65258074" w14:textId="77777777" w:rsidR="004B7622" w:rsidRDefault="004B7622" w:rsidP="004B7622">
      <w:pPr>
        <w:jc w:val="both"/>
        <w:rPr>
          <w:rFonts w:ascii="Arial" w:eastAsia="Times New Roman" w:hAnsi="Arial" w:cs="Arial"/>
          <w:sz w:val="20"/>
          <w:szCs w:val="20"/>
        </w:rPr>
      </w:pPr>
    </w:p>
    <w:p w14:paraId="6ABDC4E5" w14:textId="77777777" w:rsidR="004B7622" w:rsidRPr="00825100" w:rsidRDefault="004B7622" w:rsidP="004B7622">
      <w:pPr>
        <w:jc w:val="both"/>
        <w:rPr>
          <w:rFonts w:ascii="Arial" w:eastAsia="Times New Roman" w:hAnsi="Arial" w:cs="Arial"/>
          <w:sz w:val="20"/>
          <w:szCs w:val="20"/>
        </w:rPr>
      </w:pPr>
    </w:p>
    <w:p w14:paraId="0D376E78" w14:textId="77777777" w:rsidR="004B7622" w:rsidRDefault="004B7622" w:rsidP="004B7622">
      <w:pPr>
        <w:pStyle w:val="Odstavekseznama"/>
        <w:ind w:left="0"/>
        <w:jc w:val="both"/>
        <w:rPr>
          <w:rFonts w:ascii="Arial" w:eastAsiaTheme="minorHAnsi" w:hAnsi="Arial" w:cs="Arial"/>
          <w:i/>
          <w:sz w:val="20"/>
          <w:szCs w:val="20"/>
        </w:rPr>
      </w:pPr>
      <w:r>
        <w:rPr>
          <w:rFonts w:ascii="Arial" w:eastAsiaTheme="minorHAnsi" w:hAnsi="Arial" w:cs="Arial"/>
          <w:i/>
          <w:sz w:val="20"/>
          <w:szCs w:val="20"/>
        </w:rPr>
        <w:lastRenderedPageBreak/>
        <w:t>P</w:t>
      </w:r>
      <w:r w:rsidRPr="0031261F">
        <w:rPr>
          <w:rFonts w:ascii="Arial" w:eastAsiaTheme="minorHAnsi" w:hAnsi="Arial" w:cs="Arial"/>
          <w:i/>
          <w:sz w:val="20"/>
          <w:szCs w:val="20"/>
        </w:rPr>
        <w:t xml:space="preserve">reglednica 25: Uporaba posebnih institutov zoper davčne dolžnike </w:t>
      </w:r>
    </w:p>
    <w:p w14:paraId="2295ACF0" w14:textId="77777777" w:rsidR="004B7622" w:rsidRDefault="004B7622" w:rsidP="004B7622">
      <w:pPr>
        <w:pStyle w:val="Odstavekseznama"/>
        <w:ind w:left="0"/>
        <w:jc w:val="both"/>
        <w:rPr>
          <w:rFonts w:ascii="Arial" w:eastAsiaTheme="minorHAnsi" w:hAnsi="Arial" w:cs="Arial"/>
          <w:i/>
          <w:sz w:val="20"/>
          <w:szCs w:val="20"/>
        </w:rPr>
      </w:pPr>
    </w:p>
    <w:tbl>
      <w:tblPr>
        <w:tblW w:w="9181" w:type="dxa"/>
        <w:tblCellMar>
          <w:left w:w="70" w:type="dxa"/>
          <w:right w:w="70" w:type="dxa"/>
        </w:tblCellMar>
        <w:tblLook w:val="04A0" w:firstRow="1" w:lastRow="0" w:firstColumn="1" w:lastColumn="0" w:noHBand="0" w:noVBand="1"/>
      </w:tblPr>
      <w:tblGrid>
        <w:gridCol w:w="330"/>
        <w:gridCol w:w="2342"/>
        <w:gridCol w:w="1375"/>
        <w:gridCol w:w="584"/>
        <w:gridCol w:w="584"/>
        <w:gridCol w:w="584"/>
        <w:gridCol w:w="951"/>
        <w:gridCol w:w="603"/>
        <w:gridCol w:w="548"/>
        <w:gridCol w:w="419"/>
        <w:gridCol w:w="861"/>
      </w:tblGrid>
      <w:tr w:rsidR="004B7622" w:rsidRPr="002F4758" w14:paraId="386B9739" w14:textId="77777777" w:rsidTr="00377989">
        <w:trPr>
          <w:trHeight w:val="204"/>
        </w:trPr>
        <w:tc>
          <w:tcPr>
            <w:tcW w:w="329" w:type="dxa"/>
            <w:tcBorders>
              <w:top w:val="single" w:sz="4" w:space="0" w:color="auto"/>
              <w:left w:val="single" w:sz="4" w:space="0" w:color="auto"/>
              <w:bottom w:val="single" w:sz="4" w:space="0" w:color="auto"/>
              <w:right w:val="single" w:sz="4" w:space="0" w:color="auto"/>
            </w:tcBorders>
            <w:shd w:val="clear" w:color="auto" w:fill="31869B"/>
            <w:vAlign w:val="center"/>
            <w:hideMark/>
          </w:tcPr>
          <w:p w14:paraId="631847A1" w14:textId="77777777" w:rsidR="004B7622" w:rsidRPr="002F4758" w:rsidRDefault="004B7622" w:rsidP="00377989">
            <w:pPr>
              <w:rPr>
                <w:rFonts w:ascii="Arial" w:eastAsia="Times New Roman" w:hAnsi="Arial" w:cs="Arial"/>
                <w:sz w:val="18"/>
                <w:szCs w:val="18"/>
                <w:lang w:eastAsia="sl-SI"/>
              </w:rPr>
            </w:pPr>
            <w:bookmarkStart w:id="5" w:name="_Hlk94534905"/>
            <w:r w:rsidRPr="002F4758">
              <w:rPr>
                <w:rFonts w:ascii="Arial" w:eastAsia="Times New Roman" w:hAnsi="Arial" w:cs="Arial"/>
                <w:sz w:val="18"/>
                <w:szCs w:val="18"/>
                <w:lang w:eastAsia="sl-SI"/>
              </w:rPr>
              <w:t> </w:t>
            </w:r>
          </w:p>
        </w:tc>
        <w:tc>
          <w:tcPr>
            <w:tcW w:w="2342" w:type="dxa"/>
            <w:tcBorders>
              <w:top w:val="single" w:sz="4" w:space="0" w:color="auto"/>
              <w:left w:val="nil"/>
              <w:bottom w:val="single" w:sz="4" w:space="0" w:color="auto"/>
              <w:right w:val="single" w:sz="4" w:space="0" w:color="auto"/>
            </w:tcBorders>
            <w:shd w:val="clear" w:color="auto" w:fill="31869B"/>
            <w:vAlign w:val="center"/>
            <w:hideMark/>
          </w:tcPr>
          <w:p w14:paraId="3580E087" w14:textId="77777777" w:rsidR="004B7622" w:rsidRPr="002F4758" w:rsidRDefault="004B7622" w:rsidP="00377989">
            <w:pPr>
              <w:jc w:val="center"/>
              <w:rPr>
                <w:rFonts w:ascii="Arial" w:eastAsia="Times New Roman" w:hAnsi="Arial" w:cs="Arial"/>
                <w:b/>
                <w:bCs/>
                <w:color w:val="FFFFFF"/>
                <w:sz w:val="18"/>
                <w:szCs w:val="18"/>
                <w:lang w:eastAsia="sl-SI"/>
              </w:rPr>
            </w:pPr>
            <w:r w:rsidRPr="002F4758">
              <w:rPr>
                <w:rFonts w:ascii="Arial" w:eastAsia="Times New Roman" w:hAnsi="Arial" w:cs="Arial"/>
                <w:b/>
                <w:bCs/>
                <w:color w:val="FFFFFF"/>
                <w:sz w:val="18"/>
                <w:szCs w:val="18"/>
                <w:lang w:eastAsia="sl-SI"/>
              </w:rPr>
              <w:t>Institut</w:t>
            </w:r>
          </w:p>
        </w:tc>
        <w:tc>
          <w:tcPr>
            <w:tcW w:w="1374" w:type="dxa"/>
            <w:tcBorders>
              <w:top w:val="single" w:sz="4" w:space="0" w:color="auto"/>
              <w:left w:val="nil"/>
              <w:bottom w:val="single" w:sz="4" w:space="0" w:color="auto"/>
              <w:right w:val="single" w:sz="4" w:space="0" w:color="auto"/>
            </w:tcBorders>
            <w:shd w:val="clear" w:color="auto" w:fill="31869B"/>
            <w:vAlign w:val="center"/>
            <w:hideMark/>
          </w:tcPr>
          <w:p w14:paraId="2C326A3E" w14:textId="77777777" w:rsidR="004B7622" w:rsidRPr="002F4758" w:rsidRDefault="004B7622" w:rsidP="00377989">
            <w:pPr>
              <w:jc w:val="center"/>
              <w:rPr>
                <w:rFonts w:ascii="Arial" w:eastAsia="Times New Roman" w:hAnsi="Arial" w:cs="Arial"/>
                <w:b/>
                <w:bCs/>
                <w:color w:val="FFFFFF"/>
                <w:sz w:val="18"/>
                <w:szCs w:val="18"/>
                <w:lang w:eastAsia="sl-SI"/>
              </w:rPr>
            </w:pPr>
            <w:r w:rsidRPr="002F4758">
              <w:rPr>
                <w:rFonts w:ascii="Arial" w:eastAsia="Times New Roman" w:hAnsi="Arial" w:cs="Arial"/>
                <w:b/>
                <w:bCs/>
                <w:color w:val="FFFFFF"/>
                <w:sz w:val="18"/>
                <w:szCs w:val="18"/>
                <w:lang w:eastAsia="sl-SI"/>
              </w:rPr>
              <w:t>Podlaga</w:t>
            </w:r>
          </w:p>
        </w:tc>
        <w:tc>
          <w:tcPr>
            <w:tcW w:w="2704" w:type="dxa"/>
            <w:gridSpan w:val="4"/>
            <w:tcBorders>
              <w:top w:val="single" w:sz="8" w:space="0" w:color="auto"/>
              <w:left w:val="single" w:sz="8" w:space="0" w:color="auto"/>
              <w:bottom w:val="single" w:sz="4" w:space="0" w:color="auto"/>
              <w:right w:val="single" w:sz="8" w:space="0" w:color="000000"/>
            </w:tcBorders>
            <w:shd w:val="clear" w:color="auto" w:fill="31869B"/>
            <w:vAlign w:val="center"/>
            <w:hideMark/>
          </w:tcPr>
          <w:p w14:paraId="2522A624" w14:textId="77777777" w:rsidR="004B7622" w:rsidRPr="002F4758" w:rsidRDefault="004B7622" w:rsidP="00377989">
            <w:pPr>
              <w:jc w:val="center"/>
              <w:rPr>
                <w:rFonts w:ascii="Arial" w:eastAsia="Times New Roman" w:hAnsi="Arial" w:cs="Arial"/>
                <w:b/>
                <w:bCs/>
                <w:color w:val="FFFFFF"/>
                <w:sz w:val="18"/>
                <w:szCs w:val="18"/>
                <w:lang w:eastAsia="sl-SI"/>
              </w:rPr>
            </w:pPr>
            <w:r w:rsidRPr="002F4758">
              <w:rPr>
                <w:rFonts w:ascii="Arial" w:eastAsia="Times New Roman" w:hAnsi="Arial" w:cs="Arial"/>
                <w:b/>
                <w:bCs/>
                <w:color w:val="FFFFFF"/>
                <w:sz w:val="18"/>
                <w:szCs w:val="18"/>
                <w:lang w:eastAsia="sl-SI"/>
              </w:rPr>
              <w:t>2020</w:t>
            </w:r>
          </w:p>
        </w:tc>
        <w:tc>
          <w:tcPr>
            <w:tcW w:w="2432" w:type="dxa"/>
            <w:gridSpan w:val="4"/>
            <w:tcBorders>
              <w:top w:val="single" w:sz="8" w:space="0" w:color="auto"/>
              <w:left w:val="nil"/>
              <w:bottom w:val="single" w:sz="4" w:space="0" w:color="auto"/>
              <w:right w:val="single" w:sz="8" w:space="0" w:color="000000"/>
            </w:tcBorders>
            <w:shd w:val="clear" w:color="auto" w:fill="31869B"/>
            <w:vAlign w:val="center"/>
            <w:hideMark/>
          </w:tcPr>
          <w:p w14:paraId="3D4C6FD8" w14:textId="77777777" w:rsidR="004B7622" w:rsidRPr="002F4758" w:rsidRDefault="004B7622" w:rsidP="00377989">
            <w:pPr>
              <w:jc w:val="center"/>
              <w:rPr>
                <w:rFonts w:ascii="Arial" w:eastAsia="Times New Roman" w:hAnsi="Arial" w:cs="Arial"/>
                <w:b/>
                <w:bCs/>
                <w:color w:val="FFFFFF"/>
                <w:sz w:val="18"/>
                <w:szCs w:val="18"/>
                <w:lang w:eastAsia="sl-SI"/>
              </w:rPr>
            </w:pPr>
            <w:r w:rsidRPr="002F4758">
              <w:rPr>
                <w:rFonts w:ascii="Arial" w:eastAsia="Times New Roman" w:hAnsi="Arial" w:cs="Arial"/>
                <w:b/>
                <w:bCs/>
                <w:color w:val="FFFFFF"/>
                <w:sz w:val="18"/>
                <w:szCs w:val="18"/>
                <w:lang w:eastAsia="sl-SI"/>
              </w:rPr>
              <w:t>2021</w:t>
            </w:r>
          </w:p>
        </w:tc>
      </w:tr>
      <w:tr w:rsidR="004B7622" w:rsidRPr="002F4758" w14:paraId="5C26AD30" w14:textId="77777777" w:rsidTr="00377989">
        <w:trPr>
          <w:trHeight w:val="172"/>
        </w:trPr>
        <w:tc>
          <w:tcPr>
            <w:tcW w:w="329" w:type="dxa"/>
            <w:tcBorders>
              <w:top w:val="nil"/>
              <w:left w:val="single" w:sz="4" w:space="0" w:color="auto"/>
              <w:bottom w:val="single" w:sz="4" w:space="0" w:color="auto"/>
              <w:right w:val="single" w:sz="4" w:space="0" w:color="auto"/>
            </w:tcBorders>
            <w:shd w:val="clear" w:color="auto" w:fill="31869B"/>
            <w:vAlign w:val="center"/>
            <w:hideMark/>
          </w:tcPr>
          <w:p w14:paraId="129532D0" w14:textId="77777777" w:rsidR="004B7622" w:rsidRPr="002F4758" w:rsidRDefault="004B7622" w:rsidP="00377989">
            <w:pPr>
              <w:jc w:val="center"/>
              <w:rPr>
                <w:rFonts w:ascii="Arial" w:eastAsia="Times New Roman" w:hAnsi="Arial" w:cs="Arial"/>
                <w:b/>
                <w:bCs/>
                <w:color w:val="FFFFFF"/>
                <w:sz w:val="18"/>
                <w:szCs w:val="18"/>
                <w:lang w:eastAsia="sl-SI"/>
              </w:rPr>
            </w:pPr>
            <w:r w:rsidRPr="002F4758">
              <w:rPr>
                <w:rFonts w:ascii="Arial" w:eastAsia="Times New Roman" w:hAnsi="Arial" w:cs="Arial"/>
                <w:b/>
                <w:bCs/>
                <w:color w:val="FFFFFF"/>
                <w:sz w:val="18"/>
                <w:szCs w:val="18"/>
                <w:lang w:eastAsia="sl-SI"/>
              </w:rPr>
              <w:t> </w:t>
            </w:r>
          </w:p>
        </w:tc>
        <w:tc>
          <w:tcPr>
            <w:tcW w:w="2342" w:type="dxa"/>
            <w:tcBorders>
              <w:top w:val="nil"/>
              <w:left w:val="nil"/>
              <w:bottom w:val="single" w:sz="4" w:space="0" w:color="auto"/>
              <w:right w:val="single" w:sz="4" w:space="0" w:color="auto"/>
            </w:tcBorders>
            <w:shd w:val="clear" w:color="auto" w:fill="31869B"/>
            <w:vAlign w:val="center"/>
            <w:hideMark/>
          </w:tcPr>
          <w:p w14:paraId="00CB0585" w14:textId="77777777" w:rsidR="004B7622" w:rsidRPr="002F4758" w:rsidRDefault="004B7622" w:rsidP="00377989">
            <w:pPr>
              <w:jc w:val="center"/>
              <w:rPr>
                <w:rFonts w:ascii="Arial" w:eastAsia="Times New Roman" w:hAnsi="Arial" w:cs="Arial"/>
                <w:b/>
                <w:bCs/>
                <w:color w:val="FFFFFF"/>
                <w:sz w:val="18"/>
                <w:szCs w:val="18"/>
                <w:lang w:eastAsia="sl-SI"/>
              </w:rPr>
            </w:pPr>
            <w:r w:rsidRPr="002F4758">
              <w:rPr>
                <w:rFonts w:ascii="Arial" w:eastAsia="Times New Roman" w:hAnsi="Arial" w:cs="Arial"/>
                <w:b/>
                <w:bCs/>
                <w:color w:val="FFFFFF"/>
                <w:sz w:val="18"/>
                <w:szCs w:val="18"/>
                <w:lang w:eastAsia="sl-SI"/>
              </w:rPr>
              <w:t> </w:t>
            </w:r>
          </w:p>
        </w:tc>
        <w:tc>
          <w:tcPr>
            <w:tcW w:w="1374" w:type="dxa"/>
            <w:tcBorders>
              <w:top w:val="nil"/>
              <w:left w:val="nil"/>
              <w:bottom w:val="single" w:sz="4" w:space="0" w:color="auto"/>
              <w:right w:val="single" w:sz="4" w:space="0" w:color="auto"/>
            </w:tcBorders>
            <w:shd w:val="clear" w:color="auto" w:fill="31869B"/>
            <w:vAlign w:val="center"/>
            <w:hideMark/>
          </w:tcPr>
          <w:p w14:paraId="079F7C63" w14:textId="77777777" w:rsidR="004B7622" w:rsidRPr="002F4758" w:rsidRDefault="004B7622" w:rsidP="00377989">
            <w:pPr>
              <w:jc w:val="center"/>
              <w:rPr>
                <w:rFonts w:ascii="Arial" w:eastAsia="Times New Roman" w:hAnsi="Arial" w:cs="Arial"/>
                <w:b/>
                <w:bCs/>
                <w:color w:val="FFFFFF"/>
                <w:sz w:val="18"/>
                <w:szCs w:val="18"/>
                <w:lang w:eastAsia="sl-SI"/>
              </w:rPr>
            </w:pPr>
            <w:r w:rsidRPr="002F4758">
              <w:rPr>
                <w:rFonts w:ascii="Arial" w:eastAsia="Times New Roman" w:hAnsi="Arial" w:cs="Arial"/>
                <w:b/>
                <w:bCs/>
                <w:color w:val="FFFFFF"/>
                <w:sz w:val="18"/>
                <w:szCs w:val="18"/>
                <w:lang w:eastAsia="sl-SI"/>
              </w:rPr>
              <w:t> </w:t>
            </w:r>
          </w:p>
        </w:tc>
        <w:tc>
          <w:tcPr>
            <w:tcW w:w="584" w:type="dxa"/>
            <w:tcBorders>
              <w:top w:val="nil"/>
              <w:left w:val="single" w:sz="8" w:space="0" w:color="auto"/>
              <w:bottom w:val="single" w:sz="4" w:space="0" w:color="auto"/>
              <w:right w:val="single" w:sz="4" w:space="0" w:color="auto"/>
            </w:tcBorders>
            <w:shd w:val="clear" w:color="auto" w:fill="31869B"/>
            <w:vAlign w:val="center"/>
            <w:hideMark/>
          </w:tcPr>
          <w:p w14:paraId="0C7396DE" w14:textId="77777777" w:rsidR="004B7622" w:rsidRPr="002F4758" w:rsidRDefault="004B7622" w:rsidP="00377989">
            <w:pPr>
              <w:jc w:val="center"/>
              <w:rPr>
                <w:rFonts w:ascii="Arial" w:eastAsia="Times New Roman" w:hAnsi="Arial" w:cs="Arial"/>
                <w:b/>
                <w:bCs/>
                <w:color w:val="FFFFFF"/>
                <w:sz w:val="18"/>
                <w:szCs w:val="18"/>
                <w:lang w:eastAsia="sl-SI"/>
              </w:rPr>
            </w:pPr>
            <w:r w:rsidRPr="002F4758">
              <w:rPr>
                <w:rFonts w:ascii="Arial" w:eastAsia="Times New Roman" w:hAnsi="Arial" w:cs="Arial"/>
                <w:b/>
                <w:bCs/>
                <w:color w:val="FFFFFF"/>
                <w:sz w:val="18"/>
                <w:szCs w:val="18"/>
                <w:lang w:eastAsia="sl-SI"/>
              </w:rPr>
              <w:t>1</w:t>
            </w:r>
          </w:p>
        </w:tc>
        <w:tc>
          <w:tcPr>
            <w:tcW w:w="584" w:type="dxa"/>
            <w:tcBorders>
              <w:top w:val="nil"/>
              <w:left w:val="nil"/>
              <w:bottom w:val="single" w:sz="4" w:space="0" w:color="auto"/>
              <w:right w:val="single" w:sz="4" w:space="0" w:color="auto"/>
            </w:tcBorders>
            <w:shd w:val="clear" w:color="auto" w:fill="31869B"/>
            <w:vAlign w:val="center"/>
            <w:hideMark/>
          </w:tcPr>
          <w:p w14:paraId="496F8AC4" w14:textId="77777777" w:rsidR="004B7622" w:rsidRPr="002F4758" w:rsidRDefault="004B7622" w:rsidP="00377989">
            <w:pPr>
              <w:jc w:val="center"/>
              <w:rPr>
                <w:rFonts w:ascii="Arial" w:eastAsia="Times New Roman" w:hAnsi="Arial" w:cs="Arial"/>
                <w:b/>
                <w:bCs/>
                <w:color w:val="FFFFFF"/>
                <w:sz w:val="18"/>
                <w:szCs w:val="18"/>
                <w:lang w:eastAsia="sl-SI"/>
              </w:rPr>
            </w:pPr>
            <w:r w:rsidRPr="002F4758">
              <w:rPr>
                <w:rFonts w:ascii="Arial" w:eastAsia="Times New Roman" w:hAnsi="Arial" w:cs="Arial"/>
                <w:b/>
                <w:bCs/>
                <w:color w:val="FFFFFF"/>
                <w:sz w:val="18"/>
                <w:szCs w:val="18"/>
                <w:lang w:eastAsia="sl-SI"/>
              </w:rPr>
              <w:t>2</w:t>
            </w:r>
          </w:p>
        </w:tc>
        <w:tc>
          <w:tcPr>
            <w:tcW w:w="584" w:type="dxa"/>
            <w:tcBorders>
              <w:top w:val="nil"/>
              <w:left w:val="nil"/>
              <w:bottom w:val="single" w:sz="4" w:space="0" w:color="auto"/>
              <w:right w:val="single" w:sz="4" w:space="0" w:color="auto"/>
            </w:tcBorders>
            <w:shd w:val="clear" w:color="auto" w:fill="31869B"/>
            <w:vAlign w:val="center"/>
            <w:hideMark/>
          </w:tcPr>
          <w:p w14:paraId="572B67AB" w14:textId="77777777" w:rsidR="004B7622" w:rsidRPr="002F4758" w:rsidRDefault="004B7622" w:rsidP="00377989">
            <w:pPr>
              <w:jc w:val="center"/>
              <w:rPr>
                <w:rFonts w:ascii="Arial" w:eastAsia="Times New Roman" w:hAnsi="Arial" w:cs="Arial"/>
                <w:b/>
                <w:bCs/>
                <w:color w:val="FFFFFF"/>
                <w:sz w:val="18"/>
                <w:szCs w:val="18"/>
                <w:lang w:eastAsia="sl-SI"/>
              </w:rPr>
            </w:pPr>
            <w:r w:rsidRPr="002F4758">
              <w:rPr>
                <w:rFonts w:ascii="Arial" w:eastAsia="Times New Roman" w:hAnsi="Arial" w:cs="Arial"/>
                <w:b/>
                <w:bCs/>
                <w:color w:val="FFFFFF"/>
                <w:sz w:val="18"/>
                <w:szCs w:val="18"/>
                <w:lang w:eastAsia="sl-SI"/>
              </w:rPr>
              <w:t>3</w:t>
            </w:r>
          </w:p>
        </w:tc>
        <w:tc>
          <w:tcPr>
            <w:tcW w:w="951" w:type="dxa"/>
            <w:tcBorders>
              <w:top w:val="nil"/>
              <w:left w:val="nil"/>
              <w:bottom w:val="single" w:sz="4" w:space="0" w:color="auto"/>
              <w:right w:val="single" w:sz="8" w:space="0" w:color="auto"/>
            </w:tcBorders>
            <w:shd w:val="clear" w:color="auto" w:fill="31869B"/>
            <w:vAlign w:val="center"/>
            <w:hideMark/>
          </w:tcPr>
          <w:p w14:paraId="3734E0D7" w14:textId="77777777" w:rsidR="004B7622" w:rsidRPr="002F4758" w:rsidRDefault="004B7622" w:rsidP="00377989">
            <w:pPr>
              <w:jc w:val="center"/>
              <w:rPr>
                <w:rFonts w:ascii="Arial" w:eastAsia="Times New Roman" w:hAnsi="Arial" w:cs="Arial"/>
                <w:b/>
                <w:bCs/>
                <w:color w:val="FFFFFF"/>
                <w:sz w:val="18"/>
                <w:szCs w:val="18"/>
                <w:lang w:eastAsia="sl-SI"/>
              </w:rPr>
            </w:pPr>
            <w:r w:rsidRPr="002F4758">
              <w:rPr>
                <w:rFonts w:ascii="Arial" w:eastAsia="Times New Roman" w:hAnsi="Arial" w:cs="Arial"/>
                <w:b/>
                <w:bCs/>
                <w:color w:val="FFFFFF"/>
                <w:sz w:val="18"/>
                <w:szCs w:val="18"/>
                <w:lang w:eastAsia="sl-SI"/>
              </w:rPr>
              <w:t>4</w:t>
            </w:r>
          </w:p>
        </w:tc>
        <w:tc>
          <w:tcPr>
            <w:tcW w:w="603" w:type="dxa"/>
            <w:tcBorders>
              <w:top w:val="nil"/>
              <w:left w:val="nil"/>
              <w:bottom w:val="single" w:sz="4" w:space="0" w:color="auto"/>
              <w:right w:val="single" w:sz="4" w:space="0" w:color="auto"/>
            </w:tcBorders>
            <w:shd w:val="clear" w:color="auto" w:fill="31869B"/>
            <w:vAlign w:val="center"/>
            <w:hideMark/>
          </w:tcPr>
          <w:p w14:paraId="02A26A28" w14:textId="77777777" w:rsidR="004B7622" w:rsidRPr="002F4758" w:rsidRDefault="004B7622" w:rsidP="00377989">
            <w:pPr>
              <w:jc w:val="center"/>
              <w:rPr>
                <w:rFonts w:ascii="Arial" w:eastAsia="Times New Roman" w:hAnsi="Arial" w:cs="Arial"/>
                <w:b/>
                <w:bCs/>
                <w:color w:val="FFFFFF"/>
                <w:sz w:val="18"/>
                <w:szCs w:val="18"/>
                <w:lang w:eastAsia="sl-SI"/>
              </w:rPr>
            </w:pPr>
            <w:r w:rsidRPr="002F4758">
              <w:rPr>
                <w:rFonts w:ascii="Arial" w:eastAsia="Times New Roman" w:hAnsi="Arial" w:cs="Arial"/>
                <w:b/>
                <w:bCs/>
                <w:color w:val="FFFFFF"/>
                <w:sz w:val="18"/>
                <w:szCs w:val="18"/>
                <w:lang w:eastAsia="sl-SI"/>
              </w:rPr>
              <w:t>1</w:t>
            </w:r>
          </w:p>
        </w:tc>
        <w:tc>
          <w:tcPr>
            <w:tcW w:w="548" w:type="dxa"/>
            <w:tcBorders>
              <w:top w:val="nil"/>
              <w:left w:val="nil"/>
              <w:bottom w:val="single" w:sz="4" w:space="0" w:color="auto"/>
              <w:right w:val="single" w:sz="4" w:space="0" w:color="auto"/>
            </w:tcBorders>
            <w:shd w:val="clear" w:color="auto" w:fill="31869B"/>
            <w:vAlign w:val="center"/>
            <w:hideMark/>
          </w:tcPr>
          <w:p w14:paraId="2BCF300A" w14:textId="77777777" w:rsidR="004B7622" w:rsidRPr="002F4758" w:rsidRDefault="004B7622" w:rsidP="00377989">
            <w:pPr>
              <w:jc w:val="center"/>
              <w:rPr>
                <w:rFonts w:ascii="Arial" w:eastAsia="Times New Roman" w:hAnsi="Arial" w:cs="Arial"/>
                <w:b/>
                <w:bCs/>
                <w:color w:val="FFFFFF"/>
                <w:sz w:val="18"/>
                <w:szCs w:val="18"/>
                <w:lang w:eastAsia="sl-SI"/>
              </w:rPr>
            </w:pPr>
            <w:r w:rsidRPr="002F4758">
              <w:rPr>
                <w:rFonts w:ascii="Arial" w:eastAsia="Times New Roman" w:hAnsi="Arial" w:cs="Arial"/>
                <w:b/>
                <w:bCs/>
                <w:color w:val="FFFFFF"/>
                <w:sz w:val="18"/>
                <w:szCs w:val="18"/>
                <w:lang w:eastAsia="sl-SI"/>
              </w:rPr>
              <w:t>2</w:t>
            </w:r>
          </w:p>
        </w:tc>
        <w:tc>
          <w:tcPr>
            <w:tcW w:w="419" w:type="dxa"/>
            <w:tcBorders>
              <w:top w:val="nil"/>
              <w:left w:val="nil"/>
              <w:bottom w:val="single" w:sz="4" w:space="0" w:color="auto"/>
              <w:right w:val="single" w:sz="4" w:space="0" w:color="auto"/>
            </w:tcBorders>
            <w:shd w:val="clear" w:color="auto" w:fill="31869B"/>
            <w:vAlign w:val="center"/>
            <w:hideMark/>
          </w:tcPr>
          <w:p w14:paraId="4672A941" w14:textId="77777777" w:rsidR="004B7622" w:rsidRPr="002F4758" w:rsidRDefault="004B7622" w:rsidP="00377989">
            <w:pPr>
              <w:jc w:val="center"/>
              <w:rPr>
                <w:rFonts w:ascii="Arial" w:eastAsia="Times New Roman" w:hAnsi="Arial" w:cs="Arial"/>
                <w:b/>
                <w:bCs/>
                <w:color w:val="FFFFFF"/>
                <w:sz w:val="18"/>
                <w:szCs w:val="18"/>
                <w:lang w:eastAsia="sl-SI"/>
              </w:rPr>
            </w:pPr>
            <w:r w:rsidRPr="002F4758">
              <w:rPr>
                <w:rFonts w:ascii="Arial" w:eastAsia="Times New Roman" w:hAnsi="Arial" w:cs="Arial"/>
                <w:b/>
                <w:bCs/>
                <w:color w:val="FFFFFF"/>
                <w:sz w:val="18"/>
                <w:szCs w:val="18"/>
                <w:lang w:eastAsia="sl-SI"/>
              </w:rPr>
              <w:t>3</w:t>
            </w:r>
          </w:p>
        </w:tc>
        <w:tc>
          <w:tcPr>
            <w:tcW w:w="861" w:type="dxa"/>
            <w:tcBorders>
              <w:top w:val="nil"/>
              <w:left w:val="nil"/>
              <w:bottom w:val="single" w:sz="4" w:space="0" w:color="auto"/>
              <w:right w:val="single" w:sz="8" w:space="0" w:color="auto"/>
            </w:tcBorders>
            <w:shd w:val="clear" w:color="auto" w:fill="31869B"/>
            <w:vAlign w:val="center"/>
            <w:hideMark/>
          </w:tcPr>
          <w:p w14:paraId="37D4073E" w14:textId="77777777" w:rsidR="004B7622" w:rsidRPr="002F4758" w:rsidRDefault="004B7622" w:rsidP="00377989">
            <w:pPr>
              <w:jc w:val="center"/>
              <w:rPr>
                <w:rFonts w:ascii="Arial" w:eastAsia="Times New Roman" w:hAnsi="Arial" w:cs="Arial"/>
                <w:b/>
                <w:bCs/>
                <w:color w:val="FFFFFF"/>
                <w:sz w:val="18"/>
                <w:szCs w:val="18"/>
                <w:lang w:eastAsia="sl-SI"/>
              </w:rPr>
            </w:pPr>
            <w:r w:rsidRPr="002F4758">
              <w:rPr>
                <w:rFonts w:ascii="Arial" w:eastAsia="Times New Roman" w:hAnsi="Arial" w:cs="Arial"/>
                <w:b/>
                <w:bCs/>
                <w:color w:val="FFFFFF"/>
                <w:sz w:val="18"/>
                <w:szCs w:val="18"/>
                <w:lang w:eastAsia="sl-SI"/>
              </w:rPr>
              <w:t>4</w:t>
            </w:r>
          </w:p>
        </w:tc>
      </w:tr>
      <w:tr w:rsidR="004B7622" w:rsidRPr="002F4758" w14:paraId="524D1F41" w14:textId="77777777" w:rsidTr="00377989">
        <w:trPr>
          <w:trHeight w:val="352"/>
        </w:trPr>
        <w:tc>
          <w:tcPr>
            <w:tcW w:w="329" w:type="dxa"/>
            <w:tcBorders>
              <w:top w:val="nil"/>
              <w:left w:val="single" w:sz="4" w:space="0" w:color="auto"/>
              <w:bottom w:val="single" w:sz="4" w:space="0" w:color="auto"/>
              <w:right w:val="single" w:sz="4" w:space="0" w:color="auto"/>
            </w:tcBorders>
            <w:vAlign w:val="center"/>
            <w:hideMark/>
          </w:tcPr>
          <w:p w14:paraId="52CEF835" w14:textId="77777777" w:rsidR="004B7622" w:rsidRPr="002F4758" w:rsidRDefault="004B7622" w:rsidP="00377989">
            <w:pPr>
              <w:jc w:val="center"/>
              <w:rPr>
                <w:rFonts w:ascii="Arial" w:eastAsia="Times New Roman" w:hAnsi="Arial" w:cs="Arial"/>
                <w:color w:val="000000"/>
                <w:sz w:val="18"/>
                <w:szCs w:val="18"/>
                <w:lang w:eastAsia="sl-SI"/>
              </w:rPr>
            </w:pPr>
            <w:r w:rsidRPr="002F4758">
              <w:rPr>
                <w:rFonts w:ascii="Arial" w:eastAsia="Times New Roman" w:hAnsi="Arial" w:cs="Arial"/>
                <w:color w:val="000000"/>
                <w:sz w:val="18"/>
                <w:szCs w:val="18"/>
                <w:lang w:eastAsia="sl-SI"/>
              </w:rPr>
              <w:t>1</w:t>
            </w:r>
          </w:p>
        </w:tc>
        <w:tc>
          <w:tcPr>
            <w:tcW w:w="2342" w:type="dxa"/>
            <w:tcBorders>
              <w:top w:val="nil"/>
              <w:left w:val="nil"/>
              <w:bottom w:val="single" w:sz="4" w:space="0" w:color="auto"/>
              <w:right w:val="single" w:sz="4" w:space="0" w:color="auto"/>
            </w:tcBorders>
            <w:vAlign w:val="center"/>
            <w:hideMark/>
          </w:tcPr>
          <w:p w14:paraId="6914E710" w14:textId="77777777" w:rsidR="004B7622" w:rsidRPr="002F4758" w:rsidRDefault="004B7622" w:rsidP="00377989">
            <w:pPr>
              <w:rPr>
                <w:rFonts w:ascii="Arial" w:eastAsia="Times New Roman" w:hAnsi="Arial" w:cs="Arial"/>
                <w:color w:val="000000"/>
                <w:sz w:val="18"/>
                <w:szCs w:val="18"/>
                <w:lang w:eastAsia="sl-SI"/>
              </w:rPr>
            </w:pPr>
            <w:r w:rsidRPr="002F4758">
              <w:rPr>
                <w:rFonts w:ascii="Arial" w:eastAsia="Times New Roman" w:hAnsi="Arial" w:cs="Arial"/>
                <w:color w:val="000000"/>
                <w:sz w:val="18"/>
                <w:szCs w:val="18"/>
                <w:lang w:eastAsia="sl-SI"/>
              </w:rPr>
              <w:t>Izvršba na podlagi poroštva</w:t>
            </w:r>
          </w:p>
        </w:tc>
        <w:tc>
          <w:tcPr>
            <w:tcW w:w="1374" w:type="dxa"/>
            <w:tcBorders>
              <w:top w:val="nil"/>
              <w:left w:val="nil"/>
              <w:bottom w:val="single" w:sz="4" w:space="0" w:color="auto"/>
              <w:right w:val="single" w:sz="4" w:space="0" w:color="auto"/>
            </w:tcBorders>
            <w:vAlign w:val="center"/>
            <w:hideMark/>
          </w:tcPr>
          <w:p w14:paraId="61F13A89" w14:textId="77777777" w:rsidR="004B7622" w:rsidRPr="002F4758" w:rsidRDefault="004B7622" w:rsidP="00377989">
            <w:pPr>
              <w:jc w:val="center"/>
              <w:rPr>
                <w:rFonts w:ascii="Arial" w:eastAsia="Times New Roman" w:hAnsi="Arial" w:cs="Arial"/>
                <w:color w:val="000000"/>
                <w:sz w:val="18"/>
                <w:szCs w:val="18"/>
                <w:lang w:eastAsia="sl-SI"/>
              </w:rPr>
            </w:pPr>
            <w:r w:rsidRPr="002F4758">
              <w:rPr>
                <w:rFonts w:ascii="Arial" w:eastAsia="Times New Roman" w:hAnsi="Arial" w:cs="Arial"/>
                <w:color w:val="000000"/>
                <w:sz w:val="18"/>
                <w:szCs w:val="18"/>
                <w:lang w:eastAsia="sl-SI"/>
              </w:rPr>
              <w:t>148/1 čl. ZDavP-2</w:t>
            </w:r>
          </w:p>
        </w:tc>
        <w:tc>
          <w:tcPr>
            <w:tcW w:w="584" w:type="dxa"/>
            <w:tcBorders>
              <w:top w:val="nil"/>
              <w:left w:val="single" w:sz="8" w:space="0" w:color="auto"/>
              <w:bottom w:val="single" w:sz="4" w:space="0" w:color="auto"/>
              <w:right w:val="single" w:sz="4" w:space="0" w:color="auto"/>
            </w:tcBorders>
            <w:vAlign w:val="center"/>
            <w:hideMark/>
          </w:tcPr>
          <w:p w14:paraId="7E5F7EEB"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4</w:t>
            </w:r>
          </w:p>
        </w:tc>
        <w:tc>
          <w:tcPr>
            <w:tcW w:w="584" w:type="dxa"/>
            <w:tcBorders>
              <w:top w:val="nil"/>
              <w:left w:val="nil"/>
              <w:bottom w:val="single" w:sz="4" w:space="0" w:color="auto"/>
              <w:right w:val="single" w:sz="4" w:space="0" w:color="auto"/>
            </w:tcBorders>
            <w:shd w:val="clear" w:color="auto" w:fill="DAEEF3"/>
            <w:vAlign w:val="center"/>
            <w:hideMark/>
          </w:tcPr>
          <w:p w14:paraId="309505D1"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7</w:t>
            </w:r>
          </w:p>
        </w:tc>
        <w:tc>
          <w:tcPr>
            <w:tcW w:w="584" w:type="dxa"/>
            <w:tcBorders>
              <w:top w:val="nil"/>
              <w:left w:val="nil"/>
              <w:bottom w:val="single" w:sz="4" w:space="0" w:color="auto"/>
              <w:right w:val="single" w:sz="4" w:space="0" w:color="auto"/>
            </w:tcBorders>
            <w:vAlign w:val="center"/>
            <w:hideMark/>
          </w:tcPr>
          <w:p w14:paraId="600CF3EC"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5</w:t>
            </w:r>
          </w:p>
        </w:tc>
        <w:tc>
          <w:tcPr>
            <w:tcW w:w="951" w:type="dxa"/>
            <w:tcBorders>
              <w:top w:val="nil"/>
              <w:left w:val="nil"/>
              <w:bottom w:val="single" w:sz="4" w:space="0" w:color="auto"/>
              <w:right w:val="single" w:sz="8" w:space="0" w:color="auto"/>
            </w:tcBorders>
            <w:vAlign w:val="center"/>
            <w:hideMark/>
          </w:tcPr>
          <w:p w14:paraId="6BF68C22"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134.524</w:t>
            </w:r>
          </w:p>
        </w:tc>
        <w:tc>
          <w:tcPr>
            <w:tcW w:w="603" w:type="dxa"/>
            <w:tcBorders>
              <w:top w:val="nil"/>
              <w:left w:val="nil"/>
              <w:bottom w:val="single" w:sz="4" w:space="0" w:color="auto"/>
              <w:right w:val="single" w:sz="4" w:space="0" w:color="auto"/>
            </w:tcBorders>
            <w:vAlign w:val="center"/>
            <w:hideMark/>
          </w:tcPr>
          <w:p w14:paraId="6C6AE7AA"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21</w:t>
            </w:r>
          </w:p>
        </w:tc>
        <w:tc>
          <w:tcPr>
            <w:tcW w:w="548" w:type="dxa"/>
            <w:tcBorders>
              <w:top w:val="nil"/>
              <w:left w:val="nil"/>
              <w:bottom w:val="single" w:sz="4" w:space="0" w:color="auto"/>
              <w:right w:val="single" w:sz="4" w:space="0" w:color="auto"/>
            </w:tcBorders>
            <w:shd w:val="clear" w:color="auto" w:fill="DAEEF3"/>
            <w:vAlign w:val="center"/>
            <w:hideMark/>
          </w:tcPr>
          <w:p w14:paraId="5C465393"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5</w:t>
            </w:r>
          </w:p>
        </w:tc>
        <w:tc>
          <w:tcPr>
            <w:tcW w:w="419" w:type="dxa"/>
            <w:tcBorders>
              <w:top w:val="nil"/>
              <w:left w:val="nil"/>
              <w:bottom w:val="single" w:sz="4" w:space="0" w:color="auto"/>
              <w:right w:val="single" w:sz="4" w:space="0" w:color="auto"/>
            </w:tcBorders>
            <w:vAlign w:val="center"/>
            <w:hideMark/>
          </w:tcPr>
          <w:p w14:paraId="1101211F"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0</w:t>
            </w:r>
          </w:p>
        </w:tc>
        <w:tc>
          <w:tcPr>
            <w:tcW w:w="861" w:type="dxa"/>
            <w:tcBorders>
              <w:top w:val="nil"/>
              <w:left w:val="nil"/>
              <w:bottom w:val="single" w:sz="4" w:space="0" w:color="auto"/>
              <w:right w:val="single" w:sz="8" w:space="0" w:color="auto"/>
            </w:tcBorders>
            <w:vAlign w:val="center"/>
            <w:hideMark/>
          </w:tcPr>
          <w:p w14:paraId="73605942"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99.621</w:t>
            </w:r>
          </w:p>
        </w:tc>
      </w:tr>
      <w:tr w:rsidR="004B7622" w:rsidRPr="002F4758" w14:paraId="6F640417" w14:textId="77777777" w:rsidTr="00377989">
        <w:trPr>
          <w:trHeight w:val="610"/>
        </w:trPr>
        <w:tc>
          <w:tcPr>
            <w:tcW w:w="329" w:type="dxa"/>
            <w:tcBorders>
              <w:top w:val="nil"/>
              <w:left w:val="single" w:sz="4" w:space="0" w:color="auto"/>
              <w:bottom w:val="single" w:sz="4" w:space="0" w:color="auto"/>
              <w:right w:val="single" w:sz="4" w:space="0" w:color="auto"/>
            </w:tcBorders>
            <w:vAlign w:val="center"/>
            <w:hideMark/>
          </w:tcPr>
          <w:p w14:paraId="73B4D834" w14:textId="77777777" w:rsidR="004B7622" w:rsidRPr="002F4758" w:rsidRDefault="004B7622" w:rsidP="00377989">
            <w:pPr>
              <w:jc w:val="center"/>
              <w:rPr>
                <w:rFonts w:ascii="Arial" w:eastAsia="Times New Roman" w:hAnsi="Arial" w:cs="Arial"/>
                <w:color w:val="000000"/>
                <w:sz w:val="18"/>
                <w:szCs w:val="18"/>
                <w:lang w:eastAsia="sl-SI"/>
              </w:rPr>
            </w:pPr>
            <w:r w:rsidRPr="002F4758">
              <w:rPr>
                <w:rFonts w:ascii="Arial" w:eastAsia="Times New Roman" w:hAnsi="Arial" w:cs="Arial"/>
                <w:color w:val="000000"/>
                <w:sz w:val="18"/>
                <w:szCs w:val="18"/>
                <w:lang w:eastAsia="sl-SI"/>
              </w:rPr>
              <w:t>2</w:t>
            </w:r>
          </w:p>
        </w:tc>
        <w:tc>
          <w:tcPr>
            <w:tcW w:w="2342" w:type="dxa"/>
            <w:tcBorders>
              <w:top w:val="nil"/>
              <w:left w:val="nil"/>
              <w:bottom w:val="single" w:sz="4" w:space="0" w:color="auto"/>
              <w:right w:val="single" w:sz="4" w:space="0" w:color="auto"/>
            </w:tcBorders>
            <w:vAlign w:val="center"/>
            <w:hideMark/>
          </w:tcPr>
          <w:p w14:paraId="7BD729B0" w14:textId="77777777" w:rsidR="004B7622" w:rsidRPr="002F4758" w:rsidRDefault="004B7622" w:rsidP="00377989">
            <w:pPr>
              <w:rPr>
                <w:rFonts w:ascii="Arial" w:eastAsia="Times New Roman" w:hAnsi="Arial" w:cs="Arial"/>
                <w:color w:val="000000"/>
                <w:sz w:val="18"/>
                <w:szCs w:val="18"/>
                <w:lang w:eastAsia="sl-SI"/>
              </w:rPr>
            </w:pPr>
            <w:r w:rsidRPr="002F4758">
              <w:rPr>
                <w:rFonts w:ascii="Arial" w:eastAsia="Times New Roman" w:hAnsi="Arial" w:cs="Arial"/>
                <w:color w:val="000000"/>
                <w:sz w:val="18"/>
                <w:szCs w:val="18"/>
                <w:lang w:eastAsia="sl-SI"/>
              </w:rPr>
              <w:t>Uveljavljanje odškodninske odgovornosti članov poslovodstva in nadzornega sveta družbe v stečajnem postopku</w:t>
            </w:r>
          </w:p>
        </w:tc>
        <w:tc>
          <w:tcPr>
            <w:tcW w:w="1374" w:type="dxa"/>
            <w:tcBorders>
              <w:top w:val="nil"/>
              <w:left w:val="nil"/>
              <w:bottom w:val="single" w:sz="4" w:space="0" w:color="auto"/>
              <w:right w:val="single" w:sz="4" w:space="0" w:color="auto"/>
            </w:tcBorders>
            <w:vAlign w:val="center"/>
            <w:hideMark/>
          </w:tcPr>
          <w:p w14:paraId="08674D3C" w14:textId="77777777" w:rsidR="004B7622" w:rsidRPr="002F4758" w:rsidRDefault="004B7622" w:rsidP="00377989">
            <w:pPr>
              <w:jc w:val="center"/>
              <w:rPr>
                <w:rFonts w:ascii="Arial" w:eastAsia="Times New Roman" w:hAnsi="Arial" w:cs="Arial"/>
                <w:color w:val="000000"/>
                <w:sz w:val="18"/>
                <w:szCs w:val="18"/>
                <w:lang w:eastAsia="sl-SI"/>
              </w:rPr>
            </w:pPr>
            <w:r w:rsidRPr="002F4758">
              <w:rPr>
                <w:rFonts w:ascii="Arial" w:eastAsia="Times New Roman" w:hAnsi="Arial" w:cs="Arial"/>
                <w:color w:val="000000"/>
                <w:sz w:val="18"/>
                <w:szCs w:val="18"/>
                <w:lang w:eastAsia="sl-SI"/>
              </w:rPr>
              <w:t>42. čl. ZFPPIPP</w:t>
            </w:r>
          </w:p>
        </w:tc>
        <w:tc>
          <w:tcPr>
            <w:tcW w:w="584" w:type="dxa"/>
            <w:tcBorders>
              <w:top w:val="nil"/>
              <w:left w:val="single" w:sz="8" w:space="0" w:color="auto"/>
              <w:bottom w:val="single" w:sz="4" w:space="0" w:color="auto"/>
              <w:right w:val="single" w:sz="4" w:space="0" w:color="auto"/>
            </w:tcBorders>
            <w:vAlign w:val="center"/>
            <w:hideMark/>
          </w:tcPr>
          <w:p w14:paraId="7E0AB9DB"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0</w:t>
            </w:r>
          </w:p>
        </w:tc>
        <w:tc>
          <w:tcPr>
            <w:tcW w:w="584" w:type="dxa"/>
            <w:tcBorders>
              <w:top w:val="nil"/>
              <w:left w:val="nil"/>
              <w:bottom w:val="single" w:sz="4" w:space="0" w:color="auto"/>
              <w:right w:val="single" w:sz="4" w:space="0" w:color="auto"/>
            </w:tcBorders>
            <w:shd w:val="clear" w:color="auto" w:fill="DAEEF3"/>
            <w:vAlign w:val="center"/>
            <w:hideMark/>
          </w:tcPr>
          <w:p w14:paraId="7C88F633"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0</w:t>
            </w:r>
          </w:p>
        </w:tc>
        <w:tc>
          <w:tcPr>
            <w:tcW w:w="584" w:type="dxa"/>
            <w:tcBorders>
              <w:top w:val="nil"/>
              <w:left w:val="nil"/>
              <w:bottom w:val="single" w:sz="4" w:space="0" w:color="auto"/>
              <w:right w:val="single" w:sz="4" w:space="0" w:color="auto"/>
            </w:tcBorders>
            <w:vAlign w:val="center"/>
            <w:hideMark/>
          </w:tcPr>
          <w:p w14:paraId="2D59F53E"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0</w:t>
            </w:r>
          </w:p>
        </w:tc>
        <w:tc>
          <w:tcPr>
            <w:tcW w:w="951" w:type="dxa"/>
            <w:tcBorders>
              <w:top w:val="nil"/>
              <w:left w:val="nil"/>
              <w:bottom w:val="single" w:sz="4" w:space="0" w:color="auto"/>
              <w:right w:val="single" w:sz="8" w:space="0" w:color="auto"/>
            </w:tcBorders>
            <w:vAlign w:val="center"/>
            <w:hideMark/>
          </w:tcPr>
          <w:p w14:paraId="6F2228F5"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0</w:t>
            </w:r>
          </w:p>
        </w:tc>
        <w:tc>
          <w:tcPr>
            <w:tcW w:w="603" w:type="dxa"/>
            <w:tcBorders>
              <w:top w:val="nil"/>
              <w:left w:val="nil"/>
              <w:bottom w:val="single" w:sz="4" w:space="0" w:color="auto"/>
              <w:right w:val="single" w:sz="4" w:space="0" w:color="auto"/>
            </w:tcBorders>
            <w:vAlign w:val="center"/>
            <w:hideMark/>
          </w:tcPr>
          <w:p w14:paraId="0C8A2C41"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0</w:t>
            </w:r>
          </w:p>
        </w:tc>
        <w:tc>
          <w:tcPr>
            <w:tcW w:w="548" w:type="dxa"/>
            <w:tcBorders>
              <w:top w:val="nil"/>
              <w:left w:val="nil"/>
              <w:bottom w:val="single" w:sz="4" w:space="0" w:color="auto"/>
              <w:right w:val="single" w:sz="4" w:space="0" w:color="auto"/>
            </w:tcBorders>
            <w:shd w:val="clear" w:color="auto" w:fill="DAEEF3"/>
            <w:vAlign w:val="center"/>
            <w:hideMark/>
          </w:tcPr>
          <w:p w14:paraId="2BD066CC"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2</w:t>
            </w:r>
          </w:p>
        </w:tc>
        <w:tc>
          <w:tcPr>
            <w:tcW w:w="419" w:type="dxa"/>
            <w:tcBorders>
              <w:top w:val="nil"/>
              <w:left w:val="nil"/>
              <w:bottom w:val="single" w:sz="4" w:space="0" w:color="auto"/>
              <w:right w:val="single" w:sz="4" w:space="0" w:color="auto"/>
            </w:tcBorders>
            <w:vAlign w:val="center"/>
            <w:hideMark/>
          </w:tcPr>
          <w:p w14:paraId="750467E3"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0</w:t>
            </w:r>
          </w:p>
        </w:tc>
        <w:tc>
          <w:tcPr>
            <w:tcW w:w="861" w:type="dxa"/>
            <w:tcBorders>
              <w:top w:val="nil"/>
              <w:left w:val="nil"/>
              <w:bottom w:val="single" w:sz="4" w:space="0" w:color="auto"/>
              <w:right w:val="single" w:sz="8" w:space="0" w:color="auto"/>
            </w:tcBorders>
            <w:vAlign w:val="center"/>
            <w:hideMark/>
          </w:tcPr>
          <w:p w14:paraId="4512701E"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35.000</w:t>
            </w:r>
          </w:p>
        </w:tc>
      </w:tr>
      <w:tr w:rsidR="004B7622" w:rsidRPr="002F4758" w14:paraId="4CF9093E" w14:textId="77777777" w:rsidTr="00377989">
        <w:trPr>
          <w:trHeight w:val="507"/>
        </w:trPr>
        <w:tc>
          <w:tcPr>
            <w:tcW w:w="329" w:type="dxa"/>
            <w:tcBorders>
              <w:top w:val="nil"/>
              <w:left w:val="single" w:sz="4" w:space="0" w:color="auto"/>
              <w:bottom w:val="single" w:sz="4" w:space="0" w:color="auto"/>
              <w:right w:val="single" w:sz="4" w:space="0" w:color="auto"/>
            </w:tcBorders>
            <w:vAlign w:val="center"/>
            <w:hideMark/>
          </w:tcPr>
          <w:p w14:paraId="6AFDD459" w14:textId="77777777" w:rsidR="004B7622" w:rsidRPr="002F4758" w:rsidRDefault="004B7622" w:rsidP="00377989">
            <w:pPr>
              <w:jc w:val="center"/>
              <w:rPr>
                <w:rFonts w:ascii="Arial" w:eastAsia="Times New Roman" w:hAnsi="Arial" w:cs="Arial"/>
                <w:color w:val="000000"/>
                <w:sz w:val="18"/>
                <w:szCs w:val="18"/>
                <w:lang w:eastAsia="sl-SI"/>
              </w:rPr>
            </w:pPr>
            <w:r w:rsidRPr="002F4758">
              <w:rPr>
                <w:rFonts w:ascii="Arial" w:eastAsia="Times New Roman" w:hAnsi="Arial" w:cs="Arial"/>
                <w:color w:val="000000"/>
                <w:sz w:val="18"/>
                <w:szCs w:val="18"/>
                <w:lang w:eastAsia="sl-SI"/>
              </w:rPr>
              <w:t>3</w:t>
            </w:r>
          </w:p>
        </w:tc>
        <w:tc>
          <w:tcPr>
            <w:tcW w:w="2342" w:type="dxa"/>
            <w:tcBorders>
              <w:top w:val="nil"/>
              <w:left w:val="nil"/>
              <w:bottom w:val="single" w:sz="4" w:space="0" w:color="auto"/>
              <w:right w:val="single" w:sz="4" w:space="0" w:color="auto"/>
            </w:tcBorders>
            <w:vAlign w:val="center"/>
            <w:hideMark/>
          </w:tcPr>
          <w:p w14:paraId="26C84D0D" w14:textId="77777777" w:rsidR="004B7622" w:rsidRPr="002F4758" w:rsidRDefault="004B7622" w:rsidP="00377989">
            <w:pPr>
              <w:rPr>
                <w:rFonts w:ascii="Arial" w:eastAsia="Times New Roman" w:hAnsi="Arial" w:cs="Arial"/>
                <w:color w:val="000000"/>
                <w:sz w:val="18"/>
                <w:szCs w:val="18"/>
                <w:lang w:eastAsia="sl-SI"/>
              </w:rPr>
            </w:pPr>
            <w:r w:rsidRPr="002F4758">
              <w:rPr>
                <w:rFonts w:ascii="Arial" w:eastAsia="Times New Roman" w:hAnsi="Arial" w:cs="Arial"/>
                <w:color w:val="000000"/>
                <w:sz w:val="18"/>
                <w:szCs w:val="18"/>
                <w:lang w:eastAsia="sl-SI"/>
              </w:rPr>
              <w:t>Uveljavljanje odškodninske odgovornosti članov poslovodstva ali organa izbrisane pravne osebe</w:t>
            </w:r>
          </w:p>
        </w:tc>
        <w:tc>
          <w:tcPr>
            <w:tcW w:w="1374" w:type="dxa"/>
            <w:tcBorders>
              <w:top w:val="nil"/>
              <w:left w:val="nil"/>
              <w:bottom w:val="single" w:sz="4" w:space="0" w:color="auto"/>
              <w:right w:val="single" w:sz="4" w:space="0" w:color="auto"/>
            </w:tcBorders>
            <w:vAlign w:val="center"/>
            <w:hideMark/>
          </w:tcPr>
          <w:p w14:paraId="6D40A2CB" w14:textId="77777777" w:rsidR="004B7622" w:rsidRPr="002F4758" w:rsidRDefault="004B7622" w:rsidP="00377989">
            <w:pPr>
              <w:jc w:val="center"/>
              <w:rPr>
                <w:rFonts w:ascii="Arial" w:eastAsia="Times New Roman" w:hAnsi="Arial" w:cs="Arial"/>
                <w:color w:val="000000"/>
                <w:sz w:val="18"/>
                <w:szCs w:val="18"/>
                <w:lang w:eastAsia="sl-SI"/>
              </w:rPr>
            </w:pPr>
            <w:r w:rsidRPr="002F4758">
              <w:rPr>
                <w:rFonts w:ascii="Arial" w:eastAsia="Times New Roman" w:hAnsi="Arial" w:cs="Arial"/>
                <w:color w:val="000000"/>
                <w:sz w:val="18"/>
                <w:szCs w:val="18"/>
                <w:lang w:eastAsia="sl-SI"/>
              </w:rPr>
              <w:t>442. čl.  v povezavi z 42. čl. ZFPPIPP</w:t>
            </w:r>
          </w:p>
        </w:tc>
        <w:tc>
          <w:tcPr>
            <w:tcW w:w="584" w:type="dxa"/>
            <w:tcBorders>
              <w:top w:val="nil"/>
              <w:left w:val="single" w:sz="8" w:space="0" w:color="auto"/>
              <w:bottom w:val="single" w:sz="4" w:space="0" w:color="auto"/>
              <w:right w:val="single" w:sz="4" w:space="0" w:color="auto"/>
            </w:tcBorders>
            <w:vAlign w:val="center"/>
            <w:hideMark/>
          </w:tcPr>
          <w:p w14:paraId="63B232FD"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0</w:t>
            </w:r>
          </w:p>
        </w:tc>
        <w:tc>
          <w:tcPr>
            <w:tcW w:w="584" w:type="dxa"/>
            <w:tcBorders>
              <w:top w:val="nil"/>
              <w:left w:val="nil"/>
              <w:bottom w:val="single" w:sz="4" w:space="0" w:color="auto"/>
              <w:right w:val="single" w:sz="4" w:space="0" w:color="auto"/>
            </w:tcBorders>
            <w:shd w:val="clear" w:color="auto" w:fill="DAEEF3"/>
            <w:vAlign w:val="center"/>
            <w:hideMark/>
          </w:tcPr>
          <w:p w14:paraId="465B0DD2"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0</w:t>
            </w:r>
          </w:p>
        </w:tc>
        <w:tc>
          <w:tcPr>
            <w:tcW w:w="584" w:type="dxa"/>
            <w:tcBorders>
              <w:top w:val="nil"/>
              <w:left w:val="nil"/>
              <w:bottom w:val="single" w:sz="4" w:space="0" w:color="auto"/>
              <w:right w:val="single" w:sz="4" w:space="0" w:color="auto"/>
            </w:tcBorders>
            <w:vAlign w:val="center"/>
            <w:hideMark/>
          </w:tcPr>
          <w:p w14:paraId="2E2DF912"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0</w:t>
            </w:r>
          </w:p>
        </w:tc>
        <w:tc>
          <w:tcPr>
            <w:tcW w:w="951" w:type="dxa"/>
            <w:tcBorders>
              <w:top w:val="nil"/>
              <w:left w:val="nil"/>
              <w:bottom w:val="single" w:sz="4" w:space="0" w:color="auto"/>
              <w:right w:val="single" w:sz="8" w:space="0" w:color="auto"/>
            </w:tcBorders>
            <w:vAlign w:val="center"/>
            <w:hideMark/>
          </w:tcPr>
          <w:p w14:paraId="34B901D4"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0</w:t>
            </w:r>
          </w:p>
        </w:tc>
        <w:tc>
          <w:tcPr>
            <w:tcW w:w="603" w:type="dxa"/>
            <w:tcBorders>
              <w:top w:val="nil"/>
              <w:left w:val="nil"/>
              <w:bottom w:val="single" w:sz="4" w:space="0" w:color="auto"/>
              <w:right w:val="single" w:sz="4" w:space="0" w:color="auto"/>
            </w:tcBorders>
            <w:vAlign w:val="center"/>
            <w:hideMark/>
          </w:tcPr>
          <w:p w14:paraId="3887F723"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0</w:t>
            </w:r>
          </w:p>
        </w:tc>
        <w:tc>
          <w:tcPr>
            <w:tcW w:w="548" w:type="dxa"/>
            <w:tcBorders>
              <w:top w:val="nil"/>
              <w:left w:val="nil"/>
              <w:bottom w:val="single" w:sz="4" w:space="0" w:color="auto"/>
              <w:right w:val="single" w:sz="4" w:space="0" w:color="auto"/>
            </w:tcBorders>
            <w:shd w:val="clear" w:color="auto" w:fill="DAEEF3"/>
            <w:vAlign w:val="center"/>
            <w:hideMark/>
          </w:tcPr>
          <w:p w14:paraId="5320BA61"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0</w:t>
            </w:r>
          </w:p>
        </w:tc>
        <w:tc>
          <w:tcPr>
            <w:tcW w:w="419" w:type="dxa"/>
            <w:tcBorders>
              <w:top w:val="nil"/>
              <w:left w:val="nil"/>
              <w:bottom w:val="single" w:sz="4" w:space="0" w:color="auto"/>
              <w:right w:val="single" w:sz="4" w:space="0" w:color="auto"/>
            </w:tcBorders>
            <w:vAlign w:val="center"/>
            <w:hideMark/>
          </w:tcPr>
          <w:p w14:paraId="299AEBB7"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0</w:t>
            </w:r>
          </w:p>
        </w:tc>
        <w:tc>
          <w:tcPr>
            <w:tcW w:w="861" w:type="dxa"/>
            <w:tcBorders>
              <w:top w:val="nil"/>
              <w:left w:val="nil"/>
              <w:bottom w:val="single" w:sz="4" w:space="0" w:color="auto"/>
              <w:right w:val="single" w:sz="8" w:space="0" w:color="auto"/>
            </w:tcBorders>
            <w:vAlign w:val="center"/>
            <w:hideMark/>
          </w:tcPr>
          <w:p w14:paraId="3751821B"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0</w:t>
            </w:r>
          </w:p>
        </w:tc>
      </w:tr>
      <w:tr w:rsidR="004B7622" w:rsidRPr="002F4758" w14:paraId="4992A635" w14:textId="77777777" w:rsidTr="00377989">
        <w:trPr>
          <w:trHeight w:val="546"/>
        </w:trPr>
        <w:tc>
          <w:tcPr>
            <w:tcW w:w="329" w:type="dxa"/>
            <w:tcBorders>
              <w:top w:val="nil"/>
              <w:left w:val="single" w:sz="4" w:space="0" w:color="auto"/>
              <w:bottom w:val="single" w:sz="4" w:space="0" w:color="auto"/>
              <w:right w:val="single" w:sz="4" w:space="0" w:color="auto"/>
            </w:tcBorders>
            <w:vAlign w:val="center"/>
            <w:hideMark/>
          </w:tcPr>
          <w:p w14:paraId="08E47BA6" w14:textId="77777777" w:rsidR="004B7622" w:rsidRPr="002F4758" w:rsidRDefault="004B7622" w:rsidP="00377989">
            <w:pPr>
              <w:jc w:val="center"/>
              <w:rPr>
                <w:rFonts w:ascii="Arial" w:eastAsia="Times New Roman" w:hAnsi="Arial" w:cs="Arial"/>
                <w:color w:val="000000"/>
                <w:sz w:val="18"/>
                <w:szCs w:val="18"/>
                <w:lang w:eastAsia="sl-SI"/>
              </w:rPr>
            </w:pPr>
            <w:r w:rsidRPr="002F4758">
              <w:rPr>
                <w:rFonts w:ascii="Arial" w:eastAsia="Times New Roman" w:hAnsi="Arial" w:cs="Arial"/>
                <w:color w:val="000000"/>
                <w:sz w:val="18"/>
                <w:szCs w:val="18"/>
                <w:lang w:eastAsia="sl-SI"/>
              </w:rPr>
              <w:t>4</w:t>
            </w:r>
          </w:p>
        </w:tc>
        <w:tc>
          <w:tcPr>
            <w:tcW w:w="2342" w:type="dxa"/>
            <w:tcBorders>
              <w:top w:val="nil"/>
              <w:left w:val="nil"/>
              <w:bottom w:val="single" w:sz="4" w:space="0" w:color="auto"/>
              <w:right w:val="single" w:sz="4" w:space="0" w:color="auto"/>
            </w:tcBorders>
            <w:vAlign w:val="center"/>
            <w:hideMark/>
          </w:tcPr>
          <w:p w14:paraId="406846E7" w14:textId="77777777" w:rsidR="004B7622" w:rsidRPr="002F4758" w:rsidRDefault="004B7622" w:rsidP="00377989">
            <w:pPr>
              <w:rPr>
                <w:rFonts w:ascii="Arial" w:eastAsia="Times New Roman" w:hAnsi="Arial" w:cs="Arial"/>
                <w:color w:val="000000"/>
                <w:sz w:val="18"/>
                <w:szCs w:val="18"/>
                <w:lang w:eastAsia="sl-SI"/>
              </w:rPr>
            </w:pPr>
            <w:r w:rsidRPr="002F4758">
              <w:rPr>
                <w:rFonts w:ascii="Arial" w:eastAsia="Times New Roman" w:hAnsi="Arial" w:cs="Arial"/>
                <w:color w:val="000000"/>
                <w:sz w:val="18"/>
                <w:szCs w:val="18"/>
                <w:lang w:eastAsia="sl-SI"/>
              </w:rPr>
              <w:t xml:space="preserve">Vložitev izpodbojne tožbe </w:t>
            </w:r>
          </w:p>
        </w:tc>
        <w:tc>
          <w:tcPr>
            <w:tcW w:w="1374" w:type="dxa"/>
            <w:tcBorders>
              <w:top w:val="nil"/>
              <w:left w:val="nil"/>
              <w:bottom w:val="single" w:sz="4" w:space="0" w:color="auto"/>
              <w:right w:val="single" w:sz="4" w:space="0" w:color="auto"/>
            </w:tcBorders>
            <w:vAlign w:val="center"/>
            <w:hideMark/>
          </w:tcPr>
          <w:p w14:paraId="7B74DD36" w14:textId="77777777" w:rsidR="004B7622" w:rsidRPr="002F4758" w:rsidRDefault="004B7622" w:rsidP="00377989">
            <w:pPr>
              <w:jc w:val="center"/>
              <w:rPr>
                <w:rFonts w:ascii="Arial" w:eastAsia="Times New Roman" w:hAnsi="Arial" w:cs="Arial"/>
                <w:color w:val="000000"/>
                <w:sz w:val="18"/>
                <w:szCs w:val="18"/>
                <w:lang w:eastAsia="sl-SI"/>
              </w:rPr>
            </w:pPr>
            <w:r w:rsidRPr="002F4758">
              <w:rPr>
                <w:rFonts w:ascii="Arial" w:eastAsia="Times New Roman" w:hAnsi="Arial" w:cs="Arial"/>
                <w:color w:val="000000"/>
                <w:sz w:val="18"/>
                <w:szCs w:val="18"/>
                <w:lang w:eastAsia="sl-SI"/>
              </w:rPr>
              <w:t>255. čl. OZ v povezavi z 148/5 ZDavP-2 in 269. čl. ZFPPIPP</w:t>
            </w:r>
          </w:p>
        </w:tc>
        <w:tc>
          <w:tcPr>
            <w:tcW w:w="584" w:type="dxa"/>
            <w:tcBorders>
              <w:top w:val="nil"/>
              <w:left w:val="single" w:sz="8" w:space="0" w:color="auto"/>
              <w:bottom w:val="single" w:sz="4" w:space="0" w:color="auto"/>
              <w:right w:val="single" w:sz="4" w:space="0" w:color="auto"/>
            </w:tcBorders>
            <w:vAlign w:val="center"/>
            <w:hideMark/>
          </w:tcPr>
          <w:p w14:paraId="4D5763E4"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3</w:t>
            </w:r>
          </w:p>
        </w:tc>
        <w:tc>
          <w:tcPr>
            <w:tcW w:w="584" w:type="dxa"/>
            <w:tcBorders>
              <w:top w:val="nil"/>
              <w:left w:val="nil"/>
              <w:bottom w:val="single" w:sz="4" w:space="0" w:color="auto"/>
              <w:right w:val="single" w:sz="4" w:space="0" w:color="auto"/>
            </w:tcBorders>
            <w:shd w:val="clear" w:color="auto" w:fill="DAEEF3"/>
            <w:vAlign w:val="center"/>
            <w:hideMark/>
          </w:tcPr>
          <w:p w14:paraId="2CA004A9"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11</w:t>
            </w:r>
          </w:p>
        </w:tc>
        <w:tc>
          <w:tcPr>
            <w:tcW w:w="584" w:type="dxa"/>
            <w:tcBorders>
              <w:top w:val="nil"/>
              <w:left w:val="nil"/>
              <w:bottom w:val="single" w:sz="4" w:space="0" w:color="auto"/>
              <w:right w:val="single" w:sz="4" w:space="0" w:color="auto"/>
            </w:tcBorders>
            <w:vAlign w:val="center"/>
            <w:hideMark/>
          </w:tcPr>
          <w:p w14:paraId="11DF9147"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0</w:t>
            </w:r>
          </w:p>
        </w:tc>
        <w:tc>
          <w:tcPr>
            <w:tcW w:w="951" w:type="dxa"/>
            <w:tcBorders>
              <w:top w:val="nil"/>
              <w:left w:val="nil"/>
              <w:bottom w:val="single" w:sz="4" w:space="0" w:color="auto"/>
              <w:right w:val="single" w:sz="8" w:space="0" w:color="auto"/>
            </w:tcBorders>
            <w:vAlign w:val="center"/>
            <w:hideMark/>
          </w:tcPr>
          <w:p w14:paraId="48D50804"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141.430</w:t>
            </w:r>
          </w:p>
        </w:tc>
        <w:tc>
          <w:tcPr>
            <w:tcW w:w="603" w:type="dxa"/>
            <w:tcBorders>
              <w:top w:val="nil"/>
              <w:left w:val="nil"/>
              <w:bottom w:val="single" w:sz="4" w:space="0" w:color="auto"/>
              <w:right w:val="single" w:sz="4" w:space="0" w:color="auto"/>
            </w:tcBorders>
            <w:vAlign w:val="center"/>
            <w:hideMark/>
          </w:tcPr>
          <w:p w14:paraId="2FA15646"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5</w:t>
            </w:r>
          </w:p>
        </w:tc>
        <w:tc>
          <w:tcPr>
            <w:tcW w:w="548" w:type="dxa"/>
            <w:tcBorders>
              <w:top w:val="nil"/>
              <w:left w:val="nil"/>
              <w:bottom w:val="single" w:sz="4" w:space="0" w:color="auto"/>
              <w:right w:val="single" w:sz="4" w:space="0" w:color="auto"/>
            </w:tcBorders>
            <w:shd w:val="clear" w:color="auto" w:fill="DAEEF3"/>
            <w:vAlign w:val="center"/>
            <w:hideMark/>
          </w:tcPr>
          <w:p w14:paraId="5B778695"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6</w:t>
            </w:r>
          </w:p>
        </w:tc>
        <w:tc>
          <w:tcPr>
            <w:tcW w:w="419" w:type="dxa"/>
            <w:tcBorders>
              <w:top w:val="nil"/>
              <w:left w:val="nil"/>
              <w:bottom w:val="single" w:sz="4" w:space="0" w:color="auto"/>
              <w:right w:val="single" w:sz="4" w:space="0" w:color="auto"/>
            </w:tcBorders>
            <w:vAlign w:val="center"/>
            <w:hideMark/>
          </w:tcPr>
          <w:p w14:paraId="1372E317"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1</w:t>
            </w:r>
          </w:p>
        </w:tc>
        <w:tc>
          <w:tcPr>
            <w:tcW w:w="861" w:type="dxa"/>
            <w:tcBorders>
              <w:top w:val="nil"/>
              <w:left w:val="nil"/>
              <w:bottom w:val="single" w:sz="4" w:space="0" w:color="auto"/>
              <w:right w:val="single" w:sz="8" w:space="0" w:color="auto"/>
            </w:tcBorders>
            <w:vAlign w:val="center"/>
            <w:hideMark/>
          </w:tcPr>
          <w:p w14:paraId="397E9E7B"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28.549</w:t>
            </w:r>
          </w:p>
        </w:tc>
      </w:tr>
      <w:tr w:rsidR="004B7622" w:rsidRPr="002F4758" w14:paraId="5EA2C1F7" w14:textId="77777777" w:rsidTr="00377989">
        <w:trPr>
          <w:trHeight w:val="204"/>
        </w:trPr>
        <w:tc>
          <w:tcPr>
            <w:tcW w:w="329" w:type="dxa"/>
            <w:tcBorders>
              <w:top w:val="nil"/>
              <w:left w:val="single" w:sz="4" w:space="0" w:color="auto"/>
              <w:bottom w:val="single" w:sz="4" w:space="0" w:color="auto"/>
              <w:right w:val="single" w:sz="4" w:space="0" w:color="auto"/>
            </w:tcBorders>
            <w:vAlign w:val="center"/>
            <w:hideMark/>
          </w:tcPr>
          <w:p w14:paraId="19FF0AB6" w14:textId="77777777" w:rsidR="004B7622" w:rsidRPr="002F4758" w:rsidRDefault="004B7622" w:rsidP="00377989">
            <w:pPr>
              <w:jc w:val="center"/>
              <w:rPr>
                <w:rFonts w:ascii="Arial" w:eastAsia="Times New Roman" w:hAnsi="Arial" w:cs="Arial"/>
                <w:color w:val="000000"/>
                <w:sz w:val="18"/>
                <w:szCs w:val="18"/>
                <w:lang w:eastAsia="sl-SI"/>
              </w:rPr>
            </w:pPr>
            <w:r w:rsidRPr="002F4758">
              <w:rPr>
                <w:rFonts w:ascii="Arial" w:eastAsia="Times New Roman" w:hAnsi="Arial" w:cs="Arial"/>
                <w:color w:val="000000"/>
                <w:sz w:val="18"/>
                <w:szCs w:val="18"/>
                <w:lang w:eastAsia="sl-SI"/>
              </w:rPr>
              <w:t>5</w:t>
            </w:r>
          </w:p>
        </w:tc>
        <w:tc>
          <w:tcPr>
            <w:tcW w:w="2342" w:type="dxa"/>
            <w:tcBorders>
              <w:top w:val="nil"/>
              <w:left w:val="nil"/>
              <w:bottom w:val="single" w:sz="4" w:space="0" w:color="auto"/>
              <w:right w:val="single" w:sz="4" w:space="0" w:color="auto"/>
            </w:tcBorders>
            <w:vAlign w:val="center"/>
            <w:hideMark/>
          </w:tcPr>
          <w:p w14:paraId="684A9838" w14:textId="77777777" w:rsidR="004B7622" w:rsidRPr="002F4758" w:rsidRDefault="004B7622" w:rsidP="00377989">
            <w:pPr>
              <w:rPr>
                <w:rFonts w:ascii="Arial" w:eastAsia="Times New Roman" w:hAnsi="Arial" w:cs="Arial"/>
                <w:color w:val="000000"/>
                <w:sz w:val="18"/>
                <w:szCs w:val="18"/>
                <w:lang w:eastAsia="sl-SI"/>
              </w:rPr>
            </w:pPr>
            <w:r w:rsidRPr="002F4758">
              <w:rPr>
                <w:rFonts w:ascii="Arial" w:eastAsia="Times New Roman" w:hAnsi="Arial" w:cs="Arial"/>
                <w:color w:val="000000"/>
                <w:sz w:val="18"/>
                <w:szCs w:val="18"/>
                <w:lang w:eastAsia="sl-SI"/>
              </w:rPr>
              <w:t>Spregled pravne osebnosti</w:t>
            </w:r>
          </w:p>
        </w:tc>
        <w:tc>
          <w:tcPr>
            <w:tcW w:w="1374" w:type="dxa"/>
            <w:tcBorders>
              <w:top w:val="nil"/>
              <w:left w:val="nil"/>
              <w:bottom w:val="single" w:sz="4" w:space="0" w:color="auto"/>
              <w:right w:val="single" w:sz="4" w:space="0" w:color="auto"/>
            </w:tcBorders>
            <w:vAlign w:val="center"/>
            <w:hideMark/>
          </w:tcPr>
          <w:p w14:paraId="10BE8DB7" w14:textId="77777777" w:rsidR="004B7622" w:rsidRPr="002F4758" w:rsidRDefault="004B7622" w:rsidP="00377989">
            <w:pPr>
              <w:jc w:val="center"/>
              <w:rPr>
                <w:rFonts w:ascii="Arial" w:eastAsia="Times New Roman" w:hAnsi="Arial" w:cs="Arial"/>
                <w:color w:val="000000"/>
                <w:sz w:val="18"/>
                <w:szCs w:val="18"/>
                <w:lang w:eastAsia="sl-SI"/>
              </w:rPr>
            </w:pPr>
            <w:r w:rsidRPr="002F4758">
              <w:rPr>
                <w:rFonts w:ascii="Arial" w:eastAsia="Times New Roman" w:hAnsi="Arial" w:cs="Arial"/>
                <w:color w:val="000000"/>
                <w:sz w:val="18"/>
                <w:szCs w:val="18"/>
                <w:lang w:eastAsia="sl-SI"/>
              </w:rPr>
              <w:t>8. čl. ZGD-1</w:t>
            </w:r>
          </w:p>
        </w:tc>
        <w:tc>
          <w:tcPr>
            <w:tcW w:w="584" w:type="dxa"/>
            <w:tcBorders>
              <w:top w:val="nil"/>
              <w:left w:val="single" w:sz="8" w:space="0" w:color="auto"/>
              <w:bottom w:val="single" w:sz="4" w:space="0" w:color="auto"/>
              <w:right w:val="single" w:sz="4" w:space="0" w:color="auto"/>
            </w:tcBorders>
            <w:vAlign w:val="center"/>
            <w:hideMark/>
          </w:tcPr>
          <w:p w14:paraId="794F5222"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1</w:t>
            </w:r>
          </w:p>
        </w:tc>
        <w:tc>
          <w:tcPr>
            <w:tcW w:w="584" w:type="dxa"/>
            <w:tcBorders>
              <w:top w:val="nil"/>
              <w:left w:val="nil"/>
              <w:bottom w:val="single" w:sz="4" w:space="0" w:color="auto"/>
              <w:right w:val="single" w:sz="4" w:space="0" w:color="auto"/>
            </w:tcBorders>
            <w:shd w:val="clear" w:color="auto" w:fill="DAEEF3"/>
            <w:vAlign w:val="center"/>
            <w:hideMark/>
          </w:tcPr>
          <w:p w14:paraId="730EEC71"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1</w:t>
            </w:r>
          </w:p>
        </w:tc>
        <w:tc>
          <w:tcPr>
            <w:tcW w:w="584" w:type="dxa"/>
            <w:tcBorders>
              <w:top w:val="nil"/>
              <w:left w:val="nil"/>
              <w:bottom w:val="single" w:sz="4" w:space="0" w:color="auto"/>
              <w:right w:val="single" w:sz="4" w:space="0" w:color="auto"/>
            </w:tcBorders>
            <w:vAlign w:val="center"/>
            <w:hideMark/>
          </w:tcPr>
          <w:p w14:paraId="1E91A244"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0</w:t>
            </w:r>
          </w:p>
        </w:tc>
        <w:tc>
          <w:tcPr>
            <w:tcW w:w="951" w:type="dxa"/>
            <w:tcBorders>
              <w:top w:val="nil"/>
              <w:left w:val="nil"/>
              <w:bottom w:val="single" w:sz="4" w:space="0" w:color="auto"/>
              <w:right w:val="single" w:sz="8" w:space="0" w:color="auto"/>
            </w:tcBorders>
            <w:vAlign w:val="center"/>
            <w:hideMark/>
          </w:tcPr>
          <w:p w14:paraId="540ABDE1"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0</w:t>
            </w:r>
          </w:p>
        </w:tc>
        <w:tc>
          <w:tcPr>
            <w:tcW w:w="603" w:type="dxa"/>
            <w:tcBorders>
              <w:top w:val="nil"/>
              <w:left w:val="nil"/>
              <w:bottom w:val="single" w:sz="4" w:space="0" w:color="auto"/>
              <w:right w:val="single" w:sz="4" w:space="0" w:color="auto"/>
            </w:tcBorders>
            <w:vAlign w:val="center"/>
            <w:hideMark/>
          </w:tcPr>
          <w:p w14:paraId="3B233CE7"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1</w:t>
            </w:r>
          </w:p>
        </w:tc>
        <w:tc>
          <w:tcPr>
            <w:tcW w:w="548" w:type="dxa"/>
            <w:tcBorders>
              <w:top w:val="nil"/>
              <w:left w:val="nil"/>
              <w:bottom w:val="single" w:sz="4" w:space="0" w:color="auto"/>
              <w:right w:val="single" w:sz="4" w:space="0" w:color="auto"/>
            </w:tcBorders>
            <w:shd w:val="clear" w:color="auto" w:fill="DAEEF3"/>
            <w:vAlign w:val="center"/>
            <w:hideMark/>
          </w:tcPr>
          <w:p w14:paraId="51E42D6D"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0</w:t>
            </w:r>
          </w:p>
        </w:tc>
        <w:tc>
          <w:tcPr>
            <w:tcW w:w="419" w:type="dxa"/>
            <w:tcBorders>
              <w:top w:val="nil"/>
              <w:left w:val="nil"/>
              <w:bottom w:val="single" w:sz="4" w:space="0" w:color="auto"/>
              <w:right w:val="single" w:sz="4" w:space="0" w:color="auto"/>
            </w:tcBorders>
            <w:vAlign w:val="center"/>
            <w:hideMark/>
          </w:tcPr>
          <w:p w14:paraId="39AFA1B0"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0</w:t>
            </w:r>
          </w:p>
        </w:tc>
        <w:tc>
          <w:tcPr>
            <w:tcW w:w="861" w:type="dxa"/>
            <w:tcBorders>
              <w:top w:val="nil"/>
              <w:left w:val="nil"/>
              <w:bottom w:val="single" w:sz="4" w:space="0" w:color="auto"/>
              <w:right w:val="single" w:sz="8" w:space="0" w:color="auto"/>
            </w:tcBorders>
            <w:vAlign w:val="center"/>
            <w:hideMark/>
          </w:tcPr>
          <w:p w14:paraId="21DAB6C7"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33</w:t>
            </w:r>
          </w:p>
        </w:tc>
      </w:tr>
      <w:tr w:rsidR="004B7622" w:rsidRPr="002F4758" w14:paraId="7794588C" w14:textId="77777777" w:rsidTr="00377989">
        <w:trPr>
          <w:trHeight w:val="604"/>
        </w:trPr>
        <w:tc>
          <w:tcPr>
            <w:tcW w:w="329" w:type="dxa"/>
            <w:tcBorders>
              <w:top w:val="nil"/>
              <w:left w:val="single" w:sz="4" w:space="0" w:color="auto"/>
              <w:bottom w:val="single" w:sz="4" w:space="0" w:color="auto"/>
              <w:right w:val="single" w:sz="4" w:space="0" w:color="auto"/>
            </w:tcBorders>
            <w:vAlign w:val="center"/>
            <w:hideMark/>
          </w:tcPr>
          <w:p w14:paraId="24F7FA1F" w14:textId="77777777" w:rsidR="004B7622" w:rsidRPr="002F4758" w:rsidRDefault="004B7622" w:rsidP="00377989">
            <w:pPr>
              <w:jc w:val="center"/>
              <w:rPr>
                <w:rFonts w:ascii="Arial" w:eastAsia="Times New Roman" w:hAnsi="Arial" w:cs="Arial"/>
                <w:color w:val="000000"/>
                <w:sz w:val="18"/>
                <w:szCs w:val="18"/>
                <w:lang w:eastAsia="sl-SI"/>
              </w:rPr>
            </w:pPr>
            <w:r w:rsidRPr="002F4758">
              <w:rPr>
                <w:rFonts w:ascii="Arial" w:eastAsia="Times New Roman" w:hAnsi="Arial" w:cs="Arial"/>
                <w:color w:val="000000"/>
                <w:sz w:val="18"/>
                <w:szCs w:val="18"/>
                <w:lang w:eastAsia="sl-SI"/>
              </w:rPr>
              <w:t>6</w:t>
            </w:r>
          </w:p>
        </w:tc>
        <w:tc>
          <w:tcPr>
            <w:tcW w:w="2342" w:type="dxa"/>
            <w:tcBorders>
              <w:top w:val="nil"/>
              <w:left w:val="nil"/>
              <w:bottom w:val="single" w:sz="4" w:space="0" w:color="auto"/>
              <w:right w:val="single" w:sz="4" w:space="0" w:color="auto"/>
            </w:tcBorders>
            <w:vAlign w:val="center"/>
            <w:hideMark/>
          </w:tcPr>
          <w:p w14:paraId="5843457C" w14:textId="77777777" w:rsidR="004B7622" w:rsidRPr="002F4758" w:rsidRDefault="004B7622" w:rsidP="00377989">
            <w:pPr>
              <w:rPr>
                <w:rFonts w:ascii="Arial" w:eastAsia="Times New Roman" w:hAnsi="Arial" w:cs="Arial"/>
                <w:color w:val="000000"/>
                <w:sz w:val="18"/>
                <w:szCs w:val="18"/>
                <w:lang w:eastAsia="sl-SI"/>
              </w:rPr>
            </w:pPr>
            <w:r w:rsidRPr="002F4758">
              <w:rPr>
                <w:rFonts w:ascii="Arial" w:eastAsia="Times New Roman" w:hAnsi="Arial" w:cs="Arial"/>
                <w:color w:val="000000"/>
                <w:sz w:val="18"/>
                <w:szCs w:val="18"/>
                <w:lang w:eastAsia="sl-SI"/>
              </w:rPr>
              <w:t xml:space="preserve">Ugotovitev in določitev deleža na skupnem premoženju zakoncev oz. solidarna odgovornost zakonca </w:t>
            </w:r>
          </w:p>
        </w:tc>
        <w:tc>
          <w:tcPr>
            <w:tcW w:w="1374" w:type="dxa"/>
            <w:tcBorders>
              <w:top w:val="nil"/>
              <w:left w:val="nil"/>
              <w:bottom w:val="single" w:sz="4" w:space="0" w:color="auto"/>
              <w:right w:val="single" w:sz="4" w:space="0" w:color="auto"/>
            </w:tcBorders>
            <w:vAlign w:val="center"/>
            <w:hideMark/>
          </w:tcPr>
          <w:p w14:paraId="27CD982A" w14:textId="77777777" w:rsidR="004B7622" w:rsidRPr="002F4758" w:rsidRDefault="004B7622" w:rsidP="00377989">
            <w:pPr>
              <w:jc w:val="center"/>
              <w:rPr>
                <w:rFonts w:ascii="Arial" w:eastAsia="Times New Roman" w:hAnsi="Arial" w:cs="Arial"/>
                <w:color w:val="000000"/>
                <w:sz w:val="18"/>
                <w:szCs w:val="18"/>
                <w:lang w:eastAsia="sl-SI"/>
              </w:rPr>
            </w:pPr>
            <w:r w:rsidRPr="002F4758">
              <w:rPr>
                <w:rFonts w:ascii="Arial" w:eastAsia="Times New Roman" w:hAnsi="Arial" w:cs="Arial"/>
                <w:color w:val="000000"/>
                <w:sz w:val="18"/>
                <w:szCs w:val="18"/>
                <w:lang w:eastAsia="sl-SI"/>
              </w:rPr>
              <w:t>56. in 57. čl. ZZZDR oz. 82., 83. in 84. člen DZ</w:t>
            </w:r>
          </w:p>
        </w:tc>
        <w:tc>
          <w:tcPr>
            <w:tcW w:w="584" w:type="dxa"/>
            <w:tcBorders>
              <w:top w:val="nil"/>
              <w:left w:val="single" w:sz="8" w:space="0" w:color="auto"/>
              <w:bottom w:val="single" w:sz="4" w:space="0" w:color="auto"/>
              <w:right w:val="single" w:sz="4" w:space="0" w:color="auto"/>
            </w:tcBorders>
            <w:vAlign w:val="center"/>
            <w:hideMark/>
          </w:tcPr>
          <w:p w14:paraId="15534F3D"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1</w:t>
            </w:r>
          </w:p>
        </w:tc>
        <w:tc>
          <w:tcPr>
            <w:tcW w:w="584" w:type="dxa"/>
            <w:tcBorders>
              <w:top w:val="nil"/>
              <w:left w:val="nil"/>
              <w:bottom w:val="single" w:sz="4" w:space="0" w:color="auto"/>
              <w:right w:val="single" w:sz="4" w:space="0" w:color="auto"/>
            </w:tcBorders>
            <w:shd w:val="clear" w:color="auto" w:fill="DAEEF3"/>
            <w:vAlign w:val="center"/>
            <w:hideMark/>
          </w:tcPr>
          <w:p w14:paraId="381391AE"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3</w:t>
            </w:r>
          </w:p>
        </w:tc>
        <w:tc>
          <w:tcPr>
            <w:tcW w:w="584" w:type="dxa"/>
            <w:tcBorders>
              <w:top w:val="nil"/>
              <w:left w:val="nil"/>
              <w:bottom w:val="single" w:sz="4" w:space="0" w:color="auto"/>
              <w:right w:val="single" w:sz="4" w:space="0" w:color="auto"/>
            </w:tcBorders>
            <w:vAlign w:val="center"/>
            <w:hideMark/>
          </w:tcPr>
          <w:p w14:paraId="61C894BA"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2</w:t>
            </w:r>
          </w:p>
        </w:tc>
        <w:tc>
          <w:tcPr>
            <w:tcW w:w="951" w:type="dxa"/>
            <w:tcBorders>
              <w:top w:val="nil"/>
              <w:left w:val="nil"/>
              <w:bottom w:val="single" w:sz="4" w:space="0" w:color="auto"/>
              <w:right w:val="single" w:sz="8" w:space="0" w:color="auto"/>
            </w:tcBorders>
            <w:vAlign w:val="center"/>
            <w:hideMark/>
          </w:tcPr>
          <w:p w14:paraId="66FE9F93"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91.717</w:t>
            </w:r>
          </w:p>
        </w:tc>
        <w:tc>
          <w:tcPr>
            <w:tcW w:w="603" w:type="dxa"/>
            <w:tcBorders>
              <w:top w:val="nil"/>
              <w:left w:val="nil"/>
              <w:bottom w:val="single" w:sz="4" w:space="0" w:color="auto"/>
              <w:right w:val="single" w:sz="4" w:space="0" w:color="auto"/>
            </w:tcBorders>
            <w:vAlign w:val="center"/>
            <w:hideMark/>
          </w:tcPr>
          <w:p w14:paraId="513CBBD8"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2</w:t>
            </w:r>
          </w:p>
        </w:tc>
        <w:tc>
          <w:tcPr>
            <w:tcW w:w="548" w:type="dxa"/>
            <w:tcBorders>
              <w:top w:val="nil"/>
              <w:left w:val="nil"/>
              <w:bottom w:val="single" w:sz="4" w:space="0" w:color="auto"/>
              <w:right w:val="single" w:sz="4" w:space="0" w:color="auto"/>
            </w:tcBorders>
            <w:shd w:val="clear" w:color="auto" w:fill="DAEEF3"/>
            <w:vAlign w:val="center"/>
            <w:hideMark/>
          </w:tcPr>
          <w:p w14:paraId="21FF2776"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1</w:t>
            </w:r>
          </w:p>
        </w:tc>
        <w:tc>
          <w:tcPr>
            <w:tcW w:w="419" w:type="dxa"/>
            <w:tcBorders>
              <w:top w:val="nil"/>
              <w:left w:val="nil"/>
              <w:bottom w:val="single" w:sz="4" w:space="0" w:color="auto"/>
              <w:right w:val="single" w:sz="4" w:space="0" w:color="auto"/>
            </w:tcBorders>
            <w:vAlign w:val="center"/>
            <w:hideMark/>
          </w:tcPr>
          <w:p w14:paraId="5499931D"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0</w:t>
            </w:r>
          </w:p>
        </w:tc>
        <w:tc>
          <w:tcPr>
            <w:tcW w:w="861" w:type="dxa"/>
            <w:tcBorders>
              <w:top w:val="nil"/>
              <w:left w:val="nil"/>
              <w:bottom w:val="single" w:sz="4" w:space="0" w:color="auto"/>
              <w:right w:val="single" w:sz="8" w:space="0" w:color="auto"/>
            </w:tcBorders>
            <w:vAlign w:val="center"/>
            <w:hideMark/>
          </w:tcPr>
          <w:p w14:paraId="22AD90AF" w14:textId="77777777" w:rsidR="004B7622" w:rsidRPr="002F4758" w:rsidRDefault="004B7622" w:rsidP="00377989">
            <w:pPr>
              <w:jc w:val="right"/>
              <w:rPr>
                <w:rFonts w:ascii="Arial" w:eastAsia="Times New Roman" w:hAnsi="Arial" w:cs="Arial"/>
                <w:sz w:val="18"/>
                <w:szCs w:val="18"/>
                <w:lang w:eastAsia="sl-SI"/>
              </w:rPr>
            </w:pPr>
            <w:r w:rsidRPr="002F4758">
              <w:rPr>
                <w:rFonts w:ascii="Arial" w:eastAsia="Times New Roman" w:hAnsi="Arial" w:cs="Arial"/>
                <w:sz w:val="18"/>
                <w:szCs w:val="18"/>
                <w:lang w:eastAsia="sl-SI"/>
              </w:rPr>
              <w:t>51.237</w:t>
            </w:r>
          </w:p>
        </w:tc>
      </w:tr>
      <w:tr w:rsidR="004B7622" w:rsidRPr="002F4758" w14:paraId="74152B38" w14:textId="77777777" w:rsidTr="00377989">
        <w:trPr>
          <w:trHeight w:val="236"/>
        </w:trPr>
        <w:tc>
          <w:tcPr>
            <w:tcW w:w="4046" w:type="dxa"/>
            <w:gridSpan w:val="3"/>
            <w:tcBorders>
              <w:top w:val="single" w:sz="4" w:space="0" w:color="auto"/>
              <w:left w:val="single" w:sz="4" w:space="0" w:color="auto"/>
              <w:bottom w:val="single" w:sz="4" w:space="0" w:color="auto"/>
              <w:right w:val="single" w:sz="4" w:space="0" w:color="auto"/>
            </w:tcBorders>
            <w:shd w:val="clear" w:color="auto" w:fill="31869B"/>
            <w:noWrap/>
            <w:vAlign w:val="center"/>
            <w:hideMark/>
          </w:tcPr>
          <w:p w14:paraId="1115DDEF" w14:textId="77777777" w:rsidR="004B7622" w:rsidRPr="002F4758" w:rsidRDefault="004B7622" w:rsidP="00377989">
            <w:pPr>
              <w:rPr>
                <w:rFonts w:ascii="Arial" w:eastAsia="Times New Roman" w:hAnsi="Arial" w:cs="Arial"/>
                <w:b/>
                <w:bCs/>
                <w:color w:val="FFFFFF"/>
                <w:sz w:val="18"/>
                <w:szCs w:val="18"/>
                <w:lang w:eastAsia="sl-SI"/>
              </w:rPr>
            </w:pPr>
            <w:r w:rsidRPr="002F4758">
              <w:rPr>
                <w:rFonts w:ascii="Arial" w:eastAsia="Times New Roman" w:hAnsi="Arial" w:cs="Arial"/>
                <w:b/>
                <w:bCs/>
                <w:color w:val="FFFFFF"/>
                <w:sz w:val="18"/>
                <w:szCs w:val="18"/>
                <w:lang w:eastAsia="sl-SI"/>
              </w:rPr>
              <w:t>Skupaj</w:t>
            </w:r>
          </w:p>
        </w:tc>
        <w:tc>
          <w:tcPr>
            <w:tcW w:w="584" w:type="dxa"/>
            <w:tcBorders>
              <w:top w:val="nil"/>
              <w:left w:val="single" w:sz="8" w:space="0" w:color="auto"/>
              <w:bottom w:val="single" w:sz="8" w:space="0" w:color="auto"/>
              <w:right w:val="single" w:sz="4" w:space="0" w:color="auto"/>
            </w:tcBorders>
            <w:shd w:val="clear" w:color="auto" w:fill="31869B"/>
            <w:noWrap/>
            <w:vAlign w:val="center"/>
            <w:hideMark/>
          </w:tcPr>
          <w:p w14:paraId="0EEFE308" w14:textId="77777777" w:rsidR="004B7622" w:rsidRPr="002F4758" w:rsidRDefault="004B7622" w:rsidP="00377989">
            <w:pPr>
              <w:jc w:val="center"/>
              <w:rPr>
                <w:rFonts w:ascii="Arial" w:eastAsia="Times New Roman" w:hAnsi="Arial" w:cs="Arial"/>
                <w:b/>
                <w:bCs/>
                <w:color w:val="FFFFFF"/>
                <w:sz w:val="18"/>
                <w:szCs w:val="18"/>
                <w:lang w:eastAsia="sl-SI"/>
              </w:rPr>
            </w:pPr>
            <w:r w:rsidRPr="002F4758">
              <w:rPr>
                <w:rFonts w:ascii="Arial" w:eastAsia="Times New Roman" w:hAnsi="Arial" w:cs="Arial"/>
                <w:b/>
                <w:bCs/>
                <w:color w:val="FFFFFF"/>
                <w:sz w:val="18"/>
                <w:szCs w:val="18"/>
                <w:lang w:eastAsia="sl-SI"/>
              </w:rPr>
              <w:t>9</w:t>
            </w:r>
          </w:p>
        </w:tc>
        <w:tc>
          <w:tcPr>
            <w:tcW w:w="584" w:type="dxa"/>
            <w:tcBorders>
              <w:top w:val="nil"/>
              <w:left w:val="single" w:sz="8" w:space="0" w:color="auto"/>
              <w:bottom w:val="single" w:sz="8" w:space="0" w:color="auto"/>
              <w:right w:val="single" w:sz="4" w:space="0" w:color="auto"/>
            </w:tcBorders>
            <w:shd w:val="clear" w:color="auto" w:fill="31869B"/>
            <w:noWrap/>
            <w:vAlign w:val="center"/>
            <w:hideMark/>
          </w:tcPr>
          <w:p w14:paraId="23E56F24" w14:textId="77777777" w:rsidR="004B7622" w:rsidRPr="002F4758" w:rsidRDefault="004B7622" w:rsidP="00377989">
            <w:pPr>
              <w:jc w:val="center"/>
              <w:rPr>
                <w:rFonts w:ascii="Arial" w:eastAsia="Times New Roman" w:hAnsi="Arial" w:cs="Arial"/>
                <w:b/>
                <w:bCs/>
                <w:color w:val="FFFFFF"/>
                <w:sz w:val="18"/>
                <w:szCs w:val="18"/>
                <w:lang w:eastAsia="sl-SI"/>
              </w:rPr>
            </w:pPr>
            <w:r w:rsidRPr="002F4758">
              <w:rPr>
                <w:rFonts w:ascii="Arial" w:eastAsia="Times New Roman" w:hAnsi="Arial" w:cs="Arial"/>
                <w:b/>
                <w:bCs/>
                <w:color w:val="FFFFFF"/>
                <w:sz w:val="18"/>
                <w:szCs w:val="18"/>
                <w:lang w:eastAsia="sl-SI"/>
              </w:rPr>
              <w:t>22</w:t>
            </w:r>
          </w:p>
        </w:tc>
        <w:tc>
          <w:tcPr>
            <w:tcW w:w="584" w:type="dxa"/>
            <w:tcBorders>
              <w:top w:val="nil"/>
              <w:left w:val="single" w:sz="8" w:space="0" w:color="auto"/>
              <w:bottom w:val="single" w:sz="8" w:space="0" w:color="auto"/>
              <w:right w:val="single" w:sz="4" w:space="0" w:color="auto"/>
            </w:tcBorders>
            <w:shd w:val="clear" w:color="auto" w:fill="31869B"/>
            <w:noWrap/>
            <w:vAlign w:val="center"/>
            <w:hideMark/>
          </w:tcPr>
          <w:p w14:paraId="33E58BA0" w14:textId="77777777" w:rsidR="004B7622" w:rsidRPr="002F4758" w:rsidRDefault="004B7622" w:rsidP="00377989">
            <w:pPr>
              <w:jc w:val="center"/>
              <w:rPr>
                <w:rFonts w:ascii="Arial" w:eastAsia="Times New Roman" w:hAnsi="Arial" w:cs="Arial"/>
                <w:b/>
                <w:bCs/>
                <w:color w:val="FFFFFF"/>
                <w:sz w:val="18"/>
                <w:szCs w:val="18"/>
                <w:lang w:eastAsia="sl-SI"/>
              </w:rPr>
            </w:pPr>
            <w:r w:rsidRPr="002F4758">
              <w:rPr>
                <w:rFonts w:ascii="Arial" w:eastAsia="Times New Roman" w:hAnsi="Arial" w:cs="Arial"/>
                <w:b/>
                <w:bCs/>
                <w:color w:val="FFFFFF"/>
                <w:sz w:val="18"/>
                <w:szCs w:val="18"/>
                <w:lang w:eastAsia="sl-SI"/>
              </w:rPr>
              <w:t>7</w:t>
            </w:r>
          </w:p>
        </w:tc>
        <w:tc>
          <w:tcPr>
            <w:tcW w:w="951" w:type="dxa"/>
            <w:tcBorders>
              <w:top w:val="nil"/>
              <w:left w:val="single" w:sz="8" w:space="0" w:color="auto"/>
              <w:bottom w:val="single" w:sz="8" w:space="0" w:color="auto"/>
              <w:right w:val="single" w:sz="4" w:space="0" w:color="auto"/>
            </w:tcBorders>
            <w:shd w:val="clear" w:color="auto" w:fill="31869B"/>
            <w:noWrap/>
            <w:vAlign w:val="center"/>
            <w:hideMark/>
          </w:tcPr>
          <w:p w14:paraId="082A40E9" w14:textId="77777777" w:rsidR="004B7622" w:rsidRPr="002F4758" w:rsidRDefault="004B7622" w:rsidP="00377989">
            <w:pPr>
              <w:jc w:val="center"/>
              <w:rPr>
                <w:rFonts w:ascii="Arial" w:eastAsia="Times New Roman" w:hAnsi="Arial" w:cs="Arial"/>
                <w:b/>
                <w:bCs/>
                <w:color w:val="FFFFFF"/>
                <w:sz w:val="18"/>
                <w:szCs w:val="18"/>
                <w:lang w:eastAsia="sl-SI"/>
              </w:rPr>
            </w:pPr>
            <w:r w:rsidRPr="002F4758">
              <w:rPr>
                <w:rFonts w:ascii="Arial" w:eastAsia="Times New Roman" w:hAnsi="Arial" w:cs="Arial"/>
                <w:b/>
                <w:bCs/>
                <w:color w:val="FFFFFF"/>
                <w:sz w:val="18"/>
                <w:szCs w:val="18"/>
                <w:lang w:eastAsia="sl-SI"/>
              </w:rPr>
              <w:t>367.671</w:t>
            </w:r>
          </w:p>
        </w:tc>
        <w:tc>
          <w:tcPr>
            <w:tcW w:w="603" w:type="dxa"/>
            <w:tcBorders>
              <w:top w:val="nil"/>
              <w:left w:val="single" w:sz="8" w:space="0" w:color="auto"/>
              <w:bottom w:val="single" w:sz="8" w:space="0" w:color="auto"/>
              <w:right w:val="single" w:sz="4" w:space="0" w:color="auto"/>
            </w:tcBorders>
            <w:shd w:val="clear" w:color="auto" w:fill="31869B"/>
            <w:noWrap/>
            <w:vAlign w:val="center"/>
            <w:hideMark/>
          </w:tcPr>
          <w:p w14:paraId="5808DE92" w14:textId="77777777" w:rsidR="004B7622" w:rsidRPr="002F4758" w:rsidRDefault="004B7622" w:rsidP="00377989">
            <w:pPr>
              <w:jc w:val="center"/>
              <w:rPr>
                <w:rFonts w:ascii="Arial" w:eastAsia="Times New Roman" w:hAnsi="Arial" w:cs="Arial"/>
                <w:b/>
                <w:bCs/>
                <w:color w:val="FFFFFF"/>
                <w:sz w:val="18"/>
                <w:szCs w:val="18"/>
                <w:lang w:eastAsia="sl-SI"/>
              </w:rPr>
            </w:pPr>
            <w:r w:rsidRPr="002F4758">
              <w:rPr>
                <w:rFonts w:ascii="Arial" w:eastAsia="Times New Roman" w:hAnsi="Arial" w:cs="Arial"/>
                <w:b/>
                <w:bCs/>
                <w:color w:val="FFFFFF"/>
                <w:sz w:val="18"/>
                <w:szCs w:val="18"/>
                <w:lang w:eastAsia="sl-SI"/>
              </w:rPr>
              <w:t>29</w:t>
            </w:r>
          </w:p>
        </w:tc>
        <w:tc>
          <w:tcPr>
            <w:tcW w:w="548" w:type="dxa"/>
            <w:tcBorders>
              <w:top w:val="nil"/>
              <w:left w:val="single" w:sz="8" w:space="0" w:color="auto"/>
              <w:bottom w:val="single" w:sz="8" w:space="0" w:color="auto"/>
              <w:right w:val="single" w:sz="4" w:space="0" w:color="auto"/>
            </w:tcBorders>
            <w:shd w:val="clear" w:color="auto" w:fill="31869B"/>
            <w:noWrap/>
            <w:vAlign w:val="center"/>
            <w:hideMark/>
          </w:tcPr>
          <w:p w14:paraId="674F5C28" w14:textId="77777777" w:rsidR="004B7622" w:rsidRPr="002F4758" w:rsidRDefault="004B7622" w:rsidP="00377989">
            <w:pPr>
              <w:jc w:val="center"/>
              <w:rPr>
                <w:rFonts w:ascii="Arial" w:eastAsia="Times New Roman" w:hAnsi="Arial" w:cs="Arial"/>
                <w:b/>
                <w:bCs/>
                <w:color w:val="FFFFFF"/>
                <w:sz w:val="18"/>
                <w:szCs w:val="18"/>
                <w:lang w:eastAsia="sl-SI"/>
              </w:rPr>
            </w:pPr>
            <w:r w:rsidRPr="002F4758">
              <w:rPr>
                <w:rFonts w:ascii="Arial" w:eastAsia="Times New Roman" w:hAnsi="Arial" w:cs="Arial"/>
                <w:b/>
                <w:bCs/>
                <w:color w:val="FFFFFF"/>
                <w:sz w:val="18"/>
                <w:szCs w:val="18"/>
                <w:lang w:eastAsia="sl-SI"/>
              </w:rPr>
              <w:t>14</w:t>
            </w:r>
          </w:p>
        </w:tc>
        <w:tc>
          <w:tcPr>
            <w:tcW w:w="419" w:type="dxa"/>
            <w:tcBorders>
              <w:top w:val="nil"/>
              <w:left w:val="single" w:sz="8" w:space="0" w:color="auto"/>
              <w:bottom w:val="single" w:sz="8" w:space="0" w:color="auto"/>
              <w:right w:val="single" w:sz="4" w:space="0" w:color="auto"/>
            </w:tcBorders>
            <w:shd w:val="clear" w:color="auto" w:fill="31869B"/>
            <w:noWrap/>
            <w:vAlign w:val="center"/>
            <w:hideMark/>
          </w:tcPr>
          <w:p w14:paraId="6A8F518E" w14:textId="77777777" w:rsidR="004B7622" w:rsidRPr="002F4758" w:rsidRDefault="004B7622" w:rsidP="00377989">
            <w:pPr>
              <w:jc w:val="center"/>
              <w:rPr>
                <w:rFonts w:ascii="Arial" w:eastAsia="Times New Roman" w:hAnsi="Arial" w:cs="Arial"/>
                <w:b/>
                <w:bCs/>
                <w:color w:val="FFFFFF"/>
                <w:sz w:val="18"/>
                <w:szCs w:val="18"/>
                <w:lang w:eastAsia="sl-SI"/>
              </w:rPr>
            </w:pPr>
            <w:r w:rsidRPr="002F4758">
              <w:rPr>
                <w:rFonts w:ascii="Arial" w:eastAsia="Times New Roman" w:hAnsi="Arial" w:cs="Arial"/>
                <w:b/>
                <w:bCs/>
                <w:color w:val="FFFFFF"/>
                <w:sz w:val="18"/>
                <w:szCs w:val="18"/>
                <w:lang w:eastAsia="sl-SI"/>
              </w:rPr>
              <w:t>1</w:t>
            </w:r>
          </w:p>
        </w:tc>
        <w:tc>
          <w:tcPr>
            <w:tcW w:w="861" w:type="dxa"/>
            <w:tcBorders>
              <w:top w:val="nil"/>
              <w:left w:val="single" w:sz="8" w:space="0" w:color="auto"/>
              <w:bottom w:val="single" w:sz="8" w:space="0" w:color="auto"/>
              <w:right w:val="single" w:sz="8" w:space="0" w:color="auto"/>
            </w:tcBorders>
            <w:shd w:val="clear" w:color="auto" w:fill="31869B"/>
            <w:noWrap/>
            <w:vAlign w:val="center"/>
            <w:hideMark/>
          </w:tcPr>
          <w:p w14:paraId="1738AB6D" w14:textId="77777777" w:rsidR="004B7622" w:rsidRPr="002F4758" w:rsidRDefault="004B7622" w:rsidP="00377989">
            <w:pPr>
              <w:jc w:val="center"/>
              <w:rPr>
                <w:rFonts w:ascii="Arial" w:eastAsia="Times New Roman" w:hAnsi="Arial" w:cs="Arial"/>
                <w:b/>
                <w:bCs/>
                <w:color w:val="FFFFFF"/>
                <w:sz w:val="18"/>
                <w:szCs w:val="18"/>
                <w:lang w:eastAsia="sl-SI"/>
              </w:rPr>
            </w:pPr>
            <w:r w:rsidRPr="002F4758">
              <w:rPr>
                <w:rFonts w:ascii="Arial" w:eastAsia="Times New Roman" w:hAnsi="Arial" w:cs="Arial"/>
                <w:b/>
                <w:bCs/>
                <w:color w:val="FFFFFF"/>
                <w:sz w:val="18"/>
                <w:szCs w:val="18"/>
                <w:lang w:eastAsia="sl-SI"/>
              </w:rPr>
              <w:t>214.440</w:t>
            </w:r>
          </w:p>
        </w:tc>
      </w:tr>
    </w:tbl>
    <w:bookmarkEnd w:id="5"/>
    <w:p w14:paraId="6B27ED24" w14:textId="77777777" w:rsidR="004B7622" w:rsidRPr="00534703" w:rsidRDefault="004B7622" w:rsidP="004B7622">
      <w:pPr>
        <w:rPr>
          <w:rFonts w:ascii="Arial" w:hAnsi="Arial" w:cs="Arial"/>
          <w:i/>
          <w:sz w:val="20"/>
          <w:szCs w:val="20"/>
        </w:rPr>
      </w:pPr>
      <w:r w:rsidRPr="00534703">
        <w:rPr>
          <w:rFonts w:ascii="Arial" w:hAnsi="Arial" w:cs="Arial"/>
          <w:i/>
          <w:sz w:val="20"/>
          <w:szCs w:val="20"/>
        </w:rPr>
        <w:t>Vir: FURS</w:t>
      </w:r>
    </w:p>
    <w:p w14:paraId="75C16A32" w14:textId="77777777" w:rsidR="004B7622" w:rsidRPr="00A97497" w:rsidRDefault="004B7622" w:rsidP="004B7622">
      <w:pPr>
        <w:spacing w:after="0"/>
        <w:jc w:val="both"/>
        <w:rPr>
          <w:rFonts w:ascii="Arial" w:hAnsi="Arial" w:cs="Arial"/>
          <w:b/>
          <w:i/>
          <w:iCs/>
          <w:sz w:val="16"/>
          <w:szCs w:val="16"/>
        </w:rPr>
      </w:pPr>
      <w:r w:rsidRPr="00A97497">
        <w:rPr>
          <w:rFonts w:ascii="Arial" w:hAnsi="Arial" w:cs="Arial"/>
          <w:b/>
          <w:i/>
          <w:iCs/>
          <w:sz w:val="16"/>
          <w:szCs w:val="16"/>
        </w:rPr>
        <w:t>Legenda k preglednici:</w:t>
      </w:r>
    </w:p>
    <w:p w14:paraId="18140491" w14:textId="77777777" w:rsidR="004B7622" w:rsidRPr="00A97497" w:rsidRDefault="004B7622" w:rsidP="004B7622">
      <w:pPr>
        <w:spacing w:after="0" w:line="260" w:lineRule="exact"/>
        <w:jc w:val="both"/>
        <w:rPr>
          <w:rFonts w:ascii="Arial" w:hAnsi="Arial" w:cs="Arial"/>
          <w:i/>
          <w:iCs/>
          <w:sz w:val="16"/>
          <w:szCs w:val="16"/>
        </w:rPr>
      </w:pPr>
      <w:r w:rsidRPr="00A97497">
        <w:rPr>
          <w:rFonts w:ascii="Arial" w:hAnsi="Arial" w:cs="Arial"/>
          <w:i/>
          <w:iCs/>
          <w:sz w:val="16"/>
          <w:szCs w:val="16"/>
        </w:rPr>
        <w:t>podatki so prikazani glede na dogodek v posameznem obdobju – uspeh ali neuspeh posameznega ukrepa se običajno pokaže šele v prihodnjem obdobju;</w:t>
      </w:r>
    </w:p>
    <w:p w14:paraId="52FFE0A7" w14:textId="77777777" w:rsidR="004B7622" w:rsidRPr="00A97497" w:rsidRDefault="004B7622" w:rsidP="004B7622">
      <w:pPr>
        <w:spacing w:after="0"/>
        <w:jc w:val="both"/>
        <w:rPr>
          <w:rFonts w:ascii="Arial" w:hAnsi="Arial" w:cs="Arial"/>
          <w:i/>
          <w:iCs/>
          <w:sz w:val="16"/>
          <w:szCs w:val="16"/>
        </w:rPr>
      </w:pPr>
      <w:r w:rsidRPr="00A97497">
        <w:rPr>
          <w:rFonts w:ascii="Arial" w:hAnsi="Arial" w:cs="Arial"/>
          <w:b/>
          <w:i/>
          <w:iCs/>
          <w:sz w:val="16"/>
          <w:szCs w:val="16"/>
        </w:rPr>
        <w:t>(1)</w:t>
      </w:r>
      <w:r w:rsidRPr="00A97497">
        <w:rPr>
          <w:rFonts w:ascii="Arial" w:hAnsi="Arial" w:cs="Arial"/>
          <w:i/>
          <w:iCs/>
          <w:sz w:val="16"/>
          <w:szCs w:val="16"/>
        </w:rPr>
        <w:t xml:space="preserve"> število izvedenih ukrepov v poročevalskem obdobju (npr. število izdanih sklepov o izvršbi na podlagi poroštva, število vloženih predlogov za vložitev tožbe na državno pravobranilstvo),</w:t>
      </w:r>
    </w:p>
    <w:p w14:paraId="3D5A466D" w14:textId="77777777" w:rsidR="004B7622" w:rsidRPr="00A97497" w:rsidRDefault="004B7622" w:rsidP="004B7622">
      <w:pPr>
        <w:spacing w:after="0"/>
        <w:jc w:val="both"/>
        <w:rPr>
          <w:rFonts w:ascii="Arial" w:hAnsi="Arial" w:cs="Arial"/>
          <w:i/>
          <w:iCs/>
          <w:sz w:val="16"/>
          <w:szCs w:val="16"/>
        </w:rPr>
      </w:pPr>
      <w:r w:rsidRPr="00A97497">
        <w:rPr>
          <w:rFonts w:ascii="Arial" w:hAnsi="Arial" w:cs="Arial"/>
          <w:b/>
          <w:i/>
          <w:iCs/>
          <w:sz w:val="16"/>
          <w:szCs w:val="16"/>
        </w:rPr>
        <w:t>(2)</w:t>
      </w:r>
      <w:r w:rsidRPr="00A97497">
        <w:rPr>
          <w:rFonts w:ascii="Arial" w:hAnsi="Arial" w:cs="Arial"/>
          <w:i/>
          <w:iCs/>
          <w:sz w:val="16"/>
          <w:szCs w:val="16"/>
        </w:rPr>
        <w:t xml:space="preserve"> število uspešno rešenih zadev v poročevalskem obdobju (rešeno uspešno; </w:t>
      </w:r>
      <w:proofErr w:type="spellStart"/>
      <w:r w:rsidRPr="00A97497">
        <w:rPr>
          <w:rFonts w:ascii="Arial" w:hAnsi="Arial" w:cs="Arial"/>
          <w:i/>
          <w:iCs/>
          <w:sz w:val="16"/>
          <w:szCs w:val="16"/>
        </w:rPr>
        <w:t>t.j</w:t>
      </w:r>
      <w:proofErr w:type="spellEnd"/>
      <w:r w:rsidRPr="00A97497">
        <w:rPr>
          <w:rFonts w:ascii="Arial" w:hAnsi="Arial" w:cs="Arial"/>
          <w:i/>
          <w:iCs/>
          <w:sz w:val="16"/>
          <w:szCs w:val="16"/>
        </w:rPr>
        <w:t>. zadev, v katerih se je upravni ali pravdni postopek pravnomočno zaključil v korist FURS),</w:t>
      </w:r>
    </w:p>
    <w:p w14:paraId="4B4CA2AE" w14:textId="77777777" w:rsidR="004B7622" w:rsidRPr="00A97497" w:rsidRDefault="004B7622" w:rsidP="004B7622">
      <w:pPr>
        <w:spacing w:after="0" w:line="240" w:lineRule="auto"/>
        <w:jc w:val="both"/>
        <w:rPr>
          <w:rFonts w:ascii="Arial" w:hAnsi="Arial" w:cs="Arial"/>
          <w:i/>
          <w:iCs/>
          <w:sz w:val="16"/>
          <w:szCs w:val="16"/>
        </w:rPr>
      </w:pPr>
      <w:r w:rsidRPr="00A97497">
        <w:rPr>
          <w:rFonts w:ascii="Arial" w:hAnsi="Arial" w:cs="Arial"/>
          <w:b/>
          <w:i/>
          <w:iCs/>
          <w:sz w:val="16"/>
          <w:szCs w:val="16"/>
        </w:rPr>
        <w:t>(3)</w:t>
      </w:r>
      <w:r w:rsidRPr="00A97497">
        <w:rPr>
          <w:rFonts w:ascii="Arial" w:hAnsi="Arial" w:cs="Arial"/>
          <w:i/>
          <w:iCs/>
          <w:sz w:val="16"/>
          <w:szCs w:val="16"/>
        </w:rPr>
        <w:t xml:space="preserve"> število neuspešno rešenih zadev v poročevalskem obdobju (rešeno neuspešno; </w:t>
      </w:r>
      <w:proofErr w:type="spellStart"/>
      <w:r w:rsidRPr="00A97497">
        <w:rPr>
          <w:rFonts w:ascii="Arial" w:hAnsi="Arial" w:cs="Arial"/>
          <w:i/>
          <w:iCs/>
          <w:sz w:val="16"/>
          <w:szCs w:val="16"/>
        </w:rPr>
        <w:t>t.j</w:t>
      </w:r>
      <w:proofErr w:type="spellEnd"/>
      <w:r w:rsidRPr="00A97497">
        <w:rPr>
          <w:rFonts w:ascii="Arial" w:hAnsi="Arial" w:cs="Arial"/>
          <w:i/>
          <w:iCs/>
          <w:sz w:val="16"/>
          <w:szCs w:val="16"/>
        </w:rPr>
        <w:t>. zadev, v katerih je bil upravni/ pravdni postopek za Finančno upravo RS kot upnika pravnomočno zaključen neuspešno; npr. sklep o izvršbi na podlagi poroštva je bil odpravljen, tožbeni zahtevek zavrnjen,</w:t>
      </w:r>
    </w:p>
    <w:p w14:paraId="5609DA4E" w14:textId="77777777" w:rsidR="004B7622" w:rsidRPr="00A97497" w:rsidRDefault="004B7622" w:rsidP="004B7622">
      <w:pPr>
        <w:spacing w:after="0" w:line="240" w:lineRule="auto"/>
        <w:jc w:val="both"/>
        <w:rPr>
          <w:rFonts w:ascii="Arial" w:hAnsi="Arial" w:cs="Arial"/>
          <w:i/>
          <w:iCs/>
          <w:sz w:val="16"/>
          <w:szCs w:val="16"/>
        </w:rPr>
      </w:pPr>
      <w:r w:rsidRPr="00A97497">
        <w:rPr>
          <w:rFonts w:ascii="Arial" w:hAnsi="Arial" w:cs="Arial"/>
          <w:b/>
          <w:bCs/>
          <w:i/>
          <w:iCs/>
          <w:sz w:val="16"/>
          <w:szCs w:val="16"/>
        </w:rPr>
        <w:t>(4)</w:t>
      </w:r>
      <w:r w:rsidRPr="00A97497">
        <w:rPr>
          <w:rFonts w:ascii="Arial" w:hAnsi="Arial" w:cs="Arial"/>
          <w:i/>
          <w:iCs/>
          <w:sz w:val="16"/>
          <w:szCs w:val="16"/>
        </w:rPr>
        <w:t xml:space="preserve"> znesek izterjanega dolga, v evrih.</w:t>
      </w:r>
    </w:p>
    <w:p w14:paraId="5308CE28" w14:textId="77777777" w:rsidR="004B7622" w:rsidRPr="00DF6908" w:rsidRDefault="004B7622" w:rsidP="004B7622">
      <w:pPr>
        <w:spacing w:after="0" w:line="240" w:lineRule="auto"/>
        <w:jc w:val="both"/>
        <w:rPr>
          <w:rFonts w:ascii="Arial" w:hAnsi="Arial" w:cs="Arial"/>
          <w:sz w:val="18"/>
          <w:szCs w:val="18"/>
        </w:rPr>
      </w:pPr>
    </w:p>
    <w:p w14:paraId="13D9BCFC" w14:textId="77777777" w:rsidR="004B7622" w:rsidRPr="00E52DB1" w:rsidRDefault="004B7622" w:rsidP="004B7622">
      <w:pPr>
        <w:rPr>
          <w:rFonts w:ascii="Arial" w:hAnsi="Arial" w:cs="Arial"/>
          <w:b/>
          <w:sz w:val="20"/>
          <w:szCs w:val="20"/>
          <w:lang w:eastAsia="sl-SI"/>
        </w:rPr>
      </w:pPr>
      <w:r w:rsidRPr="0094063C">
        <w:rPr>
          <w:rFonts w:ascii="Arial" w:hAnsi="Arial" w:cs="Arial"/>
          <w:b/>
          <w:sz w:val="20"/>
          <w:szCs w:val="20"/>
          <w:lang w:eastAsia="sl-SI"/>
        </w:rPr>
        <w:t>6.</w:t>
      </w:r>
      <w:r w:rsidRPr="009A25C3">
        <w:rPr>
          <w:rFonts w:ascii="Arial" w:hAnsi="Arial" w:cs="Arial"/>
          <w:b/>
          <w:sz w:val="20"/>
          <w:szCs w:val="20"/>
          <w:lang w:eastAsia="sl-SI"/>
        </w:rPr>
        <w:t>2  Izterjava nedavčnih obveznosti za druge predlagatelje</w:t>
      </w:r>
    </w:p>
    <w:p w14:paraId="2333CAF8" w14:textId="77777777" w:rsidR="004B7622" w:rsidRPr="008309BC" w:rsidRDefault="004B7622" w:rsidP="004B7622">
      <w:pPr>
        <w:jc w:val="both"/>
        <w:rPr>
          <w:rFonts w:ascii="Arial" w:hAnsi="Arial" w:cs="Arial"/>
          <w:sz w:val="20"/>
          <w:szCs w:val="20"/>
        </w:rPr>
      </w:pPr>
      <w:r w:rsidRPr="008309BC">
        <w:rPr>
          <w:rFonts w:ascii="Arial" w:hAnsi="Arial" w:cs="Arial"/>
          <w:sz w:val="20"/>
          <w:szCs w:val="20"/>
        </w:rPr>
        <w:t>FURS je pristoj</w:t>
      </w:r>
      <w:r>
        <w:rPr>
          <w:rFonts w:ascii="Arial" w:hAnsi="Arial" w:cs="Arial"/>
          <w:sz w:val="20"/>
          <w:szCs w:val="20"/>
        </w:rPr>
        <w:t>e</w:t>
      </w:r>
      <w:r w:rsidRPr="008309BC">
        <w:rPr>
          <w:rFonts w:ascii="Arial" w:hAnsi="Arial" w:cs="Arial"/>
          <w:sz w:val="20"/>
          <w:szCs w:val="20"/>
        </w:rPr>
        <w:t xml:space="preserve">n tudi za izvajanje nalog izterjave nedavčnih obveznosti za druge predlagatelje (denarne kazni, terjatve iz naslova upravnih taks, terjatve iz naslova prekrškov, različne upravne obveznosti, ki se izterjujejo po pravilih Zakona o splošnem upravnem postopku, </w:t>
      </w:r>
      <w:proofErr w:type="spellStart"/>
      <w:r w:rsidRPr="008309BC">
        <w:rPr>
          <w:rFonts w:ascii="Arial" w:hAnsi="Arial" w:cs="Arial"/>
          <w:sz w:val="20"/>
          <w:szCs w:val="20"/>
        </w:rPr>
        <w:t>ipd</w:t>
      </w:r>
      <w:proofErr w:type="spellEnd"/>
      <w:r w:rsidRPr="008309BC">
        <w:rPr>
          <w:rFonts w:ascii="Arial" w:hAnsi="Arial" w:cs="Arial"/>
          <w:sz w:val="20"/>
          <w:szCs w:val="20"/>
        </w:rPr>
        <w:t>).</w:t>
      </w:r>
    </w:p>
    <w:p w14:paraId="14FE4125" w14:textId="77777777" w:rsidR="004B7622" w:rsidRDefault="004B7622" w:rsidP="004B7622">
      <w:pPr>
        <w:jc w:val="both"/>
        <w:rPr>
          <w:rFonts w:ascii="Arial" w:hAnsi="Arial" w:cs="Arial"/>
          <w:sz w:val="20"/>
          <w:szCs w:val="20"/>
        </w:rPr>
      </w:pPr>
      <w:r w:rsidRPr="00825100">
        <w:rPr>
          <w:rFonts w:ascii="Arial" w:hAnsi="Arial" w:cs="Arial"/>
          <w:sz w:val="20"/>
          <w:szCs w:val="20"/>
        </w:rPr>
        <w:t xml:space="preserve">V letu 2021 so predlagatelji vložili 171.344 novih predlogov za izterjavo nedavčnih obveznosti za skupaj 94.879.371 </w:t>
      </w:r>
      <w:r>
        <w:rPr>
          <w:rFonts w:ascii="Arial" w:hAnsi="Arial" w:cs="Arial"/>
          <w:sz w:val="20"/>
          <w:szCs w:val="20"/>
        </w:rPr>
        <w:t>EUR</w:t>
      </w:r>
      <w:r w:rsidRPr="00825100">
        <w:rPr>
          <w:rFonts w:ascii="Arial" w:hAnsi="Arial" w:cs="Arial"/>
          <w:sz w:val="20"/>
          <w:szCs w:val="20"/>
        </w:rPr>
        <w:t xml:space="preserve">. Število vloženih predlogov se je v primerjavi z letom 2020 povečalo za 4.558 oziroma za 2,7 </w:t>
      </w:r>
      <w:r>
        <w:rPr>
          <w:rFonts w:ascii="Arial" w:hAnsi="Arial" w:cs="Arial"/>
          <w:sz w:val="20"/>
          <w:szCs w:val="20"/>
        </w:rPr>
        <w:t>odstotka</w:t>
      </w:r>
      <w:r w:rsidRPr="00825100">
        <w:rPr>
          <w:rFonts w:ascii="Arial" w:hAnsi="Arial" w:cs="Arial"/>
          <w:sz w:val="20"/>
          <w:szCs w:val="20"/>
        </w:rPr>
        <w:t xml:space="preserve">, znesek terjatev po vloženih predlogih pa za 48.040.681 </w:t>
      </w:r>
      <w:r>
        <w:rPr>
          <w:rFonts w:ascii="Arial" w:hAnsi="Arial" w:cs="Arial"/>
          <w:sz w:val="20"/>
          <w:szCs w:val="20"/>
        </w:rPr>
        <w:t>EUR</w:t>
      </w:r>
      <w:r w:rsidRPr="00825100">
        <w:rPr>
          <w:rFonts w:ascii="Arial" w:hAnsi="Arial" w:cs="Arial"/>
          <w:sz w:val="20"/>
          <w:szCs w:val="20"/>
        </w:rPr>
        <w:t xml:space="preserve"> oziroma za 102,6 </w:t>
      </w:r>
      <w:r>
        <w:rPr>
          <w:rFonts w:ascii="Arial" w:hAnsi="Arial" w:cs="Arial"/>
          <w:sz w:val="20"/>
          <w:szCs w:val="20"/>
        </w:rPr>
        <w:t>odstotka</w:t>
      </w:r>
      <w:r w:rsidRPr="00825100">
        <w:rPr>
          <w:rFonts w:ascii="Arial" w:hAnsi="Arial" w:cs="Arial"/>
          <w:sz w:val="20"/>
          <w:szCs w:val="20"/>
        </w:rPr>
        <w:t xml:space="preserve">. Rešenih je bilo 163.736 zadev v višini 59.862.730 </w:t>
      </w:r>
      <w:r>
        <w:rPr>
          <w:rFonts w:ascii="Arial" w:hAnsi="Arial" w:cs="Arial"/>
          <w:sz w:val="20"/>
          <w:szCs w:val="20"/>
        </w:rPr>
        <w:t>EUR</w:t>
      </w:r>
      <w:r w:rsidRPr="00825100">
        <w:rPr>
          <w:rFonts w:ascii="Arial" w:hAnsi="Arial" w:cs="Arial"/>
          <w:sz w:val="20"/>
          <w:szCs w:val="20"/>
        </w:rPr>
        <w:t xml:space="preserve">. </w:t>
      </w:r>
    </w:p>
    <w:p w14:paraId="7915F2FE" w14:textId="77777777" w:rsidR="004B7622" w:rsidRDefault="004B7622" w:rsidP="004B7622">
      <w:pPr>
        <w:jc w:val="both"/>
        <w:rPr>
          <w:rFonts w:ascii="Arial" w:hAnsi="Arial" w:cs="Arial"/>
          <w:sz w:val="20"/>
          <w:szCs w:val="20"/>
        </w:rPr>
      </w:pPr>
      <w:r w:rsidRPr="00825100">
        <w:rPr>
          <w:rFonts w:ascii="Arial" w:hAnsi="Arial" w:cs="Arial"/>
          <w:sz w:val="20"/>
          <w:szCs w:val="20"/>
        </w:rPr>
        <w:lastRenderedPageBreak/>
        <w:t>Največji predlagatelj izvršb je bila Policija s 52.815 predlogi, sledijo medobčinski inšpektorati s 34.855 predlogi in sodišča z 27.131 vloženimi predlogi za izvršbo.</w:t>
      </w:r>
    </w:p>
    <w:p w14:paraId="5A17F036" w14:textId="77777777" w:rsidR="004B7622" w:rsidRPr="00C06FCB" w:rsidRDefault="004B7622" w:rsidP="004B7622">
      <w:pPr>
        <w:jc w:val="both"/>
        <w:rPr>
          <w:rFonts w:ascii="Arial" w:hAnsi="Arial" w:cs="Arial"/>
          <w:color w:val="FF0000"/>
          <w:sz w:val="20"/>
          <w:szCs w:val="20"/>
        </w:rPr>
      </w:pPr>
      <w:r w:rsidRPr="00825100">
        <w:rPr>
          <w:rFonts w:ascii="Arial" w:hAnsi="Arial" w:cs="Arial"/>
          <w:sz w:val="20"/>
          <w:szCs w:val="20"/>
        </w:rPr>
        <w:t>V letu 2021 so v pristojnost F</w:t>
      </w:r>
      <w:r>
        <w:rPr>
          <w:rFonts w:ascii="Arial" w:hAnsi="Arial" w:cs="Arial"/>
          <w:sz w:val="20"/>
          <w:szCs w:val="20"/>
        </w:rPr>
        <w:t xml:space="preserve">URS </w:t>
      </w:r>
      <w:r w:rsidRPr="00825100">
        <w:rPr>
          <w:rFonts w:ascii="Arial" w:hAnsi="Arial" w:cs="Arial"/>
          <w:sz w:val="20"/>
          <w:szCs w:val="20"/>
        </w:rPr>
        <w:t>prešle v izterjavo navedene terjatve:</w:t>
      </w:r>
      <w:r>
        <w:rPr>
          <w:rFonts w:ascii="Arial" w:hAnsi="Arial" w:cs="Arial"/>
          <w:sz w:val="20"/>
          <w:szCs w:val="20"/>
        </w:rPr>
        <w:t xml:space="preserve"> </w:t>
      </w:r>
    </w:p>
    <w:p w14:paraId="63671DDC" w14:textId="77777777" w:rsidR="004B7622" w:rsidRPr="001D1E58" w:rsidRDefault="004B7622" w:rsidP="004B7622">
      <w:pPr>
        <w:pStyle w:val="Brezrazmikov"/>
        <w:numPr>
          <w:ilvl w:val="0"/>
          <w:numId w:val="13"/>
        </w:numPr>
        <w:jc w:val="both"/>
        <w:rPr>
          <w:rFonts w:ascii="Arial" w:hAnsi="Arial" w:cs="Arial"/>
          <w:sz w:val="20"/>
          <w:szCs w:val="20"/>
        </w:rPr>
      </w:pPr>
      <w:r w:rsidRPr="001D1E58">
        <w:rPr>
          <w:rFonts w:ascii="Arial" w:hAnsi="Arial" w:cs="Arial"/>
          <w:sz w:val="20"/>
          <w:szCs w:val="20"/>
        </w:rPr>
        <w:t>obrestovana pristojbina za veterinarski pregled;</w:t>
      </w:r>
    </w:p>
    <w:p w14:paraId="05F15D63" w14:textId="77777777" w:rsidR="004B7622" w:rsidRPr="001D1E58" w:rsidRDefault="004B7622" w:rsidP="004B7622">
      <w:pPr>
        <w:pStyle w:val="Brezrazmikov"/>
        <w:numPr>
          <w:ilvl w:val="0"/>
          <w:numId w:val="13"/>
        </w:numPr>
        <w:jc w:val="both"/>
        <w:rPr>
          <w:rFonts w:ascii="Arial" w:hAnsi="Arial" w:cs="Arial"/>
          <w:sz w:val="20"/>
          <w:szCs w:val="20"/>
        </w:rPr>
      </w:pPr>
      <w:r w:rsidRPr="001D1E58">
        <w:rPr>
          <w:rFonts w:ascii="Arial" w:hAnsi="Arial" w:cs="Arial"/>
          <w:sz w:val="20"/>
          <w:szCs w:val="20"/>
        </w:rPr>
        <w:t>obrestovana pristojbina za zdravstveno varstvo rastlin;</w:t>
      </w:r>
    </w:p>
    <w:p w14:paraId="179857FD" w14:textId="77777777" w:rsidR="004B7622" w:rsidRPr="001D1E58" w:rsidRDefault="004B7622" w:rsidP="004B7622">
      <w:pPr>
        <w:pStyle w:val="Brezrazmikov"/>
        <w:numPr>
          <w:ilvl w:val="0"/>
          <w:numId w:val="13"/>
        </w:numPr>
        <w:jc w:val="both"/>
        <w:rPr>
          <w:rFonts w:ascii="Arial" w:hAnsi="Arial" w:cs="Arial"/>
          <w:sz w:val="20"/>
          <w:szCs w:val="20"/>
        </w:rPr>
      </w:pPr>
      <w:r w:rsidRPr="001D1E58">
        <w:rPr>
          <w:rFonts w:ascii="Arial" w:hAnsi="Arial" w:cs="Arial"/>
          <w:sz w:val="20"/>
          <w:szCs w:val="20"/>
        </w:rPr>
        <w:t xml:space="preserve">obrestovana pristojbina za živila </w:t>
      </w:r>
      <w:proofErr w:type="spellStart"/>
      <w:r w:rsidRPr="001D1E58">
        <w:rPr>
          <w:rFonts w:ascii="Arial" w:hAnsi="Arial" w:cs="Arial"/>
          <w:sz w:val="20"/>
          <w:szCs w:val="20"/>
        </w:rPr>
        <w:t>neživalskega</w:t>
      </w:r>
      <w:proofErr w:type="spellEnd"/>
      <w:r w:rsidRPr="001D1E58">
        <w:rPr>
          <w:rFonts w:ascii="Arial" w:hAnsi="Arial" w:cs="Arial"/>
          <w:sz w:val="20"/>
          <w:szCs w:val="20"/>
        </w:rPr>
        <w:t xml:space="preserve"> izvora;</w:t>
      </w:r>
    </w:p>
    <w:p w14:paraId="4A744127" w14:textId="77777777" w:rsidR="004B7622" w:rsidRPr="001D1E58" w:rsidRDefault="004B7622" w:rsidP="004B7622">
      <w:pPr>
        <w:pStyle w:val="Brezrazmikov"/>
        <w:numPr>
          <w:ilvl w:val="0"/>
          <w:numId w:val="13"/>
        </w:numPr>
        <w:jc w:val="both"/>
        <w:rPr>
          <w:rFonts w:ascii="Arial" w:hAnsi="Arial" w:cs="Arial"/>
          <w:sz w:val="20"/>
          <w:szCs w:val="20"/>
        </w:rPr>
      </w:pPr>
      <w:r w:rsidRPr="001D1E58">
        <w:rPr>
          <w:rFonts w:ascii="Arial" w:hAnsi="Arial" w:cs="Arial"/>
          <w:sz w:val="20"/>
          <w:szCs w:val="20"/>
        </w:rPr>
        <w:t>vračilo mesečnega temeljnega dohodka na podlagi Zakona o interventnih ukrepih za zajezitev epidemije COVID-19 in omilitev njenih posledic za državljane in gospodarstvo (ZIUZEOP);</w:t>
      </w:r>
    </w:p>
    <w:p w14:paraId="68F45081" w14:textId="77777777" w:rsidR="004B7622" w:rsidRPr="001D1E58" w:rsidRDefault="004B7622" w:rsidP="004B7622">
      <w:pPr>
        <w:pStyle w:val="Brezrazmikov"/>
        <w:numPr>
          <w:ilvl w:val="0"/>
          <w:numId w:val="13"/>
        </w:numPr>
        <w:jc w:val="both"/>
        <w:rPr>
          <w:rFonts w:ascii="Arial" w:hAnsi="Arial" w:cs="Arial"/>
          <w:sz w:val="20"/>
          <w:szCs w:val="20"/>
        </w:rPr>
      </w:pPr>
      <w:r w:rsidRPr="001D1E58">
        <w:rPr>
          <w:rFonts w:ascii="Arial" w:hAnsi="Arial" w:cs="Arial"/>
          <w:sz w:val="20"/>
          <w:szCs w:val="20"/>
        </w:rPr>
        <w:t>vračilo mesečnega temeljnega dohodka na podlagi Zakona o začasnih ukrepih za omilitev in odpravo posledic COVID-19 (ZZUOOP)</w:t>
      </w:r>
      <w:r w:rsidRPr="001D1E58">
        <w:rPr>
          <w:rStyle w:val="Sprotnaopomba-sklic"/>
          <w:rFonts w:ascii="Arial" w:hAnsi="Arial" w:cs="Arial"/>
          <w:sz w:val="20"/>
          <w:szCs w:val="20"/>
        </w:rPr>
        <w:footnoteReference w:id="20"/>
      </w:r>
      <w:r w:rsidRPr="001D1E58">
        <w:rPr>
          <w:rFonts w:ascii="Arial" w:hAnsi="Arial" w:cs="Arial"/>
          <w:sz w:val="20"/>
          <w:szCs w:val="20"/>
        </w:rPr>
        <w:t>;</w:t>
      </w:r>
    </w:p>
    <w:p w14:paraId="7FC14ECF" w14:textId="77777777" w:rsidR="004B7622" w:rsidRPr="001D1E58" w:rsidRDefault="004B7622" w:rsidP="004B7622">
      <w:pPr>
        <w:pStyle w:val="Brezrazmikov"/>
        <w:numPr>
          <w:ilvl w:val="0"/>
          <w:numId w:val="13"/>
        </w:numPr>
        <w:jc w:val="both"/>
        <w:rPr>
          <w:rFonts w:ascii="Arial" w:hAnsi="Arial" w:cs="Arial"/>
          <w:sz w:val="20"/>
          <w:szCs w:val="20"/>
        </w:rPr>
      </w:pPr>
      <w:r w:rsidRPr="001D1E58">
        <w:rPr>
          <w:rFonts w:ascii="Arial" w:hAnsi="Arial" w:cs="Arial"/>
          <w:sz w:val="20"/>
          <w:szCs w:val="20"/>
        </w:rPr>
        <w:t>vračilo mesečnega temeljnega dohodka za verske uslužbence na podlagi 114. člena Zakona o interventnih ukrepih za pomoč pri omilitvi posledic drugega vala epidemije COVID-19 (ZIUPOPDVE);</w:t>
      </w:r>
    </w:p>
    <w:p w14:paraId="35F95542" w14:textId="77777777" w:rsidR="004B7622" w:rsidRPr="001D1E58" w:rsidRDefault="004B7622" w:rsidP="004B7622">
      <w:pPr>
        <w:pStyle w:val="Brezrazmikov"/>
        <w:numPr>
          <w:ilvl w:val="0"/>
          <w:numId w:val="13"/>
        </w:numPr>
        <w:jc w:val="both"/>
        <w:rPr>
          <w:rFonts w:ascii="Arial" w:hAnsi="Arial" w:cs="Arial"/>
          <w:sz w:val="20"/>
          <w:szCs w:val="20"/>
        </w:rPr>
      </w:pPr>
      <w:r w:rsidRPr="001D1E58">
        <w:rPr>
          <w:rFonts w:ascii="Arial" w:hAnsi="Arial" w:cs="Arial"/>
          <w:sz w:val="20"/>
          <w:szCs w:val="20"/>
        </w:rPr>
        <w:t>vračilo subvencije minimalne plače na podlagi 29. člena Zakona o dodatnih ukrepih za omilitev posledic COVID-19 (ZDUOP)</w:t>
      </w:r>
      <w:r w:rsidRPr="001D1E58">
        <w:rPr>
          <w:rStyle w:val="Sprotnaopomba-sklic"/>
          <w:rFonts w:ascii="Arial" w:hAnsi="Arial" w:cs="Arial"/>
          <w:sz w:val="20"/>
          <w:szCs w:val="20"/>
        </w:rPr>
        <w:footnoteReference w:id="21"/>
      </w:r>
      <w:r w:rsidRPr="001D1E58">
        <w:rPr>
          <w:rFonts w:ascii="Arial" w:hAnsi="Arial" w:cs="Arial"/>
          <w:sz w:val="20"/>
          <w:szCs w:val="20"/>
        </w:rPr>
        <w:t>;</w:t>
      </w:r>
    </w:p>
    <w:p w14:paraId="39489AC5" w14:textId="77777777" w:rsidR="004B7622" w:rsidRPr="001D1E58" w:rsidRDefault="004B7622" w:rsidP="004B7622">
      <w:pPr>
        <w:pStyle w:val="Brezrazmikov"/>
        <w:numPr>
          <w:ilvl w:val="0"/>
          <w:numId w:val="13"/>
        </w:numPr>
        <w:jc w:val="both"/>
        <w:rPr>
          <w:rFonts w:ascii="Arial" w:hAnsi="Arial" w:cs="Arial"/>
          <w:sz w:val="20"/>
          <w:szCs w:val="20"/>
        </w:rPr>
      </w:pPr>
      <w:r w:rsidRPr="001D1E58">
        <w:rPr>
          <w:rFonts w:ascii="Arial" w:hAnsi="Arial" w:cs="Arial"/>
          <w:sz w:val="20"/>
          <w:szCs w:val="20"/>
        </w:rPr>
        <w:t>vračilo pomoči za financiranje regresa za leto 2021 na podlagi 30. člena Zakona o interventnih ukrepih za pomoč gospodarstvu in turizmu pri omilitvi posledic epidemije COVID-19 (ZIUPGT)</w:t>
      </w:r>
      <w:r w:rsidRPr="001D1E58">
        <w:rPr>
          <w:rStyle w:val="Sprotnaopomba-sklic"/>
          <w:rFonts w:ascii="Arial" w:hAnsi="Arial" w:cs="Arial"/>
          <w:sz w:val="20"/>
          <w:szCs w:val="20"/>
        </w:rPr>
        <w:footnoteReference w:id="22"/>
      </w:r>
      <w:r w:rsidRPr="001D1E58">
        <w:rPr>
          <w:rFonts w:ascii="Arial" w:hAnsi="Arial" w:cs="Arial"/>
          <w:sz w:val="20"/>
          <w:szCs w:val="20"/>
        </w:rPr>
        <w:t>;</w:t>
      </w:r>
    </w:p>
    <w:p w14:paraId="31665095" w14:textId="77777777" w:rsidR="004B7622" w:rsidRPr="001D1E58" w:rsidRDefault="004B7622" w:rsidP="004B7622">
      <w:pPr>
        <w:pStyle w:val="Brezrazmikov"/>
        <w:numPr>
          <w:ilvl w:val="0"/>
          <w:numId w:val="13"/>
        </w:numPr>
        <w:jc w:val="both"/>
        <w:rPr>
          <w:rFonts w:ascii="Arial" w:hAnsi="Arial" w:cs="Arial"/>
          <w:sz w:val="20"/>
          <w:szCs w:val="20"/>
        </w:rPr>
      </w:pPr>
      <w:r w:rsidRPr="001D1E58">
        <w:rPr>
          <w:rFonts w:ascii="Arial" w:hAnsi="Arial" w:cs="Arial"/>
          <w:sz w:val="20"/>
          <w:szCs w:val="20"/>
        </w:rPr>
        <w:t>vračilo oproščenih prispevkov na podlagi 28. člena Zakona o interventnih ukrepih za zajezitev epidemije COVID-19 in omilitev njenih posledic za državljane in gospodarstvo (ZIUZEOP);</w:t>
      </w:r>
    </w:p>
    <w:p w14:paraId="3D2E35E0" w14:textId="77777777" w:rsidR="004B7622" w:rsidRPr="001D1E58" w:rsidRDefault="004B7622" w:rsidP="004B7622">
      <w:pPr>
        <w:pStyle w:val="Brezrazmikov"/>
        <w:numPr>
          <w:ilvl w:val="0"/>
          <w:numId w:val="13"/>
        </w:numPr>
        <w:jc w:val="both"/>
        <w:rPr>
          <w:rFonts w:ascii="Arial" w:hAnsi="Arial" w:cs="Arial"/>
          <w:sz w:val="20"/>
          <w:szCs w:val="20"/>
        </w:rPr>
      </w:pPr>
      <w:r w:rsidRPr="001D1E58">
        <w:rPr>
          <w:rFonts w:ascii="Arial" w:hAnsi="Arial" w:cs="Arial"/>
          <w:sz w:val="20"/>
          <w:szCs w:val="20"/>
        </w:rPr>
        <w:t>vračilo oproščenih prispevkov na podlagi 38. člena Zakona o interventnih ukrepih za zajezitev epidemije COVID-19 in omilitev njenih posledic za državljane in gospodarstvo (ZIUZEOP);</w:t>
      </w:r>
    </w:p>
    <w:p w14:paraId="30D5B2BC" w14:textId="77777777" w:rsidR="004B7622" w:rsidRPr="001D1E58" w:rsidRDefault="004B7622" w:rsidP="004B7622">
      <w:pPr>
        <w:pStyle w:val="Brezrazmikov"/>
        <w:numPr>
          <w:ilvl w:val="0"/>
          <w:numId w:val="13"/>
        </w:numPr>
        <w:jc w:val="both"/>
        <w:rPr>
          <w:rFonts w:ascii="Arial" w:hAnsi="Arial" w:cs="Arial"/>
          <w:sz w:val="20"/>
          <w:szCs w:val="20"/>
        </w:rPr>
      </w:pPr>
      <w:r w:rsidRPr="001D1E58">
        <w:rPr>
          <w:rFonts w:ascii="Arial" w:hAnsi="Arial" w:cs="Arial"/>
          <w:sz w:val="20"/>
          <w:szCs w:val="20"/>
        </w:rPr>
        <w:t>vračilo povračila nadomestila plače delavcem na začasnem čakanju na delo na podlagi interventne zakonodaje (na podlagi 21. člena in nad. ZIUZEOP, 39. člena in nad. ZDUOP ter 68. člena in nad. ZZUOOP);</w:t>
      </w:r>
    </w:p>
    <w:p w14:paraId="1136A067" w14:textId="77777777" w:rsidR="004B7622" w:rsidRPr="001D1E58" w:rsidRDefault="004B7622" w:rsidP="004B7622">
      <w:pPr>
        <w:pStyle w:val="Brezrazmikov"/>
        <w:numPr>
          <w:ilvl w:val="0"/>
          <w:numId w:val="13"/>
        </w:numPr>
        <w:jc w:val="both"/>
        <w:rPr>
          <w:rFonts w:ascii="Arial" w:hAnsi="Arial" w:cs="Arial"/>
          <w:sz w:val="20"/>
          <w:szCs w:val="20"/>
        </w:rPr>
      </w:pPr>
      <w:r w:rsidRPr="001D1E58">
        <w:rPr>
          <w:rFonts w:ascii="Arial" w:hAnsi="Arial" w:cs="Arial"/>
          <w:sz w:val="20"/>
          <w:szCs w:val="20"/>
        </w:rPr>
        <w:t>vračilo povračila delno izgubljenega dohodka na podlagi Zakona o začasnih ukrepih za omilitev in odpravo posledic COVID-19 (ZZUOOP);</w:t>
      </w:r>
    </w:p>
    <w:p w14:paraId="77B45B8B" w14:textId="77777777" w:rsidR="004B7622" w:rsidRPr="001D1E58" w:rsidRDefault="004B7622" w:rsidP="004B7622">
      <w:pPr>
        <w:pStyle w:val="Brezrazmikov"/>
        <w:numPr>
          <w:ilvl w:val="0"/>
          <w:numId w:val="13"/>
        </w:numPr>
        <w:jc w:val="both"/>
        <w:rPr>
          <w:rFonts w:ascii="Arial" w:hAnsi="Arial" w:cs="Arial"/>
          <w:sz w:val="20"/>
          <w:szCs w:val="20"/>
        </w:rPr>
      </w:pPr>
      <w:r w:rsidRPr="001D1E58">
        <w:rPr>
          <w:rFonts w:ascii="Arial" w:hAnsi="Arial" w:cs="Arial"/>
          <w:sz w:val="20"/>
          <w:szCs w:val="20"/>
        </w:rPr>
        <w:t>vračilo pomoči v obliki povračila dela nekritih fiksnih stroškov na podlagi 112. člena Zakona o interventnih ukrepih za omilitev posledic drugega vala epidemije COVID-19 (ZIUOPDVE);</w:t>
      </w:r>
    </w:p>
    <w:p w14:paraId="5D28D250" w14:textId="77777777" w:rsidR="004B7622" w:rsidRPr="001D1E58" w:rsidRDefault="004B7622" w:rsidP="004B7622">
      <w:pPr>
        <w:pStyle w:val="Brezrazmikov"/>
        <w:numPr>
          <w:ilvl w:val="0"/>
          <w:numId w:val="13"/>
        </w:numPr>
        <w:jc w:val="both"/>
        <w:rPr>
          <w:rFonts w:ascii="Arial" w:hAnsi="Arial" w:cs="Arial"/>
          <w:sz w:val="20"/>
          <w:szCs w:val="20"/>
        </w:rPr>
      </w:pPr>
      <w:r w:rsidRPr="001D1E58">
        <w:rPr>
          <w:rFonts w:ascii="Arial" w:hAnsi="Arial" w:cs="Arial"/>
          <w:sz w:val="20"/>
          <w:szCs w:val="20"/>
        </w:rPr>
        <w:t>vračilo izplačanega kriznega dodatka na podlagi Zakona o interventnih ukrepih za pomoč pri omilitvi posledic drugega vala epidemije COVID-19 (ZIUPOPDVE);</w:t>
      </w:r>
    </w:p>
    <w:p w14:paraId="021939C8" w14:textId="77777777" w:rsidR="004B7622" w:rsidRPr="001D1E58" w:rsidRDefault="004B7622" w:rsidP="004B7622">
      <w:pPr>
        <w:pStyle w:val="Brezrazmikov"/>
        <w:numPr>
          <w:ilvl w:val="0"/>
          <w:numId w:val="13"/>
        </w:numPr>
        <w:jc w:val="both"/>
        <w:rPr>
          <w:rFonts w:ascii="Arial" w:hAnsi="Arial" w:cs="Arial"/>
          <w:sz w:val="20"/>
          <w:szCs w:val="20"/>
        </w:rPr>
      </w:pPr>
      <w:r w:rsidRPr="001D1E58">
        <w:rPr>
          <w:rFonts w:ascii="Arial" w:hAnsi="Arial" w:cs="Arial"/>
          <w:sz w:val="20"/>
          <w:szCs w:val="20"/>
        </w:rPr>
        <w:t>vračilo delnega subvencioniranja skrajšanja polnega delovnega časa na podlagi interventne zakonodaje (na podlagi 11. člena in nad. ZIUOOPE in ZZUOOP);</w:t>
      </w:r>
    </w:p>
    <w:p w14:paraId="1CCA64A8" w14:textId="77777777" w:rsidR="004B7622" w:rsidRPr="001D1E58" w:rsidRDefault="004B7622" w:rsidP="004B7622">
      <w:pPr>
        <w:pStyle w:val="Brezrazmikov"/>
        <w:numPr>
          <w:ilvl w:val="0"/>
          <w:numId w:val="13"/>
        </w:numPr>
        <w:jc w:val="both"/>
        <w:rPr>
          <w:rFonts w:ascii="Arial" w:hAnsi="Arial" w:cs="Arial"/>
          <w:sz w:val="20"/>
          <w:szCs w:val="20"/>
        </w:rPr>
      </w:pPr>
      <w:r w:rsidRPr="001D1E58">
        <w:rPr>
          <w:rFonts w:ascii="Arial" w:hAnsi="Arial" w:cs="Arial"/>
          <w:sz w:val="20"/>
          <w:szCs w:val="20"/>
        </w:rPr>
        <w:t>vračilo pomoči za izvedbo hitrih testov za fizične in pravne osebe na podlagi 109. člena Zakona o interventnih ukrepih za pomoč pri omilitvi posledic drugega vala epidemije COVID-19 (ZIUPOPDVE);</w:t>
      </w:r>
    </w:p>
    <w:p w14:paraId="1B8440F3" w14:textId="77777777" w:rsidR="004B7622" w:rsidRPr="001D1E58" w:rsidRDefault="004B7622" w:rsidP="004B7622">
      <w:pPr>
        <w:pStyle w:val="Brezrazmikov"/>
        <w:numPr>
          <w:ilvl w:val="0"/>
          <w:numId w:val="13"/>
        </w:numPr>
        <w:jc w:val="both"/>
      </w:pPr>
      <w:r w:rsidRPr="001D1E58">
        <w:rPr>
          <w:rFonts w:ascii="Arial" w:hAnsi="Arial" w:cs="Arial"/>
          <w:sz w:val="20"/>
          <w:szCs w:val="20"/>
        </w:rPr>
        <w:t>vračilo pomoči za nakup hitrih testov in PCR testov za športne zveze na podlagi 125. člena Zakona o interventnih ukrepih za pomoč pri omilitvi posledic drugega vala epidemije COVID-19 (ZIUPOPDVE</w:t>
      </w:r>
      <w:r w:rsidRPr="001D1E58">
        <w:t>).</w:t>
      </w:r>
    </w:p>
    <w:p w14:paraId="3BBC726F" w14:textId="77777777" w:rsidR="004B7622" w:rsidRPr="001D1E58" w:rsidRDefault="004B7622" w:rsidP="004B7622">
      <w:pPr>
        <w:jc w:val="both"/>
        <w:rPr>
          <w:rFonts w:ascii="Arial" w:hAnsi="Arial" w:cs="Arial"/>
          <w:sz w:val="20"/>
          <w:szCs w:val="20"/>
        </w:rPr>
      </w:pPr>
    </w:p>
    <w:p w14:paraId="477EE317" w14:textId="77777777" w:rsidR="004B7622" w:rsidRPr="00197D5B" w:rsidRDefault="004B7622" w:rsidP="004B7622">
      <w:pPr>
        <w:jc w:val="both"/>
        <w:rPr>
          <w:rFonts w:ascii="Arial" w:hAnsi="Arial" w:cs="Arial"/>
          <w:sz w:val="20"/>
          <w:szCs w:val="20"/>
        </w:rPr>
      </w:pPr>
      <w:r w:rsidRPr="00197D5B">
        <w:rPr>
          <w:rFonts w:ascii="Arial" w:hAnsi="Arial" w:cs="Arial"/>
          <w:sz w:val="20"/>
          <w:szCs w:val="20"/>
        </w:rPr>
        <w:t>Hkrati so bili v sistem sodelovanja v postopkih davčne izvršbe za izterjavo nedavčnih obveznosti po že obstoječih pravnih podlagah vključeni 3 novi predlagatelji, in sicer Občina Trnovska vas, Javna agencija za železniški promet RS in Občina Braslovče.</w:t>
      </w:r>
    </w:p>
    <w:p w14:paraId="69DAD03B" w14:textId="77777777" w:rsidR="004B7622" w:rsidRPr="008309BC" w:rsidRDefault="004B7622" w:rsidP="004B7622">
      <w:pPr>
        <w:jc w:val="both"/>
        <w:rPr>
          <w:rFonts w:ascii="Arial" w:hAnsi="Arial" w:cs="Arial"/>
          <w:sz w:val="20"/>
          <w:szCs w:val="20"/>
        </w:rPr>
      </w:pPr>
      <w:r w:rsidRPr="00197D5B">
        <w:rPr>
          <w:rFonts w:ascii="Arial" w:hAnsi="Arial" w:cs="Arial"/>
          <w:sz w:val="20"/>
          <w:szCs w:val="20"/>
        </w:rPr>
        <w:t xml:space="preserve">S ciljem izterjave nedavčnih obveznosti je bilo v letu 2021 dolžnikom poslanih 169.340 opominov za dolg v skupnem znesku 63.639.919 </w:t>
      </w:r>
      <w:r>
        <w:rPr>
          <w:rFonts w:ascii="Arial" w:hAnsi="Arial" w:cs="Arial"/>
          <w:sz w:val="20"/>
          <w:szCs w:val="20"/>
        </w:rPr>
        <w:t>EUR</w:t>
      </w:r>
      <w:r w:rsidRPr="00197D5B">
        <w:rPr>
          <w:rFonts w:ascii="Arial" w:hAnsi="Arial" w:cs="Arial"/>
          <w:sz w:val="20"/>
          <w:szCs w:val="20"/>
        </w:rPr>
        <w:t xml:space="preserve"> ter 19.750 pozivov za dolg v višini 8.604.030 </w:t>
      </w:r>
      <w:r>
        <w:rPr>
          <w:rFonts w:ascii="Arial" w:hAnsi="Arial" w:cs="Arial"/>
          <w:sz w:val="20"/>
          <w:szCs w:val="20"/>
        </w:rPr>
        <w:t>EUR</w:t>
      </w:r>
      <w:r w:rsidRPr="00197D5B">
        <w:rPr>
          <w:rFonts w:ascii="Arial" w:hAnsi="Arial" w:cs="Arial"/>
          <w:sz w:val="20"/>
          <w:szCs w:val="20"/>
        </w:rPr>
        <w:t xml:space="preserve">. Poleg tega je bilo izdano 125.066 sklepov o izvršbi, s katerimi je bila začeta izvršba za dolg v višini 71.168.426 </w:t>
      </w:r>
      <w:r>
        <w:rPr>
          <w:rFonts w:ascii="Arial" w:hAnsi="Arial" w:cs="Arial"/>
          <w:sz w:val="20"/>
          <w:szCs w:val="20"/>
        </w:rPr>
        <w:t>EUR</w:t>
      </w:r>
      <w:r w:rsidRPr="00197D5B">
        <w:rPr>
          <w:rFonts w:ascii="Arial" w:hAnsi="Arial" w:cs="Arial"/>
          <w:sz w:val="20"/>
          <w:szCs w:val="20"/>
        </w:rPr>
        <w:t xml:space="preserve">. V primerjavi s preteklim letom je bilo terjanega za 47.973.865 </w:t>
      </w:r>
      <w:r>
        <w:rPr>
          <w:rFonts w:ascii="Arial" w:hAnsi="Arial" w:cs="Arial"/>
          <w:sz w:val="20"/>
          <w:szCs w:val="20"/>
        </w:rPr>
        <w:t>EUR</w:t>
      </w:r>
      <w:r w:rsidRPr="00197D5B">
        <w:rPr>
          <w:rFonts w:ascii="Arial" w:hAnsi="Arial" w:cs="Arial"/>
          <w:sz w:val="20"/>
          <w:szCs w:val="20"/>
        </w:rPr>
        <w:t xml:space="preserve"> več dolga, kar je posledica povečanja prejetih terjatev v izterjavo. Z izvedenimi ukrepi je bilo izterjanih 38.357.329 </w:t>
      </w:r>
      <w:r>
        <w:rPr>
          <w:rFonts w:ascii="Arial" w:hAnsi="Arial" w:cs="Arial"/>
          <w:sz w:val="20"/>
          <w:szCs w:val="20"/>
        </w:rPr>
        <w:t>EUR</w:t>
      </w:r>
      <w:r w:rsidRPr="00197D5B">
        <w:rPr>
          <w:rFonts w:ascii="Arial" w:hAnsi="Arial" w:cs="Arial"/>
          <w:sz w:val="20"/>
          <w:szCs w:val="20"/>
        </w:rPr>
        <w:t>, kar je za</w:t>
      </w:r>
      <w:r>
        <w:rPr>
          <w:rFonts w:ascii="Arial" w:hAnsi="Arial" w:cs="Arial"/>
          <w:sz w:val="20"/>
          <w:szCs w:val="20"/>
        </w:rPr>
        <w:t xml:space="preserve"> </w:t>
      </w:r>
      <w:r w:rsidRPr="00197D5B">
        <w:rPr>
          <w:rFonts w:ascii="Arial" w:hAnsi="Arial" w:cs="Arial"/>
          <w:sz w:val="20"/>
          <w:szCs w:val="20"/>
        </w:rPr>
        <w:t xml:space="preserve">15.268.197 </w:t>
      </w:r>
      <w:r>
        <w:rPr>
          <w:rFonts w:ascii="Arial" w:hAnsi="Arial" w:cs="Arial"/>
          <w:sz w:val="20"/>
          <w:szCs w:val="20"/>
        </w:rPr>
        <w:t>EUR</w:t>
      </w:r>
      <w:r w:rsidRPr="00197D5B">
        <w:rPr>
          <w:rFonts w:ascii="Arial" w:hAnsi="Arial" w:cs="Arial"/>
          <w:sz w:val="20"/>
          <w:szCs w:val="20"/>
        </w:rPr>
        <w:t xml:space="preserve"> več kot v letu 2020.</w:t>
      </w:r>
    </w:p>
    <w:p w14:paraId="0A735056" w14:textId="77777777" w:rsidR="004B7622" w:rsidRDefault="004B7622" w:rsidP="004B7622">
      <w:pPr>
        <w:jc w:val="both"/>
        <w:rPr>
          <w:rFonts w:ascii="Arial" w:hAnsi="Arial" w:cs="Arial"/>
          <w:sz w:val="20"/>
          <w:szCs w:val="20"/>
        </w:rPr>
      </w:pPr>
      <w:r w:rsidRPr="001E798A">
        <w:rPr>
          <w:rFonts w:ascii="Arial" w:hAnsi="Arial" w:cs="Arial"/>
          <w:sz w:val="20"/>
          <w:szCs w:val="20"/>
        </w:rPr>
        <w:lastRenderedPageBreak/>
        <w:t xml:space="preserve">Po sklepih je bilo v povprečju poplačanega 23,4 </w:t>
      </w:r>
      <w:r>
        <w:rPr>
          <w:rFonts w:ascii="Arial" w:hAnsi="Arial" w:cs="Arial"/>
          <w:sz w:val="20"/>
          <w:szCs w:val="20"/>
        </w:rPr>
        <w:t xml:space="preserve">odstotka </w:t>
      </w:r>
      <w:r w:rsidRPr="001E798A">
        <w:rPr>
          <w:rFonts w:ascii="Arial" w:hAnsi="Arial" w:cs="Arial"/>
          <w:sz w:val="20"/>
          <w:szCs w:val="20"/>
        </w:rPr>
        <w:t xml:space="preserve">dolga. Največji delež izterjanih sredstev predstavljajo plačila na podlagi pisnih opominov in pozivov, in sicer imajo skupaj 56,6 </w:t>
      </w:r>
      <w:r>
        <w:rPr>
          <w:rFonts w:ascii="Arial" w:hAnsi="Arial" w:cs="Arial"/>
          <w:sz w:val="20"/>
          <w:szCs w:val="20"/>
        </w:rPr>
        <w:t xml:space="preserve">odstotni </w:t>
      </w:r>
      <w:r w:rsidRPr="001E798A">
        <w:rPr>
          <w:rFonts w:ascii="Arial" w:hAnsi="Arial" w:cs="Arial"/>
          <w:sz w:val="20"/>
          <w:szCs w:val="20"/>
        </w:rPr>
        <w:t xml:space="preserve">delež. Plačila po sklepih imajo 43,4 </w:t>
      </w:r>
      <w:r>
        <w:rPr>
          <w:rFonts w:ascii="Arial" w:hAnsi="Arial" w:cs="Arial"/>
          <w:sz w:val="20"/>
          <w:szCs w:val="20"/>
        </w:rPr>
        <w:t xml:space="preserve">odstotni </w:t>
      </w:r>
      <w:r w:rsidRPr="001E798A">
        <w:rPr>
          <w:rFonts w:ascii="Arial" w:hAnsi="Arial" w:cs="Arial"/>
          <w:sz w:val="20"/>
          <w:szCs w:val="20"/>
        </w:rPr>
        <w:t>delež vseh plačil.</w:t>
      </w:r>
    </w:p>
    <w:p w14:paraId="04DDB21C" w14:textId="77777777" w:rsidR="004B7622" w:rsidRDefault="004B7622" w:rsidP="004B7622">
      <w:pPr>
        <w:jc w:val="both"/>
        <w:rPr>
          <w:rFonts w:ascii="Arial" w:hAnsi="Arial" w:cs="Arial"/>
          <w:sz w:val="20"/>
          <w:szCs w:val="20"/>
        </w:rPr>
      </w:pPr>
      <w:r w:rsidRPr="001E798A">
        <w:rPr>
          <w:rFonts w:ascii="Arial" w:hAnsi="Arial" w:cs="Arial"/>
          <w:sz w:val="20"/>
          <w:szCs w:val="20"/>
        </w:rPr>
        <w:t xml:space="preserve">Med izdanimi sklepi o izvršbi tudi v primeru izterjave nedavčnih obveznosti prevladujejo sklepi o izvršbi na denarna sredstva pri bankah in hranilnicah. Navedenih sklepov je bilo v letu 2021 izdanih 109.438  (87,5 </w:t>
      </w:r>
      <w:r>
        <w:rPr>
          <w:rFonts w:ascii="Arial" w:hAnsi="Arial" w:cs="Arial"/>
          <w:sz w:val="20"/>
          <w:szCs w:val="20"/>
        </w:rPr>
        <w:t>odstotka</w:t>
      </w:r>
      <w:r w:rsidRPr="001E798A">
        <w:rPr>
          <w:rFonts w:ascii="Arial" w:hAnsi="Arial" w:cs="Arial"/>
          <w:sz w:val="20"/>
          <w:szCs w:val="20"/>
        </w:rPr>
        <w:t xml:space="preserve"> vseh). Sledijo sklepi o izvršbi na denarne prejemke 13.706 (11 </w:t>
      </w:r>
      <w:r>
        <w:rPr>
          <w:rFonts w:ascii="Arial" w:hAnsi="Arial" w:cs="Arial"/>
          <w:sz w:val="20"/>
          <w:szCs w:val="20"/>
        </w:rPr>
        <w:t>odstotka</w:t>
      </w:r>
      <w:r w:rsidRPr="001E798A">
        <w:rPr>
          <w:rFonts w:ascii="Arial" w:hAnsi="Arial" w:cs="Arial"/>
          <w:sz w:val="20"/>
          <w:szCs w:val="20"/>
        </w:rPr>
        <w:t xml:space="preserve">). Izvršba na dolžnikove premičnine je bila začeta v 1.861 primerih (1,5 </w:t>
      </w:r>
      <w:r>
        <w:rPr>
          <w:rFonts w:ascii="Arial" w:hAnsi="Arial" w:cs="Arial"/>
          <w:sz w:val="20"/>
          <w:szCs w:val="20"/>
        </w:rPr>
        <w:t>odstotka</w:t>
      </w:r>
      <w:r w:rsidRPr="001E798A">
        <w:rPr>
          <w:rFonts w:ascii="Arial" w:hAnsi="Arial" w:cs="Arial"/>
          <w:sz w:val="20"/>
          <w:szCs w:val="20"/>
        </w:rPr>
        <w:t>). Na denarne terjatve dolžnikov je bilo izdanih 61 sklepov.</w:t>
      </w:r>
      <w:r>
        <w:rPr>
          <w:rFonts w:ascii="Arial" w:hAnsi="Arial" w:cs="Arial"/>
          <w:sz w:val="20"/>
          <w:szCs w:val="20"/>
        </w:rPr>
        <w:t xml:space="preserve"> </w:t>
      </w:r>
      <w:r w:rsidRPr="001E798A">
        <w:rPr>
          <w:rFonts w:ascii="Arial" w:hAnsi="Arial" w:cs="Arial"/>
          <w:sz w:val="20"/>
          <w:szCs w:val="20"/>
        </w:rPr>
        <w:t xml:space="preserve">Najučinkovitejše sredstvo izvršbe z vidika plačil je bila izvršba na denarna sredstva dolžnika pri bankah ali hranilnicah z 83,3 </w:t>
      </w:r>
      <w:r>
        <w:rPr>
          <w:rFonts w:ascii="Arial" w:hAnsi="Arial" w:cs="Arial"/>
          <w:sz w:val="20"/>
          <w:szCs w:val="20"/>
        </w:rPr>
        <w:t xml:space="preserve">odstotni </w:t>
      </w:r>
      <w:r w:rsidRPr="001E798A">
        <w:rPr>
          <w:rFonts w:ascii="Arial" w:hAnsi="Arial" w:cs="Arial"/>
          <w:sz w:val="20"/>
          <w:szCs w:val="20"/>
        </w:rPr>
        <w:t>deležem vseh plačil.</w:t>
      </w:r>
    </w:p>
    <w:p w14:paraId="48069EDC" w14:textId="77777777" w:rsidR="004B7622" w:rsidRPr="00E523D8" w:rsidRDefault="004B7622" w:rsidP="004B7622">
      <w:pPr>
        <w:rPr>
          <w:rFonts w:ascii="Arial" w:hAnsi="Arial" w:cs="Arial"/>
          <w:b/>
        </w:rPr>
      </w:pPr>
      <w:bookmarkStart w:id="6" w:name="_Hlk100062578"/>
      <w:r w:rsidRPr="00E523D8">
        <w:rPr>
          <w:rFonts w:ascii="Arial" w:hAnsi="Arial" w:cs="Arial"/>
          <w:b/>
        </w:rPr>
        <w:t xml:space="preserve">7. Nadzor </w:t>
      </w:r>
    </w:p>
    <w:p w14:paraId="41092AB9" w14:textId="77777777" w:rsidR="004B7622" w:rsidRPr="0081397B" w:rsidRDefault="004B7622" w:rsidP="004B7622">
      <w:pPr>
        <w:jc w:val="both"/>
        <w:rPr>
          <w:rFonts w:ascii="Arial" w:hAnsi="Arial" w:cs="Arial"/>
          <w:sz w:val="20"/>
          <w:szCs w:val="20"/>
          <w:lang w:eastAsia="sl-SI"/>
        </w:rPr>
      </w:pPr>
      <w:r w:rsidRPr="0081397B">
        <w:rPr>
          <w:rFonts w:ascii="Arial" w:hAnsi="Arial" w:cs="Arial"/>
          <w:sz w:val="20"/>
          <w:szCs w:val="20"/>
          <w:lang w:eastAsia="sl-SI"/>
        </w:rPr>
        <w:t>Ukrepi davčnega nadzora predstavljajo enega izmed orodij, s katerim FURS znižuje davčni razkorak – razliko med vsemi nastalimi obveznostmi iz naslova obveznih  dajatev in dejansko pobranimi javno finančnimi prihodki. Del davčnega dolga predstavljajo obveznosti, odmerjene v postopkih davčnega nadzora, ki jih zavezanci ne poravnajo v zakonskih rokih. Preostali del davčnega razkoraka ni evidentiran kot obveznost v evidencah FURS in se zato ne obravnava kot davčni dolg.</w:t>
      </w:r>
      <w:r w:rsidRPr="0081397B">
        <w:rPr>
          <w:rStyle w:val="Sprotnaopomba-sklic"/>
          <w:rFonts w:ascii="Arial" w:hAnsi="Arial" w:cs="Arial"/>
          <w:sz w:val="20"/>
          <w:szCs w:val="20"/>
          <w:lang w:eastAsia="sl-SI"/>
        </w:rPr>
        <w:footnoteReference w:id="23"/>
      </w:r>
      <w:r w:rsidRPr="0081397B">
        <w:rPr>
          <w:rFonts w:ascii="Arial" w:hAnsi="Arial" w:cs="Arial"/>
          <w:sz w:val="20"/>
          <w:szCs w:val="20"/>
          <w:lang w:eastAsia="sl-SI"/>
        </w:rPr>
        <w:t xml:space="preserve"> </w:t>
      </w:r>
    </w:p>
    <w:p w14:paraId="17B8DC04" w14:textId="77777777" w:rsidR="004B7622" w:rsidRPr="0081397B" w:rsidRDefault="004B7622" w:rsidP="004B76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0"/>
          <w:szCs w:val="20"/>
        </w:rPr>
      </w:pPr>
      <w:r w:rsidRPr="0081397B">
        <w:rPr>
          <w:rFonts w:ascii="Arial" w:hAnsi="Arial" w:cs="Arial"/>
          <w:bCs/>
          <w:sz w:val="20"/>
          <w:szCs w:val="20"/>
        </w:rPr>
        <w:t xml:space="preserve">Najpogostejša oblika nadzora se izvaja neposredno ob predložitvi obračuna, napovedi, deklaracije ali drugega dokumenta za določitev obveznosti. Formalne, logične in računske kontrole, ki so praviloma vgrajene v programsko podporo, določajo obseg in vrsto nepravilnosti, ki jih je potrebno preveriti ob sprejemu vhodnega dokumenta. Med tovrstno obliko nadzora sodi tudi preverjanje pravočasnosti predlaganja dokumentov, ki so podlaga za določitev obveznosti, ter pozivanje zavezancev k predložitvi teh dokumentov. Pomemben vpliv na zmanjšanje obsega izvajanja tovrstnega nadzora imajo sprejeti instituti, ki zagotavljajo dosledno evidentiranje nastalih obveznih dajatev v evidencah </w:t>
      </w:r>
      <w:r w:rsidRPr="00B85075">
        <w:rPr>
          <w:rFonts w:ascii="Arial" w:hAnsi="Arial" w:cs="Arial"/>
          <w:bCs/>
          <w:sz w:val="20"/>
          <w:szCs w:val="20"/>
        </w:rPr>
        <w:t xml:space="preserve">FURS – npr. </w:t>
      </w:r>
      <w:proofErr w:type="spellStart"/>
      <w:r w:rsidRPr="00B85075">
        <w:rPr>
          <w:rFonts w:ascii="Arial" w:hAnsi="Arial" w:cs="Arial"/>
          <w:bCs/>
          <w:sz w:val="20"/>
          <w:szCs w:val="20"/>
        </w:rPr>
        <w:t>predizpolnjeni</w:t>
      </w:r>
      <w:proofErr w:type="spellEnd"/>
      <w:r w:rsidRPr="0081397B">
        <w:rPr>
          <w:rFonts w:ascii="Arial" w:hAnsi="Arial" w:cs="Arial"/>
          <w:bCs/>
          <w:sz w:val="20"/>
          <w:szCs w:val="20"/>
        </w:rPr>
        <w:t xml:space="preserve"> obračuni prispevkov za socialno varnost za samozaposlene, kmete in osebe, ki so v zavarovanje vključene prostovoljno.</w:t>
      </w:r>
    </w:p>
    <w:p w14:paraId="29DD5301" w14:textId="77777777" w:rsidR="004B7622" w:rsidRPr="0081397B" w:rsidRDefault="004B7622" w:rsidP="004B76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sz w:val="20"/>
          <w:szCs w:val="20"/>
        </w:rPr>
      </w:pPr>
      <w:r w:rsidRPr="0081397B">
        <w:rPr>
          <w:rFonts w:ascii="Arial" w:hAnsi="Arial" w:cs="Arial"/>
          <w:bCs/>
          <w:sz w:val="20"/>
          <w:szCs w:val="20"/>
        </w:rPr>
        <w:t xml:space="preserve">Vse pomembnejši del nadzora so poglobljene vsebinske kontrole, ki jih opravljajo kontrolorji. FURS si prizadeva za povečevanje deleža navedenih kontrol, predpostavka za to pa je razbremenitev kontrolorjev z nekaterimi drugimi nalogami. Že omenjeni </w:t>
      </w:r>
      <w:proofErr w:type="spellStart"/>
      <w:r w:rsidRPr="0081397B">
        <w:rPr>
          <w:rFonts w:ascii="Arial" w:hAnsi="Arial" w:cs="Arial"/>
          <w:bCs/>
          <w:sz w:val="20"/>
          <w:szCs w:val="20"/>
        </w:rPr>
        <w:t>predizpolnjeni</w:t>
      </w:r>
      <w:proofErr w:type="spellEnd"/>
      <w:r w:rsidRPr="0081397B">
        <w:rPr>
          <w:rFonts w:ascii="Arial" w:hAnsi="Arial" w:cs="Arial"/>
          <w:bCs/>
          <w:sz w:val="20"/>
          <w:szCs w:val="20"/>
        </w:rPr>
        <w:t xml:space="preserve"> obračuni prispevkov za socialno varnost</w:t>
      </w:r>
      <w:r>
        <w:rPr>
          <w:rFonts w:ascii="Arial" w:hAnsi="Arial" w:cs="Arial"/>
          <w:bCs/>
          <w:sz w:val="20"/>
          <w:szCs w:val="20"/>
        </w:rPr>
        <w:t xml:space="preserve"> in</w:t>
      </w:r>
      <w:r w:rsidRPr="0081397B">
        <w:rPr>
          <w:rFonts w:ascii="Arial" w:hAnsi="Arial" w:cs="Arial"/>
          <w:bCs/>
          <w:sz w:val="20"/>
          <w:szCs w:val="20"/>
        </w:rPr>
        <w:t xml:space="preserve"> sprememba koncepta informiranja zavezancev so le nekateri ukrepi, ki omogočajo preusmerjanje kontrolnih postopkov v vsebinsko zahtevnejše nadzore.  </w:t>
      </w:r>
    </w:p>
    <w:p w14:paraId="2AC62721" w14:textId="77777777" w:rsidR="004B7622" w:rsidRPr="00ED4F40" w:rsidRDefault="004B7622" w:rsidP="004B7622">
      <w:pPr>
        <w:jc w:val="both"/>
        <w:rPr>
          <w:rFonts w:ascii="Arial" w:hAnsi="Arial" w:cs="Arial"/>
          <w:color w:val="000000"/>
          <w:sz w:val="20"/>
          <w:szCs w:val="20"/>
        </w:rPr>
      </w:pPr>
      <w:r w:rsidRPr="00ED4F40">
        <w:rPr>
          <w:rFonts w:ascii="Arial" w:hAnsi="Arial" w:cs="Arial"/>
          <w:color w:val="000000"/>
          <w:sz w:val="20"/>
          <w:szCs w:val="20"/>
        </w:rPr>
        <w:t xml:space="preserve">Inšpekcijski nadzor je namenjen sistemskemu naknadnemu nadzoru zavezancev. Ta se zagotavlja z letnim načrtom, ki se pripravi z analizo tveganja in objektivnimi kriteriji, s katerimi se upošteva načelo enakomernega izvajanja inšpekcijskega nadzora vseh zavezancev za davek in načelo pomembnosti davka, ki ga zavezanec za davek prispeva v javnofinančnih prihodkih. Inšpekcijski nadzori postajajo vse bolj ciljno usmerjeni, kar zagotavlja večjo učinkovitost nadzornih postopkov, hkrati pa se s tem zmanjšuje čas opravljanja posameznega nadzora. </w:t>
      </w:r>
    </w:p>
    <w:p w14:paraId="0ED7E7B2" w14:textId="77777777" w:rsidR="004B7622" w:rsidRDefault="004B7622" w:rsidP="004B7622">
      <w:pPr>
        <w:jc w:val="both"/>
        <w:rPr>
          <w:rFonts w:ascii="Arial" w:hAnsi="Arial" w:cs="Arial"/>
          <w:color w:val="000000"/>
          <w:sz w:val="20"/>
          <w:szCs w:val="20"/>
        </w:rPr>
      </w:pPr>
      <w:r w:rsidRPr="00ED4F40">
        <w:rPr>
          <w:rFonts w:ascii="Arial" w:hAnsi="Arial" w:cs="Arial"/>
          <w:color w:val="000000"/>
          <w:sz w:val="20"/>
          <w:szCs w:val="20"/>
        </w:rPr>
        <w:t xml:space="preserve">Finančne preiskave zagotavljajo enoten in organiziran pristop k preprečevanju, preiskovanju in odkrivanju zahtevnejših oblik delovanja, ki ogroža finančni interes, varstvo in varnost države. Osredotočajo se predvsem na primere, v katerih je zaznano usklajeno delovanje več povezanih subjektov, ki je načrtno usmerjeno v izogibanje oziroma utajevanje plačevanja dajatev. Hkrati predstavljajo del koordiniranega institucionalnega odzivanja na zahtevne oblike finančnega in gospodarskega kriminala znotraj države kot tudi na mednarodni ravni. Učinki finančnih preiskav so v nadaljevanju predstavljeni v okviru inšpekcijskih nadzorov. </w:t>
      </w:r>
    </w:p>
    <w:p w14:paraId="0BE04ED1" w14:textId="77777777" w:rsidR="004B7622" w:rsidRPr="009E7683" w:rsidRDefault="004B7622" w:rsidP="004B7622">
      <w:pPr>
        <w:jc w:val="both"/>
        <w:rPr>
          <w:rFonts w:ascii="Arial" w:hAnsi="Arial" w:cs="Arial"/>
          <w:color w:val="000000"/>
          <w:sz w:val="20"/>
          <w:szCs w:val="20"/>
        </w:rPr>
      </w:pPr>
      <w:r w:rsidRPr="009E7683">
        <w:rPr>
          <w:rFonts w:ascii="Arial" w:hAnsi="Arial" w:cs="Arial"/>
          <w:color w:val="000000"/>
          <w:sz w:val="20"/>
          <w:szCs w:val="20"/>
        </w:rPr>
        <w:lastRenderedPageBreak/>
        <w:t xml:space="preserve">V letu 2021 so se v kontroli, inšpekciji, preiskavah in mobilnih oddelkih izvajali ciljno usmerjeni nadzori na področjih obdavčitve davka od dohodkov pravnih oseb in davka od dohodkov iz dejavnosti, na področju pravilnosti in pravočasnosti obračunavanja DDV, sistemskih utaj DDV in DDV v mednarodnem cestnem prevozu potnikov, nadzori na področju davkov in prispevkov od dohodkov fizičnih oseb, elektronskega poslovanja, na področju carin, trošarin, </w:t>
      </w:r>
      <w:proofErr w:type="spellStart"/>
      <w:r w:rsidRPr="009E7683">
        <w:rPr>
          <w:rFonts w:ascii="Arial" w:hAnsi="Arial" w:cs="Arial"/>
          <w:color w:val="000000"/>
          <w:sz w:val="20"/>
          <w:szCs w:val="20"/>
        </w:rPr>
        <w:t>okoljskih</w:t>
      </w:r>
      <w:proofErr w:type="spellEnd"/>
      <w:r w:rsidRPr="009E7683">
        <w:rPr>
          <w:rFonts w:ascii="Arial" w:hAnsi="Arial" w:cs="Arial"/>
          <w:color w:val="000000"/>
          <w:sz w:val="20"/>
          <w:szCs w:val="20"/>
        </w:rPr>
        <w:t xml:space="preserve"> dajatev, poslovanja z davčnimi oazami, prijave premoženja fizičnih oseb ter transfernih cen. F</w:t>
      </w:r>
      <w:r>
        <w:rPr>
          <w:rFonts w:ascii="Arial" w:hAnsi="Arial" w:cs="Arial"/>
          <w:color w:val="000000"/>
          <w:sz w:val="20"/>
          <w:szCs w:val="20"/>
        </w:rPr>
        <w:t xml:space="preserve">URS </w:t>
      </w:r>
      <w:r w:rsidRPr="009E7683">
        <w:rPr>
          <w:rFonts w:ascii="Arial" w:hAnsi="Arial" w:cs="Arial"/>
          <w:color w:val="000000"/>
          <w:sz w:val="20"/>
          <w:szCs w:val="20"/>
        </w:rPr>
        <w:t>je tudi v letu 2021 namenila posebno pozornost boju zoper sivo ekonomijo, katere nadzor je bil v veliki meri usmerjen na nadzor dela in zaposlovanja na črno ter nadzor davčnih blagajn.</w:t>
      </w:r>
    </w:p>
    <w:p w14:paraId="373C4F6A" w14:textId="77777777" w:rsidR="004B7622" w:rsidRPr="009E7683" w:rsidRDefault="004B7622" w:rsidP="004B7622">
      <w:pPr>
        <w:jc w:val="both"/>
        <w:rPr>
          <w:rFonts w:ascii="Arial" w:hAnsi="Arial" w:cs="Arial"/>
          <w:color w:val="000000"/>
          <w:sz w:val="20"/>
          <w:szCs w:val="20"/>
        </w:rPr>
      </w:pPr>
      <w:r w:rsidRPr="009E7683">
        <w:rPr>
          <w:rFonts w:ascii="Arial" w:hAnsi="Arial" w:cs="Arial"/>
          <w:color w:val="000000"/>
          <w:sz w:val="20"/>
          <w:szCs w:val="20"/>
        </w:rPr>
        <w:t>Ukrepi za preprečevanje širjenja epidemije nalezljivih bolezni SARS – CoV-2 (COVID-19) so v letu 2021 pomembno posegli v aktivnosti zavezancev za davek, čemur je bilo potrebno prilagoditi tudi delovanje F</w:t>
      </w:r>
      <w:r>
        <w:rPr>
          <w:rFonts w:ascii="Arial" w:hAnsi="Arial" w:cs="Arial"/>
          <w:color w:val="000000"/>
          <w:sz w:val="20"/>
          <w:szCs w:val="20"/>
        </w:rPr>
        <w:t>URS</w:t>
      </w:r>
      <w:r w:rsidRPr="009E7683">
        <w:rPr>
          <w:rFonts w:ascii="Arial" w:hAnsi="Arial" w:cs="Arial"/>
          <w:color w:val="000000"/>
          <w:sz w:val="20"/>
          <w:szCs w:val="20"/>
        </w:rPr>
        <w:t xml:space="preserve"> na področju nadzora. F</w:t>
      </w:r>
      <w:r>
        <w:rPr>
          <w:rFonts w:ascii="Arial" w:hAnsi="Arial" w:cs="Arial"/>
          <w:color w:val="000000"/>
          <w:sz w:val="20"/>
          <w:szCs w:val="20"/>
        </w:rPr>
        <w:t xml:space="preserve">URS </w:t>
      </w:r>
      <w:r w:rsidRPr="009E7683">
        <w:rPr>
          <w:rFonts w:ascii="Arial" w:hAnsi="Arial" w:cs="Arial"/>
          <w:color w:val="000000"/>
          <w:sz w:val="20"/>
          <w:szCs w:val="20"/>
        </w:rPr>
        <w:t xml:space="preserve">je, upoštevajoč okoliščine zaradi širjenja okužb, svoje usmeritve na področju nadzora tudi v letu 2021 </w:t>
      </w:r>
      <w:r w:rsidRPr="00E523D8">
        <w:rPr>
          <w:rFonts w:ascii="Arial" w:hAnsi="Arial" w:cs="Arial"/>
          <w:color w:val="000000"/>
          <w:sz w:val="20"/>
          <w:szCs w:val="20"/>
        </w:rPr>
        <w:t>ustrezno prilagajal.</w:t>
      </w:r>
    </w:p>
    <w:p w14:paraId="1FBF64C9" w14:textId="77777777" w:rsidR="004B7622" w:rsidRDefault="004B7622" w:rsidP="004B7622">
      <w:pPr>
        <w:jc w:val="both"/>
        <w:rPr>
          <w:rFonts w:ascii="Arial" w:hAnsi="Arial" w:cs="Arial"/>
          <w:color w:val="000000"/>
          <w:sz w:val="20"/>
          <w:szCs w:val="20"/>
        </w:rPr>
      </w:pPr>
      <w:r w:rsidRPr="009E7683">
        <w:rPr>
          <w:rFonts w:ascii="Arial" w:hAnsi="Arial" w:cs="Arial"/>
          <w:color w:val="000000"/>
          <w:sz w:val="20"/>
          <w:szCs w:val="20"/>
        </w:rPr>
        <w:t>V času trajanja epidemije in veljavnosti vladnih odlokov so bili kot prioritetni in nujni določeni nadzori nad izvajanjem ukrepov (vladnih odlokov) za zmanjšanje tveganja okužbe in širjenja okužbe z virusom COVID-19, ki so se izvajali sočasno z izvajanjem nadzorov iz pristojnosti F</w:t>
      </w:r>
      <w:r>
        <w:rPr>
          <w:rFonts w:ascii="Arial" w:hAnsi="Arial" w:cs="Arial"/>
          <w:color w:val="000000"/>
          <w:sz w:val="20"/>
          <w:szCs w:val="20"/>
        </w:rPr>
        <w:t>URS</w:t>
      </w:r>
      <w:r w:rsidRPr="009E7683">
        <w:rPr>
          <w:rFonts w:ascii="Arial" w:hAnsi="Arial" w:cs="Arial"/>
          <w:color w:val="000000"/>
          <w:sz w:val="20"/>
          <w:szCs w:val="20"/>
        </w:rPr>
        <w:t>, še posebej pa na področju izdaje in davčnega potrjevanja računov ter dela in zaposlovanja na črno. Gre za strateške usmeritve in prioritete inšpekcije, ki jih je koordiniralo Ministrstvo za javno upravo (Inšpekcijski svet) in so pomembno spremenile sicer načrtovane usmeritve in prioritete inšpekcije F</w:t>
      </w:r>
      <w:r>
        <w:rPr>
          <w:rFonts w:ascii="Arial" w:hAnsi="Arial" w:cs="Arial"/>
          <w:color w:val="000000"/>
          <w:sz w:val="20"/>
          <w:szCs w:val="20"/>
        </w:rPr>
        <w:t>URS</w:t>
      </w:r>
      <w:r w:rsidRPr="009E7683">
        <w:rPr>
          <w:rFonts w:ascii="Arial" w:hAnsi="Arial" w:cs="Arial"/>
          <w:color w:val="000000"/>
          <w:sz w:val="20"/>
          <w:szCs w:val="20"/>
        </w:rPr>
        <w:t xml:space="preserve"> za leto 2021.</w:t>
      </w:r>
    </w:p>
    <w:p w14:paraId="0C8A2D3E" w14:textId="77777777" w:rsidR="004B7622" w:rsidRDefault="004B7622" w:rsidP="004B7622">
      <w:pPr>
        <w:jc w:val="both"/>
        <w:rPr>
          <w:rFonts w:ascii="Arial" w:hAnsi="Arial" w:cs="Arial"/>
          <w:i/>
          <w:color w:val="000000"/>
          <w:sz w:val="20"/>
          <w:szCs w:val="20"/>
        </w:rPr>
      </w:pPr>
      <w:r w:rsidRPr="00ED4F40">
        <w:rPr>
          <w:rFonts w:ascii="Arial" w:hAnsi="Arial" w:cs="Arial"/>
          <w:i/>
          <w:color w:val="000000"/>
          <w:sz w:val="20"/>
          <w:szCs w:val="20"/>
        </w:rPr>
        <w:t>Preglednica 2</w:t>
      </w:r>
      <w:r>
        <w:rPr>
          <w:rFonts w:ascii="Arial" w:hAnsi="Arial" w:cs="Arial"/>
          <w:i/>
          <w:color w:val="000000"/>
          <w:sz w:val="20"/>
          <w:szCs w:val="20"/>
        </w:rPr>
        <w:t>6</w:t>
      </w:r>
      <w:r w:rsidRPr="00ED4F40">
        <w:rPr>
          <w:rFonts w:ascii="Arial" w:hAnsi="Arial" w:cs="Arial"/>
          <w:i/>
          <w:color w:val="000000"/>
          <w:sz w:val="20"/>
          <w:szCs w:val="20"/>
        </w:rPr>
        <w:t>: Učinki davčnega nadzora (zneski v EUR)</w:t>
      </w:r>
    </w:p>
    <w:tbl>
      <w:tblPr>
        <w:tblW w:w="9106" w:type="dxa"/>
        <w:tblCellMar>
          <w:left w:w="70" w:type="dxa"/>
          <w:right w:w="70" w:type="dxa"/>
        </w:tblCellMar>
        <w:tblLook w:val="04A0" w:firstRow="1" w:lastRow="0" w:firstColumn="1" w:lastColumn="0" w:noHBand="0" w:noVBand="1"/>
      </w:tblPr>
      <w:tblGrid>
        <w:gridCol w:w="1860"/>
        <w:gridCol w:w="1206"/>
        <w:gridCol w:w="1207"/>
        <w:gridCol w:w="1261"/>
        <w:gridCol w:w="1214"/>
        <w:gridCol w:w="1207"/>
        <w:gridCol w:w="1151"/>
      </w:tblGrid>
      <w:tr w:rsidR="004B7622" w:rsidRPr="00F048F9" w14:paraId="104FCC5A" w14:textId="77777777" w:rsidTr="00377989">
        <w:trPr>
          <w:trHeight w:val="513"/>
        </w:trPr>
        <w:tc>
          <w:tcPr>
            <w:tcW w:w="1860" w:type="dxa"/>
            <w:tcBorders>
              <w:top w:val="single" w:sz="4" w:space="0" w:color="auto"/>
              <w:left w:val="single" w:sz="4" w:space="0" w:color="auto"/>
              <w:bottom w:val="single" w:sz="4" w:space="0" w:color="auto"/>
              <w:right w:val="single" w:sz="4" w:space="0" w:color="auto"/>
            </w:tcBorders>
            <w:shd w:val="clear" w:color="auto" w:fill="31869B"/>
            <w:vAlign w:val="center"/>
            <w:hideMark/>
          </w:tcPr>
          <w:p w14:paraId="2BF65C2C" w14:textId="77777777" w:rsidR="004B7622" w:rsidRPr="00BD0902" w:rsidRDefault="004B7622" w:rsidP="00377989">
            <w:pPr>
              <w:spacing w:after="0" w:line="240" w:lineRule="auto"/>
              <w:jc w:val="both"/>
              <w:rPr>
                <w:rFonts w:ascii="Arial" w:eastAsia="Times New Roman" w:hAnsi="Arial" w:cs="Arial"/>
                <w:b/>
                <w:bCs/>
                <w:color w:val="FFFFFF"/>
                <w:sz w:val="18"/>
                <w:szCs w:val="18"/>
                <w:lang w:eastAsia="sl-SI"/>
              </w:rPr>
            </w:pPr>
            <w:r w:rsidRPr="00BD0902">
              <w:rPr>
                <w:rFonts w:ascii="Arial" w:eastAsia="Times New Roman" w:hAnsi="Arial" w:cs="Arial"/>
                <w:b/>
                <w:bCs/>
                <w:color w:val="FFFFFF"/>
                <w:sz w:val="18"/>
                <w:szCs w:val="18"/>
                <w:lang w:eastAsia="sl-SI"/>
              </w:rPr>
              <w:t>Učinki nadzora – dodatno odmerjene obveznosti v eur</w:t>
            </w:r>
          </w:p>
        </w:tc>
        <w:tc>
          <w:tcPr>
            <w:tcW w:w="1206" w:type="dxa"/>
            <w:tcBorders>
              <w:top w:val="single" w:sz="4" w:space="0" w:color="auto"/>
              <w:left w:val="nil"/>
              <w:bottom w:val="single" w:sz="4" w:space="0" w:color="auto"/>
              <w:right w:val="single" w:sz="4" w:space="0" w:color="auto"/>
            </w:tcBorders>
            <w:shd w:val="clear" w:color="auto" w:fill="31869B"/>
            <w:vAlign w:val="center"/>
            <w:hideMark/>
          </w:tcPr>
          <w:p w14:paraId="253AC3C0" w14:textId="77777777" w:rsidR="004B7622" w:rsidRPr="00BD0902" w:rsidRDefault="004B7622" w:rsidP="00377989">
            <w:pPr>
              <w:spacing w:after="0" w:line="240" w:lineRule="auto"/>
              <w:jc w:val="center"/>
              <w:rPr>
                <w:rFonts w:ascii="Arial" w:eastAsia="Times New Roman" w:hAnsi="Arial" w:cs="Arial"/>
                <w:b/>
                <w:bCs/>
                <w:color w:val="FFFFFF"/>
                <w:sz w:val="18"/>
                <w:szCs w:val="18"/>
                <w:lang w:eastAsia="sl-SI"/>
              </w:rPr>
            </w:pPr>
            <w:r w:rsidRPr="00BD0902">
              <w:rPr>
                <w:rFonts w:ascii="Arial" w:eastAsia="Times New Roman" w:hAnsi="Arial" w:cs="Arial"/>
                <w:b/>
                <w:bCs/>
                <w:color w:val="FFFFFF"/>
                <w:sz w:val="18"/>
                <w:szCs w:val="18"/>
                <w:lang w:eastAsia="sl-SI"/>
              </w:rPr>
              <w:t>2016</w:t>
            </w:r>
          </w:p>
        </w:tc>
        <w:tc>
          <w:tcPr>
            <w:tcW w:w="1207" w:type="dxa"/>
            <w:tcBorders>
              <w:top w:val="single" w:sz="4" w:space="0" w:color="auto"/>
              <w:left w:val="nil"/>
              <w:bottom w:val="single" w:sz="4" w:space="0" w:color="auto"/>
              <w:right w:val="single" w:sz="4" w:space="0" w:color="auto"/>
            </w:tcBorders>
            <w:shd w:val="clear" w:color="auto" w:fill="31869B"/>
            <w:vAlign w:val="center"/>
            <w:hideMark/>
          </w:tcPr>
          <w:p w14:paraId="5A746654" w14:textId="77777777" w:rsidR="004B7622" w:rsidRPr="00BD0902" w:rsidRDefault="004B7622" w:rsidP="00377989">
            <w:pPr>
              <w:spacing w:after="0" w:line="240" w:lineRule="auto"/>
              <w:jc w:val="center"/>
              <w:rPr>
                <w:rFonts w:ascii="Arial" w:eastAsia="Times New Roman" w:hAnsi="Arial" w:cs="Arial"/>
                <w:b/>
                <w:bCs/>
                <w:color w:val="FFFFFF"/>
                <w:sz w:val="18"/>
                <w:szCs w:val="18"/>
                <w:lang w:eastAsia="sl-SI"/>
              </w:rPr>
            </w:pPr>
            <w:r w:rsidRPr="00BD0902">
              <w:rPr>
                <w:rFonts w:ascii="Arial" w:eastAsia="Times New Roman" w:hAnsi="Arial" w:cs="Arial"/>
                <w:b/>
                <w:bCs/>
                <w:color w:val="FFFFFF"/>
                <w:sz w:val="18"/>
                <w:szCs w:val="18"/>
                <w:lang w:eastAsia="sl-SI"/>
              </w:rPr>
              <w:t>2017</w:t>
            </w:r>
          </w:p>
        </w:tc>
        <w:tc>
          <w:tcPr>
            <w:tcW w:w="1261" w:type="dxa"/>
            <w:tcBorders>
              <w:top w:val="single" w:sz="4" w:space="0" w:color="auto"/>
              <w:left w:val="nil"/>
              <w:bottom w:val="single" w:sz="4" w:space="0" w:color="auto"/>
              <w:right w:val="single" w:sz="4" w:space="0" w:color="auto"/>
            </w:tcBorders>
            <w:shd w:val="clear" w:color="auto" w:fill="31869B"/>
            <w:vAlign w:val="center"/>
            <w:hideMark/>
          </w:tcPr>
          <w:p w14:paraId="3E868C97" w14:textId="77777777" w:rsidR="004B7622" w:rsidRPr="00BD0902" w:rsidRDefault="004B7622" w:rsidP="00377989">
            <w:pPr>
              <w:spacing w:after="0" w:line="240" w:lineRule="auto"/>
              <w:jc w:val="center"/>
              <w:rPr>
                <w:rFonts w:ascii="Arial" w:eastAsia="Times New Roman" w:hAnsi="Arial" w:cs="Arial"/>
                <w:b/>
                <w:bCs/>
                <w:color w:val="FFFFFF"/>
                <w:sz w:val="18"/>
                <w:szCs w:val="18"/>
                <w:lang w:eastAsia="sl-SI"/>
              </w:rPr>
            </w:pPr>
            <w:r w:rsidRPr="00BD0902">
              <w:rPr>
                <w:rFonts w:ascii="Arial" w:eastAsia="Times New Roman" w:hAnsi="Arial" w:cs="Arial"/>
                <w:b/>
                <w:bCs/>
                <w:color w:val="FFFFFF"/>
                <w:sz w:val="18"/>
                <w:szCs w:val="18"/>
                <w:lang w:eastAsia="sl-SI"/>
              </w:rPr>
              <w:t>2018</w:t>
            </w:r>
          </w:p>
        </w:tc>
        <w:tc>
          <w:tcPr>
            <w:tcW w:w="1214" w:type="dxa"/>
            <w:tcBorders>
              <w:top w:val="single" w:sz="4" w:space="0" w:color="auto"/>
              <w:left w:val="nil"/>
              <w:bottom w:val="single" w:sz="4" w:space="0" w:color="auto"/>
              <w:right w:val="single" w:sz="4" w:space="0" w:color="auto"/>
            </w:tcBorders>
            <w:shd w:val="clear" w:color="auto" w:fill="31869B"/>
            <w:vAlign w:val="center"/>
            <w:hideMark/>
          </w:tcPr>
          <w:p w14:paraId="4ACC6228" w14:textId="77777777" w:rsidR="004B7622" w:rsidRPr="00BD0902" w:rsidRDefault="004B7622" w:rsidP="00377989">
            <w:pPr>
              <w:spacing w:after="0" w:line="240" w:lineRule="auto"/>
              <w:jc w:val="center"/>
              <w:rPr>
                <w:rFonts w:ascii="Arial" w:eastAsia="Times New Roman" w:hAnsi="Arial" w:cs="Arial"/>
                <w:b/>
                <w:bCs/>
                <w:color w:val="FFFFFF"/>
                <w:sz w:val="18"/>
                <w:szCs w:val="18"/>
                <w:lang w:eastAsia="sl-SI"/>
              </w:rPr>
            </w:pPr>
            <w:r w:rsidRPr="00BD0902">
              <w:rPr>
                <w:rFonts w:ascii="Arial" w:eastAsia="Times New Roman" w:hAnsi="Arial" w:cs="Arial"/>
                <w:b/>
                <w:bCs/>
                <w:color w:val="FFFFFF"/>
                <w:sz w:val="18"/>
                <w:szCs w:val="18"/>
                <w:lang w:eastAsia="sl-SI"/>
              </w:rPr>
              <w:t>2019</w:t>
            </w:r>
          </w:p>
        </w:tc>
        <w:tc>
          <w:tcPr>
            <w:tcW w:w="1207" w:type="dxa"/>
            <w:tcBorders>
              <w:top w:val="single" w:sz="4" w:space="0" w:color="auto"/>
              <w:left w:val="nil"/>
              <w:bottom w:val="single" w:sz="4" w:space="0" w:color="auto"/>
              <w:right w:val="single" w:sz="4" w:space="0" w:color="auto"/>
            </w:tcBorders>
            <w:shd w:val="clear" w:color="auto" w:fill="31869B"/>
          </w:tcPr>
          <w:p w14:paraId="1DDE888D" w14:textId="77777777" w:rsidR="004B7622" w:rsidRDefault="004B7622" w:rsidP="00377989">
            <w:pPr>
              <w:spacing w:after="0" w:line="240" w:lineRule="auto"/>
              <w:jc w:val="center"/>
              <w:rPr>
                <w:rFonts w:ascii="Arial" w:eastAsia="Times New Roman" w:hAnsi="Arial" w:cs="Arial"/>
                <w:b/>
                <w:bCs/>
                <w:color w:val="FFFFFF"/>
                <w:sz w:val="18"/>
                <w:szCs w:val="18"/>
                <w:lang w:eastAsia="sl-SI"/>
              </w:rPr>
            </w:pPr>
          </w:p>
          <w:p w14:paraId="7D2951E6" w14:textId="77777777" w:rsidR="004B7622" w:rsidRPr="00BD0902" w:rsidRDefault="004B7622" w:rsidP="00377989">
            <w:pPr>
              <w:spacing w:after="0" w:line="240" w:lineRule="auto"/>
              <w:jc w:val="center"/>
              <w:rPr>
                <w:rFonts w:ascii="Arial" w:eastAsia="Times New Roman" w:hAnsi="Arial" w:cs="Arial"/>
                <w:b/>
                <w:bCs/>
                <w:color w:val="FFFFFF"/>
                <w:sz w:val="18"/>
                <w:szCs w:val="18"/>
                <w:lang w:eastAsia="sl-SI"/>
              </w:rPr>
            </w:pPr>
            <w:r w:rsidRPr="00AB328F">
              <w:rPr>
                <w:rFonts w:ascii="Arial" w:eastAsia="Times New Roman" w:hAnsi="Arial" w:cs="Arial"/>
                <w:b/>
                <w:bCs/>
                <w:color w:val="FFFFFF"/>
                <w:sz w:val="18"/>
                <w:szCs w:val="18"/>
                <w:lang w:eastAsia="sl-SI"/>
              </w:rPr>
              <w:t>2020</w:t>
            </w:r>
          </w:p>
        </w:tc>
        <w:tc>
          <w:tcPr>
            <w:tcW w:w="1151" w:type="dxa"/>
            <w:tcBorders>
              <w:top w:val="single" w:sz="4" w:space="0" w:color="auto"/>
              <w:left w:val="nil"/>
              <w:bottom w:val="single" w:sz="4" w:space="0" w:color="auto"/>
              <w:right w:val="single" w:sz="4" w:space="0" w:color="auto"/>
            </w:tcBorders>
            <w:shd w:val="clear" w:color="auto" w:fill="31869B"/>
          </w:tcPr>
          <w:p w14:paraId="3537EC1A" w14:textId="77777777" w:rsidR="004B7622" w:rsidRDefault="004B7622" w:rsidP="00377989">
            <w:pPr>
              <w:spacing w:after="0" w:line="240" w:lineRule="auto"/>
              <w:jc w:val="center"/>
              <w:rPr>
                <w:rFonts w:ascii="Arial" w:eastAsia="Times New Roman" w:hAnsi="Arial" w:cs="Arial"/>
                <w:b/>
                <w:bCs/>
                <w:color w:val="FFFFFF"/>
                <w:sz w:val="18"/>
                <w:szCs w:val="18"/>
                <w:lang w:eastAsia="sl-SI"/>
              </w:rPr>
            </w:pPr>
          </w:p>
          <w:p w14:paraId="3D696B8D" w14:textId="77777777" w:rsidR="004B7622" w:rsidRDefault="004B7622" w:rsidP="00377989">
            <w:pPr>
              <w:spacing w:after="0" w:line="240" w:lineRule="auto"/>
              <w:jc w:val="center"/>
              <w:rPr>
                <w:rFonts w:ascii="Arial" w:eastAsia="Times New Roman" w:hAnsi="Arial" w:cs="Arial"/>
                <w:b/>
                <w:bCs/>
                <w:color w:val="FFFFFF"/>
                <w:sz w:val="18"/>
                <w:szCs w:val="18"/>
                <w:lang w:eastAsia="sl-SI"/>
              </w:rPr>
            </w:pPr>
            <w:r>
              <w:rPr>
                <w:rFonts w:ascii="Arial" w:eastAsia="Times New Roman" w:hAnsi="Arial" w:cs="Arial"/>
                <w:b/>
                <w:bCs/>
                <w:color w:val="FFFFFF"/>
                <w:sz w:val="18"/>
                <w:szCs w:val="18"/>
                <w:lang w:eastAsia="sl-SI"/>
              </w:rPr>
              <w:t>2021</w:t>
            </w:r>
          </w:p>
        </w:tc>
      </w:tr>
      <w:tr w:rsidR="004B7622" w:rsidRPr="00F048F9" w14:paraId="6568237B" w14:textId="77777777" w:rsidTr="00377989">
        <w:trPr>
          <w:trHeight w:val="331"/>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605F6126" w14:textId="77777777" w:rsidR="004B7622" w:rsidRPr="00BD0902" w:rsidRDefault="004B7622" w:rsidP="00377989">
            <w:pPr>
              <w:spacing w:after="0" w:line="240" w:lineRule="auto"/>
              <w:jc w:val="both"/>
              <w:rPr>
                <w:rFonts w:ascii="Arial" w:eastAsia="Times New Roman" w:hAnsi="Arial" w:cs="Arial"/>
                <w:color w:val="000000"/>
                <w:sz w:val="18"/>
                <w:szCs w:val="18"/>
                <w:lang w:eastAsia="sl-SI"/>
              </w:rPr>
            </w:pPr>
            <w:r w:rsidRPr="00BD0902">
              <w:rPr>
                <w:rFonts w:ascii="Arial" w:eastAsia="Times New Roman" w:hAnsi="Arial" w:cs="Arial"/>
                <w:color w:val="000000"/>
                <w:sz w:val="18"/>
                <w:szCs w:val="18"/>
                <w:lang w:eastAsia="sl-SI"/>
              </w:rPr>
              <w:t xml:space="preserve">naknadne kontrole </w:t>
            </w:r>
          </w:p>
        </w:tc>
        <w:tc>
          <w:tcPr>
            <w:tcW w:w="1206" w:type="dxa"/>
            <w:tcBorders>
              <w:top w:val="nil"/>
              <w:left w:val="nil"/>
              <w:bottom w:val="single" w:sz="4" w:space="0" w:color="auto"/>
              <w:right w:val="single" w:sz="4" w:space="0" w:color="auto"/>
            </w:tcBorders>
            <w:shd w:val="clear" w:color="auto" w:fill="auto"/>
            <w:vAlign w:val="center"/>
            <w:hideMark/>
          </w:tcPr>
          <w:p w14:paraId="461EE172" w14:textId="77777777" w:rsidR="004B7622" w:rsidRPr="00BD0902" w:rsidRDefault="004B7622" w:rsidP="00377989">
            <w:pPr>
              <w:spacing w:after="0" w:line="240" w:lineRule="auto"/>
              <w:jc w:val="center"/>
              <w:rPr>
                <w:rFonts w:ascii="Arial" w:eastAsia="Times New Roman" w:hAnsi="Arial" w:cs="Arial"/>
                <w:color w:val="000000"/>
                <w:sz w:val="18"/>
                <w:szCs w:val="18"/>
                <w:lang w:eastAsia="sl-SI"/>
              </w:rPr>
            </w:pPr>
            <w:r w:rsidRPr="00BD0902">
              <w:rPr>
                <w:rFonts w:ascii="Arial" w:eastAsia="Times New Roman" w:hAnsi="Arial" w:cs="Arial"/>
                <w:color w:val="000000"/>
                <w:sz w:val="18"/>
                <w:szCs w:val="18"/>
                <w:lang w:eastAsia="sl-SI"/>
              </w:rPr>
              <w:t>64.077.109</w:t>
            </w:r>
          </w:p>
        </w:tc>
        <w:tc>
          <w:tcPr>
            <w:tcW w:w="1207" w:type="dxa"/>
            <w:tcBorders>
              <w:top w:val="nil"/>
              <w:left w:val="nil"/>
              <w:bottom w:val="single" w:sz="4" w:space="0" w:color="auto"/>
              <w:right w:val="single" w:sz="4" w:space="0" w:color="auto"/>
            </w:tcBorders>
            <w:shd w:val="clear" w:color="auto" w:fill="auto"/>
            <w:vAlign w:val="center"/>
            <w:hideMark/>
          </w:tcPr>
          <w:p w14:paraId="29BBA8CF" w14:textId="77777777" w:rsidR="004B7622" w:rsidRPr="00BD0902" w:rsidRDefault="004B7622" w:rsidP="00377989">
            <w:pPr>
              <w:spacing w:after="0" w:line="240" w:lineRule="auto"/>
              <w:jc w:val="center"/>
              <w:rPr>
                <w:rFonts w:ascii="Arial" w:eastAsia="Times New Roman" w:hAnsi="Arial" w:cs="Arial"/>
                <w:color w:val="000000"/>
                <w:sz w:val="18"/>
                <w:szCs w:val="18"/>
                <w:lang w:eastAsia="sl-SI"/>
              </w:rPr>
            </w:pPr>
            <w:r w:rsidRPr="00BD0902">
              <w:rPr>
                <w:rFonts w:ascii="Arial" w:eastAsia="Times New Roman" w:hAnsi="Arial" w:cs="Arial"/>
                <w:color w:val="000000"/>
                <w:sz w:val="18"/>
                <w:szCs w:val="18"/>
                <w:lang w:eastAsia="sl-SI"/>
              </w:rPr>
              <w:t>90.898.244</w:t>
            </w:r>
          </w:p>
        </w:tc>
        <w:tc>
          <w:tcPr>
            <w:tcW w:w="1261" w:type="dxa"/>
            <w:tcBorders>
              <w:top w:val="nil"/>
              <w:left w:val="nil"/>
              <w:bottom w:val="single" w:sz="4" w:space="0" w:color="auto"/>
              <w:right w:val="single" w:sz="4" w:space="0" w:color="auto"/>
            </w:tcBorders>
            <w:shd w:val="clear" w:color="auto" w:fill="auto"/>
            <w:vAlign w:val="center"/>
            <w:hideMark/>
          </w:tcPr>
          <w:p w14:paraId="1F47D13D" w14:textId="77777777" w:rsidR="004B7622" w:rsidRPr="00BD0902" w:rsidRDefault="004B7622" w:rsidP="00377989">
            <w:pPr>
              <w:spacing w:after="0" w:line="240" w:lineRule="auto"/>
              <w:jc w:val="center"/>
              <w:rPr>
                <w:rFonts w:ascii="Arial" w:eastAsia="Times New Roman" w:hAnsi="Arial" w:cs="Arial"/>
                <w:color w:val="000000"/>
                <w:sz w:val="18"/>
                <w:szCs w:val="18"/>
                <w:lang w:eastAsia="sl-SI"/>
              </w:rPr>
            </w:pPr>
            <w:r w:rsidRPr="00BD0902">
              <w:rPr>
                <w:rFonts w:ascii="Arial" w:eastAsia="Times New Roman" w:hAnsi="Arial" w:cs="Arial"/>
                <w:color w:val="000000"/>
                <w:sz w:val="18"/>
                <w:szCs w:val="18"/>
                <w:lang w:eastAsia="sl-SI"/>
              </w:rPr>
              <w:t>91.906.047 </w:t>
            </w:r>
          </w:p>
        </w:tc>
        <w:tc>
          <w:tcPr>
            <w:tcW w:w="1214" w:type="dxa"/>
            <w:tcBorders>
              <w:top w:val="nil"/>
              <w:left w:val="nil"/>
              <w:bottom w:val="single" w:sz="4" w:space="0" w:color="auto"/>
              <w:right w:val="single" w:sz="4" w:space="0" w:color="auto"/>
            </w:tcBorders>
            <w:shd w:val="clear" w:color="auto" w:fill="auto"/>
            <w:noWrap/>
            <w:vAlign w:val="center"/>
            <w:hideMark/>
          </w:tcPr>
          <w:p w14:paraId="2132C1F1" w14:textId="77777777" w:rsidR="004B7622" w:rsidRPr="00BD0902" w:rsidRDefault="004B7622" w:rsidP="00377989">
            <w:pPr>
              <w:spacing w:after="0" w:line="240" w:lineRule="auto"/>
              <w:jc w:val="right"/>
              <w:rPr>
                <w:rFonts w:ascii="Arial" w:eastAsia="Times New Roman" w:hAnsi="Arial" w:cs="Arial"/>
                <w:color w:val="000000"/>
                <w:sz w:val="18"/>
                <w:szCs w:val="18"/>
                <w:lang w:eastAsia="sl-SI"/>
              </w:rPr>
            </w:pPr>
            <w:r w:rsidRPr="00BD0902">
              <w:rPr>
                <w:rFonts w:ascii="Arial" w:eastAsia="Times New Roman" w:hAnsi="Arial" w:cs="Arial"/>
                <w:color w:val="000000"/>
                <w:sz w:val="18"/>
                <w:szCs w:val="18"/>
                <w:lang w:eastAsia="sl-SI"/>
              </w:rPr>
              <w:t>148.410.461</w:t>
            </w:r>
          </w:p>
        </w:tc>
        <w:tc>
          <w:tcPr>
            <w:tcW w:w="1207" w:type="dxa"/>
            <w:tcBorders>
              <w:top w:val="nil"/>
              <w:left w:val="nil"/>
              <w:bottom w:val="single" w:sz="4" w:space="0" w:color="auto"/>
              <w:right w:val="single" w:sz="4" w:space="0" w:color="auto"/>
            </w:tcBorders>
            <w:vAlign w:val="center"/>
          </w:tcPr>
          <w:p w14:paraId="3346F78B" w14:textId="77777777" w:rsidR="004B7622" w:rsidRPr="00BD0902" w:rsidRDefault="004B7622" w:rsidP="00377989">
            <w:pPr>
              <w:spacing w:after="0" w:line="240" w:lineRule="auto"/>
              <w:jc w:val="right"/>
              <w:rPr>
                <w:rFonts w:ascii="Arial" w:eastAsia="Times New Roman" w:hAnsi="Arial" w:cs="Arial"/>
                <w:color w:val="000000"/>
                <w:sz w:val="18"/>
                <w:szCs w:val="18"/>
                <w:lang w:eastAsia="sl-SI"/>
              </w:rPr>
            </w:pPr>
            <w:r w:rsidRPr="00875EFA">
              <w:rPr>
                <w:rFonts w:ascii="Arial" w:eastAsia="Times New Roman" w:hAnsi="Arial" w:cs="Arial"/>
                <w:color w:val="000000"/>
                <w:sz w:val="18"/>
                <w:szCs w:val="18"/>
                <w:lang w:eastAsia="sl-SI"/>
              </w:rPr>
              <w:t>132.269.769</w:t>
            </w:r>
            <w:r>
              <w:rPr>
                <w:rFonts w:ascii="Arial" w:eastAsia="Times New Roman" w:hAnsi="Arial" w:cs="Arial"/>
                <w:color w:val="000000"/>
                <w:sz w:val="18"/>
                <w:szCs w:val="18"/>
                <w:lang w:eastAsia="sl-SI"/>
              </w:rPr>
              <w:t xml:space="preserve"> </w:t>
            </w:r>
          </w:p>
        </w:tc>
        <w:tc>
          <w:tcPr>
            <w:tcW w:w="1151" w:type="dxa"/>
            <w:tcBorders>
              <w:top w:val="nil"/>
              <w:left w:val="nil"/>
              <w:bottom w:val="single" w:sz="4" w:space="0" w:color="auto"/>
              <w:right w:val="single" w:sz="4" w:space="0" w:color="auto"/>
            </w:tcBorders>
            <w:vAlign w:val="center"/>
          </w:tcPr>
          <w:p w14:paraId="449363CA" w14:textId="77777777" w:rsidR="004B7622" w:rsidRPr="00875EFA" w:rsidRDefault="004B7622" w:rsidP="00377989">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143.474.209</w:t>
            </w:r>
          </w:p>
        </w:tc>
      </w:tr>
      <w:tr w:rsidR="004B7622" w:rsidRPr="00F048F9" w14:paraId="004CB87E" w14:textId="77777777" w:rsidTr="00377989">
        <w:trPr>
          <w:trHeight w:val="352"/>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6237C" w14:textId="77777777" w:rsidR="004B7622" w:rsidRPr="00BD0902" w:rsidRDefault="004B7622" w:rsidP="00377989">
            <w:pPr>
              <w:spacing w:after="0" w:line="240" w:lineRule="auto"/>
              <w:jc w:val="both"/>
              <w:rPr>
                <w:rFonts w:ascii="Arial" w:eastAsia="Times New Roman" w:hAnsi="Arial" w:cs="Arial"/>
                <w:color w:val="000000"/>
                <w:sz w:val="18"/>
                <w:szCs w:val="18"/>
                <w:lang w:eastAsia="sl-SI"/>
              </w:rPr>
            </w:pPr>
            <w:r w:rsidRPr="00BD0902">
              <w:rPr>
                <w:rFonts w:ascii="Arial" w:eastAsia="Times New Roman" w:hAnsi="Arial" w:cs="Arial"/>
                <w:color w:val="000000"/>
                <w:sz w:val="18"/>
                <w:szCs w:val="18"/>
                <w:lang w:eastAsia="sl-SI"/>
              </w:rPr>
              <w:t>inšpekcijski nadzori</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C4B47" w14:textId="77777777" w:rsidR="004B7622" w:rsidRPr="00BD0902" w:rsidRDefault="004B7622" w:rsidP="00377989">
            <w:pPr>
              <w:spacing w:after="0" w:line="240" w:lineRule="auto"/>
              <w:jc w:val="center"/>
              <w:rPr>
                <w:rFonts w:ascii="Arial" w:eastAsia="Times New Roman" w:hAnsi="Arial" w:cs="Arial"/>
                <w:color w:val="000000"/>
                <w:sz w:val="18"/>
                <w:szCs w:val="18"/>
                <w:lang w:eastAsia="sl-SI"/>
              </w:rPr>
            </w:pPr>
            <w:r w:rsidRPr="00BD0902">
              <w:rPr>
                <w:rFonts w:ascii="Arial" w:eastAsia="Times New Roman" w:hAnsi="Arial" w:cs="Arial"/>
                <w:color w:val="000000"/>
                <w:sz w:val="18"/>
                <w:szCs w:val="18"/>
                <w:lang w:eastAsia="sl-SI"/>
              </w:rPr>
              <w:t>155.891.474</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0A69A" w14:textId="77777777" w:rsidR="004B7622" w:rsidRPr="00BD0902" w:rsidRDefault="004B7622" w:rsidP="00377989">
            <w:pPr>
              <w:spacing w:after="0" w:line="240" w:lineRule="auto"/>
              <w:jc w:val="center"/>
              <w:rPr>
                <w:rFonts w:ascii="Arial" w:eastAsia="Times New Roman" w:hAnsi="Arial" w:cs="Arial"/>
                <w:color w:val="000000"/>
                <w:sz w:val="18"/>
                <w:szCs w:val="18"/>
                <w:lang w:eastAsia="sl-SI"/>
              </w:rPr>
            </w:pPr>
            <w:r w:rsidRPr="00BD0902">
              <w:rPr>
                <w:rFonts w:ascii="Arial" w:eastAsia="Times New Roman" w:hAnsi="Arial" w:cs="Arial"/>
                <w:color w:val="000000"/>
                <w:sz w:val="18"/>
                <w:szCs w:val="18"/>
                <w:lang w:eastAsia="sl-SI"/>
              </w:rPr>
              <w:t>130.173.358</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44A8C" w14:textId="77777777" w:rsidR="004B7622" w:rsidRPr="00BD0902" w:rsidRDefault="004B7622" w:rsidP="00377989">
            <w:pPr>
              <w:spacing w:after="0" w:line="240" w:lineRule="auto"/>
              <w:jc w:val="right"/>
              <w:rPr>
                <w:rFonts w:ascii="Arial" w:eastAsia="Times New Roman" w:hAnsi="Arial" w:cs="Arial"/>
                <w:color w:val="000000"/>
                <w:sz w:val="18"/>
                <w:szCs w:val="18"/>
                <w:lang w:eastAsia="sl-SI"/>
              </w:rPr>
            </w:pPr>
            <w:r w:rsidRPr="00BD0902">
              <w:rPr>
                <w:rFonts w:ascii="Arial" w:eastAsia="Times New Roman" w:hAnsi="Arial" w:cs="Arial"/>
                <w:color w:val="000000"/>
                <w:sz w:val="18"/>
                <w:szCs w:val="18"/>
                <w:lang w:eastAsia="sl-SI"/>
              </w:rPr>
              <w:t>162.914.552 </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CA637" w14:textId="77777777" w:rsidR="004B7622" w:rsidRPr="00BD0902" w:rsidRDefault="004B7622" w:rsidP="00377989">
            <w:pPr>
              <w:spacing w:after="0" w:line="240" w:lineRule="auto"/>
              <w:jc w:val="right"/>
              <w:rPr>
                <w:rFonts w:ascii="Arial" w:eastAsia="Times New Roman" w:hAnsi="Arial" w:cs="Arial"/>
                <w:color w:val="000000"/>
                <w:sz w:val="18"/>
                <w:szCs w:val="18"/>
                <w:lang w:eastAsia="sl-SI"/>
              </w:rPr>
            </w:pPr>
            <w:r w:rsidRPr="00BD0902">
              <w:rPr>
                <w:rFonts w:ascii="Arial" w:eastAsia="Times New Roman" w:hAnsi="Arial" w:cs="Arial"/>
                <w:color w:val="000000"/>
                <w:sz w:val="18"/>
                <w:szCs w:val="18"/>
                <w:lang w:eastAsia="sl-SI"/>
              </w:rPr>
              <w:t>168.122.346</w:t>
            </w:r>
          </w:p>
        </w:tc>
        <w:tc>
          <w:tcPr>
            <w:tcW w:w="1207" w:type="dxa"/>
            <w:tcBorders>
              <w:top w:val="single" w:sz="4" w:space="0" w:color="auto"/>
              <w:left w:val="single" w:sz="4" w:space="0" w:color="auto"/>
              <w:bottom w:val="single" w:sz="4" w:space="0" w:color="auto"/>
              <w:right w:val="single" w:sz="4" w:space="0" w:color="auto"/>
            </w:tcBorders>
            <w:vAlign w:val="center"/>
          </w:tcPr>
          <w:p w14:paraId="36015F27" w14:textId="77777777" w:rsidR="004B7622" w:rsidRPr="00BD0902" w:rsidRDefault="004B7622" w:rsidP="00377989">
            <w:pPr>
              <w:spacing w:after="0" w:line="240" w:lineRule="auto"/>
              <w:jc w:val="right"/>
              <w:rPr>
                <w:rFonts w:ascii="Arial" w:eastAsia="Times New Roman" w:hAnsi="Arial" w:cs="Arial"/>
                <w:color w:val="000000"/>
                <w:sz w:val="18"/>
                <w:szCs w:val="18"/>
                <w:lang w:eastAsia="sl-SI"/>
              </w:rPr>
            </w:pPr>
            <w:r w:rsidRPr="00AB328F">
              <w:rPr>
                <w:rFonts w:ascii="Arial" w:eastAsia="Times New Roman" w:hAnsi="Arial" w:cs="Arial"/>
                <w:color w:val="000000"/>
                <w:sz w:val="18"/>
                <w:szCs w:val="18"/>
                <w:lang w:eastAsia="sl-SI"/>
              </w:rPr>
              <w:t>136.771.174</w:t>
            </w:r>
          </w:p>
        </w:tc>
        <w:tc>
          <w:tcPr>
            <w:tcW w:w="1151" w:type="dxa"/>
            <w:tcBorders>
              <w:top w:val="single" w:sz="4" w:space="0" w:color="auto"/>
              <w:left w:val="single" w:sz="4" w:space="0" w:color="auto"/>
              <w:bottom w:val="single" w:sz="4" w:space="0" w:color="auto"/>
              <w:right w:val="single" w:sz="4" w:space="0" w:color="auto"/>
            </w:tcBorders>
            <w:vAlign w:val="center"/>
          </w:tcPr>
          <w:p w14:paraId="6DAC2678" w14:textId="77777777" w:rsidR="004B7622" w:rsidRPr="00AB328F" w:rsidRDefault="004B7622" w:rsidP="00377989">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131.616.905</w:t>
            </w:r>
          </w:p>
        </w:tc>
      </w:tr>
    </w:tbl>
    <w:p w14:paraId="1A4E66A8" w14:textId="77777777" w:rsidR="004B7622" w:rsidRPr="001D1E58" w:rsidRDefault="004B7622" w:rsidP="004B7622">
      <w:pPr>
        <w:pStyle w:val="Brezrazmikov"/>
        <w:rPr>
          <w:rFonts w:ascii="Arial" w:hAnsi="Arial" w:cs="Arial"/>
          <w:i/>
          <w:iCs/>
          <w:sz w:val="16"/>
          <w:szCs w:val="16"/>
        </w:rPr>
      </w:pPr>
      <w:r w:rsidRPr="001D1E58">
        <w:rPr>
          <w:rFonts w:ascii="Arial" w:hAnsi="Arial" w:cs="Arial"/>
          <w:i/>
          <w:iCs/>
          <w:sz w:val="16"/>
          <w:szCs w:val="16"/>
          <w:u w:val="single"/>
        </w:rPr>
        <w:t>Opomba</w:t>
      </w:r>
      <w:r w:rsidRPr="001D1E58">
        <w:rPr>
          <w:rFonts w:ascii="Arial" w:hAnsi="Arial" w:cs="Arial"/>
          <w:i/>
          <w:iCs/>
          <w:sz w:val="16"/>
          <w:szCs w:val="16"/>
        </w:rPr>
        <w:t xml:space="preserve">: v letu 2020 in 2021 so med naknadne kontrole vključeni tudi podatki o naknadnih kontrolah s področja carin, trošarin in </w:t>
      </w:r>
      <w:proofErr w:type="spellStart"/>
      <w:r w:rsidRPr="001D1E58">
        <w:rPr>
          <w:rFonts w:ascii="Arial" w:hAnsi="Arial" w:cs="Arial"/>
          <w:i/>
          <w:iCs/>
          <w:sz w:val="16"/>
          <w:szCs w:val="16"/>
        </w:rPr>
        <w:t>okoljskih</w:t>
      </w:r>
      <w:proofErr w:type="spellEnd"/>
      <w:r w:rsidRPr="001D1E58">
        <w:rPr>
          <w:rFonts w:ascii="Arial" w:hAnsi="Arial" w:cs="Arial"/>
          <w:i/>
          <w:iCs/>
          <w:sz w:val="16"/>
          <w:szCs w:val="16"/>
        </w:rPr>
        <w:t xml:space="preserve"> dajatev </w:t>
      </w:r>
    </w:p>
    <w:p w14:paraId="4CC50D4E" w14:textId="77777777" w:rsidR="004B7622" w:rsidRDefault="004B7622" w:rsidP="004B7622">
      <w:pPr>
        <w:rPr>
          <w:rFonts w:ascii="Arial" w:hAnsi="Arial" w:cs="Arial"/>
          <w:i/>
          <w:sz w:val="20"/>
          <w:szCs w:val="20"/>
        </w:rPr>
      </w:pPr>
      <w:r w:rsidRPr="00534703">
        <w:rPr>
          <w:rFonts w:ascii="Arial" w:hAnsi="Arial" w:cs="Arial"/>
          <w:i/>
          <w:sz w:val="20"/>
          <w:szCs w:val="20"/>
        </w:rPr>
        <w:t>Vir: FURS</w:t>
      </w:r>
      <w:r>
        <w:rPr>
          <w:rFonts w:ascii="Arial" w:hAnsi="Arial" w:cs="Arial"/>
          <w:i/>
          <w:sz w:val="20"/>
          <w:szCs w:val="20"/>
        </w:rPr>
        <w:t xml:space="preserve">   </w:t>
      </w:r>
    </w:p>
    <w:p w14:paraId="3E9C3C1D" w14:textId="77777777" w:rsidR="004B7622" w:rsidRDefault="004B7622" w:rsidP="004B7622">
      <w:pPr>
        <w:jc w:val="both"/>
        <w:rPr>
          <w:rFonts w:ascii="Arial" w:hAnsi="Arial" w:cs="Arial"/>
          <w:color w:val="000000"/>
          <w:sz w:val="20"/>
          <w:szCs w:val="20"/>
        </w:rPr>
      </w:pPr>
      <w:r w:rsidRPr="00ED4F40">
        <w:rPr>
          <w:rFonts w:ascii="Arial" w:hAnsi="Arial" w:cs="Arial"/>
          <w:color w:val="000000"/>
          <w:sz w:val="20"/>
          <w:szCs w:val="20"/>
        </w:rPr>
        <w:t>Delež poplačil v postopkih nadzora odmerjenih obveznosti je odvisen od vrste opravljenega nadzora. V postopkih naknadnih kontrol je ta delež višji, saj se ti postopki praviloma izvajajo v tesnejšem sodelovanju z zavezancem, hkrati pa gre za nadzor časovno ne oddaljenih obračunskih obdobij glede na  čas  izvedbe nadzora kar pozitivno vpliva na višje poplačilo obveznosti. V inšpekcijskih postopkih, kjer so odmerjene obveznosti praviloma višje in se nanašajo tudi na časovno bolj oddaljena obračunska obdobja, pa mora davčni organ odmerjene obveznosti ustrezno zavarovati še pred izvršljivostjo inšpekcijske odločbe, kar dviguje delež poplačila naknadno ugotovljenih obveznosti.</w:t>
      </w:r>
      <w:r>
        <w:rPr>
          <w:rFonts w:ascii="Arial" w:hAnsi="Arial" w:cs="Arial"/>
          <w:color w:val="000000"/>
          <w:sz w:val="20"/>
          <w:szCs w:val="20"/>
        </w:rPr>
        <w:t xml:space="preserve"> Prav tako se povečuje število predloženih </w:t>
      </w:r>
      <w:proofErr w:type="spellStart"/>
      <w:r>
        <w:rPr>
          <w:rFonts w:ascii="Arial" w:hAnsi="Arial" w:cs="Arial"/>
          <w:color w:val="000000"/>
          <w:sz w:val="20"/>
          <w:szCs w:val="20"/>
        </w:rPr>
        <w:t>samoprijav</w:t>
      </w:r>
      <w:proofErr w:type="spellEnd"/>
      <w:r>
        <w:rPr>
          <w:rFonts w:ascii="Arial" w:hAnsi="Arial" w:cs="Arial"/>
          <w:color w:val="000000"/>
          <w:sz w:val="20"/>
          <w:szCs w:val="20"/>
        </w:rPr>
        <w:t xml:space="preserve"> oz. predloženih davčnih obračunov v postopku davčno inšpekcijskega nadzora ter s tem tudi plačani zneski obveznosti v tako predloženih obračunih. </w:t>
      </w:r>
    </w:p>
    <w:bookmarkEnd w:id="6"/>
    <w:p w14:paraId="0ABAFB3B" w14:textId="77777777" w:rsidR="004B7622" w:rsidRDefault="004B7622" w:rsidP="004B7622">
      <w:pPr>
        <w:rPr>
          <w:rFonts w:ascii="Arial" w:hAnsi="Arial" w:cs="Arial"/>
          <w:b/>
          <w:bCs/>
        </w:rPr>
      </w:pPr>
      <w:r w:rsidRPr="0003128A">
        <w:rPr>
          <w:rFonts w:ascii="Arial" w:hAnsi="Arial" w:cs="Arial"/>
          <w:b/>
          <w:bCs/>
        </w:rPr>
        <w:t xml:space="preserve">8. Spodbujanje prostovoljnega </w:t>
      </w:r>
      <w:r w:rsidRPr="0003128A">
        <w:rPr>
          <w:rFonts w:ascii="Arial" w:hAnsi="Arial" w:cs="Arial"/>
          <w:b/>
        </w:rPr>
        <w:t>plačevanja</w:t>
      </w:r>
      <w:r w:rsidRPr="0003128A">
        <w:rPr>
          <w:rFonts w:ascii="Arial" w:hAnsi="Arial" w:cs="Arial"/>
          <w:b/>
          <w:bCs/>
        </w:rPr>
        <w:t xml:space="preserve"> dajatev</w:t>
      </w:r>
    </w:p>
    <w:p w14:paraId="4244BFFB" w14:textId="77777777" w:rsidR="004B7622" w:rsidRPr="006A4137" w:rsidRDefault="004B7622" w:rsidP="004B7622">
      <w:pPr>
        <w:jc w:val="both"/>
        <w:rPr>
          <w:rFonts w:ascii="Arial" w:hAnsi="Arial" w:cs="Arial"/>
          <w:sz w:val="20"/>
          <w:szCs w:val="20"/>
        </w:rPr>
      </w:pPr>
      <w:r w:rsidRPr="006A4137">
        <w:rPr>
          <w:rFonts w:ascii="Arial" w:hAnsi="Arial" w:cs="Arial"/>
          <w:sz w:val="20"/>
          <w:szCs w:val="20"/>
        </w:rPr>
        <w:t>Krepitev kulture prostovoljnega izpolnjevanja zakonskih obveznosti je prednostni dolgoročni cilj FURS. V ta namen se kontinuirano izvaja vrsta medsebojno povezanih ukrepov na različnih področjih nje</w:t>
      </w:r>
      <w:r>
        <w:rPr>
          <w:rFonts w:ascii="Arial" w:hAnsi="Arial" w:cs="Arial"/>
          <w:sz w:val="20"/>
          <w:szCs w:val="20"/>
        </w:rPr>
        <w:t xml:space="preserve">govega </w:t>
      </w:r>
      <w:r w:rsidRPr="006A4137">
        <w:rPr>
          <w:rFonts w:ascii="Arial" w:hAnsi="Arial" w:cs="Arial"/>
          <w:sz w:val="20"/>
          <w:szCs w:val="20"/>
        </w:rPr>
        <w:t xml:space="preserve">delovanja od preventivnih do zelo ciljno usmerjenih aktivnost. </w:t>
      </w:r>
    </w:p>
    <w:p w14:paraId="6285C6D7" w14:textId="77777777" w:rsidR="004B7622" w:rsidRPr="006A4137" w:rsidRDefault="004B7622" w:rsidP="004B7622">
      <w:pPr>
        <w:jc w:val="both"/>
        <w:rPr>
          <w:rFonts w:ascii="Arial" w:hAnsi="Arial" w:cs="Arial"/>
          <w:sz w:val="20"/>
          <w:szCs w:val="20"/>
        </w:rPr>
      </w:pPr>
      <w:r w:rsidRPr="006A4137">
        <w:rPr>
          <w:rFonts w:ascii="Arial" w:hAnsi="Arial" w:cs="Arial"/>
          <w:sz w:val="20"/>
          <w:szCs w:val="20"/>
        </w:rPr>
        <w:t>FURS je v letu 2021 nadaljevala z aktivnostmi na področju vzpostavitve modela upravljanja tveganj pri izpolnjevanju davčnih obveznosti (</w:t>
      </w:r>
      <w:proofErr w:type="spellStart"/>
      <w:r w:rsidRPr="006A4137">
        <w:rPr>
          <w:rFonts w:ascii="Arial" w:hAnsi="Arial" w:cs="Arial"/>
          <w:sz w:val="20"/>
          <w:szCs w:val="20"/>
        </w:rPr>
        <w:t>Compliance</w:t>
      </w:r>
      <w:proofErr w:type="spellEnd"/>
      <w:r w:rsidRPr="006A4137">
        <w:rPr>
          <w:rFonts w:ascii="Arial" w:hAnsi="Arial" w:cs="Arial"/>
          <w:sz w:val="20"/>
          <w:szCs w:val="20"/>
        </w:rPr>
        <w:t xml:space="preserve"> </w:t>
      </w:r>
      <w:proofErr w:type="spellStart"/>
      <w:r w:rsidRPr="006A4137">
        <w:rPr>
          <w:rFonts w:ascii="Arial" w:hAnsi="Arial" w:cs="Arial"/>
          <w:sz w:val="20"/>
          <w:szCs w:val="20"/>
        </w:rPr>
        <w:t>Risk</w:t>
      </w:r>
      <w:proofErr w:type="spellEnd"/>
      <w:r w:rsidRPr="006A4137">
        <w:rPr>
          <w:rFonts w:ascii="Arial" w:hAnsi="Arial" w:cs="Arial"/>
          <w:sz w:val="20"/>
          <w:szCs w:val="20"/>
        </w:rPr>
        <w:t xml:space="preserve"> Management, v nadaljevanju: CRM). Po opredeljenih tveganjih po najpomembnejših vrstah davkov so se izvajale tudi preventivne aktivnosti (npr. medijske objave). Cilj uvedbe modela CRM je upravljanje tveganj na temeljnih področjih izpolnjevanja obveznosti zavezancev za davek, kot je obveznost registracije, pravočasna in pravilna predložitev obračunov oz. napovedi, pravočasno plačilo davčnih obveznosti ter pravočasno in pravilno poročanje. </w:t>
      </w:r>
    </w:p>
    <w:p w14:paraId="412A0AF6" w14:textId="77777777" w:rsidR="004B7622" w:rsidRPr="004F2C21" w:rsidRDefault="004B7622" w:rsidP="004B7622">
      <w:pPr>
        <w:pStyle w:val="Brezrazmikov"/>
        <w:rPr>
          <w:rFonts w:ascii="Arial" w:hAnsi="Arial" w:cs="Arial"/>
          <w:b/>
          <w:bCs/>
          <w:sz w:val="20"/>
          <w:szCs w:val="20"/>
          <w:lang w:eastAsia="sl-SI"/>
        </w:rPr>
      </w:pPr>
      <w:r w:rsidRPr="004F2C21">
        <w:rPr>
          <w:rFonts w:ascii="Arial" w:hAnsi="Arial" w:cs="Arial"/>
          <w:b/>
          <w:bCs/>
          <w:sz w:val="20"/>
          <w:szCs w:val="20"/>
          <w:lang w:eastAsia="sl-SI"/>
        </w:rPr>
        <w:lastRenderedPageBreak/>
        <w:t xml:space="preserve">8.1 Informiranje in ozaveščanje zavezancev </w:t>
      </w:r>
    </w:p>
    <w:p w14:paraId="04F34594" w14:textId="77777777" w:rsidR="004B7622" w:rsidRPr="006377BB" w:rsidRDefault="004B7622" w:rsidP="004B7622">
      <w:pPr>
        <w:pStyle w:val="Brezrazmikov"/>
        <w:rPr>
          <w:rFonts w:ascii="Arial" w:hAnsi="Arial" w:cs="Arial"/>
        </w:rPr>
      </w:pPr>
    </w:p>
    <w:p w14:paraId="03C0F9D0" w14:textId="77777777" w:rsidR="004B7622" w:rsidRPr="00F32D12" w:rsidRDefault="004B7622" w:rsidP="004B7622">
      <w:pPr>
        <w:pStyle w:val="Brezrazmikov"/>
        <w:jc w:val="both"/>
        <w:rPr>
          <w:rFonts w:ascii="Arial" w:hAnsi="Arial" w:cs="Arial"/>
          <w:b/>
          <w:bCs/>
          <w:sz w:val="20"/>
          <w:szCs w:val="20"/>
        </w:rPr>
      </w:pPr>
      <w:r w:rsidRPr="00F32D12">
        <w:rPr>
          <w:rFonts w:ascii="Arial" w:hAnsi="Arial" w:cs="Arial"/>
          <w:b/>
          <w:bCs/>
          <w:sz w:val="20"/>
          <w:szCs w:val="20"/>
        </w:rPr>
        <w:t>Ustno in pisno informiranje</w:t>
      </w:r>
    </w:p>
    <w:p w14:paraId="1D3C5923" w14:textId="77777777" w:rsidR="004B7622" w:rsidRPr="00F32D12" w:rsidRDefault="004B7622" w:rsidP="004B7622">
      <w:pPr>
        <w:jc w:val="both"/>
        <w:rPr>
          <w:rFonts w:ascii="Arial" w:hAnsi="Arial" w:cs="Arial"/>
          <w:sz w:val="20"/>
          <w:szCs w:val="20"/>
        </w:rPr>
      </w:pPr>
      <w:r w:rsidRPr="00F32D12">
        <w:rPr>
          <w:rFonts w:ascii="Arial" w:hAnsi="Arial" w:cs="Arial"/>
          <w:sz w:val="20"/>
          <w:szCs w:val="20"/>
        </w:rPr>
        <w:t xml:space="preserve">V okviru klicnega centra je FURS v letu 2021 odgovoril na 586.414 vprašanj zavezancev (559.162 telefonskih in 27.252 pisnih) s področja davkov. Na pisna vprašanja zavezancev je bilo v 70,06 odstotka odgovorjeno v sedmih dneh, v 15,23 odstotka v osmih do petnajstih dneh, v 9,26 odstotka v šestnajstih od tridesetih dneh in v 5,46 odstotka v več kakor tridesetih dneh. </w:t>
      </w:r>
    </w:p>
    <w:p w14:paraId="2F344C83" w14:textId="77777777" w:rsidR="004B7622" w:rsidRPr="00F32D12" w:rsidRDefault="004B7622" w:rsidP="004B7622">
      <w:pPr>
        <w:pStyle w:val="Brezrazmikov"/>
        <w:jc w:val="both"/>
        <w:rPr>
          <w:rFonts w:ascii="Arial" w:hAnsi="Arial" w:cs="Arial"/>
          <w:b/>
          <w:bCs/>
          <w:sz w:val="20"/>
          <w:szCs w:val="20"/>
        </w:rPr>
      </w:pPr>
      <w:r w:rsidRPr="00F32D12">
        <w:rPr>
          <w:rFonts w:ascii="Arial" w:hAnsi="Arial" w:cs="Arial"/>
          <w:b/>
          <w:bCs/>
          <w:sz w:val="20"/>
          <w:szCs w:val="20"/>
        </w:rPr>
        <w:t xml:space="preserve">Spletne strani </w:t>
      </w:r>
    </w:p>
    <w:p w14:paraId="04680B4B" w14:textId="77777777" w:rsidR="004B7622" w:rsidRPr="00F32D12" w:rsidRDefault="004B7622" w:rsidP="004B7622">
      <w:pPr>
        <w:pStyle w:val="Brezrazmikov"/>
        <w:jc w:val="both"/>
        <w:rPr>
          <w:rFonts w:ascii="Arial" w:hAnsi="Arial" w:cs="Arial"/>
          <w:sz w:val="20"/>
          <w:szCs w:val="20"/>
        </w:rPr>
      </w:pPr>
      <w:r w:rsidRPr="00F32D12">
        <w:rPr>
          <w:rFonts w:ascii="Arial" w:hAnsi="Arial" w:cs="Arial"/>
          <w:sz w:val="20"/>
          <w:szCs w:val="20"/>
        </w:rPr>
        <w:t xml:space="preserve">V letu 2021 se je pričela temeljita prenova spletišča FURS, ki zadeva ranljive skupine. Gre za prilagoditev spletišča in njegovih vsebin s ciljem, da bi bile prijazne do uporabnikov, ki se uvrščajo v ranljive skupine (slepi, slabovidni, …). Povečan obseg dela, urejanje vsebin, novic, objava dokumentov, ipd. je bil tudi v letu 2021 povezan z epidemijo ter posledično </w:t>
      </w:r>
      <w:proofErr w:type="spellStart"/>
      <w:r w:rsidRPr="00F32D12">
        <w:rPr>
          <w:rFonts w:ascii="Arial" w:hAnsi="Arial" w:cs="Arial"/>
          <w:sz w:val="20"/>
          <w:szCs w:val="20"/>
        </w:rPr>
        <w:t>protikoronskimi</w:t>
      </w:r>
      <w:proofErr w:type="spellEnd"/>
      <w:r w:rsidRPr="00F32D12">
        <w:rPr>
          <w:rFonts w:ascii="Arial" w:hAnsi="Arial" w:cs="Arial"/>
          <w:sz w:val="20"/>
          <w:szCs w:val="20"/>
        </w:rPr>
        <w:t xml:space="preserve"> ukrepi. Proti koncu leta je bila izvedena prenova funkcionalnosti objave pomembnih in nujnih datumov. Nadgrajena je bila tudi menijska ponudba, kjer so bili vsi pomembni datumi povezani s pripadajočimi opisi davkov in dajatev.</w:t>
      </w:r>
    </w:p>
    <w:p w14:paraId="2685FD96" w14:textId="77777777" w:rsidR="004B7622" w:rsidRPr="00F32D12" w:rsidRDefault="004B7622" w:rsidP="004B7622">
      <w:pPr>
        <w:pStyle w:val="Brezrazmikov"/>
        <w:jc w:val="both"/>
        <w:rPr>
          <w:rFonts w:ascii="Arial" w:hAnsi="Arial" w:cs="Arial"/>
          <w:sz w:val="20"/>
          <w:szCs w:val="20"/>
        </w:rPr>
      </w:pPr>
    </w:p>
    <w:p w14:paraId="7D5E25F3" w14:textId="77777777" w:rsidR="004B7622" w:rsidRPr="00F32D12" w:rsidRDefault="004B7622" w:rsidP="004B7622">
      <w:pPr>
        <w:pStyle w:val="Brezrazmikov"/>
        <w:jc w:val="both"/>
        <w:rPr>
          <w:rFonts w:ascii="Arial" w:hAnsi="Arial" w:cs="Arial"/>
          <w:sz w:val="20"/>
          <w:szCs w:val="20"/>
        </w:rPr>
      </w:pPr>
      <w:r w:rsidRPr="00F32D12">
        <w:rPr>
          <w:rFonts w:ascii="Arial" w:hAnsi="Arial" w:cs="Arial"/>
          <w:sz w:val="20"/>
          <w:szCs w:val="20"/>
        </w:rPr>
        <w:t xml:space="preserve">Koncem leta se je zaključil tudi večletni projekt Prenova in optimizacija spletnih mest državne uprave, v katerem je FURS aktivno sodeloval. </w:t>
      </w:r>
    </w:p>
    <w:p w14:paraId="1FE2DFE7" w14:textId="77777777" w:rsidR="004B7622" w:rsidRPr="00F32D12" w:rsidRDefault="004B7622" w:rsidP="004B7622">
      <w:pPr>
        <w:pStyle w:val="Brezrazmikov"/>
        <w:jc w:val="both"/>
        <w:rPr>
          <w:rFonts w:ascii="Arial" w:hAnsi="Arial" w:cs="Arial"/>
          <w:sz w:val="20"/>
          <w:szCs w:val="20"/>
        </w:rPr>
      </w:pPr>
      <w:r w:rsidRPr="00F32D12">
        <w:rPr>
          <w:rFonts w:ascii="Arial" w:hAnsi="Arial" w:cs="Arial"/>
          <w:sz w:val="20"/>
          <w:szCs w:val="20"/>
        </w:rPr>
        <w:t xml:space="preserve"> </w:t>
      </w:r>
    </w:p>
    <w:p w14:paraId="5DB467E0" w14:textId="77777777" w:rsidR="004B7622" w:rsidRPr="00F32D12" w:rsidRDefault="004B7622" w:rsidP="004B7622">
      <w:pPr>
        <w:pStyle w:val="Brezrazmikov"/>
        <w:jc w:val="both"/>
        <w:rPr>
          <w:rFonts w:ascii="Arial" w:hAnsi="Arial" w:cs="Arial"/>
          <w:b/>
          <w:bCs/>
          <w:sz w:val="20"/>
          <w:szCs w:val="20"/>
        </w:rPr>
      </w:pPr>
      <w:r w:rsidRPr="00F32D12">
        <w:rPr>
          <w:rFonts w:ascii="Arial" w:hAnsi="Arial" w:cs="Arial"/>
          <w:b/>
          <w:bCs/>
          <w:sz w:val="20"/>
          <w:szCs w:val="20"/>
        </w:rPr>
        <w:t xml:space="preserve">Klicni centri </w:t>
      </w:r>
    </w:p>
    <w:p w14:paraId="6D01D6BC" w14:textId="77777777" w:rsidR="004B7622" w:rsidRPr="00F32D12" w:rsidRDefault="004B7622" w:rsidP="004B7622">
      <w:pPr>
        <w:pStyle w:val="Brezrazmikov"/>
        <w:jc w:val="both"/>
        <w:rPr>
          <w:rFonts w:ascii="Arial" w:hAnsi="Arial" w:cs="Arial"/>
          <w:sz w:val="20"/>
          <w:szCs w:val="20"/>
        </w:rPr>
      </w:pPr>
      <w:r w:rsidRPr="00F32D12">
        <w:rPr>
          <w:rFonts w:ascii="Arial" w:hAnsi="Arial" w:cs="Arial"/>
          <w:sz w:val="20"/>
          <w:szCs w:val="20"/>
        </w:rPr>
        <w:t xml:space="preserve">V kontaktnem centru FURS je bilo v letu 2021 vzpostavljeno okolje za pripravo odgovorov na pisna vprašanja s sistemom samodejnega dodeljevanja pisnih vprašanj prisotnim uslužbencem ne glede na krajevno pristojnost. S tem je bil izboljšan odzivni čas za pripravo odgovorov na pisna vprašanja, uslužbenci pa so bili enakomerno obremenjeni. Uvedena je bila priprava odgovorov v angleškem jeziku, pri pripravi odgovor sodeluje prevajalka za angleški jezik. Potekala je prenova aplikativne podpore za klicne centre, ki bo končana v letu 2022. Deloma je bil vzpostavljen drugi nivo informiranja, kjer uslužbenci pripravljajo odgovore na zahtevnejša vprašanja in opravljajo analize razosebljenih podatkov o vsebini telefonskih klicev z namenom poenotenja vsebine odgovorov na istovrstna vprašanja, povečanja kvalitete odgovorov in ažurnih objav pogostih vprašanj na spletni strani Finančne uprave RS. </w:t>
      </w:r>
    </w:p>
    <w:p w14:paraId="7A97ECBE" w14:textId="77777777" w:rsidR="004B7622" w:rsidRPr="00F32D12" w:rsidRDefault="004B7622" w:rsidP="004B7622">
      <w:pPr>
        <w:pStyle w:val="Brezrazmikov"/>
        <w:jc w:val="both"/>
        <w:rPr>
          <w:rFonts w:ascii="Arial" w:hAnsi="Arial" w:cs="Arial"/>
          <w:sz w:val="20"/>
          <w:szCs w:val="20"/>
        </w:rPr>
      </w:pPr>
    </w:p>
    <w:p w14:paraId="31623E5E" w14:textId="77777777" w:rsidR="004B7622" w:rsidRPr="00F32D12" w:rsidRDefault="004B7622" w:rsidP="004B7622">
      <w:pPr>
        <w:pStyle w:val="Brezrazmikov"/>
        <w:jc w:val="both"/>
        <w:rPr>
          <w:rFonts w:ascii="Arial" w:hAnsi="Arial" w:cs="Arial"/>
          <w:sz w:val="20"/>
          <w:szCs w:val="20"/>
        </w:rPr>
      </w:pPr>
      <w:r w:rsidRPr="00F32D12">
        <w:rPr>
          <w:rFonts w:ascii="Arial" w:hAnsi="Arial" w:cs="Arial"/>
          <w:sz w:val="20"/>
          <w:szCs w:val="20"/>
        </w:rPr>
        <w:t xml:space="preserve">Večina uslužbencev kontaktnega centra je delo v času ukrepov za preprečevanje širjenja COVID-19 opravljala od doma. V poletnem času so v klicnem centru za bone sodelovali študenti, saj se je število klicev s tega področja zaradi uvedbe Bonov 2021 povečalo. S tem je bil zagotovljen boljši odzivni čas v poletnih mesecih za področje turističnih bonov in bonov 2021. Sprejet je bil kadrovski načrt za zagotovitev optimalnega števila uslužbencev v kontaktnem centru FURS. </w:t>
      </w:r>
    </w:p>
    <w:p w14:paraId="20FF740B" w14:textId="77777777" w:rsidR="004B7622" w:rsidRPr="00F32D12" w:rsidRDefault="004B7622" w:rsidP="004B7622">
      <w:pPr>
        <w:pStyle w:val="Brezrazmikov"/>
        <w:jc w:val="both"/>
        <w:rPr>
          <w:rFonts w:ascii="Arial" w:hAnsi="Arial" w:cs="Arial"/>
          <w:sz w:val="20"/>
          <w:szCs w:val="20"/>
        </w:rPr>
      </w:pPr>
    </w:p>
    <w:p w14:paraId="03137FF3" w14:textId="77777777" w:rsidR="004B7622" w:rsidRPr="00F32D12" w:rsidRDefault="004B7622" w:rsidP="004B7622">
      <w:pPr>
        <w:pStyle w:val="Brezrazmikov"/>
        <w:jc w:val="both"/>
        <w:rPr>
          <w:rFonts w:ascii="Arial" w:hAnsi="Arial" w:cs="Arial"/>
          <w:b/>
          <w:bCs/>
          <w:sz w:val="20"/>
          <w:szCs w:val="20"/>
        </w:rPr>
      </w:pPr>
      <w:r w:rsidRPr="00F32D12">
        <w:rPr>
          <w:rFonts w:ascii="Arial" w:hAnsi="Arial" w:cs="Arial"/>
          <w:b/>
          <w:bCs/>
          <w:sz w:val="20"/>
          <w:szCs w:val="20"/>
        </w:rPr>
        <w:t xml:space="preserve">Komuniciranje z mediji </w:t>
      </w:r>
    </w:p>
    <w:p w14:paraId="1E20385D" w14:textId="77777777" w:rsidR="004B7622" w:rsidRPr="004F2C21" w:rsidRDefault="004B7622" w:rsidP="004B7622">
      <w:pPr>
        <w:pStyle w:val="Brezrazmikov"/>
        <w:spacing w:line="276" w:lineRule="auto"/>
        <w:jc w:val="both"/>
        <w:rPr>
          <w:rFonts w:ascii="Arial" w:hAnsi="Arial" w:cs="Arial"/>
          <w:sz w:val="20"/>
          <w:szCs w:val="20"/>
        </w:rPr>
      </w:pPr>
      <w:r w:rsidRPr="004F2C21">
        <w:rPr>
          <w:rFonts w:ascii="Arial" w:hAnsi="Arial" w:cs="Arial"/>
          <w:sz w:val="20"/>
          <w:szCs w:val="20"/>
        </w:rPr>
        <w:t xml:space="preserve">V letu 2021 je FURS nadaljeval s proaktivnim medijskim komuniciranjem. Poleg rednega informiranja in obveščanja javnosti o davčnih in carinskih temah je bila velika pozornost namenjena področju </w:t>
      </w:r>
      <w:proofErr w:type="spellStart"/>
      <w:r w:rsidRPr="004F2C21">
        <w:rPr>
          <w:rFonts w:ascii="Arial" w:hAnsi="Arial" w:cs="Arial"/>
          <w:sz w:val="20"/>
          <w:szCs w:val="20"/>
        </w:rPr>
        <w:t>protikoronskih</w:t>
      </w:r>
      <w:proofErr w:type="spellEnd"/>
      <w:r w:rsidRPr="004F2C21">
        <w:rPr>
          <w:rFonts w:ascii="Arial" w:hAnsi="Arial" w:cs="Arial"/>
          <w:sz w:val="20"/>
          <w:szCs w:val="20"/>
        </w:rPr>
        <w:t xml:space="preserve"> ukrepov, ki se nanašajo na davčno področje. Prav tako je bilo podaljšano unovčevanje turističnih bonov, uveljavljali so se Boni21, kjer je FURS izvajal komunikacijsko podporo. </w:t>
      </w:r>
    </w:p>
    <w:p w14:paraId="551F0C45" w14:textId="77777777" w:rsidR="004B7622" w:rsidRPr="00F32D12" w:rsidRDefault="004B7622" w:rsidP="004B7622">
      <w:pPr>
        <w:pStyle w:val="Brezrazmikov"/>
        <w:spacing w:line="276" w:lineRule="auto"/>
        <w:jc w:val="both"/>
        <w:rPr>
          <w:rFonts w:ascii="Arial" w:hAnsi="Arial" w:cs="Arial"/>
          <w:sz w:val="20"/>
          <w:szCs w:val="20"/>
        </w:rPr>
      </w:pPr>
    </w:p>
    <w:p w14:paraId="2326A4A9" w14:textId="77777777" w:rsidR="004B7622" w:rsidRPr="00F32D12" w:rsidRDefault="004B7622" w:rsidP="004B7622">
      <w:pPr>
        <w:pStyle w:val="Brezrazmikov"/>
        <w:spacing w:line="276" w:lineRule="auto"/>
        <w:jc w:val="both"/>
        <w:rPr>
          <w:rFonts w:ascii="Arial" w:hAnsi="Arial" w:cs="Arial"/>
          <w:sz w:val="20"/>
          <w:szCs w:val="20"/>
        </w:rPr>
      </w:pPr>
      <w:r w:rsidRPr="00F32D12">
        <w:rPr>
          <w:rFonts w:ascii="Arial" w:hAnsi="Arial" w:cs="Arial"/>
          <w:sz w:val="20"/>
          <w:szCs w:val="20"/>
        </w:rPr>
        <w:t xml:space="preserve">Tudi pri drugih tematikah so bili davčni zavezanci prek medijev obveščeni o vseh pravicah in obveznostih ter o novostih. Poseben poudarek pri komuniciranju z javnostjo je bil namenjen načinu podajanja informacij. Kljub kompleksnosti davčne in carinske tematike se skuša tako z mediji kot zavezanci komunicirati na poljuden, razumljiv, vendar še vedno strokoven način. S tem namenom so se tudi v letu 2021 širila in posodabljala različna komunikacijska orodja in pripomočki, predvsem v smeri digitalizacije, to je uporaba video vsebin, </w:t>
      </w:r>
      <w:proofErr w:type="spellStart"/>
      <w:r w:rsidRPr="00F32D12">
        <w:rPr>
          <w:rFonts w:ascii="Arial" w:hAnsi="Arial" w:cs="Arial"/>
          <w:sz w:val="20"/>
          <w:szCs w:val="20"/>
        </w:rPr>
        <w:t>infografik</w:t>
      </w:r>
      <w:proofErr w:type="spellEnd"/>
      <w:r w:rsidRPr="00F32D12">
        <w:rPr>
          <w:rFonts w:ascii="Arial" w:hAnsi="Arial" w:cs="Arial"/>
          <w:sz w:val="20"/>
          <w:szCs w:val="20"/>
        </w:rPr>
        <w:t xml:space="preserve"> in širitev komuniciranja prek družbenih omrežij. </w:t>
      </w:r>
    </w:p>
    <w:p w14:paraId="1C87A8F6" w14:textId="77777777" w:rsidR="004B7622" w:rsidRPr="00F32D12" w:rsidRDefault="004B7622" w:rsidP="004B7622">
      <w:pPr>
        <w:pStyle w:val="Brezrazmikov"/>
        <w:spacing w:line="276" w:lineRule="auto"/>
        <w:jc w:val="both"/>
        <w:rPr>
          <w:rFonts w:ascii="Arial" w:hAnsi="Arial" w:cs="Arial"/>
          <w:sz w:val="20"/>
          <w:szCs w:val="20"/>
        </w:rPr>
      </w:pPr>
    </w:p>
    <w:p w14:paraId="1B69965F" w14:textId="77777777" w:rsidR="004B7622" w:rsidRDefault="004B7622" w:rsidP="004B7622">
      <w:pPr>
        <w:pStyle w:val="Brezrazmikov"/>
        <w:spacing w:line="276" w:lineRule="auto"/>
        <w:jc w:val="both"/>
        <w:rPr>
          <w:rFonts w:ascii="Arial" w:hAnsi="Arial" w:cs="Arial"/>
          <w:sz w:val="20"/>
          <w:szCs w:val="20"/>
        </w:rPr>
      </w:pPr>
      <w:r w:rsidRPr="00F32D12">
        <w:rPr>
          <w:rFonts w:ascii="Arial" w:hAnsi="Arial" w:cs="Arial"/>
          <w:sz w:val="20"/>
          <w:szCs w:val="20"/>
        </w:rPr>
        <w:t xml:space="preserve">Pri komuniciranju z mediji so se uporabljala različna komunikacijska orodja, kot npr. sporočila za javnost, novinarske konference, izjave za medije, odgovori na novinarska vprašanja itd. FURS je leta 2021 odgovoril na 763 novinarskih vprašanj, kar je 5,1 odstotka več kakor leto poprej, ter objavil 114 sporočil za medije, kar je 7,3 odstotka manj kakor leta 2020. Ob tem bi izpostavili, da je bilo v letu 2020 izredno veliko informativnih objav (193 odstotka več kakor leta 2019) zaradi novih vsebin, ki so jih prinesli </w:t>
      </w:r>
      <w:proofErr w:type="spellStart"/>
      <w:r w:rsidRPr="00F32D12">
        <w:rPr>
          <w:rFonts w:ascii="Arial" w:hAnsi="Arial" w:cs="Arial"/>
          <w:sz w:val="20"/>
          <w:szCs w:val="20"/>
        </w:rPr>
        <w:t>protikoronski</w:t>
      </w:r>
      <w:proofErr w:type="spellEnd"/>
      <w:r w:rsidRPr="00F32D12">
        <w:rPr>
          <w:rFonts w:ascii="Arial" w:hAnsi="Arial" w:cs="Arial"/>
          <w:sz w:val="20"/>
          <w:szCs w:val="20"/>
        </w:rPr>
        <w:t xml:space="preserve"> ukrepi in turistični boni. </w:t>
      </w:r>
    </w:p>
    <w:p w14:paraId="3CBA8C69" w14:textId="77777777" w:rsidR="004B7622" w:rsidRPr="00F32D12" w:rsidRDefault="004B7622" w:rsidP="004B7622">
      <w:pPr>
        <w:pStyle w:val="Brezrazmikov"/>
        <w:spacing w:line="276" w:lineRule="auto"/>
        <w:jc w:val="both"/>
        <w:rPr>
          <w:rFonts w:ascii="Arial" w:hAnsi="Arial" w:cs="Arial"/>
          <w:sz w:val="20"/>
          <w:szCs w:val="20"/>
        </w:rPr>
      </w:pPr>
    </w:p>
    <w:p w14:paraId="5BA96013" w14:textId="77777777" w:rsidR="004B7622" w:rsidRPr="00F32D12" w:rsidRDefault="004B7622" w:rsidP="004B7622">
      <w:pPr>
        <w:pStyle w:val="Brezrazmikov"/>
        <w:spacing w:line="276" w:lineRule="auto"/>
        <w:jc w:val="both"/>
        <w:rPr>
          <w:rFonts w:ascii="Arial" w:hAnsi="Arial" w:cs="Arial"/>
          <w:sz w:val="20"/>
          <w:szCs w:val="20"/>
        </w:rPr>
      </w:pPr>
    </w:p>
    <w:p w14:paraId="0BD7A122" w14:textId="77777777" w:rsidR="004B7622" w:rsidRPr="00F32D12" w:rsidRDefault="004B7622" w:rsidP="004B7622">
      <w:pPr>
        <w:pStyle w:val="Brezrazmikov"/>
        <w:spacing w:line="276" w:lineRule="auto"/>
        <w:jc w:val="both"/>
        <w:rPr>
          <w:rFonts w:ascii="Arial" w:hAnsi="Arial" w:cs="Arial"/>
          <w:b/>
          <w:bCs/>
          <w:sz w:val="20"/>
          <w:szCs w:val="20"/>
        </w:rPr>
      </w:pPr>
      <w:r w:rsidRPr="00F32D12">
        <w:rPr>
          <w:rFonts w:ascii="Arial" w:hAnsi="Arial" w:cs="Arial"/>
          <w:b/>
          <w:bCs/>
          <w:sz w:val="20"/>
          <w:szCs w:val="20"/>
        </w:rPr>
        <w:lastRenderedPageBreak/>
        <w:t xml:space="preserve">Mobilna aplikacija </w:t>
      </w:r>
      <w:proofErr w:type="spellStart"/>
      <w:r w:rsidRPr="00F32D12">
        <w:rPr>
          <w:rFonts w:ascii="Arial" w:hAnsi="Arial" w:cs="Arial"/>
          <w:b/>
          <w:bCs/>
          <w:sz w:val="20"/>
          <w:szCs w:val="20"/>
        </w:rPr>
        <w:t>eDavki</w:t>
      </w:r>
      <w:proofErr w:type="spellEnd"/>
      <w:r w:rsidRPr="00F32D12">
        <w:rPr>
          <w:rFonts w:ascii="Arial" w:hAnsi="Arial" w:cs="Arial"/>
          <w:b/>
          <w:bCs/>
          <w:sz w:val="20"/>
          <w:szCs w:val="20"/>
        </w:rPr>
        <w:t xml:space="preserve"> </w:t>
      </w:r>
    </w:p>
    <w:p w14:paraId="6A4D3BDD" w14:textId="77777777" w:rsidR="004B7622" w:rsidRPr="00F32D12" w:rsidRDefault="004B7622" w:rsidP="004B7622">
      <w:pPr>
        <w:pStyle w:val="Brezrazmikov"/>
        <w:spacing w:line="276" w:lineRule="auto"/>
        <w:jc w:val="both"/>
        <w:rPr>
          <w:rFonts w:ascii="Arial" w:hAnsi="Arial" w:cs="Arial"/>
          <w:sz w:val="20"/>
          <w:szCs w:val="20"/>
        </w:rPr>
      </w:pPr>
      <w:r w:rsidRPr="00F32D12">
        <w:rPr>
          <w:rFonts w:ascii="Arial" w:hAnsi="Arial" w:cs="Arial"/>
          <w:sz w:val="20"/>
          <w:szCs w:val="20"/>
        </w:rPr>
        <w:t xml:space="preserve">Z namenom učinkovitega ciljnega komuniciranja z zavezanci in odprave administrativnih ovir pri digitalizaciji postopkov, je FURS v začetku leta 2019, zavezancem v uporabo predal mobilno aplikacijo </w:t>
      </w:r>
      <w:proofErr w:type="spellStart"/>
      <w:r w:rsidRPr="00F32D12">
        <w:rPr>
          <w:rFonts w:ascii="Arial" w:hAnsi="Arial" w:cs="Arial"/>
          <w:sz w:val="20"/>
          <w:szCs w:val="20"/>
        </w:rPr>
        <w:t>eDavki</w:t>
      </w:r>
      <w:proofErr w:type="spellEnd"/>
      <w:r w:rsidRPr="00F32D12">
        <w:rPr>
          <w:rFonts w:ascii="Arial" w:hAnsi="Arial" w:cs="Arial"/>
          <w:sz w:val="20"/>
          <w:szCs w:val="20"/>
        </w:rPr>
        <w:t xml:space="preserve">. </w:t>
      </w:r>
    </w:p>
    <w:p w14:paraId="2FFE7510" w14:textId="77777777" w:rsidR="004B7622" w:rsidRPr="00F32D12" w:rsidRDefault="004B7622" w:rsidP="004B7622">
      <w:pPr>
        <w:pStyle w:val="Brezrazmikov"/>
        <w:spacing w:line="276" w:lineRule="auto"/>
        <w:jc w:val="both"/>
        <w:rPr>
          <w:rFonts w:ascii="Arial" w:hAnsi="Arial" w:cs="Arial"/>
          <w:sz w:val="20"/>
          <w:szCs w:val="20"/>
        </w:rPr>
      </w:pPr>
    </w:p>
    <w:p w14:paraId="4FDDB03E" w14:textId="77777777" w:rsidR="004B7622" w:rsidRPr="00F32D12" w:rsidRDefault="004B7622" w:rsidP="004B7622">
      <w:pPr>
        <w:pStyle w:val="Brezrazmikov"/>
        <w:spacing w:line="276" w:lineRule="auto"/>
        <w:jc w:val="both"/>
        <w:rPr>
          <w:rFonts w:ascii="Arial" w:hAnsi="Arial" w:cs="Arial"/>
          <w:sz w:val="20"/>
          <w:szCs w:val="20"/>
        </w:rPr>
      </w:pPr>
      <w:r w:rsidRPr="00F32D12">
        <w:rPr>
          <w:rFonts w:ascii="Arial" w:hAnsi="Arial" w:cs="Arial"/>
          <w:sz w:val="20"/>
          <w:szCs w:val="20"/>
        </w:rPr>
        <w:t xml:space="preserve">Zavezanci so aplikacijo odlično sprejeli, saj si jo je že v prvih mesecih na svoje telefone naložilo več kakor 50.000 uporabnikov, do konca leta 2019 pa je bilo registriranih že okoli 70.000 uporabnikov. Število registriranih uporabnikov mobilne aplikacije se je do konca leta 2020 povečalo na skoraj 150.000. Konec leta 2021 je aplikacijo uporabljalo že skoraj 245.000, kar je 63 procentno povečanje glede na leto 2020. </w:t>
      </w:r>
    </w:p>
    <w:p w14:paraId="06BF14AA" w14:textId="77777777" w:rsidR="004B7622" w:rsidRPr="00F32D12" w:rsidRDefault="004B7622" w:rsidP="004B7622">
      <w:pPr>
        <w:pStyle w:val="Brezrazmikov"/>
        <w:spacing w:line="276" w:lineRule="auto"/>
        <w:jc w:val="both"/>
        <w:rPr>
          <w:rFonts w:ascii="Arial" w:hAnsi="Arial" w:cs="Arial"/>
          <w:sz w:val="20"/>
          <w:szCs w:val="20"/>
        </w:rPr>
      </w:pPr>
    </w:p>
    <w:p w14:paraId="6B8884F0" w14:textId="77777777" w:rsidR="004B7622" w:rsidRPr="00F32D12" w:rsidRDefault="004B7622" w:rsidP="004B7622">
      <w:pPr>
        <w:pStyle w:val="Brezrazmikov"/>
        <w:spacing w:line="276" w:lineRule="auto"/>
        <w:jc w:val="both"/>
        <w:rPr>
          <w:rFonts w:ascii="Arial" w:hAnsi="Arial" w:cs="Arial"/>
          <w:sz w:val="20"/>
          <w:szCs w:val="20"/>
        </w:rPr>
      </w:pPr>
      <w:r w:rsidRPr="00F32D12">
        <w:rPr>
          <w:rFonts w:ascii="Arial" w:hAnsi="Arial" w:cs="Arial"/>
          <w:sz w:val="20"/>
          <w:szCs w:val="20"/>
        </w:rPr>
        <w:t xml:space="preserve">Sprva je bila aplikacija namenjena fizičnim osebam. Kasneje se je pokazala težnja zavezancev, da se mobilna aplikacija prilagodi tudi za delo v imenu zastopanih zavezancev. Tako je bila dne 22. 12. 2020 v uporabo zavezancem predana nadgradnja mobilne aplikacije, ki je zakonitim zastopnikom poslovnih subjektov oziroma nosilcem dejavnosti omogočala, da prek mobilne aplikacije elektronsko poslujejo v imenu svojega poslovnega subjekta (vlagajo vloge ter pregledujejo vloge in podatke). </w:t>
      </w:r>
    </w:p>
    <w:p w14:paraId="6F60DA74" w14:textId="77777777" w:rsidR="004B7622" w:rsidRPr="00F32D12" w:rsidRDefault="004B7622" w:rsidP="004B7622">
      <w:pPr>
        <w:pStyle w:val="Brezrazmikov"/>
        <w:spacing w:line="276" w:lineRule="auto"/>
        <w:jc w:val="both"/>
        <w:rPr>
          <w:rFonts w:ascii="Arial" w:hAnsi="Arial" w:cs="Arial"/>
          <w:sz w:val="20"/>
          <w:szCs w:val="20"/>
        </w:rPr>
      </w:pPr>
    </w:p>
    <w:p w14:paraId="71A98A4D" w14:textId="77777777" w:rsidR="004B7622" w:rsidRPr="005B65FF" w:rsidRDefault="004B7622" w:rsidP="004B7622">
      <w:pPr>
        <w:pStyle w:val="Brezrazmikov"/>
        <w:spacing w:line="276" w:lineRule="auto"/>
        <w:jc w:val="both"/>
        <w:rPr>
          <w:rFonts w:ascii="Arial" w:hAnsi="Arial" w:cs="Arial"/>
          <w:sz w:val="20"/>
          <w:szCs w:val="20"/>
        </w:rPr>
      </w:pPr>
      <w:r w:rsidRPr="00F32D12">
        <w:rPr>
          <w:rFonts w:ascii="Arial" w:hAnsi="Arial" w:cs="Arial"/>
          <w:sz w:val="20"/>
          <w:szCs w:val="20"/>
        </w:rPr>
        <w:t xml:space="preserve">Mobilna aplikacija ponuja več kakor 30 funkcionalnosti poslovanja s FURS. Poleg obrazcev, kontaktov in splošnih informacij, med drugim ponuja tudi </w:t>
      </w:r>
      <w:proofErr w:type="spellStart"/>
      <w:r w:rsidRPr="00F32D12">
        <w:rPr>
          <w:rFonts w:ascii="Arial" w:hAnsi="Arial" w:cs="Arial"/>
          <w:sz w:val="20"/>
          <w:szCs w:val="20"/>
        </w:rPr>
        <w:t>personalizirani</w:t>
      </w:r>
      <w:proofErr w:type="spellEnd"/>
      <w:r w:rsidRPr="00F32D12">
        <w:rPr>
          <w:rFonts w:ascii="Arial" w:hAnsi="Arial" w:cs="Arial"/>
          <w:sz w:val="20"/>
          <w:szCs w:val="20"/>
        </w:rPr>
        <w:t xml:space="preserve"> koledarček, preko katerega zavezanci prejemajo obvestila o svojih konkretnih obveznostih in pravicah (npr. obvestilo o izteku roka za plačilo davka). V koledarju so zabeleženi splošni (sivi), zavezančevi (rdeči) in zastopančevi (zelena) dogodki. Ob tem je zagotovljeno tudi filtriranje prikaza dogodkov na koledarju. Če delodajalec delavcu ne obračuna in/ali plača</w:t>
      </w:r>
      <w:r w:rsidRPr="006525D4">
        <w:rPr>
          <w:rFonts w:ascii="Arial" w:hAnsi="Arial" w:cs="Arial"/>
          <w:sz w:val="20"/>
          <w:szCs w:val="20"/>
        </w:rPr>
        <w:t xml:space="preserve"> prispevkov za socialno varnost, je delavec o tem prek aplikacije samodejno in ažurno obveščen. Obvestilo o izteku roka za plačilo obveznosti in neplačanih prispevkih za socialno varnost zavezanci prejmejo tudi, če je aplikacija </w:t>
      </w:r>
      <w:proofErr w:type="spellStart"/>
      <w:r w:rsidRPr="006525D4">
        <w:rPr>
          <w:rFonts w:ascii="Arial" w:hAnsi="Arial" w:cs="Arial"/>
          <w:sz w:val="20"/>
          <w:szCs w:val="20"/>
        </w:rPr>
        <w:t>eDavki</w:t>
      </w:r>
      <w:proofErr w:type="spellEnd"/>
      <w:r w:rsidRPr="006525D4">
        <w:rPr>
          <w:rFonts w:ascii="Arial" w:hAnsi="Arial" w:cs="Arial"/>
          <w:sz w:val="20"/>
          <w:szCs w:val="20"/>
        </w:rPr>
        <w:t xml:space="preserve"> zaprta. Posledično so lahko zavezanci brez skrbi glede </w:t>
      </w:r>
      <w:proofErr w:type="spellStart"/>
      <w:r w:rsidRPr="006525D4">
        <w:rPr>
          <w:rFonts w:ascii="Arial" w:hAnsi="Arial" w:cs="Arial"/>
          <w:sz w:val="20"/>
          <w:szCs w:val="20"/>
        </w:rPr>
        <w:t>neobračunanih</w:t>
      </w:r>
      <w:proofErr w:type="spellEnd"/>
      <w:r w:rsidRPr="006525D4">
        <w:rPr>
          <w:rFonts w:ascii="Arial" w:hAnsi="Arial" w:cs="Arial"/>
          <w:sz w:val="20"/>
          <w:szCs w:val="20"/>
        </w:rPr>
        <w:t xml:space="preserve"> in/ali neplačanih prispevkov s strani njihovega delodajalca. Posebej </w:t>
      </w:r>
      <w:r w:rsidRPr="005B65FF">
        <w:rPr>
          <w:rFonts w:ascii="Arial" w:hAnsi="Arial" w:cs="Arial"/>
          <w:sz w:val="20"/>
          <w:szCs w:val="20"/>
        </w:rPr>
        <w:t>poenostavljeno pa je oddajanje vloge za uveljavljanje posebne olajšave za vzdrževane družinske člane pri informativnem izračunu dohodnine (</w:t>
      </w:r>
      <w:proofErr w:type="spellStart"/>
      <w:r w:rsidRPr="005B65FF">
        <w:rPr>
          <w:rFonts w:ascii="Arial" w:hAnsi="Arial" w:cs="Arial"/>
          <w:sz w:val="20"/>
          <w:szCs w:val="20"/>
        </w:rPr>
        <w:t>Doh_VDC</w:t>
      </w:r>
      <w:proofErr w:type="spellEnd"/>
      <w:r w:rsidRPr="005B65FF">
        <w:rPr>
          <w:rFonts w:ascii="Arial" w:hAnsi="Arial" w:cs="Arial"/>
          <w:sz w:val="20"/>
          <w:szCs w:val="20"/>
        </w:rPr>
        <w:t xml:space="preserve">), ki je </w:t>
      </w:r>
      <w:proofErr w:type="spellStart"/>
      <w:r w:rsidRPr="005B65FF">
        <w:rPr>
          <w:rFonts w:ascii="Arial" w:hAnsi="Arial" w:cs="Arial"/>
          <w:sz w:val="20"/>
          <w:szCs w:val="20"/>
        </w:rPr>
        <w:t>predizpolnjena</w:t>
      </w:r>
      <w:proofErr w:type="spellEnd"/>
      <w:r w:rsidRPr="005B65FF">
        <w:rPr>
          <w:rFonts w:ascii="Arial" w:hAnsi="Arial" w:cs="Arial"/>
          <w:sz w:val="20"/>
          <w:szCs w:val="20"/>
        </w:rPr>
        <w:t xml:space="preserve"> s podatki iz prejšnjega leta. Aplikacija podpira tudi elektronsko vročanje dokumentov, tako za zavezanca kot zastopanega. </w:t>
      </w:r>
    </w:p>
    <w:p w14:paraId="102B970C" w14:textId="77777777" w:rsidR="004B7622" w:rsidRPr="005B65FF" w:rsidRDefault="004B7622" w:rsidP="004B7622">
      <w:pPr>
        <w:pStyle w:val="Brezrazmikov"/>
        <w:spacing w:line="276" w:lineRule="auto"/>
        <w:jc w:val="both"/>
        <w:rPr>
          <w:rFonts w:ascii="Arial" w:hAnsi="Arial" w:cs="Arial"/>
          <w:sz w:val="20"/>
          <w:szCs w:val="20"/>
        </w:rPr>
      </w:pPr>
    </w:p>
    <w:p w14:paraId="734E7090" w14:textId="77777777" w:rsidR="004B7622" w:rsidRPr="005B65FF" w:rsidRDefault="004B7622" w:rsidP="004B7622">
      <w:pPr>
        <w:pStyle w:val="Brezrazmikov"/>
        <w:spacing w:line="276" w:lineRule="auto"/>
        <w:jc w:val="both"/>
        <w:rPr>
          <w:rFonts w:ascii="Arial" w:hAnsi="Arial" w:cs="Arial"/>
          <w:sz w:val="20"/>
          <w:szCs w:val="20"/>
        </w:rPr>
      </w:pPr>
      <w:r w:rsidRPr="005B65FF">
        <w:rPr>
          <w:rFonts w:ascii="Arial" w:hAnsi="Arial" w:cs="Arial"/>
          <w:sz w:val="20"/>
          <w:szCs w:val="20"/>
        </w:rPr>
        <w:t xml:space="preserve">Poleg dela v imenu drugih zavezancev, aplikacija zakonitemu zastopniku in pooblaščencu ponuja prejemanje potisnih obvestil in obvestil za zastopanega zavezanca in filtriranje prejemanja le teh. Mobilna aplikacija ponuja tudi poenostavljeno knjigovodsko kartico zavezanca, oblikovano posebej za mobilno aplikacijo. Omogočeno je tudi deljenje dokumentov in obvestil zunaj aplikacije </w:t>
      </w:r>
      <w:proofErr w:type="spellStart"/>
      <w:r w:rsidRPr="005B65FF">
        <w:rPr>
          <w:rFonts w:ascii="Arial" w:hAnsi="Arial" w:cs="Arial"/>
          <w:sz w:val="20"/>
          <w:szCs w:val="20"/>
        </w:rPr>
        <w:t>eDavkov</w:t>
      </w:r>
      <w:proofErr w:type="spellEnd"/>
      <w:r w:rsidRPr="005B65FF">
        <w:rPr>
          <w:rFonts w:ascii="Arial" w:hAnsi="Arial" w:cs="Arial"/>
          <w:sz w:val="20"/>
          <w:szCs w:val="20"/>
        </w:rPr>
        <w:t xml:space="preserve">, implementiran je iskalnik po vsebini </w:t>
      </w:r>
      <w:proofErr w:type="spellStart"/>
      <w:r w:rsidRPr="005B65FF">
        <w:rPr>
          <w:rFonts w:ascii="Arial" w:hAnsi="Arial" w:cs="Arial"/>
          <w:sz w:val="20"/>
          <w:szCs w:val="20"/>
        </w:rPr>
        <w:t>eDavkov</w:t>
      </w:r>
      <w:proofErr w:type="spellEnd"/>
      <w:r w:rsidRPr="005B65FF">
        <w:rPr>
          <w:rFonts w:ascii="Arial" w:hAnsi="Arial" w:cs="Arial"/>
          <w:sz w:val="20"/>
          <w:szCs w:val="20"/>
        </w:rPr>
        <w:t xml:space="preserve">, pogostih vprašanjih in tudi po Googlu, v meniju pa so na voljo vloge za pooblaščanje. </w:t>
      </w:r>
    </w:p>
    <w:p w14:paraId="23412FE9" w14:textId="77777777" w:rsidR="004B7622" w:rsidRPr="005B65FF" w:rsidRDefault="004B7622" w:rsidP="004B7622">
      <w:pPr>
        <w:pStyle w:val="Brezrazmikov"/>
        <w:spacing w:line="276" w:lineRule="auto"/>
        <w:jc w:val="both"/>
        <w:rPr>
          <w:rFonts w:ascii="Arial" w:hAnsi="Arial" w:cs="Arial"/>
          <w:sz w:val="20"/>
          <w:szCs w:val="20"/>
        </w:rPr>
      </w:pPr>
    </w:p>
    <w:p w14:paraId="16D7D131" w14:textId="77777777" w:rsidR="004B7622" w:rsidRPr="005B65FF" w:rsidRDefault="004B7622" w:rsidP="004B7622">
      <w:pPr>
        <w:pStyle w:val="Brezrazmikov"/>
        <w:spacing w:line="276" w:lineRule="auto"/>
        <w:jc w:val="both"/>
        <w:rPr>
          <w:rFonts w:ascii="Arial" w:hAnsi="Arial" w:cs="Arial"/>
          <w:sz w:val="20"/>
          <w:szCs w:val="20"/>
        </w:rPr>
      </w:pPr>
      <w:r w:rsidRPr="005B65FF">
        <w:rPr>
          <w:rFonts w:ascii="Arial" w:hAnsi="Arial" w:cs="Arial"/>
          <w:sz w:val="20"/>
          <w:szCs w:val="20"/>
        </w:rPr>
        <w:t xml:space="preserve">V letu 2021 je bilo vsem fizičnim osebam, ne glede na izbrano sredstvo elektronske identifikacije ob vstopu v portal </w:t>
      </w:r>
      <w:proofErr w:type="spellStart"/>
      <w:r w:rsidRPr="005B65FF">
        <w:rPr>
          <w:rFonts w:ascii="Arial" w:hAnsi="Arial" w:cs="Arial"/>
          <w:sz w:val="20"/>
          <w:szCs w:val="20"/>
        </w:rPr>
        <w:t>eDavki</w:t>
      </w:r>
      <w:proofErr w:type="spellEnd"/>
      <w:r w:rsidRPr="005B65FF">
        <w:rPr>
          <w:rFonts w:ascii="Arial" w:hAnsi="Arial" w:cs="Arial"/>
          <w:sz w:val="20"/>
          <w:szCs w:val="20"/>
        </w:rPr>
        <w:t xml:space="preserve"> oziroma pri uporabi mobilne aplikacije </w:t>
      </w:r>
      <w:proofErr w:type="spellStart"/>
      <w:r w:rsidRPr="005B65FF">
        <w:rPr>
          <w:rFonts w:ascii="Arial" w:hAnsi="Arial" w:cs="Arial"/>
          <w:sz w:val="20"/>
          <w:szCs w:val="20"/>
        </w:rPr>
        <w:t>eDavki</w:t>
      </w:r>
      <w:proofErr w:type="spellEnd"/>
      <w:r w:rsidRPr="005B65FF">
        <w:rPr>
          <w:rFonts w:ascii="Arial" w:hAnsi="Arial" w:cs="Arial"/>
          <w:sz w:val="20"/>
          <w:szCs w:val="20"/>
        </w:rPr>
        <w:t xml:space="preserve">, omogočen dostop do vseh profilov zavezancev, za katere imajo kot zunanji pooblaščenci urejeno pooblastilo za delo znotraj </w:t>
      </w:r>
      <w:proofErr w:type="spellStart"/>
      <w:r w:rsidRPr="005B65FF">
        <w:rPr>
          <w:rFonts w:ascii="Arial" w:hAnsi="Arial" w:cs="Arial"/>
          <w:sz w:val="20"/>
          <w:szCs w:val="20"/>
        </w:rPr>
        <w:t>eDavkov</w:t>
      </w:r>
      <w:proofErr w:type="spellEnd"/>
      <w:r w:rsidRPr="005B65FF">
        <w:rPr>
          <w:rFonts w:ascii="Arial" w:hAnsi="Arial" w:cs="Arial"/>
          <w:sz w:val="20"/>
          <w:szCs w:val="20"/>
        </w:rPr>
        <w:t>, kar je znatno olajšalo poslovanje s F</w:t>
      </w:r>
      <w:r>
        <w:rPr>
          <w:rFonts w:ascii="Arial" w:hAnsi="Arial" w:cs="Arial"/>
          <w:sz w:val="20"/>
          <w:szCs w:val="20"/>
        </w:rPr>
        <w:t>URS</w:t>
      </w:r>
      <w:r w:rsidRPr="005B65FF">
        <w:rPr>
          <w:rFonts w:ascii="Arial" w:hAnsi="Arial" w:cs="Arial"/>
          <w:sz w:val="20"/>
          <w:szCs w:val="20"/>
        </w:rPr>
        <w:t xml:space="preserve">. Omogočena je bila tudi ponastavitev uporabniškega računa, v primeru, da je zavezanec pozabil geslo. Prav tako je bila povečana varnost uporabe mobilne aplikacije, saj je bila omogočena </w:t>
      </w:r>
      <w:proofErr w:type="spellStart"/>
      <w:r w:rsidRPr="005B65FF">
        <w:rPr>
          <w:rFonts w:ascii="Arial" w:hAnsi="Arial" w:cs="Arial"/>
          <w:sz w:val="20"/>
          <w:szCs w:val="20"/>
        </w:rPr>
        <w:t>dvofaktorska</w:t>
      </w:r>
      <w:proofErr w:type="spellEnd"/>
      <w:r w:rsidRPr="005B65FF">
        <w:rPr>
          <w:rFonts w:ascii="Arial" w:hAnsi="Arial" w:cs="Arial"/>
          <w:sz w:val="20"/>
          <w:szCs w:val="20"/>
        </w:rPr>
        <w:t xml:space="preserve"> </w:t>
      </w:r>
      <w:proofErr w:type="spellStart"/>
      <w:r w:rsidRPr="005B65FF">
        <w:rPr>
          <w:rFonts w:ascii="Arial" w:hAnsi="Arial" w:cs="Arial"/>
          <w:sz w:val="20"/>
          <w:szCs w:val="20"/>
        </w:rPr>
        <w:t>avtentikacija</w:t>
      </w:r>
      <w:proofErr w:type="spellEnd"/>
      <w:r w:rsidRPr="005B65FF">
        <w:rPr>
          <w:rFonts w:ascii="Arial" w:hAnsi="Arial" w:cs="Arial"/>
          <w:sz w:val="20"/>
          <w:szCs w:val="20"/>
        </w:rPr>
        <w:t xml:space="preserve"> pri prijavi v mobilno aplikacijo </w:t>
      </w:r>
      <w:proofErr w:type="spellStart"/>
      <w:r w:rsidRPr="005B65FF">
        <w:rPr>
          <w:rFonts w:ascii="Arial" w:hAnsi="Arial" w:cs="Arial"/>
          <w:sz w:val="20"/>
          <w:szCs w:val="20"/>
        </w:rPr>
        <w:t>eDavki</w:t>
      </w:r>
      <w:proofErr w:type="spellEnd"/>
      <w:r w:rsidRPr="005B65FF">
        <w:rPr>
          <w:rFonts w:ascii="Arial" w:hAnsi="Arial" w:cs="Arial"/>
          <w:sz w:val="20"/>
          <w:szCs w:val="20"/>
        </w:rPr>
        <w:t xml:space="preserve">. </w:t>
      </w:r>
    </w:p>
    <w:p w14:paraId="70810C94" w14:textId="77777777" w:rsidR="004B7622" w:rsidRPr="005B65FF" w:rsidRDefault="004B7622" w:rsidP="004B7622">
      <w:pPr>
        <w:pStyle w:val="Brezrazmikov"/>
        <w:spacing w:line="276" w:lineRule="auto"/>
        <w:jc w:val="both"/>
        <w:rPr>
          <w:rFonts w:ascii="Arial" w:hAnsi="Arial" w:cs="Arial"/>
          <w:sz w:val="20"/>
          <w:szCs w:val="20"/>
        </w:rPr>
      </w:pPr>
    </w:p>
    <w:p w14:paraId="21CC8A6B" w14:textId="77777777" w:rsidR="004B7622" w:rsidRPr="00F32D12" w:rsidRDefault="004B7622" w:rsidP="004B7622">
      <w:pPr>
        <w:pStyle w:val="Brezrazmikov"/>
        <w:spacing w:line="276" w:lineRule="auto"/>
        <w:jc w:val="both"/>
        <w:rPr>
          <w:rFonts w:ascii="Arial" w:hAnsi="Arial" w:cs="Arial"/>
          <w:sz w:val="20"/>
          <w:szCs w:val="20"/>
        </w:rPr>
      </w:pPr>
      <w:r w:rsidRPr="00F32D12">
        <w:rPr>
          <w:rFonts w:ascii="Arial" w:hAnsi="Arial" w:cs="Arial"/>
          <w:b/>
          <w:bCs/>
          <w:sz w:val="20"/>
          <w:szCs w:val="20"/>
        </w:rPr>
        <w:t>Preventivno ozaveščanje in dogodki</w:t>
      </w:r>
      <w:r w:rsidRPr="00F32D12">
        <w:rPr>
          <w:rFonts w:ascii="Arial" w:hAnsi="Arial" w:cs="Arial"/>
          <w:sz w:val="20"/>
          <w:szCs w:val="20"/>
        </w:rPr>
        <w:t xml:space="preserve"> </w:t>
      </w:r>
    </w:p>
    <w:p w14:paraId="3EE70011" w14:textId="77777777" w:rsidR="004B7622" w:rsidRPr="00F32D12" w:rsidRDefault="004B7622" w:rsidP="004B7622">
      <w:pPr>
        <w:pStyle w:val="Brezrazmikov"/>
        <w:spacing w:line="276" w:lineRule="auto"/>
        <w:jc w:val="both"/>
        <w:rPr>
          <w:rFonts w:ascii="Arial" w:hAnsi="Arial" w:cs="Arial"/>
          <w:sz w:val="20"/>
          <w:szCs w:val="20"/>
        </w:rPr>
      </w:pPr>
      <w:r w:rsidRPr="00F32D12">
        <w:rPr>
          <w:rFonts w:ascii="Arial" w:hAnsi="Arial" w:cs="Arial"/>
          <w:sz w:val="20"/>
          <w:szCs w:val="20"/>
        </w:rPr>
        <w:t xml:space="preserve">Zaradi epidemije se tudi v letu 2021 ni dalo izpeljati dogodkov, namenjenih ozaveščanju širše javnosti o delovanju FURS, kot so bili denimo v preteklosti Dnevi odprtih vrat. So se pa septembra 2021 delovna področja in aktivnosti predstavile obiskovalcem na mednarodnem obrtnem sejmu v Celju. </w:t>
      </w:r>
    </w:p>
    <w:p w14:paraId="3EFA53CF" w14:textId="77777777" w:rsidR="004B7622" w:rsidRPr="00F32D12" w:rsidRDefault="004B7622" w:rsidP="004B7622">
      <w:pPr>
        <w:pStyle w:val="Brezrazmikov"/>
        <w:spacing w:line="276" w:lineRule="auto"/>
        <w:jc w:val="both"/>
        <w:rPr>
          <w:rFonts w:ascii="Arial" w:hAnsi="Arial" w:cs="Arial"/>
          <w:sz w:val="20"/>
          <w:szCs w:val="20"/>
        </w:rPr>
      </w:pPr>
    </w:p>
    <w:p w14:paraId="246DF88E" w14:textId="77777777" w:rsidR="004B7622" w:rsidRPr="00F32D12" w:rsidRDefault="004B7622" w:rsidP="004B7622">
      <w:pPr>
        <w:pStyle w:val="Brezrazmikov"/>
        <w:spacing w:line="276" w:lineRule="auto"/>
        <w:jc w:val="both"/>
        <w:rPr>
          <w:rFonts w:ascii="Arial" w:hAnsi="Arial" w:cs="Arial"/>
          <w:sz w:val="20"/>
          <w:szCs w:val="20"/>
        </w:rPr>
      </w:pPr>
      <w:r w:rsidRPr="00F32D12">
        <w:rPr>
          <w:rFonts w:ascii="Arial" w:hAnsi="Arial" w:cs="Arial"/>
          <w:sz w:val="20"/>
          <w:szCs w:val="20"/>
        </w:rPr>
        <w:t xml:space="preserve">Aprila se je zaradi epidemioloških razmer 7. obletnica Finančne uprave obeležila s spletnim dogodkom, 8. oktobra pa se je v okviru dogodkov ob 30. obletnici osamosvojitve Slovenije izpeljal slavnostni dogodek v počastitev 30. obletnice slovenske carine v živo. </w:t>
      </w:r>
    </w:p>
    <w:p w14:paraId="29E51696" w14:textId="77777777" w:rsidR="004B7622" w:rsidRPr="00F32D12" w:rsidRDefault="004B7622" w:rsidP="004B7622">
      <w:pPr>
        <w:pStyle w:val="Brezrazmikov"/>
        <w:spacing w:line="276" w:lineRule="auto"/>
        <w:jc w:val="both"/>
        <w:rPr>
          <w:rFonts w:ascii="Arial" w:hAnsi="Arial" w:cs="Arial"/>
          <w:sz w:val="20"/>
          <w:szCs w:val="20"/>
        </w:rPr>
      </w:pPr>
    </w:p>
    <w:p w14:paraId="54A03868" w14:textId="77777777" w:rsidR="004B7622" w:rsidRPr="00F32D12" w:rsidRDefault="004B7622" w:rsidP="004B7622">
      <w:pPr>
        <w:pStyle w:val="Brezrazmikov"/>
        <w:spacing w:line="276" w:lineRule="auto"/>
        <w:jc w:val="both"/>
        <w:rPr>
          <w:rFonts w:ascii="Arial" w:hAnsi="Arial" w:cs="Arial"/>
          <w:sz w:val="20"/>
          <w:szCs w:val="20"/>
        </w:rPr>
      </w:pPr>
      <w:r w:rsidRPr="00F32D12">
        <w:rPr>
          <w:rFonts w:ascii="Arial" w:hAnsi="Arial" w:cs="Arial"/>
          <w:b/>
          <w:bCs/>
          <w:sz w:val="20"/>
          <w:szCs w:val="20"/>
        </w:rPr>
        <w:lastRenderedPageBreak/>
        <w:t>Družbena omrežja</w:t>
      </w:r>
      <w:r w:rsidRPr="00F32D12">
        <w:rPr>
          <w:rFonts w:ascii="Arial" w:hAnsi="Arial" w:cs="Arial"/>
          <w:sz w:val="20"/>
          <w:szCs w:val="20"/>
        </w:rPr>
        <w:t xml:space="preserve"> </w:t>
      </w:r>
    </w:p>
    <w:p w14:paraId="21A0C54D" w14:textId="77777777" w:rsidR="004B7622" w:rsidRPr="00F32D12" w:rsidRDefault="004B7622" w:rsidP="004B7622">
      <w:pPr>
        <w:pStyle w:val="Brezrazmikov"/>
        <w:spacing w:line="276" w:lineRule="auto"/>
        <w:jc w:val="both"/>
        <w:rPr>
          <w:rFonts w:ascii="Arial" w:hAnsi="Arial" w:cs="Arial"/>
          <w:sz w:val="20"/>
          <w:szCs w:val="20"/>
        </w:rPr>
      </w:pPr>
      <w:r w:rsidRPr="00F32D12">
        <w:rPr>
          <w:rFonts w:ascii="Arial" w:hAnsi="Arial" w:cs="Arial"/>
          <w:sz w:val="20"/>
          <w:szCs w:val="20"/>
        </w:rPr>
        <w:t xml:space="preserve">Skladno s svetovnimi trendi spreminjanja medijskega prostora je FURS z mesecem januarjem 2019 začel z novo strategijo komuniciranja prek družbenih omrežij. Na ta način si želi približati čim širši javnosti ter zavezancem davčne vsebine predstaviti na drugačen način, predvsem pa pridobiti čim širši krog sledilcev, ki se jim lahko posreduje relevantne informacije. Na družbenih omrežjih se redno odgovarja tudi na vprašanja zavezancev. Do konca leta 2021 je bilo na družbenem omrežju Facebook skupno 12.187 sledilcev, na </w:t>
      </w:r>
      <w:proofErr w:type="spellStart"/>
      <w:r w:rsidRPr="00F32D12">
        <w:rPr>
          <w:rFonts w:ascii="Arial" w:hAnsi="Arial" w:cs="Arial"/>
          <w:sz w:val="20"/>
          <w:szCs w:val="20"/>
        </w:rPr>
        <w:t>Twitterju</w:t>
      </w:r>
      <w:proofErr w:type="spellEnd"/>
      <w:r w:rsidRPr="00F32D12">
        <w:rPr>
          <w:rFonts w:ascii="Arial" w:hAnsi="Arial" w:cs="Arial"/>
          <w:sz w:val="20"/>
          <w:szCs w:val="20"/>
        </w:rPr>
        <w:t xml:space="preserve"> 3.349 sledilcev, na </w:t>
      </w:r>
      <w:proofErr w:type="spellStart"/>
      <w:r w:rsidRPr="00F32D12">
        <w:rPr>
          <w:rFonts w:ascii="Arial" w:hAnsi="Arial" w:cs="Arial"/>
          <w:sz w:val="20"/>
          <w:szCs w:val="20"/>
        </w:rPr>
        <w:t>Instagramu</w:t>
      </w:r>
      <w:proofErr w:type="spellEnd"/>
      <w:r w:rsidRPr="00F32D12">
        <w:rPr>
          <w:rFonts w:ascii="Arial" w:hAnsi="Arial" w:cs="Arial"/>
          <w:sz w:val="20"/>
          <w:szCs w:val="20"/>
        </w:rPr>
        <w:t xml:space="preserve"> pa 758 sledilcev.</w:t>
      </w:r>
    </w:p>
    <w:p w14:paraId="2FBDD472" w14:textId="77777777" w:rsidR="004B7622" w:rsidRPr="00F32D12" w:rsidRDefault="004B7622" w:rsidP="004B7622">
      <w:pPr>
        <w:pStyle w:val="Brezrazmikov"/>
        <w:spacing w:line="276" w:lineRule="auto"/>
        <w:jc w:val="both"/>
        <w:rPr>
          <w:rFonts w:ascii="Arial" w:hAnsi="Arial" w:cs="Arial"/>
          <w:sz w:val="20"/>
          <w:szCs w:val="20"/>
        </w:rPr>
      </w:pPr>
    </w:p>
    <w:p w14:paraId="208BD91B" w14:textId="77777777" w:rsidR="004B7622" w:rsidRPr="00F32D12" w:rsidRDefault="004B7622" w:rsidP="004B7622">
      <w:pPr>
        <w:pStyle w:val="Brezrazmikov"/>
        <w:spacing w:line="276" w:lineRule="auto"/>
        <w:jc w:val="both"/>
        <w:rPr>
          <w:rFonts w:ascii="Arial" w:hAnsi="Arial" w:cs="Arial"/>
          <w:sz w:val="20"/>
          <w:szCs w:val="20"/>
        </w:rPr>
      </w:pPr>
      <w:r w:rsidRPr="00F32D12">
        <w:rPr>
          <w:rFonts w:ascii="Arial" w:hAnsi="Arial" w:cs="Arial"/>
          <w:sz w:val="20"/>
          <w:szCs w:val="20"/>
        </w:rPr>
        <w:t xml:space="preserve">V letu 2021 je bila na družbenemu omrežju </w:t>
      </w:r>
      <w:proofErr w:type="spellStart"/>
      <w:r w:rsidRPr="00F32D12">
        <w:rPr>
          <w:rFonts w:ascii="Arial" w:hAnsi="Arial" w:cs="Arial"/>
          <w:sz w:val="20"/>
          <w:szCs w:val="20"/>
        </w:rPr>
        <w:t>Instagram</w:t>
      </w:r>
      <w:proofErr w:type="spellEnd"/>
      <w:r w:rsidRPr="00F32D12">
        <w:rPr>
          <w:rFonts w:ascii="Arial" w:hAnsi="Arial" w:cs="Arial"/>
          <w:sz w:val="20"/>
          <w:szCs w:val="20"/>
        </w:rPr>
        <w:t xml:space="preserve"> vzpostavljena tudi rubrika »Vprašajte nas«. Sledilcem se omogoča, da postavijo vprašanje z davčnega ali carinskega področja, Finančna uprava pa jim na njihova vprašanja tudi javno odgovori. </w:t>
      </w:r>
    </w:p>
    <w:p w14:paraId="3014A36C" w14:textId="77777777" w:rsidR="004B7622" w:rsidRPr="00F32D12" w:rsidRDefault="004B7622" w:rsidP="004B7622">
      <w:pPr>
        <w:pStyle w:val="Brezrazmikov"/>
        <w:spacing w:line="276" w:lineRule="auto"/>
        <w:jc w:val="both"/>
        <w:rPr>
          <w:rFonts w:ascii="Arial" w:hAnsi="Arial" w:cs="Arial"/>
          <w:sz w:val="20"/>
          <w:szCs w:val="20"/>
        </w:rPr>
      </w:pPr>
    </w:p>
    <w:p w14:paraId="22CE2C12" w14:textId="77777777" w:rsidR="004B7622" w:rsidRPr="00F32D12" w:rsidRDefault="004B7622" w:rsidP="004B7622">
      <w:pPr>
        <w:pStyle w:val="Brezrazmikov"/>
        <w:spacing w:line="276" w:lineRule="auto"/>
        <w:jc w:val="both"/>
        <w:rPr>
          <w:rFonts w:ascii="Arial" w:hAnsi="Arial" w:cs="Arial"/>
          <w:sz w:val="20"/>
          <w:szCs w:val="20"/>
        </w:rPr>
      </w:pPr>
      <w:r w:rsidRPr="00F32D12">
        <w:rPr>
          <w:rFonts w:ascii="Arial" w:hAnsi="Arial" w:cs="Arial"/>
          <w:b/>
          <w:bCs/>
          <w:sz w:val="20"/>
          <w:szCs w:val="20"/>
        </w:rPr>
        <w:t>Podporne komunikacijske aktivnosti</w:t>
      </w:r>
      <w:r w:rsidRPr="00F32D12">
        <w:rPr>
          <w:rFonts w:ascii="Arial" w:hAnsi="Arial" w:cs="Arial"/>
          <w:sz w:val="20"/>
          <w:szCs w:val="20"/>
        </w:rPr>
        <w:t xml:space="preserve"> </w:t>
      </w:r>
    </w:p>
    <w:p w14:paraId="5A7D6D1A" w14:textId="77777777" w:rsidR="004B7622" w:rsidRPr="00F32D12" w:rsidRDefault="004B7622" w:rsidP="004B7622">
      <w:pPr>
        <w:pStyle w:val="Brezrazmikov"/>
        <w:spacing w:line="276" w:lineRule="auto"/>
        <w:jc w:val="both"/>
        <w:rPr>
          <w:rFonts w:ascii="Arial" w:hAnsi="Arial" w:cs="Arial"/>
          <w:sz w:val="20"/>
          <w:szCs w:val="20"/>
        </w:rPr>
      </w:pPr>
      <w:r w:rsidRPr="00F32D12">
        <w:rPr>
          <w:rFonts w:ascii="Arial" w:hAnsi="Arial" w:cs="Arial"/>
          <w:sz w:val="20"/>
          <w:szCs w:val="20"/>
        </w:rPr>
        <w:t xml:space="preserve">V letu 2021 so bili z namenom boljšega pretoka informacij objavljeni elektronski naslovi vodij sektorjev oziroma oddelkov po posameznih finančnih uradih, da lahko zavezanci glede odprtih vprašanj in dilem z njimi vzpostavijo direktno komunikacijo. Ker je bilo leto 2021 zaradi trajajočih epidemioloških razmer za gospodarstvo in zavezance eno izmed najbolj napornih, so bile prvič doslej uvedene tritedenske davčne počitnice. To je bilo od vključno 26. julija do vključno 13. avgusta 2021. To je čas, ko FURS davčnih zavezancev, njihovih računovodij ali davčnih svetovalcev ni pozival, da ji dostavijo kakšno dokumentacijo. Večina se je lahko posvetila počitku. </w:t>
      </w:r>
    </w:p>
    <w:p w14:paraId="18CF71FD" w14:textId="77777777" w:rsidR="004B7622" w:rsidRPr="00F32D12" w:rsidRDefault="004B7622" w:rsidP="004B7622">
      <w:pPr>
        <w:pStyle w:val="Brezrazmikov"/>
        <w:spacing w:line="276" w:lineRule="auto"/>
        <w:jc w:val="both"/>
        <w:rPr>
          <w:rFonts w:ascii="Arial" w:hAnsi="Arial" w:cs="Arial"/>
          <w:sz w:val="20"/>
          <w:szCs w:val="20"/>
        </w:rPr>
      </w:pPr>
    </w:p>
    <w:p w14:paraId="6954ADD5" w14:textId="77777777" w:rsidR="004B7622" w:rsidRPr="00F32D12" w:rsidRDefault="004B7622" w:rsidP="004B7622">
      <w:pPr>
        <w:pStyle w:val="Brezrazmikov"/>
        <w:spacing w:line="276" w:lineRule="auto"/>
        <w:jc w:val="both"/>
        <w:rPr>
          <w:rFonts w:ascii="Arial" w:hAnsi="Arial" w:cs="Arial"/>
          <w:sz w:val="20"/>
          <w:szCs w:val="20"/>
        </w:rPr>
      </w:pPr>
      <w:r w:rsidRPr="00F32D12">
        <w:rPr>
          <w:rFonts w:ascii="Arial" w:hAnsi="Arial" w:cs="Arial"/>
          <w:sz w:val="20"/>
          <w:szCs w:val="20"/>
        </w:rPr>
        <w:t xml:space="preserve">Ne glede na vse, pa so bili uslužbenci FURS tudi v tem času na voljo za vse tiste, ki so želeli opraviti kakšne aktivnosti. Tako so nemoteno potekale odmere davka na promet nepremičnin, odmere davka na motorna vozila, na dediščine in darila ter podobno. Davčne počitnice prav tako niso vplivale na postopke reševanja vlog za odlog oziroma obročno plačilo davka ter vlog za obročno plačilo vračila neupravičeno prejetih sredstev po interventni zakonodaji. Ta praksa, ki se je pri zavezancih izkazala za zelo dobro sprejeto, se bo nadaljevala tudi v prihodnje. </w:t>
      </w:r>
    </w:p>
    <w:p w14:paraId="709DA3AF" w14:textId="77777777" w:rsidR="004B7622" w:rsidRPr="00F32D12" w:rsidRDefault="004B7622" w:rsidP="004B7622">
      <w:pPr>
        <w:pStyle w:val="Brezrazmikov"/>
        <w:spacing w:line="276" w:lineRule="auto"/>
        <w:jc w:val="both"/>
        <w:rPr>
          <w:rFonts w:ascii="Arial" w:hAnsi="Arial" w:cs="Arial"/>
          <w:sz w:val="20"/>
          <w:szCs w:val="20"/>
        </w:rPr>
      </w:pPr>
    </w:p>
    <w:p w14:paraId="6A9D7293" w14:textId="77777777" w:rsidR="004B7622" w:rsidRPr="00F32D12" w:rsidRDefault="004B7622" w:rsidP="004B7622">
      <w:pPr>
        <w:pStyle w:val="Brezrazmikov"/>
        <w:spacing w:line="276" w:lineRule="auto"/>
        <w:jc w:val="both"/>
        <w:rPr>
          <w:rFonts w:ascii="Arial" w:hAnsi="Arial" w:cs="Arial"/>
          <w:sz w:val="20"/>
          <w:szCs w:val="20"/>
        </w:rPr>
      </w:pPr>
      <w:r w:rsidRPr="00F32D12">
        <w:rPr>
          <w:rFonts w:ascii="Arial" w:hAnsi="Arial" w:cs="Arial"/>
          <w:sz w:val="20"/>
          <w:szCs w:val="20"/>
        </w:rPr>
        <w:t>Septembra 2021 je bila uvedena novost dodatnega informiranja in pomoči za davčne zavezance, ki so ustanovili podjetje oziroma na novo registrirali dejavnost. Obiščejo jih predstavniki FURS in jih seznanijo s pravicami in obveznostmi ter jim ponudijo pomoč ter kontakte v primeru, da bodo potrebovali dodatna pojasnila. Na ta način bodo davčni zavezanci čim bolje informirani in pripravljeni na izzive, s katerimi se bodo srečali na davčnem in carinskem področju. V letu 2021 so uslužbenci FURS obiskali 2.228 novoustanovljenih podjetnikov po celotni Sloveniji, med katerimi jih je večina samostojnih podjetnikov. Nov pristop do davčnih zavezancev je velika večina novih podjetnikov sprejela z odobravanjem, kar Finančni upravi nedvomno daje dodaten elan, da se bodo tovrstne aktivnosti nadaljevale še z večjo vnemo. Tem zavezancem je bila postavljena tudi posebna spletna stran</w:t>
      </w:r>
      <w:r w:rsidRPr="00F32D12">
        <w:rPr>
          <w:rStyle w:val="Sprotnaopomba-sklic"/>
          <w:rFonts w:ascii="Arial" w:hAnsi="Arial" w:cs="Arial"/>
          <w:sz w:val="20"/>
          <w:szCs w:val="20"/>
        </w:rPr>
        <w:footnoteReference w:id="24"/>
      </w:r>
      <w:r w:rsidRPr="00F32D12">
        <w:rPr>
          <w:rFonts w:ascii="Arial" w:hAnsi="Arial" w:cs="Arial"/>
          <w:sz w:val="20"/>
          <w:szCs w:val="20"/>
        </w:rPr>
        <w:t xml:space="preserve">, deli pa se jim tudi informativne letake. </w:t>
      </w:r>
    </w:p>
    <w:p w14:paraId="354150F0" w14:textId="77777777" w:rsidR="004B7622" w:rsidRDefault="004B7622" w:rsidP="004B7622">
      <w:pPr>
        <w:pStyle w:val="Brezrazmikov"/>
        <w:jc w:val="both"/>
      </w:pPr>
    </w:p>
    <w:p w14:paraId="25CAD15E" w14:textId="77777777" w:rsidR="004B7622" w:rsidRPr="00F32D12" w:rsidRDefault="004B7622" w:rsidP="004B7622">
      <w:pPr>
        <w:pStyle w:val="Brezrazmikov"/>
        <w:spacing w:line="276" w:lineRule="auto"/>
        <w:jc w:val="both"/>
        <w:rPr>
          <w:rFonts w:ascii="Arial" w:hAnsi="Arial" w:cs="Arial"/>
          <w:sz w:val="20"/>
          <w:szCs w:val="20"/>
        </w:rPr>
      </w:pPr>
      <w:r w:rsidRPr="00F32D12">
        <w:rPr>
          <w:rFonts w:ascii="Arial" w:hAnsi="Arial" w:cs="Arial"/>
          <w:b/>
          <w:bCs/>
          <w:sz w:val="20"/>
          <w:szCs w:val="20"/>
        </w:rPr>
        <w:t>Dobrodelni projekti</w:t>
      </w:r>
      <w:r w:rsidRPr="00F32D12">
        <w:rPr>
          <w:rFonts w:ascii="Arial" w:hAnsi="Arial" w:cs="Arial"/>
          <w:sz w:val="20"/>
          <w:szCs w:val="20"/>
        </w:rPr>
        <w:t xml:space="preserve"> </w:t>
      </w:r>
    </w:p>
    <w:p w14:paraId="70CED63E" w14:textId="77777777" w:rsidR="004B7622" w:rsidRPr="00F32D12" w:rsidRDefault="004B7622" w:rsidP="004B7622">
      <w:pPr>
        <w:pStyle w:val="Brezrazmikov"/>
        <w:spacing w:line="276" w:lineRule="auto"/>
        <w:jc w:val="both"/>
        <w:rPr>
          <w:rFonts w:ascii="Arial" w:hAnsi="Arial" w:cs="Arial"/>
          <w:sz w:val="20"/>
          <w:szCs w:val="20"/>
        </w:rPr>
      </w:pPr>
      <w:r w:rsidRPr="00F32D12">
        <w:rPr>
          <w:rFonts w:ascii="Arial" w:hAnsi="Arial" w:cs="Arial"/>
          <w:sz w:val="20"/>
          <w:szCs w:val="20"/>
        </w:rPr>
        <w:t xml:space="preserve">V letu 2019 je FURS začel z dobrodelnim projektom »FURS smo ljudje«. Projekt je namenjen zbiranju pomoči za družine v stiski, pri čemer pomagata Zveza prijateljev mladine Moste-Polje ter Zveza prijateljev mladine Slovenije. Projekt vključuje vseh 17 uradov po Sloveniji. V letu 2021 je bila v sklopu »FURS smo ljudje« izveden podprojekt Čarobna zima, v katerem so sodelovali vsi uradi. Uslužbenci Finančne uprave so zbirali darila, ki so jih nato prevzeli predstavniki Zveze prijateljev mladine Moste – Polje ter jih predali otrokom ter družinam v stiski. </w:t>
      </w:r>
    </w:p>
    <w:p w14:paraId="49FDF339" w14:textId="77777777" w:rsidR="004B7622" w:rsidRDefault="004B7622" w:rsidP="004B7622">
      <w:pPr>
        <w:pStyle w:val="Brezrazmikov"/>
        <w:jc w:val="both"/>
        <w:rPr>
          <w:rFonts w:ascii="Arial" w:hAnsi="Arial" w:cs="Arial"/>
          <w:sz w:val="20"/>
          <w:szCs w:val="20"/>
        </w:rPr>
      </w:pPr>
    </w:p>
    <w:p w14:paraId="2E689E5C" w14:textId="77777777" w:rsidR="004B7622" w:rsidRDefault="004B7622" w:rsidP="004B7622">
      <w:pPr>
        <w:pStyle w:val="Brezrazmikov"/>
        <w:jc w:val="both"/>
        <w:rPr>
          <w:rFonts w:ascii="Arial" w:hAnsi="Arial" w:cs="Arial"/>
          <w:sz w:val="20"/>
          <w:szCs w:val="20"/>
        </w:rPr>
      </w:pPr>
    </w:p>
    <w:p w14:paraId="7E90024A" w14:textId="77777777" w:rsidR="004B7622" w:rsidRDefault="004B7622" w:rsidP="004B7622">
      <w:pPr>
        <w:pStyle w:val="Brezrazmikov"/>
        <w:jc w:val="both"/>
        <w:rPr>
          <w:rFonts w:ascii="Arial" w:hAnsi="Arial" w:cs="Arial"/>
          <w:sz w:val="20"/>
          <w:szCs w:val="20"/>
        </w:rPr>
      </w:pPr>
    </w:p>
    <w:p w14:paraId="75B4CD09" w14:textId="77777777" w:rsidR="004B7622" w:rsidRDefault="004B7622" w:rsidP="004B7622">
      <w:pPr>
        <w:pStyle w:val="Brezrazmikov"/>
        <w:jc w:val="both"/>
        <w:rPr>
          <w:rFonts w:ascii="Arial" w:hAnsi="Arial" w:cs="Arial"/>
          <w:sz w:val="20"/>
          <w:szCs w:val="20"/>
        </w:rPr>
      </w:pPr>
    </w:p>
    <w:p w14:paraId="342AD1B9" w14:textId="77777777" w:rsidR="004B7622" w:rsidRPr="00F32D12" w:rsidRDefault="004B7622" w:rsidP="004B7622">
      <w:pPr>
        <w:pStyle w:val="Brezrazmikov"/>
        <w:jc w:val="both"/>
        <w:rPr>
          <w:rFonts w:ascii="Arial" w:hAnsi="Arial" w:cs="Arial"/>
          <w:sz w:val="20"/>
          <w:szCs w:val="20"/>
        </w:rPr>
      </w:pPr>
    </w:p>
    <w:p w14:paraId="69BC7EFF" w14:textId="77777777" w:rsidR="004B7622" w:rsidRPr="00F32D12" w:rsidRDefault="004B7622" w:rsidP="004B7622">
      <w:pPr>
        <w:autoSpaceDE w:val="0"/>
        <w:autoSpaceDN w:val="0"/>
        <w:adjustRightInd w:val="0"/>
        <w:spacing w:after="0"/>
        <w:rPr>
          <w:rFonts w:ascii="Arial" w:hAnsi="Arial" w:cs="Arial"/>
          <w:b/>
          <w:bCs/>
          <w:i/>
          <w:iCs/>
          <w:sz w:val="20"/>
          <w:szCs w:val="20"/>
          <w:lang w:eastAsia="sl-SI"/>
        </w:rPr>
      </w:pPr>
      <w:r w:rsidRPr="00F32D12">
        <w:rPr>
          <w:rFonts w:ascii="Arial" w:hAnsi="Arial" w:cs="Arial"/>
          <w:b/>
          <w:bCs/>
          <w:i/>
          <w:iCs/>
          <w:sz w:val="20"/>
          <w:szCs w:val="20"/>
          <w:lang w:eastAsia="sl-SI"/>
        </w:rPr>
        <w:lastRenderedPageBreak/>
        <w:t xml:space="preserve">8.2 Ukrepi povezani s plačevanjem obveznosti </w:t>
      </w:r>
    </w:p>
    <w:p w14:paraId="7F60DFD7" w14:textId="77777777" w:rsidR="004B7622" w:rsidRPr="00F32D12" w:rsidRDefault="004B7622" w:rsidP="004B7622">
      <w:pPr>
        <w:autoSpaceDE w:val="0"/>
        <w:autoSpaceDN w:val="0"/>
        <w:adjustRightInd w:val="0"/>
        <w:spacing w:after="0"/>
        <w:jc w:val="both"/>
        <w:rPr>
          <w:rFonts w:ascii="Arial" w:hAnsi="Arial" w:cs="Arial"/>
          <w:b/>
          <w:sz w:val="20"/>
          <w:szCs w:val="20"/>
          <w:lang w:eastAsia="sl-SI"/>
        </w:rPr>
      </w:pPr>
    </w:p>
    <w:p w14:paraId="427827D4" w14:textId="77777777" w:rsidR="004B7622" w:rsidRPr="00F32D12" w:rsidRDefault="004B7622" w:rsidP="004B7622">
      <w:pPr>
        <w:pStyle w:val="Brezrazmikov"/>
        <w:spacing w:line="276" w:lineRule="auto"/>
        <w:jc w:val="both"/>
        <w:rPr>
          <w:rFonts w:ascii="Arial" w:hAnsi="Arial" w:cs="Arial"/>
          <w:sz w:val="20"/>
          <w:szCs w:val="20"/>
        </w:rPr>
      </w:pPr>
      <w:r w:rsidRPr="00F32D12">
        <w:rPr>
          <w:rFonts w:ascii="Arial" w:hAnsi="Arial" w:cs="Arial"/>
          <w:b/>
          <w:bCs/>
          <w:sz w:val="20"/>
          <w:szCs w:val="20"/>
        </w:rPr>
        <w:t>Uvedba novih plačilnih metod, ki olajšujejo plačevanje obveznosti zavezancev</w:t>
      </w:r>
      <w:r w:rsidRPr="00F32D12">
        <w:rPr>
          <w:rFonts w:ascii="Arial" w:hAnsi="Arial" w:cs="Arial"/>
          <w:sz w:val="20"/>
          <w:szCs w:val="20"/>
        </w:rPr>
        <w:t xml:space="preserve"> </w:t>
      </w:r>
    </w:p>
    <w:p w14:paraId="169CB913" w14:textId="77777777" w:rsidR="004B7622" w:rsidRPr="00F32D12" w:rsidRDefault="004B7622" w:rsidP="004B7622">
      <w:pPr>
        <w:pStyle w:val="Brezrazmikov"/>
        <w:spacing w:line="276" w:lineRule="auto"/>
        <w:jc w:val="both"/>
        <w:rPr>
          <w:rFonts w:ascii="Arial" w:hAnsi="Arial" w:cs="Arial"/>
          <w:sz w:val="20"/>
          <w:szCs w:val="20"/>
        </w:rPr>
      </w:pPr>
      <w:r w:rsidRPr="00F32D12">
        <w:rPr>
          <w:rFonts w:ascii="Arial" w:hAnsi="Arial" w:cs="Arial"/>
          <w:sz w:val="20"/>
          <w:szCs w:val="20"/>
        </w:rPr>
        <w:t xml:space="preserve">FURS zavezancem omogoča različne načine poenostavitev pri plačevanju obveznih dajatev na način, da zavezanec z enim plačilnih nalogom poravna več različnih dajatev. Poleg zmanjšanja administrativnih bremen za zavezance pri plačevanju obveznih dajatev, rešitve pri poenostavitvi plačevanja obveznih dajatev zagotavljajo, da prejemniki (blagajne javnega financiranja) prejmejo sredstva še isti dan – enako kot bi v primeru posamičnega plačila, neglede na to, da zavezanec plača z enim plačilom obveznosti do različnih blagajn javnega financiranja. </w:t>
      </w:r>
    </w:p>
    <w:p w14:paraId="1574C534" w14:textId="77777777" w:rsidR="004B7622" w:rsidRPr="00F32D12" w:rsidRDefault="004B7622" w:rsidP="004B7622">
      <w:pPr>
        <w:pStyle w:val="Brezrazmikov"/>
        <w:spacing w:line="276" w:lineRule="auto"/>
        <w:jc w:val="both"/>
        <w:rPr>
          <w:rFonts w:ascii="Arial" w:hAnsi="Arial" w:cs="Arial"/>
          <w:sz w:val="20"/>
          <w:szCs w:val="20"/>
        </w:rPr>
      </w:pPr>
    </w:p>
    <w:p w14:paraId="3BBE1151" w14:textId="77777777" w:rsidR="004B7622" w:rsidRPr="00F32D12" w:rsidRDefault="004B7622" w:rsidP="004B7622">
      <w:pPr>
        <w:pStyle w:val="Brezrazmikov"/>
        <w:spacing w:line="276" w:lineRule="auto"/>
        <w:jc w:val="both"/>
        <w:rPr>
          <w:rFonts w:ascii="Arial" w:hAnsi="Arial" w:cs="Arial"/>
          <w:sz w:val="20"/>
          <w:szCs w:val="20"/>
        </w:rPr>
      </w:pPr>
      <w:r w:rsidRPr="00F32D12">
        <w:rPr>
          <w:rFonts w:ascii="Arial" w:hAnsi="Arial" w:cs="Arial"/>
          <w:sz w:val="20"/>
          <w:szCs w:val="20"/>
        </w:rPr>
        <w:t xml:space="preserve">Zavezanci, ki oddajo prijavo na prejem </w:t>
      </w:r>
      <w:proofErr w:type="spellStart"/>
      <w:r w:rsidRPr="00F32D12">
        <w:rPr>
          <w:rFonts w:ascii="Arial" w:hAnsi="Arial" w:cs="Arial"/>
          <w:sz w:val="20"/>
          <w:szCs w:val="20"/>
        </w:rPr>
        <w:t>eRačuna</w:t>
      </w:r>
      <w:proofErr w:type="spellEnd"/>
      <w:r w:rsidRPr="00F32D12">
        <w:rPr>
          <w:rFonts w:ascii="Arial" w:hAnsi="Arial" w:cs="Arial"/>
          <w:sz w:val="20"/>
          <w:szCs w:val="20"/>
        </w:rPr>
        <w:t xml:space="preserve"> za plačilo obveznih dajatev, obveznosti obračunane z obračunom prispevkov za socialno varnost (OPSV) oz. obračunom davčnega odtegljaja (REK obrazec) plačajo z </w:t>
      </w:r>
      <w:proofErr w:type="spellStart"/>
      <w:r w:rsidRPr="00F32D12">
        <w:rPr>
          <w:rFonts w:ascii="Arial" w:hAnsi="Arial" w:cs="Arial"/>
          <w:sz w:val="20"/>
          <w:szCs w:val="20"/>
        </w:rPr>
        <w:t>eRačunom</w:t>
      </w:r>
      <w:proofErr w:type="spellEnd"/>
      <w:r w:rsidRPr="00F32D12">
        <w:rPr>
          <w:rFonts w:ascii="Arial" w:hAnsi="Arial" w:cs="Arial"/>
          <w:sz w:val="20"/>
          <w:szCs w:val="20"/>
        </w:rPr>
        <w:t xml:space="preserve"> prejetim v spletno banko. Na dan 31. 12. 2021 je bilo pri Finančni upravi RS evidentiranih 4.894 aktivnih prijav na prejem </w:t>
      </w:r>
      <w:proofErr w:type="spellStart"/>
      <w:r w:rsidRPr="00F32D12">
        <w:rPr>
          <w:rFonts w:ascii="Arial" w:hAnsi="Arial" w:cs="Arial"/>
          <w:sz w:val="20"/>
          <w:szCs w:val="20"/>
        </w:rPr>
        <w:t>eRačuna</w:t>
      </w:r>
      <w:proofErr w:type="spellEnd"/>
      <w:r w:rsidRPr="00F32D12">
        <w:rPr>
          <w:rFonts w:ascii="Arial" w:hAnsi="Arial" w:cs="Arial"/>
          <w:sz w:val="20"/>
          <w:szCs w:val="20"/>
        </w:rPr>
        <w:t xml:space="preserve"> za plačilo obveznih dajatev, kar je za 34 odstotka  več kakor na dan 31. 12. 2020. V letu 2021 je bilo izdanih 52.171 </w:t>
      </w:r>
      <w:proofErr w:type="spellStart"/>
      <w:r w:rsidRPr="00F32D12">
        <w:rPr>
          <w:rFonts w:ascii="Arial" w:hAnsi="Arial" w:cs="Arial"/>
          <w:sz w:val="20"/>
          <w:szCs w:val="20"/>
        </w:rPr>
        <w:t>eRačunov</w:t>
      </w:r>
      <w:proofErr w:type="spellEnd"/>
      <w:r w:rsidRPr="00F32D12">
        <w:rPr>
          <w:rFonts w:ascii="Arial" w:hAnsi="Arial" w:cs="Arial"/>
          <w:sz w:val="20"/>
          <w:szCs w:val="20"/>
        </w:rPr>
        <w:t xml:space="preserve"> za plačilo obveznih dajatev v višini 41.424.339 EUR. V primerjavi z letom 2020</w:t>
      </w:r>
      <w:r w:rsidRPr="00F32D12">
        <w:rPr>
          <w:rStyle w:val="Sprotnaopomba-sklic"/>
          <w:rFonts w:ascii="Arial" w:hAnsi="Arial" w:cs="Arial"/>
          <w:sz w:val="20"/>
          <w:szCs w:val="20"/>
        </w:rPr>
        <w:footnoteReference w:id="25"/>
      </w:r>
      <w:r w:rsidRPr="00F32D12">
        <w:rPr>
          <w:rFonts w:ascii="Arial" w:hAnsi="Arial" w:cs="Arial"/>
          <w:sz w:val="20"/>
          <w:szCs w:val="20"/>
        </w:rPr>
        <w:t xml:space="preserve"> se je število izdanih </w:t>
      </w:r>
      <w:proofErr w:type="spellStart"/>
      <w:r w:rsidRPr="00F32D12">
        <w:rPr>
          <w:rFonts w:ascii="Arial" w:hAnsi="Arial" w:cs="Arial"/>
          <w:sz w:val="20"/>
          <w:szCs w:val="20"/>
        </w:rPr>
        <w:t>eRačunov</w:t>
      </w:r>
      <w:proofErr w:type="spellEnd"/>
      <w:r w:rsidRPr="00F32D12">
        <w:rPr>
          <w:rFonts w:ascii="Arial" w:hAnsi="Arial" w:cs="Arial"/>
          <w:sz w:val="20"/>
          <w:szCs w:val="20"/>
        </w:rPr>
        <w:t xml:space="preserve"> za plačilo obveznih dajatev povečalo za 70 odstotka.  </w:t>
      </w:r>
    </w:p>
    <w:p w14:paraId="05AB1776" w14:textId="77777777" w:rsidR="004B7622" w:rsidRPr="00F32D12" w:rsidRDefault="004B7622" w:rsidP="004B7622">
      <w:pPr>
        <w:pStyle w:val="Brezrazmikov"/>
        <w:spacing w:line="276" w:lineRule="auto"/>
        <w:jc w:val="both"/>
        <w:rPr>
          <w:rFonts w:ascii="Arial" w:hAnsi="Arial" w:cs="Arial"/>
          <w:sz w:val="20"/>
          <w:szCs w:val="20"/>
        </w:rPr>
      </w:pPr>
    </w:p>
    <w:p w14:paraId="0FAFC4D7" w14:textId="77777777" w:rsidR="004B7622" w:rsidRPr="00F32D12" w:rsidRDefault="004B7622" w:rsidP="004B7622">
      <w:pPr>
        <w:pStyle w:val="Brezrazmikov"/>
        <w:spacing w:line="276" w:lineRule="auto"/>
        <w:jc w:val="both"/>
        <w:rPr>
          <w:rFonts w:ascii="Arial" w:hAnsi="Arial" w:cs="Arial"/>
          <w:sz w:val="20"/>
          <w:szCs w:val="20"/>
        </w:rPr>
      </w:pPr>
      <w:r w:rsidRPr="00F32D12">
        <w:rPr>
          <w:rFonts w:ascii="Arial" w:hAnsi="Arial" w:cs="Arial"/>
          <w:sz w:val="20"/>
          <w:szCs w:val="20"/>
        </w:rPr>
        <w:t xml:space="preserve">Zavezancem, ki so registrirani uporabniki </w:t>
      </w:r>
      <w:proofErr w:type="spellStart"/>
      <w:r w:rsidRPr="00F32D12">
        <w:rPr>
          <w:rFonts w:ascii="Arial" w:hAnsi="Arial" w:cs="Arial"/>
          <w:sz w:val="20"/>
          <w:szCs w:val="20"/>
        </w:rPr>
        <w:t>eDavkov</w:t>
      </w:r>
      <w:proofErr w:type="spellEnd"/>
      <w:r w:rsidRPr="00F32D12">
        <w:rPr>
          <w:rFonts w:ascii="Arial" w:hAnsi="Arial" w:cs="Arial"/>
          <w:sz w:val="20"/>
          <w:szCs w:val="20"/>
        </w:rPr>
        <w:t xml:space="preserve"> in uporabniki spletnih bank, ki so vključene v sistem spletnih plačil Uprave Republike Slovenije za javna plačila</w:t>
      </w:r>
      <w:r>
        <w:rPr>
          <w:rFonts w:ascii="Arial" w:hAnsi="Arial" w:cs="Arial"/>
          <w:sz w:val="20"/>
          <w:szCs w:val="20"/>
        </w:rPr>
        <w:t xml:space="preserve"> (UJP)</w:t>
      </w:r>
      <w:r w:rsidRPr="00F32D12">
        <w:rPr>
          <w:rFonts w:ascii="Arial" w:hAnsi="Arial" w:cs="Arial"/>
          <w:sz w:val="20"/>
          <w:szCs w:val="20"/>
        </w:rPr>
        <w:t xml:space="preserve"> je bilo leta 2020 omogočeno, da za izbrane obveznosti v sistemu </w:t>
      </w:r>
      <w:proofErr w:type="spellStart"/>
      <w:r w:rsidRPr="00F32D12">
        <w:rPr>
          <w:rFonts w:ascii="Arial" w:hAnsi="Arial" w:cs="Arial"/>
          <w:sz w:val="20"/>
          <w:szCs w:val="20"/>
        </w:rPr>
        <w:t>eDavki</w:t>
      </w:r>
      <w:proofErr w:type="spellEnd"/>
      <w:r w:rsidRPr="00F32D12">
        <w:rPr>
          <w:rFonts w:ascii="Arial" w:hAnsi="Arial" w:cs="Arial"/>
          <w:sz w:val="20"/>
          <w:szCs w:val="20"/>
        </w:rPr>
        <w:t xml:space="preserve"> (tako spletnem portalu kot mobilni aplikaciji) izvedejo plačilo z enim plačilnim nalogom na en račun, ki jim je v spletno banko posredovan iz </w:t>
      </w:r>
      <w:proofErr w:type="spellStart"/>
      <w:r w:rsidRPr="00F32D12">
        <w:rPr>
          <w:rFonts w:ascii="Arial" w:hAnsi="Arial" w:cs="Arial"/>
          <w:sz w:val="20"/>
          <w:szCs w:val="20"/>
        </w:rPr>
        <w:t>eDavkov</w:t>
      </w:r>
      <w:proofErr w:type="spellEnd"/>
      <w:r w:rsidRPr="00F32D12">
        <w:rPr>
          <w:rFonts w:ascii="Arial" w:hAnsi="Arial" w:cs="Arial"/>
          <w:sz w:val="20"/>
          <w:szCs w:val="20"/>
        </w:rPr>
        <w:t xml:space="preserve"> preko sistema spletnih plačil UJP. V letu 2021 je bilo na ta način izvršenih 9.424 plačil v skupnem znesku 1.891.935 EUR. V povprečju je v letu 2021 vsak mesec plačilo iz </w:t>
      </w:r>
      <w:proofErr w:type="spellStart"/>
      <w:r w:rsidRPr="00F32D12">
        <w:rPr>
          <w:rFonts w:ascii="Arial" w:hAnsi="Arial" w:cs="Arial"/>
          <w:sz w:val="20"/>
          <w:szCs w:val="20"/>
        </w:rPr>
        <w:t>eDavkov</w:t>
      </w:r>
      <w:proofErr w:type="spellEnd"/>
      <w:r w:rsidRPr="00F32D12">
        <w:rPr>
          <w:rFonts w:ascii="Arial" w:hAnsi="Arial" w:cs="Arial"/>
          <w:sz w:val="20"/>
          <w:szCs w:val="20"/>
        </w:rPr>
        <w:t xml:space="preserve"> izvršilo 617 zavezancev, kar je 37 odstotka  več kakor v letu 2020. </w:t>
      </w:r>
    </w:p>
    <w:p w14:paraId="651F1DB5" w14:textId="77777777" w:rsidR="004B7622" w:rsidRDefault="004B7622" w:rsidP="004B7622">
      <w:pPr>
        <w:pStyle w:val="Brezrazmikov"/>
        <w:jc w:val="both"/>
      </w:pPr>
    </w:p>
    <w:p w14:paraId="75C38C08" w14:textId="77777777" w:rsidR="004B7622" w:rsidRPr="00D507D1" w:rsidRDefault="004B7622" w:rsidP="004B7622">
      <w:pPr>
        <w:pStyle w:val="Brezrazmikov"/>
        <w:jc w:val="both"/>
        <w:rPr>
          <w:rFonts w:ascii="Arial" w:hAnsi="Arial" w:cs="Arial"/>
          <w:sz w:val="20"/>
          <w:szCs w:val="20"/>
        </w:rPr>
      </w:pPr>
      <w:r w:rsidRPr="00D507D1">
        <w:rPr>
          <w:rFonts w:ascii="Arial" w:hAnsi="Arial" w:cs="Arial"/>
          <w:b/>
          <w:bCs/>
          <w:sz w:val="20"/>
          <w:szCs w:val="20"/>
        </w:rPr>
        <w:t>Širitev storitve opominjanja pri plačevanju davkov</w:t>
      </w:r>
      <w:r w:rsidRPr="00D507D1">
        <w:rPr>
          <w:rFonts w:ascii="Arial" w:hAnsi="Arial" w:cs="Arial"/>
          <w:sz w:val="20"/>
          <w:szCs w:val="20"/>
        </w:rPr>
        <w:t xml:space="preserve"> </w:t>
      </w:r>
    </w:p>
    <w:p w14:paraId="69E00298" w14:textId="77777777" w:rsidR="004B7622" w:rsidRPr="00D507D1" w:rsidRDefault="004B7622" w:rsidP="004B7622">
      <w:pPr>
        <w:pStyle w:val="Brezrazmikov"/>
        <w:jc w:val="both"/>
        <w:rPr>
          <w:rFonts w:ascii="Arial" w:hAnsi="Arial" w:cs="Arial"/>
          <w:sz w:val="20"/>
          <w:szCs w:val="20"/>
        </w:rPr>
      </w:pPr>
      <w:r w:rsidRPr="00D507D1">
        <w:rPr>
          <w:rFonts w:ascii="Arial" w:hAnsi="Arial" w:cs="Arial"/>
          <w:sz w:val="20"/>
          <w:szCs w:val="20"/>
        </w:rPr>
        <w:t xml:space="preserve">Kljub temu, da zakonodaja ne predpisuje obveznega opominjanja, FURS zavezance opozarja na plačevanje obveznosti pred in po izteku roka za plačilo davkov. </w:t>
      </w:r>
    </w:p>
    <w:p w14:paraId="51D06C71" w14:textId="77777777" w:rsidR="004B7622" w:rsidRPr="00D507D1" w:rsidRDefault="004B7622" w:rsidP="004B7622">
      <w:pPr>
        <w:pStyle w:val="Brezrazmikov"/>
        <w:jc w:val="both"/>
        <w:rPr>
          <w:rFonts w:ascii="Arial" w:hAnsi="Arial" w:cs="Arial"/>
          <w:sz w:val="20"/>
          <w:szCs w:val="20"/>
        </w:rPr>
      </w:pPr>
    </w:p>
    <w:p w14:paraId="43DD021E" w14:textId="77777777" w:rsidR="004B7622" w:rsidRPr="00D507D1" w:rsidRDefault="004B7622" w:rsidP="004B7622">
      <w:pPr>
        <w:pStyle w:val="Brezrazmikov"/>
        <w:jc w:val="both"/>
        <w:rPr>
          <w:rFonts w:ascii="Arial" w:hAnsi="Arial" w:cs="Arial"/>
          <w:sz w:val="20"/>
          <w:szCs w:val="20"/>
        </w:rPr>
      </w:pPr>
      <w:r w:rsidRPr="00D507D1">
        <w:rPr>
          <w:rFonts w:ascii="Arial" w:hAnsi="Arial" w:cs="Arial"/>
          <w:sz w:val="20"/>
          <w:szCs w:val="20"/>
        </w:rPr>
        <w:t xml:space="preserve">Mobilna aplikacija </w:t>
      </w:r>
      <w:proofErr w:type="spellStart"/>
      <w:r w:rsidRPr="00D507D1">
        <w:rPr>
          <w:rFonts w:ascii="Arial" w:hAnsi="Arial" w:cs="Arial"/>
          <w:sz w:val="20"/>
          <w:szCs w:val="20"/>
        </w:rPr>
        <w:t>eDavki</w:t>
      </w:r>
      <w:proofErr w:type="spellEnd"/>
      <w:r w:rsidRPr="00D507D1">
        <w:rPr>
          <w:rFonts w:ascii="Arial" w:hAnsi="Arial" w:cs="Arial"/>
          <w:sz w:val="20"/>
          <w:szCs w:val="20"/>
        </w:rPr>
        <w:t xml:space="preserve"> omogoča obveščanje registriranim uporabnikom o izteku roka za plačilo davka tik pred zapadlostjo, če so na to storitev naročeni. V preteklem letu se je ponovno razširil krog uporabnikov te storitve. </w:t>
      </w:r>
    </w:p>
    <w:p w14:paraId="10A7154A" w14:textId="77777777" w:rsidR="004B7622" w:rsidRPr="00D507D1" w:rsidRDefault="004B7622" w:rsidP="004B7622">
      <w:pPr>
        <w:pStyle w:val="Brezrazmikov"/>
        <w:jc w:val="both"/>
        <w:rPr>
          <w:rFonts w:ascii="Arial" w:hAnsi="Arial" w:cs="Arial"/>
          <w:sz w:val="20"/>
          <w:szCs w:val="20"/>
        </w:rPr>
      </w:pPr>
    </w:p>
    <w:p w14:paraId="74E869EF" w14:textId="77777777" w:rsidR="004B7622" w:rsidRPr="00D507D1" w:rsidRDefault="004B7622" w:rsidP="004B7622">
      <w:pPr>
        <w:pStyle w:val="Brezrazmikov"/>
        <w:jc w:val="both"/>
        <w:rPr>
          <w:rFonts w:ascii="Arial" w:hAnsi="Arial" w:cs="Arial"/>
          <w:sz w:val="20"/>
          <w:szCs w:val="20"/>
        </w:rPr>
      </w:pPr>
      <w:r w:rsidRPr="00D507D1">
        <w:rPr>
          <w:rFonts w:ascii="Arial" w:hAnsi="Arial" w:cs="Arial"/>
          <w:sz w:val="20"/>
          <w:szCs w:val="20"/>
        </w:rPr>
        <w:t xml:space="preserve">Po zapadlosti terjatev in pred začetkom davčne izvršbe dolžnika, FURS dolžnike pozove k prostovoljni poravnavi zapadle obveznost z opominom. V letu 2021 so bile razširjene storitve opominjanja za področje davkov, tako da po novem zagotavljajo, da se pošiljajo tudi zavezancem, zoper katere so že začeti postopki davčne izvršbe za novo zapadle obveznosti. Prav tako so se v letu 2021 začeli izdajati opomini tudi zoper zavezance v postopkih zaradi insolventnosti, in sicer za zapadle neplačane obveznosti, nastale po začetku postopka zaradi insolventnosti. V juliju 2021 je bila vzpostavljena tudi nova storitev za izdajo obvestil o zapadlem neplačanem odlogu oziroma obroku po posameznem obročnem načrtu odplačila davkov, s katerimi se zavezance poziva k plačilu zamujenih obveznosti oziroma uskladitvi knjigovodskega stanja v primeru uporabe napačne reference za plačilo. </w:t>
      </w:r>
    </w:p>
    <w:p w14:paraId="1334DC8E" w14:textId="77777777" w:rsidR="004B7622" w:rsidRPr="00D507D1" w:rsidRDefault="004B7622" w:rsidP="004B7622">
      <w:pPr>
        <w:pStyle w:val="Brezrazmikov"/>
        <w:jc w:val="both"/>
        <w:rPr>
          <w:rFonts w:ascii="Arial" w:hAnsi="Arial" w:cs="Arial"/>
          <w:sz w:val="20"/>
          <w:szCs w:val="20"/>
        </w:rPr>
      </w:pPr>
    </w:p>
    <w:p w14:paraId="6DFDE842" w14:textId="77777777" w:rsidR="004B7622" w:rsidRPr="00D507D1" w:rsidRDefault="004B7622" w:rsidP="004B7622">
      <w:pPr>
        <w:pStyle w:val="Brezrazmikov"/>
        <w:jc w:val="both"/>
        <w:rPr>
          <w:rFonts w:ascii="Arial" w:hAnsi="Arial" w:cs="Arial"/>
          <w:b/>
          <w:bCs/>
          <w:sz w:val="20"/>
          <w:szCs w:val="20"/>
        </w:rPr>
      </w:pPr>
      <w:r w:rsidRPr="00D507D1">
        <w:rPr>
          <w:rFonts w:ascii="Arial" w:hAnsi="Arial" w:cs="Arial"/>
          <w:b/>
          <w:bCs/>
          <w:sz w:val="20"/>
          <w:szCs w:val="20"/>
        </w:rPr>
        <w:t xml:space="preserve">Javna objava neplačnikov davka </w:t>
      </w:r>
    </w:p>
    <w:p w14:paraId="40C4206A" w14:textId="77777777" w:rsidR="004B7622" w:rsidRPr="00F32D12" w:rsidRDefault="004B7622" w:rsidP="004B7622">
      <w:pPr>
        <w:pStyle w:val="Brezrazmikov"/>
        <w:spacing w:line="276" w:lineRule="auto"/>
        <w:jc w:val="both"/>
        <w:rPr>
          <w:rFonts w:ascii="Arial" w:hAnsi="Arial" w:cs="Arial"/>
          <w:sz w:val="20"/>
          <w:szCs w:val="20"/>
        </w:rPr>
      </w:pPr>
      <w:r w:rsidRPr="00D507D1">
        <w:rPr>
          <w:rFonts w:ascii="Arial" w:hAnsi="Arial" w:cs="Arial"/>
          <w:sz w:val="20"/>
          <w:szCs w:val="20"/>
        </w:rPr>
        <w:t xml:space="preserve">FURS mesečno javno objavlja seznam davčnih zavezancev z zapadlimi neplačanimi davčnimi </w:t>
      </w:r>
      <w:r w:rsidRPr="00F32D12">
        <w:rPr>
          <w:rFonts w:ascii="Arial" w:hAnsi="Arial" w:cs="Arial"/>
          <w:sz w:val="20"/>
          <w:szCs w:val="20"/>
        </w:rPr>
        <w:t xml:space="preserve">obveznostmi, ki na 25. dan v mesecu pred mesecem objave presegajo 5.000 EUR in so starejše od 90 dni. Od prve objave enotnega seznama neplačnikov davkov v avgustu 2014 do objave v januarju 2022 (po stanju na dan 25. 12. 2021) se je število dolžnikov zmanjšalo za 4.129 oseb oz. za 23,6 odstotka, skupni davčni dolg objavljenih dolžnikov pa se je zmanjšal za 229.150.554 EUR oz. za 23,6 odstotka ob tem, da je v letu 2021 glede na leto 2014 zabeležena 41,2 odstotna rast prihodkov. </w:t>
      </w:r>
    </w:p>
    <w:p w14:paraId="3F1C66D6" w14:textId="77777777" w:rsidR="004B7622" w:rsidRPr="00F32D12" w:rsidRDefault="004B7622" w:rsidP="004B7622">
      <w:pPr>
        <w:pStyle w:val="Brezrazmikov"/>
        <w:spacing w:line="276" w:lineRule="auto"/>
        <w:jc w:val="both"/>
        <w:rPr>
          <w:rFonts w:ascii="Arial" w:hAnsi="Arial" w:cs="Arial"/>
          <w:sz w:val="20"/>
          <w:szCs w:val="20"/>
        </w:rPr>
      </w:pPr>
    </w:p>
    <w:p w14:paraId="3FA201E6" w14:textId="77777777" w:rsidR="004B7622" w:rsidRPr="00F32D12" w:rsidRDefault="004B7622" w:rsidP="004B7622">
      <w:pPr>
        <w:pStyle w:val="Brezrazmikov"/>
        <w:spacing w:line="276" w:lineRule="auto"/>
        <w:jc w:val="both"/>
        <w:rPr>
          <w:rFonts w:ascii="Arial" w:hAnsi="Arial" w:cs="Arial"/>
          <w:sz w:val="20"/>
          <w:szCs w:val="20"/>
        </w:rPr>
      </w:pPr>
      <w:r w:rsidRPr="00F32D12">
        <w:rPr>
          <w:rFonts w:ascii="Arial" w:hAnsi="Arial" w:cs="Arial"/>
          <w:b/>
          <w:bCs/>
          <w:sz w:val="20"/>
          <w:szCs w:val="20"/>
        </w:rPr>
        <w:t>Enostaven dostop zavezanca do stanja dolga in potrdila o poravnanih obveznostih</w:t>
      </w:r>
      <w:r w:rsidRPr="00F32D12">
        <w:rPr>
          <w:rFonts w:ascii="Arial" w:hAnsi="Arial" w:cs="Arial"/>
          <w:sz w:val="20"/>
          <w:szCs w:val="20"/>
        </w:rPr>
        <w:t xml:space="preserve"> </w:t>
      </w:r>
    </w:p>
    <w:p w14:paraId="452FAC72" w14:textId="77777777" w:rsidR="004B7622" w:rsidRPr="00F32D12" w:rsidRDefault="004B7622" w:rsidP="004B7622">
      <w:pPr>
        <w:pStyle w:val="Brezrazmikov"/>
        <w:spacing w:line="276" w:lineRule="auto"/>
        <w:jc w:val="both"/>
        <w:rPr>
          <w:rFonts w:ascii="Arial" w:hAnsi="Arial" w:cs="Arial"/>
          <w:sz w:val="20"/>
          <w:szCs w:val="20"/>
        </w:rPr>
      </w:pPr>
      <w:r w:rsidRPr="00F32D12">
        <w:rPr>
          <w:rFonts w:ascii="Arial" w:hAnsi="Arial" w:cs="Arial"/>
          <w:sz w:val="20"/>
          <w:szCs w:val="20"/>
        </w:rPr>
        <w:t>Zavezanci lahko preko spletnega portala FURS v okviru spletne storitve »</w:t>
      </w:r>
      <w:proofErr w:type="spellStart"/>
      <w:r w:rsidRPr="00F32D12">
        <w:rPr>
          <w:rFonts w:ascii="Arial" w:hAnsi="Arial" w:cs="Arial"/>
          <w:sz w:val="20"/>
          <w:szCs w:val="20"/>
        </w:rPr>
        <w:t>eKartica</w:t>
      </w:r>
      <w:proofErr w:type="spellEnd"/>
      <w:r w:rsidRPr="00F32D12">
        <w:rPr>
          <w:rFonts w:ascii="Arial" w:hAnsi="Arial" w:cs="Arial"/>
          <w:sz w:val="20"/>
          <w:szCs w:val="20"/>
        </w:rPr>
        <w:t xml:space="preserve">« ali preko mobilne aplikacije </w:t>
      </w:r>
      <w:proofErr w:type="spellStart"/>
      <w:r w:rsidRPr="00F32D12">
        <w:rPr>
          <w:rFonts w:ascii="Arial" w:hAnsi="Arial" w:cs="Arial"/>
          <w:sz w:val="20"/>
          <w:szCs w:val="20"/>
        </w:rPr>
        <w:t>eDavki</w:t>
      </w:r>
      <w:proofErr w:type="spellEnd"/>
      <w:r w:rsidRPr="00F32D12">
        <w:rPr>
          <w:rFonts w:ascii="Arial" w:hAnsi="Arial" w:cs="Arial"/>
          <w:sz w:val="20"/>
          <w:szCs w:val="20"/>
        </w:rPr>
        <w:t xml:space="preserve">, na zavihku »Knjigovodsko stanje«, redno preverjajo stanje in zapadlost terjatev in obveznosti na svoji knjigovodski kartici. V letu 2021 je bilo preko ene ali druge spletne storitve opravljenih 5.787.544 vpogledov v </w:t>
      </w:r>
      <w:proofErr w:type="spellStart"/>
      <w:r w:rsidRPr="00F32D12">
        <w:rPr>
          <w:rFonts w:ascii="Arial" w:hAnsi="Arial" w:cs="Arial"/>
          <w:sz w:val="20"/>
          <w:szCs w:val="20"/>
        </w:rPr>
        <w:t>eKartico</w:t>
      </w:r>
      <w:proofErr w:type="spellEnd"/>
      <w:r w:rsidRPr="00F32D12">
        <w:rPr>
          <w:rFonts w:ascii="Arial" w:hAnsi="Arial" w:cs="Arial"/>
          <w:sz w:val="20"/>
          <w:szCs w:val="20"/>
        </w:rPr>
        <w:t xml:space="preserve">. </w:t>
      </w:r>
    </w:p>
    <w:p w14:paraId="50F76DBA" w14:textId="77777777" w:rsidR="004B7622" w:rsidRPr="00F32D12" w:rsidRDefault="004B7622" w:rsidP="004B7622">
      <w:pPr>
        <w:pStyle w:val="Brezrazmikov"/>
        <w:spacing w:line="276" w:lineRule="auto"/>
        <w:jc w:val="both"/>
        <w:rPr>
          <w:rFonts w:ascii="Arial" w:hAnsi="Arial" w:cs="Arial"/>
          <w:sz w:val="20"/>
          <w:szCs w:val="20"/>
        </w:rPr>
      </w:pPr>
    </w:p>
    <w:p w14:paraId="3F394A05" w14:textId="77777777" w:rsidR="004B7622" w:rsidRPr="00F32D12" w:rsidRDefault="004B7622" w:rsidP="004B7622">
      <w:pPr>
        <w:pStyle w:val="Brezrazmikov"/>
        <w:spacing w:line="276" w:lineRule="auto"/>
        <w:jc w:val="both"/>
        <w:rPr>
          <w:rFonts w:ascii="Arial" w:hAnsi="Arial" w:cs="Arial"/>
          <w:sz w:val="20"/>
          <w:szCs w:val="20"/>
        </w:rPr>
      </w:pPr>
      <w:r w:rsidRPr="00F32D12">
        <w:rPr>
          <w:rFonts w:ascii="Arial" w:hAnsi="Arial" w:cs="Arial"/>
          <w:sz w:val="20"/>
          <w:szCs w:val="20"/>
        </w:rPr>
        <w:t xml:space="preserve">Druga pomembna storitev v zvezi z vpogledom v evidence je razkritje podatkov fizičnim osebam o tem, ali in kako delodajalec zanje plačuje obvezne prispevke za socialno varnost iz delovnega razmerja. Zavezanci so preko portala e-Davki v letu 2021 opravili 37.097 tovrstnih vpogledov, kar je za 3,4 odstotka več kakor v letu 2020. </w:t>
      </w:r>
    </w:p>
    <w:p w14:paraId="13D9664E" w14:textId="77777777" w:rsidR="004B7622" w:rsidRPr="00F32D12" w:rsidRDefault="004B7622" w:rsidP="004B7622">
      <w:pPr>
        <w:pStyle w:val="Brezrazmikov"/>
        <w:spacing w:line="276" w:lineRule="auto"/>
        <w:jc w:val="both"/>
        <w:rPr>
          <w:rFonts w:ascii="Arial" w:hAnsi="Arial" w:cs="Arial"/>
          <w:sz w:val="20"/>
          <w:szCs w:val="20"/>
        </w:rPr>
      </w:pPr>
    </w:p>
    <w:p w14:paraId="16367290" w14:textId="77777777" w:rsidR="004B7622" w:rsidRPr="00F32D12" w:rsidRDefault="004B7622" w:rsidP="004B7622">
      <w:pPr>
        <w:pStyle w:val="Brezrazmikov"/>
        <w:spacing w:line="276" w:lineRule="auto"/>
        <w:jc w:val="both"/>
        <w:rPr>
          <w:rFonts w:ascii="Arial" w:hAnsi="Arial" w:cs="Arial"/>
          <w:sz w:val="20"/>
          <w:szCs w:val="20"/>
        </w:rPr>
      </w:pPr>
      <w:r w:rsidRPr="00F32D12">
        <w:rPr>
          <w:rFonts w:ascii="Arial" w:hAnsi="Arial" w:cs="Arial"/>
          <w:sz w:val="20"/>
          <w:szCs w:val="20"/>
        </w:rPr>
        <w:t xml:space="preserve">V letu 2021 je FURS zavezancem iz knjigovodske evidence izdal 115.553 različnih dokumentov v postopkih preverjanja poravnanih obveznostih, kar je sicer 1,8 odstotka manj kakor v letu 2020. Delež izdanih dokumentov zavezancem preko portala </w:t>
      </w:r>
      <w:proofErr w:type="spellStart"/>
      <w:r w:rsidRPr="00F32D12">
        <w:rPr>
          <w:rFonts w:ascii="Arial" w:hAnsi="Arial" w:cs="Arial"/>
          <w:sz w:val="20"/>
          <w:szCs w:val="20"/>
        </w:rPr>
        <w:t>eDavki</w:t>
      </w:r>
      <w:proofErr w:type="spellEnd"/>
      <w:r w:rsidRPr="00F32D12">
        <w:rPr>
          <w:rFonts w:ascii="Arial" w:hAnsi="Arial" w:cs="Arial"/>
          <w:sz w:val="20"/>
          <w:szCs w:val="20"/>
        </w:rPr>
        <w:t xml:space="preserve"> v letu 2021 znaša 87,7 odstotka vseh izdanih dokumentov in je za 2,7 odstotka večji kakor v letu 2020. </w:t>
      </w:r>
    </w:p>
    <w:p w14:paraId="41D5C8F1" w14:textId="77777777" w:rsidR="004B7622" w:rsidRPr="00F32D12" w:rsidRDefault="004B7622" w:rsidP="004B7622">
      <w:pPr>
        <w:pStyle w:val="Brezrazmikov"/>
        <w:spacing w:line="276" w:lineRule="auto"/>
        <w:jc w:val="both"/>
        <w:rPr>
          <w:rFonts w:ascii="Arial" w:hAnsi="Arial" w:cs="Arial"/>
          <w:sz w:val="20"/>
          <w:szCs w:val="20"/>
        </w:rPr>
      </w:pPr>
    </w:p>
    <w:p w14:paraId="418A9C18" w14:textId="77777777" w:rsidR="004B7622" w:rsidRPr="00F32D12" w:rsidRDefault="004B7622" w:rsidP="004B7622">
      <w:pPr>
        <w:pStyle w:val="Brezrazmikov"/>
        <w:spacing w:line="276" w:lineRule="auto"/>
        <w:jc w:val="both"/>
        <w:rPr>
          <w:rFonts w:ascii="Arial" w:hAnsi="Arial" w:cs="Arial"/>
          <w:sz w:val="20"/>
          <w:szCs w:val="20"/>
        </w:rPr>
      </w:pPr>
      <w:r w:rsidRPr="00F32D12">
        <w:rPr>
          <w:rFonts w:ascii="Arial" w:hAnsi="Arial" w:cs="Arial"/>
          <w:sz w:val="20"/>
          <w:szCs w:val="20"/>
        </w:rPr>
        <w:t xml:space="preserve">V primeru vložitve vloge preko </w:t>
      </w:r>
      <w:proofErr w:type="spellStart"/>
      <w:r w:rsidRPr="00F32D12">
        <w:rPr>
          <w:rFonts w:ascii="Arial" w:hAnsi="Arial" w:cs="Arial"/>
          <w:sz w:val="20"/>
          <w:szCs w:val="20"/>
        </w:rPr>
        <w:t>eDavkov</w:t>
      </w:r>
      <w:proofErr w:type="spellEnd"/>
      <w:r w:rsidRPr="00F32D12">
        <w:rPr>
          <w:rFonts w:ascii="Arial" w:hAnsi="Arial" w:cs="Arial"/>
          <w:sz w:val="20"/>
          <w:szCs w:val="20"/>
        </w:rPr>
        <w:t xml:space="preserve"> je potrdilo izdano praviloma isti delovni dan. V letu 2021 je naraslo tudi število prek </w:t>
      </w:r>
      <w:proofErr w:type="spellStart"/>
      <w:r w:rsidRPr="00F32D12">
        <w:rPr>
          <w:rFonts w:ascii="Arial" w:hAnsi="Arial" w:cs="Arial"/>
          <w:sz w:val="20"/>
          <w:szCs w:val="20"/>
        </w:rPr>
        <w:t>eDavkov</w:t>
      </w:r>
      <w:proofErr w:type="spellEnd"/>
      <w:r w:rsidRPr="00F32D12">
        <w:rPr>
          <w:rFonts w:ascii="Arial" w:hAnsi="Arial" w:cs="Arial"/>
          <w:sz w:val="20"/>
          <w:szCs w:val="20"/>
        </w:rPr>
        <w:t xml:space="preserve"> izdanih obvestil o dolgu. V letu 2020 je bilo teh izdanih obvestil 6.047, v letu 2021 6.935. Obvestilo o dolgu zavezancu prikaže dolg na dan skupaj z zamudnimi obrestmi in plačilnimi računi za plačilo dolga. </w:t>
      </w:r>
    </w:p>
    <w:p w14:paraId="7D9316B0" w14:textId="77777777" w:rsidR="004B7622" w:rsidRPr="00F32D12" w:rsidRDefault="004B7622" w:rsidP="004B7622">
      <w:pPr>
        <w:pStyle w:val="Brezrazmikov"/>
        <w:spacing w:line="276" w:lineRule="auto"/>
        <w:jc w:val="both"/>
        <w:rPr>
          <w:rFonts w:ascii="Arial" w:hAnsi="Arial" w:cs="Arial"/>
          <w:sz w:val="20"/>
          <w:szCs w:val="20"/>
        </w:rPr>
      </w:pPr>
    </w:p>
    <w:p w14:paraId="0EDA5334" w14:textId="77777777" w:rsidR="004B7622" w:rsidRPr="00F32D12" w:rsidRDefault="004B7622" w:rsidP="004B7622">
      <w:pPr>
        <w:pStyle w:val="Brezrazmikov"/>
        <w:spacing w:line="276" w:lineRule="auto"/>
        <w:jc w:val="both"/>
        <w:rPr>
          <w:rFonts w:ascii="Arial" w:hAnsi="Arial" w:cs="Arial"/>
          <w:sz w:val="20"/>
          <w:szCs w:val="20"/>
        </w:rPr>
      </w:pPr>
      <w:r w:rsidRPr="00F32D12">
        <w:rPr>
          <w:rFonts w:ascii="Arial" w:hAnsi="Arial" w:cs="Arial"/>
          <w:b/>
          <w:bCs/>
          <w:sz w:val="20"/>
          <w:szCs w:val="20"/>
        </w:rPr>
        <w:t>Potrdila in razkritja iz evidenc v povezavi z izplačili javnih sredstev in pridobitvijo ugodnost</w:t>
      </w:r>
      <w:r w:rsidRPr="00F32D12">
        <w:rPr>
          <w:rFonts w:ascii="Arial" w:hAnsi="Arial" w:cs="Arial"/>
          <w:sz w:val="20"/>
          <w:szCs w:val="20"/>
        </w:rPr>
        <w:t xml:space="preserve">i </w:t>
      </w:r>
    </w:p>
    <w:p w14:paraId="68B6AFB4" w14:textId="77777777" w:rsidR="004B7622" w:rsidRPr="00F32D12" w:rsidRDefault="004B7622" w:rsidP="004B7622">
      <w:pPr>
        <w:pStyle w:val="Brezrazmikov"/>
        <w:spacing w:line="276" w:lineRule="auto"/>
        <w:jc w:val="both"/>
        <w:rPr>
          <w:rFonts w:ascii="Arial" w:hAnsi="Arial" w:cs="Arial"/>
          <w:sz w:val="20"/>
          <w:szCs w:val="20"/>
        </w:rPr>
      </w:pPr>
      <w:r w:rsidRPr="00F32D12">
        <w:rPr>
          <w:rFonts w:ascii="Arial" w:hAnsi="Arial" w:cs="Arial"/>
          <w:sz w:val="20"/>
          <w:szCs w:val="20"/>
        </w:rPr>
        <w:t xml:space="preserve">Več zakonov, ukrepov in razpisov, ki omogočajo izplačila javnih sredstev subjektom, za njihovo pridobitev postavlja pogoj o poravnanih obveznostih do FURS. Upravičenec do razkritja lahko iz evidenc FURS pridobi podatke o izpolnjenih obveznostih v času vložitve zahteve oziroma v času postopka odobritve ugodnosti ali pravice. V primeru, če obveznosti niso izpolnjene, ni mogoče pridobiti ugodnosti, kot npr. postati izvajalec javnega naročila, podaljšati pogodbe za izvajanje javnih naročil, pridobiti subvencije iz javnih sredstev, začeti opravljati dejavnost kot samostojni podjetnik oziroma ustanoviti novo gospodarsko družbo, opravljati čezmejne storitve, pridobiti delovne vize, pridobiti državljanstva itd. Ta preverjanja posredno vplivajo na pravočasno plačevanje obveznosti iz naslova obveznih dajatev in drugih denarnih nedavčnih obveznosti. FURS je v letu 2021 upravičencem posredoval 378.717 razkritij o poravnanih obveznostih, od tega je bilo 350.278 razkritji oziroma 92,4 odstotka izvedenih preko avtomatične izmenjave podatkov med organi. Avtomatična izmenjava razkritji je nujna glede na velik obseg vlog, zato so bile v letu 2021 z namenom, da se obseg avtomatičnih izmenjav še poveča, dane pobude za podpis dogovorov o izmenjavi z več organi; nekateri so že bili realizirani; npr. z MNZ za pridobivanje razkritji za potrebe vseh upravnih enot. </w:t>
      </w:r>
    </w:p>
    <w:p w14:paraId="437F86F9" w14:textId="77777777" w:rsidR="004B7622" w:rsidRPr="00F32D12" w:rsidRDefault="004B7622" w:rsidP="004B7622">
      <w:pPr>
        <w:pStyle w:val="Brezrazmikov"/>
        <w:spacing w:line="276" w:lineRule="auto"/>
        <w:jc w:val="both"/>
        <w:rPr>
          <w:rFonts w:ascii="Arial" w:hAnsi="Arial" w:cs="Arial"/>
          <w:sz w:val="20"/>
          <w:szCs w:val="20"/>
        </w:rPr>
      </w:pPr>
    </w:p>
    <w:p w14:paraId="0E69DE98" w14:textId="77777777" w:rsidR="004B7622" w:rsidRPr="00F32D12" w:rsidRDefault="004B7622" w:rsidP="004B7622">
      <w:pPr>
        <w:pStyle w:val="Brezrazmikov"/>
        <w:spacing w:line="276" w:lineRule="auto"/>
        <w:jc w:val="both"/>
        <w:rPr>
          <w:rFonts w:ascii="Arial" w:hAnsi="Arial" w:cs="Arial"/>
          <w:sz w:val="20"/>
          <w:szCs w:val="20"/>
        </w:rPr>
      </w:pPr>
      <w:r w:rsidRPr="00F32D12">
        <w:rPr>
          <w:rFonts w:ascii="Arial" w:hAnsi="Arial" w:cs="Arial"/>
          <w:sz w:val="20"/>
          <w:szCs w:val="20"/>
        </w:rPr>
        <w:t xml:space="preserve">Število razkritij v letu 2021 se je v primerjavi z letom 2020 zmanjšalo, saj se je zmanjšalo število poizvedb ZRSZ, zaradi prenehanja določenih ukrepov na podlagi interventne zakonodaje. </w:t>
      </w:r>
    </w:p>
    <w:p w14:paraId="0E8D226C" w14:textId="77777777" w:rsidR="004B7622" w:rsidRDefault="004B7622" w:rsidP="004B7622">
      <w:pPr>
        <w:pStyle w:val="Brezrazmikov"/>
        <w:jc w:val="both"/>
      </w:pPr>
    </w:p>
    <w:p w14:paraId="576E3B5C" w14:textId="77777777" w:rsidR="004B7622" w:rsidRDefault="004B7622" w:rsidP="004B7622">
      <w:pPr>
        <w:autoSpaceDE w:val="0"/>
        <w:autoSpaceDN w:val="0"/>
        <w:adjustRightInd w:val="0"/>
        <w:spacing w:after="0"/>
        <w:jc w:val="both"/>
        <w:rPr>
          <w:rFonts w:ascii="Arial" w:hAnsi="Arial" w:cs="Arial"/>
          <w:i/>
          <w:iCs/>
          <w:sz w:val="20"/>
          <w:szCs w:val="20"/>
        </w:rPr>
      </w:pPr>
      <w:r w:rsidRPr="00DF6908">
        <w:rPr>
          <w:rFonts w:ascii="Arial" w:hAnsi="Arial" w:cs="Arial"/>
          <w:i/>
          <w:sz w:val="20"/>
          <w:szCs w:val="20"/>
        </w:rPr>
        <w:t>Preglednica 27</w:t>
      </w:r>
      <w:r w:rsidRPr="00DF6908">
        <w:rPr>
          <w:rFonts w:ascii="Arial" w:hAnsi="Arial" w:cs="Arial"/>
          <w:i/>
          <w:iCs/>
          <w:sz w:val="20"/>
          <w:szCs w:val="20"/>
        </w:rPr>
        <w:t>: Število razkritji iz knjigovodske evidence in evidence o davkih v povezavi s pridobitvami ugodnosti/pravic</w:t>
      </w:r>
    </w:p>
    <w:p w14:paraId="3AE8261E" w14:textId="77777777" w:rsidR="004B7622" w:rsidRDefault="004B7622" w:rsidP="004B7622">
      <w:pPr>
        <w:autoSpaceDE w:val="0"/>
        <w:autoSpaceDN w:val="0"/>
        <w:adjustRightInd w:val="0"/>
        <w:spacing w:after="0"/>
        <w:jc w:val="both"/>
        <w:rPr>
          <w:rFonts w:ascii="Arial" w:hAnsi="Arial" w:cs="Arial"/>
          <w:i/>
          <w:iCs/>
          <w:sz w:val="20"/>
          <w:szCs w:val="20"/>
        </w:rPr>
      </w:pPr>
    </w:p>
    <w:tbl>
      <w:tblPr>
        <w:tblW w:w="9236" w:type="dxa"/>
        <w:tblCellMar>
          <w:left w:w="70" w:type="dxa"/>
          <w:right w:w="70" w:type="dxa"/>
        </w:tblCellMar>
        <w:tblLook w:val="04A0" w:firstRow="1" w:lastRow="0" w:firstColumn="1" w:lastColumn="0" w:noHBand="0" w:noVBand="1"/>
      </w:tblPr>
      <w:tblGrid>
        <w:gridCol w:w="5817"/>
        <w:gridCol w:w="804"/>
        <w:gridCol w:w="804"/>
        <w:gridCol w:w="804"/>
        <w:gridCol w:w="1007"/>
      </w:tblGrid>
      <w:tr w:rsidR="004B7622" w:rsidRPr="002D7E69" w14:paraId="4CED9656" w14:textId="77777777" w:rsidTr="00377989">
        <w:trPr>
          <w:trHeight w:val="285"/>
        </w:trPr>
        <w:tc>
          <w:tcPr>
            <w:tcW w:w="5817" w:type="dxa"/>
            <w:tcBorders>
              <w:top w:val="single" w:sz="8" w:space="0" w:color="000000"/>
              <w:left w:val="single" w:sz="8" w:space="0" w:color="000000"/>
              <w:bottom w:val="single" w:sz="8" w:space="0" w:color="000000"/>
              <w:right w:val="single" w:sz="8" w:space="0" w:color="000000"/>
            </w:tcBorders>
            <w:shd w:val="clear" w:color="000000" w:fill="31869B"/>
            <w:noWrap/>
            <w:vAlign w:val="center"/>
            <w:hideMark/>
          </w:tcPr>
          <w:p w14:paraId="770B23BD" w14:textId="77777777" w:rsidR="004B7622" w:rsidRPr="002D7E69" w:rsidRDefault="004B7622" w:rsidP="00377989">
            <w:pPr>
              <w:spacing w:after="0" w:line="240" w:lineRule="auto"/>
              <w:jc w:val="center"/>
              <w:rPr>
                <w:rFonts w:ascii="Arial" w:eastAsia="Times New Roman" w:hAnsi="Arial" w:cs="Arial"/>
                <w:b/>
                <w:bCs/>
                <w:color w:val="000000"/>
                <w:sz w:val="18"/>
                <w:szCs w:val="18"/>
                <w:lang w:eastAsia="sl-SI"/>
              </w:rPr>
            </w:pPr>
            <w:r w:rsidRPr="002D7E69">
              <w:rPr>
                <w:rFonts w:ascii="Arial" w:eastAsia="Times New Roman" w:hAnsi="Arial" w:cs="Arial"/>
                <w:b/>
                <w:bCs/>
                <w:color w:val="000000"/>
                <w:sz w:val="18"/>
                <w:szCs w:val="18"/>
                <w:lang w:eastAsia="sl-SI"/>
              </w:rPr>
              <w:t> </w:t>
            </w:r>
          </w:p>
        </w:tc>
        <w:tc>
          <w:tcPr>
            <w:tcW w:w="804" w:type="dxa"/>
            <w:tcBorders>
              <w:top w:val="single" w:sz="8" w:space="0" w:color="000000"/>
              <w:left w:val="nil"/>
              <w:bottom w:val="single" w:sz="8" w:space="0" w:color="000000"/>
              <w:right w:val="single" w:sz="8" w:space="0" w:color="000000"/>
            </w:tcBorders>
            <w:shd w:val="clear" w:color="000000" w:fill="31869B"/>
            <w:vAlign w:val="center"/>
            <w:hideMark/>
          </w:tcPr>
          <w:p w14:paraId="0166F782" w14:textId="77777777" w:rsidR="004B7622" w:rsidRPr="002D7E69" w:rsidRDefault="004B7622" w:rsidP="00377989">
            <w:pPr>
              <w:spacing w:after="0" w:line="240" w:lineRule="auto"/>
              <w:jc w:val="center"/>
              <w:rPr>
                <w:rFonts w:ascii="Arial" w:eastAsia="Times New Roman" w:hAnsi="Arial" w:cs="Arial"/>
                <w:b/>
                <w:bCs/>
                <w:color w:val="FFFFFF"/>
                <w:sz w:val="18"/>
                <w:szCs w:val="18"/>
                <w:lang w:eastAsia="sl-SI"/>
              </w:rPr>
            </w:pPr>
            <w:r w:rsidRPr="002D7E69">
              <w:rPr>
                <w:rFonts w:ascii="Arial" w:eastAsia="Times New Roman" w:hAnsi="Arial" w:cs="Arial"/>
                <w:b/>
                <w:bCs/>
                <w:color w:val="FFFFFF"/>
                <w:sz w:val="18"/>
                <w:szCs w:val="18"/>
                <w:lang w:eastAsia="sl-SI"/>
              </w:rPr>
              <w:t>2019</w:t>
            </w:r>
          </w:p>
        </w:tc>
        <w:tc>
          <w:tcPr>
            <w:tcW w:w="804" w:type="dxa"/>
            <w:tcBorders>
              <w:top w:val="single" w:sz="8" w:space="0" w:color="000000"/>
              <w:left w:val="nil"/>
              <w:bottom w:val="single" w:sz="8" w:space="0" w:color="000000"/>
              <w:right w:val="single" w:sz="8" w:space="0" w:color="auto"/>
            </w:tcBorders>
            <w:shd w:val="clear" w:color="000000" w:fill="31869B"/>
            <w:vAlign w:val="center"/>
            <w:hideMark/>
          </w:tcPr>
          <w:p w14:paraId="6631F4CA" w14:textId="77777777" w:rsidR="004B7622" w:rsidRPr="002D7E69" w:rsidRDefault="004B7622" w:rsidP="00377989">
            <w:pPr>
              <w:spacing w:after="0" w:line="240" w:lineRule="auto"/>
              <w:jc w:val="center"/>
              <w:rPr>
                <w:rFonts w:ascii="Arial" w:eastAsia="Times New Roman" w:hAnsi="Arial" w:cs="Arial"/>
                <w:b/>
                <w:bCs/>
                <w:color w:val="FFFFFF"/>
                <w:sz w:val="18"/>
                <w:szCs w:val="18"/>
                <w:lang w:eastAsia="sl-SI"/>
              </w:rPr>
            </w:pPr>
            <w:r w:rsidRPr="002D7E69">
              <w:rPr>
                <w:rFonts w:ascii="Arial" w:eastAsia="Times New Roman" w:hAnsi="Arial" w:cs="Arial"/>
                <w:b/>
                <w:bCs/>
                <w:color w:val="FFFFFF"/>
                <w:sz w:val="18"/>
                <w:szCs w:val="18"/>
                <w:lang w:eastAsia="sl-SI"/>
              </w:rPr>
              <w:t>2020</w:t>
            </w:r>
          </w:p>
        </w:tc>
        <w:tc>
          <w:tcPr>
            <w:tcW w:w="804" w:type="dxa"/>
            <w:tcBorders>
              <w:top w:val="single" w:sz="8" w:space="0" w:color="000000"/>
              <w:left w:val="nil"/>
              <w:bottom w:val="single" w:sz="8" w:space="0" w:color="000000"/>
              <w:right w:val="single" w:sz="8" w:space="0" w:color="auto"/>
            </w:tcBorders>
            <w:shd w:val="clear" w:color="000000" w:fill="31869B"/>
            <w:vAlign w:val="center"/>
            <w:hideMark/>
          </w:tcPr>
          <w:p w14:paraId="2588DCED" w14:textId="77777777" w:rsidR="004B7622" w:rsidRPr="002D7E69" w:rsidRDefault="004B7622" w:rsidP="00377989">
            <w:pPr>
              <w:spacing w:after="0" w:line="240" w:lineRule="auto"/>
              <w:jc w:val="center"/>
              <w:rPr>
                <w:rFonts w:ascii="Arial" w:eastAsia="Times New Roman" w:hAnsi="Arial" w:cs="Arial"/>
                <w:b/>
                <w:bCs/>
                <w:color w:val="FFFFFF"/>
                <w:sz w:val="18"/>
                <w:szCs w:val="18"/>
                <w:lang w:eastAsia="sl-SI"/>
              </w:rPr>
            </w:pPr>
            <w:r w:rsidRPr="002D7E69">
              <w:rPr>
                <w:rFonts w:ascii="Arial" w:eastAsia="Times New Roman" w:hAnsi="Arial" w:cs="Arial"/>
                <w:b/>
                <w:bCs/>
                <w:color w:val="FFFFFF"/>
                <w:sz w:val="18"/>
                <w:szCs w:val="18"/>
                <w:lang w:eastAsia="sl-SI"/>
              </w:rPr>
              <w:t>2021</w:t>
            </w:r>
          </w:p>
        </w:tc>
        <w:tc>
          <w:tcPr>
            <w:tcW w:w="1007" w:type="dxa"/>
            <w:tcBorders>
              <w:top w:val="single" w:sz="8" w:space="0" w:color="000000"/>
              <w:left w:val="nil"/>
              <w:bottom w:val="single" w:sz="8" w:space="0" w:color="000000"/>
              <w:right w:val="single" w:sz="8" w:space="0" w:color="000000"/>
            </w:tcBorders>
            <w:shd w:val="clear" w:color="000000" w:fill="31869B"/>
            <w:vAlign w:val="center"/>
            <w:hideMark/>
          </w:tcPr>
          <w:p w14:paraId="0E90327D" w14:textId="77777777" w:rsidR="004B7622" w:rsidRPr="002D7E69" w:rsidRDefault="004B7622" w:rsidP="00377989">
            <w:pPr>
              <w:spacing w:after="0" w:line="240" w:lineRule="auto"/>
              <w:jc w:val="center"/>
              <w:rPr>
                <w:rFonts w:ascii="Arial" w:eastAsia="Times New Roman" w:hAnsi="Arial" w:cs="Arial"/>
                <w:b/>
                <w:bCs/>
                <w:color w:val="FFFFFF"/>
                <w:sz w:val="18"/>
                <w:szCs w:val="18"/>
                <w:lang w:eastAsia="sl-SI"/>
              </w:rPr>
            </w:pPr>
            <w:r w:rsidRPr="002D7E69">
              <w:rPr>
                <w:rFonts w:ascii="Arial" w:eastAsia="Times New Roman" w:hAnsi="Arial" w:cs="Arial"/>
                <w:b/>
                <w:bCs/>
                <w:color w:val="FFFFFF"/>
                <w:sz w:val="18"/>
                <w:szCs w:val="18"/>
                <w:lang w:eastAsia="sl-SI"/>
              </w:rPr>
              <w:t>IND 2021/2020</w:t>
            </w:r>
          </w:p>
        </w:tc>
      </w:tr>
      <w:tr w:rsidR="004B7622" w:rsidRPr="002D7E69" w14:paraId="36261D59" w14:textId="77777777" w:rsidTr="00377989">
        <w:trPr>
          <w:trHeight w:val="551"/>
        </w:trPr>
        <w:tc>
          <w:tcPr>
            <w:tcW w:w="5817" w:type="dxa"/>
            <w:tcBorders>
              <w:top w:val="nil"/>
              <w:left w:val="single" w:sz="8" w:space="0" w:color="000000"/>
              <w:bottom w:val="single" w:sz="8" w:space="0" w:color="000000"/>
              <w:right w:val="single" w:sz="8" w:space="0" w:color="000000"/>
            </w:tcBorders>
            <w:shd w:val="clear" w:color="auto" w:fill="auto"/>
            <w:noWrap/>
            <w:vAlign w:val="center"/>
            <w:hideMark/>
          </w:tcPr>
          <w:p w14:paraId="51AD5288" w14:textId="77777777" w:rsidR="004B7622" w:rsidRPr="002D7E69" w:rsidRDefault="004B7622" w:rsidP="00377989">
            <w:pPr>
              <w:spacing w:after="0" w:line="240" w:lineRule="auto"/>
              <w:jc w:val="both"/>
              <w:rPr>
                <w:rFonts w:ascii="Arial" w:eastAsia="Times New Roman" w:hAnsi="Arial" w:cs="Arial"/>
                <w:color w:val="000000"/>
                <w:sz w:val="18"/>
                <w:szCs w:val="18"/>
                <w:lang w:eastAsia="sl-SI"/>
              </w:rPr>
            </w:pPr>
            <w:r w:rsidRPr="002D7E69">
              <w:rPr>
                <w:rFonts w:ascii="Arial" w:eastAsia="Times New Roman" w:hAnsi="Arial" w:cs="Arial"/>
                <w:color w:val="000000"/>
                <w:sz w:val="18"/>
                <w:szCs w:val="18"/>
                <w:lang w:eastAsia="sl-SI"/>
              </w:rPr>
              <w:t>Razkritja iz knjigovodske evidence (ne obstoj dolga) in evidence o davkih (predloženi REK obračuni za prispevke za socialno varnost)*</w:t>
            </w:r>
          </w:p>
        </w:tc>
        <w:tc>
          <w:tcPr>
            <w:tcW w:w="804" w:type="dxa"/>
            <w:tcBorders>
              <w:top w:val="nil"/>
              <w:left w:val="nil"/>
              <w:bottom w:val="single" w:sz="8" w:space="0" w:color="000000"/>
              <w:right w:val="single" w:sz="8" w:space="0" w:color="000000"/>
            </w:tcBorders>
            <w:shd w:val="clear" w:color="auto" w:fill="auto"/>
            <w:vAlign w:val="center"/>
            <w:hideMark/>
          </w:tcPr>
          <w:p w14:paraId="01441DD3" w14:textId="77777777" w:rsidR="004B7622" w:rsidRPr="002D7E69" w:rsidRDefault="004B7622" w:rsidP="00377989">
            <w:pPr>
              <w:spacing w:after="0" w:line="240" w:lineRule="auto"/>
              <w:jc w:val="right"/>
              <w:rPr>
                <w:rFonts w:ascii="Arial" w:eastAsia="Times New Roman" w:hAnsi="Arial" w:cs="Arial"/>
                <w:color w:val="000000"/>
                <w:sz w:val="18"/>
                <w:szCs w:val="18"/>
                <w:lang w:eastAsia="sl-SI"/>
              </w:rPr>
            </w:pPr>
            <w:r w:rsidRPr="002D7E69">
              <w:rPr>
                <w:rFonts w:ascii="Arial" w:eastAsia="Times New Roman" w:hAnsi="Arial" w:cs="Arial"/>
                <w:color w:val="000000"/>
                <w:sz w:val="18"/>
                <w:szCs w:val="18"/>
                <w:lang w:eastAsia="sl-SI"/>
              </w:rPr>
              <w:t>284.924</w:t>
            </w:r>
          </w:p>
        </w:tc>
        <w:tc>
          <w:tcPr>
            <w:tcW w:w="804" w:type="dxa"/>
            <w:tcBorders>
              <w:top w:val="nil"/>
              <w:left w:val="nil"/>
              <w:bottom w:val="single" w:sz="8" w:space="0" w:color="000000"/>
              <w:right w:val="single" w:sz="8" w:space="0" w:color="auto"/>
            </w:tcBorders>
            <w:shd w:val="clear" w:color="auto" w:fill="auto"/>
            <w:vAlign w:val="center"/>
            <w:hideMark/>
          </w:tcPr>
          <w:p w14:paraId="2D38E924" w14:textId="77777777" w:rsidR="004B7622" w:rsidRPr="002D7E69" w:rsidRDefault="004B7622" w:rsidP="00377989">
            <w:pPr>
              <w:spacing w:after="0" w:line="240" w:lineRule="auto"/>
              <w:jc w:val="right"/>
              <w:rPr>
                <w:rFonts w:ascii="Arial" w:eastAsia="Times New Roman" w:hAnsi="Arial" w:cs="Arial"/>
                <w:color w:val="000000"/>
                <w:sz w:val="18"/>
                <w:szCs w:val="18"/>
                <w:lang w:eastAsia="sl-SI"/>
              </w:rPr>
            </w:pPr>
            <w:r w:rsidRPr="002D7E69">
              <w:rPr>
                <w:rFonts w:ascii="Arial" w:eastAsia="Times New Roman" w:hAnsi="Arial" w:cs="Arial"/>
                <w:color w:val="000000"/>
                <w:sz w:val="18"/>
                <w:szCs w:val="18"/>
                <w:lang w:eastAsia="sl-SI"/>
              </w:rPr>
              <w:t>445.987</w:t>
            </w:r>
          </w:p>
        </w:tc>
        <w:tc>
          <w:tcPr>
            <w:tcW w:w="804" w:type="dxa"/>
            <w:tcBorders>
              <w:top w:val="nil"/>
              <w:left w:val="nil"/>
              <w:bottom w:val="single" w:sz="8" w:space="0" w:color="000000"/>
              <w:right w:val="single" w:sz="8" w:space="0" w:color="auto"/>
            </w:tcBorders>
            <w:shd w:val="clear" w:color="auto" w:fill="auto"/>
            <w:vAlign w:val="center"/>
            <w:hideMark/>
          </w:tcPr>
          <w:p w14:paraId="7B54DA79" w14:textId="77777777" w:rsidR="004B7622" w:rsidRPr="002D7E69" w:rsidRDefault="004B7622" w:rsidP="00377989">
            <w:pPr>
              <w:spacing w:after="0" w:line="240" w:lineRule="auto"/>
              <w:jc w:val="right"/>
              <w:rPr>
                <w:rFonts w:ascii="Arial" w:eastAsia="Times New Roman" w:hAnsi="Arial" w:cs="Arial"/>
                <w:color w:val="000000"/>
                <w:sz w:val="18"/>
                <w:szCs w:val="18"/>
                <w:lang w:eastAsia="sl-SI"/>
              </w:rPr>
            </w:pPr>
            <w:r w:rsidRPr="002D7E69">
              <w:rPr>
                <w:rFonts w:ascii="Arial" w:eastAsia="Times New Roman" w:hAnsi="Arial" w:cs="Arial"/>
                <w:color w:val="000000"/>
                <w:sz w:val="18"/>
                <w:szCs w:val="18"/>
                <w:lang w:eastAsia="sl-SI"/>
              </w:rPr>
              <w:t>387.717</w:t>
            </w:r>
          </w:p>
        </w:tc>
        <w:tc>
          <w:tcPr>
            <w:tcW w:w="1007" w:type="dxa"/>
            <w:tcBorders>
              <w:top w:val="nil"/>
              <w:left w:val="nil"/>
              <w:bottom w:val="single" w:sz="8" w:space="0" w:color="000000"/>
              <w:right w:val="single" w:sz="8" w:space="0" w:color="000000"/>
            </w:tcBorders>
            <w:shd w:val="clear" w:color="auto" w:fill="auto"/>
            <w:vAlign w:val="center"/>
            <w:hideMark/>
          </w:tcPr>
          <w:p w14:paraId="014E5BD8" w14:textId="77777777" w:rsidR="004B7622" w:rsidRPr="002D7E69" w:rsidRDefault="004B7622" w:rsidP="00377989">
            <w:pPr>
              <w:spacing w:after="0" w:line="240" w:lineRule="auto"/>
              <w:jc w:val="right"/>
              <w:rPr>
                <w:rFonts w:ascii="Arial" w:eastAsia="Times New Roman" w:hAnsi="Arial" w:cs="Arial"/>
                <w:color w:val="000000"/>
                <w:sz w:val="18"/>
                <w:szCs w:val="18"/>
                <w:lang w:eastAsia="sl-SI"/>
              </w:rPr>
            </w:pPr>
            <w:r w:rsidRPr="002D7E69">
              <w:rPr>
                <w:rFonts w:ascii="Arial" w:eastAsia="Times New Roman" w:hAnsi="Arial" w:cs="Arial"/>
                <w:color w:val="000000"/>
                <w:sz w:val="18"/>
                <w:szCs w:val="18"/>
                <w:lang w:eastAsia="sl-SI"/>
              </w:rPr>
              <w:t>84,9</w:t>
            </w:r>
          </w:p>
        </w:tc>
      </w:tr>
    </w:tbl>
    <w:p w14:paraId="6F40BBCB" w14:textId="77777777" w:rsidR="004B7622" w:rsidRPr="005F05C3" w:rsidRDefault="004B7622" w:rsidP="004B7622">
      <w:pPr>
        <w:spacing w:after="0"/>
        <w:jc w:val="both"/>
        <w:rPr>
          <w:rFonts w:ascii="Arial" w:hAnsi="Arial" w:cs="Arial"/>
          <w:sz w:val="16"/>
          <w:szCs w:val="16"/>
        </w:rPr>
      </w:pPr>
      <w:r w:rsidRPr="005F05C3">
        <w:rPr>
          <w:rFonts w:ascii="Arial" w:hAnsi="Arial" w:cs="Arial"/>
          <w:sz w:val="20"/>
        </w:rPr>
        <w:t> </w:t>
      </w:r>
      <w:r w:rsidRPr="005F05C3">
        <w:rPr>
          <w:rFonts w:ascii="Arial" w:hAnsi="Arial" w:cs="Arial"/>
          <w:sz w:val="16"/>
          <w:szCs w:val="16"/>
        </w:rPr>
        <w:t>*</w:t>
      </w:r>
      <w:r w:rsidRPr="005F05C3">
        <w:t xml:space="preserve"> </w:t>
      </w:r>
      <w:r w:rsidRPr="005F05C3">
        <w:rPr>
          <w:rFonts w:ascii="Arial" w:hAnsi="Arial" w:cs="Arial"/>
          <w:sz w:val="16"/>
          <w:szCs w:val="16"/>
        </w:rPr>
        <w:t>Nekateri zakoni določajo kot kriterij samo prvi pogoj v zvezi z razkritjem iz knjigovodske evidence.</w:t>
      </w:r>
    </w:p>
    <w:p w14:paraId="50EF167C" w14:textId="4661ACED" w:rsidR="004B7622" w:rsidRPr="00F6676A" w:rsidRDefault="004B7622" w:rsidP="005B3CE4">
      <w:pPr>
        <w:rPr>
          <w:rFonts w:ascii="Arial" w:hAnsi="Arial" w:cs="Arial"/>
          <w:sz w:val="20"/>
          <w:szCs w:val="20"/>
        </w:rPr>
      </w:pPr>
      <w:r w:rsidRPr="005F05C3">
        <w:rPr>
          <w:rFonts w:ascii="Arial" w:hAnsi="Arial" w:cs="Arial"/>
          <w:i/>
          <w:sz w:val="20"/>
          <w:szCs w:val="20"/>
        </w:rPr>
        <w:t>Vir: FURS</w:t>
      </w:r>
    </w:p>
    <w:p w14:paraId="51198F86" w14:textId="77777777" w:rsidR="00CA4E99" w:rsidRPr="00F6676A" w:rsidRDefault="00CA4E99" w:rsidP="00CC03AA">
      <w:pPr>
        <w:spacing w:line="260" w:lineRule="exact"/>
        <w:contextualSpacing/>
        <w:jc w:val="both"/>
        <w:rPr>
          <w:rFonts w:ascii="Arial" w:hAnsi="Arial" w:cs="Arial"/>
          <w:bCs/>
          <w:sz w:val="20"/>
          <w:szCs w:val="20"/>
        </w:rPr>
      </w:pPr>
    </w:p>
    <w:p w14:paraId="27E99189" w14:textId="0A6100A0" w:rsidR="007E7F56" w:rsidRDefault="007E7F56" w:rsidP="005B3CE4">
      <w:pPr>
        <w:jc w:val="both"/>
        <w:rPr>
          <w:rFonts w:ascii="Arial" w:hAnsi="Arial" w:cs="Arial"/>
          <w:sz w:val="20"/>
          <w:szCs w:val="20"/>
          <w:lang w:eastAsia="sl-SI"/>
        </w:rPr>
      </w:pPr>
    </w:p>
    <w:sectPr w:rsidR="007E7F56" w:rsidSect="00377989">
      <w:footerReference w:type="default" r:id="rId24"/>
      <w:type w:val="continuous"/>
      <w:pgSz w:w="11906" w:h="16838"/>
      <w:pgMar w:top="1418"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54764" w14:textId="77777777" w:rsidR="00377989" w:rsidRDefault="00377989">
      <w:pPr>
        <w:spacing w:after="0" w:line="240" w:lineRule="auto"/>
      </w:pPr>
      <w:r>
        <w:separator/>
      </w:r>
    </w:p>
  </w:endnote>
  <w:endnote w:type="continuationSeparator" w:id="0">
    <w:p w14:paraId="57660D27" w14:textId="77777777" w:rsidR="00377989" w:rsidRDefault="00377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9C8E5" w14:textId="046F238C" w:rsidR="00377989" w:rsidRDefault="00377989">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7580716"/>
      <w:docPartObj>
        <w:docPartGallery w:val="Page Numbers (Bottom of Page)"/>
        <w:docPartUnique/>
      </w:docPartObj>
    </w:sdtPr>
    <w:sdtEndPr/>
    <w:sdtContent>
      <w:p w14:paraId="74F94B77" w14:textId="725C4365" w:rsidR="00377989" w:rsidRDefault="00377989" w:rsidP="001E3382">
        <w:pPr>
          <w:pStyle w:val="Noga"/>
          <w:jc w:val="center"/>
        </w:pPr>
        <w:r>
          <w:fldChar w:fldCharType="begin"/>
        </w:r>
        <w:r>
          <w:instrText>PAGE   \* MERGEFORMAT</w:instrText>
        </w:r>
        <w:r>
          <w:fldChar w:fldCharType="separate"/>
        </w:r>
        <w:r>
          <w:rPr>
            <w:noProof/>
          </w:rPr>
          <w:t>38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6AE81" w14:textId="77777777" w:rsidR="00377989" w:rsidRDefault="00377989">
      <w:pPr>
        <w:spacing w:after="0" w:line="240" w:lineRule="auto"/>
      </w:pPr>
      <w:r>
        <w:separator/>
      </w:r>
    </w:p>
  </w:footnote>
  <w:footnote w:type="continuationSeparator" w:id="0">
    <w:p w14:paraId="6C89D37A" w14:textId="77777777" w:rsidR="00377989" w:rsidRDefault="00377989">
      <w:pPr>
        <w:spacing w:after="0" w:line="240" w:lineRule="auto"/>
      </w:pPr>
      <w:r>
        <w:continuationSeparator/>
      </w:r>
    </w:p>
  </w:footnote>
  <w:footnote w:id="1">
    <w:p w14:paraId="0A190072" w14:textId="77777777" w:rsidR="00377989" w:rsidRPr="002629B2" w:rsidRDefault="00377989" w:rsidP="00F6676A">
      <w:pPr>
        <w:pStyle w:val="Sprotnaopomba-besedilo"/>
        <w:spacing w:line="276" w:lineRule="auto"/>
        <w:jc w:val="both"/>
        <w:rPr>
          <w:sz w:val="16"/>
          <w:szCs w:val="16"/>
        </w:rPr>
      </w:pPr>
      <w:r>
        <w:rPr>
          <w:rStyle w:val="Sprotnaopomba-sklic"/>
        </w:rPr>
        <w:footnoteRef/>
      </w:r>
      <w:r>
        <w:rPr>
          <w:rFonts w:cs="Arial"/>
          <w:sz w:val="18"/>
          <w:szCs w:val="18"/>
        </w:rPr>
        <w:t xml:space="preserve"> </w:t>
      </w:r>
      <w:r w:rsidRPr="00D17F5B">
        <w:rPr>
          <w:rFonts w:cs="Arial"/>
          <w:sz w:val="16"/>
          <w:szCs w:val="16"/>
        </w:rPr>
        <w:t xml:space="preserve">Gre za kumulativni davčni dolg, ki se nanaša na nastale dolgove zadnjih 10 let, kar je povezano z rokom </w:t>
      </w:r>
      <w:r w:rsidRPr="002629B2">
        <w:rPr>
          <w:rFonts w:cs="Arial"/>
          <w:sz w:val="16"/>
          <w:szCs w:val="16"/>
        </w:rPr>
        <w:t xml:space="preserve">absolutnega zastaranja davčnih obveznosti. Struktura davčnega dolga glede na nastanek dolga po kriteriju dospelosti v plačilo je predmet preglednice 8. </w:t>
      </w:r>
    </w:p>
  </w:footnote>
  <w:footnote w:id="2">
    <w:p w14:paraId="79F42AA6" w14:textId="77777777" w:rsidR="00377989" w:rsidRPr="00CC6663" w:rsidRDefault="00377989" w:rsidP="004B7622">
      <w:pPr>
        <w:pStyle w:val="Sprotnaopomba-besedilo"/>
        <w:spacing w:line="276" w:lineRule="auto"/>
        <w:jc w:val="both"/>
        <w:rPr>
          <w:rFonts w:cs="Arial"/>
          <w:sz w:val="16"/>
          <w:szCs w:val="16"/>
        </w:rPr>
      </w:pPr>
      <w:r w:rsidRPr="00CC6663">
        <w:rPr>
          <w:rStyle w:val="Sprotnaopomba-sklic"/>
          <w:rFonts w:cs="Arial"/>
          <w:sz w:val="16"/>
          <w:szCs w:val="16"/>
        </w:rPr>
        <w:footnoteRef/>
      </w:r>
      <w:r w:rsidRPr="00CC6663">
        <w:rPr>
          <w:rFonts w:cs="Arial"/>
          <w:sz w:val="16"/>
          <w:szCs w:val="16"/>
        </w:rPr>
        <w:t xml:space="preserve"> P</w:t>
      </w:r>
      <w:r w:rsidRPr="00CC6663">
        <w:rPr>
          <w:rFonts w:cs="Arial"/>
          <w:iCs/>
          <w:sz w:val="16"/>
          <w:szCs w:val="16"/>
        </w:rPr>
        <w:t xml:space="preserve">rvi odstavek 64.a člena Zakona o javnih financah (Uradni list RS, št. 11/11 – uradno prečiščeno besedilo, 14/13 – </w:t>
      </w:r>
      <w:proofErr w:type="spellStart"/>
      <w:r w:rsidRPr="00CC6663">
        <w:rPr>
          <w:rFonts w:cs="Arial"/>
          <w:iCs/>
          <w:sz w:val="16"/>
          <w:szCs w:val="16"/>
        </w:rPr>
        <w:t>popr</w:t>
      </w:r>
      <w:proofErr w:type="spellEnd"/>
      <w:r w:rsidRPr="00CC6663">
        <w:rPr>
          <w:rFonts w:cs="Arial"/>
          <w:iCs/>
          <w:sz w:val="16"/>
          <w:szCs w:val="16"/>
        </w:rPr>
        <w:t xml:space="preserve">., 101/13, 55/15 – </w:t>
      </w:r>
      <w:proofErr w:type="spellStart"/>
      <w:r w:rsidRPr="00CC6663">
        <w:rPr>
          <w:rFonts w:cs="Arial"/>
          <w:iCs/>
          <w:sz w:val="16"/>
          <w:szCs w:val="16"/>
        </w:rPr>
        <w:t>ZFisP</w:t>
      </w:r>
      <w:proofErr w:type="spellEnd"/>
      <w:r w:rsidRPr="00CC6663">
        <w:rPr>
          <w:rFonts w:cs="Arial"/>
          <w:iCs/>
          <w:sz w:val="16"/>
          <w:szCs w:val="16"/>
        </w:rPr>
        <w:t xml:space="preserve"> in 96/15 – ZIPRS1617, 13/18 in </w:t>
      </w:r>
      <w:hyperlink r:id="rId1"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CC6663">
          <w:rPr>
            <w:rFonts w:cs="Arial"/>
            <w:bCs/>
            <w:sz w:val="16"/>
            <w:szCs w:val="16"/>
          </w:rPr>
          <w:t>195/20</w:t>
        </w:r>
      </w:hyperlink>
      <w:r w:rsidRPr="00CC6663">
        <w:rPr>
          <w:rFonts w:cs="Arial"/>
          <w:bCs/>
          <w:sz w:val="16"/>
          <w:szCs w:val="16"/>
        </w:rPr>
        <w:t xml:space="preserve"> – </w:t>
      </w:r>
      <w:proofErr w:type="spellStart"/>
      <w:r w:rsidRPr="00CC6663">
        <w:rPr>
          <w:rFonts w:cs="Arial"/>
          <w:bCs/>
          <w:sz w:val="16"/>
          <w:szCs w:val="16"/>
        </w:rPr>
        <w:t>odl</w:t>
      </w:r>
      <w:proofErr w:type="spellEnd"/>
      <w:r w:rsidRPr="00CC6663">
        <w:rPr>
          <w:rFonts w:cs="Arial"/>
          <w:bCs/>
          <w:sz w:val="16"/>
          <w:szCs w:val="16"/>
        </w:rPr>
        <w:t>. US)</w:t>
      </w:r>
      <w:r w:rsidRPr="00CC6663">
        <w:rPr>
          <w:rFonts w:cs="Arial"/>
          <w:iCs/>
          <w:sz w:val="16"/>
          <w:szCs w:val="16"/>
        </w:rPr>
        <w:t>.</w:t>
      </w:r>
    </w:p>
  </w:footnote>
  <w:footnote w:id="3">
    <w:p w14:paraId="271518FF" w14:textId="77777777" w:rsidR="00377989" w:rsidRPr="00791678" w:rsidRDefault="00377989" w:rsidP="004B7622">
      <w:pPr>
        <w:pStyle w:val="Brezrazmikov"/>
        <w:rPr>
          <w:rFonts w:ascii="Arial" w:hAnsi="Arial" w:cs="Arial"/>
          <w:sz w:val="16"/>
          <w:szCs w:val="16"/>
        </w:rPr>
      </w:pPr>
      <w:r w:rsidRPr="00CC6663">
        <w:rPr>
          <w:rStyle w:val="Sprotnaopomba-sklic"/>
          <w:rFonts w:ascii="Arial" w:hAnsi="Arial" w:cs="Arial"/>
          <w:sz w:val="16"/>
          <w:szCs w:val="16"/>
        </w:rPr>
        <w:footnoteRef/>
      </w:r>
      <w:r w:rsidRPr="00CC6663">
        <w:t xml:space="preserve"> </w:t>
      </w:r>
      <w:r w:rsidRPr="00CC6663">
        <w:rPr>
          <w:rFonts w:ascii="Arial" w:hAnsi="Arial" w:cs="Arial"/>
          <w:sz w:val="16"/>
          <w:szCs w:val="16"/>
        </w:rPr>
        <w:t xml:space="preserve">Vir podatkov spletna stran MF, Bilance državnega proračuna, Državni proračun 1992-2021: </w:t>
      </w:r>
      <w:hyperlink r:id="rId2" w:history="1">
        <w:r w:rsidRPr="00791678">
          <w:rPr>
            <w:rStyle w:val="Hiperpovezava"/>
            <w:rFonts w:cs="Arial"/>
            <w:sz w:val="16"/>
            <w:szCs w:val="16"/>
          </w:rPr>
          <w:t>https://www.gov.si/teme/fiskalna-in-javnofinancna-politika/</w:t>
        </w:r>
      </w:hyperlink>
    </w:p>
  </w:footnote>
  <w:footnote w:id="4">
    <w:p w14:paraId="6F6CAE66" w14:textId="77777777" w:rsidR="00377989" w:rsidRPr="00CC6663" w:rsidRDefault="00377989" w:rsidP="004B7622">
      <w:pPr>
        <w:spacing w:after="0" w:line="240" w:lineRule="auto"/>
        <w:rPr>
          <w:rFonts w:ascii="Arial" w:eastAsia="Times New Roman" w:hAnsi="Arial" w:cs="Arial"/>
          <w:sz w:val="16"/>
          <w:szCs w:val="16"/>
        </w:rPr>
      </w:pPr>
      <w:r w:rsidRPr="00CC6663">
        <w:rPr>
          <w:rStyle w:val="Sprotnaopomba-sklic"/>
          <w:rFonts w:ascii="Arial" w:hAnsi="Arial" w:cs="Arial"/>
          <w:sz w:val="16"/>
          <w:szCs w:val="16"/>
        </w:rPr>
        <w:footnoteRef/>
      </w:r>
      <w:r w:rsidRPr="00CC6663">
        <w:rPr>
          <w:rFonts w:ascii="Arial" w:hAnsi="Arial" w:cs="Arial"/>
          <w:sz w:val="16"/>
          <w:szCs w:val="16"/>
        </w:rPr>
        <w:t xml:space="preserve"> </w:t>
      </w:r>
      <w:r w:rsidRPr="00CC6663">
        <w:rPr>
          <w:rFonts w:ascii="Arial" w:eastAsia="Times New Roman" w:hAnsi="Arial" w:cs="Arial"/>
          <w:bCs/>
          <w:sz w:val="16"/>
          <w:szCs w:val="16"/>
          <w:lang w:eastAsia="sl-SI"/>
        </w:rPr>
        <w:t xml:space="preserve">Uradni list RS, št. </w:t>
      </w:r>
      <w:hyperlink r:id="rId3" w:tgtFrame="_blank" w:tooltip="Zakon o interventnih ukrepih za zajezitev epidemije COVID-19 in omilitev njenih posledic za državljane in gospodarstvo (ZIUZEOP)" w:history="1">
        <w:r w:rsidRPr="00CC6663">
          <w:rPr>
            <w:rFonts w:ascii="Arial" w:eastAsia="Times New Roman" w:hAnsi="Arial" w:cs="Arial"/>
            <w:bCs/>
            <w:sz w:val="16"/>
            <w:szCs w:val="16"/>
            <w:lang w:eastAsia="sl-SI"/>
          </w:rPr>
          <w:t>49/20</w:t>
        </w:r>
      </w:hyperlink>
      <w:r w:rsidRPr="00CC6663">
        <w:rPr>
          <w:rFonts w:ascii="Arial" w:eastAsia="Times New Roman" w:hAnsi="Arial" w:cs="Arial"/>
          <w:bCs/>
          <w:sz w:val="16"/>
          <w:szCs w:val="16"/>
          <w:lang w:eastAsia="sl-SI"/>
        </w:rPr>
        <w:t xml:space="preserve">, </w:t>
      </w:r>
      <w:hyperlink r:id="rId4" w:tgtFrame="_blank" w:tooltip="Zakon o spremembah in dopolnitvah Zakona o interventnih ukrepih za zajezitev epidemije COVID-19 in omilitev njenih posledic za državljane in gospodarstvo" w:history="1">
        <w:r w:rsidRPr="00CC6663">
          <w:rPr>
            <w:rFonts w:ascii="Arial" w:eastAsia="Times New Roman" w:hAnsi="Arial" w:cs="Arial"/>
            <w:bCs/>
            <w:sz w:val="16"/>
            <w:szCs w:val="16"/>
            <w:lang w:eastAsia="sl-SI"/>
          </w:rPr>
          <w:t>61/20</w:t>
        </w:r>
      </w:hyperlink>
      <w:r w:rsidRPr="00CC6663">
        <w:rPr>
          <w:rFonts w:ascii="Arial" w:eastAsia="Times New Roman" w:hAnsi="Arial" w:cs="Arial"/>
          <w:bCs/>
          <w:sz w:val="16"/>
          <w:szCs w:val="16"/>
          <w:lang w:eastAsia="sl-SI"/>
        </w:rPr>
        <w:t xml:space="preserve">, </w:t>
      </w:r>
      <w:hyperlink r:id="rId5" w:tgtFrame="_blank" w:tooltip="Zakon o začasnih ukrepih za omilitev in odpravo posledic COVID-19" w:history="1">
        <w:r w:rsidRPr="00CC6663">
          <w:rPr>
            <w:rFonts w:ascii="Arial" w:eastAsia="Times New Roman" w:hAnsi="Arial" w:cs="Arial"/>
            <w:bCs/>
            <w:sz w:val="16"/>
            <w:szCs w:val="16"/>
            <w:lang w:eastAsia="sl-SI"/>
          </w:rPr>
          <w:t>152/20</w:t>
        </w:r>
      </w:hyperlink>
      <w:r w:rsidRPr="00CC6663">
        <w:rPr>
          <w:rFonts w:ascii="Arial" w:eastAsia="Times New Roman" w:hAnsi="Arial" w:cs="Arial"/>
          <w:bCs/>
          <w:sz w:val="16"/>
          <w:szCs w:val="16"/>
          <w:lang w:eastAsia="sl-SI"/>
        </w:rPr>
        <w:t xml:space="preserve"> – ZZUOOP, </w:t>
      </w:r>
      <w:hyperlink r:id="rId6" w:tgtFrame="_blank" w:tooltip="Zakon o interventnih ukrepih za omilitev posledic drugega vala epidemije COVID-19" w:history="1">
        <w:r w:rsidRPr="00CC6663">
          <w:rPr>
            <w:rFonts w:ascii="Arial" w:eastAsia="Times New Roman" w:hAnsi="Arial" w:cs="Arial"/>
            <w:bCs/>
            <w:sz w:val="16"/>
            <w:szCs w:val="16"/>
            <w:lang w:eastAsia="sl-SI"/>
          </w:rPr>
          <w:t>175/20</w:t>
        </w:r>
      </w:hyperlink>
      <w:r w:rsidRPr="00CC6663">
        <w:rPr>
          <w:rFonts w:ascii="Arial" w:eastAsia="Times New Roman" w:hAnsi="Arial" w:cs="Arial"/>
          <w:bCs/>
          <w:sz w:val="16"/>
          <w:szCs w:val="16"/>
          <w:lang w:eastAsia="sl-SI"/>
        </w:rPr>
        <w:t xml:space="preserve"> – ZIUOPDVE,</w:t>
      </w:r>
      <w:hyperlink r:id="rId7" w:tgtFrame="_blank" w:tooltip="Zakon o dodatnih ukrepih za omilitev posledic COVID-19 " w:history="1">
        <w:r w:rsidRPr="00CC6663">
          <w:rPr>
            <w:rFonts w:ascii="Arial" w:eastAsia="Times New Roman" w:hAnsi="Arial" w:cs="Arial"/>
            <w:bCs/>
            <w:sz w:val="16"/>
            <w:szCs w:val="16"/>
            <w:lang w:eastAsia="sl-SI"/>
          </w:rPr>
          <w:t>15/21</w:t>
        </w:r>
      </w:hyperlink>
      <w:r w:rsidRPr="00CC6663">
        <w:rPr>
          <w:rFonts w:ascii="Arial" w:eastAsia="Times New Roman" w:hAnsi="Arial" w:cs="Arial"/>
          <w:bCs/>
          <w:sz w:val="16"/>
          <w:szCs w:val="16"/>
          <w:lang w:eastAsia="sl-SI"/>
        </w:rPr>
        <w:t xml:space="preserve"> – ZDUOP</w:t>
      </w:r>
      <w:r w:rsidRPr="00CC6663">
        <w:rPr>
          <w:rFonts w:ascii="Arial" w:eastAsia="Times New Roman" w:hAnsi="Arial" w:cs="Arial"/>
          <w:sz w:val="16"/>
          <w:szCs w:val="16"/>
        </w:rPr>
        <w:t xml:space="preserve"> in 206/21 – ZDUPŠOP </w:t>
      </w:r>
      <w:r w:rsidRPr="00CC6663">
        <w:rPr>
          <w:rFonts w:ascii="Arial" w:eastAsia="Times New Roman" w:hAnsi="Arial" w:cs="Arial"/>
          <w:bCs/>
          <w:vanish/>
          <w:sz w:val="16"/>
          <w:szCs w:val="16"/>
          <w:lang w:eastAsia="sl-SI"/>
        </w:rPr>
        <w:t xml:space="preserve">Zakon o interventnih ukrepih za zajezitev epidemije COVID-19 in omilitev njenih posledic za državljane in gospodarstvo (Uradni list RS, št. 49/20, 61/20, 152/20 – ZZUOOP, 175/20 – ZIUOPDVE in 15/21 – ZDUOP) </w:t>
      </w:r>
    </w:p>
    <w:p w14:paraId="376B6F00" w14:textId="77777777" w:rsidR="00377989" w:rsidRPr="005506CA" w:rsidRDefault="00377989" w:rsidP="004B7622">
      <w:pPr>
        <w:pStyle w:val="Sprotnaopomba-besedilo"/>
        <w:rPr>
          <w:rFonts w:cs="Arial"/>
          <w:color w:val="C00000"/>
          <w:sz w:val="16"/>
          <w:szCs w:val="16"/>
        </w:rPr>
      </w:pPr>
    </w:p>
  </w:footnote>
  <w:footnote w:id="5">
    <w:p w14:paraId="2F8E14DD" w14:textId="77777777" w:rsidR="00377989" w:rsidRDefault="00377989" w:rsidP="004B7622">
      <w:pPr>
        <w:pStyle w:val="Sprotnaopomba-besedilo"/>
        <w:rPr>
          <w:sz w:val="16"/>
          <w:szCs w:val="16"/>
        </w:rPr>
      </w:pPr>
      <w:r w:rsidRPr="006A41E0">
        <w:rPr>
          <w:rStyle w:val="Sprotnaopomba-sklic"/>
          <w:sz w:val="18"/>
          <w:szCs w:val="18"/>
        </w:rPr>
        <w:footnoteRef/>
      </w:r>
      <w:r w:rsidRPr="006A41E0">
        <w:rPr>
          <w:sz w:val="18"/>
          <w:szCs w:val="18"/>
        </w:rPr>
        <w:t xml:space="preserve"> </w:t>
      </w:r>
      <w:r w:rsidRPr="00D17F5B">
        <w:rPr>
          <w:sz w:val="16"/>
          <w:szCs w:val="16"/>
        </w:rPr>
        <w:t>Več informacij o pobranih prihodkih po vrstah dajatev je na voljo v Letnem poročilu FURS 20</w:t>
      </w:r>
      <w:r>
        <w:rPr>
          <w:sz w:val="16"/>
          <w:szCs w:val="16"/>
        </w:rPr>
        <w:t>21, objavljenem</w:t>
      </w:r>
      <w:r w:rsidRPr="00D17F5B">
        <w:rPr>
          <w:sz w:val="16"/>
          <w:szCs w:val="16"/>
        </w:rPr>
        <w:t xml:space="preserve"> na spletni strani</w:t>
      </w:r>
      <w:r>
        <w:rPr>
          <w:sz w:val="16"/>
          <w:szCs w:val="16"/>
        </w:rPr>
        <w:t xml:space="preserve"> FURS</w:t>
      </w:r>
      <w:r w:rsidRPr="00D17F5B">
        <w:rPr>
          <w:sz w:val="16"/>
          <w:szCs w:val="16"/>
        </w:rPr>
        <w:t xml:space="preserve">: </w:t>
      </w:r>
      <w:hyperlink r:id="rId8" w:history="1">
        <w:r w:rsidRPr="00DA426B">
          <w:rPr>
            <w:rStyle w:val="Hiperpovezava"/>
            <w:sz w:val="16"/>
            <w:szCs w:val="16"/>
          </w:rPr>
          <w:t>https://www.gov.si/assets/organi-v-sestavi/FURS/Strateski-dokumenti/Letno-porocilo-Financne-uprave-za-leto-2021.pdf</w:t>
        </w:r>
      </w:hyperlink>
    </w:p>
    <w:p w14:paraId="78C32F29" w14:textId="77777777" w:rsidR="00377989" w:rsidRDefault="00377989" w:rsidP="004B7622">
      <w:pPr>
        <w:pStyle w:val="Sprotnaopomba-besedilo"/>
        <w:rPr>
          <w:sz w:val="16"/>
          <w:szCs w:val="16"/>
        </w:rPr>
      </w:pPr>
    </w:p>
    <w:p w14:paraId="72F51FAB" w14:textId="77777777" w:rsidR="00377989" w:rsidRDefault="00377989" w:rsidP="004B7622">
      <w:pPr>
        <w:pStyle w:val="Sprotnaopomba-besedilo"/>
        <w:rPr>
          <w:sz w:val="16"/>
          <w:szCs w:val="16"/>
        </w:rPr>
      </w:pPr>
    </w:p>
    <w:p w14:paraId="40CCD2FD" w14:textId="77777777" w:rsidR="00377989" w:rsidRPr="00D17F5B" w:rsidRDefault="00377989" w:rsidP="004B7622">
      <w:pPr>
        <w:pStyle w:val="Sprotnaopomba-besedilo"/>
        <w:rPr>
          <w:sz w:val="16"/>
          <w:szCs w:val="16"/>
        </w:rPr>
      </w:pPr>
    </w:p>
  </w:footnote>
  <w:footnote w:id="6">
    <w:p w14:paraId="0CC71518" w14:textId="77777777" w:rsidR="00377989" w:rsidRPr="005B3CE4" w:rsidRDefault="00377989" w:rsidP="004B7622">
      <w:pPr>
        <w:pStyle w:val="Sprotnaopomba-besedilo"/>
        <w:rPr>
          <w:sz w:val="16"/>
          <w:szCs w:val="16"/>
        </w:rPr>
      </w:pPr>
      <w:r>
        <w:rPr>
          <w:rStyle w:val="Sprotnaopomba-sklic"/>
        </w:rPr>
        <w:footnoteRef/>
      </w:r>
      <w:r>
        <w:t xml:space="preserve"> </w:t>
      </w:r>
      <w:r w:rsidRPr="005B3CE4">
        <w:rPr>
          <w:sz w:val="16"/>
          <w:szCs w:val="16"/>
        </w:rPr>
        <w:t>Uradni list RS, št. 36/20</w:t>
      </w:r>
    </w:p>
  </w:footnote>
  <w:footnote w:id="7">
    <w:p w14:paraId="4C8103BF" w14:textId="77777777" w:rsidR="00377989" w:rsidRPr="005B3CE4" w:rsidRDefault="00377989" w:rsidP="004B7622">
      <w:pPr>
        <w:pStyle w:val="Sprotnaopomba-besedilo"/>
        <w:spacing w:line="276" w:lineRule="auto"/>
        <w:rPr>
          <w:sz w:val="16"/>
          <w:szCs w:val="16"/>
        </w:rPr>
      </w:pPr>
      <w:r w:rsidRPr="005B3CE4">
        <w:rPr>
          <w:rStyle w:val="Sprotnaopomba-sklic"/>
          <w:sz w:val="16"/>
          <w:szCs w:val="16"/>
        </w:rPr>
        <w:footnoteRef/>
      </w:r>
      <w:r w:rsidRPr="005B3CE4">
        <w:rPr>
          <w:sz w:val="16"/>
          <w:szCs w:val="16"/>
        </w:rPr>
        <w:t xml:space="preserve"> Ukrep je veljal od 29. 3. 2020 do 19. 6. 2020.</w:t>
      </w:r>
    </w:p>
  </w:footnote>
  <w:footnote w:id="8">
    <w:p w14:paraId="0C79A1EA" w14:textId="77777777" w:rsidR="00377989" w:rsidRPr="005B3CE4" w:rsidRDefault="00377989" w:rsidP="004B7622">
      <w:pPr>
        <w:pStyle w:val="Sprotnaopomba-besedilo"/>
        <w:spacing w:line="276" w:lineRule="auto"/>
        <w:rPr>
          <w:sz w:val="16"/>
          <w:szCs w:val="16"/>
        </w:rPr>
      </w:pPr>
      <w:r w:rsidRPr="005B3CE4">
        <w:rPr>
          <w:rStyle w:val="Sprotnaopomba-sklic"/>
          <w:sz w:val="16"/>
          <w:szCs w:val="16"/>
        </w:rPr>
        <w:footnoteRef/>
      </w:r>
      <w:r w:rsidRPr="005B3CE4">
        <w:rPr>
          <w:sz w:val="16"/>
          <w:szCs w:val="16"/>
        </w:rPr>
        <w:t xml:space="preserve"> Uradni list RS, št. 175/20, 203/20 – ZIUPOPDVE, 15/21 – ZDUOP, 51/21 – ZZVZZ-O, 57/21 – </w:t>
      </w:r>
      <w:proofErr w:type="spellStart"/>
      <w:r w:rsidRPr="005B3CE4">
        <w:rPr>
          <w:sz w:val="16"/>
          <w:szCs w:val="16"/>
        </w:rPr>
        <w:t>odl</w:t>
      </w:r>
      <w:proofErr w:type="spellEnd"/>
      <w:r w:rsidRPr="005B3CE4">
        <w:rPr>
          <w:sz w:val="16"/>
          <w:szCs w:val="16"/>
        </w:rPr>
        <w:t>. US in 112/21 – ZIUPGT</w:t>
      </w:r>
    </w:p>
  </w:footnote>
  <w:footnote w:id="9">
    <w:p w14:paraId="31453439" w14:textId="77777777" w:rsidR="00377989" w:rsidRPr="005B3CE4" w:rsidRDefault="00377989" w:rsidP="004B7622">
      <w:pPr>
        <w:pStyle w:val="Sprotnaopomba-besedilo"/>
        <w:rPr>
          <w:sz w:val="16"/>
          <w:szCs w:val="16"/>
        </w:rPr>
      </w:pPr>
      <w:r w:rsidRPr="005B3CE4">
        <w:rPr>
          <w:rStyle w:val="Sprotnaopomba-sklic"/>
          <w:sz w:val="16"/>
          <w:szCs w:val="16"/>
        </w:rPr>
        <w:footnoteRef/>
      </w:r>
      <w:r w:rsidRPr="005B3CE4">
        <w:rPr>
          <w:sz w:val="16"/>
          <w:szCs w:val="16"/>
        </w:rPr>
        <w:t xml:space="preserve"> Ukrep je veljal od 28. 11. 2020 do 30. 6. 2021.</w:t>
      </w:r>
    </w:p>
  </w:footnote>
  <w:footnote w:id="10">
    <w:p w14:paraId="46F13A9C" w14:textId="77777777" w:rsidR="00377989" w:rsidRPr="005B3CE4" w:rsidRDefault="00377989" w:rsidP="004B7622">
      <w:pPr>
        <w:pStyle w:val="Sprotnaopomba-besedilo"/>
        <w:rPr>
          <w:sz w:val="16"/>
          <w:szCs w:val="16"/>
        </w:rPr>
      </w:pPr>
      <w:r w:rsidRPr="005B3CE4">
        <w:rPr>
          <w:rStyle w:val="Sprotnaopomba-sklic"/>
          <w:sz w:val="16"/>
          <w:szCs w:val="16"/>
        </w:rPr>
        <w:footnoteRef/>
      </w:r>
      <w:r w:rsidRPr="005B3CE4">
        <w:rPr>
          <w:sz w:val="16"/>
          <w:szCs w:val="16"/>
        </w:rPr>
        <w:t xml:space="preserve"> Uradni list RS, št. 36/20, 49/20 – ZIUZEOP, 61/20 – ZIUZEOP-A in 80/20 – ZIUOOPE</w:t>
      </w:r>
    </w:p>
  </w:footnote>
  <w:footnote w:id="11">
    <w:p w14:paraId="2F624C96" w14:textId="77777777" w:rsidR="00377989" w:rsidRPr="00CC6663" w:rsidRDefault="00377989" w:rsidP="004B7622">
      <w:pPr>
        <w:pStyle w:val="Sprotnaopomba-besedilo"/>
        <w:rPr>
          <w:sz w:val="16"/>
          <w:szCs w:val="16"/>
        </w:rPr>
      </w:pPr>
      <w:r w:rsidRPr="004007AD">
        <w:rPr>
          <w:rStyle w:val="Sprotnaopomba-sklic"/>
          <w:sz w:val="16"/>
          <w:szCs w:val="16"/>
        </w:rPr>
        <w:footnoteRef/>
      </w:r>
      <w:r w:rsidRPr="004007AD">
        <w:rPr>
          <w:sz w:val="16"/>
          <w:szCs w:val="16"/>
        </w:rPr>
        <w:t xml:space="preserve"> </w:t>
      </w:r>
      <w:r w:rsidRPr="00CC6663">
        <w:rPr>
          <w:sz w:val="16"/>
          <w:szCs w:val="16"/>
        </w:rPr>
        <w:t>Uradni list RS, št. 203/20, 15/21 – ZDUOP, 82/21 – ZNB-C, 112/21 – ZNUPZ in 206/21 – ZDUPŠOP</w:t>
      </w:r>
    </w:p>
  </w:footnote>
  <w:footnote w:id="12">
    <w:p w14:paraId="6920EF21" w14:textId="77777777" w:rsidR="00377989" w:rsidRPr="00CC6663" w:rsidRDefault="00377989" w:rsidP="004B7622">
      <w:pPr>
        <w:pStyle w:val="Sprotnaopomba-besedilo"/>
        <w:spacing w:line="276" w:lineRule="auto"/>
        <w:rPr>
          <w:sz w:val="16"/>
          <w:szCs w:val="16"/>
        </w:rPr>
      </w:pPr>
      <w:r w:rsidRPr="00CC6663">
        <w:rPr>
          <w:rStyle w:val="Sprotnaopomba-sklic"/>
          <w:sz w:val="16"/>
          <w:szCs w:val="16"/>
        </w:rPr>
        <w:footnoteRef/>
      </w:r>
      <w:r w:rsidRPr="00CC6663">
        <w:rPr>
          <w:sz w:val="16"/>
          <w:szCs w:val="16"/>
        </w:rPr>
        <w:t xml:space="preserve"> Ukrep je veljal od 31. 12. 2020 do 18. 4. 2021.</w:t>
      </w:r>
    </w:p>
  </w:footnote>
  <w:footnote w:id="13">
    <w:p w14:paraId="2F82C09F" w14:textId="77777777" w:rsidR="00377989" w:rsidRPr="00CC6663" w:rsidRDefault="00377989" w:rsidP="004B7622">
      <w:pPr>
        <w:pStyle w:val="Sprotnaopomba-besedilo"/>
        <w:spacing w:line="276" w:lineRule="auto"/>
        <w:rPr>
          <w:sz w:val="16"/>
          <w:szCs w:val="16"/>
        </w:rPr>
      </w:pPr>
      <w:r w:rsidRPr="00CC6663">
        <w:rPr>
          <w:rStyle w:val="Sprotnaopomba-sklic"/>
          <w:sz w:val="16"/>
          <w:szCs w:val="16"/>
        </w:rPr>
        <w:footnoteRef/>
      </w:r>
      <w:r w:rsidRPr="00CC6663">
        <w:rPr>
          <w:sz w:val="16"/>
          <w:szCs w:val="16"/>
        </w:rPr>
        <w:t xml:space="preserve"> Uradni list RS, št. 13/11 – uradno prečiščeno besedilo, 32/12, 94/12, 101/13 – </w:t>
      </w:r>
      <w:proofErr w:type="spellStart"/>
      <w:r w:rsidRPr="00CC6663">
        <w:rPr>
          <w:sz w:val="16"/>
          <w:szCs w:val="16"/>
        </w:rPr>
        <w:t>ZDavNepr</w:t>
      </w:r>
      <w:proofErr w:type="spellEnd"/>
      <w:r w:rsidRPr="00CC6663">
        <w:rPr>
          <w:sz w:val="16"/>
          <w:szCs w:val="16"/>
        </w:rPr>
        <w:t xml:space="preserve">, 111/13, 22/14 – </w:t>
      </w:r>
      <w:proofErr w:type="spellStart"/>
      <w:r w:rsidRPr="00CC6663">
        <w:rPr>
          <w:sz w:val="16"/>
          <w:szCs w:val="16"/>
        </w:rPr>
        <w:t>odl</w:t>
      </w:r>
      <w:proofErr w:type="spellEnd"/>
      <w:r w:rsidRPr="00CC6663">
        <w:rPr>
          <w:sz w:val="16"/>
          <w:szCs w:val="16"/>
        </w:rPr>
        <w:t xml:space="preserve">. US, 25/14 – ZFU, 40/14 – ZIN-B, 90/14, 91/15, 63/16, 69/17, 13/18 – ZJF-H, 36/19, 66/19, 145/20 – </w:t>
      </w:r>
      <w:proofErr w:type="spellStart"/>
      <w:r w:rsidRPr="00CC6663">
        <w:rPr>
          <w:sz w:val="16"/>
          <w:szCs w:val="16"/>
        </w:rPr>
        <w:t>odl</w:t>
      </w:r>
      <w:proofErr w:type="spellEnd"/>
      <w:r w:rsidRPr="00CC6663">
        <w:rPr>
          <w:sz w:val="16"/>
          <w:szCs w:val="16"/>
        </w:rPr>
        <w:t xml:space="preserve">. US, 203/20 – ZIUPOPDVE, 39/22 – ZFU-A in 52/22 – </w:t>
      </w:r>
      <w:proofErr w:type="spellStart"/>
      <w:r w:rsidRPr="00CC6663">
        <w:rPr>
          <w:sz w:val="16"/>
          <w:szCs w:val="16"/>
        </w:rPr>
        <w:t>odl</w:t>
      </w:r>
      <w:proofErr w:type="spellEnd"/>
      <w:r w:rsidRPr="00CC6663">
        <w:rPr>
          <w:sz w:val="16"/>
          <w:szCs w:val="16"/>
        </w:rPr>
        <w:t>. US</w:t>
      </w:r>
    </w:p>
    <w:p w14:paraId="4624625D" w14:textId="77777777" w:rsidR="00377989" w:rsidRPr="00CC6663" w:rsidRDefault="00377989" w:rsidP="004B7622">
      <w:pPr>
        <w:pStyle w:val="Sprotnaopomba-besedilo"/>
        <w:spacing w:line="276" w:lineRule="auto"/>
        <w:rPr>
          <w:sz w:val="16"/>
          <w:szCs w:val="16"/>
        </w:rPr>
      </w:pPr>
    </w:p>
    <w:p w14:paraId="7CDE5203" w14:textId="77777777" w:rsidR="00377989" w:rsidRPr="004E7D0E" w:rsidRDefault="00377989" w:rsidP="004B7622">
      <w:pPr>
        <w:pStyle w:val="Sprotnaopomba-besedilo"/>
        <w:spacing w:line="276" w:lineRule="auto"/>
        <w:rPr>
          <w:sz w:val="16"/>
          <w:szCs w:val="16"/>
        </w:rPr>
      </w:pPr>
    </w:p>
  </w:footnote>
  <w:footnote w:id="14">
    <w:p w14:paraId="77FD412F" w14:textId="77777777" w:rsidR="00377989" w:rsidRPr="00A33E86" w:rsidRDefault="00377989" w:rsidP="004B7622">
      <w:pPr>
        <w:pStyle w:val="Sprotnaopomba-besedilo"/>
        <w:spacing w:line="240" w:lineRule="auto"/>
        <w:jc w:val="both"/>
        <w:rPr>
          <w:rFonts w:cs="Arial"/>
          <w:sz w:val="16"/>
          <w:szCs w:val="16"/>
        </w:rPr>
      </w:pPr>
      <w:r w:rsidRPr="00650904">
        <w:rPr>
          <w:rStyle w:val="Sprotnaopomba-sklic"/>
          <w:rFonts w:cs="Arial"/>
          <w:sz w:val="18"/>
          <w:szCs w:val="18"/>
        </w:rPr>
        <w:footnoteRef/>
      </w:r>
      <w:r w:rsidRPr="00650904">
        <w:rPr>
          <w:rFonts w:cs="Arial"/>
          <w:sz w:val="18"/>
          <w:szCs w:val="18"/>
        </w:rPr>
        <w:t xml:space="preserve"> </w:t>
      </w:r>
      <w:r w:rsidRPr="00A33E86">
        <w:rPr>
          <w:rFonts w:cs="Arial"/>
          <w:sz w:val="16"/>
          <w:szCs w:val="16"/>
        </w:rPr>
        <w:t>Z Zakonom o spremembah in dopolnitvah Zakona o finančnem poslovanju, postopkih zaradi insolventnosti in prisilnem prenehanju (Uradni list RS, št. 27/16) je bila spremenjena opredelitev prednostnih terjatev, na katere odpust ne učinkuje, na način, da se za prednostne terjatve štejejo vse terjatve iz naslova prispevkov, ki so nastale pred začetkom postopka zaradi insolventnosti in ne več samo terjatve iz naslova prispevkov, ki so nastale v zadnjem letu pred začetkom postopka zaradi insolventnosti.</w:t>
      </w:r>
    </w:p>
  </w:footnote>
  <w:footnote w:id="15">
    <w:p w14:paraId="49BAB145" w14:textId="77777777" w:rsidR="00377989" w:rsidRPr="00CC6663" w:rsidRDefault="00377989" w:rsidP="004B7622">
      <w:pPr>
        <w:pStyle w:val="Sprotnaopomba-besedilo"/>
        <w:spacing w:line="240" w:lineRule="auto"/>
        <w:jc w:val="both"/>
        <w:rPr>
          <w:sz w:val="16"/>
          <w:szCs w:val="16"/>
        </w:rPr>
      </w:pPr>
      <w:r w:rsidRPr="00B72BD3">
        <w:rPr>
          <w:rStyle w:val="Sprotnaopomba-sklic"/>
          <w:sz w:val="18"/>
          <w:szCs w:val="18"/>
        </w:rPr>
        <w:footnoteRef/>
      </w:r>
      <w:r w:rsidRPr="00B72BD3">
        <w:rPr>
          <w:sz w:val="18"/>
          <w:szCs w:val="18"/>
        </w:rPr>
        <w:t xml:space="preserve"> </w:t>
      </w:r>
      <w:r w:rsidRPr="00CC6663">
        <w:rPr>
          <w:sz w:val="16"/>
          <w:szCs w:val="16"/>
        </w:rPr>
        <w:t xml:space="preserve">V skladu s 5. členom Zakona o finančnem poslovanju, postopkih zaradi insolventnosti in prisilnem prenehanju </w:t>
      </w:r>
      <w:r w:rsidRPr="00CC6663">
        <w:rPr>
          <w:rFonts w:cs="Arial"/>
          <w:sz w:val="16"/>
          <w:szCs w:val="16"/>
          <w:shd w:val="clear" w:color="auto" w:fill="FFFFFF"/>
        </w:rPr>
        <w:t>(Uradni list RS, št. </w:t>
      </w:r>
      <w:hyperlink r:id="rId9" w:tgtFrame="_blank" w:tooltip="Zakon o finančnem poslovanju, postopkih zaradi insolventnosti in prisilnem prenehanju (uradno prečiščeno besedilo)" w:history="1">
        <w:r w:rsidRPr="00CC6663">
          <w:rPr>
            <w:rStyle w:val="Hiperpovezava"/>
            <w:rFonts w:cs="Arial"/>
            <w:color w:val="auto"/>
            <w:sz w:val="16"/>
            <w:szCs w:val="16"/>
            <w:u w:val="none"/>
            <w:shd w:val="clear" w:color="auto" w:fill="FFFFFF"/>
          </w:rPr>
          <w:t>176/21</w:t>
        </w:r>
      </w:hyperlink>
      <w:r w:rsidRPr="00CC6663">
        <w:rPr>
          <w:rFonts w:cs="Arial"/>
          <w:sz w:val="16"/>
          <w:szCs w:val="16"/>
          <w:shd w:val="clear" w:color="auto" w:fill="FFFFFF"/>
        </w:rPr>
        <w:t> – uradno prečiščeno besedilo, </w:t>
      </w:r>
      <w:hyperlink r:id="rId10" w:tgtFrame="_blank" w:tooltip="Popravek Uradnega prečiščenega besedila Zakona o finančnem poslovanju, postopkih zaradi insolventnosti in prisilnem prenehanju (ZFPPIPP-UPB17)" w:history="1">
        <w:r w:rsidRPr="00CC6663">
          <w:rPr>
            <w:rStyle w:val="Hiperpovezava"/>
            <w:rFonts w:cs="Arial"/>
            <w:color w:val="auto"/>
            <w:sz w:val="16"/>
            <w:szCs w:val="16"/>
            <w:u w:val="none"/>
            <w:shd w:val="clear" w:color="auto" w:fill="FFFFFF"/>
          </w:rPr>
          <w:t xml:space="preserve">178/21 – </w:t>
        </w:r>
        <w:proofErr w:type="spellStart"/>
        <w:r w:rsidRPr="00CC6663">
          <w:rPr>
            <w:rStyle w:val="Hiperpovezava"/>
            <w:rFonts w:cs="Arial"/>
            <w:color w:val="auto"/>
            <w:sz w:val="16"/>
            <w:szCs w:val="16"/>
            <w:u w:val="none"/>
            <w:shd w:val="clear" w:color="auto" w:fill="FFFFFF"/>
          </w:rPr>
          <w:t>popr</w:t>
        </w:r>
        <w:proofErr w:type="spellEnd"/>
        <w:r w:rsidRPr="00CC6663">
          <w:rPr>
            <w:rStyle w:val="Hiperpovezava"/>
            <w:rFonts w:cs="Arial"/>
            <w:color w:val="auto"/>
            <w:sz w:val="16"/>
            <w:szCs w:val="16"/>
            <w:u w:val="none"/>
            <w:shd w:val="clear" w:color="auto" w:fill="FFFFFF"/>
          </w:rPr>
          <w:t>.</w:t>
        </w:r>
      </w:hyperlink>
      <w:r w:rsidRPr="00CC6663">
        <w:rPr>
          <w:rFonts w:cs="Arial"/>
          <w:sz w:val="16"/>
          <w:szCs w:val="16"/>
          <w:shd w:val="clear" w:color="auto" w:fill="FFFFFF"/>
        </w:rPr>
        <w:t> in </w:t>
      </w:r>
      <w:hyperlink r:id="rId11" w:tgtFrame="_blank" w:tooltip="Odločba o delni razveljavitvi drugega odstavka 34. člena Zakona o spremembah in dopolnitvah Zakona o finančnem poslovanju, postopkih zaradi insolventnosti in prisilnem prenehanju" w:history="1">
        <w:r w:rsidRPr="00CC6663">
          <w:rPr>
            <w:rStyle w:val="Hiperpovezava"/>
            <w:rFonts w:cs="Arial"/>
            <w:color w:val="auto"/>
            <w:sz w:val="16"/>
            <w:szCs w:val="16"/>
            <w:u w:val="none"/>
            <w:shd w:val="clear" w:color="auto" w:fill="FFFFFF"/>
          </w:rPr>
          <w:t>196/21</w:t>
        </w:r>
      </w:hyperlink>
      <w:r w:rsidRPr="00CC6663">
        <w:rPr>
          <w:rFonts w:cs="Arial"/>
          <w:sz w:val="16"/>
          <w:szCs w:val="16"/>
          <w:shd w:val="clear" w:color="auto" w:fill="FFFFFF"/>
        </w:rPr>
        <w:t xml:space="preserve"> – </w:t>
      </w:r>
      <w:proofErr w:type="spellStart"/>
      <w:r w:rsidRPr="00CC6663">
        <w:rPr>
          <w:rFonts w:cs="Arial"/>
          <w:sz w:val="16"/>
          <w:szCs w:val="16"/>
          <w:shd w:val="clear" w:color="auto" w:fill="FFFFFF"/>
        </w:rPr>
        <w:t>odl</w:t>
      </w:r>
      <w:proofErr w:type="spellEnd"/>
      <w:r w:rsidRPr="00CC6663">
        <w:rPr>
          <w:rFonts w:cs="Arial"/>
          <w:sz w:val="16"/>
          <w:szCs w:val="16"/>
          <w:shd w:val="clear" w:color="auto" w:fill="FFFFFF"/>
        </w:rPr>
        <w:t>. US)</w:t>
      </w:r>
      <w:r w:rsidRPr="00CC6663">
        <w:rPr>
          <w:rFonts w:cs="Arial"/>
          <w:b/>
          <w:bCs/>
          <w:sz w:val="16"/>
          <w:szCs w:val="16"/>
          <w:shd w:val="clear" w:color="auto" w:fill="FFFFFF"/>
        </w:rPr>
        <w:t xml:space="preserve"> </w:t>
      </w:r>
      <w:r w:rsidRPr="00CC6663">
        <w:rPr>
          <w:sz w:val="16"/>
          <w:szCs w:val="16"/>
        </w:rPr>
        <w:t>so to: prisilna poravnava, poenostavljena prisilna poravnava, stečajni postopek nad pravno osebo, postopek osebnega stečaja in postopek stečaja zapuščine.</w:t>
      </w:r>
    </w:p>
  </w:footnote>
  <w:footnote w:id="16">
    <w:p w14:paraId="1A2F6E06" w14:textId="3005097B" w:rsidR="00377989" w:rsidRPr="00CC6663" w:rsidRDefault="00377989" w:rsidP="004B7622">
      <w:pPr>
        <w:pStyle w:val="Sprotnaopomba-besedilo"/>
        <w:rPr>
          <w:sz w:val="16"/>
          <w:szCs w:val="16"/>
        </w:rPr>
      </w:pPr>
      <w:r w:rsidRPr="00CC6663">
        <w:rPr>
          <w:rStyle w:val="Sprotnaopomba-sklic"/>
          <w:sz w:val="16"/>
          <w:szCs w:val="16"/>
        </w:rPr>
        <w:footnoteRef/>
      </w:r>
      <w:r w:rsidRPr="00CC6663">
        <w:rPr>
          <w:sz w:val="16"/>
          <w:szCs w:val="16"/>
        </w:rPr>
        <w:t xml:space="preserve"> Vir: Ministrstvo za pravosodje, Direktorat za civilno pravo: Podatki o </w:t>
      </w:r>
      <w:proofErr w:type="spellStart"/>
      <w:r w:rsidRPr="00CC6663">
        <w:rPr>
          <w:sz w:val="16"/>
          <w:szCs w:val="16"/>
        </w:rPr>
        <w:t>insolvečnih</w:t>
      </w:r>
      <w:proofErr w:type="spellEnd"/>
      <w:r w:rsidRPr="00CC6663">
        <w:rPr>
          <w:sz w:val="16"/>
          <w:szCs w:val="16"/>
        </w:rPr>
        <w:t xml:space="preserve"> postopkih, ki jih vodijo sodišča v RS.</w:t>
      </w:r>
    </w:p>
  </w:footnote>
  <w:footnote w:id="17">
    <w:p w14:paraId="289C9A5F" w14:textId="77777777" w:rsidR="00377989" w:rsidRDefault="00377989" w:rsidP="004B7622">
      <w:pPr>
        <w:pStyle w:val="Sprotnaopomba-besedilo"/>
        <w:spacing w:line="240" w:lineRule="auto"/>
        <w:jc w:val="both"/>
      </w:pPr>
      <w:r>
        <w:rPr>
          <w:rStyle w:val="Sprotnaopomba-sklic"/>
        </w:rPr>
        <w:footnoteRef/>
      </w:r>
      <w:r>
        <w:t xml:space="preserve"> </w:t>
      </w:r>
      <w:r w:rsidRPr="009A30F2">
        <w:rPr>
          <w:sz w:val="16"/>
          <w:szCs w:val="16"/>
        </w:rPr>
        <w:t>Ostalo vključuje terjatve po ureditvi mini VEM iz dela DDV, ki se izterjuje za tuje prejemnike v skladu s posebno ureditvijo za davčne zavezance, ki nimajo sedeža in opravljajo telekomunikacijske storitve, storitve oddajanja ali elektronske storitve osebam, ki niso davčni zavezanci</w:t>
      </w:r>
      <w:r>
        <w:rPr>
          <w:sz w:val="16"/>
          <w:szCs w:val="16"/>
        </w:rPr>
        <w:t>.</w:t>
      </w:r>
    </w:p>
  </w:footnote>
  <w:footnote w:id="18">
    <w:p w14:paraId="1ADAFF36" w14:textId="77777777" w:rsidR="00377989" w:rsidRPr="00FB57B6" w:rsidRDefault="00377989" w:rsidP="004B7622">
      <w:pPr>
        <w:pStyle w:val="Sprotnaopomba-besedilo"/>
        <w:spacing w:line="240" w:lineRule="auto"/>
        <w:jc w:val="both"/>
        <w:rPr>
          <w:sz w:val="16"/>
          <w:szCs w:val="16"/>
        </w:rPr>
      </w:pPr>
      <w:r w:rsidRPr="00FB57B6">
        <w:rPr>
          <w:rStyle w:val="Sprotnaopomba-sklic"/>
          <w:sz w:val="16"/>
          <w:szCs w:val="16"/>
        </w:rPr>
        <w:footnoteRef/>
      </w:r>
      <w:r w:rsidRPr="00FB57B6">
        <w:rPr>
          <w:sz w:val="16"/>
          <w:szCs w:val="16"/>
        </w:rPr>
        <w:t xml:space="preserve"> V skupino nedavčnih prihodkov sodijo prihodki iz udeležbe pri dobičku in dohodku od premoženja, takse in pristojbine, denarne kazni in drugi nedavčni prihodki.</w:t>
      </w:r>
    </w:p>
    <w:p w14:paraId="5E7D8625" w14:textId="77777777" w:rsidR="00377989" w:rsidRPr="00FB57B6" w:rsidRDefault="00377989" w:rsidP="004B7622">
      <w:pPr>
        <w:pStyle w:val="Sprotnaopomba-besedilo"/>
        <w:spacing w:line="240" w:lineRule="auto"/>
        <w:jc w:val="both"/>
        <w:rPr>
          <w:sz w:val="16"/>
          <w:szCs w:val="16"/>
        </w:rPr>
      </w:pPr>
    </w:p>
    <w:p w14:paraId="109016E1" w14:textId="77777777" w:rsidR="00377989" w:rsidRDefault="00377989" w:rsidP="004B7622">
      <w:pPr>
        <w:pStyle w:val="Sprotnaopomba-besedilo"/>
        <w:spacing w:line="240" w:lineRule="auto"/>
        <w:rPr>
          <w:sz w:val="16"/>
          <w:szCs w:val="16"/>
        </w:rPr>
      </w:pPr>
    </w:p>
    <w:p w14:paraId="02CA7CA0" w14:textId="77777777" w:rsidR="00377989" w:rsidRDefault="00377989" w:rsidP="004B7622">
      <w:pPr>
        <w:pStyle w:val="Sprotnaopomba-besedilo"/>
        <w:spacing w:line="240" w:lineRule="auto"/>
        <w:rPr>
          <w:sz w:val="16"/>
          <w:szCs w:val="16"/>
        </w:rPr>
      </w:pPr>
    </w:p>
    <w:p w14:paraId="2D1BB329" w14:textId="77777777" w:rsidR="00377989" w:rsidRPr="007C1B99" w:rsidRDefault="00377989" w:rsidP="004B7622">
      <w:pPr>
        <w:pStyle w:val="Sprotnaopomba-besedilo"/>
        <w:spacing w:line="240" w:lineRule="auto"/>
        <w:rPr>
          <w:sz w:val="16"/>
          <w:szCs w:val="16"/>
        </w:rPr>
      </w:pPr>
    </w:p>
  </w:footnote>
  <w:footnote w:id="19">
    <w:p w14:paraId="1AB4E5BE" w14:textId="77777777" w:rsidR="00377989" w:rsidRPr="002F2179" w:rsidRDefault="00377989" w:rsidP="004B7622">
      <w:pPr>
        <w:pStyle w:val="Brezrazmikov"/>
        <w:rPr>
          <w:rFonts w:ascii="Arial" w:hAnsi="Arial" w:cs="Arial"/>
          <w:color w:val="C00000"/>
          <w:sz w:val="16"/>
          <w:szCs w:val="16"/>
        </w:rPr>
      </w:pPr>
      <w:r>
        <w:rPr>
          <w:rStyle w:val="Sprotnaopomba-sklic"/>
        </w:rPr>
        <w:footnoteRef/>
      </w:r>
      <w:r>
        <w:t xml:space="preserve"> </w:t>
      </w:r>
      <w:r w:rsidRPr="00FC4EFE">
        <w:rPr>
          <w:rFonts w:ascii="Arial" w:hAnsi="Arial" w:cs="Arial"/>
          <w:sz w:val="16"/>
          <w:szCs w:val="16"/>
        </w:rPr>
        <w:t>Uradni list RS, št. 141/06, 46/07, 102/07, 28/09, 101/11, 24/12, 32/12 – ZDavP-2E, 19/13, 45/14, 97/14, 39/15, 40/16, 85/16, 30/17, 13/18-ZJF-H, 37/18, 43/19 in 80/19, 106/</w:t>
      </w:r>
      <w:r w:rsidRPr="001D1E58">
        <w:rPr>
          <w:rFonts w:ascii="Arial" w:hAnsi="Arial" w:cs="Arial"/>
          <w:sz w:val="16"/>
          <w:szCs w:val="16"/>
        </w:rPr>
        <w:t>20, 200/20, 135/21 in 43/22).</w:t>
      </w:r>
    </w:p>
  </w:footnote>
  <w:footnote w:id="20">
    <w:p w14:paraId="28DE7D32" w14:textId="77777777" w:rsidR="00377989" w:rsidRPr="001D1E58" w:rsidRDefault="00377989" w:rsidP="004B7622">
      <w:pPr>
        <w:pStyle w:val="Sprotnaopomba-besedilo"/>
        <w:rPr>
          <w:sz w:val="16"/>
          <w:szCs w:val="16"/>
        </w:rPr>
      </w:pPr>
      <w:r w:rsidRPr="001D1E58">
        <w:rPr>
          <w:rStyle w:val="Sprotnaopomba-sklic"/>
        </w:rPr>
        <w:footnoteRef/>
      </w:r>
      <w:r w:rsidRPr="001D1E58">
        <w:t xml:space="preserve"> </w:t>
      </w:r>
      <w:r w:rsidRPr="001D1E58">
        <w:rPr>
          <w:sz w:val="16"/>
          <w:szCs w:val="16"/>
        </w:rPr>
        <w:t xml:space="preserve">Uradni list RS, št. 152/20, 175/20 – ZIUOPDVE, 82/21 – ZNB-C, 112/21 – ZNUPZ, 167/21 – </w:t>
      </w:r>
      <w:proofErr w:type="spellStart"/>
      <w:r w:rsidRPr="001D1E58">
        <w:rPr>
          <w:sz w:val="16"/>
          <w:szCs w:val="16"/>
        </w:rPr>
        <w:t>odl</w:t>
      </w:r>
      <w:proofErr w:type="spellEnd"/>
      <w:r w:rsidRPr="001D1E58">
        <w:rPr>
          <w:sz w:val="16"/>
          <w:szCs w:val="16"/>
        </w:rPr>
        <w:t>. US in 206/21 – ZDUPŠOP</w:t>
      </w:r>
    </w:p>
  </w:footnote>
  <w:footnote w:id="21">
    <w:p w14:paraId="7A75B277" w14:textId="77777777" w:rsidR="00377989" w:rsidRPr="001D1E58" w:rsidRDefault="00377989" w:rsidP="004B7622">
      <w:pPr>
        <w:pStyle w:val="Sprotnaopomba-besedilo"/>
        <w:rPr>
          <w:sz w:val="16"/>
          <w:szCs w:val="16"/>
        </w:rPr>
      </w:pPr>
      <w:r w:rsidRPr="001D1E58">
        <w:rPr>
          <w:rStyle w:val="Sprotnaopomba-sklic"/>
        </w:rPr>
        <w:footnoteRef/>
      </w:r>
      <w:r w:rsidRPr="001D1E58">
        <w:t xml:space="preserve"> </w:t>
      </w:r>
      <w:r w:rsidRPr="001D1E58">
        <w:rPr>
          <w:sz w:val="16"/>
          <w:szCs w:val="16"/>
        </w:rPr>
        <w:t>Uradni list RS, št. 15/21, 112/21 – ZNUPZ in 206/21 – ZDUPŠOP</w:t>
      </w:r>
    </w:p>
  </w:footnote>
  <w:footnote w:id="22">
    <w:p w14:paraId="104C6E21" w14:textId="77777777" w:rsidR="00377989" w:rsidRPr="001D1E58" w:rsidRDefault="00377989" w:rsidP="004B7622">
      <w:pPr>
        <w:pStyle w:val="Sprotnaopomba-besedilo"/>
        <w:rPr>
          <w:sz w:val="16"/>
          <w:szCs w:val="16"/>
        </w:rPr>
      </w:pPr>
      <w:r w:rsidRPr="001D1E58">
        <w:rPr>
          <w:rStyle w:val="Sprotnaopomba-sklic"/>
        </w:rPr>
        <w:footnoteRef/>
      </w:r>
      <w:r w:rsidRPr="001D1E58">
        <w:t xml:space="preserve"> </w:t>
      </w:r>
      <w:r w:rsidRPr="001D1E58">
        <w:rPr>
          <w:sz w:val="16"/>
          <w:szCs w:val="16"/>
        </w:rPr>
        <w:t>Uradni list RS, št. 112/21 in 187/21 – ZIPRS2223</w:t>
      </w:r>
    </w:p>
  </w:footnote>
  <w:footnote w:id="23">
    <w:p w14:paraId="5F2994DE" w14:textId="77777777" w:rsidR="00377989" w:rsidRDefault="00377989" w:rsidP="004B7622">
      <w:pPr>
        <w:pStyle w:val="Sprotnaopomba-besedilo"/>
        <w:rPr>
          <w:sz w:val="16"/>
          <w:szCs w:val="16"/>
        </w:rPr>
      </w:pPr>
      <w:r>
        <w:rPr>
          <w:rStyle w:val="Sprotnaopomba-sklic"/>
        </w:rPr>
        <w:footnoteRef/>
      </w:r>
      <w:r>
        <w:t xml:space="preserve"> </w:t>
      </w:r>
      <w:r>
        <w:rPr>
          <w:sz w:val="16"/>
          <w:szCs w:val="16"/>
        </w:rPr>
        <w:t xml:space="preserve">Za nekatere obvezne dajatve je vzpostavljeno tudi merjenje davčnega razkoraka - </w:t>
      </w:r>
      <w:hyperlink r:id="rId12" w:history="1">
        <w:r w:rsidRPr="00725469">
          <w:rPr>
            <w:rStyle w:val="Hiperpovezava"/>
            <w:sz w:val="16"/>
            <w:szCs w:val="16"/>
          </w:rPr>
          <w:t>https://ec.europa.eu/taxation_customs/business/tax-cooperation-control/vat-gap_en</w:t>
        </w:r>
      </w:hyperlink>
    </w:p>
    <w:p w14:paraId="59410148" w14:textId="77777777" w:rsidR="00377989" w:rsidRPr="00E6223C" w:rsidRDefault="00377989" w:rsidP="004B7622">
      <w:pPr>
        <w:pStyle w:val="Sprotnaopomba-besedilo"/>
        <w:rPr>
          <w:sz w:val="16"/>
          <w:szCs w:val="16"/>
        </w:rPr>
      </w:pPr>
      <w:r>
        <w:rPr>
          <w:sz w:val="16"/>
          <w:szCs w:val="16"/>
        </w:rPr>
        <w:t xml:space="preserve"> </w:t>
      </w:r>
    </w:p>
  </w:footnote>
  <w:footnote w:id="24">
    <w:p w14:paraId="2DDB11EE" w14:textId="77777777" w:rsidR="00377989" w:rsidRDefault="00377989" w:rsidP="004B7622">
      <w:pPr>
        <w:pStyle w:val="Sprotnaopomba-besedilo"/>
      </w:pPr>
      <w:r>
        <w:rPr>
          <w:rStyle w:val="Sprotnaopomba-sklic"/>
        </w:rPr>
        <w:footnoteRef/>
      </w:r>
      <w:r>
        <w:t xml:space="preserve"> </w:t>
      </w:r>
      <w:hyperlink r:id="rId13" w:history="1">
        <w:r w:rsidRPr="0060289F">
          <w:rPr>
            <w:rStyle w:val="Hiperpovezava"/>
            <w:sz w:val="18"/>
            <w:szCs w:val="18"/>
          </w:rPr>
          <w:t>https://www.fu.gov.si/drugo/posebna_podrocja/novi_podjetniki/</w:t>
        </w:r>
      </w:hyperlink>
    </w:p>
  </w:footnote>
  <w:footnote w:id="25">
    <w:p w14:paraId="484BAB15" w14:textId="77777777" w:rsidR="00377989" w:rsidRPr="00A600D7" w:rsidRDefault="00377989" w:rsidP="004B7622">
      <w:pPr>
        <w:pStyle w:val="Sprotnaopomba-besedilo"/>
        <w:spacing w:line="276" w:lineRule="auto"/>
        <w:jc w:val="both"/>
        <w:rPr>
          <w:sz w:val="16"/>
          <w:szCs w:val="16"/>
        </w:rPr>
      </w:pPr>
      <w:r>
        <w:rPr>
          <w:rStyle w:val="Sprotnaopomba-sklic"/>
        </w:rPr>
        <w:footnoteRef/>
      </w:r>
      <w:r>
        <w:t xml:space="preserve"> </w:t>
      </w:r>
      <w:r w:rsidRPr="00A600D7">
        <w:rPr>
          <w:sz w:val="16"/>
          <w:szCs w:val="16"/>
        </w:rPr>
        <w:t xml:space="preserve">Zaradi interventnih ukrepov za blažitev posledic epidemije bolezni COVID-19, ki so vplivale na plačilo prispevkov za socialno varnost obračunanih z obračunom prispevkov za socialno varnost (zavezanci so bili lahko oproščeni plačila ali pa jim je plačilo odloženo) je bilo v letu 2020 izdanih manj </w:t>
      </w:r>
      <w:proofErr w:type="spellStart"/>
      <w:r w:rsidRPr="00A600D7">
        <w:rPr>
          <w:sz w:val="16"/>
          <w:szCs w:val="16"/>
        </w:rPr>
        <w:t>eRačunov</w:t>
      </w:r>
      <w:proofErr w:type="spellEnd"/>
      <w:r w:rsidRPr="00A600D7">
        <w:rPr>
          <w:sz w:val="16"/>
          <w:szCs w:val="16"/>
        </w:rPr>
        <w:t xml:space="preserve"> kot jih je sicer izdanih samozaposlenim in kmetom</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802D4" w14:textId="77777777" w:rsidR="00377989" w:rsidRPr="008F3500" w:rsidRDefault="00377989" w:rsidP="00E455F9">
    <w:pPr>
      <w:pStyle w:val="Glava"/>
      <w:tabs>
        <w:tab w:val="clear" w:pos="4320"/>
        <w:tab w:val="clear" w:pos="8640"/>
        <w:tab w:val="left" w:pos="5112"/>
      </w:tabs>
      <w:spacing w:line="240" w:lineRule="exact"/>
      <w:rPr>
        <w:rFonts w:cs="Arial"/>
        <w:sz w:val="16"/>
      </w:rPr>
    </w:pPr>
    <w:r w:rsidRPr="008F3500">
      <w:rPr>
        <w:rFonts w:cs="Arial"/>
        <w:sz w:val="16"/>
      </w:rPr>
      <w:tab/>
    </w:r>
  </w:p>
  <w:p w14:paraId="7BB16943" w14:textId="77777777" w:rsidR="00377989" w:rsidRPr="008F3500" w:rsidRDefault="00377989" w:rsidP="00E455F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A5A"/>
    <w:multiLevelType w:val="hybridMultilevel"/>
    <w:tmpl w:val="359890A4"/>
    <w:lvl w:ilvl="0" w:tplc="04240001">
      <w:start w:val="1"/>
      <w:numFmt w:val="bullet"/>
      <w:lvlText w:val=""/>
      <w:lvlJc w:val="left"/>
      <w:pPr>
        <w:ind w:left="720" w:hanging="360"/>
      </w:pPr>
      <w:rPr>
        <w:rFonts w:ascii="Symbol" w:hAnsi="Symbol" w:hint="default"/>
      </w:rPr>
    </w:lvl>
    <w:lvl w:ilvl="1" w:tplc="226E4734">
      <w:start w:val="1"/>
      <w:numFmt w:val="bullet"/>
      <w:lvlText w:val=""/>
      <w:lvlJc w:val="left"/>
      <w:pPr>
        <w:ind w:left="36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A24585"/>
    <w:multiLevelType w:val="hybridMultilevel"/>
    <w:tmpl w:val="52BA02E0"/>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F10DB8"/>
    <w:multiLevelType w:val="hybridMultilevel"/>
    <w:tmpl w:val="13AC2F4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E1247D"/>
    <w:multiLevelType w:val="hybridMultilevel"/>
    <w:tmpl w:val="EF682A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356F8E"/>
    <w:multiLevelType w:val="hybridMultilevel"/>
    <w:tmpl w:val="1716E57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8"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9"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43426DCA"/>
    <w:multiLevelType w:val="hybridMultilevel"/>
    <w:tmpl w:val="353ED5F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7CC33E0"/>
    <w:multiLevelType w:val="hybridMultilevel"/>
    <w:tmpl w:val="B6DCADA6"/>
    <w:lvl w:ilvl="0" w:tplc="427883A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693218"/>
    <w:multiLevelType w:val="hybridMultilevel"/>
    <w:tmpl w:val="F49485F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3932012"/>
    <w:multiLevelType w:val="hybridMultilevel"/>
    <w:tmpl w:val="F83EFFA2"/>
    <w:lvl w:ilvl="0" w:tplc="B050982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F2A42A9"/>
    <w:multiLevelType w:val="hybridMultilevel"/>
    <w:tmpl w:val="FFDE904A"/>
    <w:lvl w:ilvl="0" w:tplc="1098D4D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1"/>
  </w:num>
  <w:num w:numId="5">
    <w:abstractNumId w:val="8"/>
    <w:lvlOverride w:ilvl="0">
      <w:startOverride w:val="1"/>
    </w:lvlOverride>
  </w:num>
  <w:num w:numId="6">
    <w:abstractNumId w:val="3"/>
  </w:num>
  <w:num w:numId="7">
    <w:abstractNumId w:val="13"/>
  </w:num>
  <w:num w:numId="8">
    <w:abstractNumId w:val="4"/>
  </w:num>
  <w:num w:numId="9">
    <w:abstractNumId w:val="12"/>
  </w:num>
  <w:num w:numId="10">
    <w:abstractNumId w:val="14"/>
  </w:num>
  <w:num w:numId="11">
    <w:abstractNumId w:val="11"/>
  </w:num>
  <w:num w:numId="12">
    <w:abstractNumId w:val="0"/>
  </w:num>
  <w:num w:numId="13">
    <w:abstractNumId w:val="15"/>
  </w:num>
  <w:num w:numId="14">
    <w:abstractNumId w:val="2"/>
  </w:num>
  <w:num w:numId="15">
    <w:abstractNumId w:val="5"/>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GrammaticalErrors/>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ED0"/>
    <w:rsid w:val="0000025D"/>
    <w:rsid w:val="00001AC8"/>
    <w:rsid w:val="00003FC6"/>
    <w:rsid w:val="000048AE"/>
    <w:rsid w:val="0000564D"/>
    <w:rsid w:val="00005A0D"/>
    <w:rsid w:val="0000724E"/>
    <w:rsid w:val="00007C66"/>
    <w:rsid w:val="0001186D"/>
    <w:rsid w:val="000205D3"/>
    <w:rsid w:val="00021556"/>
    <w:rsid w:val="000222C3"/>
    <w:rsid w:val="00022E75"/>
    <w:rsid w:val="00023048"/>
    <w:rsid w:val="0002387C"/>
    <w:rsid w:val="000256F3"/>
    <w:rsid w:val="00030A61"/>
    <w:rsid w:val="00030D1F"/>
    <w:rsid w:val="00031A57"/>
    <w:rsid w:val="0003508C"/>
    <w:rsid w:val="0003652D"/>
    <w:rsid w:val="00036C76"/>
    <w:rsid w:val="00037648"/>
    <w:rsid w:val="0004007C"/>
    <w:rsid w:val="00042B7A"/>
    <w:rsid w:val="0004560E"/>
    <w:rsid w:val="00046811"/>
    <w:rsid w:val="000476E0"/>
    <w:rsid w:val="00050422"/>
    <w:rsid w:val="00051F65"/>
    <w:rsid w:val="000538F6"/>
    <w:rsid w:val="00053982"/>
    <w:rsid w:val="00054F5D"/>
    <w:rsid w:val="00055D95"/>
    <w:rsid w:val="00057051"/>
    <w:rsid w:val="000609E0"/>
    <w:rsid w:val="000614EE"/>
    <w:rsid w:val="00064AFA"/>
    <w:rsid w:val="000657C7"/>
    <w:rsid w:val="00065CE4"/>
    <w:rsid w:val="00067A62"/>
    <w:rsid w:val="00072A4E"/>
    <w:rsid w:val="000751E0"/>
    <w:rsid w:val="0007574B"/>
    <w:rsid w:val="00075D84"/>
    <w:rsid w:val="00077BD7"/>
    <w:rsid w:val="00077F64"/>
    <w:rsid w:val="0008018C"/>
    <w:rsid w:val="00081276"/>
    <w:rsid w:val="000812C4"/>
    <w:rsid w:val="0008175E"/>
    <w:rsid w:val="000859A7"/>
    <w:rsid w:val="00087025"/>
    <w:rsid w:val="000873DA"/>
    <w:rsid w:val="00091B95"/>
    <w:rsid w:val="00094011"/>
    <w:rsid w:val="00094375"/>
    <w:rsid w:val="00094AC1"/>
    <w:rsid w:val="000957A3"/>
    <w:rsid w:val="00095A38"/>
    <w:rsid w:val="000969F6"/>
    <w:rsid w:val="000A0E23"/>
    <w:rsid w:val="000A15CE"/>
    <w:rsid w:val="000A176C"/>
    <w:rsid w:val="000A5A71"/>
    <w:rsid w:val="000A6C47"/>
    <w:rsid w:val="000B0DFA"/>
    <w:rsid w:val="000B4A4A"/>
    <w:rsid w:val="000B6905"/>
    <w:rsid w:val="000C30F9"/>
    <w:rsid w:val="000C3981"/>
    <w:rsid w:val="000C4824"/>
    <w:rsid w:val="000C6021"/>
    <w:rsid w:val="000D1C23"/>
    <w:rsid w:val="000D2866"/>
    <w:rsid w:val="000D2BD9"/>
    <w:rsid w:val="000E1CDD"/>
    <w:rsid w:val="000E1F2A"/>
    <w:rsid w:val="000E2723"/>
    <w:rsid w:val="000E4056"/>
    <w:rsid w:val="000E5ECF"/>
    <w:rsid w:val="000E79F8"/>
    <w:rsid w:val="000F1B79"/>
    <w:rsid w:val="000F2899"/>
    <w:rsid w:val="000F3BE0"/>
    <w:rsid w:val="000F3EA8"/>
    <w:rsid w:val="000F576F"/>
    <w:rsid w:val="000F6C22"/>
    <w:rsid w:val="000F7FD5"/>
    <w:rsid w:val="0010455A"/>
    <w:rsid w:val="001045B7"/>
    <w:rsid w:val="001049A8"/>
    <w:rsid w:val="00105FDB"/>
    <w:rsid w:val="001072CB"/>
    <w:rsid w:val="00107ED0"/>
    <w:rsid w:val="001104C6"/>
    <w:rsid w:val="001111CB"/>
    <w:rsid w:val="001120AC"/>
    <w:rsid w:val="00112112"/>
    <w:rsid w:val="00112750"/>
    <w:rsid w:val="0011326F"/>
    <w:rsid w:val="00114201"/>
    <w:rsid w:val="00116A0C"/>
    <w:rsid w:val="0011735D"/>
    <w:rsid w:val="00117FCD"/>
    <w:rsid w:val="001205D9"/>
    <w:rsid w:val="00121083"/>
    <w:rsid w:val="00122C86"/>
    <w:rsid w:val="00124C2B"/>
    <w:rsid w:val="00132540"/>
    <w:rsid w:val="00132DC7"/>
    <w:rsid w:val="001336C0"/>
    <w:rsid w:val="001358B5"/>
    <w:rsid w:val="001364F1"/>
    <w:rsid w:val="00136DED"/>
    <w:rsid w:val="00137967"/>
    <w:rsid w:val="001427DA"/>
    <w:rsid w:val="00142E7F"/>
    <w:rsid w:val="0014643B"/>
    <w:rsid w:val="00147C34"/>
    <w:rsid w:val="00147EE1"/>
    <w:rsid w:val="00150A7F"/>
    <w:rsid w:val="001521D1"/>
    <w:rsid w:val="00154D3C"/>
    <w:rsid w:val="00156AB3"/>
    <w:rsid w:val="00157855"/>
    <w:rsid w:val="00160F67"/>
    <w:rsid w:val="001611AF"/>
    <w:rsid w:val="001624F3"/>
    <w:rsid w:val="00162D15"/>
    <w:rsid w:val="00163595"/>
    <w:rsid w:val="001644CD"/>
    <w:rsid w:val="00164DD8"/>
    <w:rsid w:val="00165762"/>
    <w:rsid w:val="00167099"/>
    <w:rsid w:val="00170E35"/>
    <w:rsid w:val="001715DF"/>
    <w:rsid w:val="0017456E"/>
    <w:rsid w:val="0017511D"/>
    <w:rsid w:val="001756EC"/>
    <w:rsid w:val="00177C3E"/>
    <w:rsid w:val="00181A00"/>
    <w:rsid w:val="00183C14"/>
    <w:rsid w:val="00186022"/>
    <w:rsid w:val="00186788"/>
    <w:rsid w:val="00187951"/>
    <w:rsid w:val="00190B7C"/>
    <w:rsid w:val="00191D86"/>
    <w:rsid w:val="00194B09"/>
    <w:rsid w:val="001950B2"/>
    <w:rsid w:val="00196A8B"/>
    <w:rsid w:val="00196FAF"/>
    <w:rsid w:val="001971C7"/>
    <w:rsid w:val="001A0016"/>
    <w:rsid w:val="001A124A"/>
    <w:rsid w:val="001A4BA8"/>
    <w:rsid w:val="001A59E7"/>
    <w:rsid w:val="001B0C4B"/>
    <w:rsid w:val="001B0DF7"/>
    <w:rsid w:val="001B1001"/>
    <w:rsid w:val="001B223E"/>
    <w:rsid w:val="001B4FC5"/>
    <w:rsid w:val="001B5B7E"/>
    <w:rsid w:val="001B5C4C"/>
    <w:rsid w:val="001B6096"/>
    <w:rsid w:val="001B6A79"/>
    <w:rsid w:val="001B7B64"/>
    <w:rsid w:val="001C0E44"/>
    <w:rsid w:val="001C0F36"/>
    <w:rsid w:val="001C1FE9"/>
    <w:rsid w:val="001C3D07"/>
    <w:rsid w:val="001C6BF0"/>
    <w:rsid w:val="001C7084"/>
    <w:rsid w:val="001D0979"/>
    <w:rsid w:val="001D275B"/>
    <w:rsid w:val="001D47AA"/>
    <w:rsid w:val="001D68A6"/>
    <w:rsid w:val="001D69E0"/>
    <w:rsid w:val="001D6AF3"/>
    <w:rsid w:val="001D7214"/>
    <w:rsid w:val="001E002A"/>
    <w:rsid w:val="001E020B"/>
    <w:rsid w:val="001E064B"/>
    <w:rsid w:val="001E1363"/>
    <w:rsid w:val="001E3382"/>
    <w:rsid w:val="001E3570"/>
    <w:rsid w:val="001E4489"/>
    <w:rsid w:val="001E5751"/>
    <w:rsid w:val="001E6093"/>
    <w:rsid w:val="001E655C"/>
    <w:rsid w:val="001E6744"/>
    <w:rsid w:val="001E72E0"/>
    <w:rsid w:val="001E7388"/>
    <w:rsid w:val="001E7A5C"/>
    <w:rsid w:val="001F02A7"/>
    <w:rsid w:val="001F03C0"/>
    <w:rsid w:val="001F32B3"/>
    <w:rsid w:val="001F7BF1"/>
    <w:rsid w:val="00203073"/>
    <w:rsid w:val="00203D29"/>
    <w:rsid w:val="00203E72"/>
    <w:rsid w:val="00205BF5"/>
    <w:rsid w:val="00206260"/>
    <w:rsid w:val="00211C5C"/>
    <w:rsid w:val="002151BF"/>
    <w:rsid w:val="00216D4A"/>
    <w:rsid w:val="002177BE"/>
    <w:rsid w:val="0022079E"/>
    <w:rsid w:val="00221B1D"/>
    <w:rsid w:val="00223059"/>
    <w:rsid w:val="0022611F"/>
    <w:rsid w:val="002261A7"/>
    <w:rsid w:val="002274DC"/>
    <w:rsid w:val="0023172B"/>
    <w:rsid w:val="002317DA"/>
    <w:rsid w:val="00233661"/>
    <w:rsid w:val="00233DF4"/>
    <w:rsid w:val="00236B55"/>
    <w:rsid w:val="00237554"/>
    <w:rsid w:val="00237B8D"/>
    <w:rsid w:val="00241FDF"/>
    <w:rsid w:val="00242685"/>
    <w:rsid w:val="0024596E"/>
    <w:rsid w:val="00246005"/>
    <w:rsid w:val="002463CB"/>
    <w:rsid w:val="002464A0"/>
    <w:rsid w:val="00251EE1"/>
    <w:rsid w:val="00252782"/>
    <w:rsid w:val="00253A1F"/>
    <w:rsid w:val="00255F39"/>
    <w:rsid w:val="00256B51"/>
    <w:rsid w:val="00257090"/>
    <w:rsid w:val="00257484"/>
    <w:rsid w:val="00262D67"/>
    <w:rsid w:val="00263109"/>
    <w:rsid w:val="00263B83"/>
    <w:rsid w:val="00265BEE"/>
    <w:rsid w:val="00266C1F"/>
    <w:rsid w:val="00266E72"/>
    <w:rsid w:val="0026700A"/>
    <w:rsid w:val="00267437"/>
    <w:rsid w:val="0027055A"/>
    <w:rsid w:val="002740CE"/>
    <w:rsid w:val="00274E69"/>
    <w:rsid w:val="002758CB"/>
    <w:rsid w:val="0027615B"/>
    <w:rsid w:val="00276742"/>
    <w:rsid w:val="002800BD"/>
    <w:rsid w:val="00282FF3"/>
    <w:rsid w:val="002836B7"/>
    <w:rsid w:val="00287100"/>
    <w:rsid w:val="002871F8"/>
    <w:rsid w:val="00287635"/>
    <w:rsid w:val="002914D9"/>
    <w:rsid w:val="00293C00"/>
    <w:rsid w:val="00293C9F"/>
    <w:rsid w:val="002A0C79"/>
    <w:rsid w:val="002A47C2"/>
    <w:rsid w:val="002A50AD"/>
    <w:rsid w:val="002A61A3"/>
    <w:rsid w:val="002A6C8F"/>
    <w:rsid w:val="002A750C"/>
    <w:rsid w:val="002A7713"/>
    <w:rsid w:val="002B1D0F"/>
    <w:rsid w:val="002B2D9C"/>
    <w:rsid w:val="002B3051"/>
    <w:rsid w:val="002B3653"/>
    <w:rsid w:val="002B5472"/>
    <w:rsid w:val="002B626F"/>
    <w:rsid w:val="002B62BD"/>
    <w:rsid w:val="002B7283"/>
    <w:rsid w:val="002C0730"/>
    <w:rsid w:val="002C0A9B"/>
    <w:rsid w:val="002C53D3"/>
    <w:rsid w:val="002D396B"/>
    <w:rsid w:val="002D4D85"/>
    <w:rsid w:val="002D56BB"/>
    <w:rsid w:val="002D5E91"/>
    <w:rsid w:val="002E07E4"/>
    <w:rsid w:val="002E0995"/>
    <w:rsid w:val="002E2C3B"/>
    <w:rsid w:val="002E4491"/>
    <w:rsid w:val="002E4C94"/>
    <w:rsid w:val="002E5BDF"/>
    <w:rsid w:val="002E6782"/>
    <w:rsid w:val="002E75C2"/>
    <w:rsid w:val="002F13F7"/>
    <w:rsid w:val="002F2236"/>
    <w:rsid w:val="002F3C42"/>
    <w:rsid w:val="002F52C1"/>
    <w:rsid w:val="002F6274"/>
    <w:rsid w:val="002F7B55"/>
    <w:rsid w:val="003034F4"/>
    <w:rsid w:val="003049A8"/>
    <w:rsid w:val="003053F0"/>
    <w:rsid w:val="00305EB8"/>
    <w:rsid w:val="003068B9"/>
    <w:rsid w:val="0031021E"/>
    <w:rsid w:val="00310B0B"/>
    <w:rsid w:val="003117B2"/>
    <w:rsid w:val="0031261F"/>
    <w:rsid w:val="003160ED"/>
    <w:rsid w:val="00316667"/>
    <w:rsid w:val="00317BB4"/>
    <w:rsid w:val="00321175"/>
    <w:rsid w:val="00324D2D"/>
    <w:rsid w:val="00330E7E"/>
    <w:rsid w:val="00330FE1"/>
    <w:rsid w:val="00332359"/>
    <w:rsid w:val="00332A71"/>
    <w:rsid w:val="00332B62"/>
    <w:rsid w:val="003342B3"/>
    <w:rsid w:val="0033561F"/>
    <w:rsid w:val="003359BD"/>
    <w:rsid w:val="00341D2D"/>
    <w:rsid w:val="00342097"/>
    <w:rsid w:val="00342AC4"/>
    <w:rsid w:val="00345B58"/>
    <w:rsid w:val="00345F62"/>
    <w:rsid w:val="00350C3A"/>
    <w:rsid w:val="0035301B"/>
    <w:rsid w:val="003531F3"/>
    <w:rsid w:val="00354898"/>
    <w:rsid w:val="00355881"/>
    <w:rsid w:val="00355EC1"/>
    <w:rsid w:val="003574F6"/>
    <w:rsid w:val="00366220"/>
    <w:rsid w:val="003662AA"/>
    <w:rsid w:val="00366800"/>
    <w:rsid w:val="00367046"/>
    <w:rsid w:val="0037034C"/>
    <w:rsid w:val="003718BE"/>
    <w:rsid w:val="00372466"/>
    <w:rsid w:val="00372691"/>
    <w:rsid w:val="0037486E"/>
    <w:rsid w:val="00377989"/>
    <w:rsid w:val="003800A1"/>
    <w:rsid w:val="00380E05"/>
    <w:rsid w:val="003815B5"/>
    <w:rsid w:val="003846F4"/>
    <w:rsid w:val="003872A4"/>
    <w:rsid w:val="00390F3E"/>
    <w:rsid w:val="00392FA2"/>
    <w:rsid w:val="00396328"/>
    <w:rsid w:val="003A1677"/>
    <w:rsid w:val="003A2321"/>
    <w:rsid w:val="003A25FC"/>
    <w:rsid w:val="003A2E0C"/>
    <w:rsid w:val="003A36B7"/>
    <w:rsid w:val="003A66BF"/>
    <w:rsid w:val="003A7282"/>
    <w:rsid w:val="003A730A"/>
    <w:rsid w:val="003B0CD5"/>
    <w:rsid w:val="003B1609"/>
    <w:rsid w:val="003B2E0D"/>
    <w:rsid w:val="003B2FF2"/>
    <w:rsid w:val="003B335A"/>
    <w:rsid w:val="003B3C02"/>
    <w:rsid w:val="003B46F2"/>
    <w:rsid w:val="003B4853"/>
    <w:rsid w:val="003B5542"/>
    <w:rsid w:val="003B5A0D"/>
    <w:rsid w:val="003B6228"/>
    <w:rsid w:val="003C3EE7"/>
    <w:rsid w:val="003C441A"/>
    <w:rsid w:val="003C578C"/>
    <w:rsid w:val="003C6360"/>
    <w:rsid w:val="003D0EB6"/>
    <w:rsid w:val="003D13A2"/>
    <w:rsid w:val="003D1BB0"/>
    <w:rsid w:val="003D1E7C"/>
    <w:rsid w:val="003D2321"/>
    <w:rsid w:val="003D53EE"/>
    <w:rsid w:val="003D7C6B"/>
    <w:rsid w:val="003E00B4"/>
    <w:rsid w:val="003E2A34"/>
    <w:rsid w:val="003E3CB2"/>
    <w:rsid w:val="003E3EEB"/>
    <w:rsid w:val="003E700D"/>
    <w:rsid w:val="003F02F8"/>
    <w:rsid w:val="003F7159"/>
    <w:rsid w:val="003F7532"/>
    <w:rsid w:val="00400AFF"/>
    <w:rsid w:val="00401B0E"/>
    <w:rsid w:val="00402271"/>
    <w:rsid w:val="004027FC"/>
    <w:rsid w:val="00403104"/>
    <w:rsid w:val="00412D84"/>
    <w:rsid w:val="00413AFE"/>
    <w:rsid w:val="0041419A"/>
    <w:rsid w:val="00414C55"/>
    <w:rsid w:val="0042426D"/>
    <w:rsid w:val="00424799"/>
    <w:rsid w:val="004262E6"/>
    <w:rsid w:val="0043064A"/>
    <w:rsid w:val="00431FBA"/>
    <w:rsid w:val="0043333F"/>
    <w:rsid w:val="00433855"/>
    <w:rsid w:val="00433A80"/>
    <w:rsid w:val="004341FC"/>
    <w:rsid w:val="004357F1"/>
    <w:rsid w:val="00437026"/>
    <w:rsid w:val="00440D3B"/>
    <w:rsid w:val="00441D47"/>
    <w:rsid w:val="00442087"/>
    <w:rsid w:val="0044424B"/>
    <w:rsid w:val="00444435"/>
    <w:rsid w:val="00445F4C"/>
    <w:rsid w:val="00445FE1"/>
    <w:rsid w:val="00447D4B"/>
    <w:rsid w:val="00447FD8"/>
    <w:rsid w:val="004523A1"/>
    <w:rsid w:val="00452E30"/>
    <w:rsid w:val="004530DF"/>
    <w:rsid w:val="00456974"/>
    <w:rsid w:val="00457498"/>
    <w:rsid w:val="004623A3"/>
    <w:rsid w:val="0046518E"/>
    <w:rsid w:val="00467FF9"/>
    <w:rsid w:val="00472136"/>
    <w:rsid w:val="0047238B"/>
    <w:rsid w:val="00472B51"/>
    <w:rsid w:val="00474195"/>
    <w:rsid w:val="004745C3"/>
    <w:rsid w:val="004763C7"/>
    <w:rsid w:val="00476661"/>
    <w:rsid w:val="00476F1D"/>
    <w:rsid w:val="00481AFD"/>
    <w:rsid w:val="004834EE"/>
    <w:rsid w:val="00484B32"/>
    <w:rsid w:val="00485265"/>
    <w:rsid w:val="00485915"/>
    <w:rsid w:val="00486265"/>
    <w:rsid w:val="00486D48"/>
    <w:rsid w:val="0048781F"/>
    <w:rsid w:val="0049335E"/>
    <w:rsid w:val="00497564"/>
    <w:rsid w:val="004975F5"/>
    <w:rsid w:val="004A0C06"/>
    <w:rsid w:val="004A1424"/>
    <w:rsid w:val="004A4265"/>
    <w:rsid w:val="004A4680"/>
    <w:rsid w:val="004B0801"/>
    <w:rsid w:val="004B1A54"/>
    <w:rsid w:val="004B1A61"/>
    <w:rsid w:val="004B35C4"/>
    <w:rsid w:val="004B35D0"/>
    <w:rsid w:val="004B3C12"/>
    <w:rsid w:val="004B48F4"/>
    <w:rsid w:val="004B4F44"/>
    <w:rsid w:val="004B7622"/>
    <w:rsid w:val="004C134B"/>
    <w:rsid w:val="004C1767"/>
    <w:rsid w:val="004C228D"/>
    <w:rsid w:val="004C2F57"/>
    <w:rsid w:val="004C6BCD"/>
    <w:rsid w:val="004D04C8"/>
    <w:rsid w:val="004D10EA"/>
    <w:rsid w:val="004D251B"/>
    <w:rsid w:val="004D569C"/>
    <w:rsid w:val="004D70A0"/>
    <w:rsid w:val="004D7479"/>
    <w:rsid w:val="004E3192"/>
    <w:rsid w:val="004E4A50"/>
    <w:rsid w:val="004E6AB3"/>
    <w:rsid w:val="004E6EA9"/>
    <w:rsid w:val="004F27D6"/>
    <w:rsid w:val="004F3708"/>
    <w:rsid w:val="004F3986"/>
    <w:rsid w:val="004F4D5F"/>
    <w:rsid w:val="004F6CC3"/>
    <w:rsid w:val="004F6F08"/>
    <w:rsid w:val="00500FE5"/>
    <w:rsid w:val="005021C5"/>
    <w:rsid w:val="0050313D"/>
    <w:rsid w:val="00504607"/>
    <w:rsid w:val="00507D9E"/>
    <w:rsid w:val="005104A0"/>
    <w:rsid w:val="00510C89"/>
    <w:rsid w:val="00512109"/>
    <w:rsid w:val="00513289"/>
    <w:rsid w:val="005142E6"/>
    <w:rsid w:val="00517020"/>
    <w:rsid w:val="0052081D"/>
    <w:rsid w:val="005237C4"/>
    <w:rsid w:val="0052498F"/>
    <w:rsid w:val="005263B6"/>
    <w:rsid w:val="005269CF"/>
    <w:rsid w:val="0052764D"/>
    <w:rsid w:val="00527DB1"/>
    <w:rsid w:val="005346AE"/>
    <w:rsid w:val="00534DB6"/>
    <w:rsid w:val="00537004"/>
    <w:rsid w:val="0054073A"/>
    <w:rsid w:val="00544660"/>
    <w:rsid w:val="00546523"/>
    <w:rsid w:val="0054662B"/>
    <w:rsid w:val="00546878"/>
    <w:rsid w:val="005469CE"/>
    <w:rsid w:val="0054765B"/>
    <w:rsid w:val="005522F0"/>
    <w:rsid w:val="00553EDF"/>
    <w:rsid w:val="005553CB"/>
    <w:rsid w:val="005579C2"/>
    <w:rsid w:val="00557DC2"/>
    <w:rsid w:val="00562C7C"/>
    <w:rsid w:val="00563144"/>
    <w:rsid w:val="00563259"/>
    <w:rsid w:val="005654ED"/>
    <w:rsid w:val="00565868"/>
    <w:rsid w:val="00571986"/>
    <w:rsid w:val="0057297B"/>
    <w:rsid w:val="00573090"/>
    <w:rsid w:val="00573D87"/>
    <w:rsid w:val="00575083"/>
    <w:rsid w:val="00577413"/>
    <w:rsid w:val="00577BAB"/>
    <w:rsid w:val="00577CA5"/>
    <w:rsid w:val="00580808"/>
    <w:rsid w:val="00582644"/>
    <w:rsid w:val="00582EA9"/>
    <w:rsid w:val="0058354D"/>
    <w:rsid w:val="00585FDA"/>
    <w:rsid w:val="0058636E"/>
    <w:rsid w:val="00587254"/>
    <w:rsid w:val="00587363"/>
    <w:rsid w:val="00587D46"/>
    <w:rsid w:val="00590276"/>
    <w:rsid w:val="0059229E"/>
    <w:rsid w:val="00594B90"/>
    <w:rsid w:val="0059610E"/>
    <w:rsid w:val="00596152"/>
    <w:rsid w:val="00597C76"/>
    <w:rsid w:val="005A069A"/>
    <w:rsid w:val="005A0931"/>
    <w:rsid w:val="005A1066"/>
    <w:rsid w:val="005A2BAE"/>
    <w:rsid w:val="005A441F"/>
    <w:rsid w:val="005A5A15"/>
    <w:rsid w:val="005B11F4"/>
    <w:rsid w:val="005B3365"/>
    <w:rsid w:val="005B3CE4"/>
    <w:rsid w:val="005B4049"/>
    <w:rsid w:val="005B4355"/>
    <w:rsid w:val="005B44D3"/>
    <w:rsid w:val="005B7FA2"/>
    <w:rsid w:val="005C10A5"/>
    <w:rsid w:val="005C144A"/>
    <w:rsid w:val="005C1FD6"/>
    <w:rsid w:val="005C4302"/>
    <w:rsid w:val="005C5F18"/>
    <w:rsid w:val="005C6935"/>
    <w:rsid w:val="005C7707"/>
    <w:rsid w:val="005D3737"/>
    <w:rsid w:val="005D3CFC"/>
    <w:rsid w:val="005D407E"/>
    <w:rsid w:val="005E0062"/>
    <w:rsid w:val="005E0C37"/>
    <w:rsid w:val="005E1D6C"/>
    <w:rsid w:val="005E2485"/>
    <w:rsid w:val="005E2815"/>
    <w:rsid w:val="005E406B"/>
    <w:rsid w:val="005E5247"/>
    <w:rsid w:val="005E73DA"/>
    <w:rsid w:val="005F06E2"/>
    <w:rsid w:val="005F0F3F"/>
    <w:rsid w:val="005F267F"/>
    <w:rsid w:val="005F2847"/>
    <w:rsid w:val="005F299A"/>
    <w:rsid w:val="005F3DC6"/>
    <w:rsid w:val="005F4645"/>
    <w:rsid w:val="005F7F69"/>
    <w:rsid w:val="00600B9C"/>
    <w:rsid w:val="00600EB8"/>
    <w:rsid w:val="00601714"/>
    <w:rsid w:val="00601888"/>
    <w:rsid w:val="0060197A"/>
    <w:rsid w:val="00603DC3"/>
    <w:rsid w:val="00604246"/>
    <w:rsid w:val="006055B0"/>
    <w:rsid w:val="00606EC2"/>
    <w:rsid w:val="0061196A"/>
    <w:rsid w:val="006126A3"/>
    <w:rsid w:val="00612847"/>
    <w:rsid w:val="00614F86"/>
    <w:rsid w:val="00616BD2"/>
    <w:rsid w:val="0062099E"/>
    <w:rsid w:val="00622068"/>
    <w:rsid w:val="00625DF7"/>
    <w:rsid w:val="00627E40"/>
    <w:rsid w:val="006343BB"/>
    <w:rsid w:val="0063535E"/>
    <w:rsid w:val="006358A3"/>
    <w:rsid w:val="00640766"/>
    <w:rsid w:val="00642B87"/>
    <w:rsid w:val="00643490"/>
    <w:rsid w:val="00644622"/>
    <w:rsid w:val="00644F53"/>
    <w:rsid w:val="0064620E"/>
    <w:rsid w:val="00647CC5"/>
    <w:rsid w:val="0065002A"/>
    <w:rsid w:val="00650DBB"/>
    <w:rsid w:val="006512EC"/>
    <w:rsid w:val="006545C9"/>
    <w:rsid w:val="00654770"/>
    <w:rsid w:val="00656244"/>
    <w:rsid w:val="0065634A"/>
    <w:rsid w:val="00662486"/>
    <w:rsid w:val="00665648"/>
    <w:rsid w:val="00667EA9"/>
    <w:rsid w:val="0067008D"/>
    <w:rsid w:val="0067011A"/>
    <w:rsid w:val="00670194"/>
    <w:rsid w:val="006706D6"/>
    <w:rsid w:val="00670876"/>
    <w:rsid w:val="006737BB"/>
    <w:rsid w:val="00673EB2"/>
    <w:rsid w:val="00675837"/>
    <w:rsid w:val="0067616D"/>
    <w:rsid w:val="00677DF8"/>
    <w:rsid w:val="00680362"/>
    <w:rsid w:val="00684108"/>
    <w:rsid w:val="0068465E"/>
    <w:rsid w:val="00684710"/>
    <w:rsid w:val="006864F9"/>
    <w:rsid w:val="00687261"/>
    <w:rsid w:val="006879E4"/>
    <w:rsid w:val="00692367"/>
    <w:rsid w:val="0069312F"/>
    <w:rsid w:val="006939DB"/>
    <w:rsid w:val="00693E73"/>
    <w:rsid w:val="0069435C"/>
    <w:rsid w:val="00697AD9"/>
    <w:rsid w:val="006A233E"/>
    <w:rsid w:val="006A41E0"/>
    <w:rsid w:val="006A4E8C"/>
    <w:rsid w:val="006A5290"/>
    <w:rsid w:val="006A5333"/>
    <w:rsid w:val="006A5437"/>
    <w:rsid w:val="006A5ACA"/>
    <w:rsid w:val="006A6034"/>
    <w:rsid w:val="006B0BEA"/>
    <w:rsid w:val="006B209A"/>
    <w:rsid w:val="006B3F7D"/>
    <w:rsid w:val="006B724A"/>
    <w:rsid w:val="006C2C35"/>
    <w:rsid w:val="006C32F8"/>
    <w:rsid w:val="006C3E0C"/>
    <w:rsid w:val="006C6ACF"/>
    <w:rsid w:val="006C6CC5"/>
    <w:rsid w:val="006C735B"/>
    <w:rsid w:val="006C75C7"/>
    <w:rsid w:val="006D10AF"/>
    <w:rsid w:val="006D26E1"/>
    <w:rsid w:val="006D3364"/>
    <w:rsid w:val="006D5929"/>
    <w:rsid w:val="006D6284"/>
    <w:rsid w:val="006D678F"/>
    <w:rsid w:val="006D7319"/>
    <w:rsid w:val="006E1172"/>
    <w:rsid w:val="006E21B9"/>
    <w:rsid w:val="006E349C"/>
    <w:rsid w:val="006E5194"/>
    <w:rsid w:val="006E581B"/>
    <w:rsid w:val="006E6A43"/>
    <w:rsid w:val="006E7A49"/>
    <w:rsid w:val="006F0E84"/>
    <w:rsid w:val="006F1A6E"/>
    <w:rsid w:val="006F274A"/>
    <w:rsid w:val="006F6900"/>
    <w:rsid w:val="006F6C7D"/>
    <w:rsid w:val="00700A0B"/>
    <w:rsid w:val="007056AF"/>
    <w:rsid w:val="00705A26"/>
    <w:rsid w:val="00706CF0"/>
    <w:rsid w:val="00706D36"/>
    <w:rsid w:val="007106F8"/>
    <w:rsid w:val="0071114C"/>
    <w:rsid w:val="00711926"/>
    <w:rsid w:val="00711EE7"/>
    <w:rsid w:val="00714210"/>
    <w:rsid w:val="007144F7"/>
    <w:rsid w:val="00714F56"/>
    <w:rsid w:val="00715E11"/>
    <w:rsid w:val="00717825"/>
    <w:rsid w:val="00717D84"/>
    <w:rsid w:val="00720D1D"/>
    <w:rsid w:val="00723427"/>
    <w:rsid w:val="0072462B"/>
    <w:rsid w:val="007246D4"/>
    <w:rsid w:val="00725430"/>
    <w:rsid w:val="0073237D"/>
    <w:rsid w:val="00734CD3"/>
    <w:rsid w:val="00737C7F"/>
    <w:rsid w:val="00741D2C"/>
    <w:rsid w:val="0074333D"/>
    <w:rsid w:val="00745166"/>
    <w:rsid w:val="007469AD"/>
    <w:rsid w:val="00754E5C"/>
    <w:rsid w:val="00755DBB"/>
    <w:rsid w:val="00756D77"/>
    <w:rsid w:val="00756EF6"/>
    <w:rsid w:val="00757482"/>
    <w:rsid w:val="00760D45"/>
    <w:rsid w:val="00761CD9"/>
    <w:rsid w:val="00762C02"/>
    <w:rsid w:val="007630B0"/>
    <w:rsid w:val="007649D2"/>
    <w:rsid w:val="00766E52"/>
    <w:rsid w:val="00767F47"/>
    <w:rsid w:val="00770419"/>
    <w:rsid w:val="00770B67"/>
    <w:rsid w:val="00770F58"/>
    <w:rsid w:val="00772E1A"/>
    <w:rsid w:val="00773D0C"/>
    <w:rsid w:val="00774189"/>
    <w:rsid w:val="00775039"/>
    <w:rsid w:val="0077561B"/>
    <w:rsid w:val="0078027F"/>
    <w:rsid w:val="0078348D"/>
    <w:rsid w:val="00783A4F"/>
    <w:rsid w:val="00783B5E"/>
    <w:rsid w:val="007953B8"/>
    <w:rsid w:val="00795E8C"/>
    <w:rsid w:val="00797981"/>
    <w:rsid w:val="007A0CE2"/>
    <w:rsid w:val="007A1523"/>
    <w:rsid w:val="007A2E59"/>
    <w:rsid w:val="007A3722"/>
    <w:rsid w:val="007A7EA5"/>
    <w:rsid w:val="007B0CF0"/>
    <w:rsid w:val="007B2B57"/>
    <w:rsid w:val="007B36B6"/>
    <w:rsid w:val="007B60D7"/>
    <w:rsid w:val="007B620F"/>
    <w:rsid w:val="007B7F88"/>
    <w:rsid w:val="007C06FA"/>
    <w:rsid w:val="007C1B99"/>
    <w:rsid w:val="007C549F"/>
    <w:rsid w:val="007C5A44"/>
    <w:rsid w:val="007C6AAF"/>
    <w:rsid w:val="007C782E"/>
    <w:rsid w:val="007C7DEA"/>
    <w:rsid w:val="007D09E8"/>
    <w:rsid w:val="007D1346"/>
    <w:rsid w:val="007D142A"/>
    <w:rsid w:val="007D1688"/>
    <w:rsid w:val="007D1F7C"/>
    <w:rsid w:val="007D21BC"/>
    <w:rsid w:val="007E0BBF"/>
    <w:rsid w:val="007E26AC"/>
    <w:rsid w:val="007E2D04"/>
    <w:rsid w:val="007E7EA0"/>
    <w:rsid w:val="007E7F56"/>
    <w:rsid w:val="007F2006"/>
    <w:rsid w:val="007F5C4E"/>
    <w:rsid w:val="007F6972"/>
    <w:rsid w:val="007F7410"/>
    <w:rsid w:val="007F7F44"/>
    <w:rsid w:val="008003F0"/>
    <w:rsid w:val="008017D7"/>
    <w:rsid w:val="00802315"/>
    <w:rsid w:val="00802CAD"/>
    <w:rsid w:val="008038C3"/>
    <w:rsid w:val="00803C72"/>
    <w:rsid w:val="0080623E"/>
    <w:rsid w:val="00806848"/>
    <w:rsid w:val="008072E4"/>
    <w:rsid w:val="008079D5"/>
    <w:rsid w:val="00807C82"/>
    <w:rsid w:val="00807E56"/>
    <w:rsid w:val="00811548"/>
    <w:rsid w:val="0081397B"/>
    <w:rsid w:val="00816D3E"/>
    <w:rsid w:val="0082042D"/>
    <w:rsid w:val="00820A81"/>
    <w:rsid w:val="00821DC4"/>
    <w:rsid w:val="008233AA"/>
    <w:rsid w:val="008239E2"/>
    <w:rsid w:val="00825883"/>
    <w:rsid w:val="008267D5"/>
    <w:rsid w:val="00826E69"/>
    <w:rsid w:val="0083094D"/>
    <w:rsid w:val="00831824"/>
    <w:rsid w:val="00834D7A"/>
    <w:rsid w:val="008378F7"/>
    <w:rsid w:val="00837E5F"/>
    <w:rsid w:val="0084090A"/>
    <w:rsid w:val="00841F00"/>
    <w:rsid w:val="00842300"/>
    <w:rsid w:val="008433D8"/>
    <w:rsid w:val="00843477"/>
    <w:rsid w:val="00844494"/>
    <w:rsid w:val="008455FA"/>
    <w:rsid w:val="0085179E"/>
    <w:rsid w:val="00854923"/>
    <w:rsid w:val="00854A3B"/>
    <w:rsid w:val="00854C9E"/>
    <w:rsid w:val="0085669F"/>
    <w:rsid w:val="008615DD"/>
    <w:rsid w:val="00862712"/>
    <w:rsid w:val="00864097"/>
    <w:rsid w:val="00866029"/>
    <w:rsid w:val="008662A6"/>
    <w:rsid w:val="00871AD7"/>
    <w:rsid w:val="00871CC4"/>
    <w:rsid w:val="008762C0"/>
    <w:rsid w:val="008764CB"/>
    <w:rsid w:val="0088017A"/>
    <w:rsid w:val="00883255"/>
    <w:rsid w:val="00884016"/>
    <w:rsid w:val="00884157"/>
    <w:rsid w:val="00887893"/>
    <w:rsid w:val="00887A6F"/>
    <w:rsid w:val="008904A0"/>
    <w:rsid w:val="008907CD"/>
    <w:rsid w:val="00890AB2"/>
    <w:rsid w:val="00890DB3"/>
    <w:rsid w:val="0089245C"/>
    <w:rsid w:val="00896C3A"/>
    <w:rsid w:val="008A1685"/>
    <w:rsid w:val="008A17AD"/>
    <w:rsid w:val="008A1BE2"/>
    <w:rsid w:val="008A314A"/>
    <w:rsid w:val="008A72F3"/>
    <w:rsid w:val="008A7BAE"/>
    <w:rsid w:val="008B3A72"/>
    <w:rsid w:val="008B7168"/>
    <w:rsid w:val="008C0C8E"/>
    <w:rsid w:val="008C0EE8"/>
    <w:rsid w:val="008D1062"/>
    <w:rsid w:val="008D1B3E"/>
    <w:rsid w:val="008D1FC4"/>
    <w:rsid w:val="008D3E25"/>
    <w:rsid w:val="008D5A7D"/>
    <w:rsid w:val="008D797F"/>
    <w:rsid w:val="008E4146"/>
    <w:rsid w:val="008E5968"/>
    <w:rsid w:val="008E618D"/>
    <w:rsid w:val="008F0B6F"/>
    <w:rsid w:val="008F1178"/>
    <w:rsid w:val="008F20DD"/>
    <w:rsid w:val="008F56DD"/>
    <w:rsid w:val="008F65BC"/>
    <w:rsid w:val="008F6CBE"/>
    <w:rsid w:val="008F72E3"/>
    <w:rsid w:val="00901F1A"/>
    <w:rsid w:val="00903B2C"/>
    <w:rsid w:val="00906029"/>
    <w:rsid w:val="009100DE"/>
    <w:rsid w:val="00910641"/>
    <w:rsid w:val="00912099"/>
    <w:rsid w:val="00913AAB"/>
    <w:rsid w:val="00915D0D"/>
    <w:rsid w:val="0091603C"/>
    <w:rsid w:val="00920112"/>
    <w:rsid w:val="009211E2"/>
    <w:rsid w:val="00921E02"/>
    <w:rsid w:val="009235F6"/>
    <w:rsid w:val="009239C3"/>
    <w:rsid w:val="009244EB"/>
    <w:rsid w:val="00926AC7"/>
    <w:rsid w:val="00930422"/>
    <w:rsid w:val="00934599"/>
    <w:rsid w:val="00935B66"/>
    <w:rsid w:val="0094236D"/>
    <w:rsid w:val="0094398F"/>
    <w:rsid w:val="00947F79"/>
    <w:rsid w:val="00951BCD"/>
    <w:rsid w:val="00952455"/>
    <w:rsid w:val="00953BD6"/>
    <w:rsid w:val="00953D4E"/>
    <w:rsid w:val="00955443"/>
    <w:rsid w:val="009565FA"/>
    <w:rsid w:val="00961086"/>
    <w:rsid w:val="00962D47"/>
    <w:rsid w:val="0096469B"/>
    <w:rsid w:val="00964DE0"/>
    <w:rsid w:val="00967476"/>
    <w:rsid w:val="00975301"/>
    <w:rsid w:val="009756BB"/>
    <w:rsid w:val="00975922"/>
    <w:rsid w:val="00977DDD"/>
    <w:rsid w:val="00980255"/>
    <w:rsid w:val="009838E2"/>
    <w:rsid w:val="00983CF3"/>
    <w:rsid w:val="009843EE"/>
    <w:rsid w:val="00986932"/>
    <w:rsid w:val="00995FF9"/>
    <w:rsid w:val="009A10CC"/>
    <w:rsid w:val="009A1339"/>
    <w:rsid w:val="009A2C6A"/>
    <w:rsid w:val="009A30F2"/>
    <w:rsid w:val="009A338A"/>
    <w:rsid w:val="009A4A5C"/>
    <w:rsid w:val="009A6B16"/>
    <w:rsid w:val="009A6E01"/>
    <w:rsid w:val="009B074D"/>
    <w:rsid w:val="009B16AE"/>
    <w:rsid w:val="009B16BE"/>
    <w:rsid w:val="009B305D"/>
    <w:rsid w:val="009B482F"/>
    <w:rsid w:val="009B5CEC"/>
    <w:rsid w:val="009B6EDA"/>
    <w:rsid w:val="009C0DE0"/>
    <w:rsid w:val="009C2EB8"/>
    <w:rsid w:val="009C312A"/>
    <w:rsid w:val="009C4378"/>
    <w:rsid w:val="009C7315"/>
    <w:rsid w:val="009C7F77"/>
    <w:rsid w:val="009D0E96"/>
    <w:rsid w:val="009D233D"/>
    <w:rsid w:val="009D2AF3"/>
    <w:rsid w:val="009D3246"/>
    <w:rsid w:val="009D3853"/>
    <w:rsid w:val="009D39BA"/>
    <w:rsid w:val="009D6FDF"/>
    <w:rsid w:val="009D7B6D"/>
    <w:rsid w:val="009D7C48"/>
    <w:rsid w:val="009E51A0"/>
    <w:rsid w:val="009E7BF7"/>
    <w:rsid w:val="009F2E53"/>
    <w:rsid w:val="009F32C0"/>
    <w:rsid w:val="009F4838"/>
    <w:rsid w:val="009F5358"/>
    <w:rsid w:val="009F62ED"/>
    <w:rsid w:val="009F7B90"/>
    <w:rsid w:val="009F7CB0"/>
    <w:rsid w:val="00A003E5"/>
    <w:rsid w:val="00A04C33"/>
    <w:rsid w:val="00A101F0"/>
    <w:rsid w:val="00A12B51"/>
    <w:rsid w:val="00A13CC0"/>
    <w:rsid w:val="00A1493C"/>
    <w:rsid w:val="00A14C8E"/>
    <w:rsid w:val="00A162C0"/>
    <w:rsid w:val="00A16F0C"/>
    <w:rsid w:val="00A17094"/>
    <w:rsid w:val="00A17131"/>
    <w:rsid w:val="00A17B9E"/>
    <w:rsid w:val="00A21C22"/>
    <w:rsid w:val="00A21D16"/>
    <w:rsid w:val="00A2404D"/>
    <w:rsid w:val="00A24E51"/>
    <w:rsid w:val="00A24E98"/>
    <w:rsid w:val="00A25D91"/>
    <w:rsid w:val="00A26645"/>
    <w:rsid w:val="00A26BF8"/>
    <w:rsid w:val="00A320CD"/>
    <w:rsid w:val="00A35EA6"/>
    <w:rsid w:val="00A36872"/>
    <w:rsid w:val="00A40B19"/>
    <w:rsid w:val="00A40EA6"/>
    <w:rsid w:val="00A411D9"/>
    <w:rsid w:val="00A412A5"/>
    <w:rsid w:val="00A420BF"/>
    <w:rsid w:val="00A429D5"/>
    <w:rsid w:val="00A42A75"/>
    <w:rsid w:val="00A42EB4"/>
    <w:rsid w:val="00A431CF"/>
    <w:rsid w:val="00A44233"/>
    <w:rsid w:val="00A44D77"/>
    <w:rsid w:val="00A46BAC"/>
    <w:rsid w:val="00A512F6"/>
    <w:rsid w:val="00A524F5"/>
    <w:rsid w:val="00A530CE"/>
    <w:rsid w:val="00A53601"/>
    <w:rsid w:val="00A54E43"/>
    <w:rsid w:val="00A551B1"/>
    <w:rsid w:val="00A57E85"/>
    <w:rsid w:val="00A6022E"/>
    <w:rsid w:val="00A60B50"/>
    <w:rsid w:val="00A620BC"/>
    <w:rsid w:val="00A66402"/>
    <w:rsid w:val="00A67519"/>
    <w:rsid w:val="00A70E34"/>
    <w:rsid w:val="00A719D1"/>
    <w:rsid w:val="00A74041"/>
    <w:rsid w:val="00A74A44"/>
    <w:rsid w:val="00A75946"/>
    <w:rsid w:val="00A764E6"/>
    <w:rsid w:val="00A82782"/>
    <w:rsid w:val="00A837B1"/>
    <w:rsid w:val="00A85C4E"/>
    <w:rsid w:val="00A874F2"/>
    <w:rsid w:val="00A93392"/>
    <w:rsid w:val="00A957AB"/>
    <w:rsid w:val="00A96104"/>
    <w:rsid w:val="00A96F93"/>
    <w:rsid w:val="00A971C7"/>
    <w:rsid w:val="00A976B3"/>
    <w:rsid w:val="00A9796A"/>
    <w:rsid w:val="00AA25CA"/>
    <w:rsid w:val="00AA32DA"/>
    <w:rsid w:val="00AA3C9A"/>
    <w:rsid w:val="00AA4261"/>
    <w:rsid w:val="00AA4568"/>
    <w:rsid w:val="00AA56A1"/>
    <w:rsid w:val="00AA65A3"/>
    <w:rsid w:val="00AA6A11"/>
    <w:rsid w:val="00AA7A0A"/>
    <w:rsid w:val="00AB0785"/>
    <w:rsid w:val="00AB3BA3"/>
    <w:rsid w:val="00AB438A"/>
    <w:rsid w:val="00AB7167"/>
    <w:rsid w:val="00AB7476"/>
    <w:rsid w:val="00AC0471"/>
    <w:rsid w:val="00AC4744"/>
    <w:rsid w:val="00AC48BF"/>
    <w:rsid w:val="00AC7D36"/>
    <w:rsid w:val="00AD11F6"/>
    <w:rsid w:val="00AD16CB"/>
    <w:rsid w:val="00AD3BDC"/>
    <w:rsid w:val="00AD3FCD"/>
    <w:rsid w:val="00AD4BE0"/>
    <w:rsid w:val="00AD5D2D"/>
    <w:rsid w:val="00AD5E3A"/>
    <w:rsid w:val="00AD6114"/>
    <w:rsid w:val="00AD6660"/>
    <w:rsid w:val="00AD70B2"/>
    <w:rsid w:val="00AD745B"/>
    <w:rsid w:val="00AD7C77"/>
    <w:rsid w:val="00AE08FF"/>
    <w:rsid w:val="00AE2699"/>
    <w:rsid w:val="00AE2EA2"/>
    <w:rsid w:val="00AE36D8"/>
    <w:rsid w:val="00AE4782"/>
    <w:rsid w:val="00AE5D55"/>
    <w:rsid w:val="00AE7929"/>
    <w:rsid w:val="00AF07A3"/>
    <w:rsid w:val="00AF0CC8"/>
    <w:rsid w:val="00AF431C"/>
    <w:rsid w:val="00B043A0"/>
    <w:rsid w:val="00B06FEC"/>
    <w:rsid w:val="00B0700C"/>
    <w:rsid w:val="00B071D3"/>
    <w:rsid w:val="00B101C4"/>
    <w:rsid w:val="00B103A4"/>
    <w:rsid w:val="00B10801"/>
    <w:rsid w:val="00B12602"/>
    <w:rsid w:val="00B13773"/>
    <w:rsid w:val="00B147C5"/>
    <w:rsid w:val="00B16FB4"/>
    <w:rsid w:val="00B17583"/>
    <w:rsid w:val="00B2234D"/>
    <w:rsid w:val="00B26AE7"/>
    <w:rsid w:val="00B30832"/>
    <w:rsid w:val="00B30D99"/>
    <w:rsid w:val="00B30E27"/>
    <w:rsid w:val="00B3280B"/>
    <w:rsid w:val="00B33655"/>
    <w:rsid w:val="00B3395A"/>
    <w:rsid w:val="00B34FF8"/>
    <w:rsid w:val="00B36093"/>
    <w:rsid w:val="00B409A2"/>
    <w:rsid w:val="00B40ADA"/>
    <w:rsid w:val="00B425DD"/>
    <w:rsid w:val="00B428F5"/>
    <w:rsid w:val="00B435B9"/>
    <w:rsid w:val="00B43BC5"/>
    <w:rsid w:val="00B442AA"/>
    <w:rsid w:val="00B44B07"/>
    <w:rsid w:val="00B474C4"/>
    <w:rsid w:val="00B50F6E"/>
    <w:rsid w:val="00B518BD"/>
    <w:rsid w:val="00B522B3"/>
    <w:rsid w:val="00B53893"/>
    <w:rsid w:val="00B544DB"/>
    <w:rsid w:val="00B54A8B"/>
    <w:rsid w:val="00B5548A"/>
    <w:rsid w:val="00B554CD"/>
    <w:rsid w:val="00B5588B"/>
    <w:rsid w:val="00B60F63"/>
    <w:rsid w:val="00B616E8"/>
    <w:rsid w:val="00B61E75"/>
    <w:rsid w:val="00B640AD"/>
    <w:rsid w:val="00B645E1"/>
    <w:rsid w:val="00B6590A"/>
    <w:rsid w:val="00B700F7"/>
    <w:rsid w:val="00B714AF"/>
    <w:rsid w:val="00B73064"/>
    <w:rsid w:val="00B753F0"/>
    <w:rsid w:val="00B7557A"/>
    <w:rsid w:val="00B8155B"/>
    <w:rsid w:val="00B830B3"/>
    <w:rsid w:val="00B8626B"/>
    <w:rsid w:val="00B90252"/>
    <w:rsid w:val="00B92485"/>
    <w:rsid w:val="00B93150"/>
    <w:rsid w:val="00B94CE9"/>
    <w:rsid w:val="00B9587A"/>
    <w:rsid w:val="00B96705"/>
    <w:rsid w:val="00B97F2C"/>
    <w:rsid w:val="00BA07E4"/>
    <w:rsid w:val="00BA11FA"/>
    <w:rsid w:val="00BA1A17"/>
    <w:rsid w:val="00BA21C7"/>
    <w:rsid w:val="00BA3CAE"/>
    <w:rsid w:val="00BA5412"/>
    <w:rsid w:val="00BA6859"/>
    <w:rsid w:val="00BA7231"/>
    <w:rsid w:val="00BB0EAD"/>
    <w:rsid w:val="00BB6503"/>
    <w:rsid w:val="00BB67B0"/>
    <w:rsid w:val="00BC13F8"/>
    <w:rsid w:val="00BC76BF"/>
    <w:rsid w:val="00BD0902"/>
    <w:rsid w:val="00BD1B62"/>
    <w:rsid w:val="00BD5CDA"/>
    <w:rsid w:val="00BD69B3"/>
    <w:rsid w:val="00BE0548"/>
    <w:rsid w:val="00BE3E02"/>
    <w:rsid w:val="00BE4865"/>
    <w:rsid w:val="00BF0480"/>
    <w:rsid w:val="00BF05EA"/>
    <w:rsid w:val="00BF12AD"/>
    <w:rsid w:val="00BF484A"/>
    <w:rsid w:val="00BF5451"/>
    <w:rsid w:val="00BF5F15"/>
    <w:rsid w:val="00BF7322"/>
    <w:rsid w:val="00C0150A"/>
    <w:rsid w:val="00C01882"/>
    <w:rsid w:val="00C07230"/>
    <w:rsid w:val="00C07E04"/>
    <w:rsid w:val="00C10325"/>
    <w:rsid w:val="00C111FF"/>
    <w:rsid w:val="00C12975"/>
    <w:rsid w:val="00C14B6F"/>
    <w:rsid w:val="00C155DA"/>
    <w:rsid w:val="00C16CF9"/>
    <w:rsid w:val="00C20A9B"/>
    <w:rsid w:val="00C22D7A"/>
    <w:rsid w:val="00C24D19"/>
    <w:rsid w:val="00C25985"/>
    <w:rsid w:val="00C3094D"/>
    <w:rsid w:val="00C31E0B"/>
    <w:rsid w:val="00C32B90"/>
    <w:rsid w:val="00C349A3"/>
    <w:rsid w:val="00C35358"/>
    <w:rsid w:val="00C35739"/>
    <w:rsid w:val="00C36896"/>
    <w:rsid w:val="00C400E9"/>
    <w:rsid w:val="00C404F9"/>
    <w:rsid w:val="00C40F66"/>
    <w:rsid w:val="00C41F04"/>
    <w:rsid w:val="00C431DA"/>
    <w:rsid w:val="00C4351E"/>
    <w:rsid w:val="00C470D0"/>
    <w:rsid w:val="00C4716A"/>
    <w:rsid w:val="00C47206"/>
    <w:rsid w:val="00C537CB"/>
    <w:rsid w:val="00C53C17"/>
    <w:rsid w:val="00C54A9F"/>
    <w:rsid w:val="00C55F36"/>
    <w:rsid w:val="00C5775F"/>
    <w:rsid w:val="00C67A58"/>
    <w:rsid w:val="00C70A05"/>
    <w:rsid w:val="00C724C6"/>
    <w:rsid w:val="00C74C44"/>
    <w:rsid w:val="00C81231"/>
    <w:rsid w:val="00C8132C"/>
    <w:rsid w:val="00C81C0D"/>
    <w:rsid w:val="00C82699"/>
    <w:rsid w:val="00C833A3"/>
    <w:rsid w:val="00C849C0"/>
    <w:rsid w:val="00C8670A"/>
    <w:rsid w:val="00C90370"/>
    <w:rsid w:val="00C9109B"/>
    <w:rsid w:val="00C91DA3"/>
    <w:rsid w:val="00C92301"/>
    <w:rsid w:val="00C928E8"/>
    <w:rsid w:val="00C945F5"/>
    <w:rsid w:val="00C95E2D"/>
    <w:rsid w:val="00C971C7"/>
    <w:rsid w:val="00C977E0"/>
    <w:rsid w:val="00CA195F"/>
    <w:rsid w:val="00CA1BC2"/>
    <w:rsid w:val="00CA4E99"/>
    <w:rsid w:val="00CA5013"/>
    <w:rsid w:val="00CA535B"/>
    <w:rsid w:val="00CA59B8"/>
    <w:rsid w:val="00CA5AA9"/>
    <w:rsid w:val="00CA6106"/>
    <w:rsid w:val="00CA64E8"/>
    <w:rsid w:val="00CA689C"/>
    <w:rsid w:val="00CB0BA6"/>
    <w:rsid w:val="00CB1FF7"/>
    <w:rsid w:val="00CB2FA0"/>
    <w:rsid w:val="00CB3876"/>
    <w:rsid w:val="00CB5DF2"/>
    <w:rsid w:val="00CB62A0"/>
    <w:rsid w:val="00CC03AA"/>
    <w:rsid w:val="00CC08E5"/>
    <w:rsid w:val="00CC6CC9"/>
    <w:rsid w:val="00CD1CCB"/>
    <w:rsid w:val="00CD31BF"/>
    <w:rsid w:val="00CD4EF8"/>
    <w:rsid w:val="00CD631D"/>
    <w:rsid w:val="00CD7879"/>
    <w:rsid w:val="00CE21A9"/>
    <w:rsid w:val="00CE3C0E"/>
    <w:rsid w:val="00CE5EA2"/>
    <w:rsid w:val="00CE6C45"/>
    <w:rsid w:val="00CE6F3C"/>
    <w:rsid w:val="00CE7CF8"/>
    <w:rsid w:val="00CF0765"/>
    <w:rsid w:val="00CF130E"/>
    <w:rsid w:val="00D04624"/>
    <w:rsid w:val="00D05565"/>
    <w:rsid w:val="00D06366"/>
    <w:rsid w:val="00D07FBE"/>
    <w:rsid w:val="00D104C4"/>
    <w:rsid w:val="00D106A3"/>
    <w:rsid w:val="00D121EC"/>
    <w:rsid w:val="00D16A8D"/>
    <w:rsid w:val="00D17B06"/>
    <w:rsid w:val="00D17F5B"/>
    <w:rsid w:val="00D202CF"/>
    <w:rsid w:val="00D21264"/>
    <w:rsid w:val="00D21557"/>
    <w:rsid w:val="00D21F0C"/>
    <w:rsid w:val="00D2482F"/>
    <w:rsid w:val="00D3202A"/>
    <w:rsid w:val="00D32C72"/>
    <w:rsid w:val="00D32CBE"/>
    <w:rsid w:val="00D34C15"/>
    <w:rsid w:val="00D37442"/>
    <w:rsid w:val="00D37651"/>
    <w:rsid w:val="00D41914"/>
    <w:rsid w:val="00D41B87"/>
    <w:rsid w:val="00D41DF1"/>
    <w:rsid w:val="00D42B4E"/>
    <w:rsid w:val="00D4485E"/>
    <w:rsid w:val="00D46329"/>
    <w:rsid w:val="00D46E4B"/>
    <w:rsid w:val="00D525E2"/>
    <w:rsid w:val="00D534DD"/>
    <w:rsid w:val="00D53889"/>
    <w:rsid w:val="00D622E7"/>
    <w:rsid w:val="00D63235"/>
    <w:rsid w:val="00D63491"/>
    <w:rsid w:val="00D636CA"/>
    <w:rsid w:val="00D65FD6"/>
    <w:rsid w:val="00D6749C"/>
    <w:rsid w:val="00D67FA6"/>
    <w:rsid w:val="00D70DE9"/>
    <w:rsid w:val="00D71750"/>
    <w:rsid w:val="00D72935"/>
    <w:rsid w:val="00D732F0"/>
    <w:rsid w:val="00D7363A"/>
    <w:rsid w:val="00D73C39"/>
    <w:rsid w:val="00D73D26"/>
    <w:rsid w:val="00D75280"/>
    <w:rsid w:val="00D77BEF"/>
    <w:rsid w:val="00D80F30"/>
    <w:rsid w:val="00D837A2"/>
    <w:rsid w:val="00D84D73"/>
    <w:rsid w:val="00D911AF"/>
    <w:rsid w:val="00D9182E"/>
    <w:rsid w:val="00D92410"/>
    <w:rsid w:val="00D924F8"/>
    <w:rsid w:val="00D92607"/>
    <w:rsid w:val="00D92C05"/>
    <w:rsid w:val="00D97A9F"/>
    <w:rsid w:val="00D97DAE"/>
    <w:rsid w:val="00DA1917"/>
    <w:rsid w:val="00DA40E5"/>
    <w:rsid w:val="00DA44E8"/>
    <w:rsid w:val="00DA7913"/>
    <w:rsid w:val="00DA7A18"/>
    <w:rsid w:val="00DA7F05"/>
    <w:rsid w:val="00DB260B"/>
    <w:rsid w:val="00DB3C00"/>
    <w:rsid w:val="00DB4869"/>
    <w:rsid w:val="00DB4FCD"/>
    <w:rsid w:val="00DB61BE"/>
    <w:rsid w:val="00DB735D"/>
    <w:rsid w:val="00DB7697"/>
    <w:rsid w:val="00DB7DB0"/>
    <w:rsid w:val="00DC01B2"/>
    <w:rsid w:val="00DC2D4D"/>
    <w:rsid w:val="00DC3F86"/>
    <w:rsid w:val="00DC7990"/>
    <w:rsid w:val="00DD4669"/>
    <w:rsid w:val="00DE0C21"/>
    <w:rsid w:val="00DE238C"/>
    <w:rsid w:val="00DE3D67"/>
    <w:rsid w:val="00DE42A4"/>
    <w:rsid w:val="00DE5568"/>
    <w:rsid w:val="00DE643E"/>
    <w:rsid w:val="00DE68E6"/>
    <w:rsid w:val="00DE7349"/>
    <w:rsid w:val="00DE7754"/>
    <w:rsid w:val="00DF3371"/>
    <w:rsid w:val="00DF45A8"/>
    <w:rsid w:val="00DF4D58"/>
    <w:rsid w:val="00DF7319"/>
    <w:rsid w:val="00E02BBA"/>
    <w:rsid w:val="00E02C32"/>
    <w:rsid w:val="00E03462"/>
    <w:rsid w:val="00E0412D"/>
    <w:rsid w:val="00E06B5F"/>
    <w:rsid w:val="00E078CD"/>
    <w:rsid w:val="00E10138"/>
    <w:rsid w:val="00E1091D"/>
    <w:rsid w:val="00E123E8"/>
    <w:rsid w:val="00E125BE"/>
    <w:rsid w:val="00E1336A"/>
    <w:rsid w:val="00E1406B"/>
    <w:rsid w:val="00E17546"/>
    <w:rsid w:val="00E2109B"/>
    <w:rsid w:val="00E21190"/>
    <w:rsid w:val="00E22E59"/>
    <w:rsid w:val="00E23CB7"/>
    <w:rsid w:val="00E23F1C"/>
    <w:rsid w:val="00E26035"/>
    <w:rsid w:val="00E2637F"/>
    <w:rsid w:val="00E26775"/>
    <w:rsid w:val="00E26B6C"/>
    <w:rsid w:val="00E26F75"/>
    <w:rsid w:val="00E27585"/>
    <w:rsid w:val="00E3041F"/>
    <w:rsid w:val="00E31E71"/>
    <w:rsid w:val="00E3200A"/>
    <w:rsid w:val="00E320C1"/>
    <w:rsid w:val="00E32306"/>
    <w:rsid w:val="00E34D95"/>
    <w:rsid w:val="00E374C3"/>
    <w:rsid w:val="00E45572"/>
    <w:rsid w:val="00E455F9"/>
    <w:rsid w:val="00E457F8"/>
    <w:rsid w:val="00E52DB1"/>
    <w:rsid w:val="00E5552A"/>
    <w:rsid w:val="00E60346"/>
    <w:rsid w:val="00E62C29"/>
    <w:rsid w:val="00E63E53"/>
    <w:rsid w:val="00E653EA"/>
    <w:rsid w:val="00E6687B"/>
    <w:rsid w:val="00E67A7B"/>
    <w:rsid w:val="00E70695"/>
    <w:rsid w:val="00E737B8"/>
    <w:rsid w:val="00E744AF"/>
    <w:rsid w:val="00E74F51"/>
    <w:rsid w:val="00E753E6"/>
    <w:rsid w:val="00E807BB"/>
    <w:rsid w:val="00E822CC"/>
    <w:rsid w:val="00E86485"/>
    <w:rsid w:val="00E875FB"/>
    <w:rsid w:val="00E902DE"/>
    <w:rsid w:val="00E91F69"/>
    <w:rsid w:val="00E930A7"/>
    <w:rsid w:val="00E94C38"/>
    <w:rsid w:val="00EA5ACF"/>
    <w:rsid w:val="00EA6BDB"/>
    <w:rsid w:val="00EA6C3F"/>
    <w:rsid w:val="00EA721B"/>
    <w:rsid w:val="00EA7688"/>
    <w:rsid w:val="00EA7CA8"/>
    <w:rsid w:val="00EB0237"/>
    <w:rsid w:val="00EB036E"/>
    <w:rsid w:val="00EB0B6F"/>
    <w:rsid w:val="00EB1238"/>
    <w:rsid w:val="00EB14AA"/>
    <w:rsid w:val="00EB1A45"/>
    <w:rsid w:val="00EB2FF1"/>
    <w:rsid w:val="00EB4331"/>
    <w:rsid w:val="00EB7187"/>
    <w:rsid w:val="00EB787C"/>
    <w:rsid w:val="00EB799D"/>
    <w:rsid w:val="00EC0F87"/>
    <w:rsid w:val="00EC0FB4"/>
    <w:rsid w:val="00EC28EF"/>
    <w:rsid w:val="00EC3B34"/>
    <w:rsid w:val="00EC4505"/>
    <w:rsid w:val="00EC5464"/>
    <w:rsid w:val="00EC5C10"/>
    <w:rsid w:val="00ED01F4"/>
    <w:rsid w:val="00ED4A72"/>
    <w:rsid w:val="00ED526C"/>
    <w:rsid w:val="00ED5FB8"/>
    <w:rsid w:val="00ED649C"/>
    <w:rsid w:val="00ED6EAC"/>
    <w:rsid w:val="00EE03E3"/>
    <w:rsid w:val="00EE147C"/>
    <w:rsid w:val="00EE2891"/>
    <w:rsid w:val="00EE392C"/>
    <w:rsid w:val="00EE6158"/>
    <w:rsid w:val="00EF1FA4"/>
    <w:rsid w:val="00EF5FE5"/>
    <w:rsid w:val="00EF6E35"/>
    <w:rsid w:val="00F01246"/>
    <w:rsid w:val="00F02255"/>
    <w:rsid w:val="00F048F9"/>
    <w:rsid w:val="00F05F9F"/>
    <w:rsid w:val="00F06C57"/>
    <w:rsid w:val="00F119F9"/>
    <w:rsid w:val="00F12438"/>
    <w:rsid w:val="00F147FD"/>
    <w:rsid w:val="00F20DCE"/>
    <w:rsid w:val="00F22C6D"/>
    <w:rsid w:val="00F246FD"/>
    <w:rsid w:val="00F24C1C"/>
    <w:rsid w:val="00F26722"/>
    <w:rsid w:val="00F268D3"/>
    <w:rsid w:val="00F27AF3"/>
    <w:rsid w:val="00F30D12"/>
    <w:rsid w:val="00F31238"/>
    <w:rsid w:val="00F31344"/>
    <w:rsid w:val="00F31A43"/>
    <w:rsid w:val="00F33A80"/>
    <w:rsid w:val="00F34947"/>
    <w:rsid w:val="00F3597C"/>
    <w:rsid w:val="00F35A75"/>
    <w:rsid w:val="00F365ED"/>
    <w:rsid w:val="00F4001E"/>
    <w:rsid w:val="00F41237"/>
    <w:rsid w:val="00F42A36"/>
    <w:rsid w:val="00F46868"/>
    <w:rsid w:val="00F47266"/>
    <w:rsid w:val="00F514E9"/>
    <w:rsid w:val="00F52FFF"/>
    <w:rsid w:val="00F5433A"/>
    <w:rsid w:val="00F555DE"/>
    <w:rsid w:val="00F56538"/>
    <w:rsid w:val="00F6027F"/>
    <w:rsid w:val="00F63BD9"/>
    <w:rsid w:val="00F66639"/>
    <w:rsid w:val="00F6676A"/>
    <w:rsid w:val="00F71C72"/>
    <w:rsid w:val="00F72F30"/>
    <w:rsid w:val="00F738A4"/>
    <w:rsid w:val="00F74570"/>
    <w:rsid w:val="00F74A47"/>
    <w:rsid w:val="00F757B3"/>
    <w:rsid w:val="00F76294"/>
    <w:rsid w:val="00F80081"/>
    <w:rsid w:val="00F8022E"/>
    <w:rsid w:val="00F809AF"/>
    <w:rsid w:val="00F80F49"/>
    <w:rsid w:val="00F823FF"/>
    <w:rsid w:val="00F826AE"/>
    <w:rsid w:val="00F83E59"/>
    <w:rsid w:val="00F84256"/>
    <w:rsid w:val="00F854BB"/>
    <w:rsid w:val="00F875CF"/>
    <w:rsid w:val="00F926C7"/>
    <w:rsid w:val="00F93CF7"/>
    <w:rsid w:val="00F94C87"/>
    <w:rsid w:val="00F9588A"/>
    <w:rsid w:val="00F97D73"/>
    <w:rsid w:val="00FA03D4"/>
    <w:rsid w:val="00FA0B4A"/>
    <w:rsid w:val="00FA1362"/>
    <w:rsid w:val="00FA18AC"/>
    <w:rsid w:val="00FA3224"/>
    <w:rsid w:val="00FA3595"/>
    <w:rsid w:val="00FA3D3D"/>
    <w:rsid w:val="00FA68C6"/>
    <w:rsid w:val="00FB00F1"/>
    <w:rsid w:val="00FB1228"/>
    <w:rsid w:val="00FB12C2"/>
    <w:rsid w:val="00FB2CA8"/>
    <w:rsid w:val="00FB3101"/>
    <w:rsid w:val="00FB3C73"/>
    <w:rsid w:val="00FB3CE1"/>
    <w:rsid w:val="00FB3D3A"/>
    <w:rsid w:val="00FB45FA"/>
    <w:rsid w:val="00FB57B6"/>
    <w:rsid w:val="00FB5EF1"/>
    <w:rsid w:val="00FC033B"/>
    <w:rsid w:val="00FC0B45"/>
    <w:rsid w:val="00FC2CF4"/>
    <w:rsid w:val="00FC31F5"/>
    <w:rsid w:val="00FC4D4E"/>
    <w:rsid w:val="00FC50F9"/>
    <w:rsid w:val="00FD1787"/>
    <w:rsid w:val="00FD45DD"/>
    <w:rsid w:val="00FD5B08"/>
    <w:rsid w:val="00FD5E7C"/>
    <w:rsid w:val="00FE079C"/>
    <w:rsid w:val="00FE3334"/>
    <w:rsid w:val="00FE4F17"/>
    <w:rsid w:val="00FF219A"/>
    <w:rsid w:val="00FF3AD0"/>
    <w:rsid w:val="00FF40B7"/>
    <w:rsid w:val="00FF5124"/>
    <w:rsid w:val="00FF5E35"/>
    <w:rsid w:val="00FF6DD5"/>
    <w:rsid w:val="00FF77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41BD038"/>
  <w15:chartTrackingRefBased/>
  <w15:docId w15:val="{B1EE9AF8-C3DC-40C4-BA1D-F5DBE4DE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12975"/>
    <w:pPr>
      <w:spacing w:after="200" w:line="276" w:lineRule="auto"/>
    </w:pPr>
    <w:rPr>
      <w:sz w:val="22"/>
      <w:szCs w:val="22"/>
      <w:lang w:eastAsia="en-US"/>
    </w:rPr>
  </w:style>
  <w:style w:type="paragraph" w:styleId="Naslov1">
    <w:name w:val="heading 1"/>
    <w:aliases w:val="NASLOV"/>
    <w:basedOn w:val="Navaden"/>
    <w:next w:val="Navaden"/>
    <w:link w:val="Naslov1Znak"/>
    <w:autoRedefine/>
    <w:qFormat/>
    <w:rsid w:val="00107ED0"/>
    <w:pPr>
      <w:keepNext/>
      <w:spacing w:before="240" w:after="60" w:line="260" w:lineRule="exact"/>
      <w:outlineLvl w:val="0"/>
    </w:pPr>
    <w:rPr>
      <w:rFonts w:ascii="Arial" w:eastAsia="Times New Roman" w:hAnsi="Arial"/>
      <w:b/>
      <w:kern w:val="32"/>
      <w:sz w:val="28"/>
      <w:szCs w:val="32"/>
      <w:lang w:eastAsia="sl-SI"/>
    </w:rPr>
  </w:style>
  <w:style w:type="paragraph" w:styleId="Naslov2">
    <w:name w:val="heading 2"/>
    <w:basedOn w:val="Navaden"/>
    <w:next w:val="Navaden"/>
    <w:link w:val="Naslov2Znak"/>
    <w:uiPriority w:val="9"/>
    <w:semiHidden/>
    <w:unhideWhenUsed/>
    <w:qFormat/>
    <w:rsid w:val="009235F6"/>
    <w:pPr>
      <w:keepNext/>
      <w:spacing w:before="240" w:after="60"/>
      <w:outlineLvl w:val="1"/>
    </w:pPr>
    <w:rPr>
      <w:rFonts w:ascii="Cambria" w:eastAsia="Times New Roman" w:hAnsi="Cambria"/>
      <w:b/>
      <w:bCs/>
      <w:i/>
      <w:iCs/>
      <w:sz w:val="28"/>
      <w:szCs w:val="28"/>
    </w:rPr>
  </w:style>
  <w:style w:type="paragraph" w:styleId="Naslov3">
    <w:name w:val="heading 3"/>
    <w:basedOn w:val="Navaden"/>
    <w:next w:val="Navaden"/>
    <w:link w:val="Naslov3Znak"/>
    <w:uiPriority w:val="9"/>
    <w:unhideWhenUsed/>
    <w:qFormat/>
    <w:rsid w:val="009235F6"/>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107ED0"/>
    <w:rPr>
      <w:rFonts w:ascii="Arial" w:eastAsia="Times New Roman" w:hAnsi="Arial"/>
      <w:b/>
      <w:kern w:val="32"/>
      <w:sz w:val="28"/>
      <w:szCs w:val="32"/>
    </w:rPr>
  </w:style>
  <w:style w:type="paragraph" w:styleId="Glava">
    <w:name w:val="header"/>
    <w:basedOn w:val="Navaden"/>
    <w:link w:val="GlavaZnak"/>
    <w:rsid w:val="00107ED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rsid w:val="00107ED0"/>
    <w:rPr>
      <w:rFonts w:ascii="Arial" w:eastAsia="Times New Roman" w:hAnsi="Arial"/>
      <w:szCs w:val="24"/>
      <w:lang w:eastAsia="en-US"/>
    </w:rPr>
  </w:style>
  <w:style w:type="paragraph" w:styleId="Noga">
    <w:name w:val="footer"/>
    <w:basedOn w:val="Navaden"/>
    <w:link w:val="NogaZnak"/>
    <w:uiPriority w:val="99"/>
    <w:rsid w:val="00107ED0"/>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link w:val="Noga"/>
    <w:uiPriority w:val="99"/>
    <w:rsid w:val="00107ED0"/>
    <w:rPr>
      <w:rFonts w:ascii="Arial" w:eastAsia="Times New Roman" w:hAnsi="Arial"/>
      <w:szCs w:val="24"/>
      <w:lang w:eastAsia="en-US"/>
    </w:rPr>
  </w:style>
  <w:style w:type="paragraph" w:styleId="Zgradbadokumenta">
    <w:name w:val="Document Map"/>
    <w:basedOn w:val="Navaden"/>
    <w:link w:val="ZgradbadokumentaZnak"/>
    <w:rsid w:val="00107ED0"/>
    <w:pPr>
      <w:spacing w:after="0" w:line="260" w:lineRule="exact"/>
    </w:pPr>
    <w:rPr>
      <w:rFonts w:ascii="Tahoma" w:eastAsia="Times New Roman" w:hAnsi="Tahoma" w:cs="Tahoma"/>
      <w:sz w:val="16"/>
      <w:szCs w:val="16"/>
    </w:rPr>
  </w:style>
  <w:style w:type="character" w:customStyle="1" w:styleId="ZgradbadokumentaZnak">
    <w:name w:val="Zgradba dokumenta Znak"/>
    <w:link w:val="Zgradbadokumenta"/>
    <w:rsid w:val="00107ED0"/>
    <w:rPr>
      <w:rFonts w:ascii="Tahoma" w:eastAsia="Times New Roman" w:hAnsi="Tahoma" w:cs="Tahoma"/>
      <w:sz w:val="16"/>
      <w:szCs w:val="16"/>
      <w:lang w:eastAsia="en-US"/>
    </w:rPr>
  </w:style>
  <w:style w:type="table" w:styleId="Tabelamrea">
    <w:name w:val="Table Grid"/>
    <w:basedOn w:val="Navadnatabela"/>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uiPriority w:val="99"/>
    <w:qFormat/>
    <w:rsid w:val="00107ED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uiPriority w:val="99"/>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107ED0"/>
    <w:rPr>
      <w:rFonts w:ascii="Arial" w:eastAsia="Times New Roman" w:hAnsi="Arial" w:cs="Arial"/>
      <w:b/>
      <w:sz w:val="22"/>
      <w:szCs w:val="22"/>
    </w:rPr>
  </w:style>
  <w:style w:type="paragraph" w:customStyle="1" w:styleId="Alineazaodstavkom">
    <w:name w:val="Alinea za odstavkom"/>
    <w:basedOn w:val="Navaden"/>
    <w:link w:val="AlineazaodstavkomZnak"/>
    <w:qFormat/>
    <w:rsid w:val="00107ED0"/>
    <w:pPr>
      <w:numPr>
        <w:numId w:val="6"/>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107ED0"/>
    <w:rPr>
      <w:rFonts w:ascii="Arial" w:eastAsia="Times New Roman" w:hAnsi="Arial" w:cs="Arial"/>
      <w:sz w:val="22"/>
      <w:szCs w:val="22"/>
    </w:rPr>
  </w:style>
  <w:style w:type="character" w:styleId="tevilkastrani">
    <w:name w:val="page number"/>
    <w:rsid w:val="00107ED0"/>
  </w:style>
  <w:style w:type="paragraph" w:styleId="Sprotnaopomba-besedilo">
    <w:name w:val="footnote text"/>
    <w:basedOn w:val="Navaden"/>
    <w:link w:val="Sprotnaopomba-besediloZnak"/>
    <w:uiPriority w:val="99"/>
    <w:rsid w:val="00107ED0"/>
    <w:pPr>
      <w:spacing w:after="0" w:line="260" w:lineRule="exact"/>
    </w:pPr>
    <w:rPr>
      <w:rFonts w:ascii="Arial" w:eastAsia="Times New Roman" w:hAnsi="Arial"/>
      <w:sz w:val="20"/>
      <w:szCs w:val="20"/>
    </w:rPr>
  </w:style>
  <w:style w:type="character" w:customStyle="1" w:styleId="Sprotnaopomba-besediloZnak">
    <w:name w:val="Sprotna opomba - besedilo Znak"/>
    <w:link w:val="Sprotnaopomba-besedilo"/>
    <w:uiPriority w:val="99"/>
    <w:rsid w:val="00107ED0"/>
    <w:rPr>
      <w:rFonts w:ascii="Arial" w:eastAsia="Times New Roman" w:hAnsi="Arial"/>
      <w:lang w:eastAsia="en-US"/>
    </w:rPr>
  </w:style>
  <w:style w:type="character" w:styleId="Sprotnaopomba-sklic">
    <w:name w:val="footnote reference"/>
    <w:uiPriority w:val="99"/>
    <w:rsid w:val="00107ED0"/>
    <w:rPr>
      <w:vertAlign w:val="superscript"/>
    </w:rPr>
  </w:style>
  <w:style w:type="character" w:styleId="Pripombasklic">
    <w:name w:val="annotation reference"/>
    <w:uiPriority w:val="99"/>
    <w:semiHidden/>
    <w:rsid w:val="00107ED0"/>
    <w:rPr>
      <w:sz w:val="16"/>
      <w:szCs w:val="16"/>
    </w:rPr>
  </w:style>
  <w:style w:type="paragraph" w:styleId="Pripombabesedilo">
    <w:name w:val="annotation text"/>
    <w:basedOn w:val="Navaden"/>
    <w:link w:val="PripombabesediloZnak"/>
    <w:uiPriority w:val="99"/>
    <w:semiHidden/>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link w:val="Pripombabesedilo"/>
    <w:uiPriority w:val="99"/>
    <w:semiHidden/>
    <w:rsid w:val="00107ED0"/>
    <w:rPr>
      <w:rFonts w:ascii="Times New Roman" w:eastAsia="Times New Roman" w:hAnsi="Times New Roman"/>
      <w:lang w:eastAsia="en-US"/>
    </w:rPr>
  </w:style>
  <w:style w:type="paragraph" w:styleId="Besedilooblaka">
    <w:name w:val="Balloon Text"/>
    <w:basedOn w:val="Navaden"/>
    <w:link w:val="BesedilooblakaZnak"/>
    <w:semiHidden/>
    <w:rsid w:val="00107ED0"/>
    <w:pPr>
      <w:spacing w:after="0" w:line="260" w:lineRule="exact"/>
    </w:pPr>
    <w:rPr>
      <w:rFonts w:ascii="Tahoma" w:eastAsia="Times New Roman" w:hAnsi="Tahoma" w:cs="Tahoma"/>
      <w:sz w:val="16"/>
      <w:szCs w:val="16"/>
    </w:rPr>
  </w:style>
  <w:style w:type="character" w:customStyle="1" w:styleId="BesedilooblakaZnak">
    <w:name w:val="Besedilo oblačka Znak"/>
    <w:link w:val="Besedilooblaka"/>
    <w:semiHidden/>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basedOn w:val="Navaden"/>
    <w:link w:val="OdstavekseznamaZnak"/>
    <w:uiPriority w:val="34"/>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semiHidden/>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107ED0"/>
    <w:rPr>
      <w:rFonts w:ascii="Arial" w:eastAsia="Times New Roman" w:hAnsi="Arial" w:cs="Arial"/>
      <w:sz w:val="22"/>
      <w:szCs w:val="22"/>
    </w:rPr>
  </w:style>
  <w:style w:type="character" w:customStyle="1" w:styleId="rkovnatokazaodstavkomZnak">
    <w:name w:val="Črkovna točka_za odstavkom Znak"/>
    <w:link w:val="rkovnatokazaodstavkom"/>
    <w:rsid w:val="00107ED0"/>
    <w:rPr>
      <w:rFonts w:ascii="Arial" w:hAnsi="Arial"/>
    </w:rPr>
  </w:style>
  <w:style w:type="paragraph" w:customStyle="1" w:styleId="rkovnatokazaodstavkom">
    <w:name w:val="Črkovna točka_za odstavkom"/>
    <w:basedOn w:val="Navaden"/>
    <w:link w:val="rkovnatokazaodstavkomZnak"/>
    <w:qFormat/>
    <w:rsid w:val="00107ED0"/>
    <w:pPr>
      <w:numPr>
        <w:numId w:val="5"/>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107ED0"/>
    <w:pPr>
      <w:numPr>
        <w:numId w:val="1"/>
      </w:numPr>
      <w:ind w:left="0" w:firstLine="0"/>
    </w:pPr>
  </w:style>
  <w:style w:type="character" w:customStyle="1" w:styleId="OdsekZnak">
    <w:name w:val="Odsek Znak"/>
    <w:link w:val="Odsek"/>
    <w:rsid w:val="00107ED0"/>
    <w:rPr>
      <w:rFonts w:ascii="Arial" w:eastAsia="Times New Roman" w:hAnsi="Arial" w:cs="Arial"/>
      <w:b/>
      <w:sz w:val="22"/>
      <w:szCs w:val="22"/>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basedOn w:val="Navaden"/>
    <w:link w:val="Telobesedila-zamikZnak"/>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link w:val="Telobesedila-zamik"/>
    <w:rsid w:val="00AA3C9A"/>
    <w:rPr>
      <w:rFonts w:ascii="Arial" w:eastAsia="Times New Roman" w:hAnsi="Arial"/>
      <w:szCs w:val="24"/>
      <w:lang w:val="en-US" w:eastAsia="en-US"/>
    </w:rPr>
  </w:style>
  <w:style w:type="character" w:customStyle="1" w:styleId="Naslov2Znak">
    <w:name w:val="Naslov 2 Znak"/>
    <w:link w:val="Naslov2"/>
    <w:uiPriority w:val="9"/>
    <w:semiHidden/>
    <w:rsid w:val="009235F6"/>
    <w:rPr>
      <w:rFonts w:ascii="Cambria" w:eastAsia="Times New Roman" w:hAnsi="Cambria" w:cs="Times New Roman"/>
      <w:b/>
      <w:bCs/>
      <w:i/>
      <w:iCs/>
      <w:sz w:val="28"/>
      <w:szCs w:val="28"/>
      <w:lang w:eastAsia="en-US"/>
    </w:rPr>
  </w:style>
  <w:style w:type="character" w:customStyle="1" w:styleId="Naslov3Znak">
    <w:name w:val="Naslov 3 Znak"/>
    <w:link w:val="Naslov3"/>
    <w:uiPriority w:val="9"/>
    <w:rsid w:val="009235F6"/>
    <w:rPr>
      <w:rFonts w:ascii="Cambria" w:eastAsia="Times New Roman" w:hAnsi="Cambria" w:cs="Times New Roman"/>
      <w:b/>
      <w:bCs/>
      <w:sz w:val="26"/>
      <w:szCs w:val="26"/>
      <w:lang w:eastAsia="en-US"/>
    </w:rPr>
  </w:style>
  <w:style w:type="character" w:customStyle="1" w:styleId="OdstavekseznamaZnak">
    <w:name w:val="Odstavek seznama Znak"/>
    <w:link w:val="Odstavekseznama"/>
    <w:uiPriority w:val="34"/>
    <w:rsid w:val="00770F58"/>
    <w:rPr>
      <w:rFonts w:ascii="Times New Roman" w:eastAsia="Times New Roman" w:hAnsi="Times New Roman"/>
      <w:sz w:val="24"/>
      <w:szCs w:val="24"/>
    </w:rPr>
  </w:style>
  <w:style w:type="paragraph" w:styleId="Brezrazmikov">
    <w:name w:val="No Spacing"/>
    <w:link w:val="BrezrazmikovZnak"/>
    <w:uiPriority w:val="1"/>
    <w:qFormat/>
    <w:rsid w:val="00081276"/>
    <w:rPr>
      <w:sz w:val="22"/>
      <w:szCs w:val="22"/>
      <w:lang w:eastAsia="en-US"/>
    </w:rPr>
  </w:style>
  <w:style w:type="paragraph" w:styleId="Revizija">
    <w:name w:val="Revision"/>
    <w:hidden/>
    <w:uiPriority w:val="99"/>
    <w:semiHidden/>
    <w:rsid w:val="00725430"/>
    <w:rPr>
      <w:sz w:val="22"/>
      <w:szCs w:val="22"/>
      <w:lang w:eastAsia="en-US"/>
    </w:rPr>
  </w:style>
  <w:style w:type="paragraph" w:customStyle="1" w:styleId="FURSNavaden">
    <w:name w:val="FURS Navaden"/>
    <w:basedOn w:val="Navaden"/>
    <w:link w:val="FURSNavadenZnak"/>
    <w:qFormat/>
    <w:rsid w:val="003E2A34"/>
    <w:pPr>
      <w:spacing w:after="0" w:line="260" w:lineRule="atLeast"/>
      <w:jc w:val="both"/>
    </w:pPr>
    <w:rPr>
      <w:rFonts w:ascii="Arial" w:hAnsi="Arial"/>
      <w:sz w:val="20"/>
      <w:szCs w:val="24"/>
      <w:lang w:eastAsia="sl-SI"/>
    </w:rPr>
  </w:style>
  <w:style w:type="character" w:customStyle="1" w:styleId="FURSNavadenZnak">
    <w:name w:val="FURS Navaden Znak"/>
    <w:link w:val="FURSNavaden"/>
    <w:rsid w:val="003E2A34"/>
    <w:rPr>
      <w:rFonts w:ascii="Arial" w:hAnsi="Arial"/>
      <w:szCs w:val="24"/>
    </w:rPr>
  </w:style>
  <w:style w:type="table" w:customStyle="1" w:styleId="Tabela-mrea1">
    <w:name w:val="Tabela - mreža1"/>
    <w:basedOn w:val="Navadnatabela"/>
    <w:next w:val="Tabelamrea"/>
    <w:uiPriority w:val="59"/>
    <w:rsid w:val="00E6687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E6687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uiPriority w:val="22"/>
    <w:qFormat/>
    <w:rsid w:val="009F32C0"/>
    <w:rPr>
      <w:b/>
      <w:bCs/>
    </w:rPr>
  </w:style>
  <w:style w:type="paragraph" w:styleId="Golobesedilo">
    <w:name w:val="Plain Text"/>
    <w:basedOn w:val="Navaden"/>
    <w:link w:val="GolobesediloZnak"/>
    <w:uiPriority w:val="99"/>
    <w:semiHidden/>
    <w:unhideWhenUsed/>
    <w:rsid w:val="000F3BE0"/>
    <w:pPr>
      <w:spacing w:after="0" w:line="240" w:lineRule="auto"/>
    </w:pPr>
    <w:rPr>
      <w:rFonts w:eastAsiaTheme="minorHAnsi" w:cs="Consolas"/>
      <w:szCs w:val="21"/>
    </w:rPr>
  </w:style>
  <w:style w:type="character" w:customStyle="1" w:styleId="GolobesediloZnak">
    <w:name w:val="Golo besedilo Znak"/>
    <w:basedOn w:val="Privzetapisavaodstavka"/>
    <w:link w:val="Golobesedilo"/>
    <w:uiPriority w:val="99"/>
    <w:semiHidden/>
    <w:rsid w:val="000F3BE0"/>
    <w:rPr>
      <w:rFonts w:eastAsiaTheme="minorHAnsi" w:cs="Consolas"/>
      <w:sz w:val="22"/>
      <w:szCs w:val="21"/>
      <w:lang w:eastAsia="en-US"/>
    </w:rPr>
  </w:style>
  <w:style w:type="paragraph" w:customStyle="1" w:styleId="Default">
    <w:name w:val="Default"/>
    <w:basedOn w:val="Navaden"/>
    <w:rsid w:val="00A36872"/>
    <w:pPr>
      <w:autoSpaceDE w:val="0"/>
      <w:autoSpaceDN w:val="0"/>
      <w:spacing w:after="0" w:line="240" w:lineRule="auto"/>
    </w:pPr>
    <w:rPr>
      <w:rFonts w:ascii="Arial" w:eastAsiaTheme="minorHAnsi" w:hAnsi="Arial" w:cs="Arial"/>
      <w:color w:val="000000"/>
      <w:sz w:val="24"/>
      <w:szCs w:val="24"/>
      <w:lang w:eastAsia="sl-SI"/>
    </w:rPr>
  </w:style>
  <w:style w:type="character" w:customStyle="1" w:styleId="BrezrazmikovZnak">
    <w:name w:val="Brez razmikov Znak"/>
    <w:link w:val="Brezrazmikov"/>
    <w:uiPriority w:val="1"/>
    <w:rsid w:val="00CA4E99"/>
    <w:rPr>
      <w:sz w:val="22"/>
      <w:szCs w:val="22"/>
      <w:lang w:eastAsia="en-US"/>
    </w:rPr>
  </w:style>
  <w:style w:type="table" w:styleId="Tabelatemnamrea5poudarek5">
    <w:name w:val="Grid Table 5 Dark Accent 5"/>
    <w:basedOn w:val="Navadnatabela"/>
    <w:uiPriority w:val="50"/>
    <w:rsid w:val="00AC7D36"/>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Slog1">
    <w:name w:val="Slog1"/>
    <w:basedOn w:val="Navadnatabela"/>
    <w:uiPriority w:val="99"/>
    <w:rsid w:val="00AC7D36"/>
    <w:tblPr/>
  </w:style>
  <w:style w:type="paragraph" w:styleId="Navadensplet">
    <w:name w:val="Normal (Web)"/>
    <w:basedOn w:val="Navaden"/>
    <w:uiPriority w:val="99"/>
    <w:semiHidden/>
    <w:unhideWhenUsed/>
    <w:rsid w:val="00AC7D36"/>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roles">
    <w:name w:val="roles"/>
    <w:basedOn w:val="Privzetapisavaodstavka"/>
    <w:rsid w:val="00AC7D36"/>
  </w:style>
  <w:style w:type="character" w:styleId="Nerazreenaomemba">
    <w:name w:val="Unresolved Mention"/>
    <w:basedOn w:val="Privzetapisavaodstavka"/>
    <w:uiPriority w:val="99"/>
    <w:semiHidden/>
    <w:unhideWhenUsed/>
    <w:rsid w:val="004B7622"/>
    <w:rPr>
      <w:color w:val="605E5C"/>
      <w:shd w:val="clear" w:color="auto" w:fill="E1DFDD"/>
    </w:rPr>
  </w:style>
  <w:style w:type="character" w:styleId="SledenaHiperpovezava">
    <w:name w:val="FollowedHyperlink"/>
    <w:basedOn w:val="Privzetapisavaodstavka"/>
    <w:uiPriority w:val="99"/>
    <w:semiHidden/>
    <w:unhideWhenUsed/>
    <w:rsid w:val="004B76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8165">
      <w:bodyDiv w:val="1"/>
      <w:marLeft w:val="0"/>
      <w:marRight w:val="0"/>
      <w:marTop w:val="0"/>
      <w:marBottom w:val="0"/>
      <w:divBdr>
        <w:top w:val="none" w:sz="0" w:space="0" w:color="auto"/>
        <w:left w:val="none" w:sz="0" w:space="0" w:color="auto"/>
        <w:bottom w:val="none" w:sz="0" w:space="0" w:color="auto"/>
        <w:right w:val="none" w:sz="0" w:space="0" w:color="auto"/>
      </w:divBdr>
    </w:div>
    <w:div w:id="60832087">
      <w:bodyDiv w:val="1"/>
      <w:marLeft w:val="0"/>
      <w:marRight w:val="0"/>
      <w:marTop w:val="0"/>
      <w:marBottom w:val="0"/>
      <w:divBdr>
        <w:top w:val="none" w:sz="0" w:space="0" w:color="auto"/>
        <w:left w:val="none" w:sz="0" w:space="0" w:color="auto"/>
        <w:bottom w:val="none" w:sz="0" w:space="0" w:color="auto"/>
        <w:right w:val="none" w:sz="0" w:space="0" w:color="auto"/>
      </w:divBdr>
    </w:div>
    <w:div w:id="69083669">
      <w:bodyDiv w:val="1"/>
      <w:marLeft w:val="0"/>
      <w:marRight w:val="0"/>
      <w:marTop w:val="0"/>
      <w:marBottom w:val="0"/>
      <w:divBdr>
        <w:top w:val="none" w:sz="0" w:space="0" w:color="auto"/>
        <w:left w:val="none" w:sz="0" w:space="0" w:color="auto"/>
        <w:bottom w:val="none" w:sz="0" w:space="0" w:color="auto"/>
        <w:right w:val="none" w:sz="0" w:space="0" w:color="auto"/>
      </w:divBdr>
    </w:div>
    <w:div w:id="115685005">
      <w:bodyDiv w:val="1"/>
      <w:marLeft w:val="0"/>
      <w:marRight w:val="0"/>
      <w:marTop w:val="0"/>
      <w:marBottom w:val="0"/>
      <w:divBdr>
        <w:top w:val="none" w:sz="0" w:space="0" w:color="auto"/>
        <w:left w:val="none" w:sz="0" w:space="0" w:color="auto"/>
        <w:bottom w:val="none" w:sz="0" w:space="0" w:color="auto"/>
        <w:right w:val="none" w:sz="0" w:space="0" w:color="auto"/>
      </w:divBdr>
    </w:div>
    <w:div w:id="118689793">
      <w:bodyDiv w:val="1"/>
      <w:marLeft w:val="0"/>
      <w:marRight w:val="0"/>
      <w:marTop w:val="0"/>
      <w:marBottom w:val="0"/>
      <w:divBdr>
        <w:top w:val="none" w:sz="0" w:space="0" w:color="auto"/>
        <w:left w:val="none" w:sz="0" w:space="0" w:color="auto"/>
        <w:bottom w:val="none" w:sz="0" w:space="0" w:color="auto"/>
        <w:right w:val="none" w:sz="0" w:space="0" w:color="auto"/>
      </w:divBdr>
    </w:div>
    <w:div w:id="139226589">
      <w:bodyDiv w:val="1"/>
      <w:marLeft w:val="0"/>
      <w:marRight w:val="0"/>
      <w:marTop w:val="0"/>
      <w:marBottom w:val="0"/>
      <w:divBdr>
        <w:top w:val="none" w:sz="0" w:space="0" w:color="auto"/>
        <w:left w:val="none" w:sz="0" w:space="0" w:color="auto"/>
        <w:bottom w:val="none" w:sz="0" w:space="0" w:color="auto"/>
        <w:right w:val="none" w:sz="0" w:space="0" w:color="auto"/>
      </w:divBdr>
    </w:div>
    <w:div w:id="152572210">
      <w:bodyDiv w:val="1"/>
      <w:marLeft w:val="0"/>
      <w:marRight w:val="0"/>
      <w:marTop w:val="0"/>
      <w:marBottom w:val="0"/>
      <w:divBdr>
        <w:top w:val="none" w:sz="0" w:space="0" w:color="auto"/>
        <w:left w:val="none" w:sz="0" w:space="0" w:color="auto"/>
        <w:bottom w:val="none" w:sz="0" w:space="0" w:color="auto"/>
        <w:right w:val="none" w:sz="0" w:space="0" w:color="auto"/>
      </w:divBdr>
    </w:div>
    <w:div w:id="169301908">
      <w:bodyDiv w:val="1"/>
      <w:marLeft w:val="0"/>
      <w:marRight w:val="0"/>
      <w:marTop w:val="0"/>
      <w:marBottom w:val="0"/>
      <w:divBdr>
        <w:top w:val="none" w:sz="0" w:space="0" w:color="auto"/>
        <w:left w:val="none" w:sz="0" w:space="0" w:color="auto"/>
        <w:bottom w:val="none" w:sz="0" w:space="0" w:color="auto"/>
        <w:right w:val="none" w:sz="0" w:space="0" w:color="auto"/>
      </w:divBdr>
    </w:div>
    <w:div w:id="180170708">
      <w:bodyDiv w:val="1"/>
      <w:marLeft w:val="0"/>
      <w:marRight w:val="0"/>
      <w:marTop w:val="0"/>
      <w:marBottom w:val="0"/>
      <w:divBdr>
        <w:top w:val="none" w:sz="0" w:space="0" w:color="auto"/>
        <w:left w:val="none" w:sz="0" w:space="0" w:color="auto"/>
        <w:bottom w:val="none" w:sz="0" w:space="0" w:color="auto"/>
        <w:right w:val="none" w:sz="0" w:space="0" w:color="auto"/>
      </w:divBdr>
    </w:div>
    <w:div w:id="182669781">
      <w:bodyDiv w:val="1"/>
      <w:marLeft w:val="0"/>
      <w:marRight w:val="0"/>
      <w:marTop w:val="0"/>
      <w:marBottom w:val="0"/>
      <w:divBdr>
        <w:top w:val="none" w:sz="0" w:space="0" w:color="auto"/>
        <w:left w:val="none" w:sz="0" w:space="0" w:color="auto"/>
        <w:bottom w:val="none" w:sz="0" w:space="0" w:color="auto"/>
        <w:right w:val="none" w:sz="0" w:space="0" w:color="auto"/>
      </w:divBdr>
    </w:div>
    <w:div w:id="216165801">
      <w:bodyDiv w:val="1"/>
      <w:marLeft w:val="0"/>
      <w:marRight w:val="0"/>
      <w:marTop w:val="0"/>
      <w:marBottom w:val="0"/>
      <w:divBdr>
        <w:top w:val="none" w:sz="0" w:space="0" w:color="auto"/>
        <w:left w:val="none" w:sz="0" w:space="0" w:color="auto"/>
        <w:bottom w:val="none" w:sz="0" w:space="0" w:color="auto"/>
        <w:right w:val="none" w:sz="0" w:space="0" w:color="auto"/>
      </w:divBdr>
    </w:div>
    <w:div w:id="226577008">
      <w:bodyDiv w:val="1"/>
      <w:marLeft w:val="0"/>
      <w:marRight w:val="0"/>
      <w:marTop w:val="0"/>
      <w:marBottom w:val="0"/>
      <w:divBdr>
        <w:top w:val="none" w:sz="0" w:space="0" w:color="auto"/>
        <w:left w:val="none" w:sz="0" w:space="0" w:color="auto"/>
        <w:bottom w:val="none" w:sz="0" w:space="0" w:color="auto"/>
        <w:right w:val="none" w:sz="0" w:space="0" w:color="auto"/>
      </w:divBdr>
    </w:div>
    <w:div w:id="232470987">
      <w:bodyDiv w:val="1"/>
      <w:marLeft w:val="0"/>
      <w:marRight w:val="0"/>
      <w:marTop w:val="0"/>
      <w:marBottom w:val="0"/>
      <w:divBdr>
        <w:top w:val="none" w:sz="0" w:space="0" w:color="auto"/>
        <w:left w:val="none" w:sz="0" w:space="0" w:color="auto"/>
        <w:bottom w:val="none" w:sz="0" w:space="0" w:color="auto"/>
        <w:right w:val="none" w:sz="0" w:space="0" w:color="auto"/>
      </w:divBdr>
    </w:div>
    <w:div w:id="234822160">
      <w:bodyDiv w:val="1"/>
      <w:marLeft w:val="0"/>
      <w:marRight w:val="0"/>
      <w:marTop w:val="0"/>
      <w:marBottom w:val="0"/>
      <w:divBdr>
        <w:top w:val="none" w:sz="0" w:space="0" w:color="auto"/>
        <w:left w:val="none" w:sz="0" w:space="0" w:color="auto"/>
        <w:bottom w:val="none" w:sz="0" w:space="0" w:color="auto"/>
        <w:right w:val="none" w:sz="0" w:space="0" w:color="auto"/>
      </w:divBdr>
    </w:div>
    <w:div w:id="246571967">
      <w:bodyDiv w:val="1"/>
      <w:marLeft w:val="0"/>
      <w:marRight w:val="0"/>
      <w:marTop w:val="0"/>
      <w:marBottom w:val="0"/>
      <w:divBdr>
        <w:top w:val="none" w:sz="0" w:space="0" w:color="auto"/>
        <w:left w:val="none" w:sz="0" w:space="0" w:color="auto"/>
        <w:bottom w:val="none" w:sz="0" w:space="0" w:color="auto"/>
        <w:right w:val="none" w:sz="0" w:space="0" w:color="auto"/>
      </w:divBdr>
    </w:div>
    <w:div w:id="252396122">
      <w:bodyDiv w:val="1"/>
      <w:marLeft w:val="0"/>
      <w:marRight w:val="0"/>
      <w:marTop w:val="0"/>
      <w:marBottom w:val="0"/>
      <w:divBdr>
        <w:top w:val="none" w:sz="0" w:space="0" w:color="auto"/>
        <w:left w:val="none" w:sz="0" w:space="0" w:color="auto"/>
        <w:bottom w:val="none" w:sz="0" w:space="0" w:color="auto"/>
        <w:right w:val="none" w:sz="0" w:space="0" w:color="auto"/>
      </w:divBdr>
    </w:div>
    <w:div w:id="347416209">
      <w:bodyDiv w:val="1"/>
      <w:marLeft w:val="0"/>
      <w:marRight w:val="0"/>
      <w:marTop w:val="0"/>
      <w:marBottom w:val="0"/>
      <w:divBdr>
        <w:top w:val="none" w:sz="0" w:space="0" w:color="auto"/>
        <w:left w:val="none" w:sz="0" w:space="0" w:color="auto"/>
        <w:bottom w:val="none" w:sz="0" w:space="0" w:color="auto"/>
        <w:right w:val="none" w:sz="0" w:space="0" w:color="auto"/>
      </w:divBdr>
    </w:div>
    <w:div w:id="349767720">
      <w:bodyDiv w:val="1"/>
      <w:marLeft w:val="0"/>
      <w:marRight w:val="0"/>
      <w:marTop w:val="0"/>
      <w:marBottom w:val="0"/>
      <w:divBdr>
        <w:top w:val="none" w:sz="0" w:space="0" w:color="auto"/>
        <w:left w:val="none" w:sz="0" w:space="0" w:color="auto"/>
        <w:bottom w:val="none" w:sz="0" w:space="0" w:color="auto"/>
        <w:right w:val="none" w:sz="0" w:space="0" w:color="auto"/>
      </w:divBdr>
    </w:div>
    <w:div w:id="352461892">
      <w:bodyDiv w:val="1"/>
      <w:marLeft w:val="0"/>
      <w:marRight w:val="0"/>
      <w:marTop w:val="0"/>
      <w:marBottom w:val="0"/>
      <w:divBdr>
        <w:top w:val="none" w:sz="0" w:space="0" w:color="auto"/>
        <w:left w:val="none" w:sz="0" w:space="0" w:color="auto"/>
        <w:bottom w:val="none" w:sz="0" w:space="0" w:color="auto"/>
        <w:right w:val="none" w:sz="0" w:space="0" w:color="auto"/>
      </w:divBdr>
    </w:div>
    <w:div w:id="363557673">
      <w:bodyDiv w:val="1"/>
      <w:marLeft w:val="0"/>
      <w:marRight w:val="0"/>
      <w:marTop w:val="0"/>
      <w:marBottom w:val="0"/>
      <w:divBdr>
        <w:top w:val="none" w:sz="0" w:space="0" w:color="auto"/>
        <w:left w:val="none" w:sz="0" w:space="0" w:color="auto"/>
        <w:bottom w:val="none" w:sz="0" w:space="0" w:color="auto"/>
        <w:right w:val="none" w:sz="0" w:space="0" w:color="auto"/>
      </w:divBdr>
    </w:div>
    <w:div w:id="370419033">
      <w:bodyDiv w:val="1"/>
      <w:marLeft w:val="0"/>
      <w:marRight w:val="0"/>
      <w:marTop w:val="0"/>
      <w:marBottom w:val="0"/>
      <w:divBdr>
        <w:top w:val="none" w:sz="0" w:space="0" w:color="auto"/>
        <w:left w:val="none" w:sz="0" w:space="0" w:color="auto"/>
        <w:bottom w:val="none" w:sz="0" w:space="0" w:color="auto"/>
        <w:right w:val="none" w:sz="0" w:space="0" w:color="auto"/>
      </w:divBdr>
    </w:div>
    <w:div w:id="375391545">
      <w:bodyDiv w:val="1"/>
      <w:marLeft w:val="0"/>
      <w:marRight w:val="0"/>
      <w:marTop w:val="0"/>
      <w:marBottom w:val="0"/>
      <w:divBdr>
        <w:top w:val="none" w:sz="0" w:space="0" w:color="auto"/>
        <w:left w:val="none" w:sz="0" w:space="0" w:color="auto"/>
        <w:bottom w:val="none" w:sz="0" w:space="0" w:color="auto"/>
        <w:right w:val="none" w:sz="0" w:space="0" w:color="auto"/>
      </w:divBdr>
    </w:div>
    <w:div w:id="417138373">
      <w:bodyDiv w:val="1"/>
      <w:marLeft w:val="0"/>
      <w:marRight w:val="0"/>
      <w:marTop w:val="0"/>
      <w:marBottom w:val="0"/>
      <w:divBdr>
        <w:top w:val="none" w:sz="0" w:space="0" w:color="auto"/>
        <w:left w:val="none" w:sz="0" w:space="0" w:color="auto"/>
        <w:bottom w:val="none" w:sz="0" w:space="0" w:color="auto"/>
        <w:right w:val="none" w:sz="0" w:space="0" w:color="auto"/>
      </w:divBdr>
    </w:div>
    <w:div w:id="427703772">
      <w:bodyDiv w:val="1"/>
      <w:marLeft w:val="0"/>
      <w:marRight w:val="0"/>
      <w:marTop w:val="0"/>
      <w:marBottom w:val="0"/>
      <w:divBdr>
        <w:top w:val="none" w:sz="0" w:space="0" w:color="auto"/>
        <w:left w:val="none" w:sz="0" w:space="0" w:color="auto"/>
        <w:bottom w:val="none" w:sz="0" w:space="0" w:color="auto"/>
        <w:right w:val="none" w:sz="0" w:space="0" w:color="auto"/>
      </w:divBdr>
    </w:div>
    <w:div w:id="481506370">
      <w:bodyDiv w:val="1"/>
      <w:marLeft w:val="0"/>
      <w:marRight w:val="0"/>
      <w:marTop w:val="0"/>
      <w:marBottom w:val="0"/>
      <w:divBdr>
        <w:top w:val="none" w:sz="0" w:space="0" w:color="auto"/>
        <w:left w:val="none" w:sz="0" w:space="0" w:color="auto"/>
        <w:bottom w:val="none" w:sz="0" w:space="0" w:color="auto"/>
        <w:right w:val="none" w:sz="0" w:space="0" w:color="auto"/>
      </w:divBdr>
    </w:div>
    <w:div w:id="491335551">
      <w:bodyDiv w:val="1"/>
      <w:marLeft w:val="0"/>
      <w:marRight w:val="0"/>
      <w:marTop w:val="0"/>
      <w:marBottom w:val="0"/>
      <w:divBdr>
        <w:top w:val="none" w:sz="0" w:space="0" w:color="auto"/>
        <w:left w:val="none" w:sz="0" w:space="0" w:color="auto"/>
        <w:bottom w:val="none" w:sz="0" w:space="0" w:color="auto"/>
        <w:right w:val="none" w:sz="0" w:space="0" w:color="auto"/>
      </w:divBdr>
    </w:div>
    <w:div w:id="502933755">
      <w:bodyDiv w:val="1"/>
      <w:marLeft w:val="0"/>
      <w:marRight w:val="0"/>
      <w:marTop w:val="0"/>
      <w:marBottom w:val="0"/>
      <w:divBdr>
        <w:top w:val="none" w:sz="0" w:space="0" w:color="auto"/>
        <w:left w:val="none" w:sz="0" w:space="0" w:color="auto"/>
        <w:bottom w:val="none" w:sz="0" w:space="0" w:color="auto"/>
        <w:right w:val="none" w:sz="0" w:space="0" w:color="auto"/>
      </w:divBdr>
    </w:div>
    <w:div w:id="503328137">
      <w:bodyDiv w:val="1"/>
      <w:marLeft w:val="0"/>
      <w:marRight w:val="0"/>
      <w:marTop w:val="0"/>
      <w:marBottom w:val="0"/>
      <w:divBdr>
        <w:top w:val="none" w:sz="0" w:space="0" w:color="auto"/>
        <w:left w:val="none" w:sz="0" w:space="0" w:color="auto"/>
        <w:bottom w:val="none" w:sz="0" w:space="0" w:color="auto"/>
        <w:right w:val="none" w:sz="0" w:space="0" w:color="auto"/>
      </w:divBdr>
    </w:div>
    <w:div w:id="527916771">
      <w:bodyDiv w:val="1"/>
      <w:marLeft w:val="0"/>
      <w:marRight w:val="0"/>
      <w:marTop w:val="0"/>
      <w:marBottom w:val="0"/>
      <w:divBdr>
        <w:top w:val="none" w:sz="0" w:space="0" w:color="auto"/>
        <w:left w:val="none" w:sz="0" w:space="0" w:color="auto"/>
        <w:bottom w:val="none" w:sz="0" w:space="0" w:color="auto"/>
        <w:right w:val="none" w:sz="0" w:space="0" w:color="auto"/>
      </w:divBdr>
    </w:div>
    <w:div w:id="528104699">
      <w:bodyDiv w:val="1"/>
      <w:marLeft w:val="0"/>
      <w:marRight w:val="0"/>
      <w:marTop w:val="0"/>
      <w:marBottom w:val="0"/>
      <w:divBdr>
        <w:top w:val="none" w:sz="0" w:space="0" w:color="auto"/>
        <w:left w:val="none" w:sz="0" w:space="0" w:color="auto"/>
        <w:bottom w:val="none" w:sz="0" w:space="0" w:color="auto"/>
        <w:right w:val="none" w:sz="0" w:space="0" w:color="auto"/>
      </w:divBdr>
    </w:div>
    <w:div w:id="537396394">
      <w:bodyDiv w:val="1"/>
      <w:marLeft w:val="0"/>
      <w:marRight w:val="0"/>
      <w:marTop w:val="0"/>
      <w:marBottom w:val="0"/>
      <w:divBdr>
        <w:top w:val="none" w:sz="0" w:space="0" w:color="auto"/>
        <w:left w:val="none" w:sz="0" w:space="0" w:color="auto"/>
        <w:bottom w:val="none" w:sz="0" w:space="0" w:color="auto"/>
        <w:right w:val="none" w:sz="0" w:space="0" w:color="auto"/>
      </w:divBdr>
    </w:div>
    <w:div w:id="559556396">
      <w:bodyDiv w:val="1"/>
      <w:marLeft w:val="0"/>
      <w:marRight w:val="0"/>
      <w:marTop w:val="0"/>
      <w:marBottom w:val="0"/>
      <w:divBdr>
        <w:top w:val="none" w:sz="0" w:space="0" w:color="auto"/>
        <w:left w:val="none" w:sz="0" w:space="0" w:color="auto"/>
        <w:bottom w:val="none" w:sz="0" w:space="0" w:color="auto"/>
        <w:right w:val="none" w:sz="0" w:space="0" w:color="auto"/>
      </w:divBdr>
    </w:div>
    <w:div w:id="576476371">
      <w:bodyDiv w:val="1"/>
      <w:marLeft w:val="0"/>
      <w:marRight w:val="0"/>
      <w:marTop w:val="0"/>
      <w:marBottom w:val="0"/>
      <w:divBdr>
        <w:top w:val="none" w:sz="0" w:space="0" w:color="auto"/>
        <w:left w:val="none" w:sz="0" w:space="0" w:color="auto"/>
        <w:bottom w:val="none" w:sz="0" w:space="0" w:color="auto"/>
        <w:right w:val="none" w:sz="0" w:space="0" w:color="auto"/>
      </w:divBdr>
    </w:div>
    <w:div w:id="587466386">
      <w:bodyDiv w:val="1"/>
      <w:marLeft w:val="0"/>
      <w:marRight w:val="0"/>
      <w:marTop w:val="0"/>
      <w:marBottom w:val="0"/>
      <w:divBdr>
        <w:top w:val="none" w:sz="0" w:space="0" w:color="auto"/>
        <w:left w:val="none" w:sz="0" w:space="0" w:color="auto"/>
        <w:bottom w:val="none" w:sz="0" w:space="0" w:color="auto"/>
        <w:right w:val="none" w:sz="0" w:space="0" w:color="auto"/>
      </w:divBdr>
    </w:div>
    <w:div w:id="603193556">
      <w:bodyDiv w:val="1"/>
      <w:marLeft w:val="0"/>
      <w:marRight w:val="0"/>
      <w:marTop w:val="0"/>
      <w:marBottom w:val="0"/>
      <w:divBdr>
        <w:top w:val="none" w:sz="0" w:space="0" w:color="auto"/>
        <w:left w:val="none" w:sz="0" w:space="0" w:color="auto"/>
        <w:bottom w:val="none" w:sz="0" w:space="0" w:color="auto"/>
        <w:right w:val="none" w:sz="0" w:space="0" w:color="auto"/>
      </w:divBdr>
    </w:div>
    <w:div w:id="606814846">
      <w:bodyDiv w:val="1"/>
      <w:marLeft w:val="0"/>
      <w:marRight w:val="0"/>
      <w:marTop w:val="0"/>
      <w:marBottom w:val="0"/>
      <w:divBdr>
        <w:top w:val="none" w:sz="0" w:space="0" w:color="auto"/>
        <w:left w:val="none" w:sz="0" w:space="0" w:color="auto"/>
        <w:bottom w:val="none" w:sz="0" w:space="0" w:color="auto"/>
        <w:right w:val="none" w:sz="0" w:space="0" w:color="auto"/>
      </w:divBdr>
    </w:div>
    <w:div w:id="608585354">
      <w:bodyDiv w:val="1"/>
      <w:marLeft w:val="0"/>
      <w:marRight w:val="0"/>
      <w:marTop w:val="0"/>
      <w:marBottom w:val="0"/>
      <w:divBdr>
        <w:top w:val="none" w:sz="0" w:space="0" w:color="auto"/>
        <w:left w:val="none" w:sz="0" w:space="0" w:color="auto"/>
        <w:bottom w:val="none" w:sz="0" w:space="0" w:color="auto"/>
        <w:right w:val="none" w:sz="0" w:space="0" w:color="auto"/>
      </w:divBdr>
    </w:div>
    <w:div w:id="626590917">
      <w:bodyDiv w:val="1"/>
      <w:marLeft w:val="0"/>
      <w:marRight w:val="0"/>
      <w:marTop w:val="0"/>
      <w:marBottom w:val="0"/>
      <w:divBdr>
        <w:top w:val="none" w:sz="0" w:space="0" w:color="auto"/>
        <w:left w:val="none" w:sz="0" w:space="0" w:color="auto"/>
        <w:bottom w:val="none" w:sz="0" w:space="0" w:color="auto"/>
        <w:right w:val="none" w:sz="0" w:space="0" w:color="auto"/>
      </w:divBdr>
    </w:div>
    <w:div w:id="635376254">
      <w:bodyDiv w:val="1"/>
      <w:marLeft w:val="0"/>
      <w:marRight w:val="0"/>
      <w:marTop w:val="0"/>
      <w:marBottom w:val="0"/>
      <w:divBdr>
        <w:top w:val="none" w:sz="0" w:space="0" w:color="auto"/>
        <w:left w:val="none" w:sz="0" w:space="0" w:color="auto"/>
        <w:bottom w:val="none" w:sz="0" w:space="0" w:color="auto"/>
        <w:right w:val="none" w:sz="0" w:space="0" w:color="auto"/>
      </w:divBdr>
    </w:div>
    <w:div w:id="652023321">
      <w:bodyDiv w:val="1"/>
      <w:marLeft w:val="0"/>
      <w:marRight w:val="0"/>
      <w:marTop w:val="0"/>
      <w:marBottom w:val="0"/>
      <w:divBdr>
        <w:top w:val="none" w:sz="0" w:space="0" w:color="auto"/>
        <w:left w:val="none" w:sz="0" w:space="0" w:color="auto"/>
        <w:bottom w:val="none" w:sz="0" w:space="0" w:color="auto"/>
        <w:right w:val="none" w:sz="0" w:space="0" w:color="auto"/>
      </w:divBdr>
    </w:div>
    <w:div w:id="678508134">
      <w:bodyDiv w:val="1"/>
      <w:marLeft w:val="0"/>
      <w:marRight w:val="0"/>
      <w:marTop w:val="0"/>
      <w:marBottom w:val="0"/>
      <w:divBdr>
        <w:top w:val="none" w:sz="0" w:space="0" w:color="auto"/>
        <w:left w:val="none" w:sz="0" w:space="0" w:color="auto"/>
        <w:bottom w:val="none" w:sz="0" w:space="0" w:color="auto"/>
        <w:right w:val="none" w:sz="0" w:space="0" w:color="auto"/>
      </w:divBdr>
    </w:div>
    <w:div w:id="685980975">
      <w:bodyDiv w:val="1"/>
      <w:marLeft w:val="0"/>
      <w:marRight w:val="0"/>
      <w:marTop w:val="0"/>
      <w:marBottom w:val="0"/>
      <w:divBdr>
        <w:top w:val="none" w:sz="0" w:space="0" w:color="auto"/>
        <w:left w:val="none" w:sz="0" w:space="0" w:color="auto"/>
        <w:bottom w:val="none" w:sz="0" w:space="0" w:color="auto"/>
        <w:right w:val="none" w:sz="0" w:space="0" w:color="auto"/>
      </w:divBdr>
    </w:div>
    <w:div w:id="696807572">
      <w:bodyDiv w:val="1"/>
      <w:marLeft w:val="0"/>
      <w:marRight w:val="0"/>
      <w:marTop w:val="0"/>
      <w:marBottom w:val="0"/>
      <w:divBdr>
        <w:top w:val="none" w:sz="0" w:space="0" w:color="auto"/>
        <w:left w:val="none" w:sz="0" w:space="0" w:color="auto"/>
        <w:bottom w:val="none" w:sz="0" w:space="0" w:color="auto"/>
        <w:right w:val="none" w:sz="0" w:space="0" w:color="auto"/>
      </w:divBdr>
    </w:div>
    <w:div w:id="729498896">
      <w:bodyDiv w:val="1"/>
      <w:marLeft w:val="0"/>
      <w:marRight w:val="0"/>
      <w:marTop w:val="0"/>
      <w:marBottom w:val="0"/>
      <w:divBdr>
        <w:top w:val="none" w:sz="0" w:space="0" w:color="auto"/>
        <w:left w:val="none" w:sz="0" w:space="0" w:color="auto"/>
        <w:bottom w:val="none" w:sz="0" w:space="0" w:color="auto"/>
        <w:right w:val="none" w:sz="0" w:space="0" w:color="auto"/>
      </w:divBdr>
    </w:div>
    <w:div w:id="766313925">
      <w:bodyDiv w:val="1"/>
      <w:marLeft w:val="0"/>
      <w:marRight w:val="0"/>
      <w:marTop w:val="0"/>
      <w:marBottom w:val="0"/>
      <w:divBdr>
        <w:top w:val="none" w:sz="0" w:space="0" w:color="auto"/>
        <w:left w:val="none" w:sz="0" w:space="0" w:color="auto"/>
        <w:bottom w:val="none" w:sz="0" w:space="0" w:color="auto"/>
        <w:right w:val="none" w:sz="0" w:space="0" w:color="auto"/>
      </w:divBdr>
    </w:div>
    <w:div w:id="778765679">
      <w:bodyDiv w:val="1"/>
      <w:marLeft w:val="0"/>
      <w:marRight w:val="0"/>
      <w:marTop w:val="0"/>
      <w:marBottom w:val="0"/>
      <w:divBdr>
        <w:top w:val="none" w:sz="0" w:space="0" w:color="auto"/>
        <w:left w:val="none" w:sz="0" w:space="0" w:color="auto"/>
        <w:bottom w:val="none" w:sz="0" w:space="0" w:color="auto"/>
        <w:right w:val="none" w:sz="0" w:space="0" w:color="auto"/>
      </w:divBdr>
    </w:div>
    <w:div w:id="779181316">
      <w:bodyDiv w:val="1"/>
      <w:marLeft w:val="0"/>
      <w:marRight w:val="0"/>
      <w:marTop w:val="0"/>
      <w:marBottom w:val="0"/>
      <w:divBdr>
        <w:top w:val="none" w:sz="0" w:space="0" w:color="auto"/>
        <w:left w:val="none" w:sz="0" w:space="0" w:color="auto"/>
        <w:bottom w:val="none" w:sz="0" w:space="0" w:color="auto"/>
        <w:right w:val="none" w:sz="0" w:space="0" w:color="auto"/>
      </w:divBdr>
    </w:div>
    <w:div w:id="787703364">
      <w:bodyDiv w:val="1"/>
      <w:marLeft w:val="0"/>
      <w:marRight w:val="0"/>
      <w:marTop w:val="0"/>
      <w:marBottom w:val="0"/>
      <w:divBdr>
        <w:top w:val="none" w:sz="0" w:space="0" w:color="auto"/>
        <w:left w:val="none" w:sz="0" w:space="0" w:color="auto"/>
        <w:bottom w:val="none" w:sz="0" w:space="0" w:color="auto"/>
        <w:right w:val="none" w:sz="0" w:space="0" w:color="auto"/>
      </w:divBdr>
    </w:div>
    <w:div w:id="802384352">
      <w:bodyDiv w:val="1"/>
      <w:marLeft w:val="0"/>
      <w:marRight w:val="0"/>
      <w:marTop w:val="0"/>
      <w:marBottom w:val="0"/>
      <w:divBdr>
        <w:top w:val="none" w:sz="0" w:space="0" w:color="auto"/>
        <w:left w:val="none" w:sz="0" w:space="0" w:color="auto"/>
        <w:bottom w:val="none" w:sz="0" w:space="0" w:color="auto"/>
        <w:right w:val="none" w:sz="0" w:space="0" w:color="auto"/>
      </w:divBdr>
    </w:div>
    <w:div w:id="817382713">
      <w:bodyDiv w:val="1"/>
      <w:marLeft w:val="0"/>
      <w:marRight w:val="0"/>
      <w:marTop w:val="0"/>
      <w:marBottom w:val="0"/>
      <w:divBdr>
        <w:top w:val="none" w:sz="0" w:space="0" w:color="auto"/>
        <w:left w:val="none" w:sz="0" w:space="0" w:color="auto"/>
        <w:bottom w:val="none" w:sz="0" w:space="0" w:color="auto"/>
        <w:right w:val="none" w:sz="0" w:space="0" w:color="auto"/>
      </w:divBdr>
    </w:div>
    <w:div w:id="831607364">
      <w:bodyDiv w:val="1"/>
      <w:marLeft w:val="0"/>
      <w:marRight w:val="0"/>
      <w:marTop w:val="0"/>
      <w:marBottom w:val="0"/>
      <w:divBdr>
        <w:top w:val="none" w:sz="0" w:space="0" w:color="auto"/>
        <w:left w:val="none" w:sz="0" w:space="0" w:color="auto"/>
        <w:bottom w:val="none" w:sz="0" w:space="0" w:color="auto"/>
        <w:right w:val="none" w:sz="0" w:space="0" w:color="auto"/>
      </w:divBdr>
    </w:div>
    <w:div w:id="835337623">
      <w:bodyDiv w:val="1"/>
      <w:marLeft w:val="0"/>
      <w:marRight w:val="0"/>
      <w:marTop w:val="0"/>
      <w:marBottom w:val="0"/>
      <w:divBdr>
        <w:top w:val="none" w:sz="0" w:space="0" w:color="auto"/>
        <w:left w:val="none" w:sz="0" w:space="0" w:color="auto"/>
        <w:bottom w:val="none" w:sz="0" w:space="0" w:color="auto"/>
        <w:right w:val="none" w:sz="0" w:space="0" w:color="auto"/>
      </w:divBdr>
    </w:div>
    <w:div w:id="857692481">
      <w:bodyDiv w:val="1"/>
      <w:marLeft w:val="0"/>
      <w:marRight w:val="0"/>
      <w:marTop w:val="0"/>
      <w:marBottom w:val="0"/>
      <w:divBdr>
        <w:top w:val="none" w:sz="0" w:space="0" w:color="auto"/>
        <w:left w:val="none" w:sz="0" w:space="0" w:color="auto"/>
        <w:bottom w:val="none" w:sz="0" w:space="0" w:color="auto"/>
        <w:right w:val="none" w:sz="0" w:space="0" w:color="auto"/>
      </w:divBdr>
    </w:div>
    <w:div w:id="857693657">
      <w:bodyDiv w:val="1"/>
      <w:marLeft w:val="0"/>
      <w:marRight w:val="0"/>
      <w:marTop w:val="0"/>
      <w:marBottom w:val="0"/>
      <w:divBdr>
        <w:top w:val="none" w:sz="0" w:space="0" w:color="auto"/>
        <w:left w:val="none" w:sz="0" w:space="0" w:color="auto"/>
        <w:bottom w:val="none" w:sz="0" w:space="0" w:color="auto"/>
        <w:right w:val="none" w:sz="0" w:space="0" w:color="auto"/>
      </w:divBdr>
    </w:div>
    <w:div w:id="872041006">
      <w:bodyDiv w:val="1"/>
      <w:marLeft w:val="0"/>
      <w:marRight w:val="0"/>
      <w:marTop w:val="0"/>
      <w:marBottom w:val="0"/>
      <w:divBdr>
        <w:top w:val="none" w:sz="0" w:space="0" w:color="auto"/>
        <w:left w:val="none" w:sz="0" w:space="0" w:color="auto"/>
        <w:bottom w:val="none" w:sz="0" w:space="0" w:color="auto"/>
        <w:right w:val="none" w:sz="0" w:space="0" w:color="auto"/>
      </w:divBdr>
    </w:div>
    <w:div w:id="897741609">
      <w:bodyDiv w:val="1"/>
      <w:marLeft w:val="0"/>
      <w:marRight w:val="0"/>
      <w:marTop w:val="0"/>
      <w:marBottom w:val="0"/>
      <w:divBdr>
        <w:top w:val="none" w:sz="0" w:space="0" w:color="auto"/>
        <w:left w:val="none" w:sz="0" w:space="0" w:color="auto"/>
        <w:bottom w:val="none" w:sz="0" w:space="0" w:color="auto"/>
        <w:right w:val="none" w:sz="0" w:space="0" w:color="auto"/>
      </w:divBdr>
    </w:div>
    <w:div w:id="925773906">
      <w:bodyDiv w:val="1"/>
      <w:marLeft w:val="0"/>
      <w:marRight w:val="0"/>
      <w:marTop w:val="0"/>
      <w:marBottom w:val="0"/>
      <w:divBdr>
        <w:top w:val="none" w:sz="0" w:space="0" w:color="auto"/>
        <w:left w:val="none" w:sz="0" w:space="0" w:color="auto"/>
        <w:bottom w:val="none" w:sz="0" w:space="0" w:color="auto"/>
        <w:right w:val="none" w:sz="0" w:space="0" w:color="auto"/>
      </w:divBdr>
    </w:div>
    <w:div w:id="958684197">
      <w:bodyDiv w:val="1"/>
      <w:marLeft w:val="0"/>
      <w:marRight w:val="0"/>
      <w:marTop w:val="0"/>
      <w:marBottom w:val="0"/>
      <w:divBdr>
        <w:top w:val="none" w:sz="0" w:space="0" w:color="auto"/>
        <w:left w:val="none" w:sz="0" w:space="0" w:color="auto"/>
        <w:bottom w:val="none" w:sz="0" w:space="0" w:color="auto"/>
        <w:right w:val="none" w:sz="0" w:space="0" w:color="auto"/>
      </w:divBdr>
    </w:div>
    <w:div w:id="980961462">
      <w:bodyDiv w:val="1"/>
      <w:marLeft w:val="0"/>
      <w:marRight w:val="0"/>
      <w:marTop w:val="0"/>
      <w:marBottom w:val="0"/>
      <w:divBdr>
        <w:top w:val="none" w:sz="0" w:space="0" w:color="auto"/>
        <w:left w:val="none" w:sz="0" w:space="0" w:color="auto"/>
        <w:bottom w:val="none" w:sz="0" w:space="0" w:color="auto"/>
        <w:right w:val="none" w:sz="0" w:space="0" w:color="auto"/>
      </w:divBdr>
    </w:div>
    <w:div w:id="981957328">
      <w:bodyDiv w:val="1"/>
      <w:marLeft w:val="0"/>
      <w:marRight w:val="0"/>
      <w:marTop w:val="0"/>
      <w:marBottom w:val="0"/>
      <w:divBdr>
        <w:top w:val="none" w:sz="0" w:space="0" w:color="auto"/>
        <w:left w:val="none" w:sz="0" w:space="0" w:color="auto"/>
        <w:bottom w:val="none" w:sz="0" w:space="0" w:color="auto"/>
        <w:right w:val="none" w:sz="0" w:space="0" w:color="auto"/>
      </w:divBdr>
    </w:div>
    <w:div w:id="992611322">
      <w:bodyDiv w:val="1"/>
      <w:marLeft w:val="0"/>
      <w:marRight w:val="0"/>
      <w:marTop w:val="0"/>
      <w:marBottom w:val="0"/>
      <w:divBdr>
        <w:top w:val="none" w:sz="0" w:space="0" w:color="auto"/>
        <w:left w:val="none" w:sz="0" w:space="0" w:color="auto"/>
        <w:bottom w:val="none" w:sz="0" w:space="0" w:color="auto"/>
        <w:right w:val="none" w:sz="0" w:space="0" w:color="auto"/>
      </w:divBdr>
    </w:div>
    <w:div w:id="997535703">
      <w:bodyDiv w:val="1"/>
      <w:marLeft w:val="0"/>
      <w:marRight w:val="0"/>
      <w:marTop w:val="0"/>
      <w:marBottom w:val="0"/>
      <w:divBdr>
        <w:top w:val="none" w:sz="0" w:space="0" w:color="auto"/>
        <w:left w:val="none" w:sz="0" w:space="0" w:color="auto"/>
        <w:bottom w:val="none" w:sz="0" w:space="0" w:color="auto"/>
        <w:right w:val="none" w:sz="0" w:space="0" w:color="auto"/>
      </w:divBdr>
    </w:div>
    <w:div w:id="1031299582">
      <w:bodyDiv w:val="1"/>
      <w:marLeft w:val="0"/>
      <w:marRight w:val="0"/>
      <w:marTop w:val="0"/>
      <w:marBottom w:val="0"/>
      <w:divBdr>
        <w:top w:val="none" w:sz="0" w:space="0" w:color="auto"/>
        <w:left w:val="none" w:sz="0" w:space="0" w:color="auto"/>
        <w:bottom w:val="none" w:sz="0" w:space="0" w:color="auto"/>
        <w:right w:val="none" w:sz="0" w:space="0" w:color="auto"/>
      </w:divBdr>
    </w:div>
    <w:div w:id="1032069587">
      <w:bodyDiv w:val="1"/>
      <w:marLeft w:val="0"/>
      <w:marRight w:val="0"/>
      <w:marTop w:val="0"/>
      <w:marBottom w:val="0"/>
      <w:divBdr>
        <w:top w:val="none" w:sz="0" w:space="0" w:color="auto"/>
        <w:left w:val="none" w:sz="0" w:space="0" w:color="auto"/>
        <w:bottom w:val="none" w:sz="0" w:space="0" w:color="auto"/>
        <w:right w:val="none" w:sz="0" w:space="0" w:color="auto"/>
      </w:divBdr>
    </w:div>
    <w:div w:id="1036468845">
      <w:bodyDiv w:val="1"/>
      <w:marLeft w:val="0"/>
      <w:marRight w:val="0"/>
      <w:marTop w:val="0"/>
      <w:marBottom w:val="0"/>
      <w:divBdr>
        <w:top w:val="none" w:sz="0" w:space="0" w:color="auto"/>
        <w:left w:val="none" w:sz="0" w:space="0" w:color="auto"/>
        <w:bottom w:val="none" w:sz="0" w:space="0" w:color="auto"/>
        <w:right w:val="none" w:sz="0" w:space="0" w:color="auto"/>
      </w:divBdr>
    </w:div>
    <w:div w:id="1131437659">
      <w:bodyDiv w:val="1"/>
      <w:marLeft w:val="0"/>
      <w:marRight w:val="0"/>
      <w:marTop w:val="0"/>
      <w:marBottom w:val="0"/>
      <w:divBdr>
        <w:top w:val="none" w:sz="0" w:space="0" w:color="auto"/>
        <w:left w:val="none" w:sz="0" w:space="0" w:color="auto"/>
        <w:bottom w:val="none" w:sz="0" w:space="0" w:color="auto"/>
        <w:right w:val="none" w:sz="0" w:space="0" w:color="auto"/>
      </w:divBdr>
    </w:div>
    <w:div w:id="1132290464">
      <w:bodyDiv w:val="1"/>
      <w:marLeft w:val="0"/>
      <w:marRight w:val="0"/>
      <w:marTop w:val="0"/>
      <w:marBottom w:val="0"/>
      <w:divBdr>
        <w:top w:val="none" w:sz="0" w:space="0" w:color="auto"/>
        <w:left w:val="none" w:sz="0" w:space="0" w:color="auto"/>
        <w:bottom w:val="none" w:sz="0" w:space="0" w:color="auto"/>
        <w:right w:val="none" w:sz="0" w:space="0" w:color="auto"/>
      </w:divBdr>
    </w:div>
    <w:div w:id="1143428712">
      <w:bodyDiv w:val="1"/>
      <w:marLeft w:val="0"/>
      <w:marRight w:val="0"/>
      <w:marTop w:val="0"/>
      <w:marBottom w:val="0"/>
      <w:divBdr>
        <w:top w:val="none" w:sz="0" w:space="0" w:color="auto"/>
        <w:left w:val="none" w:sz="0" w:space="0" w:color="auto"/>
        <w:bottom w:val="none" w:sz="0" w:space="0" w:color="auto"/>
        <w:right w:val="none" w:sz="0" w:space="0" w:color="auto"/>
      </w:divBdr>
    </w:div>
    <w:div w:id="1182085717">
      <w:bodyDiv w:val="1"/>
      <w:marLeft w:val="0"/>
      <w:marRight w:val="0"/>
      <w:marTop w:val="0"/>
      <w:marBottom w:val="0"/>
      <w:divBdr>
        <w:top w:val="none" w:sz="0" w:space="0" w:color="auto"/>
        <w:left w:val="none" w:sz="0" w:space="0" w:color="auto"/>
        <w:bottom w:val="none" w:sz="0" w:space="0" w:color="auto"/>
        <w:right w:val="none" w:sz="0" w:space="0" w:color="auto"/>
      </w:divBdr>
    </w:div>
    <w:div w:id="1198009359">
      <w:bodyDiv w:val="1"/>
      <w:marLeft w:val="0"/>
      <w:marRight w:val="0"/>
      <w:marTop w:val="0"/>
      <w:marBottom w:val="0"/>
      <w:divBdr>
        <w:top w:val="none" w:sz="0" w:space="0" w:color="auto"/>
        <w:left w:val="none" w:sz="0" w:space="0" w:color="auto"/>
        <w:bottom w:val="none" w:sz="0" w:space="0" w:color="auto"/>
        <w:right w:val="none" w:sz="0" w:space="0" w:color="auto"/>
      </w:divBdr>
    </w:div>
    <w:div w:id="1199658529">
      <w:bodyDiv w:val="1"/>
      <w:marLeft w:val="0"/>
      <w:marRight w:val="0"/>
      <w:marTop w:val="0"/>
      <w:marBottom w:val="0"/>
      <w:divBdr>
        <w:top w:val="none" w:sz="0" w:space="0" w:color="auto"/>
        <w:left w:val="none" w:sz="0" w:space="0" w:color="auto"/>
        <w:bottom w:val="none" w:sz="0" w:space="0" w:color="auto"/>
        <w:right w:val="none" w:sz="0" w:space="0" w:color="auto"/>
      </w:divBdr>
    </w:div>
    <w:div w:id="1218321868">
      <w:bodyDiv w:val="1"/>
      <w:marLeft w:val="0"/>
      <w:marRight w:val="0"/>
      <w:marTop w:val="0"/>
      <w:marBottom w:val="0"/>
      <w:divBdr>
        <w:top w:val="none" w:sz="0" w:space="0" w:color="auto"/>
        <w:left w:val="none" w:sz="0" w:space="0" w:color="auto"/>
        <w:bottom w:val="none" w:sz="0" w:space="0" w:color="auto"/>
        <w:right w:val="none" w:sz="0" w:space="0" w:color="auto"/>
      </w:divBdr>
    </w:div>
    <w:div w:id="1238326903">
      <w:bodyDiv w:val="1"/>
      <w:marLeft w:val="0"/>
      <w:marRight w:val="0"/>
      <w:marTop w:val="0"/>
      <w:marBottom w:val="0"/>
      <w:divBdr>
        <w:top w:val="none" w:sz="0" w:space="0" w:color="auto"/>
        <w:left w:val="none" w:sz="0" w:space="0" w:color="auto"/>
        <w:bottom w:val="none" w:sz="0" w:space="0" w:color="auto"/>
        <w:right w:val="none" w:sz="0" w:space="0" w:color="auto"/>
      </w:divBdr>
    </w:div>
    <w:div w:id="1260875388">
      <w:bodyDiv w:val="1"/>
      <w:marLeft w:val="0"/>
      <w:marRight w:val="0"/>
      <w:marTop w:val="0"/>
      <w:marBottom w:val="0"/>
      <w:divBdr>
        <w:top w:val="none" w:sz="0" w:space="0" w:color="auto"/>
        <w:left w:val="none" w:sz="0" w:space="0" w:color="auto"/>
        <w:bottom w:val="none" w:sz="0" w:space="0" w:color="auto"/>
        <w:right w:val="none" w:sz="0" w:space="0" w:color="auto"/>
      </w:divBdr>
    </w:div>
    <w:div w:id="1311516570">
      <w:bodyDiv w:val="1"/>
      <w:marLeft w:val="0"/>
      <w:marRight w:val="0"/>
      <w:marTop w:val="0"/>
      <w:marBottom w:val="0"/>
      <w:divBdr>
        <w:top w:val="none" w:sz="0" w:space="0" w:color="auto"/>
        <w:left w:val="none" w:sz="0" w:space="0" w:color="auto"/>
        <w:bottom w:val="none" w:sz="0" w:space="0" w:color="auto"/>
        <w:right w:val="none" w:sz="0" w:space="0" w:color="auto"/>
      </w:divBdr>
    </w:div>
    <w:div w:id="1316225619">
      <w:bodyDiv w:val="1"/>
      <w:marLeft w:val="0"/>
      <w:marRight w:val="0"/>
      <w:marTop w:val="0"/>
      <w:marBottom w:val="0"/>
      <w:divBdr>
        <w:top w:val="none" w:sz="0" w:space="0" w:color="auto"/>
        <w:left w:val="none" w:sz="0" w:space="0" w:color="auto"/>
        <w:bottom w:val="none" w:sz="0" w:space="0" w:color="auto"/>
        <w:right w:val="none" w:sz="0" w:space="0" w:color="auto"/>
      </w:divBdr>
    </w:div>
    <w:div w:id="1374235085">
      <w:bodyDiv w:val="1"/>
      <w:marLeft w:val="0"/>
      <w:marRight w:val="0"/>
      <w:marTop w:val="0"/>
      <w:marBottom w:val="0"/>
      <w:divBdr>
        <w:top w:val="none" w:sz="0" w:space="0" w:color="auto"/>
        <w:left w:val="none" w:sz="0" w:space="0" w:color="auto"/>
        <w:bottom w:val="none" w:sz="0" w:space="0" w:color="auto"/>
        <w:right w:val="none" w:sz="0" w:space="0" w:color="auto"/>
      </w:divBdr>
    </w:div>
    <w:div w:id="1381973554">
      <w:bodyDiv w:val="1"/>
      <w:marLeft w:val="0"/>
      <w:marRight w:val="0"/>
      <w:marTop w:val="0"/>
      <w:marBottom w:val="0"/>
      <w:divBdr>
        <w:top w:val="none" w:sz="0" w:space="0" w:color="auto"/>
        <w:left w:val="none" w:sz="0" w:space="0" w:color="auto"/>
        <w:bottom w:val="none" w:sz="0" w:space="0" w:color="auto"/>
        <w:right w:val="none" w:sz="0" w:space="0" w:color="auto"/>
      </w:divBdr>
    </w:div>
    <w:div w:id="1402437304">
      <w:bodyDiv w:val="1"/>
      <w:marLeft w:val="0"/>
      <w:marRight w:val="0"/>
      <w:marTop w:val="0"/>
      <w:marBottom w:val="0"/>
      <w:divBdr>
        <w:top w:val="none" w:sz="0" w:space="0" w:color="auto"/>
        <w:left w:val="none" w:sz="0" w:space="0" w:color="auto"/>
        <w:bottom w:val="none" w:sz="0" w:space="0" w:color="auto"/>
        <w:right w:val="none" w:sz="0" w:space="0" w:color="auto"/>
      </w:divBdr>
    </w:div>
    <w:div w:id="1410078586">
      <w:bodyDiv w:val="1"/>
      <w:marLeft w:val="0"/>
      <w:marRight w:val="0"/>
      <w:marTop w:val="0"/>
      <w:marBottom w:val="0"/>
      <w:divBdr>
        <w:top w:val="none" w:sz="0" w:space="0" w:color="auto"/>
        <w:left w:val="none" w:sz="0" w:space="0" w:color="auto"/>
        <w:bottom w:val="none" w:sz="0" w:space="0" w:color="auto"/>
        <w:right w:val="none" w:sz="0" w:space="0" w:color="auto"/>
      </w:divBdr>
    </w:div>
    <w:div w:id="1413968154">
      <w:bodyDiv w:val="1"/>
      <w:marLeft w:val="0"/>
      <w:marRight w:val="0"/>
      <w:marTop w:val="0"/>
      <w:marBottom w:val="0"/>
      <w:divBdr>
        <w:top w:val="none" w:sz="0" w:space="0" w:color="auto"/>
        <w:left w:val="none" w:sz="0" w:space="0" w:color="auto"/>
        <w:bottom w:val="none" w:sz="0" w:space="0" w:color="auto"/>
        <w:right w:val="none" w:sz="0" w:space="0" w:color="auto"/>
      </w:divBdr>
    </w:div>
    <w:div w:id="1478257860">
      <w:bodyDiv w:val="1"/>
      <w:marLeft w:val="0"/>
      <w:marRight w:val="0"/>
      <w:marTop w:val="0"/>
      <w:marBottom w:val="0"/>
      <w:divBdr>
        <w:top w:val="none" w:sz="0" w:space="0" w:color="auto"/>
        <w:left w:val="none" w:sz="0" w:space="0" w:color="auto"/>
        <w:bottom w:val="none" w:sz="0" w:space="0" w:color="auto"/>
        <w:right w:val="none" w:sz="0" w:space="0" w:color="auto"/>
      </w:divBdr>
    </w:div>
    <w:div w:id="1494370163">
      <w:bodyDiv w:val="1"/>
      <w:marLeft w:val="0"/>
      <w:marRight w:val="0"/>
      <w:marTop w:val="0"/>
      <w:marBottom w:val="0"/>
      <w:divBdr>
        <w:top w:val="none" w:sz="0" w:space="0" w:color="auto"/>
        <w:left w:val="none" w:sz="0" w:space="0" w:color="auto"/>
        <w:bottom w:val="none" w:sz="0" w:space="0" w:color="auto"/>
        <w:right w:val="none" w:sz="0" w:space="0" w:color="auto"/>
      </w:divBdr>
    </w:div>
    <w:div w:id="1501769901">
      <w:bodyDiv w:val="1"/>
      <w:marLeft w:val="0"/>
      <w:marRight w:val="0"/>
      <w:marTop w:val="0"/>
      <w:marBottom w:val="0"/>
      <w:divBdr>
        <w:top w:val="none" w:sz="0" w:space="0" w:color="auto"/>
        <w:left w:val="none" w:sz="0" w:space="0" w:color="auto"/>
        <w:bottom w:val="none" w:sz="0" w:space="0" w:color="auto"/>
        <w:right w:val="none" w:sz="0" w:space="0" w:color="auto"/>
      </w:divBdr>
    </w:div>
    <w:div w:id="1524397216">
      <w:bodyDiv w:val="1"/>
      <w:marLeft w:val="0"/>
      <w:marRight w:val="0"/>
      <w:marTop w:val="0"/>
      <w:marBottom w:val="0"/>
      <w:divBdr>
        <w:top w:val="none" w:sz="0" w:space="0" w:color="auto"/>
        <w:left w:val="none" w:sz="0" w:space="0" w:color="auto"/>
        <w:bottom w:val="none" w:sz="0" w:space="0" w:color="auto"/>
        <w:right w:val="none" w:sz="0" w:space="0" w:color="auto"/>
      </w:divBdr>
    </w:div>
    <w:div w:id="1538813091">
      <w:bodyDiv w:val="1"/>
      <w:marLeft w:val="0"/>
      <w:marRight w:val="0"/>
      <w:marTop w:val="0"/>
      <w:marBottom w:val="0"/>
      <w:divBdr>
        <w:top w:val="none" w:sz="0" w:space="0" w:color="auto"/>
        <w:left w:val="none" w:sz="0" w:space="0" w:color="auto"/>
        <w:bottom w:val="none" w:sz="0" w:space="0" w:color="auto"/>
        <w:right w:val="none" w:sz="0" w:space="0" w:color="auto"/>
      </w:divBdr>
    </w:div>
    <w:div w:id="1544443849">
      <w:bodyDiv w:val="1"/>
      <w:marLeft w:val="0"/>
      <w:marRight w:val="0"/>
      <w:marTop w:val="0"/>
      <w:marBottom w:val="0"/>
      <w:divBdr>
        <w:top w:val="none" w:sz="0" w:space="0" w:color="auto"/>
        <w:left w:val="none" w:sz="0" w:space="0" w:color="auto"/>
        <w:bottom w:val="none" w:sz="0" w:space="0" w:color="auto"/>
        <w:right w:val="none" w:sz="0" w:space="0" w:color="auto"/>
      </w:divBdr>
    </w:div>
    <w:div w:id="1577132979">
      <w:bodyDiv w:val="1"/>
      <w:marLeft w:val="0"/>
      <w:marRight w:val="0"/>
      <w:marTop w:val="0"/>
      <w:marBottom w:val="0"/>
      <w:divBdr>
        <w:top w:val="none" w:sz="0" w:space="0" w:color="auto"/>
        <w:left w:val="none" w:sz="0" w:space="0" w:color="auto"/>
        <w:bottom w:val="none" w:sz="0" w:space="0" w:color="auto"/>
        <w:right w:val="none" w:sz="0" w:space="0" w:color="auto"/>
      </w:divBdr>
    </w:div>
    <w:div w:id="1579171744">
      <w:bodyDiv w:val="1"/>
      <w:marLeft w:val="0"/>
      <w:marRight w:val="0"/>
      <w:marTop w:val="0"/>
      <w:marBottom w:val="0"/>
      <w:divBdr>
        <w:top w:val="none" w:sz="0" w:space="0" w:color="auto"/>
        <w:left w:val="none" w:sz="0" w:space="0" w:color="auto"/>
        <w:bottom w:val="none" w:sz="0" w:space="0" w:color="auto"/>
        <w:right w:val="none" w:sz="0" w:space="0" w:color="auto"/>
      </w:divBdr>
    </w:div>
    <w:div w:id="1588072670">
      <w:bodyDiv w:val="1"/>
      <w:marLeft w:val="0"/>
      <w:marRight w:val="0"/>
      <w:marTop w:val="0"/>
      <w:marBottom w:val="0"/>
      <w:divBdr>
        <w:top w:val="none" w:sz="0" w:space="0" w:color="auto"/>
        <w:left w:val="none" w:sz="0" w:space="0" w:color="auto"/>
        <w:bottom w:val="none" w:sz="0" w:space="0" w:color="auto"/>
        <w:right w:val="none" w:sz="0" w:space="0" w:color="auto"/>
      </w:divBdr>
    </w:div>
    <w:div w:id="1601141616">
      <w:bodyDiv w:val="1"/>
      <w:marLeft w:val="0"/>
      <w:marRight w:val="0"/>
      <w:marTop w:val="0"/>
      <w:marBottom w:val="0"/>
      <w:divBdr>
        <w:top w:val="none" w:sz="0" w:space="0" w:color="auto"/>
        <w:left w:val="none" w:sz="0" w:space="0" w:color="auto"/>
        <w:bottom w:val="none" w:sz="0" w:space="0" w:color="auto"/>
        <w:right w:val="none" w:sz="0" w:space="0" w:color="auto"/>
      </w:divBdr>
    </w:div>
    <w:div w:id="1612785915">
      <w:bodyDiv w:val="1"/>
      <w:marLeft w:val="0"/>
      <w:marRight w:val="0"/>
      <w:marTop w:val="0"/>
      <w:marBottom w:val="0"/>
      <w:divBdr>
        <w:top w:val="none" w:sz="0" w:space="0" w:color="auto"/>
        <w:left w:val="none" w:sz="0" w:space="0" w:color="auto"/>
        <w:bottom w:val="none" w:sz="0" w:space="0" w:color="auto"/>
        <w:right w:val="none" w:sz="0" w:space="0" w:color="auto"/>
      </w:divBdr>
    </w:div>
    <w:div w:id="1631856177">
      <w:bodyDiv w:val="1"/>
      <w:marLeft w:val="0"/>
      <w:marRight w:val="0"/>
      <w:marTop w:val="0"/>
      <w:marBottom w:val="0"/>
      <w:divBdr>
        <w:top w:val="none" w:sz="0" w:space="0" w:color="auto"/>
        <w:left w:val="none" w:sz="0" w:space="0" w:color="auto"/>
        <w:bottom w:val="none" w:sz="0" w:space="0" w:color="auto"/>
        <w:right w:val="none" w:sz="0" w:space="0" w:color="auto"/>
      </w:divBdr>
    </w:div>
    <w:div w:id="1661687917">
      <w:bodyDiv w:val="1"/>
      <w:marLeft w:val="0"/>
      <w:marRight w:val="0"/>
      <w:marTop w:val="0"/>
      <w:marBottom w:val="0"/>
      <w:divBdr>
        <w:top w:val="none" w:sz="0" w:space="0" w:color="auto"/>
        <w:left w:val="none" w:sz="0" w:space="0" w:color="auto"/>
        <w:bottom w:val="none" w:sz="0" w:space="0" w:color="auto"/>
        <w:right w:val="none" w:sz="0" w:space="0" w:color="auto"/>
      </w:divBdr>
    </w:div>
    <w:div w:id="1686594632">
      <w:bodyDiv w:val="1"/>
      <w:marLeft w:val="0"/>
      <w:marRight w:val="0"/>
      <w:marTop w:val="0"/>
      <w:marBottom w:val="0"/>
      <w:divBdr>
        <w:top w:val="none" w:sz="0" w:space="0" w:color="auto"/>
        <w:left w:val="none" w:sz="0" w:space="0" w:color="auto"/>
        <w:bottom w:val="none" w:sz="0" w:space="0" w:color="auto"/>
        <w:right w:val="none" w:sz="0" w:space="0" w:color="auto"/>
      </w:divBdr>
    </w:div>
    <w:div w:id="1717004193">
      <w:bodyDiv w:val="1"/>
      <w:marLeft w:val="0"/>
      <w:marRight w:val="0"/>
      <w:marTop w:val="0"/>
      <w:marBottom w:val="0"/>
      <w:divBdr>
        <w:top w:val="none" w:sz="0" w:space="0" w:color="auto"/>
        <w:left w:val="none" w:sz="0" w:space="0" w:color="auto"/>
        <w:bottom w:val="none" w:sz="0" w:space="0" w:color="auto"/>
        <w:right w:val="none" w:sz="0" w:space="0" w:color="auto"/>
      </w:divBdr>
    </w:div>
    <w:div w:id="1752460136">
      <w:bodyDiv w:val="1"/>
      <w:marLeft w:val="0"/>
      <w:marRight w:val="0"/>
      <w:marTop w:val="0"/>
      <w:marBottom w:val="0"/>
      <w:divBdr>
        <w:top w:val="none" w:sz="0" w:space="0" w:color="auto"/>
        <w:left w:val="none" w:sz="0" w:space="0" w:color="auto"/>
        <w:bottom w:val="none" w:sz="0" w:space="0" w:color="auto"/>
        <w:right w:val="none" w:sz="0" w:space="0" w:color="auto"/>
      </w:divBdr>
    </w:div>
    <w:div w:id="1754204330">
      <w:bodyDiv w:val="1"/>
      <w:marLeft w:val="0"/>
      <w:marRight w:val="0"/>
      <w:marTop w:val="0"/>
      <w:marBottom w:val="0"/>
      <w:divBdr>
        <w:top w:val="none" w:sz="0" w:space="0" w:color="auto"/>
        <w:left w:val="none" w:sz="0" w:space="0" w:color="auto"/>
        <w:bottom w:val="none" w:sz="0" w:space="0" w:color="auto"/>
        <w:right w:val="none" w:sz="0" w:space="0" w:color="auto"/>
      </w:divBdr>
    </w:div>
    <w:div w:id="1787692681">
      <w:bodyDiv w:val="1"/>
      <w:marLeft w:val="0"/>
      <w:marRight w:val="0"/>
      <w:marTop w:val="0"/>
      <w:marBottom w:val="0"/>
      <w:divBdr>
        <w:top w:val="none" w:sz="0" w:space="0" w:color="auto"/>
        <w:left w:val="none" w:sz="0" w:space="0" w:color="auto"/>
        <w:bottom w:val="none" w:sz="0" w:space="0" w:color="auto"/>
        <w:right w:val="none" w:sz="0" w:space="0" w:color="auto"/>
      </w:divBdr>
    </w:div>
    <w:div w:id="1815566986">
      <w:bodyDiv w:val="1"/>
      <w:marLeft w:val="0"/>
      <w:marRight w:val="0"/>
      <w:marTop w:val="0"/>
      <w:marBottom w:val="0"/>
      <w:divBdr>
        <w:top w:val="none" w:sz="0" w:space="0" w:color="auto"/>
        <w:left w:val="none" w:sz="0" w:space="0" w:color="auto"/>
        <w:bottom w:val="none" w:sz="0" w:space="0" w:color="auto"/>
        <w:right w:val="none" w:sz="0" w:space="0" w:color="auto"/>
      </w:divBdr>
    </w:div>
    <w:div w:id="1817603312">
      <w:bodyDiv w:val="1"/>
      <w:marLeft w:val="0"/>
      <w:marRight w:val="0"/>
      <w:marTop w:val="0"/>
      <w:marBottom w:val="0"/>
      <w:divBdr>
        <w:top w:val="none" w:sz="0" w:space="0" w:color="auto"/>
        <w:left w:val="none" w:sz="0" w:space="0" w:color="auto"/>
        <w:bottom w:val="none" w:sz="0" w:space="0" w:color="auto"/>
        <w:right w:val="none" w:sz="0" w:space="0" w:color="auto"/>
      </w:divBdr>
    </w:div>
    <w:div w:id="1834639376">
      <w:bodyDiv w:val="1"/>
      <w:marLeft w:val="0"/>
      <w:marRight w:val="0"/>
      <w:marTop w:val="0"/>
      <w:marBottom w:val="0"/>
      <w:divBdr>
        <w:top w:val="none" w:sz="0" w:space="0" w:color="auto"/>
        <w:left w:val="none" w:sz="0" w:space="0" w:color="auto"/>
        <w:bottom w:val="none" w:sz="0" w:space="0" w:color="auto"/>
        <w:right w:val="none" w:sz="0" w:space="0" w:color="auto"/>
      </w:divBdr>
    </w:div>
    <w:div w:id="1845129606">
      <w:bodyDiv w:val="1"/>
      <w:marLeft w:val="0"/>
      <w:marRight w:val="0"/>
      <w:marTop w:val="0"/>
      <w:marBottom w:val="0"/>
      <w:divBdr>
        <w:top w:val="none" w:sz="0" w:space="0" w:color="auto"/>
        <w:left w:val="none" w:sz="0" w:space="0" w:color="auto"/>
        <w:bottom w:val="none" w:sz="0" w:space="0" w:color="auto"/>
        <w:right w:val="none" w:sz="0" w:space="0" w:color="auto"/>
      </w:divBdr>
    </w:div>
    <w:div w:id="1849711754">
      <w:bodyDiv w:val="1"/>
      <w:marLeft w:val="0"/>
      <w:marRight w:val="0"/>
      <w:marTop w:val="0"/>
      <w:marBottom w:val="0"/>
      <w:divBdr>
        <w:top w:val="none" w:sz="0" w:space="0" w:color="auto"/>
        <w:left w:val="none" w:sz="0" w:space="0" w:color="auto"/>
        <w:bottom w:val="none" w:sz="0" w:space="0" w:color="auto"/>
        <w:right w:val="none" w:sz="0" w:space="0" w:color="auto"/>
      </w:divBdr>
    </w:div>
    <w:div w:id="1868325797">
      <w:bodyDiv w:val="1"/>
      <w:marLeft w:val="0"/>
      <w:marRight w:val="0"/>
      <w:marTop w:val="0"/>
      <w:marBottom w:val="0"/>
      <w:divBdr>
        <w:top w:val="none" w:sz="0" w:space="0" w:color="auto"/>
        <w:left w:val="none" w:sz="0" w:space="0" w:color="auto"/>
        <w:bottom w:val="none" w:sz="0" w:space="0" w:color="auto"/>
        <w:right w:val="none" w:sz="0" w:space="0" w:color="auto"/>
      </w:divBdr>
    </w:div>
    <w:div w:id="1868904116">
      <w:bodyDiv w:val="1"/>
      <w:marLeft w:val="0"/>
      <w:marRight w:val="0"/>
      <w:marTop w:val="0"/>
      <w:marBottom w:val="0"/>
      <w:divBdr>
        <w:top w:val="none" w:sz="0" w:space="0" w:color="auto"/>
        <w:left w:val="none" w:sz="0" w:space="0" w:color="auto"/>
        <w:bottom w:val="none" w:sz="0" w:space="0" w:color="auto"/>
        <w:right w:val="none" w:sz="0" w:space="0" w:color="auto"/>
      </w:divBdr>
    </w:div>
    <w:div w:id="1869755255">
      <w:bodyDiv w:val="1"/>
      <w:marLeft w:val="0"/>
      <w:marRight w:val="0"/>
      <w:marTop w:val="0"/>
      <w:marBottom w:val="0"/>
      <w:divBdr>
        <w:top w:val="none" w:sz="0" w:space="0" w:color="auto"/>
        <w:left w:val="none" w:sz="0" w:space="0" w:color="auto"/>
        <w:bottom w:val="none" w:sz="0" w:space="0" w:color="auto"/>
        <w:right w:val="none" w:sz="0" w:space="0" w:color="auto"/>
      </w:divBdr>
    </w:div>
    <w:div w:id="1873760537">
      <w:bodyDiv w:val="1"/>
      <w:marLeft w:val="0"/>
      <w:marRight w:val="0"/>
      <w:marTop w:val="0"/>
      <w:marBottom w:val="0"/>
      <w:divBdr>
        <w:top w:val="none" w:sz="0" w:space="0" w:color="auto"/>
        <w:left w:val="none" w:sz="0" w:space="0" w:color="auto"/>
        <w:bottom w:val="none" w:sz="0" w:space="0" w:color="auto"/>
        <w:right w:val="none" w:sz="0" w:space="0" w:color="auto"/>
      </w:divBdr>
      <w:divsChild>
        <w:div w:id="1234048271">
          <w:marLeft w:val="0"/>
          <w:marRight w:val="0"/>
          <w:marTop w:val="15"/>
          <w:marBottom w:val="0"/>
          <w:divBdr>
            <w:top w:val="single" w:sz="48" w:space="0" w:color="auto"/>
            <w:left w:val="single" w:sz="48" w:space="0" w:color="auto"/>
            <w:bottom w:val="single" w:sz="48" w:space="0" w:color="auto"/>
            <w:right w:val="single" w:sz="48" w:space="0" w:color="auto"/>
          </w:divBdr>
          <w:divsChild>
            <w:div w:id="8305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5262">
      <w:bodyDiv w:val="1"/>
      <w:marLeft w:val="0"/>
      <w:marRight w:val="0"/>
      <w:marTop w:val="0"/>
      <w:marBottom w:val="0"/>
      <w:divBdr>
        <w:top w:val="none" w:sz="0" w:space="0" w:color="auto"/>
        <w:left w:val="none" w:sz="0" w:space="0" w:color="auto"/>
        <w:bottom w:val="none" w:sz="0" w:space="0" w:color="auto"/>
        <w:right w:val="none" w:sz="0" w:space="0" w:color="auto"/>
      </w:divBdr>
    </w:div>
    <w:div w:id="1890606201">
      <w:bodyDiv w:val="1"/>
      <w:marLeft w:val="0"/>
      <w:marRight w:val="0"/>
      <w:marTop w:val="0"/>
      <w:marBottom w:val="0"/>
      <w:divBdr>
        <w:top w:val="none" w:sz="0" w:space="0" w:color="auto"/>
        <w:left w:val="none" w:sz="0" w:space="0" w:color="auto"/>
        <w:bottom w:val="none" w:sz="0" w:space="0" w:color="auto"/>
        <w:right w:val="none" w:sz="0" w:space="0" w:color="auto"/>
      </w:divBdr>
    </w:div>
    <w:div w:id="1894612633">
      <w:bodyDiv w:val="1"/>
      <w:marLeft w:val="0"/>
      <w:marRight w:val="0"/>
      <w:marTop w:val="0"/>
      <w:marBottom w:val="0"/>
      <w:divBdr>
        <w:top w:val="none" w:sz="0" w:space="0" w:color="auto"/>
        <w:left w:val="none" w:sz="0" w:space="0" w:color="auto"/>
        <w:bottom w:val="none" w:sz="0" w:space="0" w:color="auto"/>
        <w:right w:val="none" w:sz="0" w:space="0" w:color="auto"/>
      </w:divBdr>
    </w:div>
    <w:div w:id="1902669656">
      <w:bodyDiv w:val="1"/>
      <w:marLeft w:val="0"/>
      <w:marRight w:val="0"/>
      <w:marTop w:val="0"/>
      <w:marBottom w:val="0"/>
      <w:divBdr>
        <w:top w:val="none" w:sz="0" w:space="0" w:color="auto"/>
        <w:left w:val="none" w:sz="0" w:space="0" w:color="auto"/>
        <w:bottom w:val="none" w:sz="0" w:space="0" w:color="auto"/>
        <w:right w:val="none" w:sz="0" w:space="0" w:color="auto"/>
      </w:divBdr>
    </w:div>
    <w:div w:id="1905753034">
      <w:bodyDiv w:val="1"/>
      <w:marLeft w:val="0"/>
      <w:marRight w:val="0"/>
      <w:marTop w:val="0"/>
      <w:marBottom w:val="0"/>
      <w:divBdr>
        <w:top w:val="none" w:sz="0" w:space="0" w:color="auto"/>
        <w:left w:val="none" w:sz="0" w:space="0" w:color="auto"/>
        <w:bottom w:val="none" w:sz="0" w:space="0" w:color="auto"/>
        <w:right w:val="none" w:sz="0" w:space="0" w:color="auto"/>
      </w:divBdr>
    </w:div>
    <w:div w:id="1934241364">
      <w:bodyDiv w:val="1"/>
      <w:marLeft w:val="0"/>
      <w:marRight w:val="0"/>
      <w:marTop w:val="0"/>
      <w:marBottom w:val="0"/>
      <w:divBdr>
        <w:top w:val="none" w:sz="0" w:space="0" w:color="auto"/>
        <w:left w:val="none" w:sz="0" w:space="0" w:color="auto"/>
        <w:bottom w:val="none" w:sz="0" w:space="0" w:color="auto"/>
        <w:right w:val="none" w:sz="0" w:space="0" w:color="auto"/>
      </w:divBdr>
    </w:div>
    <w:div w:id="1937521283">
      <w:bodyDiv w:val="1"/>
      <w:marLeft w:val="0"/>
      <w:marRight w:val="0"/>
      <w:marTop w:val="0"/>
      <w:marBottom w:val="0"/>
      <w:divBdr>
        <w:top w:val="none" w:sz="0" w:space="0" w:color="auto"/>
        <w:left w:val="none" w:sz="0" w:space="0" w:color="auto"/>
        <w:bottom w:val="none" w:sz="0" w:space="0" w:color="auto"/>
        <w:right w:val="none" w:sz="0" w:space="0" w:color="auto"/>
      </w:divBdr>
    </w:div>
    <w:div w:id="1937861509">
      <w:bodyDiv w:val="1"/>
      <w:marLeft w:val="0"/>
      <w:marRight w:val="0"/>
      <w:marTop w:val="0"/>
      <w:marBottom w:val="0"/>
      <w:divBdr>
        <w:top w:val="none" w:sz="0" w:space="0" w:color="auto"/>
        <w:left w:val="none" w:sz="0" w:space="0" w:color="auto"/>
        <w:bottom w:val="none" w:sz="0" w:space="0" w:color="auto"/>
        <w:right w:val="none" w:sz="0" w:space="0" w:color="auto"/>
      </w:divBdr>
    </w:div>
    <w:div w:id="1945502668">
      <w:bodyDiv w:val="1"/>
      <w:marLeft w:val="0"/>
      <w:marRight w:val="0"/>
      <w:marTop w:val="0"/>
      <w:marBottom w:val="0"/>
      <w:divBdr>
        <w:top w:val="none" w:sz="0" w:space="0" w:color="auto"/>
        <w:left w:val="none" w:sz="0" w:space="0" w:color="auto"/>
        <w:bottom w:val="none" w:sz="0" w:space="0" w:color="auto"/>
        <w:right w:val="none" w:sz="0" w:space="0" w:color="auto"/>
      </w:divBdr>
    </w:div>
    <w:div w:id="1953393585">
      <w:bodyDiv w:val="1"/>
      <w:marLeft w:val="0"/>
      <w:marRight w:val="0"/>
      <w:marTop w:val="0"/>
      <w:marBottom w:val="0"/>
      <w:divBdr>
        <w:top w:val="none" w:sz="0" w:space="0" w:color="auto"/>
        <w:left w:val="none" w:sz="0" w:space="0" w:color="auto"/>
        <w:bottom w:val="none" w:sz="0" w:space="0" w:color="auto"/>
        <w:right w:val="none" w:sz="0" w:space="0" w:color="auto"/>
      </w:divBdr>
    </w:div>
    <w:div w:id="1954169128">
      <w:bodyDiv w:val="1"/>
      <w:marLeft w:val="0"/>
      <w:marRight w:val="0"/>
      <w:marTop w:val="0"/>
      <w:marBottom w:val="0"/>
      <w:divBdr>
        <w:top w:val="none" w:sz="0" w:space="0" w:color="auto"/>
        <w:left w:val="none" w:sz="0" w:space="0" w:color="auto"/>
        <w:bottom w:val="none" w:sz="0" w:space="0" w:color="auto"/>
        <w:right w:val="none" w:sz="0" w:space="0" w:color="auto"/>
      </w:divBdr>
    </w:div>
    <w:div w:id="1967196786">
      <w:bodyDiv w:val="1"/>
      <w:marLeft w:val="0"/>
      <w:marRight w:val="0"/>
      <w:marTop w:val="0"/>
      <w:marBottom w:val="0"/>
      <w:divBdr>
        <w:top w:val="none" w:sz="0" w:space="0" w:color="auto"/>
        <w:left w:val="none" w:sz="0" w:space="0" w:color="auto"/>
        <w:bottom w:val="none" w:sz="0" w:space="0" w:color="auto"/>
        <w:right w:val="none" w:sz="0" w:space="0" w:color="auto"/>
      </w:divBdr>
    </w:div>
    <w:div w:id="1969779362">
      <w:bodyDiv w:val="1"/>
      <w:marLeft w:val="0"/>
      <w:marRight w:val="0"/>
      <w:marTop w:val="0"/>
      <w:marBottom w:val="0"/>
      <w:divBdr>
        <w:top w:val="none" w:sz="0" w:space="0" w:color="auto"/>
        <w:left w:val="none" w:sz="0" w:space="0" w:color="auto"/>
        <w:bottom w:val="none" w:sz="0" w:space="0" w:color="auto"/>
        <w:right w:val="none" w:sz="0" w:space="0" w:color="auto"/>
      </w:divBdr>
    </w:div>
    <w:div w:id="1999189678">
      <w:bodyDiv w:val="1"/>
      <w:marLeft w:val="0"/>
      <w:marRight w:val="0"/>
      <w:marTop w:val="0"/>
      <w:marBottom w:val="0"/>
      <w:divBdr>
        <w:top w:val="none" w:sz="0" w:space="0" w:color="auto"/>
        <w:left w:val="none" w:sz="0" w:space="0" w:color="auto"/>
        <w:bottom w:val="none" w:sz="0" w:space="0" w:color="auto"/>
        <w:right w:val="none" w:sz="0" w:space="0" w:color="auto"/>
      </w:divBdr>
    </w:div>
    <w:div w:id="2027244772">
      <w:bodyDiv w:val="1"/>
      <w:marLeft w:val="0"/>
      <w:marRight w:val="0"/>
      <w:marTop w:val="0"/>
      <w:marBottom w:val="0"/>
      <w:divBdr>
        <w:top w:val="none" w:sz="0" w:space="0" w:color="auto"/>
        <w:left w:val="none" w:sz="0" w:space="0" w:color="auto"/>
        <w:bottom w:val="none" w:sz="0" w:space="0" w:color="auto"/>
        <w:right w:val="none" w:sz="0" w:space="0" w:color="auto"/>
      </w:divBdr>
    </w:div>
    <w:div w:id="2036075709">
      <w:bodyDiv w:val="1"/>
      <w:marLeft w:val="0"/>
      <w:marRight w:val="0"/>
      <w:marTop w:val="0"/>
      <w:marBottom w:val="0"/>
      <w:divBdr>
        <w:top w:val="none" w:sz="0" w:space="0" w:color="auto"/>
        <w:left w:val="none" w:sz="0" w:space="0" w:color="auto"/>
        <w:bottom w:val="none" w:sz="0" w:space="0" w:color="auto"/>
        <w:right w:val="none" w:sz="0" w:space="0" w:color="auto"/>
      </w:divBdr>
      <w:divsChild>
        <w:div w:id="1786970243">
          <w:marLeft w:val="0"/>
          <w:marRight w:val="0"/>
          <w:marTop w:val="15"/>
          <w:marBottom w:val="0"/>
          <w:divBdr>
            <w:top w:val="single" w:sz="48" w:space="0" w:color="auto"/>
            <w:left w:val="single" w:sz="48" w:space="0" w:color="auto"/>
            <w:bottom w:val="single" w:sz="48" w:space="0" w:color="auto"/>
            <w:right w:val="single" w:sz="48" w:space="0" w:color="auto"/>
          </w:divBdr>
          <w:divsChild>
            <w:div w:id="71408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73158">
      <w:bodyDiv w:val="1"/>
      <w:marLeft w:val="0"/>
      <w:marRight w:val="0"/>
      <w:marTop w:val="0"/>
      <w:marBottom w:val="0"/>
      <w:divBdr>
        <w:top w:val="none" w:sz="0" w:space="0" w:color="auto"/>
        <w:left w:val="none" w:sz="0" w:space="0" w:color="auto"/>
        <w:bottom w:val="none" w:sz="0" w:space="0" w:color="auto"/>
        <w:right w:val="none" w:sz="0" w:space="0" w:color="auto"/>
      </w:divBdr>
    </w:div>
    <w:div w:id="2043286004">
      <w:bodyDiv w:val="1"/>
      <w:marLeft w:val="0"/>
      <w:marRight w:val="0"/>
      <w:marTop w:val="0"/>
      <w:marBottom w:val="0"/>
      <w:divBdr>
        <w:top w:val="none" w:sz="0" w:space="0" w:color="auto"/>
        <w:left w:val="none" w:sz="0" w:space="0" w:color="auto"/>
        <w:bottom w:val="none" w:sz="0" w:space="0" w:color="auto"/>
        <w:right w:val="none" w:sz="0" w:space="0" w:color="auto"/>
      </w:divBdr>
    </w:div>
    <w:div w:id="2045476219">
      <w:bodyDiv w:val="1"/>
      <w:marLeft w:val="0"/>
      <w:marRight w:val="0"/>
      <w:marTop w:val="0"/>
      <w:marBottom w:val="0"/>
      <w:divBdr>
        <w:top w:val="none" w:sz="0" w:space="0" w:color="auto"/>
        <w:left w:val="none" w:sz="0" w:space="0" w:color="auto"/>
        <w:bottom w:val="none" w:sz="0" w:space="0" w:color="auto"/>
        <w:right w:val="none" w:sz="0" w:space="0" w:color="auto"/>
      </w:divBdr>
    </w:div>
    <w:div w:id="2065789954">
      <w:bodyDiv w:val="1"/>
      <w:marLeft w:val="0"/>
      <w:marRight w:val="0"/>
      <w:marTop w:val="0"/>
      <w:marBottom w:val="0"/>
      <w:divBdr>
        <w:top w:val="none" w:sz="0" w:space="0" w:color="auto"/>
        <w:left w:val="none" w:sz="0" w:space="0" w:color="auto"/>
        <w:bottom w:val="none" w:sz="0" w:space="0" w:color="auto"/>
        <w:right w:val="none" w:sz="0" w:space="0" w:color="auto"/>
      </w:divBdr>
    </w:div>
    <w:div w:id="2074428883">
      <w:bodyDiv w:val="1"/>
      <w:marLeft w:val="0"/>
      <w:marRight w:val="0"/>
      <w:marTop w:val="0"/>
      <w:marBottom w:val="0"/>
      <w:divBdr>
        <w:top w:val="none" w:sz="0" w:space="0" w:color="auto"/>
        <w:left w:val="none" w:sz="0" w:space="0" w:color="auto"/>
        <w:bottom w:val="none" w:sz="0" w:space="0" w:color="auto"/>
        <w:right w:val="none" w:sz="0" w:space="0" w:color="auto"/>
      </w:divBdr>
    </w:div>
    <w:div w:id="213105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chart" Target="charts/chart7.xml"/><Relationship Id="rId10" Type="http://schemas.openxmlformats.org/officeDocument/2006/relationships/footnotes" Target="footnotes.xml"/><Relationship Id="rId19"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chart" Target="charts/chart6.xml"/></Relationships>
</file>

<file path=word/_rels/footnotes.xml.rels><?xml version="1.0" encoding="UTF-8" standalone="yes"?>
<Relationships xmlns="http://schemas.openxmlformats.org/package/2006/relationships"><Relationship Id="rId8" Type="http://schemas.openxmlformats.org/officeDocument/2006/relationships/hyperlink" Target="https://www.gov.si/assets/organi-v-sestavi/FURS/Strateski-dokumenti/Letno-porocilo-Financne-uprave-za-leto-2021.pdf" TargetMode="External"/><Relationship Id="rId13" Type="http://schemas.openxmlformats.org/officeDocument/2006/relationships/hyperlink" Target="https://www.fu.gov.si/drugo/posebna_podrocja/novi_podjetniki/" TargetMode="External"/><Relationship Id="rId3" Type="http://schemas.openxmlformats.org/officeDocument/2006/relationships/hyperlink" Target="http://www.uradni-list.si/1/objava.jsp?sop=2020-01-0766" TargetMode="External"/><Relationship Id="rId7" Type="http://schemas.openxmlformats.org/officeDocument/2006/relationships/hyperlink" Target="http://www.uradni-list.si/1/objava.jsp?sop=2021-01-0315" TargetMode="External"/><Relationship Id="rId12" Type="http://schemas.openxmlformats.org/officeDocument/2006/relationships/hyperlink" Target="https://ec.europa.eu/taxation_customs/business/tax-cooperation-control/vat-gap_en" TargetMode="External"/><Relationship Id="rId2" Type="http://schemas.openxmlformats.org/officeDocument/2006/relationships/hyperlink" Target="https://www.gov.si/teme/fiskalna-in-javnofinancna-politika/" TargetMode="External"/><Relationship Id="rId1" Type="http://schemas.openxmlformats.org/officeDocument/2006/relationships/hyperlink" Target="http://www.uradni-list.si/1/objava.jsp?sop=2020-01-3501" TargetMode="External"/><Relationship Id="rId6" Type="http://schemas.openxmlformats.org/officeDocument/2006/relationships/hyperlink" Target="http://www.uradni-list.si/1/objava.jsp?sop=2020-01-3096" TargetMode="External"/><Relationship Id="rId11" Type="http://schemas.openxmlformats.org/officeDocument/2006/relationships/hyperlink" Target="http://www.uradni-list.si/1/objava.jsp?sop=2021-01-3903" TargetMode="External"/><Relationship Id="rId5" Type="http://schemas.openxmlformats.org/officeDocument/2006/relationships/hyperlink" Target="http://www.uradni-list.si/1/objava.jsp?sop=2020-01-2610" TargetMode="External"/><Relationship Id="rId10" Type="http://schemas.openxmlformats.org/officeDocument/2006/relationships/hyperlink" Target="http://www.uradni-list.si/1/objava.jsp?sop=2021-21-3524" TargetMode="External"/><Relationship Id="rId4" Type="http://schemas.openxmlformats.org/officeDocument/2006/relationships/hyperlink" Target="http://www.uradni-list.si/1/objava.jsp?sop=2020-01-0901" TargetMode="External"/><Relationship Id="rId9" Type="http://schemas.openxmlformats.org/officeDocument/2006/relationships/hyperlink" Target="http://www.uradni-list.si/1/objava.jsp?sop=2021-01-346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s://intra.gov.si/sites/005-maks-gfu/urf/ssdr/porocila/porocila_vnos/SPREMLJANJE%20JFP/REALIZACIJA%20JFP%202021/Realizacija%20JFP%20FURS%20DECEMBER%202021_delovna_po%20ZR.xlsx"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gu00nt02\groups\SDKI\Izterjava\Poro&#269;ila\Poro&#269;ilo_dav&#269;ni%20dolg\na%20dan%2031.12.2021\Kopija%20datoteke%2031.12.2021.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1" Type="http://schemas.openxmlformats.org/officeDocument/2006/relationships/oleObject" Target="file:///\\gu00nt02\groups\SDKI\Izterjava\Poro&#269;ila\Poro&#269;ilo_dav&#269;ni%20dolg\na%20dan%2031.12.2021\tabela%20-%20A,%20I%20-%20dolg%20in%20skupaj.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u00nt02\groups\SDKI\Izterjava\Poro&#269;ila\Poro&#269;ilo_dav&#269;ni%20dolg\na%20dan%2031.12.2021\Kopija%20datoteke%2031.12.202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u00nt02\groups\SDKI\Izterjava\Poro&#269;ila\Poro&#269;ilo_dav&#269;ni%20dolg\na%20dan%2031.12.2021\Kopija%20datoteke%2031.12.2021.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gu00nt02\groups\SDKI\Izterjava\Poro&#269;ila\2021\Letno%20poro&#269;ilo\Tabele%20izterjave%20za%20poro&#269;ilo%20FURS%20202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3170862131197945"/>
          <c:y val="0.15741412088884785"/>
          <c:w val="0.64722222222222225"/>
          <c:h val="0.6157407407407407"/>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AB3-4A7B-BF97-54BEA62CCDE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AB3-4A7B-BF97-54BEA62CCDE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AB3-4A7B-BF97-54BEA62CCDE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AB3-4A7B-BF97-54BEA62CCDE2}"/>
              </c:ext>
            </c:extLst>
          </c:dPt>
          <c:dLbls>
            <c:dLbl>
              <c:idx val="0"/>
              <c:layout>
                <c:manualLayout>
                  <c:x val="7.9544455380577431E-2"/>
                  <c:y val="0.27161781860600748"/>
                </c:manualLayout>
              </c:layout>
              <c:tx>
                <c:rich>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fld id="{E7648FA4-3654-423B-B509-7CF20E5EBD40}" type="CATEGORYNAME">
                      <a:rPr lang="en-US"/>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t>[IME KATEGORIJE]</a:t>
                    </a:fld>
                    <a:r>
                      <a:rPr lang="en-US" baseline="0"/>
                      <a:t> </a:t>
                    </a:r>
                    <a:fld id="{7AD96DE3-CA7C-49ED-83BF-4DFECA4CFFD7}" type="PERCENTAGE">
                      <a:rPr lang="en-US" baseline="0"/>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t>[ODSTOTEK]</a:t>
                    </a:fld>
                    <a:endParaRPr lang="en-US" baseline="0"/>
                  </a:p>
                </c:rich>
              </c:tx>
              <c:numFmt formatCode="0.0%" sourceLinked="0"/>
              <c:spPr>
                <a:noFill/>
                <a:ln>
                  <a:noFill/>
                </a:ln>
                <a:effectLst/>
              </c:spPr>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1-BAB3-4A7B-BF97-54BEA62CCDE2}"/>
                </c:ext>
              </c:extLst>
            </c:dLbl>
            <c:dLbl>
              <c:idx val="1"/>
              <c:layout>
                <c:manualLayout>
                  <c:x val="-1.479059497092519E-2"/>
                  <c:y val="7.6299475441106338E-2"/>
                </c:manualLayout>
              </c:layout>
              <c:tx>
                <c:rich>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fld id="{E7648FA4-3654-423B-B509-7CF20E5EBD40}" type="CATEGORYNAME">
                      <a:rPr lang="en-US"/>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t>[IME KATEGORIJE]</a:t>
                    </a:fld>
                    <a:r>
                      <a:rPr lang="en-US" baseline="0"/>
                      <a:t> </a:t>
                    </a:r>
                    <a:fld id="{521D3D82-BEED-47C8-9E28-017BB8987285}" type="PERCENTAGE">
                      <a:rPr lang="en-US" baseline="0"/>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t>[ODSTOTEK]</a:t>
                    </a:fld>
                    <a:endParaRPr lang="en-US" baseline="0"/>
                  </a:p>
                </c:rich>
              </c:tx>
              <c:numFmt formatCode="0.0%" sourceLinked="0"/>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15:layout>
                    <c:manualLayout>
                      <c:w val="0.22903754394995846"/>
                      <c:h val="0.30164201577807065"/>
                    </c:manualLayout>
                  </c15:layout>
                  <c15:dlblFieldTable/>
                  <c15:showDataLabelsRange val="0"/>
                </c:ext>
                <c:ext xmlns:c16="http://schemas.microsoft.com/office/drawing/2014/chart" uri="{C3380CC4-5D6E-409C-BE32-E72D297353CC}">
                  <c16:uniqueId val="{00000003-BAB3-4A7B-BF97-54BEA62CCDE2}"/>
                </c:ext>
              </c:extLst>
            </c:dLbl>
            <c:dLbl>
              <c:idx val="2"/>
              <c:layout>
                <c:manualLayout>
                  <c:x val="-0.19778314392600713"/>
                  <c:y val="0.10135135135135134"/>
                </c:manualLayout>
              </c:layout>
              <c:tx>
                <c:rich>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fld id="{E7648FA4-3654-423B-B509-7CF20E5EBD40}" type="CATEGORYNAME">
                      <a:rPr lang="en-US"/>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t>[IME KATEGORIJE]</a:t>
                    </a:fld>
                    <a:r>
                      <a:rPr lang="en-US" baseline="0"/>
                      <a:t> </a:t>
                    </a:r>
                    <a:fld id="{6F78F100-B21B-4466-948B-212ED8F1E73E}" type="PERCENTAGE">
                      <a:rPr lang="en-US" baseline="0"/>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t>[ODSTOTEK]</a:t>
                    </a:fld>
                    <a:endParaRPr lang="en-US" baseline="0"/>
                  </a:p>
                </c:rich>
              </c:tx>
              <c:numFmt formatCode="0.0%" sourceLinked="0"/>
              <c:spPr>
                <a:noFill/>
                <a:ln>
                  <a:noFill/>
                </a:ln>
                <a:effectLst/>
              </c:spPr>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15:layout>
                    <c:manualLayout>
                      <c:w val="0.18364615635710788"/>
                      <c:h val="0.3812312312312312"/>
                    </c:manualLayout>
                  </c15:layout>
                  <c15:dlblFieldTable/>
                  <c15:showDataLabelsRange val="0"/>
                </c:ext>
                <c:ext xmlns:c16="http://schemas.microsoft.com/office/drawing/2014/chart" uri="{C3380CC4-5D6E-409C-BE32-E72D297353CC}">
                  <c16:uniqueId val="{00000005-BAB3-4A7B-BF97-54BEA62CCDE2}"/>
                </c:ext>
              </c:extLst>
            </c:dLbl>
            <c:dLbl>
              <c:idx val="3"/>
              <c:layout>
                <c:manualLayout>
                  <c:x val="0.14820206141606868"/>
                  <c:y val="-6.425830391890669E-2"/>
                </c:manualLayout>
              </c:layout>
              <c:tx>
                <c:rich>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fld id="{E7648FA4-3654-423B-B509-7CF20E5EBD40}" type="CATEGORYNAME">
                      <a:rPr lang="en-US"/>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t>[IME KATEGORIJE]</a:t>
                    </a:fld>
                    <a:r>
                      <a:rPr lang="en-US" baseline="0"/>
                      <a:t> </a:t>
                    </a:r>
                    <a:fld id="{BBE95223-44E3-472A-93C5-9D96361F3797}" type="PERCENTAGE">
                      <a:rPr lang="en-US" baseline="0"/>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t>[ODSTOTEK]</a:t>
                    </a:fld>
                    <a:endParaRPr lang="en-US" baseline="0"/>
                  </a:p>
                </c:rich>
              </c:tx>
              <c:numFmt formatCode="0.0%" sourceLinked="0"/>
              <c:spPr>
                <a:noFill/>
                <a:ln>
                  <a:noFill/>
                </a:ln>
                <a:effectLst/>
              </c:spPr>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7-BAB3-4A7B-BF97-54BEA62CCDE2}"/>
                </c:ext>
              </c:extLst>
            </c:dLbl>
            <c:numFmt formatCode="0.0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c15:spPr>
              </c:ext>
            </c:extLst>
          </c:dLbls>
          <c:cat>
            <c:strRef>
              <c:f>Graf_Prejemniki_LP!$C$15:$C$18</c:f>
              <c:strCache>
                <c:ptCount val="4"/>
                <c:pt idx="0">
                  <c:v>Država</c:v>
                </c:pt>
                <c:pt idx="1">
                  <c:v>Zavod za pokojninsko in invalidsko zavarovanje Slovenije </c:v>
                </c:pt>
                <c:pt idx="2">
                  <c:v>Zavod za zdravstveno zavarovanje Slovenije </c:v>
                </c:pt>
                <c:pt idx="3">
                  <c:v>Občine</c:v>
                </c:pt>
              </c:strCache>
            </c:strRef>
          </c:cat>
          <c:val>
            <c:numRef>
              <c:f>Graf_Prejemniki_LP!$D$15:$D$18</c:f>
              <c:numCache>
                <c:formatCode>#,##0.0</c:formatCode>
                <c:ptCount val="4"/>
                <c:pt idx="0">
                  <c:v>54.505496909480321</c:v>
                </c:pt>
                <c:pt idx="1">
                  <c:v>26.484101254697258</c:v>
                </c:pt>
                <c:pt idx="2">
                  <c:v>17.166854788088138</c:v>
                </c:pt>
                <c:pt idx="3">
                  <c:v>1.8435470477342726</c:v>
                </c:pt>
              </c:numCache>
            </c:numRef>
          </c:val>
          <c:extLst>
            <c:ext xmlns:c16="http://schemas.microsoft.com/office/drawing/2014/chart" uri="{C3380CC4-5D6E-409C-BE32-E72D297353CC}">
              <c16:uniqueId val="{00000008-BAB3-4A7B-BF97-54BEA62CCDE2}"/>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noFill/>
    <a:ln w="9525" cap="flat" cmpd="sng" algn="ctr">
      <a:noFill/>
      <a:round/>
    </a:ln>
    <a:effectLst/>
  </c:spPr>
  <c:txPr>
    <a:bodyPr/>
    <a:lstStyle/>
    <a:p>
      <a:pPr>
        <a:defRPr/>
      </a:pPr>
      <a:endParaRPr lang="sl-SI"/>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4636597055802809"/>
          <c:y val="0.2322593638059394"/>
          <c:w val="0.58251433584388912"/>
          <c:h val="0.50657653642351308"/>
        </c:manualLayout>
      </c:layout>
      <c:pie3DChart>
        <c:varyColors val="1"/>
        <c:ser>
          <c:idx val="0"/>
          <c:order val="0"/>
          <c:dPt>
            <c:idx val="0"/>
            <c:bubble3D val="0"/>
            <c:explosion val="3"/>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A31-4D78-92EE-084EACD447A8}"/>
              </c:ext>
            </c:extLst>
          </c:dPt>
          <c:dPt>
            <c:idx val="1"/>
            <c:bubble3D val="0"/>
            <c:explosion val="6"/>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A31-4D78-92EE-084EACD447A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A31-4D78-92EE-084EACD447A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A31-4D78-92EE-084EACD447A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A31-4D78-92EE-084EACD447A8}"/>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4A31-4D78-92EE-084EACD447A8}"/>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4A31-4D78-92EE-084EACD447A8}"/>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4A31-4D78-92EE-084EACD447A8}"/>
              </c:ext>
            </c:extLst>
          </c:dPt>
          <c:dLbls>
            <c:dLbl>
              <c:idx val="0"/>
              <c:layout>
                <c:manualLayout>
                  <c:x val="0.11139584824624185"/>
                  <c:y val="-6.8546815311452416E-2"/>
                </c:manualLayout>
              </c:layout>
              <c:tx>
                <c:rich>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fld id="{93E3DC8B-880E-403E-9FCB-8DCE2F450B0E}" type="CATEGORYNAME">
                      <a:rPr lang="en-US" sz="800">
                        <a:solidFill>
                          <a:sysClr val="windowText" lastClr="000000"/>
                        </a:solidFill>
                        <a:latin typeface="Arial" panose="020B0604020202020204" pitchFamily="34" charset="0"/>
                        <a:cs typeface="Arial" panose="020B0604020202020204" pitchFamily="34" charset="0"/>
                      </a:rPr>
                      <a:pPr>
                        <a:defRPr sz="800">
                          <a:solidFill>
                            <a:sysClr val="windowText" lastClr="000000"/>
                          </a:solidFill>
                          <a:latin typeface="Arial" panose="020B0604020202020204" pitchFamily="34" charset="0"/>
                          <a:cs typeface="Arial" panose="020B0604020202020204" pitchFamily="34" charset="0"/>
                        </a:defRPr>
                      </a:pPr>
                      <a:t>[IME KATEGORIJE]</a:t>
                    </a:fld>
                    <a:r>
                      <a:rPr lang="en-US" sz="800" baseline="0">
                        <a:solidFill>
                          <a:sysClr val="windowText" lastClr="000000"/>
                        </a:solidFill>
                        <a:latin typeface="Arial" panose="020B0604020202020204" pitchFamily="34" charset="0"/>
                        <a:cs typeface="Arial" panose="020B0604020202020204" pitchFamily="34" charset="0"/>
                      </a:rPr>
                      <a:t> 20,8%</a:t>
                    </a:r>
                  </a:p>
                </c:rich>
              </c:tx>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showLegendKey val="0"/>
              <c:showVal val="1"/>
              <c:showCatName val="1"/>
              <c:showSerName val="0"/>
              <c:showPercent val="1"/>
              <c:showBubbleSize val="0"/>
              <c:extLst>
                <c:ext xmlns:c15="http://schemas.microsoft.com/office/drawing/2012/chart" uri="{CE6537A1-D6FC-4f65-9D91-7224C49458BB}">
                  <c15:layout>
                    <c:manualLayout>
                      <c:w val="0.19112801240753996"/>
                      <c:h val="0.16981211506977464"/>
                    </c:manualLayout>
                  </c15:layout>
                  <c15:dlblFieldTable/>
                  <c15:showDataLabelsRange val="0"/>
                </c:ext>
                <c:ext xmlns:c16="http://schemas.microsoft.com/office/drawing/2014/chart" uri="{C3380CC4-5D6E-409C-BE32-E72D297353CC}">
                  <c16:uniqueId val="{00000001-4A31-4D78-92EE-084EACD447A8}"/>
                </c:ext>
              </c:extLst>
            </c:dLbl>
            <c:dLbl>
              <c:idx val="1"/>
              <c:layout>
                <c:manualLayout>
                  <c:x val="9.8278486465787518E-2"/>
                  <c:y val="0"/>
                </c:manualLayout>
              </c:layout>
              <c:tx>
                <c:rich>
                  <a:bodyPr/>
                  <a:lstStyle/>
                  <a:p>
                    <a:fld id="{E30652BF-6799-4C95-B4F3-9A4B29B87184}" type="CATEGORYNAME">
                      <a:rPr lang="en-US">
                        <a:solidFill>
                          <a:sysClr val="windowText" lastClr="000000"/>
                        </a:solidFill>
                      </a:rPr>
                      <a:pPr/>
                      <a:t>[IME KATEGORIJE]</a:t>
                    </a:fld>
                    <a:r>
                      <a:rPr lang="en-US" baseline="0">
                        <a:solidFill>
                          <a:sysClr val="windowText" lastClr="000000"/>
                        </a:solidFill>
                      </a:rPr>
                      <a:t> 44,1%</a:t>
                    </a:r>
                  </a:p>
                  <a:p>
                    <a:endParaRPr lang="sl-SI"/>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A31-4D78-92EE-084EACD447A8}"/>
                </c:ext>
              </c:extLst>
            </c:dLbl>
            <c:dLbl>
              <c:idx val="2"/>
              <c:layout>
                <c:manualLayout>
                  <c:x val="6.5407822663471393E-2"/>
                  <c:y val="0.19138513346209082"/>
                </c:manualLayout>
              </c:layout>
              <c:tx>
                <c:rich>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sz="800">
                      <a:solidFill>
                        <a:sysClr val="windowText" lastClr="000000"/>
                      </a:solidFill>
                    </a:endParaRPr>
                  </a:p>
                  <a:p>
                    <a:pPr>
                      <a:defRPr sz="800">
                        <a:solidFill>
                          <a:sysClr val="windowText" lastClr="000000"/>
                        </a:solidFill>
                        <a:latin typeface="Arial" panose="020B0604020202020204" pitchFamily="34" charset="0"/>
                        <a:cs typeface="Arial" panose="020B0604020202020204" pitchFamily="34" charset="0"/>
                      </a:defRPr>
                    </a:pPr>
                    <a:endParaRPr lang="en-US" sz="800">
                      <a:solidFill>
                        <a:sysClr val="windowText" lastClr="000000"/>
                      </a:solidFill>
                    </a:endParaRPr>
                  </a:p>
                  <a:p>
                    <a:pPr>
                      <a:defRPr sz="800">
                        <a:solidFill>
                          <a:sysClr val="windowText" lastClr="000000"/>
                        </a:solidFill>
                        <a:latin typeface="Arial" panose="020B0604020202020204" pitchFamily="34" charset="0"/>
                        <a:cs typeface="Arial" panose="020B0604020202020204" pitchFamily="34" charset="0"/>
                      </a:defRPr>
                    </a:pPr>
                    <a:fld id="{225F6641-A3B1-49EA-809E-202E1D37FD43}" type="CATEGORYNAME">
                      <a:rPr lang="en-US" sz="800">
                        <a:solidFill>
                          <a:sysClr val="windowText" lastClr="000000"/>
                        </a:solidFill>
                      </a:rPr>
                      <a:pPr>
                        <a:defRPr sz="800">
                          <a:solidFill>
                            <a:sysClr val="windowText" lastClr="000000"/>
                          </a:solidFill>
                          <a:latin typeface="Arial" panose="020B0604020202020204" pitchFamily="34" charset="0"/>
                          <a:cs typeface="Arial" panose="020B0604020202020204" pitchFamily="34" charset="0"/>
                        </a:defRPr>
                      </a:pPr>
                      <a:t>[IME KATEGORIJE]</a:t>
                    </a:fld>
                    <a:r>
                      <a:rPr lang="en-US" sz="800" baseline="0">
                        <a:solidFill>
                          <a:sysClr val="windowText" lastClr="000000"/>
                        </a:solidFill>
                      </a:rPr>
                      <a:t> 0,1%</a:t>
                    </a:r>
                  </a:p>
                </c:rich>
              </c:tx>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showLegendKey val="0"/>
              <c:showVal val="1"/>
              <c:showCatName val="1"/>
              <c:showSerName val="0"/>
              <c:showPercent val="1"/>
              <c:showBubbleSize val="0"/>
              <c:extLst>
                <c:ext xmlns:c15="http://schemas.microsoft.com/office/drawing/2012/chart" uri="{CE6537A1-D6FC-4f65-9D91-7224C49458BB}">
                  <c15:layout>
                    <c:manualLayout>
                      <c:w val="0.21343739301609041"/>
                      <c:h val="0.27080684596577015"/>
                    </c:manualLayout>
                  </c15:layout>
                  <c15:dlblFieldTable/>
                  <c15:showDataLabelsRange val="0"/>
                </c:ext>
                <c:ext xmlns:c16="http://schemas.microsoft.com/office/drawing/2014/chart" uri="{C3380CC4-5D6E-409C-BE32-E72D297353CC}">
                  <c16:uniqueId val="{00000005-4A31-4D78-92EE-084EACD447A8}"/>
                </c:ext>
              </c:extLst>
            </c:dLbl>
            <c:dLbl>
              <c:idx val="3"/>
              <c:layout>
                <c:manualLayout>
                  <c:x val="-8.4950374840869439E-2"/>
                  <c:y val="-3.5883328391482444E-3"/>
                </c:manualLayout>
              </c:layout>
              <c:tx>
                <c:rich>
                  <a:bodyPr/>
                  <a:lstStyle/>
                  <a:p>
                    <a:fld id="{16BEDAE8-E9C4-444A-8D34-F57DEB48A571}" type="CATEGORYNAME">
                      <a:rPr lang="en-US"/>
                      <a:pPr/>
                      <a:t>[IME KATEGORIJE]</a:t>
                    </a:fld>
                    <a:r>
                      <a:rPr lang="en-US"/>
                      <a:t> 1,7%</a:t>
                    </a:r>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A31-4D78-92EE-084EACD447A8}"/>
                </c:ext>
              </c:extLst>
            </c:dLbl>
            <c:dLbl>
              <c:idx val="4"/>
              <c:layout>
                <c:manualLayout>
                  <c:x val="-8.9931281317108105E-2"/>
                  <c:y val="9.738655309595734E-2"/>
                </c:manualLayout>
              </c:layout>
              <c:tx>
                <c:rich>
                  <a:bodyPr/>
                  <a:lstStyle/>
                  <a:p>
                    <a:fld id="{EEB6740F-41EC-48FC-B1AF-09FF4FEA9EDA}" type="CATEGORYNAME">
                      <a:rPr lang="en-US">
                        <a:solidFill>
                          <a:sysClr val="windowText" lastClr="000000"/>
                        </a:solidFill>
                      </a:rPr>
                      <a:pPr/>
                      <a:t>[IME KATEGORIJE]</a:t>
                    </a:fld>
                    <a:r>
                      <a:rPr lang="en-US" baseline="0">
                        <a:solidFill>
                          <a:sysClr val="windowText" lastClr="000000"/>
                        </a:solidFill>
                      </a:rPr>
                      <a:t> 32%</a:t>
                    </a:r>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4A31-4D78-92EE-084EACD447A8}"/>
                </c:ext>
              </c:extLst>
            </c:dLbl>
            <c:dLbl>
              <c:idx val="5"/>
              <c:layout>
                <c:manualLayout>
                  <c:x val="-0.27166402773022935"/>
                  <c:y val="4.0450108773078157E-3"/>
                </c:manualLayout>
              </c:layout>
              <c:tx>
                <c:rich>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fld id="{E4A63DC8-FF01-4229-A7F9-671FD4BB7B91}" type="CATEGORYNAME">
                      <a:rPr lang="en-US" sz="800">
                        <a:solidFill>
                          <a:sysClr val="windowText" lastClr="000000"/>
                        </a:solidFill>
                        <a:latin typeface="Arial" panose="020B0604020202020204" pitchFamily="34" charset="0"/>
                        <a:cs typeface="Arial" panose="020B0604020202020204" pitchFamily="34" charset="0"/>
                      </a:rPr>
                      <a:pPr>
                        <a:defRPr sz="800">
                          <a:solidFill>
                            <a:sysClr val="windowText" lastClr="000000"/>
                          </a:solidFill>
                          <a:latin typeface="Arial" panose="020B0604020202020204" pitchFamily="34" charset="0"/>
                          <a:cs typeface="Arial" panose="020B0604020202020204" pitchFamily="34" charset="0"/>
                        </a:defRPr>
                      </a:pPr>
                      <a:t>[IME KATEGORIJE]</a:t>
                    </a:fld>
                    <a:r>
                      <a:rPr lang="en-US" sz="800" baseline="0">
                        <a:solidFill>
                          <a:sysClr val="windowText" lastClr="000000"/>
                        </a:solidFill>
                        <a:latin typeface="Arial" panose="020B0604020202020204" pitchFamily="34" charset="0"/>
                        <a:cs typeface="Arial" panose="020B0604020202020204" pitchFamily="34" charset="0"/>
                      </a:rPr>
                      <a:t> 0,9%</a:t>
                    </a:r>
                  </a:p>
                </c:rich>
              </c:tx>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showLegendKey val="0"/>
              <c:showVal val="1"/>
              <c:showCatName val="1"/>
              <c:showSerName val="0"/>
              <c:showPercent val="1"/>
              <c:showBubbleSize val="0"/>
              <c:extLst>
                <c:ext xmlns:c15="http://schemas.microsoft.com/office/drawing/2012/chart" uri="{CE6537A1-D6FC-4f65-9D91-7224C49458BB}">
                  <c15:layout>
                    <c:manualLayout>
                      <c:w val="0.33691377770487024"/>
                      <c:h val="0.19778092431428526"/>
                    </c:manualLayout>
                  </c15:layout>
                  <c15:dlblFieldTable/>
                  <c15:showDataLabelsRange val="0"/>
                </c:ext>
                <c:ext xmlns:c16="http://schemas.microsoft.com/office/drawing/2014/chart" uri="{C3380CC4-5D6E-409C-BE32-E72D297353CC}">
                  <c16:uniqueId val="{0000000B-4A31-4D78-92EE-084EACD447A8}"/>
                </c:ext>
              </c:extLst>
            </c:dLbl>
            <c:dLbl>
              <c:idx val="6"/>
              <c:layout>
                <c:manualLayout>
                  <c:x val="1.005377376608421E-2"/>
                  <c:y val="-7.8652323971314608E-2"/>
                </c:manualLayout>
              </c:layout>
              <c:tx>
                <c:rich>
                  <a:bodyPr/>
                  <a:lstStyle/>
                  <a:p>
                    <a:fld id="{AF7E2B6A-F4D3-43B4-A0CA-CFF82212AE29}" type="CATEGORYNAME">
                      <a:rPr lang="en-US"/>
                      <a:pPr/>
                      <a:t>[IME KATEGORIJE]</a:t>
                    </a:fld>
                    <a:r>
                      <a:rPr lang="en-US"/>
                      <a:t> 0,4</a:t>
                    </a:r>
                    <a:r>
                      <a:rPr lang="en-US" baseline="0"/>
                      <a:t>%</a:t>
                    </a:r>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4A31-4D78-92EE-084EACD447A8}"/>
                </c:ext>
              </c:extLst>
            </c:dLbl>
            <c:dLbl>
              <c:idx val="7"/>
              <c:delete val="1"/>
              <c:extLst>
                <c:ext xmlns:c15="http://schemas.microsoft.com/office/drawing/2012/chart" uri="{CE6537A1-D6FC-4f65-9D91-7224C49458BB}"/>
                <c:ext xmlns:c16="http://schemas.microsoft.com/office/drawing/2014/chart" uri="{C3380CC4-5D6E-409C-BE32-E72D297353CC}">
                  <c16:uniqueId val="{0000000F-4A31-4D78-92EE-084EACD447A8}"/>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Graf_Dajatve_LP!$C$8:$C$15</c:f>
              <c:strCache>
                <c:ptCount val="8"/>
                <c:pt idx="0">
                  <c:v>Davki na dohodek in dobiček</c:v>
                </c:pt>
                <c:pt idx="1">
                  <c:v>Prispevki za socialno varnost in Transferni prihodki</c:v>
                </c:pt>
                <c:pt idx="2">
                  <c:v>Davki na plačilno listi in delovno silo</c:v>
                </c:pt>
                <c:pt idx="3">
                  <c:v>Davki na premoženje</c:v>
                </c:pt>
                <c:pt idx="4">
                  <c:v>Domači davki na blago in storitve</c:v>
                </c:pt>
                <c:pt idx="5">
                  <c:v>Davki na mednarodno trgovino in transakcije</c:v>
                </c:pt>
                <c:pt idx="6">
                  <c:v>Nedavčni prihodki</c:v>
                </c:pt>
                <c:pt idx="7">
                  <c:v>Nerazporejeni</c:v>
                </c:pt>
              </c:strCache>
            </c:strRef>
          </c:cat>
          <c:val>
            <c:numRef>
              <c:f>Graf_Dajatve_LP!$D$8:$D$15</c:f>
              <c:numCache>
                <c:formatCode>#,##0.00</c:formatCode>
                <c:ptCount val="8"/>
                <c:pt idx="0">
                  <c:v>20.808778552831409</c:v>
                </c:pt>
                <c:pt idx="1">
                  <c:v>44.119995844391113</c:v>
                </c:pt>
                <c:pt idx="2">
                  <c:v>0.12439800184203145</c:v>
                </c:pt>
                <c:pt idx="3">
                  <c:v>1.6496735927426953</c:v>
                </c:pt>
                <c:pt idx="4">
                  <c:v>31.971907974990426</c:v>
                </c:pt>
                <c:pt idx="5">
                  <c:v>0.9234679680078135</c:v>
                </c:pt>
                <c:pt idx="6">
                  <c:v>0.43128874513179949</c:v>
                </c:pt>
                <c:pt idx="7">
                  <c:v>-2.9518848277061156E-2</c:v>
                </c:pt>
              </c:numCache>
            </c:numRef>
          </c:val>
          <c:extLst>
            <c:ext xmlns:c16="http://schemas.microsoft.com/office/drawing/2014/chart" uri="{C3380CC4-5D6E-409C-BE32-E72D297353CC}">
              <c16:uniqueId val="{00000010-4A31-4D78-92EE-084EACD447A8}"/>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0D8-470B-97E3-07199BFEA86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0D8-470B-97E3-07199BFEA864}"/>
              </c:ext>
            </c:extLst>
          </c:dPt>
          <c:dLbls>
            <c:dLbl>
              <c:idx val="0"/>
              <c:layout>
                <c:manualLayout>
                  <c:x val="7.8323536290637014E-2"/>
                  <c:y val="0.13840030305490239"/>
                </c:manualLayout>
              </c:layout>
              <c:tx>
                <c:rich>
                  <a:bodyPr/>
                  <a:lstStyle/>
                  <a:p>
                    <a:r>
                      <a:rPr lang="en-US" sz="900">
                        <a:latin typeface="Arial" pitchFamily="34" charset="0"/>
                        <a:cs typeface="Arial" pitchFamily="34" charset="0"/>
                      </a:rPr>
                      <a:t>Pravne osebe
52,7%</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0D8-470B-97E3-07199BFEA864}"/>
                </c:ext>
              </c:extLst>
            </c:dLbl>
            <c:dLbl>
              <c:idx val="1"/>
              <c:layout>
                <c:manualLayout>
                  <c:x val="-6.7020421523522028E-2"/>
                  <c:y val="-0.10913037418995192"/>
                </c:manualLayout>
              </c:layout>
              <c:tx>
                <c:rich>
                  <a:bodyPr/>
                  <a:lstStyle/>
                  <a:p>
                    <a:r>
                      <a:rPr lang="en-US" sz="900">
                        <a:latin typeface="Arial" pitchFamily="34" charset="0"/>
                        <a:cs typeface="Arial" pitchFamily="34" charset="0"/>
                      </a:rPr>
                      <a:t>Fizične osebe
47,3%,</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0D8-470B-97E3-07199BFEA86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 in PO'!$E$7:$E$8</c:f>
              <c:strCache>
                <c:ptCount val="2"/>
                <c:pt idx="0">
                  <c:v>Pravne osebe</c:v>
                </c:pt>
                <c:pt idx="1">
                  <c:v>Fizične osebe</c:v>
                </c:pt>
              </c:strCache>
            </c:strRef>
          </c:cat>
          <c:val>
            <c:numRef>
              <c:f>'FO in PO'!$H$7:$H$8</c:f>
              <c:numCache>
                <c:formatCode>#,##0</c:formatCode>
                <c:ptCount val="2"/>
                <c:pt idx="0">
                  <c:v>484069022.06999999</c:v>
                </c:pt>
                <c:pt idx="1">
                  <c:v>434438952</c:v>
                </c:pt>
              </c:numCache>
            </c:numRef>
          </c:val>
          <c:extLst>
            <c:ext xmlns:c16="http://schemas.microsoft.com/office/drawing/2014/chart" uri="{C3380CC4-5D6E-409C-BE32-E72D297353CC}">
              <c16:uniqueId val="{00000004-B0D8-470B-97E3-07199BFEA864}"/>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pivotSource>
    <c:name>[tabela - A, I - dolg in skupaj.xlsx]List6!Vrtilna tabela3</c:name>
    <c:fmtId val="-1"/>
  </c:pivotSource>
  <c:chart>
    <c:autoTitleDeleted val="0"/>
    <c:pivotFmts>
      <c:pivotFmt>
        <c:idx val="0"/>
        <c:dLbl>
          <c:idx val="0"/>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1"/>
        <c:dLbl>
          <c:idx val="0"/>
          <c:numFmt formatCode="#,##0" sourceLinked="0"/>
          <c:spPr/>
          <c:txPr>
            <a:bodyPr/>
            <a:lstStyle/>
            <a:p>
              <a:pPr>
                <a:defRPr sz="1000"/>
              </a:pPr>
              <a:endParaRPr lang="sl-SI"/>
            </a:p>
          </c:txPr>
          <c:dLblPos val="r"/>
          <c:showLegendKey val="0"/>
          <c:showVal val="1"/>
          <c:showCatName val="0"/>
          <c:showSerName val="0"/>
          <c:showPercent val="0"/>
          <c:showBubbleSize val="0"/>
          <c:extLst>
            <c:ext xmlns:c15="http://schemas.microsoft.com/office/drawing/2012/chart" uri="{CE6537A1-D6FC-4f65-9D91-7224C49458BB}"/>
          </c:extLst>
        </c:dLbl>
      </c:pivotFmt>
      <c:pivotFmt>
        <c:idx val="2"/>
        <c:dLbl>
          <c:idx val="0"/>
          <c:layout>
            <c:manualLayout>
              <c:x val="-3.6213573427257188E-17"/>
              <c:y val="1.385281385281386E-2"/>
            </c:manualLayout>
          </c:layout>
          <c:dLblPos val="r"/>
          <c:showLegendKey val="0"/>
          <c:showVal val="1"/>
          <c:showCatName val="0"/>
          <c:showSerName val="0"/>
          <c:showPercent val="0"/>
          <c:showBubbleSize val="0"/>
          <c:extLst>
            <c:ext xmlns:c15="http://schemas.microsoft.com/office/drawing/2012/chart" uri="{CE6537A1-D6FC-4f65-9D91-7224C49458BB}"/>
          </c:extLst>
        </c:dLbl>
      </c:pivotFmt>
      <c:pivotFmt>
        <c:idx val="3"/>
        <c:dLbl>
          <c:idx val="0"/>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4"/>
        <c:dLbl>
          <c:idx val="0"/>
          <c:numFmt formatCode="#,##0" sourceLinked="0"/>
          <c:spPr/>
          <c:txPr>
            <a:bodyPr/>
            <a:lstStyle/>
            <a:p>
              <a:pPr>
                <a:defRPr sz="1000"/>
              </a:pPr>
              <a:endParaRPr lang="sl-SI"/>
            </a:p>
          </c:txPr>
          <c:dLblPos val="r"/>
          <c:showLegendKey val="0"/>
          <c:showVal val="1"/>
          <c:showCatName val="0"/>
          <c:showSerName val="0"/>
          <c:showPercent val="0"/>
          <c:showBubbleSize val="0"/>
          <c:extLst>
            <c:ext xmlns:c15="http://schemas.microsoft.com/office/drawing/2012/chart" uri="{CE6537A1-D6FC-4f65-9D91-7224C49458BB}"/>
          </c:extLst>
        </c:dLbl>
      </c:pivotFmt>
      <c:pivotFmt>
        <c:idx val="5"/>
        <c:dLbl>
          <c:idx val="0"/>
          <c:layout>
            <c:manualLayout>
              <c:x val="-5.9259259259259274E-3"/>
              <c:y val="2.7705627705627765E-2"/>
            </c:manualLayout>
          </c:layout>
          <c:dLblPos val="r"/>
          <c:showLegendKey val="0"/>
          <c:showVal val="1"/>
          <c:showCatName val="0"/>
          <c:showSerName val="0"/>
          <c:showPercent val="0"/>
          <c:showBubbleSize val="0"/>
          <c:extLst>
            <c:ext xmlns:c15="http://schemas.microsoft.com/office/drawing/2012/chart" uri="{CE6537A1-D6FC-4f65-9D91-7224C49458BB}"/>
          </c:extLst>
        </c:dLbl>
      </c:pivotFmt>
      <c:pivotFmt>
        <c:idx val="6"/>
        <c:marker>
          <c:symbol val="triangle"/>
          <c:size val="7"/>
        </c:marker>
        <c:dLbl>
          <c:idx val="0"/>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7"/>
        <c:dLbl>
          <c:idx val="0"/>
          <c:numFmt formatCode="#,##0" sourceLinked="0"/>
          <c:spPr/>
          <c:txPr>
            <a:bodyPr/>
            <a:lstStyle/>
            <a:p>
              <a:pPr>
                <a:defRPr/>
              </a:pPr>
              <a:endParaRPr lang="sl-SI"/>
            </a:p>
          </c:txPr>
          <c:dLblPos val="r"/>
          <c:showLegendKey val="0"/>
          <c:showVal val="1"/>
          <c:showCatName val="0"/>
          <c:showSerName val="0"/>
          <c:showPercent val="0"/>
          <c:showBubbleSize val="0"/>
          <c:extLst>
            <c:ext xmlns:c15="http://schemas.microsoft.com/office/drawing/2012/chart" uri="{CE6537A1-D6FC-4f65-9D91-7224C49458BB}"/>
          </c:extLst>
        </c:dLbl>
      </c:pivotFmt>
      <c:pivotFmt>
        <c:idx val="8"/>
        <c:dLbl>
          <c:idx val="0"/>
          <c:layout>
            <c:manualLayout>
              <c:x val="-3.6213573427257188E-17"/>
              <c:y val="3.4632034632034632E-2"/>
            </c:manualLayout>
          </c:layout>
          <c:dLblPos val="r"/>
          <c:showLegendKey val="0"/>
          <c:showVal val="1"/>
          <c:showCatName val="0"/>
          <c:showSerName val="0"/>
          <c:showPercent val="0"/>
          <c:showBubbleSize val="0"/>
          <c:extLst>
            <c:ext xmlns:c15="http://schemas.microsoft.com/office/drawing/2012/chart" uri="{CE6537A1-D6FC-4f65-9D91-7224C49458BB}"/>
          </c:extLst>
        </c:dLbl>
      </c:pivotFmt>
      <c:pivotFmt>
        <c:idx val="9"/>
        <c:dLbl>
          <c:idx val="0"/>
          <c:layout>
            <c:manualLayout>
              <c:x val="-1.5802469135802456E-2"/>
              <c:y val="-4.8485121178034565E-2"/>
            </c:manualLayout>
          </c:layout>
          <c:showLegendKey val="0"/>
          <c:showVal val="1"/>
          <c:showCatName val="0"/>
          <c:showSerName val="0"/>
          <c:showPercent val="0"/>
          <c:showBubbleSize val="0"/>
          <c:extLst>
            <c:ext xmlns:c15="http://schemas.microsoft.com/office/drawing/2012/chart" uri="{CE6537A1-D6FC-4f65-9D91-7224C49458BB}"/>
          </c:extLst>
        </c:dLbl>
      </c:pivotFmt>
      <c:pivotFmt>
        <c:idx val="10"/>
        <c:dLbl>
          <c:idx val="0"/>
          <c:layout>
            <c:manualLayout>
              <c:x val="-5.9259259259258901E-3"/>
              <c:y val="-6.9264069264069264E-2"/>
            </c:manualLayout>
          </c:layout>
          <c:showLegendKey val="0"/>
          <c:showVal val="1"/>
          <c:showCatName val="0"/>
          <c:showSerName val="0"/>
          <c:showPercent val="0"/>
          <c:showBubbleSize val="0"/>
          <c:extLst>
            <c:ext xmlns:c15="http://schemas.microsoft.com/office/drawing/2012/chart" uri="{CE6537A1-D6FC-4f65-9D91-7224C49458BB}"/>
          </c:extLst>
        </c:dLbl>
      </c:pivotFmt>
      <c:pivotFmt>
        <c:idx val="11"/>
        <c:dLbl>
          <c:idx val="0"/>
          <c:layout>
            <c:manualLayout>
              <c:x val="-5.9259259259258901E-3"/>
              <c:y val="3.8095238095238099E-2"/>
            </c:manualLayout>
          </c:layout>
          <c:showLegendKey val="0"/>
          <c:showVal val="1"/>
          <c:showCatName val="0"/>
          <c:showSerName val="0"/>
          <c:showPercent val="0"/>
          <c:showBubbleSize val="0"/>
          <c:extLst>
            <c:ext xmlns:c15="http://schemas.microsoft.com/office/drawing/2012/chart" uri="{CE6537A1-D6FC-4f65-9D91-7224C49458BB}"/>
          </c:extLst>
        </c:dLbl>
      </c:pivotFmt>
      <c:pivotFmt>
        <c:idx val="12"/>
        <c:dLbl>
          <c:idx val="0"/>
          <c:layout>
            <c:manualLayout>
              <c:x val="-7.9012345679012382E-3"/>
              <c:y val="-4.8484848484848485E-2"/>
            </c:manualLayout>
          </c:layout>
          <c:showLegendKey val="0"/>
          <c:showVal val="1"/>
          <c:showCatName val="0"/>
          <c:showSerName val="0"/>
          <c:showPercent val="0"/>
          <c:showBubbleSize val="0"/>
          <c:extLst>
            <c:ext xmlns:c15="http://schemas.microsoft.com/office/drawing/2012/chart" uri="{CE6537A1-D6FC-4f65-9D91-7224C49458BB}"/>
          </c:extLst>
        </c:dLbl>
      </c:pivotFmt>
      <c:pivotFmt>
        <c:idx val="13"/>
        <c:dLbl>
          <c:idx val="0"/>
          <c:layout>
            <c:manualLayout>
              <c:x val="-1.1851851851851863E-2"/>
              <c:y val="-5.8874731567644951E-2"/>
            </c:manualLayout>
          </c:layout>
          <c:showLegendKey val="0"/>
          <c:showVal val="1"/>
          <c:showCatName val="0"/>
          <c:showSerName val="0"/>
          <c:showPercent val="0"/>
          <c:showBubbleSize val="0"/>
          <c:extLst>
            <c:ext xmlns:c15="http://schemas.microsoft.com/office/drawing/2012/chart" uri="{CE6537A1-D6FC-4f65-9D91-7224C49458BB}"/>
          </c:extLst>
        </c:dLbl>
      </c:pivotFmt>
      <c:pivotFmt>
        <c:idx val="14"/>
        <c:dLbl>
          <c:idx val="0"/>
          <c:layout>
            <c:manualLayout>
              <c:x val="0"/>
              <c:y val="5.5411255411255397E-2"/>
            </c:manualLayout>
          </c:layout>
          <c:showLegendKey val="0"/>
          <c:showVal val="1"/>
          <c:showCatName val="0"/>
          <c:showSerName val="0"/>
          <c:showPercent val="0"/>
          <c:showBubbleSize val="0"/>
          <c:extLst>
            <c:ext xmlns:c15="http://schemas.microsoft.com/office/drawing/2012/chart" uri="{CE6537A1-D6FC-4f65-9D91-7224C49458BB}"/>
          </c:extLst>
        </c:dLbl>
      </c:pivotFmt>
      <c:pivotFmt>
        <c:idx val="15"/>
        <c:dLbl>
          <c:idx val="0"/>
          <c:layout>
            <c:manualLayout>
              <c:x val="-3.9506172839506182E-3"/>
              <c:y val="-4.5021645021645032E-2"/>
            </c:manualLayout>
          </c:layout>
          <c:showLegendKey val="0"/>
          <c:showVal val="1"/>
          <c:showCatName val="0"/>
          <c:showSerName val="0"/>
          <c:showPercent val="0"/>
          <c:showBubbleSize val="0"/>
          <c:extLst>
            <c:ext xmlns:c15="http://schemas.microsoft.com/office/drawing/2012/chart" uri="{CE6537A1-D6FC-4f65-9D91-7224C49458BB}"/>
          </c:extLst>
        </c:dLbl>
      </c:pivotFmt>
      <c:pivotFmt>
        <c:idx val="16"/>
        <c:dLbl>
          <c:idx val="0"/>
          <c:layout>
            <c:manualLayout>
              <c:x val="0"/>
              <c:y val="-4.1558441558441593E-2"/>
            </c:manualLayout>
          </c:layout>
          <c:showLegendKey val="0"/>
          <c:showVal val="1"/>
          <c:showCatName val="0"/>
          <c:showSerName val="0"/>
          <c:showPercent val="0"/>
          <c:showBubbleSize val="0"/>
          <c:extLst>
            <c:ext xmlns:c15="http://schemas.microsoft.com/office/drawing/2012/chart" uri="{CE6537A1-D6FC-4f65-9D91-7224C49458BB}"/>
          </c:extLst>
        </c:dLbl>
      </c:pivotFmt>
      <c:pivotFmt>
        <c:idx val="17"/>
        <c:dLbl>
          <c:idx val="0"/>
          <c:layout>
            <c:manualLayout>
              <c:x val="-1.9753086419753109E-3"/>
              <c:y val="-4.8484848484848485E-2"/>
            </c:manualLayout>
          </c:layout>
          <c:showLegendKey val="0"/>
          <c:showVal val="1"/>
          <c:showCatName val="0"/>
          <c:showSerName val="0"/>
          <c:showPercent val="0"/>
          <c:showBubbleSize val="0"/>
          <c:extLst>
            <c:ext xmlns:c15="http://schemas.microsoft.com/office/drawing/2012/chart" uri="{CE6537A1-D6FC-4f65-9D91-7224C49458BB}"/>
          </c:extLst>
        </c:dLbl>
      </c:pivotFmt>
      <c:pivotFmt>
        <c:idx val="18"/>
        <c:dLbl>
          <c:idx val="0"/>
          <c:layout>
            <c:manualLayout>
              <c:x val="0"/>
              <c:y val="-3.1168831168831183E-2"/>
            </c:manualLayout>
          </c:layout>
          <c:showLegendKey val="0"/>
          <c:showVal val="1"/>
          <c:showCatName val="0"/>
          <c:showSerName val="0"/>
          <c:showPercent val="0"/>
          <c:showBubbleSize val="0"/>
          <c:extLst>
            <c:ext xmlns:c15="http://schemas.microsoft.com/office/drawing/2012/chart" uri="{CE6537A1-D6FC-4f65-9D91-7224C49458BB}"/>
          </c:extLst>
        </c:dLbl>
      </c:pivotFmt>
      <c:pivotFmt>
        <c:idx val="19"/>
        <c:dLbl>
          <c:idx val="0"/>
          <c:layout>
            <c:manualLayout>
              <c:x val="0"/>
              <c:y val="-3.1168831168831169E-2"/>
            </c:manualLayout>
          </c:layout>
          <c:showLegendKey val="0"/>
          <c:showVal val="1"/>
          <c:showCatName val="0"/>
          <c:showSerName val="0"/>
          <c:showPercent val="0"/>
          <c:showBubbleSize val="0"/>
          <c:extLst>
            <c:ext xmlns:c15="http://schemas.microsoft.com/office/drawing/2012/chart" uri="{CE6537A1-D6FC-4f65-9D91-7224C49458BB}"/>
          </c:extLst>
        </c:dLbl>
      </c:pivotFmt>
      <c:pivotFmt>
        <c:idx val="20"/>
        <c:dLbl>
          <c:idx val="0"/>
          <c:layout>
            <c:manualLayout>
              <c:x val="-5.8997050147492694E-3"/>
              <c:y val="-4.8484848484848485E-2"/>
            </c:manualLayout>
          </c:layout>
          <c:showLegendKey val="0"/>
          <c:showVal val="1"/>
          <c:showCatName val="0"/>
          <c:showSerName val="0"/>
          <c:showPercent val="0"/>
          <c:showBubbleSize val="0"/>
          <c:extLst>
            <c:ext xmlns:c15="http://schemas.microsoft.com/office/drawing/2012/chart" uri="{CE6537A1-D6FC-4f65-9D91-7224C49458BB}"/>
          </c:extLst>
        </c:dLbl>
      </c:pivotFmt>
      <c:pivotFmt>
        <c:idx val="21"/>
        <c:dLbl>
          <c:idx val="0"/>
          <c:layout>
            <c:manualLayout>
              <c:x val="-1.8233618233618243E-2"/>
              <c:y val="5.4945054945054944E-2"/>
            </c:manualLayout>
          </c:layout>
          <c:showLegendKey val="0"/>
          <c:showVal val="1"/>
          <c:showCatName val="0"/>
          <c:showSerName val="0"/>
          <c:showPercent val="0"/>
          <c:showBubbleSize val="0"/>
          <c:extLst>
            <c:ext xmlns:c15="http://schemas.microsoft.com/office/drawing/2012/chart" uri="{CE6537A1-D6FC-4f65-9D91-7224C49458BB}"/>
          </c:extLst>
        </c:dLbl>
      </c:pivotFmt>
      <c:pivotFmt>
        <c:idx val="22"/>
        <c:dLbl>
          <c:idx val="0"/>
          <c:layout>
            <c:manualLayout>
              <c:x val="-2.0512820512820516E-2"/>
              <c:y val="5.128205128205128E-2"/>
            </c:manualLayout>
          </c:layout>
          <c:showLegendKey val="0"/>
          <c:showVal val="1"/>
          <c:showCatName val="0"/>
          <c:showSerName val="0"/>
          <c:showPercent val="0"/>
          <c:showBubbleSize val="0"/>
          <c:extLst>
            <c:ext xmlns:c15="http://schemas.microsoft.com/office/drawing/2012/chart" uri="{CE6537A1-D6FC-4f65-9D91-7224C49458BB}"/>
          </c:extLst>
        </c:dLbl>
      </c:pivotFmt>
      <c:pivotFmt>
        <c:idx val="23"/>
        <c:dLbl>
          <c:idx val="0"/>
          <c:layout>
            <c:manualLayout>
              <c:x val="-3.6467236467236486E-2"/>
              <c:y val="5.8608058608058573E-2"/>
            </c:manualLayout>
          </c:layout>
          <c:showLegendKey val="0"/>
          <c:showVal val="1"/>
          <c:showCatName val="0"/>
          <c:showSerName val="0"/>
          <c:showPercent val="0"/>
          <c:showBubbleSize val="0"/>
          <c:extLst>
            <c:ext xmlns:c15="http://schemas.microsoft.com/office/drawing/2012/chart" uri="{CE6537A1-D6FC-4f65-9D91-7224C49458BB}"/>
          </c:extLst>
        </c:dLbl>
      </c:pivotFmt>
      <c:pivotFmt>
        <c:idx val="24"/>
        <c:dLbl>
          <c:idx val="0"/>
          <c:layout>
            <c:manualLayout>
              <c:x val="0"/>
              <c:y val="7.6923076923076927E-2"/>
            </c:manualLayout>
          </c:layout>
          <c:showLegendKey val="0"/>
          <c:showVal val="1"/>
          <c:showCatName val="0"/>
          <c:showSerName val="0"/>
          <c:showPercent val="0"/>
          <c:showBubbleSize val="0"/>
          <c:extLst>
            <c:ext xmlns:c15="http://schemas.microsoft.com/office/drawing/2012/chart" uri="{CE6537A1-D6FC-4f65-9D91-7224C49458BB}"/>
          </c:extLst>
        </c:dLbl>
      </c:pivotFmt>
      <c:pivotFmt>
        <c:idx val="25"/>
        <c:dLbl>
          <c:idx val="0"/>
          <c:layout>
            <c:manualLayout>
              <c:x val="-6.8610634648370514E-3"/>
              <c:y val="5.4945054945054944E-2"/>
            </c:manualLayout>
          </c:layout>
          <c:showLegendKey val="0"/>
          <c:showVal val="1"/>
          <c:showCatName val="0"/>
          <c:showSerName val="0"/>
          <c:showPercent val="0"/>
          <c:showBubbleSize val="0"/>
          <c:extLst>
            <c:ext xmlns:c15="http://schemas.microsoft.com/office/drawing/2012/chart" uri="{CE6537A1-D6FC-4f65-9D91-7224C49458BB}"/>
          </c:extLst>
        </c:dLbl>
      </c:pivotFmt>
      <c:pivotFmt>
        <c:idx val="26"/>
        <c:dLbl>
          <c:idx val="0"/>
          <c:layout>
            <c:manualLayout>
              <c:x val="6.8610634648370514E-3"/>
              <c:y val="4.7619047619047693E-2"/>
            </c:manualLayout>
          </c:layout>
          <c:showLegendKey val="0"/>
          <c:showVal val="1"/>
          <c:showCatName val="0"/>
          <c:showSerName val="0"/>
          <c:showPercent val="0"/>
          <c:showBubbleSize val="0"/>
          <c:extLst>
            <c:ext xmlns:c15="http://schemas.microsoft.com/office/drawing/2012/chart" uri="{CE6537A1-D6FC-4f65-9D91-7224C49458BB}"/>
          </c:extLst>
        </c:dLbl>
      </c:pivotFmt>
      <c:pivotFmt>
        <c:idx val="27"/>
        <c:dLbl>
          <c:idx val="0"/>
          <c:layout>
            <c:manualLayout>
              <c:x val="-2.4110910186859553E-3"/>
              <c:y val="-5.1587301587301584E-2"/>
            </c:manualLayout>
          </c:layout>
          <c:showLegendKey val="0"/>
          <c:showVal val="1"/>
          <c:showCatName val="0"/>
          <c:showSerName val="0"/>
          <c:showPercent val="0"/>
          <c:showBubbleSize val="0"/>
          <c:extLst>
            <c:ext xmlns:c15="http://schemas.microsoft.com/office/drawing/2012/chart" uri="{CE6537A1-D6FC-4f65-9D91-7224C49458BB}"/>
          </c:extLst>
        </c:dLbl>
      </c:pivotFmt>
      <c:pivotFmt>
        <c:idx val="28"/>
        <c:dLbl>
          <c:idx val="0"/>
          <c:layout>
            <c:manualLayout>
              <c:x val="0"/>
              <c:y val="6.3492063492063475E-2"/>
            </c:manualLayout>
          </c:layout>
          <c:showLegendKey val="0"/>
          <c:showVal val="1"/>
          <c:showCatName val="0"/>
          <c:showSerName val="0"/>
          <c:showPercent val="0"/>
          <c:showBubbleSize val="0"/>
          <c:extLst>
            <c:ext xmlns:c15="http://schemas.microsoft.com/office/drawing/2012/chart" uri="{CE6537A1-D6FC-4f65-9D91-7224C49458BB}"/>
          </c:extLst>
        </c:dLbl>
      </c:pivotFmt>
      <c:pivotFmt>
        <c:idx val="29"/>
        <c:dLbl>
          <c:idx val="0"/>
          <c:layout>
            <c:manualLayout>
              <c:x val="-2.4110910186859553E-3"/>
              <c:y val="5.5555555555555629E-2"/>
            </c:manualLayout>
          </c:layout>
          <c:showLegendKey val="0"/>
          <c:showVal val="1"/>
          <c:showCatName val="0"/>
          <c:showSerName val="0"/>
          <c:showPercent val="0"/>
          <c:showBubbleSize val="0"/>
          <c:extLst>
            <c:ext xmlns:c15="http://schemas.microsoft.com/office/drawing/2012/chart" uri="{CE6537A1-D6FC-4f65-9D91-7224C49458BB}"/>
          </c:extLst>
        </c:dLbl>
      </c:pivotFmt>
      <c:pivotFmt>
        <c:idx val="30"/>
        <c:dLbl>
          <c:idx val="0"/>
          <c:layout>
            <c:manualLayout>
              <c:x val="0"/>
              <c:y val="5.5555555555555483E-2"/>
            </c:manualLayout>
          </c:layout>
          <c:showLegendKey val="0"/>
          <c:showVal val="1"/>
          <c:showCatName val="0"/>
          <c:showSerName val="0"/>
          <c:showPercent val="0"/>
          <c:showBubbleSize val="0"/>
          <c:extLst>
            <c:ext xmlns:c15="http://schemas.microsoft.com/office/drawing/2012/chart" uri="{CE6537A1-D6FC-4f65-9D91-7224C49458BB}"/>
          </c:extLst>
        </c:dLbl>
      </c:pivotFmt>
      <c:pivotFmt>
        <c:idx val="31"/>
        <c:dLbl>
          <c:idx val="0"/>
          <c:layout>
            <c:manualLayout>
              <c:x val="0"/>
              <c:y val="-5.9523809523809521E-2"/>
            </c:manualLayout>
          </c:layout>
          <c:showLegendKey val="0"/>
          <c:showVal val="1"/>
          <c:showCatName val="0"/>
          <c:showSerName val="0"/>
          <c:showPercent val="0"/>
          <c:showBubbleSize val="0"/>
          <c:extLst>
            <c:ext xmlns:c15="http://schemas.microsoft.com/office/drawing/2012/chart" uri="{CE6537A1-D6FC-4f65-9D91-7224C49458BB}"/>
          </c:extLst>
        </c:dLbl>
      </c:pivotFmt>
      <c:pivotFmt>
        <c:idx val="32"/>
        <c:dLbl>
          <c:idx val="0"/>
          <c:layout>
            <c:manualLayout>
              <c:x val="-4.8221820373719106E-3"/>
              <c:y val="-5.9523809523809514E-2"/>
            </c:manualLayout>
          </c:layout>
          <c:showLegendKey val="0"/>
          <c:showVal val="1"/>
          <c:showCatName val="0"/>
          <c:showSerName val="0"/>
          <c:showPercent val="0"/>
          <c:showBubbleSize val="0"/>
          <c:extLst>
            <c:ext xmlns:c15="http://schemas.microsoft.com/office/drawing/2012/chart" uri="{CE6537A1-D6FC-4f65-9D91-7224C49458BB}"/>
          </c:extLst>
        </c:dLbl>
      </c:pivotFmt>
      <c:pivotFmt>
        <c:idx val="33"/>
        <c:dLbl>
          <c:idx val="0"/>
          <c:layout>
            <c:manualLayout>
              <c:x val="0"/>
              <c:y val="4.7619047619047547E-2"/>
            </c:manualLayout>
          </c:layout>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34"/>
        <c:dLbl>
          <c:idx val="0"/>
          <c:layout>
            <c:manualLayout>
              <c:x val="0"/>
              <c:y val="-4.7619047619047616E-2"/>
            </c:manualLayout>
          </c:layout>
          <c:numFmt formatCode="#,##0" sourceLinked="0"/>
          <c:spPr/>
          <c:txPr>
            <a:bodyPr/>
            <a:lstStyle/>
            <a:p>
              <a:pPr>
                <a:defRPr sz="1000"/>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35"/>
        <c:dLbl>
          <c:idx val="0"/>
          <c:layout>
            <c:manualLayout>
              <c:x val="-2.4110910186859553E-3"/>
              <c:y val="-6.3492063492063489E-2"/>
            </c:manualLayout>
          </c:layout>
          <c:numFmt formatCode="#,##0" sourceLinked="0"/>
          <c:spPr/>
          <c:txPr>
            <a:bodyPr/>
            <a:lstStyle/>
            <a:p>
              <a:pPr>
                <a:defRPr sz="1000"/>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36"/>
        <c:dLbl>
          <c:idx val="0"/>
          <c:layout>
            <c:manualLayout>
              <c:x val="-2.8933092224231509E-2"/>
              <c:y val="0.11904761904761904"/>
            </c:manualLayout>
          </c:layout>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37"/>
        <c:dLbl>
          <c:idx val="0"/>
          <c:layout>
            <c:manualLayout>
              <c:x val="-3.3755274261603373E-2"/>
              <c:y val="-7.5396825396825476E-2"/>
            </c:manualLayout>
          </c:layout>
          <c:numFmt formatCode="#,##0" sourceLinked="0"/>
          <c:spPr/>
          <c:txPr>
            <a:bodyPr/>
            <a:lstStyle/>
            <a:p>
              <a:pPr>
                <a:defRPr sz="1000"/>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38"/>
        <c:dLbl>
          <c:idx val="0"/>
          <c:layout>
            <c:manualLayout>
              <c:x val="-1.68778269804882E-2"/>
              <c:y val="0.11111111111111119"/>
            </c:manualLayout>
          </c:layout>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39"/>
        <c:dLbl>
          <c:idx val="0"/>
          <c:layout>
            <c:manualLayout>
              <c:x val="-2.6522001205545511E-2"/>
              <c:y val="-7.9365079365079361E-2"/>
            </c:manualLayout>
          </c:layout>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40"/>
        <c:dLbl>
          <c:idx val="0"/>
          <c:layout>
            <c:manualLayout>
              <c:x val="0"/>
              <c:y val="-7.9365079365079361E-2"/>
            </c:manualLayout>
          </c:layout>
          <c:numFmt formatCode="#,##0" sourceLinked="0"/>
          <c:spPr/>
          <c:txPr>
            <a:bodyPr/>
            <a:lstStyle/>
            <a:p>
              <a:pPr>
                <a:defRPr sz="1000"/>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41"/>
        <c:dLbl>
          <c:idx val="0"/>
          <c:layout>
            <c:manualLayout>
              <c:x val="-8.8405649415545698E-17"/>
              <c:y val="-6.3492063492063489E-2"/>
            </c:manualLayout>
          </c:layout>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42"/>
        <c:dLbl>
          <c:idx val="0"/>
          <c:layout>
            <c:manualLayout>
              <c:x val="0"/>
              <c:y val="5.1587301587301584E-2"/>
            </c:manualLayout>
          </c:layout>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43"/>
        <c:dLbl>
          <c:idx val="0"/>
          <c:layout>
            <c:manualLayout>
              <c:x val="0"/>
              <c:y val="-5.1587301587301626E-2"/>
            </c:manualLayout>
          </c:layout>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44"/>
        <c:dLbl>
          <c:idx val="0"/>
          <c:layout>
            <c:manualLayout>
              <c:x val="0"/>
              <c:y val="-3.5714285714285712E-2"/>
            </c:manualLayout>
          </c:layout>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45"/>
        <c:dLbl>
          <c:idx val="0"/>
          <c:layout>
            <c:manualLayout>
              <c:x val="6.920415224913495E-3"/>
              <c:y val="-3.5714285714285726E-2"/>
            </c:manualLayout>
          </c:layout>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46"/>
        <c:dLbl>
          <c:idx val="0"/>
          <c:layout>
            <c:manualLayout>
              <c:x val="2.3068050749710804E-3"/>
              <c:y val="-2.3809523809523881E-2"/>
            </c:manualLayout>
          </c:layout>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47"/>
        <c:dLbl>
          <c:idx val="0"/>
          <c:layout>
            <c:manualLayout>
              <c:x val="-8.4581875651897525E-17"/>
              <c:y val="2.3809523809523735E-2"/>
            </c:manualLayout>
          </c:layout>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48"/>
        <c:dLbl>
          <c:idx val="0"/>
          <c:layout>
            <c:manualLayout>
              <c:x val="-8.4581875651897525E-17"/>
              <c:y val="-3.1746031746031744E-2"/>
            </c:manualLayout>
          </c:layout>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49"/>
        <c:dLbl>
          <c:idx val="0"/>
          <c:layout>
            <c:manualLayout>
              <c:x val="-8.4581875651897525E-17"/>
              <c:y val="-2.7777777777777776E-2"/>
            </c:manualLayout>
          </c:layout>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50"/>
        <c:dLbl>
          <c:idx val="0"/>
          <c:layout>
            <c:manualLayout>
              <c:x val="-8.4581875651897525E-17"/>
              <c:y val="3.1746031746031744E-2"/>
            </c:manualLayout>
          </c:layout>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51"/>
        <c:dLbl>
          <c:idx val="0"/>
          <c:layout>
            <c:manualLayout>
              <c:x val="2.3068050749710804E-3"/>
              <c:y val="7.1428571428571425E-2"/>
            </c:manualLayout>
          </c:layout>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52"/>
        <c:dLbl>
          <c:idx val="0"/>
          <c:layout>
            <c:manualLayout>
              <c:x val="6.920415224913495E-3"/>
              <c:y val="-3.1746031746031744E-2"/>
            </c:manualLayout>
          </c:layout>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53"/>
        <c:dLbl>
          <c:idx val="0"/>
          <c:layout>
            <c:manualLayout>
              <c:x val="-2.3067751167175255E-3"/>
              <c:y val="5.2687365193212161E-2"/>
            </c:manualLayout>
          </c:layout>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54"/>
        <c:dLbl>
          <c:idx val="0"/>
          <c:layout>
            <c:manualLayout>
              <c:x val="-4.6136101499424141E-3"/>
              <c:y val="-5.1587301587301584E-2"/>
            </c:manualLayout>
          </c:layout>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55"/>
        <c:dLbl>
          <c:idx val="0"/>
          <c:layout>
            <c:manualLayout>
              <c:x val="1.384083044982699E-2"/>
              <c:y val="-1.1904761904761904E-2"/>
            </c:manualLayout>
          </c:layout>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56"/>
        <c:dLbl>
          <c:idx val="0"/>
          <c:layout>
            <c:manualLayout>
              <c:x val="-9.5613720568902515E-3"/>
              <c:y val="4.1254125412541254E-2"/>
            </c:manualLayout>
          </c:layout>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57"/>
        <c:dLbl>
          <c:idx val="0"/>
          <c:layout>
            <c:manualLayout>
              <c:x val="0"/>
              <c:y val="-2.8877887788778877E-2"/>
            </c:manualLayout>
          </c:layout>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58"/>
        <c:dLbl>
          <c:idx val="0"/>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59"/>
        <c:dLbl>
          <c:idx val="0"/>
          <c:layout>
            <c:manualLayout>
              <c:x val="6.920415224913495E-3"/>
              <c:y val="-3.1746031746031744E-2"/>
            </c:manualLayout>
          </c:layout>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60"/>
        <c:dLbl>
          <c:idx val="0"/>
          <c:layout>
            <c:manualLayout>
              <c:x val="-4.6136101499424141E-3"/>
              <c:y val="-5.1587301587301584E-2"/>
            </c:manualLayout>
          </c:layout>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61"/>
        <c:dLbl>
          <c:idx val="0"/>
          <c:layout>
            <c:manualLayout>
              <c:x val="-9.5613720568902515E-3"/>
              <c:y val="4.1254125412541254E-2"/>
            </c:manualLayout>
          </c:layout>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62"/>
        <c:dLbl>
          <c:idx val="0"/>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63"/>
        <c:dLbl>
          <c:idx val="0"/>
          <c:layout>
            <c:manualLayout>
              <c:x val="1.384083044982699E-2"/>
              <c:y val="-1.1904761904761904E-2"/>
            </c:manualLayout>
          </c:layout>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64"/>
        <c:dLbl>
          <c:idx val="0"/>
          <c:layout>
            <c:manualLayout>
              <c:x val="0"/>
              <c:y val="-2.8877887788778877E-2"/>
            </c:manualLayout>
          </c:layout>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65"/>
        <c:marker>
          <c:symbol val="triangle"/>
          <c:size val="7"/>
        </c:marker>
        <c:dLbl>
          <c:idx val="0"/>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66"/>
        <c:dLbl>
          <c:idx val="0"/>
          <c:layout>
            <c:manualLayout>
              <c:x val="2.3068050749710804E-3"/>
              <c:y val="7.1428571428571425E-2"/>
            </c:manualLayout>
          </c:layout>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67"/>
        <c:dLbl>
          <c:idx val="0"/>
          <c:layout>
            <c:manualLayout>
              <c:x val="-2.3067751167175255E-3"/>
              <c:y val="5.2687365193212161E-2"/>
            </c:manualLayout>
          </c:layout>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68"/>
        <c:dLbl>
          <c:idx val="0"/>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69"/>
        <c:dLbl>
          <c:idx val="0"/>
          <c:layout>
            <c:manualLayout>
              <c:x val="6.920415224913495E-3"/>
              <c:y val="-3.1746031746031744E-2"/>
            </c:manualLayout>
          </c:layout>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70"/>
        <c:dLbl>
          <c:idx val="0"/>
          <c:layout>
            <c:manualLayout>
              <c:x val="-4.6136101499424141E-3"/>
              <c:y val="-5.1587301587301584E-2"/>
            </c:manualLayout>
          </c:layout>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71"/>
        <c:dLbl>
          <c:idx val="0"/>
          <c:layout>
            <c:manualLayout>
              <c:x val="-9.5613720568902515E-3"/>
              <c:y val="4.1254125412541254E-2"/>
            </c:manualLayout>
          </c:layout>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72"/>
        <c:dLbl>
          <c:idx val="0"/>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73"/>
        <c:dLbl>
          <c:idx val="0"/>
          <c:layout>
            <c:manualLayout>
              <c:x val="1.384083044982699E-2"/>
              <c:y val="-1.1904761904761904E-2"/>
            </c:manualLayout>
          </c:layout>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74"/>
        <c:dLbl>
          <c:idx val="0"/>
          <c:layout>
            <c:manualLayout>
              <c:x val="0"/>
              <c:y val="-2.8877887788778877E-2"/>
            </c:manualLayout>
          </c:layout>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75"/>
        <c:marker>
          <c:symbol val="triangle"/>
          <c:size val="7"/>
        </c:marker>
        <c:dLbl>
          <c:idx val="0"/>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76"/>
        <c:dLbl>
          <c:idx val="0"/>
          <c:layout>
            <c:manualLayout>
              <c:x val="2.3068050749710804E-3"/>
              <c:y val="7.1428571428571425E-2"/>
            </c:manualLayout>
          </c:layout>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77"/>
        <c:dLbl>
          <c:idx val="0"/>
          <c:layout>
            <c:manualLayout>
              <c:x val="-2.3067751167175255E-3"/>
              <c:y val="5.2687365193212161E-2"/>
            </c:manualLayout>
          </c:layout>
          <c:numFmt formatCode="#,##0" sourceLinked="0"/>
          <c:spPr/>
          <c:txPr>
            <a:bodyPr/>
            <a:lstStyle/>
            <a:p>
              <a:pPr>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4936957324778838"/>
          <c:y val="4.2063492063492074E-2"/>
          <c:w val="0.51351606135738226"/>
          <c:h val="0.76941694788151482"/>
        </c:manualLayout>
      </c:layout>
      <c:lineChart>
        <c:grouping val="standard"/>
        <c:varyColors val="0"/>
        <c:ser>
          <c:idx val="0"/>
          <c:order val="0"/>
          <c:tx>
            <c:strRef>
              <c:f>List6!$B$1:$B$2</c:f>
              <c:strCache>
                <c:ptCount val="1"/>
                <c:pt idx="0">
                  <c:v>Aktivni dolg</c:v>
                </c:pt>
              </c:strCache>
            </c:strRef>
          </c:tx>
          <c:dLbls>
            <c:dLbl>
              <c:idx val="0"/>
              <c:layout>
                <c:manualLayout>
                  <c:x val="6.920415224913495E-3"/>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111-4B69-90E2-6A147783E27B}"/>
                </c:ext>
              </c:extLst>
            </c:dLbl>
            <c:dLbl>
              <c:idx val="1"/>
              <c:layout>
                <c:manualLayout>
                  <c:x val="-4.6136101499424141E-3"/>
                  <c:y val="-5.1587301587301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111-4B69-90E2-6A147783E27B}"/>
                </c:ext>
              </c:extLst>
            </c:dLbl>
            <c:dLbl>
              <c:idx val="2"/>
              <c:layout>
                <c:manualLayout>
                  <c:x val="-9.5613720568902515E-3"/>
                  <c:y val="4.12541254125412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111-4B69-90E2-6A147783E27B}"/>
                </c:ext>
              </c:extLst>
            </c:dLbl>
            <c:numFmt formatCode="#,##0" sourceLinked="0"/>
            <c:spPr>
              <a:noFill/>
              <a:ln>
                <a:noFill/>
              </a:ln>
              <a:effectLst/>
            </c:spPr>
            <c:txPr>
              <a:bodyPr/>
              <a:lstStyle/>
              <a:p>
                <a:pPr>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a:noFill/>
                    </a:ln>
                  </c:spPr>
                </c15:leaderLines>
              </c:ext>
            </c:extLst>
          </c:dLbls>
          <c:cat>
            <c:strRef>
              <c:f>List6!$A$3:$A$6</c:f>
              <c:strCache>
                <c:ptCount val="3"/>
                <c:pt idx="0">
                  <c:v>31.12.2019</c:v>
                </c:pt>
                <c:pt idx="1">
                  <c:v>31.12.2020</c:v>
                </c:pt>
                <c:pt idx="2">
                  <c:v>31.12.2021</c:v>
                </c:pt>
              </c:strCache>
            </c:strRef>
          </c:cat>
          <c:val>
            <c:numRef>
              <c:f>List6!$B$3:$B$6</c:f>
              <c:numCache>
                <c:formatCode>#,##0</c:formatCode>
                <c:ptCount val="3"/>
                <c:pt idx="0">
                  <c:v>636586740</c:v>
                </c:pt>
                <c:pt idx="1">
                  <c:v>498681543</c:v>
                </c:pt>
                <c:pt idx="2">
                  <c:v>431158169.43000001</c:v>
                </c:pt>
              </c:numCache>
            </c:numRef>
          </c:val>
          <c:smooth val="0"/>
          <c:extLst>
            <c:ext xmlns:c16="http://schemas.microsoft.com/office/drawing/2014/chart" uri="{C3380CC4-5D6E-409C-BE32-E72D297353CC}">
              <c16:uniqueId val="{00000003-C111-4B69-90E2-6A147783E27B}"/>
            </c:ext>
          </c:extLst>
        </c:ser>
        <c:ser>
          <c:idx val="1"/>
          <c:order val="1"/>
          <c:tx>
            <c:strRef>
              <c:f>List6!$C$1:$C$2</c:f>
              <c:strCache>
                <c:ptCount val="1"/>
                <c:pt idx="0">
                  <c:v>Skupaj dolg</c:v>
                </c:pt>
              </c:strCache>
            </c:strRef>
          </c:tx>
          <c:dLbls>
            <c:dLbl>
              <c:idx val="0"/>
              <c:layout>
                <c:manualLayout>
                  <c:x val="1.384083044982699E-2"/>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111-4B69-90E2-6A147783E27B}"/>
                </c:ext>
              </c:extLst>
            </c:dLbl>
            <c:dLbl>
              <c:idx val="1"/>
              <c:layout>
                <c:manualLayout>
                  <c:x val="0"/>
                  <c:y val="-2.88778877887788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111-4B69-90E2-6A147783E27B}"/>
                </c:ext>
              </c:extLst>
            </c:dLbl>
            <c:numFmt formatCode="#,##0" sourceLinked="0"/>
            <c:spPr>
              <a:noFill/>
              <a:ln>
                <a:noFill/>
              </a:ln>
              <a:effectLst/>
            </c:spPr>
            <c:txPr>
              <a:bodyPr/>
              <a:lstStyle/>
              <a:p>
                <a:pPr>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a:noFill/>
                    </a:ln>
                  </c:spPr>
                </c15:leaderLines>
              </c:ext>
            </c:extLst>
          </c:dLbls>
          <c:cat>
            <c:strRef>
              <c:f>List6!$A$3:$A$6</c:f>
              <c:strCache>
                <c:ptCount val="3"/>
                <c:pt idx="0">
                  <c:v>31.12.2019</c:v>
                </c:pt>
                <c:pt idx="1">
                  <c:v>31.12.2020</c:v>
                </c:pt>
                <c:pt idx="2">
                  <c:v>31.12.2021</c:v>
                </c:pt>
              </c:strCache>
            </c:strRef>
          </c:cat>
          <c:val>
            <c:numRef>
              <c:f>List6!$C$3:$C$6</c:f>
              <c:numCache>
                <c:formatCode>#,##0</c:formatCode>
                <c:ptCount val="3"/>
                <c:pt idx="0">
                  <c:v>1180360733</c:v>
                </c:pt>
                <c:pt idx="1">
                  <c:v>998089393</c:v>
                </c:pt>
                <c:pt idx="2">
                  <c:v>918507974.06999993</c:v>
                </c:pt>
              </c:numCache>
            </c:numRef>
          </c:val>
          <c:smooth val="0"/>
          <c:extLst>
            <c:ext xmlns:c16="http://schemas.microsoft.com/office/drawing/2014/chart" uri="{C3380CC4-5D6E-409C-BE32-E72D297353CC}">
              <c16:uniqueId val="{00000006-C111-4B69-90E2-6A147783E27B}"/>
            </c:ext>
          </c:extLst>
        </c:ser>
        <c:ser>
          <c:idx val="2"/>
          <c:order val="2"/>
          <c:tx>
            <c:strRef>
              <c:f>List6!$D$1:$D$2</c:f>
              <c:strCache>
                <c:ptCount val="1"/>
                <c:pt idx="0">
                  <c:v>Pogojno izterljivi dolg</c:v>
                </c:pt>
              </c:strCache>
            </c:strRef>
          </c:tx>
          <c:marker>
            <c:symbol val="triangle"/>
            <c:size val="7"/>
          </c:marker>
          <c:dLbls>
            <c:dLbl>
              <c:idx val="0"/>
              <c:layout>
                <c:manualLayout>
                  <c:x val="2.3068050749710804E-3"/>
                  <c:y val="7.14285714285714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111-4B69-90E2-6A147783E27B}"/>
                </c:ext>
              </c:extLst>
            </c:dLbl>
            <c:dLbl>
              <c:idx val="1"/>
              <c:layout>
                <c:manualLayout>
                  <c:x val="-2.3067751167175255E-3"/>
                  <c:y val="5.26873651932121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111-4B69-90E2-6A147783E27B}"/>
                </c:ext>
              </c:extLst>
            </c:dLbl>
            <c:numFmt formatCode="#,##0" sourceLinked="0"/>
            <c:spPr>
              <a:noFill/>
              <a:ln>
                <a:noFill/>
              </a:ln>
              <a:effectLst/>
            </c:spPr>
            <c:txPr>
              <a:bodyPr/>
              <a:lstStyle/>
              <a:p>
                <a:pPr>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a:noFill/>
                    </a:ln>
                  </c:spPr>
                </c15:leaderLines>
              </c:ext>
            </c:extLst>
          </c:dLbls>
          <c:cat>
            <c:strRef>
              <c:f>List6!$A$3:$A$6</c:f>
              <c:strCache>
                <c:ptCount val="3"/>
                <c:pt idx="0">
                  <c:v>31.12.2019</c:v>
                </c:pt>
                <c:pt idx="1">
                  <c:v>31.12.2020</c:v>
                </c:pt>
                <c:pt idx="2">
                  <c:v>31.12.2021</c:v>
                </c:pt>
              </c:strCache>
            </c:strRef>
          </c:cat>
          <c:val>
            <c:numRef>
              <c:f>List6!$D$3:$D$6</c:f>
              <c:numCache>
                <c:formatCode>#,##0</c:formatCode>
                <c:ptCount val="3"/>
                <c:pt idx="0">
                  <c:v>543773993</c:v>
                </c:pt>
                <c:pt idx="1">
                  <c:v>499407850</c:v>
                </c:pt>
                <c:pt idx="2">
                  <c:v>487349804.63999999</c:v>
                </c:pt>
              </c:numCache>
            </c:numRef>
          </c:val>
          <c:smooth val="0"/>
          <c:extLst>
            <c:ext xmlns:c16="http://schemas.microsoft.com/office/drawing/2014/chart" uri="{C3380CC4-5D6E-409C-BE32-E72D297353CC}">
              <c16:uniqueId val="{00000009-C111-4B69-90E2-6A147783E27B}"/>
            </c:ext>
          </c:extLst>
        </c:ser>
        <c:dLbls>
          <c:showLegendKey val="0"/>
          <c:showVal val="0"/>
          <c:showCatName val="0"/>
          <c:showSerName val="0"/>
          <c:showPercent val="0"/>
          <c:showBubbleSize val="0"/>
        </c:dLbls>
        <c:marker val="1"/>
        <c:smooth val="0"/>
        <c:axId val="527851760"/>
        <c:axId val="527852544"/>
      </c:lineChart>
      <c:catAx>
        <c:axId val="527851760"/>
        <c:scaling>
          <c:orientation val="minMax"/>
        </c:scaling>
        <c:delete val="0"/>
        <c:axPos val="b"/>
        <c:numFmt formatCode="General" sourceLinked="1"/>
        <c:majorTickMark val="out"/>
        <c:minorTickMark val="none"/>
        <c:tickLblPos val="nextTo"/>
        <c:txPr>
          <a:bodyPr rot="0" vert="horz"/>
          <a:lstStyle/>
          <a:p>
            <a:pPr>
              <a:defRPr/>
            </a:pPr>
            <a:endParaRPr lang="sl-SI"/>
          </a:p>
        </c:txPr>
        <c:crossAx val="527852544"/>
        <c:crosses val="autoZero"/>
        <c:auto val="0"/>
        <c:lblAlgn val="ctr"/>
        <c:lblOffset val="100"/>
        <c:noMultiLvlLbl val="0"/>
      </c:catAx>
      <c:valAx>
        <c:axId val="527852544"/>
        <c:scaling>
          <c:orientation val="minMax"/>
        </c:scaling>
        <c:delete val="0"/>
        <c:axPos val="l"/>
        <c:numFmt formatCode="#,##0" sourceLinked="0"/>
        <c:majorTickMark val="out"/>
        <c:minorTickMark val="none"/>
        <c:tickLblPos val="nextTo"/>
        <c:txPr>
          <a:bodyPr rot="0" vert="horz"/>
          <a:lstStyle/>
          <a:p>
            <a:pPr>
              <a:defRPr/>
            </a:pPr>
            <a:endParaRPr lang="sl-SI"/>
          </a:p>
        </c:txPr>
        <c:crossAx val="527851760"/>
        <c:crosses val="autoZero"/>
        <c:crossBetween val="between"/>
      </c:valAx>
      <c:spPr>
        <a:noFill/>
      </c:spPr>
    </c:plotArea>
    <c:legend>
      <c:legendPos val="r"/>
      <c:layout>
        <c:manualLayout>
          <c:xMode val="edge"/>
          <c:yMode val="edge"/>
          <c:x val="0.79479697390767334"/>
          <c:y val="0.12045650543682039"/>
          <c:w val="0.19104451043965526"/>
          <c:h val="0.78313554555680542"/>
        </c:manualLayout>
      </c:layout>
      <c:overlay val="0"/>
    </c:legend>
    <c:plotVisOnly val="1"/>
    <c:dispBlanksAs val="gap"/>
    <c:showDLblsOverMax val="0"/>
  </c:chart>
  <c:txPr>
    <a:bodyPr/>
    <a:lstStyle/>
    <a:p>
      <a:pPr>
        <a:defRPr sz="900" b="0" i="0" u="none" strike="noStrike" baseline="0">
          <a:solidFill>
            <a:srgbClr val="000000"/>
          </a:solidFill>
          <a:latin typeface="Arial" pitchFamily="34" charset="0"/>
          <a:ea typeface="Calibri"/>
          <a:cs typeface="Arial" pitchFamily="34" charset="0"/>
        </a:defRPr>
      </a:pPr>
      <a:endParaRPr lang="sl-SI"/>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view3D>
      <c:rotX val="75"/>
      <c:rotY val="0"/>
      <c:rAngAx val="0"/>
    </c:view3D>
    <c:floor>
      <c:thickness val="0"/>
    </c:floor>
    <c:sideWall>
      <c:thickness val="0"/>
    </c:sideWall>
    <c:backWall>
      <c:thickness val="0"/>
    </c:backWall>
    <c:plotArea>
      <c:layout>
        <c:manualLayout>
          <c:layoutTarget val="inner"/>
          <c:xMode val="edge"/>
          <c:yMode val="edge"/>
          <c:x val="0.14321742326587891"/>
          <c:y val="0.19018770173310567"/>
          <c:w val="0.80923037086731286"/>
          <c:h val="0.78923055670672748"/>
        </c:manualLayout>
      </c:layout>
      <c:pie3DChart>
        <c:varyColors val="1"/>
        <c:ser>
          <c:idx val="0"/>
          <c:order val="0"/>
          <c:explosion val="12"/>
          <c:dPt>
            <c:idx val="2"/>
            <c:bubble3D val="0"/>
            <c:explosion val="8"/>
            <c:extLst>
              <c:ext xmlns:c16="http://schemas.microsoft.com/office/drawing/2014/chart" uri="{C3380CC4-5D6E-409C-BE32-E72D297353CC}">
                <c16:uniqueId val="{00000001-08EF-4F10-B387-330228F2A317}"/>
              </c:ext>
            </c:extLst>
          </c:dPt>
          <c:dLbls>
            <c:dLbl>
              <c:idx val="0"/>
              <c:layout>
                <c:manualLayout>
                  <c:x val="6.4166157097493987E-2"/>
                  <c:y val="2.9063812843827957E-2"/>
                </c:manualLayout>
              </c:layout>
              <c:tx>
                <c:rich>
                  <a:bodyPr/>
                  <a:lstStyle/>
                  <a:p>
                    <a:r>
                      <a:rPr lang="en-US" sz="900">
                        <a:latin typeface="Arial" pitchFamily="34" charset="0"/>
                        <a:cs typeface="Arial" pitchFamily="34" charset="0"/>
                      </a:rPr>
                      <a:t>Državni proračun
68,1 %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08EF-4F10-B387-330228F2A317}"/>
                </c:ext>
              </c:extLst>
            </c:dLbl>
            <c:dLbl>
              <c:idx val="1"/>
              <c:layout>
                <c:manualLayout>
                  <c:x val="-7.3331304601417582E-2"/>
                  <c:y val="0.16967264508603092"/>
                </c:manualLayout>
              </c:layout>
              <c:tx>
                <c:rich>
                  <a:bodyPr/>
                  <a:lstStyle/>
                  <a:p>
                    <a:r>
                      <a:rPr lang="en-US" sz="900">
                        <a:latin typeface="Arial" pitchFamily="34" charset="0"/>
                        <a:cs typeface="Arial" pitchFamily="34" charset="0"/>
                      </a:rPr>
                      <a:t>Zavod za pokojninsko  in invalidsko zavarovanje 
19,3 %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8EF-4F10-B387-330228F2A317}"/>
                </c:ext>
              </c:extLst>
            </c:dLbl>
            <c:dLbl>
              <c:idx val="2"/>
              <c:layout>
                <c:manualLayout>
                  <c:x val="-0.17174982051010618"/>
                  <c:y val="3.7981918926801347E-2"/>
                </c:manualLayout>
              </c:layout>
              <c:tx>
                <c:rich>
                  <a:bodyPr/>
                  <a:lstStyle/>
                  <a:p>
                    <a:r>
                      <a:rPr lang="en-US" sz="900">
                        <a:latin typeface="Arial" pitchFamily="34" charset="0"/>
                        <a:cs typeface="Arial" pitchFamily="34" charset="0"/>
                      </a:rPr>
                      <a:t>Zavod za zdravstveno  zavarovanje   
9,6 %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8EF-4F10-B387-330228F2A317}"/>
                </c:ext>
              </c:extLst>
            </c:dLbl>
            <c:dLbl>
              <c:idx val="3"/>
              <c:layout>
                <c:manualLayout>
                  <c:x val="0.13907987784581288"/>
                  <c:y val="-7.5196370688650857E-2"/>
                </c:manualLayout>
              </c:layout>
              <c:tx>
                <c:rich>
                  <a:bodyPr/>
                  <a:lstStyle/>
                  <a:p>
                    <a:r>
                      <a:rPr lang="en-US" sz="900">
                        <a:latin typeface="Arial" pitchFamily="34" charset="0"/>
                        <a:cs typeface="Arial" pitchFamily="34" charset="0"/>
                      </a:rPr>
                      <a:t>Proračuni občin
3,0 %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08EF-4F10-B387-330228F2A317}"/>
                </c:ext>
              </c:extLst>
            </c:dLbl>
            <c:dLbl>
              <c:idx val="4"/>
              <c:layout>
                <c:manualLayout>
                  <c:x val="0.35853407436085705"/>
                  <c:y val="4.184042268867826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8EF-4F10-B387-330228F2A317}"/>
                </c:ext>
              </c:extLst>
            </c:dLbl>
            <c:spPr>
              <a:noFill/>
              <a:ln>
                <a:noFill/>
              </a:ln>
              <a:effectLst/>
            </c:spPr>
            <c:txPr>
              <a:bodyPr/>
              <a:lstStyle/>
              <a:p>
                <a:pPr>
                  <a:defRPr sz="900">
                    <a:latin typeface="Arial" pitchFamily="34" charset="0"/>
                    <a:cs typeface="Arial" pitchFamily="34" charset="0"/>
                  </a:defRPr>
                </a:pPr>
                <a:endParaRPr lang="sl-SI"/>
              </a:p>
            </c:txPr>
            <c:showLegendKey val="0"/>
            <c:showVal val="0"/>
            <c:showCatName val="1"/>
            <c:showSerName val="0"/>
            <c:showPercent val="1"/>
            <c:showBubbleSize val="0"/>
            <c:showLeaderLines val="1"/>
            <c:extLst>
              <c:ext xmlns:c15="http://schemas.microsoft.com/office/drawing/2012/chart" uri="{CE6537A1-D6FC-4f65-9D91-7224C49458BB}"/>
            </c:extLst>
          </c:dLbls>
          <c:cat>
            <c:strRef>
              <c:f>'dolg po blagajni'!$D$18:$D$21</c:f>
              <c:strCache>
                <c:ptCount val="4"/>
                <c:pt idx="0">
                  <c:v>Državni proračun</c:v>
                </c:pt>
                <c:pt idx="1">
                  <c:v>ZPIZ </c:v>
                </c:pt>
                <c:pt idx="2">
                  <c:v>ZZZS</c:v>
                </c:pt>
                <c:pt idx="3">
                  <c:v>Proračuni občin</c:v>
                </c:pt>
              </c:strCache>
            </c:strRef>
          </c:cat>
          <c:val>
            <c:numRef>
              <c:f>'dolg po blagajni'!$K$18:$K$21</c:f>
              <c:numCache>
                <c:formatCode>#,##0.0</c:formatCode>
                <c:ptCount val="4"/>
                <c:pt idx="0">
                  <c:v>68.076503939713405</c:v>
                </c:pt>
                <c:pt idx="1">
                  <c:v>19.290872800103642</c:v>
                </c:pt>
                <c:pt idx="2">
                  <c:v>9.5816012928264396</c:v>
                </c:pt>
                <c:pt idx="3">
                  <c:v>3.0155209168188044</c:v>
                </c:pt>
              </c:numCache>
            </c:numRef>
          </c:val>
          <c:extLst>
            <c:ext xmlns:c16="http://schemas.microsoft.com/office/drawing/2014/chart" uri="{C3380CC4-5D6E-409C-BE32-E72D297353CC}">
              <c16:uniqueId val="{00000006-08EF-4F10-B387-330228F2A317}"/>
            </c:ext>
          </c:extLst>
        </c:ser>
        <c:dLbls>
          <c:showLegendKey val="0"/>
          <c:showVal val="0"/>
          <c:showCatName val="1"/>
          <c:showSerName val="0"/>
          <c:showPercent val="1"/>
          <c:showBubbleSize val="0"/>
          <c:showLeaderLines val="1"/>
        </c:dLbls>
      </c:pie3DChart>
    </c:plotArea>
    <c:plotVisOnly val="1"/>
    <c:dispBlanksAs val="zero"/>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691057153977441"/>
          <c:y val="0.17844193388869914"/>
          <c:w val="0.51426311755278387"/>
          <c:h val="0.66106477954549847"/>
        </c:manualLayout>
      </c:layout>
      <c:pieChart>
        <c:varyColors val="1"/>
        <c:ser>
          <c:idx val="0"/>
          <c:order val="0"/>
          <c:explosion val="8"/>
          <c:dLbls>
            <c:dLbl>
              <c:idx val="0"/>
              <c:layout>
                <c:manualLayout>
                  <c:x val="6.2479267087811804E-2"/>
                  <c:y val="7.9755284212661953E-2"/>
                </c:manualLayout>
              </c:layout>
              <c:tx>
                <c:rich>
                  <a:bodyPr/>
                  <a:lstStyle/>
                  <a:p>
                    <a:r>
                      <a:rPr lang="en-US" sz="900">
                        <a:latin typeface="Arial" pitchFamily="34" charset="0"/>
                        <a:cs typeface="Arial" pitchFamily="34" charset="0"/>
                      </a:rPr>
                      <a:t>Davki na dohodek in dobiček
29,5 %</a:t>
                    </a:r>
                    <a:endParaRPr lang="en-US"/>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F73A-428A-9ED1-AF79E2330CC2}"/>
                </c:ext>
              </c:extLst>
            </c:dLbl>
            <c:dLbl>
              <c:idx val="1"/>
              <c:layout>
                <c:manualLayout>
                  <c:x val="3.8920284300745511E-2"/>
                  <c:y val="2.5926866441032613E-2"/>
                </c:manualLayout>
              </c:layout>
              <c:tx>
                <c:rich>
                  <a:bodyPr/>
                  <a:lstStyle/>
                  <a:p>
                    <a:r>
                      <a:rPr lang="en-US" sz="900">
                        <a:latin typeface="Arial" pitchFamily="34" charset="0"/>
                        <a:cs typeface="Arial" pitchFamily="34" charset="0"/>
                      </a:rPr>
                      <a:t>Prispevki za socialno varnost
31 %</a:t>
                    </a:r>
                    <a:endParaRPr lang="en-US"/>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73A-428A-9ED1-AF79E2330CC2}"/>
                </c:ext>
              </c:extLst>
            </c:dLbl>
            <c:dLbl>
              <c:idx val="2"/>
              <c:layout>
                <c:manualLayout>
                  <c:x val="0.12435457459410494"/>
                  <c:y val="7.761287412907171E-2"/>
                </c:manualLayout>
              </c:layout>
              <c:tx>
                <c:rich>
                  <a:bodyPr/>
                  <a:lstStyle/>
                  <a:p>
                    <a:r>
                      <a:rPr lang="en-US" sz="900">
                        <a:latin typeface="Arial" pitchFamily="34" charset="0"/>
                        <a:cs typeface="Arial" pitchFamily="34" charset="0"/>
                      </a:rPr>
                      <a:t>Davki na plačilno listo
0,0 %</a:t>
                    </a:r>
                    <a:endParaRPr lang="en-US"/>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F73A-428A-9ED1-AF79E2330CC2}"/>
                </c:ext>
              </c:extLst>
            </c:dLbl>
            <c:dLbl>
              <c:idx val="3"/>
              <c:layout>
                <c:manualLayout>
                  <c:x val="-8.8752894260310661E-2"/>
                  <c:y val="-2.1289699382372785E-2"/>
                </c:manualLayout>
              </c:layout>
              <c:tx>
                <c:rich>
                  <a:bodyPr/>
                  <a:lstStyle/>
                  <a:p>
                    <a:r>
                      <a:rPr lang="en-US" sz="900">
                        <a:latin typeface="Arial" pitchFamily="34" charset="0"/>
                        <a:cs typeface="Arial" pitchFamily="34" charset="0"/>
                      </a:rPr>
                      <a:t>Davki na premoženje
3,2 %</a:t>
                    </a:r>
                    <a:endParaRPr lang="en-US"/>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73A-428A-9ED1-AF79E2330CC2}"/>
                </c:ext>
              </c:extLst>
            </c:dLbl>
            <c:dLbl>
              <c:idx val="4"/>
              <c:layout>
                <c:manualLayout>
                  <c:x val="-8.7175405399906605E-2"/>
                  <c:y val="0.11216384197328522"/>
                </c:manualLayout>
              </c:layout>
              <c:tx>
                <c:rich>
                  <a:bodyPr/>
                  <a:lstStyle/>
                  <a:p>
                    <a:r>
                      <a:rPr lang="en-US" sz="900">
                        <a:latin typeface="Arial" pitchFamily="34" charset="0"/>
                        <a:cs typeface="Arial" pitchFamily="34" charset="0"/>
                      </a:rPr>
                      <a:t>Domači davki na blago in storitve
35,8</a:t>
                    </a:r>
                    <a:r>
                      <a:rPr lang="en-US" sz="900" baseline="0">
                        <a:latin typeface="Arial" pitchFamily="34" charset="0"/>
                        <a:cs typeface="Arial" pitchFamily="34" charset="0"/>
                      </a:rPr>
                      <a:t> </a:t>
                    </a:r>
                    <a:r>
                      <a:rPr lang="en-US" sz="900">
                        <a:latin typeface="Arial" pitchFamily="34" charset="0"/>
                        <a:cs typeface="Arial" pitchFamily="34" charset="0"/>
                      </a:rPr>
                      <a:t>%</a:t>
                    </a:r>
                    <a:endParaRPr lang="en-US"/>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F73A-428A-9ED1-AF79E2330CC2}"/>
                </c:ext>
              </c:extLst>
            </c:dLbl>
            <c:dLbl>
              <c:idx val="5"/>
              <c:layout>
                <c:manualLayout>
                  <c:x val="-0.28571616919978104"/>
                  <c:y val="9.0930734029993458E-3"/>
                </c:manualLayout>
              </c:layout>
              <c:tx>
                <c:rich>
                  <a:bodyPr/>
                  <a:lstStyle/>
                  <a:p>
                    <a:r>
                      <a:rPr lang="en-US" sz="900">
                        <a:latin typeface="Arial" pitchFamily="34" charset="0"/>
                        <a:cs typeface="Arial" pitchFamily="34" charset="0"/>
                      </a:rPr>
                      <a:t>Davki na mednaradno trgovino in transakcije
0,5 %</a:t>
                    </a:r>
                    <a:endParaRPr lang="en-US"/>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73A-428A-9ED1-AF79E2330CC2}"/>
                </c:ext>
              </c:extLst>
            </c:dLbl>
            <c:dLbl>
              <c:idx val="6"/>
              <c:layout>
                <c:manualLayout>
                  <c:x val="0.12243357952349003"/>
                  <c:y val="-5.3242006459229774E-2"/>
                </c:manualLayout>
              </c:layout>
              <c:tx>
                <c:rich>
                  <a:bodyPr/>
                  <a:lstStyle/>
                  <a:p>
                    <a:r>
                      <a:rPr lang="en-US" sz="900">
                        <a:latin typeface="Arial" pitchFamily="34" charset="0"/>
                        <a:cs typeface="Arial" pitchFamily="34" charset="0"/>
                      </a:rPr>
                      <a:t>Drugi davki
0,0 %</a:t>
                    </a:r>
                    <a:endParaRPr lang="en-US"/>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F73A-428A-9ED1-AF79E2330CC2}"/>
                </c:ext>
              </c:extLst>
            </c:dLbl>
            <c:spPr>
              <a:noFill/>
              <a:ln>
                <a:noFill/>
              </a:ln>
              <a:effectLst/>
            </c:spPr>
            <c:txPr>
              <a:bodyPr/>
              <a:lstStyle/>
              <a:p>
                <a:pPr>
                  <a:defRPr sz="900">
                    <a:latin typeface="Arial" pitchFamily="34" charset="0"/>
                    <a:cs typeface="Arial" pitchFamily="34" charset="0"/>
                  </a:defRPr>
                </a:pPr>
                <a:endParaRPr lang="sl-SI"/>
              </a:p>
            </c:txPr>
            <c:showLegendKey val="0"/>
            <c:showVal val="0"/>
            <c:showCatName val="1"/>
            <c:showSerName val="0"/>
            <c:showPercent val="1"/>
            <c:showBubbleSize val="0"/>
            <c:showLeaderLines val="1"/>
            <c:extLst>
              <c:ext xmlns:c15="http://schemas.microsoft.com/office/drawing/2012/chart" uri="{CE6537A1-D6FC-4f65-9D91-7224C49458BB}"/>
            </c:extLst>
          </c:dLbls>
          <c:cat>
            <c:strRef>
              <c:f>'dolg po davkih_tabela  '!$B$83:$B$89</c:f>
              <c:strCache>
                <c:ptCount val="7"/>
                <c:pt idx="0">
                  <c:v>Davki na dohodek in dobiček</c:v>
                </c:pt>
                <c:pt idx="1">
                  <c:v>Prispevki za socialno varnost</c:v>
                </c:pt>
                <c:pt idx="2">
                  <c:v>Davki na plačilno listo</c:v>
                </c:pt>
                <c:pt idx="3">
                  <c:v>Davki na premoženje</c:v>
                </c:pt>
                <c:pt idx="4">
                  <c:v>Domači davki na blago in storitve</c:v>
                </c:pt>
                <c:pt idx="5">
                  <c:v>Davki na mednaradno trgovino in transakcije</c:v>
                </c:pt>
                <c:pt idx="6">
                  <c:v>Drugi davki</c:v>
                </c:pt>
              </c:strCache>
            </c:strRef>
          </c:cat>
          <c:val>
            <c:numRef>
              <c:f>'dolg po davkih_tabela  '!$C$83:$C$89</c:f>
              <c:numCache>
                <c:formatCode>#,##0.0</c:formatCode>
                <c:ptCount val="7"/>
                <c:pt idx="0">
                  <c:v>29.504870880852856</c:v>
                </c:pt>
                <c:pt idx="1">
                  <c:v>30.992391835022303</c:v>
                </c:pt>
                <c:pt idx="2">
                  <c:v>4.2480811219475716E-2</c:v>
                </c:pt>
                <c:pt idx="3">
                  <c:v>3.1800523869540562</c:v>
                </c:pt>
                <c:pt idx="4">
                  <c:v>35.782463538557593</c:v>
                </c:pt>
                <c:pt idx="5">
                  <c:v>0.46792368457046918</c:v>
                </c:pt>
                <c:pt idx="6">
                  <c:v>2.9816862823250335E-2</c:v>
                </c:pt>
              </c:numCache>
            </c:numRef>
          </c:val>
          <c:extLst>
            <c:ext xmlns:c16="http://schemas.microsoft.com/office/drawing/2014/chart" uri="{C3380CC4-5D6E-409C-BE32-E72D297353CC}">
              <c16:uniqueId val="{00000007-F73A-428A-9ED1-AF79E2330CC2}"/>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227080511244027"/>
          <c:y val="0.15923089888993233"/>
          <c:w val="0.75188280246894468"/>
          <c:h val="0.73907805213668676"/>
        </c:manualLayout>
      </c:layout>
      <c:pie3DChart>
        <c:varyColors val="1"/>
        <c:ser>
          <c:idx val="0"/>
          <c:order val="0"/>
          <c:explosion val="25"/>
          <c:dPt>
            <c:idx val="0"/>
            <c:bubble3D val="0"/>
            <c:explosion val="18"/>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3A00-4C3D-8735-25E745AF3069}"/>
              </c:ext>
            </c:extLst>
          </c:dPt>
          <c:dPt>
            <c:idx val="1"/>
            <c:bubble3D val="0"/>
            <c:explosion val="2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3A00-4C3D-8735-25E745AF3069}"/>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3A00-4C3D-8735-25E745AF3069}"/>
              </c:ext>
            </c:extLst>
          </c:dPt>
          <c:dPt>
            <c:idx val="3"/>
            <c:bubble3D val="0"/>
            <c:explosion val="16"/>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3A00-4C3D-8735-25E745AF3069}"/>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3A00-4C3D-8735-25E745AF3069}"/>
              </c:ext>
            </c:extLst>
          </c:dPt>
          <c:dPt>
            <c:idx val="5"/>
            <c:bubble3D val="0"/>
            <c:explosion val="18"/>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3A00-4C3D-8735-25E745AF3069}"/>
              </c:ext>
            </c:extLst>
          </c:dPt>
          <c:dLbls>
            <c:dLbl>
              <c:idx val="0"/>
              <c:layout>
                <c:manualLayout>
                  <c:x val="8.3245930211572186E-2"/>
                  <c:y val="4.7777183191906804E-2"/>
                </c:manualLayout>
              </c:layout>
              <c:tx>
                <c:rich>
                  <a:bodyPr/>
                  <a:lstStyle/>
                  <a:p>
                    <a:fld id="{E4FCDBA9-D6D0-4BC4-B356-3D9893729B58}" type="CATEGORYNAME">
                      <a:rPr lang="en-US"/>
                      <a:pPr/>
                      <a:t>[IME KATEGORIJE]</a:t>
                    </a:fld>
                    <a:r>
                      <a:rPr lang="en-US" baseline="0"/>
                      <a:t>; </a:t>
                    </a:r>
                    <a:fld id="{066CF063-B3B0-46C3-AADD-BC708C9105EE}" type="VALUE">
                      <a:rPr lang="en-US" baseline="0"/>
                      <a:pPr/>
                      <a:t>[VREDNOST]</a:t>
                    </a:fld>
                    <a:r>
                      <a:rPr lang="en-US" baseline="0"/>
                      <a:t>; </a:t>
                    </a:r>
                    <a:fld id="{00F6283D-F8DE-4CE3-BB68-8D2BDB380C1C}" type="PERCENTAGE">
                      <a:rPr lang="en-US" baseline="0"/>
                      <a:pPr/>
                      <a:t>[ODSTOTEK]</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A00-4C3D-8735-25E745AF3069}"/>
                </c:ext>
              </c:extLst>
            </c:dLbl>
            <c:dLbl>
              <c:idx val="1"/>
              <c:layout>
                <c:manualLayout>
                  <c:x val="3.2797883768063946E-2"/>
                  <c:y val="4.706686893496100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A00-4C3D-8735-25E745AF3069}"/>
                </c:ext>
              </c:extLst>
            </c:dLbl>
            <c:dLbl>
              <c:idx val="2"/>
              <c:layout>
                <c:manualLayout>
                  <c:x val="4.7757684513404335E-3"/>
                  <c:y val="0.1224516474275665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A00-4C3D-8735-25E745AF3069}"/>
                </c:ext>
              </c:extLst>
            </c:dLbl>
            <c:dLbl>
              <c:idx val="3"/>
              <c:layout>
                <c:manualLayout>
                  <c:x val="2.8876547602472084E-6"/>
                  <c:y val="-0.1235932522997732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A00-4C3D-8735-25E745AF3069}"/>
                </c:ext>
              </c:extLst>
            </c:dLbl>
            <c:dLbl>
              <c:idx val="4"/>
              <c:layout>
                <c:manualLayout>
                  <c:x val="8.7558436334947323E-2"/>
                  <c:y val="-6.421323548148716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A00-4C3D-8735-25E745AF3069}"/>
                </c:ext>
              </c:extLst>
            </c:dLbl>
            <c:dLbl>
              <c:idx val="5"/>
              <c:layout>
                <c:manualLayout>
                  <c:x val="0.17612114674336005"/>
                  <c:y val="-1.1324834102378835E-2"/>
                </c:manualLayout>
              </c:layout>
              <c:tx>
                <c:rich>
                  <a:bodyPr/>
                  <a:lstStyle/>
                  <a:p>
                    <a:fld id="{7ECAD9E1-C508-4F1B-BD29-01AE6CD60103}" type="CATEGORYNAME">
                      <a:rPr lang="en-US"/>
                      <a:pPr/>
                      <a:t>[IME KATEGORIJE]</a:t>
                    </a:fld>
                    <a:r>
                      <a:rPr lang="en-US" baseline="0"/>
                      <a:t>; </a:t>
                    </a:r>
                    <a:fld id="{EA7FFA4B-E6A2-41FE-986D-1B301CDAB03F}" type="VALUE">
                      <a:rPr lang="en-US" baseline="0"/>
                      <a:pPr/>
                      <a:t>[VREDNOST]</a:t>
                    </a:fld>
                    <a:r>
                      <a:rPr lang="en-US" baseline="0"/>
                      <a:t>; 0,6%</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29341057421152522"/>
                      <c:h val="0.220323867636705"/>
                    </c:manualLayout>
                  </c15:layout>
                  <c15:dlblFieldTable/>
                  <c15:showDataLabelsRange val="0"/>
                </c:ext>
                <c:ext xmlns:c16="http://schemas.microsoft.com/office/drawing/2014/chart" uri="{C3380CC4-5D6E-409C-BE32-E72D297353CC}">
                  <c16:uniqueId val="{0000000B-3A00-4C3D-8735-25E745AF3069}"/>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sl-SI"/>
              </a:p>
            </c:txPr>
            <c:dLblPos val="inEnd"/>
            <c:showLegendKey val="0"/>
            <c:showVal val="1"/>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'rubeži graf'!$A$4:$A$9</c:f>
              <c:strCache>
                <c:ptCount val="6"/>
                <c:pt idx="0">
                  <c:v>Motorna vozila</c:v>
                </c:pt>
                <c:pt idx="1">
                  <c:v>Gotovina</c:v>
                </c:pt>
                <c:pt idx="2">
                  <c:v>Vrednostni papirji</c:v>
                </c:pt>
                <c:pt idx="3">
                  <c:v>Trgovsko blago</c:v>
                </c:pt>
                <c:pt idx="4">
                  <c:v>Osnovna sredstva</c:v>
                </c:pt>
                <c:pt idx="5">
                  <c:v>Druge premičnine</c:v>
                </c:pt>
              </c:strCache>
            </c:strRef>
          </c:cat>
          <c:val>
            <c:numRef>
              <c:f>'rubeži graf'!$B$4:$B$9</c:f>
              <c:numCache>
                <c:formatCode>#,##0</c:formatCode>
                <c:ptCount val="6"/>
                <c:pt idx="0">
                  <c:v>795</c:v>
                </c:pt>
                <c:pt idx="1">
                  <c:v>712</c:v>
                </c:pt>
                <c:pt idx="3">
                  <c:v>204</c:v>
                </c:pt>
                <c:pt idx="4">
                  <c:v>266</c:v>
                </c:pt>
                <c:pt idx="5">
                  <c:v>13</c:v>
                </c:pt>
              </c:numCache>
            </c:numRef>
          </c:val>
          <c:extLst>
            <c:ext xmlns:c16="http://schemas.microsoft.com/office/drawing/2014/chart" uri="{C3380CC4-5D6E-409C-BE32-E72D297353CC}">
              <c16:uniqueId val="{0000000C-3A00-4C3D-8735-25E745AF3069}"/>
            </c:ext>
          </c:extLst>
        </c:ser>
        <c:dLbls>
          <c:dLblPos val="inEnd"/>
          <c:showLegendKey val="0"/>
          <c:showVal val="1"/>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A9A4721BA23747B5E199BE0DBE19E5" ma:contentTypeVersion="3" ma:contentTypeDescription="Ustvari nov dokument." ma:contentTypeScope="" ma:versionID="8a3295554e1804b4ce32a44a8154d332">
  <xsd:schema xmlns:xsd="http://www.w3.org/2001/XMLSchema" xmlns:xs="http://www.w3.org/2001/XMLSchema" xmlns:p="http://schemas.microsoft.com/office/2006/metadata/properties" targetNamespace="http://schemas.microsoft.com/office/2006/metadata/properties" ma:root="true" ma:fieldsID="79c7e6b8cc03d45726bf1cc373bcac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E21A2-E076-4A7B-ACED-79820D17A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D30DD2-373A-4329-B463-7DC8E824336A}">
  <ds:schemaRefs>
    <ds:schemaRef ds:uri="http://schemas.microsoft.com/sharepoint/v3/contenttype/forms"/>
  </ds:schemaRefs>
</ds:datastoreItem>
</file>

<file path=customXml/itemProps3.xml><?xml version="1.0" encoding="utf-8"?>
<ds:datastoreItem xmlns:ds="http://schemas.openxmlformats.org/officeDocument/2006/customXml" ds:itemID="{B77159BB-16EF-4073-941D-D2C7E4B79858}">
  <ds:schemaRefs>
    <ds:schemaRef ds:uri="http://www.w3.org/XML/1998/namespace"/>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74975E02-1F16-448B-B72C-CCE27FF71320}">
  <ds:schemaRefs>
    <ds:schemaRef ds:uri="http://schemas.microsoft.com/office/2006/metadata/longProperties"/>
  </ds:schemaRefs>
</ds:datastoreItem>
</file>

<file path=customXml/itemProps5.xml><?xml version="1.0" encoding="utf-8"?>
<ds:datastoreItem xmlns:ds="http://schemas.openxmlformats.org/officeDocument/2006/customXml" ds:itemID="{38DDBE31-1295-42AE-869F-DE863D975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43</Pages>
  <Words>17020</Words>
  <Characters>97020</Characters>
  <Application>Microsoft Office Word</Application>
  <DocSecurity>0</DocSecurity>
  <Lines>808</Lines>
  <Paragraphs>227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Gregorčičeva 20, 1001 Ljubljana</vt:lpstr>
      <vt:lpstr>Gregorčičeva 20, 1001 Ljubljana</vt:lpstr>
    </vt:vector>
  </TitlesOfParts>
  <Company>MFRS</Company>
  <LinksUpToDate>false</LinksUpToDate>
  <CharactersWithSpaces>113813</CharactersWithSpaces>
  <SharedDoc>false</SharedDoc>
  <HLinks>
    <vt:vector size="12" baseType="variant">
      <vt:variant>
        <vt:i4>3801180</vt:i4>
      </vt:variant>
      <vt:variant>
        <vt:i4>0</vt:i4>
      </vt:variant>
      <vt:variant>
        <vt:i4>0</vt:i4>
      </vt:variant>
      <vt:variant>
        <vt:i4>5</vt:i4>
      </vt:variant>
      <vt:variant>
        <vt:lpwstr>mailto:Gp.gs@gov.si</vt:lpwstr>
      </vt:variant>
      <vt:variant>
        <vt:lpwstr/>
      </vt:variant>
      <vt:variant>
        <vt:i4>3080236</vt:i4>
      </vt:variant>
      <vt:variant>
        <vt:i4>0</vt:i4>
      </vt:variant>
      <vt:variant>
        <vt:i4>0</vt:i4>
      </vt:variant>
      <vt:variant>
        <vt:i4>5</vt:i4>
      </vt:variant>
      <vt:variant>
        <vt:lpwstr>https://ec.europa.eu/taxation_customs/business/tax-cooperation-control/vat-gap_en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subject/>
  <dc:creator>Aleksandra Čibej</dc:creator>
  <cp:keywords/>
  <cp:lastModifiedBy>Sergeja Horvat</cp:lastModifiedBy>
  <cp:revision>13</cp:revision>
  <cp:lastPrinted>2019-06-07T07:15:00Z</cp:lastPrinted>
  <dcterms:created xsi:type="dcterms:W3CDTF">2022-05-19T05:52:00Z</dcterms:created>
  <dcterms:modified xsi:type="dcterms:W3CDTF">2022-05-23T07:04:00Z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YPDRX2FCMFN4-33-25</vt:lpwstr>
  </property>
  <property fmtid="{D5CDD505-2E9C-101B-9397-08002B2CF9AE}" pid="3" name="_dlc_DocIdItemGuid">
    <vt:lpwstr>d8cbae19-8a70-41f3-84b2-69ab3e0080f4</vt:lpwstr>
  </property>
  <property fmtid="{D5CDD505-2E9C-101B-9397-08002B2CF9AE}" pid="4" name="_dlc_DocIdUrl">
    <vt:lpwstr>https://iportal.mf.si/podrocja/davkicarine/interno/_layouts/15/DocIdRedir.aspx?ID=YPDRX2FCMFN4-33-25, YPDRX2FCMFN4-33-25</vt:lpwstr>
  </property>
</Properties>
</file>