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AF4F63" w:rsidRDefault="00C250D5" w:rsidP="00DC6A71">
      <w:pPr>
        <w:pStyle w:val="datumtevilka"/>
        <w:rPr>
          <w:lang w:val="sl-SI"/>
        </w:rPr>
      </w:pPr>
      <w:bookmarkStart w:id="0" w:name="_GoBack"/>
      <w:bookmarkEnd w:id="0"/>
      <w:r w:rsidRPr="00AF4F63">
        <w:rPr>
          <w:lang w:val="sl-SI"/>
        </w:rPr>
        <w:t xml:space="preserve">Datum: </w:t>
      </w:r>
      <w:r w:rsidR="0054668F">
        <w:rPr>
          <w:lang w:val="sl-SI"/>
        </w:rPr>
        <w:t>31</w:t>
      </w:r>
      <w:r w:rsidR="00726337" w:rsidRPr="00AF4F63">
        <w:rPr>
          <w:lang w:val="sl-SI"/>
        </w:rPr>
        <w:t xml:space="preserve">. </w:t>
      </w:r>
      <w:r w:rsidR="000F3C5B" w:rsidRPr="00AF4F63">
        <w:rPr>
          <w:lang w:val="sl-SI"/>
        </w:rPr>
        <w:t>maj</w:t>
      </w:r>
      <w:r w:rsidR="00726337" w:rsidRPr="00AF4F63">
        <w:rPr>
          <w:lang w:val="sl-SI"/>
        </w:rPr>
        <w:t xml:space="preserve"> 201</w:t>
      </w:r>
      <w:r w:rsidR="004D0CA8">
        <w:rPr>
          <w:lang w:val="sl-SI"/>
        </w:rPr>
        <w:t>9</w:t>
      </w:r>
      <w:r w:rsidR="00726337" w:rsidRPr="00AF4F63">
        <w:rPr>
          <w:lang w:val="sl-SI"/>
        </w:rPr>
        <w:tab/>
      </w:r>
      <w:r w:rsidR="00726337" w:rsidRPr="00AF4F63">
        <w:rPr>
          <w:lang w:val="sl-SI"/>
        </w:rPr>
        <w:tab/>
      </w:r>
      <w:r w:rsidR="00726337" w:rsidRPr="00AF4F63">
        <w:rPr>
          <w:lang w:val="sl-SI"/>
        </w:rPr>
        <w:tab/>
      </w:r>
      <w:r w:rsidR="00726337" w:rsidRPr="00AF4F63">
        <w:rPr>
          <w:lang w:val="sl-SI"/>
        </w:rPr>
        <w:tab/>
      </w:r>
      <w:r w:rsidR="00726337" w:rsidRPr="00AF4F63">
        <w:rPr>
          <w:lang w:val="sl-SI"/>
        </w:rPr>
        <w:tab/>
      </w:r>
      <w:r w:rsidR="00726337" w:rsidRPr="00AF4F63">
        <w:rPr>
          <w:lang w:val="sl-SI"/>
        </w:rPr>
        <w:tab/>
      </w:r>
      <w:r w:rsidR="00726337" w:rsidRPr="00AF4F63">
        <w:rPr>
          <w:b/>
          <w:lang w:val="sl-SI"/>
        </w:rPr>
        <w:t>SPOROČILO ZA JAVNOST</w:t>
      </w:r>
    </w:p>
    <w:p w:rsidR="007D75CF" w:rsidRPr="00AF4F63" w:rsidRDefault="007D75CF" w:rsidP="007D75CF">
      <w:pPr>
        <w:rPr>
          <w:lang w:val="sl-SI"/>
        </w:rPr>
      </w:pPr>
    </w:p>
    <w:p w:rsidR="000F3C5B" w:rsidRPr="00AF4F63" w:rsidRDefault="00B35AAF" w:rsidP="000F3C5B">
      <w:pPr>
        <w:jc w:val="center"/>
        <w:rPr>
          <w:rFonts w:cs="Arial"/>
          <w:b/>
          <w:bCs/>
          <w:sz w:val="28"/>
          <w:szCs w:val="28"/>
          <w:lang w:val="sl-SI"/>
        </w:rPr>
      </w:pPr>
      <w:r w:rsidRPr="00AF4F63">
        <w:rPr>
          <w:rFonts w:cs="Arial"/>
          <w:b/>
          <w:bCs/>
          <w:sz w:val="28"/>
          <w:szCs w:val="28"/>
          <w:lang w:val="sl-SI"/>
        </w:rPr>
        <w:t>Finančna</w:t>
      </w:r>
      <w:r w:rsidR="000F3C5B" w:rsidRPr="00AF4F63">
        <w:rPr>
          <w:rFonts w:cs="Arial"/>
          <w:b/>
          <w:bCs/>
          <w:sz w:val="28"/>
          <w:szCs w:val="28"/>
          <w:lang w:val="sl-SI"/>
        </w:rPr>
        <w:t xml:space="preserve"> uprava RS poslala še drugi in hkrati zadnji sveženj informativnih izračunov dohodnine za leto 201</w:t>
      </w:r>
      <w:r w:rsidR="004D0CA8">
        <w:rPr>
          <w:rFonts w:cs="Arial"/>
          <w:b/>
          <w:bCs/>
          <w:sz w:val="28"/>
          <w:szCs w:val="28"/>
          <w:lang w:val="sl-SI"/>
        </w:rPr>
        <w:t>8</w:t>
      </w:r>
    </w:p>
    <w:p w:rsidR="002406D8" w:rsidRDefault="003354A8" w:rsidP="000F3C5B">
      <w:pPr>
        <w:jc w:val="center"/>
        <w:rPr>
          <w:rFonts w:cs="Arial"/>
          <w:bCs/>
          <w:i/>
          <w:szCs w:val="20"/>
          <w:lang w:val="sl-SI"/>
        </w:rPr>
      </w:pPr>
      <w:r>
        <w:rPr>
          <w:rFonts w:cs="Arial"/>
          <w:bCs/>
          <w:i/>
          <w:szCs w:val="20"/>
          <w:lang w:val="sl-SI"/>
        </w:rPr>
        <w:t xml:space="preserve">Zavezanci jih lahko pričakujejo v svojih poštnih nabiralnikih </w:t>
      </w:r>
      <w:r>
        <w:rPr>
          <w:rFonts w:cs="Arial"/>
          <w:bCs/>
          <w:i/>
          <w:szCs w:val="20"/>
          <w:u w:val="single"/>
          <w:lang w:val="sl-SI"/>
        </w:rPr>
        <w:t>v prvih dneh meseca junija</w:t>
      </w:r>
      <w:r>
        <w:rPr>
          <w:rFonts w:cs="Arial"/>
          <w:bCs/>
          <w:i/>
          <w:szCs w:val="20"/>
          <w:lang w:val="sl-SI"/>
        </w:rPr>
        <w:t>.</w:t>
      </w:r>
    </w:p>
    <w:p w:rsidR="003354A8" w:rsidRPr="003354A8" w:rsidRDefault="003354A8" w:rsidP="000F3C5B">
      <w:pPr>
        <w:jc w:val="center"/>
        <w:rPr>
          <w:rFonts w:cs="Arial"/>
          <w:bCs/>
          <w:i/>
          <w:szCs w:val="20"/>
          <w:lang w:val="sl-SI"/>
        </w:rPr>
      </w:pPr>
    </w:p>
    <w:p w:rsidR="00C3482C" w:rsidRPr="009178C2" w:rsidRDefault="00B35AAF" w:rsidP="00695FAF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9178C2">
        <w:rPr>
          <w:rFonts w:cs="Arial"/>
          <w:b/>
          <w:szCs w:val="20"/>
          <w:lang w:val="sl-SI"/>
        </w:rPr>
        <w:t>Finančna</w:t>
      </w:r>
      <w:r w:rsidR="000F3C5B" w:rsidRPr="009178C2">
        <w:rPr>
          <w:rFonts w:cs="Arial"/>
          <w:b/>
          <w:szCs w:val="20"/>
          <w:lang w:val="sl-SI"/>
        </w:rPr>
        <w:t xml:space="preserve"> uprava </w:t>
      </w:r>
      <w:r w:rsidRPr="009178C2">
        <w:rPr>
          <w:rFonts w:cs="Arial"/>
          <w:b/>
          <w:szCs w:val="20"/>
          <w:lang w:val="sl-SI"/>
        </w:rPr>
        <w:t>RS</w:t>
      </w:r>
      <w:r w:rsidR="000F3C5B" w:rsidRPr="009178C2">
        <w:rPr>
          <w:rFonts w:cs="Arial"/>
          <w:b/>
          <w:szCs w:val="20"/>
          <w:lang w:val="sl-SI"/>
        </w:rPr>
        <w:t xml:space="preserve"> je v drugem in hkrati zadnjem svežnju z datumom odpreme </w:t>
      </w:r>
      <w:r w:rsidR="00B7570C" w:rsidRPr="009178C2">
        <w:rPr>
          <w:rFonts w:cs="Arial"/>
          <w:b/>
          <w:szCs w:val="20"/>
          <w:lang w:val="sl-SI"/>
        </w:rPr>
        <w:t>31</w:t>
      </w:r>
      <w:r w:rsidR="000F3C5B" w:rsidRPr="009178C2">
        <w:rPr>
          <w:rFonts w:cs="Arial"/>
          <w:b/>
          <w:szCs w:val="20"/>
          <w:lang w:val="sl-SI"/>
        </w:rPr>
        <w:t>. 5. 201</w:t>
      </w:r>
      <w:r w:rsidR="00544B3E" w:rsidRPr="009178C2">
        <w:rPr>
          <w:rFonts w:cs="Arial"/>
          <w:b/>
          <w:szCs w:val="20"/>
          <w:lang w:val="sl-SI"/>
        </w:rPr>
        <w:t>9</w:t>
      </w:r>
      <w:r w:rsidR="000F3C5B" w:rsidRPr="009178C2">
        <w:rPr>
          <w:rFonts w:cs="Arial"/>
          <w:b/>
          <w:szCs w:val="20"/>
          <w:lang w:val="sl-SI"/>
        </w:rPr>
        <w:t xml:space="preserve"> poslala še zadnjih </w:t>
      </w:r>
      <w:r w:rsidR="00C3482C" w:rsidRPr="00CA6C0B">
        <w:rPr>
          <w:b/>
          <w:bCs/>
          <w:lang w:val="sl-SI"/>
        </w:rPr>
        <w:t>590.109</w:t>
      </w:r>
      <w:r w:rsidR="0001383D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="000F3C5B" w:rsidRPr="009178C2">
        <w:rPr>
          <w:rFonts w:cs="Arial"/>
          <w:b/>
          <w:szCs w:val="20"/>
          <w:lang w:val="sl-SI"/>
        </w:rPr>
        <w:t>informativnih izračunov dohodnine za leto 201</w:t>
      </w:r>
      <w:r w:rsidR="00544B3E" w:rsidRPr="009178C2">
        <w:rPr>
          <w:rFonts w:cs="Arial"/>
          <w:b/>
          <w:szCs w:val="20"/>
          <w:lang w:val="sl-SI"/>
        </w:rPr>
        <w:t>8</w:t>
      </w:r>
      <w:r w:rsidR="000F3C5B" w:rsidRPr="009178C2">
        <w:rPr>
          <w:rFonts w:cs="Arial"/>
          <w:b/>
          <w:szCs w:val="20"/>
          <w:lang w:val="sl-SI"/>
        </w:rPr>
        <w:t>. Od 31. 3. 201</w:t>
      </w:r>
      <w:r w:rsidR="00544B3E" w:rsidRPr="009178C2">
        <w:rPr>
          <w:rFonts w:cs="Arial"/>
          <w:b/>
          <w:szCs w:val="20"/>
          <w:lang w:val="sl-SI"/>
        </w:rPr>
        <w:t>9</w:t>
      </w:r>
      <w:r w:rsidR="000F3C5B" w:rsidRPr="009178C2">
        <w:rPr>
          <w:rFonts w:cs="Arial"/>
          <w:b/>
          <w:szCs w:val="20"/>
          <w:lang w:val="sl-SI"/>
        </w:rPr>
        <w:t xml:space="preserve">, ko je bilo zavezancem izdanih prvih </w:t>
      </w:r>
      <w:r w:rsidR="00544B3E" w:rsidRPr="009178C2">
        <w:rPr>
          <w:rFonts w:cs="Arial"/>
          <w:b/>
          <w:bCs/>
          <w:szCs w:val="20"/>
          <w:lang w:val="sl-SI" w:eastAsia="sl-SI"/>
        </w:rPr>
        <w:t>953.500</w:t>
      </w:r>
      <w:r w:rsidR="000F3C5B" w:rsidRPr="009178C2">
        <w:rPr>
          <w:rFonts w:cs="Arial"/>
          <w:b/>
          <w:szCs w:val="20"/>
          <w:lang w:val="sl-SI"/>
        </w:rPr>
        <w:t xml:space="preserve"> informativnih izračunov, jih je tako </w:t>
      </w:r>
      <w:r w:rsidR="003F2045" w:rsidRPr="009178C2">
        <w:rPr>
          <w:rFonts w:cs="Arial"/>
          <w:b/>
          <w:szCs w:val="20"/>
          <w:lang w:val="sl-SI"/>
        </w:rPr>
        <w:t xml:space="preserve">letos </w:t>
      </w:r>
      <w:r w:rsidR="000F3C5B" w:rsidRPr="009178C2">
        <w:rPr>
          <w:rFonts w:cs="Arial"/>
          <w:b/>
          <w:szCs w:val="20"/>
          <w:lang w:val="sl-SI"/>
        </w:rPr>
        <w:t xml:space="preserve">skupaj izdanih </w:t>
      </w:r>
      <w:r w:rsidR="00C3482C" w:rsidRPr="009178C2">
        <w:rPr>
          <w:rFonts w:cs="Arial"/>
          <w:b/>
          <w:bCs/>
          <w:szCs w:val="20"/>
          <w:lang w:val="sl-SI" w:eastAsia="sl-SI"/>
        </w:rPr>
        <w:t>1.543.609</w:t>
      </w:r>
      <w:r w:rsidR="009A2901" w:rsidRPr="009178C2">
        <w:rPr>
          <w:rFonts w:cs="Arial"/>
          <w:b/>
          <w:szCs w:val="20"/>
          <w:lang w:val="sl-SI"/>
        </w:rPr>
        <w:t>.</w:t>
      </w:r>
    </w:p>
    <w:p w:rsidR="0081444E" w:rsidRPr="00B150D5" w:rsidRDefault="0081444E" w:rsidP="000732FA">
      <w:pPr>
        <w:jc w:val="both"/>
        <w:rPr>
          <w:rFonts w:cs="Arial"/>
          <w:b/>
          <w:szCs w:val="20"/>
          <w:lang w:val="sl-SI"/>
        </w:rPr>
      </w:pPr>
    </w:p>
    <w:p w:rsidR="00B35AAF" w:rsidRPr="00B150D5" w:rsidRDefault="000F3C5B" w:rsidP="00B35AAF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 xml:space="preserve">Zavezanci, </w:t>
      </w:r>
      <w:r w:rsidRPr="00B150D5">
        <w:rPr>
          <w:rFonts w:cs="Arial"/>
          <w:b/>
          <w:szCs w:val="20"/>
          <w:u w:val="single"/>
          <w:lang w:val="sl-SI"/>
        </w:rPr>
        <w:t>ki bodo v naslednjih dneh</w:t>
      </w:r>
      <w:r w:rsidRPr="00B150D5">
        <w:rPr>
          <w:rFonts w:cs="Arial"/>
          <w:szCs w:val="20"/>
          <w:lang w:val="sl-SI"/>
        </w:rPr>
        <w:t xml:space="preserve"> na dom po navadni pošti prejeli informativne izračune dohodnine, naj te natančno pregledajo in preverijo, če so vključeni podatki o vseh prejetih dohodkih, ki so obdavčeni z dohodnino. Nato naj navedene podatke primerjajo s svojimi podatki oziroma podatki o dohodkih, ki so jih prejeli od svojega izplačevalca. V kolikor zavezanc</w:t>
      </w:r>
      <w:r w:rsidR="007D5FA0" w:rsidRPr="00B150D5">
        <w:rPr>
          <w:rFonts w:cs="Arial"/>
          <w:szCs w:val="20"/>
          <w:lang w:val="sl-SI"/>
        </w:rPr>
        <w:t>i</w:t>
      </w:r>
      <w:r w:rsidRPr="00B150D5">
        <w:rPr>
          <w:rFonts w:cs="Arial"/>
          <w:szCs w:val="20"/>
          <w:lang w:val="sl-SI"/>
        </w:rPr>
        <w:t xml:space="preserve"> ugotovi</w:t>
      </w:r>
      <w:r w:rsidR="007D5FA0" w:rsidRPr="00B150D5">
        <w:rPr>
          <w:rFonts w:cs="Arial"/>
          <w:szCs w:val="20"/>
          <w:lang w:val="sl-SI"/>
        </w:rPr>
        <w:t>jo</w:t>
      </w:r>
      <w:r w:rsidRPr="00B150D5">
        <w:rPr>
          <w:rFonts w:cs="Arial"/>
          <w:szCs w:val="20"/>
          <w:lang w:val="sl-SI"/>
        </w:rPr>
        <w:t xml:space="preserve">, da podatki v informativnem izračunu niso pravilni oziroma so pomanjkljivi ali pa je njihova davčna obveznost prenizko ali previsoko ugotovljena, </w:t>
      </w:r>
      <w:r w:rsidRPr="00B150D5">
        <w:rPr>
          <w:rFonts w:cs="Arial"/>
          <w:b/>
          <w:szCs w:val="20"/>
          <w:lang w:val="sl-SI"/>
        </w:rPr>
        <w:t xml:space="preserve">morajo najpozneje do </w:t>
      </w:r>
      <w:r w:rsidR="00544B3E">
        <w:rPr>
          <w:rFonts w:cs="Arial"/>
          <w:b/>
          <w:szCs w:val="20"/>
          <w:lang w:val="sl-SI"/>
        </w:rPr>
        <w:t>1</w:t>
      </w:r>
      <w:r w:rsidR="00522599" w:rsidRPr="004D0CA8">
        <w:rPr>
          <w:rFonts w:cs="Arial"/>
          <w:b/>
          <w:szCs w:val="20"/>
          <w:lang w:val="sl-SI"/>
        </w:rPr>
        <w:t>. 7. 201</w:t>
      </w:r>
      <w:r w:rsidR="00544B3E">
        <w:rPr>
          <w:rFonts w:cs="Arial"/>
          <w:b/>
          <w:szCs w:val="20"/>
          <w:lang w:val="sl-SI"/>
        </w:rPr>
        <w:t>9</w:t>
      </w:r>
      <w:r w:rsidRPr="00B150D5">
        <w:rPr>
          <w:rFonts w:cs="Arial"/>
          <w:b/>
          <w:szCs w:val="20"/>
          <w:lang w:val="sl-SI"/>
        </w:rPr>
        <w:t xml:space="preserve"> podati ugovor</w:t>
      </w:r>
      <w:r w:rsidRPr="00B150D5">
        <w:rPr>
          <w:rFonts w:cs="Arial"/>
          <w:szCs w:val="20"/>
          <w:lang w:val="sl-SI"/>
        </w:rPr>
        <w:t xml:space="preserve">. V nasprotnem primeru storijo davčni prekršek, za katerega je zagrožena globa od 250 EUR do 400 EUR. </w:t>
      </w:r>
      <w:r w:rsidR="00B35AAF" w:rsidRPr="00B150D5">
        <w:rPr>
          <w:rFonts w:cs="Arial"/>
          <w:b/>
          <w:szCs w:val="20"/>
          <w:lang w:val="sl-SI"/>
        </w:rPr>
        <w:t>Obrazec ugovora</w:t>
      </w:r>
      <w:r w:rsidR="00B35AAF" w:rsidRPr="00B150D5">
        <w:rPr>
          <w:rFonts w:cs="Arial"/>
          <w:szCs w:val="20"/>
          <w:lang w:val="sl-SI"/>
        </w:rPr>
        <w:t xml:space="preserve"> je dostopen na vseh finančnih uradih in na </w:t>
      </w:r>
      <w:hyperlink r:id="rId7" w:history="1">
        <w:r w:rsidR="00B35AAF" w:rsidRPr="00B150D5">
          <w:rPr>
            <w:rStyle w:val="Hiperpovezava"/>
            <w:rFonts w:cs="Arial"/>
            <w:szCs w:val="20"/>
            <w:lang w:val="sl-SI"/>
          </w:rPr>
          <w:t>spletni strani Finančne uprave RS</w:t>
        </w:r>
      </w:hyperlink>
      <w:r w:rsidR="00B35AAF" w:rsidRPr="00B150D5">
        <w:rPr>
          <w:rFonts w:cs="Arial"/>
          <w:szCs w:val="20"/>
          <w:lang w:val="sl-SI"/>
        </w:rPr>
        <w:t>. Na podlagi ugovora bo davčni organ zavezanc</w:t>
      </w:r>
      <w:r w:rsidR="007D5FA0" w:rsidRPr="00B150D5">
        <w:rPr>
          <w:rFonts w:cs="Arial"/>
          <w:szCs w:val="20"/>
          <w:lang w:val="sl-SI"/>
        </w:rPr>
        <w:t>em</w:t>
      </w:r>
      <w:r w:rsidR="00B35AAF" w:rsidRPr="00B150D5">
        <w:rPr>
          <w:rFonts w:cs="Arial"/>
          <w:szCs w:val="20"/>
          <w:lang w:val="sl-SI"/>
        </w:rPr>
        <w:t xml:space="preserve"> izdal dohodninsko odločbo.</w:t>
      </w:r>
    </w:p>
    <w:p w:rsidR="000F3C5B" w:rsidRPr="00B150D5" w:rsidRDefault="000F3C5B" w:rsidP="000F3C5B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 xml:space="preserve"> </w:t>
      </w:r>
    </w:p>
    <w:p w:rsidR="00906165" w:rsidRPr="00B150D5" w:rsidRDefault="00906165" w:rsidP="000F3C5B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Zavezanci, ki do izdaje informativnega izračuna dohodnine niso uveljavljali posebne olajšave za vzdrževane družinske člane, lahko to storijo še v ugovoru.</w:t>
      </w:r>
    </w:p>
    <w:p w:rsidR="00906165" w:rsidRPr="00B150D5" w:rsidRDefault="00906165" w:rsidP="000F3C5B">
      <w:pPr>
        <w:jc w:val="both"/>
        <w:rPr>
          <w:rFonts w:cs="Arial"/>
          <w:szCs w:val="20"/>
          <w:lang w:val="sl-SI"/>
        </w:rPr>
      </w:pPr>
    </w:p>
    <w:p w:rsidR="000F3C5B" w:rsidRPr="00B150D5" w:rsidRDefault="000F3C5B" w:rsidP="000F3C5B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 xml:space="preserve">Če pa se zavezanci z informativnim izračunom </w:t>
      </w:r>
      <w:r w:rsidR="00297113" w:rsidRPr="00B150D5">
        <w:rPr>
          <w:rFonts w:cs="Arial"/>
          <w:szCs w:val="20"/>
          <w:lang w:val="sl-SI"/>
        </w:rPr>
        <w:t xml:space="preserve">dohodnine </w:t>
      </w:r>
      <w:r w:rsidRPr="00B150D5">
        <w:rPr>
          <w:rFonts w:cs="Arial"/>
          <w:szCs w:val="20"/>
          <w:lang w:val="sl-SI"/>
        </w:rPr>
        <w:t xml:space="preserve">strinjajo, torej ocenijo, da je dejansko stanje takšno, kot je navedeno </w:t>
      </w:r>
      <w:r w:rsidR="0024744C" w:rsidRPr="00B150D5">
        <w:rPr>
          <w:rFonts w:cs="Arial"/>
          <w:szCs w:val="20"/>
          <w:lang w:val="sl-SI"/>
        </w:rPr>
        <w:t>v</w:t>
      </w:r>
      <w:r w:rsidRPr="00B150D5">
        <w:rPr>
          <w:rFonts w:cs="Arial"/>
          <w:szCs w:val="20"/>
          <w:lang w:val="sl-SI"/>
        </w:rPr>
        <w:t xml:space="preserve"> informativnem izračunu dohodnine, </w:t>
      </w:r>
      <w:r w:rsidRPr="00B150D5">
        <w:rPr>
          <w:rFonts w:cs="Arial"/>
          <w:b/>
          <w:szCs w:val="20"/>
          <w:u w:val="single"/>
          <w:lang w:val="sl-SI"/>
        </w:rPr>
        <w:t>jim ni treba storiti ničesar</w:t>
      </w:r>
      <w:r w:rsidRPr="00B150D5">
        <w:rPr>
          <w:rFonts w:cs="Arial"/>
          <w:b/>
          <w:szCs w:val="20"/>
          <w:lang w:val="sl-SI"/>
        </w:rPr>
        <w:t xml:space="preserve">, ker bo informativni izračun </w:t>
      </w:r>
      <w:r w:rsidR="003C615C" w:rsidRPr="00B150D5">
        <w:rPr>
          <w:rFonts w:cs="Arial"/>
          <w:b/>
          <w:szCs w:val="20"/>
          <w:lang w:val="sl-SI"/>
        </w:rPr>
        <w:t>po poteku roka za ugovor (</w:t>
      </w:r>
      <w:r w:rsidR="00544B3E">
        <w:rPr>
          <w:rFonts w:cs="Arial"/>
          <w:b/>
          <w:szCs w:val="20"/>
          <w:lang w:val="sl-SI"/>
        </w:rPr>
        <w:t>1</w:t>
      </w:r>
      <w:r w:rsidR="00D15B12" w:rsidRPr="004D0CA8">
        <w:rPr>
          <w:rFonts w:cs="Arial"/>
          <w:b/>
          <w:szCs w:val="20"/>
          <w:lang w:val="sl-SI"/>
        </w:rPr>
        <w:t>. 7. 201</w:t>
      </w:r>
      <w:r w:rsidR="00544B3E">
        <w:rPr>
          <w:rFonts w:cs="Arial"/>
          <w:b/>
          <w:szCs w:val="20"/>
          <w:lang w:val="sl-SI"/>
        </w:rPr>
        <w:t>9</w:t>
      </w:r>
      <w:r w:rsidR="003C615C" w:rsidRPr="00B150D5">
        <w:rPr>
          <w:rFonts w:cs="Arial"/>
          <w:b/>
          <w:szCs w:val="20"/>
          <w:lang w:val="sl-SI"/>
        </w:rPr>
        <w:t xml:space="preserve">) </w:t>
      </w:r>
      <w:r w:rsidRPr="00B150D5">
        <w:rPr>
          <w:rFonts w:cs="Arial"/>
          <w:b/>
          <w:szCs w:val="20"/>
          <w:lang w:val="sl-SI"/>
        </w:rPr>
        <w:t>samodejno postal odločba</w:t>
      </w:r>
      <w:r w:rsidRPr="00B150D5">
        <w:rPr>
          <w:rFonts w:cs="Arial"/>
          <w:szCs w:val="20"/>
          <w:lang w:val="sl-SI"/>
        </w:rPr>
        <w:t xml:space="preserve">. </w:t>
      </w:r>
    </w:p>
    <w:p w:rsidR="000F3C5B" w:rsidRPr="00B150D5" w:rsidRDefault="000F3C5B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3F4974" w:rsidRPr="00B150D5" w:rsidRDefault="000F3C5B" w:rsidP="003F4974">
      <w:pPr>
        <w:pStyle w:val="Navadensple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>Zavezanci, ki bodo prejeli informativne izračune</w:t>
      </w:r>
      <w:r w:rsidR="00297113"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 dohodnine 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z datumom odpreme </w:t>
      </w:r>
      <w:r w:rsidR="00DD03E8" w:rsidRPr="00B150D5">
        <w:rPr>
          <w:rFonts w:ascii="Arial" w:hAnsi="Arial" w:cs="Arial"/>
          <w:color w:val="auto"/>
          <w:sz w:val="20"/>
          <w:szCs w:val="20"/>
          <w:lang w:eastAsia="en-US"/>
        </w:rPr>
        <w:t>31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>. 5. 201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9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, bodo lahko izkoristili pravico do ugovora do </w:t>
      </w:r>
      <w:r w:rsidR="00297113"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vključno 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1</w:t>
      </w:r>
      <w:r w:rsidR="00D15B12" w:rsidRPr="00B150D5">
        <w:rPr>
          <w:rFonts w:ascii="Arial" w:hAnsi="Arial" w:cs="Arial"/>
          <w:color w:val="auto"/>
          <w:sz w:val="20"/>
          <w:szCs w:val="20"/>
          <w:lang w:eastAsia="en-US"/>
        </w:rPr>
        <w:t>. 7. 2018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. Sicer pa je 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rok za vračilo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 preveč plačane dohodnine </w:t>
      </w:r>
      <w:r w:rsidR="00D15B12" w:rsidRPr="00B150D5">
        <w:rPr>
          <w:rFonts w:ascii="Arial" w:hAnsi="Arial" w:cs="Arial"/>
          <w:color w:val="auto"/>
          <w:sz w:val="20"/>
          <w:szCs w:val="20"/>
          <w:lang w:eastAsia="en-US"/>
        </w:rPr>
        <w:t>3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1</w:t>
      </w:r>
      <w:r w:rsidR="00D15B12" w:rsidRPr="00B150D5">
        <w:rPr>
          <w:rFonts w:ascii="Arial" w:hAnsi="Arial" w:cs="Arial"/>
          <w:color w:val="auto"/>
          <w:sz w:val="20"/>
          <w:szCs w:val="20"/>
          <w:lang w:eastAsia="en-US"/>
        </w:rPr>
        <w:t>. 7. 201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9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, rok za doplačilo dohodnine pa se 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 xml:space="preserve">prav tako 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izteče 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3</w:t>
      </w:r>
      <w:r w:rsidR="00D15B12"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1. 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7</w:t>
      </w:r>
      <w:r w:rsidR="00D15B12" w:rsidRPr="00B150D5">
        <w:rPr>
          <w:rFonts w:ascii="Arial" w:hAnsi="Arial" w:cs="Arial"/>
          <w:color w:val="auto"/>
          <w:sz w:val="20"/>
          <w:szCs w:val="20"/>
          <w:lang w:eastAsia="en-US"/>
        </w:rPr>
        <w:t>. 201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>9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>.</w:t>
      </w:r>
      <w:r w:rsidR="003F4974"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:rsidR="00B150D5" w:rsidRPr="00B150D5" w:rsidRDefault="00B150D5" w:rsidP="003F4974">
      <w:pPr>
        <w:pStyle w:val="Navadensple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0F3C5B" w:rsidRPr="00B150D5" w:rsidRDefault="003F4974" w:rsidP="003F4974">
      <w:pPr>
        <w:pStyle w:val="Navadensple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>V k</w:t>
      </w:r>
      <w:r w:rsidR="00544B3E">
        <w:rPr>
          <w:rFonts w:ascii="Arial" w:hAnsi="Arial" w:cs="Arial"/>
          <w:color w:val="auto"/>
          <w:sz w:val="20"/>
          <w:szCs w:val="20"/>
          <w:lang w:eastAsia="en-US"/>
        </w:rPr>
        <w:t xml:space="preserve">olikor zavezanec vloži ugovor, </w:t>
      </w:r>
      <w:r w:rsidR="00E26266">
        <w:rPr>
          <w:rFonts w:ascii="Arial" w:hAnsi="Arial" w:cs="Arial"/>
          <w:color w:val="auto"/>
          <w:sz w:val="20"/>
          <w:szCs w:val="20"/>
          <w:lang w:eastAsia="en-US"/>
        </w:rPr>
        <w:t>ne nastane obveznost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 doplačila oz. vračila, saj</w:t>
      </w:r>
      <w:r w:rsidR="00E26266">
        <w:rPr>
          <w:rFonts w:ascii="Arial" w:hAnsi="Arial" w:cs="Arial"/>
          <w:color w:val="auto"/>
          <w:sz w:val="20"/>
          <w:szCs w:val="20"/>
          <w:lang w:eastAsia="en-US"/>
        </w:rPr>
        <w:t xml:space="preserve"> informativni izračun dohodnine</w:t>
      </w:r>
      <w:r w:rsidRPr="00B150D5">
        <w:rPr>
          <w:rFonts w:ascii="Arial" w:hAnsi="Arial" w:cs="Arial"/>
          <w:color w:val="auto"/>
          <w:sz w:val="20"/>
          <w:szCs w:val="20"/>
          <w:lang w:eastAsia="en-US"/>
        </w:rPr>
        <w:t xml:space="preserve"> ne šteje za odločbo. Davčni organ bo v tovrstnih primerih izdal odločbo o odmeri dohodnine na osnovi vloženega ugovora.</w:t>
      </w:r>
    </w:p>
    <w:p w:rsidR="000F3C5B" w:rsidRPr="00B150D5" w:rsidRDefault="000F3C5B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C901E8" w:rsidRPr="009178C2" w:rsidRDefault="000F3C5B" w:rsidP="008F7481">
      <w:pPr>
        <w:spacing w:line="240" w:lineRule="auto"/>
        <w:jc w:val="both"/>
        <w:rPr>
          <w:rFonts w:cs="Arial"/>
          <w:szCs w:val="20"/>
          <w:lang w:val="sl-SI"/>
        </w:rPr>
      </w:pPr>
      <w:r w:rsidRPr="009178C2">
        <w:rPr>
          <w:rFonts w:cs="Arial"/>
          <w:szCs w:val="20"/>
          <w:lang w:val="sl-SI"/>
        </w:rPr>
        <w:t xml:space="preserve">V drugem svežnju bo informativne izračune </w:t>
      </w:r>
      <w:r w:rsidR="00297113" w:rsidRPr="009178C2">
        <w:rPr>
          <w:rFonts w:cs="Arial"/>
          <w:szCs w:val="20"/>
          <w:lang w:val="sl-SI"/>
        </w:rPr>
        <w:t xml:space="preserve">dohodnine </w:t>
      </w:r>
      <w:r w:rsidRPr="009178C2">
        <w:rPr>
          <w:rFonts w:cs="Arial"/>
          <w:szCs w:val="20"/>
          <w:lang w:val="sl-SI"/>
        </w:rPr>
        <w:t xml:space="preserve">prejelo </w:t>
      </w:r>
      <w:r w:rsidR="00C3482C" w:rsidRPr="009178C2">
        <w:rPr>
          <w:b/>
          <w:bCs/>
          <w:lang w:val="sl-SI"/>
        </w:rPr>
        <w:t>590.109</w:t>
      </w:r>
      <w:r w:rsidRPr="009178C2">
        <w:rPr>
          <w:rFonts w:cs="Arial"/>
          <w:szCs w:val="20"/>
          <w:lang w:val="sl-SI"/>
        </w:rPr>
        <w:t xml:space="preserve"> zavezancev, od tega </w:t>
      </w:r>
      <w:r w:rsidR="00C3482C" w:rsidRPr="009178C2">
        <w:rPr>
          <w:b/>
          <w:bCs/>
          <w:lang w:val="sl-SI"/>
        </w:rPr>
        <w:t>132.249</w:t>
      </w:r>
      <w:r w:rsidR="00544B3E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Pr="009178C2">
        <w:rPr>
          <w:rFonts w:cs="Arial"/>
          <w:b/>
          <w:szCs w:val="20"/>
          <w:lang w:val="sl-SI"/>
        </w:rPr>
        <w:t>(</w:t>
      </w:r>
      <w:r w:rsidR="00C3482C" w:rsidRPr="009178C2">
        <w:rPr>
          <w:rFonts w:cs="Arial"/>
          <w:b/>
          <w:bCs/>
          <w:szCs w:val="20"/>
          <w:lang w:val="sl-SI" w:eastAsia="sl-SI"/>
        </w:rPr>
        <w:t xml:space="preserve">22,4 </w:t>
      </w:r>
      <w:r w:rsidRPr="009178C2">
        <w:rPr>
          <w:rFonts w:cs="Arial"/>
          <w:b/>
          <w:szCs w:val="20"/>
          <w:lang w:val="sl-SI"/>
        </w:rPr>
        <w:t>%)</w:t>
      </w:r>
      <w:r w:rsidRPr="009178C2">
        <w:rPr>
          <w:rFonts w:cs="Arial"/>
          <w:szCs w:val="20"/>
          <w:lang w:val="sl-SI"/>
        </w:rPr>
        <w:t xml:space="preserve"> z doplačili, </w:t>
      </w:r>
      <w:r w:rsidR="00C3482C" w:rsidRPr="009178C2">
        <w:rPr>
          <w:b/>
          <w:bCs/>
          <w:lang w:val="sl-SI"/>
        </w:rPr>
        <w:t>354.531</w:t>
      </w:r>
      <w:r w:rsidR="0001383D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="000732FA" w:rsidRPr="009178C2">
        <w:rPr>
          <w:rFonts w:cs="Arial"/>
          <w:b/>
          <w:bCs/>
          <w:szCs w:val="20"/>
          <w:lang w:val="sl-SI" w:eastAsia="sl-SI"/>
        </w:rPr>
        <w:t>(</w:t>
      </w:r>
      <w:r w:rsidR="00C3482C" w:rsidRPr="009178C2">
        <w:rPr>
          <w:rFonts w:cs="Arial"/>
          <w:b/>
          <w:bCs/>
          <w:szCs w:val="20"/>
          <w:lang w:val="sl-SI" w:eastAsia="sl-SI"/>
        </w:rPr>
        <w:t>60,1</w:t>
      </w:r>
      <w:r w:rsidRPr="009178C2">
        <w:rPr>
          <w:rFonts w:cs="Arial"/>
          <w:b/>
          <w:szCs w:val="20"/>
          <w:lang w:val="sl-SI"/>
        </w:rPr>
        <w:t>%)</w:t>
      </w:r>
      <w:r w:rsidRPr="009178C2">
        <w:rPr>
          <w:rFonts w:cs="Arial"/>
          <w:szCs w:val="20"/>
          <w:lang w:val="sl-SI"/>
        </w:rPr>
        <w:t xml:space="preserve"> z vračili, </w:t>
      </w:r>
      <w:r w:rsidR="00C3482C" w:rsidRPr="009178C2">
        <w:rPr>
          <w:b/>
          <w:bCs/>
          <w:lang w:val="sl-SI"/>
        </w:rPr>
        <w:t>103.329</w:t>
      </w:r>
      <w:r w:rsidR="008F7481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Pr="009178C2">
        <w:rPr>
          <w:rFonts w:cs="Arial"/>
          <w:b/>
          <w:szCs w:val="20"/>
          <w:lang w:val="sl-SI"/>
        </w:rPr>
        <w:t>(</w:t>
      </w:r>
      <w:r w:rsidR="00C3482C" w:rsidRPr="009178C2">
        <w:rPr>
          <w:rFonts w:cs="Arial"/>
          <w:b/>
          <w:bCs/>
          <w:szCs w:val="20"/>
          <w:lang w:val="sl-SI" w:eastAsia="sl-SI"/>
        </w:rPr>
        <w:t>17,5</w:t>
      </w:r>
      <w:r w:rsidR="008F7481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Pr="009178C2">
        <w:rPr>
          <w:rFonts w:cs="Arial"/>
          <w:b/>
          <w:szCs w:val="20"/>
          <w:lang w:val="sl-SI"/>
        </w:rPr>
        <w:t>%)</w:t>
      </w:r>
      <w:r w:rsidRPr="009178C2">
        <w:rPr>
          <w:rFonts w:cs="Arial"/>
          <w:szCs w:val="20"/>
          <w:lang w:val="sl-SI"/>
        </w:rPr>
        <w:t xml:space="preserve"> pa brez vračila ali doplačila dohodnine. V tej tranši bo skupaj za </w:t>
      </w:r>
      <w:r w:rsidR="00C3482C" w:rsidRPr="009178C2">
        <w:rPr>
          <w:b/>
          <w:bCs/>
          <w:lang w:val="it-IT"/>
        </w:rPr>
        <w:t>41.137.069</w:t>
      </w:r>
      <w:r w:rsidRPr="009178C2">
        <w:rPr>
          <w:rFonts w:cs="Arial"/>
          <w:szCs w:val="20"/>
          <w:lang w:val="sl-SI"/>
        </w:rPr>
        <w:t xml:space="preserve"> doplačil in </w:t>
      </w:r>
      <w:r w:rsidR="00C3482C" w:rsidRPr="009178C2">
        <w:rPr>
          <w:b/>
          <w:bCs/>
          <w:lang w:val="it-IT"/>
        </w:rPr>
        <w:t>206.460.218</w:t>
      </w:r>
      <w:r w:rsidR="00224DB0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Pr="009178C2">
        <w:rPr>
          <w:rFonts w:cs="Arial"/>
          <w:b/>
          <w:szCs w:val="20"/>
          <w:lang w:val="sl-SI"/>
        </w:rPr>
        <w:t>EUR</w:t>
      </w:r>
      <w:r w:rsidRPr="009178C2">
        <w:rPr>
          <w:rFonts w:cs="Arial"/>
          <w:szCs w:val="20"/>
          <w:lang w:val="sl-SI"/>
        </w:rPr>
        <w:t xml:space="preserve"> vračil. Povprečni znesek doplačila znaša </w:t>
      </w:r>
      <w:r w:rsidR="006454DC" w:rsidRPr="009178C2">
        <w:rPr>
          <w:rFonts w:cs="Arial"/>
          <w:b/>
          <w:bCs/>
          <w:szCs w:val="20"/>
          <w:lang w:val="sl-SI" w:eastAsia="sl-SI"/>
        </w:rPr>
        <w:t>311</w:t>
      </w:r>
      <w:r w:rsidRPr="009178C2">
        <w:rPr>
          <w:rFonts w:cs="Arial"/>
          <w:b/>
          <w:szCs w:val="20"/>
          <w:lang w:val="sl-SI"/>
        </w:rPr>
        <w:t xml:space="preserve"> EUR</w:t>
      </w:r>
      <w:r w:rsidRPr="009178C2">
        <w:rPr>
          <w:rFonts w:cs="Arial"/>
          <w:szCs w:val="20"/>
          <w:lang w:val="sl-SI"/>
        </w:rPr>
        <w:t xml:space="preserve">, povprečni znesek vračila pa </w:t>
      </w:r>
      <w:r w:rsidR="006454DC" w:rsidRPr="009178C2">
        <w:rPr>
          <w:rFonts w:cs="Arial"/>
          <w:b/>
          <w:bCs/>
          <w:szCs w:val="20"/>
          <w:lang w:val="sl-SI" w:eastAsia="sl-SI"/>
        </w:rPr>
        <w:t>582</w:t>
      </w:r>
      <w:r w:rsidR="008F7481" w:rsidRPr="009178C2">
        <w:rPr>
          <w:rFonts w:cs="Arial"/>
          <w:b/>
          <w:bCs/>
          <w:szCs w:val="20"/>
          <w:lang w:val="sl-SI" w:eastAsia="sl-SI"/>
        </w:rPr>
        <w:t xml:space="preserve"> </w:t>
      </w:r>
      <w:r w:rsidRPr="009178C2">
        <w:rPr>
          <w:rFonts w:cs="Arial"/>
          <w:b/>
          <w:szCs w:val="20"/>
          <w:lang w:val="sl-SI"/>
        </w:rPr>
        <w:t>EUR</w:t>
      </w:r>
      <w:r w:rsidRPr="009178C2">
        <w:rPr>
          <w:rFonts w:cs="Arial"/>
          <w:szCs w:val="20"/>
          <w:lang w:val="sl-SI"/>
        </w:rPr>
        <w:t>.</w:t>
      </w:r>
    </w:p>
    <w:p w:rsidR="000F3C5B" w:rsidRPr="00B150D5" w:rsidRDefault="000F3C5B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0F3C5B" w:rsidRDefault="000F3C5B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 w:rsidRPr="00B150D5">
        <w:rPr>
          <w:rFonts w:ascii="Arial" w:hAnsi="Arial" w:cs="Arial"/>
          <w:color w:val="auto"/>
          <w:sz w:val="20"/>
          <w:szCs w:val="20"/>
        </w:rPr>
        <w:t>Podrobnejše statistične podatke v zvezi z izdanimi informativnimi izračuni dohodnine za leto 201</w:t>
      </w:r>
      <w:r w:rsidR="00544B3E">
        <w:rPr>
          <w:rFonts w:ascii="Arial" w:hAnsi="Arial" w:cs="Arial"/>
          <w:color w:val="auto"/>
          <w:sz w:val="20"/>
          <w:szCs w:val="20"/>
        </w:rPr>
        <w:t>8</w:t>
      </w:r>
      <w:r w:rsidRPr="00B150D5">
        <w:rPr>
          <w:rFonts w:ascii="Arial" w:hAnsi="Arial" w:cs="Arial"/>
          <w:color w:val="auto"/>
          <w:sz w:val="20"/>
          <w:szCs w:val="20"/>
        </w:rPr>
        <w:t xml:space="preserve"> pa predstavljamo v spodnji tabeli:</w:t>
      </w:r>
    </w:p>
    <w:p w:rsidR="00544B3E" w:rsidRDefault="00544B3E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B150D5" w:rsidRPr="00B150D5" w:rsidRDefault="00B150D5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277553" w:rsidRDefault="00277553" w:rsidP="000F3C5B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1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1160"/>
        <w:gridCol w:w="1080"/>
        <w:gridCol w:w="1724"/>
        <w:gridCol w:w="1260"/>
        <w:gridCol w:w="1876"/>
        <w:gridCol w:w="1004"/>
      </w:tblGrid>
      <w:tr w:rsidR="000F3C5B" w:rsidRPr="005774F3" w:rsidTr="00B35AAF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C5B" w:rsidRPr="00AF4F63" w:rsidRDefault="000F3C5B" w:rsidP="00B35AAF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E26266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Informativni izračuni dohodnine za leto 201</w:t>
            </w:r>
            <w:r w:rsidR="00E26266">
              <w:rPr>
                <w:rFonts w:cs="Arial"/>
                <w:b/>
                <w:bCs/>
                <w:szCs w:val="20"/>
                <w:lang w:val="sl-SI"/>
              </w:rPr>
              <w:t>8</w:t>
            </w:r>
          </w:p>
        </w:tc>
      </w:tr>
      <w:tr w:rsidR="000F3C5B" w:rsidRPr="00AF4F63" w:rsidTr="00B35AAF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C5B" w:rsidRPr="00AF4F63" w:rsidRDefault="000F3C5B" w:rsidP="00B35AAF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SKUPAJ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Doplačila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 xml:space="preserve">Vračila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z 0"</w:t>
            </w:r>
          </w:p>
        </w:tc>
      </w:tr>
      <w:tr w:rsidR="000F3C5B" w:rsidRPr="00AF4F63" w:rsidTr="00B35AAF">
        <w:trPr>
          <w:trHeight w:val="375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AF4F63" w:rsidRDefault="000F3C5B" w:rsidP="00B35AA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right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Število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Znesek v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Število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Znesek v 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F3C5B" w:rsidRPr="00AF4F63" w:rsidRDefault="000F3C5B" w:rsidP="00B35AAF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AF4F63">
              <w:rPr>
                <w:rFonts w:cs="Arial"/>
                <w:b/>
                <w:bCs/>
                <w:szCs w:val="20"/>
                <w:lang w:val="sl-SI"/>
              </w:rPr>
              <w:t>Število</w:t>
            </w:r>
          </w:p>
        </w:tc>
      </w:tr>
      <w:tr w:rsidR="000F3C5B" w:rsidRPr="00AF4F63" w:rsidTr="00B35AAF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AC5537" w:rsidRDefault="000F3C5B" w:rsidP="00B35AAF">
            <w:pPr>
              <w:rPr>
                <w:rFonts w:cs="Arial"/>
                <w:b/>
                <w:szCs w:val="20"/>
                <w:lang w:val="sl-SI"/>
              </w:rPr>
            </w:pPr>
            <w:r w:rsidRPr="00AC5537">
              <w:rPr>
                <w:rFonts w:cs="Arial"/>
                <w:b/>
                <w:szCs w:val="20"/>
                <w:lang w:val="sl-SI"/>
              </w:rPr>
              <w:t>1. tranša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953.500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307.570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9954AC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46.170.055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249.905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64.567.979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396.025</w:t>
            </w:r>
          </w:p>
        </w:tc>
      </w:tr>
      <w:tr w:rsidR="000F3C5B" w:rsidRPr="00AF4F63" w:rsidTr="00B35AAF">
        <w:trPr>
          <w:trHeight w:val="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AC5537" w:rsidRDefault="000F3C5B" w:rsidP="00B35AAF">
            <w:pPr>
              <w:rPr>
                <w:rFonts w:cs="Arial"/>
                <w:b/>
                <w:szCs w:val="20"/>
                <w:lang w:val="sl-SI"/>
              </w:rPr>
            </w:pPr>
            <w:r w:rsidRPr="00AC5537">
              <w:rPr>
                <w:rFonts w:cs="Arial"/>
                <w:b/>
                <w:szCs w:val="20"/>
                <w:lang w:val="sl-SI"/>
              </w:rPr>
              <w:t>2. tranša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</w:rPr>
              <w:t>590.109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/>
              </w:rPr>
              <w:t>132.249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it-IT"/>
              </w:rPr>
              <w:t>41.137.069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/>
              </w:rPr>
              <w:t>354.531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it-IT"/>
              </w:rPr>
              <w:t>206.460.218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C5B" w:rsidRPr="009178C2" w:rsidRDefault="009178C2" w:rsidP="00B35AAF">
            <w:pPr>
              <w:jc w:val="right"/>
              <w:rPr>
                <w:rFonts w:cs="Arial"/>
                <w:b/>
                <w:szCs w:val="20"/>
                <w:lang w:val="sl-SI"/>
              </w:rPr>
            </w:pPr>
            <w:r w:rsidRPr="009178C2">
              <w:rPr>
                <w:rFonts w:cs="Arial"/>
                <w:b/>
                <w:bCs/>
                <w:szCs w:val="20"/>
                <w:lang w:val="sl-SI"/>
              </w:rPr>
              <w:t>103.329</w:t>
            </w:r>
          </w:p>
        </w:tc>
      </w:tr>
      <w:tr w:rsidR="000F3C5B" w:rsidRPr="00AF4F63" w:rsidTr="00B35AAF">
        <w:trPr>
          <w:trHeight w:val="3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AC5537" w:rsidRDefault="000F3C5B" w:rsidP="00B35AA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C5537">
              <w:rPr>
                <w:rFonts w:cs="Arial"/>
                <w:b/>
                <w:bCs/>
                <w:szCs w:val="20"/>
                <w:lang w:val="sl-SI"/>
              </w:rPr>
              <w:t> SKUPAJ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AC5537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bCs/>
                <w:szCs w:val="20"/>
                <w:lang w:val="sl-SI" w:eastAsia="sl-SI"/>
              </w:rPr>
              <w:t>1.543.609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9178C2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szCs w:val="20"/>
              </w:rPr>
              <w:t>439.819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9178C2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szCs w:val="20"/>
              </w:rPr>
              <w:t>87.307.124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9178C2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szCs w:val="20"/>
              </w:rPr>
              <w:t>604.436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9178C2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szCs w:val="20"/>
              </w:rPr>
              <w:t>271.028.197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C5B" w:rsidRPr="009178C2" w:rsidRDefault="009178C2" w:rsidP="009178C2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178C2">
              <w:rPr>
                <w:rFonts w:cs="Arial"/>
                <w:b/>
                <w:szCs w:val="20"/>
              </w:rPr>
              <w:t>499.354</w:t>
            </w:r>
          </w:p>
        </w:tc>
      </w:tr>
    </w:tbl>
    <w:p w:rsidR="00AC5537" w:rsidRDefault="00AC5537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F1588F" w:rsidRDefault="003E2FCA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Ostali zavezanci</w:t>
      </w:r>
      <w:r w:rsidR="007D5FA0" w:rsidRPr="00B150D5">
        <w:rPr>
          <w:rFonts w:cs="Arial"/>
          <w:szCs w:val="20"/>
          <w:lang w:val="sl-SI"/>
        </w:rPr>
        <w:t>, ki so v letu 201</w:t>
      </w:r>
      <w:r w:rsidR="00544B3E">
        <w:rPr>
          <w:rFonts w:cs="Arial"/>
          <w:szCs w:val="20"/>
          <w:lang w:val="sl-SI"/>
        </w:rPr>
        <w:t>8</w:t>
      </w:r>
      <w:r w:rsidR="007D5FA0" w:rsidRPr="00B150D5">
        <w:rPr>
          <w:rFonts w:cs="Arial"/>
          <w:szCs w:val="20"/>
          <w:lang w:val="sl-SI"/>
        </w:rPr>
        <w:t xml:space="preserve"> prejeli obdavčljive dohodke, ki se vštevajo v letno davčno osnovo in</w:t>
      </w:r>
      <w:r w:rsidRPr="00B150D5">
        <w:rPr>
          <w:rFonts w:cs="Arial"/>
          <w:szCs w:val="20"/>
          <w:lang w:val="sl-SI"/>
        </w:rPr>
        <w:t xml:space="preserve"> </w:t>
      </w:r>
      <w:r w:rsidRPr="00B150D5">
        <w:rPr>
          <w:rFonts w:cs="Arial"/>
          <w:b/>
          <w:szCs w:val="20"/>
          <w:lang w:val="sl-SI"/>
        </w:rPr>
        <w:t>ki do 15. junija 201</w:t>
      </w:r>
      <w:r w:rsidR="00544B3E">
        <w:rPr>
          <w:rFonts w:cs="Arial"/>
          <w:b/>
          <w:szCs w:val="20"/>
          <w:lang w:val="sl-SI"/>
        </w:rPr>
        <w:t>9</w:t>
      </w:r>
      <w:r w:rsidRPr="00B150D5">
        <w:rPr>
          <w:rFonts w:cs="Arial"/>
          <w:szCs w:val="20"/>
          <w:lang w:val="sl-SI"/>
        </w:rPr>
        <w:t xml:space="preserve"> na dom ne bodo prejeli informativnega izračuna dohodnine, morajo </w:t>
      </w:r>
      <w:hyperlink r:id="rId8" w:history="1">
        <w:r w:rsidRPr="00B150D5">
          <w:rPr>
            <w:rStyle w:val="Hiperpovezava"/>
            <w:rFonts w:cs="Arial"/>
            <w:szCs w:val="20"/>
            <w:lang w:val="sl-SI"/>
          </w:rPr>
          <w:t>dohodninsko napoved</w:t>
        </w:r>
      </w:hyperlink>
      <w:r w:rsidRPr="00B150D5">
        <w:rPr>
          <w:rFonts w:cs="Arial"/>
          <w:szCs w:val="20"/>
          <w:lang w:val="sl-SI"/>
        </w:rPr>
        <w:t xml:space="preserve"> vložiti sami</w:t>
      </w:r>
      <w:r w:rsidR="000D1923" w:rsidRPr="00B150D5">
        <w:rPr>
          <w:rFonts w:cs="Arial"/>
          <w:szCs w:val="20"/>
          <w:lang w:val="sl-SI"/>
        </w:rPr>
        <w:t xml:space="preserve"> (ne glede na višino prejetega dohodka)</w:t>
      </w:r>
      <w:r w:rsidRPr="00B150D5">
        <w:rPr>
          <w:rFonts w:cs="Arial"/>
          <w:szCs w:val="20"/>
          <w:lang w:val="sl-SI"/>
        </w:rPr>
        <w:t xml:space="preserve">, in sicer </w:t>
      </w:r>
      <w:r w:rsidRPr="00B150D5">
        <w:rPr>
          <w:rFonts w:cs="Arial"/>
          <w:b/>
          <w:szCs w:val="20"/>
          <w:lang w:val="sl-SI"/>
        </w:rPr>
        <w:t xml:space="preserve">do </w:t>
      </w:r>
      <w:r w:rsidR="00AC5537" w:rsidRPr="00B150D5">
        <w:rPr>
          <w:rFonts w:cs="Arial"/>
          <w:b/>
          <w:szCs w:val="20"/>
          <w:lang w:val="sl-SI"/>
        </w:rPr>
        <w:t>31</w:t>
      </w:r>
      <w:r w:rsidRPr="00B150D5">
        <w:rPr>
          <w:rFonts w:cs="Arial"/>
          <w:b/>
          <w:szCs w:val="20"/>
          <w:lang w:val="sl-SI"/>
        </w:rPr>
        <w:t xml:space="preserve">. </w:t>
      </w:r>
      <w:r w:rsidR="00AC5537" w:rsidRPr="00B150D5">
        <w:rPr>
          <w:rFonts w:cs="Arial"/>
          <w:b/>
          <w:szCs w:val="20"/>
          <w:lang w:val="sl-SI"/>
        </w:rPr>
        <w:t>julija</w:t>
      </w:r>
      <w:r w:rsidRPr="00B150D5">
        <w:rPr>
          <w:rFonts w:cs="Arial"/>
          <w:b/>
          <w:szCs w:val="20"/>
          <w:lang w:val="sl-SI"/>
        </w:rPr>
        <w:t xml:space="preserve"> 201</w:t>
      </w:r>
      <w:r w:rsidR="00544B3E">
        <w:rPr>
          <w:rFonts w:cs="Arial"/>
          <w:b/>
          <w:szCs w:val="20"/>
          <w:lang w:val="sl-SI"/>
        </w:rPr>
        <w:t>9</w:t>
      </w:r>
      <w:r w:rsidRPr="00B150D5">
        <w:rPr>
          <w:rFonts w:cs="Arial"/>
          <w:szCs w:val="20"/>
          <w:lang w:val="sl-SI"/>
        </w:rPr>
        <w:t xml:space="preserve">. </w:t>
      </w:r>
    </w:p>
    <w:p w:rsidR="0050030A" w:rsidRDefault="0050030A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50030A" w:rsidRPr="007D126D" w:rsidRDefault="0050030A" w:rsidP="003E2FCA">
      <w:pPr>
        <w:autoSpaceDE w:val="0"/>
        <w:autoSpaceDN w:val="0"/>
        <w:adjustRightInd w:val="0"/>
        <w:jc w:val="both"/>
        <w:rPr>
          <w:rFonts w:cs="Arial"/>
          <w:b/>
          <w:szCs w:val="20"/>
          <w:lang w:val="sl-SI"/>
        </w:rPr>
      </w:pPr>
      <w:r w:rsidRPr="007D126D">
        <w:rPr>
          <w:rFonts w:cs="Arial"/>
          <w:b/>
          <w:szCs w:val="20"/>
          <w:lang w:val="sl-SI"/>
        </w:rPr>
        <w:t>NOVOST – eVročanje</w:t>
      </w:r>
    </w:p>
    <w:p w:rsidR="006F0629" w:rsidRDefault="0050030A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7D126D">
        <w:rPr>
          <w:rFonts w:cs="Arial"/>
          <w:szCs w:val="20"/>
          <w:lang w:val="sl-SI"/>
        </w:rPr>
        <w:t xml:space="preserve">Tisti zavezanci, ki so se prostovoljno vključili v sistem eVročanja preko eDavkov, bodo svoje informativne izračune dohodnine prejeli vročene le v eDavke, v papirnati obliki pa jih ne bodo prejeli. Takšnih zavezancev je v drugi tranši 3.755 ali 0,6%. Podrobnejša pojasnila glede eVročanja so objavljena </w:t>
      </w:r>
      <w:hyperlink r:id="rId9" w:history="1">
        <w:r w:rsidRPr="006F0629">
          <w:rPr>
            <w:rStyle w:val="Hiperpovezava"/>
            <w:rFonts w:cs="Arial"/>
            <w:szCs w:val="20"/>
            <w:lang w:val="sl-SI"/>
          </w:rPr>
          <w:t xml:space="preserve">na strani </w:t>
        </w:r>
        <w:r w:rsidR="006F0629" w:rsidRPr="006F0629">
          <w:rPr>
            <w:rStyle w:val="Hiperpovezava"/>
            <w:rFonts w:cs="Arial"/>
            <w:szCs w:val="20"/>
            <w:lang w:val="sl-SI"/>
          </w:rPr>
          <w:t>FURS</w:t>
        </w:r>
      </w:hyperlink>
      <w:r w:rsidR="006F0629">
        <w:rPr>
          <w:rFonts w:cs="Arial"/>
          <w:szCs w:val="20"/>
          <w:lang w:val="sl-SI"/>
        </w:rPr>
        <w:t>.</w:t>
      </w:r>
    </w:p>
    <w:p w:rsidR="00536E7C" w:rsidRDefault="00536E7C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2573F5" w:rsidRDefault="002573F5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Informativni izračuni dohodnine, ki bodo vročeni preko eDavkov, ne vsebujejo UPN naloga, do njega lahko zavezanci dostopajo preko storitve eKartica, podrobnejše informacije so objavljene na eDavkih pri </w:t>
      </w:r>
      <w:hyperlink r:id="rId10" w:history="1">
        <w:r w:rsidRPr="002573F5">
          <w:rPr>
            <w:rStyle w:val="Hiperpovezava"/>
            <w:rFonts w:cs="Arial"/>
            <w:szCs w:val="20"/>
            <w:lang w:val="sl-SI"/>
          </w:rPr>
          <w:t>Pogostih vprašanjih</w:t>
        </w:r>
      </w:hyperlink>
      <w:r>
        <w:rPr>
          <w:rFonts w:cs="Arial"/>
          <w:szCs w:val="20"/>
          <w:lang w:val="sl-SI"/>
        </w:rPr>
        <w:t xml:space="preserve">, pri vprašanju </w:t>
      </w:r>
      <w:r w:rsidR="002A1947">
        <w:rPr>
          <w:rFonts w:cs="Arial"/>
          <w:szCs w:val="20"/>
          <w:lang w:val="sl-SI"/>
        </w:rPr>
        <w:t>»</w:t>
      </w:r>
      <w:r>
        <w:rPr>
          <w:rFonts w:cs="Arial"/>
          <w:szCs w:val="20"/>
          <w:lang w:val="sl-SI"/>
        </w:rPr>
        <w:t>Na kateri račun plačam dohodnino</w:t>
      </w:r>
      <w:r w:rsidR="002A1947">
        <w:rPr>
          <w:rFonts w:cs="Arial"/>
          <w:szCs w:val="20"/>
          <w:lang w:val="sl-SI"/>
        </w:rPr>
        <w:t>«</w:t>
      </w:r>
      <w:r>
        <w:rPr>
          <w:rFonts w:cs="Arial"/>
          <w:szCs w:val="20"/>
          <w:lang w:val="sl-SI"/>
        </w:rPr>
        <w:t xml:space="preserve">.   </w:t>
      </w:r>
    </w:p>
    <w:p w:rsidR="002573F5" w:rsidRDefault="002573F5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717A2B" w:rsidRPr="007D126D" w:rsidRDefault="00686249" w:rsidP="003E2FCA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  <w:lang w:val="sl-SI" w:eastAsia="en-GB"/>
        </w:rPr>
      </w:pPr>
      <w:r w:rsidRPr="007D126D">
        <w:rPr>
          <w:rFonts w:cs="Arial"/>
          <w:szCs w:val="20"/>
          <w:lang w:val="sl-SI"/>
        </w:rPr>
        <w:t>Zavezancem, ki nimajo veljavnega naslova</w:t>
      </w:r>
      <w:r w:rsidR="00717A2B" w:rsidRPr="007D126D">
        <w:rPr>
          <w:rFonts w:cs="Arial"/>
          <w:szCs w:val="20"/>
          <w:lang w:val="sl-SI"/>
        </w:rPr>
        <w:t xml:space="preserve"> in </w:t>
      </w:r>
      <w:r w:rsidR="00B421F2" w:rsidRPr="007D126D">
        <w:rPr>
          <w:rFonts w:cs="Arial"/>
          <w:szCs w:val="20"/>
          <w:lang w:val="sl-SI"/>
        </w:rPr>
        <w:t>zavezancem</w:t>
      </w:r>
      <w:r w:rsidRPr="007D126D">
        <w:rPr>
          <w:rFonts w:cs="Arial"/>
          <w:szCs w:val="20"/>
          <w:lang w:val="sl-SI"/>
        </w:rPr>
        <w:t xml:space="preserve">, </w:t>
      </w:r>
      <w:r w:rsidRPr="00CA6C0B">
        <w:rPr>
          <w:rFonts w:cs="Arial"/>
          <w:szCs w:val="20"/>
          <w:lang w:val="sl-SI"/>
        </w:rPr>
        <w:t xml:space="preserve">ki imajo določen </w:t>
      </w:r>
      <w:r w:rsidR="00717A2B" w:rsidRPr="00CA6C0B">
        <w:rPr>
          <w:rFonts w:cs="Arial"/>
          <w:szCs w:val="20"/>
          <w:lang w:val="sl-SI"/>
        </w:rPr>
        <w:t>zako</w:t>
      </w:r>
      <w:r w:rsidR="00CA6C0B" w:rsidRPr="00CA6C0B">
        <w:rPr>
          <w:rFonts w:cs="Arial"/>
          <w:szCs w:val="20"/>
          <w:lang w:val="sl-SI"/>
        </w:rPr>
        <w:t>nski</w:t>
      </w:r>
      <w:r w:rsidRPr="00CA6C0B">
        <w:rPr>
          <w:rFonts w:cs="Arial"/>
          <w:szCs w:val="20"/>
          <w:lang w:val="sl-SI"/>
        </w:rPr>
        <w:t xml:space="preserve"> naslov, bo</w:t>
      </w:r>
      <w:r w:rsidRPr="007D126D">
        <w:rPr>
          <w:rFonts w:cs="Arial"/>
          <w:szCs w:val="20"/>
          <w:lang w:val="sl-SI"/>
        </w:rPr>
        <w:t xml:space="preserve"> vročitev </w:t>
      </w:r>
      <w:r w:rsidR="00B421F2" w:rsidRPr="007D126D">
        <w:rPr>
          <w:rFonts w:cs="Arial"/>
          <w:szCs w:val="20"/>
          <w:lang w:val="sl-SI"/>
        </w:rPr>
        <w:t xml:space="preserve">informativnega izračuna dohodnine </w:t>
      </w:r>
      <w:r w:rsidR="00B421F2" w:rsidRPr="007D126D">
        <w:rPr>
          <w:rFonts w:ascii="ArialMT" w:hAnsi="ArialMT" w:cs="ArialMT"/>
          <w:szCs w:val="20"/>
          <w:lang w:val="sl-SI" w:eastAsia="en-GB"/>
        </w:rPr>
        <w:t>opravljena</w:t>
      </w:r>
      <w:r w:rsidRPr="007D126D">
        <w:rPr>
          <w:rFonts w:ascii="ArialMT" w:hAnsi="ArialMT" w:cs="ArialMT"/>
          <w:szCs w:val="20"/>
          <w:lang w:val="sl-SI" w:eastAsia="en-GB"/>
        </w:rPr>
        <w:t xml:space="preserve"> z javnim naznanilom</w:t>
      </w:r>
      <w:r w:rsidR="001C36A7" w:rsidRPr="007D126D">
        <w:rPr>
          <w:rFonts w:ascii="ArialMT" w:hAnsi="ArialMT" w:cs="ArialMT"/>
          <w:szCs w:val="20"/>
          <w:lang w:val="sl-SI" w:eastAsia="en-GB"/>
        </w:rPr>
        <w:t xml:space="preserve"> z objavo na oglasno desko organa in enotni državni portal eUprava, </w:t>
      </w:r>
      <w:r w:rsidR="00B421F2" w:rsidRPr="007D126D">
        <w:rPr>
          <w:rFonts w:ascii="ArialMT" w:hAnsi="ArialMT" w:cs="ArialMT"/>
          <w:szCs w:val="20"/>
          <w:lang w:val="sl-SI" w:eastAsia="en-GB"/>
        </w:rPr>
        <w:t>in</w:t>
      </w:r>
      <w:r w:rsidRPr="007D126D">
        <w:rPr>
          <w:rFonts w:cs="Arial"/>
          <w:szCs w:val="20"/>
          <w:lang w:val="sl-SI"/>
        </w:rPr>
        <w:t xml:space="preserve"> </w:t>
      </w:r>
      <w:r w:rsidR="00B421F2" w:rsidRPr="007D126D">
        <w:rPr>
          <w:rFonts w:cs="Arial"/>
          <w:szCs w:val="20"/>
          <w:lang w:val="sl-SI"/>
        </w:rPr>
        <w:t>ne preko Pošte Slovenije.</w:t>
      </w:r>
    </w:p>
    <w:p w:rsidR="00F1588F" w:rsidRDefault="00F1588F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686249" w:rsidRPr="00B150D5" w:rsidRDefault="00686249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F1588F" w:rsidRPr="00B150D5" w:rsidRDefault="00F1588F" w:rsidP="003E2FCA">
      <w:pPr>
        <w:autoSpaceDE w:val="0"/>
        <w:autoSpaceDN w:val="0"/>
        <w:adjustRightInd w:val="0"/>
        <w:jc w:val="both"/>
        <w:rPr>
          <w:rFonts w:cs="Arial"/>
          <w:b/>
          <w:szCs w:val="20"/>
          <w:lang w:val="sl-SI"/>
        </w:rPr>
      </w:pPr>
      <w:r w:rsidRPr="00B150D5">
        <w:rPr>
          <w:rFonts w:cs="Arial"/>
          <w:b/>
          <w:szCs w:val="20"/>
          <w:lang w:val="sl-SI"/>
        </w:rPr>
        <w:t>DOHODKI IZ TUJINE:</w:t>
      </w:r>
    </w:p>
    <w:p w:rsidR="003E2FCA" w:rsidRPr="00B150D5" w:rsidRDefault="00F1588F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V</w:t>
      </w:r>
      <w:r w:rsidR="003E2FCA" w:rsidRPr="00B150D5">
        <w:rPr>
          <w:rFonts w:cs="Arial"/>
          <w:szCs w:val="20"/>
          <w:lang w:val="sl-SI"/>
        </w:rPr>
        <w:t xml:space="preserve"> letno davčno osnovo za odmero dohodnine </w:t>
      </w:r>
      <w:r w:rsidRPr="00B150D5">
        <w:rPr>
          <w:rFonts w:cs="Arial"/>
          <w:szCs w:val="20"/>
          <w:lang w:val="sl-SI"/>
        </w:rPr>
        <w:t xml:space="preserve">se </w:t>
      </w:r>
      <w:r w:rsidR="007D5FA0" w:rsidRPr="00B150D5">
        <w:rPr>
          <w:rFonts w:cs="Arial"/>
          <w:szCs w:val="20"/>
          <w:lang w:val="sl-SI"/>
        </w:rPr>
        <w:t xml:space="preserve">vključujejo </w:t>
      </w:r>
      <w:r w:rsidR="003E2FCA" w:rsidRPr="00B150D5">
        <w:rPr>
          <w:rFonts w:cs="Arial"/>
          <w:szCs w:val="20"/>
          <w:lang w:val="sl-SI"/>
        </w:rPr>
        <w:t xml:space="preserve">tudi dohodki, ki jih rezidenti </w:t>
      </w:r>
      <w:r w:rsidRPr="00B150D5">
        <w:rPr>
          <w:rFonts w:cs="Arial"/>
          <w:szCs w:val="20"/>
          <w:lang w:val="sl-SI"/>
        </w:rPr>
        <w:t>Republike Slovenije</w:t>
      </w:r>
      <w:r w:rsidR="003E2FCA" w:rsidRPr="00B150D5">
        <w:rPr>
          <w:rFonts w:cs="Arial"/>
          <w:szCs w:val="20"/>
          <w:lang w:val="sl-SI"/>
        </w:rPr>
        <w:t xml:space="preserve"> prejmejo </w:t>
      </w:r>
      <w:r w:rsidR="003E2FCA" w:rsidRPr="00B150D5">
        <w:rPr>
          <w:rFonts w:cs="Arial"/>
          <w:b/>
          <w:szCs w:val="20"/>
          <w:lang w:val="sl-SI"/>
        </w:rPr>
        <w:t>v tujini</w:t>
      </w:r>
      <w:r w:rsidR="003E2FCA" w:rsidRPr="00B150D5">
        <w:rPr>
          <w:rFonts w:cs="Arial"/>
          <w:szCs w:val="20"/>
          <w:lang w:val="sl-SI"/>
        </w:rPr>
        <w:t xml:space="preserve">. </w:t>
      </w:r>
      <w:r w:rsidRPr="00B150D5">
        <w:rPr>
          <w:rFonts w:cs="Arial"/>
          <w:szCs w:val="20"/>
          <w:lang w:val="sl-SI"/>
        </w:rPr>
        <w:t>Če</w:t>
      </w:r>
      <w:r w:rsidR="003E2FCA" w:rsidRPr="00B150D5">
        <w:rPr>
          <w:rFonts w:cs="Arial"/>
          <w:szCs w:val="20"/>
          <w:lang w:val="sl-SI"/>
        </w:rPr>
        <w:t xml:space="preserve"> so zavezanci dohodke, prejete v tujini</w:t>
      </w:r>
      <w:r w:rsidRPr="00B150D5">
        <w:rPr>
          <w:rFonts w:cs="Arial"/>
          <w:szCs w:val="20"/>
          <w:lang w:val="sl-SI"/>
        </w:rPr>
        <w:t>,</w:t>
      </w:r>
      <w:r w:rsidR="003E2FCA" w:rsidRPr="00B150D5">
        <w:rPr>
          <w:rFonts w:cs="Arial"/>
          <w:szCs w:val="20"/>
          <w:lang w:val="sl-SI"/>
        </w:rPr>
        <w:t xml:space="preserve"> napovedali že med letom, so ti dohodki vključeni v informativni izračun dohodnine. </w:t>
      </w:r>
      <w:r w:rsidRPr="00B150D5">
        <w:rPr>
          <w:rFonts w:cs="Arial"/>
          <w:szCs w:val="20"/>
          <w:lang w:val="sl-SI"/>
        </w:rPr>
        <w:t>Če pa</w:t>
      </w:r>
      <w:r w:rsidR="003E2FCA" w:rsidRPr="00B150D5">
        <w:rPr>
          <w:rFonts w:cs="Arial"/>
          <w:szCs w:val="20"/>
          <w:lang w:val="sl-SI"/>
        </w:rPr>
        <w:t xml:space="preserve"> zavezanci dohodkov, prejetih v tujini</w:t>
      </w:r>
      <w:r w:rsidRPr="00B150D5">
        <w:rPr>
          <w:rFonts w:cs="Arial"/>
          <w:szCs w:val="20"/>
          <w:lang w:val="sl-SI"/>
        </w:rPr>
        <w:t>,</w:t>
      </w:r>
      <w:r w:rsidR="003E2FCA" w:rsidRPr="00B150D5">
        <w:rPr>
          <w:rFonts w:cs="Arial"/>
          <w:szCs w:val="20"/>
          <w:lang w:val="sl-SI"/>
        </w:rPr>
        <w:t xml:space="preserve"> niso napovedali že v letu 201</w:t>
      </w:r>
      <w:r w:rsidR="00544B3E">
        <w:rPr>
          <w:rFonts w:cs="Arial"/>
          <w:szCs w:val="20"/>
          <w:lang w:val="sl-SI"/>
        </w:rPr>
        <w:t>8</w:t>
      </w:r>
      <w:r w:rsidR="003E2FCA" w:rsidRPr="00B150D5">
        <w:rPr>
          <w:rFonts w:cs="Arial"/>
          <w:szCs w:val="20"/>
          <w:lang w:val="sl-SI"/>
        </w:rPr>
        <w:t xml:space="preserve">, so dolžni te dohodke napovedati najpozneje v </w:t>
      </w:r>
      <w:hyperlink r:id="rId11" w:history="1">
        <w:r w:rsidR="003E2FCA" w:rsidRPr="00B150D5">
          <w:rPr>
            <w:rStyle w:val="Hiperpovezava"/>
            <w:rFonts w:cs="Arial"/>
            <w:szCs w:val="20"/>
            <w:lang w:val="sl-SI"/>
          </w:rPr>
          <w:t>ugovoru</w:t>
        </w:r>
      </w:hyperlink>
      <w:r w:rsidR="003E2FCA" w:rsidRPr="00B150D5">
        <w:rPr>
          <w:rFonts w:cs="Arial"/>
          <w:szCs w:val="20"/>
          <w:lang w:val="sl-SI"/>
        </w:rPr>
        <w:t xml:space="preserve"> zoper informativni izračun </w:t>
      </w:r>
      <w:r w:rsidRPr="00B150D5">
        <w:rPr>
          <w:rFonts w:cs="Arial"/>
          <w:szCs w:val="20"/>
          <w:lang w:val="sl-SI"/>
        </w:rPr>
        <w:t xml:space="preserve">dohodnine </w:t>
      </w:r>
      <w:r w:rsidR="003E2FCA" w:rsidRPr="00B150D5">
        <w:rPr>
          <w:rFonts w:cs="Arial"/>
          <w:szCs w:val="20"/>
          <w:lang w:val="sl-SI"/>
        </w:rPr>
        <w:t xml:space="preserve">oziroma v </w:t>
      </w:r>
      <w:hyperlink r:id="rId12" w:history="1">
        <w:r w:rsidR="00544B3E">
          <w:rPr>
            <w:rStyle w:val="Hiperpovezava"/>
            <w:rFonts w:cs="Arial"/>
            <w:szCs w:val="20"/>
            <w:lang w:val="sl-SI"/>
          </w:rPr>
          <w:t>napovedi za odmero dohodnine.</w:t>
        </w:r>
      </w:hyperlink>
      <w:r w:rsidR="00544B3E">
        <w:rPr>
          <w:rStyle w:val="Hiperpovezava"/>
          <w:rFonts w:cs="Arial"/>
          <w:szCs w:val="20"/>
          <w:lang w:val="sl-SI"/>
        </w:rPr>
        <w:t xml:space="preserve"> </w:t>
      </w:r>
      <w:r w:rsidR="003E2FCA" w:rsidRPr="00B150D5">
        <w:rPr>
          <w:rFonts w:cs="Arial"/>
          <w:b/>
          <w:szCs w:val="20"/>
          <w:lang w:val="sl-SI"/>
        </w:rPr>
        <w:t>Odbitek tujega davka se prizna pri izračunu ali poračunu dohodnine na letni ravni le,</w:t>
      </w:r>
      <w:r w:rsidR="003E2FCA" w:rsidRPr="00B150D5">
        <w:rPr>
          <w:rFonts w:cs="Arial"/>
          <w:szCs w:val="20"/>
          <w:lang w:val="sl-SI"/>
        </w:rPr>
        <w:t xml:space="preserve"> </w:t>
      </w:r>
      <w:r w:rsidR="003E2FCA" w:rsidRPr="00B150D5">
        <w:rPr>
          <w:rFonts w:cs="Arial"/>
          <w:b/>
          <w:szCs w:val="20"/>
          <w:lang w:val="sl-SI"/>
        </w:rPr>
        <w:t xml:space="preserve">če zavezanec uveljavlja odbitek tujega davka v ugovoru zoper informativni izračun dohodnine </w:t>
      </w:r>
      <w:r w:rsidR="003E2FCA" w:rsidRPr="00B150D5">
        <w:rPr>
          <w:rFonts w:cs="Arial"/>
          <w:szCs w:val="20"/>
          <w:lang w:val="sl-SI"/>
        </w:rPr>
        <w:t>(ne glede na predhodno uveljavljanje tujega davka pri odmeri akontacije dohodnine)</w:t>
      </w:r>
      <w:r w:rsidR="00AE0D92" w:rsidRPr="00B150D5">
        <w:rPr>
          <w:rFonts w:cs="Arial"/>
          <w:b/>
          <w:szCs w:val="20"/>
          <w:lang w:val="sl-SI"/>
        </w:rPr>
        <w:t xml:space="preserve"> </w:t>
      </w:r>
      <w:r w:rsidR="003E2FCA" w:rsidRPr="00B150D5">
        <w:rPr>
          <w:rFonts w:cs="Arial"/>
          <w:szCs w:val="20"/>
          <w:lang w:val="sl-SI"/>
        </w:rPr>
        <w:t>oziroma v napovedi za odmero dohodnine</w:t>
      </w:r>
      <w:r w:rsidR="002E44E3" w:rsidRPr="00B150D5">
        <w:rPr>
          <w:rFonts w:cs="Arial"/>
          <w:szCs w:val="20"/>
          <w:lang w:val="sl-SI"/>
        </w:rPr>
        <w:t>.</w:t>
      </w:r>
      <w:r w:rsidR="003E2FCA" w:rsidRPr="00B150D5">
        <w:rPr>
          <w:rFonts w:cs="Arial"/>
          <w:szCs w:val="20"/>
          <w:lang w:val="sl-SI"/>
        </w:rPr>
        <w:t xml:space="preserve"> Ugovoru zoper informativni izračun dohodnine oziroma letni napovedi za odmero dohodnine je treba priložiti ustrezna dokazila o obstoju davčne obveznosti v tujini; tj. znesek davka, plačanega v tujini, osnovo za plačilo davka ter dejstvo, da je znesek davka, plačan v tujini, dokončen in dejansko plačan</w:t>
      </w:r>
      <w:r w:rsidR="003E2FCA" w:rsidRPr="007D126D">
        <w:rPr>
          <w:rFonts w:cs="Arial"/>
          <w:szCs w:val="20"/>
          <w:lang w:val="sl-SI"/>
        </w:rPr>
        <w:t>.</w:t>
      </w:r>
      <w:r w:rsidR="007D126D" w:rsidRPr="007D126D">
        <w:rPr>
          <w:rFonts w:cs="Arial"/>
          <w:szCs w:val="20"/>
          <w:lang w:val="sl-SI"/>
        </w:rPr>
        <w:t xml:space="preserve"> V ugovoru lahko zavezanci uveljavljajo tudi s</w:t>
      </w:r>
      <w:r w:rsidR="003E2FCA" w:rsidRPr="007D126D">
        <w:rPr>
          <w:rFonts w:cs="Arial"/>
          <w:szCs w:val="20"/>
          <w:lang w:val="sl-SI"/>
        </w:rPr>
        <w:t>troške prehrane in prevoza v zvezi z delom v tujini</w:t>
      </w:r>
      <w:r w:rsidR="007D126D" w:rsidRPr="007D126D">
        <w:rPr>
          <w:rFonts w:cs="Arial"/>
          <w:szCs w:val="20"/>
          <w:lang w:val="sl-SI"/>
        </w:rPr>
        <w:t>.</w:t>
      </w:r>
      <w:r w:rsidR="003E2FCA" w:rsidRPr="007D126D">
        <w:rPr>
          <w:rFonts w:cs="Arial"/>
          <w:szCs w:val="20"/>
          <w:lang w:val="sl-SI"/>
        </w:rPr>
        <w:t xml:space="preserve"> Podrobnejše</w:t>
      </w:r>
      <w:r w:rsidR="003E2FCA" w:rsidRPr="00B150D5">
        <w:rPr>
          <w:rFonts w:cs="Arial"/>
          <w:szCs w:val="20"/>
          <w:lang w:val="sl-SI"/>
        </w:rPr>
        <w:t xml:space="preserve"> informa</w:t>
      </w:r>
      <w:r w:rsidR="00AE0D92" w:rsidRPr="00B150D5">
        <w:rPr>
          <w:rFonts w:cs="Arial"/>
          <w:szCs w:val="20"/>
          <w:lang w:val="sl-SI"/>
        </w:rPr>
        <w:t xml:space="preserve">cije glede dohodkov, doseženih </w:t>
      </w:r>
      <w:r w:rsidR="003E2FCA" w:rsidRPr="00B150D5">
        <w:rPr>
          <w:rFonts w:cs="Arial"/>
          <w:szCs w:val="20"/>
          <w:lang w:val="sl-SI"/>
        </w:rPr>
        <w:t xml:space="preserve">iz  zaposlitev v tujini pri tujem delodajalcu so objavljene na </w:t>
      </w:r>
      <w:hyperlink r:id="rId13" w:history="1">
        <w:r w:rsidR="003E2FCA" w:rsidRPr="00B150D5">
          <w:rPr>
            <w:rStyle w:val="Hiperpovezava"/>
            <w:rFonts w:cs="Arial"/>
            <w:szCs w:val="20"/>
            <w:lang w:val="sl-SI"/>
          </w:rPr>
          <w:t>spletni strani Finančne uprave RS</w:t>
        </w:r>
      </w:hyperlink>
      <w:r w:rsidR="003E2FCA" w:rsidRPr="00B150D5">
        <w:rPr>
          <w:rFonts w:cs="Arial"/>
          <w:szCs w:val="20"/>
          <w:lang w:val="sl-SI"/>
        </w:rPr>
        <w:t>.</w:t>
      </w:r>
    </w:p>
    <w:p w:rsidR="003E2FCA" w:rsidRPr="00B150D5" w:rsidRDefault="003E2FCA" w:rsidP="003E2FCA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3E2FCA" w:rsidRPr="00B150D5" w:rsidRDefault="00AE0D92" w:rsidP="003E2FCA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 w:rsidRPr="00B150D5">
        <w:rPr>
          <w:rFonts w:ascii="Arial" w:hAnsi="Arial" w:cs="Arial"/>
          <w:color w:val="auto"/>
          <w:sz w:val="20"/>
          <w:szCs w:val="20"/>
        </w:rPr>
        <w:t>Tabelarični del</w:t>
      </w:r>
      <w:r w:rsidR="0024744C" w:rsidRPr="00B150D5">
        <w:rPr>
          <w:rFonts w:ascii="Arial" w:hAnsi="Arial" w:cs="Arial"/>
          <w:color w:val="auto"/>
          <w:sz w:val="20"/>
          <w:szCs w:val="20"/>
        </w:rPr>
        <w:t>i</w:t>
      </w:r>
      <w:r w:rsidRPr="00B150D5">
        <w:rPr>
          <w:rFonts w:ascii="Arial" w:hAnsi="Arial" w:cs="Arial"/>
          <w:color w:val="auto"/>
          <w:sz w:val="20"/>
          <w:szCs w:val="20"/>
        </w:rPr>
        <w:t xml:space="preserve"> informativnih izračunov</w:t>
      </w:r>
      <w:r w:rsidR="003E2FCA" w:rsidRPr="00B150D5">
        <w:rPr>
          <w:rFonts w:ascii="Arial" w:hAnsi="Arial" w:cs="Arial"/>
          <w:color w:val="auto"/>
          <w:sz w:val="20"/>
          <w:szCs w:val="20"/>
        </w:rPr>
        <w:t xml:space="preserve"> dohodnine bodo zavezancem </w:t>
      </w:r>
      <w:r w:rsidR="003E2FCA" w:rsidRPr="00B150D5">
        <w:rPr>
          <w:rFonts w:ascii="Arial" w:hAnsi="Arial" w:cs="Arial"/>
          <w:b/>
          <w:color w:val="auto"/>
          <w:sz w:val="20"/>
          <w:szCs w:val="20"/>
        </w:rPr>
        <w:t xml:space="preserve">od </w:t>
      </w:r>
      <w:r w:rsidR="00AC5537" w:rsidRPr="00B150D5">
        <w:rPr>
          <w:rFonts w:ascii="Arial" w:hAnsi="Arial" w:cs="Arial"/>
          <w:b/>
          <w:color w:val="auto"/>
          <w:sz w:val="20"/>
          <w:szCs w:val="20"/>
        </w:rPr>
        <w:t>31</w:t>
      </w:r>
      <w:r w:rsidR="003E2FCA" w:rsidRPr="00B150D5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AC5537" w:rsidRPr="00B150D5">
        <w:rPr>
          <w:rFonts w:ascii="Arial" w:hAnsi="Arial" w:cs="Arial"/>
          <w:b/>
          <w:color w:val="auto"/>
          <w:sz w:val="20"/>
          <w:szCs w:val="20"/>
        </w:rPr>
        <w:t>maja</w:t>
      </w:r>
      <w:r w:rsidR="003E2FCA" w:rsidRPr="00B150D5">
        <w:rPr>
          <w:rFonts w:ascii="Arial" w:hAnsi="Arial" w:cs="Arial"/>
          <w:b/>
          <w:color w:val="auto"/>
          <w:sz w:val="20"/>
          <w:szCs w:val="20"/>
        </w:rPr>
        <w:t xml:space="preserve"> dalje</w:t>
      </w:r>
      <w:r w:rsidR="003E2FCA" w:rsidRPr="00B150D5">
        <w:rPr>
          <w:rFonts w:ascii="Arial" w:hAnsi="Arial" w:cs="Arial"/>
          <w:color w:val="auto"/>
          <w:sz w:val="20"/>
          <w:szCs w:val="20"/>
        </w:rPr>
        <w:t xml:space="preserve"> dostopni tudi elektronsko prek sistema eDavki, če so v omenjeni sistem registrirani. To pomeni, da ima v tem primeru zavezanec možnost vpogleda v svoj informativni izračun dohodnine prek svojega računalnika</w:t>
      </w:r>
      <w:r w:rsidR="00283629">
        <w:rPr>
          <w:rFonts w:ascii="Arial" w:hAnsi="Arial" w:cs="Arial"/>
          <w:color w:val="auto"/>
          <w:sz w:val="20"/>
          <w:szCs w:val="20"/>
        </w:rPr>
        <w:t xml:space="preserve"> ali mobilnega telefona</w:t>
      </w:r>
      <w:r w:rsidR="003E2FCA" w:rsidRPr="00B150D5">
        <w:rPr>
          <w:rFonts w:ascii="Arial" w:hAnsi="Arial" w:cs="Arial"/>
          <w:color w:val="auto"/>
          <w:sz w:val="20"/>
          <w:szCs w:val="20"/>
        </w:rPr>
        <w:t>.</w:t>
      </w:r>
    </w:p>
    <w:p w:rsidR="003E2FCA" w:rsidRPr="00B150D5" w:rsidRDefault="003E2FCA" w:rsidP="003E2FCA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9F311A" w:rsidRDefault="009F311A" w:rsidP="009F311A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19202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auto"/>
          <w:sz w:val="20"/>
          <w:szCs w:val="20"/>
        </w:rPr>
        <w:t xml:space="preserve">Tako kot pretekla leta, zavezanci prejmejo informacijo o morebitni izdaji njihovega informativnega izračuna na strani </w:t>
      </w:r>
      <w:hyperlink r:id="rId15" w:history="1">
        <w:r>
          <w:rPr>
            <w:rStyle w:val="Hiperpovezava"/>
            <w:rFonts w:ascii="Arial" w:hAnsi="Arial" w:cs="Arial"/>
            <w:sz w:val="20"/>
            <w:szCs w:val="20"/>
          </w:rPr>
          <w:t>https://edavki.durs.si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. Iskalnik bo odgovoril na vprašanje, če mu zavezanec sporoči davčno številko. </w:t>
      </w:r>
    </w:p>
    <w:p w:rsidR="009F311A" w:rsidRDefault="009F311A" w:rsidP="009F311A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9F311A" w:rsidRDefault="009F311A" w:rsidP="009F311A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Informativni izračun bodo lahko zavezanci videli tudi na mobilni aplikaciji eDavki.</w:t>
      </w:r>
    </w:p>
    <w:p w:rsidR="0050030A" w:rsidRDefault="0050030A" w:rsidP="003E2FCA">
      <w:pPr>
        <w:jc w:val="both"/>
        <w:rPr>
          <w:rFonts w:cs="Arial"/>
          <w:b/>
          <w:bCs/>
          <w:szCs w:val="20"/>
          <w:lang w:val="sl-SI"/>
        </w:rPr>
      </w:pPr>
    </w:p>
    <w:p w:rsidR="00F40F90" w:rsidRDefault="00F40F90" w:rsidP="003E2FCA">
      <w:pPr>
        <w:jc w:val="both"/>
        <w:rPr>
          <w:rFonts w:cs="Arial"/>
          <w:b/>
          <w:bCs/>
          <w:szCs w:val="20"/>
          <w:lang w:val="sl-SI"/>
        </w:rPr>
      </w:pPr>
    </w:p>
    <w:p w:rsidR="00F40F90" w:rsidRDefault="00F40F90" w:rsidP="003E2FCA">
      <w:pPr>
        <w:jc w:val="both"/>
        <w:rPr>
          <w:rFonts w:cs="Arial"/>
          <w:b/>
          <w:bCs/>
          <w:szCs w:val="20"/>
          <w:lang w:val="sl-SI"/>
        </w:rPr>
      </w:pPr>
    </w:p>
    <w:p w:rsidR="00F40F90" w:rsidRDefault="00F40F90" w:rsidP="003E2FCA">
      <w:pPr>
        <w:jc w:val="both"/>
        <w:rPr>
          <w:rFonts w:cs="Arial"/>
          <w:b/>
          <w:bCs/>
          <w:szCs w:val="20"/>
          <w:lang w:val="sl-SI"/>
        </w:rPr>
      </w:pPr>
    </w:p>
    <w:p w:rsidR="003E2FCA" w:rsidRDefault="003E2FCA" w:rsidP="003E2FCA">
      <w:pPr>
        <w:jc w:val="both"/>
        <w:rPr>
          <w:rFonts w:cs="Arial"/>
          <w:b/>
          <w:bCs/>
          <w:szCs w:val="20"/>
          <w:lang w:val="sl-SI"/>
        </w:rPr>
      </w:pPr>
      <w:r w:rsidRPr="00B150D5">
        <w:rPr>
          <w:rFonts w:cs="Arial"/>
          <w:b/>
          <w:bCs/>
          <w:szCs w:val="20"/>
          <w:lang w:val="sl-SI"/>
        </w:rPr>
        <w:t>Zaradi nekaj centov razlike ni treba vlagati ugovora zoper informativni izračun dohodnine</w:t>
      </w:r>
    </w:p>
    <w:p w:rsidR="003E2FCA" w:rsidRDefault="003E2FCA" w:rsidP="003E2FCA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Tako</w:t>
      </w:r>
      <w:r w:rsidR="00AE0D92" w:rsidRPr="00B150D5">
        <w:rPr>
          <w:rFonts w:cs="Arial"/>
          <w:szCs w:val="20"/>
          <w:lang w:val="sl-SI"/>
        </w:rPr>
        <w:t xml:space="preserve"> </w:t>
      </w:r>
      <w:r w:rsidRPr="00B150D5">
        <w:rPr>
          <w:rFonts w:cs="Arial"/>
          <w:szCs w:val="20"/>
          <w:lang w:val="sl-SI"/>
        </w:rPr>
        <w:t xml:space="preserve">kakor pri prvi tranši informativnih izračunov dohodnine, bi radi tudi na tem mestu opozorili, da v nekaterih primerih prihaja do manjših razlik (nekaj centov) med zneski dohodkov, ki so navedeni v </w:t>
      </w:r>
      <w:r w:rsidR="004D3AA1" w:rsidRPr="00B150D5">
        <w:rPr>
          <w:rFonts w:cs="Arial"/>
          <w:szCs w:val="20"/>
          <w:lang w:val="sl-SI"/>
        </w:rPr>
        <w:t>informativnem izračunu dohodnine</w:t>
      </w:r>
      <w:r w:rsidRPr="00B150D5">
        <w:rPr>
          <w:rFonts w:cs="Arial"/>
          <w:szCs w:val="20"/>
          <w:lang w:val="sl-SI"/>
        </w:rPr>
        <w:t xml:space="preserve"> in zneski, ki so jih prejeli od svojega izplačevalca dohodkov.</w:t>
      </w:r>
    </w:p>
    <w:p w:rsidR="00F40F90" w:rsidRPr="00B150D5" w:rsidRDefault="00F40F90" w:rsidP="003E2FCA">
      <w:pPr>
        <w:jc w:val="both"/>
        <w:rPr>
          <w:rFonts w:cs="Arial"/>
          <w:szCs w:val="20"/>
          <w:lang w:val="sl-SI"/>
        </w:rPr>
      </w:pPr>
    </w:p>
    <w:p w:rsidR="003E2FCA" w:rsidRPr="00B150D5" w:rsidRDefault="003E2FCA" w:rsidP="003E2FCA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 xml:space="preserve">Do omenjenih razlik prihaja zaradi različnega zaokroževanja zneskov. Izplačevalci dohodkov so namreč </w:t>
      </w:r>
      <w:r w:rsidR="0024744C" w:rsidRPr="00B150D5">
        <w:rPr>
          <w:rFonts w:cs="Arial"/>
          <w:szCs w:val="20"/>
          <w:lang w:val="sl-SI"/>
        </w:rPr>
        <w:t xml:space="preserve">Finančni </w:t>
      </w:r>
      <w:r w:rsidRPr="00B150D5">
        <w:rPr>
          <w:rFonts w:cs="Arial"/>
          <w:szCs w:val="20"/>
          <w:lang w:val="sl-SI"/>
        </w:rPr>
        <w:t>upravi</w:t>
      </w:r>
      <w:r w:rsidR="0024744C" w:rsidRPr="00B150D5">
        <w:rPr>
          <w:rFonts w:cs="Arial"/>
          <w:szCs w:val="20"/>
          <w:lang w:val="sl-SI"/>
        </w:rPr>
        <w:t xml:space="preserve"> RS</w:t>
      </w:r>
      <w:r w:rsidRPr="00B150D5">
        <w:rPr>
          <w:rFonts w:cs="Arial"/>
          <w:szCs w:val="20"/>
          <w:lang w:val="sl-SI"/>
        </w:rPr>
        <w:t xml:space="preserve"> poročali na mesečnem nivoju, zavezancem pa so poročali na letnem nivoju. </w:t>
      </w:r>
    </w:p>
    <w:p w:rsidR="003E2FCA" w:rsidRPr="00B150D5" w:rsidRDefault="003E2FCA" w:rsidP="000F3C5B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3E2FCA" w:rsidRPr="00B150D5" w:rsidRDefault="003E2FCA" w:rsidP="003E2FCA">
      <w:pPr>
        <w:jc w:val="both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 xml:space="preserve">Tako zavezancem ni treba vlagati ugovorov zoper informativni izračun dohodnine, če razlika med zneski dohodkov iz </w:t>
      </w:r>
      <w:r w:rsidR="004D3AA1" w:rsidRPr="00B150D5">
        <w:rPr>
          <w:rFonts w:cs="Arial"/>
          <w:szCs w:val="20"/>
          <w:lang w:val="sl-SI"/>
        </w:rPr>
        <w:t>informativnega izračuna dohodnine</w:t>
      </w:r>
      <w:r w:rsidRPr="00B150D5">
        <w:rPr>
          <w:rFonts w:cs="Arial"/>
          <w:szCs w:val="20"/>
          <w:lang w:val="sl-SI"/>
        </w:rPr>
        <w:t xml:space="preserve"> in zneski dohodkov iz obvestil, prejetih s strani izplačevalcev, v skupnem znesku, ne presega 1 EUR. Pri veliki večini zavezancev, kjer bo zaradi zaokroževanja zneskov prihajalo do razlik, bodo te znašale nekaj centov, večja razlika (do 1 EUR) pa lahko pride pri zavezancih, ki so imeli v preteklem letu večje število različnih izplačevalcev.</w:t>
      </w:r>
    </w:p>
    <w:p w:rsidR="008E51A4" w:rsidRPr="00B150D5" w:rsidRDefault="008E51A4" w:rsidP="003E2FCA">
      <w:pPr>
        <w:jc w:val="both"/>
        <w:rPr>
          <w:rFonts w:cs="Arial"/>
          <w:szCs w:val="20"/>
          <w:lang w:val="sl-SI"/>
        </w:rPr>
      </w:pPr>
    </w:p>
    <w:p w:rsidR="000E2BA7" w:rsidRPr="000E2BA7" w:rsidRDefault="000E2BA7" w:rsidP="000E2BA7">
      <w:pPr>
        <w:pStyle w:val="Odstavekseznama"/>
        <w:spacing w:line="200" w:lineRule="atLeast"/>
        <w:ind w:left="0"/>
        <w:rPr>
          <w:rFonts w:ascii="Arial" w:hAnsi="Arial" w:cs="Arial"/>
          <w:b/>
          <w:bCs/>
          <w:sz w:val="20"/>
          <w:szCs w:val="20"/>
        </w:rPr>
      </w:pPr>
      <w:r w:rsidRPr="000E2BA7">
        <w:rPr>
          <w:rFonts w:ascii="Arial" w:hAnsi="Arial" w:cs="Arial"/>
          <w:b/>
          <w:bCs/>
          <w:sz w:val="20"/>
          <w:szCs w:val="20"/>
        </w:rPr>
        <w:t>UJPlačam: plačevanje dohodnine brez stroškov plačilnih storitev</w:t>
      </w:r>
    </w:p>
    <w:p w:rsidR="000E2BA7" w:rsidRDefault="000E2BA7" w:rsidP="000E2BA7">
      <w:pPr>
        <w:pStyle w:val="Odstavekseznama"/>
        <w:spacing w:line="240" w:lineRule="atLea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Zavezanci, ki imajo doplačilo dohodnine, bodo lahko plačilne naloge poravnali </w:t>
      </w:r>
      <w:r>
        <w:rPr>
          <w:rFonts w:ascii="Arial" w:hAnsi="Arial" w:cs="Arial"/>
          <w:sz w:val="20"/>
          <w:szCs w:val="20"/>
        </w:rPr>
        <w:t xml:space="preserve">s plačilnimi karticami (Mastercard, Maestro, Visa in Karanta) </w:t>
      </w:r>
      <w:r>
        <w:rPr>
          <w:rStyle w:val="Krepko"/>
          <w:rFonts w:ascii="Arial" w:hAnsi="Arial" w:cs="Arial"/>
          <w:sz w:val="20"/>
          <w:szCs w:val="20"/>
        </w:rPr>
        <w:t>in z mobilnimi denarnicami, ki podpirajo plačevanje s plačilnimi karticami, in sicer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brez provizije. Negotovinska plačilna mesta UJPlačam bodo dostopna na enajstih lokacijah po vsej Sloveniji. Več informacij </w:t>
      </w:r>
      <w:hyperlink r:id="rId16" w:history="1">
        <w:r>
          <w:rPr>
            <w:rStyle w:val="Hiperpovezava"/>
            <w:rFonts w:ascii="Arial" w:hAnsi="Arial" w:cs="Arial"/>
            <w:bCs/>
            <w:sz w:val="20"/>
            <w:szCs w:val="20"/>
          </w:rPr>
          <w:t>na spletni strani UJP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50030A" w:rsidRDefault="0050030A" w:rsidP="008E51A4">
      <w:pPr>
        <w:pStyle w:val="Odstavekseznama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3E2FCA" w:rsidRPr="00B150D5" w:rsidRDefault="003E2FCA" w:rsidP="000F3C5B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7D75CF" w:rsidRPr="00B150D5" w:rsidRDefault="00317E7A" w:rsidP="007D75CF">
      <w:pPr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Lep pozdrav,</w:t>
      </w:r>
    </w:p>
    <w:p w:rsidR="005D02C0" w:rsidRPr="00B150D5" w:rsidRDefault="00317E7A" w:rsidP="00345769">
      <w:pPr>
        <w:pStyle w:val="podpisi"/>
        <w:tabs>
          <w:tab w:val="clear" w:pos="3402"/>
          <w:tab w:val="center" w:pos="7371"/>
        </w:tabs>
        <w:jc w:val="right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Odnosi z javnostmi</w:t>
      </w:r>
      <w:r w:rsidR="003E2FCA" w:rsidRPr="00B150D5">
        <w:rPr>
          <w:rFonts w:cs="Arial"/>
          <w:szCs w:val="20"/>
          <w:lang w:val="sl-SI"/>
        </w:rPr>
        <w:t xml:space="preserve">, </w:t>
      </w:r>
    </w:p>
    <w:p w:rsidR="001A3BA5" w:rsidRPr="00B150D5" w:rsidRDefault="0031733C" w:rsidP="00345769">
      <w:pPr>
        <w:pStyle w:val="podpisi"/>
        <w:tabs>
          <w:tab w:val="clear" w:pos="3402"/>
          <w:tab w:val="center" w:pos="7371"/>
        </w:tabs>
        <w:jc w:val="right"/>
        <w:rPr>
          <w:rFonts w:cs="Arial"/>
          <w:szCs w:val="20"/>
          <w:lang w:val="sl-SI"/>
        </w:rPr>
      </w:pPr>
      <w:r w:rsidRPr="00B150D5">
        <w:rPr>
          <w:rFonts w:cs="Arial"/>
          <w:szCs w:val="20"/>
          <w:lang w:val="sl-SI"/>
        </w:rPr>
        <w:t>Finančna uprava RS</w:t>
      </w:r>
    </w:p>
    <w:sectPr w:rsidR="001A3BA5" w:rsidRPr="00B150D5" w:rsidSect="005D02C0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993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0A" w:rsidRDefault="0021790A">
      <w:r>
        <w:separator/>
      </w:r>
    </w:p>
  </w:endnote>
  <w:endnote w:type="continuationSeparator" w:id="0">
    <w:p w:rsidR="0021790A" w:rsidRDefault="002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36" w:rsidRDefault="00E26236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5774F3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5774F3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36" w:rsidRDefault="00E26236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5774F3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5774F3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0A" w:rsidRDefault="0021790A">
      <w:r>
        <w:separator/>
      </w:r>
    </w:p>
  </w:footnote>
  <w:footnote w:type="continuationSeparator" w:id="0">
    <w:p w:rsidR="0021790A" w:rsidRDefault="0021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36" w:rsidRPr="00110CBD" w:rsidRDefault="00E262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26236" w:rsidRPr="008F3500">
      <w:trPr>
        <w:cantSplit/>
        <w:trHeight w:hRule="exact" w:val="847"/>
      </w:trPr>
      <w:tc>
        <w:tcPr>
          <w:tcW w:w="567" w:type="dxa"/>
        </w:tcPr>
        <w:p w:rsidR="00E26236" w:rsidRDefault="00E262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E26236" w:rsidRPr="008F3500" w:rsidRDefault="00E26236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58F9B29" wp14:editId="214064D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214C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E26236" w:rsidRPr="008F3500" w:rsidRDefault="00E26236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E26236" w:rsidRDefault="00E26236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E26236" w:rsidRPr="00A12D5C" w:rsidRDefault="00E26236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:rsidR="00E26236" w:rsidRPr="008F3500" w:rsidRDefault="00E26236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01 478 27 87</w:t>
    </w:r>
  </w:p>
  <w:p w:rsidR="00E26236" w:rsidRPr="008F3500" w:rsidRDefault="00E2623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866FD"/>
    <w:multiLevelType w:val="hybridMultilevel"/>
    <w:tmpl w:val="BEB849B8"/>
    <w:lvl w:ilvl="0" w:tplc="B896DAF0">
      <w:start w:val="9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7"/>
    <w:rsid w:val="000063FF"/>
    <w:rsid w:val="0001383D"/>
    <w:rsid w:val="0001426A"/>
    <w:rsid w:val="00017112"/>
    <w:rsid w:val="00023A88"/>
    <w:rsid w:val="00031700"/>
    <w:rsid w:val="00052202"/>
    <w:rsid w:val="000732FA"/>
    <w:rsid w:val="00076063"/>
    <w:rsid w:val="0008352D"/>
    <w:rsid w:val="000A49EF"/>
    <w:rsid w:val="000A7238"/>
    <w:rsid w:val="000B0B21"/>
    <w:rsid w:val="000C45FB"/>
    <w:rsid w:val="000D1923"/>
    <w:rsid w:val="000E2BA7"/>
    <w:rsid w:val="000F3C5B"/>
    <w:rsid w:val="001357B2"/>
    <w:rsid w:val="0014181D"/>
    <w:rsid w:val="001675F3"/>
    <w:rsid w:val="0019105B"/>
    <w:rsid w:val="001979F9"/>
    <w:rsid w:val="001A3BA5"/>
    <w:rsid w:val="001C36A7"/>
    <w:rsid w:val="001C50B9"/>
    <w:rsid w:val="001D0459"/>
    <w:rsid w:val="001F5F45"/>
    <w:rsid w:val="001F69D1"/>
    <w:rsid w:val="001F7BC0"/>
    <w:rsid w:val="00202A77"/>
    <w:rsid w:val="00206739"/>
    <w:rsid w:val="0021790A"/>
    <w:rsid w:val="002212F9"/>
    <w:rsid w:val="00222DD5"/>
    <w:rsid w:val="00224DB0"/>
    <w:rsid w:val="002406D8"/>
    <w:rsid w:val="0024744C"/>
    <w:rsid w:val="002573F5"/>
    <w:rsid w:val="002644E8"/>
    <w:rsid w:val="00271CE5"/>
    <w:rsid w:val="00277553"/>
    <w:rsid w:val="00282020"/>
    <w:rsid w:val="00282F1E"/>
    <w:rsid w:val="00283629"/>
    <w:rsid w:val="00297113"/>
    <w:rsid w:val="002A1947"/>
    <w:rsid w:val="002A5510"/>
    <w:rsid w:val="002B47D8"/>
    <w:rsid w:val="002B47E3"/>
    <w:rsid w:val="002D38E4"/>
    <w:rsid w:val="002E44E3"/>
    <w:rsid w:val="002F336D"/>
    <w:rsid w:val="002F74BE"/>
    <w:rsid w:val="003137EB"/>
    <w:rsid w:val="0031733C"/>
    <w:rsid w:val="00317E7A"/>
    <w:rsid w:val="003227BE"/>
    <w:rsid w:val="003354A8"/>
    <w:rsid w:val="00337B4E"/>
    <w:rsid w:val="00345769"/>
    <w:rsid w:val="003636BF"/>
    <w:rsid w:val="00370AA7"/>
    <w:rsid w:val="0037479F"/>
    <w:rsid w:val="003845B4"/>
    <w:rsid w:val="00387B1A"/>
    <w:rsid w:val="003C14B1"/>
    <w:rsid w:val="003C165C"/>
    <w:rsid w:val="003C232C"/>
    <w:rsid w:val="003C2E64"/>
    <w:rsid w:val="003C46E4"/>
    <w:rsid w:val="003C615C"/>
    <w:rsid w:val="003D23E4"/>
    <w:rsid w:val="003E1C74"/>
    <w:rsid w:val="003E2FCA"/>
    <w:rsid w:val="003F2045"/>
    <w:rsid w:val="003F4974"/>
    <w:rsid w:val="00430FF5"/>
    <w:rsid w:val="0046602F"/>
    <w:rsid w:val="004846BD"/>
    <w:rsid w:val="004A6077"/>
    <w:rsid w:val="004B2159"/>
    <w:rsid w:val="004C7731"/>
    <w:rsid w:val="004D0CA8"/>
    <w:rsid w:val="004D3AA1"/>
    <w:rsid w:val="0050030A"/>
    <w:rsid w:val="005043E0"/>
    <w:rsid w:val="00522599"/>
    <w:rsid w:val="00522690"/>
    <w:rsid w:val="00526246"/>
    <w:rsid w:val="00536049"/>
    <w:rsid w:val="00536E7C"/>
    <w:rsid w:val="00537E51"/>
    <w:rsid w:val="00541985"/>
    <w:rsid w:val="00544B3E"/>
    <w:rsid w:val="0054668F"/>
    <w:rsid w:val="00550F7A"/>
    <w:rsid w:val="00565643"/>
    <w:rsid w:val="00566CB0"/>
    <w:rsid w:val="00567106"/>
    <w:rsid w:val="005774F3"/>
    <w:rsid w:val="00584933"/>
    <w:rsid w:val="005D02C0"/>
    <w:rsid w:val="005D763A"/>
    <w:rsid w:val="005E1D3C"/>
    <w:rsid w:val="00632253"/>
    <w:rsid w:val="0063629D"/>
    <w:rsid w:val="00642714"/>
    <w:rsid w:val="00643C4E"/>
    <w:rsid w:val="006454DC"/>
    <w:rsid w:val="006455CE"/>
    <w:rsid w:val="0066659F"/>
    <w:rsid w:val="00686249"/>
    <w:rsid w:val="006948B5"/>
    <w:rsid w:val="00695FAF"/>
    <w:rsid w:val="006C431A"/>
    <w:rsid w:val="006C725B"/>
    <w:rsid w:val="006D135F"/>
    <w:rsid w:val="006D42D9"/>
    <w:rsid w:val="006D5292"/>
    <w:rsid w:val="006E5D2A"/>
    <w:rsid w:val="006F0629"/>
    <w:rsid w:val="00714BEF"/>
    <w:rsid w:val="00715F8B"/>
    <w:rsid w:val="00717A2B"/>
    <w:rsid w:val="00726337"/>
    <w:rsid w:val="00726463"/>
    <w:rsid w:val="00726DCE"/>
    <w:rsid w:val="00732AD9"/>
    <w:rsid w:val="00733017"/>
    <w:rsid w:val="00751D38"/>
    <w:rsid w:val="00783310"/>
    <w:rsid w:val="007A4A6D"/>
    <w:rsid w:val="007B440C"/>
    <w:rsid w:val="007B5749"/>
    <w:rsid w:val="007D126D"/>
    <w:rsid w:val="007D1BCF"/>
    <w:rsid w:val="007D23F1"/>
    <w:rsid w:val="007D378E"/>
    <w:rsid w:val="007D3E1E"/>
    <w:rsid w:val="007D503A"/>
    <w:rsid w:val="007D5FA0"/>
    <w:rsid w:val="007D75CF"/>
    <w:rsid w:val="007E6DC5"/>
    <w:rsid w:val="00810A60"/>
    <w:rsid w:val="0081444E"/>
    <w:rsid w:val="00864231"/>
    <w:rsid w:val="0088043C"/>
    <w:rsid w:val="008820CD"/>
    <w:rsid w:val="008906C9"/>
    <w:rsid w:val="008C5738"/>
    <w:rsid w:val="008D04F0"/>
    <w:rsid w:val="008E45FC"/>
    <w:rsid w:val="008E51A4"/>
    <w:rsid w:val="008F3500"/>
    <w:rsid w:val="008F7481"/>
    <w:rsid w:val="009001A0"/>
    <w:rsid w:val="00902740"/>
    <w:rsid w:val="00906165"/>
    <w:rsid w:val="0091262E"/>
    <w:rsid w:val="009178C2"/>
    <w:rsid w:val="0092065D"/>
    <w:rsid w:val="00924889"/>
    <w:rsid w:val="00924E3C"/>
    <w:rsid w:val="00934CD8"/>
    <w:rsid w:val="0094260E"/>
    <w:rsid w:val="009612BB"/>
    <w:rsid w:val="00994CCE"/>
    <w:rsid w:val="009954AC"/>
    <w:rsid w:val="009A2901"/>
    <w:rsid w:val="009E44CD"/>
    <w:rsid w:val="009F311A"/>
    <w:rsid w:val="009F3FD5"/>
    <w:rsid w:val="00A125C5"/>
    <w:rsid w:val="00A12D5C"/>
    <w:rsid w:val="00A35838"/>
    <w:rsid w:val="00A416B5"/>
    <w:rsid w:val="00A5039D"/>
    <w:rsid w:val="00A65EE7"/>
    <w:rsid w:val="00A70133"/>
    <w:rsid w:val="00A81DA4"/>
    <w:rsid w:val="00A90F24"/>
    <w:rsid w:val="00AC5537"/>
    <w:rsid w:val="00AC5C16"/>
    <w:rsid w:val="00AE0D92"/>
    <w:rsid w:val="00AE76DA"/>
    <w:rsid w:val="00AF4F63"/>
    <w:rsid w:val="00B150D5"/>
    <w:rsid w:val="00B17141"/>
    <w:rsid w:val="00B31575"/>
    <w:rsid w:val="00B3297D"/>
    <w:rsid w:val="00B330DE"/>
    <w:rsid w:val="00B33E93"/>
    <w:rsid w:val="00B346C9"/>
    <w:rsid w:val="00B35AAF"/>
    <w:rsid w:val="00B421F2"/>
    <w:rsid w:val="00B7570C"/>
    <w:rsid w:val="00B8547D"/>
    <w:rsid w:val="00B96F43"/>
    <w:rsid w:val="00BC5C80"/>
    <w:rsid w:val="00BE6513"/>
    <w:rsid w:val="00BF1C23"/>
    <w:rsid w:val="00C133A9"/>
    <w:rsid w:val="00C250D5"/>
    <w:rsid w:val="00C3482C"/>
    <w:rsid w:val="00C47F8D"/>
    <w:rsid w:val="00C81391"/>
    <w:rsid w:val="00C901E8"/>
    <w:rsid w:val="00C92898"/>
    <w:rsid w:val="00C9418F"/>
    <w:rsid w:val="00CA6C0B"/>
    <w:rsid w:val="00CC245D"/>
    <w:rsid w:val="00CE7514"/>
    <w:rsid w:val="00D15B12"/>
    <w:rsid w:val="00D248DE"/>
    <w:rsid w:val="00D67778"/>
    <w:rsid w:val="00D729CB"/>
    <w:rsid w:val="00D8542D"/>
    <w:rsid w:val="00D966FC"/>
    <w:rsid w:val="00DB7CDF"/>
    <w:rsid w:val="00DC4039"/>
    <w:rsid w:val="00DC6A71"/>
    <w:rsid w:val="00DD03E8"/>
    <w:rsid w:val="00DD1B07"/>
    <w:rsid w:val="00DE4C43"/>
    <w:rsid w:val="00DE5B46"/>
    <w:rsid w:val="00E0357D"/>
    <w:rsid w:val="00E24EC2"/>
    <w:rsid w:val="00E26236"/>
    <w:rsid w:val="00E26266"/>
    <w:rsid w:val="00E3392A"/>
    <w:rsid w:val="00E82CD4"/>
    <w:rsid w:val="00E87E8C"/>
    <w:rsid w:val="00E91DE1"/>
    <w:rsid w:val="00EB7942"/>
    <w:rsid w:val="00ED7E82"/>
    <w:rsid w:val="00EF223A"/>
    <w:rsid w:val="00F01294"/>
    <w:rsid w:val="00F02C7B"/>
    <w:rsid w:val="00F104A5"/>
    <w:rsid w:val="00F1588F"/>
    <w:rsid w:val="00F15EC7"/>
    <w:rsid w:val="00F240BB"/>
    <w:rsid w:val="00F313DD"/>
    <w:rsid w:val="00F40F90"/>
    <w:rsid w:val="00F46724"/>
    <w:rsid w:val="00F57FED"/>
    <w:rsid w:val="00F70184"/>
    <w:rsid w:val="00F907E8"/>
    <w:rsid w:val="00FB5D8F"/>
    <w:rsid w:val="00FE7FD7"/>
    <w:rsid w:val="00FF2BDA"/>
    <w:rsid w:val="00FF50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ED8A5022-B6AA-4BA7-A082-2DF4C6F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031700"/>
    <w:pPr>
      <w:spacing w:line="240" w:lineRule="auto"/>
    </w:pPr>
    <w:rPr>
      <w:rFonts w:ascii="Verdana" w:hAnsi="Verdana"/>
      <w:color w:val="323232"/>
      <w:sz w:val="17"/>
      <w:szCs w:val="17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031700"/>
    <w:pPr>
      <w:spacing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1700"/>
    <w:rPr>
      <w:rFonts w:ascii="Consolas" w:eastAsia="Calibri" w:hAnsi="Consolas"/>
      <w:sz w:val="21"/>
      <w:szCs w:val="21"/>
      <w:lang w:val="x-none" w:eastAsia="en-US"/>
    </w:rPr>
  </w:style>
  <w:style w:type="paragraph" w:styleId="Besedilooblaka">
    <w:name w:val="Balloon Text"/>
    <w:basedOn w:val="Navaden"/>
    <w:link w:val="BesedilooblakaZnak"/>
    <w:rsid w:val="00CC2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245D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rsid w:val="00F104A5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rsid w:val="003E2FC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E2FC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2FCA"/>
    <w:rPr>
      <w:rFonts w:ascii="Arial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8E51A4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8E5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napoved_za_dohodnino_fo" TargetMode="External"/><Relationship Id="rId13" Type="http://schemas.openxmlformats.org/officeDocument/2006/relationships/hyperlink" Target="http://www.fu.gov.si/fileadmin/Internet/Davki_in_druge_dajatve/Podrocja/Mednarodno_obdavcenje/Opis/Zaposlitev_v_tujini_pri_tujem_delodajalcu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avki.durs.si/EdavkiPortal/OpenPortal/CommonPages/Opdynp/PageD.aspx?category=ugovor_iid_fo" TargetMode="External"/><Relationship Id="rId12" Type="http://schemas.openxmlformats.org/officeDocument/2006/relationships/hyperlink" Target="https://edavki.durs.si/EdavkiPortal/OpenPortal/CommonPages/Opdynp/PageD.aspx?category=napoved_za_dohodnino_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jp.gov.si/dokumenti/dokument.asp?id=676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avki.durs.si/EdavkiPortal/OpenPortal/CommonPages/Opdynp/PageD.aspx?category=ugovor_iid_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avki.durs.si" TargetMode="External"/><Relationship Id="rId10" Type="http://schemas.openxmlformats.org/officeDocument/2006/relationships/hyperlink" Target="https://edavki.durs.si/EdavkiPortal/OpenPortal/Pages/Faq/Faq.aspx?qq=dohodnin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u.gov.si/davki_in_druge_dajatve/poslovanje_z_nami/e_vrocanje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usS\Desktop\SLB_FURS%20SO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SLB_FURS SOJ</Template>
  <TotalTime>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Generalni carinski urad RS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Sabina Langus-Boc</dc:creator>
  <cp:lastModifiedBy>Stojan Glavač</cp:lastModifiedBy>
  <cp:revision>2</cp:revision>
  <cp:lastPrinted>2019-05-30T11:45:00Z</cp:lastPrinted>
  <dcterms:created xsi:type="dcterms:W3CDTF">2019-06-20T14:19:00Z</dcterms:created>
  <dcterms:modified xsi:type="dcterms:W3CDTF">2019-06-20T14:19:00Z</dcterms:modified>
</cp:coreProperties>
</file>