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03638" w14:textId="77777777" w:rsidR="00CE70F5" w:rsidRDefault="00CE70F5" w:rsidP="00C40530"/>
    <w:p w14:paraId="446BEECD" w14:textId="77777777" w:rsidR="003F2A02" w:rsidRDefault="003F2A02" w:rsidP="003F2A02">
      <w:pPr>
        <w:jc w:val="right"/>
      </w:pPr>
      <w:r>
        <w:t>Ljubljana, 28. 11. 2025</w:t>
      </w:r>
    </w:p>
    <w:p w14:paraId="471D07DA" w14:textId="77777777" w:rsidR="008B1B46" w:rsidRDefault="008B1B46" w:rsidP="00C40530"/>
    <w:p w14:paraId="5529E9A9" w14:textId="77777777" w:rsidR="00CE70F5" w:rsidRDefault="00CE70F5" w:rsidP="00C40530"/>
    <w:p w14:paraId="4439E857" w14:textId="3F8F3138" w:rsidR="006A2646" w:rsidRPr="002F1792" w:rsidRDefault="000B3280" w:rsidP="000700B3">
      <w:pPr>
        <w:pStyle w:val="Naslov"/>
        <w:rPr>
          <w:sz w:val="36"/>
          <w:szCs w:val="36"/>
        </w:rPr>
      </w:pPr>
      <w:r w:rsidRPr="002F1792">
        <w:rPr>
          <w:sz w:val="36"/>
          <w:szCs w:val="36"/>
        </w:rPr>
        <w:t xml:space="preserve">Navodila za </w:t>
      </w:r>
      <w:r w:rsidR="00D67B9F" w:rsidRPr="002F1792">
        <w:rPr>
          <w:sz w:val="36"/>
          <w:szCs w:val="36"/>
        </w:rPr>
        <w:t>opis</w:t>
      </w:r>
      <w:r w:rsidR="008B2908" w:rsidRPr="002F1792">
        <w:rPr>
          <w:sz w:val="36"/>
          <w:szCs w:val="36"/>
        </w:rPr>
        <w:t xml:space="preserve"> </w:t>
      </w:r>
      <w:r w:rsidR="007A73D3" w:rsidRPr="002F1792">
        <w:rPr>
          <w:sz w:val="36"/>
          <w:szCs w:val="36"/>
        </w:rPr>
        <w:t xml:space="preserve">vrste in načina elektronskega zapisovanja ter </w:t>
      </w:r>
      <w:r w:rsidR="008B2908" w:rsidRPr="002F1792">
        <w:rPr>
          <w:sz w:val="36"/>
          <w:szCs w:val="36"/>
        </w:rPr>
        <w:t xml:space="preserve">vsebine, oblike </w:t>
      </w:r>
      <w:r w:rsidR="007A73D3" w:rsidRPr="002F1792">
        <w:rPr>
          <w:sz w:val="36"/>
          <w:szCs w:val="36"/>
        </w:rPr>
        <w:t>in</w:t>
      </w:r>
      <w:r w:rsidR="008B2908" w:rsidRPr="002F1792">
        <w:rPr>
          <w:sz w:val="36"/>
          <w:szCs w:val="36"/>
        </w:rPr>
        <w:t xml:space="preserve"> časovne dostopnosti izmerjenih vrednosti</w:t>
      </w:r>
      <w:r w:rsidR="00D67B9F" w:rsidRPr="002F1792">
        <w:rPr>
          <w:sz w:val="36"/>
          <w:szCs w:val="36"/>
        </w:rPr>
        <w:t xml:space="preserve"> </w:t>
      </w:r>
      <w:r w:rsidR="008B2908" w:rsidRPr="002F1792">
        <w:rPr>
          <w:sz w:val="36"/>
          <w:szCs w:val="36"/>
        </w:rPr>
        <w:t>AMS in DAHS za izvajanje trajnih meritev emisije snovi v zrak</w:t>
      </w:r>
    </w:p>
    <w:p w14:paraId="47747F20" w14:textId="38ADD8E5" w:rsidR="002F1792" w:rsidRDefault="002F1792" w:rsidP="1CDD92CE">
      <w:pPr>
        <w:pStyle w:val="Naslov1"/>
        <w:numPr>
          <w:ilvl w:val="0"/>
          <w:numId w:val="0"/>
        </w:numPr>
        <w:sectPr w:rsidR="002F1792" w:rsidSect="00694F2B">
          <w:headerReference w:type="default" r:id="rId11"/>
          <w:footerReference w:type="default" r:id="rId12"/>
          <w:headerReference w:type="first" r:id="rId13"/>
          <w:footerReference w:type="first" r:id="rId14"/>
          <w:pgSz w:w="11900" w:h="16840" w:code="9"/>
          <w:pgMar w:top="1701" w:right="1410" w:bottom="1701" w:left="1701" w:header="1882" w:footer="794" w:gutter="0"/>
          <w:cols w:space="708"/>
          <w:titlePg/>
          <w:docGrid w:linePitch="272"/>
        </w:sectPr>
      </w:pPr>
    </w:p>
    <w:p w14:paraId="339B67E2" w14:textId="77777777" w:rsidR="00406771" w:rsidRPr="007923ED" w:rsidRDefault="00406771" w:rsidP="00406771">
      <w:pPr>
        <w:spacing w:line="276" w:lineRule="auto"/>
        <w:rPr>
          <w:rFonts w:cs="Arial"/>
          <w:b/>
          <w:lang w:eastAsia="sl-SI"/>
        </w:rPr>
      </w:pPr>
      <w:r w:rsidRPr="007923ED">
        <w:rPr>
          <w:rFonts w:cs="Arial"/>
          <w:b/>
          <w:lang w:eastAsia="sl-SI"/>
        </w:rPr>
        <w:lastRenderedPageBreak/>
        <w:t>Kazalo vsebine</w:t>
      </w:r>
    </w:p>
    <w:p w14:paraId="6BED10E1" w14:textId="77777777" w:rsidR="00406771" w:rsidRPr="007923ED" w:rsidRDefault="00406771" w:rsidP="00406771">
      <w:pPr>
        <w:spacing w:line="276" w:lineRule="auto"/>
        <w:rPr>
          <w:rFonts w:cs="Arial"/>
          <w:b/>
          <w:szCs w:val="20"/>
          <w:lang w:eastAsia="sl-SI"/>
        </w:rPr>
      </w:pPr>
    </w:p>
    <w:sdt>
      <w:sdtPr>
        <w:rPr>
          <w:rFonts w:ascii="Arial" w:eastAsia="Times New Roman" w:hAnsi="Arial" w:cs="Times New Roman"/>
          <w:b/>
          <w:bCs/>
          <w:color w:val="auto"/>
          <w:kern w:val="32"/>
          <w:sz w:val="20"/>
          <w:szCs w:val="20"/>
          <w:lang w:eastAsia="en-US"/>
        </w:rPr>
        <w:id w:val="1178768183"/>
        <w:docPartObj>
          <w:docPartGallery w:val="Table of Contents"/>
          <w:docPartUnique/>
        </w:docPartObj>
      </w:sdtPr>
      <w:sdtEndPr>
        <w:rPr>
          <w:b w:val="0"/>
          <w:bCs w:val="0"/>
          <w:kern w:val="0"/>
        </w:rPr>
      </w:sdtEndPr>
      <w:sdtContent>
        <w:p w14:paraId="00AD8865" w14:textId="77777777" w:rsidR="00406771" w:rsidRDefault="00406771" w:rsidP="00406771">
          <w:pPr>
            <w:pStyle w:val="NaslovTOC"/>
          </w:pPr>
        </w:p>
        <w:p w14:paraId="1F9554C6" w14:textId="4ADEEEB7" w:rsidR="00CE7951" w:rsidRDefault="00406771" w:rsidP="00DB757E">
          <w:pPr>
            <w:pStyle w:val="Kazalovsebine1"/>
            <w:tabs>
              <w:tab w:val="clear" w:pos="8488"/>
              <w:tab w:val="left" w:pos="440"/>
              <w:tab w:val="right" w:leader="dot" w:pos="8789"/>
            </w:tabs>
            <w:rPr>
              <w:rFonts w:asciiTheme="minorHAnsi" w:eastAsiaTheme="minorEastAsia" w:hAnsiTheme="minorHAnsi" w:cstheme="minorBidi"/>
              <w:noProof/>
              <w:kern w:val="2"/>
              <w:sz w:val="24"/>
              <w:lang w:eastAsia="sl-SI"/>
              <w14:ligatures w14:val="standardContextual"/>
            </w:rPr>
          </w:pPr>
          <w:r>
            <w:fldChar w:fldCharType="begin"/>
          </w:r>
          <w:r>
            <w:instrText xml:space="preserve"> TOC \o "1-3" \h \z \u </w:instrText>
          </w:r>
          <w:r>
            <w:fldChar w:fldCharType="separate"/>
          </w:r>
          <w:hyperlink w:anchor="_Toc214274535" w:history="1">
            <w:r w:rsidR="00CE7951" w:rsidRPr="0076586A">
              <w:rPr>
                <w:rStyle w:val="Hiperpovezava"/>
                <w:noProof/>
              </w:rPr>
              <w:t>1.</w:t>
            </w:r>
            <w:r w:rsidR="00CE7951">
              <w:rPr>
                <w:rFonts w:asciiTheme="minorHAnsi" w:eastAsiaTheme="minorEastAsia" w:hAnsiTheme="minorHAnsi" w:cstheme="minorBidi"/>
                <w:noProof/>
                <w:kern w:val="2"/>
                <w:sz w:val="24"/>
                <w:lang w:eastAsia="sl-SI"/>
                <w14:ligatures w14:val="standardContextual"/>
              </w:rPr>
              <w:tab/>
            </w:r>
            <w:r w:rsidR="00CE7951" w:rsidRPr="0076586A">
              <w:rPr>
                <w:rStyle w:val="Hiperpovezava"/>
                <w:noProof/>
              </w:rPr>
              <w:t>NAMEN</w:t>
            </w:r>
            <w:r w:rsidR="00CE7951">
              <w:rPr>
                <w:noProof/>
                <w:webHidden/>
              </w:rPr>
              <w:tab/>
            </w:r>
            <w:r w:rsidR="00CE7951">
              <w:rPr>
                <w:noProof/>
                <w:webHidden/>
              </w:rPr>
              <w:fldChar w:fldCharType="begin"/>
            </w:r>
            <w:r w:rsidR="00CE7951">
              <w:rPr>
                <w:noProof/>
                <w:webHidden/>
              </w:rPr>
              <w:instrText xml:space="preserve"> PAGEREF _Toc214274535 \h </w:instrText>
            </w:r>
            <w:r w:rsidR="00CE7951">
              <w:rPr>
                <w:noProof/>
                <w:webHidden/>
              </w:rPr>
            </w:r>
            <w:r w:rsidR="00CE7951">
              <w:rPr>
                <w:noProof/>
                <w:webHidden/>
              </w:rPr>
              <w:fldChar w:fldCharType="separate"/>
            </w:r>
            <w:r w:rsidR="00CE7951">
              <w:rPr>
                <w:noProof/>
                <w:webHidden/>
              </w:rPr>
              <w:t>3</w:t>
            </w:r>
            <w:r w:rsidR="00CE7951">
              <w:rPr>
                <w:noProof/>
                <w:webHidden/>
              </w:rPr>
              <w:fldChar w:fldCharType="end"/>
            </w:r>
          </w:hyperlink>
        </w:p>
        <w:p w14:paraId="3EE1EE92" w14:textId="66BD465A" w:rsidR="00CE7951" w:rsidRDefault="00CE7951" w:rsidP="00DB757E">
          <w:pPr>
            <w:pStyle w:val="Kazalovsebine1"/>
            <w:tabs>
              <w:tab w:val="clear" w:pos="8488"/>
              <w:tab w:val="left" w:pos="440"/>
              <w:tab w:val="right" w:leader="dot" w:pos="8789"/>
            </w:tabs>
            <w:rPr>
              <w:rFonts w:asciiTheme="minorHAnsi" w:eastAsiaTheme="minorEastAsia" w:hAnsiTheme="minorHAnsi" w:cstheme="minorBidi"/>
              <w:noProof/>
              <w:kern w:val="2"/>
              <w:sz w:val="24"/>
              <w:lang w:eastAsia="sl-SI"/>
              <w14:ligatures w14:val="standardContextual"/>
            </w:rPr>
          </w:pPr>
          <w:hyperlink w:anchor="_Toc214274536" w:history="1">
            <w:r w:rsidRPr="0076586A">
              <w:rPr>
                <w:rStyle w:val="Hiperpovezava"/>
                <w:noProof/>
              </w:rPr>
              <w:t>2.</w:t>
            </w:r>
            <w:r>
              <w:rPr>
                <w:rFonts w:asciiTheme="minorHAnsi" w:eastAsiaTheme="minorEastAsia" w:hAnsiTheme="minorHAnsi" w:cstheme="minorBidi"/>
                <w:noProof/>
                <w:kern w:val="2"/>
                <w:sz w:val="24"/>
                <w:lang w:eastAsia="sl-SI"/>
                <w14:ligatures w14:val="standardContextual"/>
              </w:rPr>
              <w:tab/>
            </w:r>
            <w:r w:rsidRPr="0076586A">
              <w:rPr>
                <w:rStyle w:val="Hiperpovezava"/>
                <w:noProof/>
              </w:rPr>
              <w:t>SPLOŠNI PODATKI O DAHS</w:t>
            </w:r>
            <w:r>
              <w:rPr>
                <w:noProof/>
                <w:webHidden/>
              </w:rPr>
              <w:tab/>
            </w:r>
            <w:r>
              <w:rPr>
                <w:noProof/>
                <w:webHidden/>
              </w:rPr>
              <w:fldChar w:fldCharType="begin"/>
            </w:r>
            <w:r>
              <w:rPr>
                <w:noProof/>
                <w:webHidden/>
              </w:rPr>
              <w:instrText xml:space="preserve"> PAGEREF _Toc214274536 \h </w:instrText>
            </w:r>
            <w:r>
              <w:rPr>
                <w:noProof/>
                <w:webHidden/>
              </w:rPr>
            </w:r>
            <w:r>
              <w:rPr>
                <w:noProof/>
                <w:webHidden/>
              </w:rPr>
              <w:fldChar w:fldCharType="separate"/>
            </w:r>
            <w:r>
              <w:rPr>
                <w:noProof/>
                <w:webHidden/>
              </w:rPr>
              <w:t>4</w:t>
            </w:r>
            <w:r>
              <w:rPr>
                <w:noProof/>
                <w:webHidden/>
              </w:rPr>
              <w:fldChar w:fldCharType="end"/>
            </w:r>
          </w:hyperlink>
        </w:p>
        <w:p w14:paraId="7C8A2B2E" w14:textId="008F2D1D" w:rsidR="00CE7951" w:rsidRDefault="00CE7951" w:rsidP="00DB757E">
          <w:pPr>
            <w:pStyle w:val="Kazalovsebine1"/>
            <w:tabs>
              <w:tab w:val="clear" w:pos="8488"/>
              <w:tab w:val="left" w:pos="440"/>
              <w:tab w:val="right" w:leader="dot" w:pos="8789"/>
            </w:tabs>
            <w:rPr>
              <w:rFonts w:asciiTheme="minorHAnsi" w:eastAsiaTheme="minorEastAsia" w:hAnsiTheme="minorHAnsi" w:cstheme="minorBidi"/>
              <w:noProof/>
              <w:kern w:val="2"/>
              <w:sz w:val="24"/>
              <w:lang w:eastAsia="sl-SI"/>
              <w14:ligatures w14:val="standardContextual"/>
            </w:rPr>
          </w:pPr>
          <w:hyperlink w:anchor="_Toc214274537" w:history="1">
            <w:r w:rsidRPr="0076586A">
              <w:rPr>
                <w:rStyle w:val="Hiperpovezava"/>
                <w:noProof/>
              </w:rPr>
              <w:t>3.</w:t>
            </w:r>
            <w:r>
              <w:rPr>
                <w:rFonts w:asciiTheme="minorHAnsi" w:eastAsiaTheme="minorEastAsia" w:hAnsiTheme="minorHAnsi" w:cstheme="minorBidi"/>
                <w:noProof/>
                <w:kern w:val="2"/>
                <w:sz w:val="24"/>
                <w:lang w:eastAsia="sl-SI"/>
                <w14:ligatures w14:val="standardContextual"/>
              </w:rPr>
              <w:tab/>
            </w:r>
            <w:r w:rsidRPr="0076586A">
              <w:rPr>
                <w:rStyle w:val="Hiperpovezava"/>
                <w:noProof/>
              </w:rPr>
              <w:t>OPIS PODATKOV TRAJNIH MERITEV</w:t>
            </w:r>
            <w:r>
              <w:rPr>
                <w:noProof/>
                <w:webHidden/>
              </w:rPr>
              <w:tab/>
            </w:r>
            <w:r>
              <w:rPr>
                <w:noProof/>
                <w:webHidden/>
              </w:rPr>
              <w:fldChar w:fldCharType="begin"/>
            </w:r>
            <w:r>
              <w:rPr>
                <w:noProof/>
                <w:webHidden/>
              </w:rPr>
              <w:instrText xml:space="preserve"> PAGEREF _Toc214274537 \h </w:instrText>
            </w:r>
            <w:r>
              <w:rPr>
                <w:noProof/>
                <w:webHidden/>
              </w:rPr>
            </w:r>
            <w:r>
              <w:rPr>
                <w:noProof/>
                <w:webHidden/>
              </w:rPr>
              <w:fldChar w:fldCharType="separate"/>
            </w:r>
            <w:r>
              <w:rPr>
                <w:noProof/>
                <w:webHidden/>
              </w:rPr>
              <w:t>5</w:t>
            </w:r>
            <w:r>
              <w:rPr>
                <w:noProof/>
                <w:webHidden/>
              </w:rPr>
              <w:fldChar w:fldCharType="end"/>
            </w:r>
          </w:hyperlink>
        </w:p>
        <w:p w14:paraId="5BA7833D" w14:textId="306D6CF8" w:rsidR="00CE7951" w:rsidRDefault="00CE7951" w:rsidP="00DB757E">
          <w:pPr>
            <w:pStyle w:val="Kazalovsebine2"/>
            <w:tabs>
              <w:tab w:val="left" w:pos="960"/>
              <w:tab w:val="right" w:leader="dot" w:pos="8789"/>
            </w:tabs>
            <w:rPr>
              <w:rFonts w:cstheme="minorBidi"/>
              <w:noProof/>
              <w:kern w:val="2"/>
              <w:sz w:val="24"/>
              <w:szCs w:val="24"/>
              <w14:ligatures w14:val="standardContextual"/>
            </w:rPr>
          </w:pPr>
          <w:hyperlink w:anchor="_Toc214274538" w:history="1">
            <w:r w:rsidRPr="0076586A">
              <w:rPr>
                <w:rStyle w:val="Hiperpovezava"/>
                <w:noProof/>
              </w:rPr>
              <w:t>3.1.</w:t>
            </w:r>
            <w:r>
              <w:rPr>
                <w:rFonts w:cstheme="minorBidi"/>
                <w:noProof/>
                <w:kern w:val="2"/>
                <w:sz w:val="24"/>
                <w:szCs w:val="24"/>
                <w14:ligatures w14:val="standardContextual"/>
              </w:rPr>
              <w:tab/>
            </w:r>
            <w:r w:rsidRPr="0076586A">
              <w:rPr>
                <w:rStyle w:val="Hiperpovezava"/>
                <w:noProof/>
              </w:rPr>
              <w:t>Statusi obratovanja naprave</w:t>
            </w:r>
            <w:r>
              <w:rPr>
                <w:noProof/>
                <w:webHidden/>
              </w:rPr>
              <w:tab/>
            </w:r>
            <w:r>
              <w:rPr>
                <w:noProof/>
                <w:webHidden/>
              </w:rPr>
              <w:fldChar w:fldCharType="begin"/>
            </w:r>
            <w:r>
              <w:rPr>
                <w:noProof/>
                <w:webHidden/>
              </w:rPr>
              <w:instrText xml:space="preserve"> PAGEREF _Toc214274538 \h </w:instrText>
            </w:r>
            <w:r>
              <w:rPr>
                <w:noProof/>
                <w:webHidden/>
              </w:rPr>
            </w:r>
            <w:r>
              <w:rPr>
                <w:noProof/>
                <w:webHidden/>
              </w:rPr>
              <w:fldChar w:fldCharType="separate"/>
            </w:r>
            <w:r>
              <w:rPr>
                <w:noProof/>
                <w:webHidden/>
              </w:rPr>
              <w:t>6</w:t>
            </w:r>
            <w:r>
              <w:rPr>
                <w:noProof/>
                <w:webHidden/>
              </w:rPr>
              <w:fldChar w:fldCharType="end"/>
            </w:r>
          </w:hyperlink>
        </w:p>
        <w:p w14:paraId="44629AFE" w14:textId="4B5B1698" w:rsidR="00CE7951" w:rsidRDefault="00CE7951" w:rsidP="00DB757E">
          <w:pPr>
            <w:pStyle w:val="Kazalovsebine2"/>
            <w:tabs>
              <w:tab w:val="left" w:pos="960"/>
              <w:tab w:val="right" w:leader="dot" w:pos="8789"/>
            </w:tabs>
            <w:rPr>
              <w:rFonts w:cstheme="minorBidi"/>
              <w:noProof/>
              <w:kern w:val="2"/>
              <w:sz w:val="24"/>
              <w:szCs w:val="24"/>
              <w14:ligatures w14:val="standardContextual"/>
            </w:rPr>
          </w:pPr>
          <w:hyperlink w:anchor="_Toc214274539" w:history="1">
            <w:r w:rsidRPr="0076586A">
              <w:rPr>
                <w:rStyle w:val="Hiperpovezava"/>
                <w:noProof/>
              </w:rPr>
              <w:t>3.2.</w:t>
            </w:r>
            <w:r>
              <w:rPr>
                <w:rFonts w:cstheme="minorBidi"/>
                <w:noProof/>
                <w:kern w:val="2"/>
                <w:sz w:val="24"/>
                <w:szCs w:val="24"/>
                <w14:ligatures w14:val="standardContextual"/>
              </w:rPr>
              <w:tab/>
            </w:r>
            <w:r w:rsidRPr="0076586A">
              <w:rPr>
                <w:rStyle w:val="Hiperpovezava"/>
                <w:noProof/>
              </w:rPr>
              <w:t>Parametri obratovalnega stanja naprave</w:t>
            </w:r>
            <w:r>
              <w:rPr>
                <w:noProof/>
                <w:webHidden/>
              </w:rPr>
              <w:tab/>
            </w:r>
            <w:r>
              <w:rPr>
                <w:noProof/>
                <w:webHidden/>
              </w:rPr>
              <w:fldChar w:fldCharType="begin"/>
            </w:r>
            <w:r>
              <w:rPr>
                <w:noProof/>
                <w:webHidden/>
              </w:rPr>
              <w:instrText xml:space="preserve"> PAGEREF _Toc214274539 \h </w:instrText>
            </w:r>
            <w:r>
              <w:rPr>
                <w:noProof/>
                <w:webHidden/>
              </w:rPr>
            </w:r>
            <w:r>
              <w:rPr>
                <w:noProof/>
                <w:webHidden/>
              </w:rPr>
              <w:fldChar w:fldCharType="separate"/>
            </w:r>
            <w:r>
              <w:rPr>
                <w:noProof/>
                <w:webHidden/>
              </w:rPr>
              <w:t>9</w:t>
            </w:r>
            <w:r>
              <w:rPr>
                <w:noProof/>
                <w:webHidden/>
              </w:rPr>
              <w:fldChar w:fldCharType="end"/>
            </w:r>
          </w:hyperlink>
        </w:p>
        <w:p w14:paraId="15E0E854" w14:textId="16F8F97C" w:rsidR="00CE7951" w:rsidRDefault="00CE7951" w:rsidP="00DB757E">
          <w:pPr>
            <w:pStyle w:val="Kazalovsebine2"/>
            <w:tabs>
              <w:tab w:val="left" w:pos="960"/>
              <w:tab w:val="right" w:leader="dot" w:pos="8789"/>
            </w:tabs>
            <w:rPr>
              <w:rFonts w:cstheme="minorBidi"/>
              <w:noProof/>
              <w:kern w:val="2"/>
              <w:sz w:val="24"/>
              <w:szCs w:val="24"/>
              <w14:ligatures w14:val="standardContextual"/>
            </w:rPr>
          </w:pPr>
          <w:hyperlink w:anchor="_Toc214274540" w:history="1">
            <w:r w:rsidRPr="0076586A">
              <w:rPr>
                <w:rStyle w:val="Hiperpovezava"/>
                <w:noProof/>
              </w:rPr>
              <w:t>3.3.</w:t>
            </w:r>
            <w:r>
              <w:rPr>
                <w:rFonts w:cstheme="minorBidi"/>
                <w:noProof/>
                <w:kern w:val="2"/>
                <w:sz w:val="24"/>
                <w:szCs w:val="24"/>
                <w14:ligatures w14:val="standardContextual"/>
              </w:rPr>
              <w:tab/>
            </w:r>
            <w:r w:rsidRPr="0076586A">
              <w:rPr>
                <w:rStyle w:val="Hiperpovezava"/>
                <w:noProof/>
              </w:rPr>
              <w:t>Parametri stanja (periferni parametri) odpadnih plinov</w:t>
            </w:r>
            <w:r>
              <w:rPr>
                <w:noProof/>
                <w:webHidden/>
              </w:rPr>
              <w:tab/>
            </w:r>
            <w:r>
              <w:rPr>
                <w:noProof/>
                <w:webHidden/>
              </w:rPr>
              <w:fldChar w:fldCharType="begin"/>
            </w:r>
            <w:r>
              <w:rPr>
                <w:noProof/>
                <w:webHidden/>
              </w:rPr>
              <w:instrText xml:space="preserve"> PAGEREF _Toc214274540 \h </w:instrText>
            </w:r>
            <w:r>
              <w:rPr>
                <w:noProof/>
                <w:webHidden/>
              </w:rPr>
            </w:r>
            <w:r>
              <w:rPr>
                <w:noProof/>
                <w:webHidden/>
              </w:rPr>
              <w:fldChar w:fldCharType="separate"/>
            </w:r>
            <w:r>
              <w:rPr>
                <w:noProof/>
                <w:webHidden/>
              </w:rPr>
              <w:t>10</w:t>
            </w:r>
            <w:r>
              <w:rPr>
                <w:noProof/>
                <w:webHidden/>
              </w:rPr>
              <w:fldChar w:fldCharType="end"/>
            </w:r>
          </w:hyperlink>
        </w:p>
        <w:p w14:paraId="703DA120" w14:textId="39AFA42A" w:rsidR="00CE7951" w:rsidRDefault="00CE7951" w:rsidP="00DB757E">
          <w:pPr>
            <w:pStyle w:val="Kazalovsebine2"/>
            <w:tabs>
              <w:tab w:val="left" w:pos="960"/>
              <w:tab w:val="right" w:leader="dot" w:pos="8789"/>
            </w:tabs>
            <w:rPr>
              <w:rFonts w:cstheme="minorBidi"/>
              <w:noProof/>
              <w:kern w:val="2"/>
              <w:sz w:val="24"/>
              <w:szCs w:val="24"/>
              <w14:ligatures w14:val="standardContextual"/>
            </w:rPr>
          </w:pPr>
          <w:hyperlink w:anchor="_Toc214274541" w:history="1">
            <w:r w:rsidRPr="0076586A">
              <w:rPr>
                <w:rStyle w:val="Hiperpovezava"/>
                <w:noProof/>
              </w:rPr>
              <w:t>3.4.</w:t>
            </w:r>
            <w:r>
              <w:rPr>
                <w:rFonts w:cstheme="minorBidi"/>
                <w:noProof/>
                <w:kern w:val="2"/>
                <w:sz w:val="24"/>
                <w:szCs w:val="24"/>
                <w14:ligatures w14:val="standardContextual"/>
              </w:rPr>
              <w:tab/>
            </w:r>
            <w:r w:rsidRPr="0076586A">
              <w:rPr>
                <w:rStyle w:val="Hiperpovezava"/>
                <w:noProof/>
              </w:rPr>
              <w:t>Emisijske koncentracije snovi</w:t>
            </w:r>
            <w:r>
              <w:rPr>
                <w:noProof/>
                <w:webHidden/>
              </w:rPr>
              <w:tab/>
            </w:r>
            <w:r>
              <w:rPr>
                <w:noProof/>
                <w:webHidden/>
              </w:rPr>
              <w:fldChar w:fldCharType="begin"/>
            </w:r>
            <w:r>
              <w:rPr>
                <w:noProof/>
                <w:webHidden/>
              </w:rPr>
              <w:instrText xml:space="preserve"> PAGEREF _Toc214274541 \h </w:instrText>
            </w:r>
            <w:r>
              <w:rPr>
                <w:noProof/>
                <w:webHidden/>
              </w:rPr>
            </w:r>
            <w:r>
              <w:rPr>
                <w:noProof/>
                <w:webHidden/>
              </w:rPr>
              <w:fldChar w:fldCharType="separate"/>
            </w:r>
            <w:r>
              <w:rPr>
                <w:noProof/>
                <w:webHidden/>
              </w:rPr>
              <w:t>11</w:t>
            </w:r>
            <w:r>
              <w:rPr>
                <w:noProof/>
                <w:webHidden/>
              </w:rPr>
              <w:fldChar w:fldCharType="end"/>
            </w:r>
          </w:hyperlink>
        </w:p>
        <w:p w14:paraId="075B34D3" w14:textId="1C171EE7" w:rsidR="00CE7951" w:rsidRDefault="00CE7951" w:rsidP="00DB757E">
          <w:pPr>
            <w:pStyle w:val="Kazalovsebine2"/>
            <w:tabs>
              <w:tab w:val="left" w:pos="960"/>
              <w:tab w:val="right" w:leader="dot" w:pos="8789"/>
            </w:tabs>
            <w:rPr>
              <w:rFonts w:cstheme="minorBidi"/>
              <w:noProof/>
              <w:kern w:val="2"/>
              <w:sz w:val="24"/>
              <w:szCs w:val="24"/>
              <w14:ligatures w14:val="standardContextual"/>
            </w:rPr>
          </w:pPr>
          <w:hyperlink w:anchor="_Toc214274542" w:history="1">
            <w:r w:rsidRPr="0076586A">
              <w:rPr>
                <w:rStyle w:val="Hiperpovezava"/>
                <w:noProof/>
              </w:rPr>
              <w:t>3.5.</w:t>
            </w:r>
            <w:r>
              <w:rPr>
                <w:rFonts w:cstheme="minorBidi"/>
                <w:noProof/>
                <w:kern w:val="2"/>
                <w:sz w:val="24"/>
                <w:szCs w:val="24"/>
                <w14:ligatures w14:val="standardContextual"/>
              </w:rPr>
              <w:tab/>
            </w:r>
            <w:r w:rsidRPr="0076586A">
              <w:rPr>
                <w:rStyle w:val="Hiperpovezava"/>
                <w:noProof/>
              </w:rPr>
              <w:t>Status izmerjenih vrednosti in vrednotenje</w:t>
            </w:r>
            <w:r>
              <w:rPr>
                <w:noProof/>
                <w:webHidden/>
              </w:rPr>
              <w:tab/>
            </w:r>
            <w:r>
              <w:rPr>
                <w:noProof/>
                <w:webHidden/>
              </w:rPr>
              <w:fldChar w:fldCharType="begin"/>
            </w:r>
            <w:r>
              <w:rPr>
                <w:noProof/>
                <w:webHidden/>
              </w:rPr>
              <w:instrText xml:space="preserve"> PAGEREF _Toc214274542 \h </w:instrText>
            </w:r>
            <w:r>
              <w:rPr>
                <w:noProof/>
                <w:webHidden/>
              </w:rPr>
            </w:r>
            <w:r>
              <w:rPr>
                <w:noProof/>
                <w:webHidden/>
              </w:rPr>
              <w:fldChar w:fldCharType="separate"/>
            </w:r>
            <w:r>
              <w:rPr>
                <w:noProof/>
                <w:webHidden/>
              </w:rPr>
              <w:t>13</w:t>
            </w:r>
            <w:r>
              <w:rPr>
                <w:noProof/>
                <w:webHidden/>
              </w:rPr>
              <w:fldChar w:fldCharType="end"/>
            </w:r>
          </w:hyperlink>
        </w:p>
        <w:p w14:paraId="7FB5365D" w14:textId="77777777" w:rsidR="002D0FEB" w:rsidRDefault="00406771" w:rsidP="00DB757E">
          <w:pPr>
            <w:tabs>
              <w:tab w:val="right" w:leader="dot" w:pos="8789"/>
            </w:tabs>
            <w:rPr>
              <w:b/>
              <w:bCs/>
            </w:rPr>
          </w:pPr>
          <w:r>
            <w:rPr>
              <w:b/>
              <w:bCs/>
            </w:rPr>
            <w:fldChar w:fldCharType="end"/>
          </w:r>
        </w:p>
      </w:sdtContent>
    </w:sdt>
    <w:p w14:paraId="01029CE7" w14:textId="77777777" w:rsidR="00DB757E" w:rsidRPr="00DB757E" w:rsidRDefault="00DB757E" w:rsidP="00DB757E"/>
    <w:p w14:paraId="5EEB6F1E" w14:textId="6D7E1311" w:rsidR="00DB757E" w:rsidRDefault="00DB757E" w:rsidP="00DB757E">
      <w:pPr>
        <w:tabs>
          <w:tab w:val="left" w:pos="7769"/>
        </w:tabs>
        <w:rPr>
          <w:b/>
          <w:bCs/>
        </w:rPr>
      </w:pPr>
    </w:p>
    <w:p w14:paraId="5790A952" w14:textId="77777777" w:rsidR="00694F2B" w:rsidRDefault="00694F2B">
      <w:pPr>
        <w:spacing w:before="0" w:line="240" w:lineRule="auto"/>
        <w:jc w:val="left"/>
        <w:rPr>
          <w:rFonts w:eastAsiaTheme="majorEastAsia" w:cstheme="majorBidi"/>
          <w:b/>
          <w:sz w:val="24"/>
          <w:szCs w:val="32"/>
        </w:rPr>
      </w:pPr>
      <w:bookmarkStart w:id="0" w:name="_Toc214274535"/>
      <w:r>
        <w:br w:type="page"/>
      </w:r>
    </w:p>
    <w:p w14:paraId="55D7F510" w14:textId="258417C5" w:rsidR="006A2646" w:rsidRDefault="00257EA6" w:rsidP="00C40530">
      <w:pPr>
        <w:pStyle w:val="Naslov1"/>
      </w:pPr>
      <w:r>
        <w:lastRenderedPageBreak/>
        <w:t>NAMEN</w:t>
      </w:r>
      <w:bookmarkEnd w:id="0"/>
    </w:p>
    <w:p w14:paraId="312481D0" w14:textId="0BA14708" w:rsidR="00964DDF" w:rsidRDefault="0CD3E26C" w:rsidP="00C40530">
      <w:r>
        <w:t>Glede na</w:t>
      </w:r>
      <w:r w:rsidR="006A2646">
        <w:t xml:space="preserve"> </w:t>
      </w:r>
      <w:r w:rsidR="27671AE0">
        <w:t xml:space="preserve"> </w:t>
      </w:r>
      <w:r w:rsidR="3BC356B5">
        <w:t>določil</w:t>
      </w:r>
      <w:r w:rsidR="58F08913">
        <w:t>a</w:t>
      </w:r>
      <w:r w:rsidR="3BC356B5">
        <w:t xml:space="preserve"> </w:t>
      </w:r>
      <w:r w:rsidR="7DA8E926">
        <w:t xml:space="preserve">šestega odstavka 13. člena Pravilnika </w:t>
      </w:r>
      <w:r w:rsidR="7DA8E926" w:rsidRPr="00D67B9F">
        <w:t xml:space="preserve">o prvih meritvah in obratovalnem monitoringu </w:t>
      </w:r>
      <w:r w:rsidR="7DA8E926" w:rsidRPr="00C40530">
        <w:t>emisije</w:t>
      </w:r>
      <w:r w:rsidR="7DA8E926" w:rsidRPr="00D67B9F">
        <w:t xml:space="preserve"> snovi v zrak iz nepremičnih virov onesnaževanja ter o pogojih za njegovo izvajanje</w:t>
      </w:r>
      <w:r w:rsidR="00D67B9F">
        <w:rPr>
          <w:rStyle w:val="Sprotnaopomba-sklic"/>
        </w:rPr>
        <w:footnoteReference w:id="1"/>
      </w:r>
      <w:r w:rsidR="7DA8E926">
        <w:t xml:space="preserve"> (v nadaljevanju: pravilnik) mora</w:t>
      </w:r>
      <w:r w:rsidR="21F13E16" w:rsidRPr="00C40530">
        <w:t xml:space="preserve"> </w:t>
      </w:r>
      <w:r w:rsidR="21F13E16">
        <w:t>upravljavec naprave, za katero so predpisane trajne meritve emisije snovi v zrak (v nadaljevanju:</w:t>
      </w:r>
      <w:r w:rsidR="7DA8E926">
        <w:t xml:space="preserve"> zavezanec</w:t>
      </w:r>
      <w:r w:rsidR="21F13E16">
        <w:t>)</w:t>
      </w:r>
      <w:r w:rsidR="7DA8E926">
        <w:t xml:space="preserve"> </w:t>
      </w:r>
      <w:r w:rsidR="7DA8E926" w:rsidRPr="00D67B9F">
        <w:t xml:space="preserve">najpozneje štiri tedne pred prvim zagonom ali spremembo </w:t>
      </w:r>
      <w:r w:rsidR="7DA8E926">
        <w:t xml:space="preserve">avtomatskega merilnega sistema (v nadaljevanju: </w:t>
      </w:r>
      <w:r w:rsidR="7DA8E926" w:rsidRPr="00D67B9F">
        <w:t>AMS</w:t>
      </w:r>
      <w:r w:rsidR="7DA8E926">
        <w:t>)</w:t>
      </w:r>
      <w:r w:rsidR="7DA8E926" w:rsidRPr="00D67B9F">
        <w:t xml:space="preserve"> in </w:t>
      </w:r>
      <w:r w:rsidR="7DA8E926">
        <w:t>sistema za zajem in obdelavo podatkov o trajnih meritvah (v nadaljevanju</w:t>
      </w:r>
      <w:r w:rsidR="12FCF01C">
        <w:t>:</w:t>
      </w:r>
      <w:r w:rsidR="7DA8E926">
        <w:t xml:space="preserve"> </w:t>
      </w:r>
      <w:r w:rsidR="7DA8E926" w:rsidRPr="00D67B9F">
        <w:t>DAHS</w:t>
      </w:r>
      <w:r w:rsidR="7DA8E926">
        <w:t>)</w:t>
      </w:r>
      <w:r w:rsidR="7DA8E926" w:rsidRPr="00D67B9F">
        <w:t xml:space="preserve"> predložiti ministrstvu</w:t>
      </w:r>
      <w:r w:rsidR="21F13E16">
        <w:t xml:space="preserve"> pristojnemu za okolje (v nadalj</w:t>
      </w:r>
      <w:r w:rsidR="409199D7">
        <w:t>evanju</w:t>
      </w:r>
      <w:r w:rsidR="21F13E16">
        <w:t>: ministrstvo)</w:t>
      </w:r>
      <w:r w:rsidR="7DA8E926" w:rsidRPr="00D67B9F">
        <w:t xml:space="preserve"> podrobni predlog o vrsti ter načinu elektronskega zapisovanja in vrednotenja izmerjenih vrednosti, ki ga izdela izvajalec obratovalnega monitoringa. V predlogu elektronskega zapisovanja in vrednotenja izmerjenih vrednosti je treba podrobneje opisati tudi način zapisa obratovalnih parametrov naprave, za katere se elektronsko zapisujejo izmerjene vrednosti. Navedene morajo biti tudi vsebina, oblika in časovna dostopnost podatkov za njihovo telemetrično sporočanje v skladu z navodili, ki jih ministrstvo objavi na osrednjem spletnem mestu državne uprave. Ob morebitni okvari ali nujnem vzdrževanju AMS ali DAHS mora zavezanec ministrstvu predložiti opis spremembe s podatki iz prejšnjega stavka najpozneje v naslednjih petih delovnih dneh od izvedene spremembe.</w:t>
      </w:r>
    </w:p>
    <w:p w14:paraId="4880B68B" w14:textId="124C5E5C" w:rsidR="00D67B9F" w:rsidRDefault="7DA8E926" w:rsidP="00C40530">
      <w:r>
        <w:t xml:space="preserve">V tretjem odstavku 29. člena pravilnika je za obstoječe AMS in DAHS določeno, da </w:t>
      </w:r>
      <w:r w:rsidR="21F13E16">
        <w:t>zavezanec</w:t>
      </w:r>
      <w:r>
        <w:t xml:space="preserve"> pošlje opis vsebine, oblike ter časovne dostopnosti izmerjenih vrednosti iz prvega odstavka 22. člena in podatkov iz drugega odstavka 22. člena tega pravilnika za telemetrično sporočanje, v skladu z navodili, ki jih ministrstvo objavi na osrednjem spletnem mestu državne uprave, najpozneje v šestih mesecih od začetka veljavnosti pravilnika.</w:t>
      </w:r>
    </w:p>
    <w:p w14:paraId="71D9292F" w14:textId="1524C8B3" w:rsidR="00B21629" w:rsidRDefault="2F51B9EA" w:rsidP="00C40530">
      <w:r>
        <w:t>Ob vsakokratni spremembi kateregakoli spodaj opisanega podatka</w:t>
      </w:r>
      <w:r w:rsidR="3AA36726">
        <w:t xml:space="preserve"> mora</w:t>
      </w:r>
      <w:r>
        <w:t xml:space="preserve"> </w:t>
      </w:r>
      <w:r w:rsidR="4892206D">
        <w:t>zavezanec</w:t>
      </w:r>
      <w:r>
        <w:t xml:space="preserve"> sporoči</w:t>
      </w:r>
      <w:r w:rsidR="485B8352">
        <w:t>ti</w:t>
      </w:r>
      <w:r>
        <w:t xml:space="preserve"> spremembo</w:t>
      </w:r>
      <w:r w:rsidR="22A05D51">
        <w:t xml:space="preserve"> ministrstvu</w:t>
      </w:r>
      <w:r>
        <w:t xml:space="preserve"> najpozneje v naslednjih petih delovnih dneh od izvedene spremembe.</w:t>
      </w:r>
    </w:p>
    <w:p w14:paraId="3176E493" w14:textId="77777777" w:rsidR="00257EA6" w:rsidRDefault="00257EA6" w:rsidP="00C40530"/>
    <w:p w14:paraId="5606A58F" w14:textId="77777777" w:rsidR="007A73D3" w:rsidRDefault="007A73D3">
      <w:pPr>
        <w:spacing w:before="0" w:line="240" w:lineRule="auto"/>
        <w:jc w:val="left"/>
        <w:rPr>
          <w:rFonts w:eastAsiaTheme="majorEastAsia" w:cstheme="majorBidi"/>
          <w:b/>
          <w:sz w:val="24"/>
          <w:szCs w:val="32"/>
        </w:rPr>
      </w:pPr>
      <w:r>
        <w:br w:type="page"/>
      </w:r>
    </w:p>
    <w:p w14:paraId="66B0C626" w14:textId="3D2CA920" w:rsidR="00E82B0E" w:rsidRDefault="00E82B0E" w:rsidP="00257EA6">
      <w:pPr>
        <w:pStyle w:val="Naslov1"/>
      </w:pPr>
      <w:bookmarkStart w:id="1" w:name="_Toc214274536"/>
      <w:r>
        <w:lastRenderedPageBreak/>
        <w:t>SPLOŠNI PODATKI O DAHS</w:t>
      </w:r>
      <w:bookmarkEnd w:id="1"/>
    </w:p>
    <w:p w14:paraId="7560F914" w14:textId="70C451C1" w:rsidR="00E82B0E" w:rsidRDefault="6F97D3EE" w:rsidP="00E82B0E">
      <w:r>
        <w:t>Zavezanec</w:t>
      </w:r>
      <w:r w:rsidR="14C3EDA7">
        <w:t xml:space="preserve"> opiše splošne podatke o DAHS v obliki tabele</w:t>
      </w:r>
      <w:r w:rsidR="0DCD2A40">
        <w:t xml:space="preserve"> 1</w:t>
      </w:r>
      <w:r w:rsidR="14C3EDA7">
        <w:t>.</w:t>
      </w:r>
    </w:p>
    <w:p w14:paraId="22AD03E3" w14:textId="77777777" w:rsidR="00E82B0E" w:rsidRDefault="00E82B0E" w:rsidP="00E82B0E"/>
    <w:p w14:paraId="3C36A045" w14:textId="6F0E8716" w:rsidR="00E82B0E" w:rsidRDefault="00E82B0E" w:rsidP="00E82B0E">
      <w:pPr>
        <w:pStyle w:val="Napis"/>
      </w:pPr>
      <w:r w:rsidRPr="000700B3">
        <w:t xml:space="preserve">Tabela </w:t>
      </w:r>
      <w:r>
        <w:fldChar w:fldCharType="begin"/>
      </w:r>
      <w:r>
        <w:instrText xml:space="preserve"> SEQ Tabela \* ARABIC </w:instrText>
      </w:r>
      <w:r>
        <w:fldChar w:fldCharType="separate"/>
      </w:r>
      <w:r>
        <w:rPr>
          <w:noProof/>
        </w:rPr>
        <w:t>1</w:t>
      </w:r>
      <w:r>
        <w:rPr>
          <w:noProof/>
        </w:rPr>
        <w:fldChar w:fldCharType="end"/>
      </w:r>
      <w:r w:rsidRPr="000700B3">
        <w:t xml:space="preserve">: </w:t>
      </w:r>
      <w:r>
        <w:t>Opis</w:t>
      </w:r>
      <w:r w:rsidRPr="000700B3">
        <w:t xml:space="preserve"> </w:t>
      </w:r>
      <w:r>
        <w:t>parametrov in pogojev, ki določajo status obratovanja naprave</w:t>
      </w:r>
    </w:p>
    <w:tbl>
      <w:tblPr>
        <w:tblStyle w:val="Tabelamrea"/>
        <w:tblW w:w="8789" w:type="dxa"/>
        <w:tblLayout w:type="fixed"/>
        <w:tblLook w:val="04A0" w:firstRow="1" w:lastRow="0" w:firstColumn="1" w:lastColumn="0" w:noHBand="0" w:noVBand="1"/>
      </w:tblPr>
      <w:tblGrid>
        <w:gridCol w:w="2552"/>
        <w:gridCol w:w="6237"/>
      </w:tblGrid>
      <w:tr w:rsidR="00E82B0E" w14:paraId="4356AEF4" w14:textId="77777777" w:rsidTr="0F458016">
        <w:tc>
          <w:tcPr>
            <w:tcW w:w="2552" w:type="dxa"/>
          </w:tcPr>
          <w:p w14:paraId="6074924B" w14:textId="348EB78A" w:rsidR="00E82B0E" w:rsidRPr="000700B3" w:rsidRDefault="00E82B0E" w:rsidP="00E82B0E">
            <w:pPr>
              <w:jc w:val="left"/>
              <w:rPr>
                <w:b/>
                <w:bCs/>
              </w:rPr>
            </w:pPr>
            <w:r>
              <w:rPr>
                <w:b/>
                <w:bCs/>
              </w:rPr>
              <w:t>Proizvajalec DAHS</w:t>
            </w:r>
          </w:p>
        </w:tc>
        <w:tc>
          <w:tcPr>
            <w:tcW w:w="6237" w:type="dxa"/>
          </w:tcPr>
          <w:p w14:paraId="731D3A68" w14:textId="1B6A8641" w:rsidR="00E82B0E" w:rsidRPr="00257EA6" w:rsidRDefault="00E82B0E">
            <w:r>
              <w:t>Naziv proizvajalca DAHS</w:t>
            </w:r>
            <w:r w:rsidR="00ED1A59">
              <w:t>.</w:t>
            </w:r>
          </w:p>
        </w:tc>
      </w:tr>
      <w:tr w:rsidR="00E82B0E" w14:paraId="3C9726EE" w14:textId="77777777" w:rsidTr="0F458016">
        <w:tc>
          <w:tcPr>
            <w:tcW w:w="2552" w:type="dxa"/>
          </w:tcPr>
          <w:p w14:paraId="663325A8" w14:textId="237068CD" w:rsidR="00E82B0E" w:rsidRDefault="00E82B0E" w:rsidP="00E82B0E">
            <w:pPr>
              <w:jc w:val="left"/>
              <w:rPr>
                <w:b/>
                <w:bCs/>
              </w:rPr>
            </w:pPr>
            <w:r>
              <w:rPr>
                <w:b/>
                <w:bCs/>
              </w:rPr>
              <w:t>Tip DAHS</w:t>
            </w:r>
          </w:p>
        </w:tc>
        <w:tc>
          <w:tcPr>
            <w:tcW w:w="6237" w:type="dxa"/>
          </w:tcPr>
          <w:p w14:paraId="5338941E" w14:textId="29D01C4A" w:rsidR="00E82B0E" w:rsidRDefault="00E82B0E">
            <w:r>
              <w:t>Naziv tipa DAHS</w:t>
            </w:r>
            <w:r w:rsidR="00ED1A59">
              <w:t>.</w:t>
            </w:r>
          </w:p>
        </w:tc>
      </w:tr>
      <w:tr w:rsidR="00E82B0E" w14:paraId="632A0F7C" w14:textId="77777777" w:rsidTr="0F458016">
        <w:tc>
          <w:tcPr>
            <w:tcW w:w="2552" w:type="dxa"/>
          </w:tcPr>
          <w:p w14:paraId="5CC61C71" w14:textId="77C24339" w:rsidR="00E82B0E" w:rsidRDefault="00E82B0E" w:rsidP="00E82B0E">
            <w:pPr>
              <w:jc w:val="left"/>
              <w:rPr>
                <w:b/>
                <w:bCs/>
              </w:rPr>
            </w:pPr>
            <w:r>
              <w:rPr>
                <w:b/>
                <w:bCs/>
              </w:rPr>
              <w:t>Verzija</w:t>
            </w:r>
          </w:p>
        </w:tc>
        <w:tc>
          <w:tcPr>
            <w:tcW w:w="6237" w:type="dxa"/>
          </w:tcPr>
          <w:p w14:paraId="373E114A" w14:textId="5C664924" w:rsidR="00E82B0E" w:rsidRDefault="00E82B0E">
            <w:r>
              <w:t>Številka ali oznaka verzije DAHS</w:t>
            </w:r>
            <w:r w:rsidR="00ED1A59">
              <w:t>.</w:t>
            </w:r>
          </w:p>
        </w:tc>
      </w:tr>
      <w:tr w:rsidR="00E82B0E" w14:paraId="697CA738" w14:textId="77777777" w:rsidTr="0F458016">
        <w:tc>
          <w:tcPr>
            <w:tcW w:w="2552" w:type="dxa"/>
          </w:tcPr>
          <w:p w14:paraId="25ABC241" w14:textId="09C29B1A" w:rsidR="00E82B0E" w:rsidRDefault="00E82B0E" w:rsidP="00E82B0E">
            <w:pPr>
              <w:jc w:val="left"/>
              <w:rPr>
                <w:b/>
                <w:bCs/>
              </w:rPr>
            </w:pPr>
            <w:r>
              <w:rPr>
                <w:b/>
                <w:bCs/>
              </w:rPr>
              <w:t>Leto izdelave</w:t>
            </w:r>
          </w:p>
        </w:tc>
        <w:tc>
          <w:tcPr>
            <w:tcW w:w="6237" w:type="dxa"/>
          </w:tcPr>
          <w:p w14:paraId="4947FB33" w14:textId="6147D5A0" w:rsidR="00E82B0E" w:rsidRDefault="00E82B0E">
            <w:r>
              <w:t>Leto izdelave DAHS</w:t>
            </w:r>
            <w:r w:rsidR="00ED1A59">
              <w:t>.</w:t>
            </w:r>
          </w:p>
        </w:tc>
      </w:tr>
      <w:tr w:rsidR="00ED1A59" w14:paraId="692FD7A3" w14:textId="77777777" w:rsidTr="0F458016">
        <w:tc>
          <w:tcPr>
            <w:tcW w:w="2552" w:type="dxa"/>
          </w:tcPr>
          <w:p w14:paraId="42260125" w14:textId="34ECE04E" w:rsidR="00ED1A59" w:rsidRDefault="00ED1A59" w:rsidP="00ED1A59">
            <w:pPr>
              <w:jc w:val="left"/>
              <w:rPr>
                <w:b/>
                <w:bCs/>
              </w:rPr>
            </w:pPr>
            <w:r>
              <w:rPr>
                <w:b/>
                <w:bCs/>
              </w:rPr>
              <w:t>Datum pričetka uporabe DAHS</w:t>
            </w:r>
          </w:p>
        </w:tc>
        <w:tc>
          <w:tcPr>
            <w:tcW w:w="6237" w:type="dxa"/>
          </w:tcPr>
          <w:p w14:paraId="4706C13B" w14:textId="4FA154D5" w:rsidR="00ED1A59" w:rsidRDefault="287F1DD0" w:rsidP="00ED1A59">
            <w:r>
              <w:t>Datum names</w:t>
            </w:r>
            <w:r w:rsidR="0EEA01CA">
              <w:t>t</w:t>
            </w:r>
            <w:r>
              <w:t>itve in pričetka uporabe DAHS v sedaj aktivnem sistemu za trajne meritve.</w:t>
            </w:r>
          </w:p>
        </w:tc>
      </w:tr>
      <w:tr w:rsidR="00E82B0E" w14:paraId="22A2226D" w14:textId="77777777" w:rsidTr="0F458016">
        <w:tc>
          <w:tcPr>
            <w:tcW w:w="2552" w:type="dxa"/>
          </w:tcPr>
          <w:p w14:paraId="775C9450" w14:textId="26C7A63A" w:rsidR="00E82B0E" w:rsidRDefault="00E82B0E" w:rsidP="00E82B0E">
            <w:pPr>
              <w:jc w:val="left"/>
              <w:rPr>
                <w:b/>
                <w:bCs/>
              </w:rPr>
            </w:pPr>
            <w:r>
              <w:rPr>
                <w:b/>
                <w:bCs/>
              </w:rPr>
              <w:t>Način zaščite</w:t>
            </w:r>
          </w:p>
        </w:tc>
        <w:tc>
          <w:tcPr>
            <w:tcW w:w="6237" w:type="dxa"/>
          </w:tcPr>
          <w:p w14:paraId="35B2ACF6" w14:textId="35E2A6FB" w:rsidR="00E82B0E" w:rsidRDefault="00E82B0E">
            <w:r>
              <w:t>Opis načina zaščite DAHS pred nepooblaščenimi posegi.</w:t>
            </w:r>
          </w:p>
        </w:tc>
      </w:tr>
      <w:tr w:rsidR="005E14C1" w14:paraId="1B6189CD" w14:textId="77777777" w:rsidTr="0F458016">
        <w:tc>
          <w:tcPr>
            <w:tcW w:w="2552" w:type="dxa"/>
          </w:tcPr>
          <w:p w14:paraId="2AFCAA76" w14:textId="47ED44F3" w:rsidR="005E14C1" w:rsidRDefault="005E14C1">
            <w:pPr>
              <w:jc w:val="left"/>
              <w:rPr>
                <w:b/>
                <w:bCs/>
              </w:rPr>
            </w:pPr>
            <w:r>
              <w:rPr>
                <w:b/>
                <w:bCs/>
              </w:rPr>
              <w:t>Datum zadnje spremembe DAHS</w:t>
            </w:r>
          </w:p>
        </w:tc>
        <w:tc>
          <w:tcPr>
            <w:tcW w:w="6237" w:type="dxa"/>
          </w:tcPr>
          <w:p w14:paraId="3A243DBF" w14:textId="021D5F66" w:rsidR="005E14C1" w:rsidRDefault="005E14C1">
            <w:r>
              <w:t>Datum zadnje spremembe v konfiguraciji, načinu delovanja ali vrednostih parametrov DAHS, vključno z zamenjavo ali nadgradnjo verzije.</w:t>
            </w:r>
          </w:p>
        </w:tc>
      </w:tr>
      <w:tr w:rsidR="00ED1A59" w14:paraId="51925F64" w14:textId="77777777" w:rsidTr="0F458016">
        <w:tc>
          <w:tcPr>
            <w:tcW w:w="2552" w:type="dxa"/>
          </w:tcPr>
          <w:p w14:paraId="68315567" w14:textId="4279F4BF" w:rsidR="00ED1A59" w:rsidRDefault="00ED1A59" w:rsidP="00ED1A59">
            <w:pPr>
              <w:jc w:val="left"/>
              <w:rPr>
                <w:b/>
                <w:bCs/>
              </w:rPr>
            </w:pPr>
            <w:r>
              <w:rPr>
                <w:b/>
                <w:bCs/>
              </w:rPr>
              <w:t>Način vodenja dnevnika posegov in sprememb</w:t>
            </w:r>
            <w:r w:rsidR="007B2C32">
              <w:rPr>
                <w:b/>
                <w:bCs/>
              </w:rPr>
              <w:t xml:space="preserve"> DAHS</w:t>
            </w:r>
          </w:p>
        </w:tc>
        <w:tc>
          <w:tcPr>
            <w:tcW w:w="6237" w:type="dxa"/>
          </w:tcPr>
          <w:p w14:paraId="47A64ADA" w14:textId="0DCEAD20" w:rsidR="00ED1A59" w:rsidRDefault="00ED1A59" w:rsidP="00ED1A59">
            <w:r>
              <w:t>Opis načina vodenja dnevnika posegov in sprememb</w:t>
            </w:r>
            <w:r w:rsidR="007B2C32">
              <w:t xml:space="preserve"> v DAHS</w:t>
            </w:r>
            <w:r>
              <w:t xml:space="preserve"> (npr. avtomatski elektronski dnevnik, ali ročni zapisi v elektronski ali papirni obliki s sledljivim in enoznačnim vodenjem števila zapisov, ipd.)</w:t>
            </w:r>
          </w:p>
        </w:tc>
      </w:tr>
      <w:tr w:rsidR="00E82B0E" w14:paraId="51888687" w14:textId="77777777" w:rsidTr="0F458016">
        <w:tc>
          <w:tcPr>
            <w:tcW w:w="2552" w:type="dxa"/>
          </w:tcPr>
          <w:p w14:paraId="6F829430" w14:textId="1AF07F18" w:rsidR="00E82B0E" w:rsidRPr="000700B3" w:rsidRDefault="00E82B0E" w:rsidP="00E82B0E">
            <w:pPr>
              <w:jc w:val="left"/>
              <w:rPr>
                <w:b/>
                <w:bCs/>
              </w:rPr>
            </w:pPr>
            <w:r>
              <w:rPr>
                <w:b/>
                <w:bCs/>
              </w:rPr>
              <w:t>Seznam pooblaščenih oseb</w:t>
            </w:r>
          </w:p>
        </w:tc>
        <w:tc>
          <w:tcPr>
            <w:tcW w:w="6237" w:type="dxa"/>
          </w:tcPr>
          <w:p w14:paraId="78BDA153" w14:textId="77777777" w:rsidR="00B21629" w:rsidRDefault="00E82B0E" w:rsidP="00B21629">
            <w:r>
              <w:t>Seznam oseb</w:t>
            </w:r>
            <w:r w:rsidR="00B21629">
              <w:t>,</w:t>
            </w:r>
            <w:r>
              <w:t xml:space="preserve"> </w:t>
            </w:r>
            <w:r w:rsidR="00B21629">
              <w:t>ki so pooblaščene za vstop in spreminjanje podatkov DAHS, v obliki naslednjih podatkov:</w:t>
            </w:r>
          </w:p>
          <w:p w14:paraId="6FC935BB" w14:textId="77777777" w:rsidR="00B21629" w:rsidRDefault="00E82B0E" w:rsidP="00B21629">
            <w:pPr>
              <w:pStyle w:val="Odstavekseznama"/>
              <w:numPr>
                <w:ilvl w:val="0"/>
                <w:numId w:val="34"/>
              </w:numPr>
            </w:pPr>
            <w:r>
              <w:t xml:space="preserve">ime, </w:t>
            </w:r>
          </w:p>
          <w:p w14:paraId="4A4D6BB9" w14:textId="77777777" w:rsidR="00B21629" w:rsidRDefault="00E82B0E" w:rsidP="00B21629">
            <w:pPr>
              <w:pStyle w:val="Odstavekseznama"/>
              <w:numPr>
                <w:ilvl w:val="0"/>
                <w:numId w:val="34"/>
              </w:numPr>
            </w:pPr>
            <w:r>
              <w:t xml:space="preserve">priimek, </w:t>
            </w:r>
          </w:p>
          <w:p w14:paraId="5F638C17" w14:textId="2979A23A" w:rsidR="00B21629" w:rsidRDefault="00B21629" w:rsidP="00B21629">
            <w:pPr>
              <w:pStyle w:val="Odstavekseznama"/>
              <w:numPr>
                <w:ilvl w:val="0"/>
                <w:numId w:val="34"/>
              </w:numPr>
            </w:pPr>
            <w:r>
              <w:t xml:space="preserve">uporabniško ime oz. koda (brez gesla), če se uporablja za identifikacijo uporabnika v dnevniku posegov </w:t>
            </w:r>
            <w:r w:rsidR="00E82B0E">
              <w:t xml:space="preserve">in </w:t>
            </w:r>
          </w:p>
          <w:p w14:paraId="7F7BF590" w14:textId="110713D1" w:rsidR="00E82B0E" w:rsidRPr="00257EA6" w:rsidRDefault="00B21629" w:rsidP="007B2C32">
            <w:pPr>
              <w:pStyle w:val="Odstavekseznama"/>
              <w:numPr>
                <w:ilvl w:val="0"/>
                <w:numId w:val="34"/>
              </w:numPr>
            </w:pPr>
            <w:r>
              <w:t xml:space="preserve">funkcija </w:t>
            </w:r>
            <w:r w:rsidR="007B2C32">
              <w:t>in</w:t>
            </w:r>
            <w:r>
              <w:t xml:space="preserve"> obseg pooblastila uporabnika</w:t>
            </w:r>
            <w:r w:rsidR="00E82B0E">
              <w:t>.</w:t>
            </w:r>
          </w:p>
        </w:tc>
      </w:tr>
      <w:tr w:rsidR="00CB36E0" w14:paraId="4D15348E" w14:textId="77777777" w:rsidTr="0F458016">
        <w:tc>
          <w:tcPr>
            <w:tcW w:w="2552" w:type="dxa"/>
          </w:tcPr>
          <w:p w14:paraId="490820D3" w14:textId="4329D651" w:rsidR="00CB36E0" w:rsidRDefault="00CB36E0" w:rsidP="00E82B0E">
            <w:pPr>
              <w:jc w:val="left"/>
              <w:rPr>
                <w:b/>
                <w:bCs/>
              </w:rPr>
            </w:pPr>
            <w:r>
              <w:rPr>
                <w:b/>
                <w:bCs/>
              </w:rPr>
              <w:t>Odgovorna in kontaktna oseba upravljavca</w:t>
            </w:r>
          </w:p>
        </w:tc>
        <w:tc>
          <w:tcPr>
            <w:tcW w:w="6237" w:type="dxa"/>
          </w:tcPr>
          <w:p w14:paraId="57E025C1" w14:textId="25AB5235" w:rsidR="00CB36E0" w:rsidRDefault="00CB36E0" w:rsidP="00CB36E0">
            <w:r>
              <w:t xml:space="preserve">Ime in priimek ter kontaktni podatki (telefon in e-naslov) osebe, ki je odgovorna za pravilnost delovanja DAHS in je kontaktna oseba v primeru motenj v delovanju ali za razlago telemetrično sporočanih podatkov. Odgovorna oseba mora biti dosegljiva ob delovnih dneh v rednem delovnem času, razen ko ga </w:t>
            </w:r>
            <w:r w:rsidR="00ED1A59">
              <w:t xml:space="preserve">s polnimi pooblastili </w:t>
            </w:r>
            <w:r>
              <w:t xml:space="preserve">nadomešča imenovani namestnik. </w:t>
            </w:r>
          </w:p>
        </w:tc>
      </w:tr>
      <w:tr w:rsidR="00CB36E0" w14:paraId="511B00AD" w14:textId="77777777" w:rsidTr="0F458016">
        <w:tc>
          <w:tcPr>
            <w:tcW w:w="2552" w:type="dxa"/>
          </w:tcPr>
          <w:p w14:paraId="0E5EBAB2" w14:textId="15E67E39" w:rsidR="00CB36E0" w:rsidRDefault="00CB36E0" w:rsidP="00E82B0E">
            <w:pPr>
              <w:jc w:val="left"/>
              <w:rPr>
                <w:b/>
                <w:bCs/>
              </w:rPr>
            </w:pPr>
            <w:r>
              <w:rPr>
                <w:b/>
                <w:bCs/>
              </w:rPr>
              <w:t>Namestnik odgovorne in kontaktne osebe</w:t>
            </w:r>
            <w:r w:rsidR="005E14C1">
              <w:rPr>
                <w:b/>
                <w:bCs/>
              </w:rPr>
              <w:t xml:space="preserve"> upravljavca</w:t>
            </w:r>
          </w:p>
        </w:tc>
        <w:tc>
          <w:tcPr>
            <w:tcW w:w="6237" w:type="dxa"/>
          </w:tcPr>
          <w:p w14:paraId="632D04B8" w14:textId="04FF1AC1" w:rsidR="00CB36E0" w:rsidRDefault="00CB36E0" w:rsidP="00D22576">
            <w:r>
              <w:t>Ime in priimek ter kontaktni podatki (telefon in e-naslov) namestnika odgovorne in kontaktne osebe</w:t>
            </w:r>
            <w:r w:rsidR="005E14C1">
              <w:t xml:space="preserve">, ki je odgovorna za pravilnost delovanja DAHS in je </w:t>
            </w:r>
            <w:r w:rsidR="00D22576">
              <w:t xml:space="preserve">kontaktna oseba s polnimi pooblastili </w:t>
            </w:r>
            <w:r w:rsidR="005E14C1">
              <w:t>za razlago telemetrično sporočanih podatkov v primeru odsotnosti odgovorne osebe.</w:t>
            </w:r>
          </w:p>
        </w:tc>
      </w:tr>
    </w:tbl>
    <w:p w14:paraId="3E728547" w14:textId="77777777" w:rsidR="00E82B0E" w:rsidRPr="00E82B0E" w:rsidRDefault="00E82B0E" w:rsidP="00E82B0E"/>
    <w:p w14:paraId="69D4B567" w14:textId="77777777" w:rsidR="00E82B0E" w:rsidRPr="00E82B0E" w:rsidRDefault="00E82B0E" w:rsidP="00E82B0E"/>
    <w:p w14:paraId="58C72BE1" w14:textId="34C4384E" w:rsidR="00257EA6" w:rsidRDefault="00257EA6" w:rsidP="00257EA6">
      <w:pPr>
        <w:pStyle w:val="Naslov1"/>
      </w:pPr>
      <w:bookmarkStart w:id="2" w:name="_Toc214274537"/>
      <w:r>
        <w:lastRenderedPageBreak/>
        <w:t>OPIS PODATKOV TRAJNIH MERITEV</w:t>
      </w:r>
      <w:bookmarkEnd w:id="2"/>
    </w:p>
    <w:p w14:paraId="470FB672" w14:textId="579CF3F1" w:rsidR="007A73D3" w:rsidRDefault="007A73D3" w:rsidP="007A73D3">
      <w:r>
        <w:t>V okviru trajnih meritev emisije snovi v zrak mora zavezanec zagotoviti meritev, bel</w:t>
      </w:r>
      <w:r w:rsidR="008E4E04">
        <w:t>e</w:t>
      </w:r>
      <w:r>
        <w:t>ženje, poročanje in shranjevanje naslednjih podatkov o:</w:t>
      </w:r>
    </w:p>
    <w:p w14:paraId="326EB148" w14:textId="20AC4240" w:rsidR="007A73D3" w:rsidRDefault="007A73D3" w:rsidP="007A73D3">
      <w:pPr>
        <w:pStyle w:val="Odstavekseznama"/>
        <w:numPr>
          <w:ilvl w:val="0"/>
          <w:numId w:val="33"/>
        </w:numPr>
      </w:pPr>
      <w:r w:rsidRPr="007A73D3">
        <w:t>koncentraciji in masnem pretoku snovi v odpadnih plinih</w:t>
      </w:r>
      <w:r>
        <w:t>;</w:t>
      </w:r>
    </w:p>
    <w:p w14:paraId="358FC851" w14:textId="60FDFF2B" w:rsidR="007A73D3" w:rsidRDefault="007A73D3" w:rsidP="007A73D3">
      <w:pPr>
        <w:pStyle w:val="Odstavekseznama"/>
        <w:numPr>
          <w:ilvl w:val="0"/>
          <w:numId w:val="33"/>
        </w:numPr>
      </w:pPr>
      <w:r>
        <w:t>parametrih stanja odpadnih plinov</w:t>
      </w:r>
      <w:r w:rsidR="00277950">
        <w:t xml:space="preserve"> (periferni parametri)</w:t>
      </w:r>
      <w:r>
        <w:t>:</w:t>
      </w:r>
    </w:p>
    <w:p w14:paraId="295788C9" w14:textId="7E7CCC01" w:rsidR="007A73D3" w:rsidRDefault="007A73D3" w:rsidP="007A73D3">
      <w:pPr>
        <w:pStyle w:val="Odstavekseznama"/>
        <w:numPr>
          <w:ilvl w:val="1"/>
          <w:numId w:val="33"/>
        </w:numPr>
      </w:pPr>
      <w:r>
        <w:t>temperatura odpadnih plinov</w:t>
      </w:r>
      <w:r w:rsidR="009A516E">
        <w:t>,</w:t>
      </w:r>
    </w:p>
    <w:p w14:paraId="336FB7DB" w14:textId="1CAC5761" w:rsidR="001A098E" w:rsidRDefault="007A73D3" w:rsidP="009A516E">
      <w:pPr>
        <w:pStyle w:val="Odstavekseznama"/>
        <w:numPr>
          <w:ilvl w:val="1"/>
          <w:numId w:val="33"/>
        </w:numPr>
      </w:pPr>
      <w:r>
        <w:t>vsebnost kisika</w:t>
      </w:r>
      <w:r w:rsidR="009A516E">
        <w:t xml:space="preserve"> v odpadnih plinih</w:t>
      </w:r>
      <w:r w:rsidR="001A098E">
        <w:t>,</w:t>
      </w:r>
    </w:p>
    <w:p w14:paraId="65489AB5" w14:textId="2CC60861" w:rsidR="007A73D3" w:rsidRDefault="009A516E" w:rsidP="001A098E">
      <w:pPr>
        <w:pStyle w:val="Odstavekseznama"/>
        <w:ind w:left="1440"/>
      </w:pPr>
      <w:r>
        <w:t>(</w:t>
      </w:r>
      <w:r w:rsidR="001A098E">
        <w:t xml:space="preserve">OPOMBA: </w:t>
      </w:r>
      <w:r w:rsidRPr="009A516E">
        <w:t xml:space="preserve">če je </w:t>
      </w:r>
      <w:r>
        <w:t xml:space="preserve">za napravo </w:t>
      </w:r>
      <w:r w:rsidRPr="009A516E">
        <w:t>predpisan</w:t>
      </w:r>
      <w:r>
        <w:t xml:space="preserve"> preračun koncentracij snovi na računsko vrednost kisika),</w:t>
      </w:r>
    </w:p>
    <w:p w14:paraId="04F9B2DB" w14:textId="77777777" w:rsidR="00277950" w:rsidRDefault="007A73D3" w:rsidP="00277950">
      <w:pPr>
        <w:pStyle w:val="Odstavekseznama"/>
        <w:numPr>
          <w:ilvl w:val="1"/>
          <w:numId w:val="33"/>
        </w:numPr>
      </w:pPr>
      <w:r>
        <w:t xml:space="preserve">vsebnost vlage v odpadnih plinih, </w:t>
      </w:r>
    </w:p>
    <w:p w14:paraId="73A3DBA3" w14:textId="795F5D1A" w:rsidR="00277950" w:rsidRDefault="00277950" w:rsidP="00277950">
      <w:pPr>
        <w:ind w:left="1080"/>
      </w:pPr>
      <w:r>
        <w:t xml:space="preserve">(OPOMBA: predmet trajnih meritev je lahko tudi tlak odpadnih plinov, ki je potreben za preračun izmerjenih koncentracij in prostorninskega pretoka na </w:t>
      </w:r>
      <w:proofErr w:type="spellStart"/>
      <w:r>
        <w:t>normne</w:t>
      </w:r>
      <w:proofErr w:type="spellEnd"/>
      <w:r>
        <w:t xml:space="preserve"> pogoje 0°C in 101,3 kPa)  </w:t>
      </w:r>
    </w:p>
    <w:p w14:paraId="6F6D0A6E" w14:textId="3FC8AE9D" w:rsidR="001A098E" w:rsidRDefault="6392D367" w:rsidP="00277950">
      <w:pPr>
        <w:pStyle w:val="Odstavekseznama"/>
        <w:numPr>
          <w:ilvl w:val="0"/>
          <w:numId w:val="33"/>
        </w:numPr>
      </w:pPr>
      <w:r>
        <w:t>prostorninsk</w:t>
      </w:r>
      <w:r w:rsidR="6EBFFA75">
        <w:t>em</w:t>
      </w:r>
      <w:r>
        <w:t xml:space="preserve"> pretok</w:t>
      </w:r>
      <w:r w:rsidR="75F71FE4">
        <w:t>u</w:t>
      </w:r>
      <w:r>
        <w:t xml:space="preserve"> odpadnih plinov</w:t>
      </w:r>
      <w:r w:rsidR="13EDFFB0">
        <w:t>, potreben za izračun masnih pretokov emitiranih snovi</w:t>
      </w:r>
      <w:r w:rsidR="6E5302BA">
        <w:t>.</w:t>
      </w:r>
    </w:p>
    <w:p w14:paraId="3D96F0C5" w14:textId="77777777" w:rsidR="001A098E" w:rsidRDefault="007A73D3" w:rsidP="001A098E">
      <w:pPr>
        <w:pStyle w:val="Odstavekseznama"/>
        <w:numPr>
          <w:ilvl w:val="0"/>
          <w:numId w:val="33"/>
        </w:numPr>
      </w:pPr>
      <w:r>
        <w:t>parametrih obratovanja in obratovalnega stanja naprave</w:t>
      </w:r>
      <w:r w:rsidR="009A516E">
        <w:t xml:space="preserve">, ki so </w:t>
      </w:r>
      <w:r w:rsidR="009A516E" w:rsidRPr="009A516E">
        <w:t>za obratovanje vira onesnaževanja značilne emisijske veličine, ki niso neposredno povezane z lastnostmi odpadnih plinov, če so zanje s predpisi, ki urejajo emisijo snovi v zrak, določene mejne vrednosti ali če so predpisani obratovalni pogoji naprave</w:t>
      </w:r>
      <w:r w:rsidR="001A098E">
        <w:t xml:space="preserve">. </w:t>
      </w:r>
    </w:p>
    <w:p w14:paraId="0A138C3D" w14:textId="4BCA8815" w:rsidR="007A73D3" w:rsidRDefault="001A098E" w:rsidP="001A098E">
      <w:pPr>
        <w:pStyle w:val="Odstavekseznama"/>
      </w:pPr>
      <w:r>
        <w:t>(OPOMBA: Med parametri obratovanja se v obliki predpisanih simbolov poroča tudi o statusu obratovanja naprave.)</w:t>
      </w:r>
    </w:p>
    <w:p w14:paraId="37726A60" w14:textId="0160DF4A" w:rsidR="003461A4" w:rsidRDefault="4F6838F6" w:rsidP="007A73D3">
      <w:r>
        <w:t>Navedene parametre</w:t>
      </w:r>
      <w:r w:rsidR="7EA77CAF">
        <w:t xml:space="preserve"> </w:t>
      </w:r>
      <w:r w:rsidR="47FED075">
        <w:t>zavezanec</w:t>
      </w:r>
      <w:r>
        <w:t xml:space="preserve"> </w:t>
      </w:r>
      <w:r w:rsidR="66F7195C">
        <w:t xml:space="preserve">s pomočjo avtomatskih merilnih sistemov (v nadaljevanju besedila AMS) </w:t>
      </w:r>
      <w:r>
        <w:t>spremlja na nivoju trenutnih vrednosti</w:t>
      </w:r>
      <w:r w:rsidR="13EDFFB0">
        <w:t>, ki</w:t>
      </w:r>
      <w:r w:rsidR="7EA77CAF">
        <w:t xml:space="preserve"> jih pretvori v podatke </w:t>
      </w:r>
      <w:r>
        <w:t>prvega nivoja (angl. »First-level data« oz. v nadaljevanju besedila FLD)</w:t>
      </w:r>
      <w:r w:rsidR="66F7195C">
        <w:t>, kot to opisuje standars SIST EN 17255</w:t>
      </w:r>
      <w:r w:rsidR="03169A0C">
        <w:t>-1</w:t>
      </w:r>
      <w:r w:rsidR="00441CC7">
        <w:rPr>
          <w:rStyle w:val="Sprotnaopomba-sklic"/>
        </w:rPr>
        <w:footnoteReference w:id="2"/>
      </w:r>
      <w:r w:rsidR="03169A0C">
        <w:t xml:space="preserve"> in -2</w:t>
      </w:r>
      <w:r w:rsidR="00F80EDF">
        <w:rPr>
          <w:rStyle w:val="Sprotnaopomba-sklic"/>
        </w:rPr>
        <w:footnoteReference w:id="3"/>
      </w:r>
      <w:r w:rsidR="51F98C0E">
        <w:t xml:space="preserve"> tako, da jih </w:t>
      </w:r>
      <w:r w:rsidR="610D5132">
        <w:t xml:space="preserve">pretvori v predpisano enoto in </w:t>
      </w:r>
      <w:r w:rsidR="51F98C0E">
        <w:t>opremi s podatkom o s</w:t>
      </w:r>
      <w:r w:rsidR="12BDF137">
        <w:t>t</w:t>
      </w:r>
      <w:r w:rsidR="51F98C0E">
        <w:t>a</w:t>
      </w:r>
      <w:r w:rsidR="00E12379">
        <w:t>t</w:t>
      </w:r>
      <w:r w:rsidR="51F98C0E">
        <w:t xml:space="preserve">usu in </w:t>
      </w:r>
      <w:r w:rsidR="610D5132">
        <w:t xml:space="preserve">s </w:t>
      </w:r>
      <w:r w:rsidR="51F98C0E">
        <w:t>časovnim žigom.</w:t>
      </w:r>
      <w:r w:rsidR="7EA77CAF">
        <w:t xml:space="preserve"> Po določilih prvega odstavka 22. člena </w:t>
      </w:r>
      <w:r w:rsidR="51F98C0E">
        <w:t>pravilnika</w:t>
      </w:r>
      <w:r w:rsidR="13EDFFB0">
        <w:t xml:space="preserve"> </w:t>
      </w:r>
      <w:r w:rsidR="35F94521">
        <w:t>zavezanec</w:t>
      </w:r>
      <w:r w:rsidR="13EDFFB0">
        <w:t xml:space="preserve"> sporoča izmerjene vrednosti v obliki FLD najkasneje v 1 minuti po njihovem nastanku.</w:t>
      </w:r>
    </w:p>
    <w:p w14:paraId="72A05870" w14:textId="3676710E" w:rsidR="00AE58EC" w:rsidRDefault="7EA77CAF" w:rsidP="007A73D3">
      <w:r>
        <w:t xml:space="preserve">Na podlagi </w:t>
      </w:r>
      <w:r w:rsidR="13EDFFB0">
        <w:t xml:space="preserve">FLD </w:t>
      </w:r>
      <w:r w:rsidR="19F70B45">
        <w:t>zavezanec</w:t>
      </w:r>
      <w:r>
        <w:t xml:space="preserve"> v svojem sistemu izračuna kratkotrajne povprečne</w:t>
      </w:r>
      <w:r w:rsidR="4F6838F6">
        <w:t xml:space="preserve"> </w:t>
      </w:r>
      <w:r>
        <w:t xml:space="preserve">vrednosti </w:t>
      </w:r>
      <w:r w:rsidR="4F6838F6">
        <w:t>(angl.: »Short-term average« oz. v nadaljevanju besedila STA)</w:t>
      </w:r>
      <w:r w:rsidR="13EDFFB0">
        <w:t xml:space="preserve">, ki so lahko 10-minutne, polurne ali urne (60-minutne) povprečne vrednosti, odvisno od predpisane mejne vrednosti glede na vrsto naprave, ki je vir onesnaževanja. Iz STA </w:t>
      </w:r>
      <w:r>
        <w:t xml:space="preserve"> </w:t>
      </w:r>
      <w:r w:rsidR="133947A5">
        <w:t>in s</w:t>
      </w:r>
      <w:r w:rsidR="13EDFFB0">
        <w:t xml:space="preserve"> pomočjo vrednosti perifernih parametrov</w:t>
      </w:r>
      <w:r w:rsidR="133947A5">
        <w:t>, povprečenih v istem časovnem intervalu STA,</w:t>
      </w:r>
      <w:r w:rsidR="13EDFFB0">
        <w:t xml:space="preserve"> </w:t>
      </w:r>
      <w:r w:rsidR="133947A5">
        <w:t>se izračunajo</w:t>
      </w:r>
      <w:r w:rsidR="13EDFFB0">
        <w:t xml:space="preserve"> </w:t>
      </w:r>
      <w:r>
        <w:t>standardizirane kratkotrajne povprečne vrednosti (angl.: »Standardized short-term average« oz. v nadaljnjem besedilu SSTA) in validiran</w:t>
      </w:r>
      <w:r w:rsidR="133947A5">
        <w:t>e</w:t>
      </w:r>
      <w:r>
        <w:t xml:space="preserve"> kratkotrajn</w:t>
      </w:r>
      <w:r w:rsidR="133947A5">
        <w:t>e</w:t>
      </w:r>
      <w:r>
        <w:t xml:space="preserve"> povpreč</w:t>
      </w:r>
      <w:r w:rsidR="133947A5">
        <w:t>ne vrednosti</w:t>
      </w:r>
      <w:r>
        <w:t xml:space="preserve"> (angl. »Validated short-term average« oz. v nadaljevanju besedila VSTA)</w:t>
      </w:r>
      <w:r w:rsidR="4F6838F6">
        <w:t>.</w:t>
      </w:r>
      <w:r>
        <w:t xml:space="preserve"> </w:t>
      </w:r>
      <w:r w:rsidR="7C2CBAA3">
        <w:t>Glede na</w:t>
      </w:r>
      <w:r w:rsidR="13EDFFB0">
        <w:t xml:space="preserve"> določil</w:t>
      </w:r>
      <w:r w:rsidR="4B9BD05F">
        <w:t>o</w:t>
      </w:r>
      <w:r w:rsidR="13EDFFB0">
        <w:t xml:space="preserve"> drugega odstavka 22. člena pravilnika </w:t>
      </w:r>
      <w:r w:rsidR="478AE76E">
        <w:t>zavezanec</w:t>
      </w:r>
      <w:r>
        <w:t xml:space="preserve"> </w:t>
      </w:r>
      <w:r w:rsidR="13EDFFB0">
        <w:t>s</w:t>
      </w:r>
      <w:r>
        <w:t xml:space="preserve">poroča ministrstvu </w:t>
      </w:r>
      <w:r w:rsidR="13EDFFB0">
        <w:t>kratkotrajne povprečne vrednosti (</w:t>
      </w:r>
      <w:r>
        <w:t>STA</w:t>
      </w:r>
      <w:r w:rsidR="13EDFFB0">
        <w:t>, SSTA in VSTA) v intervalu povprečenja, ki sledi intervalu povprečenja, na katerega se nanašajo.</w:t>
      </w:r>
      <w:r w:rsidR="133947A5">
        <w:t xml:space="preserve"> Vsaka STA, SSTA in VSTA mora biti opremljena s statusom veljavnosti (glede na status FLD in pravila veljavnosti povprečne vrednosti iz enajstega odstavka 13. člena pravilnika) in časovnim žigom.</w:t>
      </w:r>
    </w:p>
    <w:p w14:paraId="56A924DC" w14:textId="773BA334" w:rsidR="001A098E" w:rsidRDefault="4F6838F6" w:rsidP="007A73D3">
      <w:r>
        <w:lastRenderedPageBreak/>
        <w:t>Časovni žig</w:t>
      </w:r>
      <w:r w:rsidR="133947A5">
        <w:t xml:space="preserve"> FLD in STA, SSTA in VSTA je </w:t>
      </w:r>
      <w:r w:rsidR="4F63019D">
        <w:t>v obliki standar</w:t>
      </w:r>
      <w:r w:rsidR="4D70538C">
        <w:t>d</w:t>
      </w:r>
      <w:r w:rsidR="4F63019D">
        <w:t xml:space="preserve">nega </w:t>
      </w:r>
      <w:r w:rsidR="133947A5">
        <w:t xml:space="preserve">časovnega </w:t>
      </w:r>
      <w:r w:rsidR="4F63019D">
        <w:t xml:space="preserve">zapisa </w:t>
      </w:r>
      <w:r>
        <w:t xml:space="preserve">in </w:t>
      </w:r>
      <w:r w:rsidR="4F63019D">
        <w:t>je</w:t>
      </w:r>
      <w:r>
        <w:t xml:space="preserve"> </w:t>
      </w:r>
      <w:r w:rsidR="4F63019D">
        <w:t>p</w:t>
      </w:r>
      <w:r>
        <w:t>ri FLD pravilom</w:t>
      </w:r>
      <w:r w:rsidR="4F63019D">
        <w:t>a</w:t>
      </w:r>
      <w:r>
        <w:t xml:space="preserve"> čas odčitavanja </w:t>
      </w:r>
      <w:r w:rsidR="133947A5">
        <w:t xml:space="preserve">trenutne </w:t>
      </w:r>
      <w:r>
        <w:t>vrednosti</w:t>
      </w:r>
      <w:r w:rsidR="133947A5">
        <w:t xml:space="preserve"> (npr. »1. 1. 2026 8:00« za FLD, ki je bila odčitana 1. januarja 2026 ob 8:00 uri)</w:t>
      </w:r>
      <w:r w:rsidR="4F63019D">
        <w:t>,</w:t>
      </w:r>
      <w:r>
        <w:t xml:space="preserve"> </w:t>
      </w:r>
      <w:r w:rsidR="4F63019D">
        <w:t>p</w:t>
      </w:r>
      <w:r>
        <w:t>ri STA</w:t>
      </w:r>
      <w:r w:rsidR="133947A5">
        <w:t>, SSTA in VSTA</w:t>
      </w:r>
      <w:r>
        <w:t xml:space="preserve"> vrednosti </w:t>
      </w:r>
      <w:r w:rsidR="4F63019D">
        <w:t xml:space="preserve">pa je to začetni </w:t>
      </w:r>
      <w:r w:rsidR="00D228BA">
        <w:t xml:space="preserve">in končni </w:t>
      </w:r>
      <w:r w:rsidR="4F63019D">
        <w:t xml:space="preserve">čas </w:t>
      </w:r>
      <w:r>
        <w:t>intervala, ki ga pov</w:t>
      </w:r>
      <w:r w:rsidR="09259BD2">
        <w:t>p</w:t>
      </w:r>
      <w:r>
        <w:t>rečna vrednost predstavlja</w:t>
      </w:r>
      <w:r w:rsidR="4F63019D">
        <w:t>, oz. za STA vrednost, ki predstavlja povprečje polurnega intervala od 8:00 do 8:30 ure, dne 1. januarja 2026</w:t>
      </w:r>
      <w:r>
        <w:t>.</w:t>
      </w:r>
    </w:p>
    <w:p w14:paraId="053D4B94" w14:textId="7AFA2607" w:rsidR="007A73D3" w:rsidRDefault="1924A63D" w:rsidP="007A73D3">
      <w:r>
        <w:t>V nadaljevanju so za vsako od navedenih skupin opisane zahteve o vsebini in obliki podatkov, ki jih zavezanec pošlje na ministrstvo v skladu s šestim odstavkom 13. člena in tretjim odstavkom 29. člena pravilnika.</w:t>
      </w:r>
    </w:p>
    <w:p w14:paraId="7961BADB" w14:textId="77777777" w:rsidR="007A73D3" w:rsidRPr="007A73D3" w:rsidRDefault="007A73D3" w:rsidP="007A73D3"/>
    <w:p w14:paraId="183CAE49" w14:textId="2262B4B4" w:rsidR="003623D5" w:rsidRDefault="003623D5" w:rsidP="003623D5">
      <w:pPr>
        <w:pStyle w:val="Naslov2"/>
      </w:pPr>
      <w:bookmarkStart w:id="3" w:name="_Toc214274538"/>
      <w:r>
        <w:t>Statusi obratovanja naprave</w:t>
      </w:r>
      <w:bookmarkEnd w:id="3"/>
    </w:p>
    <w:p w14:paraId="6AF6E35C" w14:textId="31CF08B7" w:rsidR="003623D5" w:rsidRDefault="003623D5" w:rsidP="003623D5">
      <w:r>
        <w:t>Upravljavec za vsak časovni interval STA poda status obratovanja naprave v obliki enega od naslednjih simbolov:</w:t>
      </w:r>
    </w:p>
    <w:p w14:paraId="58402F7F" w14:textId="0BFCA8DE" w:rsidR="00B34708" w:rsidRDefault="06A5AAA7" w:rsidP="00B34708">
      <w:pPr>
        <w:ind w:left="1418" w:hanging="709"/>
        <w:rPr>
          <w:lang w:eastAsia="sl-SI"/>
        </w:rPr>
      </w:pPr>
      <w:r w:rsidRPr="0F458016">
        <w:rPr>
          <w:lang w:eastAsia="sl-SI"/>
        </w:rPr>
        <w:t>SO</w:t>
      </w:r>
      <w:r w:rsidR="00B34708">
        <w:tab/>
      </w:r>
      <w:r w:rsidRPr="0F458016">
        <w:rPr>
          <w:lang w:eastAsia="sl-SI"/>
        </w:rPr>
        <w:t>stacionarno obratovanje se uporabi v primeru obratovanja naprave znotraj mejnih vrednosti procesnih parametrov, v okviru katerih lahko upravljavec zagotavlja stabilno obratovanje naprave in izpolnjevanje zahtev glede mejnih vrednosti;</w:t>
      </w:r>
    </w:p>
    <w:p w14:paraId="316B0503" w14:textId="77777777" w:rsidR="00B34708" w:rsidRDefault="00B34708" w:rsidP="00B34708">
      <w:pPr>
        <w:ind w:left="1418" w:hanging="709"/>
        <w:rPr>
          <w:lang w:eastAsia="sl-SI"/>
        </w:rPr>
      </w:pPr>
    </w:p>
    <w:p w14:paraId="71AC1C47" w14:textId="77777777" w:rsidR="00B34708" w:rsidRDefault="00B34708" w:rsidP="00B34708">
      <w:pPr>
        <w:ind w:left="1418" w:hanging="709"/>
        <w:rPr>
          <w:lang w:eastAsia="sl-SI"/>
        </w:rPr>
      </w:pPr>
      <w:r>
        <w:rPr>
          <w:lang w:eastAsia="sl-SI"/>
        </w:rPr>
        <w:t>ST</w:t>
      </w:r>
      <w:r>
        <w:rPr>
          <w:lang w:eastAsia="sl-SI"/>
        </w:rPr>
        <w:tab/>
        <w:t>stanje zagona, ki se začne z vklopom naprave in konča pri doseženih vrednostih obratovalnih parametrov, ki so pogoj za stacionarno obratovalno stanje;</w:t>
      </w:r>
    </w:p>
    <w:p w14:paraId="72C5C7FA" w14:textId="77777777" w:rsidR="00B34708" w:rsidRDefault="00B34708" w:rsidP="00B34708">
      <w:pPr>
        <w:rPr>
          <w:lang w:eastAsia="sl-SI"/>
        </w:rPr>
      </w:pPr>
    </w:p>
    <w:p w14:paraId="2895A926" w14:textId="77777777" w:rsidR="00B34708" w:rsidRDefault="00B34708" w:rsidP="00B34708">
      <w:pPr>
        <w:ind w:left="1418" w:hanging="709"/>
        <w:rPr>
          <w:lang w:eastAsia="sl-SI"/>
        </w:rPr>
      </w:pPr>
      <w:r>
        <w:rPr>
          <w:lang w:eastAsia="sl-SI"/>
        </w:rPr>
        <w:t>SP</w:t>
      </w:r>
      <w:r>
        <w:rPr>
          <w:lang w:eastAsia="sl-SI"/>
        </w:rPr>
        <w:tab/>
        <w:t>stanje zaustavitve, ki se začne z namernim izklopom ali pričetkom zaustavitve naprave in konča s popolno zaustavitvijo naprave;</w:t>
      </w:r>
    </w:p>
    <w:p w14:paraId="1086DCDE" w14:textId="77777777" w:rsidR="00B34708" w:rsidRDefault="00B34708" w:rsidP="00B34708">
      <w:pPr>
        <w:ind w:left="1418" w:hanging="709"/>
        <w:rPr>
          <w:lang w:eastAsia="sl-SI"/>
        </w:rPr>
      </w:pPr>
    </w:p>
    <w:p w14:paraId="20D3DDC2" w14:textId="77777777" w:rsidR="00B34708" w:rsidRDefault="00B34708" w:rsidP="00B34708">
      <w:pPr>
        <w:ind w:left="1418" w:hanging="709"/>
        <w:rPr>
          <w:lang w:eastAsia="sl-SI"/>
        </w:rPr>
      </w:pPr>
      <w:r>
        <w:rPr>
          <w:lang w:eastAsia="sl-SI"/>
        </w:rPr>
        <w:t>LC</w:t>
      </w:r>
      <w:r>
        <w:rPr>
          <w:lang w:eastAsia="sl-SI"/>
        </w:rPr>
        <w:tab/>
        <w:t xml:space="preserve">sprememba obremenitve (npr. sprememba količine goriv, sprememba kapacitete ali hitrosti proizvodnje, ipd.) </w:t>
      </w:r>
      <w:r w:rsidRPr="009C1FCB">
        <w:rPr>
          <w:lang w:eastAsia="sl-SI"/>
        </w:rPr>
        <w:t xml:space="preserve">ki je večja od normalnega nihanja obremenitve med obratovanjem </w:t>
      </w:r>
      <w:r>
        <w:rPr>
          <w:lang w:eastAsia="sl-SI"/>
        </w:rPr>
        <w:t>in se začne z namerno spremembo obremenitve naprave in se konča pri doseženih vrednostih obratovalnih parametrov, ki so pogoj za stacionarno obratovalno stanje;</w:t>
      </w:r>
    </w:p>
    <w:p w14:paraId="7AEF1C49" w14:textId="77777777" w:rsidR="00B34708" w:rsidRDefault="00B34708" w:rsidP="00B34708">
      <w:pPr>
        <w:ind w:left="1418" w:hanging="709"/>
        <w:rPr>
          <w:lang w:eastAsia="sl-SI"/>
        </w:rPr>
      </w:pPr>
    </w:p>
    <w:p w14:paraId="421D214B" w14:textId="77777777" w:rsidR="00B34708" w:rsidRDefault="00B34708" w:rsidP="00B34708">
      <w:pPr>
        <w:ind w:left="1418" w:hanging="709"/>
        <w:rPr>
          <w:lang w:eastAsia="sl-SI"/>
        </w:rPr>
      </w:pPr>
      <w:r>
        <w:rPr>
          <w:lang w:eastAsia="sl-SI"/>
        </w:rPr>
        <w:t>FC</w:t>
      </w:r>
      <w:r>
        <w:rPr>
          <w:lang w:eastAsia="sl-SI"/>
        </w:rPr>
        <w:tab/>
        <w:t>sprememba deleža goriv, ki je večja od normalnega nihanja in se začne z namerno spremembo deleža goriv in konča pri doseženih vrednostih obratovalnih parametrov, ki so pogoj za stacionarno obratovalno stanje;</w:t>
      </w:r>
    </w:p>
    <w:p w14:paraId="72930EFD" w14:textId="77777777" w:rsidR="00B34708" w:rsidRDefault="00B34708" w:rsidP="00B34708">
      <w:pPr>
        <w:ind w:left="1418" w:hanging="709"/>
        <w:rPr>
          <w:lang w:eastAsia="sl-SI"/>
        </w:rPr>
      </w:pPr>
    </w:p>
    <w:p w14:paraId="0EB2EA76" w14:textId="77777777" w:rsidR="00B34708" w:rsidRDefault="00B34708" w:rsidP="00B34708">
      <w:pPr>
        <w:ind w:left="1418" w:hanging="709"/>
        <w:rPr>
          <w:lang w:eastAsia="sl-SI"/>
        </w:rPr>
      </w:pPr>
      <w:r>
        <w:rPr>
          <w:lang w:eastAsia="sl-SI"/>
        </w:rPr>
        <w:t>MC</w:t>
      </w:r>
      <w:r>
        <w:rPr>
          <w:lang w:eastAsia="sl-SI"/>
        </w:rPr>
        <w:tab/>
        <w:t>sprememba surovine (npr. sprememba vrste surovine ali sestave surovinske mešanice), če ni povezana s spremembo obremenitve LC;</w:t>
      </w:r>
    </w:p>
    <w:p w14:paraId="00D96FBC" w14:textId="77777777" w:rsidR="00B34708" w:rsidRDefault="00B34708" w:rsidP="00B34708">
      <w:pPr>
        <w:ind w:left="1418" w:hanging="709"/>
        <w:rPr>
          <w:lang w:eastAsia="sl-SI"/>
        </w:rPr>
      </w:pPr>
    </w:p>
    <w:p w14:paraId="30A041FC" w14:textId="77777777" w:rsidR="00B34708" w:rsidRDefault="00B34708" w:rsidP="00B34708">
      <w:pPr>
        <w:ind w:left="1418" w:hanging="709"/>
        <w:rPr>
          <w:lang w:eastAsia="sl-SI"/>
        </w:rPr>
      </w:pPr>
      <w:r>
        <w:rPr>
          <w:lang w:eastAsia="sl-SI"/>
        </w:rPr>
        <w:t>NS</w:t>
      </w:r>
      <w:r>
        <w:rPr>
          <w:lang w:eastAsia="sl-SI"/>
        </w:rPr>
        <w:tab/>
      </w:r>
      <w:proofErr w:type="spellStart"/>
      <w:r>
        <w:rPr>
          <w:lang w:eastAsia="sl-SI"/>
        </w:rPr>
        <w:t>nestacionarno</w:t>
      </w:r>
      <w:proofErr w:type="spellEnd"/>
      <w:r>
        <w:rPr>
          <w:lang w:eastAsia="sl-SI"/>
        </w:rPr>
        <w:t xml:space="preserve"> obratovanje , ki je posledica nenamerne spremembe in odstopanja vrednosti procesnih parametrov, ki je večje od običajnega nihanja v okviru mejnih vrednosti stacionarnega obratovanja in ni posledica zagona (ST) ali zaustavitve (SP) ali spremembe obremenitve (LC);</w:t>
      </w:r>
    </w:p>
    <w:p w14:paraId="0F102D5A" w14:textId="77777777" w:rsidR="00B34708" w:rsidRDefault="00B34708" w:rsidP="00B34708">
      <w:pPr>
        <w:ind w:left="1418" w:hanging="709"/>
        <w:rPr>
          <w:lang w:eastAsia="sl-SI"/>
        </w:rPr>
      </w:pPr>
    </w:p>
    <w:p w14:paraId="7AA89BA3" w14:textId="77777777" w:rsidR="00B34708" w:rsidRDefault="00B34708" w:rsidP="00B34708">
      <w:pPr>
        <w:ind w:left="1418" w:hanging="709"/>
        <w:rPr>
          <w:lang w:eastAsia="sl-SI"/>
        </w:rPr>
      </w:pPr>
      <w:r>
        <w:rPr>
          <w:lang w:eastAsia="sl-SI"/>
        </w:rPr>
        <w:lastRenderedPageBreak/>
        <w:t>MX</w:t>
      </w:r>
      <w:r>
        <w:rPr>
          <w:lang w:eastAsia="sl-SI"/>
        </w:rPr>
        <w:tab/>
        <w:t xml:space="preserve">mešano obratovanje, npr. sprememba iz enojnega v mešano gorivo, če ni povezano s spremembo deleža goriv (FC), oz. </w:t>
      </w:r>
      <w:proofErr w:type="spellStart"/>
      <w:r>
        <w:rPr>
          <w:lang w:eastAsia="sl-SI"/>
        </w:rPr>
        <w:t>sosežig</w:t>
      </w:r>
      <w:proofErr w:type="spellEnd"/>
      <w:r>
        <w:rPr>
          <w:lang w:eastAsia="sl-SI"/>
        </w:rPr>
        <w:t xml:space="preserve"> odpadkov v napravi za </w:t>
      </w:r>
      <w:proofErr w:type="spellStart"/>
      <w:r>
        <w:rPr>
          <w:lang w:eastAsia="sl-SI"/>
        </w:rPr>
        <w:t>sosežig</w:t>
      </w:r>
      <w:proofErr w:type="spellEnd"/>
      <w:r>
        <w:rPr>
          <w:lang w:eastAsia="sl-SI"/>
        </w:rPr>
        <w:t>.</w:t>
      </w:r>
    </w:p>
    <w:p w14:paraId="3167BEC7" w14:textId="77777777" w:rsidR="00B34708" w:rsidRDefault="00B34708" w:rsidP="00B34708">
      <w:pPr>
        <w:ind w:left="1418" w:hanging="709"/>
        <w:rPr>
          <w:lang w:eastAsia="sl-SI"/>
        </w:rPr>
      </w:pPr>
    </w:p>
    <w:p w14:paraId="740EB294" w14:textId="77777777" w:rsidR="00B34708" w:rsidRDefault="00B34708" w:rsidP="00B34708">
      <w:pPr>
        <w:ind w:left="1418" w:hanging="709"/>
        <w:rPr>
          <w:lang w:eastAsia="sl-SI"/>
        </w:rPr>
      </w:pPr>
      <w:r>
        <w:rPr>
          <w:lang w:eastAsia="sl-SI"/>
        </w:rPr>
        <w:t>DI</w:t>
      </w:r>
      <w:r>
        <w:rPr>
          <w:lang w:eastAsia="sl-SI"/>
        </w:rPr>
        <w:tab/>
        <w:t xml:space="preserve">večja motnja v procesu, </w:t>
      </w:r>
      <w:r w:rsidRPr="0064298E">
        <w:rPr>
          <w:lang w:eastAsia="sl-SI"/>
        </w:rPr>
        <w:t>npr. zaradi nenadnega izpada ali motnje v enem ali več procesnih sklopov, npr. izpad gorilnika, zamašen dovoda goriva, pretočnih ali obtočnih kanalov, samodejni izklop elektrofiltra, pretrgan ali izmaknjen filtrni element in posledično padec diferenčnega tlaka skozi filtrirno napravo</w:t>
      </w:r>
      <w:r>
        <w:rPr>
          <w:lang w:eastAsia="sl-SI"/>
        </w:rPr>
        <w:t>, ipd.;</w:t>
      </w:r>
    </w:p>
    <w:p w14:paraId="72E5D33F" w14:textId="77777777" w:rsidR="00B34708" w:rsidRDefault="00B34708" w:rsidP="00B34708">
      <w:pPr>
        <w:ind w:left="1418" w:hanging="709"/>
        <w:rPr>
          <w:lang w:eastAsia="sl-SI"/>
        </w:rPr>
      </w:pPr>
    </w:p>
    <w:p w14:paraId="75E5FEE9" w14:textId="77777777" w:rsidR="00B34708" w:rsidRDefault="00B34708" w:rsidP="00B34708">
      <w:pPr>
        <w:ind w:left="1418" w:hanging="709"/>
        <w:rPr>
          <w:lang w:eastAsia="sl-SI"/>
        </w:rPr>
      </w:pPr>
      <w:r>
        <w:rPr>
          <w:lang w:eastAsia="sl-SI"/>
        </w:rPr>
        <w:t>BY</w:t>
      </w:r>
      <w:r>
        <w:rPr>
          <w:lang w:eastAsia="sl-SI"/>
        </w:rPr>
        <w:tab/>
        <w:t>pomožno obratovanje oz. »</w:t>
      </w:r>
      <w:proofErr w:type="spellStart"/>
      <w:r>
        <w:rPr>
          <w:lang w:eastAsia="sl-SI"/>
        </w:rPr>
        <w:t>by</w:t>
      </w:r>
      <w:proofErr w:type="spellEnd"/>
      <w:r>
        <w:rPr>
          <w:lang w:eastAsia="sl-SI"/>
        </w:rPr>
        <w:t xml:space="preserve"> </w:t>
      </w:r>
      <w:proofErr w:type="spellStart"/>
      <w:r>
        <w:rPr>
          <w:lang w:eastAsia="sl-SI"/>
        </w:rPr>
        <w:t>pass</w:t>
      </w:r>
      <w:proofErr w:type="spellEnd"/>
      <w:r>
        <w:rPr>
          <w:lang w:eastAsia="sl-SI"/>
        </w:rPr>
        <w:t xml:space="preserve">« </w:t>
      </w:r>
      <w:r w:rsidRPr="002C4A2A">
        <w:rPr>
          <w:lang w:eastAsia="sl-SI"/>
        </w:rPr>
        <w:t xml:space="preserve">z obvodom odpadnih plinov mimo čistilnih naprav, </w:t>
      </w:r>
      <w:r>
        <w:rPr>
          <w:lang w:eastAsia="sl-SI"/>
        </w:rPr>
        <w:t>če ni</w:t>
      </w:r>
      <w:r w:rsidRPr="002C4A2A">
        <w:rPr>
          <w:lang w:eastAsia="sl-SI"/>
        </w:rPr>
        <w:t xml:space="preserve"> povezano z večjo motnjo v procesu (DI)</w:t>
      </w:r>
      <w:r>
        <w:rPr>
          <w:lang w:eastAsia="sl-SI"/>
        </w:rPr>
        <w:t>;</w:t>
      </w:r>
    </w:p>
    <w:p w14:paraId="1371278F" w14:textId="77777777" w:rsidR="00B34708" w:rsidRDefault="00B34708" w:rsidP="00B34708">
      <w:pPr>
        <w:ind w:left="1418" w:hanging="709"/>
        <w:rPr>
          <w:lang w:eastAsia="sl-SI"/>
        </w:rPr>
      </w:pPr>
    </w:p>
    <w:p w14:paraId="7707569D" w14:textId="77777777" w:rsidR="00B34708" w:rsidRDefault="00B34708" w:rsidP="00B34708">
      <w:pPr>
        <w:ind w:left="1418" w:hanging="709"/>
        <w:rPr>
          <w:lang w:eastAsia="sl-SI"/>
        </w:rPr>
      </w:pPr>
      <w:r>
        <w:rPr>
          <w:lang w:eastAsia="sl-SI"/>
        </w:rPr>
        <w:t>NO</w:t>
      </w:r>
      <w:r>
        <w:rPr>
          <w:lang w:eastAsia="sl-SI"/>
        </w:rPr>
        <w:tab/>
        <w:t>naprava ne obratuje, se beleži ves čas ko naprava v koledarskem letu ne obratuje in mora DAHS zagotavljati najmanj 99 % razpoložljivost podatkov;</w:t>
      </w:r>
    </w:p>
    <w:p w14:paraId="6F92B1AE" w14:textId="77777777" w:rsidR="00B34708" w:rsidRDefault="00B34708" w:rsidP="00B34708">
      <w:pPr>
        <w:ind w:left="1418" w:hanging="709"/>
        <w:rPr>
          <w:lang w:eastAsia="sl-SI"/>
        </w:rPr>
      </w:pPr>
    </w:p>
    <w:p w14:paraId="69B748BC" w14:textId="77777777" w:rsidR="00B34708" w:rsidRDefault="00B34708" w:rsidP="00B34708">
      <w:pPr>
        <w:ind w:left="1418" w:hanging="709"/>
        <w:rPr>
          <w:lang w:eastAsia="sl-SI"/>
        </w:rPr>
      </w:pPr>
      <w:r>
        <w:rPr>
          <w:lang w:eastAsia="sl-SI"/>
        </w:rPr>
        <w:t>NP</w:t>
      </w:r>
      <w:r>
        <w:rPr>
          <w:lang w:eastAsia="sl-SI"/>
        </w:rPr>
        <w:tab/>
        <w:t>ni podatka, se zabeleži v času, ko DAHS nima na razpolago zadostnih podatkov o procesnih parametrih, na podlagi katerih bi lahko določil enega od zgoraj navedenih stanj obratovanja naprave.</w:t>
      </w:r>
    </w:p>
    <w:p w14:paraId="63290FE6" w14:textId="5E1BC764" w:rsidR="003623D5" w:rsidRDefault="003623D5" w:rsidP="003623D5"/>
    <w:p w14:paraId="2CB1B61A" w14:textId="77777777" w:rsidR="00634566" w:rsidRDefault="00634566" w:rsidP="00634566">
      <w:pPr>
        <w:rPr>
          <w:lang w:eastAsia="sl-SI"/>
        </w:rPr>
      </w:pPr>
      <w:r>
        <w:t>V trenutku odčitavanja trenutne vrednosti in v časovnem intervalu, v katerem se izračunava kratkotrajna povprečna vrednost STA, je lahko obratovalno stanje naprave opisano le z enim od navedenih statusov. Če so se v časovnem intervalu STA pogoji obratovanja in s tem status obratovanja naprave spreminjali, se za STA interval upošteva status, ki je prevladoval večji del (več kot 50 %) časa. Če je bila v časovnem intervalu naprava v različnih statusih v istem časovnem deležu, se upošteva zadnji zabeležen status.</w:t>
      </w:r>
    </w:p>
    <w:p w14:paraId="7EAF283A" w14:textId="77777777" w:rsidR="003623D5" w:rsidRDefault="003623D5">
      <w:pPr>
        <w:spacing w:before="0" w:line="240" w:lineRule="auto"/>
        <w:jc w:val="left"/>
      </w:pPr>
      <w:r>
        <w:br w:type="page"/>
      </w:r>
    </w:p>
    <w:p w14:paraId="3953C4D8" w14:textId="476CAD0D" w:rsidR="003623D5" w:rsidRDefault="7915ECBB" w:rsidP="003623D5">
      <w:r>
        <w:lastRenderedPageBreak/>
        <w:t>Zavezanec</w:t>
      </w:r>
      <w:r w:rsidR="2EC4A874">
        <w:t xml:space="preserve"> za vsakega od zgoraj navedenih statusov, ki so relevantni glede na vrsto naprave, v obliki</w:t>
      </w:r>
      <w:r w:rsidR="14C3EDA7">
        <w:t xml:space="preserve"> </w:t>
      </w:r>
      <w:r w:rsidR="2EC4A874">
        <w:t>tabele</w:t>
      </w:r>
      <w:r w:rsidR="6369890D">
        <w:t xml:space="preserve"> 2.</w:t>
      </w:r>
      <w:r w:rsidR="2EC4A874">
        <w:t xml:space="preserve"> opiše parametre obratovalnega stanja naprave in njihove vrednosti oz. območja vrednosti, ki določajo opisani status.</w:t>
      </w:r>
    </w:p>
    <w:p w14:paraId="4699CC85" w14:textId="47B93E7F" w:rsidR="003623D5" w:rsidRDefault="003623D5" w:rsidP="003623D5">
      <w:pPr>
        <w:spacing w:before="0" w:line="240" w:lineRule="auto"/>
        <w:jc w:val="left"/>
        <w:rPr>
          <w:szCs w:val="20"/>
        </w:rPr>
      </w:pPr>
    </w:p>
    <w:p w14:paraId="1547DACB" w14:textId="77777777" w:rsidR="003623D5" w:rsidRDefault="003623D5" w:rsidP="003623D5">
      <w:pPr>
        <w:pStyle w:val="Napis"/>
      </w:pPr>
      <w:r w:rsidRPr="000700B3">
        <w:t xml:space="preserve">Tabela </w:t>
      </w:r>
      <w:r>
        <w:fldChar w:fldCharType="begin"/>
      </w:r>
      <w:r>
        <w:instrText xml:space="preserve"> SEQ Tabela \* ARABIC </w:instrText>
      </w:r>
      <w:r>
        <w:fldChar w:fldCharType="separate"/>
      </w:r>
      <w:r>
        <w:rPr>
          <w:noProof/>
        </w:rPr>
        <w:t>2</w:t>
      </w:r>
      <w:r>
        <w:rPr>
          <w:noProof/>
        </w:rPr>
        <w:fldChar w:fldCharType="end"/>
      </w:r>
      <w:r w:rsidRPr="000700B3">
        <w:t xml:space="preserve">: </w:t>
      </w:r>
      <w:r>
        <w:t>Opis</w:t>
      </w:r>
      <w:r w:rsidRPr="000700B3">
        <w:t xml:space="preserve"> </w:t>
      </w:r>
      <w:r>
        <w:t>parametrov in pogojev, ki določajo status obratovanja naprave</w:t>
      </w:r>
    </w:p>
    <w:p w14:paraId="00A1545F" w14:textId="74990A86" w:rsidR="003623D5" w:rsidRPr="00AB70B3" w:rsidRDefault="2EC4A874" w:rsidP="003623D5">
      <w:r>
        <w:t xml:space="preserve">(OPOMBA: Za vsak relevantni status se pripravi ločena </w:t>
      </w:r>
      <w:r w:rsidR="5C7CE93B">
        <w:t>tabela</w:t>
      </w:r>
      <w:r>
        <w:t xml:space="preserve"> vseh parametrov, ki vplivajo na ta status)</w:t>
      </w:r>
    </w:p>
    <w:tbl>
      <w:tblPr>
        <w:tblStyle w:val="Tabelamrea"/>
        <w:tblW w:w="8789" w:type="dxa"/>
        <w:tblLayout w:type="fixed"/>
        <w:tblLook w:val="04A0" w:firstRow="1" w:lastRow="0" w:firstColumn="1" w:lastColumn="0" w:noHBand="0" w:noVBand="1"/>
      </w:tblPr>
      <w:tblGrid>
        <w:gridCol w:w="2552"/>
        <w:gridCol w:w="6237"/>
      </w:tblGrid>
      <w:tr w:rsidR="003623D5" w14:paraId="09488DB3" w14:textId="77777777">
        <w:tc>
          <w:tcPr>
            <w:tcW w:w="2552" w:type="dxa"/>
          </w:tcPr>
          <w:p w14:paraId="482E83F2" w14:textId="77777777" w:rsidR="003623D5" w:rsidRPr="000700B3" w:rsidRDefault="003623D5">
            <w:pPr>
              <w:rPr>
                <w:b/>
                <w:bCs/>
              </w:rPr>
            </w:pPr>
            <w:r>
              <w:rPr>
                <w:b/>
                <w:bCs/>
              </w:rPr>
              <w:t>Status</w:t>
            </w:r>
          </w:p>
        </w:tc>
        <w:tc>
          <w:tcPr>
            <w:tcW w:w="6237" w:type="dxa"/>
          </w:tcPr>
          <w:p w14:paraId="3B88C70A" w14:textId="77777777" w:rsidR="003623D5" w:rsidRPr="00257EA6" w:rsidRDefault="003623D5">
            <w:r>
              <w:t>Simbol</w:t>
            </w:r>
          </w:p>
        </w:tc>
      </w:tr>
      <w:tr w:rsidR="003623D5" w14:paraId="1632BC53" w14:textId="77777777">
        <w:tc>
          <w:tcPr>
            <w:tcW w:w="2552" w:type="dxa"/>
          </w:tcPr>
          <w:p w14:paraId="3F70AEF2" w14:textId="66E5C954" w:rsidR="003623D5" w:rsidRPr="000700B3" w:rsidRDefault="003623D5" w:rsidP="00B21629">
            <w:pPr>
              <w:rPr>
                <w:b/>
                <w:bCs/>
              </w:rPr>
            </w:pPr>
            <w:r>
              <w:rPr>
                <w:b/>
                <w:bCs/>
              </w:rPr>
              <w:t xml:space="preserve">Parameter </w:t>
            </w:r>
          </w:p>
        </w:tc>
        <w:tc>
          <w:tcPr>
            <w:tcW w:w="6237" w:type="dxa"/>
          </w:tcPr>
          <w:p w14:paraId="60F4461D" w14:textId="6F7D45BA" w:rsidR="003623D5" w:rsidRPr="00257EA6" w:rsidRDefault="003623D5" w:rsidP="00B21629">
            <w:r>
              <w:t>Kratica ali oznaka parametra obratovalnega stanja, ki vpliva na status obratovanja naprave</w:t>
            </w:r>
            <w:r w:rsidR="00337F07">
              <w:t>.</w:t>
            </w:r>
          </w:p>
        </w:tc>
      </w:tr>
      <w:tr w:rsidR="003623D5" w14:paraId="4FC6391B" w14:textId="77777777">
        <w:tc>
          <w:tcPr>
            <w:tcW w:w="2552" w:type="dxa"/>
          </w:tcPr>
          <w:p w14:paraId="336F844F" w14:textId="77777777" w:rsidR="003623D5" w:rsidRPr="00650E43" w:rsidRDefault="003623D5">
            <w:pPr>
              <w:rPr>
                <w:b/>
                <w:bCs/>
              </w:rPr>
            </w:pPr>
            <w:r>
              <w:rPr>
                <w:b/>
                <w:bCs/>
              </w:rPr>
              <w:t>Vrednost parametra</w:t>
            </w:r>
          </w:p>
        </w:tc>
        <w:tc>
          <w:tcPr>
            <w:tcW w:w="6237" w:type="dxa"/>
          </w:tcPr>
          <w:p w14:paraId="5833A177" w14:textId="61EBD6DC" w:rsidR="003623D5" w:rsidRPr="00257EA6" w:rsidRDefault="003623D5" w:rsidP="00B21629">
            <w:r>
              <w:t xml:space="preserve">Vrednost </w:t>
            </w:r>
            <w:r w:rsidR="00B21629">
              <w:t>ali območje vrednosti parametra</w:t>
            </w:r>
            <w:r>
              <w:t xml:space="preserve">, ki </w:t>
            </w:r>
            <w:r w:rsidR="00337F07">
              <w:t>je</w:t>
            </w:r>
            <w:r>
              <w:t xml:space="preserve"> pogoj za status obratovanja naprave</w:t>
            </w:r>
            <w:r w:rsidR="00337F07">
              <w:t>.</w:t>
            </w:r>
          </w:p>
        </w:tc>
      </w:tr>
      <w:tr w:rsidR="00B21629" w14:paraId="0D232FCA" w14:textId="77777777">
        <w:tc>
          <w:tcPr>
            <w:tcW w:w="8789" w:type="dxa"/>
            <w:gridSpan w:val="2"/>
          </w:tcPr>
          <w:p w14:paraId="0522324E" w14:textId="77777777" w:rsidR="00B21629" w:rsidRDefault="00B21629">
            <w:pPr>
              <w:rPr>
                <w:b/>
                <w:bCs/>
              </w:rPr>
            </w:pPr>
            <w:r>
              <w:rPr>
                <w:b/>
                <w:bCs/>
              </w:rPr>
              <w:t>…</w:t>
            </w:r>
          </w:p>
          <w:p w14:paraId="352FFDAA" w14:textId="4F2CCF86" w:rsidR="00B21629" w:rsidRDefault="00B21629" w:rsidP="00B21629">
            <w:r>
              <w:t>Zapiše se vse parametre, ki vplivajo in njihov pogoj za status obratovanja naprave.</w:t>
            </w:r>
          </w:p>
        </w:tc>
      </w:tr>
    </w:tbl>
    <w:p w14:paraId="2F9FCE4E" w14:textId="77777777" w:rsidR="003623D5" w:rsidRPr="00286147" w:rsidRDefault="003623D5" w:rsidP="003623D5"/>
    <w:p w14:paraId="51DC4892" w14:textId="77777777" w:rsidR="003623D5" w:rsidRDefault="003623D5">
      <w:pPr>
        <w:spacing w:before="0" w:line="240" w:lineRule="auto"/>
        <w:jc w:val="left"/>
        <w:rPr>
          <w:rFonts w:eastAsiaTheme="majorEastAsia" w:cstheme="majorBidi"/>
          <w:b/>
          <w:szCs w:val="26"/>
        </w:rPr>
      </w:pPr>
      <w:r>
        <w:br w:type="page"/>
      </w:r>
    </w:p>
    <w:p w14:paraId="4BF03243" w14:textId="169449B4" w:rsidR="00C40530" w:rsidRDefault="00C40530" w:rsidP="00257EA6">
      <w:pPr>
        <w:pStyle w:val="Naslov2"/>
      </w:pPr>
      <w:bookmarkStart w:id="4" w:name="_Toc214274539"/>
      <w:r>
        <w:lastRenderedPageBreak/>
        <w:t>Parametri obratovalnega stanja naprave</w:t>
      </w:r>
      <w:bookmarkEnd w:id="4"/>
    </w:p>
    <w:p w14:paraId="77075AC9" w14:textId="69C53277" w:rsidR="00964DDF" w:rsidRDefault="2EC4A874" w:rsidP="00C40530">
      <w:r>
        <w:t>Za</w:t>
      </w:r>
      <w:r w:rsidR="4F63019D">
        <w:t xml:space="preserve"> </w:t>
      </w:r>
      <w:r w:rsidR="2DAA5F10">
        <w:t>vsak parameter obratovalnega stanja naprave</w:t>
      </w:r>
      <w:r w:rsidR="4F63019D">
        <w:t>, ki ga spremlja</w:t>
      </w:r>
      <w:r>
        <w:t xml:space="preserve"> glede na določila </w:t>
      </w:r>
      <w:r w:rsidR="7003A67E">
        <w:t xml:space="preserve">okoljevarstvenega dovoljenja ( v nadaljevanju: </w:t>
      </w:r>
      <w:r>
        <w:t>OVD</w:t>
      </w:r>
      <w:r w:rsidR="74FD28CC">
        <w:t>)</w:t>
      </w:r>
      <w:r>
        <w:t xml:space="preserve"> ali posebnega predpisa, </w:t>
      </w:r>
      <w:r w:rsidR="14593235">
        <w:t>zavezanec</w:t>
      </w:r>
      <w:r>
        <w:t xml:space="preserve"> opiše podatke</w:t>
      </w:r>
      <w:r w:rsidR="4F63019D">
        <w:t xml:space="preserve"> </w:t>
      </w:r>
      <w:r w:rsidR="133947A5">
        <w:t xml:space="preserve">v </w:t>
      </w:r>
      <w:r w:rsidR="2DAA5F10">
        <w:t xml:space="preserve">obliki </w:t>
      </w:r>
      <w:r w:rsidR="14C3EDA7">
        <w:t xml:space="preserve"> tabel</w:t>
      </w:r>
      <w:r w:rsidR="02A23E69">
        <w:t>e 3</w:t>
      </w:r>
      <w:r w:rsidR="2DAA5F10">
        <w:t>.</w:t>
      </w:r>
    </w:p>
    <w:p w14:paraId="47F5CB6F" w14:textId="77777777" w:rsidR="000700B3" w:rsidRDefault="000700B3" w:rsidP="00C40530"/>
    <w:p w14:paraId="685D9AD5" w14:textId="79B91EDC" w:rsidR="00257EA6" w:rsidRDefault="000700B3" w:rsidP="00A33D58">
      <w:pPr>
        <w:pStyle w:val="Napis"/>
      </w:pPr>
      <w:r w:rsidRPr="000700B3">
        <w:t xml:space="preserve">Tabela </w:t>
      </w:r>
      <w:r w:rsidR="00E82B0E">
        <w:fldChar w:fldCharType="begin"/>
      </w:r>
      <w:r w:rsidR="00E82B0E">
        <w:instrText xml:space="preserve"> SEQ Tabela \* ARABIC </w:instrText>
      </w:r>
      <w:r w:rsidR="00E82B0E">
        <w:fldChar w:fldCharType="separate"/>
      </w:r>
      <w:r w:rsidR="00E82B0E">
        <w:rPr>
          <w:noProof/>
        </w:rPr>
        <w:t>3</w:t>
      </w:r>
      <w:r w:rsidR="00E82B0E">
        <w:rPr>
          <w:noProof/>
        </w:rPr>
        <w:fldChar w:fldCharType="end"/>
      </w:r>
      <w:r w:rsidRPr="000700B3">
        <w:t xml:space="preserve">: </w:t>
      </w:r>
      <w:r w:rsidR="00650E43">
        <w:t>Opis</w:t>
      </w:r>
      <w:r w:rsidRPr="000700B3">
        <w:t xml:space="preserve"> </w:t>
      </w:r>
      <w:r w:rsidR="003B3ED9">
        <w:t xml:space="preserve">podatkov o </w:t>
      </w:r>
      <w:r w:rsidRPr="000700B3">
        <w:t>parametr</w:t>
      </w:r>
      <w:r w:rsidR="003B3ED9">
        <w:t>ih</w:t>
      </w:r>
      <w:r w:rsidRPr="000700B3">
        <w:t xml:space="preserve"> obratovalnega stanja naprav</w:t>
      </w:r>
      <w:r>
        <w:t>e</w:t>
      </w:r>
    </w:p>
    <w:p w14:paraId="4DE1D701" w14:textId="4F2C0260" w:rsidR="005D59C7" w:rsidRPr="005D59C7" w:rsidRDefault="5F8A153E" w:rsidP="005D59C7">
      <w:r>
        <w:t xml:space="preserve">(OPOMBA: Za vsak parameter obratovalnega stanja, ki je predmet trajnih meritev, se izpolni ločena </w:t>
      </w:r>
      <w:r w:rsidR="5BA1EAC4">
        <w:t>tabela</w:t>
      </w:r>
      <w:r>
        <w:t>)</w:t>
      </w:r>
    </w:p>
    <w:tbl>
      <w:tblPr>
        <w:tblStyle w:val="Tabelamrea"/>
        <w:tblW w:w="8789" w:type="dxa"/>
        <w:tblLayout w:type="fixed"/>
        <w:tblLook w:val="04A0" w:firstRow="1" w:lastRow="0" w:firstColumn="1" w:lastColumn="0" w:noHBand="0" w:noVBand="1"/>
      </w:tblPr>
      <w:tblGrid>
        <w:gridCol w:w="2552"/>
        <w:gridCol w:w="6237"/>
      </w:tblGrid>
      <w:tr w:rsidR="000700B3" w14:paraId="4C53D451" w14:textId="77777777" w:rsidTr="00F80EDF">
        <w:tc>
          <w:tcPr>
            <w:tcW w:w="2552" w:type="dxa"/>
          </w:tcPr>
          <w:p w14:paraId="334626B5" w14:textId="01AE8584" w:rsidR="000700B3" w:rsidRPr="000700B3" w:rsidRDefault="000700B3" w:rsidP="00C40530">
            <w:pPr>
              <w:rPr>
                <w:b/>
                <w:bCs/>
              </w:rPr>
            </w:pPr>
            <w:r>
              <w:rPr>
                <w:b/>
                <w:bCs/>
              </w:rPr>
              <w:t>Naziv parametra</w:t>
            </w:r>
          </w:p>
        </w:tc>
        <w:tc>
          <w:tcPr>
            <w:tcW w:w="6237" w:type="dxa"/>
          </w:tcPr>
          <w:p w14:paraId="2547BE14" w14:textId="4665F2B4" w:rsidR="000700B3" w:rsidRPr="00257EA6" w:rsidRDefault="00CD4BF5" w:rsidP="00C40530">
            <w:r w:rsidRPr="00257EA6">
              <w:t>Tekstovni opis naziva</w:t>
            </w:r>
            <w:r w:rsidR="003B3ED9">
              <w:t xml:space="preserve"> parametra</w:t>
            </w:r>
            <w:r w:rsidR="00257EA6" w:rsidRPr="00257EA6">
              <w:t>.</w:t>
            </w:r>
          </w:p>
        </w:tc>
      </w:tr>
      <w:tr w:rsidR="000700B3" w14:paraId="1570C3D2" w14:textId="77777777" w:rsidTr="00F80EDF">
        <w:tc>
          <w:tcPr>
            <w:tcW w:w="2552" w:type="dxa"/>
          </w:tcPr>
          <w:p w14:paraId="26CA40BC" w14:textId="1C8D0062" w:rsidR="000700B3" w:rsidRPr="000700B3" w:rsidRDefault="000700B3" w:rsidP="000700B3">
            <w:pPr>
              <w:rPr>
                <w:b/>
                <w:bCs/>
              </w:rPr>
            </w:pPr>
            <w:r w:rsidRPr="000700B3">
              <w:rPr>
                <w:b/>
                <w:bCs/>
              </w:rPr>
              <w:t>Pomen</w:t>
            </w:r>
            <w:r>
              <w:rPr>
                <w:b/>
                <w:bCs/>
              </w:rPr>
              <w:t xml:space="preserve"> vrednosti</w:t>
            </w:r>
          </w:p>
        </w:tc>
        <w:tc>
          <w:tcPr>
            <w:tcW w:w="6237" w:type="dxa"/>
          </w:tcPr>
          <w:p w14:paraId="382242FD" w14:textId="323C54FF" w:rsidR="000700B3" w:rsidRPr="00257EA6" w:rsidRDefault="000700B3" w:rsidP="00610DB7">
            <w:r w:rsidRPr="00257EA6">
              <w:t xml:space="preserve">Kratek </w:t>
            </w:r>
            <w:r w:rsidR="00650E43" w:rsidRPr="00257EA6">
              <w:t xml:space="preserve">tekstovni </w:t>
            </w:r>
            <w:r w:rsidRPr="00257EA6">
              <w:t xml:space="preserve">opis pomena </w:t>
            </w:r>
            <w:r w:rsidR="00610DB7">
              <w:t xml:space="preserve">parametra in </w:t>
            </w:r>
            <w:r w:rsidRPr="00257EA6">
              <w:t>merjene vrednosti</w:t>
            </w:r>
            <w:r w:rsidR="00610DB7">
              <w:t>.</w:t>
            </w:r>
          </w:p>
        </w:tc>
      </w:tr>
      <w:tr w:rsidR="000700B3" w14:paraId="267191EE" w14:textId="77777777" w:rsidTr="00F80EDF">
        <w:tc>
          <w:tcPr>
            <w:tcW w:w="2552" w:type="dxa"/>
          </w:tcPr>
          <w:p w14:paraId="4704F31A" w14:textId="7858C136" w:rsidR="000700B3" w:rsidRPr="00650E43" w:rsidRDefault="00650E43" w:rsidP="005D59C7">
            <w:pPr>
              <w:rPr>
                <w:b/>
                <w:bCs/>
              </w:rPr>
            </w:pPr>
            <w:r w:rsidRPr="00650E43">
              <w:rPr>
                <w:b/>
                <w:bCs/>
              </w:rPr>
              <w:t>Kratica</w:t>
            </w:r>
            <w:r w:rsidR="005D59C7">
              <w:rPr>
                <w:b/>
                <w:bCs/>
              </w:rPr>
              <w:t>,</w:t>
            </w:r>
            <w:r w:rsidRPr="00650E43">
              <w:rPr>
                <w:b/>
                <w:bCs/>
              </w:rPr>
              <w:t xml:space="preserve"> oznaka</w:t>
            </w:r>
            <w:r w:rsidR="005D59C7">
              <w:rPr>
                <w:b/>
                <w:bCs/>
              </w:rPr>
              <w:t xml:space="preserve"> ali šifra</w:t>
            </w:r>
          </w:p>
        </w:tc>
        <w:tc>
          <w:tcPr>
            <w:tcW w:w="6237" w:type="dxa"/>
          </w:tcPr>
          <w:p w14:paraId="23EF17D2" w14:textId="5D9180EA" w:rsidR="000700B3" w:rsidRPr="00257EA6" w:rsidRDefault="00650E43" w:rsidP="005D59C7">
            <w:r w:rsidRPr="00257EA6">
              <w:t>Kratek naziv</w:t>
            </w:r>
            <w:r w:rsidR="005D59C7">
              <w:t xml:space="preserve"> oznaka ali šifra </w:t>
            </w:r>
            <w:r w:rsidR="00F910AC">
              <w:t>parametra, dolžine do 15 znakov</w:t>
            </w:r>
            <w:r w:rsidR="00257EA6" w:rsidRPr="00257EA6">
              <w:t>.</w:t>
            </w:r>
          </w:p>
        </w:tc>
      </w:tr>
      <w:tr w:rsidR="000700B3" w14:paraId="76A4ABCA" w14:textId="77777777" w:rsidTr="00F80EDF">
        <w:tc>
          <w:tcPr>
            <w:tcW w:w="2552" w:type="dxa"/>
          </w:tcPr>
          <w:p w14:paraId="6DF82B9A" w14:textId="72FD45D1" w:rsidR="000700B3" w:rsidRPr="00650E43" w:rsidRDefault="00650E43" w:rsidP="000700B3">
            <w:pPr>
              <w:rPr>
                <w:b/>
                <w:bCs/>
              </w:rPr>
            </w:pPr>
            <w:r w:rsidRPr="00650E43">
              <w:rPr>
                <w:b/>
                <w:bCs/>
              </w:rPr>
              <w:t>Enota</w:t>
            </w:r>
          </w:p>
        </w:tc>
        <w:tc>
          <w:tcPr>
            <w:tcW w:w="6237" w:type="dxa"/>
          </w:tcPr>
          <w:p w14:paraId="64ADB279" w14:textId="0F57E4B6" w:rsidR="000700B3" w:rsidRPr="00257EA6" w:rsidRDefault="00650E43" w:rsidP="000700B3">
            <w:r w:rsidRPr="00257EA6">
              <w:t>Enota mere, v kateri so podane vrednosti parametra</w:t>
            </w:r>
            <w:r w:rsidR="00257EA6" w:rsidRPr="00257EA6">
              <w:t>.</w:t>
            </w:r>
          </w:p>
        </w:tc>
      </w:tr>
      <w:tr w:rsidR="00257EA6" w14:paraId="1CAD349A" w14:textId="77777777" w:rsidTr="00F80EDF">
        <w:tc>
          <w:tcPr>
            <w:tcW w:w="2552" w:type="dxa"/>
          </w:tcPr>
          <w:p w14:paraId="7509747E" w14:textId="2E558177" w:rsidR="00257EA6" w:rsidRPr="00650E43" w:rsidRDefault="00F80EDF" w:rsidP="00F80EDF">
            <w:pPr>
              <w:rPr>
                <w:b/>
                <w:bCs/>
              </w:rPr>
            </w:pPr>
            <w:r>
              <w:rPr>
                <w:b/>
                <w:bCs/>
              </w:rPr>
              <w:t>Format vrednosti</w:t>
            </w:r>
          </w:p>
        </w:tc>
        <w:tc>
          <w:tcPr>
            <w:tcW w:w="6237" w:type="dxa"/>
          </w:tcPr>
          <w:p w14:paraId="3C6B96D1" w14:textId="3C176B81" w:rsidR="00F910AC" w:rsidRDefault="00F910AC" w:rsidP="00F910AC">
            <w:r>
              <w:t>Format je lahko:</w:t>
            </w:r>
          </w:p>
          <w:p w14:paraId="093D6414" w14:textId="77777777" w:rsidR="00F910AC" w:rsidRDefault="00257EA6" w:rsidP="00F910AC">
            <w:pPr>
              <w:pStyle w:val="Odstavekseznama"/>
              <w:numPr>
                <w:ilvl w:val="0"/>
                <w:numId w:val="33"/>
              </w:numPr>
            </w:pPr>
            <w:r w:rsidRPr="00257EA6">
              <w:t xml:space="preserve">celo število, </w:t>
            </w:r>
          </w:p>
          <w:p w14:paraId="7E3114BC" w14:textId="77777777" w:rsidR="00F80EDF" w:rsidRDefault="00257EA6" w:rsidP="00F80EDF">
            <w:pPr>
              <w:pStyle w:val="Odstavekseznama"/>
              <w:numPr>
                <w:ilvl w:val="0"/>
                <w:numId w:val="33"/>
              </w:numPr>
            </w:pPr>
            <w:r w:rsidRPr="00257EA6">
              <w:t>decimalno šte</w:t>
            </w:r>
            <w:r w:rsidR="00F80EDF">
              <w:t xml:space="preserve">vilo s številom decimalnih mest ali </w:t>
            </w:r>
          </w:p>
          <w:p w14:paraId="06C708E7" w14:textId="37A1D149" w:rsidR="00257EA6" w:rsidRPr="00257EA6" w:rsidRDefault="00F80EDF" w:rsidP="00F80EDF">
            <w:pPr>
              <w:pStyle w:val="Odstavekseznama"/>
              <w:numPr>
                <w:ilvl w:val="0"/>
                <w:numId w:val="33"/>
              </w:numPr>
            </w:pPr>
            <w:r>
              <w:t xml:space="preserve">logična vrednost </w:t>
            </w:r>
            <w:r w:rsidRPr="00257EA6">
              <w:t>»Da</w:t>
            </w:r>
            <w:r>
              <w:t>/Ne</w:t>
            </w:r>
            <w:r w:rsidRPr="00257EA6">
              <w:t>«</w:t>
            </w:r>
            <w:r>
              <w:t xml:space="preserve"> (v primeru signalov stikal ali senzorjev obratovanja).</w:t>
            </w:r>
          </w:p>
        </w:tc>
      </w:tr>
      <w:tr w:rsidR="00257EA6" w14:paraId="14D6EA78" w14:textId="77777777" w:rsidTr="00F80EDF">
        <w:tc>
          <w:tcPr>
            <w:tcW w:w="2552" w:type="dxa"/>
          </w:tcPr>
          <w:p w14:paraId="708FF286" w14:textId="7EDB5807" w:rsidR="00257EA6" w:rsidRDefault="00257EA6" w:rsidP="00F80EDF">
            <w:pPr>
              <w:rPr>
                <w:b/>
                <w:bCs/>
              </w:rPr>
            </w:pPr>
            <w:r>
              <w:rPr>
                <w:b/>
                <w:bCs/>
              </w:rPr>
              <w:t>Razpon</w:t>
            </w:r>
            <w:r w:rsidR="00F80EDF">
              <w:rPr>
                <w:b/>
                <w:bCs/>
              </w:rPr>
              <w:t xml:space="preserve"> vrednosti</w:t>
            </w:r>
          </w:p>
        </w:tc>
        <w:tc>
          <w:tcPr>
            <w:tcW w:w="6237" w:type="dxa"/>
          </w:tcPr>
          <w:p w14:paraId="5D580579" w14:textId="4B02DB18" w:rsidR="00257EA6" w:rsidRPr="00257EA6" w:rsidRDefault="00257EA6" w:rsidP="003623D5">
            <w:r w:rsidRPr="00257EA6">
              <w:t xml:space="preserve">Najmanjša in največja </w:t>
            </w:r>
            <w:r w:rsidR="003623D5">
              <w:t xml:space="preserve">pričakovana </w:t>
            </w:r>
            <w:r w:rsidRPr="00257EA6">
              <w:t>vrednost parametra.</w:t>
            </w:r>
          </w:p>
        </w:tc>
      </w:tr>
      <w:tr w:rsidR="00257EA6" w14:paraId="6AB50AD1" w14:textId="77777777" w:rsidTr="00F80EDF">
        <w:tc>
          <w:tcPr>
            <w:tcW w:w="2552" w:type="dxa"/>
          </w:tcPr>
          <w:p w14:paraId="6359A286" w14:textId="591E36E6" w:rsidR="00257EA6" w:rsidRDefault="00257EA6" w:rsidP="000700B3">
            <w:pPr>
              <w:rPr>
                <w:b/>
                <w:bCs/>
              </w:rPr>
            </w:pPr>
            <w:r>
              <w:rPr>
                <w:b/>
                <w:bCs/>
              </w:rPr>
              <w:t>Mejna vrednost Od</w:t>
            </w:r>
          </w:p>
        </w:tc>
        <w:tc>
          <w:tcPr>
            <w:tcW w:w="6237" w:type="dxa"/>
          </w:tcPr>
          <w:p w14:paraId="00BCEBF7" w14:textId="4CDD537A" w:rsidR="00257EA6" w:rsidRPr="00257EA6" w:rsidRDefault="00257EA6" w:rsidP="000700B3">
            <w:r w:rsidRPr="00257EA6">
              <w:t>Najmanjša dovoljena vrednost parametra, če je predpisana z OVD ali predpisom</w:t>
            </w:r>
            <w:r w:rsidR="00F910AC">
              <w:t xml:space="preserve"> glede na vrsto naprave in parametra</w:t>
            </w:r>
            <w:r w:rsidRPr="00257EA6">
              <w:t>.</w:t>
            </w:r>
          </w:p>
        </w:tc>
      </w:tr>
      <w:tr w:rsidR="00257EA6" w14:paraId="2B231E95" w14:textId="77777777" w:rsidTr="00F80EDF">
        <w:tc>
          <w:tcPr>
            <w:tcW w:w="2552" w:type="dxa"/>
          </w:tcPr>
          <w:p w14:paraId="7BE789AC" w14:textId="1D1DC708" w:rsidR="00257EA6" w:rsidRDefault="00257EA6" w:rsidP="000700B3">
            <w:pPr>
              <w:rPr>
                <w:b/>
                <w:bCs/>
              </w:rPr>
            </w:pPr>
            <w:r>
              <w:rPr>
                <w:b/>
                <w:bCs/>
              </w:rPr>
              <w:t>Mejna vrednost Do</w:t>
            </w:r>
          </w:p>
        </w:tc>
        <w:tc>
          <w:tcPr>
            <w:tcW w:w="6237" w:type="dxa"/>
          </w:tcPr>
          <w:p w14:paraId="7C99962C" w14:textId="60C7813E" w:rsidR="00257EA6" w:rsidRPr="00257EA6" w:rsidRDefault="00257EA6" w:rsidP="000700B3">
            <w:r w:rsidRPr="00257EA6">
              <w:t>Največja dovoljena vrednost parametra, če je predpisana z OVD ali predpisom</w:t>
            </w:r>
            <w:r w:rsidR="00F910AC">
              <w:t xml:space="preserve"> glede na vrsto naprave in parametra</w:t>
            </w:r>
            <w:r w:rsidRPr="00257EA6">
              <w:t>.</w:t>
            </w:r>
          </w:p>
        </w:tc>
      </w:tr>
      <w:tr w:rsidR="00B21629" w14:paraId="631E8972" w14:textId="77777777" w:rsidTr="00F80EDF">
        <w:tc>
          <w:tcPr>
            <w:tcW w:w="2552" w:type="dxa"/>
          </w:tcPr>
          <w:p w14:paraId="072FAFA3" w14:textId="683C8F3B" w:rsidR="00B21629" w:rsidRDefault="00B21629" w:rsidP="000700B3">
            <w:pPr>
              <w:rPr>
                <w:b/>
                <w:bCs/>
              </w:rPr>
            </w:pPr>
            <w:r>
              <w:rPr>
                <w:b/>
                <w:bCs/>
              </w:rPr>
              <w:t>Pogostost odčitavanja</w:t>
            </w:r>
          </w:p>
        </w:tc>
        <w:tc>
          <w:tcPr>
            <w:tcW w:w="6237" w:type="dxa"/>
          </w:tcPr>
          <w:p w14:paraId="4B71AD9F" w14:textId="321648C2" w:rsidR="00B21629" w:rsidRPr="00257EA6" w:rsidRDefault="005D59C7" w:rsidP="000700B3">
            <w:r>
              <w:t>Časovna pogostost (v sekundah) odčitavanja parametra.</w:t>
            </w:r>
          </w:p>
        </w:tc>
      </w:tr>
    </w:tbl>
    <w:p w14:paraId="4B09BD80" w14:textId="5BF61267" w:rsidR="00411C9D" w:rsidRDefault="00411C9D" w:rsidP="00C40530"/>
    <w:p w14:paraId="5D519A42" w14:textId="77777777" w:rsidR="00286147" w:rsidRDefault="00286147" w:rsidP="00C40530"/>
    <w:p w14:paraId="07020984" w14:textId="77777777" w:rsidR="003623D5" w:rsidRDefault="003623D5">
      <w:pPr>
        <w:spacing w:before="0" w:line="240" w:lineRule="auto"/>
        <w:jc w:val="left"/>
        <w:rPr>
          <w:rFonts w:eastAsiaTheme="majorEastAsia" w:cstheme="majorBidi"/>
          <w:b/>
          <w:szCs w:val="26"/>
        </w:rPr>
      </w:pPr>
      <w:r>
        <w:br w:type="page"/>
      </w:r>
    </w:p>
    <w:p w14:paraId="71F7D3E1" w14:textId="759EE435" w:rsidR="00257EA6" w:rsidRDefault="00257EA6" w:rsidP="00257EA6">
      <w:pPr>
        <w:pStyle w:val="Naslov2"/>
      </w:pPr>
      <w:bookmarkStart w:id="5" w:name="_Toc214274540"/>
      <w:r>
        <w:lastRenderedPageBreak/>
        <w:t xml:space="preserve">Parametri stanja </w:t>
      </w:r>
      <w:r w:rsidR="003623D5">
        <w:t xml:space="preserve">(periferni parametri) </w:t>
      </w:r>
      <w:r w:rsidR="00866A11">
        <w:t>odpadnih plinov</w:t>
      </w:r>
      <w:bookmarkEnd w:id="5"/>
    </w:p>
    <w:p w14:paraId="7EC9F24B" w14:textId="77777777" w:rsidR="00D2408D" w:rsidRDefault="00D2408D" w:rsidP="00257EA6">
      <w:pPr>
        <w:pStyle w:val="Napis"/>
      </w:pPr>
    </w:p>
    <w:p w14:paraId="3A8EB14C" w14:textId="3387E0DB" w:rsidR="00257EA6" w:rsidRDefault="00257EA6" w:rsidP="00257EA6">
      <w:pPr>
        <w:pStyle w:val="Napis"/>
      </w:pPr>
      <w:r w:rsidRPr="000700B3">
        <w:t xml:space="preserve">Tabela </w:t>
      </w:r>
      <w:r w:rsidR="00286147">
        <w:fldChar w:fldCharType="begin"/>
      </w:r>
      <w:r w:rsidR="00286147">
        <w:instrText xml:space="preserve"> SEQ Tabela \* ARABIC </w:instrText>
      </w:r>
      <w:r w:rsidR="00286147">
        <w:fldChar w:fldCharType="separate"/>
      </w:r>
      <w:r w:rsidR="00286147">
        <w:rPr>
          <w:noProof/>
        </w:rPr>
        <w:t>3</w:t>
      </w:r>
      <w:r w:rsidR="00286147">
        <w:rPr>
          <w:noProof/>
        </w:rPr>
        <w:fldChar w:fldCharType="end"/>
      </w:r>
      <w:r w:rsidRPr="000700B3">
        <w:t xml:space="preserve">: </w:t>
      </w:r>
      <w:r>
        <w:t>Opis</w:t>
      </w:r>
      <w:r w:rsidRPr="000700B3">
        <w:t xml:space="preserve"> </w:t>
      </w:r>
      <w:r w:rsidR="003B3ED9">
        <w:t xml:space="preserve">podatkov o </w:t>
      </w:r>
      <w:r w:rsidRPr="000700B3">
        <w:t>parametr</w:t>
      </w:r>
      <w:r w:rsidR="003B3ED9">
        <w:t>ih</w:t>
      </w:r>
      <w:r w:rsidRPr="000700B3">
        <w:t xml:space="preserve"> stanja </w:t>
      </w:r>
      <w:r w:rsidR="00866A11">
        <w:t>odpadnih plinov</w:t>
      </w:r>
    </w:p>
    <w:p w14:paraId="0F348189" w14:textId="7CCCF26D" w:rsidR="00257EA6" w:rsidRPr="00257EA6" w:rsidRDefault="6DD96061" w:rsidP="00257EA6">
      <w:r>
        <w:t xml:space="preserve">(OPOMBA: </w:t>
      </w:r>
      <w:r w:rsidR="6021C3F7">
        <w:t>podatki z</w:t>
      </w:r>
      <w:r>
        <w:t xml:space="preserve">a vsak parameter stanja </w:t>
      </w:r>
      <w:r w:rsidR="796FF0FC">
        <w:t xml:space="preserve">odpadnih plinov </w:t>
      </w:r>
      <w:r>
        <w:t xml:space="preserve">se </w:t>
      </w:r>
      <w:r w:rsidR="6021C3F7">
        <w:t xml:space="preserve">opišejo </w:t>
      </w:r>
      <w:r>
        <w:t xml:space="preserve">v </w:t>
      </w:r>
      <w:r w:rsidR="33ABFF00">
        <w:t>tabeli</w:t>
      </w:r>
      <w:r>
        <w:t>)</w:t>
      </w:r>
    </w:p>
    <w:tbl>
      <w:tblPr>
        <w:tblStyle w:val="Tabelamrea"/>
        <w:tblW w:w="8789" w:type="dxa"/>
        <w:tblLayout w:type="fixed"/>
        <w:tblLook w:val="04A0" w:firstRow="1" w:lastRow="0" w:firstColumn="1" w:lastColumn="0" w:noHBand="0" w:noVBand="1"/>
      </w:tblPr>
      <w:tblGrid>
        <w:gridCol w:w="2552"/>
        <w:gridCol w:w="6237"/>
      </w:tblGrid>
      <w:tr w:rsidR="00257EA6" w14:paraId="26AD7FDE" w14:textId="77777777" w:rsidTr="0F458016">
        <w:tc>
          <w:tcPr>
            <w:tcW w:w="2552" w:type="dxa"/>
          </w:tcPr>
          <w:p w14:paraId="6C5A1ED6" w14:textId="77777777" w:rsidR="00257EA6" w:rsidRPr="000700B3" w:rsidRDefault="00257EA6">
            <w:pPr>
              <w:rPr>
                <w:b/>
                <w:bCs/>
              </w:rPr>
            </w:pPr>
            <w:r>
              <w:rPr>
                <w:b/>
                <w:bCs/>
              </w:rPr>
              <w:t>Naziv parametra</w:t>
            </w:r>
          </w:p>
        </w:tc>
        <w:tc>
          <w:tcPr>
            <w:tcW w:w="6237" w:type="dxa"/>
          </w:tcPr>
          <w:p w14:paraId="585DEF2D" w14:textId="08AFC686" w:rsidR="00257EA6" w:rsidRPr="00257EA6" w:rsidRDefault="00257EA6">
            <w:r w:rsidRPr="00257EA6">
              <w:t>Tekstovni opis naziva</w:t>
            </w:r>
            <w:r w:rsidR="003B3ED9">
              <w:t xml:space="preserve"> parametra</w:t>
            </w:r>
            <w:r w:rsidRPr="00257EA6">
              <w:t>.</w:t>
            </w:r>
          </w:p>
        </w:tc>
      </w:tr>
      <w:tr w:rsidR="00257EA6" w14:paraId="7C28AA8F" w14:textId="77777777" w:rsidTr="0F458016">
        <w:tc>
          <w:tcPr>
            <w:tcW w:w="2552" w:type="dxa"/>
          </w:tcPr>
          <w:p w14:paraId="1D7152BB" w14:textId="74A50FF8" w:rsidR="00257EA6" w:rsidRPr="00650E43" w:rsidRDefault="005D59C7" w:rsidP="005D59C7">
            <w:pPr>
              <w:rPr>
                <w:b/>
                <w:bCs/>
              </w:rPr>
            </w:pPr>
            <w:r>
              <w:rPr>
                <w:b/>
                <w:bCs/>
              </w:rPr>
              <w:t xml:space="preserve">Kratica, </w:t>
            </w:r>
            <w:r w:rsidR="00257EA6" w:rsidRPr="00650E43">
              <w:rPr>
                <w:b/>
                <w:bCs/>
              </w:rPr>
              <w:t>oznaka</w:t>
            </w:r>
            <w:r>
              <w:rPr>
                <w:b/>
                <w:bCs/>
              </w:rPr>
              <w:t xml:space="preserve"> ali šifra</w:t>
            </w:r>
          </w:p>
        </w:tc>
        <w:tc>
          <w:tcPr>
            <w:tcW w:w="6237" w:type="dxa"/>
          </w:tcPr>
          <w:p w14:paraId="1F7F929F" w14:textId="03560D7D" w:rsidR="00257EA6" w:rsidRPr="00257EA6" w:rsidRDefault="5F8A153E" w:rsidP="005D59C7">
            <w:r>
              <w:t xml:space="preserve">Kratek naziv, oznaka ali šifra </w:t>
            </w:r>
            <w:r w:rsidR="6DD96061">
              <w:t>parametra, dolžine do 15 znakov.</w:t>
            </w:r>
          </w:p>
        </w:tc>
      </w:tr>
      <w:tr w:rsidR="00257EA6" w14:paraId="60789E53" w14:textId="77777777" w:rsidTr="0F458016">
        <w:tc>
          <w:tcPr>
            <w:tcW w:w="2552" w:type="dxa"/>
          </w:tcPr>
          <w:p w14:paraId="3F24371F" w14:textId="77777777" w:rsidR="00257EA6" w:rsidRPr="00650E43" w:rsidRDefault="00257EA6">
            <w:pPr>
              <w:rPr>
                <w:b/>
                <w:bCs/>
              </w:rPr>
            </w:pPr>
            <w:r w:rsidRPr="00650E43">
              <w:rPr>
                <w:b/>
                <w:bCs/>
              </w:rPr>
              <w:t>Enota</w:t>
            </w:r>
          </w:p>
        </w:tc>
        <w:tc>
          <w:tcPr>
            <w:tcW w:w="6237" w:type="dxa"/>
          </w:tcPr>
          <w:p w14:paraId="6B636DCF" w14:textId="77777777" w:rsidR="00257EA6" w:rsidRPr="00257EA6" w:rsidRDefault="00257EA6">
            <w:r w:rsidRPr="00257EA6">
              <w:t>Enota mere, v kateri so podane vrednosti parametra.</w:t>
            </w:r>
          </w:p>
        </w:tc>
      </w:tr>
      <w:tr w:rsidR="00257EA6" w14:paraId="306E4F31" w14:textId="77777777" w:rsidTr="0F458016">
        <w:tc>
          <w:tcPr>
            <w:tcW w:w="2552" w:type="dxa"/>
          </w:tcPr>
          <w:p w14:paraId="0E5EC75F" w14:textId="0EDE1EEE" w:rsidR="00257EA6" w:rsidRPr="00650E43" w:rsidRDefault="00257EA6" w:rsidP="00F80EDF">
            <w:pPr>
              <w:rPr>
                <w:b/>
                <w:bCs/>
              </w:rPr>
            </w:pPr>
            <w:r>
              <w:rPr>
                <w:b/>
                <w:bCs/>
              </w:rPr>
              <w:t>Format vrednosti</w:t>
            </w:r>
            <w:r w:rsidR="00610DB7">
              <w:rPr>
                <w:b/>
                <w:bCs/>
              </w:rPr>
              <w:t xml:space="preserve"> </w:t>
            </w:r>
          </w:p>
        </w:tc>
        <w:tc>
          <w:tcPr>
            <w:tcW w:w="6237" w:type="dxa"/>
          </w:tcPr>
          <w:p w14:paraId="65134C98" w14:textId="442465A3" w:rsidR="00257EA6" w:rsidRPr="00257EA6" w:rsidRDefault="00610DB7" w:rsidP="00F80EDF">
            <w:r>
              <w:t>Format vrednosti (npr. c</w:t>
            </w:r>
            <w:r w:rsidR="00257EA6" w:rsidRPr="00257EA6">
              <w:t>elo število</w:t>
            </w:r>
            <w:r>
              <w:t>,</w:t>
            </w:r>
            <w:r w:rsidR="003B3ED9">
              <w:t xml:space="preserve"> </w:t>
            </w:r>
            <w:r w:rsidR="00257EA6" w:rsidRPr="00257EA6">
              <w:t>decimalno število s številom decimalnih mest</w:t>
            </w:r>
            <w:r>
              <w:t>)</w:t>
            </w:r>
            <w:r w:rsidR="00257EA6" w:rsidRPr="00257EA6">
              <w:t>.</w:t>
            </w:r>
          </w:p>
        </w:tc>
      </w:tr>
      <w:tr w:rsidR="00257EA6" w14:paraId="0D88F5F7" w14:textId="77777777" w:rsidTr="0F458016">
        <w:tc>
          <w:tcPr>
            <w:tcW w:w="2552" w:type="dxa"/>
          </w:tcPr>
          <w:p w14:paraId="12E0DAD4" w14:textId="1080A18D" w:rsidR="00257EA6" w:rsidRDefault="00257EA6" w:rsidP="00F80EDF">
            <w:pPr>
              <w:rPr>
                <w:b/>
                <w:bCs/>
              </w:rPr>
            </w:pPr>
            <w:r>
              <w:rPr>
                <w:b/>
                <w:bCs/>
              </w:rPr>
              <w:t>Razpon vrednosti</w:t>
            </w:r>
          </w:p>
        </w:tc>
        <w:tc>
          <w:tcPr>
            <w:tcW w:w="6237" w:type="dxa"/>
          </w:tcPr>
          <w:p w14:paraId="5737AA31" w14:textId="6CDC07F1" w:rsidR="00257EA6" w:rsidRPr="00257EA6" w:rsidRDefault="00257EA6">
            <w:r w:rsidRPr="00257EA6">
              <w:t xml:space="preserve">Najmanjša in največja možna </w:t>
            </w:r>
            <w:r w:rsidR="00866A11">
              <w:t xml:space="preserve">izmerjena </w:t>
            </w:r>
            <w:r w:rsidRPr="00257EA6">
              <w:t>vrednost parametra.</w:t>
            </w:r>
          </w:p>
        </w:tc>
      </w:tr>
      <w:tr w:rsidR="005D59C7" w14:paraId="45F293A1" w14:textId="77777777" w:rsidTr="0F458016">
        <w:tc>
          <w:tcPr>
            <w:tcW w:w="2552" w:type="dxa"/>
          </w:tcPr>
          <w:p w14:paraId="0A5969F4" w14:textId="632EC87A" w:rsidR="005D59C7" w:rsidRDefault="5F8A153E" w:rsidP="00BE423E">
            <w:pPr>
              <w:jc w:val="left"/>
              <w:rPr>
                <w:b/>
                <w:bCs/>
              </w:rPr>
            </w:pPr>
            <w:r w:rsidRPr="0F458016">
              <w:rPr>
                <w:b/>
                <w:bCs/>
              </w:rPr>
              <w:t>Vrednosti parametr</w:t>
            </w:r>
            <w:r w:rsidR="43259023" w:rsidRPr="0F458016">
              <w:rPr>
                <w:b/>
                <w:bCs/>
              </w:rPr>
              <w:t>ov</w:t>
            </w:r>
            <w:r w:rsidRPr="0F458016">
              <w:rPr>
                <w:b/>
                <w:bCs/>
              </w:rPr>
              <w:t xml:space="preserve"> kalibracijske funkcije</w:t>
            </w:r>
          </w:p>
        </w:tc>
        <w:tc>
          <w:tcPr>
            <w:tcW w:w="6237" w:type="dxa"/>
          </w:tcPr>
          <w:p w14:paraId="54ECBDF6" w14:textId="77777777" w:rsidR="005D59C7" w:rsidRDefault="005D59C7">
            <w:r>
              <w:t xml:space="preserve">Vrednosti parametrov kalibracijske funkcije (y = a + </w:t>
            </w:r>
            <w:proofErr w:type="spellStart"/>
            <w:r>
              <w:t>bx</w:t>
            </w:r>
            <w:proofErr w:type="spellEnd"/>
            <w:r>
              <w:rPr>
                <w:rFonts w:cs="Arial"/>
              </w:rPr>
              <w:t>)</w:t>
            </w:r>
            <w:r>
              <w:t>, ugotovljene v QAL2 po postopku SIST EN 14181</w:t>
            </w:r>
            <w:r>
              <w:rPr>
                <w:rStyle w:val="Sprotnaopomba-sklic"/>
              </w:rPr>
              <w:footnoteReference w:id="4"/>
            </w:r>
            <w:r w:rsidR="00BE423E">
              <w:t>, v obliki zapisa:</w:t>
            </w:r>
          </w:p>
          <w:p w14:paraId="53928FF6" w14:textId="77777777" w:rsidR="00BE423E" w:rsidRDefault="00BE423E">
            <w:r>
              <w:t>a=</w:t>
            </w:r>
          </w:p>
          <w:p w14:paraId="79611C9F" w14:textId="77777777" w:rsidR="00BE423E" w:rsidRDefault="00BE423E">
            <w:r>
              <w:t>b=</w:t>
            </w:r>
          </w:p>
          <w:p w14:paraId="23426A3E" w14:textId="7725DF5A" w:rsidR="004F146E" w:rsidRDefault="004F146E">
            <w:r>
              <w:t xml:space="preserve">(OPOMBA: Če je pri kalibraciji parametra »Prostorninski pretok odpadnih plinov« po metodi SIST EN 16911-2:2014 kot bolj ustrezna </w:t>
            </w:r>
            <w:r w:rsidR="00AF0F18">
              <w:t>izbrana</w:t>
            </w:r>
            <w:r>
              <w:t xml:space="preserve"> polinomska kalibracijska funkcija, se navedejo členi polinomske funkcije, npr. </w:t>
            </w:r>
            <w:r w:rsidR="00AF0F18">
              <w:t xml:space="preserve">a, b in c za funkcijo 2. reda: </w:t>
            </w:r>
            <w:r>
              <w:t xml:space="preserve">y = a + </w:t>
            </w:r>
            <w:proofErr w:type="spellStart"/>
            <w:r>
              <w:t>bx</w:t>
            </w:r>
            <w:proofErr w:type="spellEnd"/>
            <w:r>
              <w:t xml:space="preserve"> + cx</w:t>
            </w:r>
            <w:r>
              <w:rPr>
                <w:vertAlign w:val="superscript"/>
              </w:rPr>
              <w:t>2</w:t>
            </w:r>
            <w:r>
              <w:t>)</w:t>
            </w:r>
          </w:p>
        </w:tc>
      </w:tr>
      <w:tr w:rsidR="005D59C7" w14:paraId="36478E1E" w14:textId="77777777" w:rsidTr="0F458016">
        <w:tc>
          <w:tcPr>
            <w:tcW w:w="2552" w:type="dxa"/>
          </w:tcPr>
          <w:p w14:paraId="6993274D" w14:textId="1E701096" w:rsidR="005D59C7" w:rsidRDefault="005D59C7" w:rsidP="005D59C7">
            <w:pPr>
              <w:jc w:val="left"/>
              <w:rPr>
                <w:b/>
                <w:bCs/>
              </w:rPr>
            </w:pPr>
            <w:r>
              <w:rPr>
                <w:b/>
                <w:bCs/>
              </w:rPr>
              <w:t>Korekcijska funkcija</w:t>
            </w:r>
          </w:p>
        </w:tc>
        <w:tc>
          <w:tcPr>
            <w:tcW w:w="6237" w:type="dxa"/>
          </w:tcPr>
          <w:p w14:paraId="398E1D39" w14:textId="38FAA848" w:rsidR="00BE423E" w:rsidRDefault="005D59C7" w:rsidP="00BE423E">
            <w:r>
              <w:t>Opis dodatne korekcijske funkcije, če se uporablja za korekcijo ob preračunu FLD v STA</w:t>
            </w:r>
            <w:r w:rsidR="00D2408D">
              <w:t xml:space="preserve"> ali SSTA</w:t>
            </w:r>
            <w:r w:rsidR="00BE423E">
              <w:t xml:space="preserve">. </w:t>
            </w:r>
          </w:p>
          <w:p w14:paraId="4D57A451" w14:textId="347B10A6" w:rsidR="005D59C7" w:rsidRDefault="00BE423E" w:rsidP="00D2408D">
            <w:r>
              <w:t>(npr.: ob uporabni konstantnih nadomestnih vrednosti tlaka ali vsebnosti vodne pare v odpadnih plinih pri preračunu prostorninskega pretoka iz STA v SSTA</w:t>
            </w:r>
            <w:r w:rsidR="00D2408D">
              <w:t>, ali izračun vrednosti tla plinov v odvodniku pri meritvi razlike tlaka v odvodniku proti zunanjemu tlaku, ali korekcija tlaka ali temperature zaradi višinske razlike med točkami meritev, ipd.</w:t>
            </w:r>
            <w:r>
              <w:t>)</w:t>
            </w:r>
            <w:r w:rsidR="005D59C7">
              <w:t>.</w:t>
            </w:r>
          </w:p>
        </w:tc>
      </w:tr>
      <w:tr w:rsidR="003B3ED9" w14:paraId="4CD03474" w14:textId="77777777" w:rsidTr="0F458016">
        <w:tc>
          <w:tcPr>
            <w:tcW w:w="2552" w:type="dxa"/>
          </w:tcPr>
          <w:p w14:paraId="229E7970" w14:textId="791B3629" w:rsidR="003B3ED9" w:rsidRDefault="00BE423E">
            <w:pPr>
              <w:rPr>
                <w:b/>
                <w:bCs/>
              </w:rPr>
            </w:pPr>
            <w:r>
              <w:rPr>
                <w:b/>
                <w:bCs/>
              </w:rPr>
              <w:t>R</w:t>
            </w:r>
            <w:r w:rsidR="003B3ED9">
              <w:rPr>
                <w:b/>
                <w:bCs/>
              </w:rPr>
              <w:t>ačunska vrednost</w:t>
            </w:r>
          </w:p>
        </w:tc>
        <w:tc>
          <w:tcPr>
            <w:tcW w:w="6237" w:type="dxa"/>
          </w:tcPr>
          <w:p w14:paraId="236C9296" w14:textId="5AA7825C" w:rsidR="003B3ED9" w:rsidRDefault="00BE423E" w:rsidP="00BE423E">
            <w:r>
              <w:t>R</w:t>
            </w:r>
            <w:r w:rsidR="00610DB7">
              <w:t xml:space="preserve">ačunska vrednost </w:t>
            </w:r>
            <w:r w:rsidR="00DA0CD3">
              <w:t>vsebnost</w:t>
            </w:r>
            <w:r w:rsidR="00610DB7">
              <w:t>i</w:t>
            </w:r>
            <w:r w:rsidR="00DA0CD3">
              <w:t xml:space="preserve"> kisika v odpadnih plinih, če je pred</w:t>
            </w:r>
            <w:r>
              <w:t>pisana stalna računska vrednost,</w:t>
            </w:r>
            <w:r w:rsidR="00DA0CD3">
              <w:t xml:space="preserve"> ali </w:t>
            </w:r>
            <w:r>
              <w:t xml:space="preserve">zapis </w:t>
            </w:r>
            <w:r w:rsidR="00DA0CD3">
              <w:t>»sprotni izračun«, če se računska vrednost izračunava sproti za vsako kratkotrajno povprečje, v skladu z 29. členom Uredbe o emisiji snovi v zrak iz nepremičnih virov onesnaževanja</w:t>
            </w:r>
            <w:r w:rsidR="00DA0CD3">
              <w:rPr>
                <w:rStyle w:val="Sprotnaopomba-sklic"/>
              </w:rPr>
              <w:footnoteReference w:id="5"/>
            </w:r>
            <w:r w:rsidR="00DA0CD3">
              <w:t>.</w:t>
            </w:r>
          </w:p>
          <w:p w14:paraId="34A58446" w14:textId="64DCC105" w:rsidR="00DA0CD3" w:rsidRPr="00257EA6" w:rsidRDefault="00610DB7" w:rsidP="00BE423E">
            <w:r>
              <w:t xml:space="preserve">(OPOMBA: </w:t>
            </w:r>
            <w:r w:rsidR="00DA0CD3">
              <w:t xml:space="preserve">Če </w:t>
            </w:r>
            <w:r w:rsidR="00BE423E">
              <w:t>je</w:t>
            </w:r>
            <w:r w:rsidR="00DA0CD3">
              <w:t xml:space="preserve"> </w:t>
            </w:r>
            <w:r w:rsidR="00BE423E">
              <w:t>za posamezno snov predpisana posebna</w:t>
            </w:r>
            <w:r>
              <w:t xml:space="preserve"> </w:t>
            </w:r>
            <w:r w:rsidR="00DA0CD3">
              <w:t>računska vrednost vsebnosti kisika</w:t>
            </w:r>
            <w:r w:rsidR="00A601D4">
              <w:t xml:space="preserve">, se ob </w:t>
            </w:r>
            <w:r>
              <w:t>navedeni računski vrednosti navede, za kateri parameter se upošteva.)</w:t>
            </w:r>
          </w:p>
        </w:tc>
      </w:tr>
      <w:tr w:rsidR="00BE423E" w14:paraId="2142ECB8" w14:textId="77777777" w:rsidTr="0F458016">
        <w:tc>
          <w:tcPr>
            <w:tcW w:w="2552" w:type="dxa"/>
          </w:tcPr>
          <w:p w14:paraId="592FE1E0" w14:textId="77777777" w:rsidR="00BE423E" w:rsidRDefault="00BE423E">
            <w:pPr>
              <w:rPr>
                <w:b/>
                <w:bCs/>
              </w:rPr>
            </w:pPr>
            <w:r>
              <w:rPr>
                <w:b/>
                <w:bCs/>
              </w:rPr>
              <w:t>Pogostost odčitavanja</w:t>
            </w:r>
          </w:p>
        </w:tc>
        <w:tc>
          <w:tcPr>
            <w:tcW w:w="6237" w:type="dxa"/>
          </w:tcPr>
          <w:p w14:paraId="1CF94118" w14:textId="77777777" w:rsidR="00BE423E" w:rsidRPr="00257EA6" w:rsidRDefault="00BE423E">
            <w:r>
              <w:t>Časovna pogostost (v sekundah) odčitavanja parametra.</w:t>
            </w:r>
          </w:p>
        </w:tc>
      </w:tr>
      <w:tr w:rsidR="00BE423E" w14:paraId="3AC88E3D" w14:textId="77777777" w:rsidTr="0F458016">
        <w:tc>
          <w:tcPr>
            <w:tcW w:w="8789" w:type="dxa"/>
            <w:gridSpan w:val="2"/>
          </w:tcPr>
          <w:p w14:paraId="27EFEFA0" w14:textId="5B8B40F0" w:rsidR="00BE423E" w:rsidRDefault="00BE423E" w:rsidP="00BE423E">
            <w:r>
              <w:lastRenderedPageBreak/>
              <w:t>Samo za parameter »prostorninski pretok«,</w:t>
            </w:r>
            <w:r w:rsidRPr="00257EA6">
              <w:t xml:space="preserve"> če je </w:t>
            </w:r>
            <w:r>
              <w:t>mejna vrednost prostorninskega pretoka predpisana z OVD:</w:t>
            </w:r>
          </w:p>
        </w:tc>
      </w:tr>
      <w:tr w:rsidR="00257EA6" w14:paraId="6FE517CA" w14:textId="77777777" w:rsidTr="0F458016">
        <w:tc>
          <w:tcPr>
            <w:tcW w:w="2552" w:type="dxa"/>
          </w:tcPr>
          <w:p w14:paraId="3B244807" w14:textId="7BE11ADD" w:rsidR="00257EA6" w:rsidRDefault="00BE423E" w:rsidP="00BE423E">
            <w:pPr>
              <w:jc w:val="left"/>
              <w:rPr>
                <w:b/>
                <w:bCs/>
              </w:rPr>
            </w:pPr>
            <w:r>
              <w:rPr>
                <w:b/>
                <w:bCs/>
              </w:rPr>
              <w:t>Mejna vrednost Do</w:t>
            </w:r>
          </w:p>
        </w:tc>
        <w:tc>
          <w:tcPr>
            <w:tcW w:w="6237" w:type="dxa"/>
          </w:tcPr>
          <w:p w14:paraId="79EC0E14" w14:textId="6912092B" w:rsidR="00257EA6" w:rsidRPr="00257EA6" w:rsidRDefault="00257EA6" w:rsidP="00BE423E">
            <w:r w:rsidRPr="00257EA6">
              <w:t>Največja dovoljena</w:t>
            </w:r>
            <w:r w:rsidR="00BE423E">
              <w:t xml:space="preserve"> vrednost</w:t>
            </w:r>
            <w:r w:rsidRPr="00257EA6">
              <w:t>.</w:t>
            </w:r>
          </w:p>
        </w:tc>
      </w:tr>
    </w:tbl>
    <w:p w14:paraId="238CF74C" w14:textId="77777777" w:rsidR="00257EA6" w:rsidRDefault="00257EA6" w:rsidP="00C40530"/>
    <w:p w14:paraId="703246D8" w14:textId="32D3F4EB" w:rsidR="00B05BC8" w:rsidRDefault="00B05BC8" w:rsidP="00B05BC8">
      <w:pPr>
        <w:pStyle w:val="Naslov2"/>
      </w:pPr>
      <w:bookmarkStart w:id="6" w:name="_Toc214274541"/>
      <w:r>
        <w:t>Emisijske koncentracije snovi</w:t>
      </w:r>
      <w:bookmarkEnd w:id="6"/>
    </w:p>
    <w:p w14:paraId="7DE3A69A" w14:textId="77777777" w:rsidR="00B05BC8" w:rsidRDefault="00B05BC8" w:rsidP="00B05BC8"/>
    <w:p w14:paraId="217B6512" w14:textId="33B85D45" w:rsidR="00B05BC8" w:rsidRDefault="00B05BC8" w:rsidP="00B05BC8">
      <w:pPr>
        <w:pStyle w:val="Napis"/>
      </w:pPr>
      <w:r w:rsidRPr="000700B3">
        <w:t xml:space="preserve">Tabela </w:t>
      </w:r>
      <w:r w:rsidR="00286147">
        <w:fldChar w:fldCharType="begin"/>
      </w:r>
      <w:r w:rsidR="00286147">
        <w:instrText xml:space="preserve"> SEQ Tabela \* ARABIC </w:instrText>
      </w:r>
      <w:r w:rsidR="00286147">
        <w:fldChar w:fldCharType="separate"/>
      </w:r>
      <w:r w:rsidR="00286147">
        <w:rPr>
          <w:noProof/>
        </w:rPr>
        <w:t>4</w:t>
      </w:r>
      <w:r w:rsidR="00286147">
        <w:rPr>
          <w:noProof/>
        </w:rPr>
        <w:fldChar w:fldCharType="end"/>
      </w:r>
      <w:r w:rsidRPr="000700B3">
        <w:t xml:space="preserve">: </w:t>
      </w:r>
      <w:r>
        <w:t>Opis</w:t>
      </w:r>
      <w:r w:rsidRPr="000700B3">
        <w:t xml:space="preserve"> </w:t>
      </w:r>
      <w:r>
        <w:t>podatkov o m</w:t>
      </w:r>
      <w:r w:rsidR="00610DB7">
        <w:t>eritvah emisijskih koncentracij</w:t>
      </w:r>
    </w:p>
    <w:p w14:paraId="15E13896" w14:textId="0CFE0A02" w:rsidR="00B05BC8" w:rsidRPr="00257EA6" w:rsidRDefault="6021C3F7" w:rsidP="00B05BC8">
      <w:r>
        <w:t xml:space="preserve">(OPOMBA: Za </w:t>
      </w:r>
      <w:r w:rsidR="34907FCC">
        <w:t>vsako emitirano snov</w:t>
      </w:r>
      <w:r>
        <w:t xml:space="preserve"> se </w:t>
      </w:r>
      <w:r w:rsidR="34907FCC">
        <w:t xml:space="preserve">podatki opišejo </w:t>
      </w:r>
      <w:r>
        <w:t xml:space="preserve">v </w:t>
      </w:r>
      <w:r w:rsidR="2016572B">
        <w:t>tabeli</w:t>
      </w:r>
      <w:r>
        <w:t>)</w:t>
      </w:r>
    </w:p>
    <w:tbl>
      <w:tblPr>
        <w:tblStyle w:val="Tabelamrea"/>
        <w:tblW w:w="8789" w:type="dxa"/>
        <w:tblLayout w:type="fixed"/>
        <w:tblLook w:val="04A0" w:firstRow="1" w:lastRow="0" w:firstColumn="1" w:lastColumn="0" w:noHBand="0" w:noVBand="1"/>
      </w:tblPr>
      <w:tblGrid>
        <w:gridCol w:w="2552"/>
        <w:gridCol w:w="6237"/>
      </w:tblGrid>
      <w:tr w:rsidR="00B05BC8" w14:paraId="0B662999" w14:textId="77777777" w:rsidTr="0F458016">
        <w:tc>
          <w:tcPr>
            <w:tcW w:w="2552" w:type="dxa"/>
          </w:tcPr>
          <w:p w14:paraId="7C448C2F" w14:textId="77777777" w:rsidR="00B05BC8" w:rsidRPr="000700B3" w:rsidRDefault="00B05BC8" w:rsidP="006A0866">
            <w:pPr>
              <w:jc w:val="left"/>
              <w:rPr>
                <w:b/>
                <w:bCs/>
              </w:rPr>
            </w:pPr>
            <w:r>
              <w:rPr>
                <w:b/>
                <w:bCs/>
              </w:rPr>
              <w:t>Naziv parametra</w:t>
            </w:r>
          </w:p>
        </w:tc>
        <w:tc>
          <w:tcPr>
            <w:tcW w:w="6237" w:type="dxa"/>
          </w:tcPr>
          <w:p w14:paraId="6CC2E207" w14:textId="77777777" w:rsidR="00B05BC8" w:rsidRPr="00257EA6" w:rsidRDefault="00B05BC8">
            <w:r w:rsidRPr="00257EA6">
              <w:t>Tekstovni opis naziva.</w:t>
            </w:r>
          </w:p>
        </w:tc>
      </w:tr>
      <w:tr w:rsidR="00B05BC8" w14:paraId="2AFDC9AD" w14:textId="77777777" w:rsidTr="0F458016">
        <w:tc>
          <w:tcPr>
            <w:tcW w:w="2552" w:type="dxa"/>
          </w:tcPr>
          <w:p w14:paraId="26DD11DC" w14:textId="73A2CF1C" w:rsidR="00B05BC8" w:rsidRPr="00650E43" w:rsidRDefault="005D59C7" w:rsidP="005D59C7">
            <w:pPr>
              <w:jc w:val="left"/>
              <w:rPr>
                <w:b/>
                <w:bCs/>
              </w:rPr>
            </w:pPr>
            <w:r>
              <w:rPr>
                <w:b/>
                <w:bCs/>
              </w:rPr>
              <w:t xml:space="preserve">Kratica, </w:t>
            </w:r>
            <w:r w:rsidR="00B05BC8" w:rsidRPr="00650E43">
              <w:rPr>
                <w:b/>
                <w:bCs/>
              </w:rPr>
              <w:t>oznaka</w:t>
            </w:r>
            <w:r>
              <w:rPr>
                <w:b/>
                <w:bCs/>
              </w:rPr>
              <w:t xml:space="preserve"> ali šifra</w:t>
            </w:r>
          </w:p>
        </w:tc>
        <w:tc>
          <w:tcPr>
            <w:tcW w:w="6237" w:type="dxa"/>
          </w:tcPr>
          <w:p w14:paraId="0A02DDA5" w14:textId="0FBC340E" w:rsidR="00B05BC8" w:rsidRPr="00257EA6" w:rsidRDefault="005D59C7" w:rsidP="005D59C7">
            <w:r>
              <w:t xml:space="preserve">Kratek naziv, oznaka ali šifra </w:t>
            </w:r>
            <w:r w:rsidR="00B05BC8" w:rsidRPr="00257EA6">
              <w:t>parametra, dolžine do 15 znakov.</w:t>
            </w:r>
          </w:p>
        </w:tc>
      </w:tr>
      <w:tr w:rsidR="00B05BC8" w14:paraId="1172E7CE" w14:textId="77777777" w:rsidTr="0F458016">
        <w:tc>
          <w:tcPr>
            <w:tcW w:w="2552" w:type="dxa"/>
          </w:tcPr>
          <w:p w14:paraId="652EB74E" w14:textId="0F95A19B" w:rsidR="00B05BC8" w:rsidRPr="00650E43" w:rsidRDefault="00B05BC8" w:rsidP="00F80EDF">
            <w:pPr>
              <w:jc w:val="left"/>
              <w:rPr>
                <w:b/>
                <w:bCs/>
              </w:rPr>
            </w:pPr>
            <w:r w:rsidRPr="00650E43">
              <w:rPr>
                <w:b/>
                <w:bCs/>
              </w:rPr>
              <w:t>Enota</w:t>
            </w:r>
          </w:p>
        </w:tc>
        <w:tc>
          <w:tcPr>
            <w:tcW w:w="6237" w:type="dxa"/>
          </w:tcPr>
          <w:p w14:paraId="4C3B13C9" w14:textId="51E482B1" w:rsidR="00B05BC8" w:rsidRPr="00257EA6" w:rsidRDefault="00B05BC8" w:rsidP="00F80EDF">
            <w:r w:rsidRPr="00257EA6">
              <w:t>Enota mere, v kateri so podane vrednosti parametra.</w:t>
            </w:r>
          </w:p>
        </w:tc>
      </w:tr>
      <w:tr w:rsidR="00B05BC8" w14:paraId="1C3CB065" w14:textId="77777777" w:rsidTr="0F458016">
        <w:tc>
          <w:tcPr>
            <w:tcW w:w="2552" w:type="dxa"/>
          </w:tcPr>
          <w:p w14:paraId="00337EE4" w14:textId="48A57997" w:rsidR="00B05BC8" w:rsidRPr="00650E43" w:rsidRDefault="00B05BC8" w:rsidP="00F80EDF">
            <w:pPr>
              <w:jc w:val="left"/>
              <w:rPr>
                <w:b/>
                <w:bCs/>
              </w:rPr>
            </w:pPr>
            <w:r>
              <w:rPr>
                <w:b/>
                <w:bCs/>
              </w:rPr>
              <w:t xml:space="preserve">Format </w:t>
            </w:r>
            <w:r w:rsidR="00610DB7">
              <w:rPr>
                <w:b/>
                <w:bCs/>
              </w:rPr>
              <w:t>vrednosti</w:t>
            </w:r>
          </w:p>
        </w:tc>
        <w:tc>
          <w:tcPr>
            <w:tcW w:w="6237" w:type="dxa"/>
          </w:tcPr>
          <w:p w14:paraId="52979505" w14:textId="3F9CC0E1" w:rsidR="00B05BC8" w:rsidRPr="00257EA6" w:rsidRDefault="003B3ED9">
            <w:r>
              <w:t>C</w:t>
            </w:r>
            <w:r w:rsidR="00B05BC8" w:rsidRPr="00257EA6">
              <w:t>elo število</w:t>
            </w:r>
            <w:r>
              <w:t xml:space="preserve"> ali</w:t>
            </w:r>
            <w:r w:rsidR="00B05BC8" w:rsidRPr="00257EA6">
              <w:t xml:space="preserve"> decimalno število s številom decimalnih mest.</w:t>
            </w:r>
          </w:p>
        </w:tc>
      </w:tr>
      <w:tr w:rsidR="00337F07" w14:paraId="2A3623AC" w14:textId="77777777" w:rsidTr="0F458016">
        <w:tc>
          <w:tcPr>
            <w:tcW w:w="2552" w:type="dxa"/>
          </w:tcPr>
          <w:p w14:paraId="055CF3D2" w14:textId="69D032E4" w:rsidR="00337F07" w:rsidRDefault="00337F07">
            <w:pPr>
              <w:jc w:val="left"/>
              <w:rPr>
                <w:b/>
                <w:bCs/>
              </w:rPr>
            </w:pPr>
            <w:r>
              <w:rPr>
                <w:b/>
                <w:bCs/>
              </w:rPr>
              <w:t>Spodnja meja določanja</w:t>
            </w:r>
            <w:r w:rsidR="00B47893">
              <w:rPr>
                <w:b/>
                <w:bCs/>
              </w:rPr>
              <w:t xml:space="preserve"> (LOQ)</w:t>
            </w:r>
          </w:p>
        </w:tc>
        <w:tc>
          <w:tcPr>
            <w:tcW w:w="6237" w:type="dxa"/>
          </w:tcPr>
          <w:p w14:paraId="5A026DAB" w14:textId="2B734A48" w:rsidR="00337F07" w:rsidRPr="00257EA6" w:rsidRDefault="00337F07">
            <w:r>
              <w:t>Vrednost spodnje meje določanja</w:t>
            </w:r>
            <w:r w:rsidR="00B47893">
              <w:t xml:space="preserve"> merilne metode</w:t>
            </w:r>
            <w:r>
              <w:t>.</w:t>
            </w:r>
          </w:p>
        </w:tc>
      </w:tr>
      <w:tr w:rsidR="00D0751B" w14:paraId="0AB308BD" w14:textId="77777777" w:rsidTr="0F458016">
        <w:tc>
          <w:tcPr>
            <w:tcW w:w="2552" w:type="dxa"/>
          </w:tcPr>
          <w:p w14:paraId="7BDA2444" w14:textId="2C0E1838" w:rsidR="00D0751B" w:rsidRDefault="00D0751B">
            <w:pPr>
              <w:jc w:val="left"/>
              <w:rPr>
                <w:b/>
                <w:bCs/>
              </w:rPr>
            </w:pPr>
            <w:r>
              <w:rPr>
                <w:b/>
                <w:bCs/>
              </w:rPr>
              <w:t>Zgornja meja merilnega območja</w:t>
            </w:r>
          </w:p>
        </w:tc>
        <w:tc>
          <w:tcPr>
            <w:tcW w:w="6237" w:type="dxa"/>
          </w:tcPr>
          <w:p w14:paraId="7AAE45A7" w14:textId="67AF574B" w:rsidR="00D0751B" w:rsidRDefault="7BD206AD" w:rsidP="00D0751B">
            <w:r>
              <w:t>Vrednost zgornje meje območja merilne metode</w:t>
            </w:r>
            <w:r w:rsidR="46CAF10A">
              <w:t>.</w:t>
            </w:r>
          </w:p>
        </w:tc>
      </w:tr>
      <w:tr w:rsidR="00885D63" w14:paraId="4192D43D" w14:textId="77777777" w:rsidTr="0F458016">
        <w:tc>
          <w:tcPr>
            <w:tcW w:w="2552" w:type="dxa"/>
          </w:tcPr>
          <w:p w14:paraId="622B1726" w14:textId="62D0DF2D" w:rsidR="00885D63" w:rsidRDefault="00F80EDF" w:rsidP="00D2408D">
            <w:pPr>
              <w:jc w:val="left"/>
              <w:rPr>
                <w:b/>
                <w:bCs/>
              </w:rPr>
            </w:pPr>
            <w:r>
              <w:rPr>
                <w:b/>
                <w:bCs/>
              </w:rPr>
              <w:t>Vrednosti parametr</w:t>
            </w:r>
            <w:r w:rsidR="00D2408D">
              <w:rPr>
                <w:b/>
                <w:bCs/>
              </w:rPr>
              <w:t>ov</w:t>
            </w:r>
            <w:r>
              <w:rPr>
                <w:b/>
                <w:bCs/>
              </w:rPr>
              <w:t xml:space="preserve"> funkcije</w:t>
            </w:r>
          </w:p>
        </w:tc>
        <w:tc>
          <w:tcPr>
            <w:tcW w:w="6237" w:type="dxa"/>
          </w:tcPr>
          <w:p w14:paraId="75AFB6DC" w14:textId="77777777" w:rsidR="00D2408D" w:rsidRDefault="00885D63" w:rsidP="00D2408D">
            <w:r>
              <w:t>Vrednosti parametrov kalibracijske funkcije</w:t>
            </w:r>
            <w:r w:rsidR="00F80EDF">
              <w:t xml:space="preserve"> (y = a + </w:t>
            </w:r>
            <w:proofErr w:type="spellStart"/>
            <w:r w:rsidR="00F80EDF">
              <w:t>bx</w:t>
            </w:r>
            <w:proofErr w:type="spellEnd"/>
            <w:r w:rsidR="00F80EDF">
              <w:rPr>
                <w:rFonts w:cs="Arial"/>
              </w:rPr>
              <w:t>)</w:t>
            </w:r>
            <w:r>
              <w:t>, ugotovljene v QAL2 po postopku SIST EN 14181</w:t>
            </w:r>
            <w:r w:rsidR="00D2408D">
              <w:t>, v obliki zapisa:</w:t>
            </w:r>
          </w:p>
          <w:p w14:paraId="62FE6AC7" w14:textId="77777777" w:rsidR="00D2408D" w:rsidRDefault="00D2408D" w:rsidP="00D2408D">
            <w:r>
              <w:t>a=</w:t>
            </w:r>
          </w:p>
          <w:p w14:paraId="2A23FC4D" w14:textId="0DB8BF24" w:rsidR="00D2408D" w:rsidRDefault="00D2408D" w:rsidP="00D2408D">
            <w:r>
              <w:t>b=</w:t>
            </w:r>
          </w:p>
        </w:tc>
      </w:tr>
      <w:tr w:rsidR="00885D63" w14:paraId="47C38B97" w14:textId="77777777" w:rsidTr="0F458016">
        <w:tc>
          <w:tcPr>
            <w:tcW w:w="2552" w:type="dxa"/>
          </w:tcPr>
          <w:p w14:paraId="79425273" w14:textId="77777777" w:rsidR="00885D63" w:rsidRDefault="00885D63" w:rsidP="00885D63">
            <w:pPr>
              <w:jc w:val="left"/>
              <w:rPr>
                <w:b/>
                <w:bCs/>
              </w:rPr>
            </w:pPr>
            <w:r>
              <w:rPr>
                <w:b/>
                <w:bCs/>
              </w:rPr>
              <w:t>Zgornja meja veljavnosti kalibracijske funkcije</w:t>
            </w:r>
          </w:p>
        </w:tc>
        <w:tc>
          <w:tcPr>
            <w:tcW w:w="6237" w:type="dxa"/>
          </w:tcPr>
          <w:p w14:paraId="0061ECBC" w14:textId="0AF7B5F6" w:rsidR="00885D63" w:rsidRDefault="00885D63" w:rsidP="00885D63">
            <w:r>
              <w:t>Zgornja meja veljavnosti kalibracijske funkcije, ugotovljene v QAL2 po postopku SIST EN 14181</w:t>
            </w:r>
          </w:p>
        </w:tc>
      </w:tr>
      <w:tr w:rsidR="005D59C7" w14:paraId="2E559B49" w14:textId="77777777" w:rsidTr="0F458016">
        <w:tc>
          <w:tcPr>
            <w:tcW w:w="2552" w:type="dxa"/>
          </w:tcPr>
          <w:p w14:paraId="7090256C" w14:textId="77777777" w:rsidR="005D59C7" w:rsidRDefault="005D59C7">
            <w:pPr>
              <w:jc w:val="left"/>
              <w:rPr>
                <w:b/>
                <w:bCs/>
              </w:rPr>
            </w:pPr>
            <w:r>
              <w:rPr>
                <w:b/>
                <w:bCs/>
              </w:rPr>
              <w:t>Korekcijska funkcija</w:t>
            </w:r>
          </w:p>
        </w:tc>
        <w:tc>
          <w:tcPr>
            <w:tcW w:w="6237" w:type="dxa"/>
          </w:tcPr>
          <w:p w14:paraId="64F88D67" w14:textId="7B41C09D" w:rsidR="00BE423E" w:rsidRDefault="005D59C7" w:rsidP="00D2408D">
            <w:r>
              <w:t>Opis dodatne korekcijske funkcije, če se uporablja za korekcijo ob preračunu FLD v STA.</w:t>
            </w:r>
            <w:r w:rsidR="00D2408D">
              <w:t xml:space="preserve"> </w:t>
            </w:r>
            <w:r w:rsidR="00BE423E">
              <w:t>(npr.</w:t>
            </w:r>
            <w:r w:rsidR="00D2408D">
              <w:t>:</w:t>
            </w:r>
            <w:r w:rsidR="00BE423E">
              <w:t xml:space="preserve"> </w:t>
            </w:r>
            <w:r w:rsidR="00D2408D">
              <w:t xml:space="preserve">uporaba faktorja </w:t>
            </w:r>
            <w:r w:rsidR="00BE423E">
              <w:t xml:space="preserve">pri preračunu </w:t>
            </w:r>
            <w:r w:rsidR="00D2408D">
              <w:t>FLD vrednosti koncentracije dušikovega monoksida v STA vrednost dušikovega dioksida, ali ob upoštevanju konstantnega deleža SO</w:t>
            </w:r>
            <w:r w:rsidR="00D2408D">
              <w:rPr>
                <w:vertAlign w:val="subscript"/>
              </w:rPr>
              <w:t>3</w:t>
            </w:r>
            <w:r w:rsidR="00D2408D">
              <w:t xml:space="preserve"> v vsoti SO</w:t>
            </w:r>
            <w:r w:rsidR="00D2408D">
              <w:rPr>
                <w:vertAlign w:val="subscript"/>
              </w:rPr>
              <w:t>2</w:t>
            </w:r>
            <w:r w:rsidR="00D2408D">
              <w:t xml:space="preserve"> in SO</w:t>
            </w:r>
            <w:r w:rsidR="00D2408D">
              <w:rPr>
                <w:vertAlign w:val="subscript"/>
              </w:rPr>
              <w:t>3</w:t>
            </w:r>
            <w:r w:rsidR="00D2408D">
              <w:t xml:space="preserve">, ipd.) </w:t>
            </w:r>
          </w:p>
        </w:tc>
      </w:tr>
      <w:tr w:rsidR="00885D63" w14:paraId="43C349A3" w14:textId="77777777" w:rsidTr="0F458016">
        <w:tc>
          <w:tcPr>
            <w:tcW w:w="2552" w:type="dxa"/>
          </w:tcPr>
          <w:p w14:paraId="52E1D38E" w14:textId="543B2D35" w:rsidR="00885D63" w:rsidRDefault="00885D63" w:rsidP="00885D63">
            <w:pPr>
              <w:jc w:val="left"/>
              <w:rPr>
                <w:b/>
                <w:bCs/>
              </w:rPr>
            </w:pPr>
            <w:r>
              <w:rPr>
                <w:b/>
                <w:bCs/>
              </w:rPr>
              <w:t>Interval zaupanja</w:t>
            </w:r>
            <w:r w:rsidR="00B47893">
              <w:rPr>
                <w:b/>
                <w:bCs/>
              </w:rPr>
              <w:t xml:space="preserve"> (CL)</w:t>
            </w:r>
          </w:p>
        </w:tc>
        <w:tc>
          <w:tcPr>
            <w:tcW w:w="6237" w:type="dxa"/>
          </w:tcPr>
          <w:p w14:paraId="3C7DDE3B" w14:textId="5E65EF82" w:rsidR="00885D63" w:rsidRPr="00257EA6" w:rsidRDefault="00885D63" w:rsidP="00885D63">
            <w:r>
              <w:t xml:space="preserve">Vrednost intervala zaupanja, ki se uporablja za izračun </w:t>
            </w:r>
            <w:proofErr w:type="spellStart"/>
            <w:r>
              <w:t>validirane</w:t>
            </w:r>
            <w:proofErr w:type="spellEnd"/>
            <w:r>
              <w:t xml:space="preserve"> kratkotrajne povprečne vrednosti (VSTA).</w:t>
            </w:r>
          </w:p>
        </w:tc>
      </w:tr>
      <w:tr w:rsidR="00AA6FC3" w14:paraId="736182F2" w14:textId="77777777">
        <w:tc>
          <w:tcPr>
            <w:tcW w:w="2552" w:type="dxa"/>
          </w:tcPr>
          <w:p w14:paraId="7D21C878" w14:textId="5B8D199E" w:rsidR="00AA6FC3" w:rsidRDefault="00AA6FC3">
            <w:pPr>
              <w:jc w:val="left"/>
              <w:rPr>
                <w:b/>
                <w:bCs/>
              </w:rPr>
            </w:pPr>
            <w:r>
              <w:rPr>
                <w:b/>
                <w:bCs/>
              </w:rPr>
              <w:t>Mejna vrednost</w:t>
            </w:r>
          </w:p>
        </w:tc>
        <w:tc>
          <w:tcPr>
            <w:tcW w:w="6237" w:type="dxa"/>
          </w:tcPr>
          <w:p w14:paraId="14148C92" w14:textId="77777777" w:rsidR="00AA6FC3" w:rsidRPr="00257EA6" w:rsidRDefault="00AA6FC3">
            <w:r>
              <w:t>Mejna</w:t>
            </w:r>
            <w:r w:rsidRPr="00257EA6">
              <w:t xml:space="preserve"> vrednost </w:t>
            </w:r>
            <w:r>
              <w:t>emisijske koncentracije</w:t>
            </w:r>
            <w:r w:rsidRPr="00257EA6">
              <w:t>,</w:t>
            </w:r>
            <w:r>
              <w:t xml:space="preserve"> ki se uporablja pri vrednotenju VSTA,</w:t>
            </w:r>
            <w:r w:rsidRPr="00257EA6">
              <w:t xml:space="preserve"> če je predpisana z OVD ali predpisom</w:t>
            </w:r>
            <w:r>
              <w:t xml:space="preserve"> oz. mejna vrednost A v primeru sežigalnice odpadkov</w:t>
            </w:r>
            <w:r w:rsidRPr="00257EA6">
              <w:t>.</w:t>
            </w:r>
          </w:p>
        </w:tc>
      </w:tr>
      <w:tr w:rsidR="00885D63" w14:paraId="2B9FCCFC" w14:textId="77777777" w:rsidTr="0F458016">
        <w:tc>
          <w:tcPr>
            <w:tcW w:w="2552" w:type="dxa"/>
          </w:tcPr>
          <w:p w14:paraId="2591CE43" w14:textId="21F22B1A" w:rsidR="00885D63" w:rsidRDefault="00885D63" w:rsidP="00885D63">
            <w:pPr>
              <w:jc w:val="left"/>
              <w:rPr>
                <w:b/>
                <w:bCs/>
              </w:rPr>
            </w:pPr>
            <w:r>
              <w:rPr>
                <w:b/>
                <w:bCs/>
              </w:rPr>
              <w:t>Mejna vrednost A</w:t>
            </w:r>
          </w:p>
        </w:tc>
        <w:tc>
          <w:tcPr>
            <w:tcW w:w="6237" w:type="dxa"/>
          </w:tcPr>
          <w:p w14:paraId="65A2A4F9" w14:textId="08C4144B" w:rsidR="00885D63" w:rsidRPr="00257EA6" w:rsidRDefault="00885D63" w:rsidP="00B47893">
            <w:r>
              <w:t>Mejna</w:t>
            </w:r>
            <w:r w:rsidRPr="00257EA6">
              <w:t xml:space="preserve"> vrednost </w:t>
            </w:r>
            <w:r>
              <w:t>emisijske koncentracije</w:t>
            </w:r>
            <w:r w:rsidRPr="00257EA6">
              <w:t>,</w:t>
            </w:r>
            <w:r w:rsidR="00B47893">
              <w:t xml:space="preserve"> ki se uporablja pri vrednotenju VSTA,</w:t>
            </w:r>
            <w:r w:rsidRPr="00257EA6">
              <w:t xml:space="preserve"> če je predpisana z OVD ali predpisom</w:t>
            </w:r>
            <w:r>
              <w:t xml:space="preserve"> oz. mejna vrednost A v primeru sežigalnice odpadkov</w:t>
            </w:r>
            <w:r w:rsidRPr="00257EA6">
              <w:t>.</w:t>
            </w:r>
          </w:p>
        </w:tc>
      </w:tr>
      <w:tr w:rsidR="00885D63" w14:paraId="6C08BAD3" w14:textId="77777777" w:rsidTr="0F458016">
        <w:tc>
          <w:tcPr>
            <w:tcW w:w="2552" w:type="dxa"/>
          </w:tcPr>
          <w:p w14:paraId="2C87A1EF" w14:textId="720B0C75" w:rsidR="00885D63" w:rsidRDefault="00885D63" w:rsidP="00885D63">
            <w:pPr>
              <w:jc w:val="left"/>
              <w:rPr>
                <w:b/>
                <w:bCs/>
              </w:rPr>
            </w:pPr>
            <w:r>
              <w:rPr>
                <w:b/>
                <w:bCs/>
              </w:rPr>
              <w:t>Mejna vrednost B</w:t>
            </w:r>
          </w:p>
        </w:tc>
        <w:tc>
          <w:tcPr>
            <w:tcW w:w="6237" w:type="dxa"/>
          </w:tcPr>
          <w:p w14:paraId="6A5C251D" w14:textId="2B2ABAE5" w:rsidR="00885D63" w:rsidRPr="00257EA6" w:rsidRDefault="00885D63" w:rsidP="00885D63">
            <w:r>
              <w:t>V primeru sežigalnice odpadkov mejna</w:t>
            </w:r>
            <w:r w:rsidRPr="00257EA6">
              <w:t xml:space="preserve"> vrednost </w:t>
            </w:r>
            <w:r>
              <w:t>B emisijske koncentracije</w:t>
            </w:r>
            <w:r w:rsidRPr="00257EA6">
              <w:t>, če je predpisana z OVD.</w:t>
            </w:r>
          </w:p>
        </w:tc>
      </w:tr>
      <w:tr w:rsidR="00910AE6" w14:paraId="4F23D9A4" w14:textId="77777777">
        <w:tc>
          <w:tcPr>
            <w:tcW w:w="2552" w:type="dxa"/>
          </w:tcPr>
          <w:p w14:paraId="046DB690" w14:textId="77777777" w:rsidR="00910AE6" w:rsidRDefault="00910AE6">
            <w:pPr>
              <w:jc w:val="left"/>
              <w:rPr>
                <w:b/>
                <w:bCs/>
              </w:rPr>
            </w:pPr>
            <w:r>
              <w:rPr>
                <w:b/>
                <w:bCs/>
              </w:rPr>
              <w:lastRenderedPageBreak/>
              <w:t>Mejna vrednost C</w:t>
            </w:r>
          </w:p>
        </w:tc>
        <w:tc>
          <w:tcPr>
            <w:tcW w:w="6237" w:type="dxa"/>
          </w:tcPr>
          <w:p w14:paraId="00015B9A" w14:textId="3A8C698F" w:rsidR="00910AE6" w:rsidRPr="00257EA6" w:rsidRDefault="00910AE6">
            <w:r>
              <w:t xml:space="preserve">Mejna vrednost v </w:t>
            </w:r>
            <w:r w:rsidR="004D4B02">
              <w:t>pogojih izrednega obratovalnega stanja</w:t>
            </w:r>
            <w:r>
              <w:t>, če je predpisana z OVD ali na podlagi posebnega predpisa</w:t>
            </w:r>
            <w:r w:rsidRPr="00257EA6">
              <w:t>.</w:t>
            </w:r>
          </w:p>
        </w:tc>
      </w:tr>
      <w:tr w:rsidR="00910AE6" w14:paraId="57AC92E8" w14:textId="77777777">
        <w:tc>
          <w:tcPr>
            <w:tcW w:w="2552" w:type="dxa"/>
          </w:tcPr>
          <w:p w14:paraId="0BC0C500" w14:textId="77777777" w:rsidR="00910AE6" w:rsidRDefault="00910AE6">
            <w:pPr>
              <w:jc w:val="left"/>
              <w:rPr>
                <w:b/>
                <w:bCs/>
              </w:rPr>
            </w:pPr>
            <w:r>
              <w:rPr>
                <w:b/>
                <w:bCs/>
              </w:rPr>
              <w:t>Mejna vrednost 10min</w:t>
            </w:r>
          </w:p>
        </w:tc>
        <w:tc>
          <w:tcPr>
            <w:tcW w:w="6237" w:type="dxa"/>
          </w:tcPr>
          <w:p w14:paraId="7D5241A0" w14:textId="3D67402A" w:rsidR="00910AE6" w:rsidRPr="00257EA6" w:rsidRDefault="00910AE6">
            <w:r>
              <w:t>Mejna vrednost v 10-minutnem časovnem intervalu, če je predpisana z OVD ali na podlagi posebnega predpisa</w:t>
            </w:r>
            <w:r w:rsidRPr="00257EA6">
              <w:t>.</w:t>
            </w:r>
          </w:p>
        </w:tc>
      </w:tr>
      <w:tr w:rsidR="00885D63" w14:paraId="176B23B4" w14:textId="77777777" w:rsidTr="0F458016">
        <w:tc>
          <w:tcPr>
            <w:tcW w:w="2552" w:type="dxa"/>
          </w:tcPr>
          <w:p w14:paraId="25419C08" w14:textId="3981FA47" w:rsidR="00885D63" w:rsidRDefault="00885D63" w:rsidP="00885D63">
            <w:pPr>
              <w:jc w:val="left"/>
              <w:rPr>
                <w:b/>
                <w:bCs/>
              </w:rPr>
            </w:pPr>
            <w:r>
              <w:rPr>
                <w:b/>
                <w:bCs/>
              </w:rPr>
              <w:t xml:space="preserve">Mejna vrednost </w:t>
            </w:r>
            <w:r w:rsidR="00910AE6">
              <w:rPr>
                <w:b/>
                <w:bCs/>
              </w:rPr>
              <w:t>60min</w:t>
            </w:r>
          </w:p>
        </w:tc>
        <w:tc>
          <w:tcPr>
            <w:tcW w:w="6237" w:type="dxa"/>
          </w:tcPr>
          <w:p w14:paraId="610BA94F" w14:textId="1BDB3475" w:rsidR="00885D63" w:rsidRPr="00257EA6" w:rsidRDefault="00885D63" w:rsidP="00B47893">
            <w:r>
              <w:t xml:space="preserve">Mejna vrednost v </w:t>
            </w:r>
            <w:r w:rsidR="00910AE6">
              <w:t>1-urnem (60-minutnem) časovnem intervalu</w:t>
            </w:r>
            <w:r>
              <w:t>, če je predpisana z OVD</w:t>
            </w:r>
            <w:r w:rsidR="00B47893">
              <w:t xml:space="preserve"> ali na podlagi posebnega predpisa</w:t>
            </w:r>
            <w:r w:rsidRPr="00257EA6">
              <w:t>.</w:t>
            </w:r>
          </w:p>
        </w:tc>
      </w:tr>
      <w:tr w:rsidR="005D59C7" w14:paraId="5AF9E60A" w14:textId="77777777" w:rsidTr="0F458016">
        <w:tc>
          <w:tcPr>
            <w:tcW w:w="2552" w:type="dxa"/>
          </w:tcPr>
          <w:p w14:paraId="63803D35" w14:textId="77777777" w:rsidR="005D59C7" w:rsidRDefault="005D59C7">
            <w:pPr>
              <w:rPr>
                <w:b/>
                <w:bCs/>
              </w:rPr>
            </w:pPr>
            <w:r>
              <w:rPr>
                <w:b/>
                <w:bCs/>
              </w:rPr>
              <w:t>Pogostost odčitavanja</w:t>
            </w:r>
          </w:p>
        </w:tc>
        <w:tc>
          <w:tcPr>
            <w:tcW w:w="6237" w:type="dxa"/>
          </w:tcPr>
          <w:p w14:paraId="49B90B78" w14:textId="77777777" w:rsidR="005D59C7" w:rsidRPr="00257EA6" w:rsidRDefault="005D59C7">
            <w:r>
              <w:t>Časovna pogostost (v sekundah) odčitavanja parametra.</w:t>
            </w:r>
          </w:p>
        </w:tc>
      </w:tr>
    </w:tbl>
    <w:p w14:paraId="4A9FD16E" w14:textId="77777777" w:rsidR="00B05BC8" w:rsidRDefault="00B05BC8" w:rsidP="00C40530"/>
    <w:p w14:paraId="012CA33F" w14:textId="6A91BCF9" w:rsidR="00D0751B" w:rsidRDefault="00D0751B">
      <w:pPr>
        <w:spacing w:before="0" w:line="240" w:lineRule="auto"/>
        <w:jc w:val="left"/>
        <w:rPr>
          <w:rFonts w:eastAsiaTheme="majorEastAsia" w:cstheme="majorBidi"/>
          <w:b/>
          <w:szCs w:val="26"/>
        </w:rPr>
      </w:pPr>
    </w:p>
    <w:p w14:paraId="0A9EF67E" w14:textId="77777777" w:rsidR="00A977D7" w:rsidRDefault="00A977D7">
      <w:pPr>
        <w:spacing w:before="0" w:line="240" w:lineRule="auto"/>
        <w:jc w:val="left"/>
        <w:rPr>
          <w:rFonts w:eastAsiaTheme="majorEastAsia" w:cstheme="majorBidi"/>
          <w:b/>
          <w:sz w:val="24"/>
          <w:szCs w:val="32"/>
        </w:rPr>
      </w:pPr>
      <w:r>
        <w:br w:type="page"/>
      </w:r>
    </w:p>
    <w:p w14:paraId="373436CE" w14:textId="65E3DFC2" w:rsidR="00A977D7" w:rsidRDefault="00445659" w:rsidP="00445659">
      <w:pPr>
        <w:pStyle w:val="Naslov2"/>
      </w:pPr>
      <w:bookmarkStart w:id="7" w:name="_Toc214274542"/>
      <w:r>
        <w:lastRenderedPageBreak/>
        <w:t>S</w:t>
      </w:r>
      <w:r w:rsidR="00D0751B">
        <w:t>tatus izmerjenih vrednosti</w:t>
      </w:r>
      <w:r w:rsidR="00A977D7">
        <w:t xml:space="preserve"> in vrednotenje</w:t>
      </w:r>
      <w:bookmarkEnd w:id="7"/>
    </w:p>
    <w:p w14:paraId="37B8427C" w14:textId="77777777" w:rsidR="00A977D7" w:rsidRPr="00A977D7" w:rsidRDefault="00A977D7" w:rsidP="00A977D7"/>
    <w:p w14:paraId="2091E8AF" w14:textId="7E60FEAF" w:rsidR="00476B78" w:rsidRDefault="142D39D4" w:rsidP="00850891">
      <w:r>
        <w:t>Zavezanec</w:t>
      </w:r>
      <w:r w:rsidR="65BA9E6B">
        <w:t xml:space="preserve"> vsako</w:t>
      </w:r>
      <w:r w:rsidR="27BD0340">
        <w:t xml:space="preserve"> </w:t>
      </w:r>
      <w:r w:rsidR="121A433E">
        <w:t xml:space="preserve">izmerjeno </w:t>
      </w:r>
      <w:r w:rsidR="6CFEC1FE">
        <w:t xml:space="preserve">vrednost </w:t>
      </w:r>
      <w:r w:rsidR="610D5132">
        <w:t>FLD</w:t>
      </w:r>
      <w:r w:rsidR="121A433E">
        <w:t xml:space="preserve">, poročano </w:t>
      </w:r>
      <w:r w:rsidR="323055F2">
        <w:t>glede na</w:t>
      </w:r>
      <w:r w:rsidR="121A433E">
        <w:t xml:space="preserve"> določil</w:t>
      </w:r>
      <w:r w:rsidR="1DA82367">
        <w:t>a</w:t>
      </w:r>
      <w:r w:rsidR="121A433E">
        <w:t xml:space="preserve"> prvega odstavka 22. člena pravilnika, ter kratkotrajno povprečno vrednost</w:t>
      </w:r>
      <w:r w:rsidR="6CFEC1FE">
        <w:t xml:space="preserve"> STA, SSTA </w:t>
      </w:r>
      <w:r w:rsidR="610D5132">
        <w:t>in VSTA</w:t>
      </w:r>
      <w:r w:rsidR="7BD206AD">
        <w:t xml:space="preserve">, </w:t>
      </w:r>
      <w:r w:rsidR="121A433E">
        <w:t xml:space="preserve">poročano </w:t>
      </w:r>
      <w:r w:rsidR="4869B6D4">
        <w:t>glede na</w:t>
      </w:r>
      <w:r w:rsidR="121A433E">
        <w:t xml:space="preserve"> določil</w:t>
      </w:r>
      <w:r w:rsidR="4891DEB3">
        <w:t>a</w:t>
      </w:r>
      <w:r w:rsidR="121A433E">
        <w:t xml:space="preserve"> drugega odstavka 22. člena pravilnika</w:t>
      </w:r>
      <w:r w:rsidR="7BD206AD">
        <w:t>,</w:t>
      </w:r>
      <w:r w:rsidR="610D5132">
        <w:t xml:space="preserve"> </w:t>
      </w:r>
      <w:r w:rsidR="65BA9E6B">
        <w:t>opremi</w:t>
      </w:r>
      <w:r w:rsidR="27BD0340">
        <w:t xml:space="preserve"> s simbolom statusa vrednosti</w:t>
      </w:r>
      <w:r w:rsidR="05A633B5">
        <w:t xml:space="preserve">, pri čemer </w:t>
      </w:r>
      <w:r w:rsidR="65BA9E6B">
        <w:t>uporablja</w:t>
      </w:r>
      <w:r w:rsidR="05A633B5">
        <w:t xml:space="preserve"> spodaj </w:t>
      </w:r>
      <w:r w:rsidR="65BA9E6B">
        <w:t>navedene simbole</w:t>
      </w:r>
      <w:r w:rsidR="6CFEC1FE">
        <w:t>:</w:t>
      </w:r>
    </w:p>
    <w:p w14:paraId="7A00AD55" w14:textId="530D12F0" w:rsidR="00A977D7" w:rsidRDefault="00A977D7" w:rsidP="00850891">
      <w:r>
        <w:t>Simboli statusa:</w:t>
      </w:r>
    </w:p>
    <w:p w14:paraId="7F8B70E1" w14:textId="2797E0FE" w:rsidR="00476B78" w:rsidRDefault="009F376C" w:rsidP="00476B78">
      <w:pPr>
        <w:ind w:left="567" w:hanging="567"/>
      </w:pPr>
      <w:r>
        <w:t>V</w:t>
      </w:r>
      <w:r w:rsidR="05A633B5">
        <w:t xml:space="preserve"> </w:t>
      </w:r>
      <w:r w:rsidR="00B41DCE">
        <w:tab/>
      </w:r>
      <w:r w:rsidR="345CE1B9">
        <w:t xml:space="preserve">vrednost je veljavna (OPOMBA: </w:t>
      </w:r>
      <w:r w:rsidR="05A633B5">
        <w:t xml:space="preserve"> </w:t>
      </w:r>
      <w:r w:rsidR="345CE1B9">
        <w:t xml:space="preserve">za vrednosti STA, SSTA ali VSTA </w:t>
      </w:r>
      <w:r w:rsidR="34F786EC">
        <w:t xml:space="preserve">se </w:t>
      </w:r>
      <w:r w:rsidR="345CE1B9">
        <w:t>lahko ta status pripiše, če je bilo v tem časovnem intervalu zabeleženih vsaj 50 % veljavnih FLD vrednosti (velja do 5. 7. 2028) oz. vsaj 2/3 veljavnih FLD vrednosti (velja po 5. 7. 2028).</w:t>
      </w:r>
    </w:p>
    <w:p w14:paraId="515FCA81" w14:textId="6E9FB263" w:rsidR="00476B78" w:rsidRDefault="00476B78" w:rsidP="00476B78">
      <w:pPr>
        <w:ind w:left="567" w:hanging="567"/>
      </w:pPr>
      <w:r>
        <w:t>M</w:t>
      </w:r>
      <w:r>
        <w:tab/>
        <w:t xml:space="preserve">vzdrževanje merilne opreme; </w:t>
      </w:r>
    </w:p>
    <w:p w14:paraId="0F8B34FD" w14:textId="77777777" w:rsidR="00476B78" w:rsidRDefault="00476B78" w:rsidP="00476B78">
      <w:pPr>
        <w:ind w:left="567" w:hanging="567"/>
      </w:pPr>
      <w:r>
        <w:t>S</w:t>
      </w:r>
      <w:r>
        <w:tab/>
        <w:t xml:space="preserve">nadomestna vrednost; </w:t>
      </w:r>
    </w:p>
    <w:p w14:paraId="452368A5" w14:textId="77777777" w:rsidR="00476B78" w:rsidRDefault="00476B78" w:rsidP="00476B78">
      <w:pPr>
        <w:ind w:left="567" w:hanging="567"/>
      </w:pPr>
      <w:r>
        <w:t>E</w:t>
      </w:r>
      <w:r>
        <w:tab/>
        <w:t xml:space="preserve">napaka ali motnja v merilniku; </w:t>
      </w:r>
    </w:p>
    <w:p w14:paraId="120C6440" w14:textId="77777777" w:rsidR="00476B78" w:rsidRDefault="00476B78" w:rsidP="00476B78">
      <w:pPr>
        <w:ind w:left="567" w:hanging="567"/>
      </w:pPr>
      <w:r>
        <w:t>U</w:t>
      </w:r>
      <w:r>
        <w:tab/>
        <w:t xml:space="preserve">prekoračitev zgornje meje merilnega območja, npr. signal merilnika z izhodnim signalom 4 – 20 mA presega 20 mA, ali merilnika z izhodnim signalom 0 – 10 V presega 10 V; </w:t>
      </w:r>
    </w:p>
    <w:p w14:paraId="2EAD5E14" w14:textId="77777777" w:rsidR="00C1530C" w:rsidRDefault="00C1530C" w:rsidP="00C1530C">
      <w:pPr>
        <w:ind w:left="567" w:hanging="567"/>
      </w:pPr>
      <w:r>
        <w:t>O</w:t>
      </w:r>
      <w:r>
        <w:tab/>
        <w:t xml:space="preserve">prekoračitev zgornje meje certifikacijskega območja merilne metode (iz testa QAL-2 po postopku SIST EN 14181); </w:t>
      </w:r>
    </w:p>
    <w:p w14:paraId="4BFEF9DC" w14:textId="77777777" w:rsidR="00C1530C" w:rsidRDefault="00C1530C" w:rsidP="00C1530C">
      <w:pPr>
        <w:ind w:left="567" w:hanging="567"/>
      </w:pPr>
      <w:r>
        <w:t>Q</w:t>
      </w:r>
      <w:r>
        <w:tab/>
        <w:t xml:space="preserve">vrednost pod mejo določanja (angl. LOQ – limit </w:t>
      </w:r>
      <w:proofErr w:type="spellStart"/>
      <w:r>
        <w:t>of</w:t>
      </w:r>
      <w:proofErr w:type="spellEnd"/>
      <w:r>
        <w:t xml:space="preserve"> </w:t>
      </w:r>
      <w:proofErr w:type="spellStart"/>
      <w:r>
        <w:t>quantification</w:t>
      </w:r>
      <w:proofErr w:type="spellEnd"/>
      <w:r>
        <w:t xml:space="preserve">) merilne metode; </w:t>
      </w:r>
    </w:p>
    <w:p w14:paraId="4E3CD877" w14:textId="77777777" w:rsidR="00476B78" w:rsidRDefault="00476B78" w:rsidP="00476B78">
      <w:pPr>
        <w:ind w:left="567" w:hanging="567"/>
      </w:pPr>
      <w:r>
        <w:t>Y</w:t>
      </w:r>
      <w:r>
        <w:tab/>
        <w:t xml:space="preserve">SSTA vrednost emisijske koncentracije je manjša od CL; </w:t>
      </w:r>
    </w:p>
    <w:p w14:paraId="05D9CA41" w14:textId="67B8BAC3" w:rsidR="00476B78" w:rsidRDefault="00476B78" w:rsidP="00476B78">
      <w:pPr>
        <w:ind w:left="567" w:hanging="567"/>
      </w:pPr>
      <w:r>
        <w:t>N</w:t>
      </w:r>
      <w:r>
        <w:tab/>
        <w:t xml:space="preserve">VSTA ali DPV vrednost ni veljavna, ker delež veljavnih FLD ali VSTA ni zadosten glede na zahteve predpisa ali okoljevarstvenega dovoljenja. VSTA je veljavna, če je </w:t>
      </w:r>
      <w:r w:rsidR="00B47893">
        <w:t xml:space="preserve">v tem časovnem intervalu </w:t>
      </w:r>
      <w:r>
        <w:t xml:space="preserve">veljavnih </w:t>
      </w:r>
      <w:r w:rsidR="00B47893">
        <w:t>najmanj polovica</w:t>
      </w:r>
      <w:r>
        <w:t xml:space="preserve"> </w:t>
      </w:r>
      <w:r w:rsidR="00B47893">
        <w:t xml:space="preserve">izmerjenih </w:t>
      </w:r>
      <w:r>
        <w:t xml:space="preserve">FLD vrednosti (velja do 5. 7. 2028) oz. </w:t>
      </w:r>
      <w:r w:rsidR="00B47893">
        <w:t xml:space="preserve">najmanj </w:t>
      </w:r>
      <w:r>
        <w:t xml:space="preserve">dve tretjini FLD vrednosti (velja od 5. 7. 2028 naprej); </w:t>
      </w:r>
    </w:p>
    <w:p w14:paraId="5FE821F9" w14:textId="77777777" w:rsidR="00476B78" w:rsidRDefault="00476B78" w:rsidP="00476B78">
      <w:pPr>
        <w:ind w:left="567" w:hanging="567"/>
      </w:pPr>
      <w:r>
        <w:t>H</w:t>
      </w:r>
      <w:r>
        <w:tab/>
        <w:t xml:space="preserve">vrednost emisijske koncentracije je izražena v mokrem stanju odpadnih plinov; </w:t>
      </w:r>
    </w:p>
    <w:p w14:paraId="35594756" w14:textId="27190EE3" w:rsidR="00476B78" w:rsidRDefault="00476B78" w:rsidP="00476B78">
      <w:pPr>
        <w:ind w:left="567" w:hanging="567"/>
      </w:pPr>
      <w:r>
        <w:t>X</w:t>
      </w:r>
      <w:r>
        <w:tab/>
        <w:t>ni podatka</w:t>
      </w:r>
      <w:r w:rsidR="00B47893">
        <w:t xml:space="preserve"> o izmerjeni</w:t>
      </w:r>
      <w:r>
        <w:t>.</w:t>
      </w:r>
    </w:p>
    <w:p w14:paraId="6D58F286" w14:textId="77777777" w:rsidR="006F0093" w:rsidRDefault="006F0093" w:rsidP="00476B78">
      <w:pPr>
        <w:ind w:left="567" w:hanging="567"/>
      </w:pPr>
    </w:p>
    <w:p w14:paraId="075CDE47" w14:textId="4392AF39" w:rsidR="00A977D7" w:rsidRDefault="00A977D7" w:rsidP="00476B78">
      <w:pPr>
        <w:ind w:left="567" w:hanging="567"/>
      </w:pPr>
      <w:r>
        <w:t>Simboli vrednotenja:</w:t>
      </w:r>
    </w:p>
    <w:p w14:paraId="686B5F63" w14:textId="0D4C6369" w:rsidR="008F02F8" w:rsidRDefault="008F02F8" w:rsidP="008F02F8">
      <w:pPr>
        <w:ind w:left="567" w:hanging="567"/>
      </w:pPr>
      <w:r>
        <w:t>L</w:t>
      </w:r>
      <w:r>
        <w:tab/>
        <w:t xml:space="preserve">preseganje </w:t>
      </w:r>
      <w:r w:rsidR="00C97AFB">
        <w:t xml:space="preserve">enoznačne </w:t>
      </w:r>
      <w:r w:rsidR="006F0093">
        <w:t xml:space="preserve">kratkotrajne povprečne </w:t>
      </w:r>
      <w:r>
        <w:t>mejne vrednosti</w:t>
      </w:r>
      <w:r w:rsidR="00C97AFB">
        <w:t xml:space="preserve"> kateregakoli </w:t>
      </w:r>
      <w:r w:rsidR="00FE1FE5">
        <w:t xml:space="preserve">procesnega </w:t>
      </w:r>
      <w:r w:rsidR="00C97AFB">
        <w:t>parametra</w:t>
      </w:r>
      <w:r w:rsidR="00FE1FE5">
        <w:t xml:space="preserve"> obratovanja naprave, prostorninskega pretoka odpadnih plinov, emisijske koncentracije</w:t>
      </w:r>
      <w:r w:rsidR="00052621">
        <w:t xml:space="preserve"> ali ma</w:t>
      </w:r>
      <w:r w:rsidR="005C3898">
        <w:t>sn</w:t>
      </w:r>
      <w:r w:rsidR="00052621">
        <w:t>ega pretoka</w:t>
      </w:r>
      <w:r w:rsidR="00C97AFB">
        <w:t>, ki ima predpis</w:t>
      </w:r>
      <w:r w:rsidR="00FE1FE5">
        <w:t>a</w:t>
      </w:r>
      <w:r w:rsidR="00C97AFB">
        <w:t>no mejno vrednost</w:t>
      </w:r>
      <w:r>
        <w:t xml:space="preserve">; </w:t>
      </w:r>
    </w:p>
    <w:p w14:paraId="342EA8CB" w14:textId="41561FCE" w:rsidR="008F02F8" w:rsidRDefault="008F02F8" w:rsidP="008F02F8">
      <w:pPr>
        <w:ind w:left="567" w:hanging="567"/>
      </w:pPr>
      <w:r>
        <w:t>A</w:t>
      </w:r>
      <w:r>
        <w:tab/>
        <w:t>preseganje mejne vrednosti</w:t>
      </w:r>
      <w:r w:rsidR="00F533E3" w:rsidRPr="00F533E3">
        <w:t xml:space="preserve">, predpisane za sežigalnice odpadkov ali naprave za </w:t>
      </w:r>
      <w:proofErr w:type="spellStart"/>
      <w:r w:rsidR="00F533E3" w:rsidRPr="00F533E3">
        <w:t>sosežig</w:t>
      </w:r>
      <w:proofErr w:type="spellEnd"/>
      <w:r w:rsidR="00F533E3" w:rsidRPr="00F533E3">
        <w:t xml:space="preserve"> odpadkov in je v evidenci kompleksa na merilne mestu pri parametru v polje »mejna vrednost« vpisana s tipom meje »Emisije snovi v zrak – mejna koncentracija MVA«</w:t>
      </w:r>
      <w:r>
        <w:t xml:space="preserve">; </w:t>
      </w:r>
    </w:p>
    <w:p w14:paraId="1A1148DF" w14:textId="5A5754F2" w:rsidR="00A977D7" w:rsidRDefault="00A977D7" w:rsidP="00A977D7">
      <w:pPr>
        <w:ind w:left="567" w:hanging="567"/>
      </w:pPr>
      <w:r>
        <w:t>B</w:t>
      </w:r>
      <w:r>
        <w:tab/>
        <w:t>preseganje mejne vrednosti</w:t>
      </w:r>
      <w:r w:rsidR="002470AC" w:rsidRPr="002470AC">
        <w:t xml:space="preserve">, predpisane za sežigalnice odpadkov ali naprave za </w:t>
      </w:r>
      <w:proofErr w:type="spellStart"/>
      <w:r w:rsidR="002470AC" w:rsidRPr="002470AC">
        <w:t>sosežig</w:t>
      </w:r>
      <w:proofErr w:type="spellEnd"/>
      <w:r w:rsidR="002470AC" w:rsidRPr="002470AC">
        <w:t xml:space="preserve"> odpadkov in je v evidenci kompleksa na merilne mestu pri parametru v polje »mejna vrednost« vpisana s tipom meje »Emisije snovi v zrak – mejna koncentracija MVB«</w:t>
      </w:r>
      <w:r>
        <w:t xml:space="preserve">; </w:t>
      </w:r>
    </w:p>
    <w:p w14:paraId="55131321" w14:textId="3F5B37B8" w:rsidR="008F02F8" w:rsidRDefault="008F02F8" w:rsidP="008F02F8">
      <w:pPr>
        <w:ind w:left="567" w:hanging="567"/>
      </w:pPr>
      <w:r>
        <w:t>C</w:t>
      </w:r>
      <w:r>
        <w:tab/>
        <w:t>preseganje mejne vrednosti</w:t>
      </w:r>
      <w:r w:rsidR="008A613F" w:rsidRPr="008A613F">
        <w:t>, ki velja za sežigalnice odpadkov v izrednih stanji obratovanja naprave in je v evidenci kompleksa na merilne mestu pri parametru v polje »mejna vrednost« vpisana s tipom meje »Emisije snovi v zrak – mejna koncentracija MVC«</w:t>
      </w:r>
      <w:r>
        <w:t xml:space="preserve">; </w:t>
      </w:r>
    </w:p>
    <w:p w14:paraId="22D77FEA" w14:textId="2056A7E9" w:rsidR="008F02F8" w:rsidRDefault="008F02F8" w:rsidP="008F02F8">
      <w:pPr>
        <w:ind w:left="567" w:hanging="567"/>
      </w:pPr>
      <w:r>
        <w:lastRenderedPageBreak/>
        <w:t>G</w:t>
      </w:r>
      <w:r>
        <w:tab/>
        <w:t>preseganje mejne vrednosti</w:t>
      </w:r>
      <w:r w:rsidR="00E91E5A">
        <w:t>,</w:t>
      </w:r>
      <w:r>
        <w:t xml:space="preserve"> </w:t>
      </w:r>
      <w:r w:rsidR="00E91E5A" w:rsidRPr="00FE5641">
        <w:rPr>
          <w:lang w:eastAsia="sl-SI"/>
        </w:rPr>
        <w:t>ki velja za drsečo 24-urno povprečno vrednost in je v evidenci kompleksa na merilnem mestu pri parametru v polje »mejna vrednost« vpisana s tipom meje »Emisije snovi v zrak – mejna koncentracija MV24h«</w:t>
      </w:r>
      <w:r w:rsidR="005C3898">
        <w:t>.</w:t>
      </w:r>
    </w:p>
    <w:p w14:paraId="07535C00" w14:textId="77777777" w:rsidR="00A977D7" w:rsidRDefault="00A977D7" w:rsidP="00476B78">
      <w:pPr>
        <w:ind w:left="567" w:hanging="567"/>
      </w:pPr>
    </w:p>
    <w:p w14:paraId="1D8993C9" w14:textId="4F4D18CC" w:rsidR="00476B78" w:rsidRDefault="00C1530C" w:rsidP="00476B78">
      <w:r>
        <w:t xml:space="preserve">Posamezna vrednost je lahko hkrati v več kot enem statusu (npr. zaradi vzdrževanja »M«, napake </w:t>
      </w:r>
      <w:r w:rsidR="00476B78">
        <w:t>Če se je v časovnem intervalu STA status izmerjene vrednosti sprem</w:t>
      </w:r>
      <w:r w:rsidR="003E4B35">
        <w:t>i</w:t>
      </w:r>
      <w:r w:rsidR="00476B78">
        <w:t xml:space="preserve">njal, se za STA interval upošteva status, ki je prevladoval večji del (več kot 50 %) časa. Če je </w:t>
      </w:r>
      <w:r w:rsidR="00DD14FA">
        <w:t xml:space="preserve">bila </w:t>
      </w:r>
      <w:r w:rsidR="00476B78">
        <w:t xml:space="preserve">v časovnem intervalu </w:t>
      </w:r>
      <w:r w:rsidR="00DD14FA">
        <w:t xml:space="preserve">vrednost </w:t>
      </w:r>
      <w:r w:rsidR="00476B78">
        <w:t>v različnih statusih v istem časovnem deležu, se upošteva zadnji zabeležen status.</w:t>
      </w:r>
      <w:r w:rsidR="00DD14FA">
        <w:t xml:space="preserve"> </w:t>
      </w:r>
    </w:p>
    <w:p w14:paraId="28B68060" w14:textId="2523019D" w:rsidR="00A977D7" w:rsidRDefault="00A977D7" w:rsidP="00A977D7">
      <w:pPr>
        <w:pStyle w:val="Naslov2"/>
        <w:numPr>
          <w:ilvl w:val="0"/>
          <w:numId w:val="0"/>
        </w:numPr>
      </w:pPr>
    </w:p>
    <w:p w14:paraId="30DACD11" w14:textId="0121D265" w:rsidR="00476B78" w:rsidRDefault="00A977D7" w:rsidP="00850891">
      <w:r>
        <w:t>Posamezna v</w:t>
      </w:r>
      <w:r w:rsidR="003E4B35">
        <w:t xml:space="preserve">rednost </w:t>
      </w:r>
      <w:r>
        <w:t xml:space="preserve">VSTA je </w:t>
      </w:r>
      <w:r w:rsidR="003E4B35">
        <w:t>lahko hkrati opisana z več kot enim simbolom vrednotenja (npr.: hkrati A in B ali A in C ali A in B in C)</w:t>
      </w:r>
      <w:r w:rsidR="00476B78">
        <w:t>:</w:t>
      </w:r>
    </w:p>
    <w:p w14:paraId="7E6B27E6" w14:textId="77777777" w:rsidR="002D0FEB" w:rsidRDefault="002D0FEB" w:rsidP="00850891"/>
    <w:p w14:paraId="0462B990" w14:textId="5695FA3F" w:rsidR="00C1530C" w:rsidRDefault="00A977D7" w:rsidP="00A977D7">
      <w:r>
        <w:t xml:space="preserve">Vrednotenje </w:t>
      </w:r>
      <w:r w:rsidR="00C1530C">
        <w:t xml:space="preserve">SSTA ali </w:t>
      </w:r>
      <w:r>
        <w:t xml:space="preserve">VSTA se izvede le v primeru, </w:t>
      </w:r>
      <w:r w:rsidR="00C1530C">
        <w:t>če</w:t>
      </w:r>
      <w:r>
        <w:t xml:space="preserve"> je</w:t>
      </w:r>
      <w:r w:rsidR="00C1530C">
        <w:t xml:space="preserve"> </w:t>
      </w:r>
      <w:r w:rsidR="00CB36E0">
        <w:t xml:space="preserve">kratkotrajna povprečna </w:t>
      </w:r>
      <w:r w:rsidR="00C1530C">
        <w:t xml:space="preserve">vrednost </w:t>
      </w:r>
      <w:r w:rsidR="002D0FEB">
        <w:t xml:space="preserve">veljavna in je </w:t>
      </w:r>
      <w:r w:rsidR="00C1530C">
        <w:t xml:space="preserve">v </w:t>
      </w:r>
      <w:r w:rsidR="002D0FEB">
        <w:t xml:space="preserve">enem od navedenih </w:t>
      </w:r>
      <w:r w:rsidR="00C1530C">
        <w:t>status</w:t>
      </w:r>
      <w:r w:rsidR="002D0FEB">
        <w:t>ov</w:t>
      </w:r>
      <w:r w:rsidR="00C1530C">
        <w:t>:</w:t>
      </w:r>
    </w:p>
    <w:p w14:paraId="757C2E6D" w14:textId="3C69932A" w:rsidR="00C1530C" w:rsidRDefault="009F376C" w:rsidP="002E1027">
      <w:pPr>
        <w:ind w:left="567"/>
      </w:pPr>
      <w:r>
        <w:t>V</w:t>
      </w:r>
      <w:r w:rsidR="00C1530C" w:rsidRPr="00476B78">
        <w:t xml:space="preserve"> </w:t>
      </w:r>
      <w:r w:rsidR="00C1530C" w:rsidRPr="00476B78">
        <w:tab/>
        <w:t xml:space="preserve">vrednost je veljavna; </w:t>
      </w:r>
    </w:p>
    <w:p w14:paraId="73B31250" w14:textId="66FA5111" w:rsidR="00C1530C" w:rsidRDefault="3C54E9AC" w:rsidP="002E1027">
      <w:pPr>
        <w:ind w:left="567"/>
      </w:pPr>
      <w:r>
        <w:t>U</w:t>
      </w:r>
      <w:r w:rsidR="00C1530C">
        <w:tab/>
      </w:r>
      <w:r>
        <w:t>prekoračitev</w:t>
      </w:r>
      <w:r w:rsidR="4A055475">
        <w:t xml:space="preserve"> zgornje meje merilnega območja</w:t>
      </w:r>
      <w:r>
        <w:t xml:space="preserve">; </w:t>
      </w:r>
    </w:p>
    <w:p w14:paraId="37D283D2" w14:textId="5BE785DF" w:rsidR="00C1530C" w:rsidRDefault="00C1530C" w:rsidP="002E1027">
      <w:pPr>
        <w:ind w:left="567"/>
      </w:pPr>
      <w:r>
        <w:t>O</w:t>
      </w:r>
      <w:r>
        <w:tab/>
        <w:t>prekoračitev zgornje meje certifikacijskega območja merilne metode;</w:t>
      </w:r>
    </w:p>
    <w:p w14:paraId="648310AB" w14:textId="3CFA6DD0" w:rsidR="00B13B6D" w:rsidRDefault="00B13B6D" w:rsidP="002E1027">
      <w:pPr>
        <w:ind w:left="567"/>
      </w:pPr>
      <w:r>
        <w:t>Q</w:t>
      </w:r>
      <w:r w:rsidR="003F10C9">
        <w:tab/>
      </w:r>
      <w:r w:rsidR="003F10C9" w:rsidRPr="003F10C9">
        <w:t xml:space="preserve">vrednost pod mejo določanja (angl. LOQ – limit </w:t>
      </w:r>
      <w:proofErr w:type="spellStart"/>
      <w:r w:rsidR="003F10C9" w:rsidRPr="003F10C9">
        <w:t>of</w:t>
      </w:r>
      <w:proofErr w:type="spellEnd"/>
      <w:r w:rsidR="003F10C9" w:rsidRPr="003F10C9">
        <w:t xml:space="preserve"> </w:t>
      </w:r>
      <w:proofErr w:type="spellStart"/>
      <w:r w:rsidR="003F10C9" w:rsidRPr="003F10C9">
        <w:t>quantification</w:t>
      </w:r>
      <w:proofErr w:type="spellEnd"/>
      <w:r w:rsidR="003F10C9" w:rsidRPr="003F10C9">
        <w:t>) merilne metode</w:t>
      </w:r>
      <w:r w:rsidR="003F10C9">
        <w:t>;</w:t>
      </w:r>
    </w:p>
    <w:p w14:paraId="2B313CF8" w14:textId="110E25F8" w:rsidR="00B13B6D" w:rsidRDefault="00B13B6D" w:rsidP="002E1027">
      <w:pPr>
        <w:ind w:left="567"/>
      </w:pPr>
      <w:r>
        <w:t>Y</w:t>
      </w:r>
      <w:r w:rsidR="003F10C9">
        <w:tab/>
      </w:r>
      <w:r w:rsidR="003F10C9">
        <w:tab/>
      </w:r>
      <w:r w:rsidR="003F10C9" w:rsidRPr="003F10C9">
        <w:t>SSTA vrednost emisijske koncentracije je manjša od CL</w:t>
      </w:r>
      <w:r w:rsidR="003F10C9">
        <w:t>;</w:t>
      </w:r>
    </w:p>
    <w:p w14:paraId="1F839EB7" w14:textId="7320CC93" w:rsidR="00C1530C" w:rsidRDefault="3C54E9AC" w:rsidP="002E1027">
      <w:pPr>
        <w:ind w:left="567"/>
      </w:pPr>
      <w:r>
        <w:t>H</w:t>
      </w:r>
      <w:r w:rsidR="0D481C54">
        <w:t xml:space="preserve"> </w:t>
      </w:r>
      <w:r w:rsidR="00C1530C">
        <w:tab/>
      </w:r>
      <w:r>
        <w:t>vrednost emisijske koncentracije je izražena v mokrem stanju odpadnih plinov.</w:t>
      </w:r>
    </w:p>
    <w:p w14:paraId="38678150" w14:textId="77777777" w:rsidR="00825C01" w:rsidRDefault="00825C01" w:rsidP="00825C01">
      <w:pPr>
        <w:ind w:left="567" w:hanging="567"/>
      </w:pPr>
    </w:p>
    <w:p w14:paraId="13C4715B" w14:textId="24C86F6D" w:rsidR="002E1027" w:rsidRDefault="002E1027" w:rsidP="00825C01">
      <w:pPr>
        <w:ind w:left="567" w:hanging="567"/>
      </w:pPr>
      <w:r>
        <w:t xml:space="preserve">in je naprava </w:t>
      </w:r>
      <w:r w:rsidR="00825C01" w:rsidRPr="00825C01">
        <w:t>v kateremkoli stanju, razen NO »Naprava ne obratuje«.</w:t>
      </w:r>
    </w:p>
    <w:p w14:paraId="747855BF" w14:textId="26611555" w:rsidR="00A977D7" w:rsidRDefault="00A977D7" w:rsidP="00C1530C"/>
    <w:sectPr w:rsidR="00A977D7" w:rsidSect="00694F2B">
      <w:pgSz w:w="11900" w:h="16840" w:code="9"/>
      <w:pgMar w:top="1701" w:right="1410" w:bottom="1701" w:left="1701" w:header="1882" w:footer="79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3ECBB" w14:textId="77777777" w:rsidR="00C27E9C" w:rsidRDefault="00C27E9C" w:rsidP="00C40530">
      <w:r>
        <w:separator/>
      </w:r>
    </w:p>
  </w:endnote>
  <w:endnote w:type="continuationSeparator" w:id="0">
    <w:p w14:paraId="72632084" w14:textId="77777777" w:rsidR="00C27E9C" w:rsidRDefault="00C27E9C" w:rsidP="00C40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5165B" w14:textId="7E3F8E0F" w:rsidR="00DB757E" w:rsidRPr="00DB757E" w:rsidRDefault="00DB757E">
    <w:pPr>
      <w:pStyle w:val="Noga"/>
      <w:rPr>
        <w:sz w:val="16"/>
        <w:szCs w:val="16"/>
      </w:rPr>
    </w:pPr>
    <w:r>
      <w:tab/>
    </w:r>
    <w:r>
      <w:tab/>
    </w:r>
    <w:r w:rsidRPr="00AC2D55">
      <w:rPr>
        <w:sz w:val="16"/>
        <w:szCs w:val="16"/>
      </w:rPr>
      <w:t xml:space="preserve">Stran </w:t>
    </w:r>
    <w:r w:rsidRPr="00AC2D55">
      <w:rPr>
        <w:sz w:val="16"/>
        <w:szCs w:val="16"/>
      </w:rPr>
      <w:fldChar w:fldCharType="begin"/>
    </w:r>
    <w:r w:rsidRPr="00AC2D55">
      <w:rPr>
        <w:sz w:val="16"/>
        <w:szCs w:val="16"/>
      </w:rPr>
      <w:instrText xml:space="preserve"> PAGE   \* MERGEFORMAT </w:instrText>
    </w:r>
    <w:r w:rsidRPr="00AC2D55">
      <w:rPr>
        <w:sz w:val="16"/>
        <w:szCs w:val="16"/>
      </w:rPr>
      <w:fldChar w:fldCharType="separate"/>
    </w:r>
    <w:r>
      <w:rPr>
        <w:sz w:val="16"/>
        <w:szCs w:val="16"/>
      </w:rPr>
      <w:t>3</w:t>
    </w:r>
    <w:r w:rsidRPr="00AC2D55">
      <w:rPr>
        <w:sz w:val="16"/>
        <w:szCs w:val="16"/>
      </w:rPr>
      <w:fldChar w:fldCharType="end"/>
    </w:r>
    <w:r w:rsidRPr="00AC2D55">
      <w:rPr>
        <w:sz w:val="16"/>
        <w:szCs w:val="16"/>
      </w:rPr>
      <w:t xml:space="preserve"> od </w:t>
    </w:r>
    <w:r w:rsidRPr="00AC2D55">
      <w:rPr>
        <w:sz w:val="16"/>
        <w:szCs w:val="16"/>
      </w:rPr>
      <w:fldChar w:fldCharType="begin"/>
    </w:r>
    <w:r w:rsidRPr="00AC2D55">
      <w:rPr>
        <w:sz w:val="16"/>
        <w:szCs w:val="16"/>
      </w:rPr>
      <w:instrText xml:space="preserve"> NUMPAGES   \* MERGEFORMAT </w:instrText>
    </w:r>
    <w:r w:rsidRPr="00AC2D55">
      <w:rPr>
        <w:sz w:val="16"/>
        <w:szCs w:val="16"/>
      </w:rPr>
      <w:fldChar w:fldCharType="separate"/>
    </w:r>
    <w:r>
      <w:rPr>
        <w:sz w:val="16"/>
        <w:szCs w:val="16"/>
      </w:rPr>
      <w:t>14</w:t>
    </w:r>
    <w:r w:rsidRPr="00AC2D55">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24DC1" w14:textId="77777777" w:rsidR="00341727" w:rsidRDefault="00EA21D3" w:rsidP="00C40530">
    <w:pPr>
      <w:pStyle w:val="Noga"/>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1ED7D" w14:textId="77777777" w:rsidR="00C27E9C" w:rsidRDefault="00C27E9C" w:rsidP="00C40530">
      <w:r>
        <w:separator/>
      </w:r>
    </w:p>
  </w:footnote>
  <w:footnote w:type="continuationSeparator" w:id="0">
    <w:p w14:paraId="5D13BFF9" w14:textId="77777777" w:rsidR="00C27E9C" w:rsidRDefault="00C27E9C" w:rsidP="00C40530">
      <w:r>
        <w:continuationSeparator/>
      </w:r>
    </w:p>
  </w:footnote>
  <w:footnote w:id="1">
    <w:p w14:paraId="5D3BB135" w14:textId="14BCEDB2" w:rsidR="00D67B9F" w:rsidRPr="00522381" w:rsidRDefault="00D67B9F" w:rsidP="00C40530">
      <w:pPr>
        <w:pStyle w:val="Sprotnaopomba-besedilo"/>
        <w:rPr>
          <w:sz w:val="16"/>
          <w:szCs w:val="16"/>
        </w:rPr>
      </w:pPr>
      <w:r w:rsidRPr="00522381">
        <w:rPr>
          <w:rStyle w:val="Sprotnaopomba-sklic"/>
          <w:sz w:val="16"/>
          <w:szCs w:val="16"/>
        </w:rPr>
        <w:footnoteRef/>
      </w:r>
      <w:r w:rsidRPr="00522381">
        <w:rPr>
          <w:sz w:val="16"/>
          <w:szCs w:val="16"/>
        </w:rPr>
        <w:t xml:space="preserve"> https://pisrs.si/pregledPredpisa?id=PRAV15511</w:t>
      </w:r>
    </w:p>
  </w:footnote>
  <w:footnote w:id="2">
    <w:p w14:paraId="18AF575E" w14:textId="6174AA64" w:rsidR="00441CC7" w:rsidRPr="00522381" w:rsidRDefault="00441CC7" w:rsidP="00441CC7">
      <w:pPr>
        <w:pStyle w:val="Sprotnaopomba-besedilo"/>
        <w:rPr>
          <w:sz w:val="16"/>
          <w:szCs w:val="16"/>
        </w:rPr>
      </w:pPr>
      <w:r w:rsidRPr="00522381">
        <w:rPr>
          <w:rStyle w:val="Sprotnaopomba-sklic"/>
          <w:sz w:val="16"/>
          <w:szCs w:val="16"/>
        </w:rPr>
        <w:footnoteRef/>
      </w:r>
      <w:r w:rsidRPr="00522381">
        <w:rPr>
          <w:sz w:val="16"/>
          <w:szCs w:val="16"/>
        </w:rPr>
        <w:t xml:space="preserve"> SIST EN 17255-1:2019 </w:t>
      </w:r>
      <w:r w:rsidRPr="00522381">
        <w:rPr>
          <w:sz w:val="16"/>
          <w:szCs w:val="16"/>
        </w:rPr>
        <w:t>Stationary source emissions - Data acquisition and handling systems - Part 1: Specification of requirements for the handling and reporting of data, SIST, 2019</w:t>
      </w:r>
    </w:p>
  </w:footnote>
  <w:footnote w:id="3">
    <w:p w14:paraId="1F31E01E" w14:textId="4A89864E" w:rsidR="00F80EDF" w:rsidRPr="00522381" w:rsidRDefault="00F80EDF" w:rsidP="00F80EDF">
      <w:pPr>
        <w:pStyle w:val="Sprotnaopomba-besedilo"/>
        <w:rPr>
          <w:sz w:val="16"/>
          <w:szCs w:val="16"/>
        </w:rPr>
      </w:pPr>
      <w:r w:rsidRPr="00522381">
        <w:rPr>
          <w:rStyle w:val="Sprotnaopomba-sklic"/>
          <w:sz w:val="16"/>
          <w:szCs w:val="16"/>
        </w:rPr>
        <w:footnoteRef/>
      </w:r>
      <w:r w:rsidRPr="00522381">
        <w:rPr>
          <w:sz w:val="16"/>
          <w:szCs w:val="16"/>
        </w:rPr>
        <w:t xml:space="preserve"> </w:t>
      </w:r>
      <w:r w:rsidR="00337F07" w:rsidRPr="00522381">
        <w:rPr>
          <w:sz w:val="16"/>
          <w:szCs w:val="16"/>
        </w:rPr>
        <w:t xml:space="preserve">SIST </w:t>
      </w:r>
      <w:r w:rsidRPr="00522381">
        <w:rPr>
          <w:sz w:val="16"/>
          <w:szCs w:val="16"/>
        </w:rPr>
        <w:t>EN 17255-2:2020</w:t>
      </w:r>
      <w:r w:rsidR="00337F07" w:rsidRPr="00522381">
        <w:rPr>
          <w:sz w:val="16"/>
          <w:szCs w:val="16"/>
        </w:rPr>
        <w:t xml:space="preserve"> </w:t>
      </w:r>
      <w:r w:rsidRPr="00522381">
        <w:rPr>
          <w:sz w:val="16"/>
          <w:szCs w:val="16"/>
        </w:rPr>
        <w:t>Stationary source emissions - Data acquisition and handling systems - Part 2: Specification of requirements on data acquisition and handling systems</w:t>
      </w:r>
      <w:r w:rsidR="00337F07" w:rsidRPr="00522381">
        <w:rPr>
          <w:sz w:val="16"/>
          <w:szCs w:val="16"/>
        </w:rPr>
        <w:t>, SIST, 2020</w:t>
      </w:r>
    </w:p>
  </w:footnote>
  <w:footnote w:id="4">
    <w:p w14:paraId="156B3961" w14:textId="77777777" w:rsidR="005D59C7" w:rsidRPr="006F1404" w:rsidRDefault="005D59C7" w:rsidP="005D59C7">
      <w:pPr>
        <w:pStyle w:val="Sprotnaopomba-besedilo"/>
        <w:rPr>
          <w:sz w:val="16"/>
          <w:szCs w:val="16"/>
        </w:rPr>
      </w:pPr>
      <w:r w:rsidRPr="006F1404">
        <w:rPr>
          <w:rStyle w:val="Sprotnaopomba-sklic"/>
          <w:sz w:val="16"/>
          <w:szCs w:val="16"/>
        </w:rPr>
        <w:footnoteRef/>
      </w:r>
      <w:r w:rsidRPr="006F1404">
        <w:rPr>
          <w:sz w:val="16"/>
          <w:szCs w:val="16"/>
        </w:rPr>
        <w:t xml:space="preserve"> SIST EN 14181:2015 </w:t>
      </w:r>
      <w:r w:rsidRPr="006F1404">
        <w:rPr>
          <w:sz w:val="16"/>
          <w:szCs w:val="16"/>
        </w:rPr>
        <w:t>Stationary source emissions - Quality assurance of automated measuring systems, SIST, 2015</w:t>
      </w:r>
    </w:p>
  </w:footnote>
  <w:footnote w:id="5">
    <w:p w14:paraId="728E9181" w14:textId="490F591C" w:rsidR="00DA0CD3" w:rsidRPr="006F1404" w:rsidRDefault="00DA0CD3">
      <w:pPr>
        <w:pStyle w:val="Sprotnaopomba-besedilo"/>
        <w:rPr>
          <w:sz w:val="16"/>
          <w:szCs w:val="16"/>
        </w:rPr>
      </w:pPr>
      <w:r w:rsidRPr="006F1404">
        <w:rPr>
          <w:rStyle w:val="Sprotnaopomba-sklic"/>
          <w:sz w:val="16"/>
          <w:szCs w:val="16"/>
        </w:rPr>
        <w:footnoteRef/>
      </w:r>
      <w:r w:rsidRPr="006F1404">
        <w:rPr>
          <w:sz w:val="16"/>
          <w:szCs w:val="16"/>
        </w:rPr>
        <w:t xml:space="preserve"> Uradni list RS, št. 31/07, 70/08, 61/09, 50/13, 44/22 – ZVO-2, 48/22 in 45/25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A4CBA" w14:textId="1FD5C291" w:rsidR="00EA21D3" w:rsidRPr="00694F2B" w:rsidRDefault="00694F2B" w:rsidP="00694F2B">
    <w:pPr>
      <w:pStyle w:val="Glava"/>
      <w:pBdr>
        <w:bottom w:val="single" w:sz="4" w:space="1" w:color="auto"/>
      </w:pBdr>
      <w:jc w:val="right"/>
      <w:rPr>
        <w:sz w:val="16"/>
        <w:szCs w:val="16"/>
      </w:rPr>
    </w:pPr>
    <w:r w:rsidRPr="0076656E">
      <w:rPr>
        <w:sz w:val="16"/>
        <w:szCs w:val="16"/>
      </w:rPr>
      <w:t>Navodila za opis</w:t>
    </w:r>
    <w:r w:rsidR="008A4070">
      <w:rPr>
        <w:sz w:val="16"/>
        <w:szCs w:val="16"/>
      </w:rPr>
      <w:t xml:space="preserve"> AMS in </w:t>
    </w:r>
    <w:r w:rsidRPr="0076656E">
      <w:rPr>
        <w:sz w:val="16"/>
        <w:szCs w:val="16"/>
      </w:rPr>
      <w:t>DAHS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F287E" w14:textId="77777777" w:rsidR="00694F2B" w:rsidRPr="008F3500" w:rsidRDefault="008A4070" w:rsidP="00694F2B">
    <w:pPr>
      <w:pStyle w:val="Glava"/>
      <w:tabs>
        <w:tab w:val="clear" w:pos="4320"/>
        <w:tab w:val="clear" w:pos="8640"/>
        <w:tab w:val="left" w:pos="5112"/>
      </w:tabs>
      <w:spacing w:line="240" w:lineRule="exact"/>
      <w:rPr>
        <w:rFonts w:cs="Arial"/>
        <w:sz w:val="16"/>
      </w:rPr>
    </w:pPr>
    <w:r>
      <w:rPr>
        <w:rFonts w:cs="Arial"/>
        <w:noProof/>
        <w:sz w:val="16"/>
        <w:lang w:eastAsia="sl-SI"/>
      </w:rPr>
      <w:object w:dxaOrig="1440" w:dyaOrig="1440" w14:anchorId="125FB0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3.9pt;margin-top:-52.7pt;width:230.85pt;height:43.15pt;z-index:251659264">
          <v:imagedata r:id="rId1" o:title=""/>
        </v:shape>
        <o:OLEObject Type="Embed" ProgID="CorelDraw.Graphic.25" ShapeID="_x0000_s1030" DrawAspect="Content" ObjectID="_1825836434" r:id="rId2"/>
      </w:object>
    </w:r>
    <w:r w:rsidR="00694F2B">
      <w:rPr>
        <w:rFonts w:cs="Arial"/>
        <w:sz w:val="16"/>
      </w:rPr>
      <w:t>Vojkova 1b</w:t>
    </w:r>
    <w:r w:rsidR="00694F2B" w:rsidRPr="008F3500">
      <w:rPr>
        <w:rFonts w:cs="Arial"/>
        <w:sz w:val="16"/>
      </w:rPr>
      <w:t xml:space="preserve">, </w:t>
    </w:r>
    <w:r w:rsidR="00694F2B">
      <w:rPr>
        <w:rFonts w:cs="Arial"/>
        <w:sz w:val="16"/>
      </w:rPr>
      <w:t>1000 Ljubljana</w:t>
    </w:r>
    <w:r w:rsidR="00694F2B" w:rsidRPr="008F3500">
      <w:rPr>
        <w:rFonts w:cs="Arial"/>
        <w:sz w:val="16"/>
      </w:rPr>
      <w:tab/>
      <w:t xml:space="preserve">T: </w:t>
    </w:r>
    <w:r w:rsidR="00694F2B">
      <w:rPr>
        <w:rFonts w:cs="Arial"/>
        <w:sz w:val="16"/>
      </w:rPr>
      <w:t>01 478 40 00</w:t>
    </w:r>
  </w:p>
  <w:p w14:paraId="5E5137D9" w14:textId="77777777" w:rsidR="00694F2B" w:rsidRPr="008F3500" w:rsidRDefault="00694F2B" w:rsidP="00694F2B">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gp.arso@gov.si</w:t>
    </w:r>
  </w:p>
  <w:p w14:paraId="6EBB1BF9" w14:textId="0F0D555F" w:rsidR="00EA21D3" w:rsidRPr="00694F2B" w:rsidRDefault="00694F2B" w:rsidP="00694F2B">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www.arso.gov.si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33E1"/>
    <w:multiLevelType w:val="hybridMultilevel"/>
    <w:tmpl w:val="147E852C"/>
    <w:lvl w:ilvl="0" w:tplc="89F4E62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4E27A6"/>
    <w:multiLevelType w:val="hybridMultilevel"/>
    <w:tmpl w:val="5A7A777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6FF11BD"/>
    <w:multiLevelType w:val="hybridMultilevel"/>
    <w:tmpl w:val="4E02094C"/>
    <w:lvl w:ilvl="0" w:tplc="68EE078A">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71B3C52"/>
    <w:multiLevelType w:val="hybridMultilevel"/>
    <w:tmpl w:val="DB1C4514"/>
    <w:lvl w:ilvl="0" w:tplc="8FBEE196">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7C124BB"/>
    <w:multiLevelType w:val="hybridMultilevel"/>
    <w:tmpl w:val="BAB8997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C79231F"/>
    <w:multiLevelType w:val="hybridMultilevel"/>
    <w:tmpl w:val="3E268FAC"/>
    <w:lvl w:ilvl="0" w:tplc="F6D28802">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3F12C96"/>
    <w:multiLevelType w:val="hybridMultilevel"/>
    <w:tmpl w:val="ED8A8A38"/>
    <w:lvl w:ilvl="0" w:tplc="CABC43E2">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6EF72CC"/>
    <w:multiLevelType w:val="hybridMultilevel"/>
    <w:tmpl w:val="870C7C34"/>
    <w:lvl w:ilvl="0" w:tplc="840C63F8">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87627C1"/>
    <w:multiLevelType w:val="hybridMultilevel"/>
    <w:tmpl w:val="A18860DE"/>
    <w:lvl w:ilvl="0" w:tplc="CABC43E2">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A2D5A42"/>
    <w:multiLevelType w:val="hybridMultilevel"/>
    <w:tmpl w:val="5588DA0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AAB455B"/>
    <w:multiLevelType w:val="hybridMultilevel"/>
    <w:tmpl w:val="CCD0BDDE"/>
    <w:lvl w:ilvl="0" w:tplc="C4C2F81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DDE070E"/>
    <w:multiLevelType w:val="hybridMultilevel"/>
    <w:tmpl w:val="FA5C5370"/>
    <w:lvl w:ilvl="0" w:tplc="68EE078A">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27E6C7E"/>
    <w:multiLevelType w:val="hybridMultilevel"/>
    <w:tmpl w:val="0F34B4D0"/>
    <w:lvl w:ilvl="0" w:tplc="90324994">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7BD2A65"/>
    <w:multiLevelType w:val="hybridMultilevel"/>
    <w:tmpl w:val="3086E5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33D7B7A"/>
    <w:multiLevelType w:val="hybridMultilevel"/>
    <w:tmpl w:val="FF5E7BF4"/>
    <w:lvl w:ilvl="0" w:tplc="A68E22B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6CB3A04"/>
    <w:multiLevelType w:val="hybridMultilevel"/>
    <w:tmpl w:val="C60E7E3C"/>
    <w:lvl w:ilvl="0" w:tplc="6C2E8178">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203241B"/>
    <w:multiLevelType w:val="hybridMultilevel"/>
    <w:tmpl w:val="ED3E1036"/>
    <w:lvl w:ilvl="0" w:tplc="86ACEE9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4D1389A"/>
    <w:multiLevelType w:val="multilevel"/>
    <w:tmpl w:val="0EAA09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9D2500E"/>
    <w:multiLevelType w:val="hybridMultilevel"/>
    <w:tmpl w:val="54883EBE"/>
    <w:lvl w:ilvl="0" w:tplc="3F9A6A2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D6321C4"/>
    <w:multiLevelType w:val="hybridMultilevel"/>
    <w:tmpl w:val="13666F38"/>
    <w:lvl w:ilvl="0" w:tplc="F5A8BDBA">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E1B3300"/>
    <w:multiLevelType w:val="hybridMultilevel"/>
    <w:tmpl w:val="C43A5E94"/>
    <w:lvl w:ilvl="0" w:tplc="04240017">
      <w:start w:val="1"/>
      <w:numFmt w:val="lowerLetter"/>
      <w:lvlText w:val="%1)"/>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3873527"/>
    <w:multiLevelType w:val="hybridMultilevel"/>
    <w:tmpl w:val="95A8F444"/>
    <w:lvl w:ilvl="0" w:tplc="CABC43E2">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4F50FB0"/>
    <w:multiLevelType w:val="multilevel"/>
    <w:tmpl w:val="4EE404B4"/>
    <w:lvl w:ilvl="0">
      <w:start w:val="1"/>
      <w:numFmt w:val="decimal"/>
      <w:pStyle w:val="Naslov1"/>
      <w:lvlText w:val="%1."/>
      <w:lvlJc w:val="left"/>
      <w:pPr>
        <w:ind w:left="360" w:hanging="360"/>
      </w:pPr>
    </w:lvl>
    <w:lvl w:ilvl="1">
      <w:start w:val="1"/>
      <w:numFmt w:val="decimal"/>
      <w:pStyle w:val="Naslov2"/>
      <w:lvlText w:val="%1.%2."/>
      <w:lvlJc w:val="left"/>
      <w:pPr>
        <w:ind w:left="792" w:hanging="432"/>
      </w:pPr>
    </w:lvl>
    <w:lvl w:ilvl="2">
      <w:start w:val="1"/>
      <w:numFmt w:val="decimal"/>
      <w:pStyle w:val="Naslov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ACD2E6A"/>
    <w:multiLevelType w:val="hybridMultilevel"/>
    <w:tmpl w:val="0FFEED78"/>
    <w:lvl w:ilvl="0" w:tplc="384076F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3B02280"/>
    <w:multiLevelType w:val="hybridMultilevel"/>
    <w:tmpl w:val="7124DE94"/>
    <w:lvl w:ilvl="0" w:tplc="6FD250A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61D3BE7"/>
    <w:multiLevelType w:val="hybridMultilevel"/>
    <w:tmpl w:val="ADEE1B8E"/>
    <w:lvl w:ilvl="0" w:tplc="68EE078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D4D7783"/>
    <w:multiLevelType w:val="hybridMultilevel"/>
    <w:tmpl w:val="6B4E2D5E"/>
    <w:lvl w:ilvl="0" w:tplc="CABC43E2">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E340B14"/>
    <w:multiLevelType w:val="hybridMultilevel"/>
    <w:tmpl w:val="E9DC3844"/>
    <w:lvl w:ilvl="0" w:tplc="4F70D1A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B595EF4"/>
    <w:multiLevelType w:val="hybridMultilevel"/>
    <w:tmpl w:val="01DCCDBA"/>
    <w:lvl w:ilvl="0" w:tplc="0FA81032">
      <w:start w:val="1"/>
      <w:numFmt w:val="bullet"/>
      <w:lvlText w:val="-"/>
      <w:lvlJc w:val="left"/>
      <w:pPr>
        <w:ind w:left="720" w:hanging="360"/>
      </w:pPr>
      <w:rPr>
        <w:rFonts w:ascii="Aptos" w:hAnsi="Apto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F164C1C"/>
    <w:multiLevelType w:val="hybridMultilevel"/>
    <w:tmpl w:val="E5E8922C"/>
    <w:lvl w:ilvl="0" w:tplc="DD661A50">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136146137">
    <w:abstractNumId w:val="25"/>
  </w:num>
  <w:num w:numId="2" w16cid:durableId="1398088352">
    <w:abstractNumId w:val="0"/>
  </w:num>
  <w:num w:numId="3" w16cid:durableId="1005979849">
    <w:abstractNumId w:val="5"/>
  </w:num>
  <w:num w:numId="4" w16cid:durableId="1516769289">
    <w:abstractNumId w:val="12"/>
  </w:num>
  <w:num w:numId="5" w16cid:durableId="1760901544">
    <w:abstractNumId w:val="3"/>
  </w:num>
  <w:num w:numId="6" w16cid:durableId="1646082308">
    <w:abstractNumId w:val="16"/>
  </w:num>
  <w:num w:numId="7" w16cid:durableId="524517294">
    <w:abstractNumId w:val="18"/>
  </w:num>
  <w:num w:numId="8" w16cid:durableId="734397140">
    <w:abstractNumId w:val="14"/>
  </w:num>
  <w:num w:numId="9" w16cid:durableId="764770087">
    <w:abstractNumId w:val="13"/>
  </w:num>
  <w:num w:numId="10" w16cid:durableId="2069498756">
    <w:abstractNumId w:val="29"/>
  </w:num>
  <w:num w:numId="11" w16cid:durableId="1259607120">
    <w:abstractNumId w:val="11"/>
  </w:num>
  <w:num w:numId="12" w16cid:durableId="774129746">
    <w:abstractNumId w:val="2"/>
  </w:num>
  <w:num w:numId="13" w16cid:durableId="831533050">
    <w:abstractNumId w:val="27"/>
  </w:num>
  <w:num w:numId="14" w16cid:durableId="1899121579">
    <w:abstractNumId w:val="22"/>
  </w:num>
  <w:num w:numId="15" w16cid:durableId="132677580">
    <w:abstractNumId w:val="20"/>
  </w:num>
  <w:num w:numId="16" w16cid:durableId="1096288699">
    <w:abstractNumId w:val="8"/>
  </w:num>
  <w:num w:numId="17" w16cid:durableId="1561407504">
    <w:abstractNumId w:val="21"/>
  </w:num>
  <w:num w:numId="18" w16cid:durableId="974028048">
    <w:abstractNumId w:val="6"/>
  </w:num>
  <w:num w:numId="19" w16cid:durableId="657076044">
    <w:abstractNumId w:val="26"/>
  </w:num>
  <w:num w:numId="20" w16cid:durableId="1140535496">
    <w:abstractNumId w:val="7"/>
  </w:num>
  <w:num w:numId="21" w16cid:durableId="1313101061">
    <w:abstractNumId w:val="17"/>
  </w:num>
  <w:num w:numId="22" w16cid:durableId="108936838">
    <w:abstractNumId w:val="9"/>
  </w:num>
  <w:num w:numId="23" w16cid:durableId="1262104128">
    <w:abstractNumId w:val="4"/>
  </w:num>
  <w:num w:numId="24" w16cid:durableId="635379731">
    <w:abstractNumId w:val="1"/>
  </w:num>
  <w:num w:numId="25" w16cid:durableId="1505125328">
    <w:abstractNumId w:val="23"/>
  </w:num>
  <w:num w:numId="26" w16cid:durableId="8266722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2507737">
    <w:abstractNumId w:val="17"/>
  </w:num>
  <w:num w:numId="28" w16cid:durableId="682514285">
    <w:abstractNumId w:val="17"/>
  </w:num>
  <w:num w:numId="29" w16cid:durableId="1974286649">
    <w:abstractNumId w:val="10"/>
  </w:num>
  <w:num w:numId="30" w16cid:durableId="368800153">
    <w:abstractNumId w:val="28"/>
  </w:num>
  <w:num w:numId="31" w16cid:durableId="10277512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689558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23653901">
    <w:abstractNumId w:val="19"/>
  </w:num>
  <w:num w:numId="34" w16cid:durableId="1292901629">
    <w:abstractNumId w:val="24"/>
  </w:num>
  <w:num w:numId="35" w16cid:durableId="17943263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0" w:nlCheck="1" w:checkStyle="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2D8"/>
    <w:rsid w:val="00016162"/>
    <w:rsid w:val="000320A4"/>
    <w:rsid w:val="0003615A"/>
    <w:rsid w:val="00042FB0"/>
    <w:rsid w:val="000463EE"/>
    <w:rsid w:val="000470F2"/>
    <w:rsid w:val="00052621"/>
    <w:rsid w:val="00054464"/>
    <w:rsid w:val="0006018A"/>
    <w:rsid w:val="00060B79"/>
    <w:rsid w:val="000700B3"/>
    <w:rsid w:val="00070CA5"/>
    <w:rsid w:val="00073893"/>
    <w:rsid w:val="00075A8B"/>
    <w:rsid w:val="000840E3"/>
    <w:rsid w:val="000B3280"/>
    <w:rsid w:val="000B74A9"/>
    <w:rsid w:val="000C0AEF"/>
    <w:rsid w:val="000D3925"/>
    <w:rsid w:val="00103EC5"/>
    <w:rsid w:val="00125AA5"/>
    <w:rsid w:val="00130FC9"/>
    <w:rsid w:val="00131389"/>
    <w:rsid w:val="00143F19"/>
    <w:rsid w:val="001502A4"/>
    <w:rsid w:val="0016096D"/>
    <w:rsid w:val="00162911"/>
    <w:rsid w:val="00163708"/>
    <w:rsid w:val="00166AAF"/>
    <w:rsid w:val="00172902"/>
    <w:rsid w:val="00176881"/>
    <w:rsid w:val="00181CA5"/>
    <w:rsid w:val="001841A0"/>
    <w:rsid w:val="00192EB7"/>
    <w:rsid w:val="001951C9"/>
    <w:rsid w:val="001A098E"/>
    <w:rsid w:val="001A70DB"/>
    <w:rsid w:val="001C424E"/>
    <w:rsid w:val="001D05C3"/>
    <w:rsid w:val="001D6ACD"/>
    <w:rsid w:val="001E0C87"/>
    <w:rsid w:val="001F0265"/>
    <w:rsid w:val="00210259"/>
    <w:rsid w:val="00217A09"/>
    <w:rsid w:val="00231F8D"/>
    <w:rsid w:val="002470AC"/>
    <w:rsid w:val="00254404"/>
    <w:rsid w:val="00256BF0"/>
    <w:rsid w:val="00257EA6"/>
    <w:rsid w:val="002646B8"/>
    <w:rsid w:val="0027789E"/>
    <w:rsid w:val="00277950"/>
    <w:rsid w:val="00277AE4"/>
    <w:rsid w:val="002828B9"/>
    <w:rsid w:val="00286147"/>
    <w:rsid w:val="002A7ED1"/>
    <w:rsid w:val="002D0FEB"/>
    <w:rsid w:val="002D3C8C"/>
    <w:rsid w:val="002E1027"/>
    <w:rsid w:val="002E7AC0"/>
    <w:rsid w:val="002F1792"/>
    <w:rsid w:val="003228FA"/>
    <w:rsid w:val="00325D39"/>
    <w:rsid w:val="00330CF5"/>
    <w:rsid w:val="00337F07"/>
    <w:rsid w:val="00340604"/>
    <w:rsid w:val="00341452"/>
    <w:rsid w:val="00341727"/>
    <w:rsid w:val="003461A4"/>
    <w:rsid w:val="003501C2"/>
    <w:rsid w:val="0035110E"/>
    <w:rsid w:val="003623D5"/>
    <w:rsid w:val="003745A9"/>
    <w:rsid w:val="0038188E"/>
    <w:rsid w:val="003A5C1A"/>
    <w:rsid w:val="003B0A86"/>
    <w:rsid w:val="003B3ED9"/>
    <w:rsid w:val="003B7AD9"/>
    <w:rsid w:val="003E1CE4"/>
    <w:rsid w:val="003E4B35"/>
    <w:rsid w:val="003F0A0D"/>
    <w:rsid w:val="003F10C9"/>
    <w:rsid w:val="003F2A02"/>
    <w:rsid w:val="003F5C5A"/>
    <w:rsid w:val="003F65FA"/>
    <w:rsid w:val="0040559F"/>
    <w:rsid w:val="00406771"/>
    <w:rsid w:val="00411C9D"/>
    <w:rsid w:val="00417B00"/>
    <w:rsid w:val="004224A6"/>
    <w:rsid w:val="00422602"/>
    <w:rsid w:val="00433B20"/>
    <w:rsid w:val="00441CC7"/>
    <w:rsid w:val="00445659"/>
    <w:rsid w:val="0044707A"/>
    <w:rsid w:val="00454C41"/>
    <w:rsid w:val="00467EBF"/>
    <w:rsid w:val="0047614F"/>
    <w:rsid w:val="00476B78"/>
    <w:rsid w:val="00480FE3"/>
    <w:rsid w:val="004A66DB"/>
    <w:rsid w:val="004C1FF5"/>
    <w:rsid w:val="004C50DC"/>
    <w:rsid w:val="004D4B02"/>
    <w:rsid w:val="004F123A"/>
    <w:rsid w:val="004F146E"/>
    <w:rsid w:val="004F76FD"/>
    <w:rsid w:val="00511354"/>
    <w:rsid w:val="00521D26"/>
    <w:rsid w:val="00522381"/>
    <w:rsid w:val="005249D2"/>
    <w:rsid w:val="005479C5"/>
    <w:rsid w:val="00554B9C"/>
    <w:rsid w:val="00565088"/>
    <w:rsid w:val="005702C3"/>
    <w:rsid w:val="00585834"/>
    <w:rsid w:val="0059273E"/>
    <w:rsid w:val="00594A9F"/>
    <w:rsid w:val="00595E93"/>
    <w:rsid w:val="005B71D0"/>
    <w:rsid w:val="005C3898"/>
    <w:rsid w:val="005C64DE"/>
    <w:rsid w:val="005D24ED"/>
    <w:rsid w:val="005D59C7"/>
    <w:rsid w:val="005E14C1"/>
    <w:rsid w:val="005F13AE"/>
    <w:rsid w:val="005F5CEB"/>
    <w:rsid w:val="00610DB7"/>
    <w:rsid w:val="00613EB4"/>
    <w:rsid w:val="00617A49"/>
    <w:rsid w:val="00625798"/>
    <w:rsid w:val="00625BE3"/>
    <w:rsid w:val="00631D1D"/>
    <w:rsid w:val="00634566"/>
    <w:rsid w:val="00646E1C"/>
    <w:rsid w:val="00650A69"/>
    <w:rsid w:val="00650E43"/>
    <w:rsid w:val="00694F2B"/>
    <w:rsid w:val="00697C2F"/>
    <w:rsid w:val="006A0866"/>
    <w:rsid w:val="006A2646"/>
    <w:rsid w:val="006B0E36"/>
    <w:rsid w:val="006C2DB9"/>
    <w:rsid w:val="006C39DC"/>
    <w:rsid w:val="006D11FE"/>
    <w:rsid w:val="006D1879"/>
    <w:rsid w:val="006DFE2A"/>
    <w:rsid w:val="006F0093"/>
    <w:rsid w:val="006F1404"/>
    <w:rsid w:val="006F486C"/>
    <w:rsid w:val="006F5F82"/>
    <w:rsid w:val="00705EEF"/>
    <w:rsid w:val="0071011C"/>
    <w:rsid w:val="00712F32"/>
    <w:rsid w:val="007136C7"/>
    <w:rsid w:val="007175BE"/>
    <w:rsid w:val="00721C1A"/>
    <w:rsid w:val="007261A6"/>
    <w:rsid w:val="00734847"/>
    <w:rsid w:val="0076656E"/>
    <w:rsid w:val="00776C06"/>
    <w:rsid w:val="0078257F"/>
    <w:rsid w:val="007853FC"/>
    <w:rsid w:val="00787DB7"/>
    <w:rsid w:val="00794AE0"/>
    <w:rsid w:val="007A73D3"/>
    <w:rsid w:val="007B2C32"/>
    <w:rsid w:val="007B4D1D"/>
    <w:rsid w:val="007D2A06"/>
    <w:rsid w:val="007E3BE7"/>
    <w:rsid w:val="007F50D7"/>
    <w:rsid w:val="00822C5D"/>
    <w:rsid w:val="00824E87"/>
    <w:rsid w:val="00825C01"/>
    <w:rsid w:val="00847D2E"/>
    <w:rsid w:val="00850891"/>
    <w:rsid w:val="008540C0"/>
    <w:rsid w:val="008578B5"/>
    <w:rsid w:val="00866A11"/>
    <w:rsid w:val="00867590"/>
    <w:rsid w:val="00884ABC"/>
    <w:rsid w:val="008859DE"/>
    <w:rsid w:val="00885D63"/>
    <w:rsid w:val="00890EB2"/>
    <w:rsid w:val="008919F0"/>
    <w:rsid w:val="008A4070"/>
    <w:rsid w:val="008A613F"/>
    <w:rsid w:val="008B1B46"/>
    <w:rsid w:val="008B2908"/>
    <w:rsid w:val="008C6217"/>
    <w:rsid w:val="008C781A"/>
    <w:rsid w:val="008D737E"/>
    <w:rsid w:val="008E15F0"/>
    <w:rsid w:val="008E4E04"/>
    <w:rsid w:val="008F01AD"/>
    <w:rsid w:val="008F02F8"/>
    <w:rsid w:val="008F4E2A"/>
    <w:rsid w:val="008F641D"/>
    <w:rsid w:val="00905972"/>
    <w:rsid w:val="00910AE6"/>
    <w:rsid w:val="00914E41"/>
    <w:rsid w:val="00916581"/>
    <w:rsid w:val="009537C4"/>
    <w:rsid w:val="0095778E"/>
    <w:rsid w:val="00961F4E"/>
    <w:rsid w:val="00964DDF"/>
    <w:rsid w:val="009A05F5"/>
    <w:rsid w:val="009A516E"/>
    <w:rsid w:val="009A5763"/>
    <w:rsid w:val="009B22D8"/>
    <w:rsid w:val="009B54E0"/>
    <w:rsid w:val="009C36F4"/>
    <w:rsid w:val="009C4005"/>
    <w:rsid w:val="009E02A3"/>
    <w:rsid w:val="009E36AE"/>
    <w:rsid w:val="009F376C"/>
    <w:rsid w:val="009F51A4"/>
    <w:rsid w:val="00A03B8C"/>
    <w:rsid w:val="00A10183"/>
    <w:rsid w:val="00A1213E"/>
    <w:rsid w:val="00A13F25"/>
    <w:rsid w:val="00A1597F"/>
    <w:rsid w:val="00A17947"/>
    <w:rsid w:val="00A21DA4"/>
    <w:rsid w:val="00A220A4"/>
    <w:rsid w:val="00A33D58"/>
    <w:rsid w:val="00A557F6"/>
    <w:rsid w:val="00A601D4"/>
    <w:rsid w:val="00A65074"/>
    <w:rsid w:val="00A66B22"/>
    <w:rsid w:val="00A83CDD"/>
    <w:rsid w:val="00A93C94"/>
    <w:rsid w:val="00A977D7"/>
    <w:rsid w:val="00AA5DD9"/>
    <w:rsid w:val="00AA6FC3"/>
    <w:rsid w:val="00AB70B3"/>
    <w:rsid w:val="00AC2D55"/>
    <w:rsid w:val="00AC6DE4"/>
    <w:rsid w:val="00AD3F7B"/>
    <w:rsid w:val="00AE58EC"/>
    <w:rsid w:val="00AF0F18"/>
    <w:rsid w:val="00AF4B3D"/>
    <w:rsid w:val="00AF7B0C"/>
    <w:rsid w:val="00B0282A"/>
    <w:rsid w:val="00B05BC8"/>
    <w:rsid w:val="00B06ACB"/>
    <w:rsid w:val="00B13B6D"/>
    <w:rsid w:val="00B16E9E"/>
    <w:rsid w:val="00B21629"/>
    <w:rsid w:val="00B22720"/>
    <w:rsid w:val="00B31A72"/>
    <w:rsid w:val="00B34708"/>
    <w:rsid w:val="00B36B2D"/>
    <w:rsid w:val="00B41DCE"/>
    <w:rsid w:val="00B46FAD"/>
    <w:rsid w:val="00B47893"/>
    <w:rsid w:val="00B81CD1"/>
    <w:rsid w:val="00B907A2"/>
    <w:rsid w:val="00B95BE3"/>
    <w:rsid w:val="00B95FFF"/>
    <w:rsid w:val="00B96C92"/>
    <w:rsid w:val="00BC0E79"/>
    <w:rsid w:val="00BE423E"/>
    <w:rsid w:val="00BF2C51"/>
    <w:rsid w:val="00C0286F"/>
    <w:rsid w:val="00C03397"/>
    <w:rsid w:val="00C0540B"/>
    <w:rsid w:val="00C0738D"/>
    <w:rsid w:val="00C14FA5"/>
    <w:rsid w:val="00C1530C"/>
    <w:rsid w:val="00C215F8"/>
    <w:rsid w:val="00C27E9C"/>
    <w:rsid w:val="00C37B22"/>
    <w:rsid w:val="00C40530"/>
    <w:rsid w:val="00C71BB9"/>
    <w:rsid w:val="00C80DCC"/>
    <w:rsid w:val="00C90EF5"/>
    <w:rsid w:val="00C9280E"/>
    <w:rsid w:val="00C9748F"/>
    <w:rsid w:val="00C97AFB"/>
    <w:rsid w:val="00CB2A37"/>
    <w:rsid w:val="00CB36E0"/>
    <w:rsid w:val="00CC6BEC"/>
    <w:rsid w:val="00CD4BF5"/>
    <w:rsid w:val="00CE4F34"/>
    <w:rsid w:val="00CE70F5"/>
    <w:rsid w:val="00CE7951"/>
    <w:rsid w:val="00CF4651"/>
    <w:rsid w:val="00D0751B"/>
    <w:rsid w:val="00D22576"/>
    <w:rsid w:val="00D228BA"/>
    <w:rsid w:val="00D2408D"/>
    <w:rsid w:val="00D265DB"/>
    <w:rsid w:val="00D27E52"/>
    <w:rsid w:val="00D300F1"/>
    <w:rsid w:val="00D31B70"/>
    <w:rsid w:val="00D33D85"/>
    <w:rsid w:val="00D348FD"/>
    <w:rsid w:val="00D35D5C"/>
    <w:rsid w:val="00D422C4"/>
    <w:rsid w:val="00D5058D"/>
    <w:rsid w:val="00D605D9"/>
    <w:rsid w:val="00D67B9F"/>
    <w:rsid w:val="00D817FA"/>
    <w:rsid w:val="00D9024F"/>
    <w:rsid w:val="00D9429A"/>
    <w:rsid w:val="00D967A9"/>
    <w:rsid w:val="00D967C6"/>
    <w:rsid w:val="00DA0CD3"/>
    <w:rsid w:val="00DA11C1"/>
    <w:rsid w:val="00DA37DA"/>
    <w:rsid w:val="00DA7588"/>
    <w:rsid w:val="00DA7E9B"/>
    <w:rsid w:val="00DB3971"/>
    <w:rsid w:val="00DB3F7C"/>
    <w:rsid w:val="00DB757E"/>
    <w:rsid w:val="00DC06D7"/>
    <w:rsid w:val="00DC3444"/>
    <w:rsid w:val="00DC50BE"/>
    <w:rsid w:val="00DD14FA"/>
    <w:rsid w:val="00DE6200"/>
    <w:rsid w:val="00DF2A39"/>
    <w:rsid w:val="00E01723"/>
    <w:rsid w:val="00E050CF"/>
    <w:rsid w:val="00E12379"/>
    <w:rsid w:val="00E145EA"/>
    <w:rsid w:val="00E25DB9"/>
    <w:rsid w:val="00E33CE9"/>
    <w:rsid w:val="00E53F88"/>
    <w:rsid w:val="00E635E0"/>
    <w:rsid w:val="00E801C1"/>
    <w:rsid w:val="00E82B0E"/>
    <w:rsid w:val="00E91E5A"/>
    <w:rsid w:val="00EA21D3"/>
    <w:rsid w:val="00EB166B"/>
    <w:rsid w:val="00EC55C1"/>
    <w:rsid w:val="00ED1A59"/>
    <w:rsid w:val="00ED56D9"/>
    <w:rsid w:val="00EE06BB"/>
    <w:rsid w:val="00EF34FA"/>
    <w:rsid w:val="00F02664"/>
    <w:rsid w:val="00F03E00"/>
    <w:rsid w:val="00F45D34"/>
    <w:rsid w:val="00F533E3"/>
    <w:rsid w:val="00F62AE5"/>
    <w:rsid w:val="00F661A0"/>
    <w:rsid w:val="00F670B7"/>
    <w:rsid w:val="00F80EDF"/>
    <w:rsid w:val="00F910AC"/>
    <w:rsid w:val="00FA5FBC"/>
    <w:rsid w:val="00FB5525"/>
    <w:rsid w:val="00FC3BF2"/>
    <w:rsid w:val="00FE13F1"/>
    <w:rsid w:val="00FE1FE5"/>
    <w:rsid w:val="00FE3296"/>
    <w:rsid w:val="02A23E69"/>
    <w:rsid w:val="03169A0C"/>
    <w:rsid w:val="05A633B5"/>
    <w:rsid w:val="06A5AAA7"/>
    <w:rsid w:val="09259BD2"/>
    <w:rsid w:val="09361F5E"/>
    <w:rsid w:val="09BA04ED"/>
    <w:rsid w:val="0BD3F6D2"/>
    <w:rsid w:val="0CD3E26C"/>
    <w:rsid w:val="0D481C54"/>
    <w:rsid w:val="0DCD2A40"/>
    <w:rsid w:val="0E045B64"/>
    <w:rsid w:val="0EEA01CA"/>
    <w:rsid w:val="0F458016"/>
    <w:rsid w:val="0FDFE71C"/>
    <w:rsid w:val="10589EB2"/>
    <w:rsid w:val="10F90328"/>
    <w:rsid w:val="121A433E"/>
    <w:rsid w:val="12BDF137"/>
    <w:rsid w:val="12FCF01C"/>
    <w:rsid w:val="133947A5"/>
    <w:rsid w:val="13EDFFB0"/>
    <w:rsid w:val="142D39D4"/>
    <w:rsid w:val="14593235"/>
    <w:rsid w:val="14C3EDA7"/>
    <w:rsid w:val="1924A63D"/>
    <w:rsid w:val="19F70B45"/>
    <w:rsid w:val="1C00E340"/>
    <w:rsid w:val="1CDD92CE"/>
    <w:rsid w:val="1DA82367"/>
    <w:rsid w:val="2016572B"/>
    <w:rsid w:val="21F13E16"/>
    <w:rsid w:val="22A05D51"/>
    <w:rsid w:val="25EEBF81"/>
    <w:rsid w:val="27671AE0"/>
    <w:rsid w:val="27BD0340"/>
    <w:rsid w:val="287F1DD0"/>
    <w:rsid w:val="29392929"/>
    <w:rsid w:val="2A58734E"/>
    <w:rsid w:val="2D6C22A7"/>
    <w:rsid w:val="2DAA5F10"/>
    <w:rsid w:val="2EBDC046"/>
    <w:rsid w:val="2EC4A874"/>
    <w:rsid w:val="2F51B9EA"/>
    <w:rsid w:val="323055F2"/>
    <w:rsid w:val="33ABFF00"/>
    <w:rsid w:val="345CE1B9"/>
    <w:rsid w:val="34907FCC"/>
    <w:rsid w:val="34F786EC"/>
    <w:rsid w:val="355B524D"/>
    <w:rsid w:val="35F94521"/>
    <w:rsid w:val="3AA36726"/>
    <w:rsid w:val="3AB30EC5"/>
    <w:rsid w:val="3BC356B5"/>
    <w:rsid w:val="3BE3BFE9"/>
    <w:rsid w:val="3C54E9AC"/>
    <w:rsid w:val="409199D7"/>
    <w:rsid w:val="43259023"/>
    <w:rsid w:val="46313782"/>
    <w:rsid w:val="46CAF10A"/>
    <w:rsid w:val="478AE76E"/>
    <w:rsid w:val="47FED075"/>
    <w:rsid w:val="485B8352"/>
    <w:rsid w:val="4869B6D4"/>
    <w:rsid w:val="4891DEB3"/>
    <w:rsid w:val="4892206D"/>
    <w:rsid w:val="4A055475"/>
    <w:rsid w:val="4B9BD05F"/>
    <w:rsid w:val="4C2909FC"/>
    <w:rsid w:val="4D70538C"/>
    <w:rsid w:val="4DC47ABF"/>
    <w:rsid w:val="4F63019D"/>
    <w:rsid w:val="4F6838F6"/>
    <w:rsid w:val="506BC97B"/>
    <w:rsid w:val="514F325E"/>
    <w:rsid w:val="51F98C0E"/>
    <w:rsid w:val="58F08913"/>
    <w:rsid w:val="5BA1EAC4"/>
    <w:rsid w:val="5C057BAD"/>
    <w:rsid w:val="5C7CE93B"/>
    <w:rsid w:val="5F0A0CB9"/>
    <w:rsid w:val="5F8A153E"/>
    <w:rsid w:val="60185872"/>
    <w:rsid w:val="6021C3F7"/>
    <w:rsid w:val="610D5132"/>
    <w:rsid w:val="6369890D"/>
    <w:rsid w:val="6392D367"/>
    <w:rsid w:val="6482CC73"/>
    <w:rsid w:val="64F41A22"/>
    <w:rsid w:val="65BA9E6B"/>
    <w:rsid w:val="66F7195C"/>
    <w:rsid w:val="6AA359B8"/>
    <w:rsid w:val="6BCE0C8D"/>
    <w:rsid w:val="6CFEC1FE"/>
    <w:rsid w:val="6DD96061"/>
    <w:rsid w:val="6E5302BA"/>
    <w:rsid w:val="6EBFFA75"/>
    <w:rsid w:val="6F97D3EE"/>
    <w:rsid w:val="7003A67E"/>
    <w:rsid w:val="71D006E0"/>
    <w:rsid w:val="740FB1D2"/>
    <w:rsid w:val="74FD28CC"/>
    <w:rsid w:val="752895FC"/>
    <w:rsid w:val="75F71FE4"/>
    <w:rsid w:val="7657942C"/>
    <w:rsid w:val="7915ECBB"/>
    <w:rsid w:val="796FF0FC"/>
    <w:rsid w:val="7BD206AD"/>
    <w:rsid w:val="7C2CBAA3"/>
    <w:rsid w:val="7DA8E926"/>
    <w:rsid w:val="7EA77CA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F042E"/>
  <w15:chartTrackingRefBased/>
  <w15:docId w15:val="{7572912E-918C-47DB-BC5F-4AD8DFEA2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40530"/>
    <w:pPr>
      <w:spacing w:before="120" w:line="260" w:lineRule="exact"/>
      <w:jc w:val="both"/>
    </w:pPr>
    <w:rPr>
      <w:rFonts w:ascii="Arial" w:eastAsia="Times New Roman" w:hAnsi="Arial"/>
      <w:szCs w:val="24"/>
      <w:lang w:eastAsia="en-US"/>
    </w:rPr>
  </w:style>
  <w:style w:type="paragraph" w:styleId="Naslov1">
    <w:name w:val="heading 1"/>
    <w:basedOn w:val="Navaden"/>
    <w:next w:val="Navaden"/>
    <w:link w:val="Naslov1Znak"/>
    <w:uiPriority w:val="9"/>
    <w:qFormat/>
    <w:rsid w:val="00411C9D"/>
    <w:pPr>
      <w:keepNext/>
      <w:keepLines/>
      <w:numPr>
        <w:numId w:val="14"/>
      </w:numPr>
      <w:spacing w:before="240"/>
      <w:outlineLvl w:val="0"/>
    </w:pPr>
    <w:rPr>
      <w:rFonts w:eastAsiaTheme="majorEastAsia" w:cstheme="majorBidi"/>
      <w:b/>
      <w:sz w:val="24"/>
      <w:szCs w:val="32"/>
    </w:rPr>
  </w:style>
  <w:style w:type="paragraph" w:styleId="Naslov2">
    <w:name w:val="heading 2"/>
    <w:basedOn w:val="Navaden"/>
    <w:next w:val="Navaden"/>
    <w:link w:val="Naslov2Znak"/>
    <w:uiPriority w:val="9"/>
    <w:unhideWhenUsed/>
    <w:qFormat/>
    <w:rsid w:val="00411C9D"/>
    <w:pPr>
      <w:keepNext/>
      <w:keepLines/>
      <w:numPr>
        <w:ilvl w:val="1"/>
        <w:numId w:val="14"/>
      </w:numPr>
      <w:spacing w:before="40"/>
      <w:outlineLvl w:val="1"/>
    </w:pPr>
    <w:rPr>
      <w:rFonts w:eastAsiaTheme="majorEastAsia" w:cstheme="majorBidi"/>
      <w:b/>
      <w:szCs w:val="26"/>
    </w:rPr>
  </w:style>
  <w:style w:type="paragraph" w:styleId="Naslov3">
    <w:name w:val="heading 3"/>
    <w:basedOn w:val="Naslov2"/>
    <w:next w:val="Navaden"/>
    <w:link w:val="Naslov3Znak"/>
    <w:uiPriority w:val="9"/>
    <w:unhideWhenUsed/>
    <w:qFormat/>
    <w:rsid w:val="001A098E"/>
    <w:pPr>
      <w:numPr>
        <w:ilvl w:val="2"/>
      </w:numPr>
      <w:outlineLvl w:val="2"/>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9F51A4"/>
    <w:pPr>
      <w:tabs>
        <w:tab w:val="center" w:pos="4320"/>
        <w:tab w:val="right" w:pos="8640"/>
      </w:tabs>
    </w:pPr>
  </w:style>
  <w:style w:type="character" w:customStyle="1" w:styleId="GlavaZnak">
    <w:name w:val="Glava Znak"/>
    <w:link w:val="Glava"/>
    <w:uiPriority w:val="99"/>
    <w:rsid w:val="009F51A4"/>
    <w:rPr>
      <w:rFonts w:ascii="Arial" w:eastAsia="Times New Roman" w:hAnsi="Arial" w:cs="Times New Roman"/>
      <w:sz w:val="20"/>
      <w:szCs w:val="24"/>
      <w:lang w:val="en-US"/>
    </w:rPr>
  </w:style>
  <w:style w:type="paragraph" w:styleId="Noga">
    <w:name w:val="footer"/>
    <w:basedOn w:val="Navaden"/>
    <w:link w:val="NogaZnak"/>
    <w:semiHidden/>
    <w:rsid w:val="009F51A4"/>
    <w:pPr>
      <w:tabs>
        <w:tab w:val="center" w:pos="4320"/>
        <w:tab w:val="right" w:pos="8640"/>
      </w:tabs>
    </w:pPr>
  </w:style>
  <w:style w:type="character" w:customStyle="1" w:styleId="NogaZnak">
    <w:name w:val="Noga Znak"/>
    <w:link w:val="Noga"/>
    <w:semiHidden/>
    <w:rsid w:val="009F51A4"/>
    <w:rPr>
      <w:rFonts w:ascii="Arial" w:eastAsia="Times New Roman" w:hAnsi="Arial" w:cs="Times New Roman"/>
      <w:sz w:val="20"/>
      <w:szCs w:val="24"/>
      <w:lang w:val="en-US"/>
    </w:rPr>
  </w:style>
  <w:style w:type="paragraph" w:customStyle="1" w:styleId="datumtevilka">
    <w:name w:val="datum številka"/>
    <w:basedOn w:val="Navaden"/>
    <w:qFormat/>
    <w:rsid w:val="009F51A4"/>
    <w:pPr>
      <w:tabs>
        <w:tab w:val="left" w:pos="1701"/>
      </w:tabs>
    </w:pPr>
    <w:rPr>
      <w:szCs w:val="20"/>
      <w:lang w:eastAsia="sl-SI"/>
    </w:rPr>
  </w:style>
  <w:style w:type="paragraph" w:customStyle="1" w:styleId="ZADEVA">
    <w:name w:val="ZADEVA"/>
    <w:basedOn w:val="Navaden"/>
    <w:qFormat/>
    <w:rsid w:val="009F51A4"/>
    <w:pPr>
      <w:tabs>
        <w:tab w:val="left" w:pos="1701"/>
      </w:tabs>
      <w:ind w:left="1701" w:hanging="1701"/>
    </w:pPr>
    <w:rPr>
      <w:b/>
      <w:lang w:val="it-IT"/>
    </w:rPr>
  </w:style>
  <w:style w:type="paragraph" w:customStyle="1" w:styleId="podpisi">
    <w:name w:val="podpisi"/>
    <w:basedOn w:val="Navaden"/>
    <w:qFormat/>
    <w:rsid w:val="009F51A4"/>
    <w:pPr>
      <w:tabs>
        <w:tab w:val="left" w:pos="3402"/>
      </w:tabs>
    </w:pPr>
    <w:rPr>
      <w:lang w:val="it-IT"/>
    </w:rPr>
  </w:style>
  <w:style w:type="character" w:styleId="Pripombasklic">
    <w:name w:val="annotation reference"/>
    <w:uiPriority w:val="99"/>
    <w:semiHidden/>
    <w:unhideWhenUsed/>
    <w:rsid w:val="009F51A4"/>
    <w:rPr>
      <w:sz w:val="16"/>
      <w:szCs w:val="16"/>
    </w:rPr>
  </w:style>
  <w:style w:type="paragraph" w:styleId="Pripombabesedilo">
    <w:name w:val="annotation text"/>
    <w:basedOn w:val="Navaden"/>
    <w:link w:val="PripombabesediloZnak"/>
    <w:uiPriority w:val="99"/>
    <w:unhideWhenUsed/>
    <w:rsid w:val="009F51A4"/>
    <w:pPr>
      <w:spacing w:line="240" w:lineRule="auto"/>
    </w:pPr>
    <w:rPr>
      <w:szCs w:val="20"/>
    </w:rPr>
  </w:style>
  <w:style w:type="character" w:customStyle="1" w:styleId="PripombabesediloZnak">
    <w:name w:val="Pripomba – besedilo Znak"/>
    <w:link w:val="Pripombabesedilo"/>
    <w:uiPriority w:val="99"/>
    <w:rsid w:val="009F51A4"/>
    <w:rPr>
      <w:rFonts w:ascii="Arial" w:eastAsia="Times New Roman" w:hAnsi="Arial" w:cs="Times New Roman"/>
      <w:sz w:val="20"/>
      <w:szCs w:val="20"/>
      <w:lang w:val="en-US"/>
    </w:rPr>
  </w:style>
  <w:style w:type="paragraph" w:styleId="Besedilooblaka">
    <w:name w:val="Balloon Text"/>
    <w:basedOn w:val="Navaden"/>
    <w:link w:val="BesedilooblakaZnak"/>
    <w:uiPriority w:val="99"/>
    <w:semiHidden/>
    <w:unhideWhenUsed/>
    <w:rsid w:val="009F51A4"/>
    <w:pPr>
      <w:spacing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9F51A4"/>
    <w:rPr>
      <w:rFonts w:ascii="Segoe UI" w:eastAsia="Times New Roman" w:hAnsi="Segoe UI" w:cs="Segoe UI"/>
      <w:sz w:val="18"/>
      <w:szCs w:val="18"/>
      <w:lang w:val="en-US"/>
    </w:rPr>
  </w:style>
  <w:style w:type="paragraph" w:styleId="Zadevapripombe">
    <w:name w:val="annotation subject"/>
    <w:basedOn w:val="Pripombabesedilo"/>
    <w:next w:val="Pripombabesedilo"/>
    <w:link w:val="ZadevapripombeZnak"/>
    <w:uiPriority w:val="99"/>
    <w:semiHidden/>
    <w:unhideWhenUsed/>
    <w:rsid w:val="009F51A4"/>
    <w:rPr>
      <w:b/>
      <w:bCs/>
    </w:rPr>
  </w:style>
  <w:style w:type="character" w:customStyle="1" w:styleId="ZadevapripombeZnak">
    <w:name w:val="Zadeva pripombe Znak"/>
    <w:link w:val="Zadevapripombe"/>
    <w:uiPriority w:val="99"/>
    <w:semiHidden/>
    <w:rsid w:val="009F51A4"/>
    <w:rPr>
      <w:rFonts w:ascii="Arial" w:eastAsia="Times New Roman" w:hAnsi="Arial" w:cs="Times New Roman"/>
      <w:b/>
      <w:bCs/>
      <w:sz w:val="20"/>
      <w:szCs w:val="20"/>
      <w:lang w:val="en-US"/>
    </w:rPr>
  </w:style>
  <w:style w:type="table" w:styleId="Tabelamrea">
    <w:name w:val="Table Grid"/>
    <w:basedOn w:val="Navadnatabela"/>
    <w:uiPriority w:val="39"/>
    <w:rsid w:val="00EE0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uiPriority w:val="99"/>
    <w:unhideWhenUsed/>
    <w:rsid w:val="008540C0"/>
    <w:rPr>
      <w:color w:val="467886"/>
      <w:u w:val="single"/>
    </w:rPr>
  </w:style>
  <w:style w:type="character" w:customStyle="1" w:styleId="Nerazreenaomemba1">
    <w:name w:val="Nerazrešena omemba1"/>
    <w:uiPriority w:val="99"/>
    <w:semiHidden/>
    <w:unhideWhenUsed/>
    <w:rsid w:val="008540C0"/>
    <w:rPr>
      <w:color w:val="605E5C"/>
      <w:shd w:val="clear" w:color="auto" w:fill="E1DFDD"/>
    </w:rPr>
  </w:style>
  <w:style w:type="paragraph" w:styleId="Naslov">
    <w:name w:val="Title"/>
    <w:basedOn w:val="Navaden"/>
    <w:next w:val="Navaden"/>
    <w:link w:val="NaslovZnak"/>
    <w:uiPriority w:val="10"/>
    <w:qFormat/>
    <w:rsid w:val="007A73D3"/>
    <w:pPr>
      <w:spacing w:line="240" w:lineRule="auto"/>
      <w:contextualSpacing/>
      <w:jc w:val="center"/>
    </w:pPr>
    <w:rPr>
      <w:rFonts w:eastAsiaTheme="majorEastAsia" w:cstheme="majorBidi"/>
      <w:spacing w:val="-10"/>
      <w:kern w:val="28"/>
      <w:sz w:val="32"/>
      <w:szCs w:val="56"/>
    </w:rPr>
  </w:style>
  <w:style w:type="character" w:customStyle="1" w:styleId="NaslovZnak">
    <w:name w:val="Naslov Znak"/>
    <w:basedOn w:val="Privzetapisavaodstavka"/>
    <w:link w:val="Naslov"/>
    <w:uiPriority w:val="10"/>
    <w:rsid w:val="007A73D3"/>
    <w:rPr>
      <w:rFonts w:ascii="Arial" w:eastAsiaTheme="majorEastAsia" w:hAnsi="Arial" w:cstheme="majorBidi"/>
      <w:spacing w:val="-10"/>
      <w:kern w:val="28"/>
      <w:sz w:val="32"/>
      <w:szCs w:val="56"/>
      <w:lang w:eastAsia="en-US"/>
    </w:rPr>
  </w:style>
  <w:style w:type="character" w:customStyle="1" w:styleId="Naslov1Znak">
    <w:name w:val="Naslov 1 Znak"/>
    <w:basedOn w:val="Privzetapisavaodstavka"/>
    <w:link w:val="Naslov1"/>
    <w:uiPriority w:val="9"/>
    <w:rsid w:val="00411C9D"/>
    <w:rPr>
      <w:rFonts w:ascii="Arial" w:eastAsiaTheme="majorEastAsia" w:hAnsi="Arial" w:cstheme="majorBidi"/>
      <w:b/>
      <w:sz w:val="24"/>
      <w:szCs w:val="32"/>
      <w:lang w:eastAsia="en-US"/>
    </w:rPr>
  </w:style>
  <w:style w:type="paragraph" w:styleId="Odstavekseznama">
    <w:name w:val="List Paragraph"/>
    <w:basedOn w:val="Navaden"/>
    <w:uiPriority w:val="34"/>
    <w:qFormat/>
    <w:rsid w:val="00D300F1"/>
    <w:pPr>
      <w:ind w:left="720"/>
      <w:contextualSpacing/>
    </w:pPr>
  </w:style>
  <w:style w:type="paragraph" w:styleId="Sprotnaopomba-besedilo">
    <w:name w:val="footnote text"/>
    <w:basedOn w:val="Navaden"/>
    <w:link w:val="Sprotnaopomba-besediloZnak"/>
    <w:uiPriority w:val="99"/>
    <w:unhideWhenUsed/>
    <w:rsid w:val="00964DDF"/>
    <w:pPr>
      <w:spacing w:line="240" w:lineRule="auto"/>
    </w:pPr>
    <w:rPr>
      <w:szCs w:val="20"/>
    </w:rPr>
  </w:style>
  <w:style w:type="character" w:customStyle="1" w:styleId="Sprotnaopomba-besediloZnak">
    <w:name w:val="Sprotna opomba - besedilo Znak"/>
    <w:basedOn w:val="Privzetapisavaodstavka"/>
    <w:link w:val="Sprotnaopomba-besedilo"/>
    <w:uiPriority w:val="99"/>
    <w:rsid w:val="00964DDF"/>
    <w:rPr>
      <w:rFonts w:ascii="Arial" w:eastAsia="Times New Roman" w:hAnsi="Arial"/>
      <w:lang w:eastAsia="en-US"/>
    </w:rPr>
  </w:style>
  <w:style w:type="character" w:styleId="Sprotnaopomba-sklic">
    <w:name w:val="footnote reference"/>
    <w:basedOn w:val="Privzetapisavaodstavka"/>
    <w:uiPriority w:val="99"/>
    <w:semiHidden/>
    <w:unhideWhenUsed/>
    <w:rsid w:val="00964DDF"/>
    <w:rPr>
      <w:vertAlign w:val="superscript"/>
    </w:rPr>
  </w:style>
  <w:style w:type="character" w:customStyle="1" w:styleId="Naslov2Znak">
    <w:name w:val="Naslov 2 Znak"/>
    <w:basedOn w:val="Privzetapisavaodstavka"/>
    <w:link w:val="Naslov2"/>
    <w:uiPriority w:val="9"/>
    <w:rsid w:val="00411C9D"/>
    <w:rPr>
      <w:rFonts w:ascii="Arial" w:eastAsiaTheme="majorEastAsia" w:hAnsi="Arial" w:cstheme="majorBidi"/>
      <w:b/>
      <w:szCs w:val="26"/>
      <w:lang w:eastAsia="en-US"/>
    </w:rPr>
  </w:style>
  <w:style w:type="character" w:customStyle="1" w:styleId="Nerazreenaomemba2">
    <w:name w:val="Nerazrešena omemba2"/>
    <w:basedOn w:val="Privzetapisavaodstavka"/>
    <w:uiPriority w:val="99"/>
    <w:semiHidden/>
    <w:unhideWhenUsed/>
    <w:rsid w:val="0040559F"/>
    <w:rPr>
      <w:color w:val="605E5C"/>
      <w:shd w:val="clear" w:color="auto" w:fill="E1DFDD"/>
    </w:rPr>
  </w:style>
  <w:style w:type="character" w:customStyle="1" w:styleId="Nerazreenaomemba3">
    <w:name w:val="Nerazrešena omemba3"/>
    <w:basedOn w:val="Privzetapisavaodstavka"/>
    <w:uiPriority w:val="99"/>
    <w:semiHidden/>
    <w:unhideWhenUsed/>
    <w:rsid w:val="000C0AEF"/>
    <w:rPr>
      <w:color w:val="605E5C"/>
      <w:shd w:val="clear" w:color="auto" w:fill="E1DFDD"/>
    </w:rPr>
  </w:style>
  <w:style w:type="paragraph" w:styleId="Revizija">
    <w:name w:val="Revision"/>
    <w:hidden/>
    <w:uiPriority w:val="99"/>
    <w:semiHidden/>
    <w:rsid w:val="003F0A0D"/>
    <w:rPr>
      <w:rFonts w:ascii="Arial" w:eastAsia="Times New Roman" w:hAnsi="Arial"/>
      <w:szCs w:val="24"/>
      <w:lang w:eastAsia="en-US"/>
    </w:rPr>
  </w:style>
  <w:style w:type="paragraph" w:styleId="Napis">
    <w:name w:val="caption"/>
    <w:basedOn w:val="Navaden"/>
    <w:next w:val="Navaden"/>
    <w:uiPriority w:val="35"/>
    <w:unhideWhenUsed/>
    <w:qFormat/>
    <w:rsid w:val="000700B3"/>
    <w:pPr>
      <w:spacing w:before="0" w:after="200" w:line="240" w:lineRule="auto"/>
    </w:pPr>
    <w:rPr>
      <w:szCs w:val="20"/>
    </w:rPr>
  </w:style>
  <w:style w:type="character" w:customStyle="1" w:styleId="Naslov3Znak">
    <w:name w:val="Naslov 3 Znak"/>
    <w:basedOn w:val="Privzetapisavaodstavka"/>
    <w:link w:val="Naslov3"/>
    <w:uiPriority w:val="9"/>
    <w:rsid w:val="001A098E"/>
    <w:rPr>
      <w:rFonts w:ascii="Arial" w:eastAsiaTheme="majorEastAsia" w:hAnsi="Arial" w:cstheme="majorBidi"/>
      <w:b/>
      <w:szCs w:val="26"/>
      <w:lang w:eastAsia="en-US"/>
    </w:rPr>
  </w:style>
  <w:style w:type="paragraph" w:styleId="Kazalovsebine1">
    <w:name w:val="toc 1"/>
    <w:basedOn w:val="Navaden"/>
    <w:next w:val="Navaden"/>
    <w:autoRedefine/>
    <w:uiPriority w:val="39"/>
    <w:unhideWhenUsed/>
    <w:rsid w:val="00406771"/>
    <w:pPr>
      <w:tabs>
        <w:tab w:val="right" w:leader="dot" w:pos="8488"/>
      </w:tabs>
      <w:spacing w:before="0" w:after="100"/>
      <w:jc w:val="left"/>
    </w:pPr>
  </w:style>
  <w:style w:type="paragraph" w:styleId="NaslovTOC">
    <w:name w:val="TOC Heading"/>
    <w:basedOn w:val="Naslov1"/>
    <w:next w:val="Navaden"/>
    <w:uiPriority w:val="39"/>
    <w:unhideWhenUsed/>
    <w:qFormat/>
    <w:rsid w:val="00406771"/>
    <w:pPr>
      <w:numPr>
        <w:numId w:val="0"/>
      </w:numPr>
      <w:spacing w:line="259" w:lineRule="auto"/>
      <w:jc w:val="left"/>
      <w:outlineLvl w:val="9"/>
    </w:pPr>
    <w:rPr>
      <w:rFonts w:asciiTheme="majorHAnsi" w:hAnsiTheme="majorHAnsi"/>
      <w:b w:val="0"/>
      <w:color w:val="0F4761" w:themeColor="accent1" w:themeShade="BF"/>
      <w:sz w:val="32"/>
      <w:lang w:eastAsia="sl-SI"/>
    </w:rPr>
  </w:style>
  <w:style w:type="paragraph" w:styleId="Kazalovsebine2">
    <w:name w:val="toc 2"/>
    <w:basedOn w:val="Navaden"/>
    <w:next w:val="Navaden"/>
    <w:autoRedefine/>
    <w:uiPriority w:val="39"/>
    <w:unhideWhenUsed/>
    <w:rsid w:val="00406771"/>
    <w:pPr>
      <w:spacing w:before="0" w:after="100" w:line="259" w:lineRule="auto"/>
      <w:ind w:left="220"/>
      <w:jc w:val="left"/>
    </w:pPr>
    <w:rPr>
      <w:rFonts w:asciiTheme="minorHAnsi" w:eastAsiaTheme="minorEastAsia" w:hAnsiTheme="minorHAnsi"/>
      <w:sz w:val="22"/>
      <w:szCs w:val="22"/>
      <w:lang w:eastAsia="sl-SI"/>
    </w:rPr>
  </w:style>
  <w:style w:type="paragraph" w:styleId="Kazalovsebine3">
    <w:name w:val="toc 3"/>
    <w:basedOn w:val="Navaden"/>
    <w:next w:val="Navaden"/>
    <w:autoRedefine/>
    <w:uiPriority w:val="39"/>
    <w:unhideWhenUsed/>
    <w:rsid w:val="00406771"/>
    <w:pPr>
      <w:spacing w:before="0" w:after="100" w:line="259" w:lineRule="auto"/>
      <w:ind w:left="440"/>
      <w:jc w:val="left"/>
    </w:pPr>
    <w:rPr>
      <w:rFonts w:asciiTheme="minorHAnsi" w:eastAsiaTheme="minorEastAsia" w:hAnsiTheme="minorHAnsi"/>
      <w:sz w:val="22"/>
      <w:szCs w:val="22"/>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b07c8c3-d757-4523-a99f-a88d39dcde47" xsi:nil="true"/>
    <lcf76f155ced4ddcb4097134ff3c332f xmlns="59c290df-7dfa-4e0a-9ac4-e7ec42df260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121C1D196DBE6459193FE993F80DF4B" ma:contentTypeVersion="14" ma:contentTypeDescription="Ustvari nov dokument." ma:contentTypeScope="" ma:versionID="96ef00550f0532dffca648d756b2c283">
  <xsd:schema xmlns:xsd="http://www.w3.org/2001/XMLSchema" xmlns:xs="http://www.w3.org/2001/XMLSchema" xmlns:p="http://schemas.microsoft.com/office/2006/metadata/properties" xmlns:ns2="59c290df-7dfa-4e0a-9ac4-e7ec42df2604" xmlns:ns3="0b07c8c3-d757-4523-a99f-a88d39dcde47" targetNamespace="http://schemas.microsoft.com/office/2006/metadata/properties" ma:root="true" ma:fieldsID="85d8b4da0aebaabcea33c6bd223bffb3" ns2:_="" ns3:_="">
    <xsd:import namespace="59c290df-7dfa-4e0a-9ac4-e7ec42df2604"/>
    <xsd:import namespace="0b07c8c3-d757-4523-a99f-a88d39dcde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290df-7dfa-4e0a-9ac4-e7ec42df2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07c8c3-d757-4523-a99f-a88d39dcde4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bb01e58-bf33-4012-92ba-68f346b7378c}" ma:internalName="TaxCatchAll" ma:showField="CatchAllData" ma:web="0b07c8c3-d757-4523-a99f-a88d39dcde4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870D695-D037-48A5-A611-882AD549CFBF}">
  <ds:schemaRefs>
    <ds:schemaRef ds:uri="http://schemas.microsoft.com/sharepoint/v3/contenttype/forms"/>
  </ds:schemaRefs>
</ds:datastoreItem>
</file>

<file path=customXml/itemProps2.xml><?xml version="1.0" encoding="utf-8"?>
<ds:datastoreItem xmlns:ds="http://schemas.openxmlformats.org/officeDocument/2006/customXml" ds:itemID="{EA35CE10-E8F2-4C38-BFDB-2BB5876AA90C}">
  <ds:schemaRefs>
    <ds:schemaRef ds:uri="http://purl.org/dc/elements/1.1/"/>
    <ds:schemaRef ds:uri="http://schemas.openxmlformats.org/package/2006/metadata/core-properties"/>
    <ds:schemaRef ds:uri="http://purl.org/dc/terms/"/>
    <ds:schemaRef ds:uri="59c290df-7dfa-4e0a-9ac4-e7ec42df2604"/>
    <ds:schemaRef ds:uri="http://schemas.microsoft.com/office/infopath/2007/PartnerControls"/>
    <ds:schemaRef ds:uri="http://schemas.microsoft.com/office/2006/documentManagement/types"/>
    <ds:schemaRef ds:uri="http://schemas.microsoft.com/office/2006/metadata/properties"/>
    <ds:schemaRef ds:uri="0b07c8c3-d757-4523-a99f-a88d39dcde47"/>
    <ds:schemaRef ds:uri="http://www.w3.org/XML/1998/namespace"/>
    <ds:schemaRef ds:uri="http://purl.org/dc/dcmitype/"/>
  </ds:schemaRefs>
</ds:datastoreItem>
</file>

<file path=customXml/itemProps3.xml><?xml version="1.0" encoding="utf-8"?>
<ds:datastoreItem xmlns:ds="http://schemas.openxmlformats.org/officeDocument/2006/customXml" ds:itemID="{303D826B-B460-43C1-A3CC-6233DC806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290df-7dfa-4e0a-9ac4-e7ec42df2604"/>
    <ds:schemaRef ds:uri="0b07c8c3-d757-4523-a99f-a88d39dcd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8692FF-0164-4C40-A439-9E3A4F595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3290</Words>
  <Characters>18754</Characters>
  <Application>Microsoft Office Word</Application>
  <DocSecurity>0</DocSecurity>
  <Lines>156</Lines>
  <Paragraphs>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 Sajko</dc:creator>
  <cp:keywords/>
  <dc:description/>
  <cp:lastModifiedBy>Marjan Sajko</cp:lastModifiedBy>
  <cp:revision>4</cp:revision>
  <dcterms:created xsi:type="dcterms:W3CDTF">2025-11-28T10:43:00Z</dcterms:created>
  <dcterms:modified xsi:type="dcterms:W3CDTF">2025-11-28T11:01:00Z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0x010100C121C1D196DBE6459193FE993F80DF4B</vt:lpwstr>
  </property>
  <property fmtid="{D5CDD505-2E9C-101B-9397-08002B2CF9AE}" pid="3" name="MediaServiceImageTags">
    <vt:lpwstr/>
  </property>
</Properties>
</file>