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8B6B" w14:textId="77777777" w:rsidR="0058506D" w:rsidRPr="0058506D" w:rsidRDefault="0058506D" w:rsidP="0058506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theme="majorHAnsi"/>
          <w:b/>
          <w:bCs/>
          <w:color w:val="0D0D0D"/>
          <w:kern w:val="0"/>
          <w:sz w:val="30"/>
          <w:szCs w:val="30"/>
          <w:lang w:eastAsia="sl-SI"/>
          <w14:ligatures w14:val="none"/>
        </w:rPr>
      </w:pPr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30"/>
          <w:szCs w:val="30"/>
          <w:lang w:eastAsia="sl-SI"/>
          <w14:ligatures w14:val="none"/>
        </w:rPr>
        <w:br/>
        <w:t>NOTICE OF PUBLICATION AND DATA PROCESSING OF BENEFICIARIES FROM THE CAP 2023-2027</w:t>
      </w:r>
    </w:p>
    <w:p w14:paraId="49977484" w14:textId="77777777" w:rsidR="0058506D" w:rsidRPr="0058506D" w:rsidRDefault="0058506D" w:rsidP="0058506D">
      <w:pPr>
        <w:shd w:val="clear" w:color="auto" w:fill="FFFFFF"/>
        <w:spacing w:after="30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In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accordance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Articles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99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101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2021/2116:</w:t>
      </w:r>
    </w:p>
    <w:p w14:paraId="525DD454" w14:textId="77777777" w:rsidR="0058506D" w:rsidRPr="0058506D" w:rsidRDefault="0058506D" w:rsidP="0058506D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Notification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of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Beneficiaries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74A77553" w14:textId="77777777" w:rsidR="0058506D" w:rsidRPr="0058506D" w:rsidRDefault="0058506D" w:rsidP="0058506D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Member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States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shall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inform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beneficiaries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published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may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Union's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Member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States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'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audit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investigative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bodies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protecting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financial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interests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Union.</w:t>
      </w:r>
    </w:p>
    <w:p w14:paraId="574CF70C" w14:textId="77777777" w:rsidR="0058506D" w:rsidRPr="0058506D" w:rsidRDefault="0058506D" w:rsidP="0058506D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Rights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Under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Regulation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(EU) 2016/679</w:t>
      </w:r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3EAE77FA" w14:textId="77777777" w:rsidR="0058506D" w:rsidRPr="0058506D" w:rsidRDefault="0058506D" w:rsidP="0058506D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When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personal data is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involved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Member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States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shall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inform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beneficiaries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rights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under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procedures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available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to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exercise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rights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.</w:t>
      </w:r>
    </w:p>
    <w:p w14:paraId="463D8BE2" w14:textId="77777777" w:rsidR="0058506D" w:rsidRPr="0058506D" w:rsidRDefault="0058506D" w:rsidP="0058506D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Data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Collection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Processing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422C43AE" w14:textId="77777777" w:rsidR="0058506D" w:rsidRPr="0058506D" w:rsidRDefault="0058506D" w:rsidP="0058506D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Without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prejudice to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Articles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98, 99,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100,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Member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States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Commission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shall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collect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personal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fulfilling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management,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control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audit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monitoring,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evaluation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obligations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under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this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particularly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those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Title II,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Chapter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II; Title III,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Chapters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III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IV; Title IV;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Title V,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Chapter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III, as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well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as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statistical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.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shall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not be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manner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incompatible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these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.</w:t>
      </w:r>
    </w:p>
    <w:p w14:paraId="372D373D" w14:textId="77777777" w:rsidR="0058506D" w:rsidRPr="0058506D" w:rsidRDefault="0058506D" w:rsidP="0058506D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Anonymization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Monitoring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Evaluation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5CACEE82" w14:textId="77777777" w:rsidR="0058506D" w:rsidRPr="0058506D" w:rsidRDefault="0058506D" w:rsidP="0058506D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When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personal data are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monitoring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evaluation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accordance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2021/2115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statistical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such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shall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anonymized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.</w:t>
      </w:r>
    </w:p>
    <w:p w14:paraId="7146D8C6" w14:textId="77777777" w:rsidR="0058506D" w:rsidRPr="0058506D" w:rsidRDefault="0058506D" w:rsidP="0058506D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Compliance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with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Data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Protection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Regulations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45F7252E" w14:textId="77777777" w:rsidR="0058506D" w:rsidRPr="0058506D" w:rsidRDefault="0058506D" w:rsidP="0058506D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Personal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shall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accordance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2016/679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2018/1725. In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particular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such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shall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not be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stored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a form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which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permits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identification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of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subjects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longer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than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necessary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purposes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which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were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collected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for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which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they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are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further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,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taking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into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account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minimum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retention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periods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set out in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applicable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Union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national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law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.</w:t>
      </w:r>
    </w:p>
    <w:p w14:paraId="355A3C4A" w14:textId="77777777" w:rsidR="0058506D" w:rsidRPr="0058506D" w:rsidRDefault="0058506D" w:rsidP="0058506D">
      <w:pPr>
        <w:numPr>
          <w:ilvl w:val="0"/>
          <w:numId w:val="1"/>
        </w:numPr>
        <w:shd w:val="clear" w:color="auto" w:fill="FFFFFF"/>
        <w:spacing w:before="300" w:after="18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Informing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Individuals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of</w:t>
      </w:r>
      <w:proofErr w:type="spellEnd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 xml:space="preserve"> Data </w:t>
      </w:r>
      <w:proofErr w:type="spellStart"/>
      <w:r w:rsidRPr="0058506D">
        <w:rPr>
          <w:rFonts w:asciiTheme="majorHAnsi" w:eastAsia="Times New Roman" w:hAnsiTheme="majorHAnsi" w:cstheme="majorHAnsi"/>
          <w:b/>
          <w:bCs/>
          <w:color w:val="0D0D0D"/>
          <w:kern w:val="0"/>
          <w:sz w:val="24"/>
          <w:szCs w:val="24"/>
          <w:bdr w:val="single" w:sz="2" w:space="0" w:color="E3E3E3" w:frame="1"/>
          <w:lang w:eastAsia="sl-SI"/>
          <w14:ligatures w14:val="none"/>
        </w:rPr>
        <w:t>Processing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:</w:t>
      </w:r>
    </w:p>
    <w:p w14:paraId="61C7AFE8" w14:textId="77777777" w:rsidR="0058506D" w:rsidRPr="0058506D" w:rsidRDefault="0058506D" w:rsidP="0058506D">
      <w:pPr>
        <w:numPr>
          <w:ilvl w:val="1"/>
          <w:numId w:val="1"/>
        </w:numPr>
        <w:shd w:val="clear" w:color="auto" w:fill="FFFFFF"/>
        <w:spacing w:before="120" w:after="120" w:line="240" w:lineRule="auto"/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</w:pP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Member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States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shall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inform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individuals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concerned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their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personal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may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be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processed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national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Union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authorities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in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accordance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with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first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paragraph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that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they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have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data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protection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rights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as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provided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by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Regulations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2016/679 </w:t>
      </w:r>
      <w:proofErr w:type="spellStart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>and</w:t>
      </w:r>
      <w:proofErr w:type="spellEnd"/>
      <w:r w:rsidRPr="0058506D">
        <w:rPr>
          <w:rFonts w:asciiTheme="majorHAnsi" w:eastAsia="Times New Roman" w:hAnsiTheme="majorHAnsi" w:cstheme="majorHAnsi"/>
          <w:color w:val="0D0D0D"/>
          <w:kern w:val="0"/>
          <w:sz w:val="24"/>
          <w:szCs w:val="24"/>
          <w:lang w:eastAsia="sl-SI"/>
          <w14:ligatures w14:val="none"/>
        </w:rPr>
        <w:t xml:space="preserve"> (EU) 2018/1725.</w:t>
      </w:r>
    </w:p>
    <w:p w14:paraId="7E3A1D4C" w14:textId="77777777" w:rsidR="00645B44" w:rsidRPr="0058506D" w:rsidRDefault="00645B44" w:rsidP="0058506D">
      <w:pPr>
        <w:rPr>
          <w:rFonts w:asciiTheme="majorHAnsi" w:hAnsiTheme="majorHAnsi" w:cstheme="majorHAnsi"/>
        </w:rPr>
      </w:pPr>
    </w:p>
    <w:sectPr w:rsidR="00645B44" w:rsidRPr="0058506D" w:rsidSect="0058506D">
      <w:pgSz w:w="16838" w:h="11906" w:orient="landscape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C7256"/>
    <w:multiLevelType w:val="multilevel"/>
    <w:tmpl w:val="5BE49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52603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6D"/>
    <w:rsid w:val="0058506D"/>
    <w:rsid w:val="0064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FFCC"/>
  <w15:chartTrackingRefBased/>
  <w15:docId w15:val="{1D145AC9-D197-45FC-9296-21DD8A61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5850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58506D"/>
    <w:rPr>
      <w:rFonts w:ascii="Times New Roman" w:eastAsia="Times New Roman" w:hAnsi="Times New Roman" w:cs="Times New Roman"/>
      <w:b/>
      <w:bCs/>
      <w:kern w:val="0"/>
      <w:sz w:val="27"/>
      <w:szCs w:val="27"/>
      <w:lang w:eastAsia="sl-SI"/>
      <w14:ligatures w14:val="none"/>
    </w:rPr>
  </w:style>
  <w:style w:type="paragraph" w:styleId="Navadensplet">
    <w:name w:val="Normal (Web)"/>
    <w:basedOn w:val="Navaden"/>
    <w:uiPriority w:val="99"/>
    <w:semiHidden/>
    <w:unhideWhenUsed/>
    <w:rsid w:val="00585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styleId="Krepko">
    <w:name w:val="Strong"/>
    <w:basedOn w:val="Privzetapisavaodstavka"/>
    <w:uiPriority w:val="22"/>
    <w:qFormat/>
    <w:rsid w:val="005850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Company>MJU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Ilc</dc:creator>
  <cp:keywords/>
  <dc:description/>
  <cp:lastModifiedBy>Laura Ilc</cp:lastModifiedBy>
  <cp:revision>1</cp:revision>
  <dcterms:created xsi:type="dcterms:W3CDTF">2024-05-30T13:55:00Z</dcterms:created>
  <dcterms:modified xsi:type="dcterms:W3CDTF">2024-05-30T13:57:00Z</dcterms:modified>
</cp:coreProperties>
</file>