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8E397" w14:textId="77777777" w:rsidR="007619BB" w:rsidRPr="00557A71" w:rsidRDefault="007619BB" w:rsidP="007619BB">
      <w:pPr>
        <w:pStyle w:val="Naslov1"/>
        <w:pBdr>
          <w:top w:val="single" w:sz="4" w:space="1" w:color="auto"/>
          <w:left w:val="single" w:sz="4" w:space="4" w:color="auto"/>
          <w:bottom w:val="single" w:sz="4" w:space="1" w:color="auto"/>
          <w:right w:val="single" w:sz="4" w:space="4" w:color="auto"/>
        </w:pBdr>
        <w:shd w:val="clear" w:color="auto" w:fill="E2EFD9" w:themeFill="accent6" w:themeFillTint="33"/>
        <w:spacing w:after="0" w:line="360" w:lineRule="auto"/>
        <w:jc w:val="center"/>
        <w:rPr>
          <w:rFonts w:cstheme="minorHAnsi"/>
          <w:b/>
          <w:szCs w:val="20"/>
          <w:lang w:eastAsia="sl-SI"/>
        </w:rPr>
      </w:pPr>
      <w:r w:rsidRPr="00557A71">
        <w:rPr>
          <w:rFonts w:cstheme="minorHAnsi"/>
          <w:b/>
          <w:szCs w:val="20"/>
          <w:lang w:eastAsia="sl-SI"/>
        </w:rPr>
        <w:t>OCENA SKLADNOSTI Z »NAČELOM, DA SE NE ŠKODUJE BISTVENO«</w:t>
      </w:r>
    </w:p>
    <w:p w14:paraId="74DF1073" w14:textId="18E37E79" w:rsidR="007619BB" w:rsidRPr="00557A71" w:rsidRDefault="007619BB" w:rsidP="007619BB">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cstheme="minorHAnsi"/>
          <w:b/>
          <w:szCs w:val="20"/>
          <w:lang w:eastAsia="sl-SI"/>
        </w:rPr>
      </w:pPr>
      <w:r w:rsidRPr="00557A71">
        <w:rPr>
          <w:rFonts w:cstheme="minorHAnsi"/>
          <w:b/>
          <w:szCs w:val="20"/>
          <w:lang w:eastAsia="sl-SI"/>
        </w:rPr>
        <w:t>(angl. Do-No-</w:t>
      </w:r>
      <w:proofErr w:type="spellStart"/>
      <w:r w:rsidRPr="00557A71">
        <w:rPr>
          <w:rFonts w:cstheme="minorHAnsi"/>
          <w:b/>
          <w:szCs w:val="20"/>
          <w:lang w:eastAsia="sl-SI"/>
        </w:rPr>
        <w:t>Significant</w:t>
      </w:r>
      <w:proofErr w:type="spellEnd"/>
      <w:r w:rsidRPr="00557A71">
        <w:rPr>
          <w:rFonts w:cstheme="minorHAnsi"/>
          <w:b/>
          <w:szCs w:val="20"/>
          <w:lang w:eastAsia="sl-SI"/>
        </w:rPr>
        <w:t>-</w:t>
      </w:r>
      <w:proofErr w:type="spellStart"/>
      <w:r w:rsidRPr="00557A71">
        <w:rPr>
          <w:rFonts w:cstheme="minorHAnsi"/>
          <w:b/>
          <w:szCs w:val="20"/>
          <w:lang w:eastAsia="sl-SI"/>
        </w:rPr>
        <w:t>Harm</w:t>
      </w:r>
      <w:proofErr w:type="spellEnd"/>
      <w:r w:rsidRPr="00557A71">
        <w:rPr>
          <w:rFonts w:cstheme="minorHAnsi"/>
          <w:b/>
          <w:szCs w:val="20"/>
          <w:lang w:eastAsia="sl-SI"/>
        </w:rPr>
        <w:t>, DNSH)</w:t>
      </w:r>
    </w:p>
    <w:p w14:paraId="2C870503" w14:textId="77777777" w:rsidR="007619BB" w:rsidRPr="00557A71" w:rsidRDefault="007619BB" w:rsidP="007619BB">
      <w:pPr>
        <w:spacing w:line="276" w:lineRule="auto"/>
        <w:rPr>
          <w:rFonts w:cstheme="minorHAnsi"/>
          <w:sz w:val="20"/>
          <w:szCs w:val="20"/>
        </w:rPr>
      </w:pPr>
    </w:p>
    <w:p w14:paraId="52D81A08" w14:textId="77777777" w:rsidR="007619BB" w:rsidRPr="00557A71" w:rsidRDefault="007619BB" w:rsidP="007619BB">
      <w:pPr>
        <w:spacing w:line="276" w:lineRule="auto"/>
        <w:rPr>
          <w:rFonts w:cstheme="minorHAnsi"/>
          <w:sz w:val="20"/>
          <w:szCs w:val="20"/>
        </w:rPr>
      </w:pPr>
      <w:r w:rsidRPr="00557A71">
        <w:rPr>
          <w:rFonts w:cstheme="minorHAnsi"/>
          <w:sz w:val="20"/>
          <w:szCs w:val="20"/>
        </w:rPr>
        <w:t>Skladno z določbami člena 17 Uredbe o taksonomiji</w:t>
      </w:r>
      <w:r w:rsidRPr="00557A71">
        <w:rPr>
          <w:rStyle w:val="Sprotnaopomba-sklic"/>
          <w:rFonts w:cstheme="minorHAnsi"/>
        </w:rPr>
        <w:footnoteReference w:id="1"/>
      </w:r>
      <w:r w:rsidRPr="00557A71">
        <w:rPr>
          <w:rFonts w:cstheme="minorHAnsi"/>
          <w:sz w:val="20"/>
          <w:szCs w:val="20"/>
        </w:rPr>
        <w:t xml:space="preserve"> se ob upoštevanju življenjskega cikla proizvodov in storitev, ki se zagotavljajo z gospodarsko dejavnostjo, »načelo, da se ne škoduje bistveno« lahko razlaga v smislu bistvenega škodovanja šestim </w:t>
      </w:r>
      <w:proofErr w:type="spellStart"/>
      <w:r w:rsidRPr="00557A71">
        <w:rPr>
          <w:rFonts w:cstheme="minorHAnsi"/>
          <w:sz w:val="20"/>
          <w:szCs w:val="20"/>
        </w:rPr>
        <w:t>okoljskim</w:t>
      </w:r>
      <w:proofErr w:type="spellEnd"/>
      <w:r w:rsidRPr="00557A71">
        <w:rPr>
          <w:rFonts w:cstheme="minorHAnsi"/>
          <w:sz w:val="20"/>
          <w:szCs w:val="20"/>
        </w:rPr>
        <w:t xml:space="preserve"> ciljem, in sicer:</w:t>
      </w:r>
    </w:p>
    <w:p w14:paraId="476B8BDC"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blažitvi podnebnih sprememb</w:t>
      </w:r>
      <w:r w:rsidRPr="00557A71">
        <w:rPr>
          <w:rFonts w:cstheme="minorHAnsi"/>
          <w:sz w:val="20"/>
          <w:szCs w:val="20"/>
        </w:rPr>
        <w:t>, kadar ta dejavnost privede do znatnih emisij toplogrednih plinov,</w:t>
      </w:r>
    </w:p>
    <w:p w14:paraId="03E1406E"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prilagajanju podnebnim spremembam</w:t>
      </w:r>
      <w:r w:rsidRPr="00557A71">
        <w:rPr>
          <w:rFonts w:cstheme="minorHAnsi"/>
          <w:sz w:val="20"/>
          <w:szCs w:val="20"/>
        </w:rPr>
        <w:t>, kadar ta dejavnost privede do povečanega škodljivega vpliva na sedanje podnebje in pričakovano prihodnje podnebje, na dejavnost samo ali na ljudi, naravo ali sredstva,</w:t>
      </w:r>
    </w:p>
    <w:p w14:paraId="737176B4"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trajnostni uporabi in varstvu vodnih in morskih virov</w:t>
      </w:r>
      <w:r w:rsidRPr="00557A71">
        <w:rPr>
          <w:rFonts w:cstheme="minorHAnsi"/>
          <w:sz w:val="20"/>
          <w:szCs w:val="20"/>
        </w:rPr>
        <w:t xml:space="preserve">, kadar ta dejavnost škoduje dobremu stanju ali dobremu ekološkemu potencialu vodnih teles, vključno s površinskimi in podzemnimi vodami, ali dobremu </w:t>
      </w:r>
      <w:proofErr w:type="spellStart"/>
      <w:r w:rsidRPr="00557A71">
        <w:rPr>
          <w:rFonts w:cstheme="minorHAnsi"/>
          <w:sz w:val="20"/>
          <w:szCs w:val="20"/>
        </w:rPr>
        <w:t>okoljskemu</w:t>
      </w:r>
      <w:proofErr w:type="spellEnd"/>
      <w:r w:rsidRPr="00557A71">
        <w:rPr>
          <w:rFonts w:cstheme="minorHAnsi"/>
          <w:sz w:val="20"/>
          <w:szCs w:val="20"/>
        </w:rPr>
        <w:t xml:space="preserve"> stanju morskih voda,</w:t>
      </w:r>
    </w:p>
    <w:p w14:paraId="62E3C0D0"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krožnemu gospodarstvu, vključno s preprečevanjem odpadkov in recikliranjem</w:t>
      </w:r>
      <w:r w:rsidRPr="00557A71">
        <w:rPr>
          <w:rFonts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p>
    <w:p w14:paraId="5668DB48"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preprečevanju in nadzorovanju onesnaževanja</w:t>
      </w:r>
      <w:r w:rsidRPr="00557A71">
        <w:rPr>
          <w:rFonts w:cstheme="minorHAnsi"/>
          <w:sz w:val="20"/>
          <w:szCs w:val="20"/>
        </w:rPr>
        <w:t>, kadar ta dejavnost privede do znatnega povečanja emisij onesnaževal v zrak, vodo ali zemljo v primerjavi s stanjem pred začetkom izvajanja te dejavnosti, ali</w:t>
      </w:r>
    </w:p>
    <w:p w14:paraId="0FB12C54" w14:textId="77777777" w:rsidR="007619BB" w:rsidRPr="00557A71" w:rsidRDefault="007619BB" w:rsidP="009537AD">
      <w:pPr>
        <w:pStyle w:val="Odstavekseznama"/>
        <w:numPr>
          <w:ilvl w:val="0"/>
          <w:numId w:val="1"/>
        </w:numPr>
        <w:suppressAutoHyphens/>
        <w:spacing w:after="0" w:line="276" w:lineRule="auto"/>
        <w:rPr>
          <w:rFonts w:cstheme="minorHAnsi"/>
          <w:sz w:val="20"/>
          <w:szCs w:val="20"/>
        </w:rPr>
      </w:pPr>
      <w:r w:rsidRPr="00557A71">
        <w:rPr>
          <w:rFonts w:cstheme="minorHAnsi"/>
          <w:b/>
          <w:sz w:val="20"/>
          <w:szCs w:val="20"/>
        </w:rPr>
        <w:t>varstvu in obnovi biotske raznovrstnosti in ekosistemov</w:t>
      </w:r>
      <w:r w:rsidRPr="00557A71">
        <w:rPr>
          <w:rFonts w:cstheme="minorHAnsi"/>
          <w:sz w:val="20"/>
          <w:szCs w:val="20"/>
        </w:rPr>
        <w:t>, kadar je ta dejavnost bistveno škodljiva za dobro stanje in odpornost ekosistemov ali škodljiva za stanje ohranjenosti habitatov in vrst, vključno s tistimi, ki so v interesu Unije.</w:t>
      </w:r>
    </w:p>
    <w:p w14:paraId="1AFE5DD2" w14:textId="6B8A101E" w:rsidR="007619BB" w:rsidRPr="00557A71" w:rsidRDefault="007619BB" w:rsidP="007619BB">
      <w:pPr>
        <w:spacing w:line="276" w:lineRule="auto"/>
        <w:rPr>
          <w:rFonts w:cstheme="minorHAnsi"/>
          <w:sz w:val="20"/>
          <w:szCs w:val="20"/>
        </w:rPr>
      </w:pPr>
      <w:r w:rsidRPr="00557A71">
        <w:rPr>
          <w:rFonts w:cstheme="minorHAnsi"/>
          <w:sz w:val="20"/>
          <w:szCs w:val="20"/>
        </w:rPr>
        <w:t>Pri pripravi ocene skladnosti z DNSH je treba izhajati iz vodilnih načel, ki so opredeljena v Tehničnih smernicah EK</w:t>
      </w:r>
      <w:r w:rsidRPr="00557A71">
        <w:rPr>
          <w:rStyle w:val="Sprotnaopomba-sklic"/>
          <w:rFonts w:cstheme="minorHAnsi"/>
        </w:rPr>
        <w:footnoteReference w:id="2"/>
      </w:r>
      <w:r w:rsidRPr="00557A71">
        <w:rPr>
          <w:rFonts w:cstheme="minorHAnsi"/>
          <w:sz w:val="20"/>
          <w:szCs w:val="20"/>
        </w:rPr>
        <w:t xml:space="preserve">. V skladu s Tehničnimi smernicami EK se za ukrepe, ki nimajo predvidljivega vpliva na vse ali nekatere od šestih </w:t>
      </w:r>
      <w:proofErr w:type="spellStart"/>
      <w:r w:rsidRPr="00557A71">
        <w:rPr>
          <w:rFonts w:cstheme="minorHAnsi"/>
          <w:sz w:val="20"/>
          <w:szCs w:val="20"/>
        </w:rPr>
        <w:t>okoljskih</w:t>
      </w:r>
      <w:proofErr w:type="spellEnd"/>
      <w:r w:rsidRPr="00557A71">
        <w:rPr>
          <w:rFonts w:cstheme="minorHAnsi"/>
          <w:sz w:val="20"/>
          <w:szCs w:val="20"/>
        </w:rPr>
        <w:t xml:space="preserve"> ciljev oziroma je ta vpliv nepomemben, lahko uporabi poenostavljeni pristop.</w:t>
      </w:r>
    </w:p>
    <w:p w14:paraId="6B1F9088" w14:textId="77777777" w:rsidR="007619BB" w:rsidRPr="00557A71" w:rsidRDefault="007619BB" w:rsidP="007619BB">
      <w:pPr>
        <w:spacing w:line="276" w:lineRule="auto"/>
        <w:rPr>
          <w:rFonts w:cstheme="minorHAnsi"/>
          <w:i/>
          <w:sz w:val="18"/>
          <w:szCs w:val="20"/>
          <w:u w:val="single"/>
        </w:rPr>
      </w:pPr>
      <w:r w:rsidRPr="00557A71">
        <w:rPr>
          <w:rFonts w:cstheme="minorHAnsi"/>
          <w:i/>
          <w:sz w:val="18"/>
          <w:szCs w:val="20"/>
          <w:u w:val="single"/>
        </w:rPr>
        <w:t>Poenostavljen pristop se lahko uporablja, če je izpolnjen vsaj eden od naslednjih kriterijev:</w:t>
      </w:r>
    </w:p>
    <w:p w14:paraId="34F8AA0B" w14:textId="77777777" w:rsidR="007619BB" w:rsidRPr="00557A71" w:rsidRDefault="007619BB" w:rsidP="009537AD">
      <w:pPr>
        <w:pStyle w:val="Odstavekseznama"/>
        <w:numPr>
          <w:ilvl w:val="0"/>
          <w:numId w:val="7"/>
        </w:numPr>
        <w:suppressAutoHyphens/>
        <w:spacing w:after="0" w:line="276" w:lineRule="auto"/>
        <w:rPr>
          <w:rFonts w:cstheme="minorHAnsi"/>
          <w:i/>
          <w:sz w:val="18"/>
          <w:szCs w:val="20"/>
        </w:rPr>
      </w:pPr>
      <w:r w:rsidRPr="00557A71">
        <w:rPr>
          <w:rFonts w:cstheme="minorHAnsi"/>
          <w:i/>
          <w:sz w:val="18"/>
          <w:szCs w:val="20"/>
        </w:rPr>
        <w:t xml:space="preserve">ukrep zaradi svoje narave nima predvidljivega vpliva na vse od šestih </w:t>
      </w:r>
      <w:proofErr w:type="spellStart"/>
      <w:r w:rsidRPr="00557A71">
        <w:rPr>
          <w:rFonts w:cstheme="minorHAnsi"/>
          <w:i/>
          <w:sz w:val="18"/>
          <w:szCs w:val="20"/>
        </w:rPr>
        <w:t>okoljskih</w:t>
      </w:r>
      <w:proofErr w:type="spellEnd"/>
      <w:r w:rsidRPr="00557A71">
        <w:rPr>
          <w:rFonts w:cstheme="minorHAnsi"/>
          <w:i/>
          <w:sz w:val="18"/>
          <w:szCs w:val="20"/>
        </w:rPr>
        <w:t xml:space="preserve"> ciljev oziroma je ta vpliv nepomemben,</w:t>
      </w:r>
    </w:p>
    <w:p w14:paraId="42A02C8E" w14:textId="77777777" w:rsidR="007619BB" w:rsidRPr="00557A71" w:rsidRDefault="007619BB" w:rsidP="009537AD">
      <w:pPr>
        <w:pStyle w:val="Odstavekseznama"/>
        <w:numPr>
          <w:ilvl w:val="0"/>
          <w:numId w:val="7"/>
        </w:numPr>
        <w:suppressAutoHyphens/>
        <w:spacing w:after="0" w:line="276" w:lineRule="auto"/>
        <w:rPr>
          <w:rFonts w:cstheme="minorHAnsi"/>
          <w:i/>
          <w:sz w:val="18"/>
          <w:szCs w:val="20"/>
        </w:rPr>
      </w:pPr>
      <w:r w:rsidRPr="00557A71">
        <w:rPr>
          <w:rFonts w:cstheme="minorHAnsi"/>
          <w:i/>
          <w:sz w:val="18"/>
          <w:szCs w:val="20"/>
        </w:rPr>
        <w:t xml:space="preserve">ukrep se spremlja kot ukrep, ki 100-odstotno podpira cilje na področju podnebnih sprememb ali </w:t>
      </w:r>
      <w:proofErr w:type="spellStart"/>
      <w:r w:rsidRPr="00557A71">
        <w:rPr>
          <w:rFonts w:cstheme="minorHAnsi"/>
          <w:i/>
          <w:sz w:val="18"/>
          <w:szCs w:val="20"/>
        </w:rPr>
        <w:t>okoljske</w:t>
      </w:r>
      <w:proofErr w:type="spellEnd"/>
      <w:r w:rsidRPr="00557A71">
        <w:rPr>
          <w:rFonts w:cstheme="minorHAnsi"/>
          <w:i/>
          <w:sz w:val="18"/>
          <w:szCs w:val="20"/>
        </w:rPr>
        <w:t xml:space="preserve"> cilje v skladu s Prilogo I Uredbe (EU) 2021/1060 o skupnih določbah,</w:t>
      </w:r>
    </w:p>
    <w:p w14:paraId="15DA2525" w14:textId="77777777" w:rsidR="007619BB" w:rsidRPr="00557A71" w:rsidRDefault="007619BB" w:rsidP="009537AD">
      <w:pPr>
        <w:pStyle w:val="Odstavekseznama"/>
        <w:numPr>
          <w:ilvl w:val="0"/>
          <w:numId w:val="7"/>
        </w:numPr>
        <w:suppressAutoHyphens/>
        <w:spacing w:after="0" w:line="276" w:lineRule="auto"/>
        <w:rPr>
          <w:rFonts w:cstheme="minorHAnsi"/>
          <w:i/>
          <w:sz w:val="18"/>
          <w:szCs w:val="20"/>
        </w:rPr>
      </w:pPr>
      <w:r w:rsidRPr="00557A71">
        <w:rPr>
          <w:rFonts w:cstheme="minorHAnsi"/>
          <w:i/>
          <w:sz w:val="18"/>
          <w:szCs w:val="20"/>
        </w:rPr>
        <w:t xml:space="preserve">ukrep bodisi 100-odstotno podpira enega od šestih </w:t>
      </w:r>
      <w:proofErr w:type="spellStart"/>
      <w:r w:rsidRPr="00557A71">
        <w:rPr>
          <w:rFonts w:cstheme="minorHAnsi"/>
          <w:i/>
          <w:sz w:val="18"/>
          <w:szCs w:val="20"/>
        </w:rPr>
        <w:t>okoljskih</w:t>
      </w:r>
      <w:proofErr w:type="spellEnd"/>
      <w:r w:rsidRPr="00557A71">
        <w:rPr>
          <w:rFonts w:cstheme="minorHAnsi"/>
          <w:i/>
          <w:sz w:val="18"/>
          <w:szCs w:val="20"/>
        </w:rPr>
        <w:t xml:space="preserve"> ciljev ali bistveno prispeva k enemu od šestih </w:t>
      </w:r>
      <w:proofErr w:type="spellStart"/>
      <w:r w:rsidRPr="00557A71">
        <w:rPr>
          <w:rFonts w:cstheme="minorHAnsi"/>
          <w:i/>
          <w:sz w:val="18"/>
          <w:szCs w:val="20"/>
        </w:rPr>
        <w:t>okoljskih</w:t>
      </w:r>
      <w:proofErr w:type="spellEnd"/>
      <w:r w:rsidRPr="00557A71">
        <w:rPr>
          <w:rFonts w:cstheme="minorHAnsi"/>
          <w:i/>
          <w:sz w:val="18"/>
          <w:szCs w:val="20"/>
        </w:rPr>
        <w:t xml:space="preserve"> ciljev v skladu z določbami Uredbe o taksonomiji in Delegirane uredbe Komisije,</w:t>
      </w:r>
    </w:p>
    <w:p w14:paraId="6CCFC2F2" w14:textId="13FFDCD1" w:rsidR="007619BB" w:rsidRPr="00557A71" w:rsidRDefault="007619BB" w:rsidP="009537AD">
      <w:pPr>
        <w:pStyle w:val="Odstavekseznama"/>
        <w:numPr>
          <w:ilvl w:val="0"/>
          <w:numId w:val="7"/>
        </w:numPr>
        <w:suppressAutoHyphens/>
        <w:spacing w:after="0" w:line="276" w:lineRule="auto"/>
        <w:rPr>
          <w:rFonts w:cstheme="minorHAnsi"/>
          <w:i/>
          <w:sz w:val="18"/>
          <w:szCs w:val="20"/>
        </w:rPr>
      </w:pPr>
      <w:r w:rsidRPr="00557A71">
        <w:rPr>
          <w:rFonts w:cstheme="minorHAnsi"/>
          <w:i/>
          <w:sz w:val="18"/>
          <w:szCs w:val="20"/>
        </w:rPr>
        <w:t>ukrep je po vsebini enak ukrepu, ki je bil ocenjen v okviru predhodne ocene</w:t>
      </w:r>
      <w:r w:rsidRPr="00557A71">
        <w:t xml:space="preserve"> </w:t>
      </w:r>
      <w:r w:rsidRPr="00557A71">
        <w:rPr>
          <w:rFonts w:cstheme="minorHAnsi"/>
          <w:i/>
          <w:sz w:val="18"/>
          <w:szCs w:val="20"/>
        </w:rPr>
        <w:t>Programa evropske kohezijske politike v obdobju 2021-2027 v Sloveniji in je opredeljen z morebitnimi omilitvenimi ukrepi v Tehničnih merilih za izbor projektov za ocenjevanje DNSH,</w:t>
      </w:r>
    </w:p>
    <w:p w14:paraId="7976BB31" w14:textId="77777777" w:rsidR="007619BB" w:rsidRPr="00557A71" w:rsidRDefault="007619BB" w:rsidP="009537AD">
      <w:pPr>
        <w:pStyle w:val="Odstavekseznama"/>
        <w:numPr>
          <w:ilvl w:val="0"/>
          <w:numId w:val="7"/>
        </w:numPr>
        <w:suppressAutoHyphens/>
        <w:spacing w:after="0" w:line="276" w:lineRule="auto"/>
        <w:rPr>
          <w:rFonts w:cstheme="minorHAnsi"/>
          <w:i/>
          <w:sz w:val="18"/>
          <w:szCs w:val="20"/>
        </w:rPr>
      </w:pPr>
      <w:r w:rsidRPr="00557A71">
        <w:rPr>
          <w:rFonts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19E021E5" w14:textId="77777777" w:rsidR="007619BB" w:rsidRPr="00557A71" w:rsidRDefault="007619BB" w:rsidP="007619BB">
      <w:pPr>
        <w:rPr>
          <w:rFonts w:cstheme="minorHAnsi"/>
          <w:sz w:val="20"/>
          <w:szCs w:val="20"/>
        </w:rPr>
      </w:pPr>
    </w:p>
    <w:tbl>
      <w:tblPr>
        <w:tblStyle w:val="Tabelamrea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7"/>
        <w:gridCol w:w="4817"/>
      </w:tblGrid>
      <w:tr w:rsidR="007619BB" w:rsidRPr="00557A71" w14:paraId="77034D27" w14:textId="77777777" w:rsidTr="00E14EFB">
        <w:tc>
          <w:tcPr>
            <w:tcW w:w="1250" w:type="pct"/>
            <w:vAlign w:val="bottom"/>
          </w:tcPr>
          <w:p w14:paraId="46810723" w14:textId="6FD2BEF1" w:rsidR="007619BB" w:rsidRPr="00557A71" w:rsidRDefault="007619BB" w:rsidP="007619BB">
            <w:pPr>
              <w:spacing w:before="240" w:line="276" w:lineRule="auto"/>
              <w:jc w:val="left"/>
              <w:rPr>
                <w:rFonts w:cstheme="minorHAnsi"/>
                <w:b/>
                <w:sz w:val="20"/>
              </w:rPr>
            </w:pPr>
            <w:r w:rsidRPr="00557A71">
              <w:rPr>
                <w:rFonts w:cstheme="minorHAnsi"/>
                <w:b/>
                <w:sz w:val="20"/>
              </w:rPr>
              <w:t>Naziv projekta:</w:t>
            </w:r>
          </w:p>
        </w:tc>
        <w:tc>
          <w:tcPr>
            <w:tcW w:w="3750" w:type="pct"/>
            <w:gridSpan w:val="2"/>
            <w:vAlign w:val="bottom"/>
          </w:tcPr>
          <w:p w14:paraId="5EFBA55A" w14:textId="77777777" w:rsidR="007619BB" w:rsidRPr="00557A71" w:rsidRDefault="007619BB" w:rsidP="00E14EFB">
            <w:pPr>
              <w:spacing w:before="240" w:after="10" w:line="276" w:lineRule="auto"/>
              <w:rPr>
                <w:rFonts w:cstheme="minorHAnsi"/>
                <w:sz w:val="20"/>
              </w:rPr>
            </w:pPr>
            <w:r w:rsidRPr="00557A71">
              <w:rPr>
                <w:rFonts w:cstheme="minorHAnsi"/>
                <w:b/>
                <w:sz w:val="20"/>
              </w:rPr>
              <w:fldChar w:fldCharType="begin">
                <w:ffData>
                  <w:name w:val="Besedilo8"/>
                  <w:enabled/>
                  <w:calcOnExit w:val="0"/>
                  <w:textInput/>
                </w:ffData>
              </w:fldChar>
            </w:r>
            <w:r w:rsidRPr="00557A71">
              <w:rPr>
                <w:rFonts w:cstheme="minorHAnsi"/>
                <w:b/>
                <w:sz w:val="20"/>
              </w:rPr>
              <w:instrText xml:space="preserve"> FORMTEXT </w:instrText>
            </w:r>
            <w:r w:rsidRPr="00557A71">
              <w:rPr>
                <w:rFonts w:cstheme="minorHAnsi"/>
                <w:b/>
                <w:sz w:val="20"/>
              </w:rPr>
            </w:r>
            <w:r w:rsidRPr="00557A71">
              <w:rPr>
                <w:rFonts w:cstheme="minorHAnsi"/>
                <w:b/>
                <w:sz w:val="20"/>
              </w:rPr>
              <w:fldChar w:fldCharType="separate"/>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p>
        </w:tc>
      </w:tr>
      <w:tr w:rsidR="007619BB" w:rsidRPr="00557A71" w14:paraId="126A085B" w14:textId="77777777" w:rsidTr="00E14EFB">
        <w:tc>
          <w:tcPr>
            <w:tcW w:w="1250" w:type="pct"/>
            <w:vAlign w:val="bottom"/>
          </w:tcPr>
          <w:p w14:paraId="54B3BABE" w14:textId="7CCA3226" w:rsidR="007619BB" w:rsidRPr="00557A71" w:rsidRDefault="007619BB" w:rsidP="007619BB">
            <w:pPr>
              <w:spacing w:line="276" w:lineRule="auto"/>
              <w:jc w:val="left"/>
              <w:rPr>
                <w:rFonts w:cstheme="minorHAnsi"/>
                <w:b/>
                <w:sz w:val="20"/>
              </w:rPr>
            </w:pPr>
            <w:r w:rsidRPr="00557A71">
              <w:rPr>
                <w:rFonts w:cstheme="minorHAnsi"/>
                <w:b/>
                <w:snapToGrid w:val="0"/>
                <w:sz w:val="20"/>
              </w:rPr>
              <w:t>Naziv vlagatelja/ upravičenca:</w:t>
            </w:r>
          </w:p>
        </w:tc>
        <w:tc>
          <w:tcPr>
            <w:tcW w:w="3750" w:type="pct"/>
            <w:gridSpan w:val="2"/>
            <w:vAlign w:val="bottom"/>
          </w:tcPr>
          <w:p w14:paraId="0E0FE251" w14:textId="77777777" w:rsidR="007619BB" w:rsidRPr="00557A71" w:rsidRDefault="007619BB" w:rsidP="00E14EFB">
            <w:pPr>
              <w:spacing w:after="20" w:line="276" w:lineRule="auto"/>
              <w:rPr>
                <w:rFonts w:cstheme="minorHAnsi"/>
                <w:sz w:val="20"/>
              </w:rPr>
            </w:pPr>
            <w:r w:rsidRPr="00557A71">
              <w:rPr>
                <w:rFonts w:cstheme="minorHAnsi"/>
                <w:b/>
                <w:sz w:val="20"/>
              </w:rPr>
              <w:fldChar w:fldCharType="begin">
                <w:ffData>
                  <w:name w:val="Besedilo8"/>
                  <w:enabled/>
                  <w:calcOnExit w:val="0"/>
                  <w:textInput/>
                </w:ffData>
              </w:fldChar>
            </w:r>
            <w:r w:rsidRPr="00557A71">
              <w:rPr>
                <w:rFonts w:cstheme="minorHAnsi"/>
                <w:b/>
                <w:sz w:val="20"/>
              </w:rPr>
              <w:instrText xml:space="preserve"> FORMTEXT </w:instrText>
            </w:r>
            <w:r w:rsidRPr="00557A71">
              <w:rPr>
                <w:rFonts w:cstheme="minorHAnsi"/>
                <w:b/>
                <w:sz w:val="20"/>
              </w:rPr>
            </w:r>
            <w:r w:rsidRPr="00557A71">
              <w:rPr>
                <w:rFonts w:cstheme="minorHAnsi"/>
                <w:b/>
                <w:sz w:val="20"/>
              </w:rPr>
              <w:fldChar w:fldCharType="separate"/>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t> </w:t>
            </w:r>
            <w:r w:rsidRPr="00557A71">
              <w:rPr>
                <w:rFonts w:cstheme="minorHAnsi"/>
                <w:b/>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p>
        </w:tc>
      </w:tr>
      <w:tr w:rsidR="007619BB" w:rsidRPr="00557A71" w14:paraId="61267793" w14:textId="77777777" w:rsidTr="00E14EFB">
        <w:trPr>
          <w:trHeight w:val="510"/>
        </w:trPr>
        <w:tc>
          <w:tcPr>
            <w:tcW w:w="2345" w:type="pct"/>
            <w:gridSpan w:val="2"/>
            <w:vAlign w:val="bottom"/>
          </w:tcPr>
          <w:p w14:paraId="08CF571D" w14:textId="22D3EF6B" w:rsidR="007619BB" w:rsidRPr="00557A71" w:rsidRDefault="007619BB" w:rsidP="007619BB">
            <w:pPr>
              <w:spacing w:after="200" w:line="276" w:lineRule="auto"/>
              <w:jc w:val="left"/>
              <w:rPr>
                <w:rFonts w:cstheme="minorHAnsi"/>
                <w:b/>
                <w:snapToGrid w:val="0"/>
                <w:sz w:val="20"/>
              </w:rPr>
            </w:pPr>
            <w:r w:rsidRPr="00557A71">
              <w:rPr>
                <w:rFonts w:cstheme="minorHAnsi"/>
                <w:b/>
                <w:snapToGrid w:val="0"/>
                <w:sz w:val="20"/>
              </w:rPr>
              <w:t>Ime in priimek zakonitega zastopnika vlagatelja/ upravičenca:</w:t>
            </w:r>
          </w:p>
        </w:tc>
        <w:tc>
          <w:tcPr>
            <w:tcW w:w="2655" w:type="pct"/>
            <w:vAlign w:val="bottom"/>
          </w:tcPr>
          <w:p w14:paraId="154DB507" w14:textId="77777777" w:rsidR="007619BB" w:rsidRPr="00557A71" w:rsidRDefault="007619BB" w:rsidP="00E14EFB">
            <w:pPr>
              <w:spacing w:after="200" w:line="276" w:lineRule="auto"/>
              <w:rPr>
                <w:rFonts w:cstheme="minorHAnsi"/>
                <w:sz w:val="20"/>
              </w:rPr>
            </w:pP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r w:rsidRPr="00557A71">
              <w:rPr>
                <w:rFonts w:cstheme="minorHAnsi"/>
                <w:sz w:val="20"/>
              </w:rPr>
              <w:fldChar w:fldCharType="begin">
                <w:ffData>
                  <w:name w:val="Besedilo34"/>
                  <w:enabled/>
                  <w:calcOnExit w:val="0"/>
                  <w:textInput>
                    <w:type w:val="number"/>
                  </w:textInput>
                </w:ffData>
              </w:fldChar>
            </w:r>
            <w:r w:rsidRPr="00557A71">
              <w:rPr>
                <w:rFonts w:cstheme="minorHAnsi"/>
                <w:sz w:val="20"/>
              </w:rPr>
              <w:instrText xml:space="preserve"> FORMTEXT </w:instrText>
            </w:r>
            <w:r w:rsidRPr="00557A71">
              <w:rPr>
                <w:rFonts w:cstheme="minorHAnsi"/>
                <w:sz w:val="20"/>
              </w:rPr>
            </w:r>
            <w:r w:rsidRPr="00557A71">
              <w:rPr>
                <w:rFonts w:cstheme="minorHAnsi"/>
                <w:sz w:val="20"/>
              </w:rPr>
              <w:fldChar w:fldCharType="separate"/>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noProof/>
                <w:sz w:val="20"/>
              </w:rPr>
              <w:t> </w:t>
            </w:r>
            <w:r w:rsidRPr="00557A71">
              <w:rPr>
                <w:rFonts w:cstheme="minorHAnsi"/>
                <w:sz w:val="20"/>
              </w:rPr>
              <w:fldChar w:fldCharType="end"/>
            </w:r>
          </w:p>
        </w:tc>
      </w:tr>
    </w:tbl>
    <w:p w14:paraId="1BC63EC9" w14:textId="77777777" w:rsidR="007619BB" w:rsidRPr="00557A71" w:rsidRDefault="007619BB" w:rsidP="007619BB">
      <w:pPr>
        <w:rPr>
          <w:rFonts w:cstheme="minorHAnsi"/>
        </w:rPr>
      </w:pPr>
    </w:p>
    <w:p w14:paraId="5B956A29" w14:textId="77777777" w:rsidR="00F65178" w:rsidRPr="00557A71" w:rsidRDefault="00F65178"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b/>
          <w:bCs/>
        </w:rPr>
      </w:pPr>
      <w:r w:rsidRPr="00557A71">
        <w:rPr>
          <w:rFonts w:cstheme="minorHAnsi"/>
          <w:b/>
          <w:bCs/>
        </w:rPr>
        <w:t>Sklad za modernizacijo (MS)</w:t>
      </w:r>
    </w:p>
    <w:p w14:paraId="1072D3D3" w14:textId="77777777" w:rsidR="00DB1A9C" w:rsidRPr="00557A71" w:rsidRDefault="00DB1A9C"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b/>
          <w:bCs/>
        </w:rPr>
      </w:pPr>
      <w:bookmarkStart w:id="0" w:name="_Hlk197690877"/>
      <w:r w:rsidRPr="00557A71">
        <w:rPr>
          <w:rFonts w:cstheme="minorHAnsi"/>
          <w:b/>
          <w:bCs/>
        </w:rPr>
        <w:t>Shema EE (del A): Posodobitev in razvoj prenosnega in distribucijskega električnega omrežja</w:t>
      </w:r>
    </w:p>
    <w:p w14:paraId="46A2A649" w14:textId="23C32518" w:rsidR="007619BB" w:rsidRPr="00557A71" w:rsidRDefault="00543FAA"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rPr>
      </w:pPr>
      <w:r w:rsidRPr="00557A71">
        <w:rPr>
          <w:rFonts w:cstheme="minorHAnsi"/>
        </w:rPr>
        <w:t>Ukrep, v katerega spada projekt</w:t>
      </w:r>
      <w:r w:rsidR="007619BB" w:rsidRPr="00557A71">
        <w:rPr>
          <w:rFonts w:cstheme="minorHAnsi"/>
        </w:rPr>
        <w:t>, ki je predmet vloge:</w:t>
      </w:r>
    </w:p>
    <w:p w14:paraId="11B23182" w14:textId="7287A9B3" w:rsidR="007619BB" w:rsidRPr="00557A71" w:rsidRDefault="000914E7" w:rsidP="00E14EFB">
      <w:pPr>
        <w:pBdr>
          <w:top w:val="single" w:sz="4" w:space="1" w:color="auto"/>
          <w:left w:val="single" w:sz="4" w:space="4" w:color="auto"/>
          <w:bottom w:val="single" w:sz="4" w:space="1" w:color="auto"/>
          <w:right w:val="single" w:sz="4" w:space="0" w:color="auto"/>
        </w:pBdr>
        <w:shd w:val="clear" w:color="auto" w:fill="E2EFD9" w:themeFill="accent6" w:themeFillTint="33"/>
        <w:suppressAutoHyphens/>
        <w:spacing w:after="0" w:line="240" w:lineRule="auto"/>
        <w:ind w:left="426" w:hanging="426"/>
        <w:rPr>
          <w:rFonts w:cstheme="minorHAnsi"/>
        </w:rPr>
      </w:pPr>
      <w:sdt>
        <w:sdtPr>
          <w:rPr>
            <w:rFonts w:ascii="MS Gothic" w:eastAsia="MS Gothic" w:hAnsi="MS Gothic" w:cstheme="minorHAnsi"/>
          </w:rPr>
          <w:id w:val="1857696432"/>
          <w14:checkbox>
            <w14:checked w14:val="0"/>
            <w14:checkedState w14:val="2612" w14:font="MS Gothic"/>
            <w14:uncheckedState w14:val="2610" w14:font="MS Gothic"/>
          </w14:checkbox>
        </w:sdtPr>
        <w:sdtEndPr/>
        <w:sdtContent>
          <w:r w:rsidR="00E14EFB" w:rsidRPr="00557A71">
            <w:rPr>
              <w:rFonts w:ascii="MS Gothic" w:eastAsia="MS Gothic" w:hAnsi="MS Gothic" w:cstheme="minorHAnsi" w:hint="eastAsia"/>
            </w:rPr>
            <w:t>☐</w:t>
          </w:r>
        </w:sdtContent>
      </w:sdt>
      <w:r w:rsidR="00F65178" w:rsidRPr="00557A71">
        <w:rPr>
          <w:rFonts w:cstheme="minorHAnsi"/>
        </w:rPr>
        <w:t xml:space="preserve"> </w:t>
      </w:r>
      <w:r w:rsidR="00F65178" w:rsidRPr="00557A71">
        <w:rPr>
          <w:rFonts w:cstheme="minorHAnsi"/>
        </w:rPr>
        <w:tab/>
      </w:r>
      <w:r w:rsidR="00A6535B" w:rsidRPr="00557A71">
        <w:rPr>
          <w:rFonts w:cstheme="minorHAnsi"/>
        </w:rPr>
        <w:t>Prenos in distribucija električne energije</w:t>
      </w:r>
      <w:r w:rsidR="007619BB" w:rsidRPr="00557A71">
        <w:rPr>
          <w:rFonts w:cstheme="minorHAnsi"/>
        </w:rPr>
        <w:t xml:space="preserve"> (4.</w:t>
      </w:r>
      <w:r w:rsidR="00A6535B" w:rsidRPr="00557A71">
        <w:rPr>
          <w:rFonts w:cstheme="minorHAnsi"/>
        </w:rPr>
        <w:t>9</w:t>
      </w:r>
      <w:r w:rsidR="007619BB" w:rsidRPr="00557A71">
        <w:rPr>
          <w:rFonts w:cstheme="minorHAnsi"/>
        </w:rPr>
        <w:t>)</w:t>
      </w:r>
    </w:p>
    <w:p w14:paraId="6E7099BC" w14:textId="6B31FDAF" w:rsidR="00E14EFB" w:rsidRPr="00557A71" w:rsidRDefault="00E14EFB" w:rsidP="00E14EFB">
      <w:pPr>
        <w:pBdr>
          <w:top w:val="single" w:sz="4" w:space="1" w:color="auto"/>
          <w:left w:val="single" w:sz="4" w:space="4" w:color="auto"/>
          <w:bottom w:val="single" w:sz="4" w:space="1" w:color="auto"/>
          <w:right w:val="single" w:sz="4" w:space="0" w:color="auto"/>
        </w:pBdr>
        <w:shd w:val="clear" w:color="auto" w:fill="E2EFD9" w:themeFill="accent6" w:themeFillTint="33"/>
        <w:suppressAutoHyphens/>
        <w:spacing w:after="0" w:line="240" w:lineRule="auto"/>
        <w:rPr>
          <w:rFonts w:cstheme="minorHAnsi"/>
        </w:rPr>
      </w:pPr>
    </w:p>
    <w:bookmarkEnd w:id="0"/>
    <w:p w14:paraId="7C22060A" w14:textId="19BBF14F" w:rsidR="007619BB" w:rsidRPr="00557A71" w:rsidRDefault="007619BB" w:rsidP="007619BB">
      <w:pPr>
        <w:rPr>
          <w:rFonts w:cstheme="minorHAnsi"/>
        </w:rPr>
      </w:pPr>
    </w:p>
    <w:p w14:paraId="38A4C2E2" w14:textId="6E41161F" w:rsidR="00E14EFB" w:rsidRPr="00557A71" w:rsidRDefault="00E14EFB" w:rsidP="00E14EFB">
      <w:pPr>
        <w:rPr>
          <w:rFonts w:cstheme="minorHAnsi"/>
        </w:rPr>
      </w:pPr>
      <w:r w:rsidRPr="00557A71">
        <w:rPr>
          <w:rFonts w:cstheme="minorHAnsi"/>
        </w:rPr>
        <w:t>Dejavnost, ki bo v okviru projekta podprta, je (</w:t>
      </w:r>
      <w:r w:rsidRPr="00557A71">
        <w:rPr>
          <w:rFonts w:cstheme="minorHAnsi"/>
          <w:i/>
        </w:rPr>
        <w:t>označite vse relevantne</w:t>
      </w:r>
      <w:r w:rsidRPr="00557A71">
        <w:rPr>
          <w:rFonts w:cstheme="minorHAnsi"/>
        </w:rPr>
        <w:t>):</w:t>
      </w:r>
    </w:p>
    <w:p w14:paraId="27D21A72" w14:textId="77777777" w:rsidR="00E14EFB" w:rsidRPr="00557A71" w:rsidRDefault="000914E7" w:rsidP="00E14EFB">
      <w:pPr>
        <w:ind w:left="426" w:hanging="426"/>
        <w:rPr>
          <w:rFonts w:cstheme="minorHAnsi"/>
        </w:rPr>
      </w:pPr>
      <w:sdt>
        <w:sdtPr>
          <w:rPr>
            <w:rFonts w:eastAsia="MS Gothic" w:cstheme="minorHAnsi"/>
          </w:rPr>
          <w:id w:val="2140908691"/>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gradnja in upravljanje neposredne povezave ali razširitev obstoječe neposredne povezave za proizvodnjo električne energije z majhnimi emisijami ogljika pod mejno vrednostjo 100 g CO2e/kWh, izmerjenimi na podlagi življenjskega cikla, za razdelilno transformatorsko postajo ali omrežje;</w:t>
      </w:r>
    </w:p>
    <w:p w14:paraId="35151696" w14:textId="69406D02" w:rsidR="00E14EFB" w:rsidRPr="00557A71" w:rsidRDefault="000914E7" w:rsidP="00E14EFB">
      <w:pPr>
        <w:ind w:left="426" w:hanging="426"/>
        <w:rPr>
          <w:rFonts w:cstheme="minorHAnsi"/>
        </w:rPr>
      </w:pPr>
      <w:sdt>
        <w:sdtPr>
          <w:rPr>
            <w:rFonts w:eastAsia="MS Gothic" w:cstheme="minorHAnsi"/>
          </w:rPr>
          <w:id w:val="-1227135582"/>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gradnja in upravljanje polnilnih postaj za električna vozila in podporne električne infrastrukture za elektrifikacijo prometa, če so izpolnjena tehnična merila za pregled iz oddelka te priloge, ki se nanaša na promet;</w:t>
      </w:r>
    </w:p>
    <w:p w14:paraId="051035F0" w14:textId="0569A007" w:rsidR="00E14EFB" w:rsidRPr="00557A71" w:rsidRDefault="000914E7" w:rsidP="00E14EFB">
      <w:pPr>
        <w:ind w:left="426" w:hanging="426"/>
        <w:rPr>
          <w:rFonts w:cstheme="minorHAnsi"/>
        </w:rPr>
      </w:pPr>
      <w:sdt>
        <w:sdtPr>
          <w:rPr>
            <w:rFonts w:eastAsia="MS Gothic" w:cstheme="minorHAnsi"/>
          </w:rPr>
          <w:id w:val="1291939590"/>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namestitev prenosnih in distribucijskih transformatorjev, ki izpolnjujejo zahteve stopnje 2 (od 1. julija 2021) iz Priloge I k Uredbi Komisije (EU) št. 548/2014 in, za srednje transformatorje, pri katerih najvišja napetost za opremo ne presega 36 kV, zahteve glede doseganja ravni AA0, kar zadeva izgube prostega teka, določene v standardu EN 50588-1;</w:t>
      </w:r>
    </w:p>
    <w:p w14:paraId="59F1E990" w14:textId="0E383E29" w:rsidR="00E14EFB" w:rsidRPr="00557A71" w:rsidRDefault="000914E7" w:rsidP="00E14EFB">
      <w:pPr>
        <w:ind w:left="426" w:hanging="426"/>
        <w:rPr>
          <w:rFonts w:cstheme="minorHAnsi"/>
        </w:rPr>
      </w:pPr>
      <w:sdt>
        <w:sdtPr>
          <w:rPr>
            <w:rFonts w:eastAsia="MS Gothic" w:cstheme="minorHAnsi"/>
          </w:rPr>
          <w:id w:val="1121271311"/>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gradnja/namestitev in upravljanje opreme in infrastrukture, pri čemer je glavni cilj povečati proizvodnjo ali uporabo električne energije iz obnovljivih virov;</w:t>
      </w:r>
    </w:p>
    <w:p w14:paraId="309A2E0D" w14:textId="6A9C609F" w:rsidR="00E14EFB" w:rsidRPr="00557A71" w:rsidRDefault="000914E7" w:rsidP="00E14EFB">
      <w:pPr>
        <w:ind w:left="426" w:hanging="426"/>
        <w:rPr>
          <w:rFonts w:cstheme="minorHAnsi"/>
        </w:rPr>
      </w:pPr>
      <w:sdt>
        <w:sdtPr>
          <w:rPr>
            <w:rFonts w:eastAsia="MS Gothic" w:cstheme="minorHAnsi"/>
          </w:rPr>
          <w:id w:val="-367604847"/>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namestitev opreme za povečanje možnosti nadzora in opazovanja elektroenergetskega sistema ter omogočanje razvoja in vključevanja obnovljivih virov energije, vključno s:</w:t>
      </w:r>
    </w:p>
    <w:p w14:paraId="25E5826A" w14:textId="2B17CC6B" w:rsidR="00E14EFB" w:rsidRPr="00557A71" w:rsidRDefault="000914E7" w:rsidP="00E14EFB">
      <w:pPr>
        <w:ind w:left="426" w:hanging="426"/>
        <w:rPr>
          <w:rFonts w:cstheme="minorHAnsi"/>
        </w:rPr>
      </w:pPr>
      <w:sdt>
        <w:sdtPr>
          <w:rPr>
            <w:rFonts w:eastAsia="MS Gothic" w:cstheme="minorHAnsi"/>
          </w:rPr>
          <w:id w:val="1335889134"/>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senzorji in merilnimi orodji (vključno z meteorološkimi senzorji za napovedovanje proizvodnje iz obnovljivih virov);</w:t>
      </w:r>
    </w:p>
    <w:p w14:paraId="70C8E03E" w14:textId="5D791946" w:rsidR="00E14EFB" w:rsidRPr="00557A71" w:rsidRDefault="000914E7" w:rsidP="00E14EFB">
      <w:pPr>
        <w:ind w:left="426" w:hanging="426"/>
        <w:rPr>
          <w:rFonts w:cstheme="minorHAnsi"/>
        </w:rPr>
      </w:pPr>
      <w:sdt>
        <w:sdtPr>
          <w:rPr>
            <w:rFonts w:eastAsia="MS Gothic" w:cstheme="minorHAnsi"/>
          </w:rPr>
          <w:id w:val="-501276480"/>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komunikacijo in nadzorom (vključno z napredno programsko opremo in kontrolnimi sobami, avtomatizacijo razdelilnih transformatorskih postaj ali napajalnikov in zmogljivostmi za regulacijo napetosti za prilagoditev bolj decentraliziranemu dovajanju energije iz obnovljivih virov);</w:t>
      </w:r>
    </w:p>
    <w:p w14:paraId="654F8C27" w14:textId="292AF914" w:rsidR="00E14EFB" w:rsidRPr="00557A71" w:rsidRDefault="000914E7" w:rsidP="00E14EFB">
      <w:pPr>
        <w:ind w:left="426" w:hanging="426"/>
        <w:rPr>
          <w:rFonts w:cstheme="minorHAnsi"/>
        </w:rPr>
      </w:pPr>
      <w:sdt>
        <w:sdtPr>
          <w:rPr>
            <w:rFonts w:eastAsia="MS Gothic" w:cstheme="minorHAnsi"/>
          </w:rPr>
          <w:id w:val="1595672189"/>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 xml:space="preserve">namestitev opreme, med drugim bodočih sistemov naprednega merjenja ali sistemov, ki nadomeščajo sisteme naprednega merjenja, v skladu s členom 19(6) Direktive (EU) 2019/944 </w:t>
      </w:r>
      <w:r w:rsidR="00E14EFB" w:rsidRPr="00557A71">
        <w:rPr>
          <w:rFonts w:cstheme="minorHAnsi"/>
        </w:rPr>
        <w:lastRenderedPageBreak/>
        <w:t>Evropskega parlamenta in Sveta, ki izpolnjujejo zahteve iz člena 20 Direktive (EU) 2019/944, ki lahko prenaša informacije uporabnikom, da bi ti lahko na daljavo uravnavali porabo, vključno z vozlišči s podatki o strankah;</w:t>
      </w:r>
    </w:p>
    <w:p w14:paraId="37C0A815" w14:textId="088BEB47" w:rsidR="00E14EFB" w:rsidRPr="00557A71" w:rsidRDefault="000914E7" w:rsidP="00E14EFB">
      <w:pPr>
        <w:ind w:left="426" w:hanging="426"/>
        <w:rPr>
          <w:rFonts w:cstheme="minorHAnsi"/>
        </w:rPr>
      </w:pPr>
      <w:sdt>
        <w:sdtPr>
          <w:rPr>
            <w:rFonts w:eastAsia="MS Gothic" w:cstheme="minorHAnsi"/>
          </w:rPr>
          <w:id w:val="1336425345"/>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izdelava/namestitev opreme za omogočanje izmenjave izrecno električne energije iz obnovljivih virov med uporabniki;</w:t>
      </w:r>
    </w:p>
    <w:p w14:paraId="5A2528AB" w14:textId="410E839F" w:rsidR="00E14EFB" w:rsidRPr="00557A71" w:rsidRDefault="000914E7" w:rsidP="00E14EFB">
      <w:pPr>
        <w:ind w:left="426" w:hanging="426"/>
        <w:rPr>
          <w:rFonts w:cstheme="minorHAnsi"/>
        </w:rPr>
      </w:pPr>
      <w:sdt>
        <w:sdtPr>
          <w:rPr>
            <w:rFonts w:eastAsia="MS Gothic" w:cstheme="minorHAnsi"/>
          </w:rPr>
          <w:id w:val="538170862"/>
          <w14:checkbox>
            <w14:checked w14:val="0"/>
            <w14:checkedState w14:val="2612" w14:font="MS Gothic"/>
            <w14:uncheckedState w14:val="2610" w14:font="MS Gothic"/>
          </w14:checkbox>
        </w:sdtPr>
        <w:sdtEndPr/>
        <w:sdtContent>
          <w:r w:rsidR="00E14EFB" w:rsidRPr="00557A71">
            <w:rPr>
              <w:rFonts w:ascii="Segoe UI Symbol" w:eastAsia="MS Gothic" w:hAnsi="Segoe UI Symbol" w:cs="Segoe UI Symbol"/>
            </w:rPr>
            <w:t>☐</w:t>
          </w:r>
        </w:sdtContent>
      </w:sdt>
      <w:r w:rsidR="00E14EFB" w:rsidRPr="00557A71">
        <w:rPr>
          <w:rFonts w:cstheme="minorHAnsi"/>
        </w:rPr>
        <w:t xml:space="preserve"> </w:t>
      </w:r>
      <w:r w:rsidR="00E14EFB" w:rsidRPr="00557A71">
        <w:rPr>
          <w:rFonts w:cstheme="minorHAnsi"/>
        </w:rPr>
        <w:tab/>
        <w:t xml:space="preserve">gradnja in upravljanje </w:t>
      </w:r>
      <w:proofErr w:type="spellStart"/>
      <w:r w:rsidR="00E14EFB" w:rsidRPr="00557A71">
        <w:rPr>
          <w:rFonts w:cstheme="minorHAnsi"/>
        </w:rPr>
        <w:t>interkonektorjev</w:t>
      </w:r>
      <w:proofErr w:type="spellEnd"/>
      <w:r w:rsidR="00E14EFB" w:rsidRPr="00557A71">
        <w:rPr>
          <w:rFonts w:cstheme="minorHAnsi"/>
        </w:rPr>
        <w:t xml:space="preserve"> med prenosnimi sistemi, če eden od sistemov izpolnjuje merila.</w:t>
      </w:r>
    </w:p>
    <w:p w14:paraId="76024626" w14:textId="77777777" w:rsidR="00E14EFB" w:rsidRPr="00557A71" w:rsidRDefault="00E14EFB" w:rsidP="00E14EFB">
      <w:pPr>
        <w:pBdr>
          <w:bottom w:val="single" w:sz="4" w:space="1" w:color="auto"/>
        </w:pBdr>
        <w:spacing w:line="276" w:lineRule="auto"/>
        <w:rPr>
          <w:rFonts w:cstheme="minorHAnsi"/>
          <w:sz w:val="20"/>
          <w:szCs w:val="20"/>
        </w:rPr>
      </w:pPr>
    </w:p>
    <w:p w14:paraId="2C0B1E23" w14:textId="72EFD66F" w:rsidR="007619BB" w:rsidRPr="00557A71" w:rsidRDefault="007619BB" w:rsidP="007619BB">
      <w:pPr>
        <w:spacing w:line="276" w:lineRule="auto"/>
        <w:rPr>
          <w:rFonts w:cstheme="minorHAnsi"/>
          <w:b/>
          <w:sz w:val="20"/>
          <w:szCs w:val="20"/>
        </w:rPr>
      </w:pPr>
      <w:r w:rsidRPr="00557A71">
        <w:rPr>
          <w:rFonts w:cstheme="minorHAnsi"/>
          <w:sz w:val="20"/>
          <w:szCs w:val="20"/>
        </w:rPr>
        <w:t>V skladu s Prilogo I Uredbe (EU) 2021/1060 o skupnih določbah ukrep ustreza področju ukrepanja</w:t>
      </w:r>
      <w:r w:rsidR="00A6535B" w:rsidRPr="00557A71">
        <w:rPr>
          <w:rFonts w:cstheme="minorHAnsi"/>
          <w:sz w:val="20"/>
          <w:szCs w:val="20"/>
        </w:rPr>
        <w:t xml:space="preserve"> 053 - Pametni energetski sistemi (vključno z inteligentnimi energetskimi omrežji in sistemi IKT) ter povezano shranjevanje</w:t>
      </w:r>
      <w:r w:rsidRPr="00557A71">
        <w:rPr>
          <w:rFonts w:cstheme="minorHAnsi"/>
          <w:sz w:val="20"/>
          <w:szCs w:val="20"/>
        </w:rPr>
        <w:t>, za katere</w:t>
      </w:r>
      <w:r w:rsidR="00A6535B" w:rsidRPr="00557A71">
        <w:rPr>
          <w:rFonts w:cstheme="minorHAnsi"/>
          <w:sz w:val="20"/>
          <w:szCs w:val="20"/>
        </w:rPr>
        <w:t>ga</w:t>
      </w:r>
      <w:r w:rsidRPr="00557A71">
        <w:rPr>
          <w:rFonts w:cstheme="minorHAnsi"/>
          <w:sz w:val="20"/>
          <w:szCs w:val="20"/>
        </w:rPr>
        <w:t xml:space="preserve"> se upošteva 100-odstotni prispevek k ciljem na področju podnebnih sprememb, </w:t>
      </w:r>
      <w:r w:rsidRPr="00557A71">
        <w:rPr>
          <w:rFonts w:cstheme="minorHAnsi"/>
          <w:b/>
          <w:sz w:val="20"/>
          <w:szCs w:val="20"/>
        </w:rPr>
        <w:t>s čimer je izpolnjen kriterij b) za uporabo poenostavljenega pristopa.</w:t>
      </w:r>
    </w:p>
    <w:p w14:paraId="7BFB0218" w14:textId="3509DB79" w:rsidR="007619BB" w:rsidRPr="00557A71" w:rsidRDefault="007619BB" w:rsidP="007619BB">
      <w:pPr>
        <w:spacing w:line="276" w:lineRule="auto"/>
        <w:rPr>
          <w:rFonts w:cstheme="minorHAnsi"/>
          <w:b/>
          <w:sz w:val="20"/>
          <w:szCs w:val="20"/>
        </w:rPr>
      </w:pPr>
      <w:r w:rsidRPr="00557A71">
        <w:rPr>
          <w:rFonts w:cstheme="minorHAnsi"/>
          <w:sz w:val="20"/>
          <w:szCs w:val="20"/>
        </w:rPr>
        <w:t>V skladu z Delegirano uredbo Komisije (EU) 2021/2139</w:t>
      </w:r>
      <w:r w:rsidRPr="00557A71">
        <w:rPr>
          <w:rStyle w:val="Sprotnaopomba-sklic"/>
          <w:rFonts w:cstheme="minorHAnsi"/>
          <w:sz w:val="20"/>
          <w:szCs w:val="20"/>
        </w:rPr>
        <w:footnoteReference w:id="3"/>
      </w:r>
      <w:r w:rsidRPr="00557A71">
        <w:rPr>
          <w:rFonts w:cstheme="minorHAnsi"/>
          <w:sz w:val="20"/>
          <w:szCs w:val="20"/>
        </w:rPr>
        <w:t xml:space="preserve"> ukrep bistveno prispeva k blažitvi podnebnih sprememb, </w:t>
      </w:r>
      <w:r w:rsidR="00A6535B" w:rsidRPr="00557A71">
        <w:rPr>
          <w:rFonts w:cstheme="minorHAnsi"/>
          <w:sz w:val="20"/>
          <w:szCs w:val="20"/>
        </w:rPr>
        <w:t xml:space="preserve">saj gre za infrastrukturo ali opremo za prenos in distribucijo, ki je del elektroenergetskega sistema, ki je medsebojno povezan z evropskim elektroenergetskim sistemom preko drugih držav članic, </w:t>
      </w:r>
      <w:r w:rsidRPr="00557A71">
        <w:rPr>
          <w:rFonts w:cstheme="minorHAnsi"/>
          <w:b/>
          <w:sz w:val="20"/>
          <w:szCs w:val="20"/>
        </w:rPr>
        <w:t>s čimer je izpolnjen kriterij c) za uporabo poenostavljenega pristopa.</w:t>
      </w:r>
    </w:p>
    <w:p w14:paraId="41ED730F" w14:textId="23DD3E5B" w:rsidR="007619BB" w:rsidRPr="00557A71" w:rsidRDefault="007619BB" w:rsidP="007619BB">
      <w:pPr>
        <w:spacing w:line="276" w:lineRule="auto"/>
        <w:rPr>
          <w:rFonts w:cstheme="minorHAnsi"/>
          <w:sz w:val="20"/>
          <w:szCs w:val="20"/>
        </w:rPr>
      </w:pPr>
      <w:r w:rsidRPr="00557A71">
        <w:rPr>
          <w:rFonts w:cstheme="minorHAnsi"/>
          <w:sz w:val="20"/>
          <w:szCs w:val="20"/>
        </w:rPr>
        <w:t>Za specifični cilj RSO2.</w:t>
      </w:r>
      <w:r w:rsidR="00A6535B" w:rsidRPr="00557A71">
        <w:rPr>
          <w:rFonts w:cstheme="minorHAnsi"/>
          <w:sz w:val="20"/>
          <w:szCs w:val="20"/>
        </w:rPr>
        <w:t>3</w:t>
      </w:r>
      <w:r w:rsidRPr="00557A71">
        <w:rPr>
          <w:rFonts w:cstheme="minorHAnsi"/>
          <w:sz w:val="20"/>
          <w:szCs w:val="20"/>
        </w:rPr>
        <w:t xml:space="preserve"> je izvedena predhodna ocena skladnosti </w:t>
      </w:r>
      <w:r w:rsidR="00543FAA" w:rsidRPr="00557A71">
        <w:rPr>
          <w:rFonts w:cstheme="minorHAnsi"/>
          <w:sz w:val="20"/>
          <w:szCs w:val="20"/>
        </w:rPr>
        <w:t>Programa evropske kohezijske politike v obdobju 2021–2027 (PEKP) v Sloveniji</w:t>
      </w:r>
      <w:r w:rsidRPr="00557A71">
        <w:rPr>
          <w:rFonts w:cstheme="minorHAnsi"/>
          <w:sz w:val="20"/>
          <w:szCs w:val="20"/>
        </w:rPr>
        <w:t xml:space="preserve"> z načelom DNSH, kot je podana v dokumentu </w:t>
      </w:r>
      <w:r w:rsidRPr="00557A71">
        <w:rPr>
          <w:rFonts w:cstheme="minorHAnsi"/>
          <w:i/>
          <w:sz w:val="20"/>
          <w:szCs w:val="20"/>
        </w:rPr>
        <w:t xml:space="preserve">Strokovna in tehnična podpora pri izvedbi celovite presoje vplivov na okolje za Program evropske kohezijske politike 2021–2027 – Dodatek za presojo načela, da se ne škoduje bistveno </w:t>
      </w:r>
      <w:r w:rsidRPr="00557A71">
        <w:rPr>
          <w:rFonts w:cstheme="minorHAnsi"/>
          <w:sz w:val="20"/>
          <w:szCs w:val="20"/>
        </w:rPr>
        <w:t>(v nadaljevanju CPVO-DNSH). Ukrep je po vsebini enak ukrepom, ki so bili ocenjeni v okviru predhodne ocene skladnosti PEKP z načelom DNSH in so opredeljeni z morebitnimi omilitvenimi ukrepi na podlagi Tehničnih meril za izbor projektov za izpolnjevanje »načela, da se ne škoduje bistveno«</w:t>
      </w:r>
      <w:r w:rsidRPr="00557A71">
        <w:rPr>
          <w:rStyle w:val="Sprotnaopomba-sklic"/>
          <w:rFonts w:cstheme="minorHAnsi"/>
        </w:rPr>
        <w:footnoteReference w:id="4"/>
      </w:r>
      <w:r w:rsidRPr="00557A71">
        <w:rPr>
          <w:rFonts w:cstheme="minorHAnsi"/>
          <w:sz w:val="20"/>
          <w:szCs w:val="20"/>
        </w:rPr>
        <w:t xml:space="preserve"> (v nadaljevanju tehnična merila), </w:t>
      </w:r>
      <w:r w:rsidRPr="00557A71">
        <w:rPr>
          <w:rFonts w:cstheme="minorHAnsi"/>
          <w:b/>
          <w:sz w:val="20"/>
          <w:szCs w:val="20"/>
        </w:rPr>
        <w:t>s čimer je izpolnjen kriterij d) za uporabo poenostavljenega pristopa.</w:t>
      </w:r>
      <w:r w:rsidRPr="00557A71">
        <w:rPr>
          <w:rFonts w:cstheme="minorHAnsi"/>
          <w:sz w:val="20"/>
          <w:szCs w:val="20"/>
        </w:rPr>
        <w:t xml:space="preserve"> </w:t>
      </w:r>
    </w:p>
    <w:p w14:paraId="18200074" w14:textId="2E18095D" w:rsidR="007619BB" w:rsidRPr="00557A71" w:rsidRDefault="007619BB" w:rsidP="007619BB">
      <w:pPr>
        <w:spacing w:line="276" w:lineRule="auto"/>
        <w:rPr>
          <w:rFonts w:cstheme="minorHAnsi"/>
          <w:b/>
          <w:i/>
          <w:sz w:val="20"/>
          <w:szCs w:val="20"/>
          <w:u w:val="single"/>
        </w:rPr>
      </w:pPr>
      <w:bookmarkStart w:id="1" w:name="_Hlk197691258"/>
      <w:r w:rsidRPr="00557A71">
        <w:rPr>
          <w:rFonts w:cstheme="minorHAnsi"/>
          <w:b/>
          <w:i/>
          <w:sz w:val="20"/>
          <w:szCs w:val="20"/>
          <w:u w:val="single"/>
        </w:rPr>
        <w:t>Navodilo za vlagatelje:</w:t>
      </w:r>
    </w:p>
    <w:p w14:paraId="1EBE2102" w14:textId="77777777" w:rsidR="007619BB" w:rsidRPr="00557A71" w:rsidRDefault="007619BB" w:rsidP="007619BB">
      <w:pPr>
        <w:spacing w:line="276" w:lineRule="auto"/>
        <w:rPr>
          <w:rFonts w:cstheme="minorHAnsi"/>
          <w:i/>
          <w:sz w:val="20"/>
          <w:szCs w:val="20"/>
        </w:rPr>
      </w:pPr>
      <w:r w:rsidRPr="00557A71">
        <w:rPr>
          <w:rFonts w:cstheme="minorHAnsi"/>
          <w:i/>
          <w:sz w:val="20"/>
          <w:szCs w:val="20"/>
        </w:rPr>
        <w:t>Ocena skladnosti ukrepa z načelom DNSH se izvaja dvostopenjsko, pri čemer se glede na vrsto ukrepa upoštevajo Smernice organa upravljanja za uporabo načela, da se ne škoduje bistveno pri izvajanju Programa evropske kohezijske politike v obdobju 2021–2027 v Sloveniji</w:t>
      </w:r>
      <w:r w:rsidRPr="00557A71">
        <w:rPr>
          <w:rStyle w:val="Sprotnaopomba-sklic"/>
          <w:rFonts w:cstheme="minorHAnsi"/>
          <w:i/>
        </w:rPr>
        <w:footnoteReference w:id="5"/>
      </w:r>
      <w:r w:rsidRPr="00557A71">
        <w:rPr>
          <w:rFonts w:cstheme="minorHAnsi"/>
          <w:i/>
          <w:sz w:val="20"/>
          <w:szCs w:val="20"/>
        </w:rPr>
        <w:t xml:space="preserve"> (v nadaljevanju Smernice OU DNSH):</w:t>
      </w:r>
    </w:p>
    <w:p w14:paraId="7FBA0B4E" w14:textId="77777777" w:rsidR="007619BB" w:rsidRPr="00557A71" w:rsidRDefault="007619BB" w:rsidP="009537AD">
      <w:pPr>
        <w:pStyle w:val="Odstavekseznama"/>
        <w:numPr>
          <w:ilvl w:val="0"/>
          <w:numId w:val="4"/>
        </w:numPr>
        <w:suppressAutoHyphens/>
        <w:spacing w:after="0" w:line="276" w:lineRule="auto"/>
        <w:rPr>
          <w:rFonts w:cstheme="minorHAnsi"/>
          <w:i/>
          <w:sz w:val="20"/>
          <w:szCs w:val="20"/>
        </w:rPr>
      </w:pPr>
      <w:r w:rsidRPr="00557A71">
        <w:rPr>
          <w:rFonts w:cstheme="minorHAnsi"/>
          <w:b/>
          <w:i/>
          <w:sz w:val="20"/>
          <w:szCs w:val="20"/>
        </w:rPr>
        <w:t>prva stopnja (poenostavljena ocena)</w:t>
      </w:r>
      <w:r w:rsidRPr="00557A71">
        <w:rPr>
          <w:rFonts w:cstheme="minorHAnsi"/>
          <w:i/>
          <w:sz w:val="20"/>
          <w:szCs w:val="20"/>
        </w:rPr>
        <w:t xml:space="preserve"> se izvede za vse ukrepe na podlagi kontrolnega seznama iz Priloge 7.1 Smernic OU DNSH:</w:t>
      </w:r>
    </w:p>
    <w:p w14:paraId="1F50B695" w14:textId="77777777" w:rsidR="007619BB" w:rsidRPr="00557A71" w:rsidRDefault="007619BB" w:rsidP="009537AD">
      <w:pPr>
        <w:pStyle w:val="Odstavekseznama"/>
        <w:numPr>
          <w:ilvl w:val="0"/>
          <w:numId w:val="5"/>
        </w:numPr>
        <w:suppressAutoHyphens/>
        <w:spacing w:after="0" w:line="276" w:lineRule="auto"/>
        <w:rPr>
          <w:rFonts w:cstheme="minorHAnsi"/>
          <w:i/>
          <w:sz w:val="20"/>
          <w:szCs w:val="20"/>
        </w:rPr>
      </w:pPr>
      <w:r w:rsidRPr="00557A71">
        <w:rPr>
          <w:rFonts w:cstheme="minorHAnsi"/>
          <w:i/>
          <w:sz w:val="20"/>
          <w:szCs w:val="20"/>
        </w:rPr>
        <w:t xml:space="preserve">vlagatelj na kratko opiše morebitne škodljive vplive ukrepa na posamezen </w:t>
      </w:r>
      <w:proofErr w:type="spellStart"/>
      <w:r w:rsidRPr="00557A71">
        <w:rPr>
          <w:rFonts w:cstheme="minorHAnsi"/>
          <w:i/>
          <w:sz w:val="20"/>
          <w:szCs w:val="20"/>
        </w:rPr>
        <w:t>okoljski</w:t>
      </w:r>
      <w:proofErr w:type="spellEnd"/>
      <w:r w:rsidRPr="00557A71">
        <w:rPr>
          <w:rFonts w:cstheme="minorHAnsi"/>
          <w:i/>
          <w:sz w:val="20"/>
          <w:szCs w:val="20"/>
        </w:rPr>
        <w:t xml:space="preserve"> cilj (ocena DA) ali pojasni, zakaj določen </w:t>
      </w:r>
      <w:proofErr w:type="spellStart"/>
      <w:r w:rsidRPr="00557A71">
        <w:rPr>
          <w:rFonts w:cstheme="minorHAnsi"/>
          <w:i/>
          <w:sz w:val="20"/>
          <w:szCs w:val="20"/>
        </w:rPr>
        <w:t>okoljski</w:t>
      </w:r>
      <w:proofErr w:type="spellEnd"/>
      <w:r w:rsidRPr="00557A71">
        <w:rPr>
          <w:rFonts w:cstheme="minorHAnsi"/>
          <w:i/>
          <w:sz w:val="20"/>
          <w:szCs w:val="20"/>
        </w:rPr>
        <w:t xml:space="preserve"> cilj ne zahteva vsebinske ocene (ocena NE),</w:t>
      </w:r>
    </w:p>
    <w:p w14:paraId="767946B8" w14:textId="77777777" w:rsidR="007619BB" w:rsidRPr="00557A71" w:rsidRDefault="007619BB" w:rsidP="009537AD">
      <w:pPr>
        <w:pStyle w:val="Odstavekseznama"/>
        <w:numPr>
          <w:ilvl w:val="0"/>
          <w:numId w:val="5"/>
        </w:numPr>
        <w:suppressAutoHyphens/>
        <w:spacing w:after="0" w:line="276" w:lineRule="auto"/>
        <w:rPr>
          <w:rFonts w:cstheme="minorHAnsi"/>
          <w:i/>
          <w:sz w:val="20"/>
          <w:szCs w:val="20"/>
        </w:rPr>
      </w:pPr>
      <w:r w:rsidRPr="00557A71">
        <w:rPr>
          <w:rFonts w:cstheme="minorHAnsi"/>
          <w:i/>
          <w:sz w:val="20"/>
          <w:szCs w:val="20"/>
        </w:rPr>
        <w:t xml:space="preserve">če je pri vseh </w:t>
      </w:r>
      <w:proofErr w:type="spellStart"/>
      <w:r w:rsidRPr="00557A71">
        <w:rPr>
          <w:rFonts w:cstheme="minorHAnsi"/>
          <w:i/>
          <w:sz w:val="20"/>
          <w:szCs w:val="20"/>
        </w:rPr>
        <w:t>okoljskih</w:t>
      </w:r>
      <w:proofErr w:type="spellEnd"/>
      <w:r w:rsidRPr="00557A71">
        <w:rPr>
          <w:rFonts w:cstheme="minorHAnsi"/>
          <w:i/>
          <w:sz w:val="20"/>
          <w:szCs w:val="20"/>
        </w:rPr>
        <w:t xml:space="preserve"> ciljih ocenjeno, da ukrep ne zahteva vsebinske ocene (ocena NE), se s tem ocena skladnosti ukrepa z načelom DNSH zaključi.</w:t>
      </w:r>
    </w:p>
    <w:p w14:paraId="259B03D2" w14:textId="77777777" w:rsidR="007619BB" w:rsidRPr="00557A71" w:rsidRDefault="007619BB" w:rsidP="009537AD">
      <w:pPr>
        <w:pStyle w:val="Odstavekseznama"/>
        <w:numPr>
          <w:ilvl w:val="0"/>
          <w:numId w:val="4"/>
        </w:numPr>
        <w:suppressAutoHyphens/>
        <w:spacing w:after="0" w:line="276" w:lineRule="auto"/>
        <w:rPr>
          <w:rFonts w:cstheme="minorHAnsi"/>
          <w:i/>
          <w:sz w:val="20"/>
          <w:szCs w:val="20"/>
        </w:rPr>
      </w:pPr>
      <w:r w:rsidRPr="00557A71">
        <w:rPr>
          <w:rFonts w:cstheme="minorHAnsi"/>
          <w:b/>
          <w:i/>
          <w:sz w:val="20"/>
          <w:szCs w:val="20"/>
        </w:rPr>
        <w:lastRenderedPageBreak/>
        <w:t xml:space="preserve">druga stopnja (vsebinska ocena) </w:t>
      </w:r>
      <w:r w:rsidRPr="00557A71">
        <w:rPr>
          <w:rFonts w:cstheme="minorHAnsi"/>
          <w:i/>
          <w:sz w:val="20"/>
          <w:szCs w:val="20"/>
        </w:rPr>
        <w:t xml:space="preserve">se izvede za tiste </w:t>
      </w:r>
      <w:proofErr w:type="spellStart"/>
      <w:r w:rsidRPr="00557A71">
        <w:rPr>
          <w:rFonts w:cstheme="minorHAnsi"/>
          <w:i/>
          <w:sz w:val="20"/>
          <w:szCs w:val="20"/>
        </w:rPr>
        <w:t>okoljske</w:t>
      </w:r>
      <w:proofErr w:type="spellEnd"/>
      <w:r w:rsidRPr="00557A71">
        <w:rPr>
          <w:rFonts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46EE563F" w14:textId="77777777" w:rsidR="007619BB" w:rsidRPr="00557A71" w:rsidRDefault="007619BB" w:rsidP="009537AD">
      <w:pPr>
        <w:pStyle w:val="Odstavekseznama"/>
        <w:numPr>
          <w:ilvl w:val="0"/>
          <w:numId w:val="5"/>
        </w:numPr>
        <w:spacing w:after="0" w:line="276" w:lineRule="auto"/>
        <w:rPr>
          <w:rFonts w:cstheme="minorHAnsi"/>
          <w:sz w:val="20"/>
          <w:szCs w:val="20"/>
        </w:rPr>
      </w:pPr>
      <w:r w:rsidRPr="00557A71">
        <w:rPr>
          <w:rFonts w:cstheme="minorHAnsi"/>
          <w:i/>
          <w:sz w:val="20"/>
          <w:szCs w:val="20"/>
        </w:rPr>
        <w:t xml:space="preserve">vlagatelj dokaže, da vplivi ukrepa skozi celoten življenjski cikel ukrepa ne bodo bistveno škodovali </w:t>
      </w:r>
      <w:proofErr w:type="spellStart"/>
      <w:r w:rsidRPr="00557A71">
        <w:rPr>
          <w:rFonts w:cstheme="minorHAnsi"/>
          <w:i/>
          <w:sz w:val="20"/>
          <w:szCs w:val="20"/>
        </w:rPr>
        <w:t>okoljskim</w:t>
      </w:r>
      <w:proofErr w:type="spellEnd"/>
      <w:r w:rsidRPr="00557A71">
        <w:rPr>
          <w:rFonts w:cstheme="minorHAnsi"/>
          <w:i/>
          <w:sz w:val="20"/>
          <w:szCs w:val="20"/>
        </w:rPr>
        <w:t xml:space="preserve"> ciljem, ter predvidi morebitne omilitvene ukrepe,</w:t>
      </w:r>
    </w:p>
    <w:p w14:paraId="406F8940" w14:textId="77777777" w:rsidR="007619BB" w:rsidRPr="00557A71" w:rsidRDefault="007619BB" w:rsidP="009537AD">
      <w:pPr>
        <w:pStyle w:val="Odstavekseznama"/>
        <w:numPr>
          <w:ilvl w:val="0"/>
          <w:numId w:val="5"/>
        </w:numPr>
        <w:spacing w:after="0" w:line="276" w:lineRule="auto"/>
        <w:rPr>
          <w:rFonts w:cstheme="minorHAnsi"/>
          <w:sz w:val="20"/>
          <w:szCs w:val="20"/>
        </w:rPr>
      </w:pPr>
      <w:r w:rsidRPr="00557A71">
        <w:rPr>
          <w:rFonts w:cstheme="minorHAnsi"/>
          <w:i/>
          <w:sz w:val="20"/>
          <w:szCs w:val="20"/>
        </w:rPr>
        <w:t xml:space="preserve">ukrep je skladen z načelom DNSH, če nobeden izmed ocenjenih vplivov ne škoduje </w:t>
      </w:r>
      <w:proofErr w:type="spellStart"/>
      <w:r w:rsidRPr="00557A71">
        <w:rPr>
          <w:rFonts w:cstheme="minorHAnsi"/>
          <w:i/>
          <w:sz w:val="20"/>
          <w:szCs w:val="20"/>
        </w:rPr>
        <w:t>okoljskim</w:t>
      </w:r>
      <w:proofErr w:type="spellEnd"/>
      <w:r w:rsidRPr="00557A71">
        <w:rPr>
          <w:rFonts w:cstheme="minorHAnsi"/>
          <w:i/>
          <w:sz w:val="20"/>
          <w:szCs w:val="20"/>
        </w:rPr>
        <w:t xml:space="preserve"> ciljem.</w:t>
      </w:r>
    </w:p>
    <w:bookmarkEnd w:id="1"/>
    <w:p w14:paraId="11F13857" w14:textId="77777777" w:rsidR="007619BB" w:rsidRPr="00557A71" w:rsidRDefault="007619BB" w:rsidP="007619BB">
      <w:pPr>
        <w:spacing w:line="276" w:lineRule="auto"/>
        <w:rPr>
          <w:rFonts w:cstheme="minorHAnsi"/>
          <w:b/>
          <w:bCs/>
          <w:iCs/>
          <w:sz w:val="20"/>
          <w:szCs w:val="20"/>
        </w:rPr>
      </w:pPr>
    </w:p>
    <w:p w14:paraId="3B9068A7" w14:textId="41EE70E0" w:rsidR="007619BB" w:rsidRPr="00557A71" w:rsidRDefault="007619BB" w:rsidP="007619BB">
      <w:pPr>
        <w:spacing w:line="276" w:lineRule="auto"/>
        <w:rPr>
          <w:rFonts w:cstheme="minorHAnsi"/>
          <w:i/>
          <w:sz w:val="20"/>
          <w:szCs w:val="20"/>
        </w:rPr>
      </w:pPr>
      <w:r w:rsidRPr="00557A71">
        <w:rPr>
          <w:rFonts w:cstheme="minorHAnsi"/>
          <w:i/>
          <w:sz w:val="20"/>
          <w:szCs w:val="20"/>
        </w:rPr>
        <w:t xml:space="preserve">Za ukrep/sklop, v katerega spada projekt, ki je predmet vloge, ustrezno izpolnite/dopolnite oceno skladnosti z načelom DNSH. </w:t>
      </w:r>
    </w:p>
    <w:p w14:paraId="1040D56B" w14:textId="01189FD8" w:rsidR="007619BB" w:rsidRPr="00557A71" w:rsidRDefault="007619BB" w:rsidP="007619BB">
      <w:pPr>
        <w:spacing w:line="276" w:lineRule="auto"/>
        <w:rPr>
          <w:rFonts w:cstheme="minorHAnsi"/>
          <w:i/>
          <w:sz w:val="20"/>
          <w:szCs w:val="20"/>
        </w:rPr>
      </w:pPr>
      <w:r w:rsidRPr="00557A71">
        <w:rPr>
          <w:rFonts w:cstheme="minorHAnsi"/>
          <w:i/>
          <w:sz w:val="20"/>
          <w:szCs w:val="20"/>
        </w:rPr>
        <w:t>Oceno skladnosti ukrepa z načelom DNSH z navedbo omilitvenih ukrepov v tabelah X.1 in X.2 ustrezno prilagodite glede na ukrepe, ki se bodo izvedli v okviru projekta. Besedilo v rdečem prilagodite tako, da ga bodisi vključite kot del vaše ocene (če je relevantno z vidika vaših ukrepov) bodisi ga izvzamete in predstavite morebitne druge ustrezne omilitvene ukrepe za zagotavljanje skladnosti projekta z načelom DNSH. Navedite tudi razpoložljivo dokumentacijo, ki podpira navedbe v vsebinski oceni skladnosti (seznam možnih dokazil je predstavljen v poglavju 5.1 ter zlasti v poglavju 5.2.5 Smernic OU DNSH). Navedeno dokumentacijo je potrebno predložiti najkasneje ob izstavitvi zahtevka za izplačilo oz. ob zaključku projekta.</w:t>
      </w:r>
    </w:p>
    <w:p w14:paraId="22482D62" w14:textId="77777777" w:rsidR="007619BB" w:rsidRPr="00557A71" w:rsidRDefault="007619BB" w:rsidP="007619BB">
      <w:pPr>
        <w:spacing w:line="276" w:lineRule="auto"/>
        <w:rPr>
          <w:rFonts w:cstheme="minorHAnsi"/>
          <w:sz w:val="20"/>
          <w:szCs w:val="20"/>
        </w:rPr>
      </w:pPr>
    </w:p>
    <w:p w14:paraId="4601D554" w14:textId="77777777" w:rsidR="007619BB" w:rsidRPr="00557A71" w:rsidRDefault="007619BB" w:rsidP="007619BB">
      <w:pPr>
        <w:pStyle w:val="Odstavekseznama"/>
        <w:rPr>
          <w:rFonts w:cstheme="minorHAnsi"/>
          <w:sz w:val="20"/>
          <w:szCs w:val="20"/>
        </w:rPr>
      </w:pPr>
      <w:r w:rsidRPr="00557A71">
        <w:rPr>
          <w:rFonts w:cstheme="minorHAnsi"/>
          <w:sz w:val="20"/>
          <w:szCs w:val="20"/>
        </w:rPr>
        <w:br w:type="page"/>
      </w:r>
    </w:p>
    <w:p w14:paraId="4F61D15B" w14:textId="6267FEDD" w:rsidR="007619BB" w:rsidRPr="00557A71" w:rsidRDefault="007619BB" w:rsidP="007619BB">
      <w:pPr>
        <w:pStyle w:val="Naslov2"/>
        <w:shd w:val="clear" w:color="auto" w:fill="E2EFD9" w:themeFill="accent6" w:themeFillTint="33"/>
        <w:rPr>
          <w:rFonts w:cstheme="minorHAnsi"/>
          <w:b/>
          <w:bCs/>
          <w:iCs/>
        </w:rPr>
      </w:pPr>
      <w:r w:rsidRPr="00557A71">
        <w:rPr>
          <w:rFonts w:cstheme="minorHAnsi"/>
          <w:b/>
          <w:bCs/>
          <w:iCs/>
        </w:rPr>
        <w:lastRenderedPageBreak/>
        <w:t xml:space="preserve">1. </w:t>
      </w:r>
      <w:r w:rsidR="00E14EFB" w:rsidRPr="00557A71">
        <w:rPr>
          <w:rFonts w:cstheme="minorHAnsi"/>
          <w:b/>
          <w:bCs/>
          <w:iCs/>
        </w:rPr>
        <w:t>Prenos in distribucija električne energije (4.9)</w:t>
      </w:r>
    </w:p>
    <w:p w14:paraId="5B171C52" w14:textId="77777777" w:rsidR="007619BB" w:rsidRPr="00557A71" w:rsidRDefault="007619BB" w:rsidP="007619BB">
      <w:pPr>
        <w:rPr>
          <w:rFonts w:cstheme="minorHAnsi"/>
          <w:sz w:val="20"/>
          <w:szCs w:val="20"/>
        </w:rPr>
      </w:pPr>
      <w:r w:rsidRPr="00557A71">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7619BB" w:rsidRPr="00557A71" w14:paraId="2B4EB6DD" w14:textId="77777777" w:rsidTr="00E14EFB">
        <w:trPr>
          <w:trHeight w:val="2273"/>
        </w:trPr>
        <w:tc>
          <w:tcPr>
            <w:tcW w:w="9060" w:type="dxa"/>
          </w:tcPr>
          <w:p w14:paraId="20A66A74" w14:textId="77777777" w:rsidR="007619BB" w:rsidRPr="00557A71" w:rsidRDefault="007619BB" w:rsidP="00E14EFB">
            <w:pPr>
              <w:rPr>
                <w:rFonts w:cstheme="minorHAnsi"/>
                <w:sz w:val="20"/>
                <w:szCs w:val="20"/>
              </w:rPr>
            </w:pPr>
          </w:p>
        </w:tc>
      </w:tr>
    </w:tbl>
    <w:p w14:paraId="320DBA56" w14:textId="77777777" w:rsidR="007619BB" w:rsidRPr="00557A71" w:rsidRDefault="007619BB" w:rsidP="007619BB">
      <w:pPr>
        <w:rPr>
          <w:rFonts w:cstheme="minorHAnsi"/>
          <w:sz w:val="20"/>
          <w:szCs w:val="20"/>
        </w:rPr>
      </w:pPr>
    </w:p>
    <w:p w14:paraId="53B2463D" w14:textId="77777777" w:rsidR="007619BB" w:rsidRPr="00557A71" w:rsidRDefault="007619BB" w:rsidP="007619BB">
      <w:pPr>
        <w:rPr>
          <w:rFonts w:cstheme="minorHAnsi"/>
          <w:b/>
          <w:sz w:val="20"/>
          <w:szCs w:val="20"/>
        </w:rPr>
      </w:pPr>
      <w:r w:rsidRPr="00557A71">
        <w:rPr>
          <w:rFonts w:cstheme="minorHAnsi"/>
          <w:b/>
          <w:sz w:val="20"/>
          <w:szCs w:val="20"/>
        </w:rPr>
        <w:t>Tabela 1.1: Poenostavljena ocena</w:t>
      </w:r>
    </w:p>
    <w:tbl>
      <w:tblPr>
        <w:tblStyle w:val="Tabelamrea"/>
        <w:tblW w:w="0" w:type="auto"/>
        <w:tblLook w:val="04A0" w:firstRow="1" w:lastRow="0" w:firstColumn="1" w:lastColumn="0" w:noHBand="0" w:noVBand="1"/>
      </w:tblPr>
      <w:tblGrid>
        <w:gridCol w:w="2689"/>
        <w:gridCol w:w="648"/>
        <w:gridCol w:w="636"/>
        <w:gridCol w:w="5089"/>
      </w:tblGrid>
      <w:tr w:rsidR="007619BB" w:rsidRPr="00557A71" w14:paraId="6FEC2A86" w14:textId="77777777" w:rsidTr="00E14EFB">
        <w:trPr>
          <w:tblHeader/>
        </w:trPr>
        <w:tc>
          <w:tcPr>
            <w:tcW w:w="2689" w:type="dxa"/>
            <w:shd w:val="clear" w:color="auto" w:fill="E2EFD9" w:themeFill="accent6" w:themeFillTint="33"/>
            <w:vAlign w:val="center"/>
            <w:hideMark/>
          </w:tcPr>
          <w:p w14:paraId="793D798F" w14:textId="77777777" w:rsidR="007619BB" w:rsidRPr="00557A71" w:rsidRDefault="007619BB" w:rsidP="00E14EFB">
            <w:pPr>
              <w:spacing w:line="240" w:lineRule="atLeast"/>
              <w:ind w:right="193"/>
              <w:jc w:val="center"/>
              <w:rPr>
                <w:rFonts w:cstheme="minorHAnsi"/>
                <w:bCs/>
                <w:i/>
                <w:sz w:val="20"/>
                <w:szCs w:val="20"/>
                <w:lang w:eastAsia="sl-SI"/>
              </w:rPr>
            </w:pPr>
            <w:r w:rsidRPr="00557A71">
              <w:rPr>
                <w:rFonts w:cstheme="minorHAnsi"/>
                <w:bCs/>
                <w:i/>
                <w:sz w:val="20"/>
                <w:szCs w:val="20"/>
                <w:lang w:eastAsia="sl-SI"/>
              </w:rPr>
              <w:t xml:space="preserve">Ali je za </w:t>
            </w:r>
            <w:proofErr w:type="spellStart"/>
            <w:r w:rsidRPr="00557A71">
              <w:rPr>
                <w:rFonts w:cstheme="minorHAnsi"/>
                <w:bCs/>
                <w:i/>
                <w:sz w:val="20"/>
                <w:szCs w:val="20"/>
                <w:lang w:eastAsia="sl-SI"/>
              </w:rPr>
              <w:t>okoljske</w:t>
            </w:r>
            <w:proofErr w:type="spellEnd"/>
            <w:r w:rsidRPr="00557A71">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466D5644" w14:textId="77777777" w:rsidR="007619BB" w:rsidRPr="00557A71" w:rsidRDefault="007619BB" w:rsidP="00E14EFB">
            <w:pPr>
              <w:spacing w:line="240" w:lineRule="atLeast"/>
              <w:ind w:right="193"/>
              <w:jc w:val="center"/>
              <w:rPr>
                <w:rFonts w:cstheme="minorHAnsi"/>
                <w:bCs/>
                <w:i/>
                <w:sz w:val="20"/>
                <w:szCs w:val="20"/>
                <w:lang w:eastAsia="sl-SI"/>
              </w:rPr>
            </w:pPr>
            <w:r w:rsidRPr="00557A71">
              <w:rPr>
                <w:rFonts w:cstheme="minorHAnsi"/>
                <w:bCs/>
                <w:i/>
                <w:sz w:val="20"/>
                <w:szCs w:val="20"/>
                <w:lang w:eastAsia="sl-SI"/>
              </w:rPr>
              <w:t>DA</w:t>
            </w:r>
          </w:p>
        </w:tc>
        <w:tc>
          <w:tcPr>
            <w:tcW w:w="0" w:type="auto"/>
            <w:shd w:val="clear" w:color="auto" w:fill="E2EFD9" w:themeFill="accent6" w:themeFillTint="33"/>
            <w:vAlign w:val="center"/>
            <w:hideMark/>
          </w:tcPr>
          <w:p w14:paraId="6B933728" w14:textId="77777777" w:rsidR="007619BB" w:rsidRPr="00557A71" w:rsidRDefault="007619BB" w:rsidP="00E14EFB">
            <w:pPr>
              <w:spacing w:line="240" w:lineRule="atLeast"/>
              <w:ind w:right="193"/>
              <w:jc w:val="center"/>
              <w:rPr>
                <w:rFonts w:cstheme="minorHAnsi"/>
                <w:bCs/>
                <w:i/>
                <w:sz w:val="20"/>
                <w:szCs w:val="20"/>
                <w:lang w:eastAsia="sl-SI"/>
              </w:rPr>
            </w:pPr>
            <w:r w:rsidRPr="00557A71">
              <w:rPr>
                <w:rFonts w:cstheme="minorHAnsi"/>
                <w:bCs/>
                <w:i/>
                <w:sz w:val="20"/>
                <w:szCs w:val="20"/>
                <w:lang w:eastAsia="sl-SI"/>
              </w:rPr>
              <w:t>NE</w:t>
            </w:r>
          </w:p>
        </w:tc>
        <w:tc>
          <w:tcPr>
            <w:tcW w:w="0" w:type="auto"/>
            <w:shd w:val="clear" w:color="auto" w:fill="E2EFD9" w:themeFill="accent6" w:themeFillTint="33"/>
            <w:vAlign w:val="center"/>
            <w:hideMark/>
          </w:tcPr>
          <w:p w14:paraId="09B7EC2D" w14:textId="77777777" w:rsidR="007619BB" w:rsidRPr="00557A71" w:rsidRDefault="007619BB" w:rsidP="00E14EFB">
            <w:pPr>
              <w:spacing w:line="240" w:lineRule="atLeast"/>
              <w:ind w:right="193"/>
              <w:jc w:val="center"/>
              <w:rPr>
                <w:rFonts w:cstheme="minorHAnsi"/>
                <w:bCs/>
                <w:i/>
                <w:sz w:val="20"/>
                <w:szCs w:val="20"/>
                <w:lang w:eastAsia="sl-SI"/>
              </w:rPr>
            </w:pPr>
            <w:r w:rsidRPr="00557A71">
              <w:rPr>
                <w:rFonts w:cstheme="minorHAnsi"/>
                <w:bCs/>
                <w:i/>
                <w:sz w:val="20"/>
                <w:szCs w:val="20"/>
                <w:lang w:eastAsia="sl-SI"/>
              </w:rPr>
              <w:t>Utemeljitev, če ste izbrali odgovor »NE«</w:t>
            </w:r>
          </w:p>
        </w:tc>
      </w:tr>
      <w:tr w:rsidR="007619BB" w:rsidRPr="00557A71" w14:paraId="479EE4AF" w14:textId="77777777" w:rsidTr="007619BB">
        <w:tc>
          <w:tcPr>
            <w:tcW w:w="2689" w:type="dxa"/>
            <w:vAlign w:val="center"/>
            <w:hideMark/>
          </w:tcPr>
          <w:p w14:paraId="52284F04" w14:textId="77777777" w:rsidR="007619BB" w:rsidRPr="00557A71" w:rsidRDefault="007619BB" w:rsidP="007619BB">
            <w:pPr>
              <w:spacing w:line="312" w:lineRule="atLeast"/>
              <w:jc w:val="left"/>
              <w:rPr>
                <w:rFonts w:cstheme="minorHAnsi"/>
                <w:sz w:val="20"/>
                <w:szCs w:val="20"/>
                <w:lang w:eastAsia="sl-SI"/>
              </w:rPr>
            </w:pPr>
            <w:r w:rsidRPr="00557A71">
              <w:rPr>
                <w:rFonts w:cstheme="minorHAnsi"/>
                <w:sz w:val="20"/>
                <w:szCs w:val="20"/>
                <w:lang w:eastAsia="sl-SI"/>
              </w:rPr>
              <w:t>Blažitev podnebnih sprememb</w:t>
            </w:r>
          </w:p>
        </w:tc>
        <w:tc>
          <w:tcPr>
            <w:tcW w:w="648" w:type="dxa"/>
            <w:vAlign w:val="center"/>
          </w:tcPr>
          <w:p w14:paraId="6F6C1B80" w14:textId="77777777" w:rsidR="007619BB" w:rsidRPr="00557A71" w:rsidRDefault="007619BB" w:rsidP="00E14EFB">
            <w:pPr>
              <w:spacing w:line="312" w:lineRule="atLeast"/>
              <w:jc w:val="center"/>
              <w:rPr>
                <w:rFonts w:cstheme="minorHAnsi"/>
                <w:sz w:val="20"/>
                <w:szCs w:val="20"/>
                <w:lang w:eastAsia="sl-SI"/>
              </w:rPr>
            </w:pPr>
          </w:p>
        </w:tc>
        <w:tc>
          <w:tcPr>
            <w:tcW w:w="0" w:type="auto"/>
            <w:vAlign w:val="center"/>
          </w:tcPr>
          <w:p w14:paraId="2167EF8B" w14:textId="77777777" w:rsidR="007619BB" w:rsidRPr="00557A71" w:rsidRDefault="007619BB" w:rsidP="00E14EFB">
            <w:pPr>
              <w:spacing w:line="312" w:lineRule="atLeast"/>
              <w:jc w:val="center"/>
              <w:rPr>
                <w:rFonts w:cstheme="minorHAnsi"/>
                <w:sz w:val="20"/>
                <w:szCs w:val="20"/>
                <w:lang w:eastAsia="sl-SI"/>
              </w:rPr>
            </w:pPr>
            <w:r w:rsidRPr="00557A71">
              <w:rPr>
                <w:rFonts w:cstheme="minorHAnsi"/>
                <w:sz w:val="20"/>
                <w:szCs w:val="20"/>
                <w:lang w:eastAsia="sl-SI"/>
              </w:rPr>
              <w:t>X</w:t>
            </w:r>
          </w:p>
        </w:tc>
        <w:tc>
          <w:tcPr>
            <w:tcW w:w="0" w:type="auto"/>
            <w:vAlign w:val="center"/>
            <w:hideMark/>
          </w:tcPr>
          <w:p w14:paraId="2B5D6CA8" w14:textId="061CA809"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 xml:space="preserve">Ukrep v skladu z Delegirano uredbo Komisije (EU) 2021/2139 bistveno prispeva k blaženju podnebnih sprememb, saj </w:t>
            </w:r>
            <w:r w:rsidR="00E14EFB" w:rsidRPr="00557A71">
              <w:rPr>
                <w:rFonts w:cstheme="minorHAnsi"/>
                <w:sz w:val="20"/>
                <w:szCs w:val="20"/>
                <w:lang w:eastAsia="sl-SI"/>
              </w:rPr>
              <w:t>gre za infrastrukturo ali opremo za prenos in distribucijo, ki je del elektroenergetskega sistema, ki je medsebojno povezan z evropskim elektroenergetskim sistemom</w:t>
            </w:r>
            <w:r w:rsidRPr="00557A71">
              <w:rPr>
                <w:rFonts w:cstheme="minorHAnsi"/>
                <w:sz w:val="20"/>
                <w:szCs w:val="20"/>
                <w:lang w:eastAsia="sl-SI"/>
              </w:rPr>
              <w:t>.</w:t>
            </w:r>
          </w:p>
          <w:p w14:paraId="3A1E359C" w14:textId="37C39C60"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100-odstotno prispeva k ciljem na področju podnebnih sprememb – področje ukrepanja </w:t>
            </w:r>
            <w:r w:rsidR="00E14EFB" w:rsidRPr="00557A71">
              <w:rPr>
                <w:rFonts w:cstheme="minorHAnsi"/>
                <w:sz w:val="20"/>
                <w:szCs w:val="20"/>
                <w:lang w:eastAsia="sl-SI"/>
              </w:rPr>
              <w:t>053 - Pametni energetski sistemi (vključno z inteligentnimi energetskimi omrežji in sistemi IKT) ter povezano shranjevanje</w:t>
            </w:r>
            <w:r w:rsidRPr="00557A71">
              <w:rPr>
                <w:rFonts w:cstheme="minorHAnsi"/>
                <w:sz w:val="20"/>
                <w:szCs w:val="20"/>
                <w:lang w:eastAsia="sl-SI"/>
              </w:rPr>
              <w:t>.</w:t>
            </w:r>
          </w:p>
          <w:p w14:paraId="33FB6D93"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4FA77A51"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p>
          <w:p w14:paraId="670C4E10"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načrtovanju objektov velike infrastrukture bo upoštevano tudi Obvestilo Komisije – Tehnične smernice za krepitev podnebne odpornosti infrastrukture v obdobju 2021–2027 (2021/C 373/01).</w:t>
            </w:r>
          </w:p>
          <w:p w14:paraId="5E1BB771"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Ob upoštevanju navedenih meril za izbor projektov in omilitvenih ukrepov, ukrep ne bo povzročil precejšnjih emisij toplogrednih plinov.</w:t>
            </w:r>
          </w:p>
          <w:p w14:paraId="68595F03" w14:textId="77777777" w:rsidR="007619BB" w:rsidRPr="00557A71" w:rsidRDefault="007619BB" w:rsidP="00E14EFB">
            <w:pPr>
              <w:spacing w:line="240" w:lineRule="atLeast"/>
              <w:rPr>
                <w:rFonts w:cstheme="minorHAnsi"/>
                <w:sz w:val="20"/>
                <w:szCs w:val="20"/>
                <w:lang w:eastAsia="sl-SI"/>
              </w:rPr>
            </w:pPr>
          </w:p>
        </w:tc>
      </w:tr>
      <w:tr w:rsidR="007619BB" w:rsidRPr="00557A71" w14:paraId="25362FD2" w14:textId="77777777" w:rsidTr="007619BB">
        <w:trPr>
          <w:trHeight w:val="3061"/>
        </w:trPr>
        <w:tc>
          <w:tcPr>
            <w:tcW w:w="2689" w:type="dxa"/>
            <w:vAlign w:val="center"/>
            <w:hideMark/>
          </w:tcPr>
          <w:p w14:paraId="6F6DDB49" w14:textId="7DC3ED78" w:rsidR="007619BB" w:rsidRPr="00557A71" w:rsidRDefault="007619BB" w:rsidP="007619BB">
            <w:pPr>
              <w:spacing w:line="312" w:lineRule="atLeast"/>
              <w:jc w:val="left"/>
              <w:rPr>
                <w:rFonts w:cstheme="minorHAnsi"/>
                <w:sz w:val="20"/>
                <w:szCs w:val="20"/>
                <w:lang w:eastAsia="sl-SI"/>
              </w:rPr>
            </w:pPr>
            <w:r w:rsidRPr="00557A71">
              <w:rPr>
                <w:rFonts w:cstheme="minorHAnsi"/>
                <w:sz w:val="20"/>
                <w:szCs w:val="20"/>
                <w:lang w:eastAsia="sl-SI"/>
              </w:rPr>
              <w:lastRenderedPageBreak/>
              <w:t>Prilagajanje podnebnim spremembam</w:t>
            </w:r>
          </w:p>
        </w:tc>
        <w:tc>
          <w:tcPr>
            <w:tcW w:w="648" w:type="dxa"/>
            <w:vAlign w:val="center"/>
          </w:tcPr>
          <w:p w14:paraId="6482814B" w14:textId="77777777" w:rsidR="007619BB" w:rsidRPr="00557A71" w:rsidRDefault="007619BB" w:rsidP="00E14EFB">
            <w:pPr>
              <w:spacing w:line="312" w:lineRule="atLeast"/>
              <w:jc w:val="center"/>
              <w:rPr>
                <w:rFonts w:cstheme="minorHAnsi"/>
                <w:sz w:val="20"/>
                <w:szCs w:val="20"/>
                <w:lang w:eastAsia="sl-SI"/>
              </w:rPr>
            </w:pPr>
          </w:p>
        </w:tc>
        <w:tc>
          <w:tcPr>
            <w:tcW w:w="0" w:type="auto"/>
            <w:vAlign w:val="center"/>
          </w:tcPr>
          <w:p w14:paraId="7DA70B29" w14:textId="77777777" w:rsidR="007619BB" w:rsidRPr="00557A71" w:rsidRDefault="007619BB" w:rsidP="00E14EFB">
            <w:pPr>
              <w:spacing w:line="312" w:lineRule="atLeast"/>
              <w:jc w:val="center"/>
              <w:rPr>
                <w:rFonts w:cstheme="minorHAnsi"/>
                <w:sz w:val="20"/>
                <w:szCs w:val="20"/>
                <w:lang w:eastAsia="sl-SI"/>
              </w:rPr>
            </w:pPr>
            <w:r w:rsidRPr="00557A71">
              <w:rPr>
                <w:rFonts w:cstheme="minorHAnsi"/>
                <w:sz w:val="20"/>
                <w:szCs w:val="20"/>
                <w:lang w:eastAsia="sl-SI"/>
              </w:rPr>
              <w:t>X</w:t>
            </w:r>
          </w:p>
        </w:tc>
        <w:tc>
          <w:tcPr>
            <w:tcW w:w="0" w:type="auto"/>
            <w:vAlign w:val="center"/>
          </w:tcPr>
          <w:p w14:paraId="0C6419D6"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Ukrep v skladu z Delegirano uredbo Komisije (EU) 2021/2139 bistveno prispeva k prilagajanju podnebnim spremembam ob upoštevanju določenih tehničnih meril.</w:t>
            </w:r>
          </w:p>
          <w:p w14:paraId="773FD69E" w14:textId="072114D1"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100-odstotno prispeva k ciljem na področju podnebnih sprememb – področje ukrepanja </w:t>
            </w:r>
            <w:r w:rsidR="00E5624C" w:rsidRPr="00557A71">
              <w:rPr>
                <w:rFonts w:cstheme="minorHAnsi"/>
                <w:sz w:val="20"/>
                <w:szCs w:val="20"/>
                <w:lang w:eastAsia="sl-SI"/>
              </w:rPr>
              <w:t>053 - Pametni energetski sistemi (vključno z inteligentnimi energetskimi omrežji in sistemi IKT) ter povezano shranjevanje</w:t>
            </w:r>
            <w:r w:rsidRPr="00557A71">
              <w:rPr>
                <w:rFonts w:cstheme="minorHAnsi"/>
                <w:sz w:val="20"/>
                <w:szCs w:val="20"/>
                <w:lang w:eastAsia="sl-SI"/>
              </w:rPr>
              <w:t>.</w:t>
            </w:r>
          </w:p>
          <w:p w14:paraId="67196E39"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55A6603D"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načrtovanju objektov velike infrastrukture bo upoštevano tudi Obvestilo Komisije – Tehnične smernice za krepitev podnebne odpornosti infrastrukture v obdobju 2021–2027 (2021/C 373/01),</w:t>
            </w:r>
          </w:p>
          <w:p w14:paraId="6AC6F4B3"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6DA6707C" w14:textId="77777777" w:rsidR="007619BB" w:rsidRPr="00557A71" w:rsidRDefault="007619BB" w:rsidP="00E14EFB">
            <w:pPr>
              <w:spacing w:line="240" w:lineRule="atLeast"/>
              <w:rPr>
                <w:rFonts w:cstheme="minorHAnsi"/>
                <w:sz w:val="20"/>
                <w:szCs w:val="20"/>
                <w:lang w:eastAsia="sl-SI"/>
              </w:rPr>
            </w:pPr>
          </w:p>
        </w:tc>
      </w:tr>
      <w:tr w:rsidR="00E5624C" w:rsidRPr="00557A71" w14:paraId="5A1FCECE" w14:textId="77777777" w:rsidTr="007619BB">
        <w:trPr>
          <w:trHeight w:val="20"/>
        </w:trPr>
        <w:tc>
          <w:tcPr>
            <w:tcW w:w="2689" w:type="dxa"/>
            <w:vAlign w:val="center"/>
            <w:hideMark/>
          </w:tcPr>
          <w:p w14:paraId="2AD55EFC" w14:textId="77777777" w:rsidR="00E5624C" w:rsidRPr="00557A71" w:rsidRDefault="00E5624C" w:rsidP="00E5624C">
            <w:pPr>
              <w:spacing w:line="312" w:lineRule="atLeast"/>
              <w:jc w:val="left"/>
              <w:rPr>
                <w:rFonts w:cstheme="minorHAnsi"/>
                <w:sz w:val="20"/>
                <w:szCs w:val="20"/>
                <w:lang w:eastAsia="sl-SI"/>
              </w:rPr>
            </w:pPr>
          </w:p>
          <w:p w14:paraId="27DB623B" w14:textId="1D00BF83" w:rsidR="00E5624C" w:rsidRPr="00557A71" w:rsidRDefault="00E5624C" w:rsidP="00E5624C">
            <w:pPr>
              <w:spacing w:line="312" w:lineRule="atLeast"/>
              <w:jc w:val="left"/>
              <w:rPr>
                <w:rFonts w:cstheme="minorHAnsi"/>
                <w:sz w:val="20"/>
                <w:szCs w:val="20"/>
                <w:lang w:eastAsia="sl-SI"/>
              </w:rPr>
            </w:pPr>
            <w:r w:rsidRPr="00557A71">
              <w:rPr>
                <w:rFonts w:cstheme="minorHAnsi"/>
                <w:sz w:val="20"/>
                <w:szCs w:val="20"/>
                <w:lang w:eastAsia="sl-SI"/>
              </w:rPr>
              <w:t xml:space="preserve">Trajnostna raba ter varstvo vodnih in morskih virov </w:t>
            </w:r>
          </w:p>
        </w:tc>
        <w:tc>
          <w:tcPr>
            <w:tcW w:w="648" w:type="dxa"/>
            <w:vAlign w:val="center"/>
            <w:hideMark/>
          </w:tcPr>
          <w:p w14:paraId="26542BCE" w14:textId="516E75F3" w:rsidR="00E5624C" w:rsidRPr="00557A71" w:rsidRDefault="00E5624C" w:rsidP="00E5624C">
            <w:pPr>
              <w:spacing w:line="312" w:lineRule="atLeast"/>
              <w:rPr>
                <w:rFonts w:cstheme="minorHAnsi"/>
                <w:sz w:val="20"/>
                <w:szCs w:val="20"/>
                <w:lang w:eastAsia="sl-SI"/>
              </w:rPr>
            </w:pPr>
          </w:p>
        </w:tc>
        <w:tc>
          <w:tcPr>
            <w:tcW w:w="0" w:type="auto"/>
            <w:vAlign w:val="center"/>
          </w:tcPr>
          <w:p w14:paraId="0621446C" w14:textId="5273DC89" w:rsidR="00E5624C" w:rsidRPr="00557A71" w:rsidRDefault="00E5624C" w:rsidP="00E5624C">
            <w:pPr>
              <w:spacing w:line="312" w:lineRule="atLeast"/>
              <w:jc w:val="center"/>
              <w:rPr>
                <w:rFonts w:cstheme="minorHAnsi"/>
                <w:sz w:val="20"/>
                <w:szCs w:val="20"/>
                <w:lang w:eastAsia="sl-SI"/>
              </w:rPr>
            </w:pPr>
            <w:r w:rsidRPr="00557A71">
              <w:rPr>
                <w:rFonts w:cstheme="minorHAnsi"/>
                <w:sz w:val="20"/>
                <w:szCs w:val="20"/>
                <w:lang w:eastAsia="sl-SI"/>
              </w:rPr>
              <w:t>X</w:t>
            </w:r>
          </w:p>
        </w:tc>
        <w:tc>
          <w:tcPr>
            <w:tcW w:w="0" w:type="auto"/>
          </w:tcPr>
          <w:p w14:paraId="2CAD3FD3" w14:textId="77777777" w:rsidR="00E5624C" w:rsidRPr="00557A71" w:rsidRDefault="00E5624C" w:rsidP="00E5624C">
            <w:pPr>
              <w:spacing w:line="312" w:lineRule="atLeast"/>
              <w:rPr>
                <w:rFonts w:cstheme="minorHAnsi"/>
                <w:sz w:val="20"/>
                <w:szCs w:val="20"/>
                <w:lang w:eastAsia="sl-SI"/>
              </w:rPr>
            </w:pPr>
            <w:r w:rsidRPr="00557A71">
              <w:rPr>
                <w:rFonts w:cstheme="minorHAnsi"/>
                <w:sz w:val="20"/>
                <w:szCs w:val="20"/>
                <w:lang w:eastAsia="sl-SI"/>
              </w:rPr>
              <w:t xml:space="preserve">Ukrep, skladno z Delegirano uredbo Komisije (EU) 2021/2139, ne škoduje bistveno </w:t>
            </w:r>
            <w:proofErr w:type="spellStart"/>
            <w:r w:rsidRPr="00557A71">
              <w:rPr>
                <w:rFonts w:cstheme="minorHAnsi"/>
                <w:sz w:val="20"/>
                <w:szCs w:val="20"/>
                <w:lang w:eastAsia="sl-SI"/>
              </w:rPr>
              <w:t>okoljskemu</w:t>
            </w:r>
            <w:proofErr w:type="spellEnd"/>
            <w:r w:rsidRPr="00557A71">
              <w:rPr>
                <w:rFonts w:cstheme="minorHAnsi"/>
                <w:sz w:val="20"/>
                <w:szCs w:val="20"/>
                <w:lang w:eastAsia="sl-SI"/>
              </w:rPr>
              <w:t xml:space="preserve"> cilju.</w:t>
            </w:r>
          </w:p>
          <w:p w14:paraId="0D764D55" w14:textId="54614425" w:rsidR="00E5624C" w:rsidRPr="00557A71" w:rsidRDefault="00E5624C" w:rsidP="00E5624C">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40-odstotno prispeva k drugim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 področje ukrepanja 053 - Pametni energetski sistemi (vključno z inteligentnimi energetskimi omrežji in sistemi IKT) ter povezano shranjevanje.</w:t>
            </w:r>
          </w:p>
          <w:p w14:paraId="0E817AE4" w14:textId="77777777" w:rsidR="00E5624C" w:rsidRPr="00557A71" w:rsidRDefault="00E5624C" w:rsidP="00E5624C">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18543B79" w14:textId="77777777" w:rsidR="00E5624C" w:rsidRPr="00557A71" w:rsidRDefault="00E5624C" w:rsidP="00E5624C">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56C5B1D3" w14:textId="77777777" w:rsidR="00E5624C" w:rsidRPr="00557A71" w:rsidRDefault="00E5624C" w:rsidP="00E5624C">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lastRenderedPageBreak/>
              <w:t>pri izvedbi projekta/investicije bodo upoštevani omilitveni ukrepi in usmeritve za</w:t>
            </w:r>
            <w:r w:rsidRPr="00557A71">
              <w:rPr>
                <w:rFonts w:cstheme="minorHAnsi"/>
                <w:sz w:val="20"/>
                <w:szCs w:val="20"/>
              </w:rPr>
              <w:t xml:space="preserve"> </w:t>
            </w:r>
            <w:r w:rsidRPr="00557A71">
              <w:rPr>
                <w:rFonts w:cstheme="minorHAnsi"/>
                <w:sz w:val="20"/>
                <w:szCs w:val="20"/>
                <w:lang w:eastAsia="sl-SI"/>
              </w:rPr>
              <w:t xml:space="preserve">varstvo okolja iz Celovitega nacionalnega energetskega in podnebnega načrta Republike Slovenije (NEPN), </w:t>
            </w:r>
          </w:p>
          <w:p w14:paraId="7943CB7C" w14:textId="77777777" w:rsidR="00E5624C" w:rsidRPr="00557A71" w:rsidRDefault="00E5624C" w:rsidP="00E5624C">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454A9AC2" w14:textId="0A2F1281" w:rsidR="00E5624C" w:rsidRPr="00557A71" w:rsidRDefault="00E5624C" w:rsidP="00E5624C">
            <w:pPr>
              <w:spacing w:line="312" w:lineRule="atLeast"/>
              <w:rPr>
                <w:rFonts w:cstheme="minorHAnsi"/>
                <w:sz w:val="20"/>
                <w:szCs w:val="20"/>
                <w:lang w:eastAsia="sl-SI"/>
              </w:rPr>
            </w:pPr>
            <w:r w:rsidRPr="00557A71">
              <w:rPr>
                <w:rFonts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57A71">
              <w:rPr>
                <w:rFonts w:cstheme="minorHAnsi"/>
                <w:sz w:val="20"/>
                <w:szCs w:val="20"/>
                <w:lang w:eastAsia="sl-SI"/>
              </w:rPr>
              <w:t>okoljskemu</w:t>
            </w:r>
            <w:proofErr w:type="spellEnd"/>
            <w:r w:rsidRPr="00557A71">
              <w:rPr>
                <w:rFonts w:cstheme="minorHAnsi"/>
                <w:sz w:val="20"/>
                <w:szCs w:val="20"/>
                <w:lang w:eastAsia="sl-SI"/>
              </w:rPr>
              <w:t xml:space="preserve"> stanju morskih voda.</w:t>
            </w:r>
          </w:p>
        </w:tc>
      </w:tr>
      <w:tr w:rsidR="00E5624C" w:rsidRPr="00557A71" w14:paraId="65B51D37" w14:textId="77777777" w:rsidTr="007619BB">
        <w:trPr>
          <w:trHeight w:val="20"/>
        </w:trPr>
        <w:tc>
          <w:tcPr>
            <w:tcW w:w="2689" w:type="dxa"/>
            <w:vAlign w:val="center"/>
            <w:hideMark/>
          </w:tcPr>
          <w:p w14:paraId="114D95DF" w14:textId="77777777" w:rsidR="00E5624C" w:rsidRPr="00557A71" w:rsidRDefault="00E5624C" w:rsidP="00E5624C">
            <w:pPr>
              <w:spacing w:line="312" w:lineRule="atLeast"/>
              <w:jc w:val="left"/>
              <w:rPr>
                <w:rFonts w:cstheme="minorHAnsi"/>
                <w:sz w:val="20"/>
                <w:szCs w:val="20"/>
                <w:lang w:eastAsia="sl-SI"/>
              </w:rPr>
            </w:pPr>
          </w:p>
          <w:p w14:paraId="355D4072" w14:textId="66A1D550" w:rsidR="00E5624C" w:rsidRPr="00557A71" w:rsidRDefault="00E5624C" w:rsidP="00E5624C">
            <w:pPr>
              <w:spacing w:line="312" w:lineRule="atLeast"/>
              <w:jc w:val="left"/>
              <w:rPr>
                <w:rFonts w:cstheme="minorHAnsi"/>
                <w:sz w:val="20"/>
                <w:szCs w:val="20"/>
                <w:lang w:eastAsia="sl-SI"/>
              </w:rPr>
            </w:pPr>
            <w:r w:rsidRPr="00557A71">
              <w:rPr>
                <w:rFonts w:cstheme="minorHAnsi"/>
                <w:sz w:val="20"/>
                <w:szCs w:val="20"/>
                <w:lang w:eastAsia="sl-SI"/>
              </w:rPr>
              <w:t>Krožno gospodarstvo, vključno s preprečevanjem odpadkov in recikliranjem</w:t>
            </w:r>
          </w:p>
        </w:tc>
        <w:tc>
          <w:tcPr>
            <w:tcW w:w="648" w:type="dxa"/>
            <w:vAlign w:val="center"/>
            <w:hideMark/>
          </w:tcPr>
          <w:p w14:paraId="557E285C" w14:textId="77777777" w:rsidR="00E5624C" w:rsidRPr="00557A71" w:rsidRDefault="00E5624C" w:rsidP="00E5624C">
            <w:pPr>
              <w:spacing w:line="312" w:lineRule="atLeast"/>
              <w:jc w:val="center"/>
              <w:rPr>
                <w:rFonts w:cstheme="minorHAnsi"/>
                <w:sz w:val="20"/>
                <w:szCs w:val="20"/>
                <w:lang w:eastAsia="sl-SI"/>
              </w:rPr>
            </w:pPr>
            <w:r w:rsidRPr="00557A71">
              <w:rPr>
                <w:rFonts w:cstheme="minorHAnsi"/>
                <w:sz w:val="20"/>
                <w:szCs w:val="20"/>
                <w:lang w:eastAsia="sl-SI"/>
              </w:rPr>
              <w:t>X</w:t>
            </w:r>
          </w:p>
        </w:tc>
        <w:tc>
          <w:tcPr>
            <w:tcW w:w="0" w:type="auto"/>
            <w:vAlign w:val="center"/>
          </w:tcPr>
          <w:p w14:paraId="63DF2E2E" w14:textId="77777777" w:rsidR="00E5624C" w:rsidRPr="00557A71" w:rsidRDefault="00E5624C" w:rsidP="00E5624C">
            <w:pPr>
              <w:spacing w:line="312" w:lineRule="atLeast"/>
              <w:jc w:val="center"/>
              <w:rPr>
                <w:rFonts w:cstheme="minorHAnsi"/>
                <w:sz w:val="20"/>
                <w:szCs w:val="20"/>
                <w:lang w:eastAsia="sl-SI"/>
              </w:rPr>
            </w:pPr>
          </w:p>
        </w:tc>
        <w:tc>
          <w:tcPr>
            <w:tcW w:w="0" w:type="auto"/>
            <w:vAlign w:val="center"/>
          </w:tcPr>
          <w:p w14:paraId="03FB95F9" w14:textId="77777777" w:rsidR="00E5624C" w:rsidRPr="00557A71" w:rsidRDefault="00E5624C" w:rsidP="00E5624C">
            <w:pPr>
              <w:spacing w:line="240" w:lineRule="atLeast"/>
              <w:rPr>
                <w:rFonts w:cstheme="minorHAnsi"/>
                <w:sz w:val="20"/>
                <w:szCs w:val="20"/>
                <w:lang w:eastAsia="sl-SI"/>
              </w:rPr>
            </w:pPr>
          </w:p>
        </w:tc>
      </w:tr>
      <w:tr w:rsidR="00E5624C" w:rsidRPr="00557A71" w14:paraId="47A3B772" w14:textId="77777777" w:rsidTr="007619BB">
        <w:trPr>
          <w:trHeight w:val="20"/>
        </w:trPr>
        <w:tc>
          <w:tcPr>
            <w:tcW w:w="2689" w:type="dxa"/>
            <w:vAlign w:val="center"/>
            <w:hideMark/>
          </w:tcPr>
          <w:p w14:paraId="702EA3D0" w14:textId="77777777" w:rsidR="00E5624C" w:rsidRPr="00557A71" w:rsidRDefault="00E5624C" w:rsidP="00E5624C">
            <w:pPr>
              <w:spacing w:line="312" w:lineRule="atLeast"/>
              <w:jc w:val="left"/>
              <w:rPr>
                <w:rFonts w:cstheme="minorHAnsi"/>
                <w:sz w:val="20"/>
                <w:szCs w:val="20"/>
                <w:lang w:eastAsia="sl-SI"/>
              </w:rPr>
            </w:pPr>
          </w:p>
          <w:p w14:paraId="5DC2B78D" w14:textId="2BFC0EA0" w:rsidR="00E5624C" w:rsidRPr="00557A71" w:rsidRDefault="00E5624C" w:rsidP="00E5624C">
            <w:pPr>
              <w:spacing w:line="312" w:lineRule="atLeast"/>
              <w:jc w:val="left"/>
              <w:rPr>
                <w:rFonts w:cstheme="minorHAnsi"/>
                <w:sz w:val="20"/>
                <w:szCs w:val="20"/>
                <w:lang w:eastAsia="sl-SI"/>
              </w:rPr>
            </w:pPr>
            <w:r w:rsidRPr="00557A71">
              <w:rPr>
                <w:rFonts w:cstheme="minorHAnsi"/>
                <w:sz w:val="20"/>
                <w:szCs w:val="20"/>
                <w:lang w:eastAsia="sl-SI"/>
              </w:rPr>
              <w:t xml:space="preserve">Preprečevanje in nadzorovanje onesnaževanja zraka, vode ali tal </w:t>
            </w:r>
          </w:p>
        </w:tc>
        <w:tc>
          <w:tcPr>
            <w:tcW w:w="648" w:type="dxa"/>
            <w:vAlign w:val="center"/>
            <w:hideMark/>
          </w:tcPr>
          <w:p w14:paraId="120892B0" w14:textId="77777777" w:rsidR="00E5624C" w:rsidRPr="00557A71" w:rsidRDefault="00E5624C" w:rsidP="00E5624C">
            <w:pPr>
              <w:spacing w:line="312" w:lineRule="atLeast"/>
              <w:jc w:val="center"/>
              <w:rPr>
                <w:rFonts w:cstheme="minorHAnsi"/>
                <w:sz w:val="20"/>
                <w:szCs w:val="20"/>
                <w:lang w:eastAsia="sl-SI"/>
              </w:rPr>
            </w:pPr>
            <w:r w:rsidRPr="00557A71">
              <w:rPr>
                <w:rFonts w:cstheme="minorHAnsi"/>
                <w:sz w:val="20"/>
                <w:szCs w:val="20"/>
                <w:lang w:eastAsia="sl-SI"/>
              </w:rPr>
              <w:t>X</w:t>
            </w:r>
          </w:p>
        </w:tc>
        <w:tc>
          <w:tcPr>
            <w:tcW w:w="0" w:type="auto"/>
            <w:vAlign w:val="center"/>
          </w:tcPr>
          <w:p w14:paraId="6DF02414" w14:textId="77777777" w:rsidR="00E5624C" w:rsidRPr="00557A71" w:rsidRDefault="00E5624C" w:rsidP="00E5624C">
            <w:pPr>
              <w:spacing w:line="312" w:lineRule="atLeast"/>
              <w:jc w:val="center"/>
              <w:rPr>
                <w:rFonts w:cstheme="minorHAnsi"/>
                <w:sz w:val="20"/>
                <w:szCs w:val="20"/>
                <w:lang w:eastAsia="sl-SI"/>
              </w:rPr>
            </w:pPr>
          </w:p>
        </w:tc>
        <w:tc>
          <w:tcPr>
            <w:tcW w:w="0" w:type="auto"/>
            <w:vAlign w:val="center"/>
          </w:tcPr>
          <w:p w14:paraId="30A511AC" w14:textId="77777777" w:rsidR="00E5624C" w:rsidRPr="00557A71" w:rsidRDefault="00E5624C" w:rsidP="00E5624C">
            <w:pPr>
              <w:spacing w:line="240" w:lineRule="atLeast"/>
              <w:rPr>
                <w:rFonts w:cstheme="minorHAnsi"/>
                <w:sz w:val="20"/>
                <w:szCs w:val="20"/>
                <w:lang w:eastAsia="sl-SI"/>
              </w:rPr>
            </w:pPr>
          </w:p>
        </w:tc>
      </w:tr>
      <w:tr w:rsidR="00E5624C" w:rsidRPr="00557A71" w14:paraId="3165A874" w14:textId="77777777" w:rsidTr="007619BB">
        <w:trPr>
          <w:trHeight w:val="20"/>
        </w:trPr>
        <w:tc>
          <w:tcPr>
            <w:tcW w:w="2689" w:type="dxa"/>
            <w:vAlign w:val="center"/>
            <w:hideMark/>
          </w:tcPr>
          <w:p w14:paraId="0BA341F9" w14:textId="7602A49B" w:rsidR="00E5624C" w:rsidRPr="00557A71" w:rsidRDefault="00E5624C" w:rsidP="00E5624C">
            <w:pPr>
              <w:spacing w:line="312" w:lineRule="atLeast"/>
              <w:jc w:val="left"/>
              <w:rPr>
                <w:rFonts w:cstheme="minorHAnsi"/>
                <w:sz w:val="20"/>
                <w:szCs w:val="20"/>
                <w:lang w:eastAsia="sl-SI"/>
              </w:rPr>
            </w:pPr>
            <w:r w:rsidRPr="00557A71">
              <w:rPr>
                <w:rFonts w:cstheme="minorHAnsi"/>
                <w:sz w:val="20"/>
                <w:szCs w:val="20"/>
                <w:lang w:eastAsia="sl-SI"/>
              </w:rPr>
              <w:t>Varstvo in ohranjanje biotske raznovrstnosti in ekosistemov</w:t>
            </w:r>
          </w:p>
        </w:tc>
        <w:tc>
          <w:tcPr>
            <w:tcW w:w="648" w:type="dxa"/>
            <w:vAlign w:val="center"/>
            <w:hideMark/>
          </w:tcPr>
          <w:p w14:paraId="11269B17" w14:textId="53B1E57D" w:rsidR="00E5624C" w:rsidRPr="00557A71" w:rsidRDefault="00E5624C" w:rsidP="00E5624C">
            <w:pPr>
              <w:spacing w:line="312" w:lineRule="atLeast"/>
              <w:rPr>
                <w:rFonts w:cstheme="minorHAnsi"/>
                <w:sz w:val="20"/>
                <w:szCs w:val="20"/>
                <w:lang w:eastAsia="sl-SI"/>
              </w:rPr>
            </w:pPr>
          </w:p>
        </w:tc>
        <w:tc>
          <w:tcPr>
            <w:tcW w:w="0" w:type="auto"/>
            <w:vAlign w:val="center"/>
            <w:hideMark/>
          </w:tcPr>
          <w:p w14:paraId="11188C96" w14:textId="3F80F3F2" w:rsidR="00E5624C" w:rsidRPr="00557A71" w:rsidRDefault="00E5624C" w:rsidP="00E5624C">
            <w:pPr>
              <w:jc w:val="center"/>
              <w:rPr>
                <w:rFonts w:cstheme="minorHAnsi"/>
                <w:sz w:val="20"/>
                <w:szCs w:val="20"/>
                <w:lang w:eastAsia="sl-SI"/>
              </w:rPr>
            </w:pPr>
            <w:r w:rsidRPr="00557A71">
              <w:rPr>
                <w:rFonts w:cstheme="minorHAnsi"/>
                <w:sz w:val="20"/>
                <w:szCs w:val="20"/>
                <w:lang w:eastAsia="sl-SI"/>
              </w:rPr>
              <w:t>X</w:t>
            </w:r>
          </w:p>
        </w:tc>
        <w:tc>
          <w:tcPr>
            <w:tcW w:w="0" w:type="auto"/>
            <w:vAlign w:val="center"/>
          </w:tcPr>
          <w:p w14:paraId="07F3657F" w14:textId="600FFE07" w:rsidR="000A401C" w:rsidRPr="00557A71" w:rsidRDefault="000A401C" w:rsidP="000A401C">
            <w:pPr>
              <w:spacing w:line="312" w:lineRule="atLeast"/>
              <w:rPr>
                <w:rFonts w:cstheme="minorHAnsi"/>
                <w:sz w:val="20"/>
                <w:szCs w:val="20"/>
                <w:lang w:eastAsia="sl-SI"/>
              </w:rPr>
            </w:pPr>
            <w:r w:rsidRPr="00557A71">
              <w:rPr>
                <w:rFonts w:cstheme="minorHAnsi"/>
                <w:sz w:val="20"/>
                <w:szCs w:val="20"/>
                <w:lang w:eastAsia="sl-SI"/>
              </w:rPr>
              <w:t xml:space="preserve">Ukrep, skladno z Delegirano uredbo Komisije (EU) 2021/2139, ne škoduje bistveno </w:t>
            </w:r>
            <w:proofErr w:type="spellStart"/>
            <w:r w:rsidRPr="00557A71">
              <w:rPr>
                <w:rFonts w:cstheme="minorHAnsi"/>
                <w:sz w:val="20"/>
                <w:szCs w:val="20"/>
                <w:lang w:eastAsia="sl-SI"/>
              </w:rPr>
              <w:t>okoljskemu</w:t>
            </w:r>
            <w:proofErr w:type="spellEnd"/>
            <w:r w:rsidRPr="00557A71">
              <w:rPr>
                <w:rFonts w:cstheme="minorHAnsi"/>
                <w:sz w:val="20"/>
                <w:szCs w:val="20"/>
                <w:lang w:eastAsia="sl-SI"/>
              </w:rPr>
              <w:t xml:space="preserve"> cilju ob upoštevanju določenih tehničnih meril.</w:t>
            </w:r>
          </w:p>
          <w:p w14:paraId="1F8972C2" w14:textId="2F89579E" w:rsidR="000A401C" w:rsidRPr="00557A71" w:rsidRDefault="000A401C" w:rsidP="000A401C">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40-odstotno prispeva k drugim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 področje ukrepanja 053 - Pametni energetski sistemi (vključno z inteligentnimi energetskimi omrežji in sistemi IKT) ter povezano shranjevanje.</w:t>
            </w:r>
          </w:p>
          <w:p w14:paraId="77044A19" w14:textId="77777777" w:rsidR="000A401C" w:rsidRPr="00557A71" w:rsidRDefault="000A401C" w:rsidP="000A401C">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7A9BA82D" w14:textId="77777777" w:rsidR="000A401C" w:rsidRPr="00557A71" w:rsidRDefault="000A401C" w:rsidP="000A401C">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izvedbi projekta/investicije bodo upoštevani omilitveni ukrepi in usmeritve za</w:t>
            </w:r>
            <w:r w:rsidRPr="00557A71">
              <w:rPr>
                <w:rFonts w:cstheme="minorHAnsi"/>
                <w:sz w:val="20"/>
                <w:szCs w:val="20"/>
              </w:rPr>
              <w:t xml:space="preserve"> </w:t>
            </w:r>
            <w:r w:rsidRPr="00557A71">
              <w:rPr>
                <w:rFonts w:cstheme="minorHAnsi"/>
                <w:sz w:val="20"/>
                <w:szCs w:val="20"/>
                <w:lang w:eastAsia="sl-SI"/>
              </w:rPr>
              <w:t>varstvo okolja iz Celovitega nacionalnega energetskega in podnebnega načrta Republike Slovenije (NEPN),</w:t>
            </w:r>
          </w:p>
          <w:p w14:paraId="408FB35E" w14:textId="0D2F660E" w:rsidR="000A401C" w:rsidRPr="00557A71" w:rsidRDefault="000A401C" w:rsidP="000A401C">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 xml:space="preserve">projekt/investicija se bo izvedla na lokacijah, ki so sprejemljive z vidika varstva okolja in tehničnih zmožnosti energetskega omrežja za energetsko </w:t>
            </w:r>
            <w:r w:rsidRPr="00557A71">
              <w:rPr>
                <w:rFonts w:cstheme="minorHAnsi"/>
                <w:sz w:val="20"/>
                <w:szCs w:val="20"/>
                <w:lang w:eastAsia="sl-SI"/>
              </w:rPr>
              <w:lastRenderedPageBreak/>
              <w:t>učinkovit prevzem in distribucijo energije končnim porabnikom.</w:t>
            </w:r>
          </w:p>
          <w:p w14:paraId="75D6180D" w14:textId="63E10213" w:rsidR="00E5624C" w:rsidRPr="00557A71" w:rsidRDefault="000A401C" w:rsidP="000A401C">
            <w:pPr>
              <w:spacing w:line="312" w:lineRule="atLeast"/>
              <w:rPr>
                <w:rFonts w:cstheme="minorHAnsi"/>
                <w:sz w:val="20"/>
                <w:szCs w:val="20"/>
                <w:lang w:eastAsia="sl-SI"/>
              </w:rPr>
            </w:pPr>
            <w:r w:rsidRPr="00557A71">
              <w:rPr>
                <w:rFonts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p>
        </w:tc>
      </w:tr>
    </w:tbl>
    <w:p w14:paraId="23FC3C30" w14:textId="77777777" w:rsidR="007619BB" w:rsidRPr="00557A71" w:rsidRDefault="007619BB" w:rsidP="007619BB">
      <w:pPr>
        <w:rPr>
          <w:rFonts w:cstheme="minorHAnsi"/>
          <w:i/>
          <w:sz w:val="20"/>
          <w:szCs w:val="20"/>
        </w:rPr>
      </w:pPr>
    </w:p>
    <w:p w14:paraId="1E9DD34F" w14:textId="77777777" w:rsidR="007619BB" w:rsidRPr="00557A71" w:rsidRDefault="007619BB" w:rsidP="007619BB">
      <w:pPr>
        <w:rPr>
          <w:rFonts w:cstheme="minorHAnsi"/>
          <w:i/>
          <w:sz w:val="20"/>
          <w:szCs w:val="20"/>
        </w:rPr>
      </w:pPr>
      <w:r w:rsidRPr="00557A71">
        <w:rPr>
          <w:rFonts w:cstheme="minorHAnsi"/>
          <w:i/>
          <w:sz w:val="20"/>
          <w:szCs w:val="20"/>
        </w:rPr>
        <w:t xml:space="preserve">V kolikor je v zgornji tabeli za katerega izmed </w:t>
      </w:r>
      <w:proofErr w:type="spellStart"/>
      <w:r w:rsidRPr="00557A71">
        <w:rPr>
          <w:rFonts w:cstheme="minorHAnsi"/>
          <w:i/>
          <w:sz w:val="20"/>
          <w:szCs w:val="20"/>
        </w:rPr>
        <w:t>okoljskih</w:t>
      </w:r>
      <w:proofErr w:type="spellEnd"/>
      <w:r w:rsidRPr="00557A71">
        <w:rPr>
          <w:rFonts w:cstheme="minorHAnsi"/>
          <w:i/>
          <w:sz w:val="20"/>
          <w:szCs w:val="20"/>
        </w:rPr>
        <w:t xml:space="preserve"> ciljev ocenjeno, da je potrebna vsebinska ocena skladnosti ukrep za načelom DNSH, nadaljujte z vsebinsko oceno skladnosti z načelom DSNH v naslednji tabeli.</w:t>
      </w:r>
    </w:p>
    <w:p w14:paraId="27FBF712" w14:textId="793EE5E9" w:rsidR="007619BB" w:rsidRPr="00557A71" w:rsidRDefault="007619BB" w:rsidP="007619BB">
      <w:pPr>
        <w:pStyle w:val="Glava"/>
        <w:tabs>
          <w:tab w:val="clear" w:pos="4536"/>
          <w:tab w:val="clear" w:pos="9072"/>
        </w:tabs>
        <w:spacing w:line="360" w:lineRule="auto"/>
        <w:rPr>
          <w:rFonts w:cstheme="minorHAnsi"/>
        </w:rPr>
      </w:pPr>
    </w:p>
    <w:p w14:paraId="1417126B" w14:textId="77777777" w:rsidR="007619BB" w:rsidRPr="00557A71" w:rsidRDefault="007619BB" w:rsidP="007619BB">
      <w:pPr>
        <w:pStyle w:val="Glava"/>
        <w:tabs>
          <w:tab w:val="clear" w:pos="4536"/>
          <w:tab w:val="clear" w:pos="9072"/>
        </w:tabs>
        <w:spacing w:line="360" w:lineRule="auto"/>
        <w:rPr>
          <w:rFonts w:cstheme="minorHAnsi"/>
          <w:b/>
          <w:sz w:val="20"/>
          <w:szCs w:val="20"/>
        </w:rPr>
      </w:pPr>
      <w:r w:rsidRPr="00557A71">
        <w:rPr>
          <w:rFonts w:cstheme="minorHAnsi"/>
          <w:b/>
          <w:sz w:val="20"/>
          <w:szCs w:val="20"/>
        </w:rPr>
        <w:t>Tabela 1.2: Vsebinska ocena</w:t>
      </w:r>
    </w:p>
    <w:tbl>
      <w:tblPr>
        <w:tblStyle w:val="Tabelamrea"/>
        <w:tblW w:w="5000" w:type="pct"/>
        <w:tblLook w:val="04A0" w:firstRow="1" w:lastRow="0" w:firstColumn="1" w:lastColumn="0" w:noHBand="0" w:noVBand="1"/>
      </w:tblPr>
      <w:tblGrid>
        <w:gridCol w:w="2973"/>
        <w:gridCol w:w="710"/>
        <w:gridCol w:w="5379"/>
      </w:tblGrid>
      <w:tr w:rsidR="007619BB" w:rsidRPr="00557A71" w14:paraId="58BDF611" w14:textId="77777777" w:rsidTr="00E14EFB">
        <w:trPr>
          <w:tblHeader/>
        </w:trPr>
        <w:tc>
          <w:tcPr>
            <w:tcW w:w="1640" w:type="pct"/>
            <w:shd w:val="clear" w:color="auto" w:fill="E2EFD9" w:themeFill="accent6" w:themeFillTint="33"/>
            <w:vAlign w:val="center"/>
            <w:hideMark/>
          </w:tcPr>
          <w:p w14:paraId="542A4D3D" w14:textId="77777777" w:rsidR="007619BB" w:rsidRPr="00557A71" w:rsidRDefault="007619BB" w:rsidP="00E14EFB">
            <w:pPr>
              <w:spacing w:before="60" w:after="60" w:line="240" w:lineRule="atLeast"/>
              <w:ind w:right="193"/>
              <w:jc w:val="center"/>
              <w:rPr>
                <w:rFonts w:cstheme="minorHAnsi"/>
                <w:bCs/>
                <w:i/>
                <w:sz w:val="20"/>
                <w:szCs w:val="20"/>
                <w:lang w:eastAsia="sl-SI"/>
              </w:rPr>
            </w:pPr>
            <w:r w:rsidRPr="00557A71">
              <w:rPr>
                <w:rFonts w:cstheme="minorHAnsi"/>
                <w:bCs/>
                <w:i/>
                <w:sz w:val="20"/>
                <w:szCs w:val="20"/>
                <w:lang w:eastAsia="sl-SI"/>
              </w:rPr>
              <w:t>Vprašanja</w:t>
            </w:r>
          </w:p>
        </w:tc>
        <w:tc>
          <w:tcPr>
            <w:tcW w:w="392" w:type="pct"/>
            <w:shd w:val="clear" w:color="auto" w:fill="E2EFD9" w:themeFill="accent6" w:themeFillTint="33"/>
            <w:vAlign w:val="center"/>
            <w:hideMark/>
          </w:tcPr>
          <w:p w14:paraId="75E20A1A" w14:textId="77777777" w:rsidR="007619BB" w:rsidRPr="00557A71" w:rsidRDefault="007619BB" w:rsidP="00E14EFB">
            <w:pPr>
              <w:spacing w:before="60" w:after="60" w:line="240" w:lineRule="atLeast"/>
              <w:ind w:right="193"/>
              <w:jc w:val="center"/>
              <w:rPr>
                <w:rFonts w:cstheme="minorHAnsi"/>
                <w:bCs/>
                <w:i/>
                <w:sz w:val="20"/>
                <w:szCs w:val="20"/>
                <w:lang w:eastAsia="sl-SI"/>
              </w:rPr>
            </w:pPr>
            <w:r w:rsidRPr="00557A71">
              <w:rPr>
                <w:rFonts w:cstheme="minorHAnsi"/>
                <w:bCs/>
                <w:i/>
                <w:sz w:val="20"/>
                <w:szCs w:val="20"/>
                <w:lang w:eastAsia="sl-SI"/>
              </w:rPr>
              <w:t>NE</w:t>
            </w:r>
          </w:p>
        </w:tc>
        <w:tc>
          <w:tcPr>
            <w:tcW w:w="2968" w:type="pct"/>
            <w:shd w:val="clear" w:color="auto" w:fill="E2EFD9" w:themeFill="accent6" w:themeFillTint="33"/>
            <w:vAlign w:val="center"/>
            <w:hideMark/>
          </w:tcPr>
          <w:p w14:paraId="7BAA8BB1" w14:textId="77777777" w:rsidR="007619BB" w:rsidRPr="00557A71" w:rsidRDefault="007619BB" w:rsidP="00E14EFB">
            <w:pPr>
              <w:spacing w:before="60" w:after="60" w:line="240" w:lineRule="atLeast"/>
              <w:ind w:right="193"/>
              <w:jc w:val="center"/>
              <w:rPr>
                <w:rFonts w:cstheme="minorHAnsi"/>
                <w:bCs/>
                <w:i/>
                <w:sz w:val="20"/>
                <w:szCs w:val="20"/>
                <w:lang w:eastAsia="sl-SI"/>
              </w:rPr>
            </w:pPr>
            <w:r w:rsidRPr="00557A71">
              <w:rPr>
                <w:rFonts w:cstheme="minorHAnsi"/>
                <w:bCs/>
                <w:i/>
                <w:sz w:val="20"/>
                <w:szCs w:val="20"/>
                <w:lang w:eastAsia="sl-SI"/>
              </w:rPr>
              <w:t>Vsebinska utemeljitev - kjer je relevantno, predložite informacije o razpoložljivi podporni dokumentaciji</w:t>
            </w:r>
          </w:p>
        </w:tc>
      </w:tr>
      <w:tr w:rsidR="007619BB" w:rsidRPr="00557A71" w14:paraId="4B58D520" w14:textId="77777777" w:rsidTr="000A401C">
        <w:tc>
          <w:tcPr>
            <w:tcW w:w="1640" w:type="pct"/>
            <w:vAlign w:val="center"/>
            <w:hideMark/>
          </w:tcPr>
          <w:p w14:paraId="0A95D241"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sz w:val="20"/>
                <w:szCs w:val="20"/>
                <w:lang w:eastAsia="sl-SI"/>
              </w:rPr>
              <w:t>Blažitev podnebnih sprememb:</w:t>
            </w:r>
          </w:p>
          <w:p w14:paraId="30AFC68E"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se pričakuje, da bo ukrep</w:t>
            </w:r>
          </w:p>
          <w:p w14:paraId="6260FF3D"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povzročil precejšnje emisije</w:t>
            </w:r>
          </w:p>
          <w:p w14:paraId="3E2CB634"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i/>
                <w:iCs/>
                <w:sz w:val="20"/>
                <w:szCs w:val="20"/>
                <w:lang w:eastAsia="sl-SI"/>
              </w:rPr>
              <w:t>toplogrednih plinov?</w:t>
            </w:r>
          </w:p>
        </w:tc>
        <w:tc>
          <w:tcPr>
            <w:tcW w:w="392" w:type="pct"/>
            <w:vAlign w:val="center"/>
          </w:tcPr>
          <w:p w14:paraId="5456CA12" w14:textId="77777777" w:rsidR="007619BB" w:rsidRPr="00557A71" w:rsidRDefault="007619BB" w:rsidP="00E14EFB">
            <w:pPr>
              <w:spacing w:before="120" w:line="312" w:lineRule="atLeast"/>
              <w:jc w:val="center"/>
              <w:rPr>
                <w:rFonts w:cstheme="minorHAnsi"/>
                <w:sz w:val="20"/>
                <w:szCs w:val="20"/>
                <w:lang w:eastAsia="sl-SI"/>
              </w:rPr>
            </w:pPr>
            <w:r w:rsidRPr="00557A71">
              <w:rPr>
                <w:rFonts w:cstheme="minorHAnsi"/>
                <w:sz w:val="20"/>
                <w:szCs w:val="20"/>
                <w:lang w:eastAsia="sl-SI"/>
              </w:rPr>
              <w:t>/</w:t>
            </w:r>
          </w:p>
        </w:tc>
        <w:tc>
          <w:tcPr>
            <w:tcW w:w="2968" w:type="pct"/>
            <w:vAlign w:val="center"/>
            <w:hideMark/>
          </w:tcPr>
          <w:p w14:paraId="209304EF" w14:textId="77777777" w:rsidR="007619BB" w:rsidRPr="00557A71" w:rsidRDefault="007619BB" w:rsidP="000A401C">
            <w:pPr>
              <w:spacing w:line="240" w:lineRule="atLeast"/>
              <w:jc w:val="left"/>
              <w:rPr>
                <w:rFonts w:cstheme="minorHAnsi"/>
                <w:sz w:val="20"/>
                <w:szCs w:val="20"/>
                <w:lang w:eastAsia="sl-SI"/>
              </w:rPr>
            </w:pPr>
          </w:p>
          <w:p w14:paraId="433109FC" w14:textId="77777777" w:rsidR="007619BB" w:rsidRPr="00557A71" w:rsidRDefault="007619BB" w:rsidP="000A401C">
            <w:pPr>
              <w:spacing w:line="240" w:lineRule="atLeast"/>
              <w:jc w:val="left"/>
              <w:rPr>
                <w:rFonts w:cstheme="minorHAnsi"/>
                <w:sz w:val="20"/>
                <w:szCs w:val="20"/>
                <w:lang w:eastAsia="sl-SI"/>
              </w:rPr>
            </w:pPr>
            <w:r w:rsidRPr="00557A71">
              <w:rPr>
                <w:rFonts w:cstheme="minorHAnsi"/>
                <w:sz w:val="20"/>
                <w:szCs w:val="20"/>
                <w:lang w:eastAsia="sl-SI"/>
              </w:rPr>
              <w:t xml:space="preserve">Podrobnejša vsebinska ocena skladnosti ukrepa s tem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ni potrebna.</w:t>
            </w:r>
          </w:p>
        </w:tc>
      </w:tr>
      <w:tr w:rsidR="007619BB" w:rsidRPr="00557A71" w14:paraId="3843945B" w14:textId="77777777" w:rsidTr="000A401C">
        <w:tc>
          <w:tcPr>
            <w:tcW w:w="1640" w:type="pct"/>
            <w:vAlign w:val="center"/>
            <w:hideMark/>
          </w:tcPr>
          <w:p w14:paraId="29F4F887"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sz w:val="20"/>
                <w:szCs w:val="20"/>
                <w:lang w:eastAsia="sl-SI"/>
              </w:rPr>
              <w:t>Prilagajanje podnebnim spremembam:</w:t>
            </w:r>
          </w:p>
          <w:p w14:paraId="35EF2CF5"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se pričakuje, da bo ukrep</w:t>
            </w:r>
          </w:p>
          <w:p w14:paraId="339C8BA5"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povečal negativen vpliv trenutnega podnebja in</w:t>
            </w:r>
          </w:p>
          <w:p w14:paraId="17A60E36"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pričakovanega prihodnjega</w:t>
            </w:r>
          </w:p>
          <w:p w14:paraId="587BFC37"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podnebja na ukrep sam ali na</w:t>
            </w:r>
          </w:p>
          <w:p w14:paraId="2787B894"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i/>
                <w:iCs/>
                <w:sz w:val="20"/>
                <w:szCs w:val="20"/>
                <w:lang w:eastAsia="sl-SI"/>
              </w:rPr>
              <w:t>ljudi, naravo ali sredstva?</w:t>
            </w:r>
          </w:p>
        </w:tc>
        <w:tc>
          <w:tcPr>
            <w:tcW w:w="392" w:type="pct"/>
            <w:vAlign w:val="center"/>
          </w:tcPr>
          <w:p w14:paraId="1CC0BD24" w14:textId="77777777" w:rsidR="007619BB" w:rsidRPr="00557A71" w:rsidRDefault="007619BB" w:rsidP="00E14EFB">
            <w:pPr>
              <w:spacing w:before="120" w:line="312" w:lineRule="atLeast"/>
              <w:jc w:val="center"/>
              <w:rPr>
                <w:rFonts w:cstheme="minorHAnsi"/>
                <w:sz w:val="20"/>
                <w:szCs w:val="20"/>
                <w:lang w:eastAsia="sl-SI"/>
              </w:rPr>
            </w:pPr>
            <w:r w:rsidRPr="00557A71">
              <w:rPr>
                <w:rFonts w:cstheme="minorHAnsi"/>
                <w:sz w:val="20"/>
                <w:szCs w:val="20"/>
                <w:lang w:eastAsia="sl-SI"/>
              </w:rPr>
              <w:t>/</w:t>
            </w:r>
          </w:p>
        </w:tc>
        <w:tc>
          <w:tcPr>
            <w:tcW w:w="2968" w:type="pct"/>
            <w:vAlign w:val="center"/>
          </w:tcPr>
          <w:p w14:paraId="2924CA79" w14:textId="77777777" w:rsidR="007619BB" w:rsidRPr="00557A71" w:rsidRDefault="007619BB" w:rsidP="000A401C">
            <w:pPr>
              <w:spacing w:line="240" w:lineRule="atLeast"/>
              <w:jc w:val="left"/>
              <w:rPr>
                <w:rFonts w:cstheme="minorHAnsi"/>
                <w:sz w:val="20"/>
                <w:szCs w:val="20"/>
                <w:lang w:eastAsia="sl-SI"/>
              </w:rPr>
            </w:pPr>
          </w:p>
          <w:p w14:paraId="037846DF" w14:textId="77777777" w:rsidR="007619BB" w:rsidRPr="00557A71" w:rsidRDefault="007619BB" w:rsidP="000A401C">
            <w:pPr>
              <w:spacing w:line="240" w:lineRule="atLeast"/>
              <w:jc w:val="left"/>
              <w:rPr>
                <w:rFonts w:cstheme="minorHAnsi"/>
                <w:sz w:val="20"/>
                <w:szCs w:val="20"/>
                <w:lang w:eastAsia="sl-SI"/>
              </w:rPr>
            </w:pPr>
            <w:r w:rsidRPr="00557A71">
              <w:rPr>
                <w:rFonts w:cstheme="minorHAnsi"/>
                <w:sz w:val="20"/>
                <w:szCs w:val="20"/>
                <w:lang w:eastAsia="sl-SI"/>
              </w:rPr>
              <w:t xml:space="preserve">Podrobnejša vsebinska ocena skladnosti ukrepa s tem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ni potrebna.</w:t>
            </w:r>
          </w:p>
        </w:tc>
      </w:tr>
      <w:tr w:rsidR="007619BB" w:rsidRPr="00557A71" w14:paraId="28C63911" w14:textId="77777777" w:rsidTr="000A401C">
        <w:tc>
          <w:tcPr>
            <w:tcW w:w="1640" w:type="pct"/>
            <w:vAlign w:val="center"/>
            <w:hideMark/>
          </w:tcPr>
          <w:p w14:paraId="139F3B81"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sz w:val="20"/>
                <w:szCs w:val="20"/>
                <w:lang w:eastAsia="sl-SI"/>
              </w:rPr>
              <w:t>Trajnostna raba ter varstvo vodnih in morskih virov:</w:t>
            </w:r>
          </w:p>
          <w:p w14:paraId="5EBA9289"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se pričakuje, da bo ukrep</w:t>
            </w:r>
          </w:p>
          <w:p w14:paraId="36948755"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škodil:</w:t>
            </w:r>
          </w:p>
          <w:p w14:paraId="7B18A17D"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(i) dobremu stanju ali dobremu</w:t>
            </w:r>
          </w:p>
          <w:p w14:paraId="7AF841E6"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ekološkemu potencialu vodnih</w:t>
            </w:r>
          </w:p>
          <w:p w14:paraId="210520BF"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teles, vključno s površinsko</w:t>
            </w:r>
          </w:p>
          <w:p w14:paraId="5CC61388"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vodo in podtalnico; ali</w:t>
            </w:r>
          </w:p>
          <w:p w14:paraId="35E82192"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 xml:space="preserve">(ii) dobremu </w:t>
            </w:r>
            <w:proofErr w:type="spellStart"/>
            <w:r w:rsidRPr="00557A71">
              <w:rPr>
                <w:rFonts w:cstheme="minorHAnsi"/>
                <w:i/>
                <w:iCs/>
                <w:sz w:val="20"/>
                <w:szCs w:val="20"/>
                <w:lang w:eastAsia="sl-SI"/>
              </w:rPr>
              <w:t>okoljskemu</w:t>
            </w:r>
            <w:proofErr w:type="spellEnd"/>
            <w:r w:rsidRPr="00557A71">
              <w:rPr>
                <w:rFonts w:cstheme="minorHAnsi"/>
                <w:i/>
                <w:iCs/>
                <w:sz w:val="20"/>
                <w:szCs w:val="20"/>
                <w:lang w:eastAsia="sl-SI"/>
              </w:rPr>
              <w:t xml:space="preserve"> stanju</w:t>
            </w:r>
          </w:p>
          <w:p w14:paraId="255CBDB9"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i/>
                <w:iCs/>
                <w:sz w:val="20"/>
                <w:szCs w:val="20"/>
                <w:lang w:eastAsia="sl-SI"/>
              </w:rPr>
              <w:t>morskih voda?</w:t>
            </w:r>
          </w:p>
        </w:tc>
        <w:tc>
          <w:tcPr>
            <w:tcW w:w="392" w:type="pct"/>
            <w:vAlign w:val="center"/>
          </w:tcPr>
          <w:p w14:paraId="71E73A52" w14:textId="14DFFB1D" w:rsidR="007619BB" w:rsidRPr="00557A71" w:rsidRDefault="00E5624C" w:rsidP="00E14EFB">
            <w:pPr>
              <w:spacing w:before="120" w:line="312" w:lineRule="atLeast"/>
              <w:jc w:val="center"/>
              <w:rPr>
                <w:rFonts w:cstheme="minorHAnsi"/>
                <w:sz w:val="20"/>
                <w:szCs w:val="20"/>
                <w:lang w:eastAsia="sl-SI"/>
              </w:rPr>
            </w:pPr>
            <w:r w:rsidRPr="00557A71">
              <w:rPr>
                <w:rFonts w:cstheme="minorHAnsi"/>
                <w:sz w:val="20"/>
                <w:szCs w:val="20"/>
                <w:lang w:eastAsia="sl-SI"/>
              </w:rPr>
              <w:t>/</w:t>
            </w:r>
          </w:p>
        </w:tc>
        <w:tc>
          <w:tcPr>
            <w:tcW w:w="2968" w:type="pct"/>
            <w:vAlign w:val="center"/>
          </w:tcPr>
          <w:p w14:paraId="7A22EC0A" w14:textId="1AB32F62" w:rsidR="007619BB" w:rsidRPr="00557A71" w:rsidRDefault="00E5624C" w:rsidP="000A401C">
            <w:pPr>
              <w:spacing w:line="240" w:lineRule="atLeast"/>
              <w:jc w:val="left"/>
              <w:rPr>
                <w:rFonts w:cstheme="minorHAnsi"/>
                <w:sz w:val="20"/>
                <w:szCs w:val="20"/>
                <w:lang w:eastAsia="sl-SI"/>
              </w:rPr>
            </w:pPr>
            <w:r w:rsidRPr="00557A71">
              <w:rPr>
                <w:rFonts w:cstheme="minorHAnsi"/>
                <w:sz w:val="20"/>
                <w:szCs w:val="20"/>
                <w:lang w:eastAsia="sl-SI"/>
              </w:rPr>
              <w:t xml:space="preserve">Podrobnejša vsebinska ocena skladnosti ukrepa s tem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ni potrebna.</w:t>
            </w:r>
          </w:p>
        </w:tc>
      </w:tr>
      <w:tr w:rsidR="007619BB" w:rsidRPr="00557A71" w14:paraId="485840F3" w14:textId="77777777" w:rsidTr="00E14EFB">
        <w:tc>
          <w:tcPr>
            <w:tcW w:w="1640" w:type="pct"/>
            <w:vAlign w:val="center"/>
            <w:hideMark/>
          </w:tcPr>
          <w:p w14:paraId="5787F759"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sz w:val="20"/>
                <w:szCs w:val="20"/>
                <w:lang w:eastAsia="sl-SI"/>
              </w:rPr>
              <w:t>Krožno gospodarstvo, vključno s preprečevanjem odpadkov in recikliranjem:</w:t>
            </w:r>
          </w:p>
          <w:p w14:paraId="1628F7B0"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se pričakuje, da bo ukrep:</w:t>
            </w:r>
          </w:p>
          <w:p w14:paraId="3CB2D30F"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lastRenderedPageBreak/>
              <w:t>(i) povzročil znatno povečanje</w:t>
            </w:r>
          </w:p>
          <w:p w14:paraId="3357C22A"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nastajanja, sežiganja ali</w:t>
            </w:r>
          </w:p>
          <w:p w14:paraId="48C08552"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odlaganja odpadkov, razen</w:t>
            </w:r>
          </w:p>
          <w:p w14:paraId="1CC7803F"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sežiganja nevarnih odpadkov, ki</w:t>
            </w:r>
          </w:p>
          <w:p w14:paraId="2C8FA21E"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jih ni mogoče reciklirati, ali</w:t>
            </w:r>
          </w:p>
          <w:p w14:paraId="1D4B1957"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(ii) povzročil bistvene</w:t>
            </w:r>
          </w:p>
          <w:p w14:paraId="6517DA2C"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neučinkovitosti pri neposredni</w:t>
            </w:r>
          </w:p>
          <w:p w14:paraId="5F19B355"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posredni rabi naravnih virov v</w:t>
            </w:r>
          </w:p>
          <w:p w14:paraId="7801AC8D"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kateri koli fazi njihovega</w:t>
            </w:r>
          </w:p>
          <w:p w14:paraId="734593E8"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življenjskega cikla, ki jih ne</w:t>
            </w:r>
          </w:p>
          <w:p w14:paraId="4F4820B1"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zmanjšujejo ustrezni ukrepi, ali</w:t>
            </w:r>
          </w:p>
          <w:p w14:paraId="1D1B186B"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(iii) bistveno in dolgoročno</w:t>
            </w:r>
          </w:p>
          <w:p w14:paraId="33848CD9"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škodoval okolju z vidika</w:t>
            </w:r>
          </w:p>
          <w:p w14:paraId="7F1C41B6"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i/>
                <w:iCs/>
                <w:sz w:val="20"/>
                <w:szCs w:val="20"/>
                <w:lang w:eastAsia="sl-SI"/>
              </w:rPr>
              <w:t>krožnega gospodarstva?</w:t>
            </w:r>
          </w:p>
        </w:tc>
        <w:tc>
          <w:tcPr>
            <w:tcW w:w="392" w:type="pct"/>
            <w:vAlign w:val="center"/>
          </w:tcPr>
          <w:p w14:paraId="7A11DDFF" w14:textId="77777777" w:rsidR="007619BB" w:rsidRPr="00557A71" w:rsidRDefault="007619BB" w:rsidP="00E14EFB">
            <w:pPr>
              <w:spacing w:before="120" w:line="312" w:lineRule="atLeast"/>
              <w:jc w:val="center"/>
              <w:rPr>
                <w:rFonts w:cstheme="minorHAnsi"/>
                <w:sz w:val="20"/>
                <w:szCs w:val="20"/>
                <w:lang w:eastAsia="sl-SI"/>
              </w:rPr>
            </w:pPr>
            <w:r w:rsidRPr="00557A71">
              <w:rPr>
                <w:rFonts w:cstheme="minorHAnsi"/>
                <w:sz w:val="20"/>
                <w:szCs w:val="20"/>
                <w:lang w:eastAsia="sl-SI"/>
              </w:rPr>
              <w:lastRenderedPageBreak/>
              <w:t>X</w:t>
            </w:r>
          </w:p>
        </w:tc>
        <w:tc>
          <w:tcPr>
            <w:tcW w:w="2968" w:type="pct"/>
            <w:vAlign w:val="center"/>
          </w:tcPr>
          <w:p w14:paraId="1A7E7BA5"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 xml:space="preserve">Ukrep, skladno z Delegirano uredbo Komisije (EU) 2021/2139, ne škoduje bistveno </w:t>
            </w:r>
            <w:proofErr w:type="spellStart"/>
            <w:r w:rsidRPr="00557A71">
              <w:rPr>
                <w:rFonts w:cstheme="minorHAnsi"/>
                <w:sz w:val="20"/>
                <w:szCs w:val="20"/>
                <w:lang w:eastAsia="sl-SI"/>
              </w:rPr>
              <w:t>okoljskemu</w:t>
            </w:r>
            <w:proofErr w:type="spellEnd"/>
            <w:r w:rsidRPr="00557A71">
              <w:rPr>
                <w:rFonts w:cstheme="minorHAnsi"/>
                <w:sz w:val="20"/>
                <w:szCs w:val="20"/>
                <w:lang w:eastAsia="sl-SI"/>
              </w:rPr>
              <w:t xml:space="preserve"> cilju ob upoštevanju določenih tehničnih meril:</w:t>
            </w:r>
          </w:p>
          <w:p w14:paraId="163F215C" w14:textId="77777777" w:rsidR="00E5624C" w:rsidRPr="00557A71" w:rsidRDefault="00E5624C" w:rsidP="00E5624C">
            <w:pPr>
              <w:pStyle w:val="Odstavekseznama"/>
              <w:numPr>
                <w:ilvl w:val="0"/>
                <w:numId w:val="2"/>
              </w:numPr>
              <w:spacing w:line="312" w:lineRule="atLeast"/>
              <w:rPr>
                <w:rFonts w:cstheme="minorHAnsi"/>
                <w:sz w:val="20"/>
                <w:szCs w:val="20"/>
                <w:lang w:eastAsia="sl-SI"/>
              </w:rPr>
            </w:pPr>
            <w:r w:rsidRPr="00557A71">
              <w:rPr>
                <w:rFonts w:cstheme="minorHAnsi"/>
                <w:sz w:val="20"/>
                <w:szCs w:val="20"/>
                <w:lang w:eastAsia="sl-SI"/>
              </w:rPr>
              <w:lastRenderedPageBreak/>
              <w:t>Vzpostavljen je načrt ravnanja z odpadki, ki zagotavlja čim večjo ponovno uporabo ali recikliranje po koncu življenjske dobe v skladu s hierarhijo ravnanja z odpadki, tudi na podlagi pogodbenih dogovorov s partnerji na področju ravnanja z odpadki, razmisleka o finančnih projekcijah ali uradne projektne dokumentacije.</w:t>
            </w:r>
          </w:p>
          <w:p w14:paraId="7C8D5DAC" w14:textId="67D90118" w:rsidR="007619BB" w:rsidRPr="00557A71" w:rsidRDefault="007619BB" w:rsidP="00E5624C">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40-odstotno prispeva k drugim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 področje ukrepanja </w:t>
            </w:r>
            <w:r w:rsidR="00E5624C" w:rsidRPr="00557A71">
              <w:rPr>
                <w:rFonts w:cstheme="minorHAnsi"/>
                <w:sz w:val="20"/>
                <w:szCs w:val="20"/>
                <w:lang w:eastAsia="sl-SI"/>
              </w:rPr>
              <w:t>053 - Pametni energetski sistemi (vključno z inteligentnimi energetskimi omrežji in sistemi IKT) ter povezano shranjevanje</w:t>
            </w:r>
            <w:r w:rsidRPr="00557A71">
              <w:rPr>
                <w:rFonts w:cstheme="minorHAnsi"/>
                <w:sz w:val="20"/>
                <w:szCs w:val="20"/>
                <w:lang w:eastAsia="sl-SI"/>
              </w:rPr>
              <w:t>.</w:t>
            </w:r>
          </w:p>
          <w:p w14:paraId="564F9156"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45876D61"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777BF39B"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693D8B8D"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izvedbi projekta/investicije bodo upoštevani omilitveni ukrepi in usmeritve za</w:t>
            </w:r>
            <w:r w:rsidRPr="00557A71">
              <w:rPr>
                <w:rFonts w:cstheme="minorHAnsi"/>
                <w:sz w:val="20"/>
                <w:szCs w:val="20"/>
              </w:rPr>
              <w:t xml:space="preserve"> </w:t>
            </w:r>
            <w:r w:rsidRPr="00557A71">
              <w:rPr>
                <w:rFonts w:cstheme="minorHAnsi"/>
                <w:sz w:val="20"/>
                <w:szCs w:val="20"/>
                <w:lang w:eastAsia="sl-SI"/>
              </w:rPr>
              <w:t xml:space="preserve">varstvo okolja iz Celovitega nacionalnega energetskega in podnebnega načrta Republike Slovenije (NEPN). </w:t>
            </w:r>
          </w:p>
          <w:p w14:paraId="791F7F01"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7619BB" w:rsidRPr="00557A71" w14:paraId="2BE359DD" w14:textId="77777777" w:rsidTr="00E14EFB">
        <w:tc>
          <w:tcPr>
            <w:tcW w:w="1640" w:type="pct"/>
            <w:vAlign w:val="center"/>
            <w:hideMark/>
          </w:tcPr>
          <w:p w14:paraId="7CC08037"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sz w:val="20"/>
                <w:szCs w:val="20"/>
                <w:lang w:eastAsia="sl-SI"/>
              </w:rPr>
              <w:lastRenderedPageBreak/>
              <w:t>Preprečevanje in nadzorovanje onesnaževanja zraka, vode ali tal:</w:t>
            </w:r>
          </w:p>
          <w:p w14:paraId="0003CB4D"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Ali se pričakuje, da bo ukrep</w:t>
            </w:r>
          </w:p>
          <w:p w14:paraId="2C9AEC44"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znatno povečal emisije,</w:t>
            </w:r>
          </w:p>
          <w:p w14:paraId="4E66B562" w14:textId="77777777" w:rsidR="007619BB" w:rsidRPr="00557A71" w:rsidRDefault="007619BB" w:rsidP="00E14EFB">
            <w:pPr>
              <w:spacing w:before="60" w:after="60" w:line="240" w:lineRule="atLeast"/>
              <w:rPr>
                <w:rFonts w:cstheme="minorHAnsi"/>
                <w:i/>
                <w:iCs/>
                <w:sz w:val="20"/>
                <w:szCs w:val="20"/>
                <w:lang w:eastAsia="sl-SI"/>
              </w:rPr>
            </w:pPr>
            <w:r w:rsidRPr="00557A71">
              <w:rPr>
                <w:rFonts w:cstheme="minorHAnsi"/>
                <w:i/>
                <w:iCs/>
                <w:sz w:val="20"/>
                <w:szCs w:val="20"/>
                <w:lang w:eastAsia="sl-SI"/>
              </w:rPr>
              <w:t>onesnaževal v zrak, vodo ali</w:t>
            </w:r>
          </w:p>
          <w:p w14:paraId="55495F9B" w14:textId="77777777" w:rsidR="007619BB" w:rsidRPr="00557A71" w:rsidRDefault="007619BB" w:rsidP="00E14EFB">
            <w:pPr>
              <w:spacing w:before="60" w:after="60" w:line="240" w:lineRule="atLeast"/>
              <w:rPr>
                <w:rFonts w:cstheme="minorHAnsi"/>
                <w:sz w:val="20"/>
                <w:szCs w:val="20"/>
                <w:lang w:eastAsia="sl-SI"/>
              </w:rPr>
            </w:pPr>
            <w:r w:rsidRPr="00557A71">
              <w:rPr>
                <w:rFonts w:cstheme="minorHAnsi"/>
                <w:i/>
                <w:iCs/>
                <w:sz w:val="20"/>
                <w:szCs w:val="20"/>
                <w:lang w:eastAsia="sl-SI"/>
              </w:rPr>
              <w:t>tla?</w:t>
            </w:r>
          </w:p>
        </w:tc>
        <w:tc>
          <w:tcPr>
            <w:tcW w:w="392" w:type="pct"/>
            <w:vAlign w:val="center"/>
          </w:tcPr>
          <w:p w14:paraId="7AE5AE26" w14:textId="77777777" w:rsidR="007619BB" w:rsidRPr="00557A71" w:rsidRDefault="007619BB" w:rsidP="00E14EFB">
            <w:pPr>
              <w:spacing w:before="120" w:line="312" w:lineRule="atLeast"/>
              <w:jc w:val="center"/>
              <w:rPr>
                <w:rFonts w:cstheme="minorHAnsi"/>
                <w:sz w:val="20"/>
                <w:szCs w:val="20"/>
                <w:lang w:eastAsia="sl-SI"/>
              </w:rPr>
            </w:pPr>
            <w:r w:rsidRPr="00557A71">
              <w:rPr>
                <w:rFonts w:cstheme="minorHAnsi"/>
                <w:sz w:val="20"/>
                <w:szCs w:val="20"/>
                <w:lang w:eastAsia="sl-SI"/>
              </w:rPr>
              <w:t>X</w:t>
            </w:r>
          </w:p>
        </w:tc>
        <w:tc>
          <w:tcPr>
            <w:tcW w:w="2968" w:type="pct"/>
          </w:tcPr>
          <w:p w14:paraId="21FBAA84" w14:textId="77777777" w:rsidR="00E5624C" w:rsidRPr="00557A71" w:rsidRDefault="007619BB" w:rsidP="00E5624C">
            <w:pPr>
              <w:spacing w:line="312" w:lineRule="atLeast"/>
              <w:rPr>
                <w:rFonts w:cstheme="minorHAnsi"/>
                <w:sz w:val="20"/>
                <w:szCs w:val="20"/>
                <w:lang w:eastAsia="sl-SI"/>
              </w:rPr>
            </w:pPr>
            <w:r w:rsidRPr="00557A71">
              <w:rPr>
                <w:rFonts w:cstheme="minorHAnsi"/>
                <w:sz w:val="20"/>
                <w:szCs w:val="20"/>
                <w:lang w:eastAsia="sl-SI"/>
              </w:rPr>
              <w:t>Ukrep, skladno z Delegirano uredbo Komisije (EU) 2021/2139, ne šk</w:t>
            </w:r>
            <w:r w:rsidR="00E5624C" w:rsidRPr="00557A71">
              <w:rPr>
                <w:rFonts w:cstheme="minorHAnsi"/>
                <w:sz w:val="20"/>
                <w:szCs w:val="20"/>
                <w:lang w:eastAsia="sl-SI"/>
              </w:rPr>
              <w:t xml:space="preserve">oduje bistveno </w:t>
            </w:r>
            <w:proofErr w:type="spellStart"/>
            <w:r w:rsidR="00E5624C" w:rsidRPr="00557A71">
              <w:rPr>
                <w:rFonts w:cstheme="minorHAnsi"/>
                <w:sz w:val="20"/>
                <w:szCs w:val="20"/>
                <w:lang w:eastAsia="sl-SI"/>
              </w:rPr>
              <w:t>okoljskemu</w:t>
            </w:r>
            <w:proofErr w:type="spellEnd"/>
            <w:r w:rsidR="00E5624C" w:rsidRPr="00557A71">
              <w:rPr>
                <w:rFonts w:cstheme="minorHAnsi"/>
                <w:sz w:val="20"/>
                <w:szCs w:val="20"/>
                <w:lang w:eastAsia="sl-SI"/>
              </w:rPr>
              <w:t xml:space="preserve"> cilju ob upoštevanju določenih tehničnih meril:</w:t>
            </w:r>
          </w:p>
          <w:p w14:paraId="128AF7BD" w14:textId="77777777" w:rsidR="00E5624C" w:rsidRPr="00557A71" w:rsidRDefault="00E5624C" w:rsidP="000A401C">
            <w:pPr>
              <w:pStyle w:val="Odstavekseznama"/>
              <w:numPr>
                <w:ilvl w:val="0"/>
                <w:numId w:val="8"/>
              </w:numPr>
              <w:spacing w:line="312" w:lineRule="atLeast"/>
              <w:rPr>
                <w:rFonts w:cstheme="minorHAnsi"/>
                <w:sz w:val="20"/>
                <w:szCs w:val="20"/>
                <w:lang w:eastAsia="sl-SI"/>
              </w:rPr>
            </w:pPr>
            <w:r w:rsidRPr="00557A71">
              <w:rPr>
                <w:rFonts w:cstheme="minorHAnsi"/>
                <w:sz w:val="20"/>
                <w:szCs w:val="20"/>
                <w:lang w:eastAsia="sl-SI"/>
              </w:rPr>
              <w:t>Nadzemni visokonapetostni vodi:</w:t>
            </w:r>
          </w:p>
          <w:p w14:paraId="7F90B62D" w14:textId="72FE7008" w:rsidR="00E5624C" w:rsidRPr="00557A71" w:rsidRDefault="000A401C" w:rsidP="000A401C">
            <w:pPr>
              <w:spacing w:line="312" w:lineRule="atLeast"/>
              <w:ind w:left="360"/>
              <w:rPr>
                <w:rFonts w:cstheme="minorHAnsi"/>
                <w:sz w:val="20"/>
                <w:szCs w:val="20"/>
                <w:lang w:eastAsia="sl-SI"/>
              </w:rPr>
            </w:pPr>
            <w:r w:rsidRPr="00557A71">
              <w:rPr>
                <w:rFonts w:cstheme="minorHAnsi"/>
                <w:sz w:val="20"/>
                <w:szCs w:val="20"/>
                <w:lang w:eastAsia="sl-SI"/>
              </w:rPr>
              <w:t xml:space="preserve">a) </w:t>
            </w:r>
            <w:r w:rsidR="00E5624C" w:rsidRPr="00557A71">
              <w:rPr>
                <w:rFonts w:cstheme="minorHAnsi"/>
                <w:sz w:val="20"/>
                <w:szCs w:val="20"/>
                <w:lang w:eastAsia="sl-SI"/>
              </w:rPr>
              <w:t xml:space="preserve">za dejavnosti na gradbišču se upoštevajo načela iz Splošnih </w:t>
            </w:r>
            <w:proofErr w:type="spellStart"/>
            <w:r w:rsidR="00E5624C" w:rsidRPr="00557A71">
              <w:rPr>
                <w:rFonts w:cstheme="minorHAnsi"/>
                <w:sz w:val="20"/>
                <w:szCs w:val="20"/>
                <w:lang w:eastAsia="sl-SI"/>
              </w:rPr>
              <w:t>okoljskih</w:t>
            </w:r>
            <w:proofErr w:type="spellEnd"/>
            <w:r w:rsidR="00E5624C" w:rsidRPr="00557A71">
              <w:rPr>
                <w:rFonts w:cstheme="minorHAnsi"/>
                <w:sz w:val="20"/>
                <w:szCs w:val="20"/>
                <w:lang w:eastAsia="sl-SI"/>
              </w:rPr>
              <w:t>, zdravstvenih in varnostnih smernic M</w:t>
            </w:r>
            <w:r w:rsidRPr="00557A71">
              <w:rPr>
                <w:rFonts w:cstheme="minorHAnsi"/>
                <w:sz w:val="20"/>
                <w:szCs w:val="20"/>
                <w:lang w:eastAsia="sl-SI"/>
              </w:rPr>
              <w:t>ednarodne finančne korporacije</w:t>
            </w:r>
            <w:r w:rsidRPr="00557A71">
              <w:rPr>
                <w:rStyle w:val="Sprotnaopomba-sklic"/>
                <w:rFonts w:cstheme="minorHAnsi"/>
                <w:sz w:val="20"/>
                <w:szCs w:val="20"/>
                <w:lang w:eastAsia="sl-SI"/>
              </w:rPr>
              <w:footnoteReference w:id="6"/>
            </w:r>
            <w:r w:rsidR="00E5624C" w:rsidRPr="00557A71">
              <w:rPr>
                <w:rFonts w:cstheme="minorHAnsi"/>
                <w:sz w:val="20"/>
                <w:szCs w:val="20"/>
                <w:lang w:eastAsia="sl-SI"/>
              </w:rPr>
              <w:t>.</w:t>
            </w:r>
          </w:p>
          <w:p w14:paraId="2A33CB50" w14:textId="45490153" w:rsidR="00E5624C" w:rsidRPr="00557A71" w:rsidRDefault="000A401C" w:rsidP="000A401C">
            <w:pPr>
              <w:spacing w:line="312" w:lineRule="atLeast"/>
              <w:ind w:left="360"/>
              <w:rPr>
                <w:rFonts w:cstheme="minorHAnsi"/>
                <w:sz w:val="20"/>
                <w:szCs w:val="20"/>
                <w:lang w:eastAsia="sl-SI"/>
              </w:rPr>
            </w:pPr>
            <w:r w:rsidRPr="00557A71">
              <w:rPr>
                <w:rFonts w:cstheme="minorHAnsi"/>
                <w:sz w:val="20"/>
                <w:szCs w:val="20"/>
                <w:lang w:eastAsia="sl-SI"/>
              </w:rPr>
              <w:t xml:space="preserve">b) </w:t>
            </w:r>
            <w:r w:rsidR="00E5624C" w:rsidRPr="00557A71">
              <w:rPr>
                <w:rFonts w:cstheme="minorHAnsi"/>
                <w:sz w:val="20"/>
                <w:szCs w:val="20"/>
                <w:lang w:eastAsia="sl-SI"/>
              </w:rPr>
              <w:t>pri dejavnostih se upoštevajo veljavni standardi in predpisi za omejitev vpliva elektromagnetnega sevanja na zdravje ljudi, kar vključuje dejavnosti, ki se izvajajo v Uniji, pri katerih se upošteva priporočilo Sveta o omejevanju izpostavljanja javnosti elektromagnet</w:t>
            </w:r>
            <w:r w:rsidRPr="00557A71">
              <w:rPr>
                <w:rFonts w:cstheme="minorHAnsi"/>
                <w:sz w:val="20"/>
                <w:szCs w:val="20"/>
                <w:lang w:eastAsia="sl-SI"/>
              </w:rPr>
              <w:t>nim poljem (od 0 Hz do 300 GHz)</w:t>
            </w:r>
            <w:r w:rsidRPr="00557A71">
              <w:rPr>
                <w:rStyle w:val="Sprotnaopomba-sklic"/>
                <w:rFonts w:cstheme="minorHAnsi"/>
                <w:sz w:val="20"/>
                <w:szCs w:val="20"/>
                <w:lang w:eastAsia="sl-SI"/>
              </w:rPr>
              <w:footnoteReference w:id="7"/>
            </w:r>
            <w:r w:rsidR="00E5624C" w:rsidRPr="00557A71">
              <w:rPr>
                <w:rFonts w:cstheme="minorHAnsi"/>
                <w:sz w:val="20"/>
                <w:szCs w:val="20"/>
                <w:lang w:eastAsia="sl-SI"/>
              </w:rPr>
              <w:t>, in dejavnosti, ki se izvajajo v tretjih državah, pri katerih se upoštevajo smernice Mednarodne komisije za varstvo pred neionizirajočimi</w:t>
            </w:r>
            <w:r w:rsidRPr="00557A71">
              <w:rPr>
                <w:rFonts w:cstheme="minorHAnsi"/>
                <w:sz w:val="20"/>
                <w:szCs w:val="20"/>
                <w:lang w:eastAsia="sl-SI"/>
              </w:rPr>
              <w:t xml:space="preserve"> sevanji (ICNIRP) iz leta 1998</w:t>
            </w:r>
            <w:r w:rsidRPr="00557A71">
              <w:rPr>
                <w:rStyle w:val="Sprotnaopomba-sklic"/>
                <w:rFonts w:cstheme="minorHAnsi"/>
                <w:sz w:val="20"/>
                <w:szCs w:val="20"/>
                <w:lang w:eastAsia="sl-SI"/>
              </w:rPr>
              <w:footnoteReference w:id="8"/>
            </w:r>
            <w:r w:rsidR="00E5624C" w:rsidRPr="00557A71">
              <w:rPr>
                <w:rFonts w:cstheme="minorHAnsi"/>
                <w:sz w:val="20"/>
                <w:szCs w:val="20"/>
                <w:lang w:eastAsia="sl-SI"/>
              </w:rPr>
              <w:t>.</w:t>
            </w:r>
          </w:p>
          <w:p w14:paraId="5856D6C6" w14:textId="4B439618" w:rsidR="007619BB" w:rsidRPr="00557A71" w:rsidRDefault="00E5624C" w:rsidP="000A401C">
            <w:pPr>
              <w:pStyle w:val="Odstavekseznama"/>
              <w:numPr>
                <w:ilvl w:val="0"/>
                <w:numId w:val="10"/>
              </w:numPr>
              <w:spacing w:line="312" w:lineRule="atLeast"/>
              <w:rPr>
                <w:rFonts w:cstheme="minorHAnsi"/>
                <w:sz w:val="20"/>
                <w:szCs w:val="20"/>
                <w:lang w:eastAsia="sl-SI"/>
              </w:rPr>
            </w:pPr>
            <w:r w:rsidRPr="00557A71">
              <w:rPr>
                <w:rFonts w:cstheme="minorHAnsi"/>
                <w:sz w:val="20"/>
                <w:szCs w:val="20"/>
                <w:lang w:eastAsia="sl-SI"/>
              </w:rPr>
              <w:t>Pri dejavnostih se ne uporabljajo poliklorirani bifenili (PCB).</w:t>
            </w:r>
          </w:p>
          <w:p w14:paraId="7AE1FE57" w14:textId="77777777" w:rsidR="000A401C" w:rsidRPr="00557A71" w:rsidRDefault="000A401C" w:rsidP="00E5624C">
            <w:pPr>
              <w:spacing w:line="312" w:lineRule="atLeast"/>
              <w:rPr>
                <w:rFonts w:cstheme="minorHAnsi"/>
                <w:sz w:val="20"/>
                <w:szCs w:val="20"/>
                <w:lang w:eastAsia="sl-SI"/>
              </w:rPr>
            </w:pPr>
          </w:p>
          <w:p w14:paraId="167A4439" w14:textId="0F0CAB0D"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 xml:space="preserve">Ukrep v skladu s Prilogo I k Uredbi (EU) 2021/1060 40-odstotno prispeva k drugim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 področje ukrepanja </w:t>
            </w:r>
            <w:r w:rsidR="00E5624C" w:rsidRPr="00557A71">
              <w:rPr>
                <w:rFonts w:cstheme="minorHAnsi"/>
                <w:sz w:val="20"/>
                <w:szCs w:val="20"/>
                <w:lang w:eastAsia="sl-SI"/>
              </w:rPr>
              <w:t>053 - Pametni energetski sistemi (vključno z inteligentnimi energetskimi omrežji in sistemi IKT) ter povezano shranjevanje</w:t>
            </w:r>
            <w:r w:rsidRPr="00557A71">
              <w:rPr>
                <w:rFonts w:cstheme="minorHAnsi"/>
                <w:sz w:val="20"/>
                <w:szCs w:val="20"/>
                <w:lang w:eastAsia="sl-SI"/>
              </w:rPr>
              <w:t>.</w:t>
            </w:r>
          </w:p>
          <w:p w14:paraId="6B97ED76"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t>Skladno z omilitvenimi ukrepi iz CPVO-DNSH za Program EKP bodo v okviru ukrepa izpolnjene naslednje zahteve:</w:t>
            </w:r>
          </w:p>
          <w:p w14:paraId="3E7DAEE5"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pri izvedbi projekta/investicije bodo upoštevani morebitni omilitveni ukrepi in usmeritve za</w:t>
            </w:r>
            <w:r w:rsidRPr="00557A71">
              <w:rPr>
                <w:rFonts w:cstheme="minorHAnsi"/>
                <w:sz w:val="20"/>
                <w:szCs w:val="20"/>
              </w:rPr>
              <w:t xml:space="preserve"> </w:t>
            </w:r>
            <w:r w:rsidRPr="00557A71">
              <w:rPr>
                <w:rFonts w:cstheme="minorHAnsi"/>
                <w:sz w:val="20"/>
                <w:szCs w:val="20"/>
                <w:lang w:eastAsia="sl-SI"/>
              </w:rPr>
              <w:t>varstvo okolja iz Celovitega nacionalnega energetskega in podnebnega načrta Republike Slovenije (NEPN),</w:t>
            </w:r>
          </w:p>
          <w:p w14:paraId="76AB57BC" w14:textId="77777777" w:rsidR="007619BB" w:rsidRPr="00557A71" w:rsidRDefault="007619BB" w:rsidP="009537AD">
            <w:pPr>
              <w:pStyle w:val="Odstavekseznama"/>
              <w:numPr>
                <w:ilvl w:val="0"/>
                <w:numId w:val="2"/>
              </w:numPr>
              <w:suppressAutoHyphens/>
              <w:spacing w:line="312" w:lineRule="atLeast"/>
              <w:rPr>
                <w:rFonts w:cstheme="minorHAnsi"/>
                <w:sz w:val="20"/>
                <w:szCs w:val="20"/>
                <w:lang w:eastAsia="sl-SI"/>
              </w:rPr>
            </w:pPr>
            <w:r w:rsidRPr="00557A71">
              <w:rPr>
                <w:rFonts w:cstheme="minorHAnsi"/>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2651D19E" w14:textId="77777777" w:rsidR="007619BB" w:rsidRPr="00557A71" w:rsidRDefault="007619BB" w:rsidP="00E14EFB">
            <w:pPr>
              <w:spacing w:line="312" w:lineRule="atLeast"/>
              <w:rPr>
                <w:rFonts w:cstheme="minorHAnsi"/>
                <w:sz w:val="20"/>
                <w:szCs w:val="20"/>
                <w:lang w:eastAsia="sl-SI"/>
              </w:rPr>
            </w:pPr>
            <w:r w:rsidRPr="00557A71">
              <w:rPr>
                <w:rFonts w:cstheme="minorHAnsi"/>
                <w:sz w:val="20"/>
                <w:szCs w:val="20"/>
                <w:lang w:eastAsia="sl-SI"/>
              </w:rPr>
              <w:lastRenderedPageBreak/>
              <w:t>Ob upoštevanju navedenih meril za izbor projektov in omilitvenih ukrepov, ukrep ne bo znatno povečal emisij, onesnaževal v zrak, vodo ali tla.</w:t>
            </w:r>
          </w:p>
        </w:tc>
      </w:tr>
      <w:tr w:rsidR="000A401C" w:rsidRPr="00557A71" w14:paraId="5946510E" w14:textId="77777777" w:rsidTr="00E14EFB">
        <w:tc>
          <w:tcPr>
            <w:tcW w:w="1640" w:type="pct"/>
            <w:vAlign w:val="center"/>
            <w:hideMark/>
          </w:tcPr>
          <w:p w14:paraId="4BFB475B" w14:textId="77777777" w:rsidR="000A401C" w:rsidRPr="00557A71" w:rsidRDefault="000A401C" w:rsidP="000A401C">
            <w:pPr>
              <w:spacing w:before="60" w:after="60" w:line="240" w:lineRule="atLeast"/>
              <w:rPr>
                <w:rFonts w:cstheme="minorHAnsi"/>
                <w:sz w:val="20"/>
                <w:szCs w:val="20"/>
                <w:lang w:eastAsia="sl-SI"/>
              </w:rPr>
            </w:pPr>
            <w:r w:rsidRPr="00557A71">
              <w:rPr>
                <w:rFonts w:cstheme="minorHAnsi"/>
                <w:sz w:val="20"/>
                <w:szCs w:val="20"/>
                <w:lang w:eastAsia="sl-SI"/>
              </w:rPr>
              <w:lastRenderedPageBreak/>
              <w:t>Varstvo in ohranjanje biotske raznovrstnosti in ekosistemov:</w:t>
            </w:r>
          </w:p>
          <w:p w14:paraId="01ED4042"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Ali je ukrep:</w:t>
            </w:r>
          </w:p>
          <w:p w14:paraId="05C6E16C"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(i) bistveno škodljiv za dobro</w:t>
            </w:r>
          </w:p>
          <w:p w14:paraId="39C29D9D"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stanje in odpornosti</w:t>
            </w:r>
          </w:p>
          <w:p w14:paraId="7A257567"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ekosistemov; ali</w:t>
            </w:r>
          </w:p>
          <w:p w14:paraId="0A15D81F"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(ii) škodljiv za ohranitveni status</w:t>
            </w:r>
          </w:p>
          <w:p w14:paraId="0310DFBA" w14:textId="77777777"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habitatov in vrst, vključno s</w:t>
            </w:r>
          </w:p>
          <w:p w14:paraId="3D29B467" w14:textId="17CE42CF" w:rsidR="000A401C" w:rsidRPr="00557A71" w:rsidRDefault="000A401C" w:rsidP="000A401C">
            <w:pPr>
              <w:spacing w:before="60" w:after="60" w:line="240" w:lineRule="atLeast"/>
              <w:rPr>
                <w:rFonts w:cstheme="minorHAnsi"/>
                <w:i/>
                <w:iCs/>
                <w:sz w:val="20"/>
                <w:szCs w:val="20"/>
                <w:lang w:eastAsia="sl-SI"/>
              </w:rPr>
            </w:pPr>
            <w:r w:rsidRPr="00557A71">
              <w:rPr>
                <w:rFonts w:cstheme="minorHAnsi"/>
                <w:i/>
                <w:iCs/>
                <w:sz w:val="20"/>
                <w:szCs w:val="20"/>
                <w:lang w:eastAsia="sl-SI"/>
              </w:rPr>
              <w:t>t</w:t>
            </w:r>
            <w:r w:rsidR="00112748" w:rsidRPr="00557A71">
              <w:rPr>
                <w:rFonts w:cstheme="minorHAnsi"/>
                <w:i/>
                <w:iCs/>
                <w:sz w:val="20"/>
                <w:szCs w:val="20"/>
                <w:lang w:eastAsia="sl-SI"/>
              </w:rPr>
              <w:t>istimi, ki so v interesu Unije?</w:t>
            </w:r>
          </w:p>
        </w:tc>
        <w:tc>
          <w:tcPr>
            <w:tcW w:w="392" w:type="pct"/>
            <w:vAlign w:val="center"/>
            <w:hideMark/>
          </w:tcPr>
          <w:p w14:paraId="03FAB6DA" w14:textId="4F5CE84E" w:rsidR="000A401C" w:rsidRPr="00557A71" w:rsidRDefault="000A401C" w:rsidP="000A401C">
            <w:pPr>
              <w:jc w:val="center"/>
              <w:rPr>
                <w:rFonts w:cstheme="minorHAnsi"/>
                <w:sz w:val="20"/>
                <w:szCs w:val="20"/>
                <w:lang w:eastAsia="sl-SI"/>
              </w:rPr>
            </w:pPr>
            <w:r w:rsidRPr="00557A71">
              <w:rPr>
                <w:rFonts w:cstheme="minorHAnsi"/>
                <w:sz w:val="20"/>
                <w:szCs w:val="20"/>
                <w:lang w:eastAsia="sl-SI"/>
              </w:rPr>
              <w:t>/</w:t>
            </w:r>
          </w:p>
        </w:tc>
        <w:tc>
          <w:tcPr>
            <w:tcW w:w="2968" w:type="pct"/>
            <w:vAlign w:val="center"/>
            <w:hideMark/>
          </w:tcPr>
          <w:p w14:paraId="16AE1A48" w14:textId="77777777" w:rsidR="000A401C" w:rsidRPr="00557A71" w:rsidRDefault="000A401C" w:rsidP="000A401C">
            <w:pPr>
              <w:spacing w:line="240" w:lineRule="atLeast"/>
              <w:jc w:val="left"/>
              <w:rPr>
                <w:rFonts w:cstheme="minorHAnsi"/>
                <w:sz w:val="20"/>
                <w:szCs w:val="20"/>
                <w:lang w:eastAsia="sl-SI"/>
              </w:rPr>
            </w:pPr>
          </w:p>
          <w:p w14:paraId="43CE37FA" w14:textId="3032F76D" w:rsidR="000A401C" w:rsidRPr="00557A71" w:rsidRDefault="000A401C" w:rsidP="000A401C">
            <w:pPr>
              <w:spacing w:line="312" w:lineRule="atLeast"/>
              <w:rPr>
                <w:rFonts w:cstheme="minorHAnsi"/>
                <w:sz w:val="20"/>
                <w:szCs w:val="20"/>
                <w:lang w:eastAsia="sl-SI"/>
              </w:rPr>
            </w:pPr>
            <w:r w:rsidRPr="00557A71">
              <w:rPr>
                <w:rFonts w:cstheme="minorHAnsi"/>
                <w:sz w:val="20"/>
                <w:szCs w:val="20"/>
                <w:lang w:eastAsia="sl-SI"/>
              </w:rPr>
              <w:t xml:space="preserve">Podrobnejša vsebinska ocena skladnosti ukrepa s tem </w:t>
            </w:r>
            <w:proofErr w:type="spellStart"/>
            <w:r w:rsidRPr="00557A71">
              <w:rPr>
                <w:rFonts w:cstheme="minorHAnsi"/>
                <w:sz w:val="20"/>
                <w:szCs w:val="20"/>
                <w:lang w:eastAsia="sl-SI"/>
              </w:rPr>
              <w:t>okoljskim</w:t>
            </w:r>
            <w:proofErr w:type="spellEnd"/>
            <w:r w:rsidRPr="00557A71">
              <w:rPr>
                <w:rFonts w:cstheme="minorHAnsi"/>
                <w:sz w:val="20"/>
                <w:szCs w:val="20"/>
                <w:lang w:eastAsia="sl-SI"/>
              </w:rPr>
              <w:t xml:space="preserve"> ciljem ni potrebna.</w:t>
            </w:r>
          </w:p>
        </w:tc>
      </w:tr>
    </w:tbl>
    <w:p w14:paraId="79A05AC0" w14:textId="77777777" w:rsidR="007619BB" w:rsidRPr="00557A71" w:rsidRDefault="007619BB" w:rsidP="007619BB">
      <w:pPr>
        <w:pStyle w:val="Glava"/>
        <w:tabs>
          <w:tab w:val="clear" w:pos="4536"/>
          <w:tab w:val="clear" w:pos="9072"/>
        </w:tabs>
        <w:spacing w:line="360" w:lineRule="auto"/>
        <w:rPr>
          <w:rFonts w:cstheme="minorHAnsi"/>
          <w:sz w:val="20"/>
          <w:szCs w:val="20"/>
        </w:rPr>
      </w:pPr>
    </w:p>
    <w:p w14:paraId="17C681B2" w14:textId="77777777" w:rsidR="007619BB" w:rsidRPr="00557A71" w:rsidRDefault="007619BB" w:rsidP="007619BB">
      <w:pPr>
        <w:pStyle w:val="Naslov3"/>
        <w:spacing w:after="0" w:line="360" w:lineRule="auto"/>
        <w:rPr>
          <w:rFonts w:cstheme="minorHAnsi"/>
          <w:b/>
          <w:bCs/>
          <w:sz w:val="20"/>
        </w:rPr>
      </w:pPr>
      <w:r w:rsidRPr="00557A71">
        <w:rPr>
          <w:rFonts w:cstheme="minorHAnsi"/>
          <w:b/>
          <w:bCs/>
          <w:sz w:val="20"/>
        </w:rPr>
        <w:t>Informacije o razpoložljivi dokumentaciji:</w:t>
      </w:r>
    </w:p>
    <w:tbl>
      <w:tblPr>
        <w:tblStyle w:val="Tabelamrea"/>
        <w:tblW w:w="9067" w:type="dxa"/>
        <w:tblLook w:val="04A0" w:firstRow="1" w:lastRow="0" w:firstColumn="1" w:lastColumn="0" w:noHBand="0" w:noVBand="1"/>
      </w:tblPr>
      <w:tblGrid>
        <w:gridCol w:w="9067"/>
      </w:tblGrid>
      <w:tr w:rsidR="007619BB" w:rsidRPr="00557A71" w14:paraId="3346E095" w14:textId="77777777" w:rsidTr="00E14EFB">
        <w:trPr>
          <w:trHeight w:val="914"/>
        </w:trPr>
        <w:tc>
          <w:tcPr>
            <w:tcW w:w="9067" w:type="dxa"/>
          </w:tcPr>
          <w:p w14:paraId="356A4C93" w14:textId="77777777" w:rsidR="007619BB" w:rsidRPr="00557A71" w:rsidRDefault="007619BB" w:rsidP="00E14EFB">
            <w:pPr>
              <w:pStyle w:val="Glava"/>
              <w:tabs>
                <w:tab w:val="clear" w:pos="4536"/>
                <w:tab w:val="clear" w:pos="9072"/>
              </w:tabs>
              <w:spacing w:line="360" w:lineRule="auto"/>
              <w:rPr>
                <w:rFonts w:ascii="Arial" w:hAnsi="Arial" w:cs="Arial"/>
                <w:sz w:val="20"/>
              </w:rPr>
            </w:pPr>
          </w:p>
          <w:p w14:paraId="4A08851C" w14:textId="77777777" w:rsidR="007619BB" w:rsidRPr="00557A71" w:rsidRDefault="007619BB" w:rsidP="00E14EFB">
            <w:pPr>
              <w:pStyle w:val="Glava"/>
              <w:tabs>
                <w:tab w:val="clear" w:pos="4536"/>
                <w:tab w:val="clear" w:pos="9072"/>
              </w:tabs>
              <w:spacing w:line="360" w:lineRule="auto"/>
              <w:rPr>
                <w:rFonts w:ascii="Arial" w:hAnsi="Arial" w:cs="Arial"/>
                <w:sz w:val="20"/>
              </w:rPr>
            </w:pPr>
          </w:p>
          <w:p w14:paraId="43E7579E" w14:textId="77777777" w:rsidR="007619BB" w:rsidRPr="00557A71" w:rsidRDefault="007619BB" w:rsidP="00E14EFB">
            <w:pPr>
              <w:pStyle w:val="Glava"/>
              <w:tabs>
                <w:tab w:val="clear" w:pos="4536"/>
                <w:tab w:val="clear" w:pos="9072"/>
              </w:tabs>
              <w:spacing w:line="360" w:lineRule="auto"/>
              <w:rPr>
                <w:rFonts w:ascii="Arial" w:hAnsi="Arial" w:cs="Arial"/>
                <w:sz w:val="20"/>
              </w:rPr>
            </w:pPr>
          </w:p>
          <w:p w14:paraId="1D191713" w14:textId="77777777" w:rsidR="007619BB" w:rsidRPr="00557A71" w:rsidRDefault="007619BB" w:rsidP="00E14EFB">
            <w:pPr>
              <w:pStyle w:val="Glava"/>
              <w:tabs>
                <w:tab w:val="clear" w:pos="4536"/>
                <w:tab w:val="clear" w:pos="9072"/>
              </w:tabs>
              <w:spacing w:line="360" w:lineRule="auto"/>
              <w:rPr>
                <w:rFonts w:ascii="Arial" w:hAnsi="Arial" w:cs="Arial"/>
                <w:sz w:val="20"/>
              </w:rPr>
            </w:pPr>
          </w:p>
          <w:p w14:paraId="66970319" w14:textId="77777777" w:rsidR="007619BB" w:rsidRPr="00557A71" w:rsidRDefault="007619BB" w:rsidP="00E14EFB">
            <w:pPr>
              <w:pStyle w:val="Glava"/>
              <w:tabs>
                <w:tab w:val="clear" w:pos="4536"/>
                <w:tab w:val="clear" w:pos="9072"/>
              </w:tabs>
              <w:spacing w:line="360" w:lineRule="auto"/>
              <w:rPr>
                <w:rFonts w:ascii="Arial" w:hAnsi="Arial" w:cs="Arial"/>
                <w:sz w:val="20"/>
              </w:rPr>
            </w:pPr>
          </w:p>
          <w:p w14:paraId="4A5ED60F" w14:textId="77777777" w:rsidR="007619BB" w:rsidRPr="00557A71" w:rsidRDefault="007619BB" w:rsidP="00E14EFB">
            <w:pPr>
              <w:pStyle w:val="Glava"/>
              <w:tabs>
                <w:tab w:val="clear" w:pos="4536"/>
                <w:tab w:val="clear" w:pos="9072"/>
              </w:tabs>
              <w:spacing w:line="360" w:lineRule="auto"/>
              <w:rPr>
                <w:rFonts w:ascii="Arial" w:hAnsi="Arial" w:cs="Arial"/>
                <w:sz w:val="20"/>
              </w:rPr>
            </w:pPr>
          </w:p>
        </w:tc>
      </w:tr>
    </w:tbl>
    <w:p w14:paraId="41227385" w14:textId="77777777" w:rsidR="007619BB" w:rsidRPr="00557A71" w:rsidRDefault="007619BB" w:rsidP="007619BB">
      <w:pPr>
        <w:rPr>
          <w:rFonts w:ascii="Arial" w:hAnsi="Arial" w:cs="Arial"/>
          <w:b/>
          <w:bCs/>
          <w:sz w:val="20"/>
        </w:rPr>
      </w:pPr>
    </w:p>
    <w:p w14:paraId="39EC1FD6" w14:textId="77777777" w:rsidR="007619BB" w:rsidRPr="00557A71" w:rsidRDefault="007619BB" w:rsidP="007619BB">
      <w:pPr>
        <w:rPr>
          <w:rFonts w:ascii="Arial" w:hAnsi="Arial" w:cs="Arial"/>
          <w:b/>
          <w:bCs/>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6"/>
        <w:gridCol w:w="589"/>
        <w:gridCol w:w="5293"/>
      </w:tblGrid>
      <w:tr w:rsidR="007619BB" w:rsidRPr="00557A71" w14:paraId="14DFCD52" w14:textId="77777777" w:rsidTr="00E14EFB">
        <w:trPr>
          <w:trHeight w:hRule="exact" w:val="851"/>
        </w:trPr>
        <w:tc>
          <w:tcPr>
            <w:tcW w:w="5000" w:type="pct"/>
            <w:gridSpan w:val="3"/>
            <w:tcBorders>
              <w:top w:val="nil"/>
              <w:left w:val="nil"/>
              <w:bottom w:val="nil"/>
              <w:right w:val="nil"/>
            </w:tcBorders>
            <w:vAlign w:val="bottom"/>
          </w:tcPr>
          <w:p w14:paraId="328E36F9"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r w:rsidRPr="00557A71">
              <w:rPr>
                <w:rFonts w:asciiTheme="minorHAnsi" w:eastAsiaTheme="minorHAnsi" w:hAnsiTheme="minorHAnsi" w:cstheme="minorHAnsi"/>
                <w:b w:val="0"/>
                <w:color w:val="auto"/>
                <w:sz w:val="20"/>
                <w:szCs w:val="20"/>
              </w:rPr>
              <w:t>V/na:</w:t>
            </w:r>
          </w:p>
        </w:tc>
      </w:tr>
      <w:tr w:rsidR="007619BB" w:rsidRPr="00557A71" w14:paraId="611AC5A3" w14:textId="77777777" w:rsidTr="00E14EFB">
        <w:trPr>
          <w:trHeight w:val="1188"/>
        </w:trPr>
        <w:tc>
          <w:tcPr>
            <w:tcW w:w="1874" w:type="pct"/>
            <w:vMerge w:val="restart"/>
            <w:tcBorders>
              <w:left w:val="nil"/>
              <w:right w:val="nil"/>
            </w:tcBorders>
          </w:tcPr>
          <w:p w14:paraId="68D4749D" w14:textId="77777777" w:rsidR="007619BB" w:rsidRPr="00557A71" w:rsidRDefault="007619BB" w:rsidP="00E14EFB">
            <w:pPr>
              <w:pStyle w:val="Naslovpublikacije"/>
              <w:spacing w:before="120" w:after="0"/>
              <w:jc w:val="left"/>
              <w:rPr>
                <w:rFonts w:asciiTheme="minorHAnsi" w:eastAsiaTheme="minorHAnsi" w:hAnsiTheme="minorHAnsi" w:cstheme="minorHAnsi"/>
                <w:b w:val="0"/>
                <w:color w:val="auto"/>
                <w:sz w:val="20"/>
                <w:szCs w:val="20"/>
              </w:rPr>
            </w:pPr>
            <w:r w:rsidRPr="00557A71">
              <w:rPr>
                <w:rFonts w:asciiTheme="minorHAnsi" w:eastAsiaTheme="minorHAnsi" w:hAnsiTheme="minorHAnsi" w:cstheme="minorHAnsi"/>
                <w:b w:val="0"/>
                <w:color w:val="auto"/>
                <w:sz w:val="20"/>
                <w:szCs w:val="20"/>
              </w:rPr>
              <w:t>Datum:</w:t>
            </w:r>
          </w:p>
          <w:p w14:paraId="398AA339"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p w14:paraId="16A482AC"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p w14:paraId="4035C678"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p w14:paraId="6A0BB618"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r w:rsidRPr="00557A71">
              <w:rPr>
                <w:rFonts w:asciiTheme="minorHAnsi" w:eastAsiaTheme="minorHAnsi" w:hAnsiTheme="minorHAnsi" w:cstheme="minorHAnsi"/>
                <w:b w:val="0"/>
                <w:color w:val="auto"/>
                <w:sz w:val="20"/>
                <w:szCs w:val="20"/>
              </w:rPr>
              <w:t>Žig:</w:t>
            </w:r>
          </w:p>
          <w:p w14:paraId="5E55A204"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1635517E"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168400AE" w14:textId="77777777" w:rsidR="007619BB" w:rsidRPr="00557A71" w:rsidRDefault="007619BB" w:rsidP="00E14EFB">
            <w:pPr>
              <w:pStyle w:val="Naslovpublikacije"/>
              <w:spacing w:before="120" w:after="0"/>
              <w:rPr>
                <w:rFonts w:asciiTheme="minorHAnsi" w:eastAsiaTheme="minorHAnsi" w:hAnsiTheme="minorHAnsi" w:cstheme="minorHAnsi"/>
                <w:b w:val="0"/>
                <w:color w:val="auto"/>
                <w:sz w:val="20"/>
                <w:szCs w:val="20"/>
              </w:rPr>
            </w:pPr>
            <w:r w:rsidRPr="00557A71">
              <w:rPr>
                <w:rFonts w:asciiTheme="minorHAnsi" w:eastAsiaTheme="minorHAnsi" w:hAnsiTheme="minorHAnsi" w:cstheme="minorHAnsi"/>
                <w:b w:val="0"/>
                <w:color w:val="auto"/>
                <w:sz w:val="20"/>
                <w:szCs w:val="20"/>
              </w:rPr>
              <w:t>Ime in priimek zakonitega zastopnika vlagatelja</w:t>
            </w:r>
          </w:p>
        </w:tc>
      </w:tr>
      <w:tr w:rsidR="007619BB" w:rsidRPr="00557A71" w14:paraId="7E558D5E" w14:textId="77777777" w:rsidTr="00E14EFB">
        <w:tc>
          <w:tcPr>
            <w:tcW w:w="1874" w:type="pct"/>
            <w:vMerge/>
            <w:tcBorders>
              <w:left w:val="nil"/>
              <w:bottom w:val="nil"/>
              <w:right w:val="nil"/>
            </w:tcBorders>
          </w:tcPr>
          <w:p w14:paraId="5B1CE16B"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7E00B297" w14:textId="77777777" w:rsidR="007619BB" w:rsidRPr="00557A71" w:rsidRDefault="007619BB" w:rsidP="00E14EFB">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7BD03A32" w14:textId="77777777" w:rsidR="007619BB" w:rsidRPr="00557A71" w:rsidRDefault="007619BB" w:rsidP="00E14EFB">
            <w:pPr>
              <w:pStyle w:val="Naslovpublikacije"/>
              <w:spacing w:before="120" w:after="0"/>
              <w:rPr>
                <w:rFonts w:asciiTheme="minorHAnsi" w:eastAsiaTheme="minorHAnsi" w:hAnsiTheme="minorHAnsi" w:cstheme="minorHAnsi"/>
                <w:b w:val="0"/>
                <w:color w:val="auto"/>
                <w:sz w:val="20"/>
                <w:szCs w:val="20"/>
              </w:rPr>
            </w:pPr>
            <w:r w:rsidRPr="00557A71">
              <w:rPr>
                <w:rFonts w:asciiTheme="minorHAnsi" w:eastAsiaTheme="minorHAnsi" w:hAnsiTheme="minorHAnsi" w:cstheme="minorHAnsi"/>
                <w:b w:val="0"/>
                <w:color w:val="auto"/>
                <w:sz w:val="20"/>
                <w:szCs w:val="20"/>
              </w:rPr>
              <w:t>Podpis zakonitega zastopnika vlagatelja</w:t>
            </w:r>
          </w:p>
        </w:tc>
      </w:tr>
    </w:tbl>
    <w:p w14:paraId="331D3D12" w14:textId="77777777" w:rsidR="007619BB" w:rsidRPr="00557A71" w:rsidRDefault="007619BB" w:rsidP="007619BB"/>
    <w:p w14:paraId="79F6E037" w14:textId="4D0EA831" w:rsidR="00EB0C82" w:rsidRPr="00557A71" w:rsidRDefault="00EB0C82" w:rsidP="007619BB">
      <w:pPr>
        <w:pStyle w:val="BodyText22"/>
        <w:spacing w:before="240" w:after="120" w:line="276" w:lineRule="auto"/>
        <w:rPr>
          <w:rFonts w:asciiTheme="minorHAnsi" w:eastAsiaTheme="minorHAnsi" w:hAnsiTheme="minorHAnsi" w:cstheme="minorHAnsi"/>
          <w:b/>
          <w:i/>
          <w:iCs/>
          <w:sz w:val="22"/>
          <w:szCs w:val="22"/>
        </w:rPr>
      </w:pPr>
    </w:p>
    <w:sectPr w:rsidR="00EB0C82" w:rsidRPr="00557A71" w:rsidSect="00114F1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C4F7" w14:textId="77777777" w:rsidR="000914E7" w:rsidRDefault="000914E7" w:rsidP="00154220">
      <w:pPr>
        <w:spacing w:after="0" w:line="240" w:lineRule="auto"/>
      </w:pPr>
      <w:r>
        <w:separator/>
      </w:r>
    </w:p>
  </w:endnote>
  <w:endnote w:type="continuationSeparator" w:id="0">
    <w:p w14:paraId="3DA821ED" w14:textId="77777777" w:rsidR="000914E7" w:rsidRDefault="000914E7"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C254" w14:textId="77777777" w:rsidR="00E14EFB" w:rsidRPr="00151444" w:rsidRDefault="00E14EFB" w:rsidP="00114F13">
    <w:pPr>
      <w:pStyle w:val="Glava"/>
      <w:jc w:val="right"/>
    </w:pPr>
  </w:p>
  <w:p w14:paraId="175AD1DB" w14:textId="77777777" w:rsidR="00E14EFB" w:rsidRDefault="00E14EFB" w:rsidP="00114F13"/>
  <w:p w14:paraId="3F3615A9" w14:textId="29552AB8" w:rsidR="00E14EFB" w:rsidRPr="00114F13" w:rsidRDefault="00E14EFB" w:rsidP="00114F13">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w:t>
    </w:r>
    <w:r w:rsidR="00112748" w:rsidRPr="00112748">
      <w:rPr>
        <w:sz w:val="16"/>
        <w:szCs w:val="16"/>
      </w:rPr>
      <w:t>Sheme EE (del A): Posodobitev in razvoj prenosnega in distribucijskega električnega omrežja</w:t>
    </w:r>
    <w:r w:rsidR="00112748">
      <w:rPr>
        <w:sz w:val="16"/>
        <w:szCs w:val="16"/>
      </w:rPr>
      <w:t xml:space="preserve"> (oznaka: POVABILO MS E</w:t>
    </w:r>
    <w:r w:rsidRPr="00203981">
      <w:rPr>
        <w:sz w:val="16"/>
        <w:szCs w:val="16"/>
      </w:rPr>
      <w:t>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112748">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112748">
      <w:rPr>
        <w:rStyle w:val="tevilkastrani"/>
        <w:rFonts w:ascii="Calibri" w:hAnsi="Calibri" w:cs="Calibri"/>
        <w:noProof/>
        <w:sz w:val="16"/>
        <w:szCs w:val="16"/>
      </w:rPr>
      <w:t>11</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CDC9" w14:textId="6BFEE60C" w:rsidR="00E14EFB" w:rsidRPr="00CE58A1" w:rsidRDefault="00E14EFB" w:rsidP="00CE58A1">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w:t>
    </w:r>
    <w:r w:rsidR="00112748" w:rsidRPr="00112748">
      <w:rPr>
        <w:sz w:val="16"/>
        <w:szCs w:val="16"/>
      </w:rPr>
      <w:t>Sheme EE (del A): Posodobitev in razvoj prenosnega in distribucijskega električnega omrežja</w:t>
    </w:r>
    <w:r w:rsidR="00112748">
      <w:rPr>
        <w:sz w:val="16"/>
        <w:szCs w:val="16"/>
      </w:rPr>
      <w:t xml:space="preserve"> (oznaka: POVABILO MS E</w:t>
    </w:r>
    <w:r w:rsidRPr="00203981">
      <w:rPr>
        <w:sz w:val="16"/>
        <w:szCs w:val="16"/>
      </w:rPr>
      <w:t>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112748">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112748">
      <w:rPr>
        <w:rStyle w:val="tevilkastrani"/>
        <w:rFonts w:ascii="Calibri" w:hAnsi="Calibri" w:cs="Calibri"/>
        <w:noProof/>
        <w:sz w:val="16"/>
        <w:szCs w:val="16"/>
      </w:rPr>
      <w:t>11</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088AA" w14:textId="77777777" w:rsidR="000914E7" w:rsidRDefault="000914E7" w:rsidP="00154220">
      <w:pPr>
        <w:spacing w:after="0" w:line="240" w:lineRule="auto"/>
      </w:pPr>
      <w:r>
        <w:separator/>
      </w:r>
    </w:p>
  </w:footnote>
  <w:footnote w:type="continuationSeparator" w:id="0">
    <w:p w14:paraId="346970FD" w14:textId="77777777" w:rsidR="000914E7" w:rsidRDefault="000914E7" w:rsidP="00154220">
      <w:pPr>
        <w:spacing w:after="0" w:line="240" w:lineRule="auto"/>
      </w:pPr>
      <w:r>
        <w:continuationSeparator/>
      </w:r>
    </w:p>
  </w:footnote>
  <w:footnote w:id="1">
    <w:p w14:paraId="5AF83B9D" w14:textId="77777777" w:rsidR="00E14EFB" w:rsidRPr="008C27AB" w:rsidRDefault="00E14EFB" w:rsidP="007619BB">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0013D6C6" w14:textId="77777777" w:rsidR="00E14EFB" w:rsidRPr="005E7234" w:rsidRDefault="00E14EFB" w:rsidP="007619BB">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247610C7" w14:textId="77777777" w:rsidR="00E14EFB" w:rsidRPr="008F5061" w:rsidRDefault="00E14EFB" w:rsidP="007619BB">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4D63D486" w14:textId="77777777" w:rsidR="00E14EFB" w:rsidRPr="008C27AB" w:rsidRDefault="00E14EFB" w:rsidP="007619BB">
      <w:pPr>
        <w:pStyle w:val="Sprotnaopomba-besedil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Priloga k CPVO-DNSH: Tehnična merila za izbor projektov za izpolnjevanje »načela, da se ne škoduje bistveno«</w:t>
        </w:r>
      </w:hyperlink>
    </w:p>
  </w:footnote>
  <w:footnote w:id="5">
    <w:p w14:paraId="041C7566" w14:textId="77777777" w:rsidR="00E14EFB" w:rsidRDefault="00E14EFB" w:rsidP="007619BB">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5"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 w:id="6">
    <w:p w14:paraId="07F22920" w14:textId="147FAB59" w:rsidR="000A401C" w:rsidRPr="000A401C" w:rsidRDefault="000A401C" w:rsidP="000A401C">
      <w:pPr>
        <w:pStyle w:val="Sprotnaopomba-besedilo"/>
        <w:jc w:val="both"/>
        <w:rPr>
          <w:rFonts w:asciiTheme="minorHAnsi" w:hAnsiTheme="minorHAnsi" w:cstheme="minorHAnsi"/>
        </w:rPr>
      </w:pPr>
      <w:r w:rsidRPr="000A401C">
        <w:rPr>
          <w:rStyle w:val="Sprotnaopomba-sklic"/>
          <w:rFonts w:asciiTheme="minorHAnsi" w:hAnsiTheme="minorHAnsi" w:cstheme="minorHAnsi"/>
        </w:rPr>
        <w:footnoteRef/>
      </w:r>
      <w:r w:rsidRPr="000A401C">
        <w:rPr>
          <w:rFonts w:asciiTheme="minorHAnsi" w:hAnsiTheme="minorHAnsi" w:cstheme="minorHAnsi"/>
        </w:rPr>
        <w:t xml:space="preserve"> </w:t>
      </w:r>
      <w:proofErr w:type="spellStart"/>
      <w:r w:rsidRPr="000A401C">
        <w:rPr>
          <w:rFonts w:asciiTheme="minorHAnsi" w:hAnsiTheme="minorHAnsi" w:cstheme="minorHAnsi"/>
        </w:rPr>
        <w:t>Okoljske</w:t>
      </w:r>
      <w:proofErr w:type="spellEnd"/>
      <w:r w:rsidRPr="000A401C">
        <w:rPr>
          <w:rFonts w:asciiTheme="minorHAnsi" w:hAnsiTheme="minorHAnsi" w:cstheme="minorHAnsi"/>
        </w:rPr>
        <w:t xml:space="preserve">, zdravstvene in varnostne smernice z dne 30. aprila 2007 (različica z dne (različica z dne 4. junija 2021): </w:t>
      </w:r>
      <w:hyperlink r:id="rId6" w:history="1">
        <w:proofErr w:type="spellStart"/>
        <w:r w:rsidR="00044D7F" w:rsidRPr="00044D7F">
          <w:rPr>
            <w:rStyle w:val="Hiperpovezava"/>
            <w:rFonts w:asciiTheme="minorHAnsi" w:hAnsiTheme="minorHAnsi" w:cstheme="minorHAnsi"/>
            <w:color w:val="auto"/>
          </w:rPr>
          <w:t>Okoljske</w:t>
        </w:r>
        <w:proofErr w:type="spellEnd"/>
        <w:r w:rsidR="00044D7F" w:rsidRPr="00044D7F">
          <w:rPr>
            <w:rStyle w:val="Hiperpovezava"/>
            <w:rFonts w:asciiTheme="minorHAnsi" w:hAnsiTheme="minorHAnsi" w:cstheme="minorHAnsi"/>
            <w:color w:val="auto"/>
          </w:rPr>
          <w:t xml:space="preserve">, zdravstvene in varnostne smernice z dne 30. aprila 2007 </w:t>
        </w:r>
      </w:hyperlink>
      <w:r w:rsidRPr="000A401C">
        <w:rPr>
          <w:rFonts w:asciiTheme="minorHAnsi" w:hAnsiTheme="minorHAnsi" w:cstheme="minorHAnsi"/>
        </w:rPr>
        <w:t>).</w:t>
      </w:r>
    </w:p>
  </w:footnote>
  <w:footnote w:id="7">
    <w:p w14:paraId="44944ECA" w14:textId="706C22C5" w:rsidR="000A401C" w:rsidRDefault="000A401C" w:rsidP="000A401C">
      <w:pPr>
        <w:pStyle w:val="Sprotnaopomba-besedilo"/>
        <w:jc w:val="both"/>
      </w:pPr>
      <w:r w:rsidRPr="000A401C">
        <w:rPr>
          <w:rStyle w:val="Sprotnaopomba-sklic"/>
          <w:rFonts w:asciiTheme="minorHAnsi" w:hAnsiTheme="minorHAnsi" w:cstheme="minorHAnsi"/>
        </w:rPr>
        <w:footnoteRef/>
      </w:r>
      <w:r w:rsidRPr="000A401C">
        <w:rPr>
          <w:rFonts w:asciiTheme="minorHAnsi" w:hAnsiTheme="minorHAnsi" w:cstheme="minorHAnsi"/>
        </w:rPr>
        <w:t xml:space="preserve"> </w:t>
      </w:r>
      <w:r w:rsidRPr="000A401C">
        <w:rPr>
          <w:rFonts w:asciiTheme="minorHAnsi" w:hAnsiTheme="minorHAnsi" w:cstheme="minorHAnsi"/>
        </w:rPr>
        <w:t>Priporočilo Sveta z dne 12. julija 1999 o omejevanju izpostavljanja javnosti elektromagnetnim poljem (od 0 Hz do 300 GHz) (1999/519/ES) (UL L 199, 30.7.1999, str. 59).</w:t>
      </w:r>
    </w:p>
  </w:footnote>
  <w:footnote w:id="8">
    <w:p w14:paraId="7FF39F05" w14:textId="74069516" w:rsidR="000A401C" w:rsidRPr="000A401C" w:rsidRDefault="000A401C" w:rsidP="000A401C">
      <w:pPr>
        <w:pStyle w:val="Sprotnaopomba-besedilo"/>
        <w:jc w:val="both"/>
        <w:rPr>
          <w:rFonts w:asciiTheme="minorHAnsi" w:hAnsiTheme="minorHAnsi" w:cstheme="minorHAnsi"/>
        </w:rPr>
      </w:pPr>
      <w:r w:rsidRPr="000A401C">
        <w:rPr>
          <w:rStyle w:val="Sprotnaopomba-sklic"/>
          <w:rFonts w:asciiTheme="minorHAnsi" w:hAnsiTheme="minorHAnsi" w:cstheme="minorHAnsi"/>
        </w:rPr>
        <w:footnoteRef/>
      </w:r>
      <w:r w:rsidRPr="000A401C">
        <w:rPr>
          <w:rFonts w:asciiTheme="minorHAnsi" w:hAnsiTheme="minorHAnsi" w:cstheme="minorHAnsi"/>
        </w:rPr>
        <w:t xml:space="preserve"> </w:t>
      </w:r>
      <w:r w:rsidRPr="000A401C">
        <w:rPr>
          <w:rFonts w:asciiTheme="minorHAnsi" w:hAnsiTheme="minorHAnsi" w:cstheme="minorHAnsi"/>
        </w:rPr>
        <w:t xml:space="preserve">Smernice Mednarodne komisije za varstvo pred neionizirajočimi sevanji za omejevanje izpostavljenosti časovno spremenljivim električnim, magnetnim in elektromagnetnim poljem (do 300 GHz) iz leta 1998 (različica z dne (različica z dne 4. junija 2021): </w:t>
      </w:r>
      <w:hyperlink r:id="rId7" w:history="1">
        <w:r w:rsidRPr="007D1AD2">
          <w:rPr>
            <w:rStyle w:val="Hiperpovezava"/>
            <w:rFonts w:asciiTheme="minorHAnsi" w:hAnsiTheme="minorHAnsi" w:cstheme="minorHAnsi"/>
          </w:rPr>
          <w:t>https://www.icnirp.org/cms/upload/publications/ICNIRPemfgdl.pdf</w:t>
        </w:r>
      </w:hyperlink>
      <w:r w:rsidRPr="000A401C">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707" w14:textId="073ECE87" w:rsidR="00E14EFB" w:rsidRDefault="00E14EFB" w:rsidP="00114F13">
    <w:pPr>
      <w:pStyle w:val="Glava"/>
      <w:tabs>
        <w:tab w:val="clear" w:pos="4536"/>
        <w:tab w:val="clear" w:pos="9072"/>
        <w:tab w:val="left" w:pos="4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4576" w14:textId="361D7E6D" w:rsidR="00E14EFB" w:rsidRDefault="00E14EFB" w:rsidP="00C83346">
    <w:pPr>
      <w:pStyle w:val="Glava"/>
      <w:tabs>
        <w:tab w:val="left" w:pos="5112"/>
      </w:tabs>
      <w:rPr>
        <w:rFonts w:cs="Arial"/>
        <w:sz w:val="16"/>
      </w:rPr>
    </w:pPr>
  </w:p>
  <w:p w14:paraId="430102F6" w14:textId="4F8AAAD8" w:rsidR="00E14EFB" w:rsidRDefault="00E14EFB" w:rsidP="00EB6F9C">
    <w:pPr>
      <w:pStyle w:val="Glava"/>
      <w:tabs>
        <w:tab w:val="left" w:pos="3261"/>
      </w:tabs>
      <w:rPr>
        <w:rFonts w:ascii="Republika" w:hAnsi="Republika" w:cs="Arial"/>
        <w:sz w:val="16"/>
      </w:rPr>
    </w:pPr>
    <w:r>
      <w:rPr>
        <w:noProof/>
        <w:lang w:eastAsia="sl-SI"/>
      </w:rPr>
      <w:drawing>
        <wp:anchor distT="0" distB="0" distL="114300" distR="114300" simplePos="0" relativeHeight="251663360" behindDoc="0" locked="0" layoutInCell="1" allowOverlap="1" wp14:anchorId="05FA23D9" wp14:editId="5B346EFD">
          <wp:simplePos x="0" y="0"/>
          <wp:positionH relativeFrom="column">
            <wp:posOffset>4307205</wp:posOffset>
          </wp:positionH>
          <wp:positionV relativeFrom="paragraph">
            <wp:posOffset>80645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1312" behindDoc="0" locked="0" layoutInCell="1" allowOverlap="1" wp14:anchorId="7534DE1F" wp14:editId="06FB7AB1">
          <wp:simplePos x="0" y="0"/>
          <wp:positionH relativeFrom="column">
            <wp:posOffset>2751455</wp:posOffset>
          </wp:positionH>
          <wp:positionV relativeFrom="paragraph">
            <wp:posOffset>74295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E254A9">
      <w:rPr>
        <w:rFonts w:ascii="Republika" w:hAnsi="Republika" w:cs="Arial"/>
        <w:sz w:val="16"/>
      </w:rPr>
      <w:tab/>
    </w:r>
    <w:bookmarkStart w:id="2" w:name="_Hlk184975996"/>
  </w:p>
  <w:p w14:paraId="33D2BDEA" w14:textId="15C900E8" w:rsidR="00E14EFB" w:rsidRDefault="00E14EFB" w:rsidP="00EB6F9C">
    <w:pPr>
      <w:pStyle w:val="Glava"/>
      <w:tabs>
        <w:tab w:val="left" w:pos="3261"/>
      </w:tabs>
      <w:rPr>
        <w:rFonts w:ascii="Republika" w:hAnsi="Republika" w:cs="Arial"/>
        <w:sz w:val="16"/>
      </w:rPr>
    </w:pPr>
    <w:r>
      <w:rPr>
        <w:noProof/>
        <w:lang w:eastAsia="sl-SI"/>
      </w:rPr>
      <w:drawing>
        <wp:anchor distT="0" distB="0" distL="114300" distR="114300" simplePos="0" relativeHeight="251659264" behindDoc="0" locked="0" layoutInCell="1" allowOverlap="1" wp14:anchorId="0B901421" wp14:editId="2BA1D017">
          <wp:simplePos x="0" y="0"/>
          <wp:positionH relativeFrom="margin">
            <wp:posOffset>-487045</wp:posOffset>
          </wp:positionH>
          <wp:positionV relativeFrom="paragraph">
            <wp:posOffset>92075</wp:posOffset>
          </wp:positionV>
          <wp:extent cx="3112770" cy="323850"/>
          <wp:effectExtent l="0" t="0" r="0" b="0"/>
          <wp:wrapThrough wrapText="bothSides">
            <wp:wrapPolygon edited="0">
              <wp:start x="0" y="0"/>
              <wp:lineTo x="0" y="20329"/>
              <wp:lineTo x="21415" y="20329"/>
              <wp:lineTo x="21415" y="0"/>
              <wp:lineTo x="0" y="0"/>
            </wp:wrapPolygon>
          </wp:wrapThrough>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277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BA9CC" w14:textId="5D854C4B" w:rsidR="00E14EFB" w:rsidRPr="00EB6F9C" w:rsidRDefault="00E14EFB" w:rsidP="00EB6F9C">
    <w:pPr>
      <w:pStyle w:val="Glava"/>
      <w:tabs>
        <w:tab w:val="left" w:pos="3261"/>
      </w:tabs>
      <w:rPr>
        <w:rFonts w:ascii="Republika" w:hAnsi="Republika" w:cs="Arial"/>
        <w:sz w:val="16"/>
      </w:rPr>
    </w:pPr>
  </w:p>
  <w:bookmarkEnd w:id="2"/>
  <w:p w14:paraId="4B79426E" w14:textId="164CA528" w:rsidR="00E14EFB" w:rsidRDefault="00E14EFB" w:rsidP="007619BB">
    <w:pPr>
      <w:pStyle w:val="Glava"/>
      <w:jc w:val="right"/>
      <w:rPr>
        <w:b/>
        <w:bCs/>
        <w:i/>
        <w:color w:val="0070C0"/>
        <w:kern w:val="32"/>
      </w:rPr>
    </w:pPr>
    <w:r w:rsidRPr="007619BB">
      <w:rPr>
        <w:b/>
        <w:bCs/>
        <w:i/>
        <w:color w:val="0070C0"/>
        <w:kern w:val="32"/>
      </w:rPr>
      <w:t>Ocena skladnosti z »načelom, da se ne škoduje bistveno«</w:t>
    </w:r>
  </w:p>
  <w:p w14:paraId="15689A51" w14:textId="77777777" w:rsidR="00E14EFB" w:rsidRPr="00151444" w:rsidRDefault="00E14EFB" w:rsidP="007619BB">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3291390"/>
    <w:multiLevelType w:val="hybridMultilevel"/>
    <w:tmpl w:val="5B3C87B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E376613"/>
    <w:multiLevelType w:val="hybridMultilevel"/>
    <w:tmpl w:val="763C3B66"/>
    <w:lvl w:ilvl="0" w:tplc="A968789A">
      <w:start w:val="1"/>
      <w:numFmt w:val="bullet"/>
      <w:lvlText w:val=""/>
      <w:lvlJc w:val="left"/>
      <w:pPr>
        <w:ind w:left="360" w:hanging="360"/>
      </w:pPr>
      <w:rPr>
        <w:rFonts w:ascii="Symbol" w:hAnsi="Symbol" w:hint="default"/>
        <w:color w:val="FF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 w15:restartNumberingAfterBreak="0">
    <w:nsid w:val="546E3DFF"/>
    <w:multiLevelType w:val="hybridMultilevel"/>
    <w:tmpl w:val="547A1C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EA76670"/>
    <w:multiLevelType w:val="hybridMultilevel"/>
    <w:tmpl w:val="64E8A74C"/>
    <w:lvl w:ilvl="0" w:tplc="C0F06FE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2A06278"/>
    <w:multiLevelType w:val="hybridMultilevel"/>
    <w:tmpl w:val="9DCAEAB0"/>
    <w:lvl w:ilvl="0" w:tplc="A968789A">
      <w:start w:val="1"/>
      <w:numFmt w:val="bullet"/>
      <w:lvlText w:val=""/>
      <w:lvlJc w:val="left"/>
      <w:pPr>
        <w:ind w:left="360" w:hanging="360"/>
      </w:pPr>
      <w:rPr>
        <w:rFonts w:ascii="Symbol" w:hAnsi="Symbol" w:hint="default"/>
        <w:color w:val="FF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534073763">
    <w:abstractNumId w:val="9"/>
  </w:num>
  <w:num w:numId="2" w16cid:durableId="1146121279">
    <w:abstractNumId w:val="2"/>
  </w:num>
  <w:num w:numId="3" w16cid:durableId="861743149">
    <w:abstractNumId w:val="6"/>
  </w:num>
  <w:num w:numId="4" w16cid:durableId="54815602">
    <w:abstractNumId w:val="0"/>
  </w:num>
  <w:num w:numId="5" w16cid:durableId="942106848">
    <w:abstractNumId w:val="4"/>
  </w:num>
  <w:num w:numId="6" w16cid:durableId="2049140736">
    <w:abstractNumId w:val="5"/>
  </w:num>
  <w:num w:numId="7" w16cid:durableId="244925495">
    <w:abstractNumId w:val="1"/>
  </w:num>
  <w:num w:numId="8" w16cid:durableId="1903251326">
    <w:abstractNumId w:val="3"/>
  </w:num>
  <w:num w:numId="9" w16cid:durableId="1290625084">
    <w:abstractNumId w:val="7"/>
  </w:num>
  <w:num w:numId="10" w16cid:durableId="20625978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790D"/>
    <w:rsid w:val="00010095"/>
    <w:rsid w:val="00012A34"/>
    <w:rsid w:val="00013CC9"/>
    <w:rsid w:val="00014669"/>
    <w:rsid w:val="00015D8F"/>
    <w:rsid w:val="00015ED9"/>
    <w:rsid w:val="00024D3B"/>
    <w:rsid w:val="00027195"/>
    <w:rsid w:val="00027635"/>
    <w:rsid w:val="00027A86"/>
    <w:rsid w:val="00032727"/>
    <w:rsid w:val="000369B4"/>
    <w:rsid w:val="00042654"/>
    <w:rsid w:val="0004442C"/>
    <w:rsid w:val="00044D7F"/>
    <w:rsid w:val="00051F0A"/>
    <w:rsid w:val="000572FD"/>
    <w:rsid w:val="00061747"/>
    <w:rsid w:val="0006560B"/>
    <w:rsid w:val="000705A3"/>
    <w:rsid w:val="00072761"/>
    <w:rsid w:val="00075416"/>
    <w:rsid w:val="00076BFF"/>
    <w:rsid w:val="000803E8"/>
    <w:rsid w:val="0008169E"/>
    <w:rsid w:val="00086D61"/>
    <w:rsid w:val="00086E8C"/>
    <w:rsid w:val="00090319"/>
    <w:rsid w:val="00090EEC"/>
    <w:rsid w:val="000914E7"/>
    <w:rsid w:val="00091DCA"/>
    <w:rsid w:val="000933DC"/>
    <w:rsid w:val="000A1FAF"/>
    <w:rsid w:val="000A401C"/>
    <w:rsid w:val="000A4176"/>
    <w:rsid w:val="000A4639"/>
    <w:rsid w:val="000A488C"/>
    <w:rsid w:val="000A4A43"/>
    <w:rsid w:val="000A5E29"/>
    <w:rsid w:val="000A7574"/>
    <w:rsid w:val="000B3B42"/>
    <w:rsid w:val="000C0CB0"/>
    <w:rsid w:val="000C4744"/>
    <w:rsid w:val="000C4D39"/>
    <w:rsid w:val="000D2D5D"/>
    <w:rsid w:val="000E398C"/>
    <w:rsid w:val="000E63C1"/>
    <w:rsid w:val="000F2BE5"/>
    <w:rsid w:val="00104C2F"/>
    <w:rsid w:val="00107012"/>
    <w:rsid w:val="00111097"/>
    <w:rsid w:val="001119FC"/>
    <w:rsid w:val="00112748"/>
    <w:rsid w:val="00114F13"/>
    <w:rsid w:val="001249B0"/>
    <w:rsid w:val="00124C4A"/>
    <w:rsid w:val="0013046A"/>
    <w:rsid w:val="00134C33"/>
    <w:rsid w:val="00135E07"/>
    <w:rsid w:val="001365E7"/>
    <w:rsid w:val="00137D85"/>
    <w:rsid w:val="00142A24"/>
    <w:rsid w:val="00143CEA"/>
    <w:rsid w:val="00144265"/>
    <w:rsid w:val="00151444"/>
    <w:rsid w:val="00154220"/>
    <w:rsid w:val="00156023"/>
    <w:rsid w:val="00157BF7"/>
    <w:rsid w:val="00160172"/>
    <w:rsid w:val="00165BC5"/>
    <w:rsid w:val="00167476"/>
    <w:rsid w:val="001769D0"/>
    <w:rsid w:val="00183D95"/>
    <w:rsid w:val="00184022"/>
    <w:rsid w:val="00186C96"/>
    <w:rsid w:val="001913DA"/>
    <w:rsid w:val="00196500"/>
    <w:rsid w:val="001A1323"/>
    <w:rsid w:val="001A2A07"/>
    <w:rsid w:val="001A2A98"/>
    <w:rsid w:val="001A3F99"/>
    <w:rsid w:val="001A4C9E"/>
    <w:rsid w:val="001B3305"/>
    <w:rsid w:val="001B3ABA"/>
    <w:rsid w:val="001B5AEF"/>
    <w:rsid w:val="001C38A6"/>
    <w:rsid w:val="001C456E"/>
    <w:rsid w:val="001C5D94"/>
    <w:rsid w:val="001C77AA"/>
    <w:rsid w:val="001E0982"/>
    <w:rsid w:val="001E0DB4"/>
    <w:rsid w:val="001E1FB4"/>
    <w:rsid w:val="001E3142"/>
    <w:rsid w:val="001E4A74"/>
    <w:rsid w:val="001E51BE"/>
    <w:rsid w:val="001E62A8"/>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383E"/>
    <w:rsid w:val="00244290"/>
    <w:rsid w:val="00244FAA"/>
    <w:rsid w:val="002450B5"/>
    <w:rsid w:val="002458ED"/>
    <w:rsid w:val="00245910"/>
    <w:rsid w:val="00252677"/>
    <w:rsid w:val="002655EE"/>
    <w:rsid w:val="002708FD"/>
    <w:rsid w:val="0027318E"/>
    <w:rsid w:val="002755A2"/>
    <w:rsid w:val="00276C2C"/>
    <w:rsid w:val="00277A0E"/>
    <w:rsid w:val="00280CBA"/>
    <w:rsid w:val="002818BE"/>
    <w:rsid w:val="00282D11"/>
    <w:rsid w:val="00282D86"/>
    <w:rsid w:val="00287B09"/>
    <w:rsid w:val="00290303"/>
    <w:rsid w:val="0029055B"/>
    <w:rsid w:val="00290F6F"/>
    <w:rsid w:val="00296965"/>
    <w:rsid w:val="002A022C"/>
    <w:rsid w:val="002A18D2"/>
    <w:rsid w:val="002A1ABE"/>
    <w:rsid w:val="002A374C"/>
    <w:rsid w:val="002A618A"/>
    <w:rsid w:val="002B5AE3"/>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2F495F"/>
    <w:rsid w:val="00301A36"/>
    <w:rsid w:val="00304A96"/>
    <w:rsid w:val="003069C0"/>
    <w:rsid w:val="00311B44"/>
    <w:rsid w:val="00313ADA"/>
    <w:rsid w:val="003141A8"/>
    <w:rsid w:val="00314C83"/>
    <w:rsid w:val="00315C94"/>
    <w:rsid w:val="0032504D"/>
    <w:rsid w:val="003259E3"/>
    <w:rsid w:val="003365D1"/>
    <w:rsid w:val="00336882"/>
    <w:rsid w:val="00337543"/>
    <w:rsid w:val="0034097F"/>
    <w:rsid w:val="003420D6"/>
    <w:rsid w:val="00344DF1"/>
    <w:rsid w:val="0034693B"/>
    <w:rsid w:val="00350E13"/>
    <w:rsid w:val="00351005"/>
    <w:rsid w:val="00351B23"/>
    <w:rsid w:val="00351E61"/>
    <w:rsid w:val="00356D14"/>
    <w:rsid w:val="00365ACD"/>
    <w:rsid w:val="003721C1"/>
    <w:rsid w:val="00375CA5"/>
    <w:rsid w:val="0037677B"/>
    <w:rsid w:val="00381553"/>
    <w:rsid w:val="00382BA7"/>
    <w:rsid w:val="00385573"/>
    <w:rsid w:val="003872FF"/>
    <w:rsid w:val="00390387"/>
    <w:rsid w:val="003930E0"/>
    <w:rsid w:val="00394A17"/>
    <w:rsid w:val="003A2B31"/>
    <w:rsid w:val="003A3750"/>
    <w:rsid w:val="003A3EA1"/>
    <w:rsid w:val="003A4EDC"/>
    <w:rsid w:val="003B03B9"/>
    <w:rsid w:val="003B0EB4"/>
    <w:rsid w:val="003B127A"/>
    <w:rsid w:val="003B16AB"/>
    <w:rsid w:val="003B387B"/>
    <w:rsid w:val="003B5174"/>
    <w:rsid w:val="003B6520"/>
    <w:rsid w:val="003B76C3"/>
    <w:rsid w:val="003C21A3"/>
    <w:rsid w:val="003D0D44"/>
    <w:rsid w:val="003D1D62"/>
    <w:rsid w:val="003D5420"/>
    <w:rsid w:val="003D5A45"/>
    <w:rsid w:val="003E285E"/>
    <w:rsid w:val="003E3448"/>
    <w:rsid w:val="003E3A7B"/>
    <w:rsid w:val="003E4703"/>
    <w:rsid w:val="003E4DF5"/>
    <w:rsid w:val="003E4E87"/>
    <w:rsid w:val="003E7EF5"/>
    <w:rsid w:val="003F01E2"/>
    <w:rsid w:val="003F0438"/>
    <w:rsid w:val="003F1562"/>
    <w:rsid w:val="003F239F"/>
    <w:rsid w:val="0040054E"/>
    <w:rsid w:val="00402DD7"/>
    <w:rsid w:val="00403A7C"/>
    <w:rsid w:val="00405D1E"/>
    <w:rsid w:val="00414D20"/>
    <w:rsid w:val="004177C1"/>
    <w:rsid w:val="004223CB"/>
    <w:rsid w:val="00422BA5"/>
    <w:rsid w:val="00423670"/>
    <w:rsid w:val="00423D5D"/>
    <w:rsid w:val="004251EE"/>
    <w:rsid w:val="00426639"/>
    <w:rsid w:val="004270C7"/>
    <w:rsid w:val="0043500C"/>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87054"/>
    <w:rsid w:val="00492946"/>
    <w:rsid w:val="00492CFD"/>
    <w:rsid w:val="00497839"/>
    <w:rsid w:val="004A02AB"/>
    <w:rsid w:val="004A1A71"/>
    <w:rsid w:val="004A2E92"/>
    <w:rsid w:val="004A3F81"/>
    <w:rsid w:val="004A5CE0"/>
    <w:rsid w:val="004A6EED"/>
    <w:rsid w:val="004B4822"/>
    <w:rsid w:val="004B4D06"/>
    <w:rsid w:val="004B70B8"/>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1826"/>
    <w:rsid w:val="00512234"/>
    <w:rsid w:val="0051348E"/>
    <w:rsid w:val="00516E4A"/>
    <w:rsid w:val="00517734"/>
    <w:rsid w:val="00523426"/>
    <w:rsid w:val="00523A92"/>
    <w:rsid w:val="0052619C"/>
    <w:rsid w:val="00527802"/>
    <w:rsid w:val="0053228F"/>
    <w:rsid w:val="00533F95"/>
    <w:rsid w:val="005340B4"/>
    <w:rsid w:val="0053603F"/>
    <w:rsid w:val="00536343"/>
    <w:rsid w:val="00537703"/>
    <w:rsid w:val="00543FAA"/>
    <w:rsid w:val="00550FA5"/>
    <w:rsid w:val="00556A66"/>
    <w:rsid w:val="00557A71"/>
    <w:rsid w:val="00560323"/>
    <w:rsid w:val="00560A86"/>
    <w:rsid w:val="00562BEE"/>
    <w:rsid w:val="00563179"/>
    <w:rsid w:val="00564184"/>
    <w:rsid w:val="00564598"/>
    <w:rsid w:val="0056465D"/>
    <w:rsid w:val="00571AD7"/>
    <w:rsid w:val="005759CB"/>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C40"/>
    <w:rsid w:val="005B6302"/>
    <w:rsid w:val="005B65E2"/>
    <w:rsid w:val="005C23A9"/>
    <w:rsid w:val="005C2DFA"/>
    <w:rsid w:val="005C66FE"/>
    <w:rsid w:val="005D1D9D"/>
    <w:rsid w:val="005D311C"/>
    <w:rsid w:val="005D68E5"/>
    <w:rsid w:val="005E2056"/>
    <w:rsid w:val="005E3992"/>
    <w:rsid w:val="005E6E75"/>
    <w:rsid w:val="005E7E82"/>
    <w:rsid w:val="005F1452"/>
    <w:rsid w:val="005F1C44"/>
    <w:rsid w:val="005F49B5"/>
    <w:rsid w:val="00603BC6"/>
    <w:rsid w:val="00604652"/>
    <w:rsid w:val="00605180"/>
    <w:rsid w:val="00607DD6"/>
    <w:rsid w:val="00613AF4"/>
    <w:rsid w:val="00614E56"/>
    <w:rsid w:val="00616637"/>
    <w:rsid w:val="00623377"/>
    <w:rsid w:val="00625E89"/>
    <w:rsid w:val="00626549"/>
    <w:rsid w:val="00626C1C"/>
    <w:rsid w:val="0062759D"/>
    <w:rsid w:val="00630602"/>
    <w:rsid w:val="0063122F"/>
    <w:rsid w:val="00632F71"/>
    <w:rsid w:val="00635BCF"/>
    <w:rsid w:val="00637B9C"/>
    <w:rsid w:val="006443AF"/>
    <w:rsid w:val="00644490"/>
    <w:rsid w:val="00644B28"/>
    <w:rsid w:val="00644B85"/>
    <w:rsid w:val="006558BF"/>
    <w:rsid w:val="00656D9A"/>
    <w:rsid w:val="006571DE"/>
    <w:rsid w:val="00657FF7"/>
    <w:rsid w:val="00663F5F"/>
    <w:rsid w:val="00672A3A"/>
    <w:rsid w:val="00675C45"/>
    <w:rsid w:val="006810B3"/>
    <w:rsid w:val="0068734D"/>
    <w:rsid w:val="00687C2E"/>
    <w:rsid w:val="006906A0"/>
    <w:rsid w:val="00693724"/>
    <w:rsid w:val="00693A78"/>
    <w:rsid w:val="00694594"/>
    <w:rsid w:val="00694C17"/>
    <w:rsid w:val="00696EE8"/>
    <w:rsid w:val="006A0529"/>
    <w:rsid w:val="006A2953"/>
    <w:rsid w:val="006A2D0C"/>
    <w:rsid w:val="006B1AC0"/>
    <w:rsid w:val="006B52D0"/>
    <w:rsid w:val="006B7DF2"/>
    <w:rsid w:val="006C178E"/>
    <w:rsid w:val="006C2AAD"/>
    <w:rsid w:val="006C370F"/>
    <w:rsid w:val="006C5045"/>
    <w:rsid w:val="006C5D97"/>
    <w:rsid w:val="006D004D"/>
    <w:rsid w:val="006D1A49"/>
    <w:rsid w:val="006D45DA"/>
    <w:rsid w:val="006D4D93"/>
    <w:rsid w:val="006D76E0"/>
    <w:rsid w:val="006D7F25"/>
    <w:rsid w:val="006E04A5"/>
    <w:rsid w:val="006E6706"/>
    <w:rsid w:val="006E6734"/>
    <w:rsid w:val="006F054D"/>
    <w:rsid w:val="006F110F"/>
    <w:rsid w:val="006F20E1"/>
    <w:rsid w:val="006F5458"/>
    <w:rsid w:val="006F55D6"/>
    <w:rsid w:val="00700063"/>
    <w:rsid w:val="0070616F"/>
    <w:rsid w:val="00707809"/>
    <w:rsid w:val="00707D7D"/>
    <w:rsid w:val="00711FA7"/>
    <w:rsid w:val="00711FCA"/>
    <w:rsid w:val="00713FDF"/>
    <w:rsid w:val="00716460"/>
    <w:rsid w:val="00716527"/>
    <w:rsid w:val="00723204"/>
    <w:rsid w:val="00733389"/>
    <w:rsid w:val="0073431D"/>
    <w:rsid w:val="007401A5"/>
    <w:rsid w:val="007432C2"/>
    <w:rsid w:val="00747A46"/>
    <w:rsid w:val="00753634"/>
    <w:rsid w:val="007552EA"/>
    <w:rsid w:val="007619BB"/>
    <w:rsid w:val="00766FDA"/>
    <w:rsid w:val="00770B99"/>
    <w:rsid w:val="00771CA3"/>
    <w:rsid w:val="0077443B"/>
    <w:rsid w:val="00774FB9"/>
    <w:rsid w:val="0077678D"/>
    <w:rsid w:val="00782863"/>
    <w:rsid w:val="00784C2D"/>
    <w:rsid w:val="00786708"/>
    <w:rsid w:val="00786A4B"/>
    <w:rsid w:val="00787EBE"/>
    <w:rsid w:val="00787F2B"/>
    <w:rsid w:val="00790B20"/>
    <w:rsid w:val="00794F1F"/>
    <w:rsid w:val="007950B9"/>
    <w:rsid w:val="007960F6"/>
    <w:rsid w:val="007975AC"/>
    <w:rsid w:val="007A0813"/>
    <w:rsid w:val="007A18B4"/>
    <w:rsid w:val="007B0E4B"/>
    <w:rsid w:val="007B1523"/>
    <w:rsid w:val="007B33D9"/>
    <w:rsid w:val="007B6E91"/>
    <w:rsid w:val="007B7219"/>
    <w:rsid w:val="007B771F"/>
    <w:rsid w:val="007C37FC"/>
    <w:rsid w:val="007C66F5"/>
    <w:rsid w:val="007C6909"/>
    <w:rsid w:val="007D117A"/>
    <w:rsid w:val="007D2534"/>
    <w:rsid w:val="007E53E0"/>
    <w:rsid w:val="007E6B96"/>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04"/>
    <w:rsid w:val="00854B92"/>
    <w:rsid w:val="008575DE"/>
    <w:rsid w:val="008613B3"/>
    <w:rsid w:val="00861B94"/>
    <w:rsid w:val="00871D13"/>
    <w:rsid w:val="008726B2"/>
    <w:rsid w:val="00873C46"/>
    <w:rsid w:val="008835E4"/>
    <w:rsid w:val="0089057F"/>
    <w:rsid w:val="00896971"/>
    <w:rsid w:val="008A4B4B"/>
    <w:rsid w:val="008B09DB"/>
    <w:rsid w:val="008B469C"/>
    <w:rsid w:val="008B5DC2"/>
    <w:rsid w:val="008C00DF"/>
    <w:rsid w:val="008C1708"/>
    <w:rsid w:val="008C5804"/>
    <w:rsid w:val="008C6F64"/>
    <w:rsid w:val="008D1DE6"/>
    <w:rsid w:val="008E4C5B"/>
    <w:rsid w:val="008E7ABC"/>
    <w:rsid w:val="008F10D2"/>
    <w:rsid w:val="008F1740"/>
    <w:rsid w:val="008F18DE"/>
    <w:rsid w:val="008F226D"/>
    <w:rsid w:val="008F6BFE"/>
    <w:rsid w:val="00903D36"/>
    <w:rsid w:val="00906FFE"/>
    <w:rsid w:val="00912522"/>
    <w:rsid w:val="0091378C"/>
    <w:rsid w:val="009156A2"/>
    <w:rsid w:val="0091716E"/>
    <w:rsid w:val="00917229"/>
    <w:rsid w:val="009203AC"/>
    <w:rsid w:val="00923ADD"/>
    <w:rsid w:val="00923D23"/>
    <w:rsid w:val="00926F34"/>
    <w:rsid w:val="009300C2"/>
    <w:rsid w:val="00932790"/>
    <w:rsid w:val="00932ED5"/>
    <w:rsid w:val="00933E45"/>
    <w:rsid w:val="009414A3"/>
    <w:rsid w:val="00943345"/>
    <w:rsid w:val="00943C5C"/>
    <w:rsid w:val="009537AD"/>
    <w:rsid w:val="009575E9"/>
    <w:rsid w:val="0095773B"/>
    <w:rsid w:val="00960369"/>
    <w:rsid w:val="00964A12"/>
    <w:rsid w:val="00964C72"/>
    <w:rsid w:val="009655C2"/>
    <w:rsid w:val="00965966"/>
    <w:rsid w:val="009671A5"/>
    <w:rsid w:val="00967465"/>
    <w:rsid w:val="009719CD"/>
    <w:rsid w:val="00973E51"/>
    <w:rsid w:val="00977757"/>
    <w:rsid w:val="009811FD"/>
    <w:rsid w:val="0098237D"/>
    <w:rsid w:val="009855DE"/>
    <w:rsid w:val="00993F50"/>
    <w:rsid w:val="009A10D6"/>
    <w:rsid w:val="009A6DB0"/>
    <w:rsid w:val="009A6FDC"/>
    <w:rsid w:val="009B15CA"/>
    <w:rsid w:val="009B1FC0"/>
    <w:rsid w:val="009B47B4"/>
    <w:rsid w:val="009C0D56"/>
    <w:rsid w:val="009C1818"/>
    <w:rsid w:val="009C2B52"/>
    <w:rsid w:val="009C7542"/>
    <w:rsid w:val="009C7DB5"/>
    <w:rsid w:val="009D10C9"/>
    <w:rsid w:val="009D2B6C"/>
    <w:rsid w:val="009D2BC1"/>
    <w:rsid w:val="009D46CC"/>
    <w:rsid w:val="009D63BA"/>
    <w:rsid w:val="009E0823"/>
    <w:rsid w:val="009E0A30"/>
    <w:rsid w:val="009E0DA0"/>
    <w:rsid w:val="009E7221"/>
    <w:rsid w:val="009F352F"/>
    <w:rsid w:val="009F56EC"/>
    <w:rsid w:val="00A006AE"/>
    <w:rsid w:val="00A00C88"/>
    <w:rsid w:val="00A02100"/>
    <w:rsid w:val="00A0742F"/>
    <w:rsid w:val="00A0767E"/>
    <w:rsid w:val="00A10509"/>
    <w:rsid w:val="00A11946"/>
    <w:rsid w:val="00A13BE0"/>
    <w:rsid w:val="00A13E18"/>
    <w:rsid w:val="00A2087C"/>
    <w:rsid w:val="00A260A3"/>
    <w:rsid w:val="00A2661D"/>
    <w:rsid w:val="00A27A67"/>
    <w:rsid w:val="00A3329E"/>
    <w:rsid w:val="00A33AF0"/>
    <w:rsid w:val="00A349BA"/>
    <w:rsid w:val="00A3747E"/>
    <w:rsid w:val="00A375C6"/>
    <w:rsid w:val="00A419DD"/>
    <w:rsid w:val="00A42195"/>
    <w:rsid w:val="00A4414A"/>
    <w:rsid w:val="00A536C3"/>
    <w:rsid w:val="00A563F4"/>
    <w:rsid w:val="00A60919"/>
    <w:rsid w:val="00A63574"/>
    <w:rsid w:val="00A64422"/>
    <w:rsid w:val="00A64BFC"/>
    <w:rsid w:val="00A6535B"/>
    <w:rsid w:val="00A675D9"/>
    <w:rsid w:val="00A704DA"/>
    <w:rsid w:val="00A718EC"/>
    <w:rsid w:val="00A71B35"/>
    <w:rsid w:val="00A764FA"/>
    <w:rsid w:val="00A8002C"/>
    <w:rsid w:val="00A8127F"/>
    <w:rsid w:val="00A82B8E"/>
    <w:rsid w:val="00A83B79"/>
    <w:rsid w:val="00A8599F"/>
    <w:rsid w:val="00A86662"/>
    <w:rsid w:val="00A8708B"/>
    <w:rsid w:val="00A873EC"/>
    <w:rsid w:val="00A93010"/>
    <w:rsid w:val="00AA3C9B"/>
    <w:rsid w:val="00AB712C"/>
    <w:rsid w:val="00AB75AF"/>
    <w:rsid w:val="00AB7BED"/>
    <w:rsid w:val="00AC351D"/>
    <w:rsid w:val="00AC5495"/>
    <w:rsid w:val="00AC63CD"/>
    <w:rsid w:val="00AC79CE"/>
    <w:rsid w:val="00AD4187"/>
    <w:rsid w:val="00AE0A74"/>
    <w:rsid w:val="00AE610D"/>
    <w:rsid w:val="00AE6D8C"/>
    <w:rsid w:val="00AE7B2B"/>
    <w:rsid w:val="00AF5C63"/>
    <w:rsid w:val="00B00C6C"/>
    <w:rsid w:val="00B0563D"/>
    <w:rsid w:val="00B05D3F"/>
    <w:rsid w:val="00B11F00"/>
    <w:rsid w:val="00B13EDD"/>
    <w:rsid w:val="00B1706D"/>
    <w:rsid w:val="00B22F48"/>
    <w:rsid w:val="00B30AFE"/>
    <w:rsid w:val="00B320B2"/>
    <w:rsid w:val="00B33D0B"/>
    <w:rsid w:val="00B3510E"/>
    <w:rsid w:val="00B36AA1"/>
    <w:rsid w:val="00B37882"/>
    <w:rsid w:val="00B4454B"/>
    <w:rsid w:val="00B4642C"/>
    <w:rsid w:val="00B4799B"/>
    <w:rsid w:val="00B47CF9"/>
    <w:rsid w:val="00B50327"/>
    <w:rsid w:val="00B51948"/>
    <w:rsid w:val="00B62C52"/>
    <w:rsid w:val="00B66373"/>
    <w:rsid w:val="00B673C8"/>
    <w:rsid w:val="00B706FF"/>
    <w:rsid w:val="00B716DB"/>
    <w:rsid w:val="00B81515"/>
    <w:rsid w:val="00B84063"/>
    <w:rsid w:val="00B867F5"/>
    <w:rsid w:val="00B94536"/>
    <w:rsid w:val="00B9692A"/>
    <w:rsid w:val="00BA3E2E"/>
    <w:rsid w:val="00BA4D7A"/>
    <w:rsid w:val="00BB0081"/>
    <w:rsid w:val="00BB0A0C"/>
    <w:rsid w:val="00BB0FDE"/>
    <w:rsid w:val="00BB149C"/>
    <w:rsid w:val="00BB4BAD"/>
    <w:rsid w:val="00BB501E"/>
    <w:rsid w:val="00BD0FFA"/>
    <w:rsid w:val="00BD3E02"/>
    <w:rsid w:val="00BD4F80"/>
    <w:rsid w:val="00BD76C1"/>
    <w:rsid w:val="00BE01DA"/>
    <w:rsid w:val="00BE7586"/>
    <w:rsid w:val="00BF0E58"/>
    <w:rsid w:val="00BF5128"/>
    <w:rsid w:val="00BF6BE6"/>
    <w:rsid w:val="00C00215"/>
    <w:rsid w:val="00C035F8"/>
    <w:rsid w:val="00C03835"/>
    <w:rsid w:val="00C14D9A"/>
    <w:rsid w:val="00C153FD"/>
    <w:rsid w:val="00C17CEF"/>
    <w:rsid w:val="00C20E27"/>
    <w:rsid w:val="00C300E7"/>
    <w:rsid w:val="00C329C4"/>
    <w:rsid w:val="00C406EF"/>
    <w:rsid w:val="00C42A86"/>
    <w:rsid w:val="00C4330E"/>
    <w:rsid w:val="00C47141"/>
    <w:rsid w:val="00C47E08"/>
    <w:rsid w:val="00C51C91"/>
    <w:rsid w:val="00C52D2F"/>
    <w:rsid w:val="00C55E1A"/>
    <w:rsid w:val="00C56ED2"/>
    <w:rsid w:val="00C65C38"/>
    <w:rsid w:val="00C662AA"/>
    <w:rsid w:val="00C727D0"/>
    <w:rsid w:val="00C771E2"/>
    <w:rsid w:val="00C77626"/>
    <w:rsid w:val="00C778FD"/>
    <w:rsid w:val="00C808FE"/>
    <w:rsid w:val="00C81668"/>
    <w:rsid w:val="00C81F42"/>
    <w:rsid w:val="00C82C0D"/>
    <w:rsid w:val="00C83346"/>
    <w:rsid w:val="00C84904"/>
    <w:rsid w:val="00C8563F"/>
    <w:rsid w:val="00C87195"/>
    <w:rsid w:val="00C876F9"/>
    <w:rsid w:val="00C904E3"/>
    <w:rsid w:val="00C91295"/>
    <w:rsid w:val="00C915F1"/>
    <w:rsid w:val="00C922FB"/>
    <w:rsid w:val="00C9444F"/>
    <w:rsid w:val="00C9658D"/>
    <w:rsid w:val="00C97477"/>
    <w:rsid w:val="00CA7C9C"/>
    <w:rsid w:val="00CB0080"/>
    <w:rsid w:val="00CB28C6"/>
    <w:rsid w:val="00CB3E28"/>
    <w:rsid w:val="00CB42A9"/>
    <w:rsid w:val="00CC1537"/>
    <w:rsid w:val="00CC1889"/>
    <w:rsid w:val="00CC737F"/>
    <w:rsid w:val="00CC77A0"/>
    <w:rsid w:val="00CD2302"/>
    <w:rsid w:val="00CD4C04"/>
    <w:rsid w:val="00CD7E81"/>
    <w:rsid w:val="00CE0F7F"/>
    <w:rsid w:val="00CE2A5A"/>
    <w:rsid w:val="00CE3811"/>
    <w:rsid w:val="00CE4872"/>
    <w:rsid w:val="00CE58A1"/>
    <w:rsid w:val="00CE5EEC"/>
    <w:rsid w:val="00CE60E2"/>
    <w:rsid w:val="00CF364C"/>
    <w:rsid w:val="00CF4242"/>
    <w:rsid w:val="00CF42E8"/>
    <w:rsid w:val="00CF6510"/>
    <w:rsid w:val="00CF68CA"/>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2A3A"/>
    <w:rsid w:val="00D47789"/>
    <w:rsid w:val="00D47D42"/>
    <w:rsid w:val="00D535F2"/>
    <w:rsid w:val="00D54EB0"/>
    <w:rsid w:val="00D600A8"/>
    <w:rsid w:val="00D73319"/>
    <w:rsid w:val="00D80FDC"/>
    <w:rsid w:val="00D813A4"/>
    <w:rsid w:val="00D81946"/>
    <w:rsid w:val="00D83EB0"/>
    <w:rsid w:val="00D93068"/>
    <w:rsid w:val="00D95F65"/>
    <w:rsid w:val="00D964F4"/>
    <w:rsid w:val="00DA43E5"/>
    <w:rsid w:val="00DA53D6"/>
    <w:rsid w:val="00DB1A9C"/>
    <w:rsid w:val="00DB3DE3"/>
    <w:rsid w:val="00DB6D37"/>
    <w:rsid w:val="00DB70C3"/>
    <w:rsid w:val="00DC2741"/>
    <w:rsid w:val="00DC5F59"/>
    <w:rsid w:val="00DD4EC4"/>
    <w:rsid w:val="00DE29C7"/>
    <w:rsid w:val="00DE3E36"/>
    <w:rsid w:val="00DE4DC0"/>
    <w:rsid w:val="00DE5BBB"/>
    <w:rsid w:val="00DE5E9B"/>
    <w:rsid w:val="00DF2CB0"/>
    <w:rsid w:val="00DF4597"/>
    <w:rsid w:val="00DF730C"/>
    <w:rsid w:val="00DF7DAA"/>
    <w:rsid w:val="00E0093F"/>
    <w:rsid w:val="00E00AC4"/>
    <w:rsid w:val="00E02164"/>
    <w:rsid w:val="00E11725"/>
    <w:rsid w:val="00E1239A"/>
    <w:rsid w:val="00E147CA"/>
    <w:rsid w:val="00E14EFB"/>
    <w:rsid w:val="00E17DE6"/>
    <w:rsid w:val="00E20098"/>
    <w:rsid w:val="00E2444E"/>
    <w:rsid w:val="00E26BCE"/>
    <w:rsid w:val="00E2755C"/>
    <w:rsid w:val="00E2775B"/>
    <w:rsid w:val="00E3186B"/>
    <w:rsid w:val="00E37CD3"/>
    <w:rsid w:val="00E507AF"/>
    <w:rsid w:val="00E51E5B"/>
    <w:rsid w:val="00E51FF4"/>
    <w:rsid w:val="00E52C64"/>
    <w:rsid w:val="00E5624C"/>
    <w:rsid w:val="00E61C62"/>
    <w:rsid w:val="00E625CF"/>
    <w:rsid w:val="00E64459"/>
    <w:rsid w:val="00E67CAC"/>
    <w:rsid w:val="00E7651C"/>
    <w:rsid w:val="00E77D36"/>
    <w:rsid w:val="00E80193"/>
    <w:rsid w:val="00E81CEB"/>
    <w:rsid w:val="00E84224"/>
    <w:rsid w:val="00E94875"/>
    <w:rsid w:val="00E96C36"/>
    <w:rsid w:val="00E97C37"/>
    <w:rsid w:val="00EA2C4C"/>
    <w:rsid w:val="00EA4A8E"/>
    <w:rsid w:val="00EA4DF5"/>
    <w:rsid w:val="00EA6DC8"/>
    <w:rsid w:val="00EB0C82"/>
    <w:rsid w:val="00EB1726"/>
    <w:rsid w:val="00EB1E78"/>
    <w:rsid w:val="00EB2D18"/>
    <w:rsid w:val="00EB6F9C"/>
    <w:rsid w:val="00EC1432"/>
    <w:rsid w:val="00ED0641"/>
    <w:rsid w:val="00ED0692"/>
    <w:rsid w:val="00ED07CA"/>
    <w:rsid w:val="00ED1DDF"/>
    <w:rsid w:val="00ED67B6"/>
    <w:rsid w:val="00ED7800"/>
    <w:rsid w:val="00ED785D"/>
    <w:rsid w:val="00EE27AD"/>
    <w:rsid w:val="00EE3D76"/>
    <w:rsid w:val="00EE5500"/>
    <w:rsid w:val="00EF201C"/>
    <w:rsid w:val="00EF21F4"/>
    <w:rsid w:val="00EF26C7"/>
    <w:rsid w:val="00F02100"/>
    <w:rsid w:val="00F06713"/>
    <w:rsid w:val="00F1012B"/>
    <w:rsid w:val="00F127AC"/>
    <w:rsid w:val="00F13B7A"/>
    <w:rsid w:val="00F15977"/>
    <w:rsid w:val="00F2400F"/>
    <w:rsid w:val="00F3068E"/>
    <w:rsid w:val="00F40076"/>
    <w:rsid w:val="00F4200B"/>
    <w:rsid w:val="00F4349C"/>
    <w:rsid w:val="00F44E91"/>
    <w:rsid w:val="00F463E7"/>
    <w:rsid w:val="00F52331"/>
    <w:rsid w:val="00F53E9E"/>
    <w:rsid w:val="00F57536"/>
    <w:rsid w:val="00F65178"/>
    <w:rsid w:val="00F65CA2"/>
    <w:rsid w:val="00F66F73"/>
    <w:rsid w:val="00F74D04"/>
    <w:rsid w:val="00F7538F"/>
    <w:rsid w:val="00F75822"/>
    <w:rsid w:val="00F77ACD"/>
    <w:rsid w:val="00F8518C"/>
    <w:rsid w:val="00F87BE4"/>
    <w:rsid w:val="00F9227A"/>
    <w:rsid w:val="00F95D69"/>
    <w:rsid w:val="00FA0C28"/>
    <w:rsid w:val="00FA2423"/>
    <w:rsid w:val="00FA2CD9"/>
    <w:rsid w:val="00FA6291"/>
    <w:rsid w:val="00FA70D5"/>
    <w:rsid w:val="00FB09E0"/>
    <w:rsid w:val="00FB1B86"/>
    <w:rsid w:val="00FB22FA"/>
    <w:rsid w:val="00FB3EF6"/>
    <w:rsid w:val="00FB614A"/>
    <w:rsid w:val="00FB6A64"/>
    <w:rsid w:val="00FB73D0"/>
    <w:rsid w:val="00FC2C51"/>
    <w:rsid w:val="00FC65BB"/>
    <w:rsid w:val="00FC7083"/>
    <w:rsid w:val="00FE359F"/>
    <w:rsid w:val="00FE3686"/>
    <w:rsid w:val="00FF1F27"/>
    <w:rsid w:val="00FF5EB6"/>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pPr>
      <w:outlineLvl w:val="0"/>
    </w:pPr>
  </w:style>
  <w:style w:type="paragraph" w:styleId="Naslov2">
    <w:name w:val="heading 2"/>
    <w:basedOn w:val="Navaden"/>
    <w:next w:val="Navaden"/>
    <w:link w:val="Naslov2Znak"/>
    <w:uiPriority w:val="9"/>
    <w:qFormat/>
    <w:pPr>
      <w:outlineLvl w:val="1"/>
    </w:pPr>
  </w:style>
  <w:style w:type="paragraph" w:styleId="Naslov3">
    <w:name w:val="heading 3"/>
    <w:basedOn w:val="Navaden"/>
    <w:next w:val="Navaden"/>
    <w:uiPriority w:val="9"/>
    <w:qFormat/>
    <w:pPr>
      <w:outlineLvl w:val="2"/>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qFormat/>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9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9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vaden"/>
    <w:next w:val="Navaden"/>
    <w:uiPriority w:val="39"/>
    <w:unhideWhenUsed/>
    <w:qFormat/>
    <w:rsid w:val="00B9692A"/>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9D2BC1"/>
    <w:pPr>
      <w:spacing w:after="0" w:line="313" w:lineRule="atLeast"/>
    </w:pPr>
    <w:rPr>
      <w:rFonts w:ascii="Times New Roman" w:eastAsia="MS Mincho" w:hAnsi="Times New Roman" w:cs="Times New Roman"/>
      <w:sz w:val="24"/>
      <w:szCs w:val="20"/>
      <w:lang w:eastAsia="sl-SI"/>
    </w:rPr>
  </w:style>
  <w:style w:type="character" w:styleId="tevilkastrani">
    <w:name w:val="page number"/>
    <w:basedOn w:val="Privzetapisavaodstavka"/>
    <w:rsid w:val="00FB73D0"/>
  </w:style>
  <w:style w:type="character" w:styleId="SledenaHiperpovezava">
    <w:name w:val="FollowedHyperlink"/>
    <w:basedOn w:val="Privzetapisavaodstavka"/>
    <w:uiPriority w:val="99"/>
    <w:semiHidden/>
    <w:unhideWhenUsed/>
    <w:rsid w:val="00A653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93458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7" Type="http://schemas.openxmlformats.org/officeDocument/2006/relationships/hyperlink" Target="https://www.icnirp.org/cms/upload/publications/ICNIRPemfgdl.pdf"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6" Type="http://schemas.openxmlformats.org/officeDocument/2006/relationships/hyperlink" Target="https://www.ifc.org/wps/wcm/connect/29f5137d-6e17-4660-b1f9-02bf561935e5/Final%2B-%2BGeneral%2BEHS%2BGuidelines.pdf?MOD=AJPERES&amp;CVID=jOWim3p"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evropskasredstva.si/app/uploads/2023/09/Priloga-Programa_DNSH_Tehnicna-merila-za-izbor-projektov.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62D9B-E897-4EE9-8E92-A31BA690F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3275</Words>
  <Characters>18672</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skladnosti z načelom, da se ne škoduje bistveno (DNSH)</dc:title>
  <dc:creator>MOPE</dc:creator>
  <cp:lastModifiedBy>Kaja Poznič</cp:lastModifiedBy>
  <cp:revision>7</cp:revision>
  <cp:lastPrinted>2025-01-07T12:16:00Z</cp:lastPrinted>
  <dcterms:created xsi:type="dcterms:W3CDTF">2025-08-13T14:30:00Z</dcterms:created>
  <dcterms:modified xsi:type="dcterms:W3CDTF">2026-10-14T11:25:00Z</dcterms:modified>
  <dc:language>sl-SI</dc:language>
</cp:coreProperties>
</file>