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4F8FB" w14:textId="0CD74C63" w:rsidR="00C61ADB" w:rsidRDefault="00C61ADB" w:rsidP="00C61ADB">
      <w:pPr>
        <w:spacing w:line="410" w:lineRule="auto"/>
        <w:ind w:left="0" w:right="2" w:firstLine="0"/>
      </w:pPr>
      <w:r>
        <w:t xml:space="preserve">Emil Milan Pintar                                                                      </w:t>
      </w:r>
    </w:p>
    <w:p w14:paraId="712C9630" w14:textId="06B10D39" w:rsidR="0001095B" w:rsidRDefault="00A34EF7" w:rsidP="00C61ADB">
      <w:pPr>
        <w:spacing w:line="410" w:lineRule="auto"/>
        <w:ind w:left="5492" w:right="2" w:firstLine="0"/>
      </w:pPr>
      <w:r>
        <w:t xml:space="preserve"> »Kdor je malomaren pri resnici v                                                                                                                           malih stvareh, mu ni mogoče                                                                                                       zaupati v pomembnih zadevah« </w:t>
      </w:r>
    </w:p>
    <w:p w14:paraId="568A9B09" w14:textId="77777777" w:rsidR="0001095B" w:rsidRDefault="00A34EF7">
      <w:pPr>
        <w:spacing w:after="173"/>
        <w:ind w:left="5502" w:right="2"/>
      </w:pPr>
      <w:r>
        <w:t>A.</w:t>
      </w:r>
      <w:r>
        <w:rPr>
          <w:rFonts w:ascii="Arial" w:eastAsia="Arial" w:hAnsi="Arial" w:cs="Arial"/>
        </w:rPr>
        <w:t xml:space="preserve"> </w:t>
      </w:r>
      <w:r>
        <w:t xml:space="preserve">Einstein, povzeto po »Delu« </w:t>
      </w:r>
    </w:p>
    <w:p w14:paraId="1E6A7BD1" w14:textId="77777777" w:rsidR="0001095B" w:rsidRPr="00873DF1" w:rsidRDefault="00A34EF7" w:rsidP="00873DF1">
      <w:pPr>
        <w:pStyle w:val="Naslov"/>
        <w:rPr>
          <w:rFonts w:ascii="Calibri" w:eastAsia="Calibri" w:hAnsi="Calibri" w:cs="Calibri"/>
          <w:color w:val="000000"/>
          <w:spacing w:val="0"/>
          <w:kern w:val="2"/>
          <w:sz w:val="24"/>
          <w:szCs w:val="24"/>
        </w:rPr>
      </w:pPr>
      <w:r w:rsidRPr="00873DF1">
        <w:rPr>
          <w:rFonts w:ascii="Calibri" w:eastAsia="Calibri" w:hAnsi="Calibri" w:cs="Calibri"/>
          <w:color w:val="000000"/>
          <w:spacing w:val="0"/>
          <w:kern w:val="2"/>
          <w:sz w:val="24"/>
          <w:szCs w:val="24"/>
        </w:rPr>
        <w:t xml:space="preserve">Namestnik predsednika, PSCN </w:t>
      </w:r>
    </w:p>
    <w:p w14:paraId="761CC8B4" w14:textId="77777777" w:rsidR="0001095B" w:rsidRDefault="00A34EF7">
      <w:pPr>
        <w:spacing w:after="173"/>
        <w:ind w:right="2"/>
      </w:pPr>
      <w:r>
        <w:t xml:space="preserve">   LOČENO MNENJE k 10. Poročilu PSCN Vladi RS </w:t>
      </w:r>
    </w:p>
    <w:p w14:paraId="494CA20B" w14:textId="77777777" w:rsidR="0001095B" w:rsidRDefault="00A34EF7">
      <w:pPr>
        <w:ind w:right="2"/>
      </w:pPr>
      <w:r>
        <w:t xml:space="preserve">   Najprej, da ne bo nesporazuma: Poročilo, ki ga je sprejel PSCN na svoji 18. izredni seji dne </w:t>
      </w:r>
    </w:p>
    <w:p w14:paraId="1BF15531" w14:textId="77777777" w:rsidR="0001095B" w:rsidRDefault="00A34EF7">
      <w:pPr>
        <w:spacing w:after="173"/>
        <w:ind w:right="2"/>
      </w:pPr>
      <w:r>
        <w:t xml:space="preserve">15. oktobra 2026, podpiram. </w:t>
      </w:r>
    </w:p>
    <w:p w14:paraId="145E006F" w14:textId="77777777" w:rsidR="0001095B" w:rsidRDefault="00A34EF7">
      <w:pPr>
        <w:spacing w:after="168"/>
        <w:ind w:right="2"/>
      </w:pPr>
      <w:r>
        <w:t xml:space="preserve">   Prav tako se strinjam tudi z generalno oceno poteka projekta, POZITIVNO S PRIDRŽKOM, podano v tem Poročilu. </w:t>
      </w:r>
    </w:p>
    <w:p w14:paraId="75436EAC" w14:textId="77777777" w:rsidR="0001095B" w:rsidRDefault="00A34EF7">
      <w:pPr>
        <w:spacing w:after="169"/>
        <w:ind w:right="2"/>
      </w:pPr>
      <w:r>
        <w:t xml:space="preserve">   Moja odločitev, da k poročilu dodam LOČENO MNENJE, se nanaša na dejstvo, da se PSCN ni odločil, da bi posamezne ugotovitve glede nepravilnosti in napak, na katere je opozarjal v svojih Poročilih vladi skozi celoten potek projekta,  medsebojno povezal in tako ustvaril celovito sliko dogajanja. Prav tako ni ugotavljal, zakaj so večino teh predlogov odgovorni zavračali brez argumentiranih strokovnih razlogov. To dejstvo nas sili v ugotovitev, da so pri številnih odločitvah prevladali drugi, nestrokovni razlogi. Dopuščajo ugotovitev, da se za njimi verjetno  skrivajo zasebni interesi. To pa nekatere odločitve, sprejete v teku projekta, postavljajo v povsem drugačno luč In zahtevajo drugačno razumevanje in oceno vodenja projekta in nanj vezane  politike v celoti. </w:t>
      </w:r>
    </w:p>
    <w:p w14:paraId="36F9C036" w14:textId="77777777" w:rsidR="0001095B" w:rsidRDefault="00A34EF7">
      <w:pPr>
        <w:spacing w:after="169"/>
        <w:ind w:right="2"/>
      </w:pPr>
      <w:r>
        <w:t xml:space="preserve">   Ker se (po letu in pol zamude in še ne povsem znani podražitvi projekta) približuje njegovo dokončanje v letu 2027, smatram, da moramo opozorila in predloge, ki jih je na pristojne organe v tem obdobju naslavljal PSCN, pogledati in analizirati kot povezano celoto, kot povezana dejstva v širšem časovnem in družbenem kontekstu. To nam omogoča, da ločimo probleme in odločitve, ki se v vsakem projektu pojavljajo, od načrtnih napak ali neprimernega ravnanja odgovornih. Šele tako dobimo izhodišče za realno oceno projekta – sliko, ki nam lahko da določena spoznanja in izkušnje za boljše vodenje podobnih projektov v bodoče. To je tudi cilj tega zapisa. </w:t>
      </w:r>
    </w:p>
    <w:p w14:paraId="264F97AF" w14:textId="77777777" w:rsidR="0001095B" w:rsidRDefault="00A34EF7">
      <w:pPr>
        <w:spacing w:after="169"/>
        <w:ind w:right="2"/>
      </w:pPr>
      <w:r>
        <w:t xml:space="preserve">   V svojem ločenem mnenju torej ne želim razkrivati  nekih novih dejstev. V tem smislu bi lahko moj zapis razumeli kot »dodatno mnenje in utemeljitve«. Ker pa to ni uradna opredelitev, ostajam pri oznaki »ločeno mnenje«.  </w:t>
      </w:r>
    </w:p>
    <w:p w14:paraId="567AD3AA" w14:textId="77777777" w:rsidR="0001095B" w:rsidRDefault="00A34EF7">
      <w:pPr>
        <w:ind w:right="2"/>
      </w:pPr>
      <w:r>
        <w:lastRenderedPageBreak/>
        <w:t xml:space="preserve">   Prav tako ne želim  poudarjati individualne odgovornosti za posamezne napake in odločitve ali celo raziskovati njihova ozadja; to je stvar drugih organov (ne PSCN), kadar so posledice napak ali korupcijska tveganja očitna. Pri svojih ocenah sem se pogosto naslonil na ugotovitve, ocene in rezultate analiz gibanja SINTEZA, ki projekt intenzivno spremlja od samega začetka in je tudi najbolj zaslužna za nastanek PSCN. </w:t>
      </w:r>
    </w:p>
    <w:p w14:paraId="4116F859" w14:textId="77777777" w:rsidR="0001095B" w:rsidRDefault="00A34EF7">
      <w:pPr>
        <w:spacing w:after="173"/>
        <w:ind w:right="2"/>
      </w:pPr>
      <w:r>
        <w:t xml:space="preserve">   Poglejmo nekatere najbolj sporne dogodke in odločitve: </w:t>
      </w:r>
    </w:p>
    <w:p w14:paraId="29425523" w14:textId="77777777" w:rsidR="0001095B" w:rsidRPr="004A2C6F" w:rsidRDefault="00A34EF7" w:rsidP="004A2C6F">
      <w:pPr>
        <w:pStyle w:val="Naslov1"/>
        <w:numPr>
          <w:ilvl w:val="0"/>
          <w:numId w:val="1"/>
        </w:numPr>
        <w:ind w:hanging="347"/>
        <w:rPr>
          <w:rFonts w:ascii="Calibri" w:eastAsia="Calibri" w:hAnsi="Calibri" w:cs="Calibri"/>
          <w:color w:val="000000"/>
          <w:sz w:val="24"/>
          <w:szCs w:val="24"/>
        </w:rPr>
      </w:pPr>
      <w:r w:rsidRPr="004A2C6F">
        <w:rPr>
          <w:rFonts w:ascii="Calibri" w:eastAsia="Calibri" w:hAnsi="Calibri" w:cs="Calibri"/>
          <w:color w:val="000000"/>
          <w:sz w:val="24"/>
          <w:szCs w:val="24"/>
        </w:rPr>
        <w:t xml:space="preserve">Oblikovanje »Projekta 2TDK« </w:t>
      </w:r>
    </w:p>
    <w:p w14:paraId="70C8DB48" w14:textId="77777777" w:rsidR="0001095B" w:rsidRDefault="00A34EF7">
      <w:pPr>
        <w:numPr>
          <w:ilvl w:val="1"/>
          <w:numId w:val="1"/>
        </w:numPr>
        <w:ind w:right="2" w:hanging="415"/>
      </w:pPr>
      <w:r>
        <w:t xml:space="preserve">Vlada M. Cerarja je novo železniško povezavo Divača – Koper opredelila kot dvotirno. Nova vlada je (verjetno pod določenimi pritiski, vendar brez argumentiranih obrazložitev), sprejela odločitev, da se ta povezava gradi v dveh fazah. To je projekt podražilo za več deset mio, bistveno bolj prizadelo okolje in negativno vplivalo na prometne težave na cestah v regiji. Razdelitev projekta v dve fazi ne more dobiti strokovno pozitivne ocene. </w:t>
      </w:r>
    </w:p>
    <w:p w14:paraId="64914281" w14:textId="77777777" w:rsidR="0001095B" w:rsidRDefault="00A34EF7">
      <w:pPr>
        <w:numPr>
          <w:ilvl w:val="1"/>
          <w:numId w:val="1"/>
        </w:numPr>
        <w:ind w:right="2" w:hanging="415"/>
      </w:pPr>
      <w:r>
        <w:t xml:space="preserve">V uvodni razpravi o ceni projekta MZI ni odločno podprlo zahteve, da morajo biti stroški projekta ocenjeni gospodarno. Posledično so prevladali kapitalski (potrošni) interesi nekaterih načrtovalcev in izvajalcev po  višjih ocenah stroškov. V teh razpravah pa se je že bilo mogoče razbrati, da se je že tudi  oblikoval lok institucij (neformalna povezava), ki so se vztrajno zavzemale za dražji projekt. Posledično je bila končno dogovorjena osnovna cena projekta (1,194 mio) po mnenju zunanjih strokovnjakov vsaj za 10 – 20 % nad gospodarno. </w:t>
      </w:r>
    </w:p>
    <w:p w14:paraId="33B137B0" w14:textId="77777777" w:rsidR="0001095B" w:rsidRDefault="00A34EF7">
      <w:pPr>
        <w:numPr>
          <w:ilvl w:val="1"/>
          <w:numId w:val="1"/>
        </w:numPr>
        <w:ind w:right="2" w:hanging="415"/>
      </w:pPr>
      <w:r>
        <w:t xml:space="preserve">To se je pokazalo tudi v strukturi stroškov projekta: v IP (1) je razvidno, da so prikazane potrebe po »rezervah za tveganje« enormne, predvideni stroški za vodenje in nadzor poteka projekta pa v primerjavi s podobnimi projekti prekoračeni za približno 30 %. Na te anomalije je PSCN večkrat opozoril, vendar so bila ta opozorila spregledana. Kot kažejo dokumenti, s katerimi razpolagamo, so načrtovalci  že vse od leta 2014 načrtovali neutemeljeno visoke cene projekta (okoli 1.300 mio) </w:t>
      </w:r>
    </w:p>
    <w:p w14:paraId="30B23933" w14:textId="77777777" w:rsidR="0001095B" w:rsidRDefault="00A34EF7">
      <w:pPr>
        <w:numPr>
          <w:ilvl w:val="1"/>
          <w:numId w:val="1"/>
        </w:numPr>
        <w:ind w:right="2" w:hanging="415"/>
      </w:pPr>
      <w:r>
        <w:t xml:space="preserve">Ker so načrtovalci (DRI) vztrajali pri svojih opredelitvah predvidenih stroškov, investitor (podjetje 2TDK) ni moglo naročila za izdelavo IP predati našim strokovnjakom. Naročilo je prevzelo podjetje </w:t>
      </w:r>
      <w:proofErr w:type="spellStart"/>
      <w:r>
        <w:t>Deloitte</w:t>
      </w:r>
      <w:proofErr w:type="spellEnd"/>
      <w:r>
        <w:t xml:space="preserve">, ki za take naloge ni bilo usposobljeno, zato ga je s </w:t>
      </w:r>
      <w:proofErr w:type="spellStart"/>
      <w:r>
        <w:t>podjemno</w:t>
      </w:r>
      <w:proofErr w:type="spellEnd"/>
      <w:r>
        <w:t xml:space="preserve"> pogodbo preneslo na podjetje </w:t>
      </w:r>
      <w:proofErr w:type="spellStart"/>
      <w:r>
        <w:t>Mott</w:t>
      </w:r>
      <w:proofErr w:type="spellEnd"/>
      <w:r>
        <w:t xml:space="preserve"> McDonald. To podjetje je IP sicer izdelalo, ni pa hotelo prevzeti odgovornosti za njegovo vsebino, kar predstavlja svojevrsten absurd in resno opozorilo, da so se s projektom dogajale nekatere neobičajne stvari. V uvodu so avtorji zapisali, da »za finančne in druge predpostavke, vsebovane v tem Poročilu, odgovarja naročnik, ki je informacije podal«. </w:t>
      </w:r>
    </w:p>
    <w:p w14:paraId="40492056" w14:textId="77777777" w:rsidR="0001095B" w:rsidRDefault="00A34EF7">
      <w:pPr>
        <w:numPr>
          <w:ilvl w:val="1"/>
          <w:numId w:val="1"/>
        </w:numPr>
        <w:ind w:right="2" w:hanging="415"/>
      </w:pPr>
      <w:r>
        <w:lastRenderedPageBreak/>
        <w:t xml:space="preserve">Vse te težave pri pripravah IP(1), iskanje izvajalca in skrivanje podatkov pred javnostjo in PSCN (ki je Poročilo videl pol dne pred sprejemom na vladi!) so bile poglobljene z dejstvom, da je končna cena IP za približno 30 krat (!) presegla normalno ceno za pripravo takega gradiva. Kljub vztrajanju PSCN, da od 2TDK ali MZI pridobi podatke o strukturi stroškov, mu to ni uspelo, kar odpira možnosti za oceno, da večji del teh sredstev ni bil porabljen v skladu z običajno prakso in zakonskimi opredelitvami oz. za projekt. Ocena delovanja naročnika (2TDK) in MZI je v tem kontekstu izrazito negativna, toliko bolj, ker so očitno odpovedali tudi sistemski nosilci nadzora (Računsko sodišče). </w:t>
      </w:r>
    </w:p>
    <w:p w14:paraId="506A4FAB" w14:textId="77777777" w:rsidR="0001095B" w:rsidRDefault="00A34EF7">
      <w:pPr>
        <w:numPr>
          <w:ilvl w:val="1"/>
          <w:numId w:val="1"/>
        </w:numPr>
        <w:ind w:right="2" w:hanging="415"/>
      </w:pPr>
      <w:r>
        <w:t xml:space="preserve">Strokovna ocena IP je torej negativna. V IP (1) manjka celotno poglavje o gospodarjenju z izkopanim materialom, stroški vodenja in nadzora so ocenjeni previsoko, geološke raziskave niso bile izvedene v ustrezni obliki, odločitev o elektrifikaciji nove železniške povezave je neutemeljena in po mnenju strokovnjakov zgrešena. MZI bi moralo tak IP ZAVRNITI, namesto tega pa je vztrajalo, da ga vlada sprejme oz. potrdi. </w:t>
      </w:r>
    </w:p>
    <w:p w14:paraId="197F3774" w14:textId="77777777" w:rsidR="0001095B" w:rsidRDefault="00A34EF7">
      <w:pPr>
        <w:spacing w:after="22" w:line="259" w:lineRule="auto"/>
        <w:ind w:left="991" w:firstLine="0"/>
      </w:pPr>
      <w:r>
        <w:t xml:space="preserve"> </w:t>
      </w:r>
    </w:p>
    <w:p w14:paraId="407F18EF" w14:textId="77777777" w:rsidR="0001095B" w:rsidRPr="004A2C6F" w:rsidRDefault="00A34EF7" w:rsidP="004A2C6F">
      <w:pPr>
        <w:pStyle w:val="Naslov1"/>
        <w:numPr>
          <w:ilvl w:val="0"/>
          <w:numId w:val="1"/>
        </w:numPr>
        <w:ind w:hanging="347"/>
        <w:rPr>
          <w:rFonts w:ascii="Calibri" w:eastAsia="Calibri" w:hAnsi="Calibri" w:cs="Calibri"/>
          <w:color w:val="000000"/>
          <w:sz w:val="24"/>
          <w:szCs w:val="24"/>
        </w:rPr>
      </w:pPr>
      <w:r w:rsidRPr="004A2C6F">
        <w:rPr>
          <w:rFonts w:ascii="Calibri" w:eastAsia="Calibri" w:hAnsi="Calibri" w:cs="Calibri"/>
          <w:color w:val="000000"/>
          <w:sz w:val="24"/>
          <w:szCs w:val="24"/>
        </w:rPr>
        <w:t xml:space="preserve">Začetek gradnje in potek projekta </w:t>
      </w:r>
    </w:p>
    <w:p w14:paraId="66EC60B7" w14:textId="77777777" w:rsidR="0001095B" w:rsidRDefault="00A34EF7">
      <w:pPr>
        <w:numPr>
          <w:ilvl w:val="1"/>
          <w:numId w:val="1"/>
        </w:numPr>
        <w:ind w:right="2" w:hanging="415"/>
      </w:pPr>
      <w:r>
        <w:t xml:space="preserve">Projekt se je začel z zmedo glede določitve izvajalca dostopnih cest do gradbišč. V tej zmedi se je izkazalo, da slovenska gradbena oz. investicijska zakonodaje daje gradbenim podjetjem skoraj neizčrpne možnosti za pritožbe na odločitve investitorjev, pa tudi za oblikovanje interesnih povezav (lobijev), ki omogočajo izigravanje predpisov. Politika je v tem kaosu delovala nemočno, neodločno, nekonsistentno: konkretna posledica te zmede je bila poldrugo leto zamude pri dejanskem začetku graditve projekta, kar se je vleklo skozi celoten projekt in bistveno vplivalo na njegov zaključek. </w:t>
      </w:r>
    </w:p>
    <w:p w14:paraId="154728CC" w14:textId="77777777" w:rsidR="0001095B" w:rsidRDefault="00A34EF7">
      <w:pPr>
        <w:numPr>
          <w:ilvl w:val="1"/>
          <w:numId w:val="1"/>
        </w:numPr>
        <w:ind w:right="2" w:hanging="415"/>
      </w:pPr>
      <w:r>
        <w:t xml:space="preserve">Nekonsistentnost slovenske investicijske (gradbene) zakonodaje se je kazala tudi skozi celoten potek projekta, kar je najprej omogočilo, da so bili iz razpisov projekta  izločena tuja podjetja, hkrati pa se je iz slovenskega prostora (po dogovoru med potencialnimi izvajalci?) na razpise javljalo eno samo podjetje, ki je bilo nato v pogajalskih postopkih o ceni posameznih del v neprestani (izsiljevalski)  prednosti pred naročnikom. Ocenjujem, da se bo to posebej pokazalo ob finančnem zaključevanju projekta (aneksi). Posebej je treba opozoriti, da tik pred zaključkom projekta  še ni dokončno jasna usoda dveh velikih, več sto milijonskih terjatev. </w:t>
      </w:r>
    </w:p>
    <w:p w14:paraId="65F4C531" w14:textId="77777777" w:rsidR="0001095B" w:rsidRDefault="00A34EF7">
      <w:pPr>
        <w:numPr>
          <w:ilvl w:val="1"/>
          <w:numId w:val="1"/>
        </w:numPr>
        <w:ind w:right="2" w:hanging="415"/>
      </w:pPr>
      <w:r>
        <w:t xml:space="preserve">V ta kontekst neenakopravnih odnosov med naročnikom in izvajalcem spada dejstvo, da izvajalec v celotnem poteku del ni izdelal in spoštoval generalnega terminskega načrta del in je deloval zgolj na podlagi etapnih terminskih načrtov. S </w:t>
      </w:r>
      <w:r>
        <w:lastRenderedPageBreak/>
        <w:t xml:space="preserve">tem je prikrival dejanske (generalne) zaostanke v izvajanju posameznih del. Te je naročnik na določen način legaliziral s korekturami oz. spreminjanju Investicijskega načrta, ki ga je spreminjal vsaki dve leti. Prvemu iz leta 2019 je sledil drugi v obliki internih popravkov v letu 2021, tretji z večjimi spremembami v letu 2023 in četrti v letu 2025. V vsakem so določeni časovni termini poteka projekta spremenjeni in prilagojeni dejanskemu poteku gradnje, kar je omogočalo politiki, da je javnosti prikazovala lažno sliko, da »se projekt izvaja v skladu z načrti«, čeprav se je začetna zamuda vlekla in povečevala skozi celoten potek projekta. </w:t>
      </w:r>
    </w:p>
    <w:p w14:paraId="7A3DD3A5" w14:textId="77777777" w:rsidR="0001095B" w:rsidRDefault="00A34EF7">
      <w:pPr>
        <w:spacing w:after="24" w:line="259" w:lineRule="auto"/>
        <w:ind w:left="991" w:firstLine="0"/>
      </w:pPr>
      <w:r>
        <w:t xml:space="preserve"> </w:t>
      </w:r>
    </w:p>
    <w:p w14:paraId="30ED61E5" w14:textId="77777777" w:rsidR="0001095B" w:rsidRDefault="00A34EF7" w:rsidP="004A2C6F">
      <w:pPr>
        <w:pStyle w:val="Naslov1"/>
        <w:numPr>
          <w:ilvl w:val="0"/>
          <w:numId w:val="1"/>
        </w:numPr>
        <w:ind w:hanging="347"/>
      </w:pPr>
      <w:r w:rsidRPr="004A2C6F">
        <w:rPr>
          <w:rFonts w:ascii="Calibri" w:eastAsia="Calibri" w:hAnsi="Calibri" w:cs="Calibri"/>
          <w:color w:val="000000"/>
          <w:sz w:val="24"/>
          <w:szCs w:val="24"/>
        </w:rPr>
        <w:t xml:space="preserve">Politična (in strokovna) diskontinuiteta vodenja projekta. </w:t>
      </w:r>
    </w:p>
    <w:p w14:paraId="1DD158E6" w14:textId="77777777" w:rsidR="0001095B" w:rsidRDefault="00A34EF7">
      <w:pPr>
        <w:numPr>
          <w:ilvl w:val="1"/>
          <w:numId w:val="1"/>
        </w:numPr>
        <w:ind w:right="2" w:hanging="415"/>
      </w:pPr>
      <w:r>
        <w:t xml:space="preserve">PSCN je že v prvem Poročilu vladi predlagal (in pri tem predlogu vztrajal), da vlada     imenuje »direktorja projekta«, torej osebo (ekipo) z ustreznimi pristojnostmi, ki bi vodila projekt in odgovarjala za njegovo realizacijo. Toda aktualni ministri oz. vlada so ta predlog vztrajno zavračali.   </w:t>
      </w:r>
    </w:p>
    <w:p w14:paraId="034C26B5" w14:textId="77777777" w:rsidR="0001095B" w:rsidRDefault="00A34EF7">
      <w:pPr>
        <w:ind w:left="1001" w:right="2"/>
      </w:pPr>
      <w:r>
        <w:t xml:space="preserve">Aktualne vlade (oz. od njih imenovani nadzorni sveti) so tako kar ŠESTKRAT v času poteka projekta odstavili stare in imenovali nove nosilce projekta: 2017, 2019, 2020, 2021, 2023 in seveda letos - 2026. </w:t>
      </w:r>
    </w:p>
    <w:p w14:paraId="1B75953E" w14:textId="77777777" w:rsidR="0001095B" w:rsidRDefault="00A34EF7">
      <w:pPr>
        <w:numPr>
          <w:ilvl w:val="1"/>
          <w:numId w:val="1"/>
        </w:numPr>
        <w:ind w:right="2" w:hanging="415"/>
      </w:pPr>
      <w:r>
        <w:t xml:space="preserve">Vse te kadrovske zamenjave so bile opravljene brez dokazovanja nepravilnosti oz. napak prejšnjega vodstva pri vodenju projekta oz. iz krivdnih razlogov. Vlade torej z zamenjavami vodstva investicijskega podjetja oz. projekta ne iščejo  izboljšav (vodenja) projekta. Kaj torej iščejo: potrebujejo  dobro plačana delovna mesta za svoje najbolj zveste pripadnike? Iščejo politični ugled? Verjetno vse to in še kaj drugega. Predvsem pa se neodvisnemu kritiku vsiljuje prepričanje, da vladajoče  stranske v prevzemanju vodenja tega velikega projekta iščejo sekundarne  predvsem materialne koristi? </w:t>
      </w:r>
    </w:p>
    <w:p w14:paraId="08EB3ACE" w14:textId="77777777" w:rsidR="0001095B" w:rsidRDefault="00A34EF7">
      <w:pPr>
        <w:ind w:left="1001" w:right="2"/>
      </w:pPr>
      <w:r>
        <w:t xml:space="preserve">Ne glede na odgovor na to vprašanje moramo tako obnašanje aktualnih vlad razumeti kot strokovno nezrelo ravnanje, kot gospodarsko nedvomno močno škodljivo, kot politično sporno in moralno nedozorelo. </w:t>
      </w:r>
    </w:p>
    <w:p w14:paraId="433B9BB2" w14:textId="77777777" w:rsidR="0001095B" w:rsidRDefault="00A34EF7">
      <w:pPr>
        <w:spacing w:after="22" w:line="259" w:lineRule="auto"/>
        <w:ind w:left="991" w:firstLine="0"/>
      </w:pPr>
      <w:r>
        <w:t xml:space="preserve"> </w:t>
      </w:r>
    </w:p>
    <w:p w14:paraId="60D0D19B" w14:textId="77777777" w:rsidR="0001095B" w:rsidRPr="004A2C6F" w:rsidRDefault="00A34EF7" w:rsidP="004A2C6F">
      <w:pPr>
        <w:pStyle w:val="Naslov1"/>
        <w:numPr>
          <w:ilvl w:val="0"/>
          <w:numId w:val="1"/>
        </w:numPr>
        <w:ind w:hanging="347"/>
        <w:rPr>
          <w:rFonts w:ascii="Calibri" w:eastAsia="Calibri" w:hAnsi="Calibri" w:cs="Calibri"/>
          <w:color w:val="000000"/>
          <w:sz w:val="24"/>
          <w:szCs w:val="24"/>
        </w:rPr>
      </w:pPr>
      <w:r w:rsidRPr="004A2C6F">
        <w:rPr>
          <w:rFonts w:ascii="Calibri" w:eastAsia="Calibri" w:hAnsi="Calibri" w:cs="Calibri"/>
          <w:color w:val="000000"/>
          <w:sz w:val="24"/>
          <w:szCs w:val="24"/>
        </w:rPr>
        <w:t xml:space="preserve">Finančna zloraba Projekta 2TDK   </w:t>
      </w:r>
    </w:p>
    <w:p w14:paraId="46060E43" w14:textId="77777777" w:rsidR="0001095B" w:rsidRDefault="00A34EF7">
      <w:pPr>
        <w:numPr>
          <w:ilvl w:val="1"/>
          <w:numId w:val="1"/>
        </w:numPr>
        <w:ind w:right="2" w:hanging="415"/>
      </w:pPr>
      <w:r>
        <w:t xml:space="preserve">V IP 1 (2019) je bila vrednost projekta , ki obsega popolno izgradnjo enega tira in dele vzporednega tira, ocenjena na 1.194 mio. (kot sem že opozoril, po mnenju nekaterih neodvisnih strokovnjakov, 100 – 150 mio previsoko). </w:t>
      </w:r>
    </w:p>
    <w:p w14:paraId="715DE9D8" w14:textId="77777777" w:rsidR="0001095B" w:rsidRDefault="00A34EF7">
      <w:pPr>
        <w:numPr>
          <w:ilvl w:val="1"/>
          <w:numId w:val="1"/>
        </w:numPr>
        <w:ind w:right="2" w:hanging="415"/>
      </w:pPr>
      <w:r>
        <w:t xml:space="preserve">Vlada je zagotovila nepovratna sredstva in beneficirana posojila MFI v višini približno polovice teh sredstev. Če prištejemo takrat že vplačana sredstva </w:t>
      </w:r>
      <w:r>
        <w:lastRenderedPageBreak/>
        <w:t xml:space="preserve">proračuna ter načrtovana kapitalska vlaganja Slovenije, je bilo potrebno zagotoviti še približno 130 mio iz dodatnih virov. </w:t>
      </w:r>
    </w:p>
    <w:p w14:paraId="3AE0E494" w14:textId="77777777" w:rsidR="0001095B" w:rsidRDefault="00A34EF7">
      <w:pPr>
        <w:numPr>
          <w:ilvl w:val="1"/>
          <w:numId w:val="1"/>
        </w:numPr>
        <w:ind w:right="2" w:hanging="415"/>
      </w:pPr>
      <w:r>
        <w:t xml:space="preserve">Vlada je po dogovoru z EU določila dva nova, dolgoročno stabilna in neodvisna vira: takso za pretovor blaga v Loki Koper in Pribitek k cestnini. Oba bi začeli uporabljati leta 2019, uporabljali pa bi jih po dogovoru z EU do leta 2052 (po projekciji IP 1 pa do leta 2063, kar kaže na samovoljno obnašanje politike).  </w:t>
      </w:r>
    </w:p>
    <w:p w14:paraId="60ADC4D3" w14:textId="77777777" w:rsidR="0001095B" w:rsidRDefault="00A34EF7">
      <w:pPr>
        <w:numPr>
          <w:ilvl w:val="1"/>
          <w:numId w:val="1"/>
        </w:numPr>
        <w:ind w:right="2" w:hanging="415"/>
      </w:pPr>
      <w:r>
        <w:t xml:space="preserve">Vlada je sprejela ustrezna sklepa in z njima zagotovila ne le potrebnih 120 mio, temveč – dobri dve in pol milijardi pritoka! Denar od takse ni bil namenjen graditvi železnice, od pribitka samo v obdobju 2019 do 2025 (122 mio). Ostala sredstva so bila namenjena dosegljivosti tirov (?!), upravljanju, vzdrževanju, vračanju kreditov in »drugim potrebam projekta«. Za te potrebe se bo v Proračun RS vsako leto vse do leta 2063 nateklo 40 – 50 mio sredstev. Ker opredelitev porabe teh sredstev ni opredeljena gospodarno in verodostojno, niti ni vzpostavljen ustrezen mehanizem nadzora, se pred politiko poraja vrsta težkih in »indiskretnih« vprašanj o dejanski porabi. Argument, ki ga vedno znova navaja politika, da bo nova železniška povezava dolžine 27 km, grajena za sto let delovanja,  v naslednjih 30 letih potrebovala dodatni dve milijardi vlaganj, ni verodostojen. </w:t>
      </w:r>
    </w:p>
    <w:p w14:paraId="0564C24D" w14:textId="77777777" w:rsidR="0001095B" w:rsidRDefault="00A34EF7">
      <w:pPr>
        <w:ind w:left="1001" w:right="2"/>
      </w:pPr>
      <w:r>
        <w:t xml:space="preserve">Gospe in gospodje, v normalni državi se to tako ne dela! </w:t>
      </w:r>
    </w:p>
    <w:p w14:paraId="057EA9D1" w14:textId="77777777" w:rsidR="0001095B" w:rsidRDefault="00A34EF7">
      <w:pPr>
        <w:spacing w:after="22" w:line="259" w:lineRule="auto"/>
        <w:ind w:left="991" w:firstLine="0"/>
      </w:pPr>
      <w:r>
        <w:t xml:space="preserve"> </w:t>
      </w:r>
    </w:p>
    <w:p w14:paraId="67455FFC" w14:textId="77777777" w:rsidR="0001095B" w:rsidRPr="004A2C6F" w:rsidRDefault="00A34EF7" w:rsidP="004A2C6F">
      <w:pPr>
        <w:pStyle w:val="Naslov1"/>
        <w:numPr>
          <w:ilvl w:val="0"/>
          <w:numId w:val="1"/>
        </w:numPr>
        <w:ind w:hanging="347"/>
        <w:rPr>
          <w:rFonts w:ascii="Calibri" w:eastAsia="Calibri" w:hAnsi="Calibri" w:cs="Calibri"/>
          <w:color w:val="000000"/>
          <w:sz w:val="24"/>
          <w:szCs w:val="24"/>
        </w:rPr>
      </w:pPr>
      <w:r w:rsidRPr="004A2C6F">
        <w:rPr>
          <w:rFonts w:ascii="Calibri" w:eastAsia="Calibri" w:hAnsi="Calibri" w:cs="Calibri"/>
          <w:color w:val="000000"/>
          <w:sz w:val="24"/>
          <w:szCs w:val="24"/>
        </w:rPr>
        <w:t xml:space="preserve">Zaključek </w:t>
      </w:r>
    </w:p>
    <w:p w14:paraId="6B803510" w14:textId="77777777" w:rsidR="0001095B" w:rsidRDefault="00A34EF7">
      <w:pPr>
        <w:numPr>
          <w:ilvl w:val="1"/>
          <w:numId w:val="1"/>
        </w:numPr>
        <w:ind w:right="2" w:hanging="415"/>
      </w:pPr>
      <w:r>
        <w:t xml:space="preserve">Slovenska politika je torej s Projektom 2TDK klavrno opravila popravni izpit po skoraj totalni polomiji projekta TEŠ 6. Za tisti projekt velja, da večji del odgovornosti zanj ne nosijo vlade, temveč vodilne politične stranke tistega časa, ki še danes direktno ali posredno preko vplivnih kanalov iz ozadja ovirajo policijo, tožilstvo in sodstvo, da bi pravno, politično in škodno razčistilo dogajanje pri poteku tega projekta in opredelilo odgovornost za napačne tehnološke odločitve plenitve javnih sredstev. </w:t>
      </w:r>
    </w:p>
    <w:p w14:paraId="3080A3F2" w14:textId="77777777" w:rsidR="0001095B" w:rsidRDefault="00A34EF7">
      <w:pPr>
        <w:numPr>
          <w:ilvl w:val="1"/>
          <w:numId w:val="1"/>
        </w:numPr>
        <w:ind w:right="2" w:hanging="415"/>
      </w:pPr>
      <w:r>
        <w:t xml:space="preserve">Prav ta dejstva nas pripeljejo do bistva problema: slovenska politična elita v obdobju neodvisnosti Slovenije ni oblikovala sistema upravljanja družbe in velikih projektov. Ni oblikovala neodvisno delujočega sistema države, ni oblikovala </w:t>
      </w:r>
    </w:p>
    <w:p w14:paraId="521E3B94" w14:textId="77777777" w:rsidR="0001095B" w:rsidRDefault="00A34EF7">
      <w:pPr>
        <w:ind w:left="1001" w:right="2"/>
      </w:pPr>
      <w:r>
        <w:t xml:space="preserve">KULTURE POLITIČNEGA ODLOČANJA, temveč  mehanizme odločanja neprestano spreminja in prilagaja svojim dnevnim interesom.  To pomeni, da Slovenija kot (upravni in politični) sistem ni država, temveč je zgolj plen politične stranke, ki zmaga na volitvah. Leve ali desne. Govorimo torej o UKRADENI DRŽAVI. Govorimo o DIKTATURI POLITIČNIH STRANK. O razpadu pravnega reda, ker stranke verjamejo, da jim ni treba spoštovati Ustave RS (pokrajine), da jim ni treba spoštovati sklepov Ustavnega sodišča. </w:t>
      </w:r>
    </w:p>
    <w:p w14:paraId="6CE06D3C" w14:textId="77777777" w:rsidR="0001095B" w:rsidRDefault="00A34EF7">
      <w:pPr>
        <w:numPr>
          <w:ilvl w:val="1"/>
          <w:numId w:val="1"/>
        </w:numPr>
        <w:ind w:right="2" w:hanging="415"/>
      </w:pPr>
      <w:r>
        <w:lastRenderedPageBreak/>
        <w:t xml:space="preserve">Projekt 2TDK se z dobrim letom zamude in še ne povsem jasnim finančnim obračunom drugo leto končuje, kar je nedvomno pozitivno dejstvo. Toda potek gradnje je daleč od optimalnega, pa tudi daleč od možnega in načrtovanega. Storjenih je bilo preveč napak, da bi ga lahko ocenili z oceno dobro. Pozitivno z zadržkom je kar korektna ocena. </w:t>
      </w:r>
    </w:p>
    <w:p w14:paraId="78CB9A25" w14:textId="77777777" w:rsidR="0001095B" w:rsidRDefault="00A34EF7">
      <w:pPr>
        <w:numPr>
          <w:ilvl w:val="1"/>
          <w:numId w:val="1"/>
        </w:numPr>
        <w:ind w:right="2" w:hanging="415"/>
      </w:pPr>
      <w:r>
        <w:t xml:space="preserve">Negativno oceno pa zasluži politika. Zmeda na začetku gradnje, manipulacije z oblikovanjem prvega IP, sprenevedanje glede tipa elektrifikacije, nesposobnost sprejemanja opozoril s strani civilne družbe (tudi PSCN-ja), angažiranje sredstev v trikratnem potrebnem obsegu (mimo dogovora z EU) jasno kažejo, da slovenska politična elita dejansko še NI DOZORELA  za učinkovito in korektno upravljanje in vodenje velikih investicijskih in podobnih projektov.  Zato so ti projekti še vedno ne le žrtve nelegitimnih plenilskih združb, temveč tudi opravilne nesposobnosti politike same, ki je prisiljena paktirati s temi združbami. To se kaže tako, da oblastne institucije  praviloma reagirajo prepozno, pogosto zmedeno,  nerazumno in nekompetentno. Predvsem pa </w:t>
      </w:r>
      <w:proofErr w:type="spellStart"/>
      <w:r>
        <w:t>netransparentno</w:t>
      </w:r>
      <w:proofErr w:type="spellEnd"/>
      <w:r>
        <w:t xml:space="preserve">. </w:t>
      </w:r>
    </w:p>
    <w:p w14:paraId="35E56751" w14:textId="0E225479" w:rsidR="0001095B" w:rsidRDefault="00A34EF7">
      <w:pPr>
        <w:numPr>
          <w:ilvl w:val="1"/>
          <w:numId w:val="1"/>
        </w:numPr>
        <w:ind w:right="2" w:hanging="415"/>
      </w:pPr>
      <w:r>
        <w:t xml:space="preserve">Kdo je torej odgovoren, da je projekt 2TDK potekal tako kot je? </w:t>
      </w:r>
    </w:p>
    <w:p w14:paraId="24CA35CD" w14:textId="77777777" w:rsidR="00155C91" w:rsidRDefault="00155C91" w:rsidP="00155C91">
      <w:pPr>
        <w:ind w:left="631" w:right="2" w:firstLine="0"/>
      </w:pPr>
    </w:p>
    <w:p w14:paraId="3CB95B3A" w14:textId="77777777" w:rsidR="0001095B" w:rsidRDefault="00A34EF7">
      <w:pPr>
        <w:ind w:left="1001" w:right="2"/>
      </w:pPr>
      <w:r>
        <w:t xml:space="preserve">Emil Milan Pintar </w:t>
      </w:r>
    </w:p>
    <w:p w14:paraId="2DEDA0E1" w14:textId="77777777" w:rsidR="0001095B" w:rsidRDefault="00A34EF7">
      <w:pPr>
        <w:ind w:left="1001" w:right="2"/>
      </w:pPr>
      <w:r>
        <w:t xml:space="preserve">Domžale, 14. oktobra 2026 </w:t>
      </w:r>
    </w:p>
    <w:p w14:paraId="1041A54B" w14:textId="77777777" w:rsidR="0001095B" w:rsidRDefault="00A34EF7">
      <w:pPr>
        <w:spacing w:after="24" w:line="259" w:lineRule="auto"/>
        <w:ind w:left="991" w:firstLine="0"/>
      </w:pPr>
      <w:r>
        <w:t xml:space="preserve"> </w:t>
      </w:r>
    </w:p>
    <w:p w14:paraId="416EE1A6" w14:textId="77777777" w:rsidR="0001095B" w:rsidRDefault="00A34EF7">
      <w:pPr>
        <w:spacing w:after="169"/>
        <w:ind w:left="1001" w:right="2"/>
      </w:pPr>
      <w:r>
        <w:t xml:space="preserve">P.S.: Če so moja prepričanja, da politika ni sposobna korektno sprejemati kritike, bo pokazal tudi njen odnos do tega ločenega mnenja k 10. Poročilu PSCN vladi. M. </w:t>
      </w:r>
    </w:p>
    <w:p w14:paraId="55D36802" w14:textId="77777777" w:rsidR="0001095B" w:rsidRDefault="00A34EF7">
      <w:pPr>
        <w:spacing w:after="183" w:line="259" w:lineRule="auto"/>
        <w:ind w:left="0" w:firstLine="0"/>
      </w:pPr>
      <w:r>
        <w:t xml:space="preserve"> </w:t>
      </w:r>
    </w:p>
    <w:p w14:paraId="2A49F23D" w14:textId="77777777" w:rsidR="0001095B" w:rsidRDefault="00A34EF7">
      <w:pPr>
        <w:spacing w:after="0" w:line="259" w:lineRule="auto"/>
        <w:ind w:left="0" w:firstLine="0"/>
      </w:pPr>
      <w:r>
        <w:t xml:space="preserve"> </w:t>
      </w:r>
    </w:p>
    <w:sectPr w:rsidR="0001095B">
      <w:headerReference w:type="default" r:id="rId7"/>
      <w:pgSz w:w="11906" w:h="16838"/>
      <w:pgMar w:top="1464" w:right="1414" w:bottom="1554"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70C2D" w14:textId="77777777" w:rsidR="0086613E" w:rsidRDefault="0086613E" w:rsidP="00155C91">
      <w:pPr>
        <w:spacing w:after="0" w:line="240" w:lineRule="auto"/>
      </w:pPr>
      <w:r>
        <w:separator/>
      </w:r>
    </w:p>
  </w:endnote>
  <w:endnote w:type="continuationSeparator" w:id="0">
    <w:p w14:paraId="71DE13CC" w14:textId="77777777" w:rsidR="0086613E" w:rsidRDefault="0086613E" w:rsidP="00155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B18C4" w14:textId="77777777" w:rsidR="0086613E" w:rsidRDefault="0086613E" w:rsidP="00155C91">
      <w:pPr>
        <w:spacing w:after="0" w:line="240" w:lineRule="auto"/>
      </w:pPr>
      <w:r>
        <w:separator/>
      </w:r>
    </w:p>
  </w:footnote>
  <w:footnote w:type="continuationSeparator" w:id="0">
    <w:p w14:paraId="7DED2E29" w14:textId="77777777" w:rsidR="0086613E" w:rsidRDefault="0086613E" w:rsidP="00155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6672" w14:textId="15FAD815" w:rsidR="00873DF1" w:rsidRPr="00873DF1" w:rsidRDefault="00873DF1" w:rsidP="00873DF1">
    <w:pPr>
      <w:pStyle w:val="Glava"/>
      <w:rPr>
        <w:rFonts w:ascii="Arial Black" w:hAnsi="Arial Black"/>
        <w:bCs/>
        <w:color w:val="63A330"/>
        <w:sz w:val="96"/>
        <w:szCs w:val="96"/>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452E2">
      <w:rPr>
        <w:rFonts w:ascii="Arial Black" w:hAnsi="Arial Black"/>
        <w:bCs/>
        <w:noProof/>
        <w:color w:val="73B149"/>
        <w:sz w:val="96"/>
        <w:szCs w:val="96"/>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59264" behindDoc="0" locked="0" layoutInCell="0" allowOverlap="1" wp14:anchorId="5D81B44B" wp14:editId="53EE8BA5">
              <wp:simplePos x="0" y="0"/>
              <wp:positionH relativeFrom="page">
                <wp:align>right</wp:align>
              </wp:positionH>
              <wp:positionV relativeFrom="topMargin">
                <wp:posOffset>19049</wp:posOffset>
              </wp:positionV>
              <wp:extent cx="2709545" cy="1162050"/>
              <wp:effectExtent l="0" t="0" r="0" b="0"/>
              <wp:wrapNone/>
              <wp:docPr id="221" name="Polje z besedilom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9545" cy="1162050"/>
                      </a:xfrm>
                      <a:prstGeom prst="rect">
                        <a:avLst/>
                      </a:prstGeom>
                      <a:solidFill>
                        <a:schemeClr val="accent6">
                          <a:lumMod val="60000"/>
                          <a:lumOff val="40000"/>
                        </a:schemeClr>
                      </a:solidFill>
                      <a:ln>
                        <a:noFill/>
                      </a:ln>
                    </wps:spPr>
                    <wps:txbx>
                      <w:txbxContent>
                        <w:p w14:paraId="514FAE4B" w14:textId="77777777" w:rsidR="00873DF1" w:rsidRDefault="00873DF1" w:rsidP="00873DF1">
                          <w:pPr>
                            <w:spacing w:after="0" w:line="240" w:lineRule="auto"/>
                            <w:rPr>
                              <w:b/>
                              <w:bCs/>
                            </w:rPr>
                          </w:pPr>
                          <w:r w:rsidRPr="007C04C7">
                            <w:rPr>
                              <w:b/>
                              <w:bCs/>
                              <w:sz w:val="26"/>
                              <w:szCs w:val="26"/>
                              <w:u w:val="single"/>
                            </w:rPr>
                            <w:t>PROJEKTNI SVET ZA CIVILNI NADZOR</w:t>
                          </w:r>
                          <w:r w:rsidRPr="00A44755">
                            <w:rPr>
                              <w:b/>
                              <w:bCs/>
                              <w:sz w:val="26"/>
                              <w:szCs w:val="26"/>
                            </w:rPr>
                            <w:t xml:space="preserve"> </w:t>
                          </w:r>
                          <w:r w:rsidRPr="00A44755">
                            <w:rPr>
                              <w:b/>
                              <w:bCs/>
                            </w:rPr>
                            <w:t xml:space="preserve">NAD IZVAJANJEM IZGRADNJE DRUGEGA TIRA </w:t>
                          </w:r>
                        </w:p>
                        <w:p w14:paraId="78DE43F1" w14:textId="77777777" w:rsidR="00873DF1" w:rsidRPr="00A44755" w:rsidRDefault="00873DF1" w:rsidP="00873DF1">
                          <w:pPr>
                            <w:spacing w:after="0" w:line="240" w:lineRule="auto"/>
                            <w:rPr>
                              <w:b/>
                              <w:bCs/>
                              <w:color w:val="FFFFFF" w:themeColor="background1"/>
                            </w:rPr>
                          </w:pPr>
                          <w:r w:rsidRPr="00A44755">
                            <w:rPr>
                              <w:b/>
                              <w:bCs/>
                            </w:rPr>
                            <w:t>ŽELEZNIŠKE PROGE DIVAČA-KOPER</w:t>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5D81B44B" id="_x0000_t202" coordsize="21600,21600" o:spt="202" path="m,l,21600r21600,l21600,xe">
              <v:stroke joinstyle="miter"/>
              <v:path gradientshapeok="t" o:connecttype="rect"/>
            </v:shapetype>
            <v:shape id="Polje z besedilom 221" o:spid="_x0000_s1026" type="#_x0000_t202" style="position:absolute;left:0;text-align:left;margin-left:162.15pt;margin-top:1.5pt;width:213.35pt;height:91.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op-margin-area;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" o:allowincell="f" fillcolor="#8dd873 [1945]" stroked="f">
              <v:textbox inset=",0,,0">
                <w:txbxContent>
                  <w:p w14:paraId="514FAE4B" w14:textId="77777777" w:rsidR="00873DF1" w:rsidRDefault="00873DF1" w:rsidP="00873DF1">
                    <w:pPr>
                      <w:spacing w:after="0" w:line="240" w:lineRule="auto"/>
                      <w:rPr>
                        <w:b/>
                        <w:bCs/>
                      </w:rPr>
                    </w:pPr>
                    <w:r w:rsidRPr="007C04C7">
                      <w:rPr>
                        <w:b/>
                        <w:bCs/>
                        <w:sz w:val="26"/>
                        <w:szCs w:val="26"/>
                        <w:u w:val="single"/>
                      </w:rPr>
                      <w:t>PROJEKTNI SVET ZA CIVILNI NADZOR</w:t>
                    </w:r>
                    <w:r w:rsidRPr="00A44755">
                      <w:rPr>
                        <w:b/>
                        <w:bCs/>
                        <w:sz w:val="26"/>
                        <w:szCs w:val="26"/>
                      </w:rPr>
                      <w:t xml:space="preserve"> </w:t>
                    </w:r>
                    <w:r w:rsidRPr="00A44755">
                      <w:rPr>
                        <w:b/>
                        <w:bCs/>
                      </w:rPr>
                      <w:t xml:space="preserve">NAD IZVAJANJEM IZGRADNJE DRUGEGA TIRA </w:t>
                    </w:r>
                  </w:p>
                  <w:p w14:paraId="78DE43F1" w14:textId="77777777" w:rsidR="00873DF1" w:rsidRPr="00A44755" w:rsidRDefault="00873DF1" w:rsidP="00873DF1">
                    <w:pPr>
                      <w:spacing w:after="0" w:line="240" w:lineRule="auto"/>
                      <w:rPr>
                        <w:b/>
                        <w:bCs/>
                        <w:color w:val="FFFFFF" w:themeColor="background1"/>
                      </w:rPr>
                    </w:pPr>
                    <w:r w:rsidRPr="00A44755">
                      <w:rPr>
                        <w:b/>
                        <w:bCs/>
                      </w:rPr>
                      <w:t>ŽELEZNIŠKE PROGE DIVAČA-KOPER</w:t>
                    </w:r>
                  </w:p>
                </w:txbxContent>
              </v:textbox>
              <w10:wrap anchorx="page" anchory="margin"/>
            </v:shape>
          </w:pict>
        </mc:Fallback>
      </mc:AlternateContent>
    </w:r>
    <w:r w:rsidRPr="00873DF1">
      <w:rPr>
        <w:rFonts w:ascii="Arial Black" w:hAnsi="Arial Black"/>
        <w:bCs/>
        <w:color w:val="63A330"/>
        <w:sz w:val="96"/>
        <w:szCs w:val="96"/>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PSCN</w:t>
    </w:r>
  </w:p>
  <w:p w14:paraId="2F440229" w14:textId="0E135043" w:rsidR="00873DF1" w:rsidRDefault="00873DF1">
    <w:pPr>
      <w:pStyle w:val="Glava"/>
    </w:pPr>
  </w:p>
  <w:p w14:paraId="4615C146" w14:textId="77777777" w:rsidR="00155C91" w:rsidRPr="00155C91" w:rsidRDefault="00155C91" w:rsidP="00155C9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6F3422"/>
    <w:multiLevelType w:val="multilevel"/>
    <w:tmpl w:val="AD763AB2"/>
    <w:lvl w:ilvl="0">
      <w:start w:val="1"/>
      <w:numFmt w:val="decimal"/>
      <w:lvlText w:val="%1."/>
      <w:lvlJc w:val="left"/>
      <w:pPr>
        <w:ind w:left="6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0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912204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95B"/>
    <w:rsid w:val="0001095B"/>
    <w:rsid w:val="00155C91"/>
    <w:rsid w:val="002461ED"/>
    <w:rsid w:val="004A2C6F"/>
    <w:rsid w:val="0086613E"/>
    <w:rsid w:val="00873DF1"/>
    <w:rsid w:val="00A34EF7"/>
    <w:rsid w:val="00BA6C0B"/>
    <w:rsid w:val="00C61A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D4C1E"/>
  <w15:docId w15:val="{9556DDF7-06A3-43DA-B39B-1CAACEAE9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2" w:line="269" w:lineRule="auto"/>
      <w:ind w:left="10" w:hanging="10"/>
    </w:pPr>
    <w:rPr>
      <w:rFonts w:ascii="Calibri" w:eastAsia="Calibri" w:hAnsi="Calibri" w:cs="Calibri"/>
      <w:color w:val="000000"/>
    </w:rPr>
  </w:style>
  <w:style w:type="paragraph" w:styleId="Naslov1">
    <w:name w:val="heading 1"/>
    <w:basedOn w:val="Navaden"/>
    <w:next w:val="Navaden"/>
    <w:link w:val="Naslov1Znak"/>
    <w:uiPriority w:val="9"/>
    <w:qFormat/>
    <w:rsid w:val="004A2C6F"/>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55C91"/>
    <w:pPr>
      <w:tabs>
        <w:tab w:val="center" w:pos="4536"/>
        <w:tab w:val="right" w:pos="9072"/>
      </w:tabs>
      <w:spacing w:after="0" w:line="240" w:lineRule="auto"/>
    </w:pPr>
  </w:style>
  <w:style w:type="character" w:customStyle="1" w:styleId="GlavaZnak">
    <w:name w:val="Glava Znak"/>
    <w:basedOn w:val="Privzetapisavaodstavka"/>
    <w:link w:val="Glava"/>
    <w:uiPriority w:val="99"/>
    <w:rsid w:val="00155C91"/>
    <w:rPr>
      <w:rFonts w:ascii="Calibri" w:eastAsia="Calibri" w:hAnsi="Calibri" w:cs="Calibri"/>
      <w:color w:val="000000"/>
    </w:rPr>
  </w:style>
  <w:style w:type="paragraph" w:styleId="Noga">
    <w:name w:val="footer"/>
    <w:basedOn w:val="Navaden"/>
    <w:link w:val="NogaZnak"/>
    <w:uiPriority w:val="99"/>
    <w:unhideWhenUsed/>
    <w:rsid w:val="00155C91"/>
    <w:pPr>
      <w:tabs>
        <w:tab w:val="center" w:pos="4536"/>
        <w:tab w:val="right" w:pos="9072"/>
      </w:tabs>
      <w:spacing w:after="0" w:line="240" w:lineRule="auto"/>
    </w:pPr>
  </w:style>
  <w:style w:type="character" w:customStyle="1" w:styleId="NogaZnak">
    <w:name w:val="Noga Znak"/>
    <w:basedOn w:val="Privzetapisavaodstavka"/>
    <w:link w:val="Noga"/>
    <w:uiPriority w:val="99"/>
    <w:rsid w:val="00155C91"/>
    <w:rPr>
      <w:rFonts w:ascii="Calibri" w:eastAsia="Calibri" w:hAnsi="Calibri" w:cs="Calibri"/>
      <w:color w:val="000000"/>
    </w:rPr>
  </w:style>
  <w:style w:type="paragraph" w:styleId="Naslov">
    <w:name w:val="Title"/>
    <w:basedOn w:val="Navaden"/>
    <w:next w:val="Navaden"/>
    <w:link w:val="NaslovZnak"/>
    <w:uiPriority w:val="10"/>
    <w:qFormat/>
    <w:rsid w:val="00873DF1"/>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NaslovZnak">
    <w:name w:val="Naslov Znak"/>
    <w:basedOn w:val="Privzetapisavaodstavka"/>
    <w:link w:val="Naslov"/>
    <w:uiPriority w:val="10"/>
    <w:rsid w:val="00873DF1"/>
    <w:rPr>
      <w:rFonts w:asciiTheme="majorHAnsi" w:eastAsiaTheme="majorEastAsia" w:hAnsiTheme="majorHAnsi" w:cstheme="majorBidi"/>
      <w:spacing w:val="-10"/>
      <w:kern w:val="28"/>
      <w:sz w:val="56"/>
      <w:szCs w:val="56"/>
    </w:rPr>
  </w:style>
  <w:style w:type="character" w:customStyle="1" w:styleId="Naslov1Znak">
    <w:name w:val="Naslov 1 Znak"/>
    <w:basedOn w:val="Privzetapisavaodstavka"/>
    <w:link w:val="Naslov1"/>
    <w:uiPriority w:val="9"/>
    <w:rsid w:val="004A2C6F"/>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2106</Words>
  <Characters>12010</Characters>
  <Application>Microsoft Office Word</Application>
  <DocSecurity>0</DocSecurity>
  <Lines>100</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Pavlović</dc:creator>
  <cp:keywords/>
  <cp:lastModifiedBy>Dijana Pavlović</cp:lastModifiedBy>
  <cp:revision>3</cp:revision>
  <dcterms:created xsi:type="dcterms:W3CDTF">2026-10-16T10:59:00Z</dcterms:created>
  <dcterms:modified xsi:type="dcterms:W3CDTF">2026-10-23T09:36:00Z</dcterms:modified>
</cp:coreProperties>
</file>