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3C033" w14:textId="5EDB2A38" w:rsidR="00E851BF" w:rsidRPr="00660F18" w:rsidRDefault="00E851BF" w:rsidP="00660F18">
      <w:pPr>
        <w:jc w:val="center"/>
        <w:rPr>
          <w:b/>
          <w:bCs/>
        </w:rPr>
      </w:pPr>
      <w:r w:rsidRPr="00660F18">
        <w:rPr>
          <w:b/>
          <w:bCs/>
        </w:rPr>
        <w:t>Obvestilo prevoznikom, ki opravljajo mednarodne prevoze v cestnem prometu o uporabi digitalnega sistema CEMT s 1.</w:t>
      </w:r>
      <w:r w:rsidR="00660F18">
        <w:rPr>
          <w:b/>
          <w:bCs/>
        </w:rPr>
        <w:t xml:space="preserve"> </w:t>
      </w:r>
      <w:r w:rsidRPr="00660F18">
        <w:rPr>
          <w:b/>
          <w:bCs/>
        </w:rPr>
        <w:t>1.</w:t>
      </w:r>
      <w:r w:rsidR="00660F18">
        <w:rPr>
          <w:b/>
          <w:bCs/>
        </w:rPr>
        <w:t xml:space="preserve"> </w:t>
      </w:r>
      <w:r w:rsidRPr="00660F18">
        <w:rPr>
          <w:b/>
          <w:bCs/>
        </w:rPr>
        <w:t>2026</w:t>
      </w:r>
    </w:p>
    <w:p w14:paraId="20715898" w14:textId="77777777" w:rsidR="00E851BF" w:rsidRPr="00660F18" w:rsidRDefault="00E851BF" w:rsidP="00660F18">
      <w:pPr>
        <w:jc w:val="center"/>
        <w:rPr>
          <w:b/>
          <w:bCs/>
        </w:rPr>
      </w:pPr>
    </w:p>
    <w:p w14:paraId="376080A2" w14:textId="6AE98CA6" w:rsidR="00E851BF" w:rsidRDefault="00E851BF" w:rsidP="00660F18">
      <w:pPr>
        <w:jc w:val="both"/>
      </w:pPr>
      <w:r>
        <w:t>Obveščamo vas, da 1.</w:t>
      </w:r>
      <w:r w:rsidR="00660F18">
        <w:t xml:space="preserve"> </w:t>
      </w:r>
      <w:r>
        <w:t>1.</w:t>
      </w:r>
      <w:r w:rsidR="00660F18">
        <w:t xml:space="preserve"> </w:t>
      </w:r>
      <w:r>
        <w:t>2026 začne veljati</w:t>
      </w:r>
      <w:r w:rsidR="00660F18">
        <w:t xml:space="preserve"> novo</w:t>
      </w:r>
      <w:r>
        <w:t xml:space="preserve"> Navodilo o uporabi večstranskega </w:t>
      </w:r>
      <w:r w:rsidR="00660F18">
        <w:t>kontingenta</w:t>
      </w:r>
      <w:r>
        <w:t xml:space="preserve"> CEMT dovolilnic, ki ga morajo uporabljati prevozniki, ki opravljajo mednarodne prevoze v cestnem prometu in so imetniki dovolilnic CEMT ter </w:t>
      </w:r>
      <w:r w:rsidRPr="00EF5FF9">
        <w:t>uradnik</w:t>
      </w:r>
      <w:r w:rsidR="00660F18">
        <w:t>i</w:t>
      </w:r>
      <w:r w:rsidRPr="00EF5FF9">
        <w:t>, pristojni</w:t>
      </w:r>
      <w:r w:rsidR="00660F18">
        <w:t xml:space="preserve"> </w:t>
      </w:r>
      <w:r w:rsidRPr="00EF5FF9">
        <w:t xml:space="preserve">za upravljanje </w:t>
      </w:r>
      <w:r>
        <w:t xml:space="preserve">sistema večstranske </w:t>
      </w:r>
      <w:r w:rsidRPr="00EF5FF9">
        <w:t>kvote</w:t>
      </w:r>
      <w:r>
        <w:t xml:space="preserve"> dovolilnic CEMT.</w:t>
      </w:r>
    </w:p>
    <w:p w14:paraId="53A499C0" w14:textId="7F74D1DE" w:rsidR="0017226F" w:rsidRDefault="0017226F" w:rsidP="00660F18">
      <w:pPr>
        <w:jc w:val="both"/>
      </w:pPr>
      <w:r>
        <w:t>1)</w:t>
      </w:r>
    </w:p>
    <w:p w14:paraId="0C339049" w14:textId="4B714659" w:rsidR="00E851BF" w:rsidRDefault="00E851BF" w:rsidP="00660F18">
      <w:pPr>
        <w:jc w:val="both"/>
      </w:pPr>
      <w:r>
        <w:t>Navodila, ki uvajajo digitalni sistem dovolilnic CEMT, opisujejo značilnosti dovolilnic ter pogoje in področje njihove uporabe in so dosegljiva na spletni strani ministrstva za infrastrukturo v slovenskem</w:t>
      </w:r>
      <w:r w:rsidRPr="001F55D2">
        <w:t xml:space="preserve"> </w:t>
      </w:r>
      <w:r>
        <w:t>in angleškem jeziku.</w:t>
      </w:r>
    </w:p>
    <w:p w14:paraId="3132F44C" w14:textId="77777777" w:rsidR="00E851BF" w:rsidRDefault="00E851BF" w:rsidP="00E851BF">
      <w:r>
        <w:t xml:space="preserve">( </w:t>
      </w:r>
      <w:hyperlink r:id="rId5" w:history="1">
        <w:r w:rsidRPr="00D45177">
          <w:rPr>
            <w:rStyle w:val="Hiperpovezava"/>
          </w:rPr>
          <w:t>https://www.gov.si/assets/ministrstva/MzI/Sektor-za-cestni-promet/user_guide_2026_e_SI.docx</w:t>
        </w:r>
      </w:hyperlink>
      <w:r>
        <w:t xml:space="preserve"> in</w:t>
      </w:r>
    </w:p>
    <w:p w14:paraId="0AD2CECB" w14:textId="77777777" w:rsidR="00E851BF" w:rsidRDefault="00E851BF" w:rsidP="00E851BF">
      <w:hyperlink r:id="rId6" w:history="1">
        <w:proofErr w:type="spellStart"/>
        <w:r w:rsidRPr="00BA2616">
          <w:rPr>
            <w:rStyle w:val="Hiperpovezava"/>
          </w:rPr>
          <w:t>User</w:t>
        </w:r>
        <w:proofErr w:type="spellEnd"/>
        <w:r w:rsidRPr="00BA2616">
          <w:rPr>
            <w:rStyle w:val="Hiperpovezava"/>
          </w:rPr>
          <w:t xml:space="preserve"> </w:t>
        </w:r>
        <w:proofErr w:type="spellStart"/>
        <w:r w:rsidRPr="00BA2616">
          <w:rPr>
            <w:rStyle w:val="Hiperpovezava"/>
          </w:rPr>
          <w:t>Guide</w:t>
        </w:r>
        <w:proofErr w:type="spellEnd"/>
        <w:r w:rsidRPr="00BA2616">
          <w:rPr>
            <w:rStyle w:val="Hiperpovezava"/>
          </w:rPr>
          <w:t xml:space="preserve"> 2026</w:t>
        </w:r>
      </w:hyperlink>
      <w:r>
        <w:t xml:space="preserve"> ).</w:t>
      </w:r>
    </w:p>
    <w:p w14:paraId="54540AA7" w14:textId="094D6ECD" w:rsidR="00E851BF" w:rsidRDefault="00E851BF" w:rsidP="00660F18">
      <w:pPr>
        <w:jc w:val="both"/>
      </w:pPr>
      <w:r>
        <w:t>Uporabnik</w:t>
      </w:r>
      <w:r w:rsidR="00660F18">
        <w:t>i</w:t>
      </w:r>
      <w:r>
        <w:t xml:space="preserve"> digitalnega sistema dovolilnic CEMT morajo navodila upoštevati v vseh točkah</w:t>
      </w:r>
      <w:r w:rsidR="00660F18">
        <w:t>,</w:t>
      </w:r>
      <w:r>
        <w:t xml:space="preserve"> še posebej glede pravilno izpolnjenih dokumentov, ki jih je potrebno hraniti v vlečnem vozilu.</w:t>
      </w:r>
    </w:p>
    <w:p w14:paraId="37297864" w14:textId="77777777" w:rsidR="00E851BF" w:rsidRDefault="00E851BF" w:rsidP="00E851BF">
      <w:pPr>
        <w:pStyle w:val="Odstavekseznama"/>
        <w:numPr>
          <w:ilvl w:val="0"/>
          <w:numId w:val="1"/>
        </w:numPr>
      </w:pPr>
      <w:r w:rsidRPr="00F032B8">
        <w:t>Dovolilnica CEM</w:t>
      </w:r>
      <w:r>
        <w:t>T,</w:t>
      </w:r>
    </w:p>
    <w:p w14:paraId="4CFC785B" w14:textId="77777777" w:rsidR="00E851BF" w:rsidRDefault="00E851BF" w:rsidP="00E851BF">
      <w:pPr>
        <w:pStyle w:val="Odstavekseznama"/>
        <w:numPr>
          <w:ilvl w:val="0"/>
          <w:numId w:val="1"/>
        </w:numPr>
      </w:pPr>
      <w:r w:rsidRPr="00C801E3">
        <w:t>Opisni list voženj CEMT</w:t>
      </w:r>
      <w:r>
        <w:t xml:space="preserve"> (dnevnik voženj)</w:t>
      </w:r>
    </w:p>
    <w:p w14:paraId="0CA227B5" w14:textId="77777777" w:rsidR="00E851BF" w:rsidRDefault="00E851BF" w:rsidP="00E851BF">
      <w:pPr>
        <w:pStyle w:val="Odstavekseznama"/>
        <w:numPr>
          <w:ilvl w:val="0"/>
          <w:numId w:val="1"/>
        </w:numPr>
      </w:pPr>
      <w:r>
        <w:t>Ustrezen certifikat vozila</w:t>
      </w:r>
    </w:p>
    <w:p w14:paraId="43DA0CC4" w14:textId="59D5620F" w:rsidR="00E851BF" w:rsidRDefault="00E851BF" w:rsidP="00660F18">
      <w:pPr>
        <w:jc w:val="both"/>
      </w:pPr>
      <w:r w:rsidRPr="00923133">
        <w:t>Od 1. januarja 2026 se morajo uporabljati certifikati iz priloge 4</w:t>
      </w:r>
      <w:r w:rsidR="0017226F">
        <w:t xml:space="preserve"> in priloge 6</w:t>
      </w:r>
      <w:r w:rsidRPr="00923133">
        <w:t xml:space="preserve"> k tem navodilom.</w:t>
      </w:r>
    </w:p>
    <w:p w14:paraId="1F289605" w14:textId="77777777" w:rsidR="00E851BF" w:rsidRDefault="00E851BF" w:rsidP="00660F18">
      <w:pPr>
        <w:jc w:val="both"/>
      </w:pPr>
      <w:r w:rsidRPr="00913901">
        <w:t>Certifikat o skladnosti s tehničnimi predpisi za emisije izpušnih plinov in hrupa ter varnostnimi predpisi za motorno vozilo »varno EURO V«, »varno EEV« ali »varno EURO VI«</w:t>
      </w:r>
      <w:r>
        <w:t xml:space="preserve"> (</w:t>
      </w:r>
      <w:r w:rsidRPr="00647B08">
        <w:t>priloga 4 k navodilom)</w:t>
      </w:r>
      <w:r w:rsidRPr="007B531E">
        <w:t>, izdani pred 31. decembrom 2025, ter »varno EURO V« in »varno EEV«, ki ni bilo naknadno opremljeno s pametnim tahografom, ostanejo v veljavi.</w:t>
      </w:r>
    </w:p>
    <w:p w14:paraId="730FF6FC" w14:textId="77777777" w:rsidR="00E851BF" w:rsidRDefault="00E851BF" w:rsidP="00660F18">
      <w:pPr>
        <w:jc w:val="both"/>
      </w:pPr>
      <w:r w:rsidRPr="00842C31">
        <w:rPr>
          <w:b/>
          <w:bCs/>
        </w:rPr>
        <w:t>Vsi certifikati morajo biti pravilno izpolnjeni in podpisani</w:t>
      </w:r>
      <w:r w:rsidRPr="009F2E17">
        <w:t>. Če v nekaterih točkah manjkajo potrebni podatki ali certifikati, se</w:t>
      </w:r>
      <w:r w:rsidRPr="00842C31">
        <w:rPr>
          <w:b/>
          <w:bCs/>
        </w:rPr>
        <w:t xml:space="preserve"> ne</w:t>
      </w:r>
      <w:r w:rsidRPr="009F2E17">
        <w:t xml:space="preserve"> štejejo za </w:t>
      </w:r>
      <w:r w:rsidRPr="00842C31">
        <w:rPr>
          <w:b/>
          <w:bCs/>
        </w:rPr>
        <w:t>veljavne</w:t>
      </w:r>
      <w:r>
        <w:t>.</w:t>
      </w:r>
    </w:p>
    <w:p w14:paraId="46831217" w14:textId="77777777" w:rsidR="00E851BF" w:rsidRDefault="00E851BF" w:rsidP="00660F18">
      <w:pPr>
        <w:jc w:val="both"/>
      </w:pPr>
      <w:r>
        <w:t xml:space="preserve">Dokumenti so lahko shranjeni v </w:t>
      </w:r>
      <w:r w:rsidRPr="00051783">
        <w:t>obliki digitalne datoteke na mobilni napravi ali natisnjen</w:t>
      </w:r>
      <w:r>
        <w:t>i</w:t>
      </w:r>
      <w:r w:rsidRPr="00051783">
        <w:t xml:space="preserve"> samo na belem papirju.</w:t>
      </w:r>
      <w:r>
        <w:t xml:space="preserve"> V izogib nevšečnostim priporočamo, da so natisnjeni na belem papirju.</w:t>
      </w:r>
    </w:p>
    <w:p w14:paraId="2C91186A" w14:textId="77777777" w:rsidR="0017226F" w:rsidRDefault="0017226F" w:rsidP="00660F18">
      <w:pPr>
        <w:jc w:val="both"/>
      </w:pPr>
    </w:p>
    <w:p w14:paraId="4C84C2F7" w14:textId="77777777" w:rsidR="00CB59D0" w:rsidRDefault="00CB59D0" w:rsidP="00660F18">
      <w:pPr>
        <w:jc w:val="both"/>
      </w:pPr>
    </w:p>
    <w:p w14:paraId="39112760" w14:textId="77777777" w:rsidR="00CB59D0" w:rsidRDefault="00CB59D0" w:rsidP="00660F18">
      <w:pPr>
        <w:jc w:val="both"/>
      </w:pPr>
    </w:p>
    <w:p w14:paraId="6B5CFBB9" w14:textId="15B06EA3" w:rsidR="0017226F" w:rsidRDefault="0017226F" w:rsidP="00660F18">
      <w:pPr>
        <w:jc w:val="both"/>
      </w:pPr>
      <w:r>
        <w:lastRenderedPageBreak/>
        <w:t>2)</w:t>
      </w:r>
    </w:p>
    <w:p w14:paraId="643B2116" w14:textId="4AFAE1AC" w:rsidR="0017226F" w:rsidRDefault="00101EB1" w:rsidP="00660F18">
      <w:pPr>
        <w:jc w:val="both"/>
      </w:pPr>
      <w:r>
        <w:t>Vezano na enajsti in dvanajsti odstavek 102.člena</w:t>
      </w:r>
      <w:r w:rsidR="0017226F">
        <w:t>,</w:t>
      </w:r>
      <w:r>
        <w:t xml:space="preserve"> glede izdaje in </w:t>
      </w:r>
      <w:r w:rsidR="0017226F">
        <w:t>ustrezne uporabe dovolilnice CEMT,</w:t>
      </w:r>
      <w:r w:rsidR="0017226F" w:rsidRPr="0017226F">
        <w:t xml:space="preserve"> </w:t>
      </w:r>
      <w:r w:rsidR="0017226F" w:rsidRPr="00101EB1">
        <w:t xml:space="preserve">morajo vozniki imeti za vpogled in kontrolo pri </w:t>
      </w:r>
      <w:r w:rsidR="0017226F">
        <w:t>p</w:t>
      </w:r>
      <w:r w:rsidR="0017226F" w:rsidRPr="00101EB1">
        <w:t>ravn</w:t>
      </w:r>
      <w:r w:rsidR="0017226F">
        <w:t>ih</w:t>
      </w:r>
      <w:r w:rsidR="0017226F" w:rsidRPr="00101EB1">
        <w:t xml:space="preserve"> oseb</w:t>
      </w:r>
      <w:r w:rsidR="0017226F">
        <w:t>ah</w:t>
      </w:r>
      <w:r w:rsidR="0017226F" w:rsidRPr="00101EB1">
        <w:t>, samostojni</w:t>
      </w:r>
      <w:r w:rsidR="0017226F">
        <w:t xml:space="preserve">h </w:t>
      </w:r>
      <w:r w:rsidR="0017226F" w:rsidRPr="00101EB1">
        <w:t>podjetnik</w:t>
      </w:r>
      <w:r w:rsidR="0017226F">
        <w:t>ih</w:t>
      </w:r>
      <w:r w:rsidR="0017226F" w:rsidRPr="00101EB1">
        <w:t xml:space="preserve"> posameznik</w:t>
      </w:r>
      <w:r w:rsidR="0017226F">
        <w:t>ih</w:t>
      </w:r>
      <w:r w:rsidR="0017226F" w:rsidRPr="00101EB1">
        <w:t>, posameznik</w:t>
      </w:r>
      <w:r w:rsidR="0017226F">
        <w:t>ih</w:t>
      </w:r>
      <w:r w:rsidR="0017226F" w:rsidRPr="00101EB1">
        <w:t xml:space="preserve">, ki samostojno opravljajo dejavnost na voljo ali </w:t>
      </w:r>
      <w:r w:rsidR="0017226F">
        <w:t xml:space="preserve">natisnjeno </w:t>
      </w:r>
      <w:r w:rsidR="0017226F" w:rsidRPr="00101EB1">
        <w:t>dovolilnico</w:t>
      </w:r>
      <w:r w:rsidR="0017226F">
        <w:t xml:space="preserve"> na belem papirju ali</w:t>
      </w:r>
      <w:r w:rsidR="0017226F" w:rsidRPr="00101EB1">
        <w:t xml:space="preserve"> </w:t>
      </w:r>
      <w:r w:rsidR="0017226F">
        <w:t>v obliki .</w:t>
      </w:r>
      <w:proofErr w:type="spellStart"/>
      <w:r w:rsidR="0017226F" w:rsidRPr="00101EB1">
        <w:t>pdf</w:t>
      </w:r>
      <w:proofErr w:type="spellEnd"/>
      <w:r w:rsidR="0017226F" w:rsidRPr="00101EB1">
        <w:t xml:space="preserve">, ki jo lahko podjetju posredujejo. </w:t>
      </w:r>
    </w:p>
    <w:p w14:paraId="2D59CF9A" w14:textId="79845198" w:rsidR="00E851BF" w:rsidRDefault="00E851BF" w:rsidP="00660F18">
      <w:pPr>
        <w:jc w:val="both"/>
      </w:pPr>
      <w:r>
        <w:t>V primeru težav in nejasnosti lahko prevozniki dobijo informacije pri izdajatelju digitalne dovolilnice CEMT, delivcu, Gospodarski zbornici Slovenije ali Obrtno-podjetniški zbornici Slovenije.</w:t>
      </w:r>
    </w:p>
    <w:p w14:paraId="43037FAB" w14:textId="77777777" w:rsidR="00475F1E" w:rsidRDefault="00475F1E"/>
    <w:sectPr w:rsidR="00475F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9A3994"/>
    <w:multiLevelType w:val="hybridMultilevel"/>
    <w:tmpl w:val="62A23B54"/>
    <w:lvl w:ilvl="0" w:tplc="638EAF5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98384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1BF"/>
    <w:rsid w:val="00101EB1"/>
    <w:rsid w:val="0017226F"/>
    <w:rsid w:val="00475F1E"/>
    <w:rsid w:val="00660F18"/>
    <w:rsid w:val="00B7172F"/>
    <w:rsid w:val="00BE2E6C"/>
    <w:rsid w:val="00CB59D0"/>
    <w:rsid w:val="00CB6215"/>
    <w:rsid w:val="00E27318"/>
    <w:rsid w:val="00E851BF"/>
    <w:rsid w:val="00EA3200"/>
    <w:rsid w:val="00EE6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049CC"/>
  <w15:chartTrackingRefBased/>
  <w15:docId w15:val="{D48ADFA0-F923-4E50-9045-62345878F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E851BF"/>
  </w:style>
  <w:style w:type="paragraph" w:styleId="Naslov1">
    <w:name w:val="heading 1"/>
    <w:basedOn w:val="Navaden"/>
    <w:next w:val="Navaden"/>
    <w:link w:val="Naslov1Znak"/>
    <w:uiPriority w:val="9"/>
    <w:qFormat/>
    <w:rsid w:val="00E851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E851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E851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E851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E851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E851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E851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E851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E851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E851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E851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E851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E851BF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E851BF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E851BF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E851BF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E851BF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E851BF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E851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E851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E851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E851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E851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E851BF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E851BF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E851BF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E851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E851BF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E851BF"/>
    <w:rPr>
      <w:b/>
      <w:bCs/>
      <w:smallCaps/>
      <w:color w:val="0F4761" w:themeColor="accent1" w:themeShade="BF"/>
      <w:spacing w:val="5"/>
    </w:rPr>
  </w:style>
  <w:style w:type="character" w:styleId="Hiperpovezava">
    <w:name w:val="Hyperlink"/>
    <w:basedOn w:val="Privzetapisavaodstavka"/>
    <w:uiPriority w:val="99"/>
    <w:unhideWhenUsed/>
    <w:rsid w:val="00E851BF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8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1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16010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1172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1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77896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93322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37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v.si/assets/ministrstva/MzI/Sektor-za-cestni-promet/user_guide_2026_e.pdf" TargetMode="External"/><Relationship Id="rId5" Type="http://schemas.openxmlformats.org/officeDocument/2006/relationships/hyperlink" Target="https://www.gov.si/assets/ministrstva/MzI/Sektor-za-cestni-promet/user_guide_2026_e_SI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387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MJU</Company>
  <LinksUpToDate>false</LinksUpToDate>
  <CharactersWithSpaces>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Ljumović</dc:creator>
  <cp:keywords/>
  <dc:description/>
  <cp:lastModifiedBy>Tanja Kocjančič</cp:lastModifiedBy>
  <cp:revision>2</cp:revision>
  <dcterms:created xsi:type="dcterms:W3CDTF">2025-12-29T12:21:00Z</dcterms:created>
  <dcterms:modified xsi:type="dcterms:W3CDTF">2025-12-29T12:21:00Z</dcterms:modified>
</cp:coreProperties>
</file>