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79" w:rsidRDefault="00EF7F69" w:rsidP="00434079">
      <w:r>
        <w:t xml:space="preserve">Ljubljana, </w:t>
      </w:r>
      <w:r w:rsidR="00913E35">
        <w:t>19</w:t>
      </w:r>
      <w:r w:rsidR="004B5D77">
        <w:t xml:space="preserve">. novembra </w:t>
      </w:r>
      <w:r w:rsidR="00845E43">
        <w:t>2020</w:t>
      </w:r>
    </w:p>
    <w:p w:rsidR="00434079" w:rsidRDefault="00434079" w:rsidP="00434079"/>
    <w:p w:rsidR="00487041" w:rsidRDefault="00487041" w:rsidP="00487041">
      <w:pPr>
        <w:spacing w:line="240" w:lineRule="auto"/>
        <w:rPr>
          <w:rFonts w:cs="Arial"/>
          <w:b/>
          <w:szCs w:val="20"/>
          <w:lang w:eastAsia="sl-SI"/>
        </w:rPr>
      </w:pPr>
      <w:r>
        <w:rPr>
          <w:rFonts w:cs="Arial"/>
          <w:b/>
          <w:szCs w:val="20"/>
          <w:lang w:eastAsia="sl-SI"/>
        </w:rPr>
        <w:t>Sporočilo za javnost</w:t>
      </w:r>
    </w:p>
    <w:p w:rsidR="00913E35" w:rsidRDefault="00913E35" w:rsidP="00487041">
      <w:pPr>
        <w:spacing w:line="240" w:lineRule="auto"/>
        <w:rPr>
          <w:rFonts w:cs="Arial"/>
          <w:b/>
          <w:szCs w:val="20"/>
          <w:lang w:eastAsia="sl-SI"/>
        </w:rPr>
      </w:pPr>
    </w:p>
    <w:p w:rsidR="00913E35" w:rsidRDefault="00913E35" w:rsidP="00913E35">
      <w:pPr>
        <w:tabs>
          <w:tab w:val="left" w:pos="0"/>
        </w:tabs>
        <w:autoSpaceDE w:val="0"/>
        <w:autoSpaceDN w:val="0"/>
        <w:adjustRightInd w:val="0"/>
        <w:spacing w:line="240" w:lineRule="auto"/>
        <w:jc w:val="both"/>
        <w:rPr>
          <w:rFonts w:ascii="Helv" w:hAnsi="Helv" w:cs="Helv"/>
          <w:b/>
          <w:bCs/>
          <w:color w:val="000000"/>
          <w:szCs w:val="20"/>
          <w:lang w:eastAsia="sl-SI"/>
        </w:rPr>
      </w:pPr>
      <w:r>
        <w:rPr>
          <w:rFonts w:ascii="Helv" w:hAnsi="Helv" w:cs="Helv"/>
          <w:b/>
          <w:bCs/>
          <w:color w:val="000000"/>
          <w:szCs w:val="20"/>
          <w:lang w:eastAsia="sl-SI"/>
        </w:rPr>
        <w:t>Proračun ministrstva za infrastrukturo prvič v zgodovini presega milijardo evrov</w:t>
      </w:r>
    </w:p>
    <w:p w:rsidR="00913E35" w:rsidRDefault="00913E35" w:rsidP="00913E35">
      <w:pPr>
        <w:tabs>
          <w:tab w:val="left" w:pos="0"/>
        </w:tabs>
        <w:autoSpaceDE w:val="0"/>
        <w:autoSpaceDN w:val="0"/>
        <w:adjustRightInd w:val="0"/>
        <w:spacing w:line="240" w:lineRule="auto"/>
        <w:jc w:val="both"/>
        <w:rPr>
          <w:rFonts w:ascii="Helv" w:hAnsi="Helv" w:cs="Helv"/>
          <w:b/>
          <w:bCs/>
          <w:color w:val="000000"/>
          <w:szCs w:val="20"/>
          <w:lang w:eastAsia="sl-SI"/>
        </w:rPr>
      </w:pPr>
    </w:p>
    <w:p w:rsidR="00913E35" w:rsidRDefault="00913E35" w:rsidP="00913E35">
      <w:pPr>
        <w:tabs>
          <w:tab w:val="left" w:pos="0"/>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V novo sprejetem proračunu za leto 2021 ima Ministrstvo za infrastrukturo prvič v zgodovini načrtovanih več kot milijardo evrov odhodkov. Skupaj 1,07 milijarde evrov, kar je skoraj za 270 milijonov več kot v prvotno sprejetem proračunu za leto 2021 in cca 200 milijonov več od rebalansa 2020 in realizacije 2019. S proračunom za leto 2022 se obseg g</w:t>
      </w:r>
      <w:bookmarkStart w:id="0" w:name="_GoBack"/>
      <w:bookmarkEnd w:id="0"/>
      <w:r>
        <w:rPr>
          <w:rFonts w:ascii="Helv" w:hAnsi="Helv" w:cs="Helv"/>
          <w:color w:val="000000"/>
          <w:szCs w:val="20"/>
          <w:lang w:eastAsia="sl-SI"/>
        </w:rPr>
        <w:t>lede na leto 2021 malo zmanjša, vendar je s 994 milijoni evri še vedno bistveno nad obsegom iz leta 2019 in 2020. Dinamika je odvisna tudi od črpanja EU sredstev.</w:t>
      </w:r>
    </w:p>
    <w:p w:rsidR="00913E35" w:rsidRDefault="00913E35" w:rsidP="00913E35">
      <w:pPr>
        <w:tabs>
          <w:tab w:val="left" w:pos="0"/>
        </w:tabs>
        <w:autoSpaceDE w:val="0"/>
        <w:autoSpaceDN w:val="0"/>
        <w:adjustRightInd w:val="0"/>
        <w:spacing w:line="240" w:lineRule="auto"/>
        <w:jc w:val="both"/>
        <w:rPr>
          <w:rFonts w:ascii="Helv" w:hAnsi="Helv" w:cs="Helv"/>
          <w:color w:val="000000"/>
          <w:szCs w:val="20"/>
          <w:lang w:eastAsia="sl-SI"/>
        </w:rPr>
      </w:pPr>
    </w:p>
    <w:p w:rsidR="00913E35" w:rsidRDefault="00913E35" w:rsidP="00913E35">
      <w:pPr>
        <w:tabs>
          <w:tab w:val="left" w:pos="0"/>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Na področju </w:t>
      </w:r>
      <w:r>
        <w:rPr>
          <w:rFonts w:ascii="Helv" w:hAnsi="Helv" w:cs="Helv"/>
          <w:i/>
          <w:iCs/>
          <w:color w:val="000000"/>
          <w:szCs w:val="20"/>
          <w:u w:val="single"/>
          <w:lang w:eastAsia="sl-SI"/>
        </w:rPr>
        <w:t>železnic</w:t>
      </w:r>
      <w:r>
        <w:rPr>
          <w:rFonts w:ascii="Helv" w:hAnsi="Helv" w:cs="Helv"/>
          <w:color w:val="000000"/>
          <w:szCs w:val="20"/>
          <w:lang w:eastAsia="sl-SI"/>
        </w:rPr>
        <w:t xml:space="preserve"> so za prihodnje proračunsko obdobje načrtovane večje investicije v </w:t>
      </w:r>
      <w:proofErr w:type="spellStart"/>
      <w:r>
        <w:rPr>
          <w:rFonts w:ascii="Helv" w:hAnsi="Helv" w:cs="Helv"/>
          <w:color w:val="000000"/>
          <w:szCs w:val="20"/>
          <w:lang w:eastAsia="sl-SI"/>
        </w:rPr>
        <w:t>koridorske</w:t>
      </w:r>
      <w:proofErr w:type="spellEnd"/>
      <w:r>
        <w:rPr>
          <w:rFonts w:ascii="Helv" w:hAnsi="Helv" w:cs="Helv"/>
          <w:color w:val="000000"/>
          <w:szCs w:val="20"/>
          <w:lang w:eastAsia="sl-SI"/>
        </w:rPr>
        <w:t xml:space="preserve"> proge (med drugim Poljčane–Slovenska Bistrica, Zidani most–Celje, Maribor–Šentilj, odsek Podnart–Lesce Bled na progi Ljubljana–Kranj–Jesenice, predor Karavanke, vozlišče Pragersko in drugi tir Divača–Koper). Skupaj je za leto 2021 načrtovanih 437 milijonov evrov, za leto 2022 pa 390 milijonov evrov. Glede na rebalans 2020 in realizacijo 2019 se predvidena poraba v 2021 povečuje za 92 milijonov evrov, v letu 2022 pa za dobrih 45 milijonov evrov.</w:t>
      </w:r>
    </w:p>
    <w:p w:rsidR="00913E35" w:rsidRDefault="00913E35" w:rsidP="00913E35">
      <w:pPr>
        <w:tabs>
          <w:tab w:val="left" w:pos="0"/>
        </w:tabs>
        <w:autoSpaceDE w:val="0"/>
        <w:autoSpaceDN w:val="0"/>
        <w:adjustRightInd w:val="0"/>
        <w:spacing w:line="240" w:lineRule="auto"/>
        <w:jc w:val="both"/>
        <w:rPr>
          <w:rFonts w:ascii="Helv" w:hAnsi="Helv" w:cs="Helv"/>
          <w:color w:val="000000"/>
          <w:szCs w:val="20"/>
          <w:lang w:eastAsia="sl-SI"/>
        </w:rPr>
      </w:pPr>
    </w:p>
    <w:p w:rsidR="00913E35" w:rsidRDefault="00913E35" w:rsidP="00913E35">
      <w:pPr>
        <w:autoSpaceDE w:val="0"/>
        <w:autoSpaceDN w:val="0"/>
        <w:adjustRightInd w:val="0"/>
        <w:spacing w:line="240" w:lineRule="auto"/>
        <w:rPr>
          <w:rFonts w:ascii="Helv" w:hAnsi="Helv" w:cs="Helv"/>
          <w:color w:val="000000"/>
          <w:szCs w:val="20"/>
          <w:lang w:eastAsia="sl-SI"/>
        </w:rPr>
      </w:pPr>
      <w:r>
        <w:rPr>
          <w:rFonts w:ascii="Helv" w:hAnsi="Helv" w:cs="Helv"/>
          <w:color w:val="000000"/>
          <w:szCs w:val="20"/>
          <w:lang w:eastAsia="sl-SI"/>
        </w:rPr>
        <w:t xml:space="preserve">Na </w:t>
      </w:r>
      <w:r>
        <w:rPr>
          <w:rFonts w:ascii="Helv" w:hAnsi="Helv" w:cs="Helv"/>
          <w:i/>
          <w:iCs/>
          <w:color w:val="000000"/>
          <w:szCs w:val="20"/>
          <w:u w:val="single"/>
          <w:lang w:eastAsia="sl-SI"/>
        </w:rPr>
        <w:t>državnih cestah</w:t>
      </w:r>
      <w:r>
        <w:rPr>
          <w:rFonts w:ascii="Helv" w:hAnsi="Helv" w:cs="Helv"/>
          <w:color w:val="000000"/>
          <w:szCs w:val="20"/>
          <w:lang w:eastAsia="sl-SI"/>
        </w:rPr>
        <w:t xml:space="preserve"> je za leto 2021 predvidenih 289 milijonov, za leto 2022 pa 292 milijonov evrov. Med drugim so načrtovane rekonstrukcije, obvoznice, kolesarke, objekti, ureditve cest, obnove vozišč ter zaščitni ukrepi na brežinah. Načrtovana je tudi izvedba obnov na 120 km državnih vozišč in ukrepov na področju prometne varnosti. Za redno vzdrževanje in upravljanje državnih cest je od navedenega na letni ravni načrtovanih 105 milijonov evrov, kar omogoča osnovno uporabnost cest v vseh razmerah in lahko ob ustreznem in zadostnem izvajanju bistveno pripomore k zmanjševanju stroškov vlaganj v cestno omrežje. Na področju </w:t>
      </w:r>
      <w:r>
        <w:rPr>
          <w:rFonts w:ascii="Helv" w:hAnsi="Helv" w:cs="Helv"/>
          <w:i/>
          <w:iCs/>
          <w:color w:val="000000"/>
          <w:szCs w:val="20"/>
          <w:u w:val="single"/>
          <w:lang w:eastAsia="sl-SI"/>
        </w:rPr>
        <w:t xml:space="preserve">avtocest in hitrih cest </w:t>
      </w:r>
      <w:r>
        <w:rPr>
          <w:rFonts w:ascii="Helv" w:hAnsi="Helv" w:cs="Helv"/>
          <w:color w:val="000000"/>
          <w:szCs w:val="20"/>
          <w:lang w:eastAsia="sl-SI"/>
        </w:rPr>
        <w:t>so med pomembnejšimi odseki na tretji razvojni osi. Za sofinanciranje s sredstvi EU je načrtovana tudi gradnja avtocestnega predora Karavanke. Na letni ravni je načrtovanih slabih 28 milijonov evrov odhodkov.</w:t>
      </w:r>
    </w:p>
    <w:p w:rsidR="00913E35" w:rsidRDefault="00913E35" w:rsidP="00913E35">
      <w:pPr>
        <w:autoSpaceDE w:val="0"/>
        <w:autoSpaceDN w:val="0"/>
        <w:adjustRightInd w:val="0"/>
        <w:spacing w:line="240" w:lineRule="auto"/>
        <w:rPr>
          <w:rFonts w:ascii="Helv" w:hAnsi="Helv" w:cs="Helv"/>
          <w:color w:val="000000"/>
          <w:szCs w:val="20"/>
          <w:lang w:eastAsia="sl-SI"/>
        </w:rPr>
      </w:pPr>
    </w:p>
    <w:p w:rsidR="00913E35" w:rsidRDefault="00913E35" w:rsidP="00913E35">
      <w:pPr>
        <w:tabs>
          <w:tab w:val="left" w:pos="0"/>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V okviru </w:t>
      </w:r>
      <w:r>
        <w:rPr>
          <w:rFonts w:ascii="Helv" w:hAnsi="Helv" w:cs="Helv"/>
          <w:i/>
          <w:iCs/>
          <w:color w:val="000000"/>
          <w:szCs w:val="20"/>
          <w:u w:val="single"/>
          <w:lang w:eastAsia="sl-SI"/>
        </w:rPr>
        <w:t>trajnostne mobilnosti</w:t>
      </w:r>
      <w:r>
        <w:rPr>
          <w:rFonts w:ascii="Helv" w:hAnsi="Helv" w:cs="Helv"/>
          <w:color w:val="000000"/>
          <w:szCs w:val="20"/>
          <w:lang w:eastAsia="sl-SI"/>
        </w:rPr>
        <w:t xml:space="preserve"> si ministrstvo prizadeva spodbujati investicije v trajnostno (urbano) infrastrukturo za pešce, kolesarje, postajališča javnega potniškega prometa ter vzpostavitev sistemov izposoje koles v mestih, vzpostavitvijo P+R in drugo. V veliki večini gre za projekte občin, s katerimi se te prijavljajo na razpise ministrstva za sofinanciranje s sredstvi EU. S sredstvi EU se predvideva tudi sofinanciranje drugih projektov upravljanja prometa in prometne politike. Zagotavljajo pa se tudi sredstva za financiranje sistema javnega potniškega prometa (cestnega in železniškega). Skupaj je načrtovanih 216 milijonov evrov v letu 2021 in 198 milijonov evrov v letu 2022. Oboje presega tako realizacijo zadnjih dveh let kot rebalans letošnjega proračuna. </w:t>
      </w:r>
    </w:p>
    <w:p w:rsidR="00913E35" w:rsidRDefault="00913E35" w:rsidP="00913E35">
      <w:pPr>
        <w:tabs>
          <w:tab w:val="left" w:pos="0"/>
        </w:tabs>
        <w:autoSpaceDE w:val="0"/>
        <w:autoSpaceDN w:val="0"/>
        <w:adjustRightInd w:val="0"/>
        <w:spacing w:line="240" w:lineRule="auto"/>
        <w:jc w:val="both"/>
        <w:rPr>
          <w:rFonts w:ascii="Helv" w:hAnsi="Helv" w:cs="Helv"/>
          <w:color w:val="000000"/>
          <w:szCs w:val="20"/>
          <w:lang w:eastAsia="sl-SI"/>
        </w:rPr>
      </w:pPr>
    </w:p>
    <w:p w:rsidR="00913E35" w:rsidRDefault="00913E35" w:rsidP="00913E35">
      <w:pPr>
        <w:tabs>
          <w:tab w:val="left" w:pos="0"/>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Na področju </w:t>
      </w:r>
      <w:r>
        <w:rPr>
          <w:rFonts w:ascii="Helv" w:hAnsi="Helv" w:cs="Helv"/>
          <w:i/>
          <w:iCs/>
          <w:color w:val="000000"/>
          <w:szCs w:val="20"/>
          <w:u w:val="single"/>
          <w:lang w:eastAsia="sl-SI"/>
        </w:rPr>
        <w:t>energetike</w:t>
      </w:r>
      <w:r>
        <w:rPr>
          <w:rFonts w:ascii="Helv" w:hAnsi="Helv" w:cs="Helv"/>
          <w:color w:val="000000"/>
          <w:szCs w:val="20"/>
          <w:lang w:eastAsia="sl-SI"/>
        </w:rPr>
        <w:t xml:space="preserve"> je financiranje projektov v veliki meri načrtovano s sredstvi EU in pripadajoče slovenske udeležbe. Preko proračuna Ministrstva za infrastrukturo se vrši sofinanciranje občinskih projektov energetske prenove stavb. Prav tako projektov daljinskega ogrevanja na lesno biomaso, sončnih elektrarn ter drugih projektov proizvodnje in distribucije energije iz obnovljivih virov. Pa tudi investicij v razvoj in uporabo pametnih distribucijskih sistemov. Skupaj je za leto 2021 načrtovanih 53 milijonov evrov, za leto 2022 pa 47 milijonov evrov odhodkov.</w:t>
      </w:r>
    </w:p>
    <w:p w:rsidR="00913E35" w:rsidRDefault="00913E35" w:rsidP="00913E35">
      <w:pPr>
        <w:spacing w:line="240" w:lineRule="auto"/>
        <w:rPr>
          <w:rFonts w:ascii="Helv" w:hAnsi="Helv" w:cs="Helv"/>
          <w:color w:val="000000"/>
          <w:szCs w:val="20"/>
          <w:lang w:eastAsia="sl-SI"/>
        </w:rPr>
      </w:pPr>
    </w:p>
    <w:p w:rsidR="00913E35" w:rsidRDefault="00913E35" w:rsidP="00913E35">
      <w:pPr>
        <w:spacing w:line="240" w:lineRule="auto"/>
        <w:rPr>
          <w:rFonts w:cs="Arial"/>
          <w:b/>
          <w:szCs w:val="20"/>
          <w:lang w:eastAsia="sl-SI"/>
        </w:rPr>
      </w:pPr>
      <w:r>
        <w:rPr>
          <w:rFonts w:ascii="Helv" w:hAnsi="Helv" w:cs="Helv"/>
          <w:color w:val="000000"/>
          <w:szCs w:val="20"/>
          <w:lang w:eastAsia="sl-SI"/>
        </w:rPr>
        <w:t xml:space="preserve">V predlogih proračunov so načrtovane tudi nekatere druge naloge ministrstva. Na področju </w:t>
      </w:r>
      <w:r>
        <w:rPr>
          <w:rFonts w:ascii="Helv" w:hAnsi="Helv" w:cs="Helv"/>
          <w:i/>
          <w:iCs/>
          <w:color w:val="000000"/>
          <w:szCs w:val="20"/>
          <w:u w:val="single"/>
          <w:lang w:eastAsia="sl-SI"/>
        </w:rPr>
        <w:t>letalstva</w:t>
      </w:r>
      <w:r>
        <w:rPr>
          <w:rFonts w:ascii="Helv" w:hAnsi="Helv" w:cs="Helv"/>
          <w:color w:val="000000"/>
          <w:szCs w:val="20"/>
          <w:lang w:eastAsia="sl-SI"/>
        </w:rPr>
        <w:t xml:space="preserve"> se med drugim zagotavljajo sredstva za obratovanje Letališča Edvarda Rusjan Maribor, postopke priprave državnih prostorskih načrtov ter pomoč tekočemu poslovanju letališčem državnega pomena. Na področju </w:t>
      </w:r>
      <w:r>
        <w:rPr>
          <w:rFonts w:ascii="Helv" w:hAnsi="Helv" w:cs="Helv"/>
          <w:i/>
          <w:iCs/>
          <w:color w:val="000000"/>
          <w:szCs w:val="20"/>
          <w:u w:val="single"/>
          <w:lang w:eastAsia="sl-SI"/>
        </w:rPr>
        <w:t>pomorstva</w:t>
      </w:r>
      <w:r>
        <w:rPr>
          <w:rFonts w:ascii="Helv" w:hAnsi="Helv" w:cs="Helv"/>
          <w:color w:val="000000"/>
          <w:szCs w:val="20"/>
          <w:lang w:eastAsia="sl-SI"/>
        </w:rPr>
        <w:t xml:space="preserve"> pa med drugim nakup nepremičnin </w:t>
      </w:r>
      <w:r>
        <w:rPr>
          <w:rFonts w:ascii="Helv" w:hAnsi="Helv" w:cs="Helv"/>
          <w:color w:val="000000"/>
          <w:szCs w:val="20"/>
          <w:lang w:eastAsia="sl-SI"/>
        </w:rPr>
        <w:lastRenderedPageBreak/>
        <w:t>znotraj koncesijskega območja in DPN koprskega tovornega pristanišča, izvedba aktivnosti za vzpostavitev centra za reševanje in nadzor na morju in ureditev privezov za službena plovila. Tudi za ta del se za prihodnji dve leti načrtuje več odhodkov, kot je bila realizacija preteklih let in letošnjega rebalansa.</w:t>
      </w:r>
    </w:p>
    <w:sectPr w:rsidR="00913E35" w:rsidSect="008F7564">
      <w:headerReference w:type="default" r:id="rId7"/>
      <w:headerReference w:type="first" r:id="rId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04" w:rsidRDefault="00995104">
      <w:r>
        <w:separator/>
      </w:r>
    </w:p>
  </w:endnote>
  <w:endnote w:type="continuationSeparator" w:id="0">
    <w:p w:rsidR="00995104" w:rsidRDefault="0099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04" w:rsidRDefault="00995104">
      <w:r>
        <w:separator/>
      </w:r>
    </w:p>
  </w:footnote>
  <w:footnote w:type="continuationSeparator" w:id="0">
    <w:p w:rsidR="00995104" w:rsidRDefault="009951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B65EFF" w:rsidP="00CE523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-78105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8F7564" w:rsidP="00CE5238">
    <w:pPr>
      <w:pStyle w:val="Glava"/>
      <w:tabs>
        <w:tab w:val="clear" w:pos="4320"/>
        <w:tab w:val="clear" w:pos="8640"/>
        <w:tab w:val="left" w:pos="5112"/>
      </w:tabs>
      <w:spacing w:before="120" w:line="240" w:lineRule="exact"/>
      <w:rPr>
        <w:rFonts w:cs="Arial"/>
        <w:sz w:val="16"/>
      </w:rPr>
    </w:pPr>
  </w:p>
  <w:p w:rsidR="00DC1726" w:rsidRPr="004D6EED" w:rsidRDefault="00BF2C68" w:rsidP="00DC1726">
    <w:pPr>
      <w:pStyle w:val="Glava"/>
      <w:tabs>
        <w:tab w:val="clear" w:pos="4320"/>
        <w:tab w:val="clear" w:pos="8640"/>
        <w:tab w:val="left" w:pos="5112"/>
      </w:tabs>
      <w:spacing w:before="120" w:line="240" w:lineRule="exact"/>
      <w:rPr>
        <w:rFonts w:ascii="Republika" w:hAnsi="Republika" w:cs="Arial"/>
        <w:szCs w:val="20"/>
      </w:rPr>
    </w:pPr>
    <w:r>
      <w:rPr>
        <w:rFonts w:ascii="Republika" w:hAnsi="Republika" w:cs="Arial"/>
        <w:szCs w:val="20"/>
      </w:rPr>
      <w:t>SLUŽBA ZA ODNOSE Z JAVNOSTMI</w:t>
    </w:r>
  </w:p>
  <w:p w:rsidR="00DC1726" w:rsidRDefault="00DC1726" w:rsidP="00CE5238">
    <w:pPr>
      <w:pStyle w:val="Glava"/>
      <w:tabs>
        <w:tab w:val="clear" w:pos="4320"/>
        <w:tab w:val="clear" w:pos="8640"/>
        <w:tab w:val="left" w:pos="5112"/>
      </w:tabs>
      <w:spacing w:before="120" w:line="240" w:lineRule="exact"/>
      <w:rPr>
        <w:rFonts w:cs="Arial"/>
        <w:sz w:val="16"/>
      </w:rPr>
    </w:pPr>
  </w:p>
  <w:p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01 478 80 00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C96A71">
      <w:rPr>
        <w:rFonts w:cs="Arial"/>
        <w:sz w:val="16"/>
      </w:rPr>
      <w:t xml:space="preserve">01 478 81 </w:t>
    </w:r>
    <w:r w:rsidR="008924F1">
      <w:rPr>
        <w:rFonts w:cs="Arial"/>
        <w:sz w:val="16"/>
      </w:rPr>
      <w:t>70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gp.mz</w:t>
    </w:r>
    <w:r w:rsidR="004416F7">
      <w:rPr>
        <w:rFonts w:cs="Arial"/>
        <w:sz w:val="16"/>
      </w:rPr>
      <w:t>i</w:t>
    </w:r>
    <w:r w:rsidR="00C96A71">
      <w:rPr>
        <w:rFonts w:cs="Arial"/>
        <w:sz w:val="16"/>
      </w:rPr>
      <w:t>@gov.si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www.mz</w:t>
    </w:r>
    <w:r w:rsidR="002110B0">
      <w:rPr>
        <w:rFonts w:cs="Arial"/>
        <w:sz w:val="16"/>
      </w:rPr>
      <w:t>i</w:t>
    </w:r>
    <w:r w:rsidR="00C96A71">
      <w:rPr>
        <w:rFonts w:cs="Arial"/>
        <w:sz w:val="16"/>
      </w:rPr>
      <w:t>.gov.si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9927EA"/>
    <w:multiLevelType w:val="hybridMultilevel"/>
    <w:tmpl w:val="B256340E"/>
    <w:lvl w:ilvl="0" w:tplc="23002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FB33DB"/>
    <w:multiLevelType w:val="hybridMultilevel"/>
    <w:tmpl w:val="5C78ECCC"/>
    <w:lvl w:ilvl="0" w:tplc="FB4C2360">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FF1150"/>
    <w:multiLevelType w:val="hybridMultilevel"/>
    <w:tmpl w:val="D012D02E"/>
    <w:lvl w:ilvl="0" w:tplc="849A9B8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255D6"/>
    <w:multiLevelType w:val="hybridMultilevel"/>
    <w:tmpl w:val="89BEDC82"/>
    <w:lvl w:ilvl="0" w:tplc="6D6887D2">
      <w:start w:val="7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AE0DCE"/>
    <w:multiLevelType w:val="hybridMultilevel"/>
    <w:tmpl w:val="EF202D14"/>
    <w:lvl w:ilvl="0" w:tplc="D646FA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08858CD"/>
    <w:multiLevelType w:val="hybridMultilevel"/>
    <w:tmpl w:val="36EA26A8"/>
    <w:lvl w:ilvl="0" w:tplc="8F02AF7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1FC2A0A"/>
    <w:multiLevelType w:val="hybridMultilevel"/>
    <w:tmpl w:val="62969F78"/>
    <w:lvl w:ilvl="0" w:tplc="04240017">
      <w:start w:val="1"/>
      <w:numFmt w:val="lowerLetter"/>
      <w:lvlText w:val="%1)"/>
      <w:lvlJc w:val="left"/>
      <w:pPr>
        <w:ind w:left="720" w:hanging="360"/>
      </w:pPr>
      <w:rPr>
        <w:rFonts w:hint="default"/>
        <w:b/>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235277"/>
    <w:multiLevelType w:val="hybridMultilevel"/>
    <w:tmpl w:val="EE78167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20E337B"/>
    <w:multiLevelType w:val="hybridMultilevel"/>
    <w:tmpl w:val="4EA8D824"/>
    <w:lvl w:ilvl="0" w:tplc="C8CCAD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8A0E60"/>
    <w:multiLevelType w:val="hybridMultilevel"/>
    <w:tmpl w:val="3B38373C"/>
    <w:lvl w:ilvl="0" w:tplc="C8CCAD4A">
      <w:start w:val="1"/>
      <w:numFmt w:val="bullet"/>
      <w:lvlText w:val=""/>
      <w:lvlJc w:val="left"/>
      <w:pPr>
        <w:ind w:left="720" w:hanging="360"/>
      </w:pPr>
      <w:rPr>
        <w:rFonts w:ascii="Symbol" w:hAnsi="Symbol" w:hint="default"/>
      </w:rPr>
    </w:lvl>
    <w:lvl w:ilvl="1" w:tplc="C8CCAD4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667C52"/>
    <w:multiLevelType w:val="hybridMultilevel"/>
    <w:tmpl w:val="712C429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F5B141A"/>
    <w:multiLevelType w:val="hybridMultilevel"/>
    <w:tmpl w:val="BD70F79A"/>
    <w:lvl w:ilvl="0" w:tplc="6D6887D2">
      <w:start w:val="77"/>
      <w:numFmt w:val="bullet"/>
      <w:lvlText w:val="̶"/>
      <w:lvlJc w:val="left"/>
      <w:pPr>
        <w:ind w:left="720" w:hanging="360"/>
      </w:pPr>
      <w:rPr>
        <w:rFonts w:ascii="Times New Roman" w:eastAsia="Times New Roman" w:hAnsi="Times New Roman" w:cs="Times New Roman" w:hint="default"/>
      </w:rPr>
    </w:lvl>
    <w:lvl w:ilvl="1" w:tplc="6D6887D2">
      <w:start w:val="77"/>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0"/>
  </w:num>
  <w:num w:numId="5">
    <w:abstractNumId w:val="1"/>
  </w:num>
  <w:num w:numId="6">
    <w:abstractNumId w:val="9"/>
  </w:num>
  <w:num w:numId="7">
    <w:abstractNumId w:val="10"/>
  </w:num>
  <w:num w:numId="8">
    <w:abstractNumId w:val="3"/>
  </w:num>
  <w:num w:numId="9">
    <w:abstractNumId w:val="8"/>
  </w:num>
  <w:num w:numId="10">
    <w:abstractNumId w:val="4"/>
  </w:num>
  <w:num w:numId="11">
    <w:abstractNumId w:val="6"/>
  </w:num>
  <w:num w:numId="12">
    <w:abstractNumId w:val="19"/>
  </w:num>
  <w:num w:numId="13">
    <w:abstractNumId w:val="5"/>
  </w:num>
  <w:num w:numId="14">
    <w:abstractNumId w:val="2"/>
  </w:num>
  <w:num w:numId="15">
    <w:abstractNumId w:val="11"/>
  </w:num>
  <w:num w:numId="16">
    <w:abstractNumId w:val="14"/>
  </w:num>
  <w:num w:numId="17">
    <w:abstractNumId w:val="15"/>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CD"/>
    <w:rsid w:val="0000518D"/>
    <w:rsid w:val="00021C1C"/>
    <w:rsid w:val="00023A88"/>
    <w:rsid w:val="00032977"/>
    <w:rsid w:val="00054C63"/>
    <w:rsid w:val="000618EC"/>
    <w:rsid w:val="000A7238"/>
    <w:rsid w:val="000B4AE7"/>
    <w:rsid w:val="000D5932"/>
    <w:rsid w:val="000D6CB0"/>
    <w:rsid w:val="000E027C"/>
    <w:rsid w:val="00107EE2"/>
    <w:rsid w:val="00114BBE"/>
    <w:rsid w:val="0011752E"/>
    <w:rsid w:val="00125C6B"/>
    <w:rsid w:val="0012776B"/>
    <w:rsid w:val="001357B2"/>
    <w:rsid w:val="001632DE"/>
    <w:rsid w:val="0017478F"/>
    <w:rsid w:val="00176B48"/>
    <w:rsid w:val="001C0EB3"/>
    <w:rsid w:val="001C1D39"/>
    <w:rsid w:val="001D1556"/>
    <w:rsid w:val="001E0ABE"/>
    <w:rsid w:val="00202A77"/>
    <w:rsid w:val="002110B0"/>
    <w:rsid w:val="002202B0"/>
    <w:rsid w:val="00235431"/>
    <w:rsid w:val="00251E32"/>
    <w:rsid w:val="00271CE5"/>
    <w:rsid w:val="00282020"/>
    <w:rsid w:val="002A2B69"/>
    <w:rsid w:val="002B1FDB"/>
    <w:rsid w:val="002F0701"/>
    <w:rsid w:val="00312F2E"/>
    <w:rsid w:val="00337032"/>
    <w:rsid w:val="00355061"/>
    <w:rsid w:val="003636BF"/>
    <w:rsid w:val="00371442"/>
    <w:rsid w:val="00373D11"/>
    <w:rsid w:val="003819D5"/>
    <w:rsid w:val="003845B4"/>
    <w:rsid w:val="00384B00"/>
    <w:rsid w:val="00387B1A"/>
    <w:rsid w:val="003A208D"/>
    <w:rsid w:val="003B4E83"/>
    <w:rsid w:val="003B5E9B"/>
    <w:rsid w:val="003C5EE5"/>
    <w:rsid w:val="003E1C74"/>
    <w:rsid w:val="00401F67"/>
    <w:rsid w:val="004155F2"/>
    <w:rsid w:val="00434079"/>
    <w:rsid w:val="004360CD"/>
    <w:rsid w:val="004416F7"/>
    <w:rsid w:val="004657EE"/>
    <w:rsid w:val="00470EB3"/>
    <w:rsid w:val="00487041"/>
    <w:rsid w:val="004B19CC"/>
    <w:rsid w:val="004B5D77"/>
    <w:rsid w:val="004B6C1A"/>
    <w:rsid w:val="004F20FD"/>
    <w:rsid w:val="004F48DA"/>
    <w:rsid w:val="00526246"/>
    <w:rsid w:val="0056333E"/>
    <w:rsid w:val="005639E9"/>
    <w:rsid w:val="00567106"/>
    <w:rsid w:val="005E1D3C"/>
    <w:rsid w:val="00601C17"/>
    <w:rsid w:val="00622602"/>
    <w:rsid w:val="00625AE6"/>
    <w:rsid w:val="00632253"/>
    <w:rsid w:val="00642714"/>
    <w:rsid w:val="006455CE"/>
    <w:rsid w:val="006541C6"/>
    <w:rsid w:val="00655841"/>
    <w:rsid w:val="006644AE"/>
    <w:rsid w:val="0069723C"/>
    <w:rsid w:val="006A706F"/>
    <w:rsid w:val="006D6B90"/>
    <w:rsid w:val="00705CFF"/>
    <w:rsid w:val="00733017"/>
    <w:rsid w:val="00760A07"/>
    <w:rsid w:val="00760EF8"/>
    <w:rsid w:val="00773EAA"/>
    <w:rsid w:val="00774F56"/>
    <w:rsid w:val="00783310"/>
    <w:rsid w:val="00792537"/>
    <w:rsid w:val="007A1056"/>
    <w:rsid w:val="007A4A6D"/>
    <w:rsid w:val="007B009B"/>
    <w:rsid w:val="007B5537"/>
    <w:rsid w:val="007D1BCF"/>
    <w:rsid w:val="007D75CF"/>
    <w:rsid w:val="007E0440"/>
    <w:rsid w:val="007E6DC5"/>
    <w:rsid w:val="00802BB5"/>
    <w:rsid w:val="00811864"/>
    <w:rsid w:val="00811CF8"/>
    <w:rsid w:val="00845E43"/>
    <w:rsid w:val="0085503D"/>
    <w:rsid w:val="00865C1D"/>
    <w:rsid w:val="00867BAF"/>
    <w:rsid w:val="0088043C"/>
    <w:rsid w:val="00884889"/>
    <w:rsid w:val="008906C9"/>
    <w:rsid w:val="008924F1"/>
    <w:rsid w:val="008C5738"/>
    <w:rsid w:val="008D04F0"/>
    <w:rsid w:val="008D3435"/>
    <w:rsid w:val="008D63FC"/>
    <w:rsid w:val="008E3EF7"/>
    <w:rsid w:val="008F3500"/>
    <w:rsid w:val="008F5FE8"/>
    <w:rsid w:val="008F7564"/>
    <w:rsid w:val="00911038"/>
    <w:rsid w:val="00911A5B"/>
    <w:rsid w:val="00913E35"/>
    <w:rsid w:val="00924E3C"/>
    <w:rsid w:val="009277C0"/>
    <w:rsid w:val="0094728C"/>
    <w:rsid w:val="009612BB"/>
    <w:rsid w:val="00995104"/>
    <w:rsid w:val="009C740A"/>
    <w:rsid w:val="00A125C5"/>
    <w:rsid w:val="00A221D5"/>
    <w:rsid w:val="00A2451C"/>
    <w:rsid w:val="00A53DB2"/>
    <w:rsid w:val="00A65EE7"/>
    <w:rsid w:val="00A70133"/>
    <w:rsid w:val="00A770A6"/>
    <w:rsid w:val="00A813B1"/>
    <w:rsid w:val="00A86CF7"/>
    <w:rsid w:val="00A8773D"/>
    <w:rsid w:val="00AB36C4"/>
    <w:rsid w:val="00AC32B2"/>
    <w:rsid w:val="00AC5EA1"/>
    <w:rsid w:val="00AD62F3"/>
    <w:rsid w:val="00AD7970"/>
    <w:rsid w:val="00AF7C35"/>
    <w:rsid w:val="00B051DA"/>
    <w:rsid w:val="00B115C9"/>
    <w:rsid w:val="00B1443B"/>
    <w:rsid w:val="00B17141"/>
    <w:rsid w:val="00B17BAE"/>
    <w:rsid w:val="00B31575"/>
    <w:rsid w:val="00B35CBF"/>
    <w:rsid w:val="00B40EAC"/>
    <w:rsid w:val="00B57B90"/>
    <w:rsid w:val="00B65EFF"/>
    <w:rsid w:val="00B7732A"/>
    <w:rsid w:val="00B8547D"/>
    <w:rsid w:val="00B92792"/>
    <w:rsid w:val="00BA2C3E"/>
    <w:rsid w:val="00BA4B58"/>
    <w:rsid w:val="00BE6D63"/>
    <w:rsid w:val="00BF2B84"/>
    <w:rsid w:val="00BF2C68"/>
    <w:rsid w:val="00BF3D77"/>
    <w:rsid w:val="00BF565F"/>
    <w:rsid w:val="00C250D5"/>
    <w:rsid w:val="00C25DC9"/>
    <w:rsid w:val="00C35666"/>
    <w:rsid w:val="00C37EEC"/>
    <w:rsid w:val="00C72959"/>
    <w:rsid w:val="00C92898"/>
    <w:rsid w:val="00C96A71"/>
    <w:rsid w:val="00C97B33"/>
    <w:rsid w:val="00CA4340"/>
    <w:rsid w:val="00CC1674"/>
    <w:rsid w:val="00CC72D8"/>
    <w:rsid w:val="00CD1542"/>
    <w:rsid w:val="00CE4665"/>
    <w:rsid w:val="00CE5238"/>
    <w:rsid w:val="00CE7514"/>
    <w:rsid w:val="00D10546"/>
    <w:rsid w:val="00D248DE"/>
    <w:rsid w:val="00D440D4"/>
    <w:rsid w:val="00D8542D"/>
    <w:rsid w:val="00D87DBB"/>
    <w:rsid w:val="00DA0C65"/>
    <w:rsid w:val="00DA690B"/>
    <w:rsid w:val="00DC1175"/>
    <w:rsid w:val="00DC1726"/>
    <w:rsid w:val="00DC1C56"/>
    <w:rsid w:val="00DC6A71"/>
    <w:rsid w:val="00DD64B1"/>
    <w:rsid w:val="00E0357D"/>
    <w:rsid w:val="00E50400"/>
    <w:rsid w:val="00E66513"/>
    <w:rsid w:val="00E673E7"/>
    <w:rsid w:val="00E746DB"/>
    <w:rsid w:val="00E82E8A"/>
    <w:rsid w:val="00ED1C3E"/>
    <w:rsid w:val="00EF0F1B"/>
    <w:rsid w:val="00EF7F69"/>
    <w:rsid w:val="00F1784B"/>
    <w:rsid w:val="00F22C6E"/>
    <w:rsid w:val="00F240BB"/>
    <w:rsid w:val="00F57FED"/>
    <w:rsid w:val="00F60A2F"/>
    <w:rsid w:val="00F67856"/>
    <w:rsid w:val="00FA5D4C"/>
    <w:rsid w:val="00FB72AF"/>
    <w:rsid w:val="00FC3E92"/>
    <w:rsid w:val="00FC47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222DFD1"/>
  <w15:chartTrackingRefBased/>
  <w15:docId w15:val="{8DC62015-FC0A-4D2A-92BC-8C473DBF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customStyle="1" w:styleId="TableGrid">
    <w:name w:val="TableGrid"/>
    <w:rsid w:val="00BA4B58"/>
    <w:rPr>
      <w:rFonts w:ascii="Calibri" w:hAnsi="Calibri"/>
      <w:sz w:val="22"/>
      <w:szCs w:val="22"/>
    </w:rPr>
    <w:tblPr>
      <w:tblCellMar>
        <w:top w:w="0" w:type="dxa"/>
        <w:left w:w="0" w:type="dxa"/>
        <w:bottom w:w="0" w:type="dxa"/>
        <w:right w:w="0" w:type="dxa"/>
      </w:tblCellMar>
    </w:tblPr>
  </w:style>
  <w:style w:type="paragraph" w:styleId="Besedilooblaka">
    <w:name w:val="Balloon Text"/>
    <w:basedOn w:val="Navaden"/>
    <w:link w:val="BesedilooblakaZnak"/>
    <w:rsid w:val="00601C1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01C17"/>
    <w:rPr>
      <w:rFonts w:ascii="Segoe UI" w:hAnsi="Segoe UI" w:cs="Segoe UI"/>
      <w:sz w:val="18"/>
      <w:szCs w:val="18"/>
      <w:lang w:eastAsia="en-US"/>
    </w:rPr>
  </w:style>
  <w:style w:type="paragraph" w:customStyle="1" w:styleId="Neotevilenodstavek">
    <w:name w:val="Neoštevilčen odstavek"/>
    <w:basedOn w:val="Navaden"/>
    <w:link w:val="NeotevilenodstavekZnak"/>
    <w:qFormat/>
    <w:rsid w:val="000618EC"/>
    <w:pPr>
      <w:overflowPunct w:val="0"/>
      <w:autoSpaceDE w:val="0"/>
      <w:autoSpaceDN w:val="0"/>
      <w:adjustRightInd w:val="0"/>
      <w:spacing w:before="60" w:after="60" w:line="200" w:lineRule="exact"/>
      <w:jc w:val="both"/>
      <w:textAlignment w:val="baseline"/>
    </w:pPr>
    <w:rPr>
      <w:szCs w:val="20"/>
      <w:lang w:val="x-none" w:eastAsia="sl-SI"/>
    </w:rPr>
  </w:style>
  <w:style w:type="character" w:customStyle="1" w:styleId="NeotevilenodstavekZnak">
    <w:name w:val="Neoštevilčen odstavek Znak"/>
    <w:link w:val="Neotevilenodstavek"/>
    <w:rsid w:val="000618EC"/>
    <w:rPr>
      <w:rFonts w:ascii="Arial" w:hAnsi="Arial"/>
      <w:lang w:val="x-none"/>
    </w:rPr>
  </w:style>
  <w:style w:type="paragraph" w:styleId="Brezrazmikov">
    <w:name w:val="No Spacing"/>
    <w:uiPriority w:val="1"/>
    <w:qFormat/>
    <w:rsid w:val="00EF0F1B"/>
    <w:rPr>
      <w:rFonts w:ascii="Calibri" w:eastAsia="Calibri" w:hAnsi="Calibri"/>
      <w:sz w:val="22"/>
      <w:szCs w:val="22"/>
      <w:lang w:eastAsia="en-US"/>
    </w:rPr>
  </w:style>
  <w:style w:type="paragraph" w:customStyle="1" w:styleId="Oddelek">
    <w:name w:val="Oddelek"/>
    <w:basedOn w:val="Navaden"/>
    <w:link w:val="OddelekZnak1"/>
    <w:qFormat/>
    <w:rsid w:val="00107EE2"/>
    <w:pPr>
      <w:numPr>
        <w:numId w:val="6"/>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107EE2"/>
    <w:rPr>
      <w:rFonts w:ascii="Arial" w:hAnsi="Arial" w:cs="Arial"/>
      <w:b/>
      <w:sz w:val="22"/>
      <w:szCs w:val="22"/>
    </w:rPr>
  </w:style>
  <w:style w:type="paragraph" w:styleId="Odstavekseznama">
    <w:name w:val="List Paragraph"/>
    <w:basedOn w:val="Navaden"/>
    <w:uiPriority w:val="34"/>
    <w:qFormat/>
    <w:rsid w:val="00C97B33"/>
    <w:pPr>
      <w:spacing w:line="240" w:lineRule="auto"/>
      <w:ind w:left="708"/>
    </w:pPr>
    <w:rPr>
      <w:rFonts w:ascii="Times New Roman" w:hAnsi="Times New Roman"/>
      <w:sz w:val="24"/>
      <w:lang w:eastAsia="sl-SI"/>
    </w:rPr>
  </w:style>
  <w:style w:type="paragraph" w:customStyle="1" w:styleId="Naslovpredpisa">
    <w:name w:val="Naslov_predpisa"/>
    <w:basedOn w:val="Navaden"/>
    <w:link w:val="NaslovpredpisaZnak"/>
    <w:qFormat/>
    <w:rsid w:val="00760EF8"/>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760EF8"/>
    <w:rPr>
      <w:rFonts w:ascii="Arial" w:hAnsi="Arial" w:cs="Arial"/>
      <w:b/>
      <w:sz w:val="22"/>
      <w:szCs w:val="22"/>
    </w:rPr>
  </w:style>
  <w:style w:type="paragraph" w:customStyle="1" w:styleId="RStekst">
    <w:name w:val="RS tekst"/>
    <w:link w:val="RStekstZnak"/>
    <w:qFormat/>
    <w:rsid w:val="00A86CF7"/>
    <w:pPr>
      <w:widowControl w:val="0"/>
      <w:spacing w:before="80" w:after="80" w:line="280" w:lineRule="atLeast"/>
      <w:contextualSpacing/>
      <w:jc w:val="both"/>
    </w:pPr>
    <w:rPr>
      <w:rFonts w:ascii="Garamond" w:hAnsi="Garamond"/>
      <w:bCs/>
      <w:sz w:val="22"/>
      <w:lang w:eastAsia="en-US"/>
    </w:rPr>
  </w:style>
  <w:style w:type="character" w:customStyle="1" w:styleId="RStekstZnak">
    <w:name w:val="RS tekst Znak"/>
    <w:link w:val="RStekst"/>
    <w:rsid w:val="00A86CF7"/>
    <w:rPr>
      <w:rFonts w:ascii="Garamond" w:hAnsi="Garamond"/>
      <w:bCs/>
      <w:sz w:val="22"/>
      <w:lang w:eastAsia="en-US"/>
    </w:rPr>
  </w:style>
  <w:style w:type="paragraph" w:styleId="Telobesedila">
    <w:name w:val="Body Text"/>
    <w:basedOn w:val="Navaden"/>
    <w:link w:val="TelobesedilaZnak"/>
    <w:rsid w:val="00F22C6E"/>
    <w:pPr>
      <w:suppressAutoHyphens/>
      <w:spacing w:after="120" w:line="240" w:lineRule="auto"/>
    </w:pPr>
    <w:rPr>
      <w:rFonts w:ascii="Times New Roman" w:hAnsi="Times New Roman"/>
      <w:sz w:val="24"/>
      <w:lang w:val="x-none" w:eastAsia="ar-SA"/>
    </w:rPr>
  </w:style>
  <w:style w:type="character" w:customStyle="1" w:styleId="TelobesedilaZnak">
    <w:name w:val="Telo besedila Znak"/>
    <w:basedOn w:val="Privzetapisavaodstavka"/>
    <w:link w:val="Telobesedila"/>
    <w:rsid w:val="00F22C6E"/>
    <w:rPr>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74">
      <w:bodyDiv w:val="1"/>
      <w:marLeft w:val="0"/>
      <w:marRight w:val="0"/>
      <w:marTop w:val="0"/>
      <w:marBottom w:val="0"/>
      <w:divBdr>
        <w:top w:val="none" w:sz="0" w:space="0" w:color="auto"/>
        <w:left w:val="none" w:sz="0" w:space="0" w:color="auto"/>
        <w:bottom w:val="none" w:sz="0" w:space="0" w:color="auto"/>
        <w:right w:val="none" w:sz="0" w:space="0" w:color="auto"/>
      </w:divBdr>
    </w:div>
    <w:div w:id="522936879">
      <w:bodyDiv w:val="1"/>
      <w:marLeft w:val="0"/>
      <w:marRight w:val="0"/>
      <w:marTop w:val="0"/>
      <w:marBottom w:val="0"/>
      <w:divBdr>
        <w:top w:val="none" w:sz="0" w:space="0" w:color="auto"/>
        <w:left w:val="none" w:sz="0" w:space="0" w:color="auto"/>
        <w:bottom w:val="none" w:sz="0" w:space="0" w:color="auto"/>
        <w:right w:val="none" w:sz="0" w:space="0" w:color="auto"/>
      </w:divBdr>
    </w:div>
    <w:div w:id="1482425235">
      <w:bodyDiv w:val="1"/>
      <w:marLeft w:val="0"/>
      <w:marRight w:val="0"/>
      <w:marTop w:val="0"/>
      <w:marBottom w:val="0"/>
      <w:divBdr>
        <w:top w:val="none" w:sz="0" w:space="0" w:color="auto"/>
        <w:left w:val="none" w:sz="0" w:space="0" w:color="auto"/>
        <w:bottom w:val="none" w:sz="0" w:space="0" w:color="auto"/>
        <w:right w:val="none" w:sz="0" w:space="0" w:color="auto"/>
      </w:divBdr>
    </w:div>
    <w:div w:id="16296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605</Words>
  <Characters>3454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Lajovic</dc:creator>
  <cp:keywords/>
  <cp:lastModifiedBy>Boštjan Lajovic</cp:lastModifiedBy>
  <cp:revision>17</cp:revision>
  <cp:lastPrinted>2018-10-08T07:59:00Z</cp:lastPrinted>
  <dcterms:created xsi:type="dcterms:W3CDTF">2020-06-10T13:20:00Z</dcterms:created>
  <dcterms:modified xsi:type="dcterms:W3CDTF">2020-11-19T08:10:00Z</dcterms:modified>
</cp:coreProperties>
</file>