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C9" w:rsidRPr="00E175CD" w:rsidRDefault="003270C9" w:rsidP="00E175CD">
      <w:pPr>
        <w:jc w:val="both"/>
        <w:rPr>
          <w:rFonts w:ascii="Arial" w:hAnsi="Arial" w:cs="Arial"/>
          <w:b/>
          <w:sz w:val="22"/>
          <w:szCs w:val="22"/>
        </w:rPr>
      </w:pPr>
      <w:r w:rsidRPr="00E175CD">
        <w:rPr>
          <w:rFonts w:ascii="Arial" w:hAnsi="Arial" w:cs="Arial"/>
          <w:b/>
          <w:sz w:val="22"/>
          <w:szCs w:val="22"/>
        </w:rPr>
        <w:t>Vlada sprejela Nacionalno strategijo za izstop iz premoga</w:t>
      </w:r>
    </w:p>
    <w:p w:rsidR="008B6B2F" w:rsidRPr="00E175CD" w:rsidRDefault="008B6B2F" w:rsidP="00E175CD">
      <w:pPr>
        <w:jc w:val="both"/>
        <w:rPr>
          <w:rFonts w:ascii="Arial" w:hAnsi="Arial" w:cs="Arial"/>
          <w:sz w:val="22"/>
          <w:szCs w:val="22"/>
        </w:rPr>
      </w:pPr>
    </w:p>
    <w:p w:rsidR="003270C9" w:rsidRPr="00E175CD" w:rsidRDefault="003270C9" w:rsidP="00E175CD">
      <w:pPr>
        <w:jc w:val="both"/>
        <w:rPr>
          <w:rFonts w:ascii="Arial" w:hAnsi="Arial" w:cs="Arial"/>
          <w:i/>
          <w:sz w:val="22"/>
          <w:szCs w:val="22"/>
        </w:rPr>
      </w:pPr>
      <w:r w:rsidRPr="00E175CD">
        <w:rPr>
          <w:rFonts w:ascii="Arial" w:hAnsi="Arial" w:cs="Arial"/>
          <w:i/>
          <w:sz w:val="22"/>
          <w:szCs w:val="22"/>
        </w:rPr>
        <w:t xml:space="preserve">Obenem je Vlada RS naložila Ministrstvu za infrastrukturo, da pripravi Predlog zakona </w:t>
      </w:r>
      <w:r w:rsidRPr="00E175CD">
        <w:rPr>
          <w:rFonts w:ascii="Arial" w:hAnsi="Arial" w:cs="Arial"/>
          <w:i/>
          <w:iCs/>
          <w:sz w:val="22"/>
          <w:szCs w:val="22"/>
        </w:rPr>
        <w:t xml:space="preserve">o postopnem zapiranju Premogovnika Velenje, Ministrstvo za gospodarski razvoj in tehnologijo pa </w:t>
      </w:r>
      <w:r w:rsidR="00EC42A7" w:rsidRPr="00E175CD">
        <w:rPr>
          <w:rFonts w:ascii="Arial" w:hAnsi="Arial" w:cs="Arial"/>
          <w:i/>
          <w:iCs/>
          <w:sz w:val="22"/>
          <w:szCs w:val="22"/>
        </w:rPr>
        <w:t xml:space="preserve">mora pripraviti </w:t>
      </w:r>
      <w:r w:rsidRPr="00E175CD">
        <w:rPr>
          <w:rFonts w:ascii="Arial" w:hAnsi="Arial" w:cs="Arial"/>
          <w:i/>
          <w:iCs/>
          <w:sz w:val="22"/>
          <w:szCs w:val="22"/>
        </w:rPr>
        <w:t>Predlog zakona o gospodarskem prestrukturiranju Savinjsko-Šaleške regije</w:t>
      </w:r>
    </w:p>
    <w:p w:rsidR="003270C9" w:rsidRPr="00E175CD" w:rsidRDefault="003270C9" w:rsidP="00E175CD">
      <w:pPr>
        <w:jc w:val="both"/>
        <w:rPr>
          <w:rFonts w:ascii="Arial" w:hAnsi="Arial" w:cs="Arial"/>
          <w:sz w:val="22"/>
          <w:szCs w:val="22"/>
        </w:rPr>
      </w:pPr>
    </w:p>
    <w:p w:rsidR="003270C9" w:rsidRPr="00E175CD" w:rsidRDefault="003270C9" w:rsidP="00E175CD">
      <w:pPr>
        <w:jc w:val="both"/>
        <w:rPr>
          <w:rFonts w:ascii="Arial" w:hAnsi="Arial" w:cs="Arial"/>
          <w:sz w:val="22"/>
          <w:szCs w:val="22"/>
        </w:rPr>
      </w:pPr>
      <w:r w:rsidRPr="00E175CD">
        <w:rPr>
          <w:rFonts w:ascii="Arial" w:hAnsi="Arial" w:cs="Arial"/>
          <w:sz w:val="22"/>
          <w:szCs w:val="22"/>
        </w:rPr>
        <w:t>Sprejem Strategije</w:t>
      </w:r>
      <w:r w:rsidR="00EC42A7" w:rsidRPr="00E175CD">
        <w:rPr>
          <w:rFonts w:ascii="Arial" w:hAnsi="Arial" w:cs="Arial"/>
          <w:sz w:val="22"/>
          <w:szCs w:val="22"/>
        </w:rPr>
        <w:t xml:space="preserve"> in obeh omenjenih zakonov ter čim hitrejši začetek njihovega </w:t>
      </w:r>
      <w:r w:rsidRPr="00E175CD">
        <w:rPr>
          <w:rFonts w:ascii="Arial" w:hAnsi="Arial" w:cs="Arial"/>
          <w:sz w:val="22"/>
          <w:szCs w:val="22"/>
        </w:rPr>
        <w:t xml:space="preserve">izvajanja </w:t>
      </w:r>
      <w:r w:rsidR="00EC42A7" w:rsidRPr="00E175CD">
        <w:rPr>
          <w:rFonts w:ascii="Arial" w:hAnsi="Arial" w:cs="Arial"/>
          <w:sz w:val="22"/>
          <w:szCs w:val="22"/>
        </w:rPr>
        <w:t xml:space="preserve">so nujni pogoji </w:t>
      </w:r>
      <w:r w:rsidRPr="00E175CD">
        <w:rPr>
          <w:rFonts w:ascii="Arial" w:hAnsi="Arial" w:cs="Arial"/>
          <w:sz w:val="22"/>
          <w:szCs w:val="22"/>
        </w:rPr>
        <w:t xml:space="preserve">za energetsko preobrazbo Slovenije in celovito gospodarsko, socialno, </w:t>
      </w:r>
      <w:proofErr w:type="spellStart"/>
      <w:r w:rsidRPr="00E175CD">
        <w:rPr>
          <w:rFonts w:ascii="Arial" w:hAnsi="Arial" w:cs="Arial"/>
          <w:sz w:val="22"/>
          <w:szCs w:val="22"/>
        </w:rPr>
        <w:t>okoljsko</w:t>
      </w:r>
      <w:proofErr w:type="spellEnd"/>
      <w:r w:rsidRPr="00E175CD">
        <w:rPr>
          <w:rFonts w:ascii="Arial" w:hAnsi="Arial" w:cs="Arial"/>
          <w:sz w:val="22"/>
          <w:szCs w:val="22"/>
        </w:rPr>
        <w:t xml:space="preserve"> in energetsko prestrukturiranje obeh premogovnih regij (Savinjsko-Šaleško in Zasavsko regijo). Strategija zasleduje načelo pravičnega prehoda i</w:t>
      </w:r>
      <w:r w:rsidR="00EC42A7" w:rsidRPr="00E175CD">
        <w:rPr>
          <w:rFonts w:ascii="Arial" w:hAnsi="Arial" w:cs="Arial"/>
          <w:sz w:val="22"/>
          <w:szCs w:val="22"/>
        </w:rPr>
        <w:t xml:space="preserve">n v središče postavlja ljudi, </w:t>
      </w:r>
      <w:r w:rsidRPr="00E175CD">
        <w:rPr>
          <w:rFonts w:ascii="Arial" w:hAnsi="Arial" w:cs="Arial"/>
          <w:sz w:val="22"/>
          <w:szCs w:val="22"/>
        </w:rPr>
        <w:t>ki so povezani s premogovno panogo, njihovo blagostanje in zagotavlja, da nikogar ne bomo pustili zadaj.</w:t>
      </w:r>
    </w:p>
    <w:p w:rsidR="003270C9" w:rsidRPr="00E175CD" w:rsidRDefault="003270C9" w:rsidP="00E175CD">
      <w:pPr>
        <w:jc w:val="both"/>
        <w:rPr>
          <w:rFonts w:ascii="Arial" w:hAnsi="Arial" w:cs="Arial"/>
          <w:sz w:val="22"/>
          <w:szCs w:val="22"/>
        </w:rPr>
      </w:pPr>
    </w:p>
    <w:p w:rsidR="00E175CD" w:rsidRPr="00E175CD" w:rsidRDefault="003270C9" w:rsidP="00E175CD">
      <w:pPr>
        <w:overflowPunct w:val="0"/>
        <w:autoSpaceDE w:val="0"/>
        <w:autoSpaceDN w:val="0"/>
        <w:adjustRightInd w:val="0"/>
        <w:jc w:val="both"/>
        <w:textAlignment w:val="baseline"/>
        <w:rPr>
          <w:rFonts w:ascii="Arial" w:hAnsi="Arial" w:cs="Arial"/>
          <w:iCs/>
          <w:sz w:val="22"/>
          <w:szCs w:val="22"/>
        </w:rPr>
      </w:pPr>
      <w:r w:rsidRPr="00E175CD">
        <w:rPr>
          <w:rFonts w:ascii="Arial" w:hAnsi="Arial" w:cs="Arial"/>
          <w:sz w:val="22"/>
          <w:szCs w:val="22"/>
        </w:rPr>
        <w:t>Strategija opredeli leto 2033 kot leto, ko bo Republika Slovenija najpozneje prenehala z rabo premoga za p</w:t>
      </w:r>
      <w:r w:rsidR="00521EE7" w:rsidRPr="00E175CD">
        <w:rPr>
          <w:rFonts w:ascii="Arial" w:hAnsi="Arial" w:cs="Arial"/>
          <w:sz w:val="22"/>
          <w:szCs w:val="22"/>
        </w:rPr>
        <w:t xml:space="preserve">roizvodnjo električne energije, zapiralna dela pa bodo potekala </w:t>
      </w:r>
      <w:r w:rsidR="008B6B2F" w:rsidRPr="00E175CD">
        <w:rPr>
          <w:rFonts w:ascii="Arial" w:hAnsi="Arial" w:cs="Arial"/>
          <w:sz w:val="22"/>
          <w:szCs w:val="22"/>
        </w:rPr>
        <w:t xml:space="preserve">predvidoma </w:t>
      </w:r>
      <w:r w:rsidR="00521EE7" w:rsidRPr="00E175CD">
        <w:rPr>
          <w:rFonts w:ascii="Arial" w:hAnsi="Arial" w:cs="Arial"/>
          <w:sz w:val="22"/>
          <w:szCs w:val="22"/>
        </w:rPr>
        <w:t>še 15 let po zaključku aktivnega kopa.</w:t>
      </w:r>
      <w:r w:rsidR="00E175CD" w:rsidRPr="00E175CD">
        <w:rPr>
          <w:rFonts w:ascii="Arial" w:hAnsi="Arial" w:cs="Arial"/>
          <w:iCs/>
          <w:sz w:val="22"/>
          <w:szCs w:val="22"/>
        </w:rPr>
        <w:t xml:space="preserve"> Strategija opredeli proces celovitega družbenega in gospodarskega prestrukturiranja obeh regij, identificira ustrezne finančne vire na nacionalni in EU ravni ter način upravljanja procesa pravičnega prehoda. Strategija tudi opredeli ključne vidike zapiranja Premogovnika Velenje v tehničnem smislu, z vidika vpliva na zaposlene in skupnost ter z vidika varovanja in ohranjanja okolja. Končno, Strategija ustvarja sinergije pri izvajanju pravičnega prehoda med regijama prek skupnih projektov, prenosa dobrih praks in izkušenj.</w:t>
      </w:r>
    </w:p>
    <w:p w:rsidR="003270C9" w:rsidRPr="00E175CD" w:rsidRDefault="003270C9" w:rsidP="00E175CD">
      <w:pPr>
        <w:jc w:val="both"/>
        <w:rPr>
          <w:rFonts w:ascii="Arial" w:hAnsi="Arial" w:cs="Arial"/>
          <w:sz w:val="22"/>
          <w:szCs w:val="22"/>
        </w:rPr>
      </w:pPr>
    </w:p>
    <w:p w:rsidR="003270C9" w:rsidRPr="00E175CD" w:rsidRDefault="003270C9" w:rsidP="00E175CD">
      <w:pPr>
        <w:jc w:val="both"/>
        <w:rPr>
          <w:rFonts w:ascii="Arial" w:hAnsi="Arial" w:cs="Arial"/>
          <w:sz w:val="22"/>
          <w:szCs w:val="22"/>
        </w:rPr>
      </w:pPr>
      <w:r w:rsidRPr="00E175CD">
        <w:rPr>
          <w:rFonts w:ascii="Arial" w:hAnsi="Arial" w:cs="Arial"/>
          <w:sz w:val="22"/>
          <w:szCs w:val="22"/>
        </w:rPr>
        <w:t xml:space="preserve">Z jasno odločitvijo o procesu pravičnega prehoda in časovnici izstopa iz premoga bo Republiki Sloveniji in obema premogovnima regijama omogočen dostop do sredstev EU Sklada za pravičen prehod, v okviru katerega se Sloveniji v obdobju 2021 do 2027 namenja 248,38 mio EUR (v tekočih cenah). </w:t>
      </w:r>
    </w:p>
    <w:p w:rsidR="00E175CD" w:rsidRPr="00E175CD" w:rsidRDefault="00E175CD" w:rsidP="00E175CD">
      <w:pPr>
        <w:jc w:val="both"/>
        <w:rPr>
          <w:rFonts w:ascii="Arial" w:hAnsi="Arial" w:cs="Arial"/>
          <w:sz w:val="22"/>
          <w:szCs w:val="22"/>
        </w:rPr>
      </w:pPr>
    </w:p>
    <w:p w:rsidR="00784E57" w:rsidRPr="00E175CD" w:rsidRDefault="00784E57" w:rsidP="00E175CD">
      <w:pPr>
        <w:jc w:val="both"/>
        <w:rPr>
          <w:rFonts w:ascii="Arial" w:hAnsi="Arial" w:cs="Arial"/>
          <w:sz w:val="22"/>
          <w:szCs w:val="22"/>
        </w:rPr>
      </w:pPr>
      <w:r w:rsidRPr="00E175CD">
        <w:rPr>
          <w:rFonts w:ascii="Arial" w:hAnsi="Arial" w:cs="Arial"/>
          <w:sz w:val="22"/>
          <w:szCs w:val="22"/>
        </w:rPr>
        <w:t>Ključni razlogi, da je bil izbran predlog izstopa iz premoga najkasneje leta 2033, so bili:</w:t>
      </w:r>
    </w:p>
    <w:p w:rsidR="008B6B2F" w:rsidRPr="00E175CD" w:rsidRDefault="008B6B2F" w:rsidP="00E175CD">
      <w:pPr>
        <w:jc w:val="both"/>
        <w:rPr>
          <w:rFonts w:ascii="Arial" w:hAnsi="Arial" w:cs="Arial"/>
          <w:sz w:val="22"/>
          <w:szCs w:val="22"/>
        </w:rPr>
      </w:pPr>
    </w:p>
    <w:p w:rsidR="008B6B2F" w:rsidRPr="00E175CD" w:rsidRDefault="008B6B2F" w:rsidP="00E175CD">
      <w:pPr>
        <w:pStyle w:val="Odstavekseznama"/>
        <w:numPr>
          <w:ilvl w:val="0"/>
          <w:numId w:val="2"/>
        </w:numPr>
        <w:rPr>
          <w:rFonts w:ascii="Arial" w:hAnsi="Arial" w:cs="Arial"/>
        </w:rPr>
      </w:pPr>
      <w:r w:rsidRPr="00E175CD">
        <w:rPr>
          <w:rFonts w:ascii="Arial" w:hAnsi="Arial" w:cs="Arial"/>
        </w:rPr>
        <w:t xml:space="preserve">Emisijski cilji EU: </w:t>
      </w:r>
      <w:r w:rsidR="00784E57" w:rsidRPr="00E175CD">
        <w:rPr>
          <w:rFonts w:ascii="Arial" w:hAnsi="Arial" w:cs="Arial"/>
        </w:rPr>
        <w:t xml:space="preserve">Do 2030 je potrebno zmanjšati emisije toplogrednih plinov za vsaj 55% glede </w:t>
      </w:r>
      <w:proofErr w:type="gramStart"/>
      <w:r w:rsidR="00784E57" w:rsidRPr="00E175CD">
        <w:rPr>
          <w:rFonts w:ascii="Arial" w:hAnsi="Arial" w:cs="Arial"/>
        </w:rPr>
        <w:t>na</w:t>
      </w:r>
      <w:proofErr w:type="gramEnd"/>
      <w:r w:rsidR="00784E57" w:rsidRPr="00E175CD">
        <w:rPr>
          <w:rFonts w:ascii="Arial" w:hAnsi="Arial" w:cs="Arial"/>
        </w:rPr>
        <w:t xml:space="preserve"> leto 2005, od tega ETS sektor -61% do 2030. V </w:t>
      </w:r>
      <w:proofErr w:type="spellStart"/>
      <w:r w:rsidR="00784E57" w:rsidRPr="00E175CD">
        <w:rPr>
          <w:rFonts w:ascii="Arial" w:hAnsi="Arial" w:cs="Arial"/>
        </w:rPr>
        <w:t>okviru</w:t>
      </w:r>
      <w:proofErr w:type="spellEnd"/>
      <w:r w:rsidR="00784E57" w:rsidRPr="00E175CD">
        <w:rPr>
          <w:rFonts w:ascii="Arial" w:hAnsi="Arial" w:cs="Arial"/>
        </w:rPr>
        <w:t xml:space="preserve"> </w:t>
      </w:r>
      <w:proofErr w:type="spellStart"/>
      <w:r w:rsidR="00784E57" w:rsidRPr="00E175CD">
        <w:rPr>
          <w:rFonts w:ascii="Arial" w:hAnsi="Arial" w:cs="Arial"/>
        </w:rPr>
        <w:t>okoljskega</w:t>
      </w:r>
      <w:proofErr w:type="spellEnd"/>
      <w:r w:rsidR="00784E57" w:rsidRPr="00E175CD">
        <w:rPr>
          <w:rFonts w:ascii="Arial" w:hAnsi="Arial" w:cs="Arial"/>
        </w:rPr>
        <w:t xml:space="preserve"> </w:t>
      </w:r>
      <w:proofErr w:type="spellStart"/>
      <w:r w:rsidR="00784E57" w:rsidRPr="00E175CD">
        <w:rPr>
          <w:rFonts w:ascii="Arial" w:hAnsi="Arial" w:cs="Arial"/>
        </w:rPr>
        <w:t>poročila</w:t>
      </w:r>
      <w:proofErr w:type="spellEnd"/>
      <w:r w:rsidR="00784E57" w:rsidRPr="00E175CD">
        <w:rPr>
          <w:rFonts w:ascii="Arial" w:hAnsi="Arial" w:cs="Arial"/>
        </w:rPr>
        <w:t xml:space="preserve"> </w:t>
      </w:r>
      <w:proofErr w:type="spellStart"/>
      <w:r w:rsidR="00784E57" w:rsidRPr="00E175CD">
        <w:rPr>
          <w:rFonts w:ascii="Arial" w:hAnsi="Arial" w:cs="Arial"/>
        </w:rPr>
        <w:t>za</w:t>
      </w:r>
      <w:proofErr w:type="spellEnd"/>
      <w:r w:rsidR="00784E57" w:rsidRPr="00E175CD">
        <w:rPr>
          <w:rFonts w:ascii="Arial" w:hAnsi="Arial" w:cs="Arial"/>
        </w:rPr>
        <w:t xml:space="preserve"> </w:t>
      </w:r>
      <w:proofErr w:type="spellStart"/>
      <w:r w:rsidR="00784E57" w:rsidRPr="00E175CD">
        <w:rPr>
          <w:rFonts w:ascii="Arial" w:hAnsi="Arial" w:cs="Arial"/>
        </w:rPr>
        <w:t>premogovno</w:t>
      </w:r>
      <w:proofErr w:type="spellEnd"/>
      <w:r w:rsidR="00784E57" w:rsidRPr="00E175CD">
        <w:rPr>
          <w:rFonts w:ascii="Arial" w:hAnsi="Arial" w:cs="Arial"/>
        </w:rPr>
        <w:t xml:space="preserve"> </w:t>
      </w:r>
      <w:proofErr w:type="spellStart"/>
      <w:r w:rsidR="00784E57" w:rsidRPr="00E175CD">
        <w:rPr>
          <w:rFonts w:ascii="Arial" w:hAnsi="Arial" w:cs="Arial"/>
        </w:rPr>
        <w:t>strategijo</w:t>
      </w:r>
      <w:proofErr w:type="spellEnd"/>
      <w:r w:rsidR="00784E57" w:rsidRPr="00E175CD">
        <w:rPr>
          <w:rFonts w:ascii="Arial" w:hAnsi="Arial" w:cs="Arial"/>
        </w:rPr>
        <w:t xml:space="preserve"> je </w:t>
      </w:r>
      <w:proofErr w:type="spellStart"/>
      <w:r w:rsidR="00784E57" w:rsidRPr="00E175CD">
        <w:rPr>
          <w:rFonts w:ascii="Arial" w:hAnsi="Arial" w:cs="Arial"/>
        </w:rPr>
        <w:t>bila</w:t>
      </w:r>
      <w:proofErr w:type="spellEnd"/>
      <w:r w:rsidR="00784E57" w:rsidRPr="00E175CD">
        <w:rPr>
          <w:rFonts w:ascii="Arial" w:hAnsi="Arial" w:cs="Arial"/>
        </w:rPr>
        <w:t xml:space="preserve"> pripravljena simulacija, kaj </w:t>
      </w:r>
      <w:proofErr w:type="gramStart"/>
      <w:r w:rsidR="00784E57" w:rsidRPr="00E175CD">
        <w:rPr>
          <w:rFonts w:ascii="Arial" w:hAnsi="Arial" w:cs="Arial"/>
        </w:rPr>
        <w:t>novi</w:t>
      </w:r>
      <w:proofErr w:type="gramEnd"/>
      <w:r w:rsidR="00784E57" w:rsidRPr="00E175CD">
        <w:rPr>
          <w:rFonts w:ascii="Arial" w:hAnsi="Arial" w:cs="Arial"/>
        </w:rPr>
        <w:t xml:space="preserve"> EU cilji pomenijo za TEŠ, in simulacija je pokazala, da edino scenarij 2033 še zadosti tem povišanim ciljem.  </w:t>
      </w:r>
    </w:p>
    <w:p w:rsidR="008B6B2F" w:rsidRPr="00E175CD" w:rsidRDefault="008B6B2F" w:rsidP="00E175CD">
      <w:pPr>
        <w:jc w:val="both"/>
        <w:rPr>
          <w:rFonts w:ascii="Arial" w:hAnsi="Arial" w:cs="Arial"/>
          <w:sz w:val="22"/>
          <w:szCs w:val="22"/>
        </w:rPr>
      </w:pPr>
    </w:p>
    <w:p w:rsidR="00784E57" w:rsidRPr="00E175CD" w:rsidRDefault="00784E57" w:rsidP="00E175CD">
      <w:pPr>
        <w:pStyle w:val="Odstavekseznama"/>
        <w:numPr>
          <w:ilvl w:val="0"/>
          <w:numId w:val="2"/>
        </w:numPr>
        <w:rPr>
          <w:rFonts w:ascii="Arial" w:hAnsi="Arial" w:cs="Arial"/>
        </w:rPr>
      </w:pPr>
      <w:r w:rsidRPr="00E175CD">
        <w:rPr>
          <w:rFonts w:ascii="Arial" w:hAnsi="Arial" w:cs="Arial"/>
        </w:rPr>
        <w:t>Pravočasno</w:t>
      </w:r>
      <w:r w:rsidR="008B6B2F" w:rsidRPr="00E175CD">
        <w:rPr>
          <w:rFonts w:ascii="Arial" w:hAnsi="Arial" w:cs="Arial"/>
        </w:rPr>
        <w:t xml:space="preserve"> in odgovorno</w:t>
      </w:r>
      <w:r w:rsidRPr="00E175CD">
        <w:rPr>
          <w:rFonts w:ascii="Arial" w:hAnsi="Arial" w:cs="Arial"/>
        </w:rPr>
        <w:t xml:space="preserve"> načrtovanje</w:t>
      </w:r>
      <w:r w:rsidR="008B6B2F" w:rsidRPr="00E175CD">
        <w:rPr>
          <w:rFonts w:ascii="Arial" w:hAnsi="Arial" w:cs="Arial"/>
        </w:rPr>
        <w:t xml:space="preserve"> energetske preobrazbe</w:t>
      </w:r>
      <w:r w:rsidRPr="00E175CD">
        <w:rPr>
          <w:rFonts w:ascii="Arial" w:hAnsi="Arial" w:cs="Arial"/>
        </w:rPr>
        <w:t>: Preveč v prihodnost odložena odločitev o izstopu iz premoga predstavlja resno nevarnost neustreznega načrtovanja, ob nenadzorovanem izstopu zaradi tržnih dejavnikov pa R</w:t>
      </w:r>
      <w:r w:rsidR="008B6B2F" w:rsidRPr="00E175CD">
        <w:rPr>
          <w:rFonts w:ascii="Arial" w:hAnsi="Arial" w:cs="Arial"/>
        </w:rPr>
        <w:t xml:space="preserve">epublika </w:t>
      </w:r>
      <w:r w:rsidRPr="00E175CD">
        <w:rPr>
          <w:rFonts w:ascii="Arial" w:hAnsi="Arial" w:cs="Arial"/>
        </w:rPr>
        <w:t>S</w:t>
      </w:r>
      <w:r w:rsidR="008B6B2F" w:rsidRPr="00E175CD">
        <w:rPr>
          <w:rFonts w:ascii="Arial" w:hAnsi="Arial" w:cs="Arial"/>
        </w:rPr>
        <w:t>lovenija</w:t>
      </w:r>
      <w:r w:rsidRPr="00E175CD">
        <w:rPr>
          <w:rFonts w:ascii="Arial" w:hAnsi="Arial" w:cs="Arial"/>
        </w:rPr>
        <w:t xml:space="preserve"> ne </w:t>
      </w:r>
      <w:proofErr w:type="gramStart"/>
      <w:r w:rsidRPr="00E175CD">
        <w:rPr>
          <w:rFonts w:ascii="Arial" w:hAnsi="Arial" w:cs="Arial"/>
        </w:rPr>
        <w:t>bo</w:t>
      </w:r>
      <w:proofErr w:type="gramEnd"/>
      <w:r w:rsidRPr="00E175CD">
        <w:rPr>
          <w:rFonts w:ascii="Arial" w:hAnsi="Arial" w:cs="Arial"/>
        </w:rPr>
        <w:t xml:space="preserve"> pripravljena z odločitvami in ukrepi o nadomestnih kapacitetah in alternativni energetski mešanici (brez premoga) ter s potrebnimi ukrepi za gospodarsko prestrukturiranje regije. NEPN 2020 že jasno določa, da </w:t>
      </w:r>
      <w:proofErr w:type="gramStart"/>
      <w:r w:rsidRPr="00E175CD">
        <w:rPr>
          <w:rFonts w:ascii="Arial" w:hAnsi="Arial" w:cs="Arial"/>
        </w:rPr>
        <w:t>bo</w:t>
      </w:r>
      <w:proofErr w:type="gramEnd"/>
      <w:r w:rsidRPr="00E175CD">
        <w:rPr>
          <w:rFonts w:ascii="Arial" w:hAnsi="Arial" w:cs="Arial"/>
        </w:rPr>
        <w:t xml:space="preserve"> odločitev o opustitvi sprejeta v 2021, NEPN 2024 pa bo moral upoštevati nove cilje EU do 2030 (ne samo emi</w:t>
      </w:r>
      <w:r w:rsidR="008B6B2F" w:rsidRPr="00E175CD">
        <w:rPr>
          <w:rFonts w:ascii="Arial" w:hAnsi="Arial" w:cs="Arial"/>
        </w:rPr>
        <w:t xml:space="preserve">sijske, tudi bistveno višje druge podnebno-energetske </w:t>
      </w:r>
      <w:r w:rsidRPr="00E175CD">
        <w:rPr>
          <w:rFonts w:ascii="Arial" w:hAnsi="Arial" w:cs="Arial"/>
        </w:rPr>
        <w:t>cilje) ter odločiti o tem, kako bomo TEŠ nadomestili. Brez odločitve o letnici, ki je dovolj kredibilna za resno načrtovanje, ne moremo pravočasno preobraziti energetskega sektorja.</w:t>
      </w:r>
    </w:p>
    <w:p w:rsidR="008B6B2F" w:rsidRPr="00E175CD" w:rsidRDefault="008B6B2F" w:rsidP="00E175CD">
      <w:pPr>
        <w:jc w:val="both"/>
        <w:rPr>
          <w:rFonts w:ascii="Arial" w:hAnsi="Arial" w:cs="Arial"/>
          <w:sz w:val="22"/>
          <w:szCs w:val="22"/>
        </w:rPr>
      </w:pPr>
    </w:p>
    <w:p w:rsidR="008B6B2F" w:rsidRPr="00E175CD" w:rsidRDefault="00784E57" w:rsidP="00E175CD">
      <w:pPr>
        <w:pStyle w:val="Odstavekseznama"/>
        <w:numPr>
          <w:ilvl w:val="0"/>
          <w:numId w:val="2"/>
        </w:numPr>
        <w:rPr>
          <w:rFonts w:ascii="Arial" w:hAnsi="Arial" w:cs="Arial"/>
        </w:rPr>
      </w:pPr>
      <w:proofErr w:type="spellStart"/>
      <w:r w:rsidRPr="00E175CD">
        <w:rPr>
          <w:rFonts w:ascii="Arial" w:hAnsi="Arial" w:cs="Arial"/>
        </w:rPr>
        <w:t>Omogočitveni</w:t>
      </w:r>
      <w:proofErr w:type="spellEnd"/>
      <w:r w:rsidRPr="00E175CD">
        <w:rPr>
          <w:rFonts w:ascii="Arial" w:hAnsi="Arial" w:cs="Arial"/>
        </w:rPr>
        <w:t xml:space="preserve"> </w:t>
      </w:r>
      <w:proofErr w:type="spellStart"/>
      <w:r w:rsidRPr="00E175CD">
        <w:rPr>
          <w:rFonts w:ascii="Arial" w:hAnsi="Arial" w:cs="Arial"/>
        </w:rPr>
        <w:t>pogoj</w:t>
      </w:r>
      <w:proofErr w:type="spellEnd"/>
      <w:r w:rsidRPr="00E175CD">
        <w:rPr>
          <w:rFonts w:ascii="Arial" w:hAnsi="Arial" w:cs="Arial"/>
        </w:rPr>
        <w:t xml:space="preserve"> </w:t>
      </w:r>
      <w:proofErr w:type="spellStart"/>
      <w:r w:rsidRPr="00E175CD">
        <w:rPr>
          <w:rFonts w:ascii="Arial" w:hAnsi="Arial" w:cs="Arial"/>
        </w:rPr>
        <w:t>za</w:t>
      </w:r>
      <w:proofErr w:type="spellEnd"/>
      <w:r w:rsidRPr="00E175CD">
        <w:rPr>
          <w:rFonts w:ascii="Arial" w:hAnsi="Arial" w:cs="Arial"/>
        </w:rPr>
        <w:t xml:space="preserve"> </w:t>
      </w:r>
      <w:proofErr w:type="spellStart"/>
      <w:r w:rsidRPr="00E175CD">
        <w:rPr>
          <w:rFonts w:ascii="Arial" w:hAnsi="Arial" w:cs="Arial"/>
        </w:rPr>
        <w:t>črpanje</w:t>
      </w:r>
      <w:proofErr w:type="spellEnd"/>
      <w:r w:rsidRPr="00E175CD">
        <w:rPr>
          <w:rFonts w:ascii="Arial" w:hAnsi="Arial" w:cs="Arial"/>
        </w:rPr>
        <w:t xml:space="preserve"> </w:t>
      </w:r>
      <w:proofErr w:type="spellStart"/>
      <w:r w:rsidRPr="00E175CD">
        <w:rPr>
          <w:rFonts w:ascii="Arial" w:hAnsi="Arial" w:cs="Arial"/>
        </w:rPr>
        <w:t>sredste</w:t>
      </w:r>
      <w:r w:rsidR="008B6B2F" w:rsidRPr="00E175CD">
        <w:rPr>
          <w:rFonts w:ascii="Arial" w:hAnsi="Arial" w:cs="Arial"/>
        </w:rPr>
        <w:t>v</w:t>
      </w:r>
      <w:proofErr w:type="spellEnd"/>
      <w:r w:rsidR="008B6B2F" w:rsidRPr="00E175CD">
        <w:rPr>
          <w:rFonts w:ascii="Arial" w:hAnsi="Arial" w:cs="Arial"/>
        </w:rPr>
        <w:t xml:space="preserve"> </w:t>
      </w:r>
      <w:proofErr w:type="spellStart"/>
      <w:r w:rsidR="008B6B2F" w:rsidRPr="00E175CD">
        <w:rPr>
          <w:rFonts w:ascii="Arial" w:hAnsi="Arial" w:cs="Arial"/>
        </w:rPr>
        <w:t>iz</w:t>
      </w:r>
      <w:proofErr w:type="spellEnd"/>
      <w:r w:rsidR="008B6B2F" w:rsidRPr="00E175CD">
        <w:rPr>
          <w:rFonts w:ascii="Arial" w:hAnsi="Arial" w:cs="Arial"/>
        </w:rPr>
        <w:t xml:space="preserve"> </w:t>
      </w:r>
      <w:proofErr w:type="spellStart"/>
      <w:r w:rsidR="008B6B2F" w:rsidRPr="00E175CD">
        <w:rPr>
          <w:rFonts w:ascii="Arial" w:hAnsi="Arial" w:cs="Arial"/>
        </w:rPr>
        <w:t>Sklada</w:t>
      </w:r>
      <w:proofErr w:type="spellEnd"/>
      <w:r w:rsidR="008B6B2F" w:rsidRPr="00E175CD">
        <w:rPr>
          <w:rFonts w:ascii="Arial" w:hAnsi="Arial" w:cs="Arial"/>
        </w:rPr>
        <w:t xml:space="preserve"> </w:t>
      </w:r>
      <w:proofErr w:type="spellStart"/>
      <w:r w:rsidR="008B6B2F" w:rsidRPr="00E175CD">
        <w:rPr>
          <w:rFonts w:ascii="Arial" w:hAnsi="Arial" w:cs="Arial"/>
        </w:rPr>
        <w:t>za</w:t>
      </w:r>
      <w:proofErr w:type="spellEnd"/>
      <w:r w:rsidR="008B6B2F" w:rsidRPr="00E175CD">
        <w:rPr>
          <w:rFonts w:ascii="Arial" w:hAnsi="Arial" w:cs="Arial"/>
        </w:rPr>
        <w:t xml:space="preserve"> </w:t>
      </w:r>
      <w:proofErr w:type="spellStart"/>
      <w:r w:rsidR="008B6B2F" w:rsidRPr="00E175CD">
        <w:rPr>
          <w:rFonts w:ascii="Arial" w:hAnsi="Arial" w:cs="Arial"/>
        </w:rPr>
        <w:t>pravičen</w:t>
      </w:r>
      <w:proofErr w:type="spellEnd"/>
      <w:r w:rsidR="008B6B2F" w:rsidRPr="00E175CD">
        <w:rPr>
          <w:rFonts w:ascii="Arial" w:hAnsi="Arial" w:cs="Arial"/>
        </w:rPr>
        <w:t xml:space="preserve"> </w:t>
      </w:r>
      <w:proofErr w:type="spellStart"/>
      <w:r w:rsidR="008B6B2F" w:rsidRPr="00E175CD">
        <w:rPr>
          <w:rFonts w:ascii="Arial" w:hAnsi="Arial" w:cs="Arial"/>
        </w:rPr>
        <w:t>prehod</w:t>
      </w:r>
      <w:proofErr w:type="spellEnd"/>
      <w:r w:rsidR="008B6B2F" w:rsidRPr="00E175CD">
        <w:rPr>
          <w:rFonts w:ascii="Arial" w:hAnsi="Arial" w:cs="Arial"/>
        </w:rPr>
        <w:t xml:space="preserve"> v </w:t>
      </w:r>
      <w:proofErr w:type="spellStart"/>
      <w:r w:rsidR="008B6B2F" w:rsidRPr="00E175CD">
        <w:rPr>
          <w:rFonts w:ascii="Arial" w:hAnsi="Arial" w:cs="Arial"/>
        </w:rPr>
        <w:t>okviru</w:t>
      </w:r>
      <w:proofErr w:type="spellEnd"/>
      <w:r w:rsidR="008B6B2F" w:rsidRPr="00E175CD">
        <w:rPr>
          <w:rFonts w:ascii="Arial" w:hAnsi="Arial" w:cs="Arial"/>
        </w:rPr>
        <w:t xml:space="preserve"> </w:t>
      </w:r>
      <w:proofErr w:type="spellStart"/>
      <w:r w:rsidR="008B6B2F" w:rsidRPr="00E175CD">
        <w:rPr>
          <w:rFonts w:ascii="Arial" w:hAnsi="Arial" w:cs="Arial"/>
        </w:rPr>
        <w:t>nove</w:t>
      </w:r>
      <w:proofErr w:type="spellEnd"/>
      <w:r w:rsidR="008B6B2F" w:rsidRPr="00E175CD">
        <w:rPr>
          <w:rFonts w:ascii="Arial" w:hAnsi="Arial" w:cs="Arial"/>
        </w:rPr>
        <w:t xml:space="preserve"> </w:t>
      </w:r>
      <w:proofErr w:type="spellStart"/>
      <w:r w:rsidR="008B6B2F" w:rsidRPr="00E175CD">
        <w:rPr>
          <w:rFonts w:ascii="Arial" w:hAnsi="Arial" w:cs="Arial"/>
        </w:rPr>
        <w:t>finančne</w:t>
      </w:r>
      <w:proofErr w:type="spellEnd"/>
      <w:r w:rsidR="008B6B2F" w:rsidRPr="00E175CD">
        <w:rPr>
          <w:rFonts w:ascii="Arial" w:hAnsi="Arial" w:cs="Arial"/>
        </w:rPr>
        <w:t xml:space="preserve"> </w:t>
      </w:r>
      <w:proofErr w:type="spellStart"/>
      <w:r w:rsidR="008B6B2F" w:rsidRPr="00E175CD">
        <w:rPr>
          <w:rFonts w:ascii="Arial" w:hAnsi="Arial" w:cs="Arial"/>
        </w:rPr>
        <w:t>perspektive</w:t>
      </w:r>
      <w:proofErr w:type="spellEnd"/>
      <w:r w:rsidRPr="00E175CD">
        <w:rPr>
          <w:rFonts w:ascii="Arial" w:hAnsi="Arial" w:cs="Arial"/>
        </w:rPr>
        <w:t xml:space="preserve">: </w:t>
      </w:r>
      <w:proofErr w:type="spellStart"/>
      <w:r w:rsidR="008B6B2F" w:rsidRPr="00E175CD">
        <w:rPr>
          <w:rFonts w:ascii="Arial" w:hAnsi="Arial" w:cs="Arial"/>
        </w:rPr>
        <w:t>Časovnica</w:t>
      </w:r>
      <w:proofErr w:type="spellEnd"/>
      <w:r w:rsidR="008B6B2F" w:rsidRPr="00E175CD">
        <w:rPr>
          <w:rFonts w:ascii="Arial" w:hAnsi="Arial" w:cs="Arial"/>
        </w:rPr>
        <w:t xml:space="preserve"> </w:t>
      </w:r>
      <w:proofErr w:type="spellStart"/>
      <w:r w:rsidR="008B6B2F" w:rsidRPr="00E175CD">
        <w:rPr>
          <w:rFonts w:ascii="Arial" w:hAnsi="Arial" w:cs="Arial"/>
        </w:rPr>
        <w:t>opuščanja</w:t>
      </w:r>
      <w:proofErr w:type="spellEnd"/>
      <w:r w:rsidR="008B6B2F" w:rsidRPr="00E175CD">
        <w:rPr>
          <w:rFonts w:ascii="Arial" w:hAnsi="Arial" w:cs="Arial"/>
        </w:rPr>
        <w:t xml:space="preserve"> </w:t>
      </w:r>
      <w:proofErr w:type="spellStart"/>
      <w:r w:rsidR="008B6B2F" w:rsidRPr="00E175CD">
        <w:rPr>
          <w:rFonts w:ascii="Arial" w:hAnsi="Arial" w:cs="Arial"/>
        </w:rPr>
        <w:t>rabe</w:t>
      </w:r>
      <w:proofErr w:type="spellEnd"/>
      <w:r w:rsidR="008B6B2F" w:rsidRPr="00E175CD">
        <w:rPr>
          <w:rFonts w:ascii="Arial" w:hAnsi="Arial" w:cs="Arial"/>
        </w:rPr>
        <w:t xml:space="preserve"> </w:t>
      </w:r>
      <w:proofErr w:type="spellStart"/>
      <w:r w:rsidR="008B6B2F" w:rsidRPr="00E175CD">
        <w:rPr>
          <w:rFonts w:ascii="Arial" w:hAnsi="Arial" w:cs="Arial"/>
        </w:rPr>
        <w:t>premoga</w:t>
      </w:r>
      <w:proofErr w:type="spellEnd"/>
      <w:r w:rsidR="008B6B2F" w:rsidRPr="00E175CD">
        <w:rPr>
          <w:rFonts w:ascii="Arial" w:hAnsi="Arial" w:cs="Arial"/>
        </w:rPr>
        <w:t xml:space="preserve"> </w:t>
      </w:r>
      <w:proofErr w:type="spellStart"/>
      <w:r w:rsidR="008B6B2F" w:rsidRPr="00E175CD">
        <w:rPr>
          <w:rFonts w:ascii="Arial" w:hAnsi="Arial" w:cs="Arial"/>
        </w:rPr>
        <w:t>ter</w:t>
      </w:r>
      <w:proofErr w:type="spellEnd"/>
      <w:r w:rsidR="008B6B2F" w:rsidRPr="00E175CD">
        <w:rPr>
          <w:rFonts w:ascii="Arial" w:hAnsi="Arial" w:cs="Arial"/>
        </w:rPr>
        <w:t xml:space="preserve"> </w:t>
      </w:r>
      <w:proofErr w:type="spellStart"/>
      <w:r w:rsidR="008B6B2F" w:rsidRPr="00E175CD">
        <w:rPr>
          <w:rFonts w:ascii="Arial" w:hAnsi="Arial" w:cs="Arial"/>
        </w:rPr>
        <w:t>opis</w:t>
      </w:r>
      <w:proofErr w:type="spellEnd"/>
      <w:r w:rsidR="008B6B2F" w:rsidRPr="00E175CD">
        <w:rPr>
          <w:rFonts w:ascii="Arial" w:hAnsi="Arial" w:cs="Arial"/>
        </w:rPr>
        <w:t xml:space="preserve"> </w:t>
      </w:r>
      <w:proofErr w:type="spellStart"/>
      <w:r w:rsidR="008B6B2F" w:rsidRPr="00E175CD">
        <w:rPr>
          <w:rFonts w:ascii="Arial" w:hAnsi="Arial" w:cs="Arial"/>
        </w:rPr>
        <w:t>procesa</w:t>
      </w:r>
      <w:proofErr w:type="spellEnd"/>
      <w:r w:rsidR="008B6B2F" w:rsidRPr="00E175CD">
        <w:rPr>
          <w:rFonts w:ascii="Arial" w:hAnsi="Arial" w:cs="Arial"/>
        </w:rPr>
        <w:t xml:space="preserve"> </w:t>
      </w:r>
      <w:proofErr w:type="spellStart"/>
      <w:r w:rsidR="008B6B2F" w:rsidRPr="00E175CD">
        <w:rPr>
          <w:rFonts w:ascii="Arial" w:hAnsi="Arial" w:cs="Arial"/>
        </w:rPr>
        <w:t>prehoda</w:t>
      </w:r>
      <w:proofErr w:type="spellEnd"/>
      <w:r w:rsidRPr="00E175CD">
        <w:rPr>
          <w:rFonts w:ascii="Arial" w:hAnsi="Arial" w:cs="Arial"/>
        </w:rPr>
        <w:t xml:space="preserve"> je </w:t>
      </w:r>
      <w:proofErr w:type="spellStart"/>
      <w:r w:rsidRPr="00E175CD">
        <w:rPr>
          <w:rFonts w:ascii="Arial" w:hAnsi="Arial" w:cs="Arial"/>
        </w:rPr>
        <w:t>predpogoj</w:t>
      </w:r>
      <w:proofErr w:type="spellEnd"/>
      <w:r w:rsidRPr="00E175CD">
        <w:rPr>
          <w:rFonts w:ascii="Arial" w:hAnsi="Arial" w:cs="Arial"/>
        </w:rPr>
        <w:t xml:space="preserve"> </w:t>
      </w:r>
      <w:proofErr w:type="spellStart"/>
      <w:r w:rsidRPr="00E175CD">
        <w:rPr>
          <w:rFonts w:ascii="Arial" w:hAnsi="Arial" w:cs="Arial"/>
        </w:rPr>
        <w:t>za</w:t>
      </w:r>
      <w:proofErr w:type="spellEnd"/>
      <w:r w:rsidRPr="00E175CD">
        <w:rPr>
          <w:rFonts w:ascii="Arial" w:hAnsi="Arial" w:cs="Arial"/>
        </w:rPr>
        <w:t xml:space="preserve"> </w:t>
      </w:r>
      <w:proofErr w:type="spellStart"/>
      <w:r w:rsidR="008B6B2F" w:rsidRPr="00E175CD">
        <w:rPr>
          <w:rFonts w:ascii="Arial" w:hAnsi="Arial" w:cs="Arial"/>
        </w:rPr>
        <w:t>pripravo</w:t>
      </w:r>
      <w:proofErr w:type="spellEnd"/>
      <w:r w:rsidRPr="00E175CD">
        <w:rPr>
          <w:rFonts w:ascii="Arial" w:hAnsi="Arial" w:cs="Arial"/>
        </w:rPr>
        <w:t xml:space="preserve"> </w:t>
      </w:r>
      <w:proofErr w:type="spellStart"/>
      <w:r w:rsidRPr="00E175CD">
        <w:rPr>
          <w:rFonts w:ascii="Arial" w:hAnsi="Arial" w:cs="Arial"/>
        </w:rPr>
        <w:t>območn</w:t>
      </w:r>
      <w:r w:rsidR="008B6B2F" w:rsidRPr="00E175CD">
        <w:rPr>
          <w:rFonts w:ascii="Arial" w:hAnsi="Arial" w:cs="Arial"/>
        </w:rPr>
        <w:t>ih</w:t>
      </w:r>
      <w:proofErr w:type="spellEnd"/>
      <w:r w:rsidRPr="00E175CD">
        <w:rPr>
          <w:rFonts w:ascii="Arial" w:hAnsi="Arial" w:cs="Arial"/>
        </w:rPr>
        <w:t xml:space="preserve"> </w:t>
      </w:r>
      <w:proofErr w:type="spellStart"/>
      <w:r w:rsidRPr="00E175CD">
        <w:rPr>
          <w:rFonts w:ascii="Arial" w:hAnsi="Arial" w:cs="Arial"/>
        </w:rPr>
        <w:t>načrt</w:t>
      </w:r>
      <w:r w:rsidR="008B6B2F" w:rsidRPr="00E175CD">
        <w:rPr>
          <w:rFonts w:ascii="Arial" w:hAnsi="Arial" w:cs="Arial"/>
        </w:rPr>
        <w:t>ov</w:t>
      </w:r>
      <w:proofErr w:type="spellEnd"/>
      <w:r w:rsidRPr="00E175CD">
        <w:rPr>
          <w:rFonts w:ascii="Arial" w:hAnsi="Arial" w:cs="Arial"/>
        </w:rPr>
        <w:t xml:space="preserve"> </w:t>
      </w:r>
      <w:proofErr w:type="spellStart"/>
      <w:r w:rsidRPr="00E175CD">
        <w:rPr>
          <w:rFonts w:ascii="Arial" w:hAnsi="Arial" w:cs="Arial"/>
        </w:rPr>
        <w:t>za</w:t>
      </w:r>
      <w:proofErr w:type="spellEnd"/>
      <w:r w:rsidRPr="00E175CD">
        <w:rPr>
          <w:rFonts w:ascii="Arial" w:hAnsi="Arial" w:cs="Arial"/>
        </w:rPr>
        <w:t xml:space="preserve"> </w:t>
      </w:r>
      <w:proofErr w:type="spellStart"/>
      <w:r w:rsidR="008B6B2F" w:rsidRPr="00E175CD">
        <w:rPr>
          <w:rFonts w:ascii="Arial" w:hAnsi="Arial" w:cs="Arial"/>
        </w:rPr>
        <w:t>obe</w:t>
      </w:r>
      <w:proofErr w:type="spellEnd"/>
      <w:r w:rsidR="008B6B2F" w:rsidRPr="00E175CD">
        <w:rPr>
          <w:rFonts w:ascii="Arial" w:hAnsi="Arial" w:cs="Arial"/>
        </w:rPr>
        <w:t xml:space="preserve"> </w:t>
      </w:r>
      <w:proofErr w:type="spellStart"/>
      <w:r w:rsidR="008B6B2F" w:rsidRPr="00E175CD">
        <w:rPr>
          <w:rFonts w:ascii="Arial" w:hAnsi="Arial" w:cs="Arial"/>
        </w:rPr>
        <w:t>premogovni</w:t>
      </w:r>
      <w:proofErr w:type="spellEnd"/>
      <w:r w:rsidRPr="00E175CD">
        <w:rPr>
          <w:rFonts w:ascii="Arial" w:hAnsi="Arial" w:cs="Arial"/>
        </w:rPr>
        <w:t xml:space="preserve"> </w:t>
      </w:r>
      <w:proofErr w:type="spellStart"/>
      <w:r w:rsidRPr="00E175CD">
        <w:rPr>
          <w:rFonts w:ascii="Arial" w:hAnsi="Arial" w:cs="Arial"/>
        </w:rPr>
        <w:t>regij</w:t>
      </w:r>
      <w:r w:rsidR="008B6B2F" w:rsidRPr="00E175CD">
        <w:rPr>
          <w:rFonts w:ascii="Arial" w:hAnsi="Arial" w:cs="Arial"/>
        </w:rPr>
        <w:t>i</w:t>
      </w:r>
      <w:proofErr w:type="spellEnd"/>
      <w:r w:rsidRPr="00E175CD">
        <w:rPr>
          <w:rFonts w:ascii="Arial" w:hAnsi="Arial" w:cs="Arial"/>
        </w:rPr>
        <w:t>, v</w:t>
      </w:r>
      <w:r w:rsidR="008B6B2F" w:rsidRPr="00E175CD">
        <w:rPr>
          <w:rFonts w:ascii="Arial" w:hAnsi="Arial" w:cs="Arial"/>
        </w:rPr>
        <w:t xml:space="preserve"> </w:t>
      </w:r>
      <w:proofErr w:type="spellStart"/>
      <w:r w:rsidR="008B6B2F" w:rsidRPr="00E175CD">
        <w:rPr>
          <w:rFonts w:ascii="Arial" w:hAnsi="Arial" w:cs="Arial"/>
        </w:rPr>
        <w:t>okviru</w:t>
      </w:r>
      <w:proofErr w:type="spellEnd"/>
      <w:r w:rsidR="008B6B2F" w:rsidRPr="00E175CD">
        <w:rPr>
          <w:rFonts w:ascii="Arial" w:hAnsi="Arial" w:cs="Arial"/>
        </w:rPr>
        <w:t xml:space="preserve"> </w:t>
      </w:r>
      <w:proofErr w:type="spellStart"/>
      <w:r w:rsidR="008B6B2F" w:rsidRPr="00E175CD">
        <w:rPr>
          <w:rFonts w:ascii="Arial" w:hAnsi="Arial" w:cs="Arial"/>
        </w:rPr>
        <w:t>katerih</w:t>
      </w:r>
      <w:proofErr w:type="spellEnd"/>
      <w:r w:rsidRPr="00E175CD">
        <w:rPr>
          <w:rFonts w:ascii="Arial" w:hAnsi="Arial" w:cs="Arial"/>
        </w:rPr>
        <w:t xml:space="preserve"> se </w:t>
      </w:r>
      <w:proofErr w:type="spellStart"/>
      <w:r w:rsidRPr="00E175CD">
        <w:rPr>
          <w:rFonts w:ascii="Arial" w:hAnsi="Arial" w:cs="Arial"/>
        </w:rPr>
        <w:t>programira</w:t>
      </w:r>
      <w:proofErr w:type="spellEnd"/>
      <w:r w:rsidRPr="00E175CD">
        <w:rPr>
          <w:rFonts w:ascii="Arial" w:hAnsi="Arial" w:cs="Arial"/>
        </w:rPr>
        <w:t xml:space="preserve"> </w:t>
      </w:r>
      <w:proofErr w:type="spellStart"/>
      <w:r w:rsidRPr="00E175CD">
        <w:rPr>
          <w:rFonts w:ascii="Arial" w:hAnsi="Arial" w:cs="Arial"/>
        </w:rPr>
        <w:t>ukrepe</w:t>
      </w:r>
      <w:proofErr w:type="spellEnd"/>
      <w:r w:rsidRPr="00E175CD">
        <w:rPr>
          <w:rFonts w:ascii="Arial" w:hAnsi="Arial" w:cs="Arial"/>
        </w:rPr>
        <w:t xml:space="preserve"> </w:t>
      </w:r>
      <w:proofErr w:type="spellStart"/>
      <w:r w:rsidRPr="00E175CD">
        <w:rPr>
          <w:rFonts w:ascii="Arial" w:hAnsi="Arial" w:cs="Arial"/>
        </w:rPr>
        <w:t>za</w:t>
      </w:r>
      <w:proofErr w:type="spellEnd"/>
      <w:r w:rsidRPr="00E175CD">
        <w:rPr>
          <w:rFonts w:ascii="Arial" w:hAnsi="Arial" w:cs="Arial"/>
        </w:rPr>
        <w:t xml:space="preserve"> </w:t>
      </w:r>
      <w:proofErr w:type="spellStart"/>
      <w:r w:rsidRPr="00E175CD">
        <w:rPr>
          <w:rFonts w:ascii="Arial" w:hAnsi="Arial" w:cs="Arial"/>
        </w:rPr>
        <w:t>črpanje</w:t>
      </w:r>
      <w:proofErr w:type="spellEnd"/>
      <w:r w:rsidRPr="00E175CD">
        <w:rPr>
          <w:rFonts w:ascii="Arial" w:hAnsi="Arial" w:cs="Arial"/>
        </w:rPr>
        <w:t xml:space="preserve"> sredstev iz sklada v obdobju 2021-2027. </w:t>
      </w:r>
      <w:proofErr w:type="spellStart"/>
      <w:r w:rsidR="008B6B2F" w:rsidRPr="00E175CD">
        <w:rPr>
          <w:rFonts w:ascii="Arial" w:hAnsi="Arial" w:cs="Arial"/>
        </w:rPr>
        <w:t>S</w:t>
      </w:r>
      <w:r w:rsidRPr="00E175CD">
        <w:rPr>
          <w:rFonts w:ascii="Arial" w:hAnsi="Arial" w:cs="Arial"/>
        </w:rPr>
        <w:t>klad</w:t>
      </w:r>
      <w:proofErr w:type="spellEnd"/>
      <w:r w:rsidRPr="00E175CD">
        <w:rPr>
          <w:rFonts w:ascii="Arial" w:hAnsi="Arial" w:cs="Arial"/>
        </w:rPr>
        <w:t xml:space="preserve"> je </w:t>
      </w:r>
      <w:proofErr w:type="spellStart"/>
      <w:r w:rsidRPr="00E175CD">
        <w:rPr>
          <w:rFonts w:ascii="Arial" w:hAnsi="Arial" w:cs="Arial"/>
        </w:rPr>
        <w:t>strogo</w:t>
      </w:r>
      <w:proofErr w:type="spellEnd"/>
      <w:r w:rsidRPr="00E175CD">
        <w:rPr>
          <w:rFonts w:ascii="Arial" w:hAnsi="Arial" w:cs="Arial"/>
        </w:rPr>
        <w:t xml:space="preserve"> </w:t>
      </w:r>
      <w:proofErr w:type="spellStart"/>
      <w:r w:rsidRPr="00E175CD">
        <w:rPr>
          <w:rFonts w:ascii="Arial" w:hAnsi="Arial" w:cs="Arial"/>
        </w:rPr>
        <w:t>namenski</w:t>
      </w:r>
      <w:proofErr w:type="spellEnd"/>
      <w:r w:rsidRPr="00E175CD">
        <w:rPr>
          <w:rFonts w:ascii="Arial" w:hAnsi="Arial" w:cs="Arial"/>
        </w:rPr>
        <w:t xml:space="preserve"> in se lahko porablja samo za aktivnosti, ki so neposredno povezane z opuščanjem rabe premoga. </w:t>
      </w:r>
      <w:proofErr w:type="spellStart"/>
      <w:r w:rsidRPr="00E175CD">
        <w:rPr>
          <w:rFonts w:ascii="Arial" w:hAnsi="Arial" w:cs="Arial"/>
        </w:rPr>
        <w:t>Dodatno</w:t>
      </w:r>
      <w:proofErr w:type="spellEnd"/>
      <w:r w:rsidRPr="00E175CD">
        <w:rPr>
          <w:rFonts w:ascii="Arial" w:hAnsi="Arial" w:cs="Arial"/>
        </w:rPr>
        <w:t xml:space="preserve"> </w:t>
      </w:r>
      <w:proofErr w:type="spellStart"/>
      <w:r w:rsidRPr="00E175CD">
        <w:rPr>
          <w:rFonts w:ascii="Arial" w:hAnsi="Arial" w:cs="Arial"/>
        </w:rPr>
        <w:t>velja</w:t>
      </w:r>
      <w:proofErr w:type="spellEnd"/>
      <w:r w:rsidRPr="00E175CD">
        <w:rPr>
          <w:rFonts w:ascii="Arial" w:hAnsi="Arial" w:cs="Arial"/>
        </w:rPr>
        <w:t xml:space="preserve"> </w:t>
      </w:r>
      <w:proofErr w:type="spellStart"/>
      <w:r w:rsidRPr="00E175CD">
        <w:rPr>
          <w:rFonts w:ascii="Arial" w:hAnsi="Arial" w:cs="Arial"/>
        </w:rPr>
        <w:t>omeniti</w:t>
      </w:r>
      <w:proofErr w:type="spellEnd"/>
      <w:r w:rsidRPr="00E175CD">
        <w:rPr>
          <w:rFonts w:ascii="Arial" w:hAnsi="Arial" w:cs="Arial"/>
        </w:rPr>
        <w:t xml:space="preserve">, da </w:t>
      </w:r>
      <w:proofErr w:type="spellStart"/>
      <w:r w:rsidRPr="00E175CD">
        <w:rPr>
          <w:rFonts w:ascii="Arial" w:hAnsi="Arial" w:cs="Arial"/>
        </w:rPr>
        <w:t>uredba</w:t>
      </w:r>
      <w:proofErr w:type="spellEnd"/>
      <w:r w:rsidRPr="00E175CD">
        <w:rPr>
          <w:rFonts w:ascii="Arial" w:hAnsi="Arial" w:cs="Arial"/>
        </w:rPr>
        <w:t xml:space="preserve"> </w:t>
      </w:r>
      <w:r w:rsidR="008B6B2F" w:rsidRPr="00E175CD">
        <w:rPr>
          <w:rFonts w:ascii="Arial" w:hAnsi="Arial" w:cs="Arial"/>
        </w:rPr>
        <w:t xml:space="preserve">o </w:t>
      </w:r>
      <w:proofErr w:type="spellStart"/>
      <w:r w:rsidR="008B6B2F" w:rsidRPr="00E175CD">
        <w:rPr>
          <w:rFonts w:ascii="Arial" w:hAnsi="Arial" w:cs="Arial"/>
        </w:rPr>
        <w:t>skladu</w:t>
      </w:r>
      <w:proofErr w:type="spellEnd"/>
      <w:r w:rsidR="008B6B2F" w:rsidRPr="00E175CD">
        <w:rPr>
          <w:rFonts w:ascii="Arial" w:hAnsi="Arial" w:cs="Arial"/>
        </w:rPr>
        <w:t xml:space="preserve"> </w:t>
      </w:r>
      <w:proofErr w:type="spellStart"/>
      <w:r w:rsidR="008B6B2F" w:rsidRPr="00E175CD">
        <w:rPr>
          <w:rFonts w:ascii="Arial" w:hAnsi="Arial" w:cs="Arial"/>
        </w:rPr>
        <w:t>že</w:t>
      </w:r>
      <w:proofErr w:type="spellEnd"/>
      <w:r w:rsidR="008B6B2F" w:rsidRPr="00E175CD">
        <w:rPr>
          <w:rFonts w:ascii="Arial" w:hAnsi="Arial" w:cs="Arial"/>
        </w:rPr>
        <w:t xml:space="preserve"> </w:t>
      </w:r>
      <w:proofErr w:type="spellStart"/>
      <w:r w:rsidR="008B6B2F" w:rsidRPr="00E175CD">
        <w:rPr>
          <w:rFonts w:ascii="Arial" w:hAnsi="Arial" w:cs="Arial"/>
        </w:rPr>
        <w:t>določa</w:t>
      </w:r>
      <w:proofErr w:type="spellEnd"/>
      <w:r w:rsidR="008B6B2F" w:rsidRPr="00E175CD">
        <w:rPr>
          <w:rFonts w:ascii="Arial" w:hAnsi="Arial" w:cs="Arial"/>
        </w:rPr>
        <w:t xml:space="preserve"> </w:t>
      </w:r>
      <w:proofErr w:type="spellStart"/>
      <w:r w:rsidR="008B6B2F" w:rsidRPr="00E175CD">
        <w:rPr>
          <w:rFonts w:ascii="Arial" w:hAnsi="Arial" w:cs="Arial"/>
        </w:rPr>
        <w:t>možnost</w:t>
      </w:r>
      <w:proofErr w:type="spellEnd"/>
      <w:r w:rsidR="008B6B2F" w:rsidRPr="00E175CD">
        <w:rPr>
          <w:rFonts w:ascii="Arial" w:hAnsi="Arial" w:cs="Arial"/>
        </w:rPr>
        <w:t xml:space="preserve"> </w:t>
      </w:r>
      <w:proofErr w:type="spellStart"/>
      <w:r w:rsidR="008B6B2F" w:rsidRPr="00E175CD">
        <w:rPr>
          <w:rFonts w:ascii="Arial" w:hAnsi="Arial" w:cs="Arial"/>
        </w:rPr>
        <w:t>dodelitve</w:t>
      </w:r>
      <w:proofErr w:type="spellEnd"/>
      <w:r w:rsidR="008B6B2F" w:rsidRPr="00E175CD">
        <w:rPr>
          <w:rFonts w:ascii="Arial" w:hAnsi="Arial" w:cs="Arial"/>
        </w:rPr>
        <w:t xml:space="preserve"> </w:t>
      </w:r>
      <w:proofErr w:type="spellStart"/>
      <w:r w:rsidR="008B6B2F" w:rsidRPr="00E175CD">
        <w:rPr>
          <w:rFonts w:ascii="Arial" w:hAnsi="Arial" w:cs="Arial"/>
        </w:rPr>
        <w:t>dodatnih</w:t>
      </w:r>
      <w:proofErr w:type="spellEnd"/>
      <w:r w:rsidR="008B6B2F" w:rsidRPr="00E175CD">
        <w:rPr>
          <w:rFonts w:ascii="Arial" w:hAnsi="Arial" w:cs="Arial"/>
        </w:rPr>
        <w:t xml:space="preserve"> </w:t>
      </w:r>
      <w:proofErr w:type="spellStart"/>
      <w:r w:rsidR="008B6B2F" w:rsidRPr="00E175CD">
        <w:rPr>
          <w:rFonts w:ascii="Arial" w:hAnsi="Arial" w:cs="Arial"/>
        </w:rPr>
        <w:t>sredstev</w:t>
      </w:r>
      <w:proofErr w:type="spellEnd"/>
      <w:r w:rsidR="008B6B2F" w:rsidRPr="00E175CD">
        <w:rPr>
          <w:rFonts w:ascii="Arial" w:hAnsi="Arial" w:cs="Arial"/>
        </w:rPr>
        <w:t xml:space="preserve"> v </w:t>
      </w:r>
      <w:proofErr w:type="spellStart"/>
      <w:r w:rsidR="008B6B2F" w:rsidRPr="00E175CD">
        <w:rPr>
          <w:rFonts w:ascii="Arial" w:hAnsi="Arial" w:cs="Arial"/>
        </w:rPr>
        <w:t>letu</w:t>
      </w:r>
      <w:proofErr w:type="spellEnd"/>
      <w:r w:rsidR="008B6B2F" w:rsidRPr="00E175CD">
        <w:rPr>
          <w:rFonts w:ascii="Arial" w:hAnsi="Arial" w:cs="Arial"/>
        </w:rPr>
        <w:t xml:space="preserve"> 2024 </w:t>
      </w:r>
      <w:proofErr w:type="spellStart"/>
      <w:r w:rsidR="008B6B2F" w:rsidRPr="00E175CD">
        <w:rPr>
          <w:rFonts w:ascii="Arial" w:hAnsi="Arial" w:cs="Arial"/>
        </w:rPr>
        <w:t>tistim</w:t>
      </w:r>
      <w:proofErr w:type="spellEnd"/>
      <w:r w:rsidRPr="00E175CD">
        <w:rPr>
          <w:rFonts w:ascii="Arial" w:hAnsi="Arial" w:cs="Arial"/>
        </w:rPr>
        <w:t xml:space="preserve"> </w:t>
      </w:r>
      <w:proofErr w:type="spellStart"/>
      <w:r w:rsidR="00956EFB" w:rsidRPr="00E175CD">
        <w:rPr>
          <w:rFonts w:ascii="Arial" w:hAnsi="Arial" w:cs="Arial"/>
        </w:rPr>
        <w:t>držav</w:t>
      </w:r>
      <w:r w:rsidR="008B6B2F" w:rsidRPr="00E175CD">
        <w:rPr>
          <w:rFonts w:ascii="Arial" w:hAnsi="Arial" w:cs="Arial"/>
        </w:rPr>
        <w:t>am</w:t>
      </w:r>
      <w:proofErr w:type="spellEnd"/>
      <w:r w:rsidR="00956EFB" w:rsidRPr="00E175CD">
        <w:rPr>
          <w:rFonts w:ascii="Arial" w:hAnsi="Arial" w:cs="Arial"/>
        </w:rPr>
        <w:t xml:space="preserve"> </w:t>
      </w:r>
      <w:proofErr w:type="spellStart"/>
      <w:r w:rsidR="00956EFB" w:rsidRPr="00E175CD">
        <w:rPr>
          <w:rFonts w:ascii="Arial" w:hAnsi="Arial" w:cs="Arial"/>
        </w:rPr>
        <w:t>članic</w:t>
      </w:r>
      <w:r w:rsidR="008B6B2F" w:rsidRPr="00E175CD">
        <w:rPr>
          <w:rFonts w:ascii="Arial" w:hAnsi="Arial" w:cs="Arial"/>
        </w:rPr>
        <w:t>am</w:t>
      </w:r>
      <w:proofErr w:type="spellEnd"/>
      <w:r w:rsidR="00956EFB" w:rsidRPr="00E175CD">
        <w:rPr>
          <w:rFonts w:ascii="Arial" w:hAnsi="Arial" w:cs="Arial"/>
        </w:rPr>
        <w:t xml:space="preserve">, </w:t>
      </w:r>
      <w:proofErr w:type="spellStart"/>
      <w:r w:rsidRPr="00E175CD">
        <w:rPr>
          <w:rFonts w:ascii="Arial" w:hAnsi="Arial" w:cs="Arial"/>
        </w:rPr>
        <w:t>ki</w:t>
      </w:r>
      <w:proofErr w:type="spellEnd"/>
      <w:r w:rsidRPr="00E175CD">
        <w:rPr>
          <w:rFonts w:ascii="Arial" w:hAnsi="Arial" w:cs="Arial"/>
        </w:rPr>
        <w:t xml:space="preserve"> </w:t>
      </w:r>
      <w:proofErr w:type="spellStart"/>
      <w:r w:rsidR="008B6B2F" w:rsidRPr="00E175CD">
        <w:rPr>
          <w:rFonts w:ascii="Arial" w:hAnsi="Arial" w:cs="Arial"/>
        </w:rPr>
        <w:t>bodo</w:t>
      </w:r>
      <w:proofErr w:type="spellEnd"/>
      <w:r w:rsidR="008B6B2F" w:rsidRPr="00E175CD">
        <w:rPr>
          <w:rFonts w:ascii="Arial" w:hAnsi="Arial" w:cs="Arial"/>
        </w:rPr>
        <w:t xml:space="preserve"> </w:t>
      </w:r>
      <w:proofErr w:type="spellStart"/>
      <w:r w:rsidR="008B6B2F" w:rsidRPr="00E175CD">
        <w:rPr>
          <w:rFonts w:ascii="Arial" w:hAnsi="Arial" w:cs="Arial"/>
        </w:rPr>
        <w:t>po</w:t>
      </w:r>
      <w:proofErr w:type="spellEnd"/>
      <w:r w:rsidR="008B6B2F" w:rsidRPr="00E175CD">
        <w:rPr>
          <w:rFonts w:ascii="Arial" w:hAnsi="Arial" w:cs="Arial"/>
        </w:rPr>
        <w:t xml:space="preserve"> </w:t>
      </w:r>
      <w:proofErr w:type="spellStart"/>
      <w:r w:rsidR="008B6B2F" w:rsidRPr="00E175CD">
        <w:rPr>
          <w:rFonts w:ascii="Arial" w:hAnsi="Arial" w:cs="Arial"/>
        </w:rPr>
        <w:t>letu</w:t>
      </w:r>
      <w:proofErr w:type="spellEnd"/>
      <w:r w:rsidR="008B6B2F" w:rsidRPr="00E175CD">
        <w:rPr>
          <w:rFonts w:ascii="Arial" w:hAnsi="Arial" w:cs="Arial"/>
        </w:rPr>
        <w:t xml:space="preserve"> 2018 </w:t>
      </w:r>
      <w:proofErr w:type="spellStart"/>
      <w:r w:rsidR="008B6B2F" w:rsidRPr="00E175CD">
        <w:rPr>
          <w:rFonts w:ascii="Arial" w:hAnsi="Arial" w:cs="Arial"/>
        </w:rPr>
        <w:t>dosegle</w:t>
      </w:r>
      <w:proofErr w:type="spellEnd"/>
      <w:r w:rsidR="008B6B2F" w:rsidRPr="00E175CD">
        <w:rPr>
          <w:rFonts w:ascii="Arial" w:hAnsi="Arial" w:cs="Arial"/>
        </w:rPr>
        <w:t xml:space="preserve"> </w:t>
      </w:r>
      <w:proofErr w:type="spellStart"/>
      <w:r w:rsidR="008B6B2F" w:rsidRPr="00E175CD">
        <w:rPr>
          <w:rFonts w:ascii="Arial" w:hAnsi="Arial" w:cs="Arial"/>
        </w:rPr>
        <w:t>zmanjšanje</w:t>
      </w:r>
      <w:proofErr w:type="spellEnd"/>
      <w:r w:rsidR="008B6B2F" w:rsidRPr="00E175CD">
        <w:rPr>
          <w:rFonts w:ascii="Arial" w:hAnsi="Arial" w:cs="Arial"/>
        </w:rPr>
        <w:t xml:space="preserve"> </w:t>
      </w:r>
      <w:proofErr w:type="spellStart"/>
      <w:r w:rsidR="008B6B2F" w:rsidRPr="00E175CD">
        <w:rPr>
          <w:rFonts w:ascii="Arial" w:hAnsi="Arial" w:cs="Arial"/>
        </w:rPr>
        <w:t>emisij</w:t>
      </w:r>
      <w:proofErr w:type="spellEnd"/>
      <w:r w:rsidR="008B6B2F" w:rsidRPr="00E175CD">
        <w:rPr>
          <w:rFonts w:ascii="Arial" w:hAnsi="Arial" w:cs="Arial"/>
        </w:rPr>
        <w:t xml:space="preserve"> </w:t>
      </w:r>
      <w:proofErr w:type="spellStart"/>
      <w:r w:rsidR="008B6B2F" w:rsidRPr="00E175CD">
        <w:rPr>
          <w:rFonts w:ascii="Arial" w:hAnsi="Arial" w:cs="Arial"/>
        </w:rPr>
        <w:t>na</w:t>
      </w:r>
      <w:proofErr w:type="spellEnd"/>
      <w:r w:rsidR="008B6B2F" w:rsidRPr="00E175CD">
        <w:rPr>
          <w:rFonts w:ascii="Arial" w:hAnsi="Arial" w:cs="Arial"/>
        </w:rPr>
        <w:t xml:space="preserve"> </w:t>
      </w:r>
      <w:proofErr w:type="spellStart"/>
      <w:r w:rsidR="008B6B2F" w:rsidRPr="00E175CD">
        <w:rPr>
          <w:rFonts w:ascii="Arial" w:hAnsi="Arial" w:cs="Arial"/>
        </w:rPr>
        <w:t>ravni</w:t>
      </w:r>
      <w:proofErr w:type="spellEnd"/>
      <w:r w:rsidR="008B6B2F" w:rsidRPr="00E175CD">
        <w:rPr>
          <w:rFonts w:ascii="Arial" w:hAnsi="Arial" w:cs="Arial"/>
        </w:rPr>
        <w:t xml:space="preserve"> </w:t>
      </w:r>
      <w:proofErr w:type="spellStart"/>
      <w:r w:rsidR="008B6B2F" w:rsidRPr="00E175CD">
        <w:rPr>
          <w:rFonts w:ascii="Arial" w:hAnsi="Arial" w:cs="Arial"/>
        </w:rPr>
        <w:t>premogovne</w:t>
      </w:r>
      <w:proofErr w:type="spellEnd"/>
      <w:r w:rsidR="008B6B2F" w:rsidRPr="00E175CD">
        <w:rPr>
          <w:rFonts w:ascii="Arial" w:hAnsi="Arial" w:cs="Arial"/>
        </w:rPr>
        <w:t xml:space="preserve"> </w:t>
      </w:r>
      <w:proofErr w:type="spellStart"/>
      <w:r w:rsidR="008B6B2F" w:rsidRPr="00E175CD">
        <w:rPr>
          <w:rFonts w:ascii="Arial" w:hAnsi="Arial" w:cs="Arial"/>
        </w:rPr>
        <w:t>regije</w:t>
      </w:r>
      <w:proofErr w:type="spellEnd"/>
      <w:r w:rsidR="00956EFB" w:rsidRPr="00E175CD">
        <w:rPr>
          <w:rFonts w:ascii="Arial" w:hAnsi="Arial" w:cs="Arial"/>
        </w:rPr>
        <w:t>.</w:t>
      </w:r>
    </w:p>
    <w:p w:rsidR="008B6B2F" w:rsidRPr="00E175CD" w:rsidRDefault="008B6B2F" w:rsidP="00E175CD">
      <w:pPr>
        <w:pStyle w:val="Odstavekseznama"/>
        <w:rPr>
          <w:rFonts w:ascii="Arial" w:hAnsi="Arial" w:cs="Arial"/>
        </w:rPr>
      </w:pPr>
    </w:p>
    <w:p w:rsidR="00956EFB" w:rsidRPr="00E175CD" w:rsidRDefault="00E175CD" w:rsidP="00E175CD">
      <w:pPr>
        <w:pStyle w:val="Odstavekseznama"/>
        <w:numPr>
          <w:ilvl w:val="0"/>
          <w:numId w:val="2"/>
        </w:numPr>
        <w:rPr>
          <w:rFonts w:ascii="Arial" w:hAnsi="Arial" w:cs="Arial"/>
        </w:rPr>
      </w:pPr>
      <w:proofErr w:type="spellStart"/>
      <w:r w:rsidRPr="00E175CD">
        <w:rPr>
          <w:rFonts w:ascii="Arial" w:hAnsi="Arial" w:cs="Arial"/>
        </w:rPr>
        <w:lastRenderedPageBreak/>
        <w:t>Slovenija</w:t>
      </w:r>
      <w:proofErr w:type="spellEnd"/>
      <w:r w:rsidRPr="00E175CD">
        <w:rPr>
          <w:rFonts w:ascii="Arial" w:hAnsi="Arial" w:cs="Arial"/>
        </w:rPr>
        <w:t xml:space="preserve"> se s to </w:t>
      </w:r>
      <w:proofErr w:type="spellStart"/>
      <w:r w:rsidRPr="00E175CD">
        <w:rPr>
          <w:rFonts w:ascii="Arial" w:hAnsi="Arial" w:cs="Arial"/>
        </w:rPr>
        <w:t>odločitvijo</w:t>
      </w:r>
      <w:proofErr w:type="spellEnd"/>
      <w:r w:rsidRPr="00E175CD">
        <w:rPr>
          <w:rFonts w:ascii="Arial" w:hAnsi="Arial" w:cs="Arial"/>
        </w:rPr>
        <w:t xml:space="preserve"> </w:t>
      </w:r>
      <w:proofErr w:type="spellStart"/>
      <w:r w:rsidRPr="00E175CD">
        <w:rPr>
          <w:rFonts w:ascii="Arial" w:hAnsi="Arial" w:cs="Arial"/>
        </w:rPr>
        <w:t>pridružuje</w:t>
      </w:r>
      <w:proofErr w:type="spellEnd"/>
      <w:r w:rsidRPr="00E175CD">
        <w:rPr>
          <w:rFonts w:ascii="Arial" w:hAnsi="Arial" w:cs="Arial"/>
        </w:rPr>
        <w:t xml:space="preserve"> </w:t>
      </w:r>
      <w:proofErr w:type="spellStart"/>
      <w:r w:rsidRPr="00E175CD">
        <w:rPr>
          <w:rFonts w:ascii="Arial" w:hAnsi="Arial" w:cs="Arial"/>
        </w:rPr>
        <w:t>državam</w:t>
      </w:r>
      <w:proofErr w:type="spellEnd"/>
      <w:r w:rsidRPr="00E175CD">
        <w:rPr>
          <w:rFonts w:ascii="Arial" w:hAnsi="Arial" w:cs="Arial"/>
        </w:rPr>
        <w:t xml:space="preserve"> </w:t>
      </w:r>
      <w:proofErr w:type="spellStart"/>
      <w:r w:rsidRPr="00E175CD">
        <w:rPr>
          <w:rFonts w:ascii="Arial" w:hAnsi="Arial" w:cs="Arial"/>
        </w:rPr>
        <w:t>članicam</w:t>
      </w:r>
      <w:proofErr w:type="spellEnd"/>
      <w:r w:rsidRPr="00E175CD">
        <w:rPr>
          <w:rFonts w:ascii="Arial" w:hAnsi="Arial" w:cs="Arial"/>
        </w:rPr>
        <w:t xml:space="preserve"> EU, </w:t>
      </w:r>
      <w:proofErr w:type="spellStart"/>
      <w:r w:rsidRPr="00E175CD">
        <w:rPr>
          <w:rFonts w:ascii="Arial" w:hAnsi="Arial" w:cs="Arial"/>
        </w:rPr>
        <w:t>ki</w:t>
      </w:r>
      <w:proofErr w:type="spellEnd"/>
      <w:r w:rsidRPr="00E175CD">
        <w:rPr>
          <w:rFonts w:ascii="Arial" w:hAnsi="Arial" w:cs="Arial"/>
        </w:rPr>
        <w:t xml:space="preserve"> so </w:t>
      </w:r>
      <w:proofErr w:type="spellStart"/>
      <w:r w:rsidRPr="00E175CD">
        <w:rPr>
          <w:rFonts w:ascii="Arial" w:hAnsi="Arial" w:cs="Arial"/>
        </w:rPr>
        <w:t>odločitev</w:t>
      </w:r>
      <w:proofErr w:type="spellEnd"/>
      <w:r w:rsidRPr="00E175CD">
        <w:rPr>
          <w:rFonts w:ascii="Arial" w:hAnsi="Arial" w:cs="Arial"/>
        </w:rPr>
        <w:t xml:space="preserve"> o </w:t>
      </w:r>
      <w:proofErr w:type="spellStart"/>
      <w:r w:rsidRPr="00E175CD">
        <w:rPr>
          <w:rFonts w:ascii="Arial" w:hAnsi="Arial" w:cs="Arial"/>
        </w:rPr>
        <w:t>izstopu</w:t>
      </w:r>
      <w:proofErr w:type="spellEnd"/>
      <w:r w:rsidRPr="00E175CD">
        <w:rPr>
          <w:rFonts w:ascii="Arial" w:hAnsi="Arial" w:cs="Arial"/>
        </w:rPr>
        <w:t xml:space="preserve"> </w:t>
      </w:r>
      <w:proofErr w:type="spellStart"/>
      <w:r w:rsidRPr="00E175CD">
        <w:rPr>
          <w:rFonts w:ascii="Arial" w:hAnsi="Arial" w:cs="Arial"/>
        </w:rPr>
        <w:t>iz</w:t>
      </w:r>
      <w:proofErr w:type="spellEnd"/>
      <w:r w:rsidRPr="00E175CD">
        <w:rPr>
          <w:rFonts w:ascii="Arial" w:hAnsi="Arial" w:cs="Arial"/>
        </w:rPr>
        <w:t xml:space="preserve"> </w:t>
      </w:r>
      <w:proofErr w:type="spellStart"/>
      <w:r w:rsidRPr="00E175CD">
        <w:rPr>
          <w:rFonts w:ascii="Arial" w:hAnsi="Arial" w:cs="Arial"/>
        </w:rPr>
        <w:t>premoga</w:t>
      </w:r>
      <w:proofErr w:type="spellEnd"/>
      <w:r w:rsidRPr="00E175CD">
        <w:rPr>
          <w:rFonts w:ascii="Arial" w:hAnsi="Arial" w:cs="Arial"/>
        </w:rPr>
        <w:t xml:space="preserve"> </w:t>
      </w:r>
      <w:proofErr w:type="spellStart"/>
      <w:r w:rsidRPr="00E175CD">
        <w:rPr>
          <w:rFonts w:ascii="Arial" w:hAnsi="Arial" w:cs="Arial"/>
        </w:rPr>
        <w:t>že</w:t>
      </w:r>
      <w:proofErr w:type="spellEnd"/>
      <w:r w:rsidRPr="00E175CD">
        <w:rPr>
          <w:rFonts w:ascii="Arial" w:hAnsi="Arial" w:cs="Arial"/>
        </w:rPr>
        <w:t xml:space="preserve"> </w:t>
      </w:r>
      <w:proofErr w:type="spellStart"/>
      <w:r w:rsidRPr="00E175CD">
        <w:rPr>
          <w:rFonts w:ascii="Arial" w:hAnsi="Arial" w:cs="Arial"/>
        </w:rPr>
        <w:t>sprejele</w:t>
      </w:r>
      <w:proofErr w:type="spellEnd"/>
      <w:r w:rsidRPr="00E175CD">
        <w:rPr>
          <w:rFonts w:ascii="Arial" w:hAnsi="Arial" w:cs="Arial"/>
        </w:rPr>
        <w:t xml:space="preserve">. </w:t>
      </w:r>
      <w:proofErr w:type="spellStart"/>
      <w:r w:rsidRPr="00E175CD">
        <w:rPr>
          <w:rFonts w:ascii="Arial" w:hAnsi="Arial" w:cs="Arial"/>
        </w:rPr>
        <w:t>Podobno</w:t>
      </w:r>
      <w:proofErr w:type="spellEnd"/>
      <w:r w:rsidRPr="00E175CD">
        <w:rPr>
          <w:rFonts w:ascii="Arial" w:hAnsi="Arial" w:cs="Arial"/>
        </w:rPr>
        <w:t xml:space="preserve"> </w:t>
      </w:r>
      <w:proofErr w:type="spellStart"/>
      <w:r w:rsidRPr="00E175CD">
        <w:rPr>
          <w:rFonts w:ascii="Arial" w:hAnsi="Arial" w:cs="Arial"/>
        </w:rPr>
        <w:t>kot</w:t>
      </w:r>
      <w:proofErr w:type="spellEnd"/>
      <w:r w:rsidRPr="00E175CD">
        <w:rPr>
          <w:rFonts w:ascii="Arial" w:hAnsi="Arial" w:cs="Arial"/>
        </w:rPr>
        <w:t xml:space="preserve"> </w:t>
      </w:r>
      <w:proofErr w:type="spellStart"/>
      <w:r w:rsidRPr="00E175CD">
        <w:rPr>
          <w:rFonts w:ascii="Arial" w:hAnsi="Arial" w:cs="Arial"/>
        </w:rPr>
        <w:t>Slovenija</w:t>
      </w:r>
      <w:proofErr w:type="spellEnd"/>
      <w:r w:rsidRPr="00E175CD">
        <w:rPr>
          <w:rFonts w:ascii="Arial" w:hAnsi="Arial" w:cs="Arial"/>
        </w:rPr>
        <w:t xml:space="preserve"> </w:t>
      </w:r>
      <w:proofErr w:type="spellStart"/>
      <w:r w:rsidRPr="00E175CD">
        <w:rPr>
          <w:rFonts w:ascii="Arial" w:hAnsi="Arial" w:cs="Arial"/>
        </w:rPr>
        <w:t>izstop</w:t>
      </w:r>
      <w:proofErr w:type="spellEnd"/>
      <w:r w:rsidRPr="00E175CD">
        <w:rPr>
          <w:rFonts w:ascii="Arial" w:hAnsi="Arial" w:cs="Arial"/>
        </w:rPr>
        <w:t xml:space="preserve"> </w:t>
      </w:r>
      <w:proofErr w:type="spellStart"/>
      <w:r w:rsidRPr="00E175CD">
        <w:rPr>
          <w:rFonts w:ascii="Arial" w:hAnsi="Arial" w:cs="Arial"/>
        </w:rPr>
        <w:t>iz</w:t>
      </w:r>
      <w:proofErr w:type="spellEnd"/>
      <w:r w:rsidRPr="00E175CD">
        <w:rPr>
          <w:rFonts w:ascii="Arial" w:hAnsi="Arial" w:cs="Arial"/>
        </w:rPr>
        <w:t xml:space="preserve"> </w:t>
      </w:r>
      <w:proofErr w:type="spellStart"/>
      <w:r w:rsidRPr="00E175CD">
        <w:rPr>
          <w:rFonts w:ascii="Arial" w:hAnsi="Arial" w:cs="Arial"/>
        </w:rPr>
        <w:t>premoga</w:t>
      </w:r>
      <w:proofErr w:type="spellEnd"/>
      <w:r w:rsidRPr="00E175CD">
        <w:rPr>
          <w:rFonts w:ascii="Arial" w:hAnsi="Arial" w:cs="Arial"/>
        </w:rPr>
        <w:t xml:space="preserve"> </w:t>
      </w:r>
      <w:proofErr w:type="spellStart"/>
      <w:r w:rsidRPr="00E175CD">
        <w:rPr>
          <w:rFonts w:ascii="Arial" w:hAnsi="Arial" w:cs="Arial"/>
        </w:rPr>
        <w:t>po</w:t>
      </w:r>
      <w:proofErr w:type="spellEnd"/>
      <w:r w:rsidRPr="00E175CD">
        <w:rPr>
          <w:rFonts w:ascii="Arial" w:hAnsi="Arial" w:cs="Arial"/>
        </w:rPr>
        <w:t xml:space="preserve"> </w:t>
      </w:r>
      <w:proofErr w:type="spellStart"/>
      <w:r w:rsidRPr="00E175CD">
        <w:rPr>
          <w:rFonts w:ascii="Arial" w:hAnsi="Arial" w:cs="Arial"/>
        </w:rPr>
        <w:t>letu</w:t>
      </w:r>
      <w:proofErr w:type="spellEnd"/>
      <w:r w:rsidRPr="00E175CD">
        <w:rPr>
          <w:rFonts w:ascii="Arial" w:hAnsi="Arial" w:cs="Arial"/>
        </w:rPr>
        <w:t xml:space="preserve"> 2030 </w:t>
      </w:r>
      <w:proofErr w:type="spellStart"/>
      <w:r w:rsidRPr="00E175CD">
        <w:rPr>
          <w:rFonts w:ascii="Arial" w:hAnsi="Arial" w:cs="Arial"/>
        </w:rPr>
        <w:t>načrtujejo</w:t>
      </w:r>
      <w:proofErr w:type="spellEnd"/>
      <w:r w:rsidRPr="00E175CD">
        <w:rPr>
          <w:rFonts w:ascii="Arial" w:hAnsi="Arial" w:cs="Arial"/>
        </w:rPr>
        <w:t xml:space="preserve"> </w:t>
      </w:r>
      <w:proofErr w:type="spellStart"/>
      <w:r w:rsidRPr="00E175CD">
        <w:rPr>
          <w:rFonts w:ascii="Arial" w:hAnsi="Arial" w:cs="Arial"/>
        </w:rPr>
        <w:t>Češka</w:t>
      </w:r>
      <w:proofErr w:type="spellEnd"/>
      <w:r w:rsidRPr="00E175CD">
        <w:rPr>
          <w:rFonts w:ascii="Arial" w:hAnsi="Arial" w:cs="Arial"/>
        </w:rPr>
        <w:t xml:space="preserve"> (2033), </w:t>
      </w:r>
      <w:proofErr w:type="spellStart"/>
      <w:r w:rsidRPr="00E175CD">
        <w:rPr>
          <w:rFonts w:ascii="Arial" w:hAnsi="Arial" w:cs="Arial"/>
        </w:rPr>
        <w:t>Romunija</w:t>
      </w:r>
      <w:proofErr w:type="spellEnd"/>
      <w:r w:rsidRPr="00E175CD">
        <w:rPr>
          <w:rFonts w:ascii="Arial" w:hAnsi="Arial" w:cs="Arial"/>
        </w:rPr>
        <w:t xml:space="preserve"> (2032), </w:t>
      </w:r>
      <w:proofErr w:type="spellStart"/>
      <w:r w:rsidRPr="00E175CD">
        <w:rPr>
          <w:rFonts w:ascii="Arial" w:hAnsi="Arial" w:cs="Arial"/>
        </w:rPr>
        <w:t>Poljska</w:t>
      </w:r>
      <w:proofErr w:type="spellEnd"/>
      <w:r w:rsidRPr="00E175CD">
        <w:rPr>
          <w:rFonts w:ascii="Arial" w:hAnsi="Arial" w:cs="Arial"/>
        </w:rPr>
        <w:t xml:space="preserve"> (2049), </w:t>
      </w:r>
      <w:proofErr w:type="spellStart"/>
      <w:r w:rsidRPr="00E175CD">
        <w:rPr>
          <w:rFonts w:ascii="Arial" w:hAnsi="Arial" w:cs="Arial"/>
        </w:rPr>
        <w:t>Bolgarija</w:t>
      </w:r>
      <w:proofErr w:type="spellEnd"/>
      <w:r w:rsidRPr="00E175CD">
        <w:rPr>
          <w:rFonts w:ascii="Arial" w:hAnsi="Arial" w:cs="Arial"/>
        </w:rPr>
        <w:t xml:space="preserve"> (2038/2040) in </w:t>
      </w:r>
      <w:proofErr w:type="spellStart"/>
      <w:r w:rsidRPr="00E175CD">
        <w:rPr>
          <w:rFonts w:ascii="Arial" w:hAnsi="Arial" w:cs="Arial"/>
        </w:rPr>
        <w:t>Nemčija</w:t>
      </w:r>
      <w:proofErr w:type="spellEnd"/>
      <w:r w:rsidRPr="00E175CD">
        <w:rPr>
          <w:rFonts w:ascii="Arial" w:hAnsi="Arial" w:cs="Arial"/>
        </w:rPr>
        <w:t xml:space="preserve">, </w:t>
      </w:r>
      <w:proofErr w:type="spellStart"/>
      <w:r w:rsidRPr="00E175CD">
        <w:rPr>
          <w:rFonts w:ascii="Arial" w:hAnsi="Arial" w:cs="Arial"/>
        </w:rPr>
        <w:t>ki</w:t>
      </w:r>
      <w:proofErr w:type="spellEnd"/>
      <w:r w:rsidRPr="00E175CD">
        <w:rPr>
          <w:rFonts w:ascii="Arial" w:hAnsi="Arial" w:cs="Arial"/>
        </w:rPr>
        <w:t xml:space="preserve"> pa je </w:t>
      </w:r>
      <w:proofErr w:type="spellStart"/>
      <w:r w:rsidRPr="00E175CD">
        <w:rPr>
          <w:rFonts w:ascii="Arial" w:hAnsi="Arial" w:cs="Arial"/>
        </w:rPr>
        <w:t>že</w:t>
      </w:r>
      <w:proofErr w:type="spellEnd"/>
      <w:r w:rsidRPr="00E175CD">
        <w:rPr>
          <w:rFonts w:ascii="Arial" w:hAnsi="Arial" w:cs="Arial"/>
        </w:rPr>
        <w:t xml:space="preserve"> </w:t>
      </w:r>
      <w:proofErr w:type="spellStart"/>
      <w:r w:rsidRPr="00E175CD">
        <w:rPr>
          <w:rFonts w:ascii="Arial" w:hAnsi="Arial" w:cs="Arial"/>
        </w:rPr>
        <w:t>napovedala</w:t>
      </w:r>
      <w:proofErr w:type="spellEnd"/>
      <w:r w:rsidRPr="00E175CD">
        <w:rPr>
          <w:rFonts w:ascii="Arial" w:hAnsi="Arial" w:cs="Arial"/>
        </w:rPr>
        <w:t xml:space="preserve"> </w:t>
      </w:r>
      <w:proofErr w:type="spellStart"/>
      <w:r w:rsidRPr="00E175CD">
        <w:rPr>
          <w:rFonts w:ascii="Arial" w:hAnsi="Arial" w:cs="Arial"/>
        </w:rPr>
        <w:t>spremembo</w:t>
      </w:r>
      <w:proofErr w:type="spellEnd"/>
      <w:r w:rsidRPr="00E175CD">
        <w:rPr>
          <w:rFonts w:ascii="Arial" w:hAnsi="Arial" w:cs="Arial"/>
        </w:rPr>
        <w:t xml:space="preserve"> </w:t>
      </w:r>
      <w:proofErr w:type="spellStart"/>
      <w:r w:rsidRPr="00E175CD">
        <w:rPr>
          <w:rFonts w:ascii="Arial" w:hAnsi="Arial" w:cs="Arial"/>
        </w:rPr>
        <w:t>odločitve</w:t>
      </w:r>
      <w:proofErr w:type="spellEnd"/>
      <w:r w:rsidRPr="00E175CD">
        <w:rPr>
          <w:rFonts w:ascii="Arial" w:hAnsi="Arial" w:cs="Arial"/>
        </w:rPr>
        <w:t xml:space="preserve"> in </w:t>
      </w:r>
      <w:proofErr w:type="spellStart"/>
      <w:r w:rsidRPr="00E175CD">
        <w:rPr>
          <w:rFonts w:ascii="Arial" w:hAnsi="Arial" w:cs="Arial"/>
        </w:rPr>
        <w:t>hitrejši</w:t>
      </w:r>
      <w:proofErr w:type="spellEnd"/>
      <w:r w:rsidRPr="00E175CD">
        <w:rPr>
          <w:rFonts w:ascii="Arial" w:hAnsi="Arial" w:cs="Arial"/>
        </w:rPr>
        <w:t xml:space="preserve"> </w:t>
      </w:r>
      <w:proofErr w:type="spellStart"/>
      <w:r w:rsidRPr="00E175CD">
        <w:rPr>
          <w:rFonts w:ascii="Arial" w:hAnsi="Arial" w:cs="Arial"/>
        </w:rPr>
        <w:t>izstop</w:t>
      </w:r>
      <w:proofErr w:type="spellEnd"/>
      <w:r w:rsidRPr="00E175CD">
        <w:rPr>
          <w:rFonts w:ascii="Arial" w:hAnsi="Arial" w:cs="Arial"/>
        </w:rPr>
        <w:t>.</w:t>
      </w:r>
    </w:p>
    <w:p w:rsidR="00956EFB" w:rsidRPr="00E175CD" w:rsidRDefault="00956EFB" w:rsidP="00E175CD">
      <w:pPr>
        <w:jc w:val="both"/>
        <w:rPr>
          <w:rFonts w:ascii="Arial" w:hAnsi="Arial" w:cs="Arial"/>
          <w:sz w:val="22"/>
          <w:szCs w:val="22"/>
        </w:rPr>
      </w:pPr>
    </w:p>
    <w:p w:rsidR="00956EFB" w:rsidRPr="00E175CD" w:rsidRDefault="00956EFB" w:rsidP="00E175CD">
      <w:pPr>
        <w:jc w:val="both"/>
        <w:rPr>
          <w:rFonts w:ascii="Arial" w:hAnsi="Arial" w:cs="Arial"/>
          <w:sz w:val="22"/>
          <w:szCs w:val="22"/>
        </w:rPr>
      </w:pPr>
    </w:p>
    <w:p w:rsidR="00E175CD" w:rsidRPr="00E175CD" w:rsidRDefault="00E175CD" w:rsidP="00E175CD">
      <w:pPr>
        <w:jc w:val="both"/>
        <w:rPr>
          <w:rFonts w:ascii="Arial" w:hAnsi="Arial" w:cs="Arial"/>
          <w:sz w:val="22"/>
          <w:szCs w:val="22"/>
        </w:rPr>
      </w:pPr>
      <w:r w:rsidRPr="00E175CD">
        <w:rPr>
          <w:rFonts w:ascii="Arial" w:hAnsi="Arial" w:cs="Arial"/>
          <w:sz w:val="22"/>
          <w:szCs w:val="22"/>
        </w:rPr>
        <w:t>Pri pripravi Strategije je bil uporabljen pristop »od spodaj navzgor«, ki je aktivno vključeval ključne deležnike iz obeh regij. Prek intervjujev, terenskih obiskov, fokusne skupine, individualnih in skupinskih javnih in nejavnih posvetovanj ter širše operativne skupine ministrstva in medresorske vladne skupine so svoje poglede, podatke in mnenja delili predstavniki sindikatov, občin, nevladnih organizacij, regionalnih in območnih razvojnih agencij, formalnega in neformalnega izobraževanja, energetske družbe, gospodarstva, ministrstev, državnih agencij, inštitutov in evropskih institucij.</w:t>
      </w:r>
    </w:p>
    <w:p w:rsidR="00E175CD" w:rsidRPr="00E175CD" w:rsidRDefault="00E175CD" w:rsidP="00E175CD">
      <w:pPr>
        <w:jc w:val="both"/>
        <w:rPr>
          <w:rFonts w:ascii="Arial" w:hAnsi="Arial" w:cs="Arial"/>
          <w:sz w:val="22"/>
          <w:szCs w:val="22"/>
        </w:rPr>
      </w:pPr>
    </w:p>
    <w:p w:rsidR="00E175CD" w:rsidRPr="00E175CD" w:rsidRDefault="00E175CD" w:rsidP="00E175CD">
      <w:pPr>
        <w:jc w:val="both"/>
        <w:rPr>
          <w:rFonts w:ascii="Arial" w:hAnsi="Arial" w:cs="Arial"/>
          <w:sz w:val="22"/>
          <w:szCs w:val="22"/>
        </w:rPr>
      </w:pPr>
      <w:r w:rsidRPr="00E175CD">
        <w:rPr>
          <w:rFonts w:ascii="Arial" w:hAnsi="Arial" w:cs="Arial"/>
          <w:sz w:val="22"/>
          <w:szCs w:val="22"/>
        </w:rPr>
        <w:t xml:space="preserve">Za Strategijo je bila izvedena tudi celovita presoja vplivov na okolje, skladno z Zakonom o varstvu okolja in Uredbo o </w:t>
      </w:r>
      <w:proofErr w:type="spellStart"/>
      <w:r w:rsidRPr="00E175CD">
        <w:rPr>
          <w:rFonts w:ascii="Arial" w:hAnsi="Arial" w:cs="Arial"/>
          <w:sz w:val="22"/>
          <w:szCs w:val="22"/>
        </w:rPr>
        <w:t>okoljskem</w:t>
      </w:r>
      <w:proofErr w:type="spellEnd"/>
      <w:r w:rsidRPr="00E175CD">
        <w:rPr>
          <w:rFonts w:ascii="Arial" w:hAnsi="Arial" w:cs="Arial"/>
          <w:sz w:val="22"/>
          <w:szCs w:val="22"/>
        </w:rPr>
        <w:t xml:space="preserve"> poročilu in podrobnejšem postopku celovite presoje vplivov izvedbe planov na okolje. Postopek CPVO za strategijo je bil zaključen s pozitivno odločbo MOP dne 14.6.2021. </w:t>
      </w:r>
    </w:p>
    <w:p w:rsidR="00E175CD" w:rsidRDefault="00E175CD" w:rsidP="00E175CD">
      <w:pPr>
        <w:spacing w:line="259" w:lineRule="auto"/>
        <w:jc w:val="both"/>
        <w:rPr>
          <w:rFonts w:ascii="Arial" w:hAnsi="Arial" w:cs="Arial"/>
          <w:sz w:val="22"/>
          <w:szCs w:val="22"/>
        </w:rPr>
      </w:pPr>
    </w:p>
    <w:p w:rsidR="000F6DE2" w:rsidRPr="000F6DE2" w:rsidRDefault="000F6DE2" w:rsidP="00E175CD">
      <w:pPr>
        <w:spacing w:line="259" w:lineRule="auto"/>
        <w:jc w:val="both"/>
        <w:rPr>
          <w:rFonts w:ascii="Arial" w:hAnsi="Arial" w:cs="Arial"/>
          <w:sz w:val="22"/>
          <w:szCs w:val="22"/>
          <w:u w:val="single"/>
        </w:rPr>
      </w:pPr>
      <w:r w:rsidRPr="000F6DE2">
        <w:rPr>
          <w:rFonts w:ascii="Arial" w:hAnsi="Arial" w:cs="Arial"/>
          <w:sz w:val="22"/>
          <w:szCs w:val="22"/>
          <w:u w:val="single"/>
        </w:rPr>
        <w:t>KRATEK POVZETEK STRATEGIJE</w:t>
      </w:r>
    </w:p>
    <w:p w:rsidR="000F6DE2" w:rsidRDefault="000F6DE2" w:rsidP="00E175CD">
      <w:pPr>
        <w:spacing w:line="259" w:lineRule="auto"/>
        <w:jc w:val="both"/>
        <w:rPr>
          <w:rFonts w:ascii="Arial" w:hAnsi="Arial" w:cs="Arial"/>
          <w:sz w:val="22"/>
          <w:szCs w:val="22"/>
        </w:rPr>
      </w:pPr>
    </w:p>
    <w:p w:rsidR="000F6DE2" w:rsidRDefault="000F6DE2" w:rsidP="00E175CD">
      <w:pPr>
        <w:spacing w:line="259" w:lineRule="auto"/>
        <w:jc w:val="both"/>
        <w:rPr>
          <w:rFonts w:ascii="Arial" w:hAnsi="Arial" w:cs="Arial"/>
          <w:sz w:val="22"/>
          <w:szCs w:val="22"/>
        </w:rPr>
      </w:pPr>
      <w:bookmarkStart w:id="0" w:name="_GoBack"/>
      <w:r w:rsidRPr="000F6DE2">
        <w:rPr>
          <w:rFonts w:ascii="Arial" w:hAnsi="Arial" w:cs="Arial"/>
          <w:sz w:val="22"/>
          <w:szCs w:val="22"/>
        </w:rPr>
        <w:t xml:space="preserve">Strategija predvideva izstop iz premoga, torej prenehanje obratovanja šestega bloka TEŠ in pridobivanja lignita, v regiji </w:t>
      </w:r>
      <w:r w:rsidRPr="000F6DE2">
        <w:rPr>
          <w:rFonts w:ascii="Arial" w:hAnsi="Arial" w:cs="Arial"/>
          <w:b/>
          <w:sz w:val="22"/>
          <w:szCs w:val="22"/>
        </w:rPr>
        <w:t>SAŠA</w:t>
      </w:r>
      <w:r w:rsidRPr="000F6DE2">
        <w:rPr>
          <w:rFonts w:ascii="Arial" w:hAnsi="Arial" w:cs="Arial"/>
          <w:sz w:val="22"/>
          <w:szCs w:val="22"/>
        </w:rPr>
        <w:t xml:space="preserve"> najpozneje v letu 2033. Scenarij spremlja ciljni nabor celovitih ukrepov, ki zajemajo vse elemente pravičnega prehoda in dejavno obravnava prehod v podnebno nevtralno gospodarstvo.</w:t>
      </w:r>
    </w:p>
    <w:bookmarkEnd w:id="0"/>
    <w:p w:rsidR="000F6DE2" w:rsidRDefault="000F6DE2" w:rsidP="00E175CD">
      <w:pPr>
        <w:spacing w:line="259" w:lineRule="auto"/>
        <w:jc w:val="both"/>
        <w:rPr>
          <w:rFonts w:ascii="Arial" w:hAnsi="Arial" w:cs="Arial"/>
          <w:sz w:val="22"/>
          <w:szCs w:val="22"/>
        </w:rPr>
      </w:pPr>
    </w:p>
    <w:p w:rsidR="000F6DE2" w:rsidRDefault="000F6DE2" w:rsidP="00E175CD">
      <w:pPr>
        <w:spacing w:line="259" w:lineRule="auto"/>
        <w:jc w:val="both"/>
        <w:rPr>
          <w:rFonts w:ascii="Arial" w:hAnsi="Arial" w:cs="Arial"/>
          <w:sz w:val="22"/>
          <w:szCs w:val="22"/>
        </w:rPr>
      </w:pPr>
      <w:r w:rsidRPr="000F6DE2">
        <w:rPr>
          <w:rFonts w:ascii="Arial" w:hAnsi="Arial" w:cs="Arial"/>
          <w:sz w:val="22"/>
          <w:szCs w:val="22"/>
        </w:rPr>
        <w:t xml:space="preserve">Strateški in operativni cilji pravičnega prehoda </w:t>
      </w:r>
      <w:r>
        <w:rPr>
          <w:rFonts w:ascii="Arial" w:hAnsi="Arial" w:cs="Arial"/>
          <w:sz w:val="22"/>
          <w:szCs w:val="22"/>
        </w:rPr>
        <w:t xml:space="preserve">premogovne </w:t>
      </w:r>
      <w:r w:rsidRPr="000F6DE2">
        <w:rPr>
          <w:rFonts w:ascii="Arial" w:hAnsi="Arial" w:cs="Arial"/>
          <w:sz w:val="22"/>
          <w:szCs w:val="22"/>
        </w:rPr>
        <w:t>regije</w:t>
      </w:r>
      <w:r>
        <w:rPr>
          <w:rFonts w:ascii="Arial" w:hAnsi="Arial" w:cs="Arial"/>
          <w:sz w:val="22"/>
          <w:szCs w:val="22"/>
        </w:rPr>
        <w:t xml:space="preserve"> SAŠA so zgrajeni okrog 5 stebrov: </w:t>
      </w:r>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t>Pravičen</w:t>
      </w:r>
      <w:proofErr w:type="spellEnd"/>
      <w:r w:rsidRPr="000F6DE2">
        <w:rPr>
          <w:rFonts w:ascii="Arial" w:hAnsi="Arial" w:cs="Arial"/>
        </w:rPr>
        <w:t xml:space="preserve"> </w:t>
      </w:r>
      <w:proofErr w:type="spellStart"/>
      <w:r w:rsidRPr="000F6DE2">
        <w:rPr>
          <w:rFonts w:ascii="Arial" w:hAnsi="Arial" w:cs="Arial"/>
        </w:rPr>
        <w:t>energetski</w:t>
      </w:r>
      <w:proofErr w:type="spellEnd"/>
      <w:r w:rsidRPr="000F6DE2">
        <w:rPr>
          <w:rFonts w:ascii="Arial" w:hAnsi="Arial" w:cs="Arial"/>
        </w:rPr>
        <w:t xml:space="preserve"> </w:t>
      </w:r>
      <w:proofErr w:type="spellStart"/>
      <w:r w:rsidRPr="000F6DE2">
        <w:rPr>
          <w:rFonts w:ascii="Arial" w:hAnsi="Arial" w:cs="Arial"/>
        </w:rPr>
        <w:t>prehod</w:t>
      </w:r>
      <w:proofErr w:type="spellEnd"/>
      <w:r w:rsidRPr="000F6DE2">
        <w:rPr>
          <w:rFonts w:ascii="Arial" w:hAnsi="Arial" w:cs="Arial"/>
        </w:rPr>
        <w:t xml:space="preserve"> </w:t>
      </w:r>
      <w:proofErr w:type="spellStart"/>
      <w:r w:rsidRPr="000F6DE2">
        <w:rPr>
          <w:rFonts w:ascii="Arial" w:hAnsi="Arial" w:cs="Arial"/>
        </w:rPr>
        <w:t>tako</w:t>
      </w:r>
      <w:proofErr w:type="spellEnd"/>
      <w:r w:rsidRPr="000F6DE2">
        <w:rPr>
          <w:rFonts w:ascii="Arial" w:hAnsi="Arial" w:cs="Arial"/>
        </w:rPr>
        <w:t xml:space="preserve"> </w:t>
      </w:r>
      <w:proofErr w:type="spellStart"/>
      <w:r w:rsidRPr="000F6DE2">
        <w:rPr>
          <w:rFonts w:ascii="Arial" w:hAnsi="Arial" w:cs="Arial"/>
        </w:rPr>
        <w:t>Slovenije</w:t>
      </w:r>
      <w:proofErr w:type="spellEnd"/>
      <w:r w:rsidRPr="000F6DE2">
        <w:rPr>
          <w:rFonts w:ascii="Arial" w:hAnsi="Arial" w:cs="Arial"/>
        </w:rPr>
        <w:t xml:space="preserve"> </w:t>
      </w:r>
      <w:proofErr w:type="spellStart"/>
      <w:r w:rsidRPr="000F6DE2">
        <w:rPr>
          <w:rFonts w:ascii="Arial" w:hAnsi="Arial" w:cs="Arial"/>
        </w:rPr>
        <w:t>kot</w:t>
      </w:r>
      <w:proofErr w:type="spellEnd"/>
      <w:r w:rsidRPr="000F6DE2">
        <w:rPr>
          <w:rFonts w:ascii="Arial" w:hAnsi="Arial" w:cs="Arial"/>
        </w:rPr>
        <w:t xml:space="preserve"> SAŠA </w:t>
      </w:r>
      <w:proofErr w:type="spellStart"/>
      <w:r w:rsidRPr="000F6DE2">
        <w:rPr>
          <w:rFonts w:ascii="Arial" w:hAnsi="Arial" w:cs="Arial"/>
        </w:rPr>
        <w:t>regije</w:t>
      </w:r>
      <w:proofErr w:type="spellEnd"/>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t>Postopna</w:t>
      </w:r>
      <w:proofErr w:type="spellEnd"/>
      <w:r w:rsidRPr="000F6DE2">
        <w:rPr>
          <w:rFonts w:ascii="Arial" w:hAnsi="Arial" w:cs="Arial"/>
        </w:rPr>
        <w:t xml:space="preserve"> </w:t>
      </w:r>
      <w:proofErr w:type="spellStart"/>
      <w:r w:rsidRPr="000F6DE2">
        <w:rPr>
          <w:rFonts w:ascii="Arial" w:hAnsi="Arial" w:cs="Arial"/>
        </w:rPr>
        <w:t>sanacija</w:t>
      </w:r>
      <w:proofErr w:type="spellEnd"/>
      <w:r w:rsidRPr="000F6DE2">
        <w:rPr>
          <w:rFonts w:ascii="Arial" w:hAnsi="Arial" w:cs="Arial"/>
        </w:rPr>
        <w:t xml:space="preserve"> in </w:t>
      </w:r>
      <w:proofErr w:type="spellStart"/>
      <w:r w:rsidRPr="000F6DE2">
        <w:rPr>
          <w:rFonts w:ascii="Arial" w:hAnsi="Arial" w:cs="Arial"/>
        </w:rPr>
        <w:t>revitalizacija</w:t>
      </w:r>
      <w:proofErr w:type="spellEnd"/>
      <w:r w:rsidRPr="000F6DE2">
        <w:rPr>
          <w:rFonts w:ascii="Arial" w:hAnsi="Arial" w:cs="Arial"/>
        </w:rPr>
        <w:t xml:space="preserve"> </w:t>
      </w:r>
      <w:proofErr w:type="spellStart"/>
      <w:r w:rsidRPr="000F6DE2">
        <w:rPr>
          <w:rFonts w:ascii="Arial" w:hAnsi="Arial" w:cs="Arial"/>
        </w:rPr>
        <w:t>prostorsko</w:t>
      </w:r>
      <w:proofErr w:type="spellEnd"/>
      <w:r w:rsidRPr="000F6DE2">
        <w:rPr>
          <w:rFonts w:ascii="Arial" w:hAnsi="Arial" w:cs="Arial"/>
        </w:rPr>
        <w:t xml:space="preserve"> in </w:t>
      </w:r>
      <w:proofErr w:type="spellStart"/>
      <w:r w:rsidRPr="000F6DE2">
        <w:rPr>
          <w:rFonts w:ascii="Arial" w:hAnsi="Arial" w:cs="Arial"/>
        </w:rPr>
        <w:t>okoljsko</w:t>
      </w:r>
      <w:proofErr w:type="spellEnd"/>
      <w:r w:rsidRPr="000F6DE2">
        <w:rPr>
          <w:rFonts w:ascii="Arial" w:hAnsi="Arial" w:cs="Arial"/>
        </w:rPr>
        <w:t xml:space="preserve"> </w:t>
      </w:r>
      <w:proofErr w:type="spellStart"/>
      <w:r w:rsidRPr="000F6DE2">
        <w:rPr>
          <w:rFonts w:ascii="Arial" w:hAnsi="Arial" w:cs="Arial"/>
        </w:rPr>
        <w:t>razvrednotenih</w:t>
      </w:r>
      <w:proofErr w:type="spellEnd"/>
      <w:r w:rsidRPr="000F6DE2">
        <w:rPr>
          <w:rFonts w:ascii="Arial" w:hAnsi="Arial" w:cs="Arial"/>
        </w:rPr>
        <w:t xml:space="preserve"> </w:t>
      </w:r>
      <w:proofErr w:type="spellStart"/>
      <w:r w:rsidRPr="000F6DE2">
        <w:rPr>
          <w:rFonts w:ascii="Arial" w:hAnsi="Arial" w:cs="Arial"/>
        </w:rPr>
        <w:t>območij</w:t>
      </w:r>
      <w:proofErr w:type="spellEnd"/>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t>Dodatna</w:t>
      </w:r>
      <w:proofErr w:type="spellEnd"/>
      <w:r w:rsidRPr="000F6DE2">
        <w:rPr>
          <w:rFonts w:ascii="Arial" w:hAnsi="Arial" w:cs="Arial"/>
        </w:rPr>
        <w:t xml:space="preserve"> </w:t>
      </w:r>
      <w:proofErr w:type="spellStart"/>
      <w:r w:rsidRPr="000F6DE2">
        <w:rPr>
          <w:rFonts w:ascii="Arial" w:hAnsi="Arial" w:cs="Arial"/>
        </w:rPr>
        <w:t>regionalna</w:t>
      </w:r>
      <w:proofErr w:type="spellEnd"/>
      <w:r w:rsidRPr="000F6DE2">
        <w:rPr>
          <w:rFonts w:ascii="Arial" w:hAnsi="Arial" w:cs="Arial"/>
        </w:rPr>
        <w:t xml:space="preserve"> </w:t>
      </w:r>
      <w:proofErr w:type="spellStart"/>
      <w:r w:rsidRPr="000F6DE2">
        <w:rPr>
          <w:rFonts w:ascii="Arial" w:hAnsi="Arial" w:cs="Arial"/>
        </w:rPr>
        <w:t>povezljivost</w:t>
      </w:r>
      <w:proofErr w:type="spellEnd"/>
      <w:r w:rsidRPr="000F6DE2">
        <w:rPr>
          <w:rFonts w:ascii="Arial" w:hAnsi="Arial" w:cs="Arial"/>
        </w:rPr>
        <w:t xml:space="preserve"> in </w:t>
      </w:r>
      <w:proofErr w:type="spellStart"/>
      <w:r w:rsidRPr="000F6DE2">
        <w:rPr>
          <w:rFonts w:ascii="Arial" w:hAnsi="Arial" w:cs="Arial"/>
        </w:rPr>
        <w:t>trajnostna</w:t>
      </w:r>
      <w:proofErr w:type="spellEnd"/>
      <w:r w:rsidRPr="000F6DE2">
        <w:rPr>
          <w:rFonts w:ascii="Arial" w:hAnsi="Arial" w:cs="Arial"/>
        </w:rPr>
        <w:t xml:space="preserve"> </w:t>
      </w:r>
      <w:proofErr w:type="spellStart"/>
      <w:r w:rsidRPr="000F6DE2">
        <w:rPr>
          <w:rFonts w:ascii="Arial" w:hAnsi="Arial" w:cs="Arial"/>
        </w:rPr>
        <w:t>mobilnost</w:t>
      </w:r>
      <w:proofErr w:type="spellEnd"/>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t>Trajnosten</w:t>
      </w:r>
      <w:proofErr w:type="spellEnd"/>
      <w:r w:rsidRPr="000F6DE2">
        <w:rPr>
          <w:rFonts w:ascii="Arial" w:hAnsi="Arial" w:cs="Arial"/>
        </w:rPr>
        <w:t xml:space="preserve">, </w:t>
      </w:r>
      <w:proofErr w:type="spellStart"/>
      <w:r w:rsidRPr="000F6DE2">
        <w:rPr>
          <w:rFonts w:ascii="Arial" w:hAnsi="Arial" w:cs="Arial"/>
        </w:rPr>
        <w:t>prožen</w:t>
      </w:r>
      <w:proofErr w:type="spellEnd"/>
      <w:r w:rsidRPr="000F6DE2">
        <w:rPr>
          <w:rFonts w:ascii="Arial" w:hAnsi="Arial" w:cs="Arial"/>
        </w:rPr>
        <w:t xml:space="preserve"> in </w:t>
      </w:r>
      <w:proofErr w:type="spellStart"/>
      <w:r w:rsidRPr="000F6DE2">
        <w:rPr>
          <w:rFonts w:ascii="Arial" w:hAnsi="Arial" w:cs="Arial"/>
        </w:rPr>
        <w:t>raznolik</w:t>
      </w:r>
      <w:proofErr w:type="spellEnd"/>
      <w:r w:rsidRPr="000F6DE2">
        <w:rPr>
          <w:rFonts w:ascii="Arial" w:hAnsi="Arial" w:cs="Arial"/>
        </w:rPr>
        <w:t xml:space="preserve"> </w:t>
      </w:r>
      <w:proofErr w:type="spellStart"/>
      <w:r w:rsidRPr="000F6DE2">
        <w:rPr>
          <w:rFonts w:ascii="Arial" w:hAnsi="Arial" w:cs="Arial"/>
        </w:rPr>
        <w:t>gospodarski</w:t>
      </w:r>
      <w:proofErr w:type="spellEnd"/>
      <w:r w:rsidRPr="000F6DE2">
        <w:rPr>
          <w:rFonts w:ascii="Arial" w:hAnsi="Arial" w:cs="Arial"/>
        </w:rPr>
        <w:t xml:space="preserve"> </w:t>
      </w:r>
      <w:proofErr w:type="spellStart"/>
      <w:r w:rsidRPr="000F6DE2">
        <w:rPr>
          <w:rFonts w:ascii="Arial" w:hAnsi="Arial" w:cs="Arial"/>
        </w:rPr>
        <w:t>razvoj</w:t>
      </w:r>
      <w:proofErr w:type="spellEnd"/>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t>Zaposlitve</w:t>
      </w:r>
      <w:proofErr w:type="spellEnd"/>
      <w:r w:rsidRPr="000F6DE2">
        <w:rPr>
          <w:rFonts w:ascii="Arial" w:hAnsi="Arial" w:cs="Arial"/>
        </w:rPr>
        <w:t xml:space="preserve"> in </w:t>
      </w:r>
      <w:proofErr w:type="spellStart"/>
      <w:r w:rsidRPr="000F6DE2">
        <w:rPr>
          <w:rFonts w:ascii="Arial" w:hAnsi="Arial" w:cs="Arial"/>
        </w:rPr>
        <w:t>veščine</w:t>
      </w:r>
      <w:proofErr w:type="spellEnd"/>
      <w:r w:rsidRPr="000F6DE2">
        <w:rPr>
          <w:rFonts w:ascii="Arial" w:hAnsi="Arial" w:cs="Arial"/>
        </w:rPr>
        <w:t xml:space="preserve"> </w:t>
      </w:r>
      <w:proofErr w:type="spellStart"/>
      <w:r w:rsidRPr="000F6DE2">
        <w:rPr>
          <w:rFonts w:ascii="Arial" w:hAnsi="Arial" w:cs="Arial"/>
        </w:rPr>
        <w:t>za</w:t>
      </w:r>
      <w:proofErr w:type="spellEnd"/>
      <w:r w:rsidRPr="000F6DE2">
        <w:rPr>
          <w:rFonts w:ascii="Arial" w:hAnsi="Arial" w:cs="Arial"/>
        </w:rPr>
        <w:t xml:space="preserve"> </w:t>
      </w:r>
      <w:proofErr w:type="spellStart"/>
      <w:r w:rsidRPr="000F6DE2">
        <w:rPr>
          <w:rFonts w:ascii="Arial" w:hAnsi="Arial" w:cs="Arial"/>
        </w:rPr>
        <w:t>vse</w:t>
      </w:r>
      <w:proofErr w:type="spellEnd"/>
    </w:p>
    <w:p w:rsidR="000F6DE2" w:rsidRDefault="000F6DE2" w:rsidP="000F6DE2">
      <w:pPr>
        <w:spacing w:line="259" w:lineRule="auto"/>
        <w:jc w:val="both"/>
        <w:rPr>
          <w:rFonts w:ascii="Arial" w:hAnsi="Arial" w:cs="Arial"/>
          <w:sz w:val="22"/>
          <w:szCs w:val="22"/>
        </w:rPr>
      </w:pPr>
    </w:p>
    <w:p w:rsidR="000F6DE2" w:rsidRPr="000F6DE2" w:rsidRDefault="000F6DE2" w:rsidP="000F6DE2">
      <w:pPr>
        <w:spacing w:line="259" w:lineRule="auto"/>
        <w:jc w:val="both"/>
        <w:rPr>
          <w:rFonts w:ascii="Arial" w:hAnsi="Arial" w:cs="Arial"/>
          <w:sz w:val="22"/>
          <w:szCs w:val="22"/>
        </w:rPr>
      </w:pPr>
      <w:r w:rsidRPr="000F6DE2">
        <w:rPr>
          <w:rFonts w:ascii="Arial" w:hAnsi="Arial" w:cs="Arial"/>
          <w:sz w:val="22"/>
          <w:szCs w:val="22"/>
        </w:rPr>
        <w:t>V okviru teh petih stebrov strategija določa 39 konkretnih ukrepov, in sicer na področju energetike (7), okolja (6), povezljivosti in mobilnosti (3), gospodarskega razvoja (10) in socialno-delovnih vprašanj (13).</w:t>
      </w:r>
    </w:p>
    <w:p w:rsidR="00E175CD" w:rsidRDefault="00E175CD" w:rsidP="00E175CD">
      <w:pPr>
        <w:spacing w:line="259" w:lineRule="auto"/>
        <w:jc w:val="both"/>
        <w:rPr>
          <w:rFonts w:ascii="Arial" w:hAnsi="Arial" w:cs="Arial"/>
          <w:sz w:val="22"/>
          <w:szCs w:val="22"/>
        </w:rPr>
      </w:pPr>
    </w:p>
    <w:p w:rsidR="000F6DE2" w:rsidRPr="00E175CD" w:rsidRDefault="000F6DE2" w:rsidP="00E175CD">
      <w:pPr>
        <w:spacing w:line="259" w:lineRule="auto"/>
        <w:jc w:val="both"/>
        <w:rPr>
          <w:rFonts w:ascii="Arial" w:hAnsi="Arial" w:cs="Arial"/>
          <w:sz w:val="22"/>
          <w:szCs w:val="22"/>
        </w:rPr>
      </w:pPr>
      <w:r w:rsidRPr="000F6DE2">
        <w:rPr>
          <w:rFonts w:ascii="Arial" w:hAnsi="Arial" w:cs="Arial"/>
          <w:sz w:val="22"/>
          <w:szCs w:val="22"/>
        </w:rPr>
        <w:t xml:space="preserve">Strategija za regijo </w:t>
      </w:r>
      <w:r w:rsidRPr="000F6DE2">
        <w:rPr>
          <w:rFonts w:ascii="Arial" w:hAnsi="Arial" w:cs="Arial"/>
          <w:b/>
          <w:sz w:val="22"/>
          <w:szCs w:val="22"/>
        </w:rPr>
        <w:t>Zasavje</w:t>
      </w:r>
      <w:r w:rsidRPr="000F6DE2">
        <w:rPr>
          <w:rFonts w:ascii="Arial" w:hAnsi="Arial" w:cs="Arial"/>
          <w:sz w:val="22"/>
          <w:szCs w:val="22"/>
        </w:rPr>
        <w:t xml:space="preserve"> predvideva uravnotežen razvojni scenarij, ki se osredotoča na skladen in osredotočen razvoj ključnih področij, ki omogočajo zaključek tranzicije skladno z načeli pravičnega prehoda, tj. kakovostnega življenjskega, naravnega in tudi poslovnega okolja. Poudarja razvoj socialne infrastrukture, zlasti gradnjo novih objektov (tudi vrtcev in šol) in stanovanj, oziroma stanovanjskih hiš za družine ter mlajšo in srednjo generacijo, več nastanitev za ranljive skupine in podporo regionalnemu gospodarstvu. Vključuje potrebo po razvoju podjetniške miselnosti in izboljšanju povezljivosti z drugimi regijami.</w:t>
      </w:r>
    </w:p>
    <w:p w:rsidR="008A55B6" w:rsidRPr="00E175CD" w:rsidRDefault="008A55B6" w:rsidP="00E175CD">
      <w:pPr>
        <w:spacing w:line="259" w:lineRule="auto"/>
        <w:jc w:val="both"/>
        <w:rPr>
          <w:rFonts w:ascii="Arial" w:hAnsi="Arial" w:cs="Arial"/>
          <w:sz w:val="22"/>
          <w:szCs w:val="22"/>
        </w:rPr>
      </w:pPr>
    </w:p>
    <w:p w:rsidR="000F6DE2" w:rsidRDefault="000F6DE2" w:rsidP="000F6DE2">
      <w:pPr>
        <w:spacing w:line="259" w:lineRule="auto"/>
        <w:jc w:val="both"/>
        <w:rPr>
          <w:rFonts w:ascii="Arial" w:hAnsi="Arial" w:cs="Arial"/>
          <w:sz w:val="22"/>
          <w:szCs w:val="22"/>
        </w:rPr>
      </w:pPr>
      <w:r w:rsidRPr="000F6DE2">
        <w:rPr>
          <w:rFonts w:ascii="Arial" w:hAnsi="Arial" w:cs="Arial"/>
          <w:sz w:val="22"/>
          <w:szCs w:val="22"/>
        </w:rPr>
        <w:t xml:space="preserve">Strateški in operativni cilji pravičnega prehoda </w:t>
      </w:r>
      <w:r>
        <w:rPr>
          <w:rFonts w:ascii="Arial" w:hAnsi="Arial" w:cs="Arial"/>
          <w:sz w:val="22"/>
          <w:szCs w:val="22"/>
        </w:rPr>
        <w:t xml:space="preserve">premogovne </w:t>
      </w:r>
      <w:r w:rsidRPr="000F6DE2">
        <w:rPr>
          <w:rFonts w:ascii="Arial" w:hAnsi="Arial" w:cs="Arial"/>
          <w:sz w:val="22"/>
          <w:szCs w:val="22"/>
        </w:rPr>
        <w:t>regije</w:t>
      </w:r>
      <w:r>
        <w:rPr>
          <w:rFonts w:ascii="Arial" w:hAnsi="Arial" w:cs="Arial"/>
          <w:sz w:val="22"/>
          <w:szCs w:val="22"/>
        </w:rPr>
        <w:t xml:space="preserve"> Zasavje so zgrajeni okrog 5 stebrov: </w:t>
      </w:r>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t>Kakovostno</w:t>
      </w:r>
      <w:proofErr w:type="spellEnd"/>
      <w:r w:rsidRPr="000F6DE2">
        <w:rPr>
          <w:rFonts w:ascii="Arial" w:hAnsi="Arial" w:cs="Arial"/>
        </w:rPr>
        <w:t xml:space="preserve"> </w:t>
      </w:r>
      <w:proofErr w:type="spellStart"/>
      <w:r w:rsidRPr="000F6DE2">
        <w:rPr>
          <w:rFonts w:ascii="Arial" w:hAnsi="Arial" w:cs="Arial"/>
        </w:rPr>
        <w:t>bivalno</w:t>
      </w:r>
      <w:proofErr w:type="spellEnd"/>
      <w:r w:rsidRPr="000F6DE2">
        <w:rPr>
          <w:rFonts w:ascii="Arial" w:hAnsi="Arial" w:cs="Arial"/>
        </w:rPr>
        <w:t xml:space="preserve"> in </w:t>
      </w:r>
      <w:proofErr w:type="spellStart"/>
      <w:r w:rsidRPr="000F6DE2">
        <w:rPr>
          <w:rFonts w:ascii="Arial" w:hAnsi="Arial" w:cs="Arial"/>
        </w:rPr>
        <w:t>naravno</w:t>
      </w:r>
      <w:proofErr w:type="spellEnd"/>
      <w:r w:rsidRPr="000F6DE2">
        <w:rPr>
          <w:rFonts w:ascii="Arial" w:hAnsi="Arial" w:cs="Arial"/>
        </w:rPr>
        <w:t xml:space="preserve"> </w:t>
      </w:r>
      <w:proofErr w:type="spellStart"/>
      <w:r w:rsidRPr="000F6DE2">
        <w:rPr>
          <w:rFonts w:ascii="Arial" w:hAnsi="Arial" w:cs="Arial"/>
        </w:rPr>
        <w:t>okolje</w:t>
      </w:r>
      <w:proofErr w:type="spellEnd"/>
      <w:r w:rsidRPr="000F6DE2">
        <w:rPr>
          <w:rFonts w:ascii="Arial" w:hAnsi="Arial" w:cs="Arial"/>
        </w:rPr>
        <w:t xml:space="preserve"> </w:t>
      </w:r>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t>Visoko</w:t>
      </w:r>
      <w:proofErr w:type="spellEnd"/>
      <w:r w:rsidRPr="000F6DE2">
        <w:rPr>
          <w:rFonts w:ascii="Arial" w:hAnsi="Arial" w:cs="Arial"/>
        </w:rPr>
        <w:t xml:space="preserve"> </w:t>
      </w:r>
      <w:proofErr w:type="spellStart"/>
      <w:r w:rsidRPr="000F6DE2">
        <w:rPr>
          <w:rFonts w:ascii="Arial" w:hAnsi="Arial" w:cs="Arial"/>
        </w:rPr>
        <w:t>motivirani</w:t>
      </w:r>
      <w:proofErr w:type="spellEnd"/>
      <w:r w:rsidRPr="000F6DE2">
        <w:rPr>
          <w:rFonts w:ascii="Arial" w:hAnsi="Arial" w:cs="Arial"/>
        </w:rPr>
        <w:t xml:space="preserve"> in </w:t>
      </w:r>
      <w:proofErr w:type="spellStart"/>
      <w:r w:rsidRPr="000F6DE2">
        <w:rPr>
          <w:rFonts w:ascii="Arial" w:hAnsi="Arial" w:cs="Arial"/>
        </w:rPr>
        <w:t>usposobljeni</w:t>
      </w:r>
      <w:proofErr w:type="spellEnd"/>
      <w:r w:rsidRPr="000F6DE2">
        <w:rPr>
          <w:rFonts w:ascii="Arial" w:hAnsi="Arial" w:cs="Arial"/>
        </w:rPr>
        <w:t xml:space="preserve"> </w:t>
      </w:r>
      <w:proofErr w:type="spellStart"/>
      <w:r w:rsidRPr="000F6DE2">
        <w:rPr>
          <w:rFonts w:ascii="Arial" w:hAnsi="Arial" w:cs="Arial"/>
        </w:rPr>
        <w:t>prebivalci</w:t>
      </w:r>
      <w:proofErr w:type="spellEnd"/>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t>Raznoliko</w:t>
      </w:r>
      <w:proofErr w:type="spellEnd"/>
      <w:r w:rsidRPr="000F6DE2">
        <w:rPr>
          <w:rFonts w:ascii="Arial" w:hAnsi="Arial" w:cs="Arial"/>
        </w:rPr>
        <w:t xml:space="preserve"> in </w:t>
      </w:r>
      <w:proofErr w:type="spellStart"/>
      <w:r w:rsidRPr="000F6DE2">
        <w:rPr>
          <w:rFonts w:ascii="Arial" w:hAnsi="Arial" w:cs="Arial"/>
        </w:rPr>
        <w:t>odporno</w:t>
      </w:r>
      <w:proofErr w:type="spellEnd"/>
      <w:r w:rsidRPr="000F6DE2">
        <w:rPr>
          <w:rFonts w:ascii="Arial" w:hAnsi="Arial" w:cs="Arial"/>
        </w:rPr>
        <w:t xml:space="preserve"> </w:t>
      </w:r>
      <w:proofErr w:type="spellStart"/>
      <w:r w:rsidRPr="000F6DE2">
        <w:rPr>
          <w:rFonts w:ascii="Arial" w:hAnsi="Arial" w:cs="Arial"/>
        </w:rPr>
        <w:t>lokalno</w:t>
      </w:r>
      <w:proofErr w:type="spellEnd"/>
      <w:r w:rsidRPr="000F6DE2">
        <w:rPr>
          <w:rFonts w:ascii="Arial" w:hAnsi="Arial" w:cs="Arial"/>
        </w:rPr>
        <w:t xml:space="preserve"> </w:t>
      </w:r>
      <w:proofErr w:type="spellStart"/>
      <w:r w:rsidRPr="000F6DE2">
        <w:rPr>
          <w:rFonts w:ascii="Arial" w:hAnsi="Arial" w:cs="Arial"/>
        </w:rPr>
        <w:t>gospodarstvo</w:t>
      </w:r>
      <w:proofErr w:type="spellEnd"/>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t>Izkoriščanje</w:t>
      </w:r>
      <w:proofErr w:type="spellEnd"/>
      <w:r w:rsidRPr="000F6DE2">
        <w:rPr>
          <w:rFonts w:ascii="Arial" w:hAnsi="Arial" w:cs="Arial"/>
        </w:rPr>
        <w:t xml:space="preserve"> </w:t>
      </w:r>
      <w:proofErr w:type="spellStart"/>
      <w:r w:rsidRPr="000F6DE2">
        <w:rPr>
          <w:rFonts w:ascii="Arial" w:hAnsi="Arial" w:cs="Arial"/>
        </w:rPr>
        <w:t>potenciala</w:t>
      </w:r>
      <w:proofErr w:type="spellEnd"/>
      <w:r w:rsidRPr="000F6DE2">
        <w:rPr>
          <w:rFonts w:ascii="Arial" w:hAnsi="Arial" w:cs="Arial"/>
        </w:rPr>
        <w:t xml:space="preserve"> OVE v </w:t>
      </w:r>
      <w:proofErr w:type="spellStart"/>
      <w:r w:rsidRPr="000F6DE2">
        <w:rPr>
          <w:rFonts w:ascii="Arial" w:hAnsi="Arial" w:cs="Arial"/>
        </w:rPr>
        <w:t>regiji</w:t>
      </w:r>
      <w:proofErr w:type="spellEnd"/>
    </w:p>
    <w:p w:rsidR="000F6DE2" w:rsidRDefault="000F6DE2" w:rsidP="000F6DE2">
      <w:pPr>
        <w:pStyle w:val="Odstavekseznama"/>
        <w:numPr>
          <w:ilvl w:val="0"/>
          <w:numId w:val="3"/>
        </w:numPr>
        <w:spacing w:line="259" w:lineRule="auto"/>
        <w:rPr>
          <w:rFonts w:ascii="Arial" w:hAnsi="Arial" w:cs="Arial"/>
        </w:rPr>
      </w:pPr>
      <w:proofErr w:type="spellStart"/>
      <w:r w:rsidRPr="000F6DE2">
        <w:rPr>
          <w:rFonts w:ascii="Arial" w:hAnsi="Arial" w:cs="Arial"/>
        </w:rPr>
        <w:lastRenderedPageBreak/>
        <w:t>Izboljšana</w:t>
      </w:r>
      <w:proofErr w:type="spellEnd"/>
      <w:r w:rsidRPr="000F6DE2">
        <w:rPr>
          <w:rFonts w:ascii="Arial" w:hAnsi="Arial" w:cs="Arial"/>
        </w:rPr>
        <w:t xml:space="preserve"> </w:t>
      </w:r>
      <w:proofErr w:type="spellStart"/>
      <w:r w:rsidRPr="000F6DE2">
        <w:rPr>
          <w:rFonts w:ascii="Arial" w:hAnsi="Arial" w:cs="Arial"/>
        </w:rPr>
        <w:t>povezljivost</w:t>
      </w:r>
      <w:proofErr w:type="spellEnd"/>
      <w:r w:rsidRPr="000F6DE2">
        <w:rPr>
          <w:rFonts w:ascii="Arial" w:hAnsi="Arial" w:cs="Arial"/>
        </w:rPr>
        <w:t xml:space="preserve"> </w:t>
      </w:r>
      <w:proofErr w:type="spellStart"/>
      <w:r w:rsidRPr="000F6DE2">
        <w:rPr>
          <w:rFonts w:ascii="Arial" w:hAnsi="Arial" w:cs="Arial"/>
        </w:rPr>
        <w:t>regije</w:t>
      </w:r>
      <w:proofErr w:type="spellEnd"/>
    </w:p>
    <w:p w:rsidR="000F6DE2" w:rsidRDefault="000F6DE2" w:rsidP="000F6DE2">
      <w:pPr>
        <w:spacing w:line="259" w:lineRule="auto"/>
        <w:jc w:val="both"/>
        <w:rPr>
          <w:rFonts w:ascii="Arial" w:hAnsi="Arial" w:cs="Arial"/>
          <w:sz w:val="22"/>
          <w:szCs w:val="22"/>
        </w:rPr>
      </w:pPr>
    </w:p>
    <w:p w:rsidR="000F6DE2" w:rsidRPr="000F6DE2" w:rsidRDefault="000F6DE2" w:rsidP="000F6DE2">
      <w:pPr>
        <w:spacing w:line="259" w:lineRule="auto"/>
        <w:jc w:val="both"/>
        <w:rPr>
          <w:rFonts w:ascii="Arial" w:hAnsi="Arial" w:cs="Arial"/>
          <w:sz w:val="22"/>
          <w:szCs w:val="22"/>
        </w:rPr>
      </w:pPr>
      <w:r w:rsidRPr="000F6DE2">
        <w:rPr>
          <w:rFonts w:ascii="Arial" w:hAnsi="Arial" w:cs="Arial"/>
          <w:sz w:val="22"/>
          <w:szCs w:val="22"/>
        </w:rPr>
        <w:t>V okviru teh petih stebrov strategija določa 39 konkretnih ukrepov, in sicer na področju energetike (</w:t>
      </w:r>
      <w:r>
        <w:rPr>
          <w:rFonts w:ascii="Arial" w:hAnsi="Arial" w:cs="Arial"/>
          <w:sz w:val="22"/>
          <w:szCs w:val="22"/>
        </w:rPr>
        <w:t>5</w:t>
      </w:r>
      <w:r w:rsidRPr="000F6DE2">
        <w:rPr>
          <w:rFonts w:ascii="Arial" w:hAnsi="Arial" w:cs="Arial"/>
          <w:sz w:val="22"/>
          <w:szCs w:val="22"/>
        </w:rPr>
        <w:t>), okolja (6), povezljivosti in mobilnosti (</w:t>
      </w:r>
      <w:r>
        <w:rPr>
          <w:rFonts w:ascii="Arial" w:hAnsi="Arial" w:cs="Arial"/>
          <w:sz w:val="22"/>
          <w:szCs w:val="22"/>
        </w:rPr>
        <w:t>2</w:t>
      </w:r>
      <w:r w:rsidRPr="000F6DE2">
        <w:rPr>
          <w:rFonts w:ascii="Arial" w:hAnsi="Arial" w:cs="Arial"/>
          <w:sz w:val="22"/>
          <w:szCs w:val="22"/>
        </w:rPr>
        <w:t>), gospodarskega razvoja (10) in socialno-delovnih vprašanj (</w:t>
      </w:r>
      <w:r>
        <w:rPr>
          <w:rFonts w:ascii="Arial" w:hAnsi="Arial" w:cs="Arial"/>
          <w:sz w:val="22"/>
          <w:szCs w:val="22"/>
        </w:rPr>
        <w:t>6</w:t>
      </w:r>
      <w:r w:rsidRPr="000F6DE2">
        <w:rPr>
          <w:rFonts w:ascii="Arial" w:hAnsi="Arial" w:cs="Arial"/>
          <w:sz w:val="22"/>
          <w:szCs w:val="22"/>
        </w:rPr>
        <w:t>).</w:t>
      </w:r>
    </w:p>
    <w:p w:rsidR="00784E57" w:rsidRDefault="00784E57" w:rsidP="00E175CD">
      <w:pPr>
        <w:jc w:val="both"/>
        <w:rPr>
          <w:rFonts w:ascii="Arial" w:hAnsi="Arial" w:cs="Arial"/>
          <w:sz w:val="22"/>
          <w:szCs w:val="22"/>
        </w:rPr>
      </w:pPr>
    </w:p>
    <w:p w:rsidR="000F6DE2" w:rsidRDefault="000F6DE2" w:rsidP="00E175CD">
      <w:pPr>
        <w:jc w:val="both"/>
        <w:rPr>
          <w:rFonts w:ascii="Arial" w:hAnsi="Arial" w:cs="Arial"/>
          <w:sz w:val="22"/>
          <w:szCs w:val="22"/>
        </w:rPr>
      </w:pPr>
      <w:r>
        <w:rPr>
          <w:rFonts w:ascii="Arial" w:hAnsi="Arial" w:cs="Arial"/>
          <w:sz w:val="22"/>
          <w:szCs w:val="22"/>
        </w:rPr>
        <w:t xml:space="preserve">Strategija v skladu z </w:t>
      </w:r>
      <w:proofErr w:type="spellStart"/>
      <w:r>
        <w:rPr>
          <w:rFonts w:ascii="Arial" w:hAnsi="Arial" w:cs="Arial"/>
          <w:sz w:val="22"/>
          <w:szCs w:val="22"/>
        </w:rPr>
        <w:t>okoljskim</w:t>
      </w:r>
      <w:proofErr w:type="spellEnd"/>
      <w:r>
        <w:rPr>
          <w:rFonts w:ascii="Arial" w:hAnsi="Arial" w:cs="Arial"/>
          <w:sz w:val="22"/>
          <w:szCs w:val="22"/>
        </w:rPr>
        <w:t xml:space="preserve"> poročilom določa tudi dodatne omilitvene ukrepe in priporočila za izvajanje strategije v obeh premogovnih regijah. </w:t>
      </w:r>
    </w:p>
    <w:p w:rsidR="000F6DE2" w:rsidRDefault="000F6DE2" w:rsidP="00E175CD">
      <w:pPr>
        <w:jc w:val="both"/>
        <w:rPr>
          <w:rFonts w:ascii="Arial" w:hAnsi="Arial" w:cs="Arial"/>
          <w:sz w:val="22"/>
          <w:szCs w:val="22"/>
        </w:rPr>
      </w:pPr>
    </w:p>
    <w:p w:rsidR="000F6DE2" w:rsidRDefault="000F6DE2" w:rsidP="00E175CD">
      <w:pPr>
        <w:jc w:val="both"/>
        <w:rPr>
          <w:rFonts w:ascii="Arial" w:hAnsi="Arial" w:cs="Arial"/>
          <w:sz w:val="22"/>
          <w:szCs w:val="22"/>
        </w:rPr>
      </w:pPr>
      <w:r>
        <w:rPr>
          <w:rFonts w:ascii="Arial" w:hAnsi="Arial" w:cs="Arial"/>
          <w:sz w:val="22"/>
          <w:szCs w:val="22"/>
        </w:rPr>
        <w:t>Strategija opredeljuje tudi vse možne vire financiranja za posamezne elemente pravičnega prehoda. Najpomembnejši sklopi bodo zagotovo: financiranje zapiranja Premogovnika Velenje, družbeno in gospodarsko prestrukturiranje ter upravljanje pravičnega prehoda.</w:t>
      </w:r>
      <w:r w:rsidR="00942080">
        <w:rPr>
          <w:rFonts w:ascii="Arial" w:hAnsi="Arial" w:cs="Arial"/>
          <w:sz w:val="22"/>
          <w:szCs w:val="22"/>
        </w:rPr>
        <w:t xml:space="preserve"> </w:t>
      </w:r>
    </w:p>
    <w:p w:rsidR="000F6DE2" w:rsidRDefault="000F6DE2" w:rsidP="00E175CD">
      <w:pPr>
        <w:jc w:val="both"/>
        <w:rPr>
          <w:rFonts w:ascii="Arial" w:hAnsi="Arial" w:cs="Arial"/>
          <w:sz w:val="22"/>
          <w:szCs w:val="22"/>
        </w:rPr>
      </w:pPr>
    </w:p>
    <w:p w:rsidR="000F6DE2" w:rsidRPr="00E175CD" w:rsidRDefault="000F6DE2" w:rsidP="00E175CD">
      <w:pPr>
        <w:jc w:val="both"/>
        <w:rPr>
          <w:rFonts w:ascii="Arial" w:hAnsi="Arial" w:cs="Arial"/>
          <w:sz w:val="22"/>
          <w:szCs w:val="22"/>
        </w:rPr>
      </w:pPr>
      <w:r>
        <w:rPr>
          <w:rFonts w:ascii="Arial" w:hAnsi="Arial" w:cs="Arial"/>
          <w:sz w:val="22"/>
          <w:szCs w:val="22"/>
        </w:rPr>
        <w:t xml:space="preserve">Strategija določa spremljanje napredka pri izvajanju, in sicer skozi mehanizem vmesnih pregledov, ki se bodo delali vsake tri leta. V primeru bistveno spremenjenih zunanjih okoliščin, ki so bile upoštevane pri pripravi strategije, se lahko z izrednim pregledom ponovno preveri tudi letnica izstopa iz premoga. Mejniki za spremljanje izvajanja </w:t>
      </w:r>
      <w:r w:rsidR="00942080">
        <w:rPr>
          <w:rFonts w:ascii="Arial" w:hAnsi="Arial" w:cs="Arial"/>
          <w:sz w:val="22"/>
          <w:szCs w:val="22"/>
        </w:rPr>
        <w:t xml:space="preserve">strategije </w:t>
      </w:r>
      <w:r>
        <w:rPr>
          <w:rFonts w:ascii="Arial" w:hAnsi="Arial" w:cs="Arial"/>
          <w:sz w:val="22"/>
          <w:szCs w:val="22"/>
        </w:rPr>
        <w:t xml:space="preserve">so ciljno postavljeni v obdobje po prenehanju rabe premoga, z namenom, da se </w:t>
      </w:r>
      <w:r w:rsidR="00942080">
        <w:rPr>
          <w:rFonts w:ascii="Arial" w:hAnsi="Arial" w:cs="Arial"/>
          <w:sz w:val="22"/>
          <w:szCs w:val="22"/>
        </w:rPr>
        <w:t>dolgoročno zagotovo uspešno prestrukturiranje.</w:t>
      </w:r>
    </w:p>
    <w:p w:rsidR="00784E57" w:rsidRPr="00E175CD" w:rsidRDefault="00784E57" w:rsidP="00E175CD">
      <w:pPr>
        <w:jc w:val="both"/>
        <w:rPr>
          <w:rFonts w:ascii="Arial" w:hAnsi="Arial" w:cs="Arial"/>
          <w:sz w:val="22"/>
          <w:szCs w:val="22"/>
        </w:rPr>
      </w:pPr>
    </w:p>
    <w:p w:rsidR="00784E57" w:rsidRPr="00E175CD" w:rsidRDefault="00784E57" w:rsidP="00E175CD">
      <w:pPr>
        <w:jc w:val="both"/>
        <w:rPr>
          <w:rFonts w:ascii="Arial" w:hAnsi="Arial" w:cs="Arial"/>
          <w:sz w:val="22"/>
          <w:szCs w:val="22"/>
        </w:rPr>
      </w:pPr>
    </w:p>
    <w:p w:rsidR="005A78BA" w:rsidRPr="00E175CD" w:rsidRDefault="005A78BA" w:rsidP="00E175CD">
      <w:pPr>
        <w:jc w:val="both"/>
        <w:rPr>
          <w:rFonts w:ascii="Arial" w:hAnsi="Arial" w:cs="Arial"/>
          <w:sz w:val="22"/>
          <w:szCs w:val="22"/>
        </w:rPr>
      </w:pPr>
    </w:p>
    <w:sectPr w:rsidR="005A78BA" w:rsidRPr="00E17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7F"/>
    <w:multiLevelType w:val="multilevel"/>
    <w:tmpl w:val="A4EA2656"/>
    <w:lvl w:ilvl="0">
      <w:start w:val="1"/>
      <w:numFmt w:val="decimal"/>
      <w:lvlText w:val="%1."/>
      <w:lvlJc w:val="left"/>
      <w:pPr>
        <w:ind w:left="360" w:hanging="360"/>
      </w:pPr>
      <w:rPr>
        <w:rFonts w:hint="default"/>
      </w:rPr>
    </w:lvl>
    <w:lvl w:ilvl="1">
      <w:start w:val="2"/>
      <w:numFmt w:val="decimal"/>
      <w:lvlText w:val="%1.%2"/>
      <w:lvlJc w:val="left"/>
      <w:pPr>
        <w:ind w:left="660" w:hanging="480"/>
      </w:pPr>
    </w:lvl>
    <w:lvl w:ilvl="2">
      <w:start w:val="1"/>
      <w:numFmt w:val="decimal"/>
      <w:lvlText w:val="%1.%2.%3"/>
      <w:lvlJc w:val="left"/>
      <w:pPr>
        <w:ind w:left="1080" w:hanging="720"/>
      </w:p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97631CF"/>
    <w:multiLevelType w:val="hybridMultilevel"/>
    <w:tmpl w:val="8376B6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6317A2E"/>
    <w:multiLevelType w:val="hybridMultilevel"/>
    <w:tmpl w:val="0164A5EE"/>
    <w:lvl w:ilvl="0" w:tplc="7B504E0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C9"/>
    <w:rsid w:val="00023875"/>
    <w:rsid w:val="0008655D"/>
    <w:rsid w:val="000D1229"/>
    <w:rsid w:val="000E3B88"/>
    <w:rsid w:val="000F6DE2"/>
    <w:rsid w:val="00110078"/>
    <w:rsid w:val="00121D00"/>
    <w:rsid w:val="001B0042"/>
    <w:rsid w:val="001B5D11"/>
    <w:rsid w:val="001C5C66"/>
    <w:rsid w:val="001C7EB8"/>
    <w:rsid w:val="001D6CE0"/>
    <w:rsid w:val="001E0591"/>
    <w:rsid w:val="001F1DCA"/>
    <w:rsid w:val="001F22C4"/>
    <w:rsid w:val="001F6F97"/>
    <w:rsid w:val="002650E2"/>
    <w:rsid w:val="002D5FA9"/>
    <w:rsid w:val="002E584F"/>
    <w:rsid w:val="00302254"/>
    <w:rsid w:val="00311F7D"/>
    <w:rsid w:val="003234EB"/>
    <w:rsid w:val="003270C9"/>
    <w:rsid w:val="00333CB1"/>
    <w:rsid w:val="00364120"/>
    <w:rsid w:val="003A16CD"/>
    <w:rsid w:val="003B7207"/>
    <w:rsid w:val="003D32C1"/>
    <w:rsid w:val="003F0457"/>
    <w:rsid w:val="003F2D8B"/>
    <w:rsid w:val="0040518D"/>
    <w:rsid w:val="004102AF"/>
    <w:rsid w:val="00414C28"/>
    <w:rsid w:val="004325C4"/>
    <w:rsid w:val="00437533"/>
    <w:rsid w:val="004B121A"/>
    <w:rsid w:val="0051206E"/>
    <w:rsid w:val="00520498"/>
    <w:rsid w:val="00521EE7"/>
    <w:rsid w:val="00546764"/>
    <w:rsid w:val="0057153E"/>
    <w:rsid w:val="005A78BA"/>
    <w:rsid w:val="006066D2"/>
    <w:rsid w:val="00613462"/>
    <w:rsid w:val="006462E6"/>
    <w:rsid w:val="00691666"/>
    <w:rsid w:val="006C010E"/>
    <w:rsid w:val="006C0AE0"/>
    <w:rsid w:val="00741821"/>
    <w:rsid w:val="00744D7D"/>
    <w:rsid w:val="0077463A"/>
    <w:rsid w:val="00784E57"/>
    <w:rsid w:val="007B0A16"/>
    <w:rsid w:val="007B0DB8"/>
    <w:rsid w:val="007C4F8B"/>
    <w:rsid w:val="007D1C33"/>
    <w:rsid w:val="0081659D"/>
    <w:rsid w:val="00837BD0"/>
    <w:rsid w:val="008537F6"/>
    <w:rsid w:val="00867BED"/>
    <w:rsid w:val="008A55B6"/>
    <w:rsid w:val="008B6B2F"/>
    <w:rsid w:val="008D3FA9"/>
    <w:rsid w:val="008E6358"/>
    <w:rsid w:val="00916503"/>
    <w:rsid w:val="00917149"/>
    <w:rsid w:val="00942080"/>
    <w:rsid w:val="00956EFB"/>
    <w:rsid w:val="00970378"/>
    <w:rsid w:val="00972764"/>
    <w:rsid w:val="00972A18"/>
    <w:rsid w:val="009A02C1"/>
    <w:rsid w:val="009C3052"/>
    <w:rsid w:val="009D3A15"/>
    <w:rsid w:val="009E354A"/>
    <w:rsid w:val="009E66FE"/>
    <w:rsid w:val="00A03EE0"/>
    <w:rsid w:val="00A23BB2"/>
    <w:rsid w:val="00A35C08"/>
    <w:rsid w:val="00A44338"/>
    <w:rsid w:val="00A4586C"/>
    <w:rsid w:val="00A52C17"/>
    <w:rsid w:val="00A56EA6"/>
    <w:rsid w:val="00A70DE1"/>
    <w:rsid w:val="00A770F4"/>
    <w:rsid w:val="00AE08E3"/>
    <w:rsid w:val="00AE589C"/>
    <w:rsid w:val="00AF3AC6"/>
    <w:rsid w:val="00B03587"/>
    <w:rsid w:val="00B04490"/>
    <w:rsid w:val="00B32173"/>
    <w:rsid w:val="00B54693"/>
    <w:rsid w:val="00B658B5"/>
    <w:rsid w:val="00B9123F"/>
    <w:rsid w:val="00BB11E2"/>
    <w:rsid w:val="00BB2B00"/>
    <w:rsid w:val="00C01E84"/>
    <w:rsid w:val="00C16016"/>
    <w:rsid w:val="00C16FF2"/>
    <w:rsid w:val="00C4554E"/>
    <w:rsid w:val="00CC3675"/>
    <w:rsid w:val="00CC7B33"/>
    <w:rsid w:val="00D41681"/>
    <w:rsid w:val="00D616A3"/>
    <w:rsid w:val="00DC020E"/>
    <w:rsid w:val="00E12363"/>
    <w:rsid w:val="00E175CD"/>
    <w:rsid w:val="00E31F30"/>
    <w:rsid w:val="00E93C93"/>
    <w:rsid w:val="00EC42A7"/>
    <w:rsid w:val="00EE4011"/>
    <w:rsid w:val="00F15E9D"/>
    <w:rsid w:val="00F56C7F"/>
    <w:rsid w:val="00F660EA"/>
    <w:rsid w:val="00FE1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AEFBF4-50CF-4BCA-B070-233AB02F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List1,List11,List111,1st level - Bullet List Paragraph,List Paragraph1,Lettre d'introduction,Paragrafo elenco,Normal bullet 2,Medium Grid 1 - Accent 21,List Paragraph11,FooterText,Paragraphe de liste1,Bullet list,Bullet List Paragraph"/>
    <w:basedOn w:val="Navaden"/>
    <w:link w:val="OdstavekseznamaZnak"/>
    <w:uiPriority w:val="34"/>
    <w:qFormat/>
    <w:rsid w:val="008A55B6"/>
    <w:pPr>
      <w:ind w:left="720"/>
      <w:jc w:val="both"/>
    </w:pPr>
    <w:rPr>
      <w:rFonts w:ascii="Calibri" w:eastAsiaTheme="minorHAnsi" w:hAnsi="Calibri" w:cs="Calibri"/>
      <w:sz w:val="22"/>
      <w:szCs w:val="22"/>
      <w:lang w:val="en-US" w:eastAsia="en-US"/>
    </w:rPr>
  </w:style>
  <w:style w:type="character" w:customStyle="1" w:styleId="OdstavekseznamaZnak">
    <w:name w:val="Odstavek seznama Znak"/>
    <w:aliases w:val="List1 Znak,List11 Znak,List111 Znak,1st level - Bullet List Paragraph Znak,List Paragraph1 Znak,Lettre d'introduction Znak,Paragrafo elenco Znak,Normal bullet 2 Znak,Medium Grid 1 - Accent 21 Znak,List Paragraph11 Znak"/>
    <w:basedOn w:val="Privzetapisavaodstavka"/>
    <w:link w:val="Odstavekseznama"/>
    <w:uiPriority w:val="34"/>
    <w:qFormat/>
    <w:rsid w:val="008A55B6"/>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6727</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 Lajovic</dc:creator>
  <cp:keywords/>
  <dc:description/>
  <cp:lastModifiedBy>Julija Humar</cp:lastModifiedBy>
  <cp:revision>2</cp:revision>
  <dcterms:created xsi:type="dcterms:W3CDTF">2022-01-18T15:41:00Z</dcterms:created>
  <dcterms:modified xsi:type="dcterms:W3CDTF">2022-01-18T15:41:00Z</dcterms:modified>
</cp:coreProperties>
</file>