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1FA4A69" w14:textId="77777777" w:rsidR="00B44232" w:rsidRPr="002F6AB7" w:rsidRDefault="0091531C" w:rsidP="00B44232">
      <w:pPr>
        <w:pStyle w:val="Header"/>
        <w:ind w:hanging="840"/>
        <w:jc w:val="left"/>
        <w:rPr>
          <w:szCs w:val="20"/>
          <w:lang w:val="en-GB"/>
        </w:rPr>
      </w:pPr>
      <w:r w:rsidRPr="00D85090">
        <w:rPr>
          <w:noProof/>
          <w:lang w:eastAsia="sl-SI"/>
        </w:rPr>
        <w:drawing>
          <wp:inline distT="0" distB="0" distL="0" distR="0" wp14:anchorId="1D5374DE" wp14:editId="25B7262B">
            <wp:extent cx="2363611" cy="476250"/>
            <wp:effectExtent l="0" t="0" r="0" b="0"/>
            <wp:docPr id="100013" name="Picture 100013" descr="The MFA logo."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8"/>
                    <a:stretch>
                      <a:fillRect/>
                    </a:stretch>
                  </pic:blipFill>
                  <pic:spPr>
                    <a:xfrm>
                      <a:off x="0" y="0"/>
                      <a:ext cx="2363611" cy="476250"/>
                    </a:xfrm>
                    <a:prstGeom prst="rect">
                      <a:avLst/>
                    </a:prstGeom>
                  </pic:spPr>
                </pic:pic>
              </a:graphicData>
            </a:graphic>
          </wp:inline>
        </w:drawing>
      </w:r>
      <w:r w:rsidRPr="00D85090">
        <w:rPr>
          <w:noProof/>
        </w:rPr>
        <w:t xml:space="preserve"> </w:t>
      </w:r>
    </w:p>
    <w:p w14:paraId="5A059BDF" w14:textId="77777777" w:rsidR="00B44232" w:rsidRPr="002F6AB7" w:rsidRDefault="0091531C" w:rsidP="00B44232">
      <w:pPr>
        <w:pStyle w:val="NoSpacing"/>
        <w:rPr>
          <w:rFonts w:ascii="Republika" w:hAnsi="Republika"/>
          <w:sz w:val="20"/>
          <w:szCs w:val="20"/>
          <w:lang w:val="en-GB"/>
        </w:rPr>
      </w:pPr>
      <w:r w:rsidRPr="002F6AB7">
        <w:rPr>
          <w:rFonts w:ascii="Republika" w:hAnsi="Republika"/>
          <w:sz w:val="20"/>
          <w:szCs w:val="20"/>
          <w:lang w:val="en-GB"/>
        </w:rPr>
        <w:t xml:space="preserve">DIRECTORATE FOR MULTILATERAL AFFAIRS </w:t>
      </w:r>
    </w:p>
    <w:p w14:paraId="2439B246" w14:textId="77777777" w:rsidR="00B44232" w:rsidRPr="002F6AB7" w:rsidRDefault="0091531C" w:rsidP="00B44232">
      <w:pPr>
        <w:pStyle w:val="NoSpacing"/>
        <w:rPr>
          <w:rFonts w:ascii="Republika" w:hAnsi="Republika" w:cs="Arial"/>
          <w:sz w:val="20"/>
          <w:szCs w:val="20"/>
          <w:lang w:val="en-GB"/>
        </w:rPr>
      </w:pPr>
      <w:r w:rsidRPr="002F6AB7">
        <w:rPr>
          <w:rFonts w:ascii="Republika" w:hAnsi="Republika"/>
          <w:sz w:val="20"/>
          <w:szCs w:val="20"/>
          <w:lang w:val="en-GB"/>
        </w:rPr>
        <w:t>AND DEVELOPMENT COOPERATION</w:t>
      </w:r>
    </w:p>
    <w:p w14:paraId="5478EF5C" w14:textId="77777777" w:rsidR="00B44232" w:rsidRPr="002F6AB7" w:rsidRDefault="0091531C" w:rsidP="00B44232">
      <w:pPr>
        <w:pStyle w:val="Header"/>
        <w:tabs>
          <w:tab w:val="left" w:pos="5112"/>
        </w:tabs>
        <w:spacing w:line="240" w:lineRule="exact"/>
        <w:rPr>
          <w:rFonts w:ascii="Republika" w:hAnsi="Republika" w:cs="Arial"/>
          <w:szCs w:val="20"/>
          <w:lang w:val="en-GB"/>
        </w:rPr>
      </w:pPr>
      <w:r w:rsidRPr="002F6AB7">
        <w:rPr>
          <w:rFonts w:ascii="Republika" w:hAnsi="Republika" w:cs="Arial"/>
          <w:szCs w:val="20"/>
          <w:lang w:val="en-GB"/>
        </w:rPr>
        <w:t>Department for Development Cooperation and Humanitarian Assistance</w:t>
      </w:r>
    </w:p>
    <w:p w14:paraId="3E8384A6" w14:textId="77777777" w:rsidR="00B44232" w:rsidRDefault="00B44232" w:rsidP="00B44232">
      <w:pPr>
        <w:rPr>
          <w:rFonts w:cs="Arial"/>
          <w:szCs w:val="20"/>
          <w:lang w:val="en-GB"/>
        </w:rPr>
      </w:pPr>
    </w:p>
    <w:p w14:paraId="5684A12E" w14:textId="77777777" w:rsidR="00B44232" w:rsidRDefault="00B44232" w:rsidP="00B44232">
      <w:pPr>
        <w:rPr>
          <w:rFonts w:cs="Arial"/>
          <w:szCs w:val="20"/>
          <w:lang w:val="en-GB"/>
        </w:rPr>
      </w:pPr>
    </w:p>
    <w:p w14:paraId="3928497D" w14:textId="77777777" w:rsidR="008615B4" w:rsidRDefault="0091531C" w:rsidP="008615B4">
      <w:pPr>
        <w:spacing w:after="600"/>
        <w:rPr>
          <w:rFonts w:cs="Arial"/>
          <w:szCs w:val="20"/>
          <w:lang w:val="en-GB"/>
        </w:rPr>
      </w:pPr>
      <w:r>
        <w:rPr>
          <w:noProof/>
          <w:lang w:eastAsia="sl-SI"/>
        </w:rPr>
        <w:drawing>
          <wp:inline distT="0" distB="0" distL="0" distR="0" wp14:anchorId="7E3FF7F7" wp14:editId="7718AF58">
            <wp:extent cx="1334770" cy="514350"/>
            <wp:effectExtent l="0" t="0" r="0" b="0"/>
            <wp:docPr id="2" name="Picture 2" descr="Slovenian Aid logo"/>
            <wp:cNvGraphicFramePr/>
            <a:graphic xmlns:a="http://schemas.openxmlformats.org/drawingml/2006/main">
              <a:graphicData uri="http://schemas.openxmlformats.org/drawingml/2006/picture">
                <pic:pic xmlns:pic="http://schemas.openxmlformats.org/drawingml/2006/picture">
                  <pic:nvPicPr>
                    <pic:cNvPr id="1220846871" name="Picture 2" descr="Slovenian Aid logo"/>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34770" cy="514350"/>
                    </a:xfrm>
                    <a:prstGeom prst="rect">
                      <a:avLst/>
                    </a:prstGeom>
                    <a:noFill/>
                    <a:ln>
                      <a:noFill/>
                    </a:ln>
                  </pic:spPr>
                </pic:pic>
              </a:graphicData>
            </a:graphic>
          </wp:inline>
        </w:drawing>
      </w:r>
    </w:p>
    <w:p w14:paraId="599809D7" w14:textId="77777777" w:rsidR="00B44232" w:rsidRDefault="00B44232" w:rsidP="00FE13E8">
      <w:pPr>
        <w:rPr>
          <w:rFonts w:eastAsia="Calibri" w:cs="Arial"/>
          <w:b/>
          <w:color w:val="4F81BD"/>
          <w:szCs w:val="20"/>
          <w:lang w:val="en-GB"/>
        </w:rPr>
        <w:sectPr w:rsidR="00B44232" w:rsidSect="00697A02">
          <w:headerReference w:type="default" r:id="rId10"/>
          <w:footerReference w:type="default" r:id="rId11"/>
          <w:footerReference w:type="first" r:id="rId12"/>
          <w:footnotePr>
            <w:pos w:val="beneathText"/>
          </w:footnotePr>
          <w:pgSz w:w="11905" w:h="16837" w:code="9"/>
          <w:pgMar w:top="851" w:right="1415" w:bottom="1134" w:left="1418" w:header="669" w:footer="794" w:gutter="0"/>
          <w:cols w:num="2" w:space="568" w:equalWidth="0">
            <w:col w:w="6521" w:space="568"/>
            <w:col w:w="1983"/>
          </w:cols>
          <w:titlePg/>
          <w:docGrid w:linePitch="360"/>
        </w:sectPr>
      </w:pPr>
    </w:p>
    <w:p w14:paraId="38BE573F" w14:textId="77777777" w:rsidR="00FD5B6A" w:rsidRDefault="00FD5B6A" w:rsidP="00B44232">
      <w:pPr>
        <w:rPr>
          <w:rFonts w:cs="Arial"/>
          <w:szCs w:val="20"/>
          <w:lang w:val="en-GB"/>
        </w:rPr>
      </w:pPr>
    </w:p>
    <w:p w14:paraId="7925D311" w14:textId="77777777" w:rsidR="00B44232" w:rsidRDefault="0091531C" w:rsidP="00B44232">
      <w:pPr>
        <w:rPr>
          <w:rFonts w:cs="Arial"/>
          <w:szCs w:val="20"/>
          <w:lang w:val="en-GB"/>
        </w:rPr>
      </w:pPr>
      <w:r w:rsidRPr="00FE4F18">
        <w:rPr>
          <w:rFonts w:cs="Arial"/>
          <w:szCs w:val="20"/>
          <w:lang w:val="en-GB"/>
        </w:rPr>
        <w:t>January 2021</w:t>
      </w:r>
    </w:p>
    <w:p w14:paraId="3B1F2272" w14:textId="77777777" w:rsidR="00697A02" w:rsidRDefault="00697A02" w:rsidP="00B44232">
      <w:pPr>
        <w:rPr>
          <w:rFonts w:cs="Arial"/>
          <w:szCs w:val="20"/>
          <w:lang w:val="en-GB"/>
        </w:rPr>
      </w:pPr>
    </w:p>
    <w:p w14:paraId="34793F37" w14:textId="77777777" w:rsidR="00FD5B6A" w:rsidRPr="00FE4F18" w:rsidRDefault="00FD5B6A" w:rsidP="00B44232">
      <w:pPr>
        <w:rPr>
          <w:rFonts w:cs="Arial"/>
          <w:szCs w:val="20"/>
          <w:lang w:val="en-GB"/>
        </w:rPr>
      </w:pPr>
    </w:p>
    <w:p w14:paraId="2A7AE59E" w14:textId="77777777" w:rsidR="008431F3" w:rsidRPr="00FE4F18" w:rsidRDefault="0091531C" w:rsidP="008431F3">
      <w:pPr>
        <w:jc w:val="center"/>
        <w:rPr>
          <w:rFonts w:eastAsia="Calibri" w:cs="Arial"/>
          <w:b/>
          <w:color w:val="4F81BD"/>
          <w:sz w:val="22"/>
          <w:szCs w:val="22"/>
          <w:lang w:val="en-GB"/>
        </w:rPr>
      </w:pPr>
      <w:r w:rsidRPr="00697A02">
        <w:rPr>
          <w:b/>
          <w:color w:val="1F497D" w:themeColor="text2"/>
          <w:sz w:val="22"/>
          <w:szCs w:val="22"/>
          <w:lang w:val="en-GB"/>
        </w:rPr>
        <w:t>Development cooperation of the Republic of Slovenia</w:t>
      </w:r>
    </w:p>
    <w:p w14:paraId="47C7A08F" w14:textId="77777777" w:rsidR="002F1E82" w:rsidRDefault="002F1E82" w:rsidP="00FE13E8">
      <w:pPr>
        <w:rPr>
          <w:rFonts w:eastAsia="Calibri" w:cs="Arial"/>
          <w:b/>
          <w:color w:val="4F81BD"/>
          <w:szCs w:val="20"/>
          <w:lang w:val="en-GB"/>
        </w:rPr>
      </w:pPr>
    </w:p>
    <w:p w14:paraId="506776B3" w14:textId="77777777" w:rsidR="00FD5B6A" w:rsidRPr="00B515A6" w:rsidRDefault="00FD5B6A" w:rsidP="00FE13E8">
      <w:pPr>
        <w:rPr>
          <w:rFonts w:eastAsia="Calibri" w:cs="Arial"/>
          <w:b/>
          <w:color w:val="4F81BD"/>
          <w:szCs w:val="20"/>
          <w:lang w:val="en-GB"/>
        </w:rPr>
      </w:pPr>
    </w:p>
    <w:p w14:paraId="2C418852" w14:textId="077B83A1" w:rsidR="00FE13E8" w:rsidRPr="00B515A6" w:rsidRDefault="0091531C" w:rsidP="00FE13E8">
      <w:pPr>
        <w:rPr>
          <w:rFonts w:cs="Arial"/>
          <w:color w:val="000000"/>
          <w:szCs w:val="20"/>
          <w:lang w:val="en-GB"/>
        </w:rPr>
      </w:pPr>
      <w:r w:rsidRPr="00B515A6">
        <w:rPr>
          <w:color w:val="000000"/>
          <w:szCs w:val="20"/>
          <w:lang w:val="en-GB"/>
        </w:rPr>
        <w:t xml:space="preserve">Slovenia has been an official development assistance (ODA) </w:t>
      </w:r>
      <w:r w:rsidR="00B37796" w:rsidRPr="00B515A6">
        <w:rPr>
          <w:color w:val="000000"/>
          <w:szCs w:val="20"/>
          <w:lang w:val="en-GB"/>
        </w:rPr>
        <w:t>provider</w:t>
      </w:r>
      <w:r w:rsidRPr="00B515A6">
        <w:rPr>
          <w:color w:val="000000"/>
          <w:szCs w:val="20"/>
          <w:lang w:val="en-GB"/>
        </w:rPr>
        <w:t xml:space="preserve"> since 2004, when it joined the EU and graduated from the World Bank. Since 2013, Slovenia has been a member of the Development Assistance Committee of the Organisation for Economic Co-operation and Development (OECD DAC). </w:t>
      </w:r>
      <w:r w:rsidR="005E54FA" w:rsidRPr="00B515A6">
        <w:rPr>
          <w:szCs w:val="20"/>
          <w:lang w:val="en-GB"/>
        </w:rPr>
        <w:t xml:space="preserve">The legal </w:t>
      </w:r>
      <w:r w:rsidRPr="00B515A6">
        <w:rPr>
          <w:szCs w:val="20"/>
          <w:lang w:val="en-GB"/>
        </w:rPr>
        <w:t xml:space="preserve">bases for Slovenia’s development cooperation are the </w:t>
      </w:r>
      <w:hyperlink r:id="rId13" w:history="1">
        <w:r w:rsidRPr="00B515A6">
          <w:rPr>
            <w:b/>
            <w:color w:val="1F497D" w:themeColor="text2"/>
            <w:szCs w:val="20"/>
            <w:lang w:val="en-GB"/>
          </w:rPr>
          <w:t>Act</w:t>
        </w:r>
      </w:hyperlink>
      <w:r w:rsidRPr="00B515A6">
        <w:rPr>
          <w:rStyle w:val="FootnoteReference"/>
          <w:b/>
          <w:color w:val="1F497D" w:themeColor="text2"/>
          <w:szCs w:val="20"/>
          <w:lang w:val="en-GB"/>
        </w:rPr>
        <w:footnoteReference w:id="1"/>
      </w:r>
      <w:r w:rsidRPr="00B515A6">
        <w:rPr>
          <w:color w:val="000000"/>
          <w:szCs w:val="20"/>
          <w:lang w:val="en-GB"/>
        </w:rPr>
        <w:t xml:space="preserve"> on development cooperation and humanitarian aid of the Republic of Slovenia of 2018 with the implementing </w:t>
      </w:r>
      <w:hyperlink r:id="rId14" w:history="1">
        <w:r w:rsidRPr="00B515A6">
          <w:rPr>
            <w:b/>
            <w:color w:val="1F497D" w:themeColor="text2"/>
            <w:szCs w:val="20"/>
            <w:lang w:val="en-GB"/>
          </w:rPr>
          <w:t>Decree</w:t>
        </w:r>
      </w:hyperlink>
      <w:r w:rsidRPr="00B515A6">
        <w:rPr>
          <w:rStyle w:val="FootnoteReference"/>
          <w:b/>
          <w:color w:val="1F497D" w:themeColor="text2"/>
          <w:szCs w:val="20"/>
          <w:lang w:val="en-GB"/>
        </w:rPr>
        <w:footnoteReference w:id="2"/>
      </w:r>
      <w:r w:rsidRPr="00B515A6">
        <w:rPr>
          <w:color w:val="000000"/>
          <w:szCs w:val="20"/>
          <w:lang w:val="en-GB"/>
        </w:rPr>
        <w:t xml:space="preserve"> of November 2018 and the </w:t>
      </w:r>
      <w:hyperlink r:id="rId15" w:history="1">
        <w:r w:rsidRPr="00B515A6">
          <w:rPr>
            <w:b/>
            <w:color w:val="1F497D" w:themeColor="text2"/>
            <w:szCs w:val="20"/>
            <w:lang w:val="en-GB"/>
          </w:rPr>
          <w:t>Resolution</w:t>
        </w:r>
      </w:hyperlink>
      <w:r w:rsidRPr="00B515A6">
        <w:rPr>
          <w:color w:val="000000"/>
          <w:szCs w:val="20"/>
          <w:lang w:val="en-GB"/>
        </w:rPr>
        <w:t xml:space="preserve"> on development cooperation and humanitarian assistance of the Republic of Slovenia of September 2017 and the Development Cooperation and Humanitarian Aid</w:t>
      </w:r>
      <w:r w:rsidRPr="00B515A6">
        <w:rPr>
          <w:b/>
          <w:szCs w:val="20"/>
          <w:lang w:val="en-GB"/>
        </w:rPr>
        <w:t xml:space="preserve"> </w:t>
      </w:r>
      <w:hyperlink r:id="rId16" w:history="1">
        <w:r w:rsidRPr="00B515A6">
          <w:rPr>
            <w:rStyle w:val="Hyperlink"/>
            <w:b/>
            <w:color w:val="1F497D" w:themeColor="text2"/>
            <w:szCs w:val="20"/>
            <w:u w:val="none"/>
            <w:lang w:val="en-GB"/>
          </w:rPr>
          <w:t>Strategy</w:t>
        </w:r>
      </w:hyperlink>
      <w:r w:rsidRPr="00B515A6">
        <w:rPr>
          <w:rStyle w:val="FootnoteReference"/>
          <w:b/>
          <w:color w:val="1F497D" w:themeColor="text2"/>
          <w:szCs w:val="20"/>
          <w:lang w:val="en-GB"/>
        </w:rPr>
        <w:footnoteReference w:id="3"/>
      </w:r>
      <w:r w:rsidRPr="00B515A6">
        <w:rPr>
          <w:color w:val="000000"/>
          <w:szCs w:val="20"/>
          <w:lang w:val="en-GB"/>
        </w:rPr>
        <w:t xml:space="preserve"> of the Republic of Slovenia until 2030 of December 2018. The Strategy specifies in more detail the objectives and strategic orientations of development cooperation and humanitarian aid, and define</w:t>
      </w:r>
      <w:r w:rsidR="00B37796" w:rsidRPr="00B515A6">
        <w:rPr>
          <w:color w:val="000000"/>
          <w:szCs w:val="20"/>
          <w:lang w:val="en-GB"/>
        </w:rPr>
        <w:t>s</w:t>
      </w:r>
      <w:r w:rsidRPr="00B515A6">
        <w:rPr>
          <w:color w:val="000000"/>
          <w:szCs w:val="20"/>
          <w:lang w:val="en-GB"/>
        </w:rPr>
        <w:t xml:space="preserve"> concrete measures for coordinated and effective implementation. </w:t>
      </w:r>
      <w:r w:rsidRPr="00B515A6">
        <w:rPr>
          <w:szCs w:val="20"/>
          <w:lang w:val="en-GB"/>
        </w:rPr>
        <w:t>A draft action plan on a gradual increase of the GNI share has been drawn up</w:t>
      </w:r>
      <w:r w:rsidRPr="00B515A6">
        <w:rPr>
          <w:rFonts w:cs="Arial"/>
          <w:color w:val="000000"/>
          <w:szCs w:val="20"/>
          <w:lang w:val="en-GB"/>
        </w:rPr>
        <w:t>.</w:t>
      </w:r>
    </w:p>
    <w:p w14:paraId="69177CB7" w14:textId="77777777" w:rsidR="00686FD1" w:rsidRPr="00B515A6" w:rsidRDefault="00686FD1" w:rsidP="00FE13E8">
      <w:pPr>
        <w:rPr>
          <w:rFonts w:asciiTheme="minorHAnsi" w:hAnsiTheme="minorHAnsi" w:cstheme="minorHAnsi"/>
          <w:bCs/>
          <w:color w:val="000000"/>
          <w:szCs w:val="20"/>
          <w:lang w:val="en-GB" w:eastAsia="sl-SI"/>
        </w:rPr>
      </w:pPr>
    </w:p>
    <w:p w14:paraId="45186AE5" w14:textId="77777777" w:rsidR="00D80B3A" w:rsidRPr="00697A02" w:rsidRDefault="0091531C" w:rsidP="00697A02">
      <w:pPr>
        <w:rPr>
          <w:b/>
          <w:color w:val="1F497D" w:themeColor="text2"/>
          <w:sz w:val="22"/>
          <w:szCs w:val="22"/>
          <w:lang w:val="en-GB"/>
        </w:rPr>
      </w:pPr>
      <w:r w:rsidRPr="00697A02">
        <w:rPr>
          <w:b/>
          <w:color w:val="1F497D" w:themeColor="text2"/>
          <w:sz w:val="22"/>
          <w:szCs w:val="22"/>
          <w:lang w:val="en-GB"/>
        </w:rPr>
        <w:t>I</w:t>
      </w:r>
      <w:r w:rsidR="00FE13E8" w:rsidRPr="00697A02">
        <w:rPr>
          <w:b/>
          <w:color w:val="1F497D" w:themeColor="text2"/>
          <w:sz w:val="22"/>
          <w:szCs w:val="22"/>
          <w:lang w:val="en-GB"/>
        </w:rPr>
        <w:t xml:space="preserve">. </w:t>
      </w:r>
      <w:r w:rsidR="008431F3" w:rsidRPr="00697A02">
        <w:rPr>
          <w:b/>
          <w:color w:val="1F497D" w:themeColor="text2"/>
          <w:sz w:val="22"/>
          <w:szCs w:val="22"/>
          <w:lang w:val="en-GB"/>
        </w:rPr>
        <w:t>Slovenia’s international commitments</w:t>
      </w:r>
    </w:p>
    <w:p w14:paraId="54C9BB0B" w14:textId="77777777" w:rsidR="00D80B3A" w:rsidRPr="00B515A6" w:rsidRDefault="00D80B3A" w:rsidP="00FE13E8">
      <w:pPr>
        <w:rPr>
          <w:rFonts w:eastAsia="Calibri" w:cs="Arial"/>
          <w:szCs w:val="20"/>
          <w:lang w:val="en-GB"/>
        </w:rPr>
      </w:pPr>
    </w:p>
    <w:p w14:paraId="5A196565" w14:textId="0FA05A15" w:rsidR="00FE13E8" w:rsidRPr="00B515A6" w:rsidRDefault="0091531C" w:rsidP="00FE13E8">
      <w:pPr>
        <w:rPr>
          <w:rFonts w:eastAsia="Calibri" w:cs="Arial"/>
          <w:szCs w:val="20"/>
          <w:lang w:val="en-GB"/>
        </w:rPr>
      </w:pPr>
      <w:r w:rsidRPr="00B515A6">
        <w:rPr>
          <w:szCs w:val="20"/>
          <w:lang w:val="en-GB"/>
        </w:rPr>
        <w:t>In May 2015, during the preparation</w:t>
      </w:r>
      <w:r w:rsidR="00BE3F28" w:rsidRPr="00B515A6">
        <w:rPr>
          <w:szCs w:val="20"/>
          <w:lang w:val="en-GB"/>
        </w:rPr>
        <w:t>s for</w:t>
      </w:r>
      <w:r w:rsidR="001F712B" w:rsidRPr="00B515A6">
        <w:rPr>
          <w:szCs w:val="20"/>
          <w:lang w:val="en-GB"/>
        </w:rPr>
        <w:t xml:space="preserve"> the</w:t>
      </w:r>
      <w:r w:rsidR="00BE3F28" w:rsidRPr="00B515A6">
        <w:rPr>
          <w:szCs w:val="20"/>
          <w:lang w:val="en-GB"/>
        </w:rPr>
        <w:t xml:space="preserve"> adoption</w:t>
      </w:r>
      <w:r w:rsidRPr="00B515A6">
        <w:rPr>
          <w:szCs w:val="20"/>
          <w:lang w:val="en-GB"/>
        </w:rPr>
        <w:t xml:space="preserve"> of the </w:t>
      </w:r>
      <w:hyperlink r:id="rId17" w:tooltip="http://www.un.org/sustainabledevelopment/sustainable-development-goals/" w:history="1">
        <w:r w:rsidRPr="00B515A6">
          <w:rPr>
            <w:b/>
            <w:color w:val="1F497D" w:themeColor="text2"/>
            <w:szCs w:val="20"/>
            <w:lang w:val="en-GB"/>
          </w:rPr>
          <w:t>2030 Agenda for Sustainable Development</w:t>
        </w:r>
      </w:hyperlink>
      <w:r w:rsidRPr="00B515A6">
        <w:rPr>
          <w:rStyle w:val="FootnoteReference"/>
          <w:b/>
          <w:color w:val="1F497D" w:themeColor="text2"/>
          <w:szCs w:val="20"/>
          <w:lang w:val="en-GB"/>
        </w:rPr>
        <w:footnoteReference w:id="4"/>
      </w:r>
      <w:r w:rsidRPr="00B515A6">
        <w:rPr>
          <w:b/>
          <w:color w:val="1F497D" w:themeColor="text2"/>
          <w:szCs w:val="20"/>
          <w:lang w:val="en-GB"/>
        </w:rPr>
        <w:t xml:space="preserve"> </w:t>
      </w:r>
      <w:r w:rsidRPr="00B515A6">
        <w:rPr>
          <w:szCs w:val="20"/>
          <w:lang w:val="en-GB"/>
        </w:rPr>
        <w:t xml:space="preserve">EU Member States adopted the Council conclusions on a New Global Partnership for Poverty Eradication and Sustainable Development after 2015 reaffirming the EU's collective commitment to achieve the 0.7% ODA/GNI target within the time frame of the post-2015 agenda. Member </w:t>
      </w:r>
      <w:r w:rsidR="00B515A6" w:rsidRPr="00B515A6">
        <w:rPr>
          <w:szCs w:val="20"/>
          <w:lang w:val="en-GB"/>
        </w:rPr>
        <w:t>States, which joined the EU before 2002,</w:t>
      </w:r>
      <w:r w:rsidRPr="00B515A6">
        <w:rPr>
          <w:szCs w:val="20"/>
          <w:lang w:val="en-GB"/>
        </w:rPr>
        <w:t xml:space="preserve"> reaffirmed their commitment to achieve the 0.7% ODA/GNI target, and </w:t>
      </w:r>
      <w:r w:rsidR="00B515A6" w:rsidRPr="00B515A6">
        <w:rPr>
          <w:szCs w:val="20"/>
          <w:lang w:val="en-GB"/>
        </w:rPr>
        <w:t>those, which have achieved it,</w:t>
      </w:r>
      <w:r w:rsidRPr="00B515A6">
        <w:rPr>
          <w:szCs w:val="20"/>
          <w:lang w:val="en-GB"/>
        </w:rPr>
        <w:t xml:space="preserve"> committed themselves to remain at or exceed the target; Member States which joined the EU after 2002</w:t>
      </w:r>
      <w:r w:rsidR="001F712B" w:rsidRPr="00B515A6">
        <w:rPr>
          <w:szCs w:val="20"/>
          <w:lang w:val="en-GB"/>
        </w:rPr>
        <w:t xml:space="preserve"> commit</w:t>
      </w:r>
      <w:r w:rsidR="00D25224" w:rsidRPr="00B515A6">
        <w:rPr>
          <w:szCs w:val="20"/>
          <w:lang w:val="en-GB"/>
        </w:rPr>
        <w:t>t</w:t>
      </w:r>
      <w:r w:rsidR="001F712B" w:rsidRPr="00B515A6">
        <w:rPr>
          <w:szCs w:val="20"/>
          <w:lang w:val="en-GB"/>
        </w:rPr>
        <w:t>ed</w:t>
      </w:r>
      <w:r w:rsidR="00D25224" w:rsidRPr="00B515A6">
        <w:rPr>
          <w:szCs w:val="20"/>
          <w:lang w:val="en-GB"/>
        </w:rPr>
        <w:t xml:space="preserve"> </w:t>
      </w:r>
      <w:r w:rsidRPr="00B515A6">
        <w:rPr>
          <w:b/>
          <w:bCs/>
          <w:szCs w:val="20"/>
          <w:lang w:val="en-GB"/>
        </w:rPr>
        <w:t>to strive to increase their ODA/GNI to 0.33% within the same time frame</w:t>
      </w:r>
      <w:r w:rsidRPr="00B515A6">
        <w:rPr>
          <w:szCs w:val="20"/>
          <w:lang w:val="en-GB"/>
        </w:rPr>
        <w:t xml:space="preserve">. These commitments are also laid down in the </w:t>
      </w:r>
      <w:hyperlink r:id="rId18" w:history="1">
        <w:r w:rsidRPr="00B515A6">
          <w:rPr>
            <w:b/>
            <w:color w:val="1F497D" w:themeColor="text2"/>
            <w:szCs w:val="20"/>
            <w:lang w:val="en-GB"/>
          </w:rPr>
          <w:t>New European Consensus on Development</w:t>
        </w:r>
      </w:hyperlink>
      <w:r w:rsidRPr="00B515A6">
        <w:rPr>
          <w:rStyle w:val="FootnoteReference"/>
          <w:b/>
          <w:color w:val="1F497D" w:themeColor="text2"/>
          <w:szCs w:val="20"/>
          <w:lang w:val="en-GB"/>
        </w:rPr>
        <w:footnoteReference w:id="5"/>
      </w:r>
      <w:r w:rsidRPr="00B515A6">
        <w:rPr>
          <w:szCs w:val="20"/>
          <w:lang w:val="en-GB"/>
        </w:rPr>
        <w:t>. In its Resolution on development cooperation and humanitarian assistance, Slovenia foresaw the drawing up of an action plan to achieve a gradual increase in the ODA/GNI ratio</w:t>
      </w:r>
      <w:r w:rsidRPr="00B515A6">
        <w:rPr>
          <w:rFonts w:eastAsia="Calibri" w:cs="Arial"/>
          <w:szCs w:val="20"/>
          <w:lang w:val="en-GB"/>
        </w:rPr>
        <w:t>.</w:t>
      </w:r>
    </w:p>
    <w:p w14:paraId="1B53A9B6" w14:textId="77777777" w:rsidR="00B5455A" w:rsidRPr="00B515A6" w:rsidRDefault="00B5455A" w:rsidP="00FE13E8">
      <w:pPr>
        <w:rPr>
          <w:rFonts w:asciiTheme="minorHAnsi" w:eastAsia="Calibri" w:hAnsiTheme="minorHAnsi" w:cstheme="minorHAnsi"/>
          <w:szCs w:val="20"/>
          <w:lang w:val="en-GB"/>
        </w:rPr>
      </w:pPr>
    </w:p>
    <w:p w14:paraId="73A272AC" w14:textId="77777777" w:rsidR="004D7626" w:rsidRDefault="0091531C" w:rsidP="00FE13E8">
      <w:pPr>
        <w:rPr>
          <w:lang w:val="en-GB"/>
        </w:rPr>
      </w:pPr>
      <w:r w:rsidRPr="00FE4F18">
        <w:rPr>
          <w:rFonts w:eastAsia="Calibri" w:cs="Arial"/>
          <w:szCs w:val="20"/>
          <w:lang w:val="en-GB"/>
        </w:rPr>
        <w:t>Chart</w:t>
      </w:r>
      <w:r w:rsidR="00B5455A" w:rsidRPr="00FE4F18">
        <w:rPr>
          <w:rFonts w:eastAsia="Calibri" w:cs="Arial"/>
          <w:szCs w:val="20"/>
          <w:lang w:val="en-GB"/>
        </w:rPr>
        <w:t xml:space="preserve"> 1: </w:t>
      </w:r>
      <w:r w:rsidRPr="00FE4F18">
        <w:rPr>
          <w:lang w:val="en-GB"/>
        </w:rPr>
        <w:t>O</w:t>
      </w:r>
      <w:r w:rsidR="002611CE">
        <w:rPr>
          <w:lang w:val="en-GB"/>
        </w:rPr>
        <w:t>DA</w:t>
      </w:r>
      <w:r w:rsidRPr="00FE4F18">
        <w:rPr>
          <w:lang w:val="en-GB"/>
        </w:rPr>
        <w:t xml:space="preserve"> of the Republic of Slovenia in million EUR and as a GNI percentage</w:t>
      </w:r>
    </w:p>
    <w:p w14:paraId="3A161C3B" w14:textId="77777777" w:rsidR="00FD5B6A" w:rsidRPr="00FD5B6A" w:rsidRDefault="0091531C" w:rsidP="008615B4">
      <w:pPr>
        <w:spacing w:after="720"/>
        <w:jc w:val="center"/>
        <w:rPr>
          <w:lang w:val="en-GB"/>
        </w:rPr>
      </w:pPr>
      <w:r>
        <w:rPr>
          <w:noProof/>
          <w:lang w:eastAsia="sl-SI"/>
        </w:rPr>
        <w:drawing>
          <wp:inline distT="0" distB="0" distL="0" distR="0" wp14:anchorId="090BC379" wp14:editId="02DEB541">
            <wp:extent cx="5829043" cy="2171700"/>
            <wp:effectExtent l="0" t="0" r="635" b="0"/>
            <wp:docPr id="14" name="Slika 14" descr="ODA of the Republic of Slovenia in million EUR and as a GNI percentage. Bilateral ODA grew from 17.9 mio EUR in 2010 to 27.8 mio EUR in 2019, Multilateral ODA from 27.4 mio EUR in 2010 to 49.7 mio EUR in 2019. ODA/GNI grew from 0.13% in 2010, reaching 0.19% in 2016 and falling down to 0.16% in 2017 to 20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673008" name="Slika 14" descr="ODA of the Republic of Slovenia in million EUR and as a GNI percentage. Bilateral ODA grew from 17.9 mio EUR in 2010 to 27.8 mio EUR in 2019, Multilateral ODA from 27.4 mio EUR in 2010 to 49.7 mio EUR in 2019. ODA/GNI grew from 0.13% in 2010, reaching 0.19% in 2016 and falling down to 0.16% in 2017 to 2019. "/>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948927" cy="2216365"/>
                    </a:xfrm>
                    <a:prstGeom prst="rect">
                      <a:avLst/>
                    </a:prstGeom>
                    <a:noFill/>
                  </pic:spPr>
                </pic:pic>
              </a:graphicData>
            </a:graphic>
          </wp:inline>
        </w:drawing>
      </w:r>
    </w:p>
    <w:p w14:paraId="7D45E510" w14:textId="77777777" w:rsidR="008D52FE" w:rsidRPr="00FE4F18" w:rsidRDefault="0091531C" w:rsidP="00CD382E">
      <w:pPr>
        <w:keepNext/>
        <w:keepLines/>
        <w:rPr>
          <w:rFonts w:eastAsia="Calibri" w:cs="Arial"/>
          <w:b/>
          <w:color w:val="4F81BD"/>
          <w:szCs w:val="20"/>
          <w:lang w:val="en-GB"/>
        </w:rPr>
      </w:pPr>
      <w:r w:rsidRPr="00697A02">
        <w:rPr>
          <w:rFonts w:eastAsia="Calibri" w:cs="Arial"/>
          <w:b/>
          <w:color w:val="1F497D" w:themeColor="text2"/>
          <w:szCs w:val="20"/>
          <w:lang w:val="en-GB"/>
        </w:rPr>
        <w:lastRenderedPageBreak/>
        <w:t>II</w:t>
      </w:r>
      <w:r w:rsidR="00FE13E8" w:rsidRPr="00697A02">
        <w:rPr>
          <w:rFonts w:eastAsia="Calibri" w:cs="Arial"/>
          <w:b/>
          <w:color w:val="1F497D" w:themeColor="text2"/>
          <w:szCs w:val="20"/>
          <w:lang w:val="en-GB"/>
        </w:rPr>
        <w:t xml:space="preserve">. </w:t>
      </w:r>
      <w:r w:rsidR="008431F3" w:rsidRPr="00697A02">
        <w:rPr>
          <w:b/>
          <w:color w:val="1F497D" w:themeColor="text2"/>
          <w:szCs w:val="20"/>
          <w:lang w:val="en-GB"/>
        </w:rPr>
        <w:t>Official development assistance (ODA) – general</w:t>
      </w:r>
    </w:p>
    <w:p w14:paraId="7D718AA6" w14:textId="77777777" w:rsidR="008D52FE" w:rsidRPr="00FE4F18" w:rsidRDefault="008D52FE" w:rsidP="00CD382E">
      <w:pPr>
        <w:keepNext/>
        <w:keepLines/>
        <w:rPr>
          <w:rFonts w:asciiTheme="minorHAnsi" w:eastAsia="Calibri" w:hAnsiTheme="minorHAnsi" w:cstheme="minorHAnsi"/>
          <w:b/>
          <w:color w:val="4F81BD"/>
          <w:sz w:val="22"/>
          <w:szCs w:val="22"/>
          <w:lang w:val="en-GB"/>
        </w:rPr>
      </w:pPr>
    </w:p>
    <w:p w14:paraId="07E0FB9E" w14:textId="77777777" w:rsidR="00FE13E8" w:rsidRPr="00FE4F18" w:rsidRDefault="0091531C" w:rsidP="00CD382E">
      <w:pPr>
        <w:keepNext/>
        <w:keepLines/>
        <w:rPr>
          <w:rFonts w:eastAsia="Calibri" w:cs="Arial"/>
          <w:b/>
          <w:lang w:val="en-GB"/>
        </w:rPr>
      </w:pPr>
      <w:r w:rsidRPr="00FE4F18">
        <w:rPr>
          <w:lang w:val="en-GB"/>
        </w:rPr>
        <w:t>The objectives of Slovenia’s development cooperation are to contribute to the eradication of poverty and reduction of inequality and to foster sustainable development in partner countries. O</w:t>
      </w:r>
      <w:r w:rsidR="00D25224">
        <w:rPr>
          <w:lang w:val="en-GB"/>
        </w:rPr>
        <w:t xml:space="preserve">DA </w:t>
      </w:r>
      <w:r w:rsidRPr="00FE4F18">
        <w:rPr>
          <w:lang w:val="en-GB"/>
        </w:rPr>
        <w:t xml:space="preserve">is a key ingredient of development cooperation. </w:t>
      </w:r>
      <w:r w:rsidRPr="00FE4F18">
        <w:rPr>
          <w:b/>
          <w:bCs/>
          <w:lang w:val="en-GB"/>
        </w:rPr>
        <w:t xml:space="preserve">Multilateral ODA </w:t>
      </w:r>
      <w:r w:rsidRPr="00FE4F18">
        <w:rPr>
          <w:lang w:val="en-GB"/>
        </w:rPr>
        <w:t xml:space="preserve">accounts for the largest share of Slovenia’s ODA, approximately two thirds of the total ODA in the period between 2010 and 2019.  Bilateral ODA accounts for approximately one third of Slovenia’s total ODA. The largest recipients of Slovenia’s </w:t>
      </w:r>
      <w:r w:rsidRPr="00FE4F18">
        <w:rPr>
          <w:b/>
          <w:bCs/>
          <w:lang w:val="en-GB"/>
        </w:rPr>
        <w:t>bilateral ODA</w:t>
      </w:r>
      <w:r w:rsidRPr="00FE4F18">
        <w:rPr>
          <w:lang w:val="en-GB"/>
        </w:rPr>
        <w:t xml:space="preserve"> between 2010 and 2019 were the Western Balkan countries</w:t>
      </w:r>
      <w:r w:rsidRPr="00FE4F18">
        <w:rPr>
          <w:rFonts w:eastAsia="Calibri" w:cs="Arial"/>
          <w:lang w:val="en-GB"/>
        </w:rPr>
        <w:t>.</w:t>
      </w:r>
      <w:r w:rsidRPr="00FE4F18">
        <w:rPr>
          <w:rFonts w:eastAsia="Calibri" w:cs="Arial"/>
          <w:b/>
          <w:lang w:val="en-GB"/>
        </w:rPr>
        <w:t xml:space="preserve"> </w:t>
      </w:r>
    </w:p>
    <w:p w14:paraId="5D2192DF" w14:textId="77777777" w:rsidR="002B2166" w:rsidRPr="00FE4F18" w:rsidRDefault="002B2166" w:rsidP="00FE13E8">
      <w:pPr>
        <w:rPr>
          <w:rFonts w:asciiTheme="minorHAnsi" w:eastAsia="Calibri" w:hAnsiTheme="minorHAnsi" w:cstheme="minorHAnsi"/>
          <w:b/>
          <w:sz w:val="22"/>
          <w:szCs w:val="22"/>
          <w:lang w:val="en-GB"/>
        </w:rPr>
      </w:pPr>
    </w:p>
    <w:p w14:paraId="6C0C50DF" w14:textId="77777777" w:rsidR="0066611C" w:rsidRPr="0066611C" w:rsidRDefault="0091531C" w:rsidP="00FE13E8">
      <w:pPr>
        <w:rPr>
          <w:lang w:val="en-GB"/>
        </w:rPr>
      </w:pPr>
      <w:r w:rsidRPr="00FE4F18">
        <w:rPr>
          <w:rFonts w:eastAsia="Calibri" w:cs="Arial"/>
          <w:szCs w:val="20"/>
          <w:lang w:val="en-GB"/>
        </w:rPr>
        <w:t xml:space="preserve">Chart </w:t>
      </w:r>
      <w:r w:rsidR="002B2166" w:rsidRPr="00FE4F18">
        <w:rPr>
          <w:rFonts w:eastAsia="Calibri" w:cs="Arial"/>
          <w:szCs w:val="20"/>
          <w:lang w:val="en-GB"/>
        </w:rPr>
        <w:t xml:space="preserve">2: </w:t>
      </w:r>
      <w:r w:rsidRPr="00FE4F18">
        <w:rPr>
          <w:lang w:val="en-GB"/>
        </w:rPr>
        <w:t>Largest recipients of Slovenia’s bilateral ODA between 2010 and 2019</w:t>
      </w:r>
    </w:p>
    <w:p w14:paraId="2F876F60" w14:textId="77777777" w:rsidR="004D7626" w:rsidRPr="00FE4F18" w:rsidRDefault="0091531C" w:rsidP="00F97960">
      <w:pPr>
        <w:jc w:val="center"/>
        <w:rPr>
          <w:rFonts w:eastAsia="Calibri" w:cs="Arial"/>
          <w:szCs w:val="20"/>
          <w:lang w:val="en-GB"/>
        </w:rPr>
      </w:pPr>
      <w:r>
        <w:rPr>
          <w:rFonts w:eastAsia="Calibri" w:cs="Arial"/>
          <w:noProof/>
          <w:szCs w:val="20"/>
          <w:lang w:eastAsia="sl-SI"/>
        </w:rPr>
        <w:drawing>
          <wp:inline distT="0" distB="0" distL="0" distR="0" wp14:anchorId="5218CDDA" wp14:editId="1C9E162A">
            <wp:extent cx="5374257" cy="2190780"/>
            <wp:effectExtent l="0" t="0" r="0" b="0"/>
            <wp:docPr id="15" name="Slika 15" descr="Largest recipients of Slovenia’s bilateral ODA between 2010 and 2019. The largest recepient being Bonsia and Herzegovina with 26.2 mio EUR in the relevant period, then North Macedonia, Serbia, Montenegro, Kosovo, States of Ex-Yugoslavia regionally, Turkey, Ukraine, West Bank &amp; Gaza STrip, Croatia and Albania, the latter with 2,5 mio EUR in the relevant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25485" name="Slika 15" descr="Largest recipients of Slovenia’s bilateral ODA between 2010 and 2019. The largest recepient being Bonsia and Herzegovina with 26.2 mio EUR in the relevant period, then North Macedonia, Serbia, Montenegro, Kosovo, States of Ex-Yugoslavia regionally, Turkey, Ukraine, West Bank &amp; Gaza STrip, Croatia and Albania, the latter with 2,5 mio EUR in the relevant period."/>
                    <pic:cNvPicPr>
                      <a:picLocks noChangeAspect="1" noChangeArrowheads="1"/>
                    </pic:cNvPicPr>
                  </pic:nvPicPr>
                  <pic:blipFill>
                    <a:blip r:embed="rId20">
                      <a:extLst>
                        <a:ext uri="{28A0092B-C50C-407E-A947-70E740481C1C}">
                          <a14:useLocalDpi xmlns:a14="http://schemas.microsoft.com/office/drawing/2010/main" val="0"/>
                        </a:ext>
                      </a:extLst>
                    </a:blip>
                    <a:srcRect l="4053" t="2550" r="1690" b="4224"/>
                    <a:stretch>
                      <a:fillRect/>
                    </a:stretch>
                  </pic:blipFill>
                  <pic:spPr bwMode="auto">
                    <a:xfrm>
                      <a:off x="0" y="0"/>
                      <a:ext cx="5415397" cy="2207550"/>
                    </a:xfrm>
                    <a:prstGeom prst="rect">
                      <a:avLst/>
                    </a:prstGeom>
                    <a:noFill/>
                    <a:ln>
                      <a:noFill/>
                    </a:ln>
                    <a:extLst>
                      <a:ext uri="{53640926-AAD7-44D8-BBD7-CCE9431645EC}">
                        <a14:shadowObscured xmlns:a14="http://schemas.microsoft.com/office/drawing/2010/main"/>
                      </a:ext>
                    </a:extLst>
                  </pic:spPr>
                </pic:pic>
              </a:graphicData>
            </a:graphic>
          </wp:inline>
        </w:drawing>
      </w:r>
    </w:p>
    <w:p w14:paraId="79C89328" w14:textId="77777777" w:rsidR="002611CE" w:rsidRDefault="002611CE" w:rsidP="00FE13E8">
      <w:pPr>
        <w:rPr>
          <w:lang w:val="en-GB"/>
        </w:rPr>
      </w:pPr>
    </w:p>
    <w:p w14:paraId="1EC26B35" w14:textId="77777777" w:rsidR="00674E69" w:rsidRDefault="0091531C" w:rsidP="00FE13E8">
      <w:pPr>
        <w:rPr>
          <w:rFonts w:eastAsia="Calibri"/>
          <w:lang w:val="en-GB"/>
        </w:rPr>
      </w:pPr>
      <w:r w:rsidRPr="00E23C52">
        <w:rPr>
          <w:lang w:val="en-GB"/>
        </w:rPr>
        <w:t xml:space="preserve">An important share of bilateral technical assistance in particular is implemented directly by ministries and their affiliated bodies, and also by other direct and indirect budget users. The largest share of bilateral development aid comes in the form of imputed student costs, and it is implemented by universities and higher education institutions in Slovenia. Slovenia’s key partners in the implementation of development cooperation are the </w:t>
      </w:r>
      <w:hyperlink r:id="rId21" w:history="1">
        <w:r w:rsidRPr="00697A02">
          <w:rPr>
            <w:b/>
            <w:color w:val="1F497D" w:themeColor="text2"/>
            <w:lang w:val="en-GB"/>
          </w:rPr>
          <w:t>Centre for International Cooperation and Development</w:t>
        </w:r>
      </w:hyperlink>
      <w:r>
        <w:rPr>
          <w:rStyle w:val="FootnoteReference"/>
          <w:b/>
          <w:color w:val="1F497D" w:themeColor="text2"/>
          <w:lang w:val="en-GB"/>
        </w:rPr>
        <w:footnoteReference w:id="6"/>
      </w:r>
      <w:r w:rsidRPr="00697A02">
        <w:rPr>
          <w:color w:val="1F497D" w:themeColor="text2"/>
          <w:lang w:val="en-GB"/>
        </w:rPr>
        <w:t xml:space="preserve">, </w:t>
      </w:r>
      <w:hyperlink r:id="rId22" w:history="1">
        <w:r w:rsidRPr="00697A02">
          <w:rPr>
            <w:b/>
            <w:color w:val="1F497D" w:themeColor="text2"/>
            <w:lang w:val="en-GB"/>
          </w:rPr>
          <w:t>ITF Enhancing Human Security</w:t>
        </w:r>
      </w:hyperlink>
      <w:r>
        <w:rPr>
          <w:rStyle w:val="FootnoteReference"/>
          <w:b/>
          <w:color w:val="1F497D" w:themeColor="text2"/>
          <w:lang w:val="en-GB"/>
        </w:rPr>
        <w:footnoteReference w:id="7"/>
      </w:r>
      <w:r w:rsidRPr="00697A02">
        <w:rPr>
          <w:color w:val="1F497D" w:themeColor="text2"/>
          <w:lang w:val="en-GB"/>
        </w:rPr>
        <w:t xml:space="preserve">, </w:t>
      </w:r>
      <w:hyperlink r:id="rId23" w:history="1">
        <w:r w:rsidRPr="00697A02">
          <w:rPr>
            <w:b/>
            <w:color w:val="1F497D" w:themeColor="text2"/>
            <w:lang w:val="en-GB"/>
          </w:rPr>
          <w:t>Centre for European Perspective</w:t>
        </w:r>
      </w:hyperlink>
      <w:r>
        <w:rPr>
          <w:rStyle w:val="FootnoteReference"/>
          <w:b/>
          <w:color w:val="1F497D" w:themeColor="text2"/>
          <w:lang w:val="en-GB"/>
        </w:rPr>
        <w:footnoteReference w:id="8"/>
      </w:r>
      <w:r w:rsidRPr="00697A02">
        <w:rPr>
          <w:color w:val="1F497D" w:themeColor="text2"/>
          <w:lang w:val="en-GB"/>
        </w:rPr>
        <w:t xml:space="preserve">, </w:t>
      </w:r>
      <w:hyperlink r:id="rId24" w:history="1">
        <w:r w:rsidRPr="00697A02">
          <w:rPr>
            <w:b/>
            <w:color w:val="1F497D" w:themeColor="text2"/>
            <w:lang w:val="en-GB"/>
          </w:rPr>
          <w:t>Center of Excellence in Finance</w:t>
        </w:r>
      </w:hyperlink>
      <w:r>
        <w:rPr>
          <w:rStyle w:val="FootnoteReference"/>
          <w:b/>
          <w:color w:val="1F497D" w:themeColor="text2"/>
          <w:lang w:val="en-GB"/>
        </w:rPr>
        <w:footnoteReference w:id="9"/>
      </w:r>
      <w:r w:rsidRPr="00E23C52">
        <w:rPr>
          <w:lang w:val="en-GB"/>
        </w:rPr>
        <w:t>, Slovenian NGOs, which have an important role particularly in places where Slovenia lacks a diplomatic and consular network, and international organisations with their special development and humanitarian programmes to which Slovenia makes earmarked contributions</w:t>
      </w:r>
      <w:r w:rsidR="00904A2B" w:rsidRPr="00E23C52">
        <w:rPr>
          <w:rFonts w:eastAsia="Calibri"/>
          <w:lang w:val="en-GB"/>
        </w:rPr>
        <w:t>.</w:t>
      </w:r>
    </w:p>
    <w:p w14:paraId="23978588" w14:textId="77777777" w:rsidR="00F97960" w:rsidRPr="00E23C52" w:rsidRDefault="00F97960" w:rsidP="00FE13E8">
      <w:pPr>
        <w:rPr>
          <w:rFonts w:eastAsia="Calibri"/>
          <w:lang w:val="en-GB"/>
        </w:rPr>
      </w:pPr>
    </w:p>
    <w:p w14:paraId="2F830AFB" w14:textId="77777777" w:rsidR="00440C4E" w:rsidRDefault="00440C4E">
      <w:pPr>
        <w:suppressAutoHyphens w:val="0"/>
        <w:jc w:val="left"/>
        <w:rPr>
          <w:rFonts w:eastAsia="Calibri" w:cs="Arial"/>
          <w:b/>
          <w:color w:val="1F497D" w:themeColor="text2"/>
          <w:szCs w:val="20"/>
          <w:lang w:val="en-GB"/>
        </w:rPr>
      </w:pPr>
    </w:p>
    <w:p w14:paraId="740A82E4" w14:textId="77777777" w:rsidR="00440C4E" w:rsidRDefault="00440C4E">
      <w:pPr>
        <w:suppressAutoHyphens w:val="0"/>
        <w:jc w:val="left"/>
        <w:rPr>
          <w:rFonts w:eastAsia="Calibri" w:cs="Arial"/>
          <w:b/>
          <w:color w:val="1F497D" w:themeColor="text2"/>
          <w:szCs w:val="20"/>
          <w:lang w:val="en-GB"/>
        </w:rPr>
      </w:pPr>
    </w:p>
    <w:p w14:paraId="44747935" w14:textId="77777777" w:rsidR="00440C4E" w:rsidRDefault="00440C4E">
      <w:pPr>
        <w:suppressAutoHyphens w:val="0"/>
        <w:jc w:val="left"/>
        <w:rPr>
          <w:rFonts w:eastAsia="Calibri" w:cs="Arial"/>
          <w:b/>
          <w:color w:val="1F497D" w:themeColor="text2"/>
          <w:szCs w:val="20"/>
          <w:lang w:val="en-GB"/>
        </w:rPr>
      </w:pPr>
    </w:p>
    <w:p w14:paraId="1196A8D5" w14:textId="77777777" w:rsidR="00440C4E" w:rsidRDefault="00440C4E">
      <w:pPr>
        <w:suppressAutoHyphens w:val="0"/>
        <w:jc w:val="left"/>
        <w:rPr>
          <w:rFonts w:eastAsia="Calibri" w:cs="Arial"/>
          <w:b/>
          <w:color w:val="1F497D" w:themeColor="text2"/>
          <w:szCs w:val="20"/>
          <w:lang w:val="en-GB"/>
        </w:rPr>
      </w:pPr>
    </w:p>
    <w:p w14:paraId="4CF1BD79" w14:textId="77777777" w:rsidR="00440C4E" w:rsidRDefault="00440C4E">
      <w:pPr>
        <w:suppressAutoHyphens w:val="0"/>
        <w:jc w:val="left"/>
        <w:rPr>
          <w:rFonts w:eastAsia="Calibri" w:cs="Arial"/>
          <w:b/>
          <w:color w:val="1F497D" w:themeColor="text2"/>
          <w:szCs w:val="20"/>
          <w:lang w:val="en-GB"/>
        </w:rPr>
      </w:pPr>
    </w:p>
    <w:p w14:paraId="2AEE2594" w14:textId="77777777" w:rsidR="00440C4E" w:rsidRDefault="00440C4E">
      <w:pPr>
        <w:suppressAutoHyphens w:val="0"/>
        <w:jc w:val="left"/>
        <w:rPr>
          <w:rFonts w:eastAsia="Calibri" w:cs="Arial"/>
          <w:b/>
          <w:color w:val="1F497D" w:themeColor="text2"/>
          <w:szCs w:val="20"/>
          <w:lang w:val="en-GB"/>
        </w:rPr>
      </w:pPr>
    </w:p>
    <w:p w14:paraId="12D0E232" w14:textId="77777777" w:rsidR="00440C4E" w:rsidRDefault="00440C4E">
      <w:pPr>
        <w:suppressAutoHyphens w:val="0"/>
        <w:jc w:val="left"/>
        <w:rPr>
          <w:rFonts w:eastAsia="Calibri" w:cs="Arial"/>
          <w:b/>
          <w:color w:val="1F497D" w:themeColor="text2"/>
          <w:szCs w:val="20"/>
          <w:lang w:val="en-GB"/>
        </w:rPr>
      </w:pPr>
    </w:p>
    <w:p w14:paraId="2848A080" w14:textId="77777777" w:rsidR="00440C4E" w:rsidRDefault="00440C4E">
      <w:pPr>
        <w:suppressAutoHyphens w:val="0"/>
        <w:jc w:val="left"/>
        <w:rPr>
          <w:rFonts w:eastAsia="Calibri" w:cs="Arial"/>
          <w:b/>
          <w:color w:val="1F497D" w:themeColor="text2"/>
          <w:szCs w:val="20"/>
          <w:lang w:val="en-GB"/>
        </w:rPr>
      </w:pPr>
    </w:p>
    <w:p w14:paraId="6EE61BE6" w14:textId="77777777" w:rsidR="00440C4E" w:rsidRDefault="00440C4E">
      <w:pPr>
        <w:suppressAutoHyphens w:val="0"/>
        <w:jc w:val="left"/>
        <w:rPr>
          <w:rFonts w:eastAsia="Calibri" w:cs="Arial"/>
          <w:b/>
          <w:color w:val="1F497D" w:themeColor="text2"/>
          <w:szCs w:val="20"/>
          <w:lang w:val="en-GB"/>
        </w:rPr>
      </w:pPr>
    </w:p>
    <w:p w14:paraId="625C9907" w14:textId="77777777" w:rsidR="00440C4E" w:rsidRDefault="00440C4E">
      <w:pPr>
        <w:suppressAutoHyphens w:val="0"/>
        <w:jc w:val="left"/>
        <w:rPr>
          <w:rFonts w:eastAsia="Calibri" w:cs="Arial"/>
          <w:b/>
          <w:color w:val="1F497D" w:themeColor="text2"/>
          <w:szCs w:val="20"/>
          <w:lang w:val="en-GB"/>
        </w:rPr>
      </w:pPr>
    </w:p>
    <w:p w14:paraId="701CDB23" w14:textId="77777777" w:rsidR="00440C4E" w:rsidRDefault="00440C4E">
      <w:pPr>
        <w:suppressAutoHyphens w:val="0"/>
        <w:jc w:val="left"/>
        <w:rPr>
          <w:rFonts w:eastAsia="Calibri" w:cs="Arial"/>
          <w:b/>
          <w:color w:val="1F497D" w:themeColor="text2"/>
          <w:szCs w:val="20"/>
          <w:lang w:val="en-GB"/>
        </w:rPr>
      </w:pPr>
    </w:p>
    <w:p w14:paraId="769C8612" w14:textId="77777777" w:rsidR="00440C4E" w:rsidRDefault="00440C4E">
      <w:pPr>
        <w:suppressAutoHyphens w:val="0"/>
        <w:jc w:val="left"/>
        <w:rPr>
          <w:rFonts w:eastAsia="Calibri" w:cs="Arial"/>
          <w:b/>
          <w:color w:val="1F497D" w:themeColor="text2"/>
          <w:szCs w:val="20"/>
          <w:lang w:val="en-GB"/>
        </w:rPr>
      </w:pPr>
    </w:p>
    <w:p w14:paraId="0C6F9462" w14:textId="77777777" w:rsidR="00440C4E" w:rsidRDefault="00440C4E">
      <w:pPr>
        <w:suppressAutoHyphens w:val="0"/>
        <w:jc w:val="left"/>
        <w:rPr>
          <w:rFonts w:eastAsia="Calibri" w:cs="Arial"/>
          <w:b/>
          <w:color w:val="1F497D" w:themeColor="text2"/>
          <w:szCs w:val="20"/>
          <w:lang w:val="en-GB"/>
        </w:rPr>
      </w:pPr>
    </w:p>
    <w:p w14:paraId="4FD13D2C" w14:textId="77777777" w:rsidR="00440C4E" w:rsidRDefault="00440C4E">
      <w:pPr>
        <w:suppressAutoHyphens w:val="0"/>
        <w:jc w:val="left"/>
        <w:rPr>
          <w:rFonts w:eastAsia="Calibri" w:cs="Arial"/>
          <w:b/>
          <w:color w:val="1F497D" w:themeColor="text2"/>
          <w:szCs w:val="20"/>
          <w:lang w:val="en-GB"/>
        </w:rPr>
      </w:pPr>
    </w:p>
    <w:p w14:paraId="1FDDD8CF" w14:textId="77777777" w:rsidR="00440C4E" w:rsidRDefault="00440C4E">
      <w:pPr>
        <w:suppressAutoHyphens w:val="0"/>
        <w:jc w:val="left"/>
        <w:rPr>
          <w:rFonts w:eastAsia="Calibri" w:cs="Arial"/>
          <w:b/>
          <w:color w:val="1F497D" w:themeColor="text2"/>
          <w:szCs w:val="20"/>
          <w:lang w:val="en-GB"/>
        </w:rPr>
      </w:pPr>
    </w:p>
    <w:p w14:paraId="060901AD" w14:textId="77777777" w:rsidR="00440C4E" w:rsidRDefault="00440C4E">
      <w:pPr>
        <w:suppressAutoHyphens w:val="0"/>
        <w:jc w:val="left"/>
        <w:rPr>
          <w:rFonts w:eastAsia="Calibri" w:cs="Arial"/>
          <w:b/>
          <w:color w:val="1F497D" w:themeColor="text2"/>
          <w:szCs w:val="20"/>
          <w:lang w:val="en-GB"/>
        </w:rPr>
      </w:pPr>
    </w:p>
    <w:p w14:paraId="336EB441" w14:textId="77777777" w:rsidR="00440C4E" w:rsidRDefault="00440C4E">
      <w:pPr>
        <w:suppressAutoHyphens w:val="0"/>
        <w:jc w:val="left"/>
        <w:rPr>
          <w:rFonts w:eastAsia="Calibri" w:cs="Arial"/>
          <w:b/>
          <w:color w:val="1F497D" w:themeColor="text2"/>
          <w:szCs w:val="20"/>
          <w:lang w:val="en-GB"/>
        </w:rPr>
      </w:pPr>
    </w:p>
    <w:p w14:paraId="064F341E" w14:textId="77777777" w:rsidR="00440C4E" w:rsidRDefault="00440C4E">
      <w:pPr>
        <w:suppressAutoHyphens w:val="0"/>
        <w:jc w:val="left"/>
        <w:rPr>
          <w:rFonts w:eastAsia="Calibri" w:cs="Arial"/>
          <w:b/>
          <w:color w:val="1F497D" w:themeColor="text2"/>
          <w:szCs w:val="20"/>
          <w:lang w:val="en-GB"/>
        </w:rPr>
      </w:pPr>
    </w:p>
    <w:p w14:paraId="589C94F2" w14:textId="77777777" w:rsidR="00440C4E" w:rsidRDefault="00440C4E">
      <w:pPr>
        <w:suppressAutoHyphens w:val="0"/>
        <w:jc w:val="left"/>
        <w:rPr>
          <w:rFonts w:eastAsia="Calibri" w:cs="Arial"/>
          <w:b/>
          <w:color w:val="1F497D" w:themeColor="text2"/>
          <w:szCs w:val="20"/>
          <w:lang w:val="en-GB"/>
        </w:rPr>
      </w:pPr>
    </w:p>
    <w:p w14:paraId="2EBE8D00" w14:textId="77777777" w:rsidR="00440C4E" w:rsidRDefault="00440C4E">
      <w:pPr>
        <w:suppressAutoHyphens w:val="0"/>
        <w:jc w:val="left"/>
        <w:rPr>
          <w:rFonts w:eastAsia="Calibri" w:cs="Arial"/>
          <w:b/>
          <w:color w:val="1F497D" w:themeColor="text2"/>
          <w:szCs w:val="20"/>
          <w:lang w:val="en-GB"/>
        </w:rPr>
      </w:pPr>
    </w:p>
    <w:p w14:paraId="5EB039D8" w14:textId="77777777" w:rsidR="00440C4E" w:rsidRDefault="00440C4E">
      <w:pPr>
        <w:suppressAutoHyphens w:val="0"/>
        <w:jc w:val="left"/>
        <w:rPr>
          <w:rFonts w:eastAsia="Calibri" w:cs="Arial"/>
          <w:b/>
          <w:color w:val="1F497D" w:themeColor="text2"/>
          <w:szCs w:val="20"/>
          <w:lang w:val="en-GB"/>
        </w:rPr>
      </w:pPr>
    </w:p>
    <w:p w14:paraId="3FDF7944" w14:textId="77777777" w:rsidR="00440C4E" w:rsidRDefault="00440C4E">
      <w:pPr>
        <w:suppressAutoHyphens w:val="0"/>
        <w:jc w:val="left"/>
        <w:rPr>
          <w:rFonts w:eastAsia="Calibri" w:cs="Arial"/>
          <w:b/>
          <w:color w:val="1F497D" w:themeColor="text2"/>
          <w:szCs w:val="20"/>
          <w:lang w:val="en-GB"/>
        </w:rPr>
      </w:pPr>
    </w:p>
    <w:p w14:paraId="07710B4D" w14:textId="6EF4C967" w:rsidR="00B515A6" w:rsidRDefault="00B515A6">
      <w:pPr>
        <w:suppressAutoHyphens w:val="0"/>
        <w:jc w:val="left"/>
        <w:rPr>
          <w:rFonts w:eastAsia="Calibri" w:cs="Arial"/>
          <w:b/>
          <w:color w:val="1F497D" w:themeColor="text2"/>
          <w:szCs w:val="20"/>
          <w:lang w:val="en-GB"/>
        </w:rPr>
      </w:pPr>
      <w:r>
        <w:rPr>
          <w:rFonts w:eastAsia="Calibri" w:cs="Arial"/>
          <w:b/>
          <w:color w:val="1F497D" w:themeColor="text2"/>
          <w:szCs w:val="20"/>
          <w:lang w:val="en-GB"/>
        </w:rPr>
        <w:br w:type="page"/>
      </w:r>
    </w:p>
    <w:p w14:paraId="2ACC1DCD" w14:textId="77777777" w:rsidR="00440C4E" w:rsidRDefault="00440C4E" w:rsidP="00FE13E8">
      <w:pPr>
        <w:keepNext/>
        <w:keepLines/>
        <w:rPr>
          <w:rFonts w:eastAsia="Calibri" w:cs="Arial"/>
          <w:b/>
          <w:color w:val="1F497D" w:themeColor="text2"/>
          <w:szCs w:val="20"/>
          <w:lang w:val="en-GB"/>
        </w:rPr>
      </w:pPr>
    </w:p>
    <w:p w14:paraId="06EA6B81" w14:textId="40D0F176" w:rsidR="00D42D30" w:rsidRPr="00697A02" w:rsidRDefault="0091531C" w:rsidP="00FE13E8">
      <w:pPr>
        <w:keepNext/>
        <w:keepLines/>
        <w:rPr>
          <w:rFonts w:eastAsia="Calibri" w:cs="Arial"/>
          <w:b/>
          <w:color w:val="1F497D" w:themeColor="text2"/>
          <w:szCs w:val="20"/>
          <w:lang w:val="en-GB"/>
        </w:rPr>
      </w:pPr>
      <w:bookmarkStart w:id="0" w:name="_GoBack"/>
      <w:bookmarkEnd w:id="0"/>
      <w:r w:rsidRPr="00697A02">
        <w:rPr>
          <w:rFonts w:eastAsia="Calibri" w:cs="Arial"/>
          <w:b/>
          <w:color w:val="1F497D" w:themeColor="text2"/>
          <w:szCs w:val="20"/>
          <w:lang w:val="en-GB"/>
        </w:rPr>
        <w:t>III</w:t>
      </w:r>
      <w:r w:rsidR="00FE13E8" w:rsidRPr="00697A02">
        <w:rPr>
          <w:rFonts w:eastAsia="Calibri" w:cs="Arial"/>
          <w:b/>
          <w:color w:val="1F497D" w:themeColor="text2"/>
          <w:szCs w:val="20"/>
          <w:lang w:val="en-GB"/>
        </w:rPr>
        <w:t xml:space="preserve">. </w:t>
      </w:r>
      <w:r w:rsidR="008431F3" w:rsidRPr="00697A02">
        <w:rPr>
          <w:b/>
          <w:color w:val="1F497D" w:themeColor="text2"/>
          <w:szCs w:val="20"/>
          <w:lang w:val="en-GB"/>
        </w:rPr>
        <w:t>Slovenia’s ODA in 2019</w:t>
      </w:r>
    </w:p>
    <w:p w14:paraId="6A2AF712" w14:textId="77777777" w:rsidR="00D42D30" w:rsidRPr="00FE4F18" w:rsidRDefault="00D42D30" w:rsidP="00FE13E8">
      <w:pPr>
        <w:keepNext/>
        <w:keepLines/>
        <w:rPr>
          <w:rFonts w:asciiTheme="minorHAnsi" w:eastAsia="Calibri" w:hAnsiTheme="minorHAnsi" w:cstheme="minorHAnsi"/>
          <w:b/>
          <w:sz w:val="22"/>
          <w:szCs w:val="22"/>
          <w:lang w:val="en-GB"/>
        </w:rPr>
      </w:pPr>
    </w:p>
    <w:p w14:paraId="0D556B1F" w14:textId="77777777" w:rsidR="003D3E55" w:rsidRPr="00FE4F18" w:rsidRDefault="0091531C" w:rsidP="00FE13E8">
      <w:pPr>
        <w:rPr>
          <w:rFonts w:eastAsia="Calibri"/>
          <w:lang w:val="en-GB"/>
        </w:rPr>
      </w:pPr>
      <w:r w:rsidRPr="00FE4F18">
        <w:rPr>
          <w:lang w:val="en-GB"/>
        </w:rPr>
        <w:t xml:space="preserve">In 2019, Slovenia allocated EUR 77.44 million or 0.16% of its GNI to </w:t>
      </w:r>
      <w:r w:rsidR="00D73960">
        <w:rPr>
          <w:lang w:val="en-GB"/>
        </w:rPr>
        <w:t>ODA</w:t>
      </w:r>
      <w:r w:rsidR="00D42D30" w:rsidRPr="00FE4F18">
        <w:rPr>
          <w:rFonts w:eastAsia="Calibri"/>
          <w:lang w:val="en-GB"/>
        </w:rPr>
        <w:t xml:space="preserve">. </w:t>
      </w:r>
    </w:p>
    <w:p w14:paraId="20FB4839" w14:textId="77777777" w:rsidR="002B2166" w:rsidRPr="00FE4F18" w:rsidRDefault="002B2166" w:rsidP="00FE13E8">
      <w:pPr>
        <w:rPr>
          <w:rFonts w:asciiTheme="minorHAnsi" w:eastAsia="Calibri" w:hAnsiTheme="minorHAnsi" w:cstheme="minorHAnsi"/>
          <w:bCs/>
          <w:sz w:val="22"/>
          <w:szCs w:val="22"/>
          <w:lang w:val="en-GB"/>
        </w:rPr>
      </w:pPr>
    </w:p>
    <w:p w14:paraId="630E82E1" w14:textId="77777777" w:rsidR="002B2166" w:rsidRPr="00FE4F18" w:rsidRDefault="0091531C" w:rsidP="00FE13E8">
      <w:pPr>
        <w:rPr>
          <w:rFonts w:eastAsia="Calibri"/>
          <w:bCs/>
          <w:lang w:val="en-GB"/>
        </w:rPr>
      </w:pPr>
      <w:r w:rsidRPr="00FE4F18">
        <w:rPr>
          <w:rFonts w:eastAsia="Calibri"/>
          <w:lang w:val="en-GB"/>
        </w:rPr>
        <w:t>Chart 3: Breakdown of Slovenia's ODA in 2019 by main categories</w:t>
      </w:r>
    </w:p>
    <w:p w14:paraId="3EBFD937" w14:textId="77777777" w:rsidR="00E50227" w:rsidRPr="00FE4F18" w:rsidRDefault="0091531C" w:rsidP="001C6FC9">
      <w:pPr>
        <w:jc w:val="center"/>
        <w:rPr>
          <w:rFonts w:asciiTheme="minorHAnsi" w:eastAsia="Calibri" w:hAnsiTheme="minorHAnsi" w:cstheme="minorHAnsi"/>
          <w:b/>
          <w:sz w:val="22"/>
          <w:szCs w:val="22"/>
          <w:lang w:val="en-GB"/>
        </w:rPr>
      </w:pPr>
      <w:r w:rsidRPr="001C6FC9">
        <w:rPr>
          <w:rFonts w:asciiTheme="minorHAnsi" w:eastAsia="Calibri" w:hAnsiTheme="minorHAnsi" w:cstheme="minorHAnsi"/>
          <w:b/>
          <w:noProof/>
          <w:sz w:val="22"/>
          <w:szCs w:val="22"/>
          <w:lang w:eastAsia="sl-SI"/>
        </w:rPr>
        <w:drawing>
          <wp:inline distT="0" distB="0" distL="0" distR="0" wp14:anchorId="77C5074C" wp14:editId="5CB5D7BB">
            <wp:extent cx="4454193" cy="2647950"/>
            <wp:effectExtent l="0" t="0" r="3810" b="0"/>
            <wp:docPr id="23" name="Slika 23" descr="Breakdown of Slovenia's ODA in 2019 by main categories. 77.4 mio EUR of total ODA is composed of 49.7 mio EUR multilateral aid and 27.8 mio EUR bilateral aid. &#10;Bilateral aid is composed of 22.3 mio EUR for development cooperation in narrower sense, 2.3 mio EUR of humanitarian aid and 3.2 mio EUR of administrative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117561" name="Slika 23" descr="Breakdown of Slovenia's ODA in 2019 by main categories. 77.4 mio EUR of total ODA is composed of 49.7 mio EUR multilateral aid and 27.8 mio EUR bilateral aid. &#10;Bilateral aid is composed of 22.3 mio EUR for development cooperation in narrower sense, 2.3 mio EUR of humanitarian aid and 3.2 mio EUR of administrative costs."/>
                    <pic:cNvPicPr/>
                  </pic:nvPicPr>
                  <pic:blipFill>
                    <a:blip r:embed="rId25"/>
                    <a:stretch>
                      <a:fillRect/>
                    </a:stretch>
                  </pic:blipFill>
                  <pic:spPr>
                    <a:xfrm>
                      <a:off x="0" y="0"/>
                      <a:ext cx="4479538" cy="2663017"/>
                    </a:xfrm>
                    <a:prstGeom prst="rect">
                      <a:avLst/>
                    </a:prstGeom>
                  </pic:spPr>
                </pic:pic>
              </a:graphicData>
            </a:graphic>
          </wp:inline>
        </w:drawing>
      </w:r>
    </w:p>
    <w:p w14:paraId="60FCE6E6" w14:textId="77777777" w:rsidR="002611CE" w:rsidRDefault="002611CE" w:rsidP="00FE13E8">
      <w:pPr>
        <w:rPr>
          <w:b/>
          <w:bCs/>
          <w:lang w:val="en-GB"/>
        </w:rPr>
      </w:pPr>
    </w:p>
    <w:p w14:paraId="6132F02D" w14:textId="06CC9D68" w:rsidR="003D3E55" w:rsidRPr="00FE4F18" w:rsidRDefault="0091531C" w:rsidP="00FE13E8">
      <w:pPr>
        <w:rPr>
          <w:rFonts w:eastAsia="Calibri"/>
          <w:lang w:val="en-GB"/>
        </w:rPr>
      </w:pPr>
      <w:r w:rsidRPr="00FE4F18">
        <w:rPr>
          <w:b/>
          <w:bCs/>
          <w:lang w:val="en-GB"/>
        </w:rPr>
        <w:t>Multilateral development aid</w:t>
      </w:r>
      <w:r w:rsidRPr="00FE4F18">
        <w:rPr>
          <w:lang w:val="en-GB"/>
        </w:rPr>
        <w:t xml:space="preserve"> mostly consists of contributions to the EU budget</w:t>
      </w:r>
      <w:r w:rsidR="007A3952">
        <w:rPr>
          <w:lang w:val="en-GB"/>
        </w:rPr>
        <w:t xml:space="preserve"> to be spent</w:t>
      </w:r>
      <w:r w:rsidRPr="00FE4F18">
        <w:rPr>
          <w:lang w:val="en-GB"/>
        </w:rPr>
        <w:t xml:space="preserve"> for development cooperation </w:t>
      </w:r>
      <w:r w:rsidR="00D73960">
        <w:rPr>
          <w:lang w:val="en-GB"/>
        </w:rPr>
        <w:t xml:space="preserve">of </w:t>
      </w:r>
      <w:r w:rsidRPr="00FE4F18">
        <w:rPr>
          <w:lang w:val="en-GB"/>
        </w:rPr>
        <w:t>the EU, contributions to</w:t>
      </w:r>
      <w:r w:rsidR="007A3952">
        <w:rPr>
          <w:lang w:val="en-GB"/>
        </w:rPr>
        <w:t xml:space="preserve"> </w:t>
      </w:r>
      <w:r w:rsidR="00B515A6">
        <w:rPr>
          <w:lang w:val="en-GB"/>
        </w:rPr>
        <w:t xml:space="preserve">the </w:t>
      </w:r>
      <w:r w:rsidR="007A3952">
        <w:rPr>
          <w:lang w:val="en-GB"/>
        </w:rPr>
        <w:t>extra-budgetary</w:t>
      </w:r>
      <w:r w:rsidRPr="00FE4F18">
        <w:rPr>
          <w:lang w:val="en-GB"/>
        </w:rPr>
        <w:t xml:space="preserve"> European Development Fund (EDF), contributions to World Bank</w:t>
      </w:r>
      <w:r w:rsidR="005E54FA">
        <w:rPr>
          <w:lang w:val="en-GB"/>
        </w:rPr>
        <w:t xml:space="preserve"> institutions</w:t>
      </w:r>
      <w:r w:rsidRPr="00FE4F18">
        <w:rPr>
          <w:lang w:val="en-GB"/>
        </w:rPr>
        <w:t xml:space="preserve"> (particularly the International Development Association – IDA) and to the UN, including its agencies and funds. A smaller share is allocated to regional development banks (below 0.5%). Other contributions include payments into the Center of Excellence in Finance’s budget and the Green Climate Fund, a part of the Council of Europe and OSCE membership fees, contributions to the Global Environment Fund and the Montreal Protocol, etc</w:t>
      </w:r>
      <w:r w:rsidRPr="00FE4F18">
        <w:rPr>
          <w:rFonts w:eastAsia="Calibri"/>
          <w:lang w:val="en-GB"/>
        </w:rPr>
        <w:t xml:space="preserve">. </w:t>
      </w:r>
    </w:p>
    <w:p w14:paraId="7A34DA64" w14:textId="77777777" w:rsidR="002B2166" w:rsidRPr="00FE4F18" w:rsidRDefault="002B2166" w:rsidP="00FE13E8">
      <w:pPr>
        <w:rPr>
          <w:rFonts w:eastAsia="Calibri"/>
          <w:i/>
          <w:lang w:val="en-GB"/>
        </w:rPr>
      </w:pPr>
    </w:p>
    <w:p w14:paraId="58AB2BAF" w14:textId="77777777" w:rsidR="002B2166" w:rsidRDefault="0091531C" w:rsidP="00FD5B6A">
      <w:pPr>
        <w:suppressAutoHyphens w:val="0"/>
        <w:jc w:val="left"/>
        <w:rPr>
          <w:rFonts w:eastAsia="Calibri"/>
          <w:lang w:val="en-GB"/>
        </w:rPr>
      </w:pPr>
      <w:r w:rsidRPr="00FE4F18">
        <w:rPr>
          <w:rFonts w:eastAsia="Calibri"/>
          <w:lang w:val="en-GB"/>
        </w:rPr>
        <w:t xml:space="preserve">Chart </w:t>
      </w:r>
      <w:r w:rsidR="00450E61" w:rsidRPr="00FE4F18">
        <w:rPr>
          <w:rFonts w:eastAsia="Calibri"/>
          <w:lang w:val="en-GB"/>
        </w:rPr>
        <w:t>4</w:t>
      </w:r>
      <w:r w:rsidRPr="00FE4F18">
        <w:rPr>
          <w:rFonts w:eastAsia="Calibri"/>
          <w:lang w:val="en-GB"/>
        </w:rPr>
        <w:t>: Breakdown of Slovenia's multilateral aid in 2019 by recipients</w:t>
      </w:r>
    </w:p>
    <w:p w14:paraId="39B7AE11" w14:textId="77777777" w:rsidR="001A5217" w:rsidRDefault="0091531C" w:rsidP="001A5217">
      <w:pPr>
        <w:jc w:val="center"/>
        <w:rPr>
          <w:rFonts w:eastAsia="Calibri"/>
          <w:lang w:val="en-GB"/>
        </w:rPr>
      </w:pPr>
      <w:r>
        <w:rPr>
          <w:rFonts w:eastAsia="Calibri"/>
          <w:noProof/>
          <w:lang w:eastAsia="sl-SI"/>
        </w:rPr>
        <w:drawing>
          <wp:inline distT="0" distB="0" distL="0" distR="0" wp14:anchorId="47221B24" wp14:editId="027817BD">
            <wp:extent cx="4567160" cy="2190750"/>
            <wp:effectExtent l="0" t="0" r="5080" b="0"/>
            <wp:docPr id="26" name="Slika 26" descr="Breakdown of Slovenia's multilateral aid in 2019 by recipients. 83% of multilateral aid went to the EU, 6% to the UN, 2% to the World Bank Group, 8% to other multilateral organisations and 0.2% to Regional Development B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384380" name="Slika 26" descr="Breakdown of Slovenia's multilateral aid in 2019 by recipients. 83% of multilateral aid went to the EU, 6% to the UN, 2% to the World Bank Group, 8% to other multilateral organisations and 0.2% to Regional Development Banks."/>
                    <pic:cNvPicPr>
                      <a:picLocks noChangeAspect="1" noChangeArrowheads="1"/>
                    </pic:cNvPicPr>
                  </pic:nvPicPr>
                  <pic:blipFill>
                    <a:blip r:embed="rId26">
                      <a:extLst>
                        <a:ext uri="{28A0092B-C50C-407E-A947-70E740481C1C}">
                          <a14:useLocalDpi xmlns:a14="http://schemas.microsoft.com/office/drawing/2010/main" val="0"/>
                        </a:ext>
                      </a:extLst>
                    </a:blip>
                    <a:srcRect l="4824" t="4281" r="2577" b="10328"/>
                    <a:stretch>
                      <a:fillRect/>
                    </a:stretch>
                  </pic:blipFill>
                  <pic:spPr bwMode="auto">
                    <a:xfrm>
                      <a:off x="0" y="0"/>
                      <a:ext cx="4636338" cy="2223933"/>
                    </a:xfrm>
                    <a:prstGeom prst="rect">
                      <a:avLst/>
                    </a:prstGeom>
                    <a:noFill/>
                    <a:ln>
                      <a:noFill/>
                    </a:ln>
                    <a:extLst>
                      <a:ext uri="{53640926-AAD7-44D8-BBD7-CCE9431645EC}">
                        <a14:shadowObscured xmlns:a14="http://schemas.microsoft.com/office/drawing/2010/main"/>
                      </a:ext>
                    </a:extLst>
                  </pic:spPr>
                </pic:pic>
              </a:graphicData>
            </a:graphic>
          </wp:inline>
        </w:drawing>
      </w:r>
    </w:p>
    <w:p w14:paraId="569DA5AE" w14:textId="77777777" w:rsidR="008431F3" w:rsidRPr="00FE4F18" w:rsidRDefault="0091531C" w:rsidP="008431F3">
      <w:pPr>
        <w:rPr>
          <w:rFonts w:cs="Arial"/>
          <w:lang w:val="en-GB"/>
        </w:rPr>
      </w:pPr>
      <w:r>
        <w:rPr>
          <w:b/>
          <w:bCs/>
          <w:lang w:val="en-GB"/>
        </w:rPr>
        <w:t>B</w:t>
      </w:r>
      <w:r w:rsidRPr="00FE4F18">
        <w:rPr>
          <w:b/>
          <w:bCs/>
          <w:lang w:val="en-GB"/>
        </w:rPr>
        <w:t>ilateral development aid</w:t>
      </w:r>
      <w:r w:rsidRPr="00FE4F18">
        <w:rPr>
          <w:lang w:val="en-GB"/>
        </w:rPr>
        <w:t xml:space="preserve"> is the most consistent with the geographical and thematic priorities set out in the Resolution. The Resolution defines the following </w:t>
      </w:r>
      <w:r w:rsidRPr="00FE4F18">
        <w:rPr>
          <w:b/>
          <w:bCs/>
          <w:lang w:val="en-GB"/>
        </w:rPr>
        <w:t>thematic priorities</w:t>
      </w:r>
      <w:r w:rsidR="001A5217">
        <w:rPr>
          <w:b/>
          <w:bCs/>
          <w:lang w:val="en-GB"/>
        </w:rPr>
        <w:t xml:space="preserve"> </w:t>
      </w:r>
      <w:r w:rsidR="001A5217" w:rsidRPr="001A5217">
        <w:rPr>
          <w:lang w:val="en-GB"/>
        </w:rPr>
        <w:t>for development aid in a narrow sense</w:t>
      </w:r>
      <w:r w:rsidRPr="00FE4F18">
        <w:rPr>
          <w:lang w:val="en-GB"/>
        </w:rPr>
        <w:t xml:space="preserve">: </w:t>
      </w:r>
    </w:p>
    <w:p w14:paraId="78E9E670" w14:textId="77777777" w:rsidR="008431F3" w:rsidRPr="00FE4F18" w:rsidRDefault="0091531C" w:rsidP="00B515A6">
      <w:pPr>
        <w:pStyle w:val="ListParagraph"/>
        <w:numPr>
          <w:ilvl w:val="0"/>
          <w:numId w:val="11"/>
        </w:numPr>
        <w:ind w:left="284" w:hanging="284"/>
        <w:rPr>
          <w:rFonts w:cs="Arial"/>
          <w:lang w:val="en-GB"/>
        </w:rPr>
      </w:pPr>
      <w:r w:rsidRPr="00FE4F18">
        <w:rPr>
          <w:lang w:val="en-GB"/>
        </w:rPr>
        <w:t xml:space="preserve">promotion of peaceful and inclusive societies, with particular emphasis on good governance, equal opportunities, gender equality and quality education; and </w:t>
      </w:r>
    </w:p>
    <w:p w14:paraId="403A5BE9" w14:textId="32F3FC6E" w:rsidR="00D73960" w:rsidRPr="00D73960" w:rsidRDefault="005E54FA" w:rsidP="00B515A6">
      <w:pPr>
        <w:pStyle w:val="ListParagraph"/>
        <w:numPr>
          <w:ilvl w:val="0"/>
          <w:numId w:val="11"/>
        </w:numPr>
        <w:ind w:left="284" w:hanging="284"/>
        <w:rPr>
          <w:rFonts w:cs="Arial"/>
          <w:lang w:val="en-GB"/>
        </w:rPr>
      </w:pPr>
      <w:r>
        <w:rPr>
          <w:lang w:val="en-GB"/>
        </w:rPr>
        <w:t xml:space="preserve">the </w:t>
      </w:r>
      <w:r w:rsidR="0091531C" w:rsidRPr="00FE4F18">
        <w:rPr>
          <w:lang w:val="en-GB"/>
        </w:rPr>
        <w:t xml:space="preserve">fight against climate change focused on sustainable management of natural and energy resources. </w:t>
      </w:r>
    </w:p>
    <w:p w14:paraId="19E4D1FD" w14:textId="77777777" w:rsidR="00FE13E8" w:rsidRPr="00FE4F18" w:rsidRDefault="00FE13E8" w:rsidP="00FE13E8">
      <w:pPr>
        <w:rPr>
          <w:rFonts w:cs="Arial"/>
          <w:lang w:val="en-GB"/>
        </w:rPr>
      </w:pPr>
    </w:p>
    <w:p w14:paraId="7A58904D" w14:textId="77777777" w:rsidR="00831704" w:rsidRPr="00D73960" w:rsidRDefault="0091531C" w:rsidP="00831704">
      <w:pPr>
        <w:rPr>
          <w:rFonts w:cs="Arial"/>
          <w:lang w:val="en-GB"/>
        </w:rPr>
      </w:pPr>
      <w:r w:rsidRPr="00FE4F18">
        <w:rPr>
          <w:lang w:val="en-GB"/>
        </w:rPr>
        <w:t>To ensure greater efficiency, the Strategy further narrows these thematic priorities and link</w:t>
      </w:r>
      <w:r w:rsidR="007A3952">
        <w:rPr>
          <w:lang w:val="en-GB"/>
        </w:rPr>
        <w:t>s</w:t>
      </w:r>
      <w:r w:rsidRPr="00FE4F18">
        <w:rPr>
          <w:lang w:val="en-GB"/>
        </w:rPr>
        <w:t xml:space="preserve"> them to four sustainable development goals: 8 – decent work and economic growth, 12 – circular economy, 13 – climate </w:t>
      </w:r>
      <w:r>
        <w:rPr>
          <w:lang w:val="en-GB"/>
        </w:rPr>
        <w:t>change</w:t>
      </w:r>
      <w:r w:rsidRPr="00FE4F18">
        <w:rPr>
          <w:lang w:val="en-GB"/>
        </w:rPr>
        <w:t xml:space="preserve"> and 16 – peaceful and inclusive society and good governance. </w:t>
      </w:r>
      <w:r w:rsidRPr="00D73960">
        <w:rPr>
          <w:lang w:val="en-GB"/>
        </w:rPr>
        <w:t>Gender equality, women's empowerment and environmental protection are</w:t>
      </w:r>
      <w:r w:rsidR="007A3952">
        <w:rPr>
          <w:lang w:val="en-GB"/>
        </w:rPr>
        <w:t xml:space="preserve"> mainstreamed into</w:t>
      </w:r>
      <w:r w:rsidRPr="00D73960">
        <w:rPr>
          <w:lang w:val="en-GB"/>
        </w:rPr>
        <w:t xml:space="preserve"> Slovenia’s development cooperation</w:t>
      </w:r>
      <w:r w:rsidRPr="00D73960">
        <w:rPr>
          <w:rFonts w:cs="Arial"/>
          <w:lang w:val="en-GB"/>
        </w:rPr>
        <w:t xml:space="preserve">. </w:t>
      </w:r>
    </w:p>
    <w:p w14:paraId="32A4DF6C" w14:textId="77777777" w:rsidR="00FE13E8" w:rsidRPr="00FE4F18" w:rsidRDefault="00FE13E8" w:rsidP="00FE13E8">
      <w:pPr>
        <w:rPr>
          <w:rFonts w:asciiTheme="minorHAnsi" w:hAnsiTheme="minorHAnsi" w:cstheme="minorHAnsi"/>
          <w:sz w:val="22"/>
          <w:szCs w:val="22"/>
          <w:lang w:val="en-GB"/>
        </w:rPr>
      </w:pPr>
    </w:p>
    <w:p w14:paraId="7B5DC5C2" w14:textId="77777777" w:rsidR="00B515A6" w:rsidRDefault="00B515A6">
      <w:pPr>
        <w:suppressAutoHyphens w:val="0"/>
        <w:jc w:val="left"/>
        <w:rPr>
          <w:lang w:val="en-GB"/>
        </w:rPr>
      </w:pPr>
      <w:r>
        <w:rPr>
          <w:lang w:val="en-GB"/>
        </w:rPr>
        <w:br w:type="page"/>
      </w:r>
    </w:p>
    <w:p w14:paraId="7A1BF90A" w14:textId="0672C0DE" w:rsidR="0042560A" w:rsidRDefault="0091531C" w:rsidP="00FE13E8">
      <w:pPr>
        <w:rPr>
          <w:lang w:val="en-GB"/>
        </w:rPr>
      </w:pPr>
      <w:r w:rsidRPr="00FE4F18">
        <w:rPr>
          <w:lang w:val="en-GB"/>
        </w:rPr>
        <w:lastRenderedPageBreak/>
        <w:t xml:space="preserve">Chart </w:t>
      </w:r>
      <w:r w:rsidR="004C16E3" w:rsidRPr="00FE4F18">
        <w:rPr>
          <w:lang w:val="en-GB"/>
        </w:rPr>
        <w:t xml:space="preserve">5: </w:t>
      </w:r>
      <w:r w:rsidRPr="00FE4F18">
        <w:rPr>
          <w:lang w:val="en-GB"/>
        </w:rPr>
        <w:t>Breakdown of bilateral development aid in a narrow sense in 2019 by thematic priorities</w:t>
      </w:r>
    </w:p>
    <w:p w14:paraId="387C2355" w14:textId="0D644002" w:rsidR="00B515A6" w:rsidRDefault="00B515A6" w:rsidP="00816177">
      <w:pPr>
        <w:rPr>
          <w:lang w:val="en-GB"/>
        </w:rPr>
      </w:pPr>
    </w:p>
    <w:p w14:paraId="59F8552E" w14:textId="3244A4BB" w:rsidR="00B515A6" w:rsidRDefault="00B515A6" w:rsidP="00816177">
      <w:pPr>
        <w:rPr>
          <w:lang w:val="en-GB"/>
        </w:rPr>
      </w:pPr>
      <w:r>
        <w:rPr>
          <w:noProof/>
          <w:lang w:eastAsia="sl-SI"/>
        </w:rPr>
        <w:drawing>
          <wp:inline distT="0" distB="0" distL="0" distR="0" wp14:anchorId="29B0CB31" wp14:editId="5F951AA2">
            <wp:extent cx="5924550" cy="2111401"/>
            <wp:effectExtent l="0" t="0" r="0" b="3175"/>
            <wp:docPr id="4" name="Picture 4" descr="The chart shows the breakdown of bilateral development aid in a narrow sense in 2019 by thematic priorities, i.e. SDG 4, SDG 16, SDG 8 + SDG 5, SDG 6 and Other." title="Chart 5: Breakdown of bilateral development aid in a narrow sense in 2019 by thematic prior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a:extLst>
                        <a:ext uri="{28A0092B-C50C-407E-A947-70E740481C1C}">
                          <a14:useLocalDpi xmlns:a14="http://schemas.microsoft.com/office/drawing/2010/main" val="0"/>
                        </a:ext>
                      </a:extLst>
                    </a:blip>
                    <a:srcRect l="10141" t="7349" r="11517" b="10627"/>
                    <a:stretch/>
                  </pic:blipFill>
                  <pic:spPr bwMode="auto">
                    <a:xfrm>
                      <a:off x="0" y="0"/>
                      <a:ext cx="5955290" cy="2122356"/>
                    </a:xfrm>
                    <a:prstGeom prst="rect">
                      <a:avLst/>
                    </a:prstGeom>
                    <a:noFill/>
                    <a:ln>
                      <a:noFill/>
                    </a:ln>
                    <a:extLst>
                      <a:ext uri="{53640926-AAD7-44D8-BBD7-CCE9431645EC}">
                        <a14:shadowObscured xmlns:a14="http://schemas.microsoft.com/office/drawing/2010/main"/>
                      </a:ext>
                    </a:extLst>
                  </pic:spPr>
                </pic:pic>
              </a:graphicData>
            </a:graphic>
          </wp:inline>
        </w:drawing>
      </w:r>
    </w:p>
    <w:p w14:paraId="48F52B16" w14:textId="0082D565" w:rsidR="00B515A6" w:rsidRDefault="00B515A6" w:rsidP="00816177">
      <w:pPr>
        <w:rPr>
          <w:lang w:val="en-GB"/>
        </w:rPr>
      </w:pPr>
    </w:p>
    <w:p w14:paraId="3419BC78" w14:textId="77777777" w:rsidR="00816177" w:rsidRPr="00FE4F18" w:rsidRDefault="0091531C" w:rsidP="00816177">
      <w:pPr>
        <w:rPr>
          <w:rFonts w:cs="Arial"/>
          <w:lang w:val="en-GB"/>
        </w:rPr>
      </w:pPr>
      <w:r w:rsidRPr="00FE4F18">
        <w:rPr>
          <w:lang w:val="en-GB"/>
        </w:rPr>
        <w:t xml:space="preserve">The Resolution determines </w:t>
      </w:r>
      <w:r w:rsidRPr="004B4AF4">
        <w:rPr>
          <w:b/>
          <w:bCs/>
          <w:lang w:val="en-GB"/>
        </w:rPr>
        <w:t xml:space="preserve">the thematic priorities </w:t>
      </w:r>
      <w:r w:rsidR="007A3952">
        <w:rPr>
          <w:b/>
          <w:bCs/>
          <w:lang w:val="en-GB"/>
        </w:rPr>
        <w:t>of</w:t>
      </w:r>
      <w:r w:rsidR="001A5217" w:rsidRPr="004B4AF4">
        <w:rPr>
          <w:b/>
          <w:bCs/>
          <w:lang w:val="en-GB"/>
        </w:rPr>
        <w:t xml:space="preserve"> humanitarian aid</w:t>
      </w:r>
      <w:r w:rsidR="001A5217">
        <w:rPr>
          <w:lang w:val="en-GB"/>
        </w:rPr>
        <w:t xml:space="preserve"> </w:t>
      </w:r>
      <w:r w:rsidRPr="00FE4F18">
        <w:rPr>
          <w:lang w:val="en-GB"/>
        </w:rPr>
        <w:t>by area of activity:</w:t>
      </w:r>
    </w:p>
    <w:p w14:paraId="5A601F7C" w14:textId="77777777" w:rsidR="00816177" w:rsidRPr="00FE4F18" w:rsidRDefault="0091531C" w:rsidP="00816177">
      <w:pPr>
        <w:numPr>
          <w:ilvl w:val="0"/>
          <w:numId w:val="7"/>
        </w:numPr>
        <w:shd w:val="clear" w:color="auto" w:fill="FFFFFF"/>
        <w:ind w:left="284" w:hanging="284"/>
        <w:rPr>
          <w:rFonts w:cs="Arial"/>
          <w:szCs w:val="20"/>
          <w:lang w:val="en-GB"/>
        </w:rPr>
      </w:pPr>
      <w:r w:rsidRPr="00FE4F18">
        <w:rPr>
          <w:lang w:val="en-GB"/>
        </w:rPr>
        <w:t>emergency aid is allocated independently of thematic and geographical priorities;</w:t>
      </w:r>
    </w:p>
    <w:p w14:paraId="34A4B45C" w14:textId="77777777" w:rsidR="00816177" w:rsidRPr="00FE4F18" w:rsidRDefault="0091531C" w:rsidP="00816177">
      <w:pPr>
        <w:numPr>
          <w:ilvl w:val="0"/>
          <w:numId w:val="7"/>
        </w:numPr>
        <w:shd w:val="clear" w:color="auto" w:fill="FFFFFF"/>
        <w:ind w:left="284" w:hanging="284"/>
        <w:rPr>
          <w:rFonts w:cs="Arial"/>
          <w:szCs w:val="20"/>
          <w:lang w:val="en-GB"/>
        </w:rPr>
      </w:pPr>
      <w:r w:rsidRPr="00FE4F18">
        <w:rPr>
          <w:lang w:val="en-GB"/>
        </w:rPr>
        <w:t>aid in the aftermath of humanitarian crises, with the following two thematic priorities:</w:t>
      </w:r>
    </w:p>
    <w:p w14:paraId="2DA7FEDF" w14:textId="77777777" w:rsidR="00816177" w:rsidRPr="00FE4F18" w:rsidRDefault="0091531C" w:rsidP="00816177">
      <w:pPr>
        <w:numPr>
          <w:ilvl w:val="1"/>
          <w:numId w:val="7"/>
        </w:numPr>
        <w:shd w:val="clear" w:color="auto" w:fill="FFFFFF"/>
        <w:ind w:left="567" w:hanging="283"/>
        <w:rPr>
          <w:rFonts w:cs="Arial"/>
          <w:szCs w:val="20"/>
          <w:lang w:val="en-GB"/>
        </w:rPr>
      </w:pPr>
      <w:r w:rsidRPr="00FE4F18">
        <w:rPr>
          <w:lang w:val="en-GB"/>
        </w:rPr>
        <w:t>human security and protection, including mine action programmes and mine victims assistance;</w:t>
      </w:r>
    </w:p>
    <w:p w14:paraId="20E97580" w14:textId="77777777" w:rsidR="00816177" w:rsidRPr="00FE4F18" w:rsidRDefault="0091531C" w:rsidP="00816177">
      <w:pPr>
        <w:numPr>
          <w:ilvl w:val="1"/>
          <w:numId w:val="7"/>
        </w:numPr>
        <w:shd w:val="clear" w:color="auto" w:fill="FFFFFF"/>
        <w:ind w:left="567" w:hanging="283"/>
        <w:rPr>
          <w:rFonts w:cs="Arial"/>
          <w:szCs w:val="20"/>
          <w:lang w:val="en-GB"/>
        </w:rPr>
      </w:pPr>
      <w:r w:rsidRPr="00FE4F18">
        <w:rPr>
          <w:lang w:val="en-GB"/>
        </w:rPr>
        <w:t>assistance in the aftermath of armed conflicts, particularly to children;</w:t>
      </w:r>
    </w:p>
    <w:p w14:paraId="374D63BA" w14:textId="77777777" w:rsidR="00FE13E8" w:rsidRPr="00FE4F18" w:rsidRDefault="0091531C" w:rsidP="00816177">
      <w:pPr>
        <w:numPr>
          <w:ilvl w:val="0"/>
          <w:numId w:val="7"/>
        </w:numPr>
        <w:shd w:val="clear" w:color="auto" w:fill="FFFFFF"/>
        <w:ind w:left="284" w:hanging="284"/>
        <w:rPr>
          <w:rFonts w:cs="Arial"/>
          <w:szCs w:val="20"/>
          <w:lang w:val="en-GB"/>
        </w:rPr>
      </w:pPr>
      <w:r w:rsidRPr="00FE4F18">
        <w:rPr>
          <w:lang w:val="en-GB"/>
        </w:rPr>
        <w:t>activities to reduce vulnerability to and risk of crises, preventive action and building resilience; the thematic priority of these activities is guaranteeing a stable supply of drinking water and safe, adequate and good-quality food, especially to children</w:t>
      </w:r>
      <w:r w:rsidRPr="00FE4F18">
        <w:rPr>
          <w:rFonts w:cs="Arial"/>
          <w:szCs w:val="20"/>
          <w:lang w:val="en-GB"/>
        </w:rPr>
        <w:t>.</w:t>
      </w:r>
    </w:p>
    <w:p w14:paraId="6CEFF811" w14:textId="762BA798" w:rsidR="0091531C" w:rsidRDefault="0091531C">
      <w:pPr>
        <w:suppressAutoHyphens w:val="0"/>
        <w:jc w:val="left"/>
        <w:rPr>
          <w:lang w:val="en-GB"/>
        </w:rPr>
      </w:pPr>
    </w:p>
    <w:p w14:paraId="4D0C9C83" w14:textId="77777777" w:rsidR="004C16E3" w:rsidRDefault="0091531C" w:rsidP="00FE13E8">
      <w:pPr>
        <w:rPr>
          <w:lang w:val="en-GB"/>
        </w:rPr>
      </w:pPr>
      <w:r w:rsidRPr="00FE4F18">
        <w:rPr>
          <w:lang w:val="en-GB"/>
        </w:rPr>
        <w:t xml:space="preserve">Chart </w:t>
      </w:r>
      <w:r w:rsidR="00450E61" w:rsidRPr="00FE4F18">
        <w:rPr>
          <w:lang w:val="en-GB"/>
        </w:rPr>
        <w:t>6</w:t>
      </w:r>
      <w:r w:rsidRPr="00FE4F18">
        <w:rPr>
          <w:lang w:val="en-GB"/>
        </w:rPr>
        <w:t>: Breakdown of Slovenia’s humanitarian aid in 2019 by thematic priorities</w:t>
      </w:r>
    </w:p>
    <w:p w14:paraId="5F23CE6A" w14:textId="3DA507F9" w:rsidR="00B515A6" w:rsidRDefault="00B515A6" w:rsidP="00B515A6">
      <w:pPr>
        <w:suppressAutoHyphens w:val="0"/>
        <w:jc w:val="center"/>
        <w:rPr>
          <w:b/>
          <w:bCs/>
          <w:lang w:val="en-GB"/>
        </w:rPr>
      </w:pPr>
      <w:r>
        <w:rPr>
          <w:b/>
          <w:bCs/>
          <w:noProof/>
          <w:lang w:eastAsia="sl-SI"/>
        </w:rPr>
        <w:drawing>
          <wp:inline distT="0" distB="0" distL="0" distR="0" wp14:anchorId="097A4DDE" wp14:editId="3DF3D795">
            <wp:extent cx="5410200" cy="2634387"/>
            <wp:effectExtent l="0" t="0" r="0" b="0"/>
            <wp:docPr id="5" name="Picture 5" descr="Breakdown of Slovenia’s humanitarian aid in 2019 by thematic priorities - 46% was sent on Emergency aid, 40% on Reconstruction and Rehabilitation plus 3% on Reconstruction and Rehabilitation beyond priorities, and 2% was spent on Preventive action plus another 9% on Preventive action beyond priorities." title="Chart 6: Breakdown of Slovenia’s humanitarian aid in 2019 by thematic prior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
                      <a:extLst>
                        <a:ext uri="{28A0092B-C50C-407E-A947-70E740481C1C}">
                          <a14:useLocalDpi xmlns:a14="http://schemas.microsoft.com/office/drawing/2010/main" val="0"/>
                        </a:ext>
                      </a:extLst>
                    </a:blip>
                    <a:srcRect l="13574" t="13593" r="15289" b="27226"/>
                    <a:stretch/>
                  </pic:blipFill>
                  <pic:spPr bwMode="auto">
                    <a:xfrm>
                      <a:off x="0" y="0"/>
                      <a:ext cx="5437278" cy="2647572"/>
                    </a:xfrm>
                    <a:prstGeom prst="rect">
                      <a:avLst/>
                    </a:prstGeom>
                    <a:noFill/>
                    <a:ln>
                      <a:noFill/>
                    </a:ln>
                    <a:extLst>
                      <a:ext uri="{53640926-AAD7-44D8-BBD7-CCE9431645EC}">
                        <a14:shadowObscured xmlns:a14="http://schemas.microsoft.com/office/drawing/2010/main"/>
                      </a:ext>
                    </a:extLst>
                  </pic:spPr>
                </pic:pic>
              </a:graphicData>
            </a:graphic>
          </wp:inline>
        </w:drawing>
      </w:r>
    </w:p>
    <w:p w14:paraId="101D6A0C" w14:textId="77777777" w:rsidR="00B515A6" w:rsidRDefault="00B515A6" w:rsidP="0091531C">
      <w:pPr>
        <w:suppressAutoHyphens w:val="0"/>
        <w:rPr>
          <w:b/>
          <w:bCs/>
          <w:lang w:val="en-GB"/>
        </w:rPr>
      </w:pPr>
    </w:p>
    <w:p w14:paraId="410F935E" w14:textId="6BC31E17" w:rsidR="00FE13E8" w:rsidRPr="00FE4F18" w:rsidRDefault="0091531C" w:rsidP="00FE13E8">
      <w:pPr>
        <w:rPr>
          <w:rFonts w:cs="Arial"/>
          <w:color w:val="000000"/>
          <w:lang w:val="en-GB" w:eastAsia="sl-SI"/>
        </w:rPr>
      </w:pPr>
      <w:r w:rsidRPr="00FE4F18">
        <w:rPr>
          <w:b/>
          <w:bCs/>
          <w:lang w:val="en-GB"/>
        </w:rPr>
        <w:t>Slovenia’s geographical priorities</w:t>
      </w:r>
      <w:r w:rsidRPr="00FE4F18">
        <w:rPr>
          <w:lang w:val="en-GB"/>
        </w:rPr>
        <w:t xml:space="preserve"> are the Western Balkans, European neighbourhood and Sub-Saharan Africa, </w:t>
      </w:r>
      <w:r w:rsidR="007A3952">
        <w:rPr>
          <w:lang w:val="en-GB"/>
        </w:rPr>
        <w:t>particularly</w:t>
      </w:r>
      <w:r w:rsidRPr="00FE4F18">
        <w:rPr>
          <w:lang w:val="en-GB"/>
        </w:rPr>
        <w:t xml:space="preserve"> </w:t>
      </w:r>
      <w:r w:rsidR="007A3952">
        <w:rPr>
          <w:lang w:val="en-GB"/>
        </w:rPr>
        <w:t>its</w:t>
      </w:r>
      <w:r w:rsidRPr="00FE4F18">
        <w:rPr>
          <w:lang w:val="en-GB"/>
        </w:rPr>
        <w:t xml:space="preserve"> least developed countries (LDCs).</w:t>
      </w:r>
      <w:r w:rsidRPr="00FE4F18">
        <w:rPr>
          <w:color w:val="000000"/>
          <w:lang w:val="en-GB"/>
        </w:rPr>
        <w:t xml:space="preserve"> </w:t>
      </w:r>
      <w:r w:rsidRPr="00FE4F18">
        <w:rPr>
          <w:lang w:val="en-GB"/>
        </w:rPr>
        <w:t>In 2019, Slovenia channelled EUR 16.78 million or 68</w:t>
      </w:r>
      <w:r w:rsidR="00B515A6">
        <w:rPr>
          <w:lang w:val="en-GB"/>
        </w:rPr>
        <w:t>%</w:t>
      </w:r>
      <w:r w:rsidRPr="00FE4F18">
        <w:rPr>
          <w:lang w:val="en-GB"/>
        </w:rPr>
        <w:t xml:space="preserve"> of its entire available bilateral aid to the Western Balkan countries, the largest share to Bosnia and Herzegovina. </w:t>
      </w:r>
      <w:r w:rsidRPr="00FE4F18">
        <w:rPr>
          <w:color w:val="000000"/>
          <w:lang w:val="en-GB"/>
        </w:rPr>
        <w:t>To countries in the European neighbourhood it channelled EUR 2.87 million or 12</w:t>
      </w:r>
      <w:r w:rsidR="00542037">
        <w:rPr>
          <w:color w:val="000000"/>
          <w:lang w:val="en-GB"/>
        </w:rPr>
        <w:t>%</w:t>
      </w:r>
      <w:r w:rsidRPr="00FE4F18">
        <w:rPr>
          <w:color w:val="000000"/>
          <w:lang w:val="en-GB"/>
        </w:rPr>
        <w:t xml:space="preserve"> of the available bilateral aid, and to Sub-Saharan countries EUR 0.45 million or 2</w:t>
      </w:r>
      <w:r w:rsidR="00542037">
        <w:rPr>
          <w:color w:val="000000"/>
          <w:lang w:val="en-GB"/>
        </w:rPr>
        <w:t>%</w:t>
      </w:r>
      <w:r w:rsidRPr="00FE4F18">
        <w:rPr>
          <w:rFonts w:cs="Arial"/>
          <w:color w:val="000000"/>
          <w:lang w:val="en-GB" w:eastAsia="sl-SI"/>
        </w:rPr>
        <w:t xml:space="preserve">. </w:t>
      </w:r>
    </w:p>
    <w:p w14:paraId="0D955006" w14:textId="77777777" w:rsidR="007A3952" w:rsidRDefault="007A3952" w:rsidP="00FE13E8">
      <w:pPr>
        <w:rPr>
          <w:lang w:val="en-GB"/>
        </w:rPr>
      </w:pPr>
      <w:bookmarkStart w:id="1" w:name="_Toc48820698"/>
    </w:p>
    <w:p w14:paraId="0F14727F" w14:textId="77777777" w:rsidR="00B515A6" w:rsidRDefault="00B515A6">
      <w:pPr>
        <w:suppressAutoHyphens w:val="0"/>
        <w:jc w:val="left"/>
        <w:rPr>
          <w:lang w:val="en-GB"/>
        </w:rPr>
      </w:pPr>
      <w:r>
        <w:rPr>
          <w:lang w:val="en-GB"/>
        </w:rPr>
        <w:br w:type="page"/>
      </w:r>
    </w:p>
    <w:p w14:paraId="342BA59C" w14:textId="3E138CFC" w:rsidR="004C16E3" w:rsidRPr="00FE4F18" w:rsidRDefault="0091531C" w:rsidP="00FE13E8">
      <w:pPr>
        <w:rPr>
          <w:lang w:val="en-GB"/>
        </w:rPr>
      </w:pPr>
      <w:r w:rsidRPr="00FE4F18">
        <w:rPr>
          <w:lang w:val="en-GB"/>
        </w:rPr>
        <w:lastRenderedPageBreak/>
        <w:t xml:space="preserve">Chart </w:t>
      </w:r>
      <w:r w:rsidR="00450E61" w:rsidRPr="00FE4F18">
        <w:rPr>
          <w:lang w:val="en-GB"/>
        </w:rPr>
        <w:t>7</w:t>
      </w:r>
      <w:bookmarkEnd w:id="1"/>
      <w:r w:rsidRPr="00FE4F18">
        <w:rPr>
          <w:lang w:val="en-GB"/>
        </w:rPr>
        <w:t>: Breakdown of available bilateral development aid in 2019 by regions</w:t>
      </w:r>
    </w:p>
    <w:p w14:paraId="097D2AB1" w14:textId="77777777" w:rsidR="004C16E3" w:rsidRPr="00FE4F18" w:rsidRDefault="0091531C" w:rsidP="00FE13E8">
      <w:pPr>
        <w:rPr>
          <w:rFonts w:asciiTheme="minorHAnsi" w:hAnsiTheme="minorHAnsi" w:cstheme="minorHAnsi"/>
          <w:sz w:val="22"/>
          <w:szCs w:val="22"/>
          <w:lang w:val="en-GB" w:eastAsia="en-US"/>
        </w:rPr>
      </w:pPr>
      <w:r w:rsidRPr="004B4AF4">
        <w:rPr>
          <w:rFonts w:asciiTheme="minorHAnsi" w:hAnsiTheme="minorHAnsi" w:cstheme="minorHAnsi"/>
          <w:noProof/>
          <w:sz w:val="22"/>
          <w:szCs w:val="22"/>
          <w:lang w:eastAsia="sl-SI"/>
        </w:rPr>
        <w:drawing>
          <wp:inline distT="0" distB="0" distL="0" distR="0" wp14:anchorId="3C38A4BE" wp14:editId="6414D6AD">
            <wp:extent cx="6054368" cy="2273300"/>
            <wp:effectExtent l="0" t="0" r="3810" b="0"/>
            <wp:docPr id="1" name="Slika 1" descr="Breakdown of available bilateral development aid in 2019 by regions.&#10;16.8 mio EUR was provided to aid recepients in the Western Balkans, 2.9 mio EUR for countries in the European Neighbourhood, 0,5 mio EUR for countries in the Sub-Saharan Africa, 1,1 mio EUR for other countries and 3,4 mio EUR for geographically unspecified activ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40977" name="Slika 1" descr="Breakdown of available bilateral development aid in 2019 by regions.&#10;16.8 mio EUR was provided to aid recepients in the Western Balkans, 2.9 mio EUR for countries in the European Neighbourhood, 0,5 mio EUR for countries in the Sub-Saharan Africa, 1,1 mio EUR for other countries and 3,4 mio EUR for geographically unspecified activities.  "/>
                    <pic:cNvPicPr/>
                  </pic:nvPicPr>
                  <pic:blipFill>
                    <a:blip r:embed="rId29"/>
                    <a:stretch>
                      <a:fillRect/>
                    </a:stretch>
                  </pic:blipFill>
                  <pic:spPr>
                    <a:xfrm>
                      <a:off x="0" y="0"/>
                      <a:ext cx="6068347" cy="2278549"/>
                    </a:xfrm>
                    <a:prstGeom prst="rect">
                      <a:avLst/>
                    </a:prstGeom>
                  </pic:spPr>
                </pic:pic>
              </a:graphicData>
            </a:graphic>
          </wp:inline>
        </w:drawing>
      </w:r>
    </w:p>
    <w:p w14:paraId="21DB73B0" w14:textId="77777777" w:rsidR="00816177" w:rsidRPr="00FE4F18" w:rsidRDefault="00816177" w:rsidP="00FE13E8">
      <w:pPr>
        <w:rPr>
          <w:rFonts w:cs="Arial"/>
          <w:color w:val="404040" w:themeColor="text1" w:themeTint="BF"/>
          <w:lang w:val="en-GB"/>
        </w:rPr>
      </w:pPr>
    </w:p>
    <w:p w14:paraId="7AF1E0EE" w14:textId="3766593C" w:rsidR="00FE13E8" w:rsidRPr="00FE4F18" w:rsidRDefault="0091531C" w:rsidP="00FE13E8">
      <w:pPr>
        <w:rPr>
          <w:rFonts w:cs="Arial"/>
          <w:color w:val="404040" w:themeColor="text1" w:themeTint="BF"/>
          <w:lang w:val="en-GB"/>
        </w:rPr>
      </w:pPr>
      <w:r w:rsidRPr="00FE4F18">
        <w:rPr>
          <w:color w:val="404040" w:themeColor="text1" w:themeTint="BF"/>
          <w:lang w:val="en-GB"/>
        </w:rPr>
        <w:t>The largest share of bilateral development aid comes in the form of imputed student costs; in 2019, together with scholarships, these accounted for 44</w:t>
      </w:r>
      <w:r w:rsidR="00542037">
        <w:rPr>
          <w:color w:val="404040" w:themeColor="text1" w:themeTint="BF"/>
          <w:lang w:val="en-GB"/>
        </w:rPr>
        <w:t>%</w:t>
      </w:r>
      <w:r w:rsidRPr="00FE4F18">
        <w:rPr>
          <w:color w:val="404040" w:themeColor="text1" w:themeTint="BF"/>
          <w:lang w:val="en-GB"/>
        </w:rPr>
        <w:t>. The second largest category is project-type interventions (19</w:t>
      </w:r>
      <w:r w:rsidR="00542037">
        <w:rPr>
          <w:color w:val="404040" w:themeColor="text1" w:themeTint="BF"/>
          <w:lang w:val="en-GB"/>
        </w:rPr>
        <w:t>%</w:t>
      </w:r>
      <w:r w:rsidRPr="00FE4F18">
        <w:rPr>
          <w:color w:val="404040" w:themeColor="text1" w:themeTint="BF"/>
          <w:lang w:val="en-GB"/>
        </w:rPr>
        <w:t>), up by 11% compared to the year before. In 2019, Slovenia supported 49 projects in this category. An important share of bilateral development aid (10%) is accounted for by earmarked contributions via international organisations, while other categories account for less tha</w:t>
      </w:r>
      <w:r w:rsidR="00F01678">
        <w:rPr>
          <w:color w:val="404040" w:themeColor="text1" w:themeTint="BF"/>
          <w:lang w:val="en-GB"/>
        </w:rPr>
        <w:t>n</w:t>
      </w:r>
      <w:r w:rsidRPr="00FE4F18">
        <w:rPr>
          <w:color w:val="404040" w:themeColor="text1" w:themeTint="BF"/>
          <w:lang w:val="en-GB"/>
        </w:rPr>
        <w:t xml:space="preserve"> 10% each</w:t>
      </w:r>
      <w:r w:rsidRPr="00FE4F18">
        <w:rPr>
          <w:rFonts w:cs="Arial"/>
          <w:color w:val="404040" w:themeColor="text1" w:themeTint="BF"/>
          <w:lang w:val="en-GB"/>
        </w:rPr>
        <w:t>.</w:t>
      </w:r>
    </w:p>
    <w:p w14:paraId="2C4EFAEE" w14:textId="77777777" w:rsidR="00904A2B" w:rsidRPr="00FE4F18" w:rsidRDefault="00904A2B" w:rsidP="00FE13E8">
      <w:pPr>
        <w:rPr>
          <w:rFonts w:asciiTheme="minorHAnsi" w:eastAsia="Calibri" w:hAnsiTheme="minorHAnsi" w:cstheme="minorHAnsi"/>
          <w:i/>
          <w:sz w:val="22"/>
          <w:szCs w:val="22"/>
          <w:lang w:val="en-GB"/>
        </w:rPr>
      </w:pPr>
    </w:p>
    <w:p w14:paraId="4BD9712E" w14:textId="6C7A1674" w:rsidR="004B4AF4" w:rsidRDefault="0091531C" w:rsidP="00FE13E8">
      <w:pPr>
        <w:rPr>
          <w:lang w:val="en-GB"/>
        </w:rPr>
      </w:pPr>
      <w:r w:rsidRPr="00FE4F18">
        <w:rPr>
          <w:rFonts w:eastAsia="Calibri"/>
          <w:lang w:val="en-GB"/>
        </w:rPr>
        <w:t xml:space="preserve">Chart </w:t>
      </w:r>
      <w:r w:rsidR="00450E61" w:rsidRPr="00FE4F18">
        <w:rPr>
          <w:rFonts w:eastAsia="Calibri"/>
          <w:lang w:val="en-GB"/>
        </w:rPr>
        <w:t>8</w:t>
      </w:r>
      <w:r w:rsidR="00904A2B" w:rsidRPr="00FE4F18">
        <w:rPr>
          <w:rFonts w:eastAsia="Calibri"/>
          <w:lang w:val="en-GB"/>
        </w:rPr>
        <w:t xml:space="preserve">: </w:t>
      </w:r>
      <w:r w:rsidRPr="00FE4F18">
        <w:rPr>
          <w:lang w:val="en-GB"/>
        </w:rPr>
        <w:t>Breakdown of bilateral development aid in 2019 by cooperation</w:t>
      </w:r>
      <w:r w:rsidR="005E54FA" w:rsidRPr="005E54FA">
        <w:rPr>
          <w:lang w:val="en-GB"/>
        </w:rPr>
        <w:t xml:space="preserve"> </w:t>
      </w:r>
      <w:r w:rsidR="005E54FA" w:rsidRPr="00FE4F18">
        <w:rPr>
          <w:lang w:val="en-GB"/>
        </w:rPr>
        <w:t>modalities</w:t>
      </w:r>
    </w:p>
    <w:p w14:paraId="6FD7E03A" w14:textId="77777777" w:rsidR="004B4AF4" w:rsidRDefault="0091531C" w:rsidP="003B7E9A">
      <w:pPr>
        <w:jc w:val="center"/>
        <w:rPr>
          <w:lang w:val="en-GB"/>
        </w:rPr>
      </w:pPr>
      <w:r>
        <w:rPr>
          <w:noProof/>
          <w:lang w:eastAsia="sl-SI"/>
        </w:rPr>
        <w:drawing>
          <wp:inline distT="0" distB="0" distL="0" distR="0" wp14:anchorId="0E7C99E5" wp14:editId="5D28A102">
            <wp:extent cx="4501422" cy="2639323"/>
            <wp:effectExtent l="0" t="0" r="0" b="8890"/>
            <wp:docPr id="28" name="Slika 28" descr="Breakdown of bilateral development aid in 2019 by modalities of cooperation.&#10;12.3 mio EUR can be attributed to imputed student costs and scholarhips, 5.3 mio EUR was spent on project-type interventions, 2,8 mio EUR for earmarked constributions to international organisations, 1,7 mio EUR for technical assistance, 2 mio EUR for in-donor refugee costs, 0.4 mio EUR for core support to NGOs and 3.2 mio EUR for administrative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64462" name="Slika 28" descr="Breakdown of bilateral development aid in 2019 by modalities of cooperation.&#10;12.3 mio EUR can be attributed to imputed student costs and scholarhips, 5.3 mio EUR was spent on project-type interventions, 2,8 mio EUR for earmarked constributions to international organisations, 1,7 mio EUR for technical assistance, 2 mio EUR for in-donor refugee costs, 0.4 mio EUR for core support to NGOs and 3.2 mio EUR for administrative costs."/>
                    <pic:cNvPicPr>
                      <a:picLocks noChangeAspect="1" noChangeArrowheads="1"/>
                    </pic:cNvPicPr>
                  </pic:nvPicPr>
                  <pic:blipFill>
                    <a:blip r:embed="rId30" cstate="print">
                      <a:extLst>
                        <a:ext uri="{28A0092B-C50C-407E-A947-70E740481C1C}">
                          <a14:useLocalDpi xmlns:a14="http://schemas.microsoft.com/office/drawing/2010/main" val="0"/>
                        </a:ext>
                      </a:extLst>
                    </a:blip>
                    <a:srcRect l="3878" t="264" r="9863" b="13947"/>
                    <a:stretch>
                      <a:fillRect/>
                    </a:stretch>
                  </pic:blipFill>
                  <pic:spPr bwMode="auto">
                    <a:xfrm>
                      <a:off x="0" y="0"/>
                      <a:ext cx="4523732" cy="2652404"/>
                    </a:xfrm>
                    <a:prstGeom prst="rect">
                      <a:avLst/>
                    </a:prstGeom>
                    <a:noFill/>
                    <a:ln>
                      <a:noFill/>
                    </a:ln>
                    <a:extLst>
                      <a:ext uri="{53640926-AAD7-44D8-BBD7-CCE9431645EC}">
                        <a14:shadowObscured xmlns:a14="http://schemas.microsoft.com/office/drawing/2010/main"/>
                      </a:ext>
                    </a:extLst>
                  </pic:spPr>
                </pic:pic>
              </a:graphicData>
            </a:graphic>
          </wp:inline>
        </w:drawing>
      </w:r>
    </w:p>
    <w:p w14:paraId="47C20E33" w14:textId="77777777" w:rsidR="0091531C" w:rsidRDefault="0091531C" w:rsidP="00816177">
      <w:pPr>
        <w:rPr>
          <w:lang w:val="en-GB"/>
        </w:rPr>
      </w:pPr>
    </w:p>
    <w:p w14:paraId="7AA7A18D" w14:textId="77777777" w:rsidR="00816177" w:rsidRPr="00FE4F18" w:rsidRDefault="0091531C" w:rsidP="00816177">
      <w:pPr>
        <w:rPr>
          <w:rFonts w:eastAsia="Calibri" w:cs="Arial"/>
          <w:lang w:val="en-GB"/>
        </w:rPr>
      </w:pPr>
      <w:r w:rsidRPr="00FE4F18">
        <w:rPr>
          <w:lang w:val="en-GB"/>
        </w:rPr>
        <w:t xml:space="preserve">Of all line ministries, the Ministry of Finance provides the largest share of funds via its contributions to the EU budget, </w:t>
      </w:r>
      <w:r w:rsidR="002611CE">
        <w:rPr>
          <w:lang w:val="en-GB"/>
        </w:rPr>
        <w:t xml:space="preserve">IDA, </w:t>
      </w:r>
      <w:r w:rsidRPr="00FE4F18">
        <w:rPr>
          <w:lang w:val="en-GB"/>
        </w:rPr>
        <w:t xml:space="preserve">Centre for International Cooperation and Development and </w:t>
      </w:r>
      <w:r w:rsidR="00D25224">
        <w:rPr>
          <w:lang w:val="en-GB"/>
        </w:rPr>
        <w:t xml:space="preserve">a </w:t>
      </w:r>
      <w:r w:rsidR="00542037">
        <w:rPr>
          <w:lang w:val="en-GB"/>
        </w:rPr>
        <w:t>contribution to the core budget</w:t>
      </w:r>
      <w:r w:rsidRPr="00FE4F18">
        <w:rPr>
          <w:lang w:val="en-GB"/>
        </w:rPr>
        <w:t xml:space="preserve"> of the Center of Excellence in Finance. The second largest contributor is the Ministry of Foreign Affairs with its development cooperation activities (ITF, Centre for European Perspective, NGOs, etc.), its contribution to the European Development Fund, humanitarian assistance, awareness-raising and contributions to international organisations, which in whole or in part are ODA</w:t>
      </w:r>
      <w:r w:rsidR="00FE3377">
        <w:rPr>
          <w:lang w:val="en-GB"/>
        </w:rPr>
        <w:t>-eligible</w:t>
      </w:r>
      <w:r w:rsidRPr="00FE4F18">
        <w:rPr>
          <w:lang w:val="en-GB"/>
        </w:rPr>
        <w:t xml:space="preserve">. </w:t>
      </w:r>
    </w:p>
    <w:p w14:paraId="0BED9510" w14:textId="77777777" w:rsidR="00816177" w:rsidRPr="00FE4F18" w:rsidRDefault="00816177" w:rsidP="00816177">
      <w:pPr>
        <w:rPr>
          <w:rFonts w:eastAsia="Calibri" w:cs="Arial"/>
          <w:lang w:val="en-GB"/>
        </w:rPr>
      </w:pPr>
    </w:p>
    <w:p w14:paraId="347C3D96" w14:textId="4E108F11" w:rsidR="00450E61" w:rsidRPr="00FE4F18" w:rsidRDefault="0091531C" w:rsidP="00FE13E8">
      <w:pPr>
        <w:rPr>
          <w:rFonts w:asciiTheme="minorHAnsi" w:eastAsia="Calibri" w:hAnsiTheme="minorHAnsi" w:cstheme="minorHAnsi"/>
          <w:sz w:val="22"/>
          <w:szCs w:val="22"/>
          <w:lang w:val="en-GB"/>
        </w:rPr>
      </w:pPr>
      <w:r w:rsidRPr="00FE4F18">
        <w:rPr>
          <w:lang w:val="en-GB"/>
        </w:rPr>
        <w:t xml:space="preserve">Taking into consideration only the available bilateral development aid, the largest share (44%) is contributed by the Ministry of Education, Science and Sport in the form of imputed student costs in accordance with the protocols in force concluded with the competent institutions of Montenegro, North Macedonia, Bosnia and Herzegovina, Serbia and Kosovo. </w:t>
      </w:r>
      <w:r w:rsidR="005E54FA">
        <w:rPr>
          <w:lang w:val="en-GB"/>
        </w:rPr>
        <w:t>The next largest contributor is the</w:t>
      </w:r>
      <w:r w:rsidRPr="00FE4F18">
        <w:rPr>
          <w:lang w:val="en-GB"/>
        </w:rPr>
        <w:t xml:space="preserve"> Ministry of Foreign Affairs (16%) with a wide array of development and humanitarian activities carried out by its implementing partners</w:t>
      </w:r>
      <w:r w:rsidR="00B515A6" w:rsidRPr="00FE4F18">
        <w:rPr>
          <w:lang w:val="en-GB"/>
        </w:rPr>
        <w:t xml:space="preserve">, </w:t>
      </w:r>
      <w:r w:rsidR="00B515A6">
        <w:rPr>
          <w:lang w:val="en-GB"/>
        </w:rPr>
        <w:t>followed</w:t>
      </w:r>
      <w:r w:rsidR="005E54FA">
        <w:rPr>
          <w:lang w:val="en-GB"/>
        </w:rPr>
        <w:t xml:space="preserve"> by </w:t>
      </w:r>
      <w:r w:rsidRPr="00FE4F18">
        <w:rPr>
          <w:lang w:val="en-GB"/>
        </w:rPr>
        <w:t>the Ministry of Finance (14%) with its projects, mostly carried out via the Centre for International Cooperation and Development. The remaining providers contribute less than 10% of the available bilateral development aid each</w:t>
      </w:r>
      <w:r w:rsidR="00FE13E8" w:rsidRPr="00FE4F18">
        <w:rPr>
          <w:rFonts w:eastAsia="Calibri" w:cs="Arial"/>
          <w:lang w:val="en-GB"/>
        </w:rPr>
        <w:t xml:space="preserve">. </w:t>
      </w:r>
    </w:p>
    <w:sectPr w:rsidR="00450E61" w:rsidRPr="00FE4F18" w:rsidSect="00FD5B6A">
      <w:footnotePr>
        <w:pos w:val="beneathText"/>
      </w:footnotePr>
      <w:type w:val="continuous"/>
      <w:pgSz w:w="11905" w:h="16837" w:code="9"/>
      <w:pgMar w:top="851" w:right="1273" w:bottom="993" w:left="1134" w:header="669" w:footer="79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9F332" w16cex:dateUtc="2022-11-24T12:42:00Z"/>
  <w16cex:commentExtensible w16cex:durableId="2729F2C9" w16cex:dateUtc="2022-11-24T12:40:00Z"/>
  <w16cex:commentExtensible w16cex:durableId="2729F298" w16cex:dateUtc="2022-11-24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D9058A" w16cid:durableId="2729F332"/>
  <w16cid:commentId w16cid:paraId="62F7817E" w16cid:durableId="2729F2C9"/>
  <w16cid:commentId w16cid:paraId="6D89A31B" w16cid:durableId="2729F2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375F0" w14:textId="77777777" w:rsidR="004C407F" w:rsidRDefault="004C407F">
      <w:r>
        <w:separator/>
      </w:r>
    </w:p>
  </w:endnote>
  <w:endnote w:type="continuationSeparator" w:id="0">
    <w:p w14:paraId="5A33E64A" w14:textId="77777777" w:rsidR="004C407F" w:rsidRDefault="004C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Republika">
    <w:altName w:val="Calibri"/>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018825"/>
      <w:docPartObj>
        <w:docPartGallery w:val="Page Numbers (Bottom of Page)"/>
        <w:docPartUnique/>
      </w:docPartObj>
    </w:sdtPr>
    <w:sdtEndPr>
      <w:rPr>
        <w:noProof/>
      </w:rPr>
    </w:sdtEndPr>
    <w:sdtContent>
      <w:p w14:paraId="78F34DAD" w14:textId="205BCD21" w:rsidR="008431F3" w:rsidRPr="00B515A6" w:rsidRDefault="00B515A6" w:rsidP="00B515A6">
        <w:pPr>
          <w:pStyle w:val="Footer"/>
          <w:jc w:val="center"/>
        </w:pPr>
        <w:r>
          <w:fldChar w:fldCharType="begin"/>
        </w:r>
        <w:r>
          <w:instrText xml:space="preserve"> PAGE   \* MERGEFORMAT </w:instrText>
        </w:r>
        <w:r>
          <w:fldChar w:fldCharType="separate"/>
        </w:r>
        <w:r w:rsidR="00440C4E">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CFE2" w14:textId="77777777" w:rsidR="008431F3" w:rsidRDefault="008431F3"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1E4BD" w14:textId="77777777" w:rsidR="004C407F" w:rsidRDefault="004C407F">
      <w:r>
        <w:separator/>
      </w:r>
    </w:p>
  </w:footnote>
  <w:footnote w:type="continuationSeparator" w:id="0">
    <w:p w14:paraId="0690C400" w14:textId="77777777" w:rsidR="004C407F" w:rsidRDefault="004C407F">
      <w:r>
        <w:continuationSeparator/>
      </w:r>
    </w:p>
  </w:footnote>
  <w:footnote w:id="1">
    <w:p w14:paraId="58437DE5" w14:textId="77777777" w:rsidR="00697A02" w:rsidRPr="00697A02" w:rsidRDefault="0091531C" w:rsidP="00FD5B6A">
      <w:pPr>
        <w:pStyle w:val="FootnoteText"/>
        <w:jc w:val="left"/>
        <w:rPr>
          <w:sz w:val="16"/>
          <w:szCs w:val="16"/>
        </w:rPr>
      </w:pPr>
      <w:r w:rsidRPr="00697A02">
        <w:rPr>
          <w:rStyle w:val="FootnoteReference"/>
          <w:sz w:val="16"/>
          <w:szCs w:val="16"/>
        </w:rPr>
        <w:footnoteRef/>
      </w:r>
      <w:r w:rsidRPr="00697A02">
        <w:rPr>
          <w:sz w:val="16"/>
          <w:szCs w:val="16"/>
        </w:rPr>
        <w:t xml:space="preserve"> www.gov.si/assets/ministrstva/MZZ/Dokumenti/multilaterala/razvojno-sodelovanje/ZMRSHP_EN-final.pdf</w:t>
      </w:r>
    </w:p>
  </w:footnote>
  <w:footnote w:id="2">
    <w:p w14:paraId="30418C8A" w14:textId="77777777" w:rsidR="00697A02" w:rsidRPr="00697A02" w:rsidRDefault="0091531C" w:rsidP="00FD5B6A">
      <w:pPr>
        <w:pStyle w:val="FootnoteText"/>
        <w:jc w:val="left"/>
        <w:rPr>
          <w:sz w:val="16"/>
          <w:szCs w:val="16"/>
        </w:rPr>
      </w:pPr>
      <w:r w:rsidRPr="00697A02">
        <w:rPr>
          <w:rStyle w:val="FootnoteReference"/>
          <w:sz w:val="16"/>
          <w:szCs w:val="16"/>
        </w:rPr>
        <w:footnoteRef/>
      </w:r>
      <w:r w:rsidRPr="00697A02">
        <w:rPr>
          <w:sz w:val="16"/>
          <w:szCs w:val="16"/>
        </w:rPr>
        <w:t xml:space="preserve"> www.gov.si/assets/ministrstva/MZZ/Dokumenti/multilaterala/razvojno-sodelovanje/Uredba_MRS_EN-final.pdf</w:t>
      </w:r>
    </w:p>
  </w:footnote>
  <w:footnote w:id="3">
    <w:p w14:paraId="5DB95582" w14:textId="77777777" w:rsidR="00697A02" w:rsidRPr="00697A02" w:rsidRDefault="0091531C" w:rsidP="00FD5B6A">
      <w:pPr>
        <w:pStyle w:val="FootnoteText"/>
        <w:jc w:val="left"/>
        <w:rPr>
          <w:sz w:val="16"/>
          <w:szCs w:val="16"/>
        </w:rPr>
      </w:pPr>
      <w:r w:rsidRPr="00697A02">
        <w:rPr>
          <w:rStyle w:val="FootnoteReference"/>
          <w:sz w:val="16"/>
          <w:szCs w:val="16"/>
        </w:rPr>
        <w:footnoteRef/>
      </w:r>
      <w:r w:rsidRPr="00697A02">
        <w:rPr>
          <w:sz w:val="16"/>
          <w:szCs w:val="16"/>
        </w:rPr>
        <w:t xml:space="preserve"> www.gov.si/assets/ministrstva/MZZ/Dokumenti/multilaterala/razvojno-sodelovanje/Development-Cooperation-and-Humanitarian-Aid-Strategy-of-the-Republic-of-Slovenia.pdf</w:t>
      </w:r>
    </w:p>
  </w:footnote>
  <w:footnote w:id="4">
    <w:p w14:paraId="2A125217" w14:textId="77777777" w:rsidR="00697A02" w:rsidRPr="00697A02" w:rsidRDefault="0091531C" w:rsidP="00FD5B6A">
      <w:pPr>
        <w:pStyle w:val="FootnoteText"/>
        <w:jc w:val="left"/>
        <w:rPr>
          <w:sz w:val="16"/>
          <w:szCs w:val="16"/>
        </w:rPr>
      </w:pPr>
      <w:r w:rsidRPr="00697A02">
        <w:rPr>
          <w:rStyle w:val="FootnoteReference"/>
          <w:sz w:val="16"/>
          <w:szCs w:val="16"/>
        </w:rPr>
        <w:footnoteRef/>
      </w:r>
      <w:r w:rsidRPr="00697A02">
        <w:rPr>
          <w:sz w:val="16"/>
          <w:szCs w:val="16"/>
        </w:rPr>
        <w:t xml:space="preserve"> www.un.org/sustainabledevelopment/sustainable-development-goals/</w:t>
      </w:r>
    </w:p>
  </w:footnote>
  <w:footnote w:id="5">
    <w:p w14:paraId="1BE40B7B" w14:textId="77777777" w:rsidR="00697A02" w:rsidRPr="00697A02" w:rsidRDefault="0091531C" w:rsidP="00FD5B6A">
      <w:pPr>
        <w:pStyle w:val="FootnoteText"/>
        <w:jc w:val="left"/>
        <w:rPr>
          <w:sz w:val="16"/>
          <w:szCs w:val="16"/>
        </w:rPr>
      </w:pPr>
      <w:r w:rsidRPr="00697A02">
        <w:rPr>
          <w:rStyle w:val="FootnoteReference"/>
          <w:sz w:val="16"/>
          <w:szCs w:val="16"/>
        </w:rPr>
        <w:footnoteRef/>
      </w:r>
      <w:r w:rsidRPr="00697A02">
        <w:rPr>
          <w:sz w:val="16"/>
          <w:szCs w:val="16"/>
        </w:rPr>
        <w:t xml:space="preserve"> www.consilium.europa.eu/media/24004/european-consensus-on-development-2-june-2017-clean_final.pdf</w:t>
      </w:r>
    </w:p>
  </w:footnote>
  <w:footnote w:id="6">
    <w:p w14:paraId="16994055" w14:textId="77777777" w:rsidR="00697A02" w:rsidRPr="00FD5B6A" w:rsidRDefault="0091531C">
      <w:pPr>
        <w:pStyle w:val="FootnoteText"/>
        <w:rPr>
          <w:sz w:val="16"/>
          <w:szCs w:val="16"/>
        </w:rPr>
      </w:pPr>
      <w:r w:rsidRPr="00FD5B6A">
        <w:rPr>
          <w:rStyle w:val="FootnoteReference"/>
          <w:sz w:val="16"/>
          <w:szCs w:val="16"/>
        </w:rPr>
        <w:footnoteRef/>
      </w:r>
      <w:r w:rsidRPr="00FD5B6A">
        <w:rPr>
          <w:sz w:val="16"/>
          <w:szCs w:val="16"/>
        </w:rPr>
        <w:t xml:space="preserve"> www.cmsr.si/en/centre-for-international-cooperation-and-development/</w:t>
      </w:r>
    </w:p>
  </w:footnote>
  <w:footnote w:id="7">
    <w:p w14:paraId="1045BDC5" w14:textId="77777777" w:rsidR="00697A02" w:rsidRPr="00FD5B6A" w:rsidRDefault="0091531C">
      <w:pPr>
        <w:pStyle w:val="FootnoteText"/>
        <w:rPr>
          <w:sz w:val="16"/>
          <w:szCs w:val="16"/>
        </w:rPr>
      </w:pPr>
      <w:r w:rsidRPr="00FD5B6A">
        <w:rPr>
          <w:rStyle w:val="FootnoteReference"/>
          <w:sz w:val="16"/>
          <w:szCs w:val="16"/>
        </w:rPr>
        <w:footnoteRef/>
      </w:r>
      <w:r w:rsidRPr="00FD5B6A">
        <w:rPr>
          <w:sz w:val="16"/>
          <w:szCs w:val="16"/>
        </w:rPr>
        <w:t xml:space="preserve"> www.itf.si/about-us/itf-in-a-nutshell</w:t>
      </w:r>
    </w:p>
  </w:footnote>
  <w:footnote w:id="8">
    <w:p w14:paraId="5E8DED94" w14:textId="77777777" w:rsidR="00697A02" w:rsidRPr="00FD5B6A" w:rsidRDefault="0091531C">
      <w:pPr>
        <w:pStyle w:val="FootnoteText"/>
        <w:rPr>
          <w:sz w:val="16"/>
          <w:szCs w:val="16"/>
        </w:rPr>
      </w:pPr>
      <w:r w:rsidRPr="00FD5B6A">
        <w:rPr>
          <w:rStyle w:val="FootnoteReference"/>
          <w:sz w:val="16"/>
          <w:szCs w:val="16"/>
        </w:rPr>
        <w:footnoteRef/>
      </w:r>
      <w:r w:rsidRPr="00FD5B6A">
        <w:rPr>
          <w:sz w:val="16"/>
          <w:szCs w:val="16"/>
        </w:rPr>
        <w:t xml:space="preserve"> www.cep.si/</w:t>
      </w:r>
    </w:p>
  </w:footnote>
  <w:footnote w:id="9">
    <w:p w14:paraId="05E03DC1" w14:textId="77777777" w:rsidR="00697A02" w:rsidRDefault="0091531C">
      <w:pPr>
        <w:pStyle w:val="FootnoteText"/>
      </w:pPr>
      <w:r w:rsidRPr="00FD5B6A">
        <w:rPr>
          <w:rStyle w:val="FootnoteReference"/>
          <w:sz w:val="16"/>
          <w:szCs w:val="16"/>
        </w:rPr>
        <w:footnoteRef/>
      </w:r>
      <w:r w:rsidRPr="00FD5B6A">
        <w:rPr>
          <w:sz w:val="16"/>
          <w:szCs w:val="16"/>
        </w:rPr>
        <w:t xml:space="preserve"> www.cef-see.org/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0BD31" w14:textId="77777777" w:rsidR="008431F3" w:rsidRPr="00B515A6" w:rsidRDefault="008431F3" w:rsidP="00482C50">
    <w:pPr>
      <w:tabs>
        <w:tab w:val="left" w:pos="3960"/>
      </w:tabs>
      <w:spacing w:before="60"/>
      <w:ind w:right="30"/>
      <w:rPr>
        <w:rFonts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E35744"/>
    <w:multiLevelType w:val="hybridMultilevel"/>
    <w:tmpl w:val="17349E34"/>
    <w:lvl w:ilvl="0" w:tplc="36F008AC">
      <w:start w:val="1"/>
      <w:numFmt w:val="decimal"/>
      <w:lvlText w:val="%1."/>
      <w:lvlJc w:val="left"/>
      <w:pPr>
        <w:ind w:left="720" w:hanging="360"/>
      </w:pPr>
      <w:rPr>
        <w:rFonts w:hint="default"/>
      </w:rPr>
    </w:lvl>
    <w:lvl w:ilvl="1" w:tplc="1C72C13C" w:tentative="1">
      <w:start w:val="1"/>
      <w:numFmt w:val="bullet"/>
      <w:lvlText w:val="o"/>
      <w:lvlJc w:val="left"/>
      <w:pPr>
        <w:ind w:left="1440" w:hanging="360"/>
      </w:pPr>
      <w:rPr>
        <w:rFonts w:ascii="Courier New" w:hAnsi="Courier New" w:cs="Courier New" w:hint="default"/>
      </w:rPr>
    </w:lvl>
    <w:lvl w:ilvl="2" w:tplc="C12072D6" w:tentative="1">
      <w:start w:val="1"/>
      <w:numFmt w:val="bullet"/>
      <w:lvlText w:val=""/>
      <w:lvlJc w:val="left"/>
      <w:pPr>
        <w:ind w:left="2160" w:hanging="360"/>
      </w:pPr>
      <w:rPr>
        <w:rFonts w:ascii="Wingdings" w:hAnsi="Wingdings" w:hint="default"/>
      </w:rPr>
    </w:lvl>
    <w:lvl w:ilvl="3" w:tplc="F8A68ACE" w:tentative="1">
      <w:start w:val="1"/>
      <w:numFmt w:val="bullet"/>
      <w:lvlText w:val=""/>
      <w:lvlJc w:val="left"/>
      <w:pPr>
        <w:ind w:left="2880" w:hanging="360"/>
      </w:pPr>
      <w:rPr>
        <w:rFonts w:ascii="Symbol" w:hAnsi="Symbol" w:hint="default"/>
      </w:rPr>
    </w:lvl>
    <w:lvl w:ilvl="4" w:tplc="6DB07E6E" w:tentative="1">
      <w:start w:val="1"/>
      <w:numFmt w:val="bullet"/>
      <w:lvlText w:val="o"/>
      <w:lvlJc w:val="left"/>
      <w:pPr>
        <w:ind w:left="3600" w:hanging="360"/>
      </w:pPr>
      <w:rPr>
        <w:rFonts w:ascii="Courier New" w:hAnsi="Courier New" w:cs="Courier New" w:hint="default"/>
      </w:rPr>
    </w:lvl>
    <w:lvl w:ilvl="5" w:tplc="A2621D66" w:tentative="1">
      <w:start w:val="1"/>
      <w:numFmt w:val="bullet"/>
      <w:lvlText w:val=""/>
      <w:lvlJc w:val="left"/>
      <w:pPr>
        <w:ind w:left="4320" w:hanging="360"/>
      </w:pPr>
      <w:rPr>
        <w:rFonts w:ascii="Wingdings" w:hAnsi="Wingdings" w:hint="default"/>
      </w:rPr>
    </w:lvl>
    <w:lvl w:ilvl="6" w:tplc="57D2895C" w:tentative="1">
      <w:start w:val="1"/>
      <w:numFmt w:val="bullet"/>
      <w:lvlText w:val=""/>
      <w:lvlJc w:val="left"/>
      <w:pPr>
        <w:ind w:left="5040" w:hanging="360"/>
      </w:pPr>
      <w:rPr>
        <w:rFonts w:ascii="Symbol" w:hAnsi="Symbol" w:hint="default"/>
      </w:rPr>
    </w:lvl>
    <w:lvl w:ilvl="7" w:tplc="208C080C" w:tentative="1">
      <w:start w:val="1"/>
      <w:numFmt w:val="bullet"/>
      <w:lvlText w:val="o"/>
      <w:lvlJc w:val="left"/>
      <w:pPr>
        <w:ind w:left="5760" w:hanging="360"/>
      </w:pPr>
      <w:rPr>
        <w:rFonts w:ascii="Courier New" w:hAnsi="Courier New" w:cs="Courier New" w:hint="default"/>
      </w:rPr>
    </w:lvl>
    <w:lvl w:ilvl="8" w:tplc="1A64EABE" w:tentative="1">
      <w:start w:val="1"/>
      <w:numFmt w:val="bullet"/>
      <w:lvlText w:val=""/>
      <w:lvlJc w:val="left"/>
      <w:pPr>
        <w:ind w:left="6480" w:hanging="360"/>
      </w:pPr>
      <w:rPr>
        <w:rFonts w:ascii="Wingdings" w:hAnsi="Wingdings" w:hint="default"/>
      </w:rPr>
    </w:lvl>
  </w:abstractNum>
  <w:abstractNum w:abstractNumId="2" w15:restartNumberingAfterBreak="0">
    <w:nsid w:val="0C94443B"/>
    <w:multiLevelType w:val="hybridMultilevel"/>
    <w:tmpl w:val="8C2CE298"/>
    <w:lvl w:ilvl="0" w:tplc="B5B8F362">
      <w:start w:val="1"/>
      <w:numFmt w:val="bullet"/>
      <w:lvlText w:val=""/>
      <w:lvlJc w:val="left"/>
      <w:pPr>
        <w:ind w:left="720" w:hanging="360"/>
      </w:pPr>
      <w:rPr>
        <w:rFonts w:ascii="Symbol" w:hAnsi="Symbol" w:hint="default"/>
      </w:rPr>
    </w:lvl>
    <w:lvl w:ilvl="1" w:tplc="AD564D5A" w:tentative="1">
      <w:start w:val="1"/>
      <w:numFmt w:val="bullet"/>
      <w:lvlText w:val="o"/>
      <w:lvlJc w:val="left"/>
      <w:pPr>
        <w:ind w:left="1440" w:hanging="360"/>
      </w:pPr>
      <w:rPr>
        <w:rFonts w:ascii="Courier New" w:hAnsi="Courier New" w:cs="Courier New" w:hint="default"/>
      </w:rPr>
    </w:lvl>
    <w:lvl w:ilvl="2" w:tplc="0630B8D2" w:tentative="1">
      <w:start w:val="1"/>
      <w:numFmt w:val="bullet"/>
      <w:lvlText w:val=""/>
      <w:lvlJc w:val="left"/>
      <w:pPr>
        <w:ind w:left="2160" w:hanging="360"/>
      </w:pPr>
      <w:rPr>
        <w:rFonts w:ascii="Wingdings" w:hAnsi="Wingdings" w:hint="default"/>
      </w:rPr>
    </w:lvl>
    <w:lvl w:ilvl="3" w:tplc="0724690C" w:tentative="1">
      <w:start w:val="1"/>
      <w:numFmt w:val="bullet"/>
      <w:lvlText w:val=""/>
      <w:lvlJc w:val="left"/>
      <w:pPr>
        <w:ind w:left="2880" w:hanging="360"/>
      </w:pPr>
      <w:rPr>
        <w:rFonts w:ascii="Symbol" w:hAnsi="Symbol" w:hint="default"/>
      </w:rPr>
    </w:lvl>
    <w:lvl w:ilvl="4" w:tplc="81448AAA" w:tentative="1">
      <w:start w:val="1"/>
      <w:numFmt w:val="bullet"/>
      <w:lvlText w:val="o"/>
      <w:lvlJc w:val="left"/>
      <w:pPr>
        <w:ind w:left="3600" w:hanging="360"/>
      </w:pPr>
      <w:rPr>
        <w:rFonts w:ascii="Courier New" w:hAnsi="Courier New" w:cs="Courier New" w:hint="default"/>
      </w:rPr>
    </w:lvl>
    <w:lvl w:ilvl="5" w:tplc="1AF0F116" w:tentative="1">
      <w:start w:val="1"/>
      <w:numFmt w:val="bullet"/>
      <w:lvlText w:val=""/>
      <w:lvlJc w:val="left"/>
      <w:pPr>
        <w:ind w:left="4320" w:hanging="360"/>
      </w:pPr>
      <w:rPr>
        <w:rFonts w:ascii="Wingdings" w:hAnsi="Wingdings" w:hint="default"/>
      </w:rPr>
    </w:lvl>
    <w:lvl w:ilvl="6" w:tplc="9A24D534" w:tentative="1">
      <w:start w:val="1"/>
      <w:numFmt w:val="bullet"/>
      <w:lvlText w:val=""/>
      <w:lvlJc w:val="left"/>
      <w:pPr>
        <w:ind w:left="5040" w:hanging="360"/>
      </w:pPr>
      <w:rPr>
        <w:rFonts w:ascii="Symbol" w:hAnsi="Symbol" w:hint="default"/>
      </w:rPr>
    </w:lvl>
    <w:lvl w:ilvl="7" w:tplc="D36441D8" w:tentative="1">
      <w:start w:val="1"/>
      <w:numFmt w:val="bullet"/>
      <w:lvlText w:val="o"/>
      <w:lvlJc w:val="left"/>
      <w:pPr>
        <w:ind w:left="5760" w:hanging="360"/>
      </w:pPr>
      <w:rPr>
        <w:rFonts w:ascii="Courier New" w:hAnsi="Courier New" w:cs="Courier New" w:hint="default"/>
      </w:rPr>
    </w:lvl>
    <w:lvl w:ilvl="8" w:tplc="49E2F08A" w:tentative="1">
      <w:start w:val="1"/>
      <w:numFmt w:val="bullet"/>
      <w:lvlText w:val=""/>
      <w:lvlJc w:val="left"/>
      <w:pPr>
        <w:ind w:left="6480" w:hanging="360"/>
      </w:pPr>
      <w:rPr>
        <w:rFonts w:ascii="Wingdings" w:hAnsi="Wingdings" w:hint="default"/>
      </w:rPr>
    </w:lvl>
  </w:abstractNum>
  <w:abstractNum w:abstractNumId="3" w15:restartNumberingAfterBreak="0">
    <w:nsid w:val="11116205"/>
    <w:multiLevelType w:val="hybridMultilevel"/>
    <w:tmpl w:val="5F8295AC"/>
    <w:lvl w:ilvl="0" w:tplc="99944A6A">
      <w:start w:val="1"/>
      <w:numFmt w:val="bullet"/>
      <w:lvlText w:val=""/>
      <w:lvlJc w:val="left"/>
      <w:pPr>
        <w:ind w:left="720" w:hanging="360"/>
      </w:pPr>
      <w:rPr>
        <w:rFonts w:ascii="Symbol" w:hAnsi="Symbol" w:hint="default"/>
      </w:rPr>
    </w:lvl>
    <w:lvl w:ilvl="1" w:tplc="24F671F4" w:tentative="1">
      <w:start w:val="1"/>
      <w:numFmt w:val="bullet"/>
      <w:lvlText w:val="o"/>
      <w:lvlJc w:val="left"/>
      <w:pPr>
        <w:ind w:left="1440" w:hanging="360"/>
      </w:pPr>
      <w:rPr>
        <w:rFonts w:ascii="Courier New" w:hAnsi="Courier New" w:cs="Courier New" w:hint="default"/>
      </w:rPr>
    </w:lvl>
    <w:lvl w:ilvl="2" w:tplc="2F288DFC" w:tentative="1">
      <w:start w:val="1"/>
      <w:numFmt w:val="bullet"/>
      <w:lvlText w:val=""/>
      <w:lvlJc w:val="left"/>
      <w:pPr>
        <w:ind w:left="2160" w:hanging="360"/>
      </w:pPr>
      <w:rPr>
        <w:rFonts w:ascii="Wingdings" w:hAnsi="Wingdings" w:hint="default"/>
      </w:rPr>
    </w:lvl>
    <w:lvl w:ilvl="3" w:tplc="6ECADE92" w:tentative="1">
      <w:start w:val="1"/>
      <w:numFmt w:val="bullet"/>
      <w:lvlText w:val=""/>
      <w:lvlJc w:val="left"/>
      <w:pPr>
        <w:ind w:left="2880" w:hanging="360"/>
      </w:pPr>
      <w:rPr>
        <w:rFonts w:ascii="Symbol" w:hAnsi="Symbol" w:hint="default"/>
      </w:rPr>
    </w:lvl>
    <w:lvl w:ilvl="4" w:tplc="48E86720" w:tentative="1">
      <w:start w:val="1"/>
      <w:numFmt w:val="bullet"/>
      <w:lvlText w:val="o"/>
      <w:lvlJc w:val="left"/>
      <w:pPr>
        <w:ind w:left="3600" w:hanging="360"/>
      </w:pPr>
      <w:rPr>
        <w:rFonts w:ascii="Courier New" w:hAnsi="Courier New" w:cs="Courier New" w:hint="default"/>
      </w:rPr>
    </w:lvl>
    <w:lvl w:ilvl="5" w:tplc="C3DA3494" w:tentative="1">
      <w:start w:val="1"/>
      <w:numFmt w:val="bullet"/>
      <w:lvlText w:val=""/>
      <w:lvlJc w:val="left"/>
      <w:pPr>
        <w:ind w:left="4320" w:hanging="360"/>
      </w:pPr>
      <w:rPr>
        <w:rFonts w:ascii="Wingdings" w:hAnsi="Wingdings" w:hint="default"/>
      </w:rPr>
    </w:lvl>
    <w:lvl w:ilvl="6" w:tplc="9F7E3B64" w:tentative="1">
      <w:start w:val="1"/>
      <w:numFmt w:val="bullet"/>
      <w:lvlText w:val=""/>
      <w:lvlJc w:val="left"/>
      <w:pPr>
        <w:ind w:left="5040" w:hanging="360"/>
      </w:pPr>
      <w:rPr>
        <w:rFonts w:ascii="Symbol" w:hAnsi="Symbol" w:hint="default"/>
      </w:rPr>
    </w:lvl>
    <w:lvl w:ilvl="7" w:tplc="F238EBF2" w:tentative="1">
      <w:start w:val="1"/>
      <w:numFmt w:val="bullet"/>
      <w:lvlText w:val="o"/>
      <w:lvlJc w:val="left"/>
      <w:pPr>
        <w:ind w:left="5760" w:hanging="360"/>
      </w:pPr>
      <w:rPr>
        <w:rFonts w:ascii="Courier New" w:hAnsi="Courier New" w:cs="Courier New" w:hint="default"/>
      </w:rPr>
    </w:lvl>
    <w:lvl w:ilvl="8" w:tplc="6A28E596" w:tentative="1">
      <w:start w:val="1"/>
      <w:numFmt w:val="bullet"/>
      <w:lvlText w:val=""/>
      <w:lvlJc w:val="left"/>
      <w:pPr>
        <w:ind w:left="6480" w:hanging="360"/>
      </w:pPr>
      <w:rPr>
        <w:rFonts w:ascii="Wingdings" w:hAnsi="Wingdings" w:hint="default"/>
      </w:rPr>
    </w:lvl>
  </w:abstractNum>
  <w:abstractNum w:abstractNumId="4" w15:restartNumberingAfterBreak="0">
    <w:nsid w:val="1EFA0F96"/>
    <w:multiLevelType w:val="hybridMultilevel"/>
    <w:tmpl w:val="5CA0CDC6"/>
    <w:lvl w:ilvl="0" w:tplc="99B2E438">
      <w:start w:val="1"/>
      <w:numFmt w:val="bullet"/>
      <w:lvlText w:val=""/>
      <w:lvlJc w:val="left"/>
      <w:pPr>
        <w:ind w:left="1068" w:hanging="360"/>
      </w:pPr>
      <w:rPr>
        <w:rFonts w:ascii="Symbol" w:hAnsi="Symbol" w:hint="default"/>
      </w:rPr>
    </w:lvl>
    <w:lvl w:ilvl="1" w:tplc="CBDEBF8E" w:tentative="1">
      <w:start w:val="1"/>
      <w:numFmt w:val="bullet"/>
      <w:lvlText w:val="o"/>
      <w:lvlJc w:val="left"/>
      <w:pPr>
        <w:ind w:left="1788" w:hanging="360"/>
      </w:pPr>
      <w:rPr>
        <w:rFonts w:ascii="Courier New" w:hAnsi="Courier New" w:cs="Courier New" w:hint="default"/>
      </w:rPr>
    </w:lvl>
    <w:lvl w:ilvl="2" w:tplc="429CA6E2" w:tentative="1">
      <w:start w:val="1"/>
      <w:numFmt w:val="bullet"/>
      <w:lvlText w:val=""/>
      <w:lvlJc w:val="left"/>
      <w:pPr>
        <w:ind w:left="2508" w:hanging="360"/>
      </w:pPr>
      <w:rPr>
        <w:rFonts w:ascii="Wingdings" w:hAnsi="Wingdings" w:hint="default"/>
      </w:rPr>
    </w:lvl>
    <w:lvl w:ilvl="3" w:tplc="B7C0B9B8" w:tentative="1">
      <w:start w:val="1"/>
      <w:numFmt w:val="bullet"/>
      <w:lvlText w:val=""/>
      <w:lvlJc w:val="left"/>
      <w:pPr>
        <w:ind w:left="3228" w:hanging="360"/>
      </w:pPr>
      <w:rPr>
        <w:rFonts w:ascii="Symbol" w:hAnsi="Symbol" w:hint="default"/>
      </w:rPr>
    </w:lvl>
    <w:lvl w:ilvl="4" w:tplc="3DFEB2BC" w:tentative="1">
      <w:start w:val="1"/>
      <w:numFmt w:val="bullet"/>
      <w:lvlText w:val="o"/>
      <w:lvlJc w:val="left"/>
      <w:pPr>
        <w:ind w:left="3948" w:hanging="360"/>
      </w:pPr>
      <w:rPr>
        <w:rFonts w:ascii="Courier New" w:hAnsi="Courier New" w:cs="Courier New" w:hint="default"/>
      </w:rPr>
    </w:lvl>
    <w:lvl w:ilvl="5" w:tplc="80769C3A" w:tentative="1">
      <w:start w:val="1"/>
      <w:numFmt w:val="bullet"/>
      <w:lvlText w:val=""/>
      <w:lvlJc w:val="left"/>
      <w:pPr>
        <w:ind w:left="4668" w:hanging="360"/>
      </w:pPr>
      <w:rPr>
        <w:rFonts w:ascii="Wingdings" w:hAnsi="Wingdings" w:hint="default"/>
      </w:rPr>
    </w:lvl>
    <w:lvl w:ilvl="6" w:tplc="D5048A0E" w:tentative="1">
      <w:start w:val="1"/>
      <w:numFmt w:val="bullet"/>
      <w:lvlText w:val=""/>
      <w:lvlJc w:val="left"/>
      <w:pPr>
        <w:ind w:left="5388" w:hanging="360"/>
      </w:pPr>
      <w:rPr>
        <w:rFonts w:ascii="Symbol" w:hAnsi="Symbol" w:hint="default"/>
      </w:rPr>
    </w:lvl>
    <w:lvl w:ilvl="7" w:tplc="E702F102" w:tentative="1">
      <w:start w:val="1"/>
      <w:numFmt w:val="bullet"/>
      <w:lvlText w:val="o"/>
      <w:lvlJc w:val="left"/>
      <w:pPr>
        <w:ind w:left="6108" w:hanging="360"/>
      </w:pPr>
      <w:rPr>
        <w:rFonts w:ascii="Courier New" w:hAnsi="Courier New" w:cs="Courier New" w:hint="default"/>
      </w:rPr>
    </w:lvl>
    <w:lvl w:ilvl="8" w:tplc="73ACF7BA" w:tentative="1">
      <w:start w:val="1"/>
      <w:numFmt w:val="bullet"/>
      <w:lvlText w:val=""/>
      <w:lvlJc w:val="left"/>
      <w:pPr>
        <w:ind w:left="6828" w:hanging="360"/>
      </w:pPr>
      <w:rPr>
        <w:rFonts w:ascii="Wingdings" w:hAnsi="Wingdings" w:hint="default"/>
      </w:rPr>
    </w:lvl>
  </w:abstractNum>
  <w:abstractNum w:abstractNumId="5" w15:restartNumberingAfterBreak="0">
    <w:nsid w:val="22654832"/>
    <w:multiLevelType w:val="hybridMultilevel"/>
    <w:tmpl w:val="0A5608AC"/>
    <w:lvl w:ilvl="0" w:tplc="FBEC544E">
      <w:start w:val="1"/>
      <w:numFmt w:val="bullet"/>
      <w:lvlText w:val=""/>
      <w:lvlJc w:val="left"/>
      <w:pPr>
        <w:ind w:left="720" w:hanging="360"/>
      </w:pPr>
      <w:rPr>
        <w:rFonts w:ascii="Symbol" w:hAnsi="Symbol" w:hint="default"/>
      </w:rPr>
    </w:lvl>
    <w:lvl w:ilvl="1" w:tplc="6E02DA34" w:tentative="1">
      <w:start w:val="1"/>
      <w:numFmt w:val="bullet"/>
      <w:lvlText w:val="o"/>
      <w:lvlJc w:val="left"/>
      <w:pPr>
        <w:ind w:left="1440" w:hanging="360"/>
      </w:pPr>
      <w:rPr>
        <w:rFonts w:ascii="Courier New" w:hAnsi="Courier New" w:cs="Courier New" w:hint="default"/>
      </w:rPr>
    </w:lvl>
    <w:lvl w:ilvl="2" w:tplc="94CE2DDA" w:tentative="1">
      <w:start w:val="1"/>
      <w:numFmt w:val="bullet"/>
      <w:lvlText w:val=""/>
      <w:lvlJc w:val="left"/>
      <w:pPr>
        <w:ind w:left="2160" w:hanging="360"/>
      </w:pPr>
      <w:rPr>
        <w:rFonts w:ascii="Wingdings" w:hAnsi="Wingdings" w:hint="default"/>
      </w:rPr>
    </w:lvl>
    <w:lvl w:ilvl="3" w:tplc="567093FC" w:tentative="1">
      <w:start w:val="1"/>
      <w:numFmt w:val="bullet"/>
      <w:lvlText w:val=""/>
      <w:lvlJc w:val="left"/>
      <w:pPr>
        <w:ind w:left="2880" w:hanging="360"/>
      </w:pPr>
      <w:rPr>
        <w:rFonts w:ascii="Symbol" w:hAnsi="Symbol" w:hint="default"/>
      </w:rPr>
    </w:lvl>
    <w:lvl w:ilvl="4" w:tplc="BFDCFB70" w:tentative="1">
      <w:start w:val="1"/>
      <w:numFmt w:val="bullet"/>
      <w:lvlText w:val="o"/>
      <w:lvlJc w:val="left"/>
      <w:pPr>
        <w:ind w:left="3600" w:hanging="360"/>
      </w:pPr>
      <w:rPr>
        <w:rFonts w:ascii="Courier New" w:hAnsi="Courier New" w:cs="Courier New" w:hint="default"/>
      </w:rPr>
    </w:lvl>
    <w:lvl w:ilvl="5" w:tplc="BEB487A0" w:tentative="1">
      <w:start w:val="1"/>
      <w:numFmt w:val="bullet"/>
      <w:lvlText w:val=""/>
      <w:lvlJc w:val="left"/>
      <w:pPr>
        <w:ind w:left="4320" w:hanging="360"/>
      </w:pPr>
      <w:rPr>
        <w:rFonts w:ascii="Wingdings" w:hAnsi="Wingdings" w:hint="default"/>
      </w:rPr>
    </w:lvl>
    <w:lvl w:ilvl="6" w:tplc="A6E885E2" w:tentative="1">
      <w:start w:val="1"/>
      <w:numFmt w:val="bullet"/>
      <w:lvlText w:val=""/>
      <w:lvlJc w:val="left"/>
      <w:pPr>
        <w:ind w:left="5040" w:hanging="360"/>
      </w:pPr>
      <w:rPr>
        <w:rFonts w:ascii="Symbol" w:hAnsi="Symbol" w:hint="default"/>
      </w:rPr>
    </w:lvl>
    <w:lvl w:ilvl="7" w:tplc="D5445268" w:tentative="1">
      <w:start w:val="1"/>
      <w:numFmt w:val="bullet"/>
      <w:lvlText w:val="o"/>
      <w:lvlJc w:val="left"/>
      <w:pPr>
        <w:ind w:left="5760" w:hanging="360"/>
      </w:pPr>
      <w:rPr>
        <w:rFonts w:ascii="Courier New" w:hAnsi="Courier New" w:cs="Courier New" w:hint="default"/>
      </w:rPr>
    </w:lvl>
    <w:lvl w:ilvl="8" w:tplc="F168B2B6" w:tentative="1">
      <w:start w:val="1"/>
      <w:numFmt w:val="bullet"/>
      <w:lvlText w:val=""/>
      <w:lvlJc w:val="left"/>
      <w:pPr>
        <w:ind w:left="6480" w:hanging="360"/>
      </w:pPr>
      <w:rPr>
        <w:rFonts w:ascii="Wingdings" w:hAnsi="Wingdings" w:hint="default"/>
      </w:rPr>
    </w:lvl>
  </w:abstractNum>
  <w:abstractNum w:abstractNumId="6" w15:restartNumberingAfterBreak="0">
    <w:nsid w:val="27163A3E"/>
    <w:multiLevelType w:val="hybridMultilevel"/>
    <w:tmpl w:val="37262D74"/>
    <w:lvl w:ilvl="0" w:tplc="FBEC544E">
      <w:start w:val="1"/>
      <w:numFmt w:val="bullet"/>
      <w:lvlText w:val=""/>
      <w:lvlJc w:val="left"/>
      <w:pPr>
        <w:ind w:left="720" w:hanging="360"/>
      </w:pPr>
      <w:rPr>
        <w:rFonts w:ascii="Symbol" w:hAnsi="Symbol" w:hint="default"/>
      </w:rPr>
    </w:lvl>
    <w:lvl w:ilvl="1" w:tplc="858A894E">
      <w:start w:val="1"/>
      <w:numFmt w:val="bullet"/>
      <w:lvlText w:val="o"/>
      <w:lvlJc w:val="left"/>
      <w:pPr>
        <w:ind w:left="1440" w:hanging="360"/>
      </w:pPr>
      <w:rPr>
        <w:rFonts w:ascii="Courier New" w:hAnsi="Courier New" w:cs="Courier New" w:hint="default"/>
      </w:rPr>
    </w:lvl>
    <w:lvl w:ilvl="2" w:tplc="0ADC0252" w:tentative="1">
      <w:start w:val="1"/>
      <w:numFmt w:val="bullet"/>
      <w:lvlText w:val=""/>
      <w:lvlJc w:val="left"/>
      <w:pPr>
        <w:ind w:left="2160" w:hanging="360"/>
      </w:pPr>
      <w:rPr>
        <w:rFonts w:ascii="Wingdings" w:hAnsi="Wingdings" w:hint="default"/>
      </w:rPr>
    </w:lvl>
    <w:lvl w:ilvl="3" w:tplc="80D04FB6" w:tentative="1">
      <w:start w:val="1"/>
      <w:numFmt w:val="bullet"/>
      <w:lvlText w:val=""/>
      <w:lvlJc w:val="left"/>
      <w:pPr>
        <w:ind w:left="2880" w:hanging="360"/>
      </w:pPr>
      <w:rPr>
        <w:rFonts w:ascii="Symbol" w:hAnsi="Symbol" w:hint="default"/>
      </w:rPr>
    </w:lvl>
    <w:lvl w:ilvl="4" w:tplc="7FE84B38" w:tentative="1">
      <w:start w:val="1"/>
      <w:numFmt w:val="bullet"/>
      <w:lvlText w:val="o"/>
      <w:lvlJc w:val="left"/>
      <w:pPr>
        <w:ind w:left="3600" w:hanging="360"/>
      </w:pPr>
      <w:rPr>
        <w:rFonts w:ascii="Courier New" w:hAnsi="Courier New" w:cs="Courier New" w:hint="default"/>
      </w:rPr>
    </w:lvl>
    <w:lvl w:ilvl="5" w:tplc="098EDEC4" w:tentative="1">
      <w:start w:val="1"/>
      <w:numFmt w:val="bullet"/>
      <w:lvlText w:val=""/>
      <w:lvlJc w:val="left"/>
      <w:pPr>
        <w:ind w:left="4320" w:hanging="360"/>
      </w:pPr>
      <w:rPr>
        <w:rFonts w:ascii="Wingdings" w:hAnsi="Wingdings" w:hint="default"/>
      </w:rPr>
    </w:lvl>
    <w:lvl w:ilvl="6" w:tplc="9598863C" w:tentative="1">
      <w:start w:val="1"/>
      <w:numFmt w:val="bullet"/>
      <w:lvlText w:val=""/>
      <w:lvlJc w:val="left"/>
      <w:pPr>
        <w:ind w:left="5040" w:hanging="360"/>
      </w:pPr>
      <w:rPr>
        <w:rFonts w:ascii="Symbol" w:hAnsi="Symbol" w:hint="default"/>
      </w:rPr>
    </w:lvl>
    <w:lvl w:ilvl="7" w:tplc="0DDACCF4" w:tentative="1">
      <w:start w:val="1"/>
      <w:numFmt w:val="bullet"/>
      <w:lvlText w:val="o"/>
      <w:lvlJc w:val="left"/>
      <w:pPr>
        <w:ind w:left="5760" w:hanging="360"/>
      </w:pPr>
      <w:rPr>
        <w:rFonts w:ascii="Courier New" w:hAnsi="Courier New" w:cs="Courier New" w:hint="default"/>
      </w:rPr>
    </w:lvl>
    <w:lvl w:ilvl="8" w:tplc="3ADC6872" w:tentative="1">
      <w:start w:val="1"/>
      <w:numFmt w:val="bullet"/>
      <w:lvlText w:val=""/>
      <w:lvlJc w:val="left"/>
      <w:pPr>
        <w:ind w:left="6480" w:hanging="360"/>
      </w:pPr>
      <w:rPr>
        <w:rFonts w:ascii="Wingdings" w:hAnsi="Wingdings" w:hint="default"/>
      </w:rPr>
    </w:lvl>
  </w:abstractNum>
  <w:abstractNum w:abstractNumId="7" w15:restartNumberingAfterBreak="0">
    <w:nsid w:val="44BF0FD6"/>
    <w:multiLevelType w:val="hybridMultilevel"/>
    <w:tmpl w:val="3CEA33D8"/>
    <w:lvl w:ilvl="0" w:tplc="D05276E6">
      <w:numFmt w:val="bullet"/>
      <w:lvlText w:val="-"/>
      <w:lvlJc w:val="left"/>
      <w:pPr>
        <w:tabs>
          <w:tab w:val="num" w:pos="720"/>
        </w:tabs>
        <w:ind w:left="720" w:hanging="360"/>
      </w:pPr>
      <w:rPr>
        <w:rFonts w:ascii="Times New Roman" w:eastAsia="Times New Roman" w:hAnsi="Times New Roman" w:cs="Times New Roman" w:hint="default"/>
      </w:rPr>
    </w:lvl>
    <w:lvl w:ilvl="1" w:tplc="EDCEAD06" w:tentative="1">
      <w:start w:val="1"/>
      <w:numFmt w:val="bullet"/>
      <w:lvlText w:val="o"/>
      <w:lvlJc w:val="left"/>
      <w:pPr>
        <w:tabs>
          <w:tab w:val="num" w:pos="1440"/>
        </w:tabs>
        <w:ind w:left="1440" w:hanging="360"/>
      </w:pPr>
      <w:rPr>
        <w:rFonts w:ascii="Courier New" w:hAnsi="Courier New" w:cs="Courier New" w:hint="default"/>
      </w:rPr>
    </w:lvl>
    <w:lvl w:ilvl="2" w:tplc="51523BAA" w:tentative="1">
      <w:start w:val="1"/>
      <w:numFmt w:val="bullet"/>
      <w:lvlText w:val=""/>
      <w:lvlJc w:val="left"/>
      <w:pPr>
        <w:tabs>
          <w:tab w:val="num" w:pos="2160"/>
        </w:tabs>
        <w:ind w:left="2160" w:hanging="360"/>
      </w:pPr>
      <w:rPr>
        <w:rFonts w:ascii="Wingdings" w:hAnsi="Wingdings" w:hint="default"/>
      </w:rPr>
    </w:lvl>
    <w:lvl w:ilvl="3" w:tplc="4FF4AD58" w:tentative="1">
      <w:start w:val="1"/>
      <w:numFmt w:val="bullet"/>
      <w:lvlText w:val=""/>
      <w:lvlJc w:val="left"/>
      <w:pPr>
        <w:tabs>
          <w:tab w:val="num" w:pos="2880"/>
        </w:tabs>
        <w:ind w:left="2880" w:hanging="360"/>
      </w:pPr>
      <w:rPr>
        <w:rFonts w:ascii="Symbol" w:hAnsi="Symbol" w:hint="default"/>
      </w:rPr>
    </w:lvl>
    <w:lvl w:ilvl="4" w:tplc="7C3EE5D0" w:tentative="1">
      <w:start w:val="1"/>
      <w:numFmt w:val="bullet"/>
      <w:lvlText w:val="o"/>
      <w:lvlJc w:val="left"/>
      <w:pPr>
        <w:tabs>
          <w:tab w:val="num" w:pos="3600"/>
        </w:tabs>
        <w:ind w:left="3600" w:hanging="360"/>
      </w:pPr>
      <w:rPr>
        <w:rFonts w:ascii="Courier New" w:hAnsi="Courier New" w:cs="Courier New" w:hint="default"/>
      </w:rPr>
    </w:lvl>
    <w:lvl w:ilvl="5" w:tplc="F7669AC0" w:tentative="1">
      <w:start w:val="1"/>
      <w:numFmt w:val="bullet"/>
      <w:lvlText w:val=""/>
      <w:lvlJc w:val="left"/>
      <w:pPr>
        <w:tabs>
          <w:tab w:val="num" w:pos="4320"/>
        </w:tabs>
        <w:ind w:left="4320" w:hanging="360"/>
      </w:pPr>
      <w:rPr>
        <w:rFonts w:ascii="Wingdings" w:hAnsi="Wingdings" w:hint="default"/>
      </w:rPr>
    </w:lvl>
    <w:lvl w:ilvl="6" w:tplc="5D98E47E" w:tentative="1">
      <w:start w:val="1"/>
      <w:numFmt w:val="bullet"/>
      <w:lvlText w:val=""/>
      <w:lvlJc w:val="left"/>
      <w:pPr>
        <w:tabs>
          <w:tab w:val="num" w:pos="5040"/>
        </w:tabs>
        <w:ind w:left="5040" w:hanging="360"/>
      </w:pPr>
      <w:rPr>
        <w:rFonts w:ascii="Symbol" w:hAnsi="Symbol" w:hint="default"/>
      </w:rPr>
    </w:lvl>
    <w:lvl w:ilvl="7" w:tplc="3A5C4590" w:tentative="1">
      <w:start w:val="1"/>
      <w:numFmt w:val="bullet"/>
      <w:lvlText w:val="o"/>
      <w:lvlJc w:val="left"/>
      <w:pPr>
        <w:tabs>
          <w:tab w:val="num" w:pos="5760"/>
        </w:tabs>
        <w:ind w:left="5760" w:hanging="360"/>
      </w:pPr>
      <w:rPr>
        <w:rFonts w:ascii="Courier New" w:hAnsi="Courier New" w:cs="Courier New" w:hint="default"/>
      </w:rPr>
    </w:lvl>
    <w:lvl w:ilvl="8" w:tplc="1C20581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BB27D7"/>
    <w:multiLevelType w:val="hybridMultilevel"/>
    <w:tmpl w:val="336661B2"/>
    <w:lvl w:ilvl="0" w:tplc="C7E8A730">
      <w:numFmt w:val="bullet"/>
      <w:lvlText w:val="-"/>
      <w:lvlJc w:val="left"/>
      <w:pPr>
        <w:tabs>
          <w:tab w:val="num" w:pos="417"/>
        </w:tabs>
        <w:ind w:left="417" w:hanging="360"/>
      </w:pPr>
      <w:rPr>
        <w:rFonts w:ascii="Arial" w:eastAsia="Times New Roman" w:hAnsi="Arial" w:cs="Arial" w:hint="default"/>
      </w:rPr>
    </w:lvl>
    <w:lvl w:ilvl="1" w:tplc="870414A6" w:tentative="1">
      <w:start w:val="1"/>
      <w:numFmt w:val="bullet"/>
      <w:lvlText w:val="o"/>
      <w:lvlJc w:val="left"/>
      <w:pPr>
        <w:tabs>
          <w:tab w:val="num" w:pos="1440"/>
        </w:tabs>
        <w:ind w:left="1440" w:hanging="360"/>
      </w:pPr>
      <w:rPr>
        <w:rFonts w:ascii="Courier New" w:hAnsi="Courier New" w:cs="Courier New" w:hint="default"/>
      </w:rPr>
    </w:lvl>
    <w:lvl w:ilvl="2" w:tplc="85E2CF58" w:tentative="1">
      <w:start w:val="1"/>
      <w:numFmt w:val="bullet"/>
      <w:lvlText w:val=""/>
      <w:lvlJc w:val="left"/>
      <w:pPr>
        <w:tabs>
          <w:tab w:val="num" w:pos="2160"/>
        </w:tabs>
        <w:ind w:left="2160" w:hanging="360"/>
      </w:pPr>
      <w:rPr>
        <w:rFonts w:ascii="Wingdings" w:hAnsi="Wingdings" w:hint="default"/>
      </w:rPr>
    </w:lvl>
    <w:lvl w:ilvl="3" w:tplc="E0E2F0DC" w:tentative="1">
      <w:start w:val="1"/>
      <w:numFmt w:val="bullet"/>
      <w:lvlText w:val=""/>
      <w:lvlJc w:val="left"/>
      <w:pPr>
        <w:tabs>
          <w:tab w:val="num" w:pos="2880"/>
        </w:tabs>
        <w:ind w:left="2880" w:hanging="360"/>
      </w:pPr>
      <w:rPr>
        <w:rFonts w:ascii="Symbol" w:hAnsi="Symbol" w:hint="default"/>
      </w:rPr>
    </w:lvl>
    <w:lvl w:ilvl="4" w:tplc="B13AA804" w:tentative="1">
      <w:start w:val="1"/>
      <w:numFmt w:val="bullet"/>
      <w:lvlText w:val="o"/>
      <w:lvlJc w:val="left"/>
      <w:pPr>
        <w:tabs>
          <w:tab w:val="num" w:pos="3600"/>
        </w:tabs>
        <w:ind w:left="3600" w:hanging="360"/>
      </w:pPr>
      <w:rPr>
        <w:rFonts w:ascii="Courier New" w:hAnsi="Courier New" w:cs="Courier New" w:hint="default"/>
      </w:rPr>
    </w:lvl>
    <w:lvl w:ilvl="5" w:tplc="437EB216" w:tentative="1">
      <w:start w:val="1"/>
      <w:numFmt w:val="bullet"/>
      <w:lvlText w:val=""/>
      <w:lvlJc w:val="left"/>
      <w:pPr>
        <w:tabs>
          <w:tab w:val="num" w:pos="4320"/>
        </w:tabs>
        <w:ind w:left="4320" w:hanging="360"/>
      </w:pPr>
      <w:rPr>
        <w:rFonts w:ascii="Wingdings" w:hAnsi="Wingdings" w:hint="default"/>
      </w:rPr>
    </w:lvl>
    <w:lvl w:ilvl="6" w:tplc="825CA792" w:tentative="1">
      <w:start w:val="1"/>
      <w:numFmt w:val="bullet"/>
      <w:lvlText w:val=""/>
      <w:lvlJc w:val="left"/>
      <w:pPr>
        <w:tabs>
          <w:tab w:val="num" w:pos="5040"/>
        </w:tabs>
        <w:ind w:left="5040" w:hanging="360"/>
      </w:pPr>
      <w:rPr>
        <w:rFonts w:ascii="Symbol" w:hAnsi="Symbol" w:hint="default"/>
      </w:rPr>
    </w:lvl>
    <w:lvl w:ilvl="7" w:tplc="013463AE" w:tentative="1">
      <w:start w:val="1"/>
      <w:numFmt w:val="bullet"/>
      <w:lvlText w:val="o"/>
      <w:lvlJc w:val="left"/>
      <w:pPr>
        <w:tabs>
          <w:tab w:val="num" w:pos="5760"/>
        </w:tabs>
        <w:ind w:left="5760" w:hanging="360"/>
      </w:pPr>
      <w:rPr>
        <w:rFonts w:ascii="Courier New" w:hAnsi="Courier New" w:cs="Courier New" w:hint="default"/>
      </w:rPr>
    </w:lvl>
    <w:lvl w:ilvl="8" w:tplc="96AA85C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1F66C3"/>
    <w:multiLevelType w:val="hybridMultilevel"/>
    <w:tmpl w:val="B0FC4EA8"/>
    <w:lvl w:ilvl="0" w:tplc="94B448F0">
      <w:start w:val="1"/>
      <w:numFmt w:val="lowerRoman"/>
      <w:lvlText w:val="(%1)"/>
      <w:lvlJc w:val="left"/>
      <w:pPr>
        <w:ind w:left="1080" w:hanging="720"/>
      </w:pPr>
      <w:rPr>
        <w:rFonts w:hint="default"/>
      </w:rPr>
    </w:lvl>
    <w:lvl w:ilvl="1" w:tplc="8452C7D0" w:tentative="1">
      <w:start w:val="1"/>
      <w:numFmt w:val="lowerLetter"/>
      <w:lvlText w:val="%2."/>
      <w:lvlJc w:val="left"/>
      <w:pPr>
        <w:ind w:left="1440" w:hanging="360"/>
      </w:pPr>
    </w:lvl>
    <w:lvl w:ilvl="2" w:tplc="28082666" w:tentative="1">
      <w:start w:val="1"/>
      <w:numFmt w:val="lowerRoman"/>
      <w:lvlText w:val="%3."/>
      <w:lvlJc w:val="right"/>
      <w:pPr>
        <w:ind w:left="2160" w:hanging="180"/>
      </w:pPr>
    </w:lvl>
    <w:lvl w:ilvl="3" w:tplc="679AF3A2" w:tentative="1">
      <w:start w:val="1"/>
      <w:numFmt w:val="decimal"/>
      <w:lvlText w:val="%4."/>
      <w:lvlJc w:val="left"/>
      <w:pPr>
        <w:ind w:left="2880" w:hanging="360"/>
      </w:pPr>
    </w:lvl>
    <w:lvl w:ilvl="4" w:tplc="3D9ABA38" w:tentative="1">
      <w:start w:val="1"/>
      <w:numFmt w:val="lowerLetter"/>
      <w:lvlText w:val="%5."/>
      <w:lvlJc w:val="left"/>
      <w:pPr>
        <w:ind w:left="3600" w:hanging="360"/>
      </w:pPr>
    </w:lvl>
    <w:lvl w:ilvl="5" w:tplc="85C2FC40" w:tentative="1">
      <w:start w:val="1"/>
      <w:numFmt w:val="lowerRoman"/>
      <w:lvlText w:val="%6."/>
      <w:lvlJc w:val="right"/>
      <w:pPr>
        <w:ind w:left="4320" w:hanging="180"/>
      </w:pPr>
    </w:lvl>
    <w:lvl w:ilvl="6" w:tplc="EE26B98E" w:tentative="1">
      <w:start w:val="1"/>
      <w:numFmt w:val="decimal"/>
      <w:lvlText w:val="%7."/>
      <w:lvlJc w:val="left"/>
      <w:pPr>
        <w:ind w:left="5040" w:hanging="360"/>
      </w:pPr>
    </w:lvl>
    <w:lvl w:ilvl="7" w:tplc="088EB4BC" w:tentative="1">
      <w:start w:val="1"/>
      <w:numFmt w:val="lowerLetter"/>
      <w:lvlText w:val="%8."/>
      <w:lvlJc w:val="left"/>
      <w:pPr>
        <w:ind w:left="5760" w:hanging="360"/>
      </w:pPr>
    </w:lvl>
    <w:lvl w:ilvl="8" w:tplc="0CFC7E42" w:tentative="1">
      <w:start w:val="1"/>
      <w:numFmt w:val="lowerRoman"/>
      <w:lvlText w:val="%9."/>
      <w:lvlJc w:val="right"/>
      <w:pPr>
        <w:ind w:left="6480" w:hanging="180"/>
      </w:pPr>
    </w:lvl>
  </w:abstractNum>
  <w:abstractNum w:abstractNumId="10" w15:restartNumberingAfterBreak="0">
    <w:nsid w:val="4EB37B2C"/>
    <w:multiLevelType w:val="hybridMultilevel"/>
    <w:tmpl w:val="C79C2BF6"/>
    <w:lvl w:ilvl="0" w:tplc="6818F794">
      <w:numFmt w:val="bullet"/>
      <w:lvlText w:val="-"/>
      <w:lvlJc w:val="left"/>
      <w:pPr>
        <w:ind w:left="720" w:hanging="360"/>
      </w:pPr>
      <w:rPr>
        <w:rFonts w:ascii="Calibri" w:eastAsia="Calibri" w:hAnsi="Calibri" w:cs="Calibri" w:hint="default"/>
      </w:rPr>
    </w:lvl>
    <w:lvl w:ilvl="1" w:tplc="9FF4BA38" w:tentative="1">
      <w:start w:val="1"/>
      <w:numFmt w:val="bullet"/>
      <w:lvlText w:val="o"/>
      <w:lvlJc w:val="left"/>
      <w:pPr>
        <w:ind w:left="1440" w:hanging="360"/>
      </w:pPr>
      <w:rPr>
        <w:rFonts w:ascii="Courier New" w:hAnsi="Courier New" w:cs="Courier New" w:hint="default"/>
      </w:rPr>
    </w:lvl>
    <w:lvl w:ilvl="2" w:tplc="97FE8C34" w:tentative="1">
      <w:start w:val="1"/>
      <w:numFmt w:val="bullet"/>
      <w:lvlText w:val=""/>
      <w:lvlJc w:val="left"/>
      <w:pPr>
        <w:ind w:left="2160" w:hanging="360"/>
      </w:pPr>
      <w:rPr>
        <w:rFonts w:ascii="Wingdings" w:hAnsi="Wingdings" w:hint="default"/>
      </w:rPr>
    </w:lvl>
    <w:lvl w:ilvl="3" w:tplc="19123748" w:tentative="1">
      <w:start w:val="1"/>
      <w:numFmt w:val="bullet"/>
      <w:lvlText w:val=""/>
      <w:lvlJc w:val="left"/>
      <w:pPr>
        <w:ind w:left="2880" w:hanging="360"/>
      </w:pPr>
      <w:rPr>
        <w:rFonts w:ascii="Symbol" w:hAnsi="Symbol" w:hint="default"/>
      </w:rPr>
    </w:lvl>
    <w:lvl w:ilvl="4" w:tplc="37A62D16" w:tentative="1">
      <w:start w:val="1"/>
      <w:numFmt w:val="bullet"/>
      <w:lvlText w:val="o"/>
      <w:lvlJc w:val="left"/>
      <w:pPr>
        <w:ind w:left="3600" w:hanging="360"/>
      </w:pPr>
      <w:rPr>
        <w:rFonts w:ascii="Courier New" w:hAnsi="Courier New" w:cs="Courier New" w:hint="default"/>
      </w:rPr>
    </w:lvl>
    <w:lvl w:ilvl="5" w:tplc="34F4DBD6" w:tentative="1">
      <w:start w:val="1"/>
      <w:numFmt w:val="bullet"/>
      <w:lvlText w:val=""/>
      <w:lvlJc w:val="left"/>
      <w:pPr>
        <w:ind w:left="4320" w:hanging="360"/>
      </w:pPr>
      <w:rPr>
        <w:rFonts w:ascii="Wingdings" w:hAnsi="Wingdings" w:hint="default"/>
      </w:rPr>
    </w:lvl>
    <w:lvl w:ilvl="6" w:tplc="226E4634" w:tentative="1">
      <w:start w:val="1"/>
      <w:numFmt w:val="bullet"/>
      <w:lvlText w:val=""/>
      <w:lvlJc w:val="left"/>
      <w:pPr>
        <w:ind w:left="5040" w:hanging="360"/>
      </w:pPr>
      <w:rPr>
        <w:rFonts w:ascii="Symbol" w:hAnsi="Symbol" w:hint="default"/>
      </w:rPr>
    </w:lvl>
    <w:lvl w:ilvl="7" w:tplc="B6022008" w:tentative="1">
      <w:start w:val="1"/>
      <w:numFmt w:val="bullet"/>
      <w:lvlText w:val="o"/>
      <w:lvlJc w:val="left"/>
      <w:pPr>
        <w:ind w:left="5760" w:hanging="360"/>
      </w:pPr>
      <w:rPr>
        <w:rFonts w:ascii="Courier New" w:hAnsi="Courier New" w:cs="Courier New" w:hint="default"/>
      </w:rPr>
    </w:lvl>
    <w:lvl w:ilvl="8" w:tplc="356AB64A" w:tentative="1">
      <w:start w:val="1"/>
      <w:numFmt w:val="bullet"/>
      <w:lvlText w:val=""/>
      <w:lvlJc w:val="left"/>
      <w:pPr>
        <w:ind w:left="6480" w:hanging="360"/>
      </w:pPr>
      <w:rPr>
        <w:rFonts w:ascii="Wingdings" w:hAnsi="Wingdings" w:hint="default"/>
      </w:rPr>
    </w:lvl>
  </w:abstractNum>
  <w:abstractNum w:abstractNumId="11" w15:restartNumberingAfterBreak="0">
    <w:nsid w:val="68474262"/>
    <w:multiLevelType w:val="hybridMultilevel"/>
    <w:tmpl w:val="E9BA335A"/>
    <w:lvl w:ilvl="0" w:tplc="0D42D99E">
      <w:start w:val="1"/>
      <w:numFmt w:val="bullet"/>
      <w:lvlText w:val="­"/>
      <w:lvlJc w:val="left"/>
      <w:pPr>
        <w:tabs>
          <w:tab w:val="num" w:pos="720"/>
        </w:tabs>
        <w:ind w:left="720" w:hanging="360"/>
      </w:pPr>
      <w:rPr>
        <w:rFonts w:ascii="Arial" w:hAnsi="Arial" w:hint="default"/>
      </w:rPr>
    </w:lvl>
    <w:lvl w:ilvl="1" w:tplc="3A646D4C" w:tentative="1">
      <w:start w:val="1"/>
      <w:numFmt w:val="bullet"/>
      <w:lvlText w:val="o"/>
      <w:lvlJc w:val="left"/>
      <w:pPr>
        <w:tabs>
          <w:tab w:val="num" w:pos="1092"/>
        </w:tabs>
        <w:ind w:left="1092" w:hanging="360"/>
      </w:pPr>
      <w:rPr>
        <w:rFonts w:ascii="Courier New" w:hAnsi="Courier New" w:cs="Courier New" w:hint="default"/>
      </w:rPr>
    </w:lvl>
    <w:lvl w:ilvl="2" w:tplc="9FB6B0B2" w:tentative="1">
      <w:start w:val="1"/>
      <w:numFmt w:val="bullet"/>
      <w:lvlText w:val=""/>
      <w:lvlJc w:val="left"/>
      <w:pPr>
        <w:tabs>
          <w:tab w:val="num" w:pos="1812"/>
        </w:tabs>
        <w:ind w:left="1812" w:hanging="360"/>
      </w:pPr>
      <w:rPr>
        <w:rFonts w:ascii="Wingdings" w:hAnsi="Wingdings" w:hint="default"/>
      </w:rPr>
    </w:lvl>
    <w:lvl w:ilvl="3" w:tplc="4D645380" w:tentative="1">
      <w:start w:val="1"/>
      <w:numFmt w:val="bullet"/>
      <w:lvlText w:val=""/>
      <w:lvlJc w:val="left"/>
      <w:pPr>
        <w:tabs>
          <w:tab w:val="num" w:pos="2532"/>
        </w:tabs>
        <w:ind w:left="2532" w:hanging="360"/>
      </w:pPr>
      <w:rPr>
        <w:rFonts w:ascii="Symbol" w:hAnsi="Symbol" w:hint="default"/>
      </w:rPr>
    </w:lvl>
    <w:lvl w:ilvl="4" w:tplc="CDE08C92" w:tentative="1">
      <w:start w:val="1"/>
      <w:numFmt w:val="bullet"/>
      <w:lvlText w:val="o"/>
      <w:lvlJc w:val="left"/>
      <w:pPr>
        <w:tabs>
          <w:tab w:val="num" w:pos="3252"/>
        </w:tabs>
        <w:ind w:left="3252" w:hanging="360"/>
      </w:pPr>
      <w:rPr>
        <w:rFonts w:ascii="Courier New" w:hAnsi="Courier New" w:cs="Courier New" w:hint="default"/>
      </w:rPr>
    </w:lvl>
    <w:lvl w:ilvl="5" w:tplc="5F223082" w:tentative="1">
      <w:start w:val="1"/>
      <w:numFmt w:val="bullet"/>
      <w:lvlText w:val=""/>
      <w:lvlJc w:val="left"/>
      <w:pPr>
        <w:tabs>
          <w:tab w:val="num" w:pos="3972"/>
        </w:tabs>
        <w:ind w:left="3972" w:hanging="360"/>
      </w:pPr>
      <w:rPr>
        <w:rFonts w:ascii="Wingdings" w:hAnsi="Wingdings" w:hint="default"/>
      </w:rPr>
    </w:lvl>
    <w:lvl w:ilvl="6" w:tplc="679E8F72" w:tentative="1">
      <w:start w:val="1"/>
      <w:numFmt w:val="bullet"/>
      <w:lvlText w:val=""/>
      <w:lvlJc w:val="left"/>
      <w:pPr>
        <w:tabs>
          <w:tab w:val="num" w:pos="4692"/>
        </w:tabs>
        <w:ind w:left="4692" w:hanging="360"/>
      </w:pPr>
      <w:rPr>
        <w:rFonts w:ascii="Symbol" w:hAnsi="Symbol" w:hint="default"/>
      </w:rPr>
    </w:lvl>
    <w:lvl w:ilvl="7" w:tplc="8AFED718" w:tentative="1">
      <w:start w:val="1"/>
      <w:numFmt w:val="bullet"/>
      <w:lvlText w:val="o"/>
      <w:lvlJc w:val="left"/>
      <w:pPr>
        <w:tabs>
          <w:tab w:val="num" w:pos="5412"/>
        </w:tabs>
        <w:ind w:left="5412" w:hanging="360"/>
      </w:pPr>
      <w:rPr>
        <w:rFonts w:ascii="Courier New" w:hAnsi="Courier New" w:cs="Courier New" w:hint="default"/>
      </w:rPr>
    </w:lvl>
    <w:lvl w:ilvl="8" w:tplc="6E74F3C6" w:tentative="1">
      <w:start w:val="1"/>
      <w:numFmt w:val="bullet"/>
      <w:lvlText w:val=""/>
      <w:lvlJc w:val="left"/>
      <w:pPr>
        <w:tabs>
          <w:tab w:val="num" w:pos="6132"/>
        </w:tabs>
        <w:ind w:left="6132" w:hanging="360"/>
      </w:pPr>
      <w:rPr>
        <w:rFonts w:ascii="Wingdings" w:hAnsi="Wingdings" w:hint="default"/>
      </w:rPr>
    </w:lvl>
  </w:abstractNum>
  <w:abstractNum w:abstractNumId="12" w15:restartNumberingAfterBreak="0">
    <w:nsid w:val="7D6966E4"/>
    <w:multiLevelType w:val="hybridMultilevel"/>
    <w:tmpl w:val="E90067EA"/>
    <w:lvl w:ilvl="0" w:tplc="95185E04">
      <w:numFmt w:val="bullet"/>
      <w:lvlText w:val="-"/>
      <w:lvlJc w:val="left"/>
      <w:pPr>
        <w:ind w:left="720" w:hanging="360"/>
      </w:pPr>
      <w:rPr>
        <w:rFonts w:ascii="Calibri" w:eastAsia="Calibri" w:hAnsi="Calibri" w:cs="Calibri" w:hint="default"/>
      </w:rPr>
    </w:lvl>
    <w:lvl w:ilvl="1" w:tplc="1D8AAA8E" w:tentative="1">
      <w:start w:val="1"/>
      <w:numFmt w:val="bullet"/>
      <w:lvlText w:val="o"/>
      <w:lvlJc w:val="left"/>
      <w:pPr>
        <w:ind w:left="1440" w:hanging="360"/>
      </w:pPr>
      <w:rPr>
        <w:rFonts w:ascii="Courier New" w:hAnsi="Courier New" w:cs="Courier New" w:hint="default"/>
      </w:rPr>
    </w:lvl>
    <w:lvl w:ilvl="2" w:tplc="B00645B4" w:tentative="1">
      <w:start w:val="1"/>
      <w:numFmt w:val="bullet"/>
      <w:lvlText w:val=""/>
      <w:lvlJc w:val="left"/>
      <w:pPr>
        <w:ind w:left="2160" w:hanging="360"/>
      </w:pPr>
      <w:rPr>
        <w:rFonts w:ascii="Wingdings" w:hAnsi="Wingdings" w:hint="default"/>
      </w:rPr>
    </w:lvl>
    <w:lvl w:ilvl="3" w:tplc="826CDDCA" w:tentative="1">
      <w:start w:val="1"/>
      <w:numFmt w:val="bullet"/>
      <w:lvlText w:val=""/>
      <w:lvlJc w:val="left"/>
      <w:pPr>
        <w:ind w:left="2880" w:hanging="360"/>
      </w:pPr>
      <w:rPr>
        <w:rFonts w:ascii="Symbol" w:hAnsi="Symbol" w:hint="default"/>
      </w:rPr>
    </w:lvl>
    <w:lvl w:ilvl="4" w:tplc="0A2CB816" w:tentative="1">
      <w:start w:val="1"/>
      <w:numFmt w:val="bullet"/>
      <w:lvlText w:val="o"/>
      <w:lvlJc w:val="left"/>
      <w:pPr>
        <w:ind w:left="3600" w:hanging="360"/>
      </w:pPr>
      <w:rPr>
        <w:rFonts w:ascii="Courier New" w:hAnsi="Courier New" w:cs="Courier New" w:hint="default"/>
      </w:rPr>
    </w:lvl>
    <w:lvl w:ilvl="5" w:tplc="B94084B8" w:tentative="1">
      <w:start w:val="1"/>
      <w:numFmt w:val="bullet"/>
      <w:lvlText w:val=""/>
      <w:lvlJc w:val="left"/>
      <w:pPr>
        <w:ind w:left="4320" w:hanging="360"/>
      </w:pPr>
      <w:rPr>
        <w:rFonts w:ascii="Wingdings" w:hAnsi="Wingdings" w:hint="default"/>
      </w:rPr>
    </w:lvl>
    <w:lvl w:ilvl="6" w:tplc="F146B3BC" w:tentative="1">
      <w:start w:val="1"/>
      <w:numFmt w:val="bullet"/>
      <w:lvlText w:val=""/>
      <w:lvlJc w:val="left"/>
      <w:pPr>
        <w:ind w:left="5040" w:hanging="360"/>
      </w:pPr>
      <w:rPr>
        <w:rFonts w:ascii="Symbol" w:hAnsi="Symbol" w:hint="default"/>
      </w:rPr>
    </w:lvl>
    <w:lvl w:ilvl="7" w:tplc="EA3E041A" w:tentative="1">
      <w:start w:val="1"/>
      <w:numFmt w:val="bullet"/>
      <w:lvlText w:val="o"/>
      <w:lvlJc w:val="left"/>
      <w:pPr>
        <w:ind w:left="5760" w:hanging="360"/>
      </w:pPr>
      <w:rPr>
        <w:rFonts w:ascii="Courier New" w:hAnsi="Courier New" w:cs="Courier New" w:hint="default"/>
      </w:rPr>
    </w:lvl>
    <w:lvl w:ilvl="8" w:tplc="BC744892"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8"/>
  </w:num>
  <w:num w:numId="5">
    <w:abstractNumId w:val="10"/>
  </w:num>
  <w:num w:numId="6">
    <w:abstractNumId w:val="12"/>
  </w:num>
  <w:num w:numId="7">
    <w:abstractNumId w:val="6"/>
  </w:num>
  <w:num w:numId="8">
    <w:abstractNumId w:val="9"/>
  </w:num>
  <w:num w:numId="9">
    <w:abstractNumId w:val="3"/>
  </w:num>
  <w:num w:numId="10">
    <w:abstractNumId w:val="1"/>
  </w:num>
  <w:num w:numId="11">
    <w:abstractNumId w:val="5"/>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28EA"/>
    <w:rsid w:val="00004CC9"/>
    <w:rsid w:val="000115ED"/>
    <w:rsid w:val="00015EEA"/>
    <w:rsid w:val="000211AA"/>
    <w:rsid w:val="00026D53"/>
    <w:rsid w:val="000340C2"/>
    <w:rsid w:val="00056D89"/>
    <w:rsid w:val="00062F8A"/>
    <w:rsid w:val="00072469"/>
    <w:rsid w:val="00094C93"/>
    <w:rsid w:val="0009550F"/>
    <w:rsid w:val="000A2393"/>
    <w:rsid w:val="000A610A"/>
    <w:rsid w:val="000B46F7"/>
    <w:rsid w:val="000C6BE2"/>
    <w:rsid w:val="000D2185"/>
    <w:rsid w:val="000E1CBA"/>
    <w:rsid w:val="000E5053"/>
    <w:rsid w:val="000E50F5"/>
    <w:rsid w:val="000E666E"/>
    <w:rsid w:val="001020CB"/>
    <w:rsid w:val="00103640"/>
    <w:rsid w:val="00106C6A"/>
    <w:rsid w:val="00117649"/>
    <w:rsid w:val="00125A68"/>
    <w:rsid w:val="00142BA8"/>
    <w:rsid w:val="00152D2E"/>
    <w:rsid w:val="00163A05"/>
    <w:rsid w:val="00170506"/>
    <w:rsid w:val="00171300"/>
    <w:rsid w:val="001A5217"/>
    <w:rsid w:val="001A5617"/>
    <w:rsid w:val="001B1D79"/>
    <w:rsid w:val="001C50FA"/>
    <w:rsid w:val="001C6986"/>
    <w:rsid w:val="001C6FC9"/>
    <w:rsid w:val="001D6B7D"/>
    <w:rsid w:val="001E5475"/>
    <w:rsid w:val="001F025F"/>
    <w:rsid w:val="001F712B"/>
    <w:rsid w:val="002053CC"/>
    <w:rsid w:val="00210E67"/>
    <w:rsid w:val="00213D5E"/>
    <w:rsid w:val="0021536C"/>
    <w:rsid w:val="00224837"/>
    <w:rsid w:val="00243113"/>
    <w:rsid w:val="00246CE7"/>
    <w:rsid w:val="00251930"/>
    <w:rsid w:val="00255D07"/>
    <w:rsid w:val="002611CE"/>
    <w:rsid w:val="0026350C"/>
    <w:rsid w:val="00271145"/>
    <w:rsid w:val="002736B4"/>
    <w:rsid w:val="00283B5A"/>
    <w:rsid w:val="002A62A9"/>
    <w:rsid w:val="002A7CDE"/>
    <w:rsid w:val="002B2166"/>
    <w:rsid w:val="002E095B"/>
    <w:rsid w:val="002F1E82"/>
    <w:rsid w:val="002F6AB7"/>
    <w:rsid w:val="00301944"/>
    <w:rsid w:val="00303E3B"/>
    <w:rsid w:val="00311CA8"/>
    <w:rsid w:val="003156C1"/>
    <w:rsid w:val="00322C34"/>
    <w:rsid w:val="00327FBB"/>
    <w:rsid w:val="00330C84"/>
    <w:rsid w:val="00337DD2"/>
    <w:rsid w:val="00344E66"/>
    <w:rsid w:val="00347D65"/>
    <w:rsid w:val="0036411F"/>
    <w:rsid w:val="0038471E"/>
    <w:rsid w:val="00386D26"/>
    <w:rsid w:val="00391C37"/>
    <w:rsid w:val="00395C07"/>
    <w:rsid w:val="003A207B"/>
    <w:rsid w:val="003B2392"/>
    <w:rsid w:val="003B7E9A"/>
    <w:rsid w:val="003D2AE0"/>
    <w:rsid w:val="003D3E55"/>
    <w:rsid w:val="003E2A58"/>
    <w:rsid w:val="003E77F3"/>
    <w:rsid w:val="00403EEA"/>
    <w:rsid w:val="0042560A"/>
    <w:rsid w:val="00432982"/>
    <w:rsid w:val="00437444"/>
    <w:rsid w:val="00440C4E"/>
    <w:rsid w:val="00442816"/>
    <w:rsid w:val="00442AEC"/>
    <w:rsid w:val="0045001B"/>
    <w:rsid w:val="00450E61"/>
    <w:rsid w:val="00456100"/>
    <w:rsid w:val="004746F8"/>
    <w:rsid w:val="00482C50"/>
    <w:rsid w:val="00482EAA"/>
    <w:rsid w:val="004845FF"/>
    <w:rsid w:val="00495E98"/>
    <w:rsid w:val="00497278"/>
    <w:rsid w:val="004A7564"/>
    <w:rsid w:val="004B4AF4"/>
    <w:rsid w:val="004C16E3"/>
    <w:rsid w:val="004C407F"/>
    <w:rsid w:val="004D3412"/>
    <w:rsid w:val="004D7626"/>
    <w:rsid w:val="004E2147"/>
    <w:rsid w:val="004E6803"/>
    <w:rsid w:val="004F6F2C"/>
    <w:rsid w:val="0050553B"/>
    <w:rsid w:val="005113FC"/>
    <w:rsid w:val="00525987"/>
    <w:rsid w:val="00542037"/>
    <w:rsid w:val="0055451C"/>
    <w:rsid w:val="0057278F"/>
    <w:rsid w:val="0057703F"/>
    <w:rsid w:val="00592C69"/>
    <w:rsid w:val="00592EE4"/>
    <w:rsid w:val="005C3194"/>
    <w:rsid w:val="005C78B6"/>
    <w:rsid w:val="005E28D3"/>
    <w:rsid w:val="005E5197"/>
    <w:rsid w:val="005E54FA"/>
    <w:rsid w:val="00605C89"/>
    <w:rsid w:val="00613C34"/>
    <w:rsid w:val="00616958"/>
    <w:rsid w:val="006228BD"/>
    <w:rsid w:val="00625E86"/>
    <w:rsid w:val="0063100F"/>
    <w:rsid w:val="00633542"/>
    <w:rsid w:val="006533DC"/>
    <w:rsid w:val="00662E80"/>
    <w:rsid w:val="0066611C"/>
    <w:rsid w:val="00666D67"/>
    <w:rsid w:val="00674E69"/>
    <w:rsid w:val="00685130"/>
    <w:rsid w:val="00686FD1"/>
    <w:rsid w:val="00693B6C"/>
    <w:rsid w:val="00697A02"/>
    <w:rsid w:val="006A7F92"/>
    <w:rsid w:val="006C114D"/>
    <w:rsid w:val="006C3CFD"/>
    <w:rsid w:val="006D0581"/>
    <w:rsid w:val="006D283B"/>
    <w:rsid w:val="006D2B5C"/>
    <w:rsid w:val="006D487D"/>
    <w:rsid w:val="006D555E"/>
    <w:rsid w:val="006E0FE1"/>
    <w:rsid w:val="006E2A8E"/>
    <w:rsid w:val="006E5E35"/>
    <w:rsid w:val="006F34FE"/>
    <w:rsid w:val="00710154"/>
    <w:rsid w:val="00723F02"/>
    <w:rsid w:val="00732513"/>
    <w:rsid w:val="00741D0A"/>
    <w:rsid w:val="00774472"/>
    <w:rsid w:val="00780357"/>
    <w:rsid w:val="007823DC"/>
    <w:rsid w:val="007828A4"/>
    <w:rsid w:val="007A18A2"/>
    <w:rsid w:val="007A3952"/>
    <w:rsid w:val="007B41EE"/>
    <w:rsid w:val="007C2660"/>
    <w:rsid w:val="007C6859"/>
    <w:rsid w:val="007C7248"/>
    <w:rsid w:val="007D058F"/>
    <w:rsid w:val="007E0A2D"/>
    <w:rsid w:val="007F3E9B"/>
    <w:rsid w:val="0081165F"/>
    <w:rsid w:val="00813C91"/>
    <w:rsid w:val="00814DE0"/>
    <w:rsid w:val="00816177"/>
    <w:rsid w:val="00820BFB"/>
    <w:rsid w:val="00823DE2"/>
    <w:rsid w:val="00831704"/>
    <w:rsid w:val="00842E86"/>
    <w:rsid w:val="008431F3"/>
    <w:rsid w:val="00846153"/>
    <w:rsid w:val="00855DD3"/>
    <w:rsid w:val="008615B4"/>
    <w:rsid w:val="008623B2"/>
    <w:rsid w:val="00864C97"/>
    <w:rsid w:val="008662D3"/>
    <w:rsid w:val="008727CD"/>
    <w:rsid w:val="00886214"/>
    <w:rsid w:val="00890148"/>
    <w:rsid w:val="00890E25"/>
    <w:rsid w:val="008951B1"/>
    <w:rsid w:val="008A14D6"/>
    <w:rsid w:val="008A6E09"/>
    <w:rsid w:val="008B0C9F"/>
    <w:rsid w:val="008B53E3"/>
    <w:rsid w:val="008C042F"/>
    <w:rsid w:val="008D1640"/>
    <w:rsid w:val="008D4172"/>
    <w:rsid w:val="008D4403"/>
    <w:rsid w:val="008D52FE"/>
    <w:rsid w:val="008D53F8"/>
    <w:rsid w:val="008E00D8"/>
    <w:rsid w:val="008F3F77"/>
    <w:rsid w:val="008F6325"/>
    <w:rsid w:val="00904A2B"/>
    <w:rsid w:val="0091221F"/>
    <w:rsid w:val="0091531C"/>
    <w:rsid w:val="009503D6"/>
    <w:rsid w:val="00950E72"/>
    <w:rsid w:val="00951926"/>
    <w:rsid w:val="00955BB4"/>
    <w:rsid w:val="00955C39"/>
    <w:rsid w:val="00997F3B"/>
    <w:rsid w:val="009A1302"/>
    <w:rsid w:val="009B5FD6"/>
    <w:rsid w:val="009C088E"/>
    <w:rsid w:val="009C508F"/>
    <w:rsid w:val="009F3952"/>
    <w:rsid w:val="009F45C7"/>
    <w:rsid w:val="009F5AAD"/>
    <w:rsid w:val="00A01D13"/>
    <w:rsid w:val="00A03B0F"/>
    <w:rsid w:val="00A35AF2"/>
    <w:rsid w:val="00A529CE"/>
    <w:rsid w:val="00A54DF0"/>
    <w:rsid w:val="00A5642B"/>
    <w:rsid w:val="00A80759"/>
    <w:rsid w:val="00A843EC"/>
    <w:rsid w:val="00A92BD0"/>
    <w:rsid w:val="00A94B44"/>
    <w:rsid w:val="00A96E26"/>
    <w:rsid w:val="00AA0929"/>
    <w:rsid w:val="00AA0B07"/>
    <w:rsid w:val="00AB3AFF"/>
    <w:rsid w:val="00AC6B03"/>
    <w:rsid w:val="00AD2DB3"/>
    <w:rsid w:val="00AE020A"/>
    <w:rsid w:val="00AF0FEC"/>
    <w:rsid w:val="00AF674F"/>
    <w:rsid w:val="00AF6F25"/>
    <w:rsid w:val="00B07C17"/>
    <w:rsid w:val="00B11D53"/>
    <w:rsid w:val="00B1279A"/>
    <w:rsid w:val="00B237CD"/>
    <w:rsid w:val="00B25037"/>
    <w:rsid w:val="00B25085"/>
    <w:rsid w:val="00B35B98"/>
    <w:rsid w:val="00B37796"/>
    <w:rsid w:val="00B4118C"/>
    <w:rsid w:val="00B44232"/>
    <w:rsid w:val="00B47729"/>
    <w:rsid w:val="00B515A6"/>
    <w:rsid w:val="00B5455A"/>
    <w:rsid w:val="00B62F23"/>
    <w:rsid w:val="00B64FF5"/>
    <w:rsid w:val="00BB1BF9"/>
    <w:rsid w:val="00BC70EB"/>
    <w:rsid w:val="00BE07CD"/>
    <w:rsid w:val="00BE3F28"/>
    <w:rsid w:val="00BE400F"/>
    <w:rsid w:val="00BE7523"/>
    <w:rsid w:val="00BF4E61"/>
    <w:rsid w:val="00C07A91"/>
    <w:rsid w:val="00C2477C"/>
    <w:rsid w:val="00C32BBA"/>
    <w:rsid w:val="00C40735"/>
    <w:rsid w:val="00C52232"/>
    <w:rsid w:val="00C84117"/>
    <w:rsid w:val="00C86DFA"/>
    <w:rsid w:val="00C93B3D"/>
    <w:rsid w:val="00C94636"/>
    <w:rsid w:val="00C9494E"/>
    <w:rsid w:val="00CA4EF5"/>
    <w:rsid w:val="00CB5BEA"/>
    <w:rsid w:val="00CC1069"/>
    <w:rsid w:val="00CD382E"/>
    <w:rsid w:val="00CD57D2"/>
    <w:rsid w:val="00CE3B51"/>
    <w:rsid w:val="00CF2954"/>
    <w:rsid w:val="00CF5470"/>
    <w:rsid w:val="00D02D15"/>
    <w:rsid w:val="00D07B05"/>
    <w:rsid w:val="00D07CEC"/>
    <w:rsid w:val="00D16073"/>
    <w:rsid w:val="00D25224"/>
    <w:rsid w:val="00D2718B"/>
    <w:rsid w:val="00D42D30"/>
    <w:rsid w:val="00D50FCA"/>
    <w:rsid w:val="00D53072"/>
    <w:rsid w:val="00D6157C"/>
    <w:rsid w:val="00D73960"/>
    <w:rsid w:val="00D80B3A"/>
    <w:rsid w:val="00D83BC5"/>
    <w:rsid w:val="00D85090"/>
    <w:rsid w:val="00D915B3"/>
    <w:rsid w:val="00D93568"/>
    <w:rsid w:val="00D95521"/>
    <w:rsid w:val="00DB4757"/>
    <w:rsid w:val="00DD139D"/>
    <w:rsid w:val="00DE0F8D"/>
    <w:rsid w:val="00DE1583"/>
    <w:rsid w:val="00DE2626"/>
    <w:rsid w:val="00DF353E"/>
    <w:rsid w:val="00DF61F1"/>
    <w:rsid w:val="00E00615"/>
    <w:rsid w:val="00E0159A"/>
    <w:rsid w:val="00E07732"/>
    <w:rsid w:val="00E23C52"/>
    <w:rsid w:val="00E25755"/>
    <w:rsid w:val="00E3722B"/>
    <w:rsid w:val="00E411D0"/>
    <w:rsid w:val="00E50227"/>
    <w:rsid w:val="00E514BC"/>
    <w:rsid w:val="00E54A0F"/>
    <w:rsid w:val="00E54F7D"/>
    <w:rsid w:val="00E609AB"/>
    <w:rsid w:val="00E664A3"/>
    <w:rsid w:val="00E73B5E"/>
    <w:rsid w:val="00E875DC"/>
    <w:rsid w:val="00E90195"/>
    <w:rsid w:val="00EC08CF"/>
    <w:rsid w:val="00ED26F5"/>
    <w:rsid w:val="00EE0808"/>
    <w:rsid w:val="00F007ED"/>
    <w:rsid w:val="00F01678"/>
    <w:rsid w:val="00F126C5"/>
    <w:rsid w:val="00F16710"/>
    <w:rsid w:val="00F25235"/>
    <w:rsid w:val="00F27886"/>
    <w:rsid w:val="00F51936"/>
    <w:rsid w:val="00F51E79"/>
    <w:rsid w:val="00F54DBC"/>
    <w:rsid w:val="00F6727D"/>
    <w:rsid w:val="00F900B6"/>
    <w:rsid w:val="00F90B29"/>
    <w:rsid w:val="00F90D70"/>
    <w:rsid w:val="00F93AFA"/>
    <w:rsid w:val="00F940E9"/>
    <w:rsid w:val="00F96E1B"/>
    <w:rsid w:val="00F97960"/>
    <w:rsid w:val="00FA3607"/>
    <w:rsid w:val="00FB08F2"/>
    <w:rsid w:val="00FB38FE"/>
    <w:rsid w:val="00FC53A6"/>
    <w:rsid w:val="00FC557F"/>
    <w:rsid w:val="00FC7DCF"/>
    <w:rsid w:val="00FD21AA"/>
    <w:rsid w:val="00FD5B6A"/>
    <w:rsid w:val="00FE13E8"/>
    <w:rsid w:val="00FE2B56"/>
    <w:rsid w:val="00FE3377"/>
    <w:rsid w:val="00FE4F18"/>
    <w:rsid w:val="00FF5356"/>
    <w:rsid w:val="00FF7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DD581"/>
  <w15:docId w15:val="{70672E60-21DC-4FF6-8A01-3129C19C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3E8"/>
    <w:pPr>
      <w:suppressAutoHyphens/>
      <w:jc w:val="both"/>
    </w:pPr>
    <w:rPr>
      <w:rFonts w:ascii="Arial" w:hAnsi="Arial"/>
      <w:szCs w:val="24"/>
      <w:lang w:val="sl-SI" w:eastAsia="ar-SA"/>
    </w:rPr>
  </w:style>
  <w:style w:type="paragraph" w:styleId="Heading2">
    <w:name w:val="heading 2"/>
    <w:basedOn w:val="Normal"/>
    <w:next w:val="Normal"/>
    <w:qFormat/>
    <w:rsid w:val="006A7F92"/>
    <w:pPr>
      <w:keepNext/>
      <w:numPr>
        <w:ilvl w:val="1"/>
        <w:numId w:val="1"/>
      </w:numPr>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A7F92"/>
  </w:style>
  <w:style w:type="character" w:customStyle="1" w:styleId="Privzetapisavaodstavka1">
    <w:name w:val="Privzeta pisava odstavka1"/>
    <w:rsid w:val="006A7F92"/>
  </w:style>
  <w:style w:type="character" w:styleId="PageNumber">
    <w:name w:val="page number"/>
    <w:basedOn w:val="Privzetapisavaodstavka1"/>
    <w:rsid w:val="006A7F92"/>
  </w:style>
  <w:style w:type="character" w:styleId="Hyperlink">
    <w:name w:val="Hyperlink"/>
    <w:rsid w:val="006A7F92"/>
    <w:rPr>
      <w:color w:val="000080"/>
      <w:u w:val="single"/>
    </w:rPr>
  </w:style>
  <w:style w:type="paragraph" w:styleId="BalloonText">
    <w:name w:val="Balloon Text"/>
    <w:basedOn w:val="Normal"/>
    <w:link w:val="BalloonTextChar"/>
    <w:rsid w:val="003156C1"/>
    <w:rPr>
      <w:rFonts w:ascii="Tahoma" w:hAnsi="Tahoma" w:cs="Tahoma"/>
      <w:sz w:val="16"/>
      <w:szCs w:val="16"/>
    </w:rPr>
  </w:style>
  <w:style w:type="paragraph" w:styleId="BodyText">
    <w:name w:val="Body Text"/>
    <w:basedOn w:val="Normal"/>
    <w:rsid w:val="006A7F92"/>
    <w:pPr>
      <w:spacing w:after="120"/>
    </w:pPr>
  </w:style>
  <w:style w:type="paragraph" w:styleId="List">
    <w:name w:val="List"/>
    <w:basedOn w:val="BodyText"/>
    <w:rsid w:val="006A7F92"/>
    <w:rPr>
      <w:rFonts w:cs="Tahoma"/>
    </w:rPr>
  </w:style>
  <w:style w:type="paragraph" w:customStyle="1" w:styleId="Napis1">
    <w:name w:val="Napis1"/>
    <w:basedOn w:val="Normal"/>
    <w:rsid w:val="006A7F92"/>
    <w:pPr>
      <w:suppressLineNumbers/>
      <w:spacing w:before="120" w:after="120"/>
    </w:pPr>
    <w:rPr>
      <w:rFonts w:cs="Tahoma"/>
      <w:i/>
      <w:iCs/>
    </w:rPr>
  </w:style>
  <w:style w:type="paragraph" w:customStyle="1" w:styleId="Kazalo">
    <w:name w:val="Kazalo"/>
    <w:basedOn w:val="Normal"/>
    <w:rsid w:val="006A7F92"/>
    <w:pPr>
      <w:suppressLineNumbers/>
    </w:pPr>
    <w:rPr>
      <w:rFonts w:cs="Tahoma"/>
    </w:rPr>
  </w:style>
  <w:style w:type="paragraph" w:styleId="Header">
    <w:name w:val="header"/>
    <w:basedOn w:val="Normal"/>
    <w:link w:val="HeaderChar"/>
    <w:rsid w:val="006A7F92"/>
    <w:pPr>
      <w:tabs>
        <w:tab w:val="center" w:pos="4536"/>
        <w:tab w:val="right" w:pos="9072"/>
      </w:tabs>
    </w:pPr>
  </w:style>
  <w:style w:type="paragraph" w:styleId="Footer">
    <w:name w:val="footer"/>
    <w:basedOn w:val="Normal"/>
    <w:link w:val="FooterChar"/>
    <w:uiPriority w:val="99"/>
    <w:rsid w:val="006A7F92"/>
    <w:pPr>
      <w:tabs>
        <w:tab w:val="center" w:pos="4536"/>
        <w:tab w:val="right" w:pos="9072"/>
      </w:tabs>
    </w:pPr>
  </w:style>
  <w:style w:type="paragraph" w:customStyle="1" w:styleId="Telobesedila21">
    <w:name w:val="Telo besedila 21"/>
    <w:basedOn w:val="Normal"/>
    <w:rsid w:val="006A7F92"/>
    <w:pPr>
      <w:tabs>
        <w:tab w:val="right" w:pos="9072"/>
      </w:tabs>
    </w:pPr>
    <w:rPr>
      <w:szCs w:val="20"/>
    </w:rPr>
  </w:style>
  <w:style w:type="paragraph" w:customStyle="1" w:styleId="Vsebinatabele">
    <w:name w:val="Vsebina tabele"/>
    <w:basedOn w:val="Normal"/>
    <w:rsid w:val="006A7F92"/>
    <w:pPr>
      <w:suppressLineNumbers/>
    </w:pPr>
  </w:style>
  <w:style w:type="paragraph" w:customStyle="1" w:styleId="Naslovtabele">
    <w:name w:val="Naslov tabele"/>
    <w:basedOn w:val="Vsebinatabele"/>
    <w:rsid w:val="006A7F92"/>
    <w:pPr>
      <w:jc w:val="center"/>
    </w:pPr>
    <w:rPr>
      <w:b/>
      <w:bCs/>
    </w:rPr>
  </w:style>
  <w:style w:type="paragraph" w:customStyle="1" w:styleId="Vsebinaokvira">
    <w:name w:val="Vsebina okvira"/>
    <w:basedOn w:val="BodyText"/>
    <w:rsid w:val="006A7F92"/>
  </w:style>
  <w:style w:type="paragraph" w:customStyle="1" w:styleId="NoParagraphStyle">
    <w:name w:val="[No Paragraph Style]"/>
    <w:rsid w:val="006A7F92"/>
    <w:pPr>
      <w:widowControl w:val="0"/>
      <w:suppressAutoHyphens/>
      <w:autoSpaceDE w:val="0"/>
      <w:spacing w:line="288" w:lineRule="auto"/>
      <w:textAlignment w:val="center"/>
    </w:pPr>
    <w:rPr>
      <w:color w:val="000000"/>
      <w:sz w:val="24"/>
      <w:szCs w:val="24"/>
    </w:rPr>
  </w:style>
  <w:style w:type="paragraph" w:customStyle="1" w:styleId="BasicParagraph">
    <w:name w:val="[Basic Paragraph]"/>
    <w:basedOn w:val="NoParagraphStyle"/>
    <w:uiPriority w:val="99"/>
    <w:rsid w:val="006A7F92"/>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szCs w:val="20"/>
      <w:lang w:val="en-US" w:eastAsia="en-US"/>
    </w:rPr>
  </w:style>
  <w:style w:type="paragraph" w:customStyle="1" w:styleId="ZADEVA">
    <w:name w:val="ZADEVA"/>
    <w:basedOn w:val="Normal"/>
    <w:qFormat/>
    <w:rsid w:val="00283B5A"/>
    <w:pPr>
      <w:tabs>
        <w:tab w:val="left" w:pos="1701"/>
      </w:tabs>
      <w:suppressAutoHyphens w:val="0"/>
      <w:spacing w:line="260" w:lineRule="exact"/>
      <w:ind w:left="1701" w:hanging="1701"/>
    </w:pPr>
    <w:rPr>
      <w:b/>
      <w:lang w:val="it-IT" w:eastAsia="en-US"/>
    </w:rPr>
  </w:style>
  <w:style w:type="paragraph" w:customStyle="1" w:styleId="podpisi">
    <w:name w:val="podpisi"/>
    <w:basedOn w:val="Normal"/>
    <w:qFormat/>
    <w:rsid w:val="00283B5A"/>
    <w:pPr>
      <w:tabs>
        <w:tab w:val="left" w:pos="3402"/>
      </w:tabs>
      <w:suppressAutoHyphens w:val="0"/>
      <w:spacing w:line="260" w:lineRule="exact"/>
    </w:pPr>
    <w:rPr>
      <w:lang w:val="it-IT" w:eastAsia="en-US"/>
    </w:rPr>
  </w:style>
  <w:style w:type="table" w:styleId="TableGrid">
    <w:name w:val="Table Grid"/>
    <w:basedOn w:val="TableNormal"/>
    <w:rsid w:val="00A52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3156C1"/>
    <w:rPr>
      <w:rFonts w:ascii="Tahoma" w:hAnsi="Tahoma" w:cs="Tahoma"/>
      <w:sz w:val="16"/>
      <w:szCs w:val="16"/>
      <w:lang w:val="sl-SI" w:eastAsia="ar-SA"/>
    </w:rPr>
  </w:style>
  <w:style w:type="paragraph" w:customStyle="1" w:styleId="Default">
    <w:name w:val="Default"/>
    <w:rsid w:val="00403EEA"/>
    <w:pPr>
      <w:autoSpaceDE w:val="0"/>
      <w:autoSpaceDN w:val="0"/>
      <w:adjustRightInd w:val="0"/>
    </w:pPr>
    <w:rPr>
      <w:rFonts w:ascii="Calibri" w:hAnsi="Calibri" w:cs="Calibri"/>
      <w:color w:val="000000"/>
      <w:sz w:val="24"/>
      <w:szCs w:val="24"/>
    </w:rPr>
  </w:style>
  <w:style w:type="character" w:styleId="CommentReference">
    <w:name w:val="annotation reference"/>
    <w:rsid w:val="008A6E09"/>
    <w:rPr>
      <w:sz w:val="16"/>
      <w:szCs w:val="16"/>
    </w:rPr>
  </w:style>
  <w:style w:type="paragraph" w:styleId="CommentText">
    <w:name w:val="annotation text"/>
    <w:basedOn w:val="Normal"/>
    <w:link w:val="CommentTextChar"/>
    <w:rsid w:val="008A6E09"/>
    <w:rPr>
      <w:szCs w:val="20"/>
    </w:rPr>
  </w:style>
  <w:style w:type="character" w:customStyle="1" w:styleId="CommentTextChar">
    <w:name w:val="Comment Text Char"/>
    <w:link w:val="CommentText"/>
    <w:rsid w:val="008A6E09"/>
    <w:rPr>
      <w:lang w:val="sl-SI" w:eastAsia="ar-SA"/>
    </w:rPr>
  </w:style>
  <w:style w:type="paragraph" w:styleId="CommentSubject">
    <w:name w:val="annotation subject"/>
    <w:basedOn w:val="CommentText"/>
    <w:next w:val="CommentText"/>
    <w:link w:val="CommentSubjectChar"/>
    <w:rsid w:val="008A6E09"/>
    <w:rPr>
      <w:b/>
      <w:bCs/>
    </w:rPr>
  </w:style>
  <w:style w:type="character" w:customStyle="1" w:styleId="CommentSubjectChar">
    <w:name w:val="Comment Subject Char"/>
    <w:link w:val="CommentSubject"/>
    <w:rsid w:val="008A6E09"/>
    <w:rPr>
      <w:b/>
      <w:bCs/>
      <w:lang w:val="sl-SI" w:eastAsia="ar-SA"/>
    </w:rPr>
  </w:style>
  <w:style w:type="paragraph" w:styleId="Caption">
    <w:name w:val="caption"/>
    <w:basedOn w:val="Normal"/>
    <w:next w:val="Normal"/>
    <w:link w:val="CaptionChar"/>
    <w:autoRedefine/>
    <w:uiPriority w:val="35"/>
    <w:unhideWhenUsed/>
    <w:qFormat/>
    <w:rsid w:val="00C40735"/>
    <w:pPr>
      <w:suppressAutoHyphens w:val="0"/>
    </w:pPr>
    <w:rPr>
      <w:rFonts w:eastAsia="Calibri" w:cs="Arial"/>
      <w:i/>
      <w:sz w:val="18"/>
      <w:szCs w:val="18"/>
    </w:rPr>
  </w:style>
  <w:style w:type="paragraph" w:styleId="FootnoteText">
    <w:name w:val="footnote text"/>
    <w:basedOn w:val="Normal"/>
    <w:link w:val="FootnoteTextChar"/>
    <w:rsid w:val="00AF674F"/>
    <w:rPr>
      <w:szCs w:val="20"/>
    </w:rPr>
  </w:style>
  <w:style w:type="character" w:customStyle="1" w:styleId="FootnoteTextChar">
    <w:name w:val="Footnote Text Char"/>
    <w:basedOn w:val="DefaultParagraphFont"/>
    <w:link w:val="FootnoteText"/>
    <w:rsid w:val="00AF674F"/>
    <w:rPr>
      <w:lang w:val="sl-SI" w:eastAsia="ar-SA"/>
    </w:rPr>
  </w:style>
  <w:style w:type="character" w:styleId="FootnoteReference">
    <w:name w:val="footnote reference"/>
    <w:basedOn w:val="DefaultParagraphFont"/>
    <w:rsid w:val="00AF674F"/>
    <w:rPr>
      <w:vertAlign w:val="superscript"/>
    </w:rPr>
  </w:style>
  <w:style w:type="character" w:customStyle="1" w:styleId="CaptionChar">
    <w:name w:val="Caption Char"/>
    <w:basedOn w:val="DefaultParagraphFont"/>
    <w:link w:val="Caption"/>
    <w:uiPriority w:val="35"/>
    <w:locked/>
    <w:rsid w:val="00E50227"/>
    <w:rPr>
      <w:rFonts w:ascii="Arial" w:eastAsia="Calibri" w:hAnsi="Arial" w:cs="Arial"/>
      <w:i/>
      <w:sz w:val="18"/>
      <w:szCs w:val="18"/>
      <w:lang w:val="sl-SI" w:eastAsia="ar-SA"/>
    </w:rPr>
  </w:style>
  <w:style w:type="paragraph" w:styleId="ListParagraph">
    <w:name w:val="List Paragraph"/>
    <w:basedOn w:val="Normal"/>
    <w:uiPriority w:val="34"/>
    <w:qFormat/>
    <w:rsid w:val="008D52FE"/>
    <w:pPr>
      <w:ind w:left="720"/>
      <w:contextualSpacing/>
    </w:pPr>
  </w:style>
  <w:style w:type="character" w:customStyle="1" w:styleId="Nerazreenaomemba1">
    <w:name w:val="Nerazrešena omemba1"/>
    <w:basedOn w:val="DefaultParagraphFont"/>
    <w:uiPriority w:val="99"/>
    <w:semiHidden/>
    <w:unhideWhenUsed/>
    <w:rsid w:val="00CB5BEA"/>
    <w:rPr>
      <w:color w:val="605E5C"/>
      <w:shd w:val="clear" w:color="auto" w:fill="E1DFDD"/>
    </w:rPr>
  </w:style>
  <w:style w:type="paragraph" w:customStyle="1" w:styleId="odstavek">
    <w:name w:val="odstavek"/>
    <w:basedOn w:val="Normal"/>
    <w:rsid w:val="00904A2B"/>
    <w:pPr>
      <w:suppressAutoHyphens w:val="0"/>
      <w:spacing w:before="100" w:beforeAutospacing="1" w:after="100" w:afterAutospacing="1"/>
    </w:pPr>
    <w:rPr>
      <w:lang w:eastAsia="sl-SI"/>
    </w:rPr>
  </w:style>
  <w:style w:type="paragraph" w:styleId="Subtitle">
    <w:name w:val="Subtitle"/>
    <w:basedOn w:val="Normal"/>
    <w:next w:val="Normal"/>
    <w:link w:val="SubtitleChar"/>
    <w:qFormat/>
    <w:rsid w:val="00FE13E8"/>
    <w:pPr>
      <w:suppressAutoHyphens w:val="0"/>
      <w:spacing w:after="60" w:line="260" w:lineRule="atLeast"/>
      <w:jc w:val="center"/>
      <w:outlineLvl w:val="1"/>
    </w:pPr>
    <w:rPr>
      <w:rFonts w:ascii="Cambria" w:hAnsi="Cambria"/>
      <w:lang w:val="en-US" w:eastAsia="en-US"/>
    </w:rPr>
  </w:style>
  <w:style w:type="character" w:customStyle="1" w:styleId="SubtitleChar">
    <w:name w:val="Subtitle Char"/>
    <w:basedOn w:val="DefaultParagraphFont"/>
    <w:link w:val="Subtitle"/>
    <w:rsid w:val="00FE13E8"/>
    <w:rPr>
      <w:rFonts w:ascii="Cambria" w:hAnsi="Cambria"/>
      <w:sz w:val="24"/>
      <w:szCs w:val="24"/>
    </w:rPr>
  </w:style>
  <w:style w:type="character" w:customStyle="1" w:styleId="HeaderChar">
    <w:name w:val="Header Char"/>
    <w:basedOn w:val="DefaultParagraphFont"/>
    <w:link w:val="Header"/>
    <w:rsid w:val="003B7E9A"/>
    <w:rPr>
      <w:rFonts w:ascii="Arial" w:hAnsi="Arial"/>
      <w:szCs w:val="24"/>
      <w:lang w:val="sl-SI" w:eastAsia="ar-SA"/>
    </w:rPr>
  </w:style>
  <w:style w:type="paragraph" w:styleId="NoSpacing">
    <w:name w:val="No Spacing"/>
    <w:uiPriority w:val="1"/>
    <w:qFormat/>
    <w:rsid w:val="003B7E9A"/>
    <w:rPr>
      <w:rFonts w:ascii="Calibri" w:eastAsia="Calibri" w:hAnsi="Calibri"/>
      <w:sz w:val="22"/>
      <w:szCs w:val="22"/>
      <w:lang w:val="sl-SI"/>
    </w:rPr>
  </w:style>
  <w:style w:type="character" w:customStyle="1" w:styleId="UnresolvedMention1">
    <w:name w:val="Unresolved Mention1"/>
    <w:basedOn w:val="DefaultParagraphFont"/>
    <w:uiPriority w:val="99"/>
    <w:semiHidden/>
    <w:unhideWhenUsed/>
    <w:rsid w:val="00F97960"/>
    <w:rPr>
      <w:color w:val="605E5C"/>
      <w:shd w:val="clear" w:color="auto" w:fill="E1DFDD"/>
    </w:rPr>
  </w:style>
  <w:style w:type="paragraph" w:styleId="Revision">
    <w:name w:val="Revision"/>
    <w:hidden/>
    <w:uiPriority w:val="99"/>
    <w:semiHidden/>
    <w:rsid w:val="005E54FA"/>
    <w:rPr>
      <w:rFonts w:ascii="Arial" w:hAnsi="Arial"/>
      <w:szCs w:val="24"/>
      <w:lang w:val="sl-SI" w:eastAsia="ar-SA"/>
    </w:rPr>
  </w:style>
  <w:style w:type="character" w:customStyle="1" w:styleId="FooterChar">
    <w:name w:val="Footer Char"/>
    <w:basedOn w:val="DefaultParagraphFont"/>
    <w:link w:val="Footer"/>
    <w:uiPriority w:val="99"/>
    <w:rsid w:val="00B515A6"/>
    <w:rPr>
      <w:rFonts w:ascii="Arial" w:hAnsi="Arial"/>
      <w:szCs w:val="24"/>
      <w:lang w:val="sl-SI"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about:blank"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about:blank" TargetMode="External"/><Relationship Id="rId25" Type="http://schemas.openxmlformats.org/officeDocument/2006/relationships/image" Target="media/image5.png"/><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image" Target="media/image4.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about:blan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image" Target="media/image7.png"/><Relationship Id="rId30" Type="http://schemas.openxmlformats.org/officeDocument/2006/relationships/image" Target="media/image10.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79878-4DFE-4717-A573-8DE9602E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8072</Characters>
  <Application>Microsoft Office Word</Application>
  <DocSecurity>0</DocSecurity>
  <Lines>67</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PST</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Adlešič-Barba</dc:creator>
  <cp:lastModifiedBy>Taja Čehovin</cp:lastModifiedBy>
  <cp:revision>2</cp:revision>
  <cp:lastPrinted>2008-01-24T13:26:00Z</cp:lastPrinted>
  <dcterms:created xsi:type="dcterms:W3CDTF">2022-11-25T13:26:00Z</dcterms:created>
  <dcterms:modified xsi:type="dcterms:W3CDTF">2022-11-25T13:26:00Z</dcterms:modified>
</cp:coreProperties>
</file>