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ED735" w14:textId="18436310" w:rsidR="0066771D" w:rsidRPr="0066771D" w:rsidRDefault="004301CF" w:rsidP="0066771D">
      <w:pPr>
        <w:pStyle w:val="Header"/>
        <w:tabs>
          <w:tab w:val="clear" w:pos="4536"/>
          <w:tab w:val="left" w:pos="5112"/>
          <w:tab w:val="left" w:pos="8641"/>
        </w:tabs>
        <w:spacing w:before="340" w:line="240" w:lineRule="exact"/>
        <w:ind w:left="-765"/>
        <w:rPr>
          <w:rFonts w:eastAsia="Calibri"/>
          <w:sz w:val="16"/>
          <w:szCs w:val="22"/>
        </w:rPr>
      </w:pPr>
      <w:r>
        <w:rPr>
          <w:noProof/>
          <w:lang w:eastAsia="sl-SI"/>
        </w:rPr>
        <w:drawing>
          <wp:inline distT="0" distB="0" distL="0" distR="0" wp14:anchorId="5E98C10F" wp14:editId="548BF503">
            <wp:extent cx="2162175" cy="333375"/>
            <wp:effectExtent l="0" t="0" r="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publika Slovenija&#10;Vlada Republike Sloveni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333375"/>
                    </a:xfrm>
                    <a:prstGeom prst="rect">
                      <a:avLst/>
                    </a:prstGeom>
                    <a:noFill/>
                    <a:ln>
                      <a:noFill/>
                    </a:ln>
                  </pic:spPr>
                </pic:pic>
              </a:graphicData>
            </a:graphic>
          </wp:inline>
        </w:drawing>
      </w:r>
    </w:p>
    <w:p w14:paraId="7A9313CC" w14:textId="77777777" w:rsidR="0066771D" w:rsidRDefault="0066771D" w:rsidP="0066771D">
      <w:pPr>
        <w:pStyle w:val="Header"/>
        <w:tabs>
          <w:tab w:val="clear" w:pos="4536"/>
          <w:tab w:val="left" w:pos="5114"/>
          <w:tab w:val="left" w:pos="8641"/>
        </w:tabs>
        <w:spacing w:before="120" w:line="240" w:lineRule="exact"/>
        <w:rPr>
          <w:sz w:val="16"/>
        </w:rPr>
      </w:pPr>
      <w:r>
        <w:rPr>
          <w:sz w:val="16"/>
        </w:rPr>
        <w:t>Gregorčičeva ulica 20–25, 1000 Ljubljana</w:t>
      </w:r>
      <w:r>
        <w:rPr>
          <w:sz w:val="16"/>
        </w:rPr>
        <w:tab/>
        <w:t>T: +386 1 478 1000</w:t>
      </w:r>
    </w:p>
    <w:p w14:paraId="776B6993" w14:textId="77777777" w:rsidR="0066771D" w:rsidRDefault="0066771D" w:rsidP="0066771D">
      <w:pPr>
        <w:pStyle w:val="Header"/>
        <w:tabs>
          <w:tab w:val="clear" w:pos="4536"/>
          <w:tab w:val="left" w:pos="5114"/>
          <w:tab w:val="left" w:pos="8641"/>
        </w:tabs>
        <w:spacing w:line="240" w:lineRule="exact"/>
        <w:rPr>
          <w:sz w:val="16"/>
        </w:rPr>
      </w:pPr>
      <w:r>
        <w:rPr>
          <w:sz w:val="16"/>
        </w:rPr>
        <w:tab/>
        <w:t>F: +386 1 478 1607</w:t>
      </w:r>
    </w:p>
    <w:p w14:paraId="6EBE1EF7" w14:textId="77777777" w:rsidR="0066771D" w:rsidRDefault="0066771D" w:rsidP="0066771D">
      <w:pPr>
        <w:pStyle w:val="Header"/>
        <w:tabs>
          <w:tab w:val="clear" w:pos="4536"/>
          <w:tab w:val="left" w:pos="5114"/>
          <w:tab w:val="left" w:pos="8641"/>
        </w:tabs>
        <w:spacing w:line="240" w:lineRule="exact"/>
        <w:rPr>
          <w:sz w:val="16"/>
        </w:rPr>
      </w:pPr>
      <w:r>
        <w:rPr>
          <w:sz w:val="16"/>
        </w:rPr>
        <w:tab/>
        <w:t>E: gp.gs@gov.si</w:t>
      </w:r>
    </w:p>
    <w:p w14:paraId="0EB6DF99" w14:textId="77777777" w:rsidR="0066771D" w:rsidRDefault="0066771D" w:rsidP="0066771D">
      <w:pPr>
        <w:pStyle w:val="Header"/>
        <w:tabs>
          <w:tab w:val="clear" w:pos="4536"/>
          <w:tab w:val="left" w:pos="5114"/>
          <w:tab w:val="left" w:pos="8641"/>
        </w:tabs>
        <w:spacing w:line="240" w:lineRule="exact"/>
        <w:rPr>
          <w:sz w:val="16"/>
        </w:rPr>
      </w:pPr>
      <w:r>
        <w:rPr>
          <w:sz w:val="16"/>
        </w:rPr>
        <w:tab/>
        <w:t>http://www.vlada.si/</w:t>
      </w:r>
    </w:p>
    <w:p w14:paraId="18AC996C" w14:textId="77777777" w:rsidR="00E6196F" w:rsidRDefault="00E6196F" w:rsidP="00B95B37">
      <w:pPr>
        <w:spacing w:line="276" w:lineRule="auto"/>
        <w:jc w:val="center"/>
        <w:rPr>
          <w:sz w:val="20"/>
          <w:szCs w:val="20"/>
        </w:rPr>
      </w:pPr>
    </w:p>
    <w:p w14:paraId="3086777D" w14:textId="77777777" w:rsidR="0066771D" w:rsidRDefault="0066771D" w:rsidP="00B95B37">
      <w:pPr>
        <w:spacing w:line="276" w:lineRule="auto"/>
        <w:jc w:val="center"/>
        <w:rPr>
          <w:sz w:val="20"/>
          <w:szCs w:val="20"/>
        </w:rPr>
      </w:pPr>
    </w:p>
    <w:p w14:paraId="31A2B32E" w14:textId="77777777" w:rsidR="0066771D" w:rsidRDefault="0066771D" w:rsidP="00B95B37">
      <w:pPr>
        <w:spacing w:line="276" w:lineRule="auto"/>
        <w:jc w:val="center"/>
        <w:rPr>
          <w:sz w:val="20"/>
          <w:szCs w:val="20"/>
        </w:rPr>
      </w:pPr>
    </w:p>
    <w:p w14:paraId="49C0AB1A" w14:textId="77777777" w:rsidR="0066771D" w:rsidRDefault="0066771D" w:rsidP="00B95B37">
      <w:pPr>
        <w:spacing w:line="276" w:lineRule="auto"/>
        <w:jc w:val="center"/>
        <w:rPr>
          <w:sz w:val="20"/>
          <w:szCs w:val="20"/>
        </w:rPr>
      </w:pPr>
    </w:p>
    <w:p w14:paraId="7F70D18B" w14:textId="77777777" w:rsidR="0066771D" w:rsidRPr="009D2329" w:rsidRDefault="0066771D" w:rsidP="00B95B37">
      <w:pPr>
        <w:spacing w:line="276" w:lineRule="auto"/>
        <w:jc w:val="center"/>
        <w:rPr>
          <w:sz w:val="20"/>
          <w:szCs w:val="20"/>
        </w:rPr>
      </w:pPr>
    </w:p>
    <w:tbl>
      <w:tblPr>
        <w:tblW w:w="5000" w:type="pct"/>
        <w:jc w:val="center"/>
        <w:tblLook w:val="04A0" w:firstRow="1" w:lastRow="0" w:firstColumn="1" w:lastColumn="0" w:noHBand="0" w:noVBand="1"/>
      </w:tblPr>
      <w:tblGrid>
        <w:gridCol w:w="9072"/>
      </w:tblGrid>
      <w:tr w:rsidR="005547B0" w:rsidRPr="009D2329" w14:paraId="75DE9DC3" w14:textId="77777777" w:rsidTr="00B510F6">
        <w:trPr>
          <w:trHeight w:val="1440"/>
          <w:jc w:val="center"/>
        </w:trPr>
        <w:tc>
          <w:tcPr>
            <w:tcW w:w="5000" w:type="pct"/>
            <w:tcBorders>
              <w:top w:val="nil"/>
              <w:left w:val="nil"/>
              <w:bottom w:val="single" w:sz="4" w:space="0" w:color="4F81BD"/>
              <w:right w:val="nil"/>
            </w:tcBorders>
            <w:vAlign w:val="center"/>
          </w:tcPr>
          <w:p w14:paraId="2623BE2E" w14:textId="77777777" w:rsidR="0066771D" w:rsidRDefault="0066771D" w:rsidP="00B95B37">
            <w:pPr>
              <w:spacing w:line="276" w:lineRule="auto"/>
              <w:jc w:val="center"/>
              <w:rPr>
                <w:b/>
                <w:sz w:val="20"/>
                <w:szCs w:val="20"/>
                <w:lang w:eastAsia="zh-CN"/>
              </w:rPr>
            </w:pPr>
            <w:bookmarkStart w:id="0" w:name="_GoBack"/>
            <w:bookmarkEnd w:id="0"/>
          </w:p>
          <w:p w14:paraId="4443A7C7" w14:textId="77777777" w:rsidR="00D90803" w:rsidRPr="005C4C5E" w:rsidRDefault="005547B0" w:rsidP="00B95B37">
            <w:pPr>
              <w:spacing w:line="276" w:lineRule="auto"/>
              <w:jc w:val="center"/>
              <w:rPr>
                <w:b/>
                <w:sz w:val="20"/>
                <w:szCs w:val="20"/>
                <w:lang w:eastAsia="zh-CN"/>
              </w:rPr>
            </w:pPr>
            <w:r w:rsidRPr="005C4C5E">
              <w:rPr>
                <w:b/>
                <w:sz w:val="20"/>
                <w:szCs w:val="20"/>
                <w:lang w:eastAsia="zh-CN"/>
              </w:rPr>
              <w:t>Poročilo o dejavnosti</w:t>
            </w:r>
            <w:r w:rsidR="004A0AF1" w:rsidRPr="005C4C5E">
              <w:rPr>
                <w:b/>
                <w:sz w:val="20"/>
                <w:szCs w:val="20"/>
                <w:lang w:eastAsia="zh-CN"/>
              </w:rPr>
              <w:t>h</w:t>
            </w:r>
            <w:r w:rsidRPr="005C4C5E">
              <w:rPr>
                <w:b/>
                <w:sz w:val="20"/>
                <w:szCs w:val="20"/>
                <w:lang w:eastAsia="zh-CN"/>
              </w:rPr>
              <w:t xml:space="preserve"> Republike Slovenije</w:t>
            </w:r>
            <w:r w:rsidR="00D90803" w:rsidRPr="005C4C5E">
              <w:rPr>
                <w:b/>
                <w:sz w:val="20"/>
                <w:szCs w:val="20"/>
                <w:lang w:eastAsia="zh-CN"/>
              </w:rPr>
              <w:t xml:space="preserve"> </w:t>
            </w:r>
            <w:r w:rsidRPr="005C4C5E">
              <w:rPr>
                <w:b/>
                <w:sz w:val="20"/>
                <w:szCs w:val="20"/>
                <w:lang w:eastAsia="zh-CN"/>
              </w:rPr>
              <w:t>na Zahodnem Balkanu</w:t>
            </w:r>
          </w:p>
          <w:p w14:paraId="7288588E" w14:textId="77777777" w:rsidR="00FF4BBA" w:rsidRDefault="005547B0" w:rsidP="00B95B37">
            <w:pPr>
              <w:spacing w:line="276" w:lineRule="auto"/>
              <w:jc w:val="center"/>
              <w:rPr>
                <w:b/>
                <w:sz w:val="20"/>
                <w:szCs w:val="20"/>
                <w:lang w:eastAsia="zh-CN"/>
              </w:rPr>
            </w:pPr>
            <w:r w:rsidRPr="005C4C5E">
              <w:rPr>
                <w:b/>
                <w:sz w:val="20"/>
                <w:szCs w:val="20"/>
                <w:lang w:eastAsia="zh-CN"/>
              </w:rPr>
              <w:t>v letu 20</w:t>
            </w:r>
            <w:r w:rsidR="009241D6" w:rsidRPr="005C4C5E">
              <w:rPr>
                <w:b/>
                <w:sz w:val="20"/>
                <w:szCs w:val="20"/>
                <w:lang w:eastAsia="zh-CN"/>
              </w:rPr>
              <w:t>2</w:t>
            </w:r>
            <w:r w:rsidR="001A57F9">
              <w:rPr>
                <w:b/>
                <w:sz w:val="20"/>
                <w:szCs w:val="20"/>
                <w:lang w:eastAsia="zh-CN"/>
              </w:rPr>
              <w:t>5</w:t>
            </w:r>
            <w:r w:rsidR="00D90803" w:rsidRPr="005C4C5E">
              <w:rPr>
                <w:b/>
                <w:sz w:val="20"/>
                <w:szCs w:val="20"/>
                <w:lang w:eastAsia="zh-CN"/>
              </w:rPr>
              <w:t xml:space="preserve"> </w:t>
            </w:r>
            <w:r w:rsidRPr="005C4C5E">
              <w:rPr>
                <w:b/>
                <w:sz w:val="20"/>
                <w:szCs w:val="20"/>
                <w:lang w:eastAsia="zh-CN"/>
              </w:rPr>
              <w:t xml:space="preserve">in o uresničevanju Smernic za delovanje Republike Slovenije </w:t>
            </w:r>
          </w:p>
          <w:p w14:paraId="73BA2290" w14:textId="77777777" w:rsidR="005547B0" w:rsidRPr="005C4C5E" w:rsidRDefault="005547B0" w:rsidP="00B95B37">
            <w:pPr>
              <w:spacing w:line="276" w:lineRule="auto"/>
              <w:jc w:val="center"/>
              <w:rPr>
                <w:b/>
                <w:sz w:val="20"/>
                <w:szCs w:val="20"/>
                <w:lang w:eastAsia="zh-CN"/>
              </w:rPr>
            </w:pPr>
            <w:r w:rsidRPr="005C4C5E">
              <w:rPr>
                <w:b/>
                <w:sz w:val="20"/>
                <w:szCs w:val="20"/>
                <w:lang w:eastAsia="zh-CN"/>
              </w:rPr>
              <w:t>do Zahodnega Balkana</w:t>
            </w:r>
          </w:p>
          <w:p w14:paraId="46CCEC91" w14:textId="77777777" w:rsidR="005547B0" w:rsidRPr="009D2329" w:rsidRDefault="002A5FA9" w:rsidP="00B95B37">
            <w:pPr>
              <w:spacing w:line="276" w:lineRule="auto"/>
              <w:jc w:val="center"/>
              <w:rPr>
                <w:b/>
                <w:sz w:val="20"/>
                <w:szCs w:val="20"/>
                <w:lang w:eastAsia="zh-CN"/>
              </w:rPr>
            </w:pPr>
            <w:r>
              <w:rPr>
                <w:b/>
                <w:sz w:val="20"/>
                <w:szCs w:val="20"/>
                <w:lang w:eastAsia="zh-CN"/>
              </w:rPr>
              <w:t xml:space="preserve">  </w:t>
            </w:r>
          </w:p>
          <w:p w14:paraId="3E9C5310" w14:textId="77777777" w:rsidR="001C3B06" w:rsidRDefault="001C3B06" w:rsidP="00B95B37">
            <w:pPr>
              <w:spacing w:line="276" w:lineRule="auto"/>
              <w:jc w:val="center"/>
              <w:rPr>
                <w:b/>
                <w:sz w:val="20"/>
                <w:szCs w:val="20"/>
                <w:lang w:eastAsia="zh-CN"/>
              </w:rPr>
            </w:pPr>
          </w:p>
          <w:p w14:paraId="0E2B653B" w14:textId="77777777" w:rsidR="0066771D" w:rsidRDefault="0066771D" w:rsidP="00B95B37">
            <w:pPr>
              <w:spacing w:line="276" w:lineRule="auto"/>
              <w:jc w:val="center"/>
              <w:rPr>
                <w:b/>
                <w:sz w:val="20"/>
                <w:szCs w:val="20"/>
                <w:lang w:eastAsia="zh-CN"/>
              </w:rPr>
            </w:pPr>
          </w:p>
          <w:p w14:paraId="31D748CC" w14:textId="77777777" w:rsidR="0066771D" w:rsidRDefault="0066771D" w:rsidP="00B95B37">
            <w:pPr>
              <w:spacing w:line="276" w:lineRule="auto"/>
              <w:jc w:val="center"/>
              <w:rPr>
                <w:b/>
                <w:sz w:val="20"/>
                <w:szCs w:val="20"/>
                <w:lang w:eastAsia="zh-CN"/>
              </w:rPr>
            </w:pPr>
          </w:p>
          <w:p w14:paraId="2B109513" w14:textId="77777777" w:rsidR="0066771D" w:rsidRDefault="0066771D" w:rsidP="00B95B37">
            <w:pPr>
              <w:spacing w:line="276" w:lineRule="auto"/>
              <w:jc w:val="center"/>
              <w:rPr>
                <w:b/>
                <w:sz w:val="20"/>
                <w:szCs w:val="20"/>
                <w:lang w:eastAsia="zh-CN"/>
              </w:rPr>
            </w:pPr>
          </w:p>
          <w:p w14:paraId="3633C103" w14:textId="77777777" w:rsidR="0066771D" w:rsidRDefault="0066771D" w:rsidP="00B95B37">
            <w:pPr>
              <w:spacing w:line="276" w:lineRule="auto"/>
              <w:jc w:val="center"/>
              <w:rPr>
                <w:b/>
                <w:sz w:val="20"/>
                <w:szCs w:val="20"/>
                <w:lang w:eastAsia="zh-CN"/>
              </w:rPr>
            </w:pPr>
          </w:p>
          <w:p w14:paraId="7A805206" w14:textId="77777777" w:rsidR="0066771D" w:rsidRDefault="0066771D" w:rsidP="00B95B37">
            <w:pPr>
              <w:spacing w:line="276" w:lineRule="auto"/>
              <w:jc w:val="center"/>
              <w:rPr>
                <w:b/>
                <w:sz w:val="20"/>
                <w:szCs w:val="20"/>
                <w:lang w:eastAsia="zh-CN"/>
              </w:rPr>
            </w:pPr>
          </w:p>
          <w:p w14:paraId="27D7AA64" w14:textId="77777777" w:rsidR="0066771D" w:rsidRDefault="0066771D" w:rsidP="00B95B37">
            <w:pPr>
              <w:spacing w:line="276" w:lineRule="auto"/>
              <w:jc w:val="center"/>
              <w:rPr>
                <w:b/>
                <w:sz w:val="20"/>
                <w:szCs w:val="20"/>
                <w:lang w:eastAsia="zh-CN"/>
              </w:rPr>
            </w:pPr>
          </w:p>
          <w:p w14:paraId="17B07BB2" w14:textId="77777777" w:rsidR="0066771D" w:rsidRDefault="0066771D" w:rsidP="00B95B37">
            <w:pPr>
              <w:spacing w:line="276" w:lineRule="auto"/>
              <w:jc w:val="center"/>
              <w:rPr>
                <w:b/>
                <w:sz w:val="20"/>
                <w:szCs w:val="20"/>
                <w:lang w:eastAsia="zh-CN"/>
              </w:rPr>
            </w:pPr>
          </w:p>
          <w:p w14:paraId="68862C6F" w14:textId="77777777" w:rsidR="0066771D" w:rsidRDefault="0066771D" w:rsidP="00B95B37">
            <w:pPr>
              <w:spacing w:line="276" w:lineRule="auto"/>
              <w:jc w:val="center"/>
              <w:rPr>
                <w:b/>
                <w:sz w:val="20"/>
                <w:szCs w:val="20"/>
                <w:lang w:eastAsia="zh-CN"/>
              </w:rPr>
            </w:pPr>
          </w:p>
          <w:p w14:paraId="7E63972E" w14:textId="77777777" w:rsidR="0066771D" w:rsidRDefault="0066771D" w:rsidP="00B95B37">
            <w:pPr>
              <w:spacing w:line="276" w:lineRule="auto"/>
              <w:jc w:val="center"/>
              <w:rPr>
                <w:b/>
                <w:sz w:val="20"/>
                <w:szCs w:val="20"/>
                <w:lang w:eastAsia="zh-CN"/>
              </w:rPr>
            </w:pPr>
          </w:p>
          <w:p w14:paraId="4DABBF63" w14:textId="77777777" w:rsidR="0066771D" w:rsidRDefault="0066771D" w:rsidP="00B95B37">
            <w:pPr>
              <w:spacing w:line="276" w:lineRule="auto"/>
              <w:jc w:val="center"/>
              <w:rPr>
                <w:b/>
                <w:sz w:val="20"/>
                <w:szCs w:val="20"/>
                <w:lang w:eastAsia="zh-CN"/>
              </w:rPr>
            </w:pPr>
          </w:p>
          <w:p w14:paraId="50DA2696" w14:textId="77777777" w:rsidR="0066771D" w:rsidRDefault="0066771D" w:rsidP="00B95B37">
            <w:pPr>
              <w:spacing w:line="276" w:lineRule="auto"/>
              <w:jc w:val="center"/>
              <w:rPr>
                <w:b/>
                <w:sz w:val="20"/>
                <w:szCs w:val="20"/>
                <w:lang w:eastAsia="zh-CN"/>
              </w:rPr>
            </w:pPr>
          </w:p>
          <w:p w14:paraId="5C07185D" w14:textId="77777777" w:rsidR="0066771D" w:rsidRDefault="0066771D" w:rsidP="00B95B37">
            <w:pPr>
              <w:spacing w:line="276" w:lineRule="auto"/>
              <w:jc w:val="center"/>
              <w:rPr>
                <w:b/>
                <w:sz w:val="20"/>
                <w:szCs w:val="20"/>
                <w:lang w:eastAsia="zh-CN"/>
              </w:rPr>
            </w:pPr>
          </w:p>
          <w:p w14:paraId="173E99C1" w14:textId="77777777" w:rsidR="0066771D" w:rsidRDefault="0066771D" w:rsidP="00B95B37">
            <w:pPr>
              <w:spacing w:line="276" w:lineRule="auto"/>
              <w:jc w:val="center"/>
              <w:rPr>
                <w:b/>
                <w:sz w:val="20"/>
                <w:szCs w:val="20"/>
                <w:lang w:eastAsia="zh-CN"/>
              </w:rPr>
            </w:pPr>
          </w:p>
          <w:p w14:paraId="579D3F27" w14:textId="77777777" w:rsidR="0066771D" w:rsidRDefault="0066771D" w:rsidP="00B95B37">
            <w:pPr>
              <w:spacing w:line="276" w:lineRule="auto"/>
              <w:jc w:val="center"/>
              <w:rPr>
                <w:b/>
                <w:sz w:val="20"/>
                <w:szCs w:val="20"/>
                <w:lang w:eastAsia="zh-CN"/>
              </w:rPr>
            </w:pPr>
          </w:p>
          <w:p w14:paraId="468CA44B" w14:textId="77777777" w:rsidR="0066771D" w:rsidRDefault="0066771D" w:rsidP="00B95B37">
            <w:pPr>
              <w:spacing w:line="276" w:lineRule="auto"/>
              <w:jc w:val="center"/>
              <w:rPr>
                <w:b/>
                <w:sz w:val="20"/>
                <w:szCs w:val="20"/>
                <w:lang w:eastAsia="zh-CN"/>
              </w:rPr>
            </w:pPr>
          </w:p>
          <w:p w14:paraId="1C87A505" w14:textId="77777777" w:rsidR="0066771D" w:rsidRDefault="0066771D" w:rsidP="00B95B37">
            <w:pPr>
              <w:spacing w:line="276" w:lineRule="auto"/>
              <w:jc w:val="center"/>
              <w:rPr>
                <w:b/>
                <w:sz w:val="20"/>
                <w:szCs w:val="20"/>
                <w:lang w:eastAsia="zh-CN"/>
              </w:rPr>
            </w:pPr>
          </w:p>
          <w:p w14:paraId="1AD26724" w14:textId="77777777" w:rsidR="0066771D" w:rsidRDefault="0066771D" w:rsidP="00B95B37">
            <w:pPr>
              <w:spacing w:line="276" w:lineRule="auto"/>
              <w:jc w:val="center"/>
              <w:rPr>
                <w:b/>
                <w:sz w:val="20"/>
                <w:szCs w:val="20"/>
                <w:lang w:eastAsia="zh-CN"/>
              </w:rPr>
            </w:pPr>
          </w:p>
          <w:p w14:paraId="14CB9E02" w14:textId="77777777" w:rsidR="0066771D" w:rsidRDefault="0066771D" w:rsidP="00B95B37">
            <w:pPr>
              <w:spacing w:line="276" w:lineRule="auto"/>
              <w:jc w:val="center"/>
              <w:rPr>
                <w:b/>
                <w:sz w:val="20"/>
                <w:szCs w:val="20"/>
                <w:lang w:eastAsia="zh-CN"/>
              </w:rPr>
            </w:pPr>
          </w:p>
          <w:p w14:paraId="6279629B" w14:textId="77777777" w:rsidR="0066771D" w:rsidRDefault="0066771D" w:rsidP="00B95B37">
            <w:pPr>
              <w:spacing w:line="276" w:lineRule="auto"/>
              <w:jc w:val="center"/>
              <w:rPr>
                <w:b/>
                <w:sz w:val="20"/>
                <w:szCs w:val="20"/>
                <w:lang w:eastAsia="zh-CN"/>
              </w:rPr>
            </w:pPr>
          </w:p>
          <w:p w14:paraId="65C8B0C5" w14:textId="77777777" w:rsidR="0066771D" w:rsidRDefault="0066771D" w:rsidP="00B95B37">
            <w:pPr>
              <w:spacing w:line="276" w:lineRule="auto"/>
              <w:jc w:val="center"/>
              <w:rPr>
                <w:b/>
                <w:sz w:val="20"/>
                <w:szCs w:val="20"/>
                <w:lang w:eastAsia="zh-CN"/>
              </w:rPr>
            </w:pPr>
          </w:p>
          <w:p w14:paraId="5F3254F3" w14:textId="77777777" w:rsidR="0066771D" w:rsidRDefault="0066771D" w:rsidP="00B95B37">
            <w:pPr>
              <w:spacing w:line="276" w:lineRule="auto"/>
              <w:jc w:val="center"/>
              <w:rPr>
                <w:b/>
                <w:sz w:val="20"/>
                <w:szCs w:val="20"/>
                <w:lang w:eastAsia="zh-CN"/>
              </w:rPr>
            </w:pPr>
          </w:p>
          <w:p w14:paraId="28F1D0E2" w14:textId="77777777" w:rsidR="0066771D" w:rsidRDefault="0066771D" w:rsidP="00B95B37">
            <w:pPr>
              <w:spacing w:line="276" w:lineRule="auto"/>
              <w:jc w:val="center"/>
              <w:rPr>
                <w:b/>
                <w:sz w:val="20"/>
                <w:szCs w:val="20"/>
                <w:lang w:eastAsia="zh-CN"/>
              </w:rPr>
            </w:pPr>
          </w:p>
          <w:p w14:paraId="5FE74970" w14:textId="77777777" w:rsidR="0066771D" w:rsidRDefault="0066771D" w:rsidP="00B95B37">
            <w:pPr>
              <w:spacing w:line="276" w:lineRule="auto"/>
              <w:jc w:val="center"/>
              <w:rPr>
                <w:b/>
                <w:sz w:val="20"/>
                <w:szCs w:val="20"/>
                <w:lang w:eastAsia="zh-CN"/>
              </w:rPr>
            </w:pPr>
          </w:p>
          <w:p w14:paraId="46F937A3" w14:textId="77777777" w:rsidR="0066771D" w:rsidRDefault="0066771D" w:rsidP="00B95B37">
            <w:pPr>
              <w:spacing w:line="276" w:lineRule="auto"/>
              <w:jc w:val="center"/>
              <w:rPr>
                <w:b/>
                <w:sz w:val="20"/>
                <w:szCs w:val="20"/>
                <w:lang w:eastAsia="zh-CN"/>
              </w:rPr>
            </w:pPr>
          </w:p>
          <w:p w14:paraId="61D83BE8" w14:textId="77777777" w:rsidR="0066771D" w:rsidRDefault="0066771D" w:rsidP="00B95B37">
            <w:pPr>
              <w:spacing w:line="276" w:lineRule="auto"/>
              <w:jc w:val="center"/>
              <w:rPr>
                <w:b/>
                <w:sz w:val="20"/>
                <w:szCs w:val="20"/>
                <w:lang w:eastAsia="zh-CN"/>
              </w:rPr>
            </w:pPr>
          </w:p>
          <w:p w14:paraId="3F7F2F5D" w14:textId="77777777" w:rsidR="0066771D" w:rsidRDefault="0066771D" w:rsidP="00B95B37">
            <w:pPr>
              <w:spacing w:line="276" w:lineRule="auto"/>
              <w:jc w:val="center"/>
              <w:rPr>
                <w:b/>
                <w:sz w:val="20"/>
                <w:szCs w:val="20"/>
                <w:lang w:eastAsia="zh-CN"/>
              </w:rPr>
            </w:pPr>
          </w:p>
          <w:p w14:paraId="0D48D4D6" w14:textId="77777777" w:rsidR="0066771D" w:rsidRDefault="0066771D" w:rsidP="00B95B37">
            <w:pPr>
              <w:spacing w:line="276" w:lineRule="auto"/>
              <w:jc w:val="center"/>
              <w:rPr>
                <w:b/>
                <w:sz w:val="20"/>
                <w:szCs w:val="20"/>
                <w:lang w:eastAsia="zh-CN"/>
              </w:rPr>
            </w:pPr>
          </w:p>
          <w:p w14:paraId="3E19C53F" w14:textId="77777777" w:rsidR="0066771D" w:rsidRDefault="0066771D" w:rsidP="00B95B37">
            <w:pPr>
              <w:spacing w:line="276" w:lineRule="auto"/>
              <w:jc w:val="center"/>
              <w:rPr>
                <w:b/>
                <w:sz w:val="20"/>
                <w:szCs w:val="20"/>
                <w:lang w:eastAsia="zh-CN"/>
              </w:rPr>
            </w:pPr>
          </w:p>
          <w:p w14:paraId="7DB0E1DE" w14:textId="77777777" w:rsidR="0066771D" w:rsidRDefault="0066771D" w:rsidP="00B95B37">
            <w:pPr>
              <w:spacing w:line="276" w:lineRule="auto"/>
              <w:jc w:val="center"/>
              <w:rPr>
                <w:b/>
                <w:sz w:val="20"/>
                <w:szCs w:val="20"/>
                <w:lang w:eastAsia="zh-CN"/>
              </w:rPr>
            </w:pPr>
          </w:p>
          <w:p w14:paraId="05D5F5A4" w14:textId="77777777" w:rsidR="0066771D" w:rsidRDefault="0066771D" w:rsidP="00B95B37">
            <w:pPr>
              <w:spacing w:line="276" w:lineRule="auto"/>
              <w:jc w:val="center"/>
              <w:rPr>
                <w:b/>
                <w:sz w:val="20"/>
                <w:szCs w:val="20"/>
                <w:lang w:eastAsia="zh-CN"/>
              </w:rPr>
            </w:pPr>
          </w:p>
          <w:p w14:paraId="7C3D4EF2" w14:textId="77777777" w:rsidR="0066771D" w:rsidRDefault="0066771D" w:rsidP="001A57F9">
            <w:pPr>
              <w:spacing w:line="276" w:lineRule="auto"/>
              <w:rPr>
                <w:b/>
                <w:sz w:val="20"/>
                <w:szCs w:val="20"/>
                <w:lang w:eastAsia="zh-CN"/>
              </w:rPr>
            </w:pPr>
          </w:p>
          <w:p w14:paraId="570A86DC" w14:textId="77777777" w:rsidR="0066771D" w:rsidRDefault="0066771D" w:rsidP="00B95B37">
            <w:pPr>
              <w:spacing w:line="276" w:lineRule="auto"/>
              <w:jc w:val="center"/>
              <w:rPr>
                <w:b/>
                <w:sz w:val="20"/>
                <w:szCs w:val="20"/>
                <w:lang w:eastAsia="zh-CN"/>
              </w:rPr>
            </w:pPr>
          </w:p>
          <w:p w14:paraId="49E483F5" w14:textId="77777777" w:rsidR="0066771D" w:rsidRDefault="0066771D" w:rsidP="00B95B37">
            <w:pPr>
              <w:spacing w:line="276" w:lineRule="auto"/>
              <w:jc w:val="center"/>
              <w:rPr>
                <w:b/>
                <w:sz w:val="20"/>
                <w:szCs w:val="20"/>
                <w:lang w:eastAsia="zh-CN"/>
              </w:rPr>
            </w:pPr>
          </w:p>
          <w:p w14:paraId="5EA72645" w14:textId="77777777" w:rsidR="0066771D" w:rsidRDefault="0066771D" w:rsidP="00B95B37">
            <w:pPr>
              <w:spacing w:line="276" w:lineRule="auto"/>
              <w:jc w:val="center"/>
              <w:rPr>
                <w:b/>
                <w:sz w:val="20"/>
                <w:szCs w:val="20"/>
                <w:lang w:eastAsia="zh-CN"/>
              </w:rPr>
            </w:pPr>
          </w:p>
          <w:p w14:paraId="4D73FDDB" w14:textId="77777777" w:rsidR="0066771D" w:rsidRPr="009D2329" w:rsidRDefault="0066771D" w:rsidP="00B95B37">
            <w:pPr>
              <w:spacing w:line="276" w:lineRule="auto"/>
              <w:jc w:val="center"/>
              <w:rPr>
                <w:b/>
                <w:sz w:val="20"/>
                <w:szCs w:val="20"/>
                <w:lang w:eastAsia="zh-CN"/>
              </w:rPr>
            </w:pPr>
          </w:p>
        </w:tc>
      </w:tr>
    </w:tbl>
    <w:p w14:paraId="78572E8F" w14:textId="77777777" w:rsidR="00D90803" w:rsidRDefault="00D90803" w:rsidP="006C7EB9">
      <w:pPr>
        <w:spacing w:line="276" w:lineRule="auto"/>
        <w:rPr>
          <w:b/>
          <w:sz w:val="20"/>
          <w:szCs w:val="20"/>
          <w:lang w:val="en-US" w:eastAsia="zh-CN"/>
        </w:rPr>
      </w:pPr>
      <w:r>
        <w:rPr>
          <w:b/>
          <w:sz w:val="20"/>
          <w:szCs w:val="20"/>
          <w:lang w:val="en-US" w:eastAsia="zh-CN"/>
        </w:rPr>
        <w:lastRenderedPageBreak/>
        <w:t>KAZALO</w:t>
      </w:r>
    </w:p>
    <w:p w14:paraId="43A2135E" w14:textId="77777777" w:rsidR="00D90803" w:rsidRPr="005E440A" w:rsidRDefault="00D90803" w:rsidP="006C7EB9">
      <w:pPr>
        <w:spacing w:line="276" w:lineRule="auto"/>
        <w:rPr>
          <w:sz w:val="20"/>
          <w:szCs w:val="20"/>
          <w:lang w:val="en-US" w:eastAsia="zh-CN"/>
        </w:rPr>
      </w:pPr>
    </w:p>
    <w:p w14:paraId="3BCDDAE2" w14:textId="77777777" w:rsidR="00647496" w:rsidRPr="0029080A" w:rsidRDefault="00D90803">
      <w:pPr>
        <w:pStyle w:val="TOC1"/>
        <w:rPr>
          <w:rFonts w:ascii="Arial" w:eastAsia="Times New Roman" w:hAnsi="Arial"/>
          <w:noProof/>
          <w:sz w:val="20"/>
          <w:szCs w:val="20"/>
          <w:lang w:val="sl-SI" w:eastAsia="sl-SI"/>
        </w:rPr>
      </w:pPr>
      <w:r w:rsidRPr="00647496">
        <w:rPr>
          <w:rFonts w:ascii="Arial" w:hAnsi="Arial"/>
          <w:sz w:val="20"/>
          <w:szCs w:val="20"/>
        </w:rPr>
        <w:fldChar w:fldCharType="begin"/>
      </w:r>
      <w:r w:rsidRPr="00647496">
        <w:rPr>
          <w:rFonts w:ascii="Arial" w:hAnsi="Arial"/>
          <w:sz w:val="20"/>
          <w:szCs w:val="20"/>
        </w:rPr>
        <w:instrText xml:space="preserve"> TOC \o "1-3" \h \z \u </w:instrText>
      </w:r>
      <w:r w:rsidRPr="00647496">
        <w:rPr>
          <w:rFonts w:ascii="Arial" w:hAnsi="Arial"/>
          <w:sz w:val="20"/>
          <w:szCs w:val="20"/>
        </w:rPr>
        <w:fldChar w:fldCharType="separate"/>
      </w:r>
      <w:hyperlink w:anchor="_Toc227227959" w:history="1">
        <w:r w:rsidR="00647496" w:rsidRPr="00647496">
          <w:rPr>
            <w:rStyle w:val="Hyperlink"/>
            <w:rFonts w:ascii="Arial" w:hAnsi="Arial"/>
            <w:noProof/>
            <w:sz w:val="20"/>
            <w:szCs w:val="20"/>
          </w:rPr>
          <w:t>I. Uvod</w:t>
        </w:r>
        <w:r w:rsidR="00647496" w:rsidRPr="00647496">
          <w:rPr>
            <w:rFonts w:ascii="Arial" w:hAnsi="Arial"/>
            <w:noProof/>
            <w:webHidden/>
            <w:sz w:val="20"/>
            <w:szCs w:val="20"/>
          </w:rPr>
          <w:tab/>
        </w:r>
        <w:r w:rsidR="00647496" w:rsidRPr="00647496">
          <w:rPr>
            <w:rFonts w:ascii="Arial" w:hAnsi="Arial"/>
            <w:noProof/>
            <w:webHidden/>
            <w:sz w:val="20"/>
            <w:szCs w:val="20"/>
          </w:rPr>
          <w:fldChar w:fldCharType="begin"/>
        </w:r>
        <w:r w:rsidR="00647496" w:rsidRPr="00647496">
          <w:rPr>
            <w:rFonts w:ascii="Arial" w:hAnsi="Arial"/>
            <w:noProof/>
            <w:webHidden/>
            <w:sz w:val="20"/>
            <w:szCs w:val="20"/>
          </w:rPr>
          <w:instrText xml:space="preserve"> PAGEREF _Toc227227959 \h </w:instrText>
        </w:r>
        <w:r w:rsidR="00647496" w:rsidRPr="00647496">
          <w:rPr>
            <w:rFonts w:ascii="Arial" w:hAnsi="Arial"/>
            <w:noProof/>
            <w:webHidden/>
            <w:sz w:val="20"/>
            <w:szCs w:val="20"/>
          </w:rPr>
        </w:r>
        <w:r w:rsidR="00647496" w:rsidRPr="00647496">
          <w:rPr>
            <w:rFonts w:ascii="Arial" w:hAnsi="Arial"/>
            <w:noProof/>
            <w:webHidden/>
            <w:sz w:val="20"/>
            <w:szCs w:val="20"/>
          </w:rPr>
          <w:fldChar w:fldCharType="separate"/>
        </w:r>
        <w:r w:rsidR="00647496" w:rsidRPr="00647496">
          <w:rPr>
            <w:rFonts w:ascii="Arial" w:hAnsi="Arial"/>
            <w:noProof/>
            <w:webHidden/>
            <w:sz w:val="20"/>
            <w:szCs w:val="20"/>
          </w:rPr>
          <w:t>4</w:t>
        </w:r>
        <w:r w:rsidR="00647496" w:rsidRPr="00647496">
          <w:rPr>
            <w:rFonts w:ascii="Arial" w:hAnsi="Arial"/>
            <w:noProof/>
            <w:webHidden/>
            <w:sz w:val="20"/>
            <w:szCs w:val="20"/>
          </w:rPr>
          <w:fldChar w:fldCharType="end"/>
        </w:r>
      </w:hyperlink>
    </w:p>
    <w:p w14:paraId="6352F2DB" w14:textId="77777777" w:rsidR="00647496" w:rsidRPr="0029080A" w:rsidRDefault="00647496">
      <w:pPr>
        <w:pStyle w:val="TOC1"/>
        <w:rPr>
          <w:rFonts w:ascii="Arial" w:eastAsia="Times New Roman" w:hAnsi="Arial"/>
          <w:noProof/>
          <w:sz w:val="20"/>
          <w:szCs w:val="20"/>
          <w:lang w:val="sl-SI" w:eastAsia="sl-SI"/>
        </w:rPr>
      </w:pPr>
      <w:hyperlink w:anchor="_Toc227227960" w:history="1">
        <w:r w:rsidRPr="00647496">
          <w:rPr>
            <w:rStyle w:val="Hyperlink"/>
            <w:rFonts w:ascii="Arial" w:hAnsi="Arial"/>
            <w:noProof/>
            <w:sz w:val="20"/>
            <w:szCs w:val="20"/>
          </w:rPr>
          <w:t>II. Dejavnosti RS na Zahodnem Balkanu v letu 2025 - uresničevanje Smernic za delovanje RS do Zahodnega Balkana</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_Toc227227960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4</w:t>
        </w:r>
        <w:r w:rsidRPr="00647496">
          <w:rPr>
            <w:rFonts w:ascii="Arial" w:hAnsi="Arial"/>
            <w:noProof/>
            <w:webHidden/>
            <w:sz w:val="20"/>
            <w:szCs w:val="20"/>
          </w:rPr>
          <w:fldChar w:fldCharType="end"/>
        </w:r>
      </w:hyperlink>
    </w:p>
    <w:p w14:paraId="003BA4D6" w14:textId="77777777" w:rsidR="00647496" w:rsidRPr="0029080A" w:rsidRDefault="00647496">
      <w:pPr>
        <w:pStyle w:val="TOC2"/>
        <w:rPr>
          <w:rFonts w:ascii="Arial" w:eastAsia="Times New Roman" w:hAnsi="Arial"/>
          <w:noProof/>
          <w:sz w:val="20"/>
          <w:szCs w:val="20"/>
          <w:lang w:val="sl-SI" w:eastAsia="sl-SI"/>
        </w:rPr>
      </w:pPr>
      <w:hyperlink w:anchor="_Toc227227961" w:history="1">
        <w:r w:rsidRPr="00647496">
          <w:rPr>
            <w:rStyle w:val="Hyperlink"/>
            <w:rFonts w:ascii="Arial" w:hAnsi="Arial"/>
            <w:noProof/>
            <w:sz w:val="20"/>
            <w:szCs w:val="20"/>
          </w:rPr>
          <w:t>1.</w:t>
        </w:r>
        <w:r w:rsidRPr="0029080A">
          <w:rPr>
            <w:rFonts w:ascii="Arial" w:eastAsia="Times New Roman" w:hAnsi="Arial"/>
            <w:noProof/>
            <w:sz w:val="20"/>
            <w:szCs w:val="20"/>
            <w:lang w:val="sl-SI" w:eastAsia="sl-SI"/>
          </w:rPr>
          <w:tab/>
        </w:r>
        <w:r w:rsidRPr="00647496">
          <w:rPr>
            <w:rStyle w:val="Hyperlink"/>
            <w:rFonts w:ascii="Arial" w:hAnsi="Arial"/>
            <w:noProof/>
            <w:sz w:val="20"/>
            <w:szCs w:val="20"/>
          </w:rPr>
          <w:t>Krepitev političnega sodelovanja z državami Zahodnega Balkana</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_Toc227227961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4</w:t>
        </w:r>
        <w:r w:rsidRPr="00647496">
          <w:rPr>
            <w:rFonts w:ascii="Arial" w:hAnsi="Arial"/>
            <w:noProof/>
            <w:webHidden/>
            <w:sz w:val="20"/>
            <w:szCs w:val="20"/>
          </w:rPr>
          <w:fldChar w:fldCharType="end"/>
        </w:r>
      </w:hyperlink>
    </w:p>
    <w:p w14:paraId="0B2F6117" w14:textId="77777777" w:rsidR="00647496" w:rsidRPr="0029080A" w:rsidRDefault="00647496">
      <w:pPr>
        <w:pStyle w:val="TOC3"/>
        <w:tabs>
          <w:tab w:val="left" w:pos="1100"/>
        </w:tabs>
        <w:rPr>
          <w:rFonts w:ascii="Arial" w:eastAsia="Times New Roman" w:hAnsi="Arial"/>
          <w:noProof/>
          <w:sz w:val="20"/>
          <w:szCs w:val="20"/>
          <w:lang w:val="sl-SI" w:eastAsia="sl-SI"/>
        </w:rPr>
      </w:pPr>
      <w:hyperlink w:anchor="_Toc227227962" w:history="1">
        <w:r w:rsidRPr="00647496">
          <w:rPr>
            <w:rStyle w:val="Hyperlink"/>
            <w:rFonts w:ascii="Arial" w:hAnsi="Arial"/>
            <w:noProof/>
            <w:sz w:val="20"/>
            <w:szCs w:val="20"/>
          </w:rPr>
          <w:t>1.1.</w:t>
        </w:r>
        <w:r w:rsidRPr="0029080A">
          <w:rPr>
            <w:rFonts w:ascii="Arial" w:eastAsia="Times New Roman" w:hAnsi="Arial"/>
            <w:noProof/>
            <w:sz w:val="20"/>
            <w:szCs w:val="20"/>
            <w:lang w:val="sl-SI" w:eastAsia="sl-SI"/>
          </w:rPr>
          <w:tab/>
        </w:r>
        <w:r w:rsidRPr="00647496">
          <w:rPr>
            <w:rStyle w:val="Hyperlink"/>
            <w:rFonts w:ascii="Arial" w:hAnsi="Arial"/>
            <w:noProof/>
            <w:sz w:val="20"/>
            <w:szCs w:val="20"/>
          </w:rPr>
          <w:t>Prizadevanja RS za reševanje odprtih vprašanj na področju nasledstva</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_Toc227227962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5</w:t>
        </w:r>
        <w:r w:rsidRPr="00647496">
          <w:rPr>
            <w:rFonts w:ascii="Arial" w:hAnsi="Arial"/>
            <w:noProof/>
            <w:webHidden/>
            <w:sz w:val="20"/>
            <w:szCs w:val="20"/>
          </w:rPr>
          <w:fldChar w:fldCharType="end"/>
        </w:r>
      </w:hyperlink>
    </w:p>
    <w:p w14:paraId="33AC5D70" w14:textId="77777777" w:rsidR="00647496" w:rsidRPr="0029080A" w:rsidRDefault="00647496">
      <w:pPr>
        <w:pStyle w:val="TOC2"/>
        <w:rPr>
          <w:rFonts w:ascii="Arial" w:eastAsia="Times New Roman" w:hAnsi="Arial"/>
          <w:noProof/>
          <w:sz w:val="20"/>
          <w:szCs w:val="20"/>
          <w:lang w:val="sl-SI" w:eastAsia="sl-SI"/>
        </w:rPr>
      </w:pPr>
      <w:hyperlink w:anchor="_Toc227227963" w:history="1">
        <w:r w:rsidRPr="00647496">
          <w:rPr>
            <w:rStyle w:val="Hyperlink"/>
            <w:rFonts w:ascii="Arial" w:hAnsi="Arial"/>
            <w:noProof/>
            <w:sz w:val="20"/>
            <w:szCs w:val="20"/>
          </w:rPr>
          <w:t>2.</w:t>
        </w:r>
        <w:r w:rsidRPr="0029080A">
          <w:rPr>
            <w:rFonts w:ascii="Arial" w:eastAsia="Times New Roman" w:hAnsi="Arial"/>
            <w:noProof/>
            <w:sz w:val="20"/>
            <w:szCs w:val="20"/>
            <w:lang w:val="sl-SI" w:eastAsia="sl-SI"/>
          </w:rPr>
          <w:tab/>
        </w:r>
        <w:r w:rsidRPr="00647496">
          <w:rPr>
            <w:rStyle w:val="Hyperlink"/>
            <w:rFonts w:ascii="Arial" w:hAnsi="Arial"/>
            <w:noProof/>
            <w:sz w:val="20"/>
            <w:szCs w:val="20"/>
          </w:rPr>
          <w:t>Spodbujanje medregionalnega sodelovanja in povezav držav in regije Zahodnega Balkana</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_Toc227227963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6</w:t>
        </w:r>
        <w:r w:rsidRPr="00647496">
          <w:rPr>
            <w:rFonts w:ascii="Arial" w:hAnsi="Arial"/>
            <w:noProof/>
            <w:webHidden/>
            <w:sz w:val="20"/>
            <w:szCs w:val="20"/>
          </w:rPr>
          <w:fldChar w:fldCharType="end"/>
        </w:r>
      </w:hyperlink>
    </w:p>
    <w:p w14:paraId="76896EBC" w14:textId="77777777" w:rsidR="00647496" w:rsidRPr="0029080A" w:rsidRDefault="00647496">
      <w:pPr>
        <w:pStyle w:val="TOC3"/>
        <w:rPr>
          <w:rFonts w:ascii="Arial" w:eastAsia="Times New Roman" w:hAnsi="Arial"/>
          <w:noProof/>
          <w:sz w:val="20"/>
          <w:szCs w:val="20"/>
          <w:lang w:val="sl-SI" w:eastAsia="sl-SI"/>
        </w:rPr>
      </w:pPr>
      <w:hyperlink w:anchor="_Toc227227964" w:history="1">
        <w:r w:rsidRPr="00647496">
          <w:rPr>
            <w:rStyle w:val="Hyperlink"/>
            <w:rFonts w:ascii="Arial" w:hAnsi="Arial"/>
            <w:noProof/>
            <w:sz w:val="20"/>
            <w:szCs w:val="20"/>
          </w:rPr>
          <w:t>2.1. Makroregionalne strategije EU</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_Toc227227964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8</w:t>
        </w:r>
        <w:r w:rsidRPr="00647496">
          <w:rPr>
            <w:rFonts w:ascii="Arial" w:hAnsi="Arial"/>
            <w:noProof/>
            <w:webHidden/>
            <w:sz w:val="20"/>
            <w:szCs w:val="20"/>
          </w:rPr>
          <w:fldChar w:fldCharType="end"/>
        </w:r>
      </w:hyperlink>
    </w:p>
    <w:p w14:paraId="116A2A2F" w14:textId="77777777" w:rsidR="00647496" w:rsidRPr="0029080A" w:rsidRDefault="00647496">
      <w:pPr>
        <w:pStyle w:val="TOC2"/>
        <w:rPr>
          <w:rFonts w:ascii="Arial" w:eastAsia="Times New Roman" w:hAnsi="Arial"/>
          <w:noProof/>
          <w:sz w:val="20"/>
          <w:szCs w:val="20"/>
          <w:lang w:val="sl-SI" w:eastAsia="sl-SI"/>
        </w:rPr>
      </w:pPr>
      <w:hyperlink w:anchor="_Toc227227965" w:history="1">
        <w:r w:rsidRPr="00647496">
          <w:rPr>
            <w:rStyle w:val="Hyperlink"/>
            <w:rFonts w:ascii="Arial" w:hAnsi="Arial"/>
            <w:noProof/>
            <w:sz w:val="20"/>
            <w:szCs w:val="20"/>
          </w:rPr>
          <w:t>3.</w:t>
        </w:r>
        <w:r w:rsidRPr="0029080A">
          <w:rPr>
            <w:rFonts w:ascii="Arial" w:eastAsia="Times New Roman" w:hAnsi="Arial"/>
            <w:noProof/>
            <w:sz w:val="20"/>
            <w:szCs w:val="20"/>
            <w:lang w:val="sl-SI" w:eastAsia="sl-SI"/>
          </w:rPr>
          <w:tab/>
        </w:r>
        <w:r w:rsidRPr="00647496">
          <w:rPr>
            <w:rStyle w:val="Hyperlink"/>
            <w:rFonts w:ascii="Arial" w:hAnsi="Arial"/>
            <w:noProof/>
            <w:sz w:val="20"/>
            <w:szCs w:val="20"/>
          </w:rPr>
          <w:t>Podpora procesom približevanja Zahodnega Balkana EU, Natu in drugim mednarodnim organizacijam in sodelovanje na področju evropskih integracij</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_Toc227227965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9</w:t>
        </w:r>
        <w:r w:rsidRPr="00647496">
          <w:rPr>
            <w:rFonts w:ascii="Arial" w:hAnsi="Arial"/>
            <w:noProof/>
            <w:webHidden/>
            <w:sz w:val="20"/>
            <w:szCs w:val="20"/>
          </w:rPr>
          <w:fldChar w:fldCharType="end"/>
        </w:r>
      </w:hyperlink>
    </w:p>
    <w:p w14:paraId="30E0FCF4" w14:textId="77777777" w:rsidR="00647496" w:rsidRPr="0029080A" w:rsidRDefault="00647496">
      <w:pPr>
        <w:pStyle w:val="TOC2"/>
        <w:rPr>
          <w:rFonts w:ascii="Arial" w:eastAsia="Times New Roman" w:hAnsi="Arial"/>
          <w:noProof/>
          <w:sz w:val="20"/>
          <w:szCs w:val="20"/>
          <w:lang w:val="sl-SI" w:eastAsia="sl-SI"/>
        </w:rPr>
      </w:pPr>
      <w:hyperlink w:anchor="_Toc227227966" w:history="1">
        <w:r w:rsidRPr="00647496">
          <w:rPr>
            <w:rStyle w:val="Hyperlink"/>
            <w:rFonts w:ascii="Arial" w:hAnsi="Arial"/>
            <w:noProof/>
            <w:sz w:val="20"/>
            <w:szCs w:val="20"/>
          </w:rPr>
          <w:t>4.</w:t>
        </w:r>
        <w:r w:rsidRPr="0029080A">
          <w:rPr>
            <w:rFonts w:ascii="Arial" w:eastAsia="Times New Roman" w:hAnsi="Arial"/>
            <w:noProof/>
            <w:sz w:val="20"/>
            <w:szCs w:val="20"/>
            <w:lang w:val="sl-SI" w:eastAsia="sl-SI"/>
          </w:rPr>
          <w:tab/>
        </w:r>
        <w:r w:rsidRPr="00647496">
          <w:rPr>
            <w:rStyle w:val="Hyperlink"/>
            <w:rFonts w:ascii="Arial" w:hAnsi="Arial"/>
            <w:noProof/>
            <w:sz w:val="20"/>
            <w:szCs w:val="20"/>
          </w:rPr>
          <w:t>Krepitev gospodarske prisotnosti na Zahodnem Balkanu</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_Toc227227966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11</w:t>
        </w:r>
        <w:r w:rsidRPr="00647496">
          <w:rPr>
            <w:rFonts w:ascii="Arial" w:hAnsi="Arial"/>
            <w:noProof/>
            <w:webHidden/>
            <w:sz w:val="20"/>
            <w:szCs w:val="20"/>
          </w:rPr>
          <w:fldChar w:fldCharType="end"/>
        </w:r>
      </w:hyperlink>
    </w:p>
    <w:p w14:paraId="4254F91A" w14:textId="77777777" w:rsidR="00647496" w:rsidRPr="0029080A" w:rsidRDefault="00647496">
      <w:pPr>
        <w:pStyle w:val="TOC3"/>
        <w:rPr>
          <w:rFonts w:ascii="Arial" w:eastAsia="Times New Roman" w:hAnsi="Arial"/>
          <w:noProof/>
          <w:sz w:val="20"/>
          <w:szCs w:val="20"/>
          <w:lang w:val="sl-SI" w:eastAsia="sl-SI"/>
        </w:rPr>
      </w:pPr>
      <w:hyperlink w:anchor="_Toc227227967" w:history="1">
        <w:r w:rsidRPr="00647496">
          <w:rPr>
            <w:rStyle w:val="Hyperlink"/>
            <w:rFonts w:ascii="Arial" w:hAnsi="Arial"/>
            <w:noProof/>
            <w:sz w:val="20"/>
            <w:szCs w:val="20"/>
          </w:rPr>
          <w:t>4.1. Krepitev sodelovanja na področju financ</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_Toc227227967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12</w:t>
        </w:r>
        <w:r w:rsidRPr="00647496">
          <w:rPr>
            <w:rFonts w:ascii="Arial" w:hAnsi="Arial"/>
            <w:noProof/>
            <w:webHidden/>
            <w:sz w:val="20"/>
            <w:szCs w:val="20"/>
          </w:rPr>
          <w:fldChar w:fldCharType="end"/>
        </w:r>
      </w:hyperlink>
    </w:p>
    <w:p w14:paraId="50E539D4" w14:textId="77777777" w:rsidR="00647496" w:rsidRPr="0029080A" w:rsidRDefault="00647496">
      <w:pPr>
        <w:pStyle w:val="TOC3"/>
        <w:rPr>
          <w:rFonts w:ascii="Arial" w:eastAsia="Times New Roman" w:hAnsi="Arial"/>
          <w:noProof/>
          <w:sz w:val="20"/>
          <w:szCs w:val="20"/>
          <w:lang w:val="sl-SI" w:eastAsia="sl-SI"/>
        </w:rPr>
      </w:pPr>
      <w:hyperlink w:anchor="_Toc227227968" w:history="1">
        <w:r w:rsidRPr="00647496">
          <w:rPr>
            <w:rStyle w:val="Hyperlink"/>
            <w:rFonts w:ascii="Arial" w:hAnsi="Arial"/>
            <w:noProof/>
            <w:sz w:val="20"/>
            <w:szCs w:val="20"/>
          </w:rPr>
          <w:t>4.2. Krepitev sodelovanja na področju gospodarstva, turizma in športa</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_Toc227227968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16</w:t>
        </w:r>
        <w:r w:rsidRPr="00647496">
          <w:rPr>
            <w:rFonts w:ascii="Arial" w:hAnsi="Arial"/>
            <w:noProof/>
            <w:webHidden/>
            <w:sz w:val="20"/>
            <w:szCs w:val="20"/>
          </w:rPr>
          <w:fldChar w:fldCharType="end"/>
        </w:r>
      </w:hyperlink>
    </w:p>
    <w:p w14:paraId="04E85CA0" w14:textId="77777777" w:rsidR="00647496" w:rsidRPr="0029080A" w:rsidRDefault="00647496">
      <w:pPr>
        <w:pStyle w:val="TOC2"/>
        <w:rPr>
          <w:rFonts w:ascii="Arial" w:eastAsia="Times New Roman" w:hAnsi="Arial"/>
          <w:noProof/>
          <w:sz w:val="20"/>
          <w:szCs w:val="20"/>
          <w:lang w:val="sl-SI" w:eastAsia="sl-SI"/>
        </w:rPr>
      </w:pPr>
      <w:hyperlink w:anchor="_Toc227227969" w:history="1">
        <w:r w:rsidRPr="00647496">
          <w:rPr>
            <w:rStyle w:val="Hyperlink"/>
            <w:rFonts w:ascii="Arial" w:hAnsi="Arial"/>
            <w:noProof/>
            <w:sz w:val="20"/>
            <w:szCs w:val="20"/>
          </w:rPr>
          <w:t>5.</w:t>
        </w:r>
        <w:r w:rsidRPr="0029080A">
          <w:rPr>
            <w:rFonts w:ascii="Arial" w:eastAsia="Times New Roman" w:hAnsi="Arial"/>
            <w:noProof/>
            <w:sz w:val="20"/>
            <w:szCs w:val="20"/>
            <w:lang w:val="sl-SI" w:eastAsia="sl-SI"/>
          </w:rPr>
          <w:tab/>
        </w:r>
        <w:r w:rsidRPr="00647496">
          <w:rPr>
            <w:rStyle w:val="Hyperlink"/>
            <w:rFonts w:ascii="Arial" w:hAnsi="Arial"/>
            <w:noProof/>
            <w:sz w:val="20"/>
            <w:szCs w:val="20"/>
          </w:rPr>
          <w:t>Razvojno sodelovanje z državami Zahodnega Balkana</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_Toc227227969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18</w:t>
        </w:r>
        <w:r w:rsidRPr="00647496">
          <w:rPr>
            <w:rFonts w:ascii="Arial" w:hAnsi="Arial"/>
            <w:noProof/>
            <w:webHidden/>
            <w:sz w:val="20"/>
            <w:szCs w:val="20"/>
          </w:rPr>
          <w:fldChar w:fldCharType="end"/>
        </w:r>
      </w:hyperlink>
    </w:p>
    <w:p w14:paraId="61361B19" w14:textId="77777777" w:rsidR="00647496" w:rsidRPr="0029080A" w:rsidRDefault="00647496">
      <w:pPr>
        <w:pStyle w:val="TOC3"/>
        <w:rPr>
          <w:rFonts w:ascii="Arial" w:eastAsia="Times New Roman" w:hAnsi="Arial"/>
          <w:noProof/>
          <w:sz w:val="20"/>
          <w:szCs w:val="20"/>
          <w:lang w:val="sl-SI" w:eastAsia="sl-SI"/>
        </w:rPr>
      </w:pPr>
      <w:hyperlink w:anchor="_Toc227227970" w:history="1">
        <w:r w:rsidRPr="00647496">
          <w:rPr>
            <w:rStyle w:val="Hyperlink"/>
            <w:rFonts w:ascii="Arial" w:hAnsi="Arial"/>
            <w:noProof/>
            <w:sz w:val="20"/>
            <w:szCs w:val="20"/>
            <w:lang w:eastAsia="sl-SI"/>
          </w:rPr>
          <w:t>5.1. Krepitev sodelovanja na področju evropske kohezijske politike in regionalnega razvoja</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_Toc227227970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22</w:t>
        </w:r>
        <w:r w:rsidRPr="00647496">
          <w:rPr>
            <w:rFonts w:ascii="Arial" w:hAnsi="Arial"/>
            <w:noProof/>
            <w:webHidden/>
            <w:sz w:val="20"/>
            <w:szCs w:val="20"/>
          </w:rPr>
          <w:fldChar w:fldCharType="end"/>
        </w:r>
      </w:hyperlink>
    </w:p>
    <w:p w14:paraId="73BA7807" w14:textId="77777777" w:rsidR="00647496" w:rsidRPr="0029080A" w:rsidRDefault="00647496">
      <w:pPr>
        <w:pStyle w:val="TOC2"/>
        <w:rPr>
          <w:rFonts w:ascii="Arial" w:eastAsia="Times New Roman" w:hAnsi="Arial"/>
          <w:noProof/>
          <w:sz w:val="20"/>
          <w:szCs w:val="20"/>
          <w:lang w:val="sl-SI" w:eastAsia="sl-SI"/>
        </w:rPr>
      </w:pPr>
      <w:hyperlink w:anchor="_Toc227227971" w:history="1">
        <w:r w:rsidRPr="00647496">
          <w:rPr>
            <w:rStyle w:val="Hyperlink"/>
            <w:rFonts w:ascii="Arial" w:hAnsi="Arial"/>
            <w:noProof/>
            <w:sz w:val="20"/>
            <w:szCs w:val="20"/>
          </w:rPr>
          <w:t>6.</w:t>
        </w:r>
        <w:r w:rsidRPr="0029080A">
          <w:rPr>
            <w:rFonts w:ascii="Arial" w:eastAsia="Times New Roman" w:hAnsi="Arial"/>
            <w:noProof/>
            <w:sz w:val="20"/>
            <w:szCs w:val="20"/>
            <w:lang w:val="sl-SI" w:eastAsia="sl-SI"/>
          </w:rPr>
          <w:tab/>
        </w:r>
        <w:r w:rsidRPr="00647496">
          <w:rPr>
            <w:rStyle w:val="Hyperlink"/>
            <w:rFonts w:ascii="Arial" w:hAnsi="Arial"/>
            <w:noProof/>
            <w:sz w:val="20"/>
            <w:szCs w:val="20"/>
          </w:rPr>
          <w:t>Krepitev sodelovanja na področju obrambe, varnosti in pravosodja (obramba, notranje zadeve, obvladovanje nesreč, pravosodje, javna uprava, informacijska varnost, digitalna preobrazba, varovanje tajnih podatkov)</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_Toc227227971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23</w:t>
        </w:r>
        <w:r w:rsidRPr="00647496">
          <w:rPr>
            <w:rFonts w:ascii="Arial" w:hAnsi="Arial"/>
            <w:noProof/>
            <w:webHidden/>
            <w:sz w:val="20"/>
            <w:szCs w:val="20"/>
          </w:rPr>
          <w:fldChar w:fldCharType="end"/>
        </w:r>
      </w:hyperlink>
    </w:p>
    <w:p w14:paraId="539B9E9A" w14:textId="77777777" w:rsidR="00647496" w:rsidRPr="0029080A" w:rsidRDefault="00647496">
      <w:pPr>
        <w:pStyle w:val="TOC3"/>
        <w:rPr>
          <w:rFonts w:ascii="Arial" w:eastAsia="Times New Roman" w:hAnsi="Arial"/>
          <w:noProof/>
          <w:sz w:val="20"/>
          <w:szCs w:val="20"/>
          <w:lang w:val="sl-SI" w:eastAsia="sl-SI"/>
        </w:rPr>
      </w:pPr>
      <w:hyperlink w:anchor="_Toc227227972" w:history="1">
        <w:r w:rsidRPr="00647496">
          <w:rPr>
            <w:rStyle w:val="Hyperlink"/>
            <w:rFonts w:ascii="Arial" w:hAnsi="Arial"/>
            <w:noProof/>
            <w:sz w:val="20"/>
            <w:szCs w:val="20"/>
          </w:rPr>
          <w:t>6.1. Krepitev sodelovanja na področju obrambe</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_Toc227227972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23</w:t>
        </w:r>
        <w:r w:rsidRPr="00647496">
          <w:rPr>
            <w:rFonts w:ascii="Arial" w:hAnsi="Arial"/>
            <w:noProof/>
            <w:webHidden/>
            <w:sz w:val="20"/>
            <w:szCs w:val="20"/>
          </w:rPr>
          <w:fldChar w:fldCharType="end"/>
        </w:r>
      </w:hyperlink>
    </w:p>
    <w:p w14:paraId="14204FBE" w14:textId="77777777" w:rsidR="00647496" w:rsidRPr="0029080A" w:rsidRDefault="00647496">
      <w:pPr>
        <w:pStyle w:val="TOC3"/>
        <w:rPr>
          <w:rFonts w:ascii="Arial" w:eastAsia="Times New Roman" w:hAnsi="Arial"/>
          <w:noProof/>
          <w:sz w:val="20"/>
          <w:szCs w:val="20"/>
          <w:lang w:val="sl-SI" w:eastAsia="sl-SI"/>
        </w:rPr>
      </w:pPr>
      <w:hyperlink w:anchor="_Toc227227973" w:history="1">
        <w:r w:rsidRPr="00647496">
          <w:rPr>
            <w:rStyle w:val="Hyperlink"/>
            <w:rFonts w:ascii="Arial" w:hAnsi="Arial"/>
            <w:noProof/>
            <w:sz w:val="20"/>
            <w:szCs w:val="20"/>
          </w:rPr>
          <w:t>6.2. Krepitev sodelovanja na področju varstva pred nesrečami</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_Toc227227973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27</w:t>
        </w:r>
        <w:r w:rsidRPr="00647496">
          <w:rPr>
            <w:rFonts w:ascii="Arial" w:hAnsi="Arial"/>
            <w:noProof/>
            <w:webHidden/>
            <w:sz w:val="20"/>
            <w:szCs w:val="20"/>
          </w:rPr>
          <w:fldChar w:fldCharType="end"/>
        </w:r>
      </w:hyperlink>
    </w:p>
    <w:p w14:paraId="369FDEAD" w14:textId="77777777" w:rsidR="00647496" w:rsidRPr="0029080A" w:rsidRDefault="00647496">
      <w:pPr>
        <w:pStyle w:val="TOC3"/>
        <w:rPr>
          <w:rFonts w:ascii="Arial" w:eastAsia="Times New Roman" w:hAnsi="Arial"/>
          <w:noProof/>
          <w:sz w:val="20"/>
          <w:szCs w:val="20"/>
          <w:lang w:val="sl-SI" w:eastAsia="sl-SI"/>
        </w:rPr>
      </w:pPr>
      <w:hyperlink w:anchor="_Toc227227974" w:history="1">
        <w:r w:rsidRPr="00647496">
          <w:rPr>
            <w:rStyle w:val="Hyperlink"/>
            <w:rFonts w:ascii="Arial" w:hAnsi="Arial"/>
            <w:noProof/>
            <w:sz w:val="20"/>
            <w:szCs w:val="20"/>
          </w:rPr>
          <w:t>6.3. Krepitev sodelovanja na področju notranjih zadev</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_Toc227227974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28</w:t>
        </w:r>
        <w:r w:rsidRPr="00647496">
          <w:rPr>
            <w:rFonts w:ascii="Arial" w:hAnsi="Arial"/>
            <w:noProof/>
            <w:webHidden/>
            <w:sz w:val="20"/>
            <w:szCs w:val="20"/>
          </w:rPr>
          <w:fldChar w:fldCharType="end"/>
        </w:r>
      </w:hyperlink>
    </w:p>
    <w:p w14:paraId="2E2E6499" w14:textId="77777777" w:rsidR="00647496" w:rsidRPr="0029080A" w:rsidRDefault="00647496">
      <w:pPr>
        <w:pStyle w:val="TOC3"/>
        <w:rPr>
          <w:rFonts w:ascii="Arial" w:eastAsia="Times New Roman" w:hAnsi="Arial"/>
          <w:noProof/>
          <w:sz w:val="20"/>
          <w:szCs w:val="20"/>
          <w:lang w:val="sl-SI" w:eastAsia="sl-SI"/>
        </w:rPr>
      </w:pPr>
      <w:hyperlink w:anchor="_Toc227227975" w:history="1">
        <w:r w:rsidRPr="00647496">
          <w:rPr>
            <w:rStyle w:val="Hyperlink"/>
            <w:rFonts w:ascii="Arial" w:hAnsi="Arial"/>
            <w:noProof/>
            <w:sz w:val="20"/>
            <w:szCs w:val="20"/>
          </w:rPr>
          <w:t>6.4. Krepitev sodelovanja na področju pravosodja</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_Toc227227975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30</w:t>
        </w:r>
        <w:r w:rsidRPr="00647496">
          <w:rPr>
            <w:rFonts w:ascii="Arial" w:hAnsi="Arial"/>
            <w:noProof/>
            <w:webHidden/>
            <w:sz w:val="20"/>
            <w:szCs w:val="20"/>
          </w:rPr>
          <w:fldChar w:fldCharType="end"/>
        </w:r>
      </w:hyperlink>
    </w:p>
    <w:p w14:paraId="44D5FB94" w14:textId="77777777" w:rsidR="00647496" w:rsidRPr="0029080A" w:rsidRDefault="00647496">
      <w:pPr>
        <w:pStyle w:val="TOC3"/>
        <w:rPr>
          <w:rFonts w:ascii="Arial" w:eastAsia="Times New Roman" w:hAnsi="Arial"/>
          <w:noProof/>
          <w:sz w:val="20"/>
          <w:szCs w:val="20"/>
          <w:lang w:val="sl-SI" w:eastAsia="sl-SI"/>
        </w:rPr>
      </w:pPr>
      <w:hyperlink w:anchor="_Toc227227976" w:history="1">
        <w:r w:rsidRPr="00647496">
          <w:rPr>
            <w:rStyle w:val="Hyperlink"/>
            <w:rFonts w:ascii="Arial" w:hAnsi="Arial"/>
            <w:noProof/>
            <w:sz w:val="20"/>
            <w:szCs w:val="20"/>
          </w:rPr>
          <w:t>6.5. Krepitev sodelovanja na področju javne uprave, informacijske varnosti, digitalne preobrazbe in varovanja tajnih podatkov</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_Toc227227976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31</w:t>
        </w:r>
        <w:r w:rsidRPr="00647496">
          <w:rPr>
            <w:rFonts w:ascii="Arial" w:hAnsi="Arial"/>
            <w:noProof/>
            <w:webHidden/>
            <w:sz w:val="20"/>
            <w:szCs w:val="20"/>
          </w:rPr>
          <w:fldChar w:fldCharType="end"/>
        </w:r>
      </w:hyperlink>
    </w:p>
    <w:p w14:paraId="602126DE" w14:textId="77777777" w:rsidR="00647496" w:rsidRPr="0029080A" w:rsidRDefault="00647496">
      <w:pPr>
        <w:pStyle w:val="TOC2"/>
        <w:rPr>
          <w:rFonts w:ascii="Arial" w:eastAsia="Times New Roman" w:hAnsi="Arial"/>
          <w:noProof/>
          <w:sz w:val="20"/>
          <w:szCs w:val="20"/>
          <w:lang w:val="sl-SI" w:eastAsia="sl-SI"/>
        </w:rPr>
      </w:pPr>
      <w:hyperlink w:anchor="_Toc227227977" w:history="1">
        <w:r w:rsidRPr="00647496">
          <w:rPr>
            <w:rStyle w:val="Hyperlink"/>
            <w:rFonts w:ascii="Arial" w:hAnsi="Arial"/>
            <w:noProof/>
            <w:sz w:val="20"/>
            <w:szCs w:val="20"/>
          </w:rPr>
          <w:t>7.</w:t>
        </w:r>
        <w:r w:rsidRPr="0029080A">
          <w:rPr>
            <w:rFonts w:ascii="Arial" w:eastAsia="Times New Roman" w:hAnsi="Arial"/>
            <w:noProof/>
            <w:sz w:val="20"/>
            <w:szCs w:val="20"/>
            <w:lang w:val="sl-SI" w:eastAsia="sl-SI"/>
          </w:rPr>
          <w:tab/>
        </w:r>
        <w:r w:rsidRPr="00647496">
          <w:rPr>
            <w:rStyle w:val="Hyperlink"/>
            <w:rFonts w:ascii="Arial" w:hAnsi="Arial"/>
            <w:noProof/>
            <w:sz w:val="20"/>
            <w:szCs w:val="20"/>
          </w:rPr>
          <w:t>Okrepitev in razvoj prometnih in energetskih povezav ter krepitev sodelovanja na področju okolja in prostora</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_Toc227227977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35</w:t>
        </w:r>
        <w:r w:rsidRPr="00647496">
          <w:rPr>
            <w:rFonts w:ascii="Arial" w:hAnsi="Arial"/>
            <w:noProof/>
            <w:webHidden/>
            <w:sz w:val="20"/>
            <w:szCs w:val="20"/>
          </w:rPr>
          <w:fldChar w:fldCharType="end"/>
        </w:r>
      </w:hyperlink>
    </w:p>
    <w:p w14:paraId="72DD0523" w14:textId="77777777" w:rsidR="00647496" w:rsidRPr="0029080A" w:rsidRDefault="00647496">
      <w:pPr>
        <w:pStyle w:val="TOC3"/>
        <w:rPr>
          <w:rFonts w:ascii="Arial" w:eastAsia="Times New Roman" w:hAnsi="Arial"/>
          <w:noProof/>
          <w:sz w:val="20"/>
          <w:szCs w:val="20"/>
          <w:lang w:val="sl-SI" w:eastAsia="sl-SI"/>
        </w:rPr>
      </w:pPr>
      <w:hyperlink w:anchor="_Toc227227978" w:history="1">
        <w:r w:rsidRPr="00647496">
          <w:rPr>
            <w:rStyle w:val="Hyperlink"/>
            <w:rFonts w:ascii="Arial" w:hAnsi="Arial"/>
            <w:noProof/>
            <w:sz w:val="20"/>
            <w:szCs w:val="20"/>
            <w:lang w:eastAsia="sl-SI"/>
          </w:rPr>
          <w:t>7.1. Krepitev sodelovanja na področju infrastrukture</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_Toc227227978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35</w:t>
        </w:r>
        <w:r w:rsidRPr="00647496">
          <w:rPr>
            <w:rFonts w:ascii="Arial" w:hAnsi="Arial"/>
            <w:noProof/>
            <w:webHidden/>
            <w:sz w:val="20"/>
            <w:szCs w:val="20"/>
          </w:rPr>
          <w:fldChar w:fldCharType="end"/>
        </w:r>
      </w:hyperlink>
    </w:p>
    <w:p w14:paraId="241AFE89" w14:textId="77777777" w:rsidR="00647496" w:rsidRPr="0029080A" w:rsidRDefault="00647496">
      <w:pPr>
        <w:pStyle w:val="TOC3"/>
        <w:rPr>
          <w:rFonts w:ascii="Arial" w:eastAsia="Times New Roman" w:hAnsi="Arial"/>
          <w:noProof/>
          <w:sz w:val="20"/>
          <w:szCs w:val="20"/>
          <w:lang w:val="sl-SI" w:eastAsia="sl-SI"/>
        </w:rPr>
      </w:pPr>
      <w:hyperlink w:anchor="_Toc227227979" w:history="1">
        <w:r w:rsidRPr="00647496">
          <w:rPr>
            <w:rStyle w:val="Hyperlink"/>
            <w:rFonts w:ascii="Arial" w:eastAsia="Times New Roman" w:hAnsi="Arial"/>
            <w:noProof/>
            <w:sz w:val="20"/>
            <w:szCs w:val="20"/>
          </w:rPr>
          <w:t xml:space="preserve">7.2. </w:t>
        </w:r>
        <w:r w:rsidRPr="00647496">
          <w:rPr>
            <w:rStyle w:val="Hyperlink"/>
            <w:rFonts w:ascii="Arial" w:hAnsi="Arial"/>
            <w:noProof/>
            <w:sz w:val="20"/>
            <w:szCs w:val="20"/>
          </w:rPr>
          <w:t>Krepitev sodelovanja na področju okolja, podnebja in energije</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_Toc227227979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35</w:t>
        </w:r>
        <w:r w:rsidRPr="00647496">
          <w:rPr>
            <w:rFonts w:ascii="Arial" w:hAnsi="Arial"/>
            <w:noProof/>
            <w:webHidden/>
            <w:sz w:val="20"/>
            <w:szCs w:val="20"/>
          </w:rPr>
          <w:fldChar w:fldCharType="end"/>
        </w:r>
      </w:hyperlink>
    </w:p>
    <w:p w14:paraId="3AA39A1F" w14:textId="77777777" w:rsidR="00647496" w:rsidRPr="0029080A" w:rsidRDefault="00647496">
      <w:pPr>
        <w:pStyle w:val="TOC3"/>
        <w:rPr>
          <w:rFonts w:ascii="Arial" w:eastAsia="Times New Roman" w:hAnsi="Arial"/>
          <w:noProof/>
          <w:sz w:val="20"/>
          <w:szCs w:val="20"/>
          <w:lang w:val="sl-SI" w:eastAsia="sl-SI"/>
        </w:rPr>
      </w:pPr>
      <w:hyperlink w:anchor="_Toc227227980" w:history="1">
        <w:r w:rsidRPr="00647496">
          <w:rPr>
            <w:rStyle w:val="Hyperlink"/>
            <w:rFonts w:ascii="Arial" w:eastAsia="Times New Roman" w:hAnsi="Arial"/>
            <w:noProof/>
            <w:sz w:val="20"/>
            <w:szCs w:val="20"/>
          </w:rPr>
          <w:t xml:space="preserve">7.3. </w:t>
        </w:r>
        <w:r w:rsidRPr="00647496">
          <w:rPr>
            <w:rStyle w:val="Hyperlink"/>
            <w:rFonts w:ascii="Arial" w:hAnsi="Arial"/>
            <w:noProof/>
            <w:sz w:val="20"/>
            <w:szCs w:val="20"/>
          </w:rPr>
          <w:t>Krepitev sodelovanja na področju varstva narave, celostnega upravljanja z vodami, obalo in morjem ter sevalne in jedrske varnosti</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_Toc227227980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37</w:t>
        </w:r>
        <w:r w:rsidRPr="00647496">
          <w:rPr>
            <w:rFonts w:ascii="Arial" w:hAnsi="Arial"/>
            <w:noProof/>
            <w:webHidden/>
            <w:sz w:val="20"/>
            <w:szCs w:val="20"/>
          </w:rPr>
          <w:fldChar w:fldCharType="end"/>
        </w:r>
      </w:hyperlink>
    </w:p>
    <w:p w14:paraId="315C74A0" w14:textId="77777777" w:rsidR="00647496" w:rsidRPr="0029080A" w:rsidRDefault="00647496">
      <w:pPr>
        <w:pStyle w:val="TOC2"/>
        <w:rPr>
          <w:rFonts w:ascii="Arial" w:eastAsia="Times New Roman" w:hAnsi="Arial"/>
          <w:noProof/>
          <w:sz w:val="20"/>
          <w:szCs w:val="20"/>
          <w:lang w:val="sl-SI" w:eastAsia="sl-SI"/>
        </w:rPr>
      </w:pPr>
      <w:hyperlink w:anchor="_Toc227227981" w:history="1">
        <w:r w:rsidRPr="00647496">
          <w:rPr>
            <w:rStyle w:val="Hyperlink"/>
            <w:rFonts w:ascii="Arial" w:hAnsi="Arial"/>
            <w:noProof/>
            <w:sz w:val="20"/>
            <w:szCs w:val="20"/>
          </w:rPr>
          <w:t>8.</w:t>
        </w:r>
        <w:r w:rsidRPr="0029080A">
          <w:rPr>
            <w:rFonts w:ascii="Arial" w:eastAsia="Times New Roman" w:hAnsi="Arial"/>
            <w:noProof/>
            <w:sz w:val="20"/>
            <w:szCs w:val="20"/>
            <w:lang w:val="sl-SI" w:eastAsia="sl-SI"/>
          </w:rPr>
          <w:tab/>
        </w:r>
        <w:r w:rsidRPr="00647496">
          <w:rPr>
            <w:rStyle w:val="Hyperlink"/>
            <w:rFonts w:ascii="Arial" w:hAnsi="Arial"/>
            <w:noProof/>
            <w:sz w:val="20"/>
            <w:szCs w:val="20"/>
          </w:rPr>
          <w:t>Krepitev sodelovanja na področju kmetijstva in zdravstva ter na področju dela, družine in socialnih zadev</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_Toc227227981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38</w:t>
        </w:r>
        <w:r w:rsidRPr="00647496">
          <w:rPr>
            <w:rFonts w:ascii="Arial" w:hAnsi="Arial"/>
            <w:noProof/>
            <w:webHidden/>
            <w:sz w:val="20"/>
            <w:szCs w:val="20"/>
          </w:rPr>
          <w:fldChar w:fldCharType="end"/>
        </w:r>
      </w:hyperlink>
    </w:p>
    <w:p w14:paraId="42F2DE0A" w14:textId="77777777" w:rsidR="00647496" w:rsidRPr="0029080A" w:rsidRDefault="00647496">
      <w:pPr>
        <w:pStyle w:val="TOC3"/>
        <w:rPr>
          <w:rFonts w:ascii="Arial" w:eastAsia="Times New Roman" w:hAnsi="Arial"/>
          <w:noProof/>
          <w:sz w:val="20"/>
          <w:szCs w:val="20"/>
          <w:lang w:val="sl-SI" w:eastAsia="sl-SI"/>
        </w:rPr>
      </w:pPr>
      <w:hyperlink w:anchor="_Toc227227982" w:history="1">
        <w:r w:rsidRPr="00647496">
          <w:rPr>
            <w:rStyle w:val="Hyperlink"/>
            <w:rFonts w:ascii="Arial" w:hAnsi="Arial"/>
            <w:noProof/>
            <w:sz w:val="20"/>
            <w:szCs w:val="20"/>
          </w:rPr>
          <w:t>8.1. Krepitev sodelovanja na področju kmetijstva, razvoja podeželja, gozdarstva, ribištva in varne hrane</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_Toc227227982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38</w:t>
        </w:r>
        <w:r w:rsidRPr="00647496">
          <w:rPr>
            <w:rFonts w:ascii="Arial" w:hAnsi="Arial"/>
            <w:noProof/>
            <w:webHidden/>
            <w:sz w:val="20"/>
            <w:szCs w:val="20"/>
          </w:rPr>
          <w:fldChar w:fldCharType="end"/>
        </w:r>
      </w:hyperlink>
    </w:p>
    <w:p w14:paraId="7A3CFD25" w14:textId="77777777" w:rsidR="00647496" w:rsidRPr="0029080A" w:rsidRDefault="00647496">
      <w:pPr>
        <w:pStyle w:val="TOC3"/>
        <w:rPr>
          <w:rFonts w:ascii="Arial" w:eastAsia="Times New Roman" w:hAnsi="Arial"/>
          <w:noProof/>
          <w:sz w:val="20"/>
          <w:szCs w:val="20"/>
          <w:lang w:val="sl-SI" w:eastAsia="sl-SI"/>
        </w:rPr>
      </w:pPr>
      <w:hyperlink w:anchor="_Toc227227983" w:history="1">
        <w:r w:rsidRPr="00647496">
          <w:rPr>
            <w:rStyle w:val="Hyperlink"/>
            <w:rFonts w:ascii="Arial" w:hAnsi="Arial"/>
            <w:noProof/>
            <w:sz w:val="20"/>
            <w:szCs w:val="20"/>
          </w:rPr>
          <w:t>8.2. Krepitev sodelovanja na področju zdravstva</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_Toc227227983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39</w:t>
        </w:r>
        <w:r w:rsidRPr="00647496">
          <w:rPr>
            <w:rFonts w:ascii="Arial" w:hAnsi="Arial"/>
            <w:noProof/>
            <w:webHidden/>
            <w:sz w:val="20"/>
            <w:szCs w:val="20"/>
          </w:rPr>
          <w:fldChar w:fldCharType="end"/>
        </w:r>
      </w:hyperlink>
    </w:p>
    <w:p w14:paraId="10C87AA4" w14:textId="77777777" w:rsidR="00647496" w:rsidRPr="0029080A" w:rsidRDefault="00647496">
      <w:pPr>
        <w:pStyle w:val="TOC3"/>
        <w:rPr>
          <w:rFonts w:ascii="Arial" w:eastAsia="Times New Roman" w:hAnsi="Arial"/>
          <w:noProof/>
          <w:sz w:val="20"/>
          <w:szCs w:val="20"/>
          <w:lang w:val="sl-SI" w:eastAsia="sl-SI"/>
        </w:rPr>
      </w:pPr>
      <w:hyperlink w:anchor="_Toc227227984" w:history="1">
        <w:r w:rsidRPr="00647496">
          <w:rPr>
            <w:rStyle w:val="Hyperlink"/>
            <w:rFonts w:ascii="Arial" w:hAnsi="Arial"/>
            <w:noProof/>
            <w:sz w:val="20"/>
            <w:szCs w:val="20"/>
          </w:rPr>
          <w:t>8.3. Krepitev sodelovanja na področju dela, družine in socialnih zadev</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_Toc227227984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41</w:t>
        </w:r>
        <w:r w:rsidRPr="00647496">
          <w:rPr>
            <w:rFonts w:ascii="Arial" w:hAnsi="Arial"/>
            <w:noProof/>
            <w:webHidden/>
            <w:sz w:val="20"/>
            <w:szCs w:val="20"/>
          </w:rPr>
          <w:fldChar w:fldCharType="end"/>
        </w:r>
      </w:hyperlink>
    </w:p>
    <w:p w14:paraId="7615A557" w14:textId="77777777" w:rsidR="00647496" w:rsidRPr="0029080A" w:rsidRDefault="00647496">
      <w:pPr>
        <w:pStyle w:val="TOC2"/>
        <w:rPr>
          <w:rFonts w:ascii="Arial" w:eastAsia="Times New Roman" w:hAnsi="Arial"/>
          <w:noProof/>
          <w:sz w:val="20"/>
          <w:szCs w:val="20"/>
          <w:lang w:val="sl-SI" w:eastAsia="sl-SI"/>
        </w:rPr>
      </w:pPr>
      <w:hyperlink w:anchor="_Toc227227985" w:history="1">
        <w:r w:rsidRPr="00647496">
          <w:rPr>
            <w:rStyle w:val="Hyperlink"/>
            <w:rFonts w:ascii="Arial" w:hAnsi="Arial"/>
            <w:noProof/>
            <w:sz w:val="20"/>
            <w:szCs w:val="20"/>
          </w:rPr>
          <w:t>9.</w:t>
        </w:r>
        <w:r w:rsidRPr="0029080A">
          <w:rPr>
            <w:rFonts w:ascii="Arial" w:eastAsia="Times New Roman" w:hAnsi="Arial"/>
            <w:noProof/>
            <w:sz w:val="20"/>
            <w:szCs w:val="20"/>
            <w:lang w:val="sl-SI" w:eastAsia="sl-SI"/>
          </w:rPr>
          <w:tab/>
        </w:r>
        <w:r w:rsidRPr="00647496">
          <w:rPr>
            <w:rStyle w:val="Hyperlink"/>
            <w:rFonts w:ascii="Arial" w:hAnsi="Arial"/>
            <w:noProof/>
            <w:sz w:val="20"/>
            <w:szCs w:val="20"/>
          </w:rPr>
          <w:t>Spodbujanje sodelovanja na področju vzgoje, izobraževanja, mladine, znanosti in inovacij</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_Toc227227985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42</w:t>
        </w:r>
        <w:r w:rsidRPr="00647496">
          <w:rPr>
            <w:rFonts w:ascii="Arial" w:hAnsi="Arial"/>
            <w:noProof/>
            <w:webHidden/>
            <w:sz w:val="20"/>
            <w:szCs w:val="20"/>
          </w:rPr>
          <w:fldChar w:fldCharType="end"/>
        </w:r>
      </w:hyperlink>
    </w:p>
    <w:p w14:paraId="3774EA8D" w14:textId="77777777" w:rsidR="00647496" w:rsidRPr="0029080A" w:rsidRDefault="00647496">
      <w:pPr>
        <w:pStyle w:val="TOC3"/>
        <w:rPr>
          <w:rFonts w:ascii="Arial" w:eastAsia="Times New Roman" w:hAnsi="Arial"/>
          <w:noProof/>
          <w:sz w:val="20"/>
          <w:szCs w:val="20"/>
          <w:lang w:val="sl-SI" w:eastAsia="sl-SI"/>
        </w:rPr>
      </w:pPr>
      <w:hyperlink w:anchor="_Toc227227986" w:history="1">
        <w:r w:rsidRPr="00647496">
          <w:rPr>
            <w:rStyle w:val="Hyperlink"/>
            <w:rFonts w:ascii="Arial" w:hAnsi="Arial"/>
            <w:noProof/>
            <w:sz w:val="20"/>
            <w:szCs w:val="20"/>
          </w:rPr>
          <w:t>9.1. Krepitev sodelovanja na področju vzgoje in izobraževanja</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_Toc227227986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42</w:t>
        </w:r>
        <w:r w:rsidRPr="00647496">
          <w:rPr>
            <w:rFonts w:ascii="Arial" w:hAnsi="Arial"/>
            <w:noProof/>
            <w:webHidden/>
            <w:sz w:val="20"/>
            <w:szCs w:val="20"/>
          </w:rPr>
          <w:fldChar w:fldCharType="end"/>
        </w:r>
      </w:hyperlink>
    </w:p>
    <w:p w14:paraId="1B56E516" w14:textId="77777777" w:rsidR="00647496" w:rsidRPr="0029080A" w:rsidRDefault="00647496">
      <w:pPr>
        <w:pStyle w:val="TOC3"/>
        <w:rPr>
          <w:rFonts w:ascii="Arial" w:eastAsia="Times New Roman" w:hAnsi="Arial"/>
          <w:noProof/>
          <w:sz w:val="20"/>
          <w:szCs w:val="20"/>
          <w:lang w:val="sl-SI" w:eastAsia="sl-SI"/>
        </w:rPr>
      </w:pPr>
      <w:hyperlink w:anchor="_Toc227227987" w:history="1">
        <w:r w:rsidRPr="00647496">
          <w:rPr>
            <w:rStyle w:val="Hyperlink"/>
            <w:rFonts w:ascii="Arial" w:hAnsi="Arial"/>
            <w:noProof/>
            <w:sz w:val="20"/>
            <w:szCs w:val="20"/>
          </w:rPr>
          <w:t>9.2. Krepitev sodelovanja na področju visokega šolstva, znanosti in inovacij</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_Toc227227987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44</w:t>
        </w:r>
        <w:r w:rsidRPr="00647496">
          <w:rPr>
            <w:rFonts w:ascii="Arial" w:hAnsi="Arial"/>
            <w:noProof/>
            <w:webHidden/>
            <w:sz w:val="20"/>
            <w:szCs w:val="20"/>
          </w:rPr>
          <w:fldChar w:fldCharType="end"/>
        </w:r>
      </w:hyperlink>
    </w:p>
    <w:p w14:paraId="6F9F49DE" w14:textId="77777777" w:rsidR="00647496" w:rsidRPr="0029080A" w:rsidRDefault="00647496">
      <w:pPr>
        <w:pStyle w:val="TOC2"/>
        <w:rPr>
          <w:rFonts w:ascii="Arial" w:eastAsia="Times New Roman" w:hAnsi="Arial"/>
          <w:noProof/>
          <w:sz w:val="20"/>
          <w:szCs w:val="20"/>
          <w:lang w:val="sl-SI" w:eastAsia="sl-SI"/>
        </w:rPr>
      </w:pPr>
      <w:hyperlink w:anchor="_Toc227227988" w:history="1">
        <w:r w:rsidRPr="00647496">
          <w:rPr>
            <w:rStyle w:val="Hyperlink"/>
            <w:rFonts w:ascii="Arial" w:hAnsi="Arial"/>
            <w:noProof/>
            <w:sz w:val="20"/>
            <w:szCs w:val="20"/>
          </w:rPr>
          <w:t>10.</w:t>
        </w:r>
        <w:r w:rsidRPr="0029080A">
          <w:rPr>
            <w:rFonts w:ascii="Arial" w:eastAsia="Times New Roman" w:hAnsi="Arial"/>
            <w:noProof/>
            <w:sz w:val="20"/>
            <w:szCs w:val="20"/>
            <w:lang w:val="sl-SI" w:eastAsia="sl-SI"/>
          </w:rPr>
          <w:tab/>
        </w:r>
        <w:r w:rsidRPr="00647496">
          <w:rPr>
            <w:rStyle w:val="Hyperlink"/>
            <w:rFonts w:ascii="Arial" w:hAnsi="Arial"/>
            <w:noProof/>
            <w:sz w:val="20"/>
            <w:szCs w:val="20"/>
          </w:rPr>
          <w:t>Sodelovanje v kulturi in medkulturni dialog</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_Toc227227988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46</w:t>
        </w:r>
        <w:r w:rsidRPr="00647496">
          <w:rPr>
            <w:rFonts w:ascii="Arial" w:hAnsi="Arial"/>
            <w:noProof/>
            <w:webHidden/>
            <w:sz w:val="20"/>
            <w:szCs w:val="20"/>
          </w:rPr>
          <w:fldChar w:fldCharType="end"/>
        </w:r>
      </w:hyperlink>
    </w:p>
    <w:p w14:paraId="4CE1B16C" w14:textId="77777777" w:rsidR="00647496" w:rsidRPr="0029080A" w:rsidRDefault="00647496">
      <w:pPr>
        <w:pStyle w:val="TOC2"/>
        <w:rPr>
          <w:rFonts w:ascii="Arial" w:eastAsia="Times New Roman" w:hAnsi="Arial"/>
          <w:noProof/>
          <w:sz w:val="20"/>
          <w:szCs w:val="20"/>
          <w:lang w:val="sl-SI" w:eastAsia="sl-SI"/>
        </w:rPr>
      </w:pPr>
      <w:hyperlink w:anchor="_Toc227227989" w:history="1">
        <w:r w:rsidRPr="00647496">
          <w:rPr>
            <w:rStyle w:val="Hyperlink"/>
            <w:rFonts w:ascii="Arial" w:hAnsi="Arial"/>
            <w:noProof/>
            <w:sz w:val="20"/>
            <w:szCs w:val="20"/>
          </w:rPr>
          <w:t>11.</w:t>
        </w:r>
        <w:r w:rsidRPr="0029080A">
          <w:rPr>
            <w:rFonts w:ascii="Arial" w:eastAsia="Times New Roman" w:hAnsi="Arial"/>
            <w:noProof/>
            <w:sz w:val="20"/>
            <w:szCs w:val="20"/>
            <w:lang w:val="sl-SI" w:eastAsia="sl-SI"/>
          </w:rPr>
          <w:tab/>
        </w:r>
        <w:r w:rsidRPr="00647496">
          <w:rPr>
            <w:rStyle w:val="Hyperlink"/>
            <w:rFonts w:ascii="Arial" w:hAnsi="Arial"/>
            <w:noProof/>
            <w:sz w:val="20"/>
            <w:szCs w:val="20"/>
          </w:rPr>
          <w:t>Krepitev in povezovanje slovenske manjšine</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_Toc227227989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48</w:t>
        </w:r>
        <w:r w:rsidRPr="00647496">
          <w:rPr>
            <w:rFonts w:ascii="Arial" w:hAnsi="Arial"/>
            <w:noProof/>
            <w:webHidden/>
            <w:sz w:val="20"/>
            <w:szCs w:val="20"/>
          </w:rPr>
          <w:fldChar w:fldCharType="end"/>
        </w:r>
      </w:hyperlink>
    </w:p>
    <w:p w14:paraId="09606C1B" w14:textId="77777777" w:rsidR="00647496" w:rsidRPr="0029080A" w:rsidRDefault="00647496">
      <w:pPr>
        <w:pStyle w:val="TOC2"/>
        <w:rPr>
          <w:rFonts w:ascii="Arial" w:eastAsia="Times New Roman" w:hAnsi="Arial"/>
          <w:noProof/>
          <w:sz w:val="20"/>
          <w:szCs w:val="20"/>
          <w:lang w:val="sl-SI" w:eastAsia="sl-SI"/>
        </w:rPr>
      </w:pPr>
      <w:hyperlink w:anchor="_Toc227227990" w:history="1">
        <w:r w:rsidRPr="00647496">
          <w:rPr>
            <w:rStyle w:val="Hyperlink"/>
            <w:rFonts w:ascii="Arial" w:hAnsi="Arial"/>
            <w:noProof/>
            <w:sz w:val="20"/>
            <w:szCs w:val="20"/>
          </w:rPr>
          <w:t>12.</w:t>
        </w:r>
        <w:r w:rsidRPr="0029080A">
          <w:rPr>
            <w:rFonts w:ascii="Arial" w:eastAsia="Times New Roman" w:hAnsi="Arial"/>
            <w:noProof/>
            <w:sz w:val="20"/>
            <w:szCs w:val="20"/>
            <w:lang w:val="sl-SI" w:eastAsia="sl-SI"/>
          </w:rPr>
          <w:tab/>
        </w:r>
        <w:r w:rsidRPr="00647496">
          <w:rPr>
            <w:rStyle w:val="Hyperlink"/>
            <w:rFonts w:ascii="Arial" w:hAnsi="Arial"/>
            <w:noProof/>
            <w:sz w:val="20"/>
            <w:szCs w:val="20"/>
          </w:rPr>
          <w:t>Krepitev sodelovanja na področju statistike</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_Toc227227990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49</w:t>
        </w:r>
        <w:r w:rsidRPr="00647496">
          <w:rPr>
            <w:rFonts w:ascii="Arial" w:hAnsi="Arial"/>
            <w:noProof/>
            <w:webHidden/>
            <w:sz w:val="20"/>
            <w:szCs w:val="20"/>
          </w:rPr>
          <w:fldChar w:fldCharType="end"/>
        </w:r>
      </w:hyperlink>
    </w:p>
    <w:p w14:paraId="5320028D" w14:textId="77777777" w:rsidR="00647496" w:rsidRPr="0029080A" w:rsidRDefault="00647496">
      <w:pPr>
        <w:pStyle w:val="TOC1"/>
        <w:rPr>
          <w:rFonts w:ascii="Arial" w:eastAsia="Times New Roman" w:hAnsi="Arial"/>
          <w:noProof/>
          <w:sz w:val="20"/>
          <w:szCs w:val="20"/>
          <w:lang w:val="sl-SI" w:eastAsia="sl-SI"/>
        </w:rPr>
      </w:pPr>
      <w:hyperlink w:anchor="_Toc227227991" w:history="1">
        <w:r w:rsidRPr="00647496">
          <w:rPr>
            <w:rStyle w:val="Hyperlink"/>
            <w:rFonts w:ascii="Arial" w:hAnsi="Arial"/>
            <w:noProof/>
            <w:sz w:val="20"/>
            <w:szCs w:val="20"/>
          </w:rPr>
          <w:t>III. Pregled ključnih aktivnosti koordinatorja za Zahodni Balkan</w:t>
        </w:r>
        <w:r w:rsidRPr="00647496">
          <w:rPr>
            <w:rFonts w:ascii="Arial" w:hAnsi="Arial"/>
            <w:noProof/>
            <w:webHidden/>
            <w:sz w:val="20"/>
            <w:szCs w:val="20"/>
          </w:rPr>
          <w:tab/>
        </w:r>
        <w:r w:rsidRPr="00647496">
          <w:rPr>
            <w:rFonts w:ascii="Arial" w:hAnsi="Arial"/>
            <w:noProof/>
            <w:webHidden/>
            <w:sz w:val="20"/>
            <w:szCs w:val="20"/>
          </w:rPr>
          <w:fldChar w:fldCharType="begin"/>
        </w:r>
        <w:r w:rsidRPr="00647496">
          <w:rPr>
            <w:rFonts w:ascii="Arial" w:hAnsi="Arial"/>
            <w:noProof/>
            <w:webHidden/>
            <w:sz w:val="20"/>
            <w:szCs w:val="20"/>
          </w:rPr>
          <w:instrText xml:space="preserve"> PAGEREF _Toc227227991 \h </w:instrText>
        </w:r>
        <w:r w:rsidRPr="00647496">
          <w:rPr>
            <w:rFonts w:ascii="Arial" w:hAnsi="Arial"/>
            <w:noProof/>
            <w:webHidden/>
            <w:sz w:val="20"/>
            <w:szCs w:val="20"/>
          </w:rPr>
        </w:r>
        <w:r w:rsidRPr="00647496">
          <w:rPr>
            <w:rFonts w:ascii="Arial" w:hAnsi="Arial"/>
            <w:noProof/>
            <w:webHidden/>
            <w:sz w:val="20"/>
            <w:szCs w:val="20"/>
          </w:rPr>
          <w:fldChar w:fldCharType="separate"/>
        </w:r>
        <w:r w:rsidRPr="00647496">
          <w:rPr>
            <w:rFonts w:ascii="Arial" w:hAnsi="Arial"/>
            <w:noProof/>
            <w:webHidden/>
            <w:sz w:val="20"/>
            <w:szCs w:val="20"/>
          </w:rPr>
          <w:t>50</w:t>
        </w:r>
        <w:r w:rsidRPr="00647496">
          <w:rPr>
            <w:rFonts w:ascii="Arial" w:hAnsi="Arial"/>
            <w:noProof/>
            <w:webHidden/>
            <w:sz w:val="20"/>
            <w:szCs w:val="20"/>
          </w:rPr>
          <w:fldChar w:fldCharType="end"/>
        </w:r>
      </w:hyperlink>
    </w:p>
    <w:p w14:paraId="0E0EC4A6" w14:textId="77777777" w:rsidR="00CD50F9" w:rsidRPr="005E440A" w:rsidRDefault="00D90803" w:rsidP="006C7EB9">
      <w:pPr>
        <w:spacing w:line="276" w:lineRule="auto"/>
        <w:rPr>
          <w:sz w:val="20"/>
          <w:szCs w:val="20"/>
        </w:rPr>
      </w:pPr>
      <w:r w:rsidRPr="00647496">
        <w:rPr>
          <w:sz w:val="20"/>
          <w:szCs w:val="20"/>
        </w:rPr>
        <w:fldChar w:fldCharType="end"/>
      </w:r>
    </w:p>
    <w:p w14:paraId="679ADD95" w14:textId="77777777" w:rsidR="006D1BB4" w:rsidRDefault="005E440A" w:rsidP="006C7EB9">
      <w:pPr>
        <w:spacing w:line="276" w:lineRule="auto"/>
        <w:rPr>
          <w:sz w:val="20"/>
          <w:szCs w:val="20"/>
        </w:rPr>
      </w:pPr>
      <w:r>
        <w:rPr>
          <w:sz w:val="20"/>
          <w:szCs w:val="20"/>
        </w:rPr>
        <w:br w:type="page"/>
      </w:r>
    </w:p>
    <w:p w14:paraId="3B338FB2" w14:textId="77777777" w:rsidR="005547B0" w:rsidRPr="009D2329" w:rsidRDefault="005547B0" w:rsidP="00411064">
      <w:pPr>
        <w:pStyle w:val="Heading1"/>
        <w:spacing w:before="0" w:after="0"/>
      </w:pPr>
      <w:bookmarkStart w:id="1" w:name="_Toc227227959"/>
      <w:r w:rsidRPr="009D2329">
        <w:t>I. Uvod</w:t>
      </w:r>
      <w:bookmarkEnd w:id="1"/>
    </w:p>
    <w:p w14:paraId="441C6F17" w14:textId="77777777" w:rsidR="005547B0" w:rsidRPr="009D2329" w:rsidRDefault="005547B0" w:rsidP="00411064">
      <w:pPr>
        <w:spacing w:line="276" w:lineRule="auto"/>
        <w:rPr>
          <w:sz w:val="20"/>
          <w:szCs w:val="20"/>
        </w:rPr>
      </w:pPr>
    </w:p>
    <w:p w14:paraId="11DE8D84" w14:textId="77777777" w:rsidR="005547B0" w:rsidRPr="00140B34" w:rsidRDefault="00D90803" w:rsidP="00411064">
      <w:pPr>
        <w:spacing w:line="276" w:lineRule="auto"/>
        <w:rPr>
          <w:sz w:val="20"/>
          <w:szCs w:val="20"/>
        </w:rPr>
      </w:pPr>
      <w:r w:rsidRPr="00140B34">
        <w:rPr>
          <w:sz w:val="20"/>
          <w:szCs w:val="20"/>
        </w:rPr>
        <w:t>Z namenom usklajenega</w:t>
      </w:r>
      <w:r w:rsidR="005547B0" w:rsidRPr="00140B34">
        <w:rPr>
          <w:sz w:val="20"/>
          <w:szCs w:val="20"/>
        </w:rPr>
        <w:t xml:space="preserve"> delovanj</w:t>
      </w:r>
      <w:r w:rsidRPr="00140B34">
        <w:rPr>
          <w:sz w:val="20"/>
          <w:szCs w:val="20"/>
        </w:rPr>
        <w:t>a</w:t>
      </w:r>
      <w:r w:rsidR="005547B0" w:rsidRPr="00140B34">
        <w:rPr>
          <w:sz w:val="20"/>
          <w:szCs w:val="20"/>
        </w:rPr>
        <w:t xml:space="preserve"> Republike Slovenije </w:t>
      </w:r>
      <w:r w:rsidR="007A06F5" w:rsidRPr="00140B34">
        <w:rPr>
          <w:sz w:val="20"/>
          <w:szCs w:val="20"/>
        </w:rPr>
        <w:t xml:space="preserve">(RS) </w:t>
      </w:r>
      <w:r w:rsidR="005547B0" w:rsidRPr="00140B34">
        <w:rPr>
          <w:sz w:val="20"/>
          <w:szCs w:val="20"/>
        </w:rPr>
        <w:t xml:space="preserve">na Zahodnem Balkanu je Vlada </w:t>
      </w:r>
      <w:r w:rsidR="007A06F5" w:rsidRPr="00140B34">
        <w:rPr>
          <w:sz w:val="20"/>
          <w:szCs w:val="20"/>
        </w:rPr>
        <w:t>RS</w:t>
      </w:r>
      <w:r w:rsidR="005547B0" w:rsidRPr="00140B34">
        <w:rPr>
          <w:sz w:val="20"/>
          <w:szCs w:val="20"/>
        </w:rPr>
        <w:t xml:space="preserve"> na 90. redni seji 8.</w:t>
      </w:r>
      <w:r w:rsidR="00A23423" w:rsidRPr="00140B34">
        <w:rPr>
          <w:sz w:val="20"/>
          <w:szCs w:val="20"/>
        </w:rPr>
        <w:t xml:space="preserve"> </w:t>
      </w:r>
      <w:r w:rsidR="004E1A14" w:rsidRPr="00140B34">
        <w:rPr>
          <w:sz w:val="20"/>
          <w:szCs w:val="20"/>
        </w:rPr>
        <w:t>julija</w:t>
      </w:r>
      <w:r w:rsidR="00A23423" w:rsidRPr="00140B34">
        <w:rPr>
          <w:sz w:val="20"/>
          <w:szCs w:val="20"/>
        </w:rPr>
        <w:t xml:space="preserve"> </w:t>
      </w:r>
      <w:r w:rsidR="005547B0" w:rsidRPr="00140B34">
        <w:rPr>
          <w:sz w:val="20"/>
          <w:szCs w:val="20"/>
        </w:rPr>
        <w:t xml:space="preserve">2010 sprejela Smernice za delovanje </w:t>
      </w:r>
      <w:r w:rsidR="007A06F5" w:rsidRPr="00140B34">
        <w:rPr>
          <w:sz w:val="20"/>
          <w:szCs w:val="20"/>
        </w:rPr>
        <w:t>RS</w:t>
      </w:r>
      <w:r w:rsidR="005547B0" w:rsidRPr="00140B34">
        <w:rPr>
          <w:sz w:val="20"/>
          <w:szCs w:val="20"/>
        </w:rPr>
        <w:t xml:space="preserve"> do Zahodnega Balkana, na 105. redni seji 28.</w:t>
      </w:r>
      <w:r w:rsidR="00A23423" w:rsidRPr="00140B34">
        <w:rPr>
          <w:sz w:val="20"/>
          <w:szCs w:val="20"/>
        </w:rPr>
        <w:t xml:space="preserve"> </w:t>
      </w:r>
      <w:r w:rsidR="004E1A14" w:rsidRPr="00140B34">
        <w:rPr>
          <w:sz w:val="20"/>
          <w:szCs w:val="20"/>
        </w:rPr>
        <w:t>oktobra</w:t>
      </w:r>
      <w:r w:rsidR="00A23423" w:rsidRPr="00140B34">
        <w:rPr>
          <w:sz w:val="20"/>
          <w:szCs w:val="20"/>
        </w:rPr>
        <w:t xml:space="preserve"> </w:t>
      </w:r>
      <w:r w:rsidR="005547B0" w:rsidRPr="00140B34">
        <w:rPr>
          <w:sz w:val="20"/>
          <w:szCs w:val="20"/>
        </w:rPr>
        <w:t>2010 pa je imenovala nacionalnega koordinatorja za Zahodni Balkan in člane Koordinacijskega odbora za Zahodni Balkan</w:t>
      </w:r>
      <w:r w:rsidR="00787600" w:rsidRPr="00140B34">
        <w:rPr>
          <w:sz w:val="20"/>
          <w:szCs w:val="20"/>
        </w:rPr>
        <w:t xml:space="preserve"> (sklep o članih Koordinacijskega odbora za Zahodni Balkan je bil večk</w:t>
      </w:r>
      <w:r w:rsidR="00BC2F9E">
        <w:rPr>
          <w:sz w:val="20"/>
          <w:szCs w:val="20"/>
        </w:rPr>
        <w:t>rat spremenjen, nazadnje 22. novembra</w:t>
      </w:r>
      <w:r w:rsidR="00787600" w:rsidRPr="00140B34">
        <w:rPr>
          <w:sz w:val="20"/>
          <w:szCs w:val="20"/>
        </w:rPr>
        <w:t xml:space="preserve"> 2023 s sklepom št. 50102-18/2023/4). Z omenjenimi sklepi je Vlada RS</w:t>
      </w:r>
      <w:r w:rsidR="005547B0" w:rsidRPr="00140B34">
        <w:rPr>
          <w:sz w:val="20"/>
          <w:szCs w:val="20"/>
        </w:rPr>
        <w:t xml:space="preserve"> tudi določila, da Ministrstvo za zunanje </w:t>
      </w:r>
      <w:r w:rsidR="00787600" w:rsidRPr="00140B34">
        <w:rPr>
          <w:sz w:val="20"/>
          <w:szCs w:val="20"/>
        </w:rPr>
        <w:t xml:space="preserve">in evropske </w:t>
      </w:r>
      <w:r w:rsidR="005547B0" w:rsidRPr="00140B34">
        <w:rPr>
          <w:sz w:val="20"/>
          <w:szCs w:val="20"/>
        </w:rPr>
        <w:t xml:space="preserve">zadeve </w:t>
      </w:r>
      <w:r w:rsidR="0070626D" w:rsidRPr="00140B34">
        <w:rPr>
          <w:sz w:val="20"/>
          <w:szCs w:val="20"/>
        </w:rPr>
        <w:t xml:space="preserve">(MZEZ) </w:t>
      </w:r>
      <w:r w:rsidR="005547B0" w:rsidRPr="00140B34">
        <w:rPr>
          <w:sz w:val="20"/>
          <w:szCs w:val="20"/>
        </w:rPr>
        <w:t xml:space="preserve">letno poroča o uresničevanju smernic in da koordinator pripravlja letno poročilo o dejavnostih RS na Zahodnem Balkanu. Ker gre </w:t>
      </w:r>
      <w:r w:rsidRPr="00140B34">
        <w:rPr>
          <w:sz w:val="20"/>
          <w:szCs w:val="20"/>
        </w:rPr>
        <w:t>pri obeh poročilih</w:t>
      </w:r>
      <w:r w:rsidR="005547B0" w:rsidRPr="00140B34">
        <w:rPr>
          <w:sz w:val="20"/>
          <w:szCs w:val="20"/>
        </w:rPr>
        <w:t xml:space="preserve"> za </w:t>
      </w:r>
      <w:r w:rsidRPr="00140B34">
        <w:rPr>
          <w:sz w:val="20"/>
          <w:szCs w:val="20"/>
        </w:rPr>
        <w:t>enako vsebino</w:t>
      </w:r>
      <w:r w:rsidR="005547B0" w:rsidRPr="00140B34">
        <w:rPr>
          <w:sz w:val="20"/>
          <w:szCs w:val="20"/>
        </w:rPr>
        <w:t>, v nadaljevanju podajamo enotno poročilo</w:t>
      </w:r>
      <w:r w:rsidRPr="00140B34">
        <w:rPr>
          <w:sz w:val="20"/>
          <w:szCs w:val="20"/>
        </w:rPr>
        <w:t xml:space="preserve">. </w:t>
      </w:r>
    </w:p>
    <w:p w14:paraId="21E7B15C" w14:textId="77777777" w:rsidR="00AE5C05" w:rsidRPr="00140B34" w:rsidRDefault="00AE5C05" w:rsidP="00411064">
      <w:pPr>
        <w:spacing w:line="276" w:lineRule="auto"/>
        <w:rPr>
          <w:sz w:val="20"/>
          <w:szCs w:val="20"/>
          <w:highlight w:val="yellow"/>
        </w:rPr>
      </w:pPr>
    </w:p>
    <w:p w14:paraId="508BD6EF" w14:textId="77777777" w:rsidR="00F75050" w:rsidRPr="00140B34" w:rsidRDefault="00F75050" w:rsidP="00411064">
      <w:pPr>
        <w:spacing w:line="276" w:lineRule="auto"/>
        <w:rPr>
          <w:sz w:val="20"/>
          <w:szCs w:val="20"/>
          <w:highlight w:val="yellow"/>
        </w:rPr>
      </w:pPr>
    </w:p>
    <w:p w14:paraId="1FC177BA" w14:textId="77777777" w:rsidR="005547B0" w:rsidRPr="00140B34" w:rsidRDefault="005547B0" w:rsidP="00411064">
      <w:pPr>
        <w:pStyle w:val="Heading1"/>
        <w:spacing w:before="0" w:after="0"/>
      </w:pPr>
      <w:bookmarkStart w:id="2" w:name="_Toc227227960"/>
      <w:r w:rsidRPr="00140B34">
        <w:t xml:space="preserve">II. Dejavnosti </w:t>
      </w:r>
      <w:r w:rsidR="007A06F5" w:rsidRPr="00140B34">
        <w:t>RS</w:t>
      </w:r>
      <w:r w:rsidRPr="00140B34">
        <w:t xml:space="preserve"> na Zahodnem Balkanu v letu 20</w:t>
      </w:r>
      <w:r w:rsidR="009241D6" w:rsidRPr="00140B34">
        <w:t>2</w:t>
      </w:r>
      <w:r w:rsidR="00AD427D">
        <w:t>5</w:t>
      </w:r>
      <w:r w:rsidRPr="00140B34">
        <w:t xml:space="preserve"> - uresničevanje Smernic za delovanje </w:t>
      </w:r>
      <w:r w:rsidR="00C321A6" w:rsidRPr="00140B34">
        <w:t>RS do Zahodnega Balkana</w:t>
      </w:r>
      <w:bookmarkEnd w:id="2"/>
      <w:r w:rsidR="00F0020A" w:rsidRPr="00140B34">
        <w:t xml:space="preserve"> </w:t>
      </w:r>
    </w:p>
    <w:p w14:paraId="5C1AD96F" w14:textId="77777777" w:rsidR="007E2996" w:rsidRPr="00140B34" w:rsidRDefault="007E2996" w:rsidP="00411064">
      <w:pPr>
        <w:spacing w:line="276" w:lineRule="auto"/>
        <w:rPr>
          <w:sz w:val="20"/>
          <w:szCs w:val="20"/>
          <w:highlight w:val="yellow"/>
        </w:rPr>
      </w:pPr>
    </w:p>
    <w:p w14:paraId="0D146061" w14:textId="77777777" w:rsidR="005547B0" w:rsidRPr="00140B34" w:rsidRDefault="005547B0" w:rsidP="00411064">
      <w:pPr>
        <w:spacing w:line="276" w:lineRule="auto"/>
        <w:rPr>
          <w:sz w:val="20"/>
          <w:szCs w:val="20"/>
        </w:rPr>
      </w:pPr>
      <w:r w:rsidRPr="00140B34">
        <w:rPr>
          <w:sz w:val="20"/>
          <w:szCs w:val="20"/>
        </w:rPr>
        <w:t xml:space="preserve">Smernice za delovanje </w:t>
      </w:r>
      <w:r w:rsidR="00863F0A" w:rsidRPr="00140B34">
        <w:rPr>
          <w:sz w:val="20"/>
          <w:szCs w:val="20"/>
        </w:rPr>
        <w:t>RS</w:t>
      </w:r>
      <w:r w:rsidR="007A06F5" w:rsidRPr="00140B34">
        <w:rPr>
          <w:sz w:val="20"/>
          <w:szCs w:val="20"/>
        </w:rPr>
        <w:t xml:space="preserve"> do Zahodnega Balkana</w:t>
      </w:r>
      <w:r w:rsidRPr="00140B34">
        <w:rPr>
          <w:sz w:val="20"/>
          <w:szCs w:val="20"/>
        </w:rPr>
        <w:t xml:space="preserve"> so tudi v letu 20</w:t>
      </w:r>
      <w:r w:rsidR="004D2D64" w:rsidRPr="00140B34">
        <w:rPr>
          <w:sz w:val="20"/>
          <w:szCs w:val="20"/>
        </w:rPr>
        <w:t>2</w:t>
      </w:r>
      <w:r w:rsidR="00DE1A87">
        <w:rPr>
          <w:sz w:val="20"/>
          <w:szCs w:val="20"/>
        </w:rPr>
        <w:t>5</w:t>
      </w:r>
      <w:r w:rsidRPr="00140B34">
        <w:rPr>
          <w:sz w:val="20"/>
          <w:szCs w:val="20"/>
        </w:rPr>
        <w:t xml:space="preserve"> predstavljale </w:t>
      </w:r>
      <w:r w:rsidR="00DD24E0" w:rsidRPr="00140B34">
        <w:rPr>
          <w:sz w:val="20"/>
          <w:szCs w:val="20"/>
        </w:rPr>
        <w:t xml:space="preserve">strateško usmeritev za delovanje do regije, tako v </w:t>
      </w:r>
      <w:r w:rsidRPr="00140B34">
        <w:rPr>
          <w:sz w:val="20"/>
          <w:szCs w:val="20"/>
        </w:rPr>
        <w:t xml:space="preserve">procesu načrtovanja </w:t>
      </w:r>
      <w:r w:rsidR="00DD24E0" w:rsidRPr="00140B34">
        <w:rPr>
          <w:sz w:val="20"/>
          <w:szCs w:val="20"/>
        </w:rPr>
        <w:t xml:space="preserve">kot tudi </w:t>
      </w:r>
      <w:r w:rsidRPr="00140B34">
        <w:rPr>
          <w:sz w:val="20"/>
          <w:szCs w:val="20"/>
        </w:rPr>
        <w:t xml:space="preserve">izvajanja konkretnih aktivnosti. </w:t>
      </w:r>
      <w:r w:rsidR="00DD24E0" w:rsidRPr="00140B34">
        <w:rPr>
          <w:sz w:val="20"/>
          <w:szCs w:val="20"/>
        </w:rPr>
        <w:t>RS je v vseh segmentih svojega delovanja zasledovala cilj</w:t>
      </w:r>
      <w:r w:rsidR="000D4C2A" w:rsidRPr="00140B34">
        <w:rPr>
          <w:sz w:val="20"/>
          <w:szCs w:val="20"/>
        </w:rPr>
        <w:t>e</w:t>
      </w:r>
      <w:r w:rsidR="00DD24E0" w:rsidRPr="00140B34">
        <w:rPr>
          <w:sz w:val="20"/>
          <w:szCs w:val="20"/>
        </w:rPr>
        <w:t xml:space="preserve"> krepitve in poglobitve odnosov z državami Zahodnega Balkana, poglobitve regionalnega sodelovanja med njimi in podpore približevanju in vključevanju</w:t>
      </w:r>
      <w:r w:rsidR="00A44963" w:rsidRPr="00140B34">
        <w:rPr>
          <w:sz w:val="20"/>
          <w:szCs w:val="20"/>
        </w:rPr>
        <w:t xml:space="preserve"> držav Zahodnega Balkana v evro</w:t>
      </w:r>
      <w:r w:rsidR="00DD24E0" w:rsidRPr="00140B34">
        <w:rPr>
          <w:sz w:val="20"/>
          <w:szCs w:val="20"/>
        </w:rPr>
        <w:t>atlantske povezave.</w:t>
      </w:r>
      <w:r w:rsidR="00762B01" w:rsidRPr="00140B34">
        <w:rPr>
          <w:sz w:val="20"/>
          <w:szCs w:val="20"/>
        </w:rPr>
        <w:t xml:space="preserve"> S tem je ustvarjala podlago za učinkovito reševanje </w:t>
      </w:r>
      <w:r w:rsidR="00CF1CD7" w:rsidRPr="00140B34">
        <w:rPr>
          <w:sz w:val="20"/>
          <w:szCs w:val="20"/>
        </w:rPr>
        <w:t>dvostranskih</w:t>
      </w:r>
      <w:r w:rsidR="00762B01" w:rsidRPr="00140B34">
        <w:rPr>
          <w:sz w:val="20"/>
          <w:szCs w:val="20"/>
        </w:rPr>
        <w:t xml:space="preserve"> vprašanj in zastopanje nacionalnih interesov RS.</w:t>
      </w:r>
    </w:p>
    <w:p w14:paraId="61C20FAD" w14:textId="77777777" w:rsidR="005547B0" w:rsidRPr="00140B34" w:rsidRDefault="005547B0" w:rsidP="00411064">
      <w:pPr>
        <w:spacing w:line="276" w:lineRule="auto"/>
        <w:rPr>
          <w:sz w:val="20"/>
          <w:szCs w:val="20"/>
        </w:rPr>
      </w:pPr>
    </w:p>
    <w:p w14:paraId="6CE040A7" w14:textId="77777777" w:rsidR="00A93E07" w:rsidRPr="00140B34" w:rsidRDefault="005547B0" w:rsidP="00411064">
      <w:pPr>
        <w:pStyle w:val="CommentText"/>
        <w:spacing w:line="276" w:lineRule="auto"/>
      </w:pPr>
      <w:r w:rsidRPr="00140B34">
        <w:t xml:space="preserve">Vsi </w:t>
      </w:r>
      <w:r w:rsidR="00DD24E0" w:rsidRPr="00140B34">
        <w:t xml:space="preserve">pristojni </w:t>
      </w:r>
      <w:r w:rsidRPr="00140B34">
        <w:t xml:space="preserve">organi </w:t>
      </w:r>
      <w:r w:rsidR="00863F0A" w:rsidRPr="00140B34">
        <w:t>RS</w:t>
      </w:r>
      <w:r w:rsidRPr="00140B34">
        <w:t xml:space="preserve"> so delovali v skladu z načelnimi izhodišči Smernic za de</w:t>
      </w:r>
      <w:r w:rsidR="00DD24E0" w:rsidRPr="00140B34">
        <w:t xml:space="preserve">lovanje RS </w:t>
      </w:r>
      <w:r w:rsidR="007A06F5" w:rsidRPr="00140B34">
        <w:t>do Zahodnega</w:t>
      </w:r>
      <w:r w:rsidR="00DD24E0" w:rsidRPr="00140B34">
        <w:t xml:space="preserve"> Balkan</w:t>
      </w:r>
      <w:r w:rsidR="007A06F5" w:rsidRPr="00140B34">
        <w:t>a</w:t>
      </w:r>
      <w:r w:rsidR="00DD24E0" w:rsidRPr="00140B34">
        <w:t>, na osnovi katerih je bil pripravljen Akcijski načrt za delovanje RS do Zahodnega Balkana v letu 20</w:t>
      </w:r>
      <w:r w:rsidR="009241D6" w:rsidRPr="00140B34">
        <w:t>2</w:t>
      </w:r>
      <w:r w:rsidR="00DE1A87">
        <w:t>5</w:t>
      </w:r>
      <w:r w:rsidR="00DD24E0" w:rsidRPr="00140B34">
        <w:t xml:space="preserve">. </w:t>
      </w:r>
    </w:p>
    <w:p w14:paraId="721D3A94" w14:textId="77777777" w:rsidR="00A93E07" w:rsidRPr="00140B34" w:rsidRDefault="00A93E07" w:rsidP="00411064">
      <w:pPr>
        <w:pStyle w:val="CommentText"/>
        <w:spacing w:line="276" w:lineRule="auto"/>
      </w:pPr>
    </w:p>
    <w:p w14:paraId="665D3FF7" w14:textId="77777777" w:rsidR="004B31C9" w:rsidRPr="00140B34" w:rsidRDefault="000E72C1" w:rsidP="00411064">
      <w:pPr>
        <w:pStyle w:val="CommentText"/>
        <w:spacing w:line="276" w:lineRule="auto"/>
      </w:pPr>
      <w:r>
        <w:rPr>
          <w:rFonts w:eastAsia="Calibri"/>
        </w:rPr>
        <w:t>MZEZ</w:t>
      </w:r>
      <w:r w:rsidR="00A93E07" w:rsidRPr="00140B34">
        <w:rPr>
          <w:rFonts w:eastAsia="Calibri"/>
        </w:rPr>
        <w:t xml:space="preserve"> je </w:t>
      </w:r>
      <w:r w:rsidR="00140B34" w:rsidRPr="00140B34">
        <w:rPr>
          <w:rFonts w:eastAsia="Calibri"/>
        </w:rPr>
        <w:t xml:space="preserve">maja in </w:t>
      </w:r>
      <w:r w:rsidR="00A93E07" w:rsidRPr="00140B34">
        <w:rPr>
          <w:rFonts w:eastAsia="Calibri"/>
        </w:rPr>
        <w:t>decembra sklicalo sestan</w:t>
      </w:r>
      <w:r w:rsidR="00140B34" w:rsidRPr="00140B34">
        <w:rPr>
          <w:rFonts w:eastAsia="Calibri"/>
        </w:rPr>
        <w:t>ek</w:t>
      </w:r>
      <w:r w:rsidR="00A93E07" w:rsidRPr="00140B34">
        <w:rPr>
          <w:rFonts w:eastAsia="Calibri"/>
        </w:rPr>
        <w:t xml:space="preserve"> Koordinacijskega odbora za Zahodni Balkan. </w:t>
      </w:r>
      <w:r w:rsidR="005625D1" w:rsidRPr="00140B34">
        <w:rPr>
          <w:rFonts w:eastAsia="Calibri"/>
        </w:rPr>
        <w:t>O</w:t>
      </w:r>
      <w:r w:rsidR="00A93E07" w:rsidRPr="00140B34">
        <w:t>bravnavan</w:t>
      </w:r>
      <w:r w:rsidR="00DE1A87">
        <w:t>a</w:t>
      </w:r>
      <w:r w:rsidR="00A93E07" w:rsidRPr="00140B34">
        <w:t xml:space="preserve"> </w:t>
      </w:r>
      <w:r w:rsidR="005625D1" w:rsidRPr="00140B34">
        <w:t>je bil</w:t>
      </w:r>
      <w:r w:rsidR="00DE1A87">
        <w:t>a</w:t>
      </w:r>
      <w:r w:rsidR="005625D1" w:rsidRPr="00140B34">
        <w:t xml:space="preserve"> </w:t>
      </w:r>
      <w:r w:rsidR="00A93E07" w:rsidRPr="00140B34">
        <w:t>širit</w:t>
      </w:r>
      <w:r w:rsidR="00AD427D">
        <w:t>ev</w:t>
      </w:r>
      <w:r w:rsidR="00DE1A87">
        <w:t xml:space="preserve"> </w:t>
      </w:r>
      <w:r w:rsidR="00AD03D9">
        <w:t>Evropske Unije (</w:t>
      </w:r>
      <w:r w:rsidR="00DE1A87">
        <w:t>EU</w:t>
      </w:r>
      <w:r w:rsidR="00AD03D9">
        <w:t>)</w:t>
      </w:r>
      <w:r w:rsidR="00DE1A87">
        <w:t xml:space="preserve"> na Zahodni Balkan</w:t>
      </w:r>
      <w:r w:rsidR="00A93E07" w:rsidRPr="00140B34">
        <w:t xml:space="preserve"> ter razmere v državah </w:t>
      </w:r>
      <w:r w:rsidR="00DE1A87">
        <w:t>regije</w:t>
      </w:r>
      <w:r w:rsidR="00A93E07" w:rsidRPr="00140B34">
        <w:t>, predstavljeni so bili dogodki v okviru Brdo-Brijuni procesa in Berlinskega procesa</w:t>
      </w:r>
      <w:r w:rsidR="00DE1A87">
        <w:t xml:space="preserve">, </w:t>
      </w:r>
      <w:r w:rsidR="00A93E07" w:rsidRPr="00140B34">
        <w:t>stanje glede Sporazuma o vprašanjih nasledstva</w:t>
      </w:r>
      <w:r w:rsidR="00DE1A87">
        <w:t xml:space="preserve"> ter ključni izsledki projekta Converge2EU</w:t>
      </w:r>
      <w:r w:rsidR="00A93E07" w:rsidRPr="00140B34">
        <w:t>. Posebna pozo</w:t>
      </w:r>
      <w:r w:rsidR="005625D1" w:rsidRPr="00140B34">
        <w:t>rnost je bila dana pomoči in po</w:t>
      </w:r>
      <w:r w:rsidR="00A93E07" w:rsidRPr="00140B34">
        <w:t>dpori državam Zahodnega Balkana pri približevanju EU</w:t>
      </w:r>
      <w:r w:rsidR="00140B34">
        <w:t xml:space="preserve">. </w:t>
      </w:r>
      <w:r w:rsidR="00A93E07" w:rsidRPr="00140B34">
        <w:t xml:space="preserve">Resorji so </w:t>
      </w:r>
      <w:r w:rsidR="00140B34">
        <w:t xml:space="preserve">na sestankih Koordinacijskega odbora za Zahodni Balkan </w:t>
      </w:r>
      <w:r w:rsidR="00A93E07" w:rsidRPr="00140B34">
        <w:t>poročali o dejavnostih na svojih delovnih področjih.</w:t>
      </w:r>
    </w:p>
    <w:p w14:paraId="226BDED8" w14:textId="77777777" w:rsidR="00A93E07" w:rsidRPr="00140B34" w:rsidRDefault="00A93E07" w:rsidP="00411064">
      <w:pPr>
        <w:spacing w:line="276" w:lineRule="auto"/>
        <w:rPr>
          <w:sz w:val="20"/>
          <w:szCs w:val="20"/>
          <w:highlight w:val="yellow"/>
        </w:rPr>
      </w:pPr>
    </w:p>
    <w:p w14:paraId="1F50BE77" w14:textId="77777777" w:rsidR="00A93E07" w:rsidRPr="00140B34" w:rsidRDefault="00A93E07" w:rsidP="00411064">
      <w:pPr>
        <w:spacing w:line="276" w:lineRule="auto"/>
        <w:rPr>
          <w:sz w:val="20"/>
          <w:szCs w:val="20"/>
          <w:highlight w:val="yellow"/>
        </w:rPr>
      </w:pPr>
    </w:p>
    <w:p w14:paraId="77A7A555" w14:textId="77777777" w:rsidR="005547B0" w:rsidRPr="00140B34" w:rsidRDefault="005547B0" w:rsidP="00411064">
      <w:pPr>
        <w:pStyle w:val="Heading2"/>
        <w:rPr>
          <w:highlight w:val="yellow"/>
        </w:rPr>
      </w:pPr>
      <w:bookmarkStart w:id="3" w:name="_Toc227227961"/>
      <w:r w:rsidRPr="00140B34">
        <w:t>Krepitev političnega sodelovanja z državami Zahodnega Balkana</w:t>
      </w:r>
      <w:bookmarkEnd w:id="3"/>
    </w:p>
    <w:p w14:paraId="757EA05E" w14:textId="77777777" w:rsidR="006B2695" w:rsidRDefault="006B2695" w:rsidP="00411064">
      <w:pPr>
        <w:spacing w:line="276" w:lineRule="auto"/>
        <w:rPr>
          <w:sz w:val="20"/>
          <w:szCs w:val="20"/>
        </w:rPr>
      </w:pPr>
    </w:p>
    <w:p w14:paraId="15DB24F8" w14:textId="77777777" w:rsidR="006B2695" w:rsidRDefault="006B2695" w:rsidP="00411064">
      <w:pPr>
        <w:spacing w:line="276" w:lineRule="auto"/>
        <w:rPr>
          <w:sz w:val="20"/>
          <w:szCs w:val="20"/>
        </w:rPr>
      </w:pPr>
      <w:r>
        <w:rPr>
          <w:sz w:val="20"/>
          <w:szCs w:val="20"/>
        </w:rPr>
        <w:t xml:space="preserve">V letu 2025 so se nadaljevali intenzivni stiki RS z državami Zahodnega Balkana. </w:t>
      </w:r>
    </w:p>
    <w:p w14:paraId="13260A73" w14:textId="77777777" w:rsidR="006B2695" w:rsidRDefault="006B2695" w:rsidP="00411064">
      <w:pPr>
        <w:spacing w:line="276" w:lineRule="auto"/>
        <w:rPr>
          <w:sz w:val="20"/>
          <w:szCs w:val="20"/>
          <w:highlight w:val="yellow"/>
        </w:rPr>
      </w:pPr>
    </w:p>
    <w:p w14:paraId="356B94C7" w14:textId="77777777" w:rsidR="006B2695" w:rsidRDefault="006B2695" w:rsidP="00411064">
      <w:pPr>
        <w:spacing w:line="276" w:lineRule="auto"/>
        <w:rPr>
          <w:b/>
          <w:sz w:val="20"/>
          <w:szCs w:val="20"/>
        </w:rPr>
      </w:pPr>
      <w:r>
        <w:rPr>
          <w:b/>
          <w:sz w:val="20"/>
          <w:szCs w:val="20"/>
        </w:rPr>
        <w:t xml:space="preserve">Albanija: </w:t>
      </w:r>
      <w:r>
        <w:rPr>
          <w:bCs/>
          <w:sz w:val="20"/>
          <w:szCs w:val="20"/>
        </w:rPr>
        <w:t>Septembra sta se 20. Blejskega strateškega foruma</w:t>
      </w:r>
      <w:r w:rsidR="000B536F">
        <w:rPr>
          <w:bCs/>
          <w:sz w:val="20"/>
          <w:szCs w:val="20"/>
        </w:rPr>
        <w:t xml:space="preserve"> (BSF)</w:t>
      </w:r>
      <w:r>
        <w:rPr>
          <w:bCs/>
          <w:sz w:val="20"/>
          <w:szCs w:val="20"/>
        </w:rPr>
        <w:t xml:space="preserve"> udeležila predsednik vlade Edi Rama in takratni minister za Evropo in zunanje zadeve Igli Hasani.</w:t>
      </w:r>
    </w:p>
    <w:p w14:paraId="7B375634" w14:textId="77777777" w:rsidR="006B2695" w:rsidRPr="006B2695" w:rsidRDefault="006B2695" w:rsidP="00411064">
      <w:pPr>
        <w:spacing w:line="276" w:lineRule="auto"/>
        <w:rPr>
          <w:sz w:val="20"/>
          <w:szCs w:val="20"/>
          <w:highlight w:val="lightGray"/>
        </w:rPr>
      </w:pPr>
    </w:p>
    <w:p w14:paraId="14F306C6" w14:textId="77777777" w:rsidR="006B2695" w:rsidRDefault="006B2695" w:rsidP="00411064">
      <w:pPr>
        <w:spacing w:line="276" w:lineRule="auto"/>
        <w:rPr>
          <w:sz w:val="20"/>
          <w:szCs w:val="20"/>
        </w:rPr>
      </w:pPr>
      <w:r>
        <w:rPr>
          <w:b/>
          <w:sz w:val="20"/>
          <w:szCs w:val="20"/>
        </w:rPr>
        <w:t>Bosna in Hercegovina (</w:t>
      </w:r>
      <w:r w:rsidR="00945E65">
        <w:rPr>
          <w:b/>
          <w:sz w:val="20"/>
          <w:szCs w:val="20"/>
        </w:rPr>
        <w:t>BiH</w:t>
      </w:r>
      <w:r>
        <w:rPr>
          <w:b/>
          <w:sz w:val="20"/>
          <w:szCs w:val="20"/>
        </w:rPr>
        <w:t>):</w:t>
      </w:r>
      <w:r>
        <w:rPr>
          <w:sz w:val="20"/>
          <w:szCs w:val="20"/>
        </w:rPr>
        <w:t xml:space="preserve"> Predsednica </w:t>
      </w:r>
      <w:r w:rsidR="000B536F">
        <w:rPr>
          <w:sz w:val="20"/>
          <w:szCs w:val="20"/>
        </w:rPr>
        <w:t>RS</w:t>
      </w:r>
      <w:r>
        <w:rPr>
          <w:sz w:val="20"/>
          <w:szCs w:val="20"/>
        </w:rPr>
        <w:t xml:space="preserve"> Nataša Pirc Musar se je 11. </w:t>
      </w:r>
      <w:r w:rsidR="00ED66AE">
        <w:rPr>
          <w:sz w:val="20"/>
          <w:szCs w:val="20"/>
        </w:rPr>
        <w:t>julija</w:t>
      </w:r>
      <w:r>
        <w:rPr>
          <w:sz w:val="20"/>
          <w:szCs w:val="20"/>
        </w:rPr>
        <w:t xml:space="preserve"> 2025 na povabilo članov Predsedstva </w:t>
      </w:r>
      <w:r w:rsidR="00945E65">
        <w:rPr>
          <w:sz w:val="20"/>
          <w:szCs w:val="20"/>
        </w:rPr>
        <w:t>BiH</w:t>
      </w:r>
      <w:r>
        <w:rPr>
          <w:sz w:val="20"/>
          <w:szCs w:val="20"/>
        </w:rPr>
        <w:t xml:space="preserve"> udeležila komemoracije ob 30. obletnici genocida v Srebrenici. Minister za zunanje zadeve </w:t>
      </w:r>
      <w:r w:rsidR="00945E65">
        <w:rPr>
          <w:sz w:val="20"/>
          <w:szCs w:val="20"/>
        </w:rPr>
        <w:t>BiH</w:t>
      </w:r>
      <w:r>
        <w:rPr>
          <w:sz w:val="20"/>
          <w:szCs w:val="20"/>
        </w:rPr>
        <w:t xml:space="preserve"> Elmedin Konaković se je udeležil </w:t>
      </w:r>
      <w:r w:rsidR="000B536F">
        <w:rPr>
          <w:sz w:val="20"/>
          <w:szCs w:val="20"/>
        </w:rPr>
        <w:t>BSF</w:t>
      </w:r>
      <w:r>
        <w:rPr>
          <w:sz w:val="20"/>
          <w:szCs w:val="20"/>
        </w:rPr>
        <w:t xml:space="preserve"> 2025. Ministrica za zunanje in evropske zadeve Tanja Fajon je 6.</w:t>
      </w:r>
      <w:r w:rsidR="007E5FDE">
        <w:rPr>
          <w:sz w:val="20"/>
          <w:szCs w:val="20"/>
        </w:rPr>
        <w:t xml:space="preserve"> aprila </w:t>
      </w:r>
      <w:r>
        <w:rPr>
          <w:sz w:val="20"/>
          <w:szCs w:val="20"/>
        </w:rPr>
        <w:t xml:space="preserve">2025 prejela nagrado Ključ mesta Sarajevo. </w:t>
      </w:r>
    </w:p>
    <w:p w14:paraId="4A579366" w14:textId="77777777" w:rsidR="006B2695" w:rsidRPr="006B2695" w:rsidRDefault="006B2695" w:rsidP="00411064">
      <w:pPr>
        <w:spacing w:line="276" w:lineRule="auto"/>
        <w:rPr>
          <w:sz w:val="20"/>
          <w:szCs w:val="20"/>
          <w:highlight w:val="lightGray"/>
        </w:rPr>
      </w:pPr>
    </w:p>
    <w:p w14:paraId="1CBE961C" w14:textId="77777777" w:rsidR="006B2695" w:rsidRDefault="006B2695" w:rsidP="00411064">
      <w:pPr>
        <w:spacing w:line="276" w:lineRule="auto"/>
        <w:rPr>
          <w:rFonts w:eastAsia="Calibri"/>
          <w:color w:val="000000"/>
          <w:sz w:val="20"/>
          <w:szCs w:val="20"/>
          <w:lang w:eastAsia="sl-SI"/>
        </w:rPr>
      </w:pPr>
      <w:r>
        <w:rPr>
          <w:b/>
          <w:sz w:val="20"/>
          <w:szCs w:val="20"/>
        </w:rPr>
        <w:t>Črna gora:</w:t>
      </w:r>
      <w:r>
        <w:rPr>
          <w:sz w:val="20"/>
          <w:szCs w:val="20"/>
        </w:rPr>
        <w:t xml:space="preserve"> Predsednik Državnega sveta </w:t>
      </w:r>
      <w:r w:rsidR="000B536F">
        <w:rPr>
          <w:sz w:val="20"/>
          <w:szCs w:val="20"/>
        </w:rPr>
        <w:t>RS</w:t>
      </w:r>
      <w:r>
        <w:rPr>
          <w:sz w:val="20"/>
          <w:szCs w:val="20"/>
        </w:rPr>
        <w:t xml:space="preserve"> Marko Lotrič se je sredi junija srečal s predsednikom Skupščine Črne gore Andrijo Mandićem. </w:t>
      </w:r>
      <w:r>
        <w:rPr>
          <w:rFonts w:eastAsia="Calibri"/>
          <w:color w:val="000000"/>
          <w:sz w:val="20"/>
          <w:szCs w:val="20"/>
          <w:lang w:eastAsia="sl-SI"/>
        </w:rPr>
        <w:t xml:space="preserve">Predsednica Nataša Pirc Musar in predsednik Črne gore Jakov Milatović sta se srečala ob robu </w:t>
      </w:r>
      <w:r w:rsidR="000B536F">
        <w:rPr>
          <w:rFonts w:eastAsia="Calibri"/>
          <w:color w:val="000000"/>
          <w:sz w:val="20"/>
          <w:szCs w:val="20"/>
          <w:lang w:eastAsia="sl-SI"/>
        </w:rPr>
        <w:t>BSF</w:t>
      </w:r>
      <w:r>
        <w:rPr>
          <w:rFonts w:eastAsia="Calibri"/>
          <w:color w:val="000000"/>
          <w:sz w:val="20"/>
          <w:szCs w:val="20"/>
          <w:lang w:eastAsia="sl-SI"/>
        </w:rPr>
        <w:t>.</w:t>
      </w:r>
    </w:p>
    <w:p w14:paraId="569172C8" w14:textId="77777777" w:rsidR="006B2695" w:rsidRPr="006B2695" w:rsidRDefault="006B2695" w:rsidP="00411064">
      <w:pPr>
        <w:spacing w:line="276" w:lineRule="auto"/>
        <w:rPr>
          <w:rFonts w:eastAsia="Calibri"/>
          <w:color w:val="000000"/>
          <w:sz w:val="20"/>
          <w:szCs w:val="20"/>
          <w:highlight w:val="lightGray"/>
          <w:lang w:eastAsia="sl-SI"/>
        </w:rPr>
      </w:pPr>
      <w:r w:rsidRPr="006B2695">
        <w:rPr>
          <w:rFonts w:eastAsia="Calibri"/>
          <w:color w:val="000000"/>
          <w:sz w:val="20"/>
          <w:szCs w:val="20"/>
          <w:highlight w:val="lightGray"/>
          <w:lang w:eastAsia="sl-SI"/>
        </w:rPr>
        <w:t xml:space="preserve"> </w:t>
      </w:r>
    </w:p>
    <w:p w14:paraId="24ED4EDB" w14:textId="77777777" w:rsidR="006B2695" w:rsidRPr="006B2695" w:rsidRDefault="006B2695" w:rsidP="00411064">
      <w:pPr>
        <w:autoSpaceDE w:val="0"/>
        <w:autoSpaceDN w:val="0"/>
        <w:adjustRightInd w:val="0"/>
        <w:spacing w:line="276" w:lineRule="auto"/>
        <w:rPr>
          <w:rFonts w:eastAsia="Calibri"/>
          <w:color w:val="000000"/>
          <w:sz w:val="20"/>
          <w:szCs w:val="20"/>
          <w:highlight w:val="lightGray"/>
          <w:lang w:eastAsia="sl-SI"/>
        </w:rPr>
      </w:pPr>
      <w:r>
        <w:rPr>
          <w:rFonts w:eastAsia="Calibri"/>
          <w:b/>
          <w:color w:val="000000"/>
          <w:sz w:val="20"/>
          <w:szCs w:val="20"/>
          <w:lang w:eastAsia="sl-SI"/>
        </w:rPr>
        <w:lastRenderedPageBreak/>
        <w:t>Kosovo:</w:t>
      </w:r>
      <w:r>
        <w:rPr>
          <w:rFonts w:eastAsia="Calibri"/>
          <w:color w:val="000000"/>
          <w:sz w:val="20"/>
          <w:szCs w:val="20"/>
          <w:lang w:eastAsia="sl-SI"/>
        </w:rPr>
        <w:t xml:space="preserve"> Ministrica za zunanje in evropske zadeve Tanja Fajon se je ob robu </w:t>
      </w:r>
      <w:r w:rsidR="000B536F">
        <w:rPr>
          <w:rFonts w:eastAsia="Calibri"/>
          <w:color w:val="000000"/>
          <w:sz w:val="20"/>
          <w:szCs w:val="20"/>
          <w:lang w:eastAsia="sl-SI"/>
        </w:rPr>
        <w:t>BSF</w:t>
      </w:r>
      <w:r>
        <w:rPr>
          <w:rFonts w:eastAsia="Calibri"/>
          <w:color w:val="000000"/>
          <w:sz w:val="20"/>
          <w:szCs w:val="20"/>
          <w:lang w:eastAsia="sl-SI"/>
        </w:rPr>
        <w:t xml:space="preserve"> </w:t>
      </w:r>
      <w:r w:rsidR="00A7319F">
        <w:rPr>
          <w:rFonts w:eastAsia="Calibri"/>
          <w:color w:val="000000"/>
          <w:sz w:val="20"/>
          <w:szCs w:val="20"/>
          <w:lang w:eastAsia="sl-SI"/>
        </w:rPr>
        <w:t xml:space="preserve">srečala </w:t>
      </w:r>
      <w:r>
        <w:rPr>
          <w:rFonts w:eastAsia="Calibri"/>
          <w:color w:val="000000"/>
          <w:sz w:val="20"/>
          <w:szCs w:val="20"/>
          <w:lang w:eastAsia="sl-SI"/>
        </w:rPr>
        <w:t xml:space="preserve">s kosovsko ministrico za zunanje zadeve in diasporo Doniko Gërvalla-Schwarz, oktobra pa sta se ob robu zasedanja Parlamentarne skupščine NATO v Ljubljani srečali predsednica Nataša Pirc Musar in Vjosa Osmani </w:t>
      </w:r>
      <w:proofErr w:type="spellStart"/>
      <w:r>
        <w:rPr>
          <w:rFonts w:eastAsia="Calibri"/>
          <w:color w:val="000000"/>
          <w:sz w:val="20"/>
          <w:szCs w:val="20"/>
          <w:lang w:eastAsia="sl-SI"/>
        </w:rPr>
        <w:t>Sadriu</w:t>
      </w:r>
      <w:proofErr w:type="spellEnd"/>
      <w:r>
        <w:rPr>
          <w:rFonts w:eastAsia="Calibri"/>
          <w:color w:val="000000"/>
          <w:sz w:val="20"/>
          <w:szCs w:val="20"/>
          <w:lang w:eastAsia="sl-SI"/>
        </w:rPr>
        <w:t>, predsednica Kosov</w:t>
      </w:r>
      <w:r w:rsidR="0081145E">
        <w:rPr>
          <w:rFonts w:eastAsia="Calibri"/>
          <w:color w:val="000000"/>
          <w:sz w:val="20"/>
          <w:szCs w:val="20"/>
          <w:lang w:eastAsia="sl-SI"/>
        </w:rPr>
        <w:t>a</w:t>
      </w:r>
      <w:r>
        <w:rPr>
          <w:rFonts w:eastAsia="Calibri"/>
          <w:color w:val="000000"/>
          <w:sz w:val="20"/>
          <w:szCs w:val="20"/>
          <w:lang w:eastAsia="sl-SI"/>
        </w:rPr>
        <w:t xml:space="preserve">. </w:t>
      </w:r>
    </w:p>
    <w:p w14:paraId="3EF6E620" w14:textId="77777777" w:rsidR="006B2695" w:rsidRPr="006B2695" w:rsidRDefault="006B2695" w:rsidP="00411064">
      <w:pPr>
        <w:spacing w:line="276" w:lineRule="auto"/>
        <w:rPr>
          <w:rFonts w:eastAsia="Calibri"/>
          <w:color w:val="000000"/>
          <w:sz w:val="20"/>
          <w:szCs w:val="20"/>
          <w:highlight w:val="lightGray"/>
          <w:lang w:eastAsia="sl-SI"/>
        </w:rPr>
      </w:pPr>
    </w:p>
    <w:p w14:paraId="20E726CE" w14:textId="77777777" w:rsidR="006B2695" w:rsidRDefault="006B2695" w:rsidP="00411064">
      <w:pPr>
        <w:spacing w:line="276" w:lineRule="auto"/>
        <w:rPr>
          <w:rFonts w:eastAsia="Calibri"/>
          <w:color w:val="000000"/>
          <w:sz w:val="20"/>
          <w:szCs w:val="20"/>
          <w:lang w:eastAsia="sl-SI"/>
        </w:rPr>
      </w:pPr>
      <w:r>
        <w:rPr>
          <w:rFonts w:eastAsia="Calibri"/>
          <w:b/>
          <w:color w:val="000000"/>
          <w:sz w:val="20"/>
          <w:szCs w:val="20"/>
          <w:lang w:eastAsia="sl-SI"/>
        </w:rPr>
        <w:t>Severna Makedonija:</w:t>
      </w:r>
      <w:r>
        <w:rPr>
          <w:rFonts w:eastAsia="Calibri"/>
          <w:color w:val="000000"/>
          <w:sz w:val="20"/>
          <w:szCs w:val="20"/>
          <w:lang w:eastAsia="sl-SI"/>
        </w:rPr>
        <w:t xml:space="preserve"> Aprila je bila predsednica državnega zbora Urška Klakočar Zupančič na uradnem obisku v Severni Makedoniji. V začetku septembra pa sta se ob robu </w:t>
      </w:r>
      <w:r w:rsidR="000B536F">
        <w:rPr>
          <w:rFonts w:eastAsia="Calibri"/>
          <w:color w:val="000000"/>
          <w:sz w:val="20"/>
          <w:szCs w:val="20"/>
          <w:lang w:eastAsia="sl-SI"/>
        </w:rPr>
        <w:t>BSF</w:t>
      </w:r>
      <w:r>
        <w:rPr>
          <w:rFonts w:eastAsia="Calibri"/>
          <w:color w:val="000000"/>
          <w:sz w:val="20"/>
          <w:szCs w:val="20"/>
          <w:lang w:eastAsia="sl-SI"/>
        </w:rPr>
        <w:t xml:space="preserve"> sestala ministrica za zunanje in evropske zadeve Tanja Fajon in minister za zunanje zadeve in zunanjo trgovino Timčo Mucunski. </w:t>
      </w:r>
    </w:p>
    <w:p w14:paraId="5EC863C2" w14:textId="77777777" w:rsidR="006B2695" w:rsidRPr="006B2695" w:rsidRDefault="006B2695" w:rsidP="00411064">
      <w:pPr>
        <w:spacing w:line="276" w:lineRule="auto"/>
        <w:rPr>
          <w:rFonts w:eastAsia="Calibri"/>
          <w:color w:val="000000"/>
          <w:sz w:val="20"/>
          <w:szCs w:val="20"/>
          <w:highlight w:val="lightGray"/>
          <w:lang w:eastAsia="sl-SI"/>
        </w:rPr>
      </w:pPr>
    </w:p>
    <w:p w14:paraId="48A7E8C9" w14:textId="77777777" w:rsidR="006B2695" w:rsidRPr="006B2695" w:rsidRDefault="006B2695" w:rsidP="00411064">
      <w:pPr>
        <w:spacing w:line="276" w:lineRule="auto"/>
        <w:rPr>
          <w:rFonts w:eastAsia="Calibri"/>
          <w:b/>
          <w:color w:val="000000"/>
          <w:sz w:val="20"/>
          <w:szCs w:val="20"/>
          <w:highlight w:val="lightGray"/>
          <w:lang w:eastAsia="sl-SI"/>
        </w:rPr>
      </w:pPr>
      <w:r>
        <w:rPr>
          <w:rFonts w:eastAsia="Calibri"/>
          <w:b/>
          <w:color w:val="000000"/>
          <w:sz w:val="20"/>
          <w:szCs w:val="20"/>
          <w:lang w:eastAsia="sl-SI"/>
        </w:rPr>
        <w:t>Srbija</w:t>
      </w:r>
      <w:r>
        <w:rPr>
          <w:rFonts w:eastAsia="Calibri"/>
          <w:bCs/>
          <w:color w:val="000000"/>
          <w:sz w:val="20"/>
          <w:szCs w:val="20"/>
          <w:lang w:eastAsia="sl-SI"/>
        </w:rPr>
        <w:t xml:space="preserve">: Minister za zunanje zadeve Marko Đurić se je udeležil </w:t>
      </w:r>
      <w:r w:rsidR="000B536F">
        <w:rPr>
          <w:rFonts w:eastAsia="Calibri"/>
          <w:bCs/>
          <w:color w:val="000000"/>
          <w:sz w:val="20"/>
          <w:szCs w:val="20"/>
          <w:lang w:eastAsia="sl-SI"/>
        </w:rPr>
        <w:t>BSF</w:t>
      </w:r>
      <w:r>
        <w:rPr>
          <w:rFonts w:eastAsia="Calibri"/>
          <w:bCs/>
          <w:color w:val="000000"/>
          <w:sz w:val="20"/>
          <w:szCs w:val="20"/>
          <w:lang w:eastAsia="sl-SI"/>
        </w:rPr>
        <w:t xml:space="preserve"> 2025.</w:t>
      </w:r>
    </w:p>
    <w:p w14:paraId="6C9A42A8" w14:textId="77777777" w:rsidR="00345D85" w:rsidRPr="00DF07FD" w:rsidRDefault="00345D85" w:rsidP="00411064">
      <w:pPr>
        <w:spacing w:line="276" w:lineRule="auto"/>
        <w:rPr>
          <w:sz w:val="20"/>
          <w:szCs w:val="20"/>
        </w:rPr>
      </w:pPr>
    </w:p>
    <w:p w14:paraId="74FC067D" w14:textId="77777777" w:rsidR="009F4084" w:rsidRPr="00DF07FD" w:rsidRDefault="009F4084" w:rsidP="00411064">
      <w:pPr>
        <w:spacing w:line="276" w:lineRule="auto"/>
        <w:rPr>
          <w:sz w:val="20"/>
          <w:szCs w:val="20"/>
        </w:rPr>
      </w:pPr>
    </w:p>
    <w:p w14:paraId="0391D323" w14:textId="77777777" w:rsidR="00B74A8A" w:rsidRPr="00DF07FD" w:rsidRDefault="00B74A8A" w:rsidP="00411064">
      <w:pPr>
        <w:pStyle w:val="Heading3"/>
        <w:numPr>
          <w:ilvl w:val="1"/>
          <w:numId w:val="2"/>
        </w:numPr>
        <w:rPr>
          <w:i w:val="0"/>
        </w:rPr>
      </w:pPr>
      <w:bookmarkStart w:id="4" w:name="_Toc227227962"/>
      <w:r w:rsidRPr="00DF07FD">
        <w:rPr>
          <w:i w:val="0"/>
        </w:rPr>
        <w:t xml:space="preserve">Prizadevanja </w:t>
      </w:r>
      <w:r w:rsidR="00C321A6" w:rsidRPr="00DF07FD">
        <w:rPr>
          <w:i w:val="0"/>
        </w:rPr>
        <w:t>RS</w:t>
      </w:r>
      <w:r w:rsidRPr="00DF07FD">
        <w:rPr>
          <w:i w:val="0"/>
        </w:rPr>
        <w:t xml:space="preserve"> za reševanje odprtih vprašanj na področju nasledstva</w:t>
      </w:r>
      <w:bookmarkEnd w:id="4"/>
      <w:r w:rsidRPr="00DF07FD">
        <w:rPr>
          <w:i w:val="0"/>
        </w:rPr>
        <w:t xml:space="preserve"> </w:t>
      </w:r>
    </w:p>
    <w:p w14:paraId="0C5DA495" w14:textId="77777777" w:rsidR="006054CA" w:rsidRPr="00DF07FD" w:rsidRDefault="006054CA" w:rsidP="00411064">
      <w:pPr>
        <w:spacing w:line="276" w:lineRule="auto"/>
        <w:rPr>
          <w:rFonts w:eastAsia="Calibri"/>
          <w:sz w:val="20"/>
          <w:szCs w:val="20"/>
        </w:rPr>
      </w:pPr>
    </w:p>
    <w:p w14:paraId="7F7FAAD0" w14:textId="77777777" w:rsidR="00682FE3" w:rsidRPr="00682FE3" w:rsidRDefault="00682FE3" w:rsidP="00411064">
      <w:pPr>
        <w:spacing w:line="276" w:lineRule="auto"/>
        <w:rPr>
          <w:rFonts w:eastAsia="Calibri"/>
          <w:sz w:val="20"/>
          <w:szCs w:val="20"/>
        </w:rPr>
      </w:pPr>
      <w:r w:rsidRPr="00682FE3">
        <w:rPr>
          <w:rFonts w:eastAsia="Calibri"/>
          <w:sz w:val="20"/>
          <w:szCs w:val="20"/>
        </w:rPr>
        <w:t xml:space="preserve">Leto 2025 ni prineslo preboja na področju reševanja preostalih odprtih vprašanj na področju nasledstva. </w:t>
      </w:r>
      <w:r w:rsidR="00DE1A87">
        <w:rPr>
          <w:rFonts w:eastAsia="Calibri"/>
          <w:sz w:val="20"/>
          <w:szCs w:val="20"/>
        </w:rPr>
        <w:t>RS</w:t>
      </w:r>
      <w:r w:rsidR="00DE1A87" w:rsidRPr="00682FE3">
        <w:rPr>
          <w:rFonts w:eastAsia="Calibri"/>
          <w:sz w:val="20"/>
          <w:szCs w:val="20"/>
        </w:rPr>
        <w:t xml:space="preserve"> </w:t>
      </w:r>
      <w:r w:rsidRPr="00682FE3">
        <w:rPr>
          <w:rFonts w:eastAsia="Calibri"/>
          <w:sz w:val="20"/>
          <w:szCs w:val="20"/>
        </w:rPr>
        <w:t xml:space="preserve">si je podobno, kot v preteklih letih, intenzivno prizadevala za napredek, vendar je v večini primerov umanjkal konstruktivni odziv drugih držav naslednic. Eden od glavnih razlogov za izostanek rezultatov je odsotnost formalnih zasedanj delovnih teles, ustanovljenih s sporazumom o vprašanjih nasledstva. </w:t>
      </w:r>
    </w:p>
    <w:p w14:paraId="5FC8E0BA" w14:textId="77777777" w:rsidR="00682FE3" w:rsidRPr="00682FE3" w:rsidRDefault="00682FE3" w:rsidP="00411064">
      <w:pPr>
        <w:spacing w:line="276" w:lineRule="auto"/>
        <w:rPr>
          <w:rFonts w:eastAsia="Calibri"/>
          <w:sz w:val="20"/>
          <w:szCs w:val="20"/>
        </w:rPr>
      </w:pPr>
    </w:p>
    <w:p w14:paraId="38622074" w14:textId="77777777" w:rsidR="00682FE3" w:rsidRPr="00682FE3" w:rsidRDefault="00682FE3" w:rsidP="00411064">
      <w:pPr>
        <w:spacing w:line="276" w:lineRule="auto"/>
        <w:rPr>
          <w:rFonts w:eastAsia="Calibri"/>
          <w:sz w:val="20"/>
          <w:szCs w:val="20"/>
        </w:rPr>
      </w:pPr>
      <w:r w:rsidRPr="00682FE3">
        <w:rPr>
          <w:rFonts w:eastAsia="Calibri"/>
          <w:sz w:val="20"/>
          <w:szCs w:val="20"/>
        </w:rPr>
        <w:t xml:space="preserve">Ob robu zasedanja Generalne skupščine </w:t>
      </w:r>
      <w:r w:rsidR="003E45E4">
        <w:rPr>
          <w:rFonts w:eastAsia="Calibri"/>
          <w:sz w:val="20"/>
          <w:szCs w:val="20"/>
        </w:rPr>
        <w:t>Združenih narodov</w:t>
      </w:r>
      <w:r w:rsidR="000B536F">
        <w:rPr>
          <w:rFonts w:eastAsia="Calibri"/>
          <w:sz w:val="20"/>
          <w:szCs w:val="20"/>
        </w:rPr>
        <w:t xml:space="preserve"> (</w:t>
      </w:r>
      <w:r w:rsidR="003D7A51">
        <w:rPr>
          <w:rFonts w:eastAsia="Calibri"/>
          <w:sz w:val="20"/>
          <w:szCs w:val="20"/>
        </w:rPr>
        <w:t xml:space="preserve">GS </w:t>
      </w:r>
      <w:r w:rsidR="008A137C">
        <w:rPr>
          <w:rFonts w:eastAsia="Calibri"/>
          <w:sz w:val="20"/>
          <w:szCs w:val="20"/>
        </w:rPr>
        <w:t>O</w:t>
      </w:r>
      <w:r w:rsidR="000B536F">
        <w:rPr>
          <w:rFonts w:eastAsia="Calibri"/>
          <w:sz w:val="20"/>
          <w:szCs w:val="20"/>
        </w:rPr>
        <w:t>ZN)</w:t>
      </w:r>
      <w:r w:rsidRPr="00682FE3">
        <w:rPr>
          <w:rFonts w:eastAsia="Calibri"/>
          <w:sz w:val="20"/>
          <w:szCs w:val="20"/>
        </w:rPr>
        <w:t xml:space="preserve"> septembra 2025 je Hrvaška sicer organizirala srečanje ministrov za zunanje zadeve držav naslednic, vendar so kljub izpostavljenim in obravnavanim konkretnim izzivom rezultati zaenkrat izostali, začenši s podpisom zapisnika s konkretnimi sklepi, ki bi lahko predstavljali dobro osnovo za nadaljnje aktivnosti v smeri reševanja nasledstvenih vprašanj.</w:t>
      </w:r>
    </w:p>
    <w:p w14:paraId="2783D6A9" w14:textId="77777777" w:rsidR="00682FE3" w:rsidRPr="00682FE3" w:rsidRDefault="00682FE3" w:rsidP="00411064">
      <w:pPr>
        <w:spacing w:line="276" w:lineRule="auto"/>
        <w:rPr>
          <w:rFonts w:eastAsia="Calibri"/>
          <w:sz w:val="20"/>
          <w:szCs w:val="20"/>
        </w:rPr>
      </w:pPr>
    </w:p>
    <w:p w14:paraId="07CEE70B" w14:textId="77777777" w:rsidR="00682FE3" w:rsidRPr="00682FE3" w:rsidRDefault="00682FE3" w:rsidP="00411064">
      <w:pPr>
        <w:spacing w:line="276" w:lineRule="auto"/>
        <w:rPr>
          <w:rFonts w:eastAsia="Calibri"/>
          <w:sz w:val="20"/>
          <w:szCs w:val="20"/>
        </w:rPr>
      </w:pPr>
      <w:r w:rsidRPr="00682FE3">
        <w:rPr>
          <w:rFonts w:eastAsia="Calibri"/>
          <w:sz w:val="20"/>
          <w:szCs w:val="20"/>
        </w:rPr>
        <w:t xml:space="preserve">V kontekstu širitve EU na Zahodni Balkan je </w:t>
      </w:r>
      <w:r w:rsidR="00DE1A87">
        <w:rPr>
          <w:rFonts w:eastAsia="Calibri"/>
          <w:sz w:val="20"/>
          <w:szCs w:val="20"/>
        </w:rPr>
        <w:t>RS</w:t>
      </w:r>
      <w:r w:rsidR="00DE1A87" w:rsidRPr="00682FE3">
        <w:rPr>
          <w:rFonts w:eastAsia="Calibri"/>
          <w:sz w:val="20"/>
          <w:szCs w:val="20"/>
        </w:rPr>
        <w:t xml:space="preserve"> </w:t>
      </w:r>
      <w:r w:rsidRPr="00682FE3">
        <w:rPr>
          <w:rFonts w:eastAsia="Calibri"/>
          <w:sz w:val="20"/>
          <w:szCs w:val="20"/>
        </w:rPr>
        <w:t>poskušala senzibilizirat</w:t>
      </w:r>
      <w:r w:rsidR="00DE1A87">
        <w:rPr>
          <w:rFonts w:eastAsia="Calibri"/>
          <w:sz w:val="20"/>
          <w:szCs w:val="20"/>
        </w:rPr>
        <w:t>i</w:t>
      </w:r>
      <w:r w:rsidRPr="00682FE3">
        <w:rPr>
          <w:rFonts w:eastAsia="Calibri"/>
          <w:sz w:val="20"/>
          <w:szCs w:val="20"/>
        </w:rPr>
        <w:t xml:space="preserve"> institucije </w:t>
      </w:r>
      <w:r w:rsidR="00DE1A87">
        <w:rPr>
          <w:rFonts w:eastAsia="Calibri"/>
          <w:sz w:val="20"/>
          <w:szCs w:val="20"/>
        </w:rPr>
        <w:t xml:space="preserve">EU </w:t>
      </w:r>
      <w:r w:rsidRPr="00682FE3">
        <w:rPr>
          <w:rFonts w:eastAsia="Calibri"/>
          <w:sz w:val="20"/>
          <w:szCs w:val="20"/>
        </w:rPr>
        <w:t>o pomenu ureditve nasledstvenih vprašanj v sklopu nerešenih regionalnih vprašanj iz preteklosti za spravo in stabilnost (razširjene) Unije. Prvič je tako ureditev nasledstvenih vprašanj vključena v gradivo E</w:t>
      </w:r>
      <w:r w:rsidR="003E45E4">
        <w:rPr>
          <w:rFonts w:eastAsia="Calibri"/>
          <w:sz w:val="20"/>
          <w:szCs w:val="20"/>
        </w:rPr>
        <w:t>vropske komisije (EK)</w:t>
      </w:r>
      <w:r w:rsidRPr="00682FE3">
        <w:rPr>
          <w:rFonts w:eastAsia="Calibri"/>
          <w:sz w:val="20"/>
          <w:szCs w:val="20"/>
        </w:rPr>
        <w:t xml:space="preserve"> glede širitve (Širitveni paket). RS si bo še naprej prizadevala za sodelovanje EK pri krepitvi politične volje v državah naslednicah za aktivnejšo obravnavo nasledstvenih vprašanj.</w:t>
      </w:r>
    </w:p>
    <w:p w14:paraId="278235B6" w14:textId="77777777" w:rsidR="00682FE3" w:rsidRPr="00682FE3" w:rsidRDefault="00682FE3" w:rsidP="00411064">
      <w:pPr>
        <w:spacing w:line="276" w:lineRule="auto"/>
        <w:rPr>
          <w:rFonts w:eastAsia="Calibri"/>
          <w:sz w:val="20"/>
          <w:szCs w:val="20"/>
        </w:rPr>
      </w:pPr>
    </w:p>
    <w:p w14:paraId="4953611B" w14:textId="77777777" w:rsidR="00682FE3" w:rsidRPr="00682FE3" w:rsidRDefault="00682FE3" w:rsidP="00411064">
      <w:pPr>
        <w:spacing w:line="276" w:lineRule="auto"/>
        <w:rPr>
          <w:rFonts w:eastAsia="Calibri"/>
          <w:sz w:val="20"/>
          <w:szCs w:val="20"/>
        </w:rPr>
      </w:pPr>
      <w:r w:rsidRPr="00682FE3">
        <w:rPr>
          <w:rFonts w:eastAsia="Calibri"/>
          <w:sz w:val="20"/>
          <w:szCs w:val="20"/>
        </w:rPr>
        <w:t xml:space="preserve">Po posameznih prilogah sporazuma posebnega napredka v letu 2025 ni bilo. Tako v okviru priloge A slovenska prizadevanja za nadaljevanje dela bilateralne delovne skupine s Srbijo za vprašanja kulturne dediščine še niso obrodila sadov. </w:t>
      </w:r>
    </w:p>
    <w:p w14:paraId="1EC1286B" w14:textId="77777777" w:rsidR="00682FE3" w:rsidRPr="00682FE3" w:rsidRDefault="00682FE3" w:rsidP="00411064">
      <w:pPr>
        <w:spacing w:line="276" w:lineRule="auto"/>
        <w:rPr>
          <w:rFonts w:eastAsia="Calibri"/>
          <w:sz w:val="20"/>
          <w:szCs w:val="20"/>
        </w:rPr>
      </w:pPr>
    </w:p>
    <w:p w14:paraId="73386204" w14:textId="77777777" w:rsidR="00682FE3" w:rsidRPr="00682FE3" w:rsidRDefault="00682FE3" w:rsidP="00411064">
      <w:pPr>
        <w:spacing w:line="276" w:lineRule="auto"/>
        <w:rPr>
          <w:rFonts w:eastAsia="Calibri"/>
          <w:sz w:val="20"/>
          <w:szCs w:val="20"/>
        </w:rPr>
      </w:pPr>
      <w:r w:rsidRPr="00682FE3">
        <w:rPr>
          <w:rFonts w:eastAsia="Calibri"/>
          <w:sz w:val="20"/>
          <w:szCs w:val="20"/>
        </w:rPr>
        <w:t>V okviru priloge B (diplomatsko konzularna predstavništva) je bilo konec leta v Zagrebu realizirano neformalno srečanje pooblaščenih predstavnikov, kjer sicer ni bil dosežen napredek pri razdelitvi preostalih nepremičnin in umetniških del diplomatsko konzularnih predstavništev, j</w:t>
      </w:r>
      <w:r w:rsidR="000B536F">
        <w:rPr>
          <w:rFonts w:eastAsia="Calibri"/>
          <w:sz w:val="20"/>
          <w:szCs w:val="20"/>
        </w:rPr>
        <w:t>e</w:t>
      </w:r>
      <w:r w:rsidRPr="00682FE3">
        <w:rPr>
          <w:rFonts w:eastAsia="Calibri"/>
          <w:sz w:val="20"/>
          <w:szCs w:val="20"/>
        </w:rPr>
        <w:t xml:space="preserve"> pa prišlo do uskladitve aktivnosti posameznih držav naslednic z določenimi roki. S pomočjo aktivnosti </w:t>
      </w:r>
      <w:r w:rsidR="003E45E4">
        <w:rPr>
          <w:rFonts w:eastAsia="Calibri"/>
          <w:sz w:val="20"/>
          <w:szCs w:val="20"/>
        </w:rPr>
        <w:t>RS</w:t>
      </w:r>
      <w:r w:rsidR="003E45E4" w:rsidRPr="00682FE3">
        <w:rPr>
          <w:rFonts w:eastAsia="Calibri"/>
          <w:sz w:val="20"/>
          <w:szCs w:val="20"/>
        </w:rPr>
        <w:t xml:space="preserve"> </w:t>
      </w:r>
      <w:r w:rsidRPr="00682FE3">
        <w:rPr>
          <w:rFonts w:eastAsia="Calibri"/>
          <w:sz w:val="20"/>
          <w:szCs w:val="20"/>
        </w:rPr>
        <w:t>so bila v letu 2025 uspešno razdeljena sredstva od prodaje ene izmed nepremičnin SFRJ na Novi Zelandiji</w:t>
      </w:r>
      <w:r w:rsidR="003E45E4">
        <w:rPr>
          <w:rFonts w:eastAsia="Calibri"/>
          <w:sz w:val="20"/>
          <w:szCs w:val="20"/>
        </w:rPr>
        <w:t>.</w:t>
      </w:r>
    </w:p>
    <w:p w14:paraId="551528CA" w14:textId="77777777" w:rsidR="00682FE3" w:rsidRPr="00682FE3" w:rsidRDefault="00682FE3" w:rsidP="00411064">
      <w:pPr>
        <w:spacing w:line="276" w:lineRule="auto"/>
        <w:rPr>
          <w:rFonts w:eastAsia="Calibri"/>
          <w:sz w:val="20"/>
          <w:szCs w:val="20"/>
        </w:rPr>
      </w:pPr>
    </w:p>
    <w:p w14:paraId="27CAB89B" w14:textId="77777777" w:rsidR="00682FE3" w:rsidRPr="00682FE3" w:rsidRDefault="00682FE3" w:rsidP="00411064">
      <w:pPr>
        <w:spacing w:line="276" w:lineRule="auto"/>
        <w:rPr>
          <w:rFonts w:eastAsia="Calibri"/>
          <w:sz w:val="20"/>
          <w:szCs w:val="20"/>
        </w:rPr>
      </w:pPr>
      <w:r w:rsidRPr="00682FE3">
        <w:rPr>
          <w:rFonts w:eastAsia="Calibri"/>
          <w:sz w:val="20"/>
          <w:szCs w:val="20"/>
        </w:rPr>
        <w:t xml:space="preserve">V letu 2025 </w:t>
      </w:r>
      <w:r w:rsidR="003E45E4">
        <w:rPr>
          <w:rFonts w:eastAsia="Calibri"/>
          <w:sz w:val="20"/>
          <w:szCs w:val="20"/>
        </w:rPr>
        <w:t>ni prišlo do</w:t>
      </w:r>
      <w:r w:rsidRPr="00682FE3">
        <w:rPr>
          <w:rFonts w:eastAsia="Calibri"/>
          <w:sz w:val="20"/>
          <w:szCs w:val="20"/>
        </w:rPr>
        <w:t xml:space="preserve"> organizacij</w:t>
      </w:r>
      <w:r w:rsidR="003E45E4">
        <w:rPr>
          <w:rFonts w:eastAsia="Calibri"/>
          <w:sz w:val="20"/>
          <w:szCs w:val="20"/>
        </w:rPr>
        <w:t>e</w:t>
      </w:r>
      <w:r w:rsidRPr="00682FE3">
        <w:rPr>
          <w:rFonts w:eastAsia="Calibri"/>
          <w:sz w:val="20"/>
          <w:szCs w:val="20"/>
        </w:rPr>
        <w:t xml:space="preserve"> zasedanja pooblaščenih predstavnikov za prilogo C (finančna sredstva in obveznosti) s strani Srbije, nadaljevale so se aktivnosti za sprostitev sredstev SFRJ pri Adria bank in za končanje stečajnega postopka podružnice Beograjske banke na Cipru. </w:t>
      </w:r>
      <w:r w:rsidR="003E45E4">
        <w:rPr>
          <w:rFonts w:eastAsia="Calibri"/>
          <w:sz w:val="20"/>
          <w:szCs w:val="20"/>
        </w:rPr>
        <w:t>RS</w:t>
      </w:r>
      <w:r w:rsidR="003E45E4" w:rsidRPr="00682FE3">
        <w:rPr>
          <w:rFonts w:eastAsia="Calibri"/>
          <w:sz w:val="20"/>
          <w:szCs w:val="20"/>
        </w:rPr>
        <w:t xml:space="preserve"> </w:t>
      </w:r>
      <w:r w:rsidRPr="00682FE3">
        <w:rPr>
          <w:rFonts w:eastAsia="Calibri"/>
          <w:sz w:val="20"/>
          <w:szCs w:val="20"/>
        </w:rPr>
        <w:t xml:space="preserve">je v okviru bilateralnega srečanja s Češko iskala načine za rešitev vprašanja razdelitve klirinškega dolga SRFJ do Češke in Slovaške. </w:t>
      </w:r>
    </w:p>
    <w:p w14:paraId="2718E961" w14:textId="77777777" w:rsidR="00682FE3" w:rsidRPr="00682FE3" w:rsidRDefault="00682FE3" w:rsidP="00411064">
      <w:pPr>
        <w:spacing w:line="276" w:lineRule="auto"/>
        <w:rPr>
          <w:rFonts w:eastAsia="Calibri"/>
          <w:sz w:val="20"/>
          <w:szCs w:val="20"/>
        </w:rPr>
      </w:pPr>
    </w:p>
    <w:p w14:paraId="01BDE444" w14:textId="77777777" w:rsidR="00682FE3" w:rsidRPr="00682FE3" w:rsidRDefault="00682FE3" w:rsidP="00411064">
      <w:pPr>
        <w:spacing w:line="276" w:lineRule="auto"/>
        <w:rPr>
          <w:rFonts w:eastAsia="Calibri"/>
          <w:sz w:val="20"/>
          <w:szCs w:val="20"/>
        </w:rPr>
      </w:pPr>
      <w:r w:rsidRPr="00682FE3">
        <w:rPr>
          <w:rFonts w:eastAsia="Calibri"/>
          <w:sz w:val="20"/>
          <w:szCs w:val="20"/>
        </w:rPr>
        <w:t xml:space="preserve">Pri prilogi D so bila prizadevanja za podpis deklaracije o podpori skupnemu projektu digitalizacije skupnega arhivskega gradiva neuspešna, čeprav so besedilo deklaracije parafirali visoki predstavniki za nasledstvo vseh držav naslednic. Kljub temu je Arhiv RS z iniciativo na strokovni ravni spodbudil </w:t>
      </w:r>
      <w:r w:rsidRPr="00682FE3">
        <w:rPr>
          <w:rFonts w:eastAsia="Calibri"/>
          <w:sz w:val="20"/>
          <w:szCs w:val="20"/>
        </w:rPr>
        <w:lastRenderedPageBreak/>
        <w:t xml:space="preserve">začetek izvajanja projekta z lastnimi sredstvi, pri čemer je izostal sestanek direktorjev nacionalnih arhivov držav naslednic, ki bi ga morala sklicati </w:t>
      </w:r>
      <w:r w:rsidR="00945E65">
        <w:rPr>
          <w:rFonts w:eastAsia="Calibri"/>
          <w:sz w:val="20"/>
          <w:szCs w:val="20"/>
        </w:rPr>
        <w:t>BiH</w:t>
      </w:r>
      <w:r w:rsidRPr="00682FE3">
        <w:rPr>
          <w:rFonts w:eastAsia="Calibri"/>
          <w:sz w:val="20"/>
          <w:szCs w:val="20"/>
        </w:rPr>
        <w:t xml:space="preserve"> v tretjem kvartalu 2025. </w:t>
      </w:r>
      <w:r w:rsidR="003E45E4">
        <w:rPr>
          <w:rFonts w:eastAsia="Calibri"/>
          <w:sz w:val="20"/>
          <w:szCs w:val="20"/>
        </w:rPr>
        <w:t>RS</w:t>
      </w:r>
      <w:r w:rsidR="003E45E4" w:rsidRPr="00682FE3">
        <w:rPr>
          <w:rFonts w:eastAsia="Calibri"/>
          <w:sz w:val="20"/>
          <w:szCs w:val="20"/>
        </w:rPr>
        <w:t xml:space="preserve"> </w:t>
      </w:r>
      <w:r w:rsidRPr="00682FE3">
        <w:rPr>
          <w:rFonts w:eastAsia="Calibri"/>
          <w:sz w:val="20"/>
          <w:szCs w:val="20"/>
        </w:rPr>
        <w:t>ima za svoj delež obveznosti rezervirana sredstva za projekt v okviru Sklada RS za nasledstvo.</w:t>
      </w:r>
    </w:p>
    <w:p w14:paraId="6CEAB6C1" w14:textId="77777777" w:rsidR="00682FE3" w:rsidRPr="00682FE3" w:rsidRDefault="00682FE3" w:rsidP="00411064">
      <w:pPr>
        <w:spacing w:line="276" w:lineRule="auto"/>
        <w:rPr>
          <w:rFonts w:eastAsia="Calibri"/>
          <w:sz w:val="20"/>
          <w:szCs w:val="20"/>
        </w:rPr>
      </w:pPr>
    </w:p>
    <w:p w14:paraId="0371F0D9" w14:textId="77777777" w:rsidR="00D8587C" w:rsidRPr="00C23AB5" w:rsidRDefault="00682FE3" w:rsidP="00411064">
      <w:pPr>
        <w:spacing w:line="276" w:lineRule="auto"/>
        <w:rPr>
          <w:rFonts w:eastAsia="Calibri"/>
          <w:sz w:val="20"/>
          <w:szCs w:val="20"/>
        </w:rPr>
      </w:pPr>
      <w:r w:rsidRPr="00682FE3">
        <w:rPr>
          <w:rFonts w:eastAsia="Calibri"/>
          <w:sz w:val="20"/>
          <w:szCs w:val="20"/>
        </w:rPr>
        <w:t xml:space="preserve">V okviru priloge G (zasebno premoženje) je leto 2025 zaznamovala odločitev Ustavnega sodišča Srbije, ki je razsodilo, da slovensko podjetje zaradi odsotnosti bilateralnega sporazuma ne more uveljavljati lastninske pravice na nepremičnini v Srbiji, pri kateri ima (ugotovljeno in vknjiženo) pravico do uporabe. Odločitev ustavnega sodišča postavlja pod vprašaj načelo neposredne uporabe in obstoj vzajemnosti pri obravnavi priloge G med </w:t>
      </w:r>
      <w:r w:rsidR="003E45E4">
        <w:rPr>
          <w:rFonts w:eastAsia="Calibri"/>
          <w:sz w:val="20"/>
          <w:szCs w:val="20"/>
        </w:rPr>
        <w:t>RS</w:t>
      </w:r>
      <w:r w:rsidR="003E45E4" w:rsidRPr="00682FE3">
        <w:rPr>
          <w:rFonts w:eastAsia="Calibri"/>
          <w:sz w:val="20"/>
          <w:szCs w:val="20"/>
        </w:rPr>
        <w:t xml:space="preserve"> </w:t>
      </w:r>
      <w:r w:rsidRPr="00682FE3">
        <w:rPr>
          <w:rFonts w:eastAsia="Calibri"/>
          <w:sz w:val="20"/>
          <w:szCs w:val="20"/>
        </w:rPr>
        <w:t xml:space="preserve">in Srbijo, ki je bilo bilateralno večkrat potrjeno tako na političnem kot strokovnem nivoju. </w:t>
      </w:r>
    </w:p>
    <w:p w14:paraId="45315A12" w14:textId="77777777" w:rsidR="008626F5" w:rsidRDefault="008626F5" w:rsidP="00411064">
      <w:pPr>
        <w:spacing w:line="276" w:lineRule="auto"/>
        <w:rPr>
          <w:sz w:val="20"/>
          <w:szCs w:val="20"/>
          <w:highlight w:val="yellow"/>
        </w:rPr>
      </w:pPr>
    </w:p>
    <w:p w14:paraId="115948F2" w14:textId="77777777" w:rsidR="00411064" w:rsidRPr="00140B34" w:rsidRDefault="00411064" w:rsidP="00411064">
      <w:pPr>
        <w:spacing w:line="276" w:lineRule="auto"/>
        <w:rPr>
          <w:sz w:val="20"/>
          <w:szCs w:val="20"/>
          <w:highlight w:val="yellow"/>
        </w:rPr>
      </w:pPr>
    </w:p>
    <w:p w14:paraId="29502EAD" w14:textId="77777777" w:rsidR="005547B0" w:rsidRPr="00140B34" w:rsidRDefault="005547B0" w:rsidP="00411064">
      <w:pPr>
        <w:pStyle w:val="Heading2"/>
        <w:rPr>
          <w:highlight w:val="yellow"/>
        </w:rPr>
      </w:pPr>
      <w:bookmarkStart w:id="5" w:name="_Toc227227963"/>
      <w:r w:rsidRPr="00140B34">
        <w:rPr>
          <w:highlight w:val="yellow"/>
        </w:rPr>
        <w:t>Spodbujanje medregionalnega sodelovanja in povezav držav in regije Zahodnega Balkana</w:t>
      </w:r>
      <w:bookmarkEnd w:id="5"/>
    </w:p>
    <w:p w14:paraId="041B769F" w14:textId="77777777" w:rsidR="005547B0" w:rsidRDefault="005547B0" w:rsidP="00411064">
      <w:pPr>
        <w:spacing w:line="276" w:lineRule="auto"/>
        <w:rPr>
          <w:sz w:val="20"/>
          <w:szCs w:val="20"/>
          <w:highlight w:val="yellow"/>
        </w:rPr>
      </w:pPr>
    </w:p>
    <w:p w14:paraId="2CA26816" w14:textId="77777777" w:rsidR="006B2695" w:rsidRPr="006B2695" w:rsidRDefault="006B2695" w:rsidP="00411064">
      <w:pPr>
        <w:spacing w:line="276" w:lineRule="auto"/>
        <w:rPr>
          <w:sz w:val="20"/>
          <w:szCs w:val="20"/>
        </w:rPr>
      </w:pPr>
      <w:r w:rsidRPr="006B2695">
        <w:rPr>
          <w:sz w:val="20"/>
          <w:szCs w:val="20"/>
        </w:rPr>
        <w:t xml:space="preserve">RS je aktivno delovala in se udeleževala dogodkov na področju regionalnega sodelovanja v okviru Berlinskega procesa, Brdo-Brijuni procesa, Procesa sodelovanja v Jugovzhodni Evropi (SEECP), Srednjeevropske pobude (SEP), Jadransko-jonske pobude (JJP) in </w:t>
      </w:r>
      <w:r w:rsidR="00862AB8">
        <w:rPr>
          <w:sz w:val="20"/>
          <w:szCs w:val="20"/>
        </w:rPr>
        <w:t>Sveta za r</w:t>
      </w:r>
      <w:r w:rsidRPr="006B2695">
        <w:rPr>
          <w:sz w:val="20"/>
          <w:szCs w:val="20"/>
        </w:rPr>
        <w:t>egionaln</w:t>
      </w:r>
      <w:r w:rsidR="00862AB8">
        <w:rPr>
          <w:sz w:val="20"/>
          <w:szCs w:val="20"/>
        </w:rPr>
        <w:t xml:space="preserve">o sodelovanje </w:t>
      </w:r>
      <w:r w:rsidRPr="006B2695">
        <w:rPr>
          <w:sz w:val="20"/>
          <w:szCs w:val="20"/>
        </w:rPr>
        <w:t xml:space="preserve"> (RCC). V pobudah je s svojimi aktivnostmi krepila vladno, parlamentarno in poslovno dimenzijo. </w:t>
      </w:r>
    </w:p>
    <w:p w14:paraId="6D7FE1EA" w14:textId="77777777" w:rsidR="006B2695" w:rsidRPr="006B2695" w:rsidRDefault="006B2695" w:rsidP="00411064">
      <w:pPr>
        <w:spacing w:line="276" w:lineRule="auto"/>
        <w:rPr>
          <w:sz w:val="20"/>
          <w:szCs w:val="20"/>
          <w:highlight w:val="lightGray"/>
        </w:rPr>
      </w:pPr>
    </w:p>
    <w:p w14:paraId="5E0ACA9D" w14:textId="77777777" w:rsidR="006B2695" w:rsidRPr="006B2695" w:rsidRDefault="006B2695" w:rsidP="00411064">
      <w:pPr>
        <w:tabs>
          <w:tab w:val="left" w:pos="5812"/>
        </w:tabs>
        <w:spacing w:line="276" w:lineRule="auto"/>
        <w:rPr>
          <w:bCs/>
          <w:color w:val="000000"/>
          <w:sz w:val="20"/>
          <w:szCs w:val="20"/>
        </w:rPr>
      </w:pPr>
      <w:r w:rsidRPr="006B2695">
        <w:rPr>
          <w:color w:val="000000"/>
          <w:sz w:val="20"/>
          <w:szCs w:val="20"/>
        </w:rPr>
        <w:t xml:space="preserve">Vrh voditeljev </w:t>
      </w:r>
      <w:r w:rsidRPr="00D43903">
        <w:rPr>
          <w:bCs/>
          <w:color w:val="000000"/>
          <w:sz w:val="20"/>
          <w:szCs w:val="20"/>
        </w:rPr>
        <w:t>Brdo-Brijuni procesa,</w:t>
      </w:r>
      <w:r w:rsidRPr="006B2695">
        <w:rPr>
          <w:color w:val="000000"/>
          <w:sz w:val="20"/>
          <w:szCs w:val="20"/>
        </w:rPr>
        <w:t xml:space="preserve"> ki</w:t>
      </w:r>
      <w:r w:rsidRPr="006B2695">
        <w:rPr>
          <w:b/>
          <w:color w:val="000000"/>
          <w:sz w:val="20"/>
          <w:szCs w:val="20"/>
        </w:rPr>
        <w:t xml:space="preserve"> </w:t>
      </w:r>
      <w:r w:rsidRPr="006B2695">
        <w:rPr>
          <w:color w:val="000000"/>
          <w:sz w:val="20"/>
          <w:szCs w:val="20"/>
        </w:rPr>
        <w:t>se ga je udeležila predsednica RS Pirc Musar, je potekal 6</w:t>
      </w:r>
      <w:r w:rsidRPr="006B2695">
        <w:rPr>
          <w:bCs/>
          <w:color w:val="000000"/>
          <w:sz w:val="20"/>
          <w:szCs w:val="20"/>
        </w:rPr>
        <w:t>. oktobra 2024 v Albaniji. Na Vrhu, ki je potekal pod naslovom "Skupni interesi, skupna zavezanost skupni prihodnosti: skupaj naprej proti EU,"</w:t>
      </w:r>
      <w:r w:rsidRPr="006B2695">
        <w:rPr>
          <w:bCs/>
          <w:i/>
          <w:iCs/>
          <w:color w:val="000000"/>
          <w:sz w:val="20"/>
          <w:szCs w:val="20"/>
        </w:rPr>
        <w:t xml:space="preserve"> </w:t>
      </w:r>
      <w:r w:rsidRPr="006B2695">
        <w:rPr>
          <w:bCs/>
          <w:color w:val="000000"/>
          <w:sz w:val="20"/>
          <w:szCs w:val="20"/>
        </w:rPr>
        <w:t xml:space="preserve">so voditelji držav Brdo-Brijuni procesa obravnavali  predvsem krepitev regionalnega sodelovanja na poti v EU ter skupne izzive, kot so izseljevanje mladih, podnebne spremembe, digitalna varnost in gospodarski razvoj. </w:t>
      </w:r>
    </w:p>
    <w:p w14:paraId="5F0BC592" w14:textId="77777777" w:rsidR="006B2695" w:rsidRPr="006B2695" w:rsidRDefault="006B2695" w:rsidP="00411064">
      <w:pPr>
        <w:tabs>
          <w:tab w:val="left" w:pos="5812"/>
        </w:tabs>
        <w:spacing w:line="276" w:lineRule="auto"/>
        <w:rPr>
          <w:bCs/>
          <w:color w:val="000000"/>
          <w:sz w:val="20"/>
          <w:szCs w:val="20"/>
        </w:rPr>
      </w:pPr>
    </w:p>
    <w:p w14:paraId="61A75864" w14:textId="77777777" w:rsidR="006B2695" w:rsidRPr="006B2695" w:rsidRDefault="006B2695" w:rsidP="00411064">
      <w:pPr>
        <w:tabs>
          <w:tab w:val="left" w:pos="5812"/>
        </w:tabs>
        <w:spacing w:line="276" w:lineRule="auto"/>
        <w:rPr>
          <w:bCs/>
          <w:color w:val="000000"/>
          <w:sz w:val="20"/>
          <w:szCs w:val="20"/>
        </w:rPr>
      </w:pPr>
      <w:r w:rsidRPr="006B2695">
        <w:rPr>
          <w:bCs/>
          <w:color w:val="000000"/>
          <w:sz w:val="20"/>
          <w:szCs w:val="20"/>
        </w:rPr>
        <w:t xml:space="preserve">Poseben poudarek je bil namenjen tudi Načrtu za rast za Zahodni Balkan, ki po oceni </w:t>
      </w:r>
      <w:r w:rsidR="00AD272B">
        <w:rPr>
          <w:bCs/>
          <w:color w:val="000000"/>
          <w:sz w:val="20"/>
          <w:szCs w:val="20"/>
        </w:rPr>
        <w:t>RS</w:t>
      </w:r>
      <w:r w:rsidR="00AD272B" w:rsidRPr="006B2695">
        <w:rPr>
          <w:bCs/>
          <w:color w:val="000000"/>
          <w:sz w:val="20"/>
          <w:szCs w:val="20"/>
        </w:rPr>
        <w:t xml:space="preserve"> </w:t>
      </w:r>
      <w:r w:rsidRPr="006B2695">
        <w:rPr>
          <w:bCs/>
          <w:color w:val="000000"/>
          <w:sz w:val="20"/>
          <w:szCs w:val="20"/>
        </w:rPr>
        <w:t>predstavlja pomembno priložnost za pospešitev gospodarskega razvoja regije. Uspešnost tega načrta pa je odvisna od pravočasnega izvajanja potrebnih reform v državah Zahodnega Balkana, kar pomeni jasne zaveze in konkretne ukrepe na ravni posameznih vlad.</w:t>
      </w:r>
    </w:p>
    <w:p w14:paraId="6BF6D2CF" w14:textId="77777777" w:rsidR="006B2695" w:rsidRPr="006B2695" w:rsidRDefault="006B2695" w:rsidP="00411064">
      <w:pPr>
        <w:tabs>
          <w:tab w:val="left" w:pos="5812"/>
        </w:tabs>
        <w:spacing w:line="276" w:lineRule="auto"/>
        <w:rPr>
          <w:bCs/>
          <w:color w:val="000000"/>
          <w:sz w:val="20"/>
          <w:szCs w:val="20"/>
        </w:rPr>
      </w:pPr>
    </w:p>
    <w:p w14:paraId="77025146" w14:textId="77777777" w:rsidR="006B2695" w:rsidRPr="006B2695" w:rsidRDefault="006B2695" w:rsidP="00411064">
      <w:pPr>
        <w:tabs>
          <w:tab w:val="left" w:pos="5812"/>
        </w:tabs>
        <w:spacing w:line="276" w:lineRule="auto"/>
        <w:rPr>
          <w:bCs/>
          <w:color w:val="000000"/>
          <w:sz w:val="20"/>
          <w:szCs w:val="20"/>
        </w:rPr>
      </w:pPr>
      <w:r w:rsidRPr="006B2695">
        <w:rPr>
          <w:bCs/>
          <w:color w:val="000000"/>
          <w:sz w:val="20"/>
          <w:szCs w:val="20"/>
        </w:rPr>
        <w:t>Pomemben del razprav je bil namenjen mladim, njihovemu položaju in prihodnosti v regiji. Udeleženci so se strinjali, da so mladi eden najpomembnejših dejavnikov trajnostnega razvoja, vendar številni zaradi pomanjkanja priložnosti zapuščajo svoje domovine. V regiji ostaja velik izzi</w:t>
      </w:r>
      <w:r w:rsidR="009440A8">
        <w:rPr>
          <w:bCs/>
          <w:color w:val="000000"/>
          <w:sz w:val="20"/>
          <w:szCs w:val="20"/>
        </w:rPr>
        <w:t xml:space="preserve">v </w:t>
      </w:r>
      <w:r w:rsidRPr="006B2695">
        <w:rPr>
          <w:bCs/>
          <w:color w:val="000000"/>
          <w:sz w:val="20"/>
          <w:szCs w:val="20"/>
        </w:rPr>
        <w:t>kako ustvariti pogoje, ki bodo mladim omogočili kakovostno izobraževanje, dostojno zaposlitev in razvoj osebnih ter profesionalnih potencialov doma.</w:t>
      </w:r>
    </w:p>
    <w:p w14:paraId="2EF4D0DC" w14:textId="77777777" w:rsidR="006B2695" w:rsidRPr="006B2695" w:rsidRDefault="006B2695" w:rsidP="00411064">
      <w:pPr>
        <w:tabs>
          <w:tab w:val="left" w:pos="5812"/>
        </w:tabs>
        <w:spacing w:line="276" w:lineRule="auto"/>
        <w:rPr>
          <w:bCs/>
          <w:color w:val="000000"/>
          <w:sz w:val="20"/>
          <w:szCs w:val="20"/>
        </w:rPr>
      </w:pPr>
    </w:p>
    <w:p w14:paraId="00FD4717" w14:textId="77777777" w:rsidR="006B2695" w:rsidRPr="006B2695" w:rsidRDefault="006B2695" w:rsidP="00411064">
      <w:pPr>
        <w:tabs>
          <w:tab w:val="left" w:pos="5812"/>
        </w:tabs>
        <w:spacing w:line="276" w:lineRule="auto"/>
        <w:rPr>
          <w:bCs/>
          <w:color w:val="000000"/>
          <w:sz w:val="20"/>
          <w:szCs w:val="20"/>
        </w:rPr>
      </w:pPr>
      <w:r w:rsidRPr="006B2695">
        <w:rPr>
          <w:bCs/>
          <w:color w:val="000000"/>
          <w:sz w:val="20"/>
          <w:szCs w:val="20"/>
        </w:rPr>
        <w:t>V okviru Brdo–Brijuni procesa je bilo še posebej pomembno srečanje direktorjev zavodov za zaposlovanje iz držav Zahodnega Balkana, ki je potekalo pred zasedanjem voditeljev. Namen srečanja je bil poiskati skupne rešitve za izboljšanje razmer na področju zaposlovanja, uskladiti izobraževalne programe s potrebami trga dela, izboljšati delovne pogoje ter razviti programe za vračanje talentov. Udeleženci so se zavezali k okrepitvi sodelovanja na teh področjih, s ciljem ustvariti več priložnosti za mlade in oblikovati spodbudno družbeno okolje, ki bi omogočilo dolgoročno zadrževanje človeškega kapitala v regiji.</w:t>
      </w:r>
    </w:p>
    <w:p w14:paraId="0F9CF58E" w14:textId="77777777" w:rsidR="006B2695" w:rsidRPr="006B2695" w:rsidRDefault="006B2695" w:rsidP="00411064">
      <w:pPr>
        <w:tabs>
          <w:tab w:val="left" w:pos="5812"/>
        </w:tabs>
        <w:spacing w:line="276" w:lineRule="auto"/>
        <w:rPr>
          <w:bCs/>
          <w:color w:val="000000"/>
          <w:sz w:val="20"/>
          <w:szCs w:val="20"/>
        </w:rPr>
      </w:pPr>
    </w:p>
    <w:p w14:paraId="138504E8" w14:textId="77777777" w:rsidR="006B2695" w:rsidRPr="006B2695" w:rsidRDefault="006B2695" w:rsidP="00411064">
      <w:pPr>
        <w:tabs>
          <w:tab w:val="left" w:pos="5812"/>
        </w:tabs>
        <w:spacing w:line="276" w:lineRule="auto"/>
        <w:rPr>
          <w:bCs/>
          <w:color w:val="000000"/>
          <w:sz w:val="20"/>
          <w:szCs w:val="20"/>
        </w:rPr>
      </w:pPr>
      <w:r w:rsidRPr="006B2695">
        <w:rPr>
          <w:bCs/>
          <w:color w:val="000000"/>
          <w:sz w:val="20"/>
          <w:szCs w:val="20"/>
        </w:rPr>
        <w:t xml:space="preserve">Vrh se je zaključil s sprejetjem skupne deklaracije, v kateri so voditelji še enkrat potrdili podporo evropski perspektivi Zahodnega Balkana ter poudarili pomen dobrososedskih odnosov, regionalnega povezovanja in skupnega soočanja s sodobnimi izzivi, kot so kibernetske grožnje in posledice podnebnih sprememb. Izpostavili so tudi potrebo po trajnostnem razvoju, ki mora vključevati vse generacije, zlasti mlade, kot ključne akterje prihodnosti regije. </w:t>
      </w:r>
    </w:p>
    <w:p w14:paraId="7119FFB9" w14:textId="77777777" w:rsidR="006B2695" w:rsidRPr="006B2695" w:rsidRDefault="006B2695" w:rsidP="00411064">
      <w:pPr>
        <w:spacing w:line="276" w:lineRule="auto"/>
        <w:rPr>
          <w:sz w:val="20"/>
          <w:szCs w:val="20"/>
          <w:highlight w:val="lightGray"/>
        </w:rPr>
      </w:pPr>
    </w:p>
    <w:p w14:paraId="0D7450B0" w14:textId="77777777" w:rsidR="006B2695" w:rsidRPr="006B2695" w:rsidRDefault="006B2695" w:rsidP="00411064">
      <w:pPr>
        <w:autoSpaceDE w:val="0"/>
        <w:autoSpaceDN w:val="0"/>
        <w:adjustRightInd w:val="0"/>
        <w:spacing w:line="276" w:lineRule="auto"/>
        <w:rPr>
          <w:rFonts w:eastAsia="Calibri"/>
          <w:color w:val="000000"/>
          <w:sz w:val="20"/>
          <w:szCs w:val="20"/>
        </w:rPr>
      </w:pPr>
      <w:r w:rsidRPr="006B2695">
        <w:rPr>
          <w:rFonts w:eastAsia="Calibri"/>
          <w:color w:val="000000"/>
          <w:sz w:val="20"/>
          <w:szCs w:val="20"/>
        </w:rPr>
        <w:lastRenderedPageBreak/>
        <w:t xml:space="preserve">Državna sekretarka v Ministrstvu za zunanje in evropske zadeve </w:t>
      </w:r>
      <w:r w:rsidR="009440A8">
        <w:rPr>
          <w:rFonts w:eastAsia="Calibri"/>
          <w:color w:val="000000"/>
          <w:sz w:val="20"/>
          <w:szCs w:val="20"/>
        </w:rPr>
        <w:t>RS</w:t>
      </w:r>
      <w:r w:rsidRPr="006B2695">
        <w:rPr>
          <w:rFonts w:eastAsia="Calibri"/>
          <w:color w:val="000000"/>
          <w:sz w:val="20"/>
          <w:szCs w:val="20"/>
        </w:rPr>
        <w:t xml:space="preserve"> Neva Grašič se je udeležila 11. Vrha </w:t>
      </w:r>
      <w:r w:rsidRPr="00411064">
        <w:rPr>
          <w:rFonts w:eastAsia="Calibri"/>
          <w:color w:val="000000"/>
          <w:sz w:val="20"/>
          <w:szCs w:val="20"/>
        </w:rPr>
        <w:t>Berlinskega procesa,</w:t>
      </w:r>
      <w:r w:rsidRPr="006B2695">
        <w:rPr>
          <w:rFonts w:eastAsia="Calibri"/>
          <w:color w:val="000000"/>
          <w:sz w:val="20"/>
          <w:szCs w:val="20"/>
        </w:rPr>
        <w:t xml:space="preserve"> ki ga je 22. oktobra 2025 gostilo Združeno kraljestvo Velike Britanije in Severne Irske v Londonu. Glavne teme so bile krepitev regionalnega sodelovanja, obravnava izzivov in priložnosti, ki izvirajo iz migracij, in ekonomska rast. Obravnavane so bile tudi teme, ki so skupne vsem državam Zahodnega Balkana, kot so varnostna vprašanja, ekonomski razvoj, Zelena agenda idr. </w:t>
      </w:r>
    </w:p>
    <w:p w14:paraId="42481E2B" w14:textId="77777777" w:rsidR="006B2695" w:rsidRPr="006B2695" w:rsidRDefault="006B2695" w:rsidP="00411064">
      <w:pPr>
        <w:autoSpaceDE w:val="0"/>
        <w:autoSpaceDN w:val="0"/>
        <w:adjustRightInd w:val="0"/>
        <w:spacing w:line="276" w:lineRule="auto"/>
        <w:rPr>
          <w:rFonts w:eastAsia="Calibri"/>
          <w:color w:val="000000"/>
          <w:sz w:val="20"/>
          <w:szCs w:val="20"/>
        </w:rPr>
      </w:pPr>
    </w:p>
    <w:p w14:paraId="63BA343B" w14:textId="77777777" w:rsidR="006B2695" w:rsidRPr="006B2695" w:rsidRDefault="006B2695" w:rsidP="00411064">
      <w:pPr>
        <w:autoSpaceDE w:val="0"/>
        <w:autoSpaceDN w:val="0"/>
        <w:adjustRightInd w:val="0"/>
        <w:spacing w:line="276" w:lineRule="auto"/>
        <w:rPr>
          <w:rFonts w:eastAsia="Calibri"/>
          <w:color w:val="000000"/>
          <w:sz w:val="20"/>
          <w:szCs w:val="20"/>
        </w:rPr>
      </w:pPr>
      <w:r w:rsidRPr="006B2695">
        <w:rPr>
          <w:rFonts w:eastAsia="Calibri"/>
          <w:color w:val="000000"/>
          <w:sz w:val="20"/>
          <w:szCs w:val="20"/>
        </w:rPr>
        <w:t xml:space="preserve">Na Vrhu Berlinskega procesa so predstavniki držav EU in Združenega kraljestva Velike Britanije in Severne Irske poudarili pomen spodbujanja stabilnosti in blaginje na Zahodnem Balkanu za ustvarjanje boljše prihodnosti za prebivalce regije. Izpostavljena je bila potreba po aktivni obravnavi vprašanj migracij, varnosti in gospodarske rasti. Izražena je bila jasna podpora EU perspektivi Zahodnega Balkana, pri čemer so reforme ključ do uspeha, treba pa je tudi reševati bilateralna vprašanja v duhu sodelovanja. Skupen cilj ostaja več povezljivosti, več varnosti in več integracije. Posebej pomembno vlogo pri napredovanju regije ima Načrt za rast za Zahodni Balkan. Bistvena ostaja polna implementacija skupnega regionalnega trga, vključevanje v enotno območje plačil SEPA, mobilno gostovanje, treba je tudi nadaljevati infrastrukturne in energetske projekte za izboljšanje povezljivosti. </w:t>
      </w:r>
    </w:p>
    <w:p w14:paraId="7972A8C0" w14:textId="77777777" w:rsidR="006B2695" w:rsidRPr="006B2695" w:rsidRDefault="006B2695" w:rsidP="00411064">
      <w:pPr>
        <w:autoSpaceDE w:val="0"/>
        <w:autoSpaceDN w:val="0"/>
        <w:adjustRightInd w:val="0"/>
        <w:spacing w:line="276" w:lineRule="auto"/>
        <w:rPr>
          <w:rFonts w:eastAsia="Calibri"/>
          <w:color w:val="000000"/>
          <w:sz w:val="20"/>
          <w:szCs w:val="20"/>
        </w:rPr>
      </w:pPr>
    </w:p>
    <w:p w14:paraId="3EC0CE7A" w14:textId="77777777" w:rsidR="006B2695" w:rsidRPr="006B2695" w:rsidRDefault="006B2695" w:rsidP="00411064">
      <w:pPr>
        <w:autoSpaceDE w:val="0"/>
        <w:autoSpaceDN w:val="0"/>
        <w:adjustRightInd w:val="0"/>
        <w:spacing w:line="276" w:lineRule="auto"/>
        <w:rPr>
          <w:rFonts w:eastAsia="Calibri"/>
          <w:color w:val="000000"/>
          <w:sz w:val="20"/>
          <w:szCs w:val="20"/>
        </w:rPr>
      </w:pPr>
      <w:r w:rsidRPr="006B2695">
        <w:rPr>
          <w:rFonts w:eastAsia="Calibri"/>
          <w:color w:val="000000"/>
          <w:sz w:val="20"/>
          <w:szCs w:val="20"/>
        </w:rPr>
        <w:t>Predstavniki držav regije so na Vrhu Berlinskega procesa podprli pomen skupne vizije in prizadevanj držav Zahodnega Balkana za polnopravno članstvo v EU ter možnost postopne integracije držav aspirantk v EU. Izpostavili so aktivnosti t.</w:t>
      </w:r>
      <w:r w:rsidR="00903C91">
        <w:rPr>
          <w:rFonts w:eastAsia="Calibri"/>
          <w:color w:val="000000"/>
          <w:sz w:val="20"/>
          <w:szCs w:val="20"/>
        </w:rPr>
        <w:t xml:space="preserve"> </w:t>
      </w:r>
      <w:r w:rsidRPr="006B2695">
        <w:rPr>
          <w:rFonts w:eastAsia="Calibri"/>
          <w:color w:val="000000"/>
          <w:sz w:val="20"/>
          <w:szCs w:val="20"/>
        </w:rPr>
        <w:t xml:space="preserve">i. tretjih akterjev in pozvali k večjem angažmaju EU in tudi Nato ter k verodostojnosti širitvenega procesa in oprijemljivim rezultatom za prebivalce regije. Poudarili so pomen trajnostnih naložb v povezljivost ter v trajnostne, nizkoogljične in digitalne tehnologije, ki spodbujajo prehod v zeleno gospodarstvo. </w:t>
      </w:r>
    </w:p>
    <w:p w14:paraId="05BDFA90" w14:textId="77777777" w:rsidR="006B2695" w:rsidRPr="006B2695" w:rsidRDefault="006B2695" w:rsidP="00411064">
      <w:pPr>
        <w:autoSpaceDE w:val="0"/>
        <w:autoSpaceDN w:val="0"/>
        <w:adjustRightInd w:val="0"/>
        <w:spacing w:line="276" w:lineRule="auto"/>
        <w:rPr>
          <w:rFonts w:eastAsia="Calibri"/>
          <w:color w:val="000000"/>
          <w:sz w:val="20"/>
          <w:szCs w:val="20"/>
        </w:rPr>
      </w:pPr>
      <w:r w:rsidRPr="006B2695">
        <w:rPr>
          <w:rFonts w:eastAsia="Calibri"/>
          <w:color w:val="000000"/>
          <w:sz w:val="20"/>
          <w:szCs w:val="20"/>
        </w:rPr>
        <w:br/>
        <w:t>Vrh Berlinskega procesa je potrdil skupne zaveze h krepitvi varnosti, stabilnosti in blaginje na Zahodnem Balkanu in v celotni Evropi. Udeleženci so se strinjali, da je stabilnost Zahodnega Balkana ključna za varnost in mir v Evropi.</w:t>
      </w:r>
    </w:p>
    <w:p w14:paraId="64420A6D" w14:textId="77777777" w:rsidR="006B2695" w:rsidRPr="006B2695" w:rsidRDefault="006B2695" w:rsidP="00411064">
      <w:pPr>
        <w:autoSpaceDE w:val="0"/>
        <w:autoSpaceDN w:val="0"/>
        <w:adjustRightInd w:val="0"/>
        <w:spacing w:line="276" w:lineRule="auto"/>
        <w:rPr>
          <w:rFonts w:eastAsia="Calibri"/>
          <w:color w:val="000000"/>
          <w:sz w:val="20"/>
          <w:szCs w:val="20"/>
          <w:highlight w:val="lightGray"/>
        </w:rPr>
      </w:pPr>
    </w:p>
    <w:p w14:paraId="5496E691" w14:textId="77777777" w:rsidR="006B2695" w:rsidRPr="006B2695" w:rsidRDefault="006B2695" w:rsidP="00411064">
      <w:pPr>
        <w:autoSpaceDE w:val="0"/>
        <w:autoSpaceDN w:val="0"/>
        <w:adjustRightInd w:val="0"/>
        <w:spacing w:line="276" w:lineRule="auto"/>
        <w:ind w:right="103"/>
        <w:rPr>
          <w:sz w:val="20"/>
          <w:szCs w:val="20"/>
        </w:rPr>
      </w:pPr>
      <w:r w:rsidRPr="006B2695">
        <w:rPr>
          <w:sz w:val="20"/>
          <w:szCs w:val="20"/>
        </w:rPr>
        <w:t>Grško predsedstvo Strategije EU za jadransko-jonsko regijo (EUSAIR) in JJP za obdobje 1.</w:t>
      </w:r>
      <w:r w:rsidR="00CA5090">
        <w:rPr>
          <w:sz w:val="20"/>
          <w:szCs w:val="20"/>
        </w:rPr>
        <w:t xml:space="preserve"> junija </w:t>
      </w:r>
      <w:r w:rsidRPr="006B2695">
        <w:rPr>
          <w:sz w:val="20"/>
          <w:szCs w:val="20"/>
        </w:rPr>
        <w:t>2024 do 31.</w:t>
      </w:r>
      <w:r w:rsidR="00CA5090">
        <w:rPr>
          <w:sz w:val="20"/>
          <w:szCs w:val="20"/>
        </w:rPr>
        <w:t xml:space="preserve"> maja </w:t>
      </w:r>
      <w:r w:rsidRPr="006B2695">
        <w:rPr>
          <w:sz w:val="20"/>
          <w:szCs w:val="20"/>
        </w:rPr>
        <w:t>2025 je 5. – 6. maja 2025 na Kreti organiziralo ministrsko zasedanje EUSAIR / zasedanje Sveta ministrov JJP, ki se ga je v imenu RS udeležil minister za kohezijo in regionalni razvoj dr. Aleksander Jevšek. Na ministrskem srečanju je bila sprejeta Kretska deklaracija, ki priznava, da je širitev EU geostrateška naložba v mir, varnost, stabilnost in blaginjo v jadransko-jonski regiji, in da lahko sodelovanje v okviru JJP/EUSAIR dodatno olajša pot kandidatkam do članstva v EU.</w:t>
      </w:r>
    </w:p>
    <w:p w14:paraId="3C1822E4" w14:textId="77777777" w:rsidR="006B2695" w:rsidRPr="006B2695" w:rsidRDefault="006B2695" w:rsidP="00411064">
      <w:pPr>
        <w:autoSpaceDE w:val="0"/>
        <w:autoSpaceDN w:val="0"/>
        <w:adjustRightInd w:val="0"/>
        <w:spacing w:line="276" w:lineRule="auto"/>
        <w:ind w:right="103"/>
        <w:rPr>
          <w:sz w:val="20"/>
          <w:szCs w:val="20"/>
        </w:rPr>
      </w:pPr>
    </w:p>
    <w:p w14:paraId="04FF52FB" w14:textId="77777777" w:rsidR="006B2695" w:rsidRPr="006B2695" w:rsidRDefault="006B2695" w:rsidP="00411064">
      <w:pPr>
        <w:autoSpaceDE w:val="0"/>
        <w:autoSpaceDN w:val="0"/>
        <w:adjustRightInd w:val="0"/>
        <w:spacing w:line="276" w:lineRule="auto"/>
        <w:ind w:right="103"/>
        <w:rPr>
          <w:sz w:val="20"/>
          <w:szCs w:val="20"/>
        </w:rPr>
      </w:pPr>
      <w:r w:rsidRPr="006B2695">
        <w:rPr>
          <w:sz w:val="20"/>
          <w:szCs w:val="20"/>
        </w:rPr>
        <w:t xml:space="preserve">V organizaciji grškega parlamenta je 22. do 23. maja 2025 v Ioanini potekala XIX. Konferenca predsednikov parlamentov JJP, ki je obravnavala evropsko perspektivo in prihodnost Zahodnega Balkana ter turizem kot gonilo regionalne rasti v regiji. V sprejeti deklaraciji so izpostavili pomen procesa širitve EU kot gonilne sile za rast, stabilnost in varnost na območju jadransko-jonske regije, poudarili, da širitev EU spodbuja skupne vrednote in spravo, in se zavezali, da bodo še naprej podpirali prizadevanja za evropsko integracijo Zahodnega Balkana. </w:t>
      </w:r>
    </w:p>
    <w:p w14:paraId="521F2BF8" w14:textId="77777777" w:rsidR="006B2695" w:rsidRPr="006B2695" w:rsidRDefault="006B2695" w:rsidP="00411064">
      <w:pPr>
        <w:autoSpaceDE w:val="0"/>
        <w:autoSpaceDN w:val="0"/>
        <w:adjustRightInd w:val="0"/>
        <w:spacing w:line="276" w:lineRule="auto"/>
        <w:ind w:right="103"/>
        <w:rPr>
          <w:sz w:val="20"/>
          <w:szCs w:val="20"/>
        </w:rPr>
      </w:pPr>
    </w:p>
    <w:p w14:paraId="10E69932" w14:textId="77777777" w:rsidR="006B2695" w:rsidRPr="006B2695" w:rsidRDefault="006B2695" w:rsidP="00411064">
      <w:pPr>
        <w:spacing w:line="276" w:lineRule="auto"/>
        <w:rPr>
          <w:sz w:val="20"/>
          <w:szCs w:val="20"/>
        </w:rPr>
      </w:pPr>
      <w:r w:rsidRPr="006B2695">
        <w:rPr>
          <w:sz w:val="20"/>
          <w:szCs w:val="20"/>
        </w:rPr>
        <w:t xml:space="preserve">Ob 25. obletnici ustanovitve JJP je 27. junija 2025 v Anconi potekala konferenca na visoki ravni z naslovom "25 let Anconske deklaracije: nova obzorja in perspektive za </w:t>
      </w:r>
      <w:r w:rsidR="006C7B64">
        <w:rPr>
          <w:sz w:val="20"/>
          <w:szCs w:val="20"/>
        </w:rPr>
        <w:t>EU</w:t>
      </w:r>
      <w:r w:rsidRPr="006B2695">
        <w:rPr>
          <w:sz w:val="20"/>
          <w:szCs w:val="20"/>
        </w:rPr>
        <w:t xml:space="preserve">“, ki je odločno potrdila zavezanost regionalnemu sodelovanju in evropski integraciji v jugovzhodni Evropi ter vlogo JPP kot strateškega inštrumenta za integracijo Zahodnega Balkana. </w:t>
      </w:r>
    </w:p>
    <w:p w14:paraId="798FCD4E" w14:textId="77777777" w:rsidR="006B2695" w:rsidRPr="006B2695" w:rsidRDefault="006B2695" w:rsidP="00411064">
      <w:pPr>
        <w:spacing w:line="276" w:lineRule="auto"/>
        <w:rPr>
          <w:sz w:val="20"/>
          <w:szCs w:val="20"/>
        </w:rPr>
      </w:pPr>
    </w:p>
    <w:p w14:paraId="1CC427BE" w14:textId="77777777" w:rsidR="006B2695" w:rsidRPr="006B2695" w:rsidRDefault="006B2695" w:rsidP="00411064">
      <w:pPr>
        <w:spacing w:line="276" w:lineRule="auto"/>
        <w:rPr>
          <w:sz w:val="20"/>
          <w:szCs w:val="20"/>
        </w:rPr>
      </w:pPr>
      <w:r w:rsidRPr="006B2695">
        <w:rPr>
          <w:sz w:val="20"/>
          <w:szCs w:val="20"/>
        </w:rPr>
        <w:t>Predsedovanje JJP za obdobje 1.</w:t>
      </w:r>
      <w:r w:rsidR="00F87185">
        <w:rPr>
          <w:sz w:val="20"/>
          <w:szCs w:val="20"/>
        </w:rPr>
        <w:t xml:space="preserve"> junija </w:t>
      </w:r>
      <w:r w:rsidRPr="006B2695">
        <w:rPr>
          <w:sz w:val="20"/>
          <w:szCs w:val="20"/>
        </w:rPr>
        <w:t>2025 do 31.</w:t>
      </w:r>
      <w:r w:rsidR="00F87185">
        <w:rPr>
          <w:sz w:val="20"/>
          <w:szCs w:val="20"/>
        </w:rPr>
        <w:t xml:space="preserve"> maja </w:t>
      </w:r>
      <w:r w:rsidRPr="006B2695">
        <w:rPr>
          <w:sz w:val="20"/>
          <w:szCs w:val="20"/>
        </w:rPr>
        <w:t xml:space="preserve">2026 je prevzela Severna Makedonija, ki je 22. septembra 2025, ob robu 80. zasedanja </w:t>
      </w:r>
      <w:r w:rsidR="00FF0EAD">
        <w:rPr>
          <w:sz w:val="20"/>
          <w:szCs w:val="20"/>
        </w:rPr>
        <w:t>GS</w:t>
      </w:r>
      <w:r w:rsidRPr="006B2695">
        <w:rPr>
          <w:sz w:val="20"/>
          <w:szCs w:val="20"/>
        </w:rPr>
        <w:t xml:space="preserve"> </w:t>
      </w:r>
      <w:r w:rsidR="008A137C">
        <w:rPr>
          <w:sz w:val="20"/>
          <w:szCs w:val="20"/>
        </w:rPr>
        <w:t>O</w:t>
      </w:r>
      <w:r w:rsidR="009B2715">
        <w:rPr>
          <w:sz w:val="20"/>
          <w:szCs w:val="20"/>
        </w:rPr>
        <w:t>ZN</w:t>
      </w:r>
      <w:r w:rsidRPr="006B2695">
        <w:rPr>
          <w:sz w:val="20"/>
          <w:szCs w:val="20"/>
        </w:rPr>
        <w:t xml:space="preserve"> v New Yorku, gostila prvo srečanje zunanjih ministrov JJP. Na srečanju so udeleženci potrdili skupno zavezanost regionalnemu sodelovanju, evropski integraciji in konstruktivnemu multilateralizmu. </w:t>
      </w:r>
    </w:p>
    <w:p w14:paraId="2C3567FC" w14:textId="77777777" w:rsidR="006B2695" w:rsidRPr="006B2695" w:rsidRDefault="006B2695" w:rsidP="00411064">
      <w:pPr>
        <w:spacing w:line="276" w:lineRule="auto"/>
        <w:rPr>
          <w:sz w:val="20"/>
          <w:szCs w:val="20"/>
          <w:highlight w:val="lightGray"/>
        </w:rPr>
      </w:pPr>
    </w:p>
    <w:p w14:paraId="17E2FEB9" w14:textId="77777777" w:rsidR="008310FB" w:rsidRDefault="008310FB" w:rsidP="00411064">
      <w:pPr>
        <w:spacing w:line="276" w:lineRule="auto"/>
        <w:rPr>
          <w:rFonts w:eastAsia="Calibri"/>
          <w:color w:val="000000"/>
          <w:sz w:val="20"/>
          <w:szCs w:val="20"/>
        </w:rPr>
      </w:pPr>
      <w:r w:rsidRPr="008310FB">
        <w:rPr>
          <w:rFonts w:eastAsia="Calibri"/>
          <w:color w:val="000000"/>
          <w:sz w:val="20"/>
          <w:szCs w:val="20"/>
        </w:rPr>
        <w:t>V okviru srbskega predsedovanja SEP sta v New Yorku in v Beogradu potekali ministrski srečanji, držav članic SEP, ki se ju je RS udeležila na ravni državne sekretarke (NY) in na ravni veleposlanika (Beograd). V Beogradu so udeleženci srečanja sprejeli skupno izjavo, s katero so potrdili zavezanost strateškim ciljem SEP, vključno s spodbujanjem evropskega integracijskega procesa, trajnostnega razvoja, dobrososedskih odnosov, spoštovanja mednarodnega prava in temeljnih svoboščin. V izjavi so ministri ostro obsodili nadaljevanje ruske agresije proti Ukrajini ter izrazili neomajno podporo njeni suverenosti, neodvisnosti, enotnosti in ozemeljski celovitosti (v tem delu je Madžarska podala ločeno izjavo, v kateri je izrazila zadržke do podpore vstopu Ukrajine v EU). Ministri so še poudarili pomen dialoga in prizadevanj za mir ter opozorili na naraščajoče grožnje evropski varnosti, kot so dezinformacije in hibridne grožnje. Izpostavili so edinstveno vlogo SEP kot platforme za spodbujanje solidarnosti, sprave in konstruktivnega regionalnega sodelovanja ter poudarili napredek pri pristopnih pogajanjih k EU. V letu 202</w:t>
      </w:r>
      <w:r w:rsidR="00A7319F">
        <w:rPr>
          <w:rFonts w:eastAsia="Calibri"/>
          <w:color w:val="000000"/>
          <w:sz w:val="20"/>
          <w:szCs w:val="20"/>
        </w:rPr>
        <w:t>6</w:t>
      </w:r>
      <w:r w:rsidRPr="008310FB">
        <w:rPr>
          <w:rFonts w:eastAsia="Calibri"/>
          <w:color w:val="000000"/>
          <w:sz w:val="20"/>
          <w:szCs w:val="20"/>
        </w:rPr>
        <w:t xml:space="preserve"> bo organizaciji predsedovala Romunij</w:t>
      </w:r>
      <w:r w:rsidR="00054793">
        <w:rPr>
          <w:rFonts w:eastAsia="Calibri"/>
          <w:color w:val="000000"/>
          <w:sz w:val="20"/>
          <w:szCs w:val="20"/>
        </w:rPr>
        <w:t xml:space="preserve">a. </w:t>
      </w:r>
      <w:r w:rsidRPr="008310FB">
        <w:rPr>
          <w:rFonts w:eastAsia="Calibri"/>
          <w:color w:val="000000"/>
          <w:sz w:val="20"/>
          <w:szCs w:val="20"/>
        </w:rPr>
        <w:t>Vrha Procesa sodelovanja v Jugovzhodni Evropi (SEECP), ki je potekal junija 2025 v Tirani</w:t>
      </w:r>
      <w:r w:rsidR="00A7319F">
        <w:rPr>
          <w:rFonts w:eastAsia="Calibri"/>
          <w:color w:val="000000"/>
          <w:sz w:val="20"/>
          <w:szCs w:val="20"/>
        </w:rPr>
        <w:t>,</w:t>
      </w:r>
      <w:r w:rsidRPr="008310FB">
        <w:rPr>
          <w:rFonts w:eastAsia="Calibri"/>
          <w:color w:val="000000"/>
          <w:sz w:val="20"/>
          <w:szCs w:val="20"/>
        </w:rPr>
        <w:t xml:space="preserve"> se je udeležila predsednica RS Pirc Musar. Predsedniki so na plenarnem zasedanju izmenjali stališča na temo “Spodbujanja stabilnosti in blaginje preko regionalnega sodelovanja in EU integracije”. Poudarili so, da je regionalno sodelovanje bistvenega pomena za uspeh reform in procesov pristopa k EU.</w:t>
      </w:r>
    </w:p>
    <w:p w14:paraId="7A52C051" w14:textId="77777777" w:rsidR="008310FB" w:rsidRPr="006B2695" w:rsidRDefault="008310FB" w:rsidP="00411064">
      <w:pPr>
        <w:spacing w:line="276" w:lineRule="auto"/>
        <w:rPr>
          <w:sz w:val="20"/>
          <w:szCs w:val="20"/>
          <w:highlight w:val="lightGray"/>
        </w:rPr>
      </w:pPr>
    </w:p>
    <w:p w14:paraId="53A8DDB5" w14:textId="77777777" w:rsidR="008310FB" w:rsidRPr="008310FB" w:rsidRDefault="008310FB" w:rsidP="008310FB">
      <w:pPr>
        <w:spacing w:line="276" w:lineRule="auto"/>
        <w:rPr>
          <w:rFonts w:eastAsia="Calibri"/>
          <w:color w:val="000000"/>
          <w:sz w:val="20"/>
          <w:szCs w:val="20"/>
        </w:rPr>
      </w:pPr>
      <w:r w:rsidRPr="008310FB">
        <w:rPr>
          <w:rFonts w:eastAsia="Calibri"/>
          <w:color w:val="000000"/>
          <w:sz w:val="20"/>
          <w:szCs w:val="20"/>
        </w:rPr>
        <w:t>Predsednica RS je v svojem nagovoru izrazila podporo RS regionalnemu sodelovanju ter se zavzela za učinkovit, verodostojen in transparenten širitveni proces, tudi v luči zagotavljanja krepitve območja stabilnosti, demokracije in vladavine prava v Evropi. RS si aktivno prizadeva za zmanjševanje razvojnega razkoraka med EU in državami regije ter zagovarja stališče, da je treba izboljšati povezljivosti v vseh njenih vidikih, predvsem na področjih energetike in transporta, kot tudi na področjih digitalizacije in stikov v kontekstu civilne družbe. Napredek na teh področjih je tesno povezan z zagotavljanjem pogojev za hitrejši ekonomsko-socialni razvoj. V imenu RS je poudarila pomen celovite implementacije skupnega regionalnega trga.</w:t>
      </w:r>
    </w:p>
    <w:p w14:paraId="104E5361" w14:textId="77777777" w:rsidR="008310FB" w:rsidRPr="008310FB" w:rsidRDefault="008310FB" w:rsidP="008310FB">
      <w:pPr>
        <w:spacing w:line="276" w:lineRule="auto"/>
        <w:rPr>
          <w:rFonts w:eastAsia="Calibri"/>
          <w:color w:val="000000"/>
          <w:sz w:val="20"/>
          <w:szCs w:val="20"/>
        </w:rPr>
      </w:pPr>
    </w:p>
    <w:p w14:paraId="27E175EC" w14:textId="77777777" w:rsidR="008310FB" w:rsidRPr="008310FB" w:rsidRDefault="008310FB" w:rsidP="008310FB">
      <w:pPr>
        <w:spacing w:line="276" w:lineRule="auto"/>
        <w:rPr>
          <w:rFonts w:eastAsia="Calibri"/>
          <w:color w:val="000000"/>
          <w:sz w:val="20"/>
          <w:szCs w:val="20"/>
        </w:rPr>
      </w:pPr>
      <w:r w:rsidRPr="008310FB">
        <w:rPr>
          <w:rFonts w:eastAsia="Calibri"/>
          <w:color w:val="000000"/>
          <w:sz w:val="20"/>
          <w:szCs w:val="20"/>
        </w:rPr>
        <w:t>Ministrskega zasedanja ob robu Vrha SEECP se je v imenu ministrice za zunanje in evropske zadeve udeležila državna sekretarka dr. Melita Gabrič. Ministri za zunanje zadeve so potrdili skupno izjavo, ki je bila v nadaljevanju obravnavana na Vrhu SEECP istega dne, vendar ni bila soglasno podprta (nasprotovali sta ji Srbija ter BiH). S 1. julijem 2025 je predsedovanje SEECP prevzela Bolgarija.</w:t>
      </w:r>
    </w:p>
    <w:p w14:paraId="0F75B5BB" w14:textId="77777777" w:rsidR="008310FB" w:rsidRPr="008310FB" w:rsidRDefault="008310FB" w:rsidP="008310FB">
      <w:pPr>
        <w:spacing w:line="276" w:lineRule="auto"/>
        <w:rPr>
          <w:rFonts w:eastAsia="Calibri"/>
          <w:color w:val="000000"/>
          <w:sz w:val="20"/>
          <w:szCs w:val="20"/>
        </w:rPr>
      </w:pPr>
    </w:p>
    <w:p w14:paraId="31C975FD" w14:textId="77777777" w:rsidR="008310FB" w:rsidRPr="008310FB" w:rsidRDefault="008310FB" w:rsidP="008310FB">
      <w:pPr>
        <w:spacing w:line="276" w:lineRule="auto"/>
        <w:rPr>
          <w:rFonts w:eastAsia="Calibri"/>
          <w:color w:val="000000"/>
          <w:sz w:val="20"/>
          <w:szCs w:val="20"/>
        </w:rPr>
      </w:pPr>
      <w:r w:rsidRPr="008310FB">
        <w:rPr>
          <w:rFonts w:eastAsia="Calibri"/>
          <w:color w:val="000000"/>
          <w:sz w:val="20"/>
          <w:szCs w:val="20"/>
        </w:rPr>
        <w:t>Ministrstvo za kohezijo in regionalni razvoj (MKRR) sodeluje pri aktivnostih, povezanih z izvajanjem strategije SEE2030. V letu 2025 je MKRR koordiniralo in pripravilo odziv RS na prvi osnutek predloga vmesne posodobitve SEE2030.</w:t>
      </w:r>
    </w:p>
    <w:p w14:paraId="18C04773" w14:textId="77777777" w:rsidR="008310FB" w:rsidRPr="008310FB" w:rsidRDefault="008310FB" w:rsidP="008310FB">
      <w:pPr>
        <w:spacing w:line="276" w:lineRule="auto"/>
        <w:rPr>
          <w:rFonts w:eastAsia="Calibri"/>
          <w:color w:val="000000"/>
          <w:sz w:val="20"/>
          <w:szCs w:val="20"/>
        </w:rPr>
      </w:pPr>
    </w:p>
    <w:p w14:paraId="2381C6C5" w14:textId="77777777" w:rsidR="00345A1F" w:rsidRDefault="008310FB" w:rsidP="008310FB">
      <w:pPr>
        <w:spacing w:line="276" w:lineRule="auto"/>
        <w:rPr>
          <w:rFonts w:eastAsia="Calibri"/>
          <w:color w:val="000000"/>
          <w:sz w:val="20"/>
          <w:szCs w:val="20"/>
        </w:rPr>
      </w:pPr>
      <w:r w:rsidRPr="008310FB">
        <w:rPr>
          <w:rFonts w:eastAsia="Calibri"/>
          <w:color w:val="000000"/>
          <w:sz w:val="20"/>
          <w:szCs w:val="20"/>
        </w:rPr>
        <w:t>V letu 2025 je RS pričela sodelovati v Regionalni mreži jugovzhodne Evrope za zavarovanje in delitev tveganja ob nesrečah, ustanovljeni v okviru Sveta za regionalno sodelovanje. Mreža statističnih uradov sodelujočih držav strategije SEE2030 je nadaljevala delo na regionalnih kazalnikih ciljev trajnostnega razvoja.</w:t>
      </w:r>
    </w:p>
    <w:p w14:paraId="44B32BB0" w14:textId="77777777" w:rsidR="008310FB" w:rsidRDefault="008310FB" w:rsidP="008310FB">
      <w:pPr>
        <w:spacing w:line="276" w:lineRule="auto"/>
        <w:rPr>
          <w:rFonts w:eastAsia="Calibri"/>
          <w:color w:val="000000"/>
          <w:sz w:val="20"/>
          <w:szCs w:val="20"/>
        </w:rPr>
      </w:pPr>
    </w:p>
    <w:p w14:paraId="289FDAA7" w14:textId="77777777" w:rsidR="008310FB" w:rsidRDefault="008310FB" w:rsidP="008310FB">
      <w:pPr>
        <w:spacing w:line="276" w:lineRule="auto"/>
        <w:rPr>
          <w:sz w:val="20"/>
          <w:szCs w:val="20"/>
          <w:highlight w:val="yellow"/>
        </w:rPr>
      </w:pPr>
      <w:r w:rsidRPr="008310FB">
        <w:rPr>
          <w:sz w:val="20"/>
          <w:szCs w:val="20"/>
        </w:rPr>
        <w:t>RS je z namenom podpore širitvenemu procesu na Zahodnem Balkanu aktivno sodelovala tudi kot članica Upravnega odbora Sveta za regionalno sodelovanje (RCC).</w:t>
      </w:r>
    </w:p>
    <w:p w14:paraId="1793F8BC" w14:textId="77777777" w:rsidR="00411064" w:rsidRDefault="00411064" w:rsidP="00411064">
      <w:pPr>
        <w:spacing w:line="276" w:lineRule="auto"/>
        <w:rPr>
          <w:sz w:val="20"/>
          <w:szCs w:val="20"/>
          <w:highlight w:val="yellow"/>
        </w:rPr>
      </w:pPr>
    </w:p>
    <w:p w14:paraId="22BA0363" w14:textId="77777777" w:rsidR="008310FB" w:rsidRPr="00140B34" w:rsidRDefault="008310FB" w:rsidP="00411064">
      <w:pPr>
        <w:spacing w:line="276" w:lineRule="auto"/>
        <w:rPr>
          <w:sz w:val="20"/>
          <w:szCs w:val="20"/>
          <w:highlight w:val="yellow"/>
        </w:rPr>
      </w:pPr>
    </w:p>
    <w:p w14:paraId="5520C48E" w14:textId="77777777" w:rsidR="00C00B39" w:rsidRPr="00532295" w:rsidRDefault="00AE2B8C" w:rsidP="00411064">
      <w:pPr>
        <w:pStyle w:val="Heading3"/>
      </w:pPr>
      <w:bookmarkStart w:id="6" w:name="_Toc227227964"/>
      <w:r w:rsidRPr="00532295">
        <w:t>2</w:t>
      </w:r>
      <w:r w:rsidR="00B2679F" w:rsidRPr="00532295">
        <w:t xml:space="preserve">.1. Makroregionalne </w:t>
      </w:r>
      <w:r w:rsidR="00532295" w:rsidRPr="00532295">
        <w:t>strategije EU</w:t>
      </w:r>
      <w:bookmarkEnd w:id="6"/>
    </w:p>
    <w:p w14:paraId="65216263" w14:textId="77777777" w:rsidR="00990ED5" w:rsidRPr="00140B34" w:rsidRDefault="00990ED5" w:rsidP="00411064">
      <w:pPr>
        <w:spacing w:line="276" w:lineRule="auto"/>
        <w:rPr>
          <w:sz w:val="20"/>
          <w:szCs w:val="20"/>
          <w:highlight w:val="yellow"/>
        </w:rPr>
      </w:pPr>
    </w:p>
    <w:p w14:paraId="4CC851E5" w14:textId="77777777" w:rsidR="00D453C9" w:rsidRDefault="00D453C9" w:rsidP="00411064">
      <w:pPr>
        <w:spacing w:line="276" w:lineRule="auto"/>
        <w:rPr>
          <w:sz w:val="20"/>
          <w:szCs w:val="20"/>
        </w:rPr>
      </w:pPr>
      <w:r w:rsidRPr="00D453C9">
        <w:rPr>
          <w:sz w:val="20"/>
          <w:szCs w:val="20"/>
        </w:rPr>
        <w:t xml:space="preserve">Podporo predsedstvu ter vsem upravljavskim in tematsko-izvedbenim telesom pri vodenju in koordinaciji strategije EUSAIR in njenih procesov je tudi v letu 2025 zagotavljal EUSAIR Facility Point, ki deluje kot sekretariat strategije. </w:t>
      </w:r>
      <w:r w:rsidR="00AD272B">
        <w:rPr>
          <w:sz w:val="20"/>
          <w:szCs w:val="20"/>
        </w:rPr>
        <w:t>MKRR</w:t>
      </w:r>
      <w:r w:rsidRPr="00D453C9">
        <w:rPr>
          <w:sz w:val="20"/>
          <w:szCs w:val="20"/>
        </w:rPr>
        <w:t xml:space="preserve"> vodi partnerstvo EUSAIR Facility Point v katerem sodelujejo sorodne institucije iz vseh držav EUSAIR, vključno s petimi državami kandidatkami za članstvo EU. </w:t>
      </w:r>
    </w:p>
    <w:p w14:paraId="3BFAA78B" w14:textId="77777777" w:rsidR="00D453C9" w:rsidRPr="00D453C9" w:rsidRDefault="00D453C9" w:rsidP="00411064">
      <w:pPr>
        <w:spacing w:line="276" w:lineRule="auto"/>
        <w:rPr>
          <w:sz w:val="20"/>
          <w:szCs w:val="20"/>
        </w:rPr>
      </w:pPr>
    </w:p>
    <w:p w14:paraId="19FA41CF" w14:textId="77777777" w:rsidR="00D453C9" w:rsidRPr="00D453C9" w:rsidRDefault="00D453C9" w:rsidP="00411064">
      <w:pPr>
        <w:spacing w:line="276" w:lineRule="auto"/>
        <w:rPr>
          <w:sz w:val="20"/>
          <w:szCs w:val="20"/>
        </w:rPr>
      </w:pPr>
      <w:r w:rsidRPr="00D453C9">
        <w:rPr>
          <w:sz w:val="20"/>
          <w:szCs w:val="20"/>
        </w:rPr>
        <w:t xml:space="preserve">V okviru svojih nalog je EUSAIR Facility Point pomembno prispeval k nadaljnjemu razvoju in utrjevanju strategije EUSAIR, pri čemer je imel posebno vlogo tudi pri krepitvi sodelovanja držav Zahodnega Balkana ter njihovem vključevanju v procese evropskega sodelovanja in približevanja </w:t>
      </w:r>
      <w:r w:rsidR="0082646E">
        <w:rPr>
          <w:sz w:val="20"/>
          <w:szCs w:val="20"/>
        </w:rPr>
        <w:t>EU</w:t>
      </w:r>
      <w:r w:rsidRPr="00D453C9">
        <w:rPr>
          <w:sz w:val="20"/>
          <w:szCs w:val="20"/>
        </w:rPr>
        <w:t xml:space="preserve">. To je bilo še posebej pomembno v letu 2025, ko je predsedovanje strategiji EUSAIR prevzela Severna Makedonija. V tem okviru je EUSAIR Facility Point zagotovil podporo izvedbi skupnega srečanja strategij EUSAIR in </w:t>
      </w:r>
      <w:r w:rsidR="004B0E32" w:rsidRPr="00D453C9">
        <w:rPr>
          <w:rFonts w:eastAsia="Calibri"/>
          <w:bCs/>
          <w:sz w:val="20"/>
          <w:szCs w:val="20"/>
        </w:rPr>
        <w:t xml:space="preserve">Strategije EU za Podonavje </w:t>
      </w:r>
      <w:r w:rsidR="004B0E32">
        <w:rPr>
          <w:rFonts w:eastAsia="Calibri"/>
          <w:bCs/>
          <w:sz w:val="20"/>
          <w:szCs w:val="20"/>
        </w:rPr>
        <w:t>(</w:t>
      </w:r>
      <w:r w:rsidRPr="00D453C9">
        <w:rPr>
          <w:sz w:val="20"/>
          <w:szCs w:val="20"/>
        </w:rPr>
        <w:t>EUSDR</w:t>
      </w:r>
      <w:r w:rsidR="004B0E32">
        <w:rPr>
          <w:sz w:val="20"/>
          <w:szCs w:val="20"/>
        </w:rPr>
        <w:t>)</w:t>
      </w:r>
      <w:r w:rsidRPr="00D453C9">
        <w:rPr>
          <w:sz w:val="20"/>
          <w:szCs w:val="20"/>
        </w:rPr>
        <w:t xml:space="preserve"> v Sarajevu ob robu foruma strategije EUSDR</w:t>
      </w:r>
      <w:r w:rsidR="004B0E32">
        <w:rPr>
          <w:sz w:val="20"/>
          <w:szCs w:val="20"/>
        </w:rPr>
        <w:t xml:space="preserve"> </w:t>
      </w:r>
      <w:r w:rsidRPr="00D453C9">
        <w:rPr>
          <w:sz w:val="20"/>
          <w:szCs w:val="20"/>
        </w:rPr>
        <w:t xml:space="preserve">(november 2025), ki je okrepilo prizadevanja obeh makroregionalnih strategij za praktično podporo državam kandidatkam pri krepitvi njihovih zmogljivosti za izpolnjevanje pogojev v pristopnih pogajanjih z </w:t>
      </w:r>
      <w:r w:rsidR="00AD272B">
        <w:rPr>
          <w:sz w:val="20"/>
          <w:szCs w:val="20"/>
        </w:rPr>
        <w:t>EU</w:t>
      </w:r>
      <w:r w:rsidRPr="00D453C9">
        <w:rPr>
          <w:sz w:val="20"/>
          <w:szCs w:val="20"/>
        </w:rPr>
        <w:t>.</w:t>
      </w:r>
    </w:p>
    <w:p w14:paraId="30BB7286" w14:textId="77777777" w:rsidR="00D453C9" w:rsidRPr="00D453C9" w:rsidRDefault="00D453C9" w:rsidP="00411064">
      <w:pPr>
        <w:spacing w:line="276" w:lineRule="auto"/>
        <w:rPr>
          <w:sz w:val="20"/>
          <w:szCs w:val="20"/>
        </w:rPr>
      </w:pPr>
    </w:p>
    <w:p w14:paraId="22254DBB" w14:textId="77777777" w:rsidR="00D453C9" w:rsidRDefault="00D453C9" w:rsidP="00411064">
      <w:pPr>
        <w:spacing w:line="276" w:lineRule="auto"/>
        <w:rPr>
          <w:sz w:val="20"/>
          <w:szCs w:val="20"/>
        </w:rPr>
      </w:pPr>
      <w:r w:rsidRPr="00D453C9">
        <w:rPr>
          <w:sz w:val="20"/>
          <w:szCs w:val="20"/>
        </w:rPr>
        <w:t>Pomemben del aktivnosti v letu 2025 je bil namenjen tudi zaključevanju revizije Akcijskega načrta EUSAIR</w:t>
      </w:r>
      <w:r w:rsidRPr="00D453C9">
        <w:rPr>
          <w:sz w:val="20"/>
          <w:szCs w:val="20"/>
          <w:vertAlign w:val="superscript"/>
        </w:rPr>
        <w:footnoteReference w:id="1"/>
      </w:r>
      <w:r w:rsidRPr="00D453C9">
        <w:rPr>
          <w:sz w:val="20"/>
          <w:szCs w:val="20"/>
        </w:rPr>
        <w:t xml:space="preserve">, ki ga je 7. maja potrdila </w:t>
      </w:r>
      <w:r w:rsidR="00AD272B">
        <w:rPr>
          <w:sz w:val="20"/>
          <w:szCs w:val="20"/>
        </w:rPr>
        <w:t>EK</w:t>
      </w:r>
      <w:r w:rsidRPr="00D453C9">
        <w:rPr>
          <w:sz w:val="20"/>
          <w:szCs w:val="20"/>
        </w:rPr>
        <w:t xml:space="preserve">. Pomemben element revizije je bil zagotoviti močnejšo vlogo držav Zahodnega Balkana ter okrepiti vlogo strategije EUSAIR kot platforme za spodbujanje evropske integracije regije, tudi v kontekstu razprav o prihodnosti kohezijske politike po letu 2027. </w:t>
      </w:r>
    </w:p>
    <w:p w14:paraId="0C23CA9D" w14:textId="77777777" w:rsidR="00D453C9" w:rsidRPr="00D453C9" w:rsidRDefault="00D453C9" w:rsidP="00411064">
      <w:pPr>
        <w:spacing w:line="276" w:lineRule="auto"/>
        <w:rPr>
          <w:sz w:val="20"/>
          <w:szCs w:val="20"/>
        </w:rPr>
      </w:pPr>
    </w:p>
    <w:p w14:paraId="5420AE0B" w14:textId="77777777" w:rsidR="00D453C9" w:rsidRDefault="00D453C9" w:rsidP="00411064">
      <w:pPr>
        <w:spacing w:line="276" w:lineRule="auto"/>
        <w:rPr>
          <w:sz w:val="20"/>
          <w:szCs w:val="20"/>
        </w:rPr>
      </w:pPr>
      <w:r w:rsidRPr="00D453C9">
        <w:rPr>
          <w:sz w:val="20"/>
          <w:szCs w:val="20"/>
        </w:rPr>
        <w:t>Med pomembnejšimi dosežki leta 2025 izstopa tudi podpora delovanju Svetu mladih EUSAIR, ki je nov mehanizem za vključevanje mladih iz celotne jadransko-jonske regije, vključno z državami Zahodnega Balkana. Svet mladih je v letu 2025 deloval v polni sestavi, z jasno določenim mandatom in postopki dela, njegovi člani pa so aktivno sodelovali pri delu tematskih skupin in na dogodkih EUSAIR. Izvedeni so bili izbor članov za mandat 2025–2026, redna srečanja ter več pobud, namenjenih spodbujanju podjetništva in aktivnega državljanstva mladih v regiji.</w:t>
      </w:r>
      <w:bookmarkStart w:id="7" w:name="_Hlk218781402"/>
    </w:p>
    <w:p w14:paraId="04C1C101" w14:textId="77777777" w:rsidR="00D453C9" w:rsidRPr="00D453C9" w:rsidRDefault="00D453C9" w:rsidP="00411064">
      <w:pPr>
        <w:spacing w:line="276" w:lineRule="auto"/>
        <w:rPr>
          <w:sz w:val="20"/>
          <w:szCs w:val="20"/>
        </w:rPr>
      </w:pPr>
    </w:p>
    <w:p w14:paraId="1815F126" w14:textId="77777777" w:rsidR="00D453C9" w:rsidRDefault="00D453C9" w:rsidP="00411064">
      <w:pPr>
        <w:spacing w:line="276" w:lineRule="auto"/>
        <w:rPr>
          <w:sz w:val="20"/>
          <w:szCs w:val="20"/>
        </w:rPr>
      </w:pPr>
      <w:r w:rsidRPr="00D453C9">
        <w:rPr>
          <w:sz w:val="20"/>
          <w:szCs w:val="20"/>
        </w:rPr>
        <w:t>Ob podpori EUSAIR Facility Point in Veleposlaništva RS v Atenah, je Primorski tehnološki park znotraj Foruma EUSAIR maja 2025 na Kreti že petič zapored organiziral niz dogodkov namenjenih spodbujanju podjetništva med mladimi, imenovanih "EUSAIR POPRI". Na tekmovanju, ki vključuje tehnološke parke, mentorje in mlade iz vseh 10 EUSAIR držav, so mladi predstavili konkretne poslovne rešitve, ki odgovarjajo na potrebe prebivalcev regije. V revidiranem Akcijskem načrtu EUSAIR, sprejetem maja 2025, je bil "EUSAIR POPRI" pr</w:t>
      </w:r>
      <w:r w:rsidR="009440A8">
        <w:rPr>
          <w:sz w:val="20"/>
          <w:szCs w:val="20"/>
        </w:rPr>
        <w:t>e</w:t>
      </w:r>
      <w:r w:rsidRPr="00D453C9">
        <w:rPr>
          <w:sz w:val="20"/>
          <w:szCs w:val="20"/>
        </w:rPr>
        <w:t xml:space="preserve">poznan kot vodilni projekt za opolnomočenje in vključevanje mladih ter kot mehanizem za prenos znanja in izboljšanje zaposljivosti mladih. V regiji Zahodnega Balkana je "EUSAIR POPRI" prepoznan kot konkreten projekt, ki naslavlja problematiko ''bega možganov''. </w:t>
      </w:r>
    </w:p>
    <w:p w14:paraId="1CD0F19C" w14:textId="77777777" w:rsidR="00D453C9" w:rsidRPr="00D453C9" w:rsidRDefault="00D453C9" w:rsidP="00411064">
      <w:pPr>
        <w:spacing w:line="276" w:lineRule="auto"/>
        <w:rPr>
          <w:sz w:val="20"/>
          <w:szCs w:val="20"/>
        </w:rPr>
      </w:pPr>
    </w:p>
    <w:bookmarkEnd w:id="7"/>
    <w:p w14:paraId="16D1A6FF" w14:textId="77777777" w:rsidR="00D453C9" w:rsidRDefault="00D453C9" w:rsidP="00411064">
      <w:pPr>
        <w:spacing w:line="276" w:lineRule="auto"/>
        <w:rPr>
          <w:sz w:val="20"/>
          <w:szCs w:val="20"/>
        </w:rPr>
      </w:pPr>
      <w:r w:rsidRPr="00D453C9">
        <w:rPr>
          <w:sz w:val="20"/>
          <w:szCs w:val="20"/>
        </w:rPr>
        <w:t xml:space="preserve">Leto 2025 je zaznamovalo tudi obeleževanje 10. obletnice strategije EUSAIR, ki je potekalo v okviru celovite komunikacijske kampanje. Ta je vključevala pripravo pregleda ključnih dosežkov posameznih stebrov in držav, promocijski video in publikacijo ter kampanjo nacionalnih zgodb, s katerimi so bili predstavljeni konkretni rezultati sodelovanja v regiji. Kampanja je pomembno prispevala k večji prepoznavnosti strategije ter krepitvi njene legitimnosti med deležniki, tudi v državah Zahodnega Balkana. </w:t>
      </w:r>
      <w:r w:rsidR="00AD272B">
        <w:rPr>
          <w:sz w:val="20"/>
          <w:szCs w:val="20"/>
        </w:rPr>
        <w:t>MKRR</w:t>
      </w:r>
      <w:r w:rsidRPr="00D453C9">
        <w:rPr>
          <w:sz w:val="20"/>
          <w:szCs w:val="20"/>
        </w:rPr>
        <w:t xml:space="preserve"> je prav tako soorganiziralo 10. Teden sredozemske obale in makroregionalnih strategij, kjer je bilo izpostavljeno, da je nadaljevanje močne kohezijske politike EU po letu 2027 ključno za krepitev sodelovanja znotraj EU ter z državami kandidatkami.</w:t>
      </w:r>
    </w:p>
    <w:p w14:paraId="04003665" w14:textId="77777777" w:rsidR="00D453C9" w:rsidRPr="00D453C9" w:rsidRDefault="00D453C9" w:rsidP="00411064">
      <w:pPr>
        <w:spacing w:line="276" w:lineRule="auto"/>
        <w:rPr>
          <w:sz w:val="20"/>
          <w:szCs w:val="20"/>
        </w:rPr>
      </w:pPr>
    </w:p>
    <w:p w14:paraId="1733652F" w14:textId="77777777" w:rsidR="00D453C9" w:rsidRPr="00D453C9" w:rsidRDefault="00D453C9" w:rsidP="00411064">
      <w:pPr>
        <w:spacing w:line="276" w:lineRule="auto"/>
        <w:rPr>
          <w:sz w:val="20"/>
          <w:szCs w:val="20"/>
        </w:rPr>
      </w:pPr>
      <w:r w:rsidRPr="00D453C9">
        <w:rPr>
          <w:sz w:val="20"/>
          <w:szCs w:val="20"/>
        </w:rPr>
        <w:t>EUSAIR Facility Point je v letu 2025 zagotavljal tudi strokovno podporo upravljavskim strukturam in državam partnericam, in sicer z angažiranjem tematskih strokovnjakov za posamezne stebre, pripravo analiz ter organizacijo razprav o prihodnjem razvoju kohezijske politike po letu 2027. S tem je deloval kot ključni povezovalni mehanizem med politično ravnjo, upravljavskimi strukturami in vsebinskimi deležniki ter prispeval k nadaljnjemu razvoju sodelovanja v jadransko-jonski regiji, vključno z aktivnejšo vlogo držav Zahodnega Balkana v makroregionalnem sodelovanju.</w:t>
      </w:r>
    </w:p>
    <w:p w14:paraId="29BD8129" w14:textId="77777777" w:rsidR="00455896" w:rsidRDefault="00455896" w:rsidP="00411064">
      <w:pPr>
        <w:spacing w:line="276" w:lineRule="auto"/>
        <w:rPr>
          <w:rFonts w:eastAsia="Calibri"/>
          <w:sz w:val="20"/>
          <w:szCs w:val="20"/>
          <w:highlight w:val="yellow"/>
        </w:rPr>
      </w:pPr>
    </w:p>
    <w:p w14:paraId="6610C780" w14:textId="77777777" w:rsidR="00411064" w:rsidRPr="00140B34" w:rsidRDefault="00411064" w:rsidP="00411064">
      <w:pPr>
        <w:spacing w:line="276" w:lineRule="auto"/>
        <w:rPr>
          <w:rFonts w:eastAsia="Calibri"/>
          <w:sz w:val="20"/>
          <w:szCs w:val="20"/>
          <w:highlight w:val="yellow"/>
        </w:rPr>
      </w:pPr>
    </w:p>
    <w:p w14:paraId="2CC26FE3" w14:textId="77777777" w:rsidR="005547B0" w:rsidRPr="000E324C" w:rsidRDefault="005547B0" w:rsidP="00411064">
      <w:pPr>
        <w:pStyle w:val="Heading2"/>
      </w:pPr>
      <w:bookmarkStart w:id="8" w:name="_Toc227227965"/>
      <w:r w:rsidRPr="000E324C">
        <w:t>Podpora procesom približe</w:t>
      </w:r>
      <w:r w:rsidR="00CE5E33" w:rsidRPr="000E324C">
        <w:t>vanja Zahodnega Balkana EU, Natu</w:t>
      </w:r>
      <w:r w:rsidRPr="000E324C">
        <w:t xml:space="preserve"> in drugim mednarodnim organizacijam in sodelovanje na področju evropskih integracij</w:t>
      </w:r>
      <w:bookmarkEnd w:id="8"/>
    </w:p>
    <w:p w14:paraId="3A4B3101" w14:textId="77777777" w:rsidR="009212B9" w:rsidRPr="000E324C" w:rsidRDefault="009212B9" w:rsidP="00411064">
      <w:pPr>
        <w:spacing w:line="276" w:lineRule="auto"/>
        <w:rPr>
          <w:sz w:val="20"/>
          <w:szCs w:val="20"/>
        </w:rPr>
      </w:pPr>
    </w:p>
    <w:p w14:paraId="71A3CF86" w14:textId="77777777" w:rsidR="006B2695" w:rsidRDefault="006B2695" w:rsidP="00411064">
      <w:pPr>
        <w:autoSpaceDE w:val="0"/>
        <w:autoSpaceDN w:val="0"/>
        <w:adjustRightInd w:val="0"/>
        <w:spacing w:line="276" w:lineRule="auto"/>
        <w:rPr>
          <w:sz w:val="20"/>
          <w:szCs w:val="20"/>
        </w:rPr>
      </w:pPr>
      <w:r>
        <w:rPr>
          <w:sz w:val="20"/>
          <w:szCs w:val="20"/>
        </w:rPr>
        <w:t xml:space="preserve">Poleg regionalnih srečanj so potekali tudi drugi dogodki v zvezi z Zahodnim Balkanom. Predsednik vlade dr. Golob se je decembra udeležil Vrha EU-Zahodni Balkan v Bruslju. Predstavniki RS so aktivno sodelovali na vrsti mednarodnih dogodkov, na katerih je bil obravnavan Zahodni Balkan. </w:t>
      </w:r>
    </w:p>
    <w:p w14:paraId="345D318E" w14:textId="77777777" w:rsidR="006B2695" w:rsidRPr="006B2695" w:rsidRDefault="006B2695" w:rsidP="00411064">
      <w:pPr>
        <w:autoSpaceDE w:val="0"/>
        <w:autoSpaceDN w:val="0"/>
        <w:adjustRightInd w:val="0"/>
        <w:spacing w:line="276" w:lineRule="auto"/>
        <w:rPr>
          <w:sz w:val="20"/>
          <w:szCs w:val="20"/>
          <w:highlight w:val="lightGray"/>
        </w:rPr>
      </w:pPr>
    </w:p>
    <w:p w14:paraId="7642E162" w14:textId="77777777" w:rsidR="006B2695" w:rsidRDefault="006B2695" w:rsidP="00411064">
      <w:pPr>
        <w:autoSpaceDE w:val="0"/>
        <w:autoSpaceDN w:val="0"/>
        <w:adjustRightInd w:val="0"/>
        <w:spacing w:line="276" w:lineRule="auto"/>
        <w:rPr>
          <w:sz w:val="20"/>
          <w:szCs w:val="20"/>
        </w:rPr>
      </w:pPr>
      <w:r>
        <w:rPr>
          <w:rFonts w:eastAsia="Calibri"/>
          <w:color w:val="000000"/>
          <w:sz w:val="20"/>
          <w:szCs w:val="20"/>
          <w:lang w:eastAsia="sl-SI"/>
        </w:rPr>
        <w:t>Posebni odposlanec za Zahodni Balkan, ki ga je imenovala ministrica za zunanje in evropske zadeve, je opravil več delovnih obiskov v državah regije, delno v sodelovanju s posebnimi odposlanci drugih držav. Srečanja so bila namenjena seznanitvi z aktualnimi razmerami v regiji in pripravi aktivnosti RS na politični ravni.</w:t>
      </w:r>
    </w:p>
    <w:p w14:paraId="7ECD73C5" w14:textId="77777777" w:rsidR="006B2695" w:rsidRPr="006B2695" w:rsidRDefault="006B2695" w:rsidP="00411064">
      <w:pPr>
        <w:autoSpaceDE w:val="0"/>
        <w:autoSpaceDN w:val="0"/>
        <w:adjustRightInd w:val="0"/>
        <w:spacing w:line="276" w:lineRule="auto"/>
        <w:rPr>
          <w:sz w:val="20"/>
          <w:szCs w:val="20"/>
          <w:highlight w:val="lightGray"/>
        </w:rPr>
      </w:pPr>
    </w:p>
    <w:p w14:paraId="2ADF407B" w14:textId="77777777" w:rsidR="006B2695" w:rsidRDefault="006B2695" w:rsidP="00411064">
      <w:pPr>
        <w:autoSpaceDE w:val="0"/>
        <w:autoSpaceDN w:val="0"/>
        <w:adjustRightInd w:val="0"/>
        <w:spacing w:line="276" w:lineRule="auto"/>
        <w:rPr>
          <w:rFonts w:eastAsia="Calibri"/>
          <w:i/>
          <w:iCs/>
          <w:color w:val="000000"/>
          <w:sz w:val="22"/>
          <w:szCs w:val="22"/>
          <w:lang w:eastAsia="sl-SI"/>
        </w:rPr>
      </w:pPr>
      <w:r>
        <w:rPr>
          <w:rFonts w:eastAsia="Calibri"/>
          <w:color w:val="000000"/>
          <w:sz w:val="20"/>
          <w:szCs w:val="20"/>
          <w:lang w:eastAsia="sl-SI"/>
        </w:rPr>
        <w:t xml:space="preserve">RS je nadaljevala z aktivno politiko podpore </w:t>
      </w:r>
      <w:r w:rsidRPr="00411064">
        <w:rPr>
          <w:rFonts w:eastAsia="Calibri"/>
          <w:color w:val="000000"/>
          <w:sz w:val="20"/>
          <w:szCs w:val="20"/>
          <w:lang w:eastAsia="sl-SI"/>
        </w:rPr>
        <w:t xml:space="preserve">širitvenemu procesu EU </w:t>
      </w:r>
      <w:r>
        <w:rPr>
          <w:rFonts w:eastAsia="Calibri"/>
          <w:color w:val="000000"/>
          <w:sz w:val="20"/>
          <w:szCs w:val="20"/>
          <w:lang w:eastAsia="sl-SI"/>
        </w:rPr>
        <w:t>z državami Zahodnega Balkana. RS je v Bruslju aktivno sodelovala v Delovni skupini za širitev in v Delovni skupini za Zahodni Balkan ter delovala pri zagotavljanju napredka držav regije v pristopnem procesu. Blejska zaveza (EU in prihodnje države članice morajo biti pripravljene na širitev do leta 2030) je pomembno sporočilo. RS izpostavlja, da spremenjene geopolitične okoliščine zahtevajo odločne korake, da bi presegli širitveno utrujenost na obeh straneh. Načrt za rast za Zahodni Balkan, ki ga RS močno podpira, je eno od orodij za doseganje tega cilja. Polno izvajanje Načrta bo pospešilo postopno integracijo regije v EU. Naložbe, predvidene v Načrtu za rast za Zahodni Balkan, se morajo osredotočiti na zmanjševanje socialno-ekonomskih razlik med Zahodnim Balkanom in EU, ter prispevati k hitrejši gospodarski rasti držav Zahodnega Balkana. V letu 2025 sta največji napredek na področju širitve naredili Albanija in Črna gora. Črna gora je začasno zaprla 1</w:t>
      </w:r>
      <w:r w:rsidR="00A7319F">
        <w:rPr>
          <w:rFonts w:eastAsia="Calibri"/>
          <w:color w:val="000000"/>
          <w:sz w:val="20"/>
          <w:szCs w:val="20"/>
          <w:lang w:eastAsia="sl-SI"/>
        </w:rPr>
        <w:t>3</w:t>
      </w:r>
      <w:r>
        <w:rPr>
          <w:rFonts w:eastAsia="Calibri"/>
          <w:color w:val="000000"/>
          <w:sz w:val="20"/>
          <w:szCs w:val="20"/>
          <w:lang w:eastAsia="sl-SI"/>
        </w:rPr>
        <w:t xml:space="preserve"> pogajalskih poglavij, medtem ko je bila Albanija uspešna pri odpiranju </w:t>
      </w:r>
      <w:r w:rsidR="00A7319F">
        <w:rPr>
          <w:rFonts w:eastAsia="Calibri"/>
          <w:color w:val="000000"/>
          <w:sz w:val="20"/>
          <w:szCs w:val="20"/>
          <w:lang w:eastAsia="sl-SI"/>
        </w:rPr>
        <w:t>pogajalskih sklopov</w:t>
      </w:r>
      <w:r>
        <w:rPr>
          <w:rFonts w:eastAsia="Calibri"/>
          <w:color w:val="000000"/>
          <w:sz w:val="20"/>
          <w:szCs w:val="20"/>
          <w:lang w:eastAsia="sl-SI"/>
        </w:rPr>
        <w:t xml:space="preserve">. </w:t>
      </w:r>
    </w:p>
    <w:p w14:paraId="51B98886" w14:textId="77777777" w:rsidR="006B2695" w:rsidRPr="006B2695" w:rsidRDefault="006B2695" w:rsidP="00411064">
      <w:pPr>
        <w:pStyle w:val="NoSpacing"/>
        <w:spacing w:line="276" w:lineRule="auto"/>
        <w:jc w:val="both"/>
        <w:rPr>
          <w:rFonts w:ascii="Arial" w:hAnsi="Arial" w:cs="Arial"/>
          <w:sz w:val="20"/>
          <w:szCs w:val="20"/>
          <w:highlight w:val="lightGray"/>
        </w:rPr>
      </w:pPr>
    </w:p>
    <w:p w14:paraId="55B74E5A" w14:textId="77777777" w:rsidR="00E21086" w:rsidRDefault="00881063" w:rsidP="00411064">
      <w:pPr>
        <w:autoSpaceDE w:val="0"/>
        <w:autoSpaceDN w:val="0"/>
        <w:adjustRightInd w:val="0"/>
        <w:spacing w:line="276" w:lineRule="auto"/>
        <w:rPr>
          <w:sz w:val="20"/>
          <w:szCs w:val="20"/>
        </w:rPr>
      </w:pPr>
      <w:r w:rsidRPr="00881063">
        <w:rPr>
          <w:sz w:val="20"/>
          <w:szCs w:val="20"/>
        </w:rPr>
        <w:t xml:space="preserve">RS je v letu 2025 sodelovala pri delu odbora za predpristopno pomoč (IPA III), ki ga vodi EK, in podprla akcijske načrte za financiranje držav Zahodnega Balkana iz Instrumenta za predpristopno pomoč (IPA III) in reformno agendo BiH, ki je podlaga za financiranje iz Instrumenta za reforme in rast za Zahodni Balkan. Tudi v letu 2025 je bila RS aktivna pri izvajanju projektov, ki se financirajo iz EU sredstev. RS je v letu 2025 nadaljevala izvajanje projektov tesnega medinstitucionalnega sodelovanja na področju statistike v BiH, kmetijstva in razvoja podeželja ter integriranega upravljanja meja v Črni gori in na področju in zaposlovanja (vključitev v EURES) v Srbiji. Slovenski javni uslužbenci so državam Zahodnega Balkana nudili kratkoročno pomoč tudi prek TAIEX programa, in sicer so sodelovali pri izvedbi več kot 40 TAIEX dogodkov, ki jih je v letu 2025 organizirala </w:t>
      </w:r>
      <w:r w:rsidR="009830CE">
        <w:rPr>
          <w:sz w:val="20"/>
          <w:szCs w:val="20"/>
        </w:rPr>
        <w:t>EK</w:t>
      </w:r>
      <w:r w:rsidRPr="00881063">
        <w:rPr>
          <w:sz w:val="20"/>
          <w:szCs w:val="20"/>
        </w:rPr>
        <w:t>. Potekal</w:t>
      </w:r>
      <w:r w:rsidR="00580CEA">
        <w:rPr>
          <w:sz w:val="20"/>
          <w:szCs w:val="20"/>
        </w:rPr>
        <w:t xml:space="preserve">o je </w:t>
      </w:r>
      <w:r w:rsidRPr="00881063">
        <w:rPr>
          <w:sz w:val="20"/>
          <w:szCs w:val="20"/>
        </w:rPr>
        <w:t>tudi izvajanje IPA projekta tehnične pomoči na področju krepitve vladavine prava v Severni Makedoniji.</w:t>
      </w:r>
    </w:p>
    <w:p w14:paraId="7445AC15" w14:textId="77777777" w:rsidR="00881063" w:rsidRPr="00140B34" w:rsidRDefault="00881063" w:rsidP="00411064">
      <w:pPr>
        <w:autoSpaceDE w:val="0"/>
        <w:autoSpaceDN w:val="0"/>
        <w:adjustRightInd w:val="0"/>
        <w:spacing w:line="276" w:lineRule="auto"/>
        <w:rPr>
          <w:sz w:val="20"/>
          <w:szCs w:val="20"/>
          <w:highlight w:val="yellow"/>
        </w:rPr>
      </w:pPr>
    </w:p>
    <w:p w14:paraId="2FE79638" w14:textId="77777777" w:rsidR="00E21086" w:rsidRPr="00140B34" w:rsidRDefault="00E21086" w:rsidP="00411064">
      <w:pPr>
        <w:autoSpaceDE w:val="0"/>
        <w:autoSpaceDN w:val="0"/>
        <w:adjustRightInd w:val="0"/>
        <w:spacing w:line="276" w:lineRule="auto"/>
        <w:rPr>
          <w:b/>
          <w:sz w:val="20"/>
          <w:szCs w:val="20"/>
          <w:highlight w:val="yellow"/>
        </w:rPr>
      </w:pPr>
      <w:bookmarkStart w:id="9" w:name="_Hlk224740103"/>
      <w:r w:rsidRPr="00874F3C">
        <w:rPr>
          <w:b/>
          <w:sz w:val="20"/>
          <w:szCs w:val="20"/>
        </w:rPr>
        <w:t xml:space="preserve">Center za kibernetsko </w:t>
      </w:r>
      <w:r w:rsidR="00874F3C">
        <w:rPr>
          <w:b/>
          <w:sz w:val="20"/>
          <w:szCs w:val="20"/>
        </w:rPr>
        <w:t>zmogljivost na Zahodnem Balkanu</w:t>
      </w:r>
    </w:p>
    <w:p w14:paraId="627AAE18" w14:textId="77777777" w:rsidR="00033124" w:rsidRPr="00140B34" w:rsidRDefault="00033124" w:rsidP="00411064">
      <w:pPr>
        <w:autoSpaceDE w:val="0"/>
        <w:autoSpaceDN w:val="0"/>
        <w:adjustRightInd w:val="0"/>
        <w:spacing w:line="276" w:lineRule="auto"/>
        <w:rPr>
          <w:b/>
          <w:sz w:val="20"/>
          <w:szCs w:val="20"/>
          <w:highlight w:val="yellow"/>
        </w:rPr>
      </w:pPr>
    </w:p>
    <w:bookmarkEnd w:id="9"/>
    <w:p w14:paraId="1775C110" w14:textId="77777777" w:rsidR="007225EB" w:rsidRPr="007225EB" w:rsidRDefault="007225EB" w:rsidP="00411064">
      <w:pPr>
        <w:autoSpaceDE w:val="0"/>
        <w:autoSpaceDN w:val="0"/>
        <w:adjustRightInd w:val="0"/>
        <w:spacing w:line="276" w:lineRule="auto"/>
        <w:rPr>
          <w:rFonts w:eastAsia="Calibri"/>
          <w:color w:val="000000"/>
          <w:sz w:val="20"/>
          <w:szCs w:val="20"/>
          <w:lang w:eastAsia="sl-SI"/>
        </w:rPr>
      </w:pPr>
      <w:r w:rsidRPr="007225EB">
        <w:rPr>
          <w:rFonts w:eastAsia="Calibri"/>
          <w:color w:val="000000"/>
          <w:sz w:val="20"/>
          <w:szCs w:val="20"/>
          <w:lang w:eastAsia="sl-SI"/>
        </w:rPr>
        <w:t xml:space="preserve">Sporazum o ustanovitvi Centra za kibernetsko zmogljivost na Zahodnem Balkanu (WB3C) je bil podpisan v Tirani 16. oktobra 2023 s strani </w:t>
      </w:r>
      <w:r w:rsidR="00887BA9">
        <w:rPr>
          <w:rFonts w:eastAsia="Calibri"/>
          <w:color w:val="000000"/>
          <w:sz w:val="20"/>
          <w:szCs w:val="20"/>
          <w:lang w:eastAsia="sl-SI"/>
        </w:rPr>
        <w:t>RS</w:t>
      </w:r>
      <w:r w:rsidRPr="007225EB">
        <w:rPr>
          <w:rFonts w:eastAsia="Calibri"/>
          <w:color w:val="000000"/>
          <w:sz w:val="20"/>
          <w:szCs w:val="20"/>
          <w:lang w:eastAsia="sl-SI"/>
        </w:rPr>
        <w:t>, Francije in Črne gore. Sporazum je začel veljati 18. avgusta 2025, WB3C pa bo po ratifikaciji Sporazuma o sedežu v črnogorskem parlamentu (predvidoma v prvi polovici 2026) pričel poslovati kot samostojen pravni subjekt. WB3C je mednarodna organizacija, odprta za članstvo drugih držav in organizacij, v prvi vrsti seveda ostalih držav Zahodnega Balkana. WB3C je 14.</w:t>
      </w:r>
      <w:r w:rsidR="007E5FDE">
        <w:rPr>
          <w:rFonts w:eastAsia="Calibri"/>
          <w:color w:val="000000"/>
          <w:sz w:val="20"/>
          <w:szCs w:val="20"/>
          <w:lang w:eastAsia="sl-SI"/>
        </w:rPr>
        <w:t xml:space="preserve"> oktobra </w:t>
      </w:r>
      <w:r w:rsidRPr="007225EB">
        <w:rPr>
          <w:rFonts w:eastAsia="Calibri"/>
          <w:color w:val="000000"/>
          <w:sz w:val="20"/>
          <w:szCs w:val="20"/>
          <w:lang w:eastAsia="sl-SI"/>
        </w:rPr>
        <w:t>2024 uradno postal tudi (kibernetska roka) del Berlinskega procesa.</w:t>
      </w:r>
    </w:p>
    <w:p w14:paraId="1B7C3D56" w14:textId="77777777" w:rsidR="007225EB" w:rsidRPr="007225EB" w:rsidRDefault="007225EB" w:rsidP="00411064">
      <w:pPr>
        <w:autoSpaceDE w:val="0"/>
        <w:autoSpaceDN w:val="0"/>
        <w:adjustRightInd w:val="0"/>
        <w:spacing w:line="276" w:lineRule="auto"/>
        <w:rPr>
          <w:rFonts w:eastAsia="Calibri"/>
          <w:color w:val="000000"/>
          <w:sz w:val="20"/>
          <w:szCs w:val="20"/>
          <w:lang w:eastAsia="sl-SI"/>
        </w:rPr>
      </w:pPr>
    </w:p>
    <w:p w14:paraId="0849BA67" w14:textId="77777777" w:rsidR="007225EB" w:rsidRPr="007225EB" w:rsidRDefault="007225EB" w:rsidP="00411064">
      <w:pPr>
        <w:autoSpaceDE w:val="0"/>
        <w:autoSpaceDN w:val="0"/>
        <w:adjustRightInd w:val="0"/>
        <w:spacing w:line="276" w:lineRule="auto"/>
        <w:rPr>
          <w:rFonts w:eastAsia="Calibri"/>
          <w:color w:val="000000"/>
          <w:sz w:val="20"/>
          <w:szCs w:val="20"/>
          <w:lang w:eastAsia="sl-SI"/>
        </w:rPr>
      </w:pPr>
      <w:r w:rsidRPr="007225EB">
        <w:rPr>
          <w:rFonts w:eastAsia="Calibri"/>
          <w:color w:val="000000"/>
          <w:sz w:val="20"/>
          <w:szCs w:val="20"/>
          <w:lang w:eastAsia="sl-SI"/>
        </w:rPr>
        <w:t xml:space="preserve">Center je s svojimi usposabljanji pričel maja 2023 in se intenzivno povezuje s sorodnimi iniciativami v regiji, z drugimi državami EU ter z globalnimi organizacijami in institucijami na področju kibernetske zmogljivosti. </w:t>
      </w:r>
    </w:p>
    <w:p w14:paraId="0F80B0B3" w14:textId="77777777" w:rsidR="007225EB" w:rsidRPr="007225EB" w:rsidRDefault="007225EB" w:rsidP="00411064">
      <w:pPr>
        <w:autoSpaceDE w:val="0"/>
        <w:autoSpaceDN w:val="0"/>
        <w:adjustRightInd w:val="0"/>
        <w:spacing w:line="276" w:lineRule="auto"/>
        <w:rPr>
          <w:rFonts w:eastAsia="Calibri"/>
          <w:color w:val="000000"/>
          <w:sz w:val="20"/>
          <w:szCs w:val="20"/>
          <w:lang w:eastAsia="sl-SI"/>
        </w:rPr>
      </w:pPr>
    </w:p>
    <w:p w14:paraId="57078E1B" w14:textId="77777777" w:rsidR="007225EB" w:rsidRPr="007225EB" w:rsidRDefault="007225EB" w:rsidP="00411064">
      <w:pPr>
        <w:autoSpaceDE w:val="0"/>
        <w:autoSpaceDN w:val="0"/>
        <w:adjustRightInd w:val="0"/>
        <w:spacing w:line="276" w:lineRule="auto"/>
        <w:rPr>
          <w:rFonts w:eastAsia="Calibri"/>
          <w:color w:val="000000"/>
          <w:sz w:val="20"/>
          <w:szCs w:val="20"/>
          <w:lang w:eastAsia="sl-SI"/>
        </w:rPr>
      </w:pPr>
      <w:r w:rsidRPr="007225EB">
        <w:rPr>
          <w:rFonts w:eastAsia="Calibri"/>
          <w:color w:val="000000"/>
          <w:sz w:val="20"/>
          <w:szCs w:val="20"/>
          <w:lang w:eastAsia="sl-SI"/>
        </w:rPr>
        <w:t>V letu 2025 je center za več kot 650 slušateljev izvedel več kot 45 različnih usposabljanj s področij kibernetske varnosti, pregona kibernetskega kriminala in mednarodnega sodelovanja na področju kibernetike za strokovnjake iz regije držav Zahodnega Balkana, ki bodo s tako pridobljenim znanjem nadalje usposabljali domače strokovnjake (t.</w:t>
      </w:r>
      <w:r w:rsidR="00903C91">
        <w:rPr>
          <w:rFonts w:eastAsia="Calibri"/>
          <w:color w:val="000000"/>
          <w:sz w:val="20"/>
          <w:szCs w:val="20"/>
          <w:lang w:eastAsia="sl-SI"/>
        </w:rPr>
        <w:t xml:space="preserve"> </w:t>
      </w:r>
      <w:r w:rsidRPr="007225EB">
        <w:rPr>
          <w:rFonts w:eastAsia="Calibri"/>
          <w:color w:val="000000"/>
          <w:sz w:val="20"/>
          <w:szCs w:val="20"/>
          <w:lang w:eastAsia="sl-SI"/>
        </w:rPr>
        <w:t xml:space="preserve">i. </w:t>
      </w:r>
      <w:proofErr w:type="spellStart"/>
      <w:r w:rsidRPr="00D57921">
        <w:rPr>
          <w:rFonts w:eastAsia="Calibri"/>
          <w:i/>
          <w:iCs/>
          <w:color w:val="000000"/>
          <w:sz w:val="20"/>
          <w:szCs w:val="20"/>
          <w:lang w:eastAsia="sl-SI"/>
        </w:rPr>
        <w:t>train</w:t>
      </w:r>
      <w:proofErr w:type="spellEnd"/>
      <w:r w:rsidRPr="00D57921">
        <w:rPr>
          <w:rFonts w:eastAsia="Calibri"/>
          <w:i/>
          <w:iCs/>
          <w:color w:val="000000"/>
          <w:sz w:val="20"/>
          <w:szCs w:val="20"/>
          <w:lang w:eastAsia="sl-SI"/>
        </w:rPr>
        <w:t xml:space="preserve"> </w:t>
      </w:r>
      <w:proofErr w:type="spellStart"/>
      <w:r w:rsidRPr="00D57921">
        <w:rPr>
          <w:rFonts w:eastAsia="Calibri"/>
          <w:i/>
          <w:iCs/>
          <w:color w:val="000000"/>
          <w:sz w:val="20"/>
          <w:szCs w:val="20"/>
          <w:lang w:eastAsia="sl-SI"/>
        </w:rPr>
        <w:t>the</w:t>
      </w:r>
      <w:proofErr w:type="spellEnd"/>
      <w:r w:rsidRPr="00D57921">
        <w:rPr>
          <w:rFonts w:eastAsia="Calibri"/>
          <w:i/>
          <w:iCs/>
          <w:color w:val="000000"/>
          <w:sz w:val="20"/>
          <w:szCs w:val="20"/>
          <w:lang w:eastAsia="sl-SI"/>
        </w:rPr>
        <w:t xml:space="preserve"> </w:t>
      </w:r>
      <w:proofErr w:type="spellStart"/>
      <w:r w:rsidRPr="00D57921">
        <w:rPr>
          <w:rFonts w:eastAsia="Calibri"/>
          <w:i/>
          <w:iCs/>
          <w:color w:val="000000"/>
          <w:sz w:val="20"/>
          <w:szCs w:val="20"/>
          <w:lang w:eastAsia="sl-SI"/>
        </w:rPr>
        <w:t>trainers</w:t>
      </w:r>
      <w:proofErr w:type="spellEnd"/>
      <w:r w:rsidRPr="00D57921">
        <w:rPr>
          <w:rFonts w:eastAsia="Calibri"/>
          <w:i/>
          <w:iCs/>
          <w:color w:val="000000"/>
          <w:sz w:val="20"/>
          <w:szCs w:val="20"/>
          <w:lang w:eastAsia="sl-SI"/>
        </w:rPr>
        <w:t xml:space="preserve"> model</w:t>
      </w:r>
      <w:r w:rsidRPr="007225EB">
        <w:rPr>
          <w:rFonts w:eastAsia="Calibri"/>
          <w:color w:val="000000"/>
          <w:sz w:val="20"/>
          <w:szCs w:val="20"/>
          <w:lang w:eastAsia="sl-SI"/>
        </w:rPr>
        <w:t xml:space="preserve">). Doslej se je v </w:t>
      </w:r>
      <w:r w:rsidR="00DE7E33" w:rsidRPr="007225EB">
        <w:rPr>
          <w:rFonts w:eastAsia="Calibri"/>
          <w:color w:val="000000"/>
          <w:sz w:val="20"/>
          <w:szCs w:val="20"/>
          <w:lang w:eastAsia="sl-SI"/>
        </w:rPr>
        <w:t xml:space="preserve">WB3C </w:t>
      </w:r>
      <w:r w:rsidRPr="007225EB">
        <w:rPr>
          <w:rFonts w:eastAsia="Calibri"/>
          <w:color w:val="000000"/>
          <w:sz w:val="20"/>
          <w:szCs w:val="20"/>
          <w:lang w:eastAsia="sl-SI"/>
        </w:rPr>
        <w:t>usposabljalo že skoraj 900 slušateljev iz držav Zahodnega Balkana.</w:t>
      </w:r>
    </w:p>
    <w:p w14:paraId="57E37BCC" w14:textId="77777777" w:rsidR="007225EB" w:rsidRPr="007225EB" w:rsidRDefault="007225EB" w:rsidP="00411064">
      <w:pPr>
        <w:autoSpaceDE w:val="0"/>
        <w:autoSpaceDN w:val="0"/>
        <w:adjustRightInd w:val="0"/>
        <w:spacing w:line="276" w:lineRule="auto"/>
        <w:rPr>
          <w:rFonts w:eastAsia="Calibri"/>
          <w:color w:val="000000"/>
          <w:sz w:val="20"/>
          <w:szCs w:val="20"/>
          <w:lang w:eastAsia="sl-SI"/>
        </w:rPr>
      </w:pPr>
    </w:p>
    <w:p w14:paraId="4D1120B8" w14:textId="77777777" w:rsidR="007225EB" w:rsidRPr="007225EB" w:rsidRDefault="007225EB" w:rsidP="00411064">
      <w:pPr>
        <w:autoSpaceDE w:val="0"/>
        <w:autoSpaceDN w:val="0"/>
        <w:adjustRightInd w:val="0"/>
        <w:spacing w:line="276" w:lineRule="auto"/>
        <w:rPr>
          <w:rFonts w:eastAsia="Calibri"/>
          <w:color w:val="000000"/>
          <w:sz w:val="20"/>
          <w:szCs w:val="20"/>
          <w:lang w:eastAsia="sl-SI"/>
        </w:rPr>
      </w:pPr>
      <w:r w:rsidRPr="007225EB">
        <w:rPr>
          <w:rFonts w:eastAsia="Calibri"/>
          <w:color w:val="000000"/>
          <w:sz w:val="20"/>
          <w:szCs w:val="20"/>
          <w:lang w:eastAsia="sl-SI"/>
        </w:rPr>
        <w:t xml:space="preserve">WB3C je v dobrem položaju, da postane glavno središče za prizadevanja za regionalno kibernetsko sodelovanje v regiji </w:t>
      </w:r>
      <w:r w:rsidR="00AB61DA">
        <w:rPr>
          <w:rFonts w:eastAsia="Calibri"/>
          <w:color w:val="000000"/>
          <w:sz w:val="20"/>
          <w:szCs w:val="20"/>
          <w:lang w:eastAsia="sl-SI"/>
        </w:rPr>
        <w:t>Zahodnega Balkana</w:t>
      </w:r>
      <w:r w:rsidRPr="007225EB">
        <w:rPr>
          <w:rFonts w:eastAsia="Calibri"/>
          <w:color w:val="000000"/>
          <w:sz w:val="20"/>
          <w:szCs w:val="20"/>
          <w:lang w:eastAsia="sl-SI"/>
        </w:rPr>
        <w:t xml:space="preserve">, pri čemer se usklajuje in sodeluje z ustreznimi izvajalskimi partnerji (RCC, </w:t>
      </w:r>
      <w:proofErr w:type="spellStart"/>
      <w:r w:rsidR="00D718F5" w:rsidRPr="00D718F5">
        <w:rPr>
          <w:rFonts w:eastAsia="Calibri"/>
          <w:color w:val="000000"/>
          <w:sz w:val="20"/>
          <w:szCs w:val="20"/>
          <w:lang w:eastAsia="sl-SI"/>
        </w:rPr>
        <w:t>Regional</w:t>
      </w:r>
      <w:proofErr w:type="spellEnd"/>
      <w:r w:rsidR="00D718F5" w:rsidRPr="00D718F5">
        <w:rPr>
          <w:rFonts w:eastAsia="Calibri"/>
          <w:color w:val="000000"/>
          <w:sz w:val="20"/>
          <w:szCs w:val="20"/>
          <w:lang w:eastAsia="sl-SI"/>
        </w:rPr>
        <w:t xml:space="preserve"> </w:t>
      </w:r>
      <w:proofErr w:type="spellStart"/>
      <w:r w:rsidR="00D718F5" w:rsidRPr="00D718F5">
        <w:rPr>
          <w:rFonts w:eastAsia="Calibri"/>
          <w:color w:val="000000"/>
          <w:sz w:val="20"/>
          <w:szCs w:val="20"/>
          <w:lang w:eastAsia="sl-SI"/>
        </w:rPr>
        <w:t>School</w:t>
      </w:r>
      <w:proofErr w:type="spellEnd"/>
      <w:r w:rsidR="00D718F5" w:rsidRPr="00D718F5">
        <w:rPr>
          <w:rFonts w:eastAsia="Calibri"/>
          <w:color w:val="000000"/>
          <w:sz w:val="20"/>
          <w:szCs w:val="20"/>
          <w:lang w:eastAsia="sl-SI"/>
        </w:rPr>
        <w:t xml:space="preserve"> </w:t>
      </w:r>
      <w:proofErr w:type="spellStart"/>
      <w:r w:rsidR="00D718F5" w:rsidRPr="00D718F5">
        <w:rPr>
          <w:rFonts w:eastAsia="Calibri"/>
          <w:color w:val="000000"/>
          <w:sz w:val="20"/>
          <w:szCs w:val="20"/>
          <w:lang w:eastAsia="sl-SI"/>
        </w:rPr>
        <w:t>of</w:t>
      </w:r>
      <w:proofErr w:type="spellEnd"/>
      <w:r w:rsidR="00D718F5" w:rsidRPr="00D718F5">
        <w:rPr>
          <w:rFonts w:eastAsia="Calibri"/>
          <w:color w:val="000000"/>
          <w:sz w:val="20"/>
          <w:szCs w:val="20"/>
          <w:lang w:eastAsia="sl-SI"/>
        </w:rPr>
        <w:t xml:space="preserve"> </w:t>
      </w:r>
      <w:proofErr w:type="spellStart"/>
      <w:r w:rsidR="00D718F5" w:rsidRPr="00D718F5">
        <w:rPr>
          <w:rFonts w:eastAsia="Calibri"/>
          <w:color w:val="000000"/>
          <w:sz w:val="20"/>
          <w:szCs w:val="20"/>
          <w:lang w:eastAsia="sl-SI"/>
        </w:rPr>
        <w:t>Public</w:t>
      </w:r>
      <w:proofErr w:type="spellEnd"/>
      <w:r w:rsidR="00D718F5" w:rsidRPr="00D718F5">
        <w:rPr>
          <w:rFonts w:eastAsia="Calibri"/>
          <w:color w:val="000000"/>
          <w:sz w:val="20"/>
          <w:szCs w:val="20"/>
          <w:lang w:eastAsia="sl-SI"/>
        </w:rPr>
        <w:t xml:space="preserve"> </w:t>
      </w:r>
      <w:proofErr w:type="spellStart"/>
      <w:r w:rsidR="00D718F5" w:rsidRPr="00D718F5">
        <w:rPr>
          <w:rFonts w:eastAsia="Calibri"/>
          <w:color w:val="000000"/>
          <w:sz w:val="20"/>
          <w:szCs w:val="20"/>
          <w:lang w:eastAsia="sl-SI"/>
        </w:rPr>
        <w:t>Administration</w:t>
      </w:r>
      <w:proofErr w:type="spellEnd"/>
      <w:r w:rsidR="00D718F5" w:rsidRPr="00D718F5">
        <w:rPr>
          <w:rFonts w:eastAsia="Calibri"/>
          <w:color w:val="000000"/>
          <w:sz w:val="20"/>
          <w:szCs w:val="20"/>
          <w:lang w:eastAsia="sl-SI"/>
        </w:rPr>
        <w:t xml:space="preserve"> (</w:t>
      </w:r>
      <w:proofErr w:type="spellStart"/>
      <w:r w:rsidR="00D718F5" w:rsidRPr="00D718F5">
        <w:rPr>
          <w:rFonts w:eastAsia="Calibri"/>
          <w:color w:val="000000"/>
          <w:sz w:val="20"/>
          <w:szCs w:val="20"/>
          <w:lang w:eastAsia="sl-SI"/>
        </w:rPr>
        <w:t>ReSPA</w:t>
      </w:r>
      <w:proofErr w:type="spellEnd"/>
      <w:r w:rsidR="00D718F5" w:rsidRPr="00D718F5">
        <w:rPr>
          <w:rFonts w:eastAsia="Calibri"/>
          <w:color w:val="000000"/>
          <w:sz w:val="20"/>
          <w:szCs w:val="20"/>
          <w:lang w:eastAsia="sl-SI"/>
        </w:rPr>
        <w:t>)</w:t>
      </w:r>
      <w:r w:rsidR="00D718F5">
        <w:rPr>
          <w:rFonts w:eastAsia="Calibri"/>
          <w:color w:val="000000"/>
          <w:sz w:val="20"/>
          <w:szCs w:val="20"/>
          <w:lang w:eastAsia="sl-SI"/>
        </w:rPr>
        <w:t xml:space="preserve">, </w:t>
      </w:r>
      <w:proofErr w:type="spellStart"/>
      <w:r w:rsidR="00503E0B" w:rsidRPr="00950DD2">
        <w:rPr>
          <w:sz w:val="20"/>
          <w:szCs w:val="20"/>
        </w:rPr>
        <w:t>United</w:t>
      </w:r>
      <w:proofErr w:type="spellEnd"/>
      <w:r w:rsidR="00503E0B" w:rsidRPr="00950DD2">
        <w:rPr>
          <w:sz w:val="20"/>
          <w:szCs w:val="20"/>
        </w:rPr>
        <w:t xml:space="preserve"> </w:t>
      </w:r>
      <w:proofErr w:type="spellStart"/>
      <w:r w:rsidR="00503E0B" w:rsidRPr="00950DD2">
        <w:rPr>
          <w:sz w:val="20"/>
          <w:szCs w:val="20"/>
        </w:rPr>
        <w:t>Nations</w:t>
      </w:r>
      <w:proofErr w:type="spellEnd"/>
      <w:r w:rsidR="00503E0B" w:rsidRPr="00950DD2">
        <w:rPr>
          <w:sz w:val="20"/>
          <w:szCs w:val="20"/>
        </w:rPr>
        <w:t xml:space="preserve"> </w:t>
      </w:r>
      <w:proofErr w:type="spellStart"/>
      <w:r w:rsidR="00503E0B" w:rsidRPr="00950DD2">
        <w:rPr>
          <w:sz w:val="20"/>
          <w:szCs w:val="20"/>
        </w:rPr>
        <w:t>Development</w:t>
      </w:r>
      <w:proofErr w:type="spellEnd"/>
      <w:r w:rsidR="00503E0B" w:rsidRPr="00950DD2">
        <w:rPr>
          <w:sz w:val="20"/>
          <w:szCs w:val="20"/>
        </w:rPr>
        <w:t xml:space="preserve"> </w:t>
      </w:r>
      <w:proofErr w:type="spellStart"/>
      <w:r w:rsidR="00503E0B" w:rsidRPr="00950DD2">
        <w:rPr>
          <w:sz w:val="20"/>
          <w:szCs w:val="20"/>
        </w:rPr>
        <w:t>Programme</w:t>
      </w:r>
      <w:proofErr w:type="spellEnd"/>
      <w:r w:rsidR="00503E0B" w:rsidRPr="00950DD2">
        <w:rPr>
          <w:sz w:val="20"/>
          <w:szCs w:val="20"/>
        </w:rPr>
        <w:t xml:space="preserve"> </w:t>
      </w:r>
      <w:r w:rsidR="00503E0B">
        <w:rPr>
          <w:sz w:val="20"/>
          <w:szCs w:val="20"/>
        </w:rPr>
        <w:t>(</w:t>
      </w:r>
      <w:r w:rsidRPr="007225EB">
        <w:rPr>
          <w:rFonts w:eastAsia="Calibri"/>
          <w:color w:val="000000"/>
          <w:sz w:val="20"/>
          <w:szCs w:val="20"/>
          <w:lang w:eastAsia="sl-SI"/>
        </w:rPr>
        <w:t>UNDP</w:t>
      </w:r>
      <w:r w:rsidR="00503E0B">
        <w:rPr>
          <w:rFonts w:eastAsia="Calibri"/>
          <w:color w:val="000000"/>
          <w:sz w:val="20"/>
          <w:szCs w:val="20"/>
          <w:lang w:eastAsia="sl-SI"/>
        </w:rPr>
        <w:t>)</w:t>
      </w:r>
      <w:r w:rsidRPr="007225EB">
        <w:rPr>
          <w:rFonts w:eastAsia="Calibri"/>
          <w:color w:val="000000"/>
          <w:sz w:val="20"/>
          <w:szCs w:val="20"/>
          <w:lang w:eastAsia="sl-SI"/>
        </w:rPr>
        <w:t xml:space="preserve">, UNIDIR, Svet Evrope, OVSE, WEF, GIZ, eGA ...) ter sodeluje z evropskimi institucijami in posameznimi članicami EU. </w:t>
      </w:r>
    </w:p>
    <w:p w14:paraId="252103FE" w14:textId="77777777" w:rsidR="007225EB" w:rsidRPr="007225EB" w:rsidRDefault="007225EB" w:rsidP="00411064">
      <w:pPr>
        <w:autoSpaceDE w:val="0"/>
        <w:autoSpaceDN w:val="0"/>
        <w:adjustRightInd w:val="0"/>
        <w:spacing w:line="276" w:lineRule="auto"/>
        <w:rPr>
          <w:rFonts w:eastAsia="Calibri"/>
          <w:color w:val="000000"/>
          <w:sz w:val="20"/>
          <w:szCs w:val="20"/>
          <w:lang w:eastAsia="sl-SI"/>
        </w:rPr>
      </w:pPr>
    </w:p>
    <w:p w14:paraId="7EA2F63F" w14:textId="77777777" w:rsidR="007225EB" w:rsidRPr="007225EB" w:rsidRDefault="007225EB" w:rsidP="00411064">
      <w:pPr>
        <w:autoSpaceDE w:val="0"/>
        <w:autoSpaceDN w:val="0"/>
        <w:adjustRightInd w:val="0"/>
        <w:spacing w:line="276" w:lineRule="auto"/>
        <w:rPr>
          <w:rFonts w:eastAsia="Calibri"/>
          <w:color w:val="000000"/>
          <w:sz w:val="20"/>
          <w:szCs w:val="20"/>
          <w:lang w:eastAsia="sl-SI"/>
        </w:rPr>
      </w:pPr>
      <w:r w:rsidRPr="007225EB">
        <w:rPr>
          <w:rFonts w:eastAsia="Calibri"/>
          <w:color w:val="000000"/>
          <w:sz w:val="20"/>
          <w:szCs w:val="20"/>
          <w:lang w:eastAsia="sl-SI"/>
        </w:rPr>
        <w:t>V letu 2025 so aktivnosti še v pretežni meri financirale ustanoviteljice (</w:t>
      </w:r>
      <w:r w:rsidR="00EB38EC">
        <w:rPr>
          <w:rFonts w:eastAsia="Calibri"/>
          <w:color w:val="000000"/>
          <w:sz w:val="20"/>
          <w:szCs w:val="20"/>
          <w:lang w:eastAsia="sl-SI"/>
        </w:rPr>
        <w:t>RS</w:t>
      </w:r>
      <w:r w:rsidRPr="007225EB">
        <w:rPr>
          <w:rFonts w:eastAsia="Calibri"/>
          <w:color w:val="000000"/>
          <w:sz w:val="20"/>
          <w:szCs w:val="20"/>
          <w:lang w:eastAsia="sl-SI"/>
        </w:rPr>
        <w:t>/FR/MNE), nekatere aktivnosti pa so bile organizirane skupaj s partnerskimi organizacijami oziroma državami. Delovanje WB3C bo po registraciji pravnega subjekta v Črni gori, projektno financirano tudi s strani EU (DG ENEST) ter s partnerskimi sodelovanji.</w:t>
      </w:r>
    </w:p>
    <w:p w14:paraId="4CCDB9F5" w14:textId="77777777" w:rsidR="007225EB" w:rsidRPr="007225EB" w:rsidRDefault="007225EB" w:rsidP="00411064">
      <w:pPr>
        <w:autoSpaceDE w:val="0"/>
        <w:autoSpaceDN w:val="0"/>
        <w:adjustRightInd w:val="0"/>
        <w:spacing w:line="276" w:lineRule="auto"/>
        <w:rPr>
          <w:rFonts w:eastAsia="Calibri"/>
          <w:color w:val="000000"/>
          <w:sz w:val="20"/>
          <w:szCs w:val="20"/>
          <w:lang w:eastAsia="sl-SI"/>
        </w:rPr>
      </w:pPr>
    </w:p>
    <w:p w14:paraId="0B63DB93" w14:textId="77777777" w:rsidR="002A61D0" w:rsidRPr="00874F3C" w:rsidRDefault="007225EB" w:rsidP="00411064">
      <w:pPr>
        <w:autoSpaceDE w:val="0"/>
        <w:autoSpaceDN w:val="0"/>
        <w:adjustRightInd w:val="0"/>
        <w:spacing w:line="276" w:lineRule="auto"/>
        <w:rPr>
          <w:rFonts w:eastAsia="Calibri"/>
          <w:color w:val="000000"/>
          <w:sz w:val="20"/>
          <w:szCs w:val="20"/>
          <w:lang w:eastAsia="sl-SI"/>
        </w:rPr>
      </w:pPr>
      <w:r w:rsidRPr="007225EB">
        <w:rPr>
          <w:rFonts w:eastAsia="Calibri"/>
          <w:color w:val="000000"/>
          <w:sz w:val="20"/>
          <w:szCs w:val="20"/>
          <w:lang w:eastAsia="sl-SI"/>
        </w:rPr>
        <w:t>Polno operativni prostori WB3C (skupaj cca. 250 m2, 3 računalniško opremljene učilnice, multimedijski konferenčni prostor, 2 pisarni) se nahajajo v Znanstveno-tehnološkem parku v Podgorici.</w:t>
      </w:r>
    </w:p>
    <w:p w14:paraId="10EB5BA4" w14:textId="77777777" w:rsidR="00F75050" w:rsidRDefault="00F75050" w:rsidP="00411064">
      <w:pPr>
        <w:autoSpaceDE w:val="0"/>
        <w:autoSpaceDN w:val="0"/>
        <w:adjustRightInd w:val="0"/>
        <w:spacing w:line="276" w:lineRule="auto"/>
        <w:rPr>
          <w:sz w:val="20"/>
          <w:szCs w:val="20"/>
          <w:highlight w:val="yellow"/>
        </w:rPr>
      </w:pPr>
    </w:p>
    <w:p w14:paraId="30274FC3" w14:textId="77777777" w:rsidR="00411064" w:rsidRPr="00140B34" w:rsidRDefault="00411064" w:rsidP="00411064">
      <w:pPr>
        <w:autoSpaceDE w:val="0"/>
        <w:autoSpaceDN w:val="0"/>
        <w:adjustRightInd w:val="0"/>
        <w:spacing w:line="276" w:lineRule="auto"/>
        <w:rPr>
          <w:sz w:val="20"/>
          <w:szCs w:val="20"/>
          <w:highlight w:val="yellow"/>
        </w:rPr>
      </w:pPr>
    </w:p>
    <w:p w14:paraId="6F2BB39E" w14:textId="77777777" w:rsidR="005547B0" w:rsidRPr="00644D6A" w:rsidRDefault="005547B0" w:rsidP="00411064">
      <w:pPr>
        <w:pStyle w:val="Heading2"/>
      </w:pPr>
      <w:bookmarkStart w:id="10" w:name="_Toc227227966"/>
      <w:r w:rsidRPr="00644D6A">
        <w:t>Krepitev gospodarske prisotnosti na Zahodnem Balkanu</w:t>
      </w:r>
      <w:bookmarkEnd w:id="10"/>
    </w:p>
    <w:p w14:paraId="7A96B50C" w14:textId="77777777" w:rsidR="005547B0" w:rsidRPr="00644D6A" w:rsidRDefault="005547B0" w:rsidP="00411064">
      <w:pPr>
        <w:spacing w:line="276" w:lineRule="auto"/>
        <w:rPr>
          <w:sz w:val="20"/>
          <w:szCs w:val="20"/>
        </w:rPr>
      </w:pPr>
    </w:p>
    <w:p w14:paraId="02AC88EC" w14:textId="77777777" w:rsidR="00A5004F" w:rsidRPr="001A57F9" w:rsidRDefault="00A5004F" w:rsidP="00411064">
      <w:pPr>
        <w:spacing w:line="276" w:lineRule="auto"/>
        <w:rPr>
          <w:sz w:val="20"/>
          <w:szCs w:val="20"/>
        </w:rPr>
      </w:pPr>
      <w:r w:rsidRPr="001A57F9">
        <w:rPr>
          <w:sz w:val="20"/>
          <w:szCs w:val="20"/>
        </w:rPr>
        <w:t>Gospodar</w:t>
      </w:r>
      <w:r w:rsidR="00A7319F">
        <w:rPr>
          <w:sz w:val="20"/>
          <w:szCs w:val="20"/>
        </w:rPr>
        <w:t>stva</w:t>
      </w:r>
      <w:r w:rsidRPr="001A57F9">
        <w:rPr>
          <w:sz w:val="20"/>
          <w:szCs w:val="20"/>
        </w:rPr>
        <w:t xml:space="preserve"> držav Zahodnega Balkana </w:t>
      </w:r>
      <w:r w:rsidR="00A7319F">
        <w:rPr>
          <w:sz w:val="20"/>
          <w:szCs w:val="20"/>
        </w:rPr>
        <w:t>so</w:t>
      </w:r>
      <w:r w:rsidRPr="001A57F9">
        <w:rPr>
          <w:sz w:val="20"/>
          <w:szCs w:val="20"/>
        </w:rPr>
        <w:t xml:space="preserve"> v letu 2025 dosegla približno 3 % gospodarsko rast, kar je malce manj kot v letu 2024. Upočasnitev rasti je bila posledica višje inflacije in povečane negotovosti, ki je zavirala trgovino in naložbe. Kljub temu so plače in kreditna aktivnost rasle, fiskalne politike pa so ostale razmeroma zmerne. Javnofinančnimi primanjkljaji so bili v povprečju pod 3 % BDP, javni dolgovi pa so se zniževali.</w:t>
      </w:r>
    </w:p>
    <w:p w14:paraId="300D6714" w14:textId="77777777" w:rsidR="00A5004F" w:rsidRPr="001A57F9" w:rsidRDefault="00A5004F" w:rsidP="00411064">
      <w:pPr>
        <w:spacing w:line="276" w:lineRule="auto"/>
        <w:rPr>
          <w:sz w:val="20"/>
          <w:szCs w:val="20"/>
        </w:rPr>
      </w:pPr>
    </w:p>
    <w:p w14:paraId="0D383D97" w14:textId="77777777" w:rsidR="00A5004F" w:rsidRPr="001A57F9" w:rsidRDefault="00A5004F" w:rsidP="00411064">
      <w:pPr>
        <w:spacing w:line="276" w:lineRule="auto"/>
        <w:rPr>
          <w:sz w:val="20"/>
          <w:szCs w:val="20"/>
        </w:rPr>
      </w:pPr>
      <w:r w:rsidRPr="001A57F9">
        <w:rPr>
          <w:sz w:val="20"/>
          <w:szCs w:val="20"/>
        </w:rPr>
        <w:t>Na trgu dela se je povečal izrazit razkorak med pomanjkanjem delovne sile v določenih sektorjih in istočasno visoko brezposelnostjo, ki presega 10 %. Stopnja aktivnosti prebivalstva ostaja nizka, pod 55 %, pri čemer so posebej nizko zastopane ženske, mladi in starejši. Demografski trendi so negativno vplivali na razpoložljivost delovne sile, saj se je število delovno sposobnih prebivalcev dodatno zmanjšalo.</w:t>
      </w:r>
    </w:p>
    <w:p w14:paraId="419F93BC" w14:textId="77777777" w:rsidR="00A5004F" w:rsidRPr="001A57F9" w:rsidRDefault="00A5004F" w:rsidP="00411064">
      <w:pPr>
        <w:spacing w:line="276" w:lineRule="auto"/>
        <w:rPr>
          <w:sz w:val="20"/>
          <w:szCs w:val="20"/>
        </w:rPr>
      </w:pPr>
    </w:p>
    <w:p w14:paraId="21F370E2" w14:textId="77777777" w:rsidR="00A5004F" w:rsidRPr="001A57F9" w:rsidRDefault="00A5004F" w:rsidP="00411064">
      <w:pPr>
        <w:spacing w:line="276" w:lineRule="auto"/>
        <w:rPr>
          <w:sz w:val="20"/>
          <w:szCs w:val="20"/>
        </w:rPr>
      </w:pPr>
      <w:r w:rsidRPr="001A57F9">
        <w:rPr>
          <w:sz w:val="20"/>
          <w:szCs w:val="20"/>
        </w:rPr>
        <w:t xml:space="preserve">Zmerna gospodarska rast in ohranjena domača potrošnja v državah Zahodnega Balkana sta imeli pozitiven vpliv na povpraševanje po slovenskih izdelkih in storitvah, zlasti v tradicionalno močnih sektorjih, kot so industrijski proizvodi, energetika, logistika, trgovina in finančne storitve. Hkrati so strukturne težave na trgih dela, inflacijski pritiski in negotovost v poslovnem okolju omejevali hitrejšo rast investicij in večje nove projekte, kar je zaviralo dinamiko poglabljanja sodelovanja. Kljub temu so geografska bližina, dolgoletne poslovne povezave in aktivna vloga gospodarske diplomacije omogočili ohranjanje intenzivnih gospodarskih odnosov med </w:t>
      </w:r>
      <w:r w:rsidR="00495B0B">
        <w:rPr>
          <w:sz w:val="20"/>
          <w:szCs w:val="20"/>
        </w:rPr>
        <w:t>RS</w:t>
      </w:r>
      <w:r w:rsidRPr="001A57F9">
        <w:rPr>
          <w:sz w:val="20"/>
          <w:szCs w:val="20"/>
        </w:rPr>
        <w:t xml:space="preserve"> in državami Zahodnega Balkana tudi v letu 2025.</w:t>
      </w:r>
    </w:p>
    <w:p w14:paraId="133E62EC" w14:textId="77777777" w:rsidR="00A5004F" w:rsidRPr="001A57F9" w:rsidRDefault="00A5004F" w:rsidP="00411064">
      <w:pPr>
        <w:spacing w:line="276" w:lineRule="auto"/>
        <w:rPr>
          <w:sz w:val="20"/>
          <w:szCs w:val="20"/>
        </w:rPr>
      </w:pPr>
    </w:p>
    <w:p w14:paraId="5B65C2E3" w14:textId="77777777" w:rsidR="00A5004F" w:rsidRPr="001A57F9" w:rsidRDefault="00A5004F" w:rsidP="00411064">
      <w:pPr>
        <w:spacing w:line="276" w:lineRule="auto"/>
        <w:rPr>
          <w:sz w:val="20"/>
          <w:szCs w:val="20"/>
        </w:rPr>
      </w:pPr>
      <w:r w:rsidRPr="001A57F9">
        <w:rPr>
          <w:sz w:val="20"/>
          <w:szCs w:val="20"/>
        </w:rPr>
        <w:t>Gospodarska diplomacija je slovenskim podjetjem pri poslovanju na trgih Zahodnega Balkana zagotavljala podporo predvsem z rednim obveščanjem o poslovnih priložnostih, pomočjo pri vstopu in širjenju na regionalne trge, odpravljanjem trgovinskih ovir, pomočjo pri reševanju plačilne nediscipline ter z aktivnim prizadevanjem za enakopravno obravnavo slovenskih vlagateljev.</w:t>
      </w:r>
    </w:p>
    <w:p w14:paraId="69F25F6B" w14:textId="77777777" w:rsidR="00A5004F" w:rsidRPr="001A57F9" w:rsidRDefault="00A5004F" w:rsidP="00411064">
      <w:pPr>
        <w:spacing w:line="276" w:lineRule="auto"/>
        <w:rPr>
          <w:sz w:val="20"/>
          <w:szCs w:val="20"/>
        </w:rPr>
      </w:pPr>
    </w:p>
    <w:p w14:paraId="12438DBA" w14:textId="77777777" w:rsidR="00A5004F" w:rsidRPr="001A57F9" w:rsidRDefault="00586040" w:rsidP="00411064">
      <w:pPr>
        <w:spacing w:line="276" w:lineRule="auto"/>
        <w:rPr>
          <w:color w:val="000000"/>
          <w:sz w:val="20"/>
          <w:szCs w:val="20"/>
          <w:lang w:eastAsia="sl-SI"/>
        </w:rPr>
      </w:pPr>
      <w:r>
        <w:rPr>
          <w:color w:val="000000"/>
          <w:sz w:val="20"/>
          <w:szCs w:val="20"/>
          <w:lang w:eastAsia="sl-SI"/>
        </w:rPr>
        <w:t>MZEZ</w:t>
      </w:r>
      <w:r w:rsidR="00A5004F" w:rsidRPr="001A57F9">
        <w:rPr>
          <w:color w:val="000000"/>
          <w:sz w:val="20"/>
          <w:szCs w:val="20"/>
          <w:lang w:eastAsia="sl-SI"/>
        </w:rPr>
        <w:t xml:space="preserve"> med orodji gospodarske diplomacije uporablja tudi projektni gospodarski sklad. Iz sredstev tega sklada je financiralo ali sofinanciralo številne gospodarsko-promocijske dogodke oz. projekte, ki so potekali v (so)organizaciji diplomatsko-konzularnih predstavništev. V državah Zahodnega Balkana je bilo izvedenih in financiranih 9 projektov.</w:t>
      </w:r>
    </w:p>
    <w:p w14:paraId="44A0C3BB" w14:textId="77777777" w:rsidR="00A5004F" w:rsidRPr="001A57F9" w:rsidRDefault="00A5004F" w:rsidP="00411064">
      <w:pPr>
        <w:spacing w:line="276" w:lineRule="auto"/>
        <w:rPr>
          <w:sz w:val="20"/>
          <w:szCs w:val="20"/>
        </w:rPr>
      </w:pPr>
    </w:p>
    <w:p w14:paraId="6681A862" w14:textId="77777777" w:rsidR="00A5004F" w:rsidRPr="001A57F9" w:rsidRDefault="00A5004F" w:rsidP="00411064">
      <w:pPr>
        <w:spacing w:line="276" w:lineRule="auto"/>
        <w:rPr>
          <w:sz w:val="20"/>
          <w:szCs w:val="20"/>
        </w:rPr>
      </w:pPr>
      <w:r w:rsidRPr="001A57F9">
        <w:rPr>
          <w:sz w:val="20"/>
          <w:szCs w:val="20"/>
        </w:rPr>
        <w:t xml:space="preserve">Veleposlaništva RS v državah Zahodnega Balkana so slovenskim podjetjem nudila informacije, podporo in pomoč pri njihovem poslovanju v omenjenih državah. Izvajale so aktivnosti promocije slovenskega gospodarstva in </w:t>
      </w:r>
      <w:r w:rsidR="00586040">
        <w:rPr>
          <w:sz w:val="20"/>
          <w:szCs w:val="20"/>
        </w:rPr>
        <w:t>RS</w:t>
      </w:r>
      <w:r w:rsidR="00586040" w:rsidRPr="001A57F9">
        <w:rPr>
          <w:sz w:val="20"/>
          <w:szCs w:val="20"/>
        </w:rPr>
        <w:t xml:space="preserve"> </w:t>
      </w:r>
      <w:r w:rsidRPr="001A57F9">
        <w:rPr>
          <w:sz w:val="20"/>
          <w:szCs w:val="20"/>
        </w:rPr>
        <w:t>kot destinacije za neposredne tuje investicije ter prirejale dogodke za povezovanje slovenskih podjetij s podjetji v regiji. Redno so obveščala o poslovnih priložnostih in poročala o makroekonomskih gibanjih v državi gostiteljici. V nadaljevanju izpostavljamo pomembnejše dogodke in aktivnosti veleposlaništev s področja gospodarske diplomacije:</w:t>
      </w:r>
    </w:p>
    <w:p w14:paraId="1725B46F" w14:textId="77777777" w:rsidR="00A5004F" w:rsidRPr="001A57F9" w:rsidRDefault="00A5004F" w:rsidP="00411064">
      <w:pPr>
        <w:spacing w:line="276" w:lineRule="auto"/>
        <w:rPr>
          <w:sz w:val="20"/>
          <w:szCs w:val="20"/>
        </w:rPr>
      </w:pPr>
    </w:p>
    <w:p w14:paraId="1C87D154" w14:textId="77777777" w:rsidR="00A5004F" w:rsidRPr="001A57F9" w:rsidRDefault="00A5004F" w:rsidP="00411064">
      <w:pPr>
        <w:spacing w:line="276" w:lineRule="auto"/>
        <w:rPr>
          <w:sz w:val="20"/>
          <w:szCs w:val="20"/>
        </w:rPr>
      </w:pPr>
      <w:r w:rsidRPr="001A57F9">
        <w:rPr>
          <w:b/>
          <w:bCs/>
          <w:sz w:val="20"/>
          <w:szCs w:val="20"/>
        </w:rPr>
        <w:t xml:space="preserve">Albanija: </w:t>
      </w:r>
      <w:r w:rsidRPr="001A57F9">
        <w:rPr>
          <w:sz w:val="20"/>
          <w:szCs w:val="20"/>
        </w:rPr>
        <w:t>Podjetje M Sora Norica, ki je na albanskem trgu prisotno že od leta 2011, je v Tirani odprlo nove poslovno-skladiščne prostore. S tem je naredilo pomemben korak na področju krepitve svoje prisotnosti ne samo v Albaniji, pač pa na širšem tržišču Jugovzhodne Evrope.</w:t>
      </w:r>
    </w:p>
    <w:p w14:paraId="2176568A" w14:textId="77777777" w:rsidR="00A5004F" w:rsidRPr="001A57F9" w:rsidRDefault="00A5004F" w:rsidP="00411064">
      <w:pPr>
        <w:spacing w:line="276" w:lineRule="auto"/>
        <w:rPr>
          <w:sz w:val="20"/>
          <w:szCs w:val="20"/>
        </w:rPr>
      </w:pPr>
    </w:p>
    <w:p w14:paraId="53E2A980" w14:textId="77777777" w:rsidR="00A5004F" w:rsidRPr="001A57F9" w:rsidRDefault="00D81809" w:rsidP="00411064">
      <w:pPr>
        <w:spacing w:line="276" w:lineRule="auto"/>
        <w:rPr>
          <w:sz w:val="20"/>
          <w:szCs w:val="20"/>
        </w:rPr>
      </w:pPr>
      <w:r>
        <w:rPr>
          <w:b/>
          <w:bCs/>
          <w:sz w:val="20"/>
          <w:szCs w:val="20"/>
        </w:rPr>
        <w:t>BiH</w:t>
      </w:r>
      <w:r w:rsidR="00A5004F" w:rsidRPr="001A57F9">
        <w:rPr>
          <w:b/>
          <w:bCs/>
          <w:sz w:val="20"/>
          <w:szCs w:val="20"/>
        </w:rPr>
        <w:t xml:space="preserve">: </w:t>
      </w:r>
      <w:r w:rsidR="00A5004F" w:rsidRPr="001A57F9">
        <w:rPr>
          <w:sz w:val="20"/>
          <w:szCs w:val="20"/>
        </w:rPr>
        <w:t xml:space="preserve">Rešen je bil več let trajajoč primer nekaj deset milijonskega poplačila dolga slovenskemu podjetju Viaduct s strani </w:t>
      </w:r>
      <w:r w:rsidR="00945E65">
        <w:rPr>
          <w:sz w:val="20"/>
          <w:szCs w:val="20"/>
        </w:rPr>
        <w:t>BiH</w:t>
      </w:r>
      <w:r w:rsidR="00A5004F" w:rsidRPr="001A57F9">
        <w:rPr>
          <w:sz w:val="20"/>
          <w:szCs w:val="20"/>
        </w:rPr>
        <w:t xml:space="preserve"> v skladu z arbitražno razsodbo. Prav tako je bil po več letih s sklenitvijo novega sporazuma uspešno zaključen projekt UNIDO. Veleposlaništvo RS v Sarajevu je v sodelovanju z Združenjem slovenskih podjetnikov v </w:t>
      </w:r>
      <w:r w:rsidR="00945E65">
        <w:rPr>
          <w:sz w:val="20"/>
          <w:szCs w:val="20"/>
        </w:rPr>
        <w:t>BiH</w:t>
      </w:r>
      <w:r w:rsidR="00A5004F" w:rsidRPr="001A57F9">
        <w:rPr>
          <w:sz w:val="20"/>
          <w:szCs w:val="20"/>
        </w:rPr>
        <w:t xml:space="preserve"> organiziralo poslovni forum. Sodelovalo je na obeh vinskih sejmih v Sarajevu, kjer se že vrsto let uspešno predstavljajo slovenski vinarji. </w:t>
      </w:r>
    </w:p>
    <w:p w14:paraId="398D6446" w14:textId="77777777" w:rsidR="00A5004F" w:rsidRPr="001A57F9" w:rsidRDefault="00A5004F" w:rsidP="00411064">
      <w:pPr>
        <w:spacing w:line="276" w:lineRule="auto"/>
        <w:rPr>
          <w:sz w:val="20"/>
          <w:szCs w:val="20"/>
        </w:rPr>
      </w:pPr>
    </w:p>
    <w:p w14:paraId="004CA3EE" w14:textId="77777777" w:rsidR="00A5004F" w:rsidRPr="001A57F9" w:rsidRDefault="00A5004F" w:rsidP="00411064">
      <w:pPr>
        <w:spacing w:line="276" w:lineRule="auto"/>
        <w:rPr>
          <w:sz w:val="20"/>
          <w:szCs w:val="20"/>
        </w:rPr>
      </w:pPr>
      <w:r w:rsidRPr="001A57F9">
        <w:rPr>
          <w:b/>
          <w:bCs/>
          <w:sz w:val="20"/>
          <w:szCs w:val="20"/>
        </w:rPr>
        <w:t xml:space="preserve">Črna gora: </w:t>
      </w:r>
      <w:r w:rsidRPr="001A57F9">
        <w:rPr>
          <w:sz w:val="20"/>
          <w:szCs w:val="20"/>
        </w:rPr>
        <w:t xml:space="preserve">Veleposlaništvo RS v Podgorici je v sodelovanju z največjo črnogorsko trgovsko verigo Voli organiziralo nekaj tedensko promocijo slovenskih proizvodov ter sprejem s promocijo slovenske gastronomske ponudbe in slovenskih vin. Poleg tega je bilo veleposlaništvo aktivno vključeno v reševanje težav nekaterih slovenskih podjetij pri poslovanju v Črni gori. </w:t>
      </w:r>
    </w:p>
    <w:p w14:paraId="1739946A" w14:textId="77777777" w:rsidR="00A5004F" w:rsidRPr="001A57F9" w:rsidRDefault="00A5004F" w:rsidP="00411064">
      <w:pPr>
        <w:spacing w:line="276" w:lineRule="auto"/>
        <w:rPr>
          <w:sz w:val="20"/>
          <w:szCs w:val="20"/>
        </w:rPr>
      </w:pPr>
    </w:p>
    <w:p w14:paraId="16FF6DC5" w14:textId="77777777" w:rsidR="00A5004F" w:rsidRPr="001A57F9" w:rsidRDefault="00A5004F" w:rsidP="00411064">
      <w:pPr>
        <w:spacing w:line="276" w:lineRule="auto"/>
        <w:rPr>
          <w:sz w:val="20"/>
          <w:szCs w:val="20"/>
        </w:rPr>
      </w:pPr>
      <w:r w:rsidRPr="001A57F9">
        <w:rPr>
          <w:b/>
          <w:bCs/>
          <w:sz w:val="20"/>
          <w:szCs w:val="20"/>
        </w:rPr>
        <w:t>Severna Makedonija:</w:t>
      </w:r>
      <w:r w:rsidRPr="001A57F9">
        <w:rPr>
          <w:sz w:val="20"/>
          <w:szCs w:val="20"/>
        </w:rPr>
        <w:t xml:space="preserve"> </w:t>
      </w:r>
      <w:r w:rsidR="007F5207" w:rsidRPr="007F5207">
        <w:rPr>
          <w:sz w:val="20"/>
          <w:szCs w:val="20"/>
        </w:rPr>
        <w:t>Veleposlaništvo RS V Skopju je organiziralo delovno srečanje predstavnikov slovenskih podjetij, ki poslujejo v Severni Makedoniji, s predstavniki Vlade Severne Makedonije. Podjetniki so vlado na srečanju seznanili s težavami pri njihovem delovanju na makedonskem trgu in predlogi rešitev. Veleposlaništvo je sodelovalo pri organizaciji spletnega dogodka za slovenska podjetja na temo poslovanja v Severni Makedoniji in spletnega seminarja na temo povezovanja slovenskih in makedonskih podjetij na področju obnovljive energije.</w:t>
      </w:r>
    </w:p>
    <w:p w14:paraId="6022D671" w14:textId="77777777" w:rsidR="00A5004F" w:rsidRPr="001A57F9" w:rsidRDefault="00A5004F" w:rsidP="00411064">
      <w:pPr>
        <w:spacing w:line="276" w:lineRule="auto"/>
        <w:rPr>
          <w:b/>
          <w:bCs/>
          <w:sz w:val="20"/>
          <w:szCs w:val="20"/>
        </w:rPr>
      </w:pPr>
    </w:p>
    <w:p w14:paraId="3389A212" w14:textId="77777777" w:rsidR="00A5004F" w:rsidRPr="001A57F9" w:rsidRDefault="00A5004F" w:rsidP="00411064">
      <w:pPr>
        <w:spacing w:line="276" w:lineRule="auto"/>
        <w:rPr>
          <w:sz w:val="20"/>
          <w:szCs w:val="20"/>
        </w:rPr>
      </w:pPr>
      <w:r w:rsidRPr="001A57F9">
        <w:rPr>
          <w:b/>
          <w:bCs/>
          <w:sz w:val="20"/>
          <w:szCs w:val="20"/>
        </w:rPr>
        <w:t xml:space="preserve">Srbija: </w:t>
      </w:r>
      <w:r w:rsidRPr="001A57F9">
        <w:rPr>
          <w:sz w:val="20"/>
          <w:szCs w:val="20"/>
        </w:rPr>
        <w:t>Veleposlaništvo RS v Beogradu je posebno pozornost namenjalo promociji sodelovanja na področjih informacijske tehnologije, biotehnologije, jedrskih tehnologij, zelenih tehnologij, obnovljivih virov energije in umetne inteligence. Posebej uspešen je bil promocijski dogodek slovenskega turizma, ki se je odvijal ob robu turistične delavnice v Beogradu. Tudi s pomočjo prizadevanj veleposlaništva je Srbija postala partnerska država sejma AGRA 2025.</w:t>
      </w:r>
    </w:p>
    <w:p w14:paraId="421B639B" w14:textId="77777777" w:rsidR="00627CE8" w:rsidRDefault="00627CE8" w:rsidP="00411064">
      <w:pPr>
        <w:spacing w:line="276" w:lineRule="auto"/>
        <w:rPr>
          <w:sz w:val="20"/>
          <w:szCs w:val="20"/>
          <w:highlight w:val="yellow"/>
        </w:rPr>
      </w:pPr>
    </w:p>
    <w:p w14:paraId="2FC90DB2" w14:textId="77777777" w:rsidR="00411064" w:rsidRPr="00140B34" w:rsidRDefault="00411064" w:rsidP="00411064">
      <w:pPr>
        <w:spacing w:line="276" w:lineRule="auto"/>
        <w:rPr>
          <w:sz w:val="20"/>
          <w:szCs w:val="20"/>
          <w:highlight w:val="yellow"/>
        </w:rPr>
      </w:pPr>
    </w:p>
    <w:p w14:paraId="4F1F3E14" w14:textId="77777777" w:rsidR="00990ED5" w:rsidRPr="00B8673B" w:rsidRDefault="00AE2B8C" w:rsidP="00411064">
      <w:pPr>
        <w:pStyle w:val="Heading3"/>
        <w:rPr>
          <w:color w:val="auto"/>
        </w:rPr>
      </w:pPr>
      <w:bookmarkStart w:id="11" w:name="_Toc227227967"/>
      <w:r w:rsidRPr="00B8673B">
        <w:rPr>
          <w:color w:val="auto"/>
        </w:rPr>
        <w:t>4</w:t>
      </w:r>
      <w:r w:rsidR="00990ED5" w:rsidRPr="00B8673B">
        <w:rPr>
          <w:color w:val="auto"/>
        </w:rPr>
        <w:t>.</w:t>
      </w:r>
      <w:r w:rsidRPr="00B8673B">
        <w:rPr>
          <w:color w:val="auto"/>
        </w:rPr>
        <w:t>1</w:t>
      </w:r>
      <w:r w:rsidR="00990ED5" w:rsidRPr="00B8673B">
        <w:rPr>
          <w:color w:val="auto"/>
        </w:rPr>
        <w:t>. Krepitev sodelovanja na področju financ</w:t>
      </w:r>
      <w:bookmarkEnd w:id="11"/>
    </w:p>
    <w:p w14:paraId="7C9D6BFD" w14:textId="77777777" w:rsidR="004B2541" w:rsidRPr="00FB57D4" w:rsidRDefault="004B2541" w:rsidP="00411064">
      <w:pPr>
        <w:spacing w:line="276" w:lineRule="auto"/>
        <w:contextualSpacing/>
        <w:rPr>
          <w:rFonts w:eastAsia="Calibri"/>
          <w:b/>
          <w:color w:val="000000"/>
          <w:sz w:val="20"/>
          <w:szCs w:val="20"/>
        </w:rPr>
      </w:pPr>
    </w:p>
    <w:p w14:paraId="3E44CA3D" w14:textId="77777777" w:rsidR="00FB57D4" w:rsidRDefault="00FB57D4" w:rsidP="00411064">
      <w:pPr>
        <w:spacing w:line="276" w:lineRule="auto"/>
        <w:rPr>
          <w:b/>
          <w:bCs/>
          <w:sz w:val="20"/>
          <w:szCs w:val="20"/>
        </w:rPr>
      </w:pPr>
      <w:r w:rsidRPr="00FB57D4">
        <w:rPr>
          <w:b/>
          <w:bCs/>
          <w:sz w:val="20"/>
          <w:szCs w:val="20"/>
        </w:rPr>
        <w:t>Sodelovanje na področju davčnih in carinskih zadev</w:t>
      </w:r>
    </w:p>
    <w:p w14:paraId="700F4D6A" w14:textId="77777777" w:rsidR="00A05A11" w:rsidRPr="00FB57D4" w:rsidRDefault="00A05A11" w:rsidP="00411064">
      <w:pPr>
        <w:spacing w:line="276" w:lineRule="auto"/>
        <w:rPr>
          <w:b/>
          <w:bCs/>
          <w:sz w:val="20"/>
          <w:szCs w:val="20"/>
        </w:rPr>
      </w:pPr>
    </w:p>
    <w:p w14:paraId="1619D1BF" w14:textId="77777777" w:rsidR="00FB57D4" w:rsidRPr="00FB57D4" w:rsidRDefault="00FB57D4" w:rsidP="00411064">
      <w:pPr>
        <w:spacing w:line="276" w:lineRule="auto"/>
        <w:rPr>
          <w:sz w:val="20"/>
          <w:szCs w:val="20"/>
        </w:rPr>
      </w:pPr>
      <w:r w:rsidRPr="00FB57D4">
        <w:rPr>
          <w:sz w:val="20"/>
          <w:szCs w:val="20"/>
        </w:rPr>
        <w:t xml:space="preserve">RS ima z vsemi državami Zahodnega Balkana sklenjeno konvencijo o izogibanju dvojnega obdavčevanja v zvezi z davki od dohodka in premoženja (KIDO). S sklenjenimi KIDO se tako že zagotavlja čezmejno gospodarsko oziroma investicijsko sodelovanje ter upravno sodelovanje med državami na tem področju. S pristopom držav Zahodnega Balkana (Albanije, </w:t>
      </w:r>
      <w:r w:rsidR="00945E65">
        <w:rPr>
          <w:sz w:val="20"/>
          <w:szCs w:val="20"/>
        </w:rPr>
        <w:t>BiH</w:t>
      </w:r>
      <w:r w:rsidRPr="00FB57D4">
        <w:rPr>
          <w:sz w:val="20"/>
          <w:szCs w:val="20"/>
        </w:rPr>
        <w:t xml:space="preserve"> in Srbije) k Večstranski konvenciji o izvajanju z mednarodnimi davčnimi sporazumi povezanih ukrepov za preprečevanje zmanjševanja davčne osnove in preusmerjanja dobička (Večstranska konvencija) pa se zagotavlja preprečevanje zlorab bilateralnih davčnih konvencij. K pristopu k Večstranski konvenciji se tako spodbuja še preostale države Zahodnega Balkana, tj. Črno goro, Kosovo in Severno Makedonijo. Severna Makedonija in Črna gora sta večstransko konvencijo leta 2020 in 2025 že podpisali, zato se z njune strani pričakuje le še ratifikacija, medtem ko Kosovo Večstranske konvencije še ni podpisal.</w:t>
      </w:r>
    </w:p>
    <w:p w14:paraId="77905823" w14:textId="77777777" w:rsidR="00FB57D4" w:rsidRPr="00FB57D4" w:rsidRDefault="00FB57D4" w:rsidP="00411064">
      <w:pPr>
        <w:spacing w:line="276" w:lineRule="auto"/>
        <w:rPr>
          <w:sz w:val="20"/>
          <w:szCs w:val="20"/>
        </w:rPr>
      </w:pPr>
    </w:p>
    <w:p w14:paraId="7792290D" w14:textId="77777777" w:rsidR="00FB57D4" w:rsidRPr="00FB57D4" w:rsidRDefault="00FB57D4" w:rsidP="00411064">
      <w:pPr>
        <w:spacing w:line="276" w:lineRule="auto"/>
        <w:rPr>
          <w:sz w:val="20"/>
          <w:szCs w:val="20"/>
        </w:rPr>
      </w:pPr>
      <w:r w:rsidRPr="00FB57D4">
        <w:rPr>
          <w:sz w:val="20"/>
          <w:szCs w:val="20"/>
        </w:rPr>
        <w:t xml:space="preserve">V razmerju med RS in Črno goro se uporablja Konvencija med Vlado RS in Svetom ministrov Črne gore ter Srbije o izogibanju dvojnega obdavčevanja v zvezi z davki od dohodka in premoženja. Črna gora je zato v odnosu do RS predlagala sklenitev novega sporazuma o izogibanju dvojnega obdavčevanja dohodka in premoženja. Datum začetka pogajanj zaradi ovir, ki jih je povzročila pandemija covida-19, še ni bil dogovorjen, vendar je </w:t>
      </w:r>
      <w:r w:rsidR="009B2715">
        <w:rPr>
          <w:sz w:val="20"/>
          <w:szCs w:val="20"/>
        </w:rPr>
        <w:t>RS</w:t>
      </w:r>
      <w:r w:rsidRPr="00FB57D4">
        <w:rPr>
          <w:sz w:val="20"/>
          <w:szCs w:val="20"/>
        </w:rPr>
        <w:t xml:space="preserve"> po diplomatski poti ponovno izrazila interes, da se državi čim prej dogovorita za začetek pogajanj. V odnosu do Črne gore se zato omenjena dvostranska konvencija ne bo prilagodila oziroma preoblikovala prek večstranske konvencije, je pa pristop Črne gore k Večstranski konvenciji lahko pomemben za njeno mrežo bilateralnih davčnih konvencij z drugimi državami. </w:t>
      </w:r>
    </w:p>
    <w:p w14:paraId="3D3DDF1E" w14:textId="77777777" w:rsidR="00FB57D4" w:rsidRPr="00FB57D4" w:rsidRDefault="00FB57D4" w:rsidP="00411064">
      <w:pPr>
        <w:spacing w:line="276" w:lineRule="auto"/>
        <w:rPr>
          <w:sz w:val="20"/>
          <w:szCs w:val="20"/>
        </w:rPr>
      </w:pPr>
    </w:p>
    <w:p w14:paraId="09A5646F" w14:textId="77777777" w:rsidR="00FB57D4" w:rsidRPr="00FB57D4" w:rsidRDefault="00FB57D4" w:rsidP="00411064">
      <w:pPr>
        <w:spacing w:line="276" w:lineRule="auto"/>
        <w:rPr>
          <w:sz w:val="20"/>
          <w:szCs w:val="20"/>
        </w:rPr>
      </w:pPr>
      <w:r w:rsidRPr="00FB57D4">
        <w:rPr>
          <w:sz w:val="20"/>
          <w:szCs w:val="20"/>
        </w:rPr>
        <w:t xml:space="preserve">Vse države Zahodnega Balkana, razen Kosova, so se do sedaj kot članice Vključujočega okvira OECD/G20 za BEPS (zmanjševanje davčne osnove in preusmerjanje dobička, v angl. Base Erosion and Profit Shifting – BEPS), zavezale k implementaciji ukrepov za preprečevanje BEPS. Z vidika zaveze k implementaciji omenjenih ukrepov bi bila koristna prizadevanja, da v prihodnosti tudi Kosovo postane član Vključujočega okvira. </w:t>
      </w:r>
    </w:p>
    <w:p w14:paraId="290AA455" w14:textId="77777777" w:rsidR="00FB57D4" w:rsidRPr="00FB57D4" w:rsidRDefault="00FB57D4" w:rsidP="00411064">
      <w:pPr>
        <w:spacing w:line="276" w:lineRule="auto"/>
        <w:rPr>
          <w:sz w:val="20"/>
          <w:szCs w:val="20"/>
        </w:rPr>
      </w:pPr>
    </w:p>
    <w:p w14:paraId="184F1897" w14:textId="77777777" w:rsidR="00FB57D4" w:rsidRPr="00FB57D4" w:rsidRDefault="00FB57D4" w:rsidP="00411064">
      <w:pPr>
        <w:spacing w:line="276" w:lineRule="auto"/>
        <w:rPr>
          <w:sz w:val="20"/>
          <w:szCs w:val="20"/>
        </w:rPr>
      </w:pPr>
      <w:r w:rsidRPr="00FB57D4">
        <w:rPr>
          <w:sz w:val="20"/>
          <w:szCs w:val="20"/>
        </w:rPr>
        <w:t xml:space="preserve">Vračilo davka na dodano vrednost, plačanega v </w:t>
      </w:r>
      <w:r w:rsidR="009B6D0E">
        <w:rPr>
          <w:sz w:val="20"/>
          <w:szCs w:val="20"/>
        </w:rPr>
        <w:t>RS</w:t>
      </w:r>
      <w:r w:rsidRPr="00FB57D4">
        <w:rPr>
          <w:sz w:val="20"/>
          <w:szCs w:val="20"/>
        </w:rPr>
        <w:t xml:space="preserve">, davčnim zavezancem s sedežem v tretji državi, se prizna samo, če je poleg vsebinskih pogojev izpolnjen tudi pogoj vzajemnosti. Stanje vzajemnosti je vzpostavljeno med </w:t>
      </w:r>
      <w:r w:rsidR="00A639EF">
        <w:rPr>
          <w:sz w:val="20"/>
          <w:szCs w:val="20"/>
        </w:rPr>
        <w:t>RS</w:t>
      </w:r>
      <w:r w:rsidRPr="00FB57D4">
        <w:rPr>
          <w:sz w:val="20"/>
          <w:szCs w:val="20"/>
        </w:rPr>
        <w:t xml:space="preserve"> ter Srbijo, Črno goro in Severno Makedonijo. V letu 2025 je bil začet postopek za ugotavljanje in vzpostavitev vzajemnosti tudi z </w:t>
      </w:r>
      <w:r w:rsidR="00945E65">
        <w:rPr>
          <w:sz w:val="20"/>
          <w:szCs w:val="20"/>
        </w:rPr>
        <w:t>BiH</w:t>
      </w:r>
      <w:r w:rsidRPr="00FB57D4">
        <w:rPr>
          <w:sz w:val="20"/>
          <w:szCs w:val="20"/>
        </w:rPr>
        <w:t>.</w:t>
      </w:r>
    </w:p>
    <w:p w14:paraId="2D6F05D0" w14:textId="77777777" w:rsidR="00FB57D4" w:rsidRPr="00FB57D4" w:rsidRDefault="00FB57D4" w:rsidP="00411064">
      <w:pPr>
        <w:spacing w:line="276" w:lineRule="auto"/>
        <w:rPr>
          <w:sz w:val="20"/>
          <w:szCs w:val="20"/>
        </w:rPr>
      </w:pPr>
    </w:p>
    <w:p w14:paraId="173ED5CE" w14:textId="77777777" w:rsidR="00FB57D4" w:rsidRPr="00FB57D4" w:rsidRDefault="00FB57D4" w:rsidP="00411064">
      <w:pPr>
        <w:spacing w:line="276" w:lineRule="auto"/>
        <w:rPr>
          <w:b/>
          <w:sz w:val="20"/>
          <w:szCs w:val="20"/>
        </w:rPr>
      </w:pPr>
      <w:r w:rsidRPr="00FB57D4">
        <w:rPr>
          <w:b/>
          <w:sz w:val="20"/>
          <w:szCs w:val="20"/>
        </w:rPr>
        <w:t>Finančna uprava RS (FURS)</w:t>
      </w:r>
    </w:p>
    <w:p w14:paraId="609D001F" w14:textId="77777777" w:rsidR="00FB57D4" w:rsidRPr="00FB57D4" w:rsidRDefault="0040644C" w:rsidP="00411064">
      <w:pPr>
        <w:spacing w:line="276" w:lineRule="auto"/>
        <w:rPr>
          <w:sz w:val="20"/>
          <w:szCs w:val="20"/>
        </w:rPr>
      </w:pPr>
      <w:r>
        <w:rPr>
          <w:sz w:val="20"/>
          <w:szCs w:val="20"/>
        </w:rPr>
        <w:t>FURS</w:t>
      </w:r>
      <w:r w:rsidR="00FB57D4" w:rsidRPr="00FB57D4">
        <w:rPr>
          <w:sz w:val="20"/>
          <w:szCs w:val="20"/>
        </w:rPr>
        <w:t xml:space="preserve"> je v letu 2025 zagotavljala tehnično pomoč in sodelovala v aktivnostih mednarodnega razvojnega sodelovanja na Zahodnem Balkanu. Pobude in prošnje za tehnično pomoč, študijske obiske ter za sodelovanje v dvostranskih in mednarodnih projektih pomoči je </w:t>
      </w:r>
      <w:r w:rsidR="00DE6DE3">
        <w:rPr>
          <w:sz w:val="20"/>
          <w:szCs w:val="20"/>
        </w:rPr>
        <w:t>FURS</w:t>
      </w:r>
      <w:r w:rsidR="00FB57D4" w:rsidRPr="00FB57D4">
        <w:rPr>
          <w:sz w:val="20"/>
          <w:szCs w:val="20"/>
        </w:rPr>
        <w:t xml:space="preserve"> zagotavljala v okviru svojih zmožnostih ter aktivno pomagala državam Zahodnega Balkana pri modernizaciji njihovih davčnih in carinskih sistemov ter pripravi na integracijo v EU. Med drugim je bilo v maju 2025 izvedeno bilateralno srečanje vodstva davčne uprave federacije </w:t>
      </w:r>
      <w:r w:rsidR="00945E65">
        <w:rPr>
          <w:sz w:val="20"/>
          <w:szCs w:val="20"/>
        </w:rPr>
        <w:t>BiH</w:t>
      </w:r>
      <w:r w:rsidR="00FB57D4" w:rsidRPr="00FB57D4">
        <w:rPr>
          <w:sz w:val="20"/>
          <w:szCs w:val="20"/>
        </w:rPr>
        <w:t xml:space="preserve"> in vodstva </w:t>
      </w:r>
      <w:r w:rsidR="00E74200">
        <w:rPr>
          <w:sz w:val="20"/>
          <w:szCs w:val="20"/>
        </w:rPr>
        <w:t>FU</w:t>
      </w:r>
      <w:r w:rsidR="00E74200" w:rsidRPr="00FB57D4">
        <w:rPr>
          <w:sz w:val="20"/>
          <w:szCs w:val="20"/>
        </w:rPr>
        <w:t>RS</w:t>
      </w:r>
      <w:r w:rsidR="00FB57D4" w:rsidRPr="00FB57D4">
        <w:rPr>
          <w:sz w:val="20"/>
          <w:szCs w:val="20"/>
        </w:rPr>
        <w:t>, januarja 2025 sta</w:t>
      </w:r>
      <w:r w:rsidR="00FE452C">
        <w:rPr>
          <w:sz w:val="20"/>
          <w:szCs w:val="20"/>
        </w:rPr>
        <w:t xml:space="preserve"> Ministrstvo za finance (</w:t>
      </w:r>
      <w:r w:rsidR="00FB57D4" w:rsidRPr="00FB57D4">
        <w:rPr>
          <w:sz w:val="20"/>
          <w:szCs w:val="20"/>
        </w:rPr>
        <w:t>MF</w:t>
      </w:r>
      <w:r w:rsidR="00FE452C">
        <w:rPr>
          <w:sz w:val="20"/>
          <w:szCs w:val="20"/>
        </w:rPr>
        <w:t>)</w:t>
      </w:r>
      <w:r w:rsidR="00FB57D4" w:rsidRPr="00FB57D4">
        <w:rPr>
          <w:sz w:val="20"/>
          <w:szCs w:val="20"/>
        </w:rPr>
        <w:t xml:space="preserve"> in</w:t>
      </w:r>
      <w:r w:rsidR="00F43C08">
        <w:rPr>
          <w:sz w:val="20"/>
          <w:szCs w:val="20"/>
        </w:rPr>
        <w:t xml:space="preserve"> FU</w:t>
      </w:r>
      <w:r w:rsidR="00FB57D4" w:rsidRPr="00FB57D4">
        <w:rPr>
          <w:sz w:val="20"/>
          <w:szCs w:val="20"/>
        </w:rPr>
        <w:t xml:space="preserve">RS gostila študijski obisk delegacije črnogorske carine in Svetovne zdravstvene organizacije na temo sledljivosti tobačnih izdelkov, junija 2025 so se predstavniki </w:t>
      </w:r>
      <w:r w:rsidR="00503074">
        <w:rPr>
          <w:sz w:val="20"/>
          <w:szCs w:val="20"/>
        </w:rPr>
        <w:t>FURS</w:t>
      </w:r>
      <w:r w:rsidR="00FB57D4" w:rsidRPr="00FB57D4">
        <w:rPr>
          <w:sz w:val="20"/>
          <w:szCs w:val="20"/>
        </w:rPr>
        <w:t xml:space="preserve"> udeležili konference generalnih direktorjev carinskih uprav držav Zahodnega Balkana in držav članic EU v Tirani. </w:t>
      </w:r>
      <w:r w:rsidR="005853A5">
        <w:rPr>
          <w:sz w:val="20"/>
          <w:szCs w:val="20"/>
        </w:rPr>
        <w:t>FURS</w:t>
      </w:r>
      <w:r w:rsidR="00FB57D4" w:rsidRPr="00FB57D4">
        <w:rPr>
          <w:sz w:val="20"/>
          <w:szCs w:val="20"/>
        </w:rPr>
        <w:t xml:space="preserve"> je tekom leta 2025 sodelovala v projektu Adriacustoms, ki poteka v sodelovanju z OLAF-om in je namenjen krepitvi carinskega sodelovanja v Jadranski regiji, saj združuje vse države z jadranskimi pristanišči. </w:t>
      </w:r>
    </w:p>
    <w:p w14:paraId="021A9FA0" w14:textId="77777777" w:rsidR="00FB57D4" w:rsidRPr="00FB57D4" w:rsidRDefault="00FB57D4" w:rsidP="00411064">
      <w:pPr>
        <w:spacing w:line="276" w:lineRule="auto"/>
        <w:rPr>
          <w:sz w:val="20"/>
          <w:szCs w:val="20"/>
        </w:rPr>
      </w:pPr>
    </w:p>
    <w:p w14:paraId="526A61FD" w14:textId="77777777" w:rsidR="00FB57D4" w:rsidRPr="00FB57D4" w:rsidRDefault="00FB57D4" w:rsidP="00411064">
      <w:pPr>
        <w:spacing w:line="276" w:lineRule="auto"/>
        <w:rPr>
          <w:b/>
          <w:bCs/>
          <w:sz w:val="20"/>
          <w:szCs w:val="20"/>
        </w:rPr>
      </w:pPr>
      <w:r w:rsidRPr="00FB57D4">
        <w:rPr>
          <w:b/>
          <w:bCs/>
          <w:sz w:val="20"/>
          <w:szCs w:val="20"/>
        </w:rPr>
        <w:t>Pomoč Carinski upravi Črne gore pri krepitvi njenih tehničnih in administrativnih zmogljivosti na carinskem področju ter pri izpolnjevanju zahtev v postopku pristopanja Črne gore v EU</w:t>
      </w:r>
    </w:p>
    <w:p w14:paraId="563E0ED6" w14:textId="77777777" w:rsidR="00FB57D4" w:rsidRPr="00FB57D4" w:rsidRDefault="00FB57D4" w:rsidP="00411064">
      <w:pPr>
        <w:spacing w:line="276" w:lineRule="auto"/>
        <w:rPr>
          <w:sz w:val="20"/>
          <w:szCs w:val="20"/>
        </w:rPr>
      </w:pPr>
    </w:p>
    <w:p w14:paraId="25CC161D" w14:textId="77777777" w:rsidR="00FB57D4" w:rsidRPr="00FB57D4" w:rsidRDefault="00FB57D4" w:rsidP="00411064">
      <w:pPr>
        <w:spacing w:line="276" w:lineRule="auto"/>
        <w:rPr>
          <w:sz w:val="20"/>
          <w:szCs w:val="20"/>
        </w:rPr>
      </w:pPr>
      <w:r w:rsidRPr="00FB57D4">
        <w:rPr>
          <w:sz w:val="20"/>
          <w:szCs w:val="20"/>
        </w:rPr>
        <w:t>V letu 2025 so na podlagi prejete uradne prošnje Carinske uprave Črne gore za pomoč pri krepitvi njenih tehničnih in administrativnih zmogljivosti na carinskem področju ter pri izpolnjevanju zahtev v postopku pristopanja Črne gore v EU potekale določene aktivnosti glede morebitne donacije programske opreme carinskega informacijskega sistema Carinski upravi Črne gore.</w:t>
      </w:r>
    </w:p>
    <w:p w14:paraId="21791F5E" w14:textId="77777777" w:rsidR="00FB57D4" w:rsidRPr="00FB57D4" w:rsidRDefault="00FB57D4" w:rsidP="00411064">
      <w:pPr>
        <w:spacing w:line="276" w:lineRule="auto"/>
        <w:rPr>
          <w:b/>
          <w:sz w:val="20"/>
          <w:szCs w:val="20"/>
        </w:rPr>
      </w:pPr>
    </w:p>
    <w:p w14:paraId="3EB521E7" w14:textId="77777777" w:rsidR="00FB57D4" w:rsidRPr="00FB57D4" w:rsidRDefault="00FB57D4" w:rsidP="00411064">
      <w:pPr>
        <w:spacing w:line="276" w:lineRule="auto"/>
        <w:rPr>
          <w:b/>
          <w:sz w:val="20"/>
          <w:szCs w:val="20"/>
        </w:rPr>
      </w:pPr>
      <w:r w:rsidRPr="00FB57D4">
        <w:rPr>
          <w:b/>
          <w:sz w:val="20"/>
          <w:szCs w:val="20"/>
        </w:rPr>
        <w:t>Sodelovanje na področju preprečevanja pranja denarja in financiranja terorizma</w:t>
      </w:r>
    </w:p>
    <w:p w14:paraId="45E28311" w14:textId="77777777" w:rsidR="00FB57D4" w:rsidRPr="00FB57D4" w:rsidRDefault="00FB57D4" w:rsidP="00411064">
      <w:pPr>
        <w:spacing w:line="276" w:lineRule="auto"/>
        <w:rPr>
          <w:b/>
          <w:sz w:val="20"/>
          <w:szCs w:val="20"/>
        </w:rPr>
      </w:pPr>
    </w:p>
    <w:p w14:paraId="1DCB0F73" w14:textId="77777777" w:rsidR="00FB57D4" w:rsidRPr="00FB57D4" w:rsidRDefault="00FB57D4" w:rsidP="00411064">
      <w:pPr>
        <w:spacing w:line="276" w:lineRule="auto"/>
        <w:rPr>
          <w:b/>
          <w:sz w:val="20"/>
          <w:szCs w:val="20"/>
        </w:rPr>
      </w:pPr>
      <w:r w:rsidRPr="00FB57D4">
        <w:rPr>
          <w:b/>
          <w:sz w:val="20"/>
          <w:szCs w:val="20"/>
        </w:rPr>
        <w:t>Urad RS za preprečevanje pranja denarja (UPPD)</w:t>
      </w:r>
    </w:p>
    <w:p w14:paraId="121C7450" w14:textId="77777777" w:rsidR="00FB57D4" w:rsidRPr="00FB57D4" w:rsidRDefault="00FB57D4" w:rsidP="00411064">
      <w:pPr>
        <w:spacing w:line="276" w:lineRule="auto"/>
        <w:rPr>
          <w:sz w:val="20"/>
          <w:szCs w:val="20"/>
        </w:rPr>
      </w:pPr>
      <w:r w:rsidRPr="00FB57D4">
        <w:rPr>
          <w:sz w:val="20"/>
          <w:szCs w:val="20"/>
        </w:rPr>
        <w:t>UPPD lahko na podlagi določb Zakona o preprečevanju pranja denarja in financiranja terorizma (ZPPDFT-2, Uradni list RS, št. 48/2022 in 145/22) izmenjuje podatke s sorodnimi tujimi organi z namenom odkrivanja in preprečevanja pranja denarja, predhodnih kaznivih dejanj in financiranja terorizma in sicer v zadevah, ki vzbudijo sum storitve omenjenih kaznivih dejanj.</w:t>
      </w:r>
    </w:p>
    <w:p w14:paraId="68A6EA1E" w14:textId="77777777" w:rsidR="00FB57D4" w:rsidRPr="00FB57D4" w:rsidRDefault="00FB57D4" w:rsidP="00411064">
      <w:pPr>
        <w:spacing w:line="276" w:lineRule="auto"/>
        <w:rPr>
          <w:sz w:val="20"/>
          <w:szCs w:val="20"/>
        </w:rPr>
      </w:pPr>
      <w:r w:rsidRPr="00FB57D4">
        <w:rPr>
          <w:sz w:val="20"/>
          <w:szCs w:val="20"/>
        </w:rPr>
        <w:t>Na tej podlagi UPPD izmenjuje informacije tudi s sorodnimi finančno obveščevalnimi enotami držav Zahodnega Balkana. Izmenjava informacij je bila tudi v letu 2025 učinkovita, tekoča in je poteka</w:t>
      </w:r>
      <w:r w:rsidR="00AE3F80">
        <w:rPr>
          <w:sz w:val="20"/>
          <w:szCs w:val="20"/>
        </w:rPr>
        <w:t xml:space="preserve">la </w:t>
      </w:r>
      <w:r w:rsidRPr="00FB57D4">
        <w:rPr>
          <w:sz w:val="20"/>
          <w:szCs w:val="20"/>
        </w:rPr>
        <w:t xml:space="preserve">brez težav. </w:t>
      </w:r>
    </w:p>
    <w:p w14:paraId="66705E8F" w14:textId="77777777" w:rsidR="00FB57D4" w:rsidRPr="00FB57D4" w:rsidRDefault="00FB57D4" w:rsidP="00411064">
      <w:pPr>
        <w:spacing w:line="276" w:lineRule="auto"/>
        <w:rPr>
          <w:sz w:val="20"/>
          <w:szCs w:val="20"/>
        </w:rPr>
      </w:pPr>
    </w:p>
    <w:p w14:paraId="7FE86FBC" w14:textId="77777777" w:rsidR="00FB57D4" w:rsidRPr="00FB57D4" w:rsidRDefault="00FB57D4" w:rsidP="00411064">
      <w:pPr>
        <w:spacing w:line="276" w:lineRule="auto"/>
        <w:rPr>
          <w:sz w:val="20"/>
          <w:szCs w:val="20"/>
        </w:rPr>
      </w:pPr>
      <w:r w:rsidRPr="00FB57D4">
        <w:rPr>
          <w:sz w:val="20"/>
          <w:szCs w:val="20"/>
        </w:rPr>
        <w:t>Poleg tega je UPPD v letu 2025 sodeloval še v naslednjih projektih:</w:t>
      </w:r>
    </w:p>
    <w:p w14:paraId="13136CB2" w14:textId="77777777" w:rsidR="00FB57D4" w:rsidRPr="00FB57D4" w:rsidRDefault="00FB57D4" w:rsidP="00411064">
      <w:pPr>
        <w:pStyle w:val="ListParagraph"/>
        <w:numPr>
          <w:ilvl w:val="0"/>
          <w:numId w:val="3"/>
        </w:numPr>
        <w:spacing w:line="276" w:lineRule="auto"/>
        <w:contextualSpacing/>
        <w:rPr>
          <w:rFonts w:ascii="Arial" w:hAnsi="Arial"/>
          <w:sz w:val="20"/>
          <w:szCs w:val="20"/>
        </w:rPr>
      </w:pPr>
      <w:r w:rsidRPr="00FB57D4">
        <w:rPr>
          <w:rFonts w:ascii="Arial" w:eastAsia="BatangChe" w:hAnsi="Arial"/>
          <w:sz w:val="20"/>
          <w:szCs w:val="20"/>
          <w:u w:val="single"/>
        </w:rPr>
        <w:t>Severna Makedonija</w:t>
      </w:r>
      <w:r w:rsidRPr="00FB57D4">
        <w:rPr>
          <w:rFonts w:ascii="Arial" w:eastAsia="BatangChe" w:hAnsi="Arial"/>
          <w:sz w:val="20"/>
          <w:szCs w:val="20"/>
        </w:rPr>
        <w:t xml:space="preserve">: Projekt dvostranske tehnične pomoči (že od leta 2013), kjer sodelovanje poteka na podlagi medvladnega sporazuma. Na letni ravni sta predvidena dva delovna obiska (v Skopju oziroma Ljubljani). </w:t>
      </w:r>
    </w:p>
    <w:p w14:paraId="6B3DA3A1" w14:textId="77777777" w:rsidR="00FB57D4" w:rsidRPr="00FB57D4" w:rsidRDefault="00FB57D4" w:rsidP="00411064">
      <w:pPr>
        <w:pStyle w:val="ListParagraph"/>
        <w:spacing w:line="276" w:lineRule="auto"/>
        <w:ind w:left="720"/>
        <w:contextualSpacing/>
        <w:rPr>
          <w:rFonts w:ascii="Arial" w:eastAsia="BatangChe" w:hAnsi="Arial"/>
          <w:sz w:val="20"/>
          <w:szCs w:val="20"/>
        </w:rPr>
      </w:pPr>
      <w:r w:rsidRPr="00FB57D4">
        <w:rPr>
          <w:rFonts w:ascii="Arial" w:eastAsia="BatangChe" w:hAnsi="Arial"/>
          <w:sz w:val="20"/>
          <w:szCs w:val="20"/>
        </w:rPr>
        <w:t xml:space="preserve">V letu 2025 sta bila obiska namenjena predvsem izmenjavi izkušenj v zvezi z novimi trendi in tipologijami pranja denarja in financiranja terorizma, strateško analitiko, 6. krogom ocenjevanja </w:t>
      </w:r>
      <w:r w:rsidR="00586040">
        <w:rPr>
          <w:rFonts w:ascii="Arial" w:eastAsia="BatangChe" w:hAnsi="Arial"/>
          <w:sz w:val="20"/>
          <w:szCs w:val="20"/>
        </w:rPr>
        <w:t>RS</w:t>
      </w:r>
      <w:r w:rsidR="00586040" w:rsidRPr="00FB57D4">
        <w:rPr>
          <w:rFonts w:ascii="Arial" w:eastAsia="BatangChe" w:hAnsi="Arial"/>
          <w:sz w:val="20"/>
          <w:szCs w:val="20"/>
        </w:rPr>
        <w:t xml:space="preserve"> </w:t>
      </w:r>
      <w:r w:rsidRPr="00FB57D4">
        <w:rPr>
          <w:rFonts w:ascii="Arial" w:eastAsia="BatangChe" w:hAnsi="Arial"/>
          <w:sz w:val="20"/>
          <w:szCs w:val="20"/>
        </w:rPr>
        <w:t>s strani Odbora strokovnjakov Sveta Evrope za ocenjevanja ukrepov preprečevanja pranja denarja in financiranja terorizma, sodelovanjem UPPD z zavezanci, predstavitvi evropskega zakonodajnega paketa s področja preprečevanja pranja denarja in financiranja terorizma…</w:t>
      </w:r>
    </w:p>
    <w:p w14:paraId="36BB55D1" w14:textId="77777777" w:rsidR="00FB57D4" w:rsidRPr="00FB57D4" w:rsidRDefault="00FB57D4" w:rsidP="00411064">
      <w:pPr>
        <w:pStyle w:val="ListParagraph"/>
        <w:numPr>
          <w:ilvl w:val="0"/>
          <w:numId w:val="3"/>
        </w:numPr>
        <w:spacing w:line="276" w:lineRule="auto"/>
        <w:contextualSpacing/>
        <w:rPr>
          <w:rFonts w:ascii="Arial" w:hAnsi="Arial"/>
          <w:sz w:val="20"/>
          <w:szCs w:val="20"/>
        </w:rPr>
      </w:pPr>
      <w:r w:rsidRPr="00FB57D4">
        <w:rPr>
          <w:rFonts w:ascii="Arial" w:hAnsi="Arial"/>
          <w:sz w:val="20"/>
          <w:szCs w:val="20"/>
          <w:u w:val="single"/>
        </w:rPr>
        <w:t>Črna gora</w:t>
      </w:r>
      <w:r w:rsidRPr="00FB57D4">
        <w:rPr>
          <w:rFonts w:ascii="Arial" w:hAnsi="Arial"/>
          <w:sz w:val="20"/>
          <w:szCs w:val="20"/>
        </w:rPr>
        <w:t xml:space="preserve">: UPPD sodeluje tudi v razvojnem projektu Centra za evropsko prihodnost (CEP), ki je izvajalska ustanova mednarodnega razvojnega sodelovanja in humanitarne pomoči </w:t>
      </w:r>
      <w:r w:rsidR="0081145E">
        <w:rPr>
          <w:rFonts w:ascii="Arial" w:hAnsi="Arial"/>
          <w:sz w:val="20"/>
          <w:szCs w:val="20"/>
        </w:rPr>
        <w:t>RS</w:t>
      </w:r>
      <w:r w:rsidRPr="00FB57D4">
        <w:rPr>
          <w:rFonts w:ascii="Arial" w:hAnsi="Arial"/>
          <w:sz w:val="20"/>
          <w:szCs w:val="20"/>
        </w:rPr>
        <w:t>. V obdobju 2025-2026 CEP (skupaj z Ministrstvom za notranje zadeve</w:t>
      </w:r>
      <w:r w:rsidR="006846DB">
        <w:rPr>
          <w:rFonts w:ascii="Arial" w:hAnsi="Arial"/>
          <w:sz w:val="20"/>
          <w:szCs w:val="20"/>
        </w:rPr>
        <w:t xml:space="preserve"> (MNZ)</w:t>
      </w:r>
      <w:r w:rsidRPr="00FB57D4">
        <w:rPr>
          <w:rFonts w:ascii="Arial" w:hAnsi="Arial"/>
          <w:sz w:val="20"/>
          <w:szCs w:val="20"/>
        </w:rPr>
        <w:t xml:space="preserve"> – Policijo) sodeluje v projektu »Krepitev zmogljivosti na področju finančnih preiskav v </w:t>
      </w:r>
      <w:r w:rsidRPr="00FB57D4">
        <w:rPr>
          <w:rFonts w:ascii="Arial" w:hAnsi="Arial"/>
          <w:sz w:val="20"/>
          <w:szCs w:val="20"/>
          <w:u w:val="single"/>
        </w:rPr>
        <w:t>Črni gori</w:t>
      </w:r>
      <w:r w:rsidRPr="00FB57D4">
        <w:rPr>
          <w:rFonts w:ascii="Arial" w:hAnsi="Arial"/>
          <w:sz w:val="20"/>
          <w:szCs w:val="20"/>
        </w:rPr>
        <w:t>«. V oktobru 2025 je tako v Ljubljani potekala tematska delavnica, na kateri je predstavnik UPPD črnogorskim kolegom predstavil njegovo vlogo pri sodelovanju z drugimi pristojnimi inštitucijami (Policijo, Tožilstvom, FURS) ter dobre prakse pri reševanju zadev, kjer se je pojavil sum storitve kaznivih dejanj pranja denarja, predhodnih kaznivih dejanj in/ali financiranja terorizma. Projekt naj bi se predvidoma nadaljeval tudi v letu 2026.</w:t>
      </w:r>
    </w:p>
    <w:p w14:paraId="4BD8165B" w14:textId="77777777" w:rsidR="00FB57D4" w:rsidRPr="00FB57D4" w:rsidRDefault="00FB57D4" w:rsidP="00411064">
      <w:pPr>
        <w:spacing w:line="276" w:lineRule="auto"/>
        <w:contextualSpacing/>
        <w:rPr>
          <w:sz w:val="20"/>
          <w:szCs w:val="20"/>
        </w:rPr>
      </w:pPr>
    </w:p>
    <w:p w14:paraId="3BDE7C52" w14:textId="77777777" w:rsidR="00FB57D4" w:rsidRPr="00FB57D4" w:rsidRDefault="00FB57D4" w:rsidP="00411064">
      <w:pPr>
        <w:spacing w:line="276" w:lineRule="auto"/>
        <w:rPr>
          <w:b/>
          <w:bCs/>
          <w:sz w:val="20"/>
          <w:szCs w:val="20"/>
        </w:rPr>
      </w:pPr>
      <w:r w:rsidRPr="00FB57D4">
        <w:rPr>
          <w:b/>
          <w:bCs/>
          <w:sz w:val="20"/>
          <w:szCs w:val="20"/>
        </w:rPr>
        <w:t>Sodelovanje na področju večstranske in dvostranske razvojne pomoči</w:t>
      </w:r>
    </w:p>
    <w:p w14:paraId="615438C5" w14:textId="77777777" w:rsidR="00FB57D4" w:rsidRPr="00FB57D4" w:rsidRDefault="00FB57D4" w:rsidP="00411064">
      <w:pPr>
        <w:spacing w:line="276" w:lineRule="auto"/>
        <w:rPr>
          <w:b/>
          <w:bCs/>
          <w:sz w:val="20"/>
          <w:szCs w:val="20"/>
        </w:rPr>
      </w:pPr>
    </w:p>
    <w:p w14:paraId="7712B561" w14:textId="77777777" w:rsidR="00FB57D4" w:rsidRPr="00FB57D4" w:rsidRDefault="00FB57D4" w:rsidP="00411064">
      <w:pPr>
        <w:spacing w:line="276" w:lineRule="auto"/>
        <w:rPr>
          <w:b/>
          <w:bCs/>
          <w:sz w:val="20"/>
          <w:szCs w:val="20"/>
        </w:rPr>
      </w:pPr>
      <w:r w:rsidRPr="00FB57D4">
        <w:rPr>
          <w:b/>
          <w:bCs/>
          <w:sz w:val="20"/>
          <w:szCs w:val="20"/>
        </w:rPr>
        <w:t>Skrbniški sklad za Ekonomsko odpornost</w:t>
      </w:r>
    </w:p>
    <w:p w14:paraId="23C545F2" w14:textId="77777777" w:rsidR="00FB57D4" w:rsidRPr="00FB57D4" w:rsidRDefault="00FB57D4" w:rsidP="00411064">
      <w:pPr>
        <w:spacing w:line="276" w:lineRule="auto"/>
        <w:rPr>
          <w:sz w:val="20"/>
          <w:szCs w:val="20"/>
        </w:rPr>
      </w:pPr>
      <w:r w:rsidRPr="00FB57D4">
        <w:rPr>
          <w:sz w:val="20"/>
          <w:szCs w:val="20"/>
        </w:rPr>
        <w:t xml:space="preserve">Evropska Investicijska Banka (EIB) je konec leta 2016 ustanovila Skrbniški sklad za ekonomsko odpornost z namenom hitrega aktiviranja dodatnega financiranja za podporo zmogljivosti gospodarstev v južnem sosedstvu in tudi regijah Zahodnega Balkana, da se lahko odzovejo na krize in pretrese, kot je begunska kriza, ter da se spodbudi gospodarska rast in odpornost v teh regijah z vlaganjem v infrastrukturo, razvoj zasebnega sektorja in spodbujanje rasti ter ustvarjanje delovnih mest. RS je v skrbniški sklad vplačala 0,5 mio EUR, z ostalimi državami donatorkami je bilo vplačanih skupno 112,45 mio EUR. Do sredine leta 2025 je bilo odobrenih za 104,2 mio EUR projektov, od tega za 30,6 mio EUR na območju Zahodnega Balkana. </w:t>
      </w:r>
    </w:p>
    <w:p w14:paraId="62192A8E" w14:textId="77777777" w:rsidR="00FB57D4" w:rsidRPr="00FB57D4" w:rsidRDefault="00FB57D4" w:rsidP="00411064">
      <w:pPr>
        <w:spacing w:line="276" w:lineRule="auto"/>
        <w:rPr>
          <w:sz w:val="20"/>
          <w:szCs w:val="20"/>
        </w:rPr>
      </w:pPr>
      <w:r w:rsidRPr="00FB57D4">
        <w:rPr>
          <w:sz w:val="20"/>
          <w:szCs w:val="20"/>
        </w:rPr>
        <w:t>V letu 2025 je prišlo do naslednjih aktivnosti:</w:t>
      </w:r>
    </w:p>
    <w:p w14:paraId="7A827B06" w14:textId="77777777" w:rsidR="00FB57D4" w:rsidRPr="00FB57D4" w:rsidRDefault="00FB57D4" w:rsidP="00411064">
      <w:pPr>
        <w:numPr>
          <w:ilvl w:val="0"/>
          <w:numId w:val="15"/>
        </w:numPr>
        <w:spacing w:line="276" w:lineRule="auto"/>
        <w:rPr>
          <w:sz w:val="20"/>
          <w:szCs w:val="20"/>
        </w:rPr>
      </w:pPr>
      <w:r w:rsidRPr="00FB57D4">
        <w:rPr>
          <w:bCs/>
          <w:sz w:val="20"/>
          <w:szCs w:val="20"/>
        </w:rPr>
        <w:t>Odobritev predloga uporabe prihodkov ustvarjenih v okviru sklada ERI, med drugim iz pozitivnih obrestnih mer, za financiranje tehnične pomoči, tako da bi iz ERI sklada lahko bilo namenjenih do 20 mio EUR trenutno nealociranih sredstev. Tehnična pomoč ima ključno vlogo pri uspešni pripravi in izvajanju projektov ter pri krepitvi gospodarske odpornosti v ciljnih regijah.</w:t>
      </w:r>
    </w:p>
    <w:p w14:paraId="7AB69587" w14:textId="77777777" w:rsidR="00FB57D4" w:rsidRPr="00FB57D4" w:rsidRDefault="00FB57D4" w:rsidP="00411064">
      <w:pPr>
        <w:numPr>
          <w:ilvl w:val="0"/>
          <w:numId w:val="14"/>
        </w:numPr>
        <w:spacing w:line="276" w:lineRule="auto"/>
        <w:rPr>
          <w:sz w:val="20"/>
          <w:szCs w:val="20"/>
        </w:rPr>
      </w:pPr>
      <w:r w:rsidRPr="00FB57D4">
        <w:rPr>
          <w:sz w:val="20"/>
          <w:szCs w:val="20"/>
        </w:rPr>
        <w:t>Ponovno podaljšanje obdobja implementacije (do 22.</w:t>
      </w:r>
      <w:r w:rsidR="007E5FDE">
        <w:rPr>
          <w:sz w:val="20"/>
          <w:szCs w:val="20"/>
        </w:rPr>
        <w:t xml:space="preserve"> decembra </w:t>
      </w:r>
      <w:r w:rsidRPr="00FB57D4">
        <w:rPr>
          <w:sz w:val="20"/>
          <w:szCs w:val="20"/>
        </w:rPr>
        <w:t xml:space="preserve">2026) za programsko posojilo za SMES in MIDCAPs na področju Zahodnega Balkana v višini do 8,3 mio EUR (podpis sporazuma predviden konec leta 2025 ali v začetku leta 2026): posredno posojilo izbranim finančnim posrednikom na Zahodnem Balkanu, namenjeno podpori lokalnim SME in srednje velikim podjetjem, ki se zavežejo, da bodo ustvarila pozitiven socialno-ekonomski učinek, s poudarkom na spodbujanju enakosti spolov, zaposlovanju mladih in socialni vključenosti. </w:t>
      </w:r>
    </w:p>
    <w:p w14:paraId="49936217" w14:textId="77777777" w:rsidR="00FB57D4" w:rsidRPr="00FB57D4" w:rsidRDefault="00FB57D4" w:rsidP="00411064">
      <w:pPr>
        <w:spacing w:line="276" w:lineRule="auto"/>
        <w:rPr>
          <w:sz w:val="20"/>
          <w:szCs w:val="20"/>
        </w:rPr>
      </w:pPr>
    </w:p>
    <w:p w14:paraId="3626E48C" w14:textId="77777777" w:rsidR="00FB57D4" w:rsidRPr="00FB57D4" w:rsidRDefault="00FB57D4" w:rsidP="00411064">
      <w:pPr>
        <w:spacing w:line="276" w:lineRule="auto"/>
        <w:rPr>
          <w:b/>
          <w:bCs/>
          <w:sz w:val="20"/>
          <w:szCs w:val="20"/>
        </w:rPr>
      </w:pPr>
      <w:r w:rsidRPr="00FB57D4">
        <w:rPr>
          <w:b/>
          <w:bCs/>
          <w:sz w:val="20"/>
          <w:szCs w:val="20"/>
        </w:rPr>
        <w:t>Center za razvoj financ (CEF)</w:t>
      </w:r>
    </w:p>
    <w:p w14:paraId="0D1AA0AF" w14:textId="77777777" w:rsidR="00FB57D4" w:rsidRPr="00FB57D4" w:rsidRDefault="00FB57D4" w:rsidP="00411064">
      <w:pPr>
        <w:spacing w:line="276" w:lineRule="auto"/>
        <w:rPr>
          <w:sz w:val="20"/>
          <w:szCs w:val="20"/>
        </w:rPr>
      </w:pPr>
      <w:r w:rsidRPr="00FB57D4">
        <w:rPr>
          <w:sz w:val="20"/>
          <w:szCs w:val="20"/>
        </w:rPr>
        <w:t xml:space="preserve">CEF je v letu 2025 izvedel preko 200 izobraževanj v različnih formatih (prek spleta, na sedežu CEF v Ljubljani ter v državah Zahodnega Balkana (ter Moldavije in Ukrajine) na naslednjih področjih: (i) upravljanje javnih financ, (ii) centralno bančništvo (iii) vodenja za upravljanje reform in (iv) ekosistemi učenja in znanja. </w:t>
      </w:r>
    </w:p>
    <w:p w14:paraId="51931A89" w14:textId="77777777" w:rsidR="00FB57D4" w:rsidRPr="00FB57D4" w:rsidRDefault="00FB57D4" w:rsidP="00411064">
      <w:pPr>
        <w:spacing w:line="276" w:lineRule="auto"/>
        <w:rPr>
          <w:sz w:val="20"/>
          <w:szCs w:val="20"/>
        </w:rPr>
      </w:pPr>
      <w:r w:rsidRPr="00FB57D4">
        <w:rPr>
          <w:sz w:val="20"/>
          <w:szCs w:val="20"/>
        </w:rPr>
        <w:t>Glavni poudarki iz programa aktivnosti, osredotočenih na države Zahodnega Balkana:</w:t>
      </w:r>
    </w:p>
    <w:p w14:paraId="136DE61E" w14:textId="77777777" w:rsidR="00FB57D4" w:rsidRPr="00FB57D4" w:rsidRDefault="00FB57D4" w:rsidP="00411064">
      <w:pPr>
        <w:pStyle w:val="ListParagraph"/>
        <w:spacing w:line="276" w:lineRule="auto"/>
        <w:ind w:left="0"/>
        <w:rPr>
          <w:rFonts w:ascii="Arial" w:hAnsi="Arial"/>
          <w:b/>
          <w:sz w:val="20"/>
          <w:szCs w:val="20"/>
        </w:rPr>
      </w:pPr>
      <w:r w:rsidRPr="00FB57D4">
        <w:rPr>
          <w:rFonts w:ascii="Arial" w:hAnsi="Arial"/>
          <w:b/>
          <w:sz w:val="20"/>
          <w:szCs w:val="20"/>
        </w:rPr>
        <w:t xml:space="preserve">Projekti, financirani iz naslova mednarodnega razvojnega sodelovanja (donatorji MZEZ, MF, </w:t>
      </w:r>
      <w:r w:rsidR="00CE2B93" w:rsidRPr="00CE2B93">
        <w:rPr>
          <w:rFonts w:ascii="Arial" w:hAnsi="Arial"/>
          <w:b/>
          <w:sz w:val="20"/>
          <w:szCs w:val="20"/>
        </w:rPr>
        <w:t xml:space="preserve">Ministrstvo za okolje, podnebje in energijo </w:t>
      </w:r>
      <w:r w:rsidR="00CE2B93">
        <w:rPr>
          <w:rFonts w:ascii="Arial" w:hAnsi="Arial"/>
          <w:b/>
          <w:sz w:val="20"/>
          <w:szCs w:val="20"/>
        </w:rPr>
        <w:t>(</w:t>
      </w:r>
      <w:r w:rsidRPr="00FB57D4">
        <w:rPr>
          <w:rFonts w:ascii="Arial" w:hAnsi="Arial"/>
          <w:b/>
          <w:sz w:val="20"/>
          <w:szCs w:val="20"/>
        </w:rPr>
        <w:t>MOPE</w:t>
      </w:r>
      <w:r w:rsidR="00CE2B93">
        <w:rPr>
          <w:rFonts w:ascii="Arial" w:hAnsi="Arial"/>
          <w:b/>
          <w:sz w:val="20"/>
          <w:szCs w:val="20"/>
        </w:rPr>
        <w:t>)</w:t>
      </w:r>
      <w:r w:rsidRPr="00FB57D4">
        <w:rPr>
          <w:rFonts w:ascii="Arial" w:hAnsi="Arial"/>
          <w:b/>
          <w:sz w:val="20"/>
          <w:szCs w:val="20"/>
        </w:rPr>
        <w:t xml:space="preserve"> ter Banke Slovenije)</w:t>
      </w:r>
    </w:p>
    <w:p w14:paraId="7A21D966" w14:textId="77777777" w:rsidR="00FB57D4" w:rsidRPr="00FB57D4" w:rsidRDefault="00FB57D4" w:rsidP="00411064">
      <w:pPr>
        <w:numPr>
          <w:ilvl w:val="0"/>
          <w:numId w:val="16"/>
        </w:numPr>
        <w:spacing w:line="276" w:lineRule="auto"/>
        <w:rPr>
          <w:sz w:val="20"/>
          <w:szCs w:val="20"/>
          <w:lang w:eastAsia="sl-SI"/>
        </w:rPr>
      </w:pPr>
      <w:r w:rsidRPr="00FB57D4">
        <w:rPr>
          <w:sz w:val="20"/>
          <w:szCs w:val="20"/>
          <w:lang w:eastAsia="sl-SI"/>
        </w:rPr>
        <w:t>Nadaljevanje projekta “Empowered Accountants and Auditors for Accountable Public Sector (EAPS) 2024-2027”, s ciljem krepitve zmogljivosti računovodij in revizorjev v Jugovzhodni in vzhodni Evropi, ki ga sofinancirata MZEZ ter Konstituenčni program Ministrstva za finance Kraljevine Nizozemske.</w:t>
      </w:r>
    </w:p>
    <w:p w14:paraId="7F9E0959" w14:textId="77777777" w:rsidR="00FB57D4" w:rsidRPr="00FB57D4" w:rsidRDefault="00FB57D4" w:rsidP="00411064">
      <w:pPr>
        <w:numPr>
          <w:ilvl w:val="0"/>
          <w:numId w:val="16"/>
        </w:numPr>
        <w:spacing w:line="276" w:lineRule="auto"/>
        <w:rPr>
          <w:sz w:val="20"/>
          <w:szCs w:val="20"/>
          <w:lang w:eastAsia="sl-SI"/>
        </w:rPr>
      </w:pPr>
      <w:r w:rsidRPr="00FB57D4">
        <w:rPr>
          <w:sz w:val="20"/>
          <w:szCs w:val="20"/>
          <w:lang w:eastAsia="sl-SI"/>
        </w:rPr>
        <w:t>V letu 2025 so se izvajali še naslednji projekti:</w:t>
      </w:r>
    </w:p>
    <w:p w14:paraId="6CD99FBA" w14:textId="77777777" w:rsidR="00FB57D4" w:rsidRPr="00FB57D4" w:rsidRDefault="00FB57D4" w:rsidP="00411064">
      <w:pPr>
        <w:numPr>
          <w:ilvl w:val="1"/>
          <w:numId w:val="16"/>
        </w:numPr>
        <w:spacing w:line="276" w:lineRule="auto"/>
        <w:rPr>
          <w:sz w:val="20"/>
          <w:szCs w:val="20"/>
          <w:lang w:eastAsia="sl-SI"/>
        </w:rPr>
      </w:pPr>
      <w:r w:rsidRPr="00FB57D4">
        <w:rPr>
          <w:sz w:val="20"/>
          <w:szCs w:val="20"/>
          <w:lang w:eastAsia="sl-SI"/>
        </w:rPr>
        <w:t xml:space="preserve">"Greening Human Capital of Public Institutions of the Western Balkans (GHC)", ki ga financira MOPE. Projekt podpira razvoj tehničnih in vodstvenih kompetenc javnih uslužbencev v javnih institucijah Zahodnega Balkana, ki delujejo na ključnih področjih trajnostnega razvoja. </w:t>
      </w:r>
    </w:p>
    <w:p w14:paraId="73D1A145" w14:textId="77777777" w:rsidR="00FB57D4" w:rsidRPr="00FB57D4" w:rsidRDefault="00FB57D4" w:rsidP="00411064">
      <w:pPr>
        <w:numPr>
          <w:ilvl w:val="1"/>
          <w:numId w:val="16"/>
        </w:numPr>
        <w:spacing w:line="276" w:lineRule="auto"/>
        <w:rPr>
          <w:sz w:val="20"/>
          <w:szCs w:val="20"/>
          <w:lang w:eastAsia="sl-SI"/>
        </w:rPr>
      </w:pPr>
      <w:r w:rsidRPr="00FB57D4">
        <w:rPr>
          <w:sz w:val="20"/>
          <w:szCs w:val="20"/>
          <w:lang w:eastAsia="sl-SI"/>
        </w:rPr>
        <w:t xml:space="preserve">"Capacity Development of Ukraine and Moldova in the area of Public Finance Management and Central Banking (PFM/CB Capacity Development UKR/MDA) ". Projekt krepi zmogljivosti ukrajinskih in moldavskih javnih uslužbencev na področju upravljanja strukturnih reform, priprave Ekonomskega reformnega programa (ERP) v skladu s smernicami </w:t>
      </w:r>
      <w:r w:rsidR="00110714">
        <w:rPr>
          <w:sz w:val="20"/>
          <w:szCs w:val="20"/>
          <w:lang w:eastAsia="sl-SI"/>
        </w:rPr>
        <w:t>EK</w:t>
      </w:r>
      <w:r w:rsidRPr="00FB57D4">
        <w:rPr>
          <w:sz w:val="20"/>
          <w:szCs w:val="20"/>
          <w:lang w:eastAsia="sl-SI"/>
        </w:rPr>
        <w:t xml:space="preserve"> ter krepitve strokovnih kompetenc na področju centralnega bančništva. Financira ga MZEZ.</w:t>
      </w:r>
    </w:p>
    <w:p w14:paraId="4C24DA43" w14:textId="77777777" w:rsidR="00FB57D4" w:rsidRPr="00FB57D4" w:rsidRDefault="00FB57D4" w:rsidP="00411064">
      <w:pPr>
        <w:numPr>
          <w:ilvl w:val="1"/>
          <w:numId w:val="16"/>
        </w:numPr>
        <w:spacing w:line="276" w:lineRule="auto"/>
        <w:rPr>
          <w:sz w:val="20"/>
          <w:szCs w:val="20"/>
          <w:lang w:eastAsia="sl-SI"/>
        </w:rPr>
      </w:pPr>
      <w:r w:rsidRPr="00FB57D4">
        <w:rPr>
          <w:sz w:val="20"/>
          <w:szCs w:val="20"/>
          <w:lang w:eastAsia="sl-SI"/>
        </w:rPr>
        <w:t xml:space="preserve">"National Bank of Moldova, Institutional Transformation into a Learning Organization (NBM LearnOrgLab)", ki je osredotočen na krepitev individualnih, ekipnih in institucionalnih zmogljivosti zaposlenih v Narodni banki Moldavije, s poudarkom na razvoju vodstvenih kompetenc ter veščin vodenja in upravljanja znanja zaposlenih. Projekt financirajo MZEZ, MF ter Konstituenčni program </w:t>
      </w:r>
      <w:r w:rsidR="00C64B34">
        <w:rPr>
          <w:sz w:val="20"/>
          <w:szCs w:val="20"/>
          <w:lang w:eastAsia="sl-SI"/>
        </w:rPr>
        <w:t>Ministrstva za finance</w:t>
      </w:r>
      <w:r w:rsidRPr="00FB57D4">
        <w:rPr>
          <w:sz w:val="20"/>
          <w:szCs w:val="20"/>
          <w:lang w:eastAsia="sl-SI"/>
        </w:rPr>
        <w:t xml:space="preserve"> Kraljevine Nizozemske. Projekt so podprli še Banka Slovenije, Banque de France, Narodna banka Belgije. </w:t>
      </w:r>
    </w:p>
    <w:p w14:paraId="3CD62278" w14:textId="77777777" w:rsidR="00FB57D4" w:rsidRPr="00FB57D4" w:rsidRDefault="00FB57D4" w:rsidP="00411064">
      <w:pPr>
        <w:numPr>
          <w:ilvl w:val="1"/>
          <w:numId w:val="16"/>
        </w:numPr>
        <w:spacing w:line="276" w:lineRule="auto"/>
        <w:rPr>
          <w:sz w:val="20"/>
          <w:szCs w:val="20"/>
          <w:lang w:eastAsia="sl-SI"/>
        </w:rPr>
      </w:pPr>
      <w:r w:rsidRPr="00FB57D4">
        <w:rPr>
          <w:sz w:val="20"/>
          <w:szCs w:val="20"/>
          <w:lang w:eastAsia="sl-SI"/>
        </w:rPr>
        <w:t>"Strengthening Capacities for a Sound, Resilient and Developed Macroeconomic and Financial Environment (MFE) for central banks and financial supervisory authorities in SEE”. Projekt je namenjen centralnim bankam in finančnim nadzornim organom za krepitev njihovih institucionalnih zmogljivosti pri zagotavljanju makroekonomskega in finančnega okolja. Projekt je financirala Banka Slovenije</w:t>
      </w:r>
    </w:p>
    <w:p w14:paraId="7DF51F2B" w14:textId="77777777" w:rsidR="00FB57D4" w:rsidRPr="00FB57D4" w:rsidRDefault="00FB57D4" w:rsidP="00411064">
      <w:pPr>
        <w:numPr>
          <w:ilvl w:val="1"/>
          <w:numId w:val="16"/>
        </w:numPr>
        <w:spacing w:line="276" w:lineRule="auto"/>
        <w:rPr>
          <w:sz w:val="20"/>
          <w:szCs w:val="20"/>
          <w:lang w:eastAsia="sl-SI"/>
        </w:rPr>
      </w:pPr>
      <w:r w:rsidRPr="00FB57D4">
        <w:rPr>
          <w:sz w:val="20"/>
          <w:szCs w:val="20"/>
        </w:rPr>
        <w:t xml:space="preserve">“Developing Efficient and Resilient Tax institutions 2024–2027”, z glavnim ciljem prispevati k povečanju javnih prihodkov v državah upravičenkah. Financirata ga </w:t>
      </w:r>
      <w:r w:rsidR="00C64B34">
        <w:rPr>
          <w:sz w:val="20"/>
          <w:szCs w:val="20"/>
          <w:lang w:eastAsia="sl-SI"/>
        </w:rPr>
        <w:t>Ministrstvo za finance</w:t>
      </w:r>
      <w:r w:rsidR="00C64B34" w:rsidRPr="00FB57D4">
        <w:rPr>
          <w:sz w:val="20"/>
          <w:szCs w:val="20"/>
          <w:lang w:eastAsia="sl-SI"/>
        </w:rPr>
        <w:t xml:space="preserve"> </w:t>
      </w:r>
      <w:r w:rsidRPr="00FB57D4">
        <w:rPr>
          <w:sz w:val="20"/>
          <w:szCs w:val="20"/>
        </w:rPr>
        <w:t xml:space="preserve">Slovaške in </w:t>
      </w:r>
      <w:proofErr w:type="spellStart"/>
      <w:r w:rsidRPr="00FB57D4">
        <w:rPr>
          <w:sz w:val="20"/>
          <w:szCs w:val="20"/>
          <w:lang w:eastAsia="sl-SI"/>
        </w:rPr>
        <w:t>Konstituenčni</w:t>
      </w:r>
      <w:proofErr w:type="spellEnd"/>
      <w:r w:rsidRPr="00FB57D4">
        <w:rPr>
          <w:sz w:val="20"/>
          <w:szCs w:val="20"/>
          <w:lang w:eastAsia="sl-SI"/>
        </w:rPr>
        <w:t xml:space="preserve"> program </w:t>
      </w:r>
      <w:r w:rsidR="00C64B34">
        <w:rPr>
          <w:sz w:val="20"/>
          <w:szCs w:val="20"/>
          <w:lang w:eastAsia="sl-SI"/>
        </w:rPr>
        <w:t>Ministrstva za finance</w:t>
      </w:r>
      <w:r w:rsidR="00C64B34" w:rsidRPr="00FB57D4">
        <w:rPr>
          <w:sz w:val="20"/>
          <w:szCs w:val="20"/>
          <w:lang w:eastAsia="sl-SI"/>
        </w:rPr>
        <w:t xml:space="preserve"> </w:t>
      </w:r>
      <w:r w:rsidRPr="00FB57D4">
        <w:rPr>
          <w:sz w:val="20"/>
          <w:szCs w:val="20"/>
          <w:lang w:eastAsia="sl-SI"/>
        </w:rPr>
        <w:t>Kraljevine Nizozemske</w:t>
      </w:r>
      <w:r w:rsidRPr="00FB57D4">
        <w:rPr>
          <w:sz w:val="20"/>
          <w:szCs w:val="20"/>
        </w:rPr>
        <w:t>.</w:t>
      </w:r>
    </w:p>
    <w:p w14:paraId="3FB9C30F" w14:textId="77777777" w:rsidR="00FB57D4" w:rsidRPr="00FB57D4" w:rsidRDefault="00FB57D4" w:rsidP="00411064">
      <w:pPr>
        <w:numPr>
          <w:ilvl w:val="1"/>
          <w:numId w:val="16"/>
        </w:numPr>
        <w:spacing w:line="276" w:lineRule="auto"/>
        <w:rPr>
          <w:sz w:val="20"/>
          <w:szCs w:val="20"/>
          <w:lang w:eastAsia="sl-SI"/>
        </w:rPr>
      </w:pPr>
      <w:r w:rsidRPr="00FB57D4">
        <w:rPr>
          <w:sz w:val="20"/>
          <w:szCs w:val="20"/>
        </w:rPr>
        <w:t xml:space="preserve">Pričetek izvajanja projekta “Public Finance Academy of the Ministry of Finance of North Macedonia, Transformation into a Learning Organization (PFA LearnOrgLab)”, ki ga finančno podpira MZEZ. Namen projekta je preoblikovati Akademijo za javne finance v učečo se organizacijo. Projekt krepi sistem izobraževanja in usposabljanja </w:t>
      </w:r>
      <w:r w:rsidR="00606739">
        <w:rPr>
          <w:sz w:val="20"/>
          <w:szCs w:val="20"/>
          <w:lang w:eastAsia="sl-SI"/>
        </w:rPr>
        <w:t>Ministrstva za finance</w:t>
      </w:r>
      <w:r w:rsidR="00606739" w:rsidRPr="00FB57D4">
        <w:rPr>
          <w:sz w:val="20"/>
          <w:szCs w:val="20"/>
          <w:lang w:eastAsia="sl-SI"/>
        </w:rPr>
        <w:t xml:space="preserve"> </w:t>
      </w:r>
      <w:r w:rsidRPr="00FB57D4">
        <w:rPr>
          <w:sz w:val="20"/>
          <w:szCs w:val="20"/>
        </w:rPr>
        <w:t>Severne Makedonije</w:t>
      </w:r>
    </w:p>
    <w:p w14:paraId="547CFBD4" w14:textId="77777777" w:rsidR="00FB57D4" w:rsidRPr="00FB57D4" w:rsidRDefault="00FB57D4" w:rsidP="00411064">
      <w:pPr>
        <w:spacing w:line="276" w:lineRule="auto"/>
        <w:rPr>
          <w:sz w:val="20"/>
          <w:szCs w:val="20"/>
          <w:lang w:eastAsia="sl-SI"/>
        </w:rPr>
      </w:pPr>
    </w:p>
    <w:p w14:paraId="59D5C4A3" w14:textId="77777777" w:rsidR="00FB57D4" w:rsidRPr="00FB57D4" w:rsidRDefault="00FB57D4" w:rsidP="00411064">
      <w:pPr>
        <w:pStyle w:val="ListParagraph"/>
        <w:spacing w:line="276" w:lineRule="auto"/>
        <w:ind w:left="0"/>
        <w:rPr>
          <w:rFonts w:ascii="Arial" w:eastAsia="BatangChe" w:hAnsi="Arial"/>
          <w:b/>
          <w:sz w:val="20"/>
          <w:szCs w:val="20"/>
        </w:rPr>
      </w:pPr>
      <w:r w:rsidRPr="00FB57D4">
        <w:rPr>
          <w:rFonts w:ascii="Arial" w:eastAsia="BatangChe" w:hAnsi="Arial"/>
          <w:b/>
          <w:sz w:val="20"/>
          <w:szCs w:val="20"/>
        </w:rPr>
        <w:t>Projekti, ki jih financira EU:</w:t>
      </w:r>
    </w:p>
    <w:p w14:paraId="78E58C22" w14:textId="77777777" w:rsidR="00FB57D4" w:rsidRPr="00FB57D4" w:rsidRDefault="00FB57D4" w:rsidP="00411064">
      <w:pPr>
        <w:pStyle w:val="ListParagraph"/>
        <w:numPr>
          <w:ilvl w:val="0"/>
          <w:numId w:val="17"/>
        </w:numPr>
        <w:spacing w:line="276" w:lineRule="auto"/>
        <w:ind w:left="709"/>
        <w:rPr>
          <w:rFonts w:ascii="Arial" w:eastAsia="BatangChe" w:hAnsi="Arial"/>
          <w:sz w:val="20"/>
          <w:szCs w:val="20"/>
        </w:rPr>
      </w:pPr>
      <w:r w:rsidRPr="00FB57D4">
        <w:rPr>
          <w:rFonts w:ascii="Arial" w:eastAsia="BatangChe" w:hAnsi="Arial"/>
          <w:sz w:val="20"/>
          <w:szCs w:val="20"/>
        </w:rPr>
        <w:t>“WeLead: EU Scheme for Young Professionals in the Western Balkans”, namenjen podpori in razvoju strokovnega znanja mladih javnih uslužbencev regije Z</w:t>
      </w:r>
      <w:r w:rsidR="00586040">
        <w:rPr>
          <w:rFonts w:ascii="Arial" w:eastAsia="BatangChe" w:hAnsi="Arial"/>
          <w:sz w:val="20"/>
          <w:szCs w:val="20"/>
        </w:rPr>
        <w:t xml:space="preserve">ahodnega </w:t>
      </w:r>
      <w:r w:rsidRPr="00FB57D4">
        <w:rPr>
          <w:rFonts w:ascii="Arial" w:eastAsia="BatangChe" w:hAnsi="Arial"/>
          <w:sz w:val="20"/>
          <w:szCs w:val="20"/>
        </w:rPr>
        <w:t>B</w:t>
      </w:r>
      <w:r w:rsidR="00586040">
        <w:rPr>
          <w:rFonts w:ascii="Arial" w:eastAsia="BatangChe" w:hAnsi="Arial"/>
          <w:sz w:val="20"/>
          <w:szCs w:val="20"/>
        </w:rPr>
        <w:t>alkana</w:t>
      </w:r>
      <w:r w:rsidRPr="00FB57D4">
        <w:rPr>
          <w:rFonts w:ascii="Arial" w:eastAsia="BatangChe" w:hAnsi="Arial"/>
          <w:sz w:val="20"/>
          <w:szCs w:val="20"/>
        </w:rPr>
        <w:t xml:space="preserve"> na ključnih področjih pristopnih procesov k EU ter reform javne uprave.</w:t>
      </w:r>
    </w:p>
    <w:p w14:paraId="193DFC46" w14:textId="77777777" w:rsidR="00FB57D4" w:rsidRPr="00FB57D4" w:rsidRDefault="00FB57D4" w:rsidP="00411064">
      <w:pPr>
        <w:numPr>
          <w:ilvl w:val="0"/>
          <w:numId w:val="17"/>
        </w:numPr>
        <w:spacing w:line="276" w:lineRule="auto"/>
        <w:rPr>
          <w:sz w:val="20"/>
          <w:szCs w:val="20"/>
        </w:rPr>
      </w:pPr>
      <w:r w:rsidRPr="00FB57D4">
        <w:rPr>
          <w:sz w:val="20"/>
          <w:szCs w:val="20"/>
          <w:lang w:eastAsia="sl-SI"/>
        </w:rPr>
        <w:t xml:space="preserve">“Structural Reforms Better Integrated Within Fiscal Frameworks” (FISR2), katerega namen je okrepiti vključevanje strukturnih reform znotraj fiskalnih okvirov programa gospodarskih reform. Projekt prav tako zagotavlja podporo pri izvajanju Reformne agende. </w:t>
      </w:r>
    </w:p>
    <w:p w14:paraId="7A03D015" w14:textId="77777777" w:rsidR="00FB57D4" w:rsidRPr="00FB57D4" w:rsidRDefault="00FB57D4" w:rsidP="00411064">
      <w:pPr>
        <w:numPr>
          <w:ilvl w:val="0"/>
          <w:numId w:val="17"/>
        </w:numPr>
        <w:spacing w:line="276" w:lineRule="auto"/>
        <w:rPr>
          <w:sz w:val="20"/>
          <w:szCs w:val="20"/>
        </w:rPr>
      </w:pPr>
      <w:r w:rsidRPr="00FB57D4">
        <w:rPr>
          <w:sz w:val="20"/>
          <w:szCs w:val="20"/>
        </w:rPr>
        <w:t>“Support to Coordination, Monitoring and Reporting on Public Administration Reform Strategy and Public Financial Management Reform Programme 2022-2026”. Cilj tega projekta je izboljšati učinkovitost izvajanja reform ter povečanje učinkov reform javne uprave in upravljanja javnih financ v Črni gori z učenjem ter izmenjavo znanja in izkušenj.</w:t>
      </w:r>
    </w:p>
    <w:p w14:paraId="7F52C0D8" w14:textId="77777777" w:rsidR="00FB57D4" w:rsidRPr="00FB57D4" w:rsidRDefault="00FB57D4" w:rsidP="00411064">
      <w:pPr>
        <w:spacing w:line="276" w:lineRule="auto"/>
        <w:rPr>
          <w:b/>
          <w:sz w:val="20"/>
          <w:szCs w:val="20"/>
        </w:rPr>
      </w:pPr>
    </w:p>
    <w:p w14:paraId="24BD0B31" w14:textId="77777777" w:rsidR="00FB57D4" w:rsidRPr="00FB57D4" w:rsidRDefault="00FB57D4" w:rsidP="00411064">
      <w:pPr>
        <w:spacing w:line="276" w:lineRule="auto"/>
        <w:rPr>
          <w:b/>
          <w:sz w:val="20"/>
          <w:szCs w:val="20"/>
        </w:rPr>
      </w:pPr>
      <w:r w:rsidRPr="00FB57D4">
        <w:rPr>
          <w:b/>
          <w:sz w:val="20"/>
          <w:szCs w:val="20"/>
        </w:rPr>
        <w:t>Center za mednarodno sodelovanje in razvoj (CMSR)</w:t>
      </w:r>
    </w:p>
    <w:p w14:paraId="03631FDC" w14:textId="77777777" w:rsidR="00FB57D4" w:rsidRPr="00FB57D4" w:rsidRDefault="00FB57D4" w:rsidP="00411064">
      <w:pPr>
        <w:spacing w:line="276" w:lineRule="auto"/>
        <w:rPr>
          <w:sz w:val="20"/>
          <w:szCs w:val="20"/>
        </w:rPr>
      </w:pPr>
      <w:r w:rsidRPr="00FB57D4">
        <w:rPr>
          <w:sz w:val="20"/>
          <w:szCs w:val="20"/>
        </w:rPr>
        <w:t xml:space="preserve">CMSR je v letu 2025 nadaljeval z izvajanjem mednarodnega razvojnega sodelovanja na Zahodnem Balkanu na podlagi pogodbe, sklenjene z </w:t>
      </w:r>
      <w:r w:rsidR="00A55E27">
        <w:rPr>
          <w:sz w:val="20"/>
          <w:szCs w:val="20"/>
        </w:rPr>
        <w:t>MF</w:t>
      </w:r>
      <w:r w:rsidRPr="00FB57D4">
        <w:rPr>
          <w:sz w:val="20"/>
          <w:szCs w:val="20"/>
        </w:rPr>
        <w:t xml:space="preserve">. V letu 2025 je pričel z izvajanjem projekta v Severni Makedoniji, ki bo zaključen v letu 2026. Gre za projekt </w:t>
      </w:r>
      <w:r w:rsidRPr="00FB57D4">
        <w:rPr>
          <w:i/>
          <w:iCs/>
          <w:sz w:val="20"/>
          <w:szCs w:val="20"/>
        </w:rPr>
        <w:t>WebEmpower: Digitalna dostopnost in socialna vključenost</w:t>
      </w:r>
      <w:r w:rsidRPr="00FB57D4">
        <w:rPr>
          <w:sz w:val="20"/>
          <w:szCs w:val="20"/>
        </w:rPr>
        <w:t>, katerega naročnik je Fakulteta za računalništvo in inženirstvo, Skopje.</w:t>
      </w:r>
    </w:p>
    <w:p w14:paraId="0CC9F239" w14:textId="77777777" w:rsidR="005A39CC" w:rsidRDefault="005A39CC" w:rsidP="00411064">
      <w:pPr>
        <w:spacing w:line="276" w:lineRule="auto"/>
        <w:rPr>
          <w:sz w:val="20"/>
          <w:szCs w:val="20"/>
          <w:highlight w:val="yellow"/>
        </w:rPr>
      </w:pPr>
    </w:p>
    <w:p w14:paraId="3A5E2A22" w14:textId="77777777" w:rsidR="00411064" w:rsidRPr="00140B34" w:rsidRDefault="00411064" w:rsidP="00411064">
      <w:pPr>
        <w:spacing w:line="276" w:lineRule="auto"/>
        <w:rPr>
          <w:sz w:val="20"/>
          <w:szCs w:val="20"/>
          <w:highlight w:val="yellow"/>
        </w:rPr>
      </w:pPr>
    </w:p>
    <w:p w14:paraId="49832162" w14:textId="77777777" w:rsidR="0055252C" w:rsidRPr="00E951D7" w:rsidRDefault="00AE2B8C" w:rsidP="00411064">
      <w:pPr>
        <w:pStyle w:val="Heading3"/>
      </w:pPr>
      <w:bookmarkStart w:id="12" w:name="_Toc227227968"/>
      <w:r w:rsidRPr="00E951D7">
        <w:t>4</w:t>
      </w:r>
      <w:r w:rsidR="0055252C" w:rsidRPr="00E951D7">
        <w:t>.</w:t>
      </w:r>
      <w:r w:rsidRPr="00E951D7">
        <w:t>2</w:t>
      </w:r>
      <w:r w:rsidR="0055252C" w:rsidRPr="00E951D7">
        <w:t xml:space="preserve">. Krepitev sodelovanja na področju </w:t>
      </w:r>
      <w:r w:rsidR="00675B3F" w:rsidRPr="00E951D7">
        <w:t>gospodars</w:t>
      </w:r>
      <w:r w:rsidR="00C763E0" w:rsidRPr="00E951D7">
        <w:t>tva</w:t>
      </w:r>
      <w:r w:rsidR="00EA0D77" w:rsidRPr="00E951D7">
        <w:t>,</w:t>
      </w:r>
      <w:r w:rsidR="00C763E0" w:rsidRPr="00E951D7">
        <w:t xml:space="preserve"> </w:t>
      </w:r>
      <w:r w:rsidR="00675B3F" w:rsidRPr="00E951D7">
        <w:t>turizma</w:t>
      </w:r>
      <w:r w:rsidR="00EA0D77" w:rsidRPr="00E951D7">
        <w:t xml:space="preserve"> in športa</w:t>
      </w:r>
      <w:bookmarkEnd w:id="12"/>
    </w:p>
    <w:p w14:paraId="46A48DEF" w14:textId="77777777" w:rsidR="0055252C" w:rsidRPr="00140B34" w:rsidRDefault="0055252C" w:rsidP="00411064">
      <w:pPr>
        <w:spacing w:line="276" w:lineRule="auto"/>
        <w:rPr>
          <w:sz w:val="20"/>
          <w:szCs w:val="20"/>
          <w:highlight w:val="yellow"/>
        </w:rPr>
      </w:pPr>
    </w:p>
    <w:p w14:paraId="31E5E1CB" w14:textId="77777777" w:rsidR="00DA491F" w:rsidRPr="00DA491F" w:rsidRDefault="00DA491F" w:rsidP="00DA491F">
      <w:pPr>
        <w:spacing w:line="276" w:lineRule="auto"/>
        <w:rPr>
          <w:rFonts w:eastAsia="Calibri"/>
          <w:sz w:val="20"/>
          <w:szCs w:val="20"/>
        </w:rPr>
      </w:pPr>
      <w:bookmarkStart w:id="13" w:name="_Hlk224741101"/>
      <w:r w:rsidRPr="00DA491F">
        <w:rPr>
          <w:sz w:val="20"/>
          <w:szCs w:val="20"/>
        </w:rPr>
        <w:t xml:space="preserve">Ministrstvo za gospodarstvo, turizem in šport (MGTŠ) je aktivnosti izvajal v sodelovanju z organi v sestavi in izvajalskimi inštitucijami, kot so SPIRIT Slovenija, </w:t>
      </w:r>
      <w:r w:rsidR="003E01A2">
        <w:rPr>
          <w:sz w:val="20"/>
          <w:szCs w:val="20"/>
        </w:rPr>
        <w:t>Slovenska turistična organizacija (</w:t>
      </w:r>
      <w:r w:rsidRPr="00DA491F">
        <w:rPr>
          <w:sz w:val="20"/>
          <w:szCs w:val="20"/>
        </w:rPr>
        <w:t>STO</w:t>
      </w:r>
      <w:r w:rsidR="003E01A2">
        <w:rPr>
          <w:sz w:val="20"/>
          <w:szCs w:val="20"/>
        </w:rPr>
        <w:t>)</w:t>
      </w:r>
      <w:r w:rsidRPr="00DA491F">
        <w:rPr>
          <w:sz w:val="20"/>
          <w:szCs w:val="20"/>
        </w:rPr>
        <w:t>, Slovenski podjetniški sklad in druge, ter v partnerstvu z MZEZ in G</w:t>
      </w:r>
      <w:r w:rsidR="00356B5B">
        <w:rPr>
          <w:sz w:val="20"/>
          <w:szCs w:val="20"/>
        </w:rPr>
        <w:t>ospodarsk</w:t>
      </w:r>
      <w:r w:rsidR="000A2533">
        <w:rPr>
          <w:sz w:val="20"/>
          <w:szCs w:val="20"/>
        </w:rPr>
        <w:t xml:space="preserve">o </w:t>
      </w:r>
      <w:r w:rsidR="00356B5B">
        <w:rPr>
          <w:sz w:val="20"/>
          <w:szCs w:val="20"/>
        </w:rPr>
        <w:t>zbornic</w:t>
      </w:r>
      <w:r w:rsidR="000A2533">
        <w:rPr>
          <w:sz w:val="20"/>
          <w:szCs w:val="20"/>
        </w:rPr>
        <w:t>o</w:t>
      </w:r>
      <w:r w:rsidR="00356B5B">
        <w:rPr>
          <w:sz w:val="20"/>
          <w:szCs w:val="20"/>
        </w:rPr>
        <w:t xml:space="preserve"> </w:t>
      </w:r>
      <w:r w:rsidRPr="00DA491F">
        <w:rPr>
          <w:sz w:val="20"/>
          <w:szCs w:val="20"/>
        </w:rPr>
        <w:t>S</w:t>
      </w:r>
      <w:r w:rsidR="00356B5B">
        <w:rPr>
          <w:sz w:val="20"/>
          <w:szCs w:val="20"/>
        </w:rPr>
        <w:t>lovenije</w:t>
      </w:r>
      <w:r w:rsidRPr="00DA491F">
        <w:rPr>
          <w:sz w:val="20"/>
          <w:szCs w:val="20"/>
        </w:rPr>
        <w:t xml:space="preserve">, v okviru načrta mednarodnih gospodarskih aktivnosti z državami regije Zahodnega Balkana, katerih namen je spodbujanje povezovanja in poglobitev regionalnega sodelovanja na Zahodnem Balkanu. </w:t>
      </w:r>
    </w:p>
    <w:p w14:paraId="5B13E5A9" w14:textId="77777777" w:rsidR="00DA491F" w:rsidRPr="00DA491F" w:rsidRDefault="00DA491F" w:rsidP="00DA491F">
      <w:pPr>
        <w:spacing w:line="276" w:lineRule="auto"/>
        <w:rPr>
          <w:sz w:val="20"/>
          <w:szCs w:val="20"/>
        </w:rPr>
      </w:pPr>
    </w:p>
    <w:p w14:paraId="255E7816" w14:textId="77777777" w:rsidR="00DA491F" w:rsidRPr="00DA491F" w:rsidRDefault="00DA491F" w:rsidP="00DA491F">
      <w:pPr>
        <w:spacing w:line="276" w:lineRule="auto"/>
        <w:rPr>
          <w:sz w:val="20"/>
          <w:szCs w:val="20"/>
        </w:rPr>
      </w:pPr>
      <w:r w:rsidRPr="00DA491F">
        <w:rPr>
          <w:sz w:val="20"/>
          <w:szCs w:val="20"/>
        </w:rPr>
        <w:t xml:space="preserve">MGTŠ je v skladu s prioritetami RS in procesom vključevanja v EU sprožil pobudo za </w:t>
      </w:r>
      <w:proofErr w:type="spellStart"/>
      <w:r w:rsidRPr="00DA491F">
        <w:rPr>
          <w:sz w:val="20"/>
          <w:szCs w:val="20"/>
        </w:rPr>
        <w:t>pozicioniranje</w:t>
      </w:r>
      <w:proofErr w:type="spellEnd"/>
      <w:r w:rsidRPr="00DA491F">
        <w:rPr>
          <w:sz w:val="20"/>
          <w:szCs w:val="20"/>
        </w:rPr>
        <w:t xml:space="preserve"> Zahodnega Balkana kot središča inovacij in industrijske preobrazbe. Projekt RS in </w:t>
      </w:r>
      <w:r w:rsidR="00A064D0">
        <w:rPr>
          <w:sz w:val="20"/>
          <w:szCs w:val="20"/>
        </w:rPr>
        <w:t>O</w:t>
      </w:r>
      <w:r w:rsidR="008A137C">
        <w:rPr>
          <w:sz w:val="20"/>
          <w:szCs w:val="20"/>
        </w:rPr>
        <w:t xml:space="preserve">ZN </w:t>
      </w:r>
      <w:r w:rsidRPr="00DA491F">
        <w:rPr>
          <w:sz w:val="20"/>
          <w:szCs w:val="20"/>
        </w:rPr>
        <w:t xml:space="preserve">za industrijski razvoj (v nadaljevanju: UNIDO) »UNIDO </w:t>
      </w:r>
      <w:proofErr w:type="spellStart"/>
      <w:r w:rsidRPr="00DA491F">
        <w:rPr>
          <w:sz w:val="20"/>
          <w:szCs w:val="20"/>
        </w:rPr>
        <w:t>ScaleX</w:t>
      </w:r>
      <w:proofErr w:type="spellEnd"/>
      <w:r w:rsidRPr="00DA491F">
        <w:rPr>
          <w:sz w:val="20"/>
          <w:szCs w:val="20"/>
        </w:rPr>
        <w:t xml:space="preserve">« je usmerjen v razvoj </w:t>
      </w:r>
      <w:proofErr w:type="spellStart"/>
      <w:r w:rsidRPr="00DA491F">
        <w:rPr>
          <w:sz w:val="20"/>
          <w:szCs w:val="20"/>
        </w:rPr>
        <w:t>startup</w:t>
      </w:r>
      <w:proofErr w:type="spellEnd"/>
      <w:r w:rsidRPr="00DA491F">
        <w:rPr>
          <w:sz w:val="20"/>
          <w:szCs w:val="20"/>
        </w:rPr>
        <w:t xml:space="preserve"> in </w:t>
      </w:r>
      <w:proofErr w:type="spellStart"/>
      <w:r w:rsidRPr="00DA491F">
        <w:rPr>
          <w:sz w:val="20"/>
          <w:szCs w:val="20"/>
        </w:rPr>
        <w:t>scaleup</w:t>
      </w:r>
      <w:proofErr w:type="spellEnd"/>
      <w:r w:rsidRPr="00DA491F">
        <w:rPr>
          <w:sz w:val="20"/>
          <w:szCs w:val="20"/>
        </w:rPr>
        <w:t xml:space="preserve"> ekosistema ter krepitev konkurenčnosti Zahodnega Balkana in EU. RS kot članica EU in schengenskega območja prevzema vodilno vlogo ter deluje kot most med Zahodnim Balkanom in EU. Pobuda je bila predstavljena na zasedanju gospodarskih ministrov Berlinskega procesa 16. oktobra 2025 v Londonu.</w:t>
      </w:r>
    </w:p>
    <w:p w14:paraId="3431A8DA" w14:textId="77777777" w:rsidR="00DA491F" w:rsidRPr="00DA491F" w:rsidRDefault="00DA491F" w:rsidP="00DA491F">
      <w:pPr>
        <w:spacing w:line="276" w:lineRule="auto"/>
        <w:rPr>
          <w:sz w:val="20"/>
          <w:szCs w:val="20"/>
        </w:rPr>
      </w:pPr>
    </w:p>
    <w:p w14:paraId="70278A42" w14:textId="77777777" w:rsidR="00DA491F" w:rsidRPr="00DA491F" w:rsidRDefault="00DA491F" w:rsidP="00DA491F">
      <w:pPr>
        <w:spacing w:line="276" w:lineRule="auto"/>
        <w:rPr>
          <w:rFonts w:eastAsia="Calibri"/>
          <w:sz w:val="20"/>
          <w:szCs w:val="20"/>
        </w:rPr>
      </w:pPr>
      <w:r w:rsidRPr="00DA491F">
        <w:rPr>
          <w:rFonts w:eastAsia="Calibri"/>
          <w:sz w:val="20"/>
          <w:szCs w:val="20"/>
        </w:rPr>
        <w:t xml:space="preserve">MGTŠ je spremljal izvajanje trgovinskega dela stabilizacijsko-pridružitvenih sporazumov med EU in državami </w:t>
      </w:r>
      <w:proofErr w:type="spellStart"/>
      <w:r w:rsidRPr="00DA491F">
        <w:rPr>
          <w:rFonts w:eastAsia="Calibri"/>
          <w:sz w:val="20"/>
          <w:szCs w:val="20"/>
        </w:rPr>
        <w:t>Zahodega</w:t>
      </w:r>
      <w:proofErr w:type="spellEnd"/>
      <w:r w:rsidRPr="00DA491F">
        <w:rPr>
          <w:rFonts w:eastAsia="Calibri"/>
          <w:sz w:val="20"/>
          <w:szCs w:val="20"/>
        </w:rPr>
        <w:t xml:space="preserve"> Balkana ter trgovinske ovire. Podprl je podaljšanje avtonomnega trgovinskega režima za uvoz nekaterih kmetijskih izdelkov iz držav Zahodnega Balkana na trg EU do 31. decembra 2030, kar je bilo potrjeno z Uredbo (EU) 2025/2014. Sodeloval je tudi v razpravah o širitvi Zahodnega Balkana, vključno s pristopom držav Zahodnega Balkana k Svetovni trgovinski organizaciji (WTO), zlasti BiH. Pristop BiH k WTO je bil tudi predmet razprave na bilateralnem srečanju ministra Hana z generalno direktorico WTO </w:t>
      </w:r>
      <w:proofErr w:type="spellStart"/>
      <w:r w:rsidRPr="00DA491F">
        <w:rPr>
          <w:rFonts w:eastAsia="Calibri"/>
          <w:sz w:val="20"/>
          <w:szCs w:val="20"/>
        </w:rPr>
        <w:t>Okonjo-Iweala</w:t>
      </w:r>
      <w:proofErr w:type="spellEnd"/>
      <w:r w:rsidRPr="00DA491F">
        <w:rPr>
          <w:rFonts w:eastAsia="Calibri"/>
          <w:sz w:val="20"/>
          <w:szCs w:val="20"/>
        </w:rPr>
        <w:t xml:space="preserve"> ob njenem obisku 31. avgusta 2025 v RS.</w:t>
      </w:r>
    </w:p>
    <w:p w14:paraId="37F008BA" w14:textId="77777777" w:rsidR="00DA491F" w:rsidRPr="00DA491F" w:rsidRDefault="00DA491F" w:rsidP="00DA491F">
      <w:pPr>
        <w:spacing w:line="276" w:lineRule="auto"/>
        <w:rPr>
          <w:rFonts w:eastAsia="Calibri"/>
          <w:sz w:val="20"/>
          <w:szCs w:val="20"/>
        </w:rPr>
      </w:pPr>
    </w:p>
    <w:p w14:paraId="0E8BA010" w14:textId="77777777" w:rsidR="00DA491F" w:rsidRPr="00DA491F" w:rsidRDefault="00DA491F" w:rsidP="00DA491F">
      <w:pPr>
        <w:spacing w:line="276" w:lineRule="auto"/>
        <w:rPr>
          <w:rFonts w:eastAsia="Calibri"/>
          <w:b/>
          <w:sz w:val="20"/>
          <w:szCs w:val="20"/>
        </w:rPr>
      </w:pPr>
      <w:r w:rsidRPr="00DA491F">
        <w:rPr>
          <w:rFonts w:eastAsia="Calibri"/>
          <w:sz w:val="20"/>
          <w:szCs w:val="20"/>
        </w:rPr>
        <w:t xml:space="preserve">MGTŠ je sodeloval pri aktivnostih v zvezi s pristopom BiH k WTO. Stalna predstavnica RS pri WTO je kot predsedujoča Delovni skupini v letu 2025 spodbujala zaključek pristopnih pogajanj. MGTŠ je spremljalo tudi pristop Srbije (SRB) k WTO ter tudi v inštitucijah EU podpiral prizadevanja držav Zahodnega Balkana za vključevanje v mednarodni trgovinski sistem. </w:t>
      </w:r>
    </w:p>
    <w:p w14:paraId="1D884D26" w14:textId="77777777" w:rsidR="00DA491F" w:rsidRPr="00DA491F" w:rsidRDefault="00DA491F" w:rsidP="00DA491F">
      <w:pPr>
        <w:spacing w:line="276" w:lineRule="auto"/>
        <w:rPr>
          <w:rFonts w:eastAsia="Calibri"/>
          <w:b/>
          <w:sz w:val="20"/>
          <w:szCs w:val="20"/>
        </w:rPr>
      </w:pPr>
      <w:bookmarkStart w:id="14" w:name="_Hlk185505163"/>
    </w:p>
    <w:p w14:paraId="11045B49" w14:textId="77777777" w:rsidR="00DA491F" w:rsidRPr="00DA491F" w:rsidRDefault="00DA491F" w:rsidP="00DA491F">
      <w:pPr>
        <w:spacing w:line="276" w:lineRule="auto"/>
        <w:rPr>
          <w:rFonts w:eastAsia="Calibri"/>
          <w:b/>
          <w:sz w:val="20"/>
          <w:szCs w:val="20"/>
        </w:rPr>
      </w:pPr>
      <w:r w:rsidRPr="00DA491F">
        <w:rPr>
          <w:rFonts w:eastAsia="Calibri"/>
          <w:b/>
          <w:sz w:val="20"/>
          <w:szCs w:val="20"/>
        </w:rPr>
        <w:t>Pregled opravljenih aktivnosti po posameznih državah Zahodnega Balkana</w:t>
      </w:r>
    </w:p>
    <w:p w14:paraId="6F2EC700" w14:textId="77777777" w:rsidR="00DA491F" w:rsidRPr="00DA491F" w:rsidRDefault="00DA491F" w:rsidP="00DA491F">
      <w:pPr>
        <w:spacing w:line="276" w:lineRule="auto"/>
        <w:rPr>
          <w:b/>
          <w:sz w:val="20"/>
          <w:szCs w:val="20"/>
        </w:rPr>
      </w:pPr>
    </w:p>
    <w:p w14:paraId="70952FC7" w14:textId="77777777" w:rsidR="00DA491F" w:rsidRPr="00DA491F" w:rsidRDefault="00DA491F" w:rsidP="00DA491F">
      <w:pPr>
        <w:spacing w:line="276" w:lineRule="auto"/>
        <w:rPr>
          <w:b/>
          <w:sz w:val="20"/>
          <w:szCs w:val="20"/>
        </w:rPr>
      </w:pPr>
      <w:r w:rsidRPr="00DA491F">
        <w:rPr>
          <w:b/>
          <w:sz w:val="20"/>
          <w:szCs w:val="20"/>
        </w:rPr>
        <w:t xml:space="preserve">Albanija </w:t>
      </w:r>
    </w:p>
    <w:bookmarkEnd w:id="14"/>
    <w:p w14:paraId="2656CAF9" w14:textId="77777777" w:rsidR="00DA491F" w:rsidRPr="00DA491F" w:rsidRDefault="00DA491F" w:rsidP="00DA491F">
      <w:pPr>
        <w:spacing w:line="276" w:lineRule="auto"/>
        <w:rPr>
          <w:rFonts w:eastAsia="Calibri"/>
          <w:i/>
          <w:iCs/>
          <w:sz w:val="20"/>
          <w:szCs w:val="20"/>
          <w:u w:val="single"/>
        </w:rPr>
      </w:pPr>
    </w:p>
    <w:p w14:paraId="6AB578AA" w14:textId="77777777" w:rsidR="00DA491F" w:rsidRPr="00DA491F" w:rsidRDefault="00DA491F" w:rsidP="00DA491F">
      <w:pPr>
        <w:spacing w:line="276" w:lineRule="auto"/>
        <w:rPr>
          <w:rFonts w:eastAsia="Calibri"/>
          <w:i/>
          <w:iCs/>
          <w:sz w:val="20"/>
          <w:szCs w:val="20"/>
          <w:u w:val="single"/>
        </w:rPr>
      </w:pPr>
      <w:r w:rsidRPr="00DA491F">
        <w:rPr>
          <w:rFonts w:eastAsia="Calibri"/>
          <w:i/>
          <w:iCs/>
          <w:sz w:val="20"/>
          <w:szCs w:val="20"/>
          <w:u w:val="single"/>
        </w:rPr>
        <w:t>Internacionalizacija</w:t>
      </w:r>
    </w:p>
    <w:p w14:paraId="4EE2F32A" w14:textId="77777777" w:rsidR="00DA491F" w:rsidRPr="00DA491F" w:rsidRDefault="00DA491F" w:rsidP="00DA491F">
      <w:pPr>
        <w:autoSpaceDE w:val="0"/>
        <w:autoSpaceDN w:val="0"/>
        <w:adjustRightInd w:val="0"/>
        <w:spacing w:line="276" w:lineRule="auto"/>
        <w:rPr>
          <w:rFonts w:eastAsia="Calibri"/>
          <w:sz w:val="20"/>
          <w:szCs w:val="20"/>
        </w:rPr>
      </w:pPr>
      <w:r w:rsidRPr="00DA491F">
        <w:rPr>
          <w:rFonts w:eastAsia="Calibri"/>
          <w:sz w:val="20"/>
          <w:szCs w:val="20"/>
        </w:rPr>
        <w:t xml:space="preserve">V letu 2025 z Albanijo ni bilo priložnosti za dvostranska srečanja na visoki ravni. </w:t>
      </w:r>
    </w:p>
    <w:p w14:paraId="73977130" w14:textId="77777777" w:rsidR="00DA491F" w:rsidRPr="00DA491F" w:rsidRDefault="00DA491F" w:rsidP="00DA491F">
      <w:pPr>
        <w:spacing w:line="276" w:lineRule="auto"/>
        <w:rPr>
          <w:rFonts w:eastAsia="Calibri"/>
          <w:sz w:val="20"/>
          <w:szCs w:val="20"/>
        </w:rPr>
      </w:pPr>
    </w:p>
    <w:p w14:paraId="13DE43F6" w14:textId="77777777" w:rsidR="00DA491F" w:rsidRPr="00DA491F" w:rsidRDefault="00DA491F" w:rsidP="00DA491F">
      <w:pPr>
        <w:spacing w:line="276" w:lineRule="auto"/>
        <w:rPr>
          <w:rFonts w:eastAsia="Calibri"/>
          <w:bCs/>
          <w:i/>
          <w:iCs/>
          <w:sz w:val="20"/>
          <w:szCs w:val="20"/>
          <w:u w:val="single"/>
        </w:rPr>
      </w:pPr>
      <w:r w:rsidRPr="00DA491F">
        <w:rPr>
          <w:rFonts w:eastAsia="Calibri"/>
          <w:bCs/>
          <w:i/>
          <w:iCs/>
          <w:sz w:val="20"/>
          <w:szCs w:val="20"/>
          <w:u w:val="single"/>
        </w:rPr>
        <w:t>Mednarodno razvojno sodelovanje</w:t>
      </w:r>
    </w:p>
    <w:p w14:paraId="50E20238" w14:textId="77777777" w:rsidR="00DA491F" w:rsidRPr="00DA491F" w:rsidRDefault="00DA491F" w:rsidP="00DA491F">
      <w:pPr>
        <w:autoSpaceDE w:val="0"/>
        <w:autoSpaceDN w:val="0"/>
        <w:adjustRightInd w:val="0"/>
        <w:spacing w:line="276" w:lineRule="auto"/>
        <w:rPr>
          <w:rFonts w:eastAsia="Calibri"/>
          <w:sz w:val="20"/>
          <w:szCs w:val="20"/>
        </w:rPr>
      </w:pPr>
      <w:r w:rsidRPr="00DA491F">
        <w:rPr>
          <w:rFonts w:eastAsia="Calibri"/>
          <w:sz w:val="20"/>
          <w:szCs w:val="20"/>
        </w:rPr>
        <w:t xml:space="preserve">V letu 2025 so potekale aktivnosti povezane z naslednjimi projekti: </w:t>
      </w:r>
    </w:p>
    <w:p w14:paraId="097BED9F" w14:textId="77777777" w:rsidR="00DA491F" w:rsidRPr="00DA491F" w:rsidRDefault="00DA491F" w:rsidP="00DA491F">
      <w:pPr>
        <w:autoSpaceDE w:val="0"/>
        <w:autoSpaceDN w:val="0"/>
        <w:adjustRightInd w:val="0"/>
        <w:spacing w:line="276" w:lineRule="auto"/>
        <w:rPr>
          <w:rFonts w:eastAsia="Calibri"/>
          <w:sz w:val="20"/>
          <w:szCs w:val="20"/>
        </w:rPr>
      </w:pPr>
    </w:p>
    <w:p w14:paraId="7257A6FA" w14:textId="77777777" w:rsidR="00DA491F" w:rsidRPr="00DA491F" w:rsidRDefault="00DA491F" w:rsidP="00DA491F">
      <w:pPr>
        <w:numPr>
          <w:ilvl w:val="0"/>
          <w:numId w:val="42"/>
        </w:numPr>
        <w:autoSpaceDE w:val="0"/>
        <w:autoSpaceDN w:val="0"/>
        <w:adjustRightInd w:val="0"/>
        <w:spacing w:after="160" w:line="276" w:lineRule="auto"/>
        <w:contextualSpacing/>
        <w:rPr>
          <w:rFonts w:eastAsia="Times New Roman"/>
          <w:sz w:val="20"/>
          <w:szCs w:val="20"/>
          <w:lang w:eastAsia="sl-SI"/>
        </w:rPr>
      </w:pPr>
      <w:r w:rsidRPr="00DA491F">
        <w:rPr>
          <w:rFonts w:eastAsia="Times New Roman"/>
          <w:sz w:val="20"/>
          <w:szCs w:val="20"/>
          <w:lang w:eastAsia="sl-SI"/>
        </w:rPr>
        <w:t>Priprava predloga projekta »</w:t>
      </w:r>
      <w:r w:rsidRPr="00DA491F">
        <w:rPr>
          <w:rFonts w:eastAsia="Times New Roman"/>
          <w:i/>
          <w:iCs/>
          <w:sz w:val="20"/>
          <w:szCs w:val="20"/>
          <w:lang w:eastAsia="sl-SI"/>
        </w:rPr>
        <w:t>Globalni projekt izmenjave znanja in spretnosti na področju čebelarstva in pridelave medu</w:t>
      </w:r>
      <w:r w:rsidRPr="00DA491F">
        <w:rPr>
          <w:rFonts w:eastAsia="Times New Roman"/>
          <w:sz w:val="20"/>
          <w:szCs w:val="20"/>
          <w:lang w:eastAsia="sl-SI"/>
        </w:rPr>
        <w:t xml:space="preserve">«, ki povezuje strokovnjake iz RS in petih držav, vključno z </w:t>
      </w:r>
      <w:r w:rsidR="00E94B5C">
        <w:rPr>
          <w:rFonts w:eastAsia="Times New Roman"/>
          <w:sz w:val="20"/>
          <w:szCs w:val="20"/>
          <w:lang w:eastAsia="sl-SI"/>
        </w:rPr>
        <w:t>Albanijo</w:t>
      </w:r>
      <w:r w:rsidRPr="00DA491F">
        <w:rPr>
          <w:rFonts w:eastAsia="Times New Roman"/>
          <w:sz w:val="20"/>
          <w:szCs w:val="20"/>
          <w:lang w:eastAsia="sl-SI"/>
        </w:rPr>
        <w:t>;</w:t>
      </w:r>
    </w:p>
    <w:p w14:paraId="27ADCA32" w14:textId="77777777" w:rsidR="00DA491F" w:rsidRPr="00DA491F" w:rsidRDefault="00DA491F" w:rsidP="00DA491F">
      <w:pPr>
        <w:numPr>
          <w:ilvl w:val="0"/>
          <w:numId w:val="42"/>
        </w:numPr>
        <w:autoSpaceDE w:val="0"/>
        <w:autoSpaceDN w:val="0"/>
        <w:adjustRightInd w:val="0"/>
        <w:spacing w:after="160" w:line="276" w:lineRule="auto"/>
        <w:contextualSpacing/>
        <w:rPr>
          <w:rFonts w:eastAsia="Times New Roman"/>
          <w:sz w:val="20"/>
          <w:szCs w:val="20"/>
          <w:lang w:eastAsia="sl-SI"/>
        </w:rPr>
      </w:pPr>
      <w:r w:rsidRPr="00DA491F">
        <w:rPr>
          <w:rFonts w:eastAsia="Times New Roman"/>
          <w:sz w:val="20"/>
          <w:szCs w:val="20"/>
          <w:lang w:eastAsia="sl-SI"/>
        </w:rPr>
        <w:t>priprava predloga projekta »</w:t>
      </w:r>
      <w:r w:rsidRPr="00DA491F">
        <w:rPr>
          <w:rFonts w:eastAsia="Times New Roman"/>
          <w:i/>
          <w:iCs/>
          <w:sz w:val="20"/>
          <w:szCs w:val="20"/>
          <w:lang w:eastAsia="sl-SI"/>
        </w:rPr>
        <w:t xml:space="preserve">Upravljanje z vodami in odpadnimi vodami v Albaniji (občina </w:t>
      </w:r>
      <w:proofErr w:type="spellStart"/>
      <w:r w:rsidRPr="00DA491F">
        <w:rPr>
          <w:rFonts w:eastAsia="Times New Roman"/>
          <w:i/>
          <w:iCs/>
          <w:sz w:val="20"/>
          <w:szCs w:val="20"/>
          <w:lang w:eastAsia="sl-SI"/>
        </w:rPr>
        <w:t>Maliq</w:t>
      </w:r>
      <w:proofErr w:type="spellEnd"/>
      <w:r w:rsidRPr="00DA491F">
        <w:rPr>
          <w:rFonts w:eastAsia="Times New Roman"/>
          <w:i/>
          <w:iCs/>
          <w:sz w:val="20"/>
          <w:szCs w:val="20"/>
          <w:lang w:eastAsia="sl-SI"/>
        </w:rPr>
        <w:t>)</w:t>
      </w:r>
      <w:r w:rsidRPr="00DA491F">
        <w:rPr>
          <w:rFonts w:eastAsia="Times New Roman"/>
          <w:sz w:val="20"/>
          <w:szCs w:val="20"/>
          <w:lang w:eastAsia="sl-SI"/>
        </w:rPr>
        <w:t>«, usklajen z UNIDO in v obravnavi na Vladi RS, s predvidenim zagotovljenim financiranjem;</w:t>
      </w:r>
    </w:p>
    <w:p w14:paraId="51329FED" w14:textId="77777777" w:rsidR="00DA491F" w:rsidRDefault="00DA491F" w:rsidP="00DA491F">
      <w:pPr>
        <w:numPr>
          <w:ilvl w:val="0"/>
          <w:numId w:val="42"/>
        </w:numPr>
        <w:spacing w:after="160" w:line="276" w:lineRule="auto"/>
        <w:contextualSpacing/>
        <w:rPr>
          <w:rFonts w:eastAsia="Times New Roman"/>
          <w:sz w:val="20"/>
          <w:szCs w:val="20"/>
          <w:lang w:eastAsia="sl-SI"/>
        </w:rPr>
      </w:pPr>
      <w:r w:rsidRPr="00DA491F">
        <w:rPr>
          <w:rFonts w:eastAsia="Times New Roman"/>
          <w:sz w:val="20"/>
          <w:szCs w:val="20"/>
          <w:lang w:eastAsia="sl-SI"/>
        </w:rPr>
        <w:t xml:space="preserve">zaključen je bil projekt </w:t>
      </w:r>
      <w:r w:rsidRPr="00DA491F">
        <w:rPr>
          <w:rFonts w:eastAsia="Times New Roman"/>
          <w:i/>
          <w:iCs/>
          <w:sz w:val="20"/>
          <w:szCs w:val="20"/>
          <w:lang w:eastAsia="sl-SI"/>
        </w:rPr>
        <w:t>»</w:t>
      </w:r>
      <w:proofErr w:type="spellStart"/>
      <w:r w:rsidRPr="00DA491F">
        <w:rPr>
          <w:rFonts w:eastAsia="Times New Roman"/>
          <w:i/>
          <w:iCs/>
          <w:sz w:val="20"/>
          <w:szCs w:val="20"/>
          <w:lang w:eastAsia="sl-SI"/>
        </w:rPr>
        <w:t>Fostering</w:t>
      </w:r>
      <w:proofErr w:type="spellEnd"/>
      <w:r w:rsidRPr="00DA491F">
        <w:rPr>
          <w:rFonts w:eastAsia="Times New Roman"/>
          <w:i/>
          <w:iCs/>
          <w:sz w:val="20"/>
          <w:szCs w:val="20"/>
          <w:lang w:eastAsia="sl-SI"/>
        </w:rPr>
        <w:t xml:space="preserve"> </w:t>
      </w:r>
      <w:proofErr w:type="spellStart"/>
      <w:r w:rsidRPr="00DA491F">
        <w:rPr>
          <w:rFonts w:eastAsia="Times New Roman"/>
          <w:i/>
          <w:iCs/>
          <w:sz w:val="20"/>
          <w:szCs w:val="20"/>
          <w:lang w:eastAsia="sl-SI"/>
        </w:rPr>
        <w:t>sustainable</w:t>
      </w:r>
      <w:proofErr w:type="spellEnd"/>
      <w:r w:rsidRPr="00DA491F">
        <w:rPr>
          <w:rFonts w:eastAsia="Times New Roman"/>
          <w:i/>
          <w:iCs/>
          <w:sz w:val="20"/>
          <w:szCs w:val="20"/>
          <w:lang w:eastAsia="sl-SI"/>
        </w:rPr>
        <w:t xml:space="preserve"> </w:t>
      </w:r>
      <w:proofErr w:type="spellStart"/>
      <w:r w:rsidRPr="00DA491F">
        <w:rPr>
          <w:rFonts w:eastAsia="Times New Roman"/>
          <w:i/>
          <w:iCs/>
          <w:sz w:val="20"/>
          <w:szCs w:val="20"/>
          <w:lang w:eastAsia="sl-SI"/>
        </w:rPr>
        <w:t>development</w:t>
      </w:r>
      <w:proofErr w:type="spellEnd"/>
      <w:r w:rsidRPr="00DA491F">
        <w:rPr>
          <w:rFonts w:eastAsia="Times New Roman"/>
          <w:i/>
          <w:iCs/>
          <w:sz w:val="20"/>
          <w:szCs w:val="20"/>
          <w:lang w:eastAsia="sl-SI"/>
        </w:rPr>
        <w:t xml:space="preserve"> in </w:t>
      </w:r>
      <w:proofErr w:type="spellStart"/>
      <w:r w:rsidRPr="00DA491F">
        <w:rPr>
          <w:rFonts w:eastAsia="Times New Roman"/>
          <w:i/>
          <w:iCs/>
          <w:sz w:val="20"/>
          <w:szCs w:val="20"/>
          <w:lang w:eastAsia="sl-SI"/>
        </w:rPr>
        <w:t>the</w:t>
      </w:r>
      <w:proofErr w:type="spellEnd"/>
      <w:r w:rsidRPr="00DA491F">
        <w:rPr>
          <w:rFonts w:eastAsia="Times New Roman"/>
          <w:i/>
          <w:iCs/>
          <w:sz w:val="20"/>
          <w:szCs w:val="20"/>
          <w:lang w:eastAsia="sl-SI"/>
        </w:rPr>
        <w:t xml:space="preserve"> </w:t>
      </w:r>
      <w:proofErr w:type="spellStart"/>
      <w:r w:rsidRPr="00DA491F">
        <w:rPr>
          <w:rFonts w:eastAsia="Times New Roman"/>
          <w:i/>
          <w:iCs/>
          <w:sz w:val="20"/>
          <w:szCs w:val="20"/>
          <w:lang w:eastAsia="sl-SI"/>
        </w:rPr>
        <w:t>Albanian</w:t>
      </w:r>
      <w:proofErr w:type="spellEnd"/>
      <w:r w:rsidRPr="00DA491F">
        <w:rPr>
          <w:rFonts w:eastAsia="Times New Roman"/>
          <w:i/>
          <w:iCs/>
          <w:sz w:val="20"/>
          <w:szCs w:val="20"/>
          <w:lang w:eastAsia="sl-SI"/>
        </w:rPr>
        <w:t xml:space="preserve"> </w:t>
      </w:r>
      <w:proofErr w:type="spellStart"/>
      <w:r w:rsidRPr="00DA491F">
        <w:rPr>
          <w:rFonts w:eastAsia="Times New Roman"/>
          <w:i/>
          <w:iCs/>
          <w:sz w:val="20"/>
          <w:szCs w:val="20"/>
          <w:lang w:eastAsia="sl-SI"/>
        </w:rPr>
        <w:t>wood</w:t>
      </w:r>
      <w:proofErr w:type="spellEnd"/>
      <w:r w:rsidRPr="00DA491F">
        <w:rPr>
          <w:rFonts w:eastAsia="Times New Roman"/>
          <w:i/>
          <w:iCs/>
          <w:sz w:val="20"/>
          <w:szCs w:val="20"/>
          <w:lang w:eastAsia="sl-SI"/>
        </w:rPr>
        <w:t xml:space="preserve"> </w:t>
      </w:r>
      <w:proofErr w:type="spellStart"/>
      <w:r w:rsidRPr="00DA491F">
        <w:rPr>
          <w:rFonts w:eastAsia="Times New Roman"/>
          <w:i/>
          <w:iCs/>
          <w:sz w:val="20"/>
          <w:szCs w:val="20"/>
          <w:lang w:eastAsia="sl-SI"/>
        </w:rPr>
        <w:t>sector</w:t>
      </w:r>
      <w:proofErr w:type="spellEnd"/>
      <w:r w:rsidRPr="00DA491F">
        <w:rPr>
          <w:rFonts w:eastAsia="Times New Roman"/>
          <w:i/>
          <w:iCs/>
          <w:sz w:val="20"/>
          <w:szCs w:val="20"/>
          <w:lang w:eastAsia="sl-SI"/>
        </w:rPr>
        <w:t xml:space="preserve"> </w:t>
      </w:r>
      <w:proofErr w:type="spellStart"/>
      <w:r w:rsidRPr="00DA491F">
        <w:rPr>
          <w:rFonts w:eastAsia="Times New Roman"/>
          <w:i/>
          <w:iCs/>
          <w:sz w:val="20"/>
          <w:szCs w:val="20"/>
          <w:lang w:eastAsia="sl-SI"/>
        </w:rPr>
        <w:t>through</w:t>
      </w:r>
      <w:proofErr w:type="spellEnd"/>
      <w:r w:rsidRPr="00DA491F">
        <w:rPr>
          <w:rFonts w:eastAsia="Times New Roman"/>
          <w:i/>
          <w:iCs/>
          <w:sz w:val="20"/>
          <w:szCs w:val="20"/>
          <w:lang w:eastAsia="sl-SI"/>
        </w:rPr>
        <w:t xml:space="preserve"> </w:t>
      </w:r>
      <w:proofErr w:type="spellStart"/>
      <w:r w:rsidRPr="00DA491F">
        <w:rPr>
          <w:rFonts w:eastAsia="Times New Roman"/>
          <w:i/>
          <w:iCs/>
          <w:sz w:val="20"/>
          <w:szCs w:val="20"/>
          <w:lang w:eastAsia="sl-SI"/>
        </w:rPr>
        <w:t>improved</w:t>
      </w:r>
      <w:proofErr w:type="spellEnd"/>
      <w:r w:rsidRPr="00DA491F">
        <w:rPr>
          <w:rFonts w:eastAsia="Times New Roman"/>
          <w:i/>
          <w:iCs/>
          <w:sz w:val="20"/>
          <w:szCs w:val="20"/>
          <w:lang w:eastAsia="sl-SI"/>
        </w:rPr>
        <w:t xml:space="preserve"> </w:t>
      </w:r>
      <w:proofErr w:type="spellStart"/>
      <w:r w:rsidRPr="00DA491F">
        <w:rPr>
          <w:rFonts w:eastAsia="Times New Roman"/>
          <w:i/>
          <w:iCs/>
          <w:sz w:val="20"/>
          <w:szCs w:val="20"/>
          <w:lang w:eastAsia="sl-SI"/>
        </w:rPr>
        <w:t>manufacturing</w:t>
      </w:r>
      <w:proofErr w:type="spellEnd"/>
      <w:r w:rsidRPr="00DA491F">
        <w:rPr>
          <w:rFonts w:eastAsia="Times New Roman"/>
          <w:i/>
          <w:iCs/>
          <w:sz w:val="20"/>
          <w:szCs w:val="20"/>
          <w:lang w:eastAsia="sl-SI"/>
        </w:rPr>
        <w:t xml:space="preserve"> </w:t>
      </w:r>
      <w:proofErr w:type="spellStart"/>
      <w:r w:rsidRPr="00DA491F">
        <w:rPr>
          <w:rFonts w:eastAsia="Times New Roman"/>
          <w:i/>
          <w:iCs/>
          <w:sz w:val="20"/>
          <w:szCs w:val="20"/>
          <w:lang w:eastAsia="sl-SI"/>
        </w:rPr>
        <w:t>capacities</w:t>
      </w:r>
      <w:proofErr w:type="spellEnd"/>
      <w:r w:rsidRPr="00DA491F">
        <w:rPr>
          <w:rFonts w:eastAsia="Times New Roman"/>
          <w:i/>
          <w:iCs/>
          <w:sz w:val="20"/>
          <w:szCs w:val="20"/>
          <w:lang w:eastAsia="sl-SI"/>
        </w:rPr>
        <w:t xml:space="preserve"> </w:t>
      </w:r>
      <w:proofErr w:type="spellStart"/>
      <w:r w:rsidRPr="00DA491F">
        <w:rPr>
          <w:rFonts w:eastAsia="Times New Roman"/>
          <w:i/>
          <w:iCs/>
          <w:sz w:val="20"/>
          <w:szCs w:val="20"/>
          <w:lang w:eastAsia="sl-SI"/>
        </w:rPr>
        <w:t>and</w:t>
      </w:r>
      <w:proofErr w:type="spellEnd"/>
      <w:r w:rsidRPr="00DA491F">
        <w:rPr>
          <w:rFonts w:eastAsia="Times New Roman"/>
          <w:i/>
          <w:iCs/>
          <w:sz w:val="20"/>
          <w:szCs w:val="20"/>
          <w:lang w:eastAsia="sl-SI"/>
        </w:rPr>
        <w:t xml:space="preserve"> </w:t>
      </w:r>
      <w:proofErr w:type="spellStart"/>
      <w:r w:rsidRPr="00DA491F">
        <w:rPr>
          <w:rFonts w:eastAsia="Times New Roman"/>
          <w:i/>
          <w:iCs/>
          <w:sz w:val="20"/>
          <w:szCs w:val="20"/>
          <w:lang w:eastAsia="sl-SI"/>
        </w:rPr>
        <w:t>skills</w:t>
      </w:r>
      <w:proofErr w:type="spellEnd"/>
      <w:r w:rsidRPr="00DA491F">
        <w:rPr>
          <w:rFonts w:eastAsia="Times New Roman"/>
          <w:i/>
          <w:iCs/>
          <w:sz w:val="20"/>
          <w:szCs w:val="20"/>
          <w:lang w:eastAsia="sl-SI"/>
        </w:rPr>
        <w:t xml:space="preserve"> </w:t>
      </w:r>
      <w:proofErr w:type="spellStart"/>
      <w:r w:rsidRPr="00DA491F">
        <w:rPr>
          <w:rFonts w:eastAsia="Times New Roman"/>
          <w:i/>
          <w:iCs/>
          <w:sz w:val="20"/>
          <w:szCs w:val="20"/>
          <w:lang w:eastAsia="sl-SI"/>
        </w:rPr>
        <w:t>training</w:t>
      </w:r>
      <w:proofErr w:type="spellEnd"/>
      <w:r w:rsidRPr="00DA491F">
        <w:rPr>
          <w:rFonts w:eastAsia="Times New Roman"/>
          <w:i/>
          <w:iCs/>
          <w:sz w:val="20"/>
          <w:szCs w:val="20"/>
          <w:lang w:eastAsia="sl-SI"/>
        </w:rPr>
        <w:t>«</w:t>
      </w:r>
      <w:r w:rsidRPr="00DA491F">
        <w:rPr>
          <w:rFonts w:eastAsia="Times New Roman"/>
          <w:sz w:val="20"/>
          <w:szCs w:val="20"/>
          <w:lang w:eastAsia="sl-SI"/>
        </w:rPr>
        <w:t xml:space="preserve">, za trajnostni razvoj lesnega sektorja v </w:t>
      </w:r>
      <w:r w:rsidR="00885C9F">
        <w:rPr>
          <w:rFonts w:eastAsia="Times New Roman"/>
          <w:sz w:val="20"/>
          <w:szCs w:val="20"/>
          <w:lang w:eastAsia="sl-SI"/>
        </w:rPr>
        <w:t>Albaniji</w:t>
      </w:r>
      <w:r w:rsidRPr="00DA491F">
        <w:rPr>
          <w:rFonts w:eastAsia="Times New Roman"/>
          <w:sz w:val="20"/>
          <w:szCs w:val="20"/>
          <w:lang w:eastAsia="sl-SI"/>
        </w:rPr>
        <w:t xml:space="preserve">, ki je potekal od marca 2023 do februarja 2025 in je bil v celoti financiran s strani MGTŠ in </w:t>
      </w:r>
      <w:r w:rsidR="0081199B" w:rsidRPr="00003C2E">
        <w:rPr>
          <w:rFonts w:eastAsia="Times New Roman"/>
          <w:sz w:val="20"/>
          <w:szCs w:val="20"/>
        </w:rPr>
        <w:t xml:space="preserve">mednarodnim razvojnim sodelovanjem RS </w:t>
      </w:r>
      <w:r w:rsidR="0081199B">
        <w:rPr>
          <w:rFonts w:eastAsia="Times New Roman"/>
          <w:sz w:val="20"/>
          <w:szCs w:val="20"/>
        </w:rPr>
        <w:t>(</w:t>
      </w:r>
      <w:r w:rsidRPr="00DA491F">
        <w:rPr>
          <w:rFonts w:eastAsia="Times New Roman"/>
          <w:sz w:val="20"/>
          <w:szCs w:val="20"/>
          <w:lang w:eastAsia="sl-SI"/>
        </w:rPr>
        <w:t>MRS</w:t>
      </w:r>
      <w:r w:rsidR="0081199B">
        <w:rPr>
          <w:rFonts w:eastAsia="Times New Roman"/>
          <w:sz w:val="20"/>
          <w:szCs w:val="20"/>
          <w:lang w:eastAsia="sl-SI"/>
        </w:rPr>
        <w:t>)</w:t>
      </w:r>
      <w:r w:rsidRPr="00DA491F">
        <w:rPr>
          <w:rFonts w:eastAsia="Times New Roman"/>
          <w:sz w:val="20"/>
          <w:szCs w:val="20"/>
          <w:lang w:eastAsia="sl-SI"/>
        </w:rPr>
        <w:t xml:space="preserve"> preko UNIDO.</w:t>
      </w:r>
    </w:p>
    <w:p w14:paraId="1E2E370B" w14:textId="77777777" w:rsidR="00DA491F" w:rsidRPr="00DA491F" w:rsidRDefault="00DA491F" w:rsidP="00DA491F">
      <w:pPr>
        <w:spacing w:after="160" w:line="276" w:lineRule="auto"/>
        <w:ind w:left="720"/>
        <w:contextualSpacing/>
        <w:rPr>
          <w:rFonts w:eastAsia="Times New Roman"/>
          <w:sz w:val="20"/>
          <w:szCs w:val="20"/>
          <w:lang w:eastAsia="sl-SI"/>
        </w:rPr>
      </w:pPr>
    </w:p>
    <w:p w14:paraId="6E0262B5" w14:textId="77777777" w:rsidR="00DA491F" w:rsidRPr="00DA491F" w:rsidRDefault="00DA491F" w:rsidP="00DA491F">
      <w:pPr>
        <w:spacing w:line="276" w:lineRule="auto"/>
        <w:rPr>
          <w:rFonts w:eastAsia="Calibri"/>
          <w:i/>
          <w:sz w:val="20"/>
          <w:szCs w:val="20"/>
          <w:u w:val="single"/>
        </w:rPr>
      </w:pPr>
      <w:r w:rsidRPr="00DA491F">
        <w:rPr>
          <w:rFonts w:eastAsia="Calibri"/>
          <w:i/>
          <w:sz w:val="20"/>
          <w:szCs w:val="20"/>
          <w:u w:val="single"/>
        </w:rPr>
        <w:t>Turizem</w:t>
      </w:r>
    </w:p>
    <w:p w14:paraId="6C919F0E" w14:textId="77777777" w:rsidR="00DA491F" w:rsidRPr="00DA491F" w:rsidRDefault="00DA491F" w:rsidP="00DA491F">
      <w:pPr>
        <w:spacing w:line="276" w:lineRule="auto"/>
        <w:rPr>
          <w:rFonts w:eastAsia="Calibri"/>
          <w:sz w:val="20"/>
          <w:szCs w:val="20"/>
        </w:rPr>
      </w:pPr>
      <w:r w:rsidRPr="00DA491F">
        <w:rPr>
          <w:rFonts w:eastAsia="Calibri"/>
          <w:sz w:val="20"/>
          <w:szCs w:val="20"/>
        </w:rPr>
        <w:t>Usklajeno je besedilo Memoranduma o sodelovanju na področju turizma.</w:t>
      </w:r>
    </w:p>
    <w:p w14:paraId="298FCC1B" w14:textId="77777777" w:rsidR="00DA491F" w:rsidRPr="00DA491F" w:rsidRDefault="00DA491F" w:rsidP="00DA491F">
      <w:pPr>
        <w:spacing w:line="276" w:lineRule="auto"/>
        <w:rPr>
          <w:b/>
          <w:sz w:val="20"/>
          <w:szCs w:val="20"/>
        </w:rPr>
      </w:pPr>
    </w:p>
    <w:p w14:paraId="0C95F091" w14:textId="77777777" w:rsidR="00DA491F" w:rsidRPr="00DA491F" w:rsidRDefault="00DA491F" w:rsidP="00DA491F">
      <w:pPr>
        <w:spacing w:line="276" w:lineRule="auto"/>
        <w:rPr>
          <w:b/>
          <w:sz w:val="20"/>
          <w:szCs w:val="20"/>
        </w:rPr>
      </w:pPr>
      <w:bookmarkStart w:id="15" w:name="_Hlk185505258"/>
      <w:r w:rsidRPr="00DA491F">
        <w:rPr>
          <w:b/>
          <w:bCs/>
          <w:sz w:val="20"/>
          <w:szCs w:val="20"/>
        </w:rPr>
        <w:t>BiH</w:t>
      </w:r>
    </w:p>
    <w:bookmarkEnd w:id="15"/>
    <w:p w14:paraId="6F3AAC76" w14:textId="77777777" w:rsidR="00DA491F" w:rsidRPr="00DA491F" w:rsidRDefault="00DA491F" w:rsidP="00DA491F">
      <w:pPr>
        <w:autoSpaceDE w:val="0"/>
        <w:autoSpaceDN w:val="0"/>
        <w:adjustRightInd w:val="0"/>
        <w:spacing w:line="276" w:lineRule="auto"/>
        <w:rPr>
          <w:rFonts w:eastAsia="Calibri"/>
          <w:sz w:val="20"/>
          <w:szCs w:val="20"/>
        </w:rPr>
      </w:pPr>
      <w:r w:rsidRPr="00DA491F">
        <w:rPr>
          <w:sz w:val="20"/>
          <w:szCs w:val="20"/>
        </w:rPr>
        <w:t xml:space="preserve">V letu 2025 z BiH ni bilo priložnosti za dvostranska srečanja na visoki ravni. </w:t>
      </w:r>
    </w:p>
    <w:p w14:paraId="38F71724" w14:textId="77777777" w:rsidR="00DA491F" w:rsidRPr="00DA491F" w:rsidRDefault="00DA491F" w:rsidP="00DA491F">
      <w:pPr>
        <w:spacing w:line="276" w:lineRule="auto"/>
        <w:rPr>
          <w:bCs/>
          <w:sz w:val="20"/>
          <w:szCs w:val="20"/>
        </w:rPr>
      </w:pPr>
    </w:p>
    <w:p w14:paraId="7A3F85AF" w14:textId="77777777" w:rsidR="00DA491F" w:rsidRPr="00DA491F" w:rsidRDefault="00DA491F" w:rsidP="00DA491F">
      <w:pPr>
        <w:spacing w:line="276" w:lineRule="auto"/>
        <w:rPr>
          <w:b/>
          <w:sz w:val="20"/>
          <w:szCs w:val="20"/>
        </w:rPr>
      </w:pPr>
      <w:bookmarkStart w:id="16" w:name="_Hlk185505276"/>
      <w:r w:rsidRPr="00DA491F">
        <w:rPr>
          <w:b/>
          <w:sz w:val="20"/>
          <w:szCs w:val="20"/>
        </w:rPr>
        <w:t xml:space="preserve">Črna gora </w:t>
      </w:r>
      <w:bookmarkEnd w:id="16"/>
    </w:p>
    <w:p w14:paraId="71F880F5" w14:textId="77777777" w:rsidR="00DA491F" w:rsidRPr="00DA491F" w:rsidRDefault="00DA491F" w:rsidP="00DA491F">
      <w:pPr>
        <w:spacing w:line="276" w:lineRule="auto"/>
        <w:rPr>
          <w:rFonts w:eastAsia="Calibri"/>
          <w:i/>
          <w:iCs/>
          <w:sz w:val="20"/>
          <w:szCs w:val="20"/>
          <w:u w:val="single"/>
        </w:rPr>
      </w:pPr>
      <w:bookmarkStart w:id="17" w:name="_Hlk185505303"/>
      <w:r w:rsidRPr="00DA491F">
        <w:rPr>
          <w:i/>
          <w:iCs/>
          <w:sz w:val="20"/>
          <w:szCs w:val="20"/>
          <w:u w:val="single"/>
        </w:rPr>
        <w:t>Internacionalizacija</w:t>
      </w:r>
    </w:p>
    <w:p w14:paraId="657836E8" w14:textId="77777777" w:rsidR="00DA491F" w:rsidRPr="00DA491F" w:rsidRDefault="00DA491F" w:rsidP="00DA491F">
      <w:pPr>
        <w:autoSpaceDE w:val="0"/>
        <w:autoSpaceDN w:val="0"/>
        <w:adjustRightInd w:val="0"/>
        <w:spacing w:line="276" w:lineRule="auto"/>
        <w:rPr>
          <w:sz w:val="20"/>
          <w:szCs w:val="20"/>
        </w:rPr>
      </w:pPr>
      <w:r w:rsidRPr="00DA491F">
        <w:rPr>
          <w:sz w:val="20"/>
          <w:szCs w:val="20"/>
        </w:rPr>
        <w:t xml:space="preserve">Minister Han je 18. novembra 2025 na MGTŠ gostil VP Črne gore Dragana </w:t>
      </w:r>
      <w:proofErr w:type="spellStart"/>
      <w:r w:rsidRPr="00DA491F">
        <w:rPr>
          <w:sz w:val="20"/>
          <w:szCs w:val="20"/>
        </w:rPr>
        <w:t>Tufegdžića</w:t>
      </w:r>
      <w:proofErr w:type="spellEnd"/>
      <w:r w:rsidRPr="00DA491F">
        <w:rPr>
          <w:sz w:val="20"/>
          <w:szCs w:val="20"/>
        </w:rPr>
        <w:t xml:space="preserve"> na spoznavnem srečanju.</w:t>
      </w:r>
    </w:p>
    <w:p w14:paraId="4FDF3E84" w14:textId="77777777" w:rsidR="00DA491F" w:rsidRPr="00DA491F" w:rsidRDefault="00DA491F" w:rsidP="00DA491F">
      <w:pPr>
        <w:spacing w:line="276" w:lineRule="auto"/>
        <w:rPr>
          <w:bCs/>
          <w:i/>
          <w:iCs/>
          <w:sz w:val="20"/>
          <w:szCs w:val="20"/>
          <w:u w:val="single"/>
        </w:rPr>
      </w:pPr>
    </w:p>
    <w:p w14:paraId="426E3ECC" w14:textId="77777777" w:rsidR="00DA491F" w:rsidRPr="00DA491F" w:rsidRDefault="00DA491F" w:rsidP="00DA491F">
      <w:pPr>
        <w:spacing w:line="276" w:lineRule="auto"/>
        <w:rPr>
          <w:bCs/>
          <w:i/>
          <w:iCs/>
          <w:sz w:val="20"/>
          <w:szCs w:val="20"/>
          <w:u w:val="single"/>
        </w:rPr>
      </w:pPr>
      <w:r w:rsidRPr="00DA491F">
        <w:rPr>
          <w:bCs/>
          <w:i/>
          <w:iCs/>
          <w:sz w:val="20"/>
          <w:szCs w:val="20"/>
          <w:u w:val="single"/>
        </w:rPr>
        <w:t>Mednarodno razvojno sodelovanje</w:t>
      </w:r>
    </w:p>
    <w:p w14:paraId="1A6BE0B8" w14:textId="77777777" w:rsidR="00DA491F" w:rsidRPr="00DA491F" w:rsidRDefault="00DA491F" w:rsidP="00DA491F">
      <w:pPr>
        <w:numPr>
          <w:ilvl w:val="0"/>
          <w:numId w:val="42"/>
        </w:numPr>
        <w:autoSpaceDE w:val="0"/>
        <w:autoSpaceDN w:val="0"/>
        <w:adjustRightInd w:val="0"/>
        <w:spacing w:line="276" w:lineRule="auto"/>
        <w:contextualSpacing/>
        <w:rPr>
          <w:rFonts w:eastAsia="Times New Roman"/>
          <w:sz w:val="20"/>
          <w:szCs w:val="20"/>
          <w:lang w:eastAsia="sl-SI"/>
        </w:rPr>
      </w:pPr>
      <w:r w:rsidRPr="00DA491F">
        <w:rPr>
          <w:rFonts w:eastAsia="Times New Roman"/>
          <w:sz w:val="20"/>
          <w:szCs w:val="20"/>
          <w:lang w:eastAsia="sl-SI"/>
        </w:rPr>
        <w:t xml:space="preserve">V letu 2025 so potekale aktivnosti v okviru projekta </w:t>
      </w:r>
      <w:r w:rsidRPr="00DA491F">
        <w:rPr>
          <w:rFonts w:eastAsia="Times New Roman"/>
          <w:i/>
          <w:iCs/>
          <w:sz w:val="20"/>
          <w:szCs w:val="20"/>
          <w:lang w:eastAsia="sl-SI"/>
        </w:rPr>
        <w:t>»Podpora prehodu na turistično industrijo 4.0. v Črni gori (2024–2026)«</w:t>
      </w:r>
      <w:r w:rsidRPr="00DA491F">
        <w:rPr>
          <w:rFonts w:eastAsia="Times New Roman"/>
          <w:sz w:val="20"/>
          <w:szCs w:val="20"/>
          <w:lang w:eastAsia="sl-SI"/>
        </w:rPr>
        <w:t>, namenjenega krepitvi konkurenčnosti turizma s prenosom slovenskega znanja in dobrih praks na področju trajnostnega in digitalnega razvoja;</w:t>
      </w:r>
    </w:p>
    <w:p w14:paraId="3798A6B2" w14:textId="77777777" w:rsidR="00DA491F" w:rsidRPr="00DA491F" w:rsidRDefault="00DA491F" w:rsidP="00DA491F">
      <w:pPr>
        <w:numPr>
          <w:ilvl w:val="0"/>
          <w:numId w:val="42"/>
        </w:numPr>
        <w:autoSpaceDE w:val="0"/>
        <w:autoSpaceDN w:val="0"/>
        <w:adjustRightInd w:val="0"/>
        <w:spacing w:line="276" w:lineRule="auto"/>
        <w:contextualSpacing/>
        <w:rPr>
          <w:rFonts w:eastAsia="Times New Roman"/>
          <w:sz w:val="20"/>
          <w:szCs w:val="20"/>
          <w:lang w:eastAsia="sl-SI"/>
        </w:rPr>
      </w:pPr>
      <w:r w:rsidRPr="00DA491F">
        <w:rPr>
          <w:rFonts w:eastAsia="Times New Roman"/>
          <w:sz w:val="20"/>
          <w:szCs w:val="20"/>
          <w:lang w:eastAsia="sl-SI"/>
        </w:rPr>
        <w:t xml:space="preserve">načrtovano financiranje </w:t>
      </w:r>
      <w:r w:rsidRPr="00DA491F">
        <w:rPr>
          <w:rFonts w:eastAsia="Times New Roman"/>
          <w:iCs/>
          <w:color w:val="000000"/>
          <w:sz w:val="20"/>
          <w:szCs w:val="20"/>
          <w:lang w:eastAsia="sl-SI"/>
        </w:rPr>
        <w:t xml:space="preserve">dve–letnega projekta, </w:t>
      </w:r>
      <w:r w:rsidRPr="00DA491F">
        <w:rPr>
          <w:rFonts w:eastAsia="Times New Roman"/>
          <w:sz w:val="20"/>
          <w:szCs w:val="20"/>
          <w:lang w:eastAsia="sl-SI"/>
        </w:rPr>
        <w:t>pod okriljem MGTŠ in sodelovanjem SIQ, »</w:t>
      </w:r>
      <w:r w:rsidRPr="00DA491F">
        <w:rPr>
          <w:rFonts w:eastAsia="Times New Roman"/>
          <w:i/>
          <w:iCs/>
          <w:sz w:val="20"/>
          <w:szCs w:val="20"/>
          <w:lang w:eastAsia="sl-SI"/>
        </w:rPr>
        <w:t>Krepitev pametnih proizvodnih malih in srednje velikih podjetij (MSP) v Črni Gori</w:t>
      </w:r>
      <w:r w:rsidRPr="00DA491F">
        <w:rPr>
          <w:rFonts w:eastAsia="Times New Roman"/>
          <w:sz w:val="20"/>
          <w:szCs w:val="20"/>
          <w:lang w:eastAsia="sl-SI"/>
        </w:rPr>
        <w:t>«, ni bilo formalizirano.</w:t>
      </w:r>
    </w:p>
    <w:p w14:paraId="763FC8D0" w14:textId="77777777" w:rsidR="00DA491F" w:rsidRPr="00DA491F" w:rsidRDefault="00DA491F" w:rsidP="00DA491F">
      <w:pPr>
        <w:spacing w:line="276" w:lineRule="auto"/>
        <w:rPr>
          <w:rFonts w:eastAsia="Calibri"/>
          <w:b/>
          <w:sz w:val="20"/>
          <w:szCs w:val="20"/>
        </w:rPr>
      </w:pPr>
    </w:p>
    <w:p w14:paraId="0807BEB7" w14:textId="77777777" w:rsidR="00DA491F" w:rsidRPr="00DA491F" w:rsidRDefault="00DA491F" w:rsidP="00DA491F">
      <w:pPr>
        <w:spacing w:line="276" w:lineRule="auto"/>
        <w:rPr>
          <w:i/>
          <w:sz w:val="20"/>
          <w:szCs w:val="20"/>
          <w:u w:val="single"/>
        </w:rPr>
      </w:pPr>
      <w:r w:rsidRPr="00DA491F">
        <w:rPr>
          <w:i/>
          <w:sz w:val="20"/>
          <w:szCs w:val="20"/>
          <w:u w:val="single"/>
        </w:rPr>
        <w:t>Turizem</w:t>
      </w:r>
    </w:p>
    <w:p w14:paraId="2C2C1C5E" w14:textId="77777777" w:rsidR="00DA491F" w:rsidRPr="00DA491F" w:rsidRDefault="00DA491F" w:rsidP="00DA491F">
      <w:pPr>
        <w:spacing w:line="276" w:lineRule="auto"/>
        <w:rPr>
          <w:sz w:val="20"/>
          <w:szCs w:val="20"/>
        </w:rPr>
      </w:pPr>
      <w:r w:rsidRPr="00DA491F">
        <w:rPr>
          <w:sz w:val="20"/>
          <w:szCs w:val="20"/>
        </w:rPr>
        <w:t>Besedilo Memoranduma o sodelovanju na področju turizma je v zaključni fazi usklajevanja.</w:t>
      </w:r>
    </w:p>
    <w:p w14:paraId="33490A3B" w14:textId="77777777" w:rsidR="00DA491F" w:rsidRPr="00DA491F" w:rsidRDefault="00DA491F" w:rsidP="00DA491F">
      <w:pPr>
        <w:spacing w:line="276" w:lineRule="auto"/>
        <w:rPr>
          <w:b/>
          <w:sz w:val="20"/>
          <w:szCs w:val="20"/>
        </w:rPr>
      </w:pPr>
    </w:p>
    <w:p w14:paraId="141A493C" w14:textId="77777777" w:rsidR="00DA491F" w:rsidRPr="00DA491F" w:rsidRDefault="00DA491F" w:rsidP="00DA491F">
      <w:pPr>
        <w:spacing w:line="276" w:lineRule="auto"/>
        <w:rPr>
          <w:b/>
          <w:sz w:val="20"/>
          <w:szCs w:val="20"/>
        </w:rPr>
      </w:pPr>
      <w:r w:rsidRPr="00DA491F">
        <w:rPr>
          <w:b/>
          <w:sz w:val="20"/>
          <w:szCs w:val="20"/>
        </w:rPr>
        <w:t xml:space="preserve">Kosovo </w:t>
      </w:r>
      <w:bookmarkEnd w:id="17"/>
    </w:p>
    <w:p w14:paraId="4F78476E" w14:textId="77777777" w:rsidR="00DA491F" w:rsidRPr="00DA491F" w:rsidRDefault="00DA491F" w:rsidP="00DA491F">
      <w:pPr>
        <w:spacing w:line="276" w:lineRule="auto"/>
        <w:rPr>
          <w:sz w:val="20"/>
          <w:szCs w:val="20"/>
        </w:rPr>
      </w:pPr>
      <w:r w:rsidRPr="00DA491F">
        <w:rPr>
          <w:sz w:val="20"/>
          <w:szCs w:val="20"/>
        </w:rPr>
        <w:t xml:space="preserve">V letu 2025 </w:t>
      </w:r>
      <w:r w:rsidR="00C21F28">
        <w:rPr>
          <w:sz w:val="20"/>
          <w:szCs w:val="20"/>
        </w:rPr>
        <w:t xml:space="preserve">s </w:t>
      </w:r>
      <w:r w:rsidRPr="00DA491F">
        <w:rPr>
          <w:sz w:val="20"/>
          <w:szCs w:val="20"/>
        </w:rPr>
        <w:t>Kosovo</w:t>
      </w:r>
      <w:r w:rsidR="00C21F28">
        <w:rPr>
          <w:sz w:val="20"/>
          <w:szCs w:val="20"/>
        </w:rPr>
        <w:t>m</w:t>
      </w:r>
      <w:r w:rsidRPr="00DA491F">
        <w:rPr>
          <w:sz w:val="20"/>
          <w:szCs w:val="20"/>
        </w:rPr>
        <w:t xml:space="preserve"> ni bilo priložnosti za dvostranska srečanja na visoki ravni.</w:t>
      </w:r>
    </w:p>
    <w:p w14:paraId="54592F7C" w14:textId="77777777" w:rsidR="00DA491F" w:rsidRPr="00DA491F" w:rsidRDefault="00DA491F" w:rsidP="00DA491F">
      <w:pPr>
        <w:spacing w:line="276" w:lineRule="auto"/>
        <w:rPr>
          <w:b/>
          <w:sz w:val="20"/>
          <w:szCs w:val="20"/>
        </w:rPr>
      </w:pPr>
    </w:p>
    <w:p w14:paraId="7C7F90CB" w14:textId="77777777" w:rsidR="00DA491F" w:rsidRPr="00DA491F" w:rsidRDefault="00DA491F" w:rsidP="00DA491F">
      <w:pPr>
        <w:spacing w:line="276" w:lineRule="auto"/>
        <w:rPr>
          <w:b/>
          <w:sz w:val="20"/>
          <w:szCs w:val="20"/>
        </w:rPr>
      </w:pPr>
      <w:bookmarkStart w:id="18" w:name="_Hlk185505313"/>
      <w:r w:rsidRPr="00DA491F">
        <w:rPr>
          <w:b/>
          <w:sz w:val="20"/>
          <w:szCs w:val="20"/>
        </w:rPr>
        <w:t xml:space="preserve">Severna Makedonija </w:t>
      </w:r>
    </w:p>
    <w:bookmarkEnd w:id="18"/>
    <w:p w14:paraId="44E2B967" w14:textId="77777777" w:rsidR="00DA491F" w:rsidRPr="00DA491F" w:rsidRDefault="00DA491F" w:rsidP="00DA491F">
      <w:pPr>
        <w:spacing w:line="276" w:lineRule="auto"/>
        <w:rPr>
          <w:iCs/>
          <w:sz w:val="20"/>
          <w:szCs w:val="20"/>
        </w:rPr>
      </w:pPr>
      <w:r w:rsidRPr="00DA491F">
        <w:rPr>
          <w:iCs/>
          <w:sz w:val="20"/>
          <w:szCs w:val="20"/>
        </w:rPr>
        <w:t xml:space="preserve">V letu 2025 </w:t>
      </w:r>
      <w:r w:rsidR="00C21F28">
        <w:rPr>
          <w:iCs/>
          <w:sz w:val="20"/>
          <w:szCs w:val="20"/>
        </w:rPr>
        <w:t xml:space="preserve">s </w:t>
      </w:r>
      <w:r w:rsidRPr="00DA491F">
        <w:rPr>
          <w:iCs/>
          <w:sz w:val="20"/>
          <w:szCs w:val="20"/>
        </w:rPr>
        <w:t xml:space="preserve">Severno Makedonijo ni bilo priložnosti za dvostranska srečanja na visoki ravni. </w:t>
      </w:r>
    </w:p>
    <w:p w14:paraId="48EF6F6C" w14:textId="77777777" w:rsidR="00DA491F" w:rsidRPr="00DA491F" w:rsidRDefault="00DA491F" w:rsidP="00DA491F">
      <w:pPr>
        <w:spacing w:line="276" w:lineRule="auto"/>
        <w:rPr>
          <w:sz w:val="20"/>
          <w:szCs w:val="20"/>
        </w:rPr>
      </w:pPr>
    </w:p>
    <w:p w14:paraId="24925542" w14:textId="77777777" w:rsidR="00DA491F" w:rsidRPr="00DA491F" w:rsidRDefault="00DA491F" w:rsidP="00DA491F">
      <w:pPr>
        <w:spacing w:line="276" w:lineRule="auto"/>
        <w:rPr>
          <w:b/>
          <w:sz w:val="20"/>
          <w:szCs w:val="20"/>
        </w:rPr>
      </w:pPr>
      <w:bookmarkStart w:id="19" w:name="_Hlk185505336"/>
      <w:r w:rsidRPr="00DA491F">
        <w:rPr>
          <w:b/>
          <w:sz w:val="20"/>
          <w:szCs w:val="20"/>
        </w:rPr>
        <w:t>Srbija</w:t>
      </w:r>
    </w:p>
    <w:bookmarkEnd w:id="19"/>
    <w:p w14:paraId="1CDD8258" w14:textId="77777777" w:rsidR="00DA491F" w:rsidRPr="00DA491F" w:rsidRDefault="00DA491F" w:rsidP="00DA491F">
      <w:pPr>
        <w:spacing w:line="276" w:lineRule="auto"/>
        <w:rPr>
          <w:i/>
          <w:iCs/>
          <w:sz w:val="20"/>
          <w:szCs w:val="20"/>
          <w:u w:val="single"/>
        </w:rPr>
      </w:pPr>
    </w:p>
    <w:p w14:paraId="78DE3ABD" w14:textId="77777777" w:rsidR="00DA491F" w:rsidRPr="00DA491F" w:rsidRDefault="00DA491F" w:rsidP="00DA491F">
      <w:pPr>
        <w:spacing w:line="276" w:lineRule="auto"/>
        <w:rPr>
          <w:rFonts w:eastAsia="Calibri"/>
          <w:i/>
          <w:iCs/>
          <w:sz w:val="20"/>
          <w:szCs w:val="20"/>
          <w:u w:val="single"/>
        </w:rPr>
      </w:pPr>
      <w:r w:rsidRPr="00DA491F">
        <w:rPr>
          <w:i/>
          <w:iCs/>
          <w:sz w:val="20"/>
          <w:szCs w:val="20"/>
          <w:u w:val="single"/>
        </w:rPr>
        <w:t>Internacionalizacija</w:t>
      </w:r>
    </w:p>
    <w:p w14:paraId="00805D86" w14:textId="77777777" w:rsidR="00DA491F" w:rsidRPr="00DA491F" w:rsidRDefault="00DA491F" w:rsidP="00DA491F">
      <w:pPr>
        <w:spacing w:line="276" w:lineRule="auto"/>
        <w:rPr>
          <w:sz w:val="20"/>
          <w:szCs w:val="20"/>
        </w:rPr>
      </w:pPr>
      <w:r w:rsidRPr="00DA491F">
        <w:rPr>
          <w:sz w:val="20"/>
          <w:szCs w:val="20"/>
        </w:rPr>
        <w:t xml:space="preserve">V letu 2025 je SPIRIT Slovenija okrepil gospodarsko sodelovanje s Srbijo. </w:t>
      </w:r>
    </w:p>
    <w:p w14:paraId="579090B4" w14:textId="77777777" w:rsidR="00DA491F" w:rsidRPr="00DA491F" w:rsidRDefault="00DA491F" w:rsidP="00DA491F">
      <w:pPr>
        <w:spacing w:line="276" w:lineRule="auto"/>
        <w:rPr>
          <w:sz w:val="20"/>
          <w:szCs w:val="20"/>
        </w:rPr>
      </w:pPr>
      <w:r w:rsidRPr="00DA491F">
        <w:rPr>
          <w:sz w:val="20"/>
          <w:szCs w:val="20"/>
        </w:rPr>
        <w:t xml:space="preserve">27. marca je bil podpisan memorandum o sodelovanju s Razvojno agencijo </w:t>
      </w:r>
      <w:r w:rsidR="003B6B34" w:rsidRPr="00DA491F">
        <w:rPr>
          <w:sz w:val="20"/>
          <w:szCs w:val="20"/>
        </w:rPr>
        <w:t>Srbij</w:t>
      </w:r>
      <w:r w:rsidR="003B6B34">
        <w:rPr>
          <w:sz w:val="20"/>
          <w:szCs w:val="20"/>
        </w:rPr>
        <w:t xml:space="preserve">e </w:t>
      </w:r>
      <w:r w:rsidRPr="00DA491F">
        <w:rPr>
          <w:sz w:val="20"/>
          <w:szCs w:val="20"/>
        </w:rPr>
        <w:t xml:space="preserve">(RAS). Med 26. in 28. majem je v Beogradu potekala gospodarska konferenca »SEE </w:t>
      </w:r>
      <w:proofErr w:type="spellStart"/>
      <w:r w:rsidRPr="00DA491F">
        <w:rPr>
          <w:sz w:val="20"/>
          <w:szCs w:val="20"/>
        </w:rPr>
        <w:t>Automotive</w:t>
      </w:r>
      <w:proofErr w:type="spellEnd"/>
      <w:r w:rsidRPr="00DA491F">
        <w:rPr>
          <w:sz w:val="20"/>
          <w:szCs w:val="20"/>
        </w:rPr>
        <w:t xml:space="preserve"> </w:t>
      </w:r>
      <w:proofErr w:type="spellStart"/>
      <w:r w:rsidRPr="00DA491F">
        <w:rPr>
          <w:sz w:val="20"/>
          <w:szCs w:val="20"/>
        </w:rPr>
        <w:t>Conference</w:t>
      </w:r>
      <w:proofErr w:type="spellEnd"/>
      <w:r w:rsidRPr="00DA491F">
        <w:rPr>
          <w:sz w:val="20"/>
          <w:szCs w:val="20"/>
        </w:rPr>
        <w:t>–</w:t>
      </w:r>
      <w:proofErr w:type="spellStart"/>
      <w:r w:rsidRPr="00DA491F">
        <w:rPr>
          <w:sz w:val="20"/>
          <w:szCs w:val="20"/>
        </w:rPr>
        <w:t>Connect</w:t>
      </w:r>
      <w:proofErr w:type="spellEnd"/>
      <w:r w:rsidRPr="00DA491F">
        <w:rPr>
          <w:sz w:val="20"/>
          <w:szCs w:val="20"/>
        </w:rPr>
        <w:t xml:space="preserve"> &amp; </w:t>
      </w:r>
      <w:proofErr w:type="spellStart"/>
      <w:r w:rsidRPr="00DA491F">
        <w:rPr>
          <w:sz w:val="20"/>
          <w:szCs w:val="20"/>
        </w:rPr>
        <w:t>Supply</w:t>
      </w:r>
      <w:proofErr w:type="spellEnd"/>
      <w:r w:rsidRPr="00DA491F">
        <w:rPr>
          <w:sz w:val="20"/>
          <w:szCs w:val="20"/>
        </w:rPr>
        <w:t xml:space="preserve"> 2025«, 16. julija pa Slovensko–srbski poslovni forum v Ljubljani z več kot 100 udeleženci, kjer je bil podpisan tudi memorandum o sodelovanju z Gospodarsko zbornico </w:t>
      </w:r>
      <w:r w:rsidR="00EA66B8" w:rsidRPr="00DA491F">
        <w:rPr>
          <w:sz w:val="20"/>
          <w:szCs w:val="20"/>
        </w:rPr>
        <w:t>Srbij</w:t>
      </w:r>
      <w:r w:rsidR="00EA66B8">
        <w:rPr>
          <w:sz w:val="20"/>
          <w:szCs w:val="20"/>
        </w:rPr>
        <w:t>e</w:t>
      </w:r>
      <w:r w:rsidRPr="00DA491F">
        <w:rPr>
          <w:sz w:val="20"/>
          <w:szCs w:val="20"/>
        </w:rPr>
        <w:t xml:space="preserve">. 23. avgusta je SPIRIT Slovenija v okviru sejma AGRA 2025 v Gornji Radgoni organiziral forum »Samozadostna in izvozno usmerjena regija 2030«, ki je izpostavil prehransko varnost kot ključni razvojni izziv, ob robu pa se je državni sekretar Židan srečal z dr. Draganom </w:t>
      </w:r>
      <w:proofErr w:type="spellStart"/>
      <w:r w:rsidRPr="00DA491F">
        <w:rPr>
          <w:sz w:val="20"/>
          <w:szCs w:val="20"/>
        </w:rPr>
        <w:t>Glamočićem</w:t>
      </w:r>
      <w:proofErr w:type="spellEnd"/>
      <w:r w:rsidRPr="00DA491F">
        <w:rPr>
          <w:sz w:val="20"/>
          <w:szCs w:val="20"/>
        </w:rPr>
        <w:t xml:space="preserve">, ministrom za kmetijstvo, gozdarstvo in vodno gospodarstvo </w:t>
      </w:r>
      <w:r w:rsidR="00EA66B8" w:rsidRPr="00EA66B8">
        <w:rPr>
          <w:sz w:val="20"/>
          <w:szCs w:val="20"/>
        </w:rPr>
        <w:t>Srbij</w:t>
      </w:r>
      <w:r w:rsidR="00EA66B8">
        <w:rPr>
          <w:sz w:val="20"/>
          <w:szCs w:val="20"/>
        </w:rPr>
        <w:t>e</w:t>
      </w:r>
      <w:r w:rsidRPr="00DA491F">
        <w:rPr>
          <w:sz w:val="20"/>
          <w:szCs w:val="20"/>
        </w:rPr>
        <w:t>.</w:t>
      </w:r>
    </w:p>
    <w:p w14:paraId="600C3DFB" w14:textId="77777777" w:rsidR="00DA491F" w:rsidRPr="00DA491F" w:rsidRDefault="00DA491F" w:rsidP="00DA491F">
      <w:pPr>
        <w:spacing w:line="276" w:lineRule="auto"/>
        <w:rPr>
          <w:sz w:val="20"/>
          <w:szCs w:val="20"/>
        </w:rPr>
      </w:pPr>
    </w:p>
    <w:p w14:paraId="50B29D66" w14:textId="77777777" w:rsidR="00DA491F" w:rsidRPr="00DA491F" w:rsidRDefault="00DA491F" w:rsidP="00DA491F">
      <w:pPr>
        <w:spacing w:line="276" w:lineRule="auto"/>
        <w:rPr>
          <w:bCs/>
          <w:sz w:val="20"/>
          <w:szCs w:val="20"/>
        </w:rPr>
      </w:pPr>
      <w:r w:rsidRPr="00DA491F">
        <w:rPr>
          <w:bCs/>
          <w:sz w:val="20"/>
          <w:szCs w:val="20"/>
        </w:rPr>
        <w:t xml:space="preserve">Srečanje med ministrom Hanom in Huseinom </w:t>
      </w:r>
      <w:proofErr w:type="spellStart"/>
      <w:r w:rsidRPr="00DA491F">
        <w:rPr>
          <w:bCs/>
          <w:sz w:val="20"/>
          <w:szCs w:val="20"/>
        </w:rPr>
        <w:t>Memićem</w:t>
      </w:r>
      <w:proofErr w:type="spellEnd"/>
      <w:r w:rsidRPr="00DA491F">
        <w:rPr>
          <w:bCs/>
          <w:sz w:val="20"/>
          <w:szCs w:val="20"/>
        </w:rPr>
        <w:t xml:space="preserve">, ministrom za turizem in mladino </w:t>
      </w:r>
      <w:r w:rsidR="00EA66B8" w:rsidRPr="00DA491F">
        <w:rPr>
          <w:sz w:val="20"/>
          <w:szCs w:val="20"/>
        </w:rPr>
        <w:t>Srbij</w:t>
      </w:r>
      <w:r w:rsidR="00EA66B8">
        <w:rPr>
          <w:sz w:val="20"/>
          <w:szCs w:val="20"/>
        </w:rPr>
        <w:t>e</w:t>
      </w:r>
      <w:r w:rsidRPr="00DA491F">
        <w:rPr>
          <w:bCs/>
          <w:sz w:val="20"/>
          <w:szCs w:val="20"/>
        </w:rPr>
        <w:t xml:space="preserve">, predvideno ob robu sejma Alpe–Adria 29. januarja 2025 v Ljubljani, je bilo s strani </w:t>
      </w:r>
      <w:r w:rsidR="00EA66B8" w:rsidRPr="00DA491F">
        <w:rPr>
          <w:sz w:val="20"/>
          <w:szCs w:val="20"/>
        </w:rPr>
        <w:t>Srbij</w:t>
      </w:r>
      <w:r w:rsidR="00EA66B8">
        <w:rPr>
          <w:sz w:val="20"/>
          <w:szCs w:val="20"/>
        </w:rPr>
        <w:t xml:space="preserve">e </w:t>
      </w:r>
      <w:r w:rsidRPr="00DA491F">
        <w:rPr>
          <w:bCs/>
          <w:sz w:val="20"/>
          <w:szCs w:val="20"/>
        </w:rPr>
        <w:t xml:space="preserve">v zadnjem trenutku odpovedano. Prav tako ni bilo formalizirano načrtovano srečanje med ministrom MGTŠ Hanom in ministrico za gospodarstvo </w:t>
      </w:r>
      <w:r w:rsidR="00EA66B8" w:rsidRPr="00DA491F">
        <w:rPr>
          <w:sz w:val="20"/>
          <w:szCs w:val="20"/>
        </w:rPr>
        <w:t>Srbij</w:t>
      </w:r>
      <w:r w:rsidR="00EA66B8">
        <w:rPr>
          <w:sz w:val="20"/>
          <w:szCs w:val="20"/>
        </w:rPr>
        <w:t xml:space="preserve">e </w:t>
      </w:r>
      <w:r w:rsidRPr="00DA491F">
        <w:rPr>
          <w:bCs/>
          <w:sz w:val="20"/>
          <w:szCs w:val="20"/>
        </w:rPr>
        <w:t xml:space="preserve">Adrijano </w:t>
      </w:r>
      <w:proofErr w:type="spellStart"/>
      <w:r w:rsidRPr="00DA491F">
        <w:rPr>
          <w:bCs/>
          <w:sz w:val="20"/>
          <w:szCs w:val="20"/>
        </w:rPr>
        <w:t>Mesarović</w:t>
      </w:r>
      <w:proofErr w:type="spellEnd"/>
      <w:r w:rsidRPr="00DA491F">
        <w:rPr>
          <w:bCs/>
          <w:sz w:val="20"/>
          <w:szCs w:val="20"/>
        </w:rPr>
        <w:t xml:space="preserve"> z delegacijo, ki bi moralo potekati februarja 2025 v RS.</w:t>
      </w:r>
      <w:bookmarkStart w:id="20" w:name="_Hlk217309995"/>
    </w:p>
    <w:p w14:paraId="6F4D3C60" w14:textId="77777777" w:rsidR="00DA491F" w:rsidRPr="00DA491F" w:rsidRDefault="00DA491F" w:rsidP="00DA491F">
      <w:pPr>
        <w:spacing w:line="276" w:lineRule="auto"/>
        <w:rPr>
          <w:sz w:val="20"/>
          <w:szCs w:val="20"/>
        </w:rPr>
      </w:pPr>
    </w:p>
    <w:p w14:paraId="0112256A" w14:textId="77777777" w:rsidR="00DA491F" w:rsidRPr="00DA491F" w:rsidRDefault="00DA491F" w:rsidP="00DA491F">
      <w:pPr>
        <w:autoSpaceDE w:val="0"/>
        <w:autoSpaceDN w:val="0"/>
        <w:adjustRightInd w:val="0"/>
        <w:spacing w:line="276" w:lineRule="auto"/>
        <w:rPr>
          <w:i/>
          <w:sz w:val="20"/>
          <w:szCs w:val="20"/>
          <w:u w:val="single"/>
        </w:rPr>
      </w:pPr>
      <w:r w:rsidRPr="00DA491F">
        <w:rPr>
          <w:i/>
          <w:sz w:val="20"/>
          <w:szCs w:val="20"/>
          <w:u w:val="single"/>
        </w:rPr>
        <w:t>Mednarodno razvojno sodelovanje</w:t>
      </w:r>
    </w:p>
    <w:bookmarkEnd w:id="20"/>
    <w:p w14:paraId="303214C6" w14:textId="77777777" w:rsidR="00DA491F" w:rsidRPr="00DA491F" w:rsidRDefault="00DA491F" w:rsidP="00DA491F">
      <w:pPr>
        <w:autoSpaceDE w:val="0"/>
        <w:autoSpaceDN w:val="0"/>
        <w:adjustRightInd w:val="0"/>
        <w:spacing w:line="276" w:lineRule="auto"/>
        <w:rPr>
          <w:sz w:val="20"/>
          <w:szCs w:val="20"/>
        </w:rPr>
      </w:pPr>
      <w:r w:rsidRPr="00DA491F">
        <w:rPr>
          <w:sz w:val="20"/>
          <w:szCs w:val="20"/>
        </w:rPr>
        <w:t xml:space="preserve">V letu 2025 so potekale </w:t>
      </w:r>
      <w:bookmarkStart w:id="21" w:name="_Hlk217310584"/>
      <w:r w:rsidRPr="00DA491F">
        <w:rPr>
          <w:sz w:val="20"/>
          <w:szCs w:val="20"/>
        </w:rPr>
        <w:t>aktivnosti povezane s projektom »</w:t>
      </w:r>
      <w:r w:rsidRPr="00DA491F">
        <w:rPr>
          <w:i/>
          <w:iCs/>
          <w:sz w:val="20"/>
          <w:szCs w:val="20"/>
        </w:rPr>
        <w:t>Balkanski center za globalne inovacijske ekosisteme industrije 4.0 v obdobju 2024–2026</w:t>
      </w:r>
      <w:r w:rsidRPr="00DA491F">
        <w:rPr>
          <w:sz w:val="20"/>
          <w:szCs w:val="20"/>
        </w:rPr>
        <w:t>«, ki sta ga podprla MGTŠ in Slovenski podjetniški sklad – gre za nadaljevanje že začetega projekta »</w:t>
      </w:r>
      <w:r w:rsidRPr="00DA491F">
        <w:rPr>
          <w:i/>
          <w:iCs/>
          <w:sz w:val="20"/>
          <w:szCs w:val="20"/>
        </w:rPr>
        <w:t>Spodbujanje pametne proizvodnje z izgradnjo inovacijskega sistema v Srbiji</w:t>
      </w:r>
      <w:r w:rsidRPr="00DA491F">
        <w:rPr>
          <w:sz w:val="20"/>
          <w:szCs w:val="20"/>
        </w:rPr>
        <w:t>«, s ciljem povečanja prepoznavnosti RS na področju digitalnega preoblikovanja proizvodnje, vključno z uvajanjem umetne inteligence v proizvodnjo v regiji Zahodnega Balkana in širše.</w:t>
      </w:r>
    </w:p>
    <w:bookmarkEnd w:id="21"/>
    <w:p w14:paraId="0C53AB6D" w14:textId="77777777" w:rsidR="00DA491F" w:rsidRPr="00DA491F" w:rsidRDefault="00DA491F" w:rsidP="00DA491F">
      <w:pPr>
        <w:autoSpaceDE w:val="0"/>
        <w:autoSpaceDN w:val="0"/>
        <w:adjustRightInd w:val="0"/>
        <w:spacing w:line="276" w:lineRule="auto"/>
        <w:rPr>
          <w:sz w:val="20"/>
          <w:szCs w:val="20"/>
        </w:rPr>
      </w:pPr>
    </w:p>
    <w:p w14:paraId="00E43C1F" w14:textId="77777777" w:rsidR="00DA491F" w:rsidRPr="00DA491F" w:rsidRDefault="00DA491F" w:rsidP="00DA491F">
      <w:pPr>
        <w:spacing w:line="276" w:lineRule="auto"/>
        <w:rPr>
          <w:i/>
          <w:sz w:val="20"/>
          <w:szCs w:val="20"/>
          <w:u w:val="single"/>
        </w:rPr>
      </w:pPr>
      <w:r w:rsidRPr="00DA491F">
        <w:rPr>
          <w:i/>
          <w:sz w:val="20"/>
          <w:szCs w:val="20"/>
          <w:u w:val="single"/>
        </w:rPr>
        <w:t>Turizem</w:t>
      </w:r>
    </w:p>
    <w:p w14:paraId="4EE31FFB" w14:textId="77777777" w:rsidR="00DA491F" w:rsidRPr="00DA491F" w:rsidRDefault="00DA491F" w:rsidP="00DA491F">
      <w:pPr>
        <w:spacing w:line="276" w:lineRule="auto"/>
        <w:rPr>
          <w:sz w:val="20"/>
          <w:szCs w:val="20"/>
        </w:rPr>
      </w:pPr>
      <w:r w:rsidRPr="00DA491F">
        <w:rPr>
          <w:sz w:val="20"/>
          <w:szCs w:val="20"/>
        </w:rPr>
        <w:t>Slovenski turizem se je februarja 2025 predstavil na turističnem sejmu IFT Beograd, ki je največji mednarodni sejem turizma v J</w:t>
      </w:r>
      <w:r w:rsidR="00E14598">
        <w:rPr>
          <w:sz w:val="20"/>
          <w:szCs w:val="20"/>
        </w:rPr>
        <w:t>ugovzhodni</w:t>
      </w:r>
      <w:r w:rsidRPr="00DA491F">
        <w:rPr>
          <w:sz w:val="20"/>
          <w:szCs w:val="20"/>
        </w:rPr>
        <w:t xml:space="preserve"> Evropi.</w:t>
      </w:r>
    </w:p>
    <w:bookmarkEnd w:id="13"/>
    <w:p w14:paraId="7A4EB08B" w14:textId="77777777" w:rsidR="00627CE8" w:rsidRDefault="00627CE8" w:rsidP="00411064">
      <w:pPr>
        <w:spacing w:line="276" w:lineRule="auto"/>
        <w:rPr>
          <w:sz w:val="20"/>
          <w:szCs w:val="20"/>
          <w:highlight w:val="yellow"/>
        </w:rPr>
      </w:pPr>
    </w:p>
    <w:p w14:paraId="37D7B5B7" w14:textId="77777777" w:rsidR="00411064" w:rsidRPr="00140B34" w:rsidRDefault="00411064" w:rsidP="00411064">
      <w:pPr>
        <w:spacing w:line="276" w:lineRule="auto"/>
        <w:rPr>
          <w:sz w:val="20"/>
          <w:szCs w:val="20"/>
          <w:highlight w:val="yellow"/>
        </w:rPr>
      </w:pPr>
    </w:p>
    <w:p w14:paraId="6962F2A3" w14:textId="77777777" w:rsidR="005547B0" w:rsidRPr="00140B34" w:rsidRDefault="005547B0" w:rsidP="00411064">
      <w:pPr>
        <w:pStyle w:val="Heading2"/>
        <w:rPr>
          <w:highlight w:val="yellow"/>
        </w:rPr>
      </w:pPr>
      <w:bookmarkStart w:id="22" w:name="_Toc227227969"/>
      <w:r w:rsidRPr="00461C7F">
        <w:t>Razvojno sodelovanje z državami Zahodnega Balkana</w:t>
      </w:r>
      <w:bookmarkEnd w:id="22"/>
    </w:p>
    <w:p w14:paraId="14034A28" w14:textId="77777777" w:rsidR="00CB6624" w:rsidRPr="00140B34" w:rsidRDefault="00CB6624" w:rsidP="00411064">
      <w:pPr>
        <w:spacing w:line="276" w:lineRule="auto"/>
        <w:rPr>
          <w:sz w:val="20"/>
          <w:szCs w:val="20"/>
          <w:highlight w:val="yellow"/>
        </w:rPr>
      </w:pPr>
    </w:p>
    <w:p w14:paraId="5D40AC6F" w14:textId="77777777" w:rsidR="00003C2E" w:rsidRPr="00003C2E" w:rsidRDefault="00003C2E" w:rsidP="00411064">
      <w:pPr>
        <w:spacing w:line="276" w:lineRule="auto"/>
        <w:rPr>
          <w:rFonts w:eastAsia="Times New Roman"/>
          <w:b/>
          <w:sz w:val="20"/>
          <w:szCs w:val="20"/>
        </w:rPr>
      </w:pPr>
      <w:r w:rsidRPr="00003C2E">
        <w:rPr>
          <w:rFonts w:eastAsia="Times New Roman"/>
          <w:b/>
          <w:sz w:val="20"/>
          <w:szCs w:val="20"/>
        </w:rPr>
        <w:t xml:space="preserve">Uradna razvojna pomoč RS </w:t>
      </w:r>
      <w:r w:rsidR="0074700A">
        <w:rPr>
          <w:rFonts w:eastAsia="Times New Roman"/>
          <w:b/>
          <w:sz w:val="20"/>
          <w:szCs w:val="20"/>
        </w:rPr>
        <w:t>(</w:t>
      </w:r>
      <w:r w:rsidR="0074700A" w:rsidRPr="0074700A">
        <w:rPr>
          <w:rFonts w:eastAsia="Times New Roman"/>
          <w:b/>
          <w:sz w:val="20"/>
          <w:szCs w:val="20"/>
        </w:rPr>
        <w:t>URP</w:t>
      </w:r>
      <w:r w:rsidR="0074700A">
        <w:rPr>
          <w:rFonts w:eastAsia="Times New Roman"/>
          <w:b/>
          <w:sz w:val="20"/>
          <w:szCs w:val="20"/>
        </w:rPr>
        <w:t>)</w:t>
      </w:r>
      <w:r w:rsidR="0074700A" w:rsidRPr="0074700A">
        <w:rPr>
          <w:rFonts w:eastAsia="Times New Roman"/>
          <w:b/>
          <w:sz w:val="20"/>
          <w:szCs w:val="20"/>
        </w:rPr>
        <w:t xml:space="preserve"> </w:t>
      </w:r>
      <w:r w:rsidRPr="00003C2E">
        <w:rPr>
          <w:rFonts w:eastAsia="Times New Roman"/>
          <w:b/>
          <w:sz w:val="20"/>
          <w:szCs w:val="20"/>
        </w:rPr>
        <w:t>na Zahodnem Balkanu</w:t>
      </w:r>
    </w:p>
    <w:p w14:paraId="1523F83E" w14:textId="77777777" w:rsidR="00003C2E" w:rsidRPr="00003C2E" w:rsidRDefault="00003C2E" w:rsidP="00411064">
      <w:pPr>
        <w:spacing w:line="276" w:lineRule="auto"/>
        <w:rPr>
          <w:rFonts w:eastAsia="Times New Roman"/>
          <w:sz w:val="20"/>
          <w:szCs w:val="20"/>
        </w:rPr>
      </w:pPr>
      <w:r w:rsidRPr="00003C2E">
        <w:rPr>
          <w:rFonts w:eastAsia="Times New Roman"/>
          <w:sz w:val="20"/>
          <w:szCs w:val="20"/>
        </w:rPr>
        <w:t xml:space="preserve">RS z URP prispeva k bolj uravnoteženemu in pravičnemu svetovnemu razvoju ter prevzema soodgovornost za odpravo revščine in doseganje trajnostnega razvoja. Z mednarodno humanitarno pomočjo (HP) RS izraža solidarnost s prizadetimi državami in posamezniki, ki se spopadajo z izrednimi razmerami kot posledicami naravnih in drugih nesreč večjih razsežnosti ali oboroženih spopadov. </w:t>
      </w:r>
    </w:p>
    <w:p w14:paraId="1FF714CD" w14:textId="77777777" w:rsidR="00003C2E" w:rsidRPr="00003C2E" w:rsidRDefault="00003C2E" w:rsidP="00411064">
      <w:pPr>
        <w:spacing w:line="276" w:lineRule="auto"/>
        <w:rPr>
          <w:rFonts w:eastAsia="Times New Roman"/>
          <w:sz w:val="20"/>
          <w:szCs w:val="20"/>
        </w:rPr>
      </w:pPr>
    </w:p>
    <w:p w14:paraId="64E5D1BD" w14:textId="77777777" w:rsidR="00003C2E" w:rsidRPr="00003C2E" w:rsidRDefault="00003C2E" w:rsidP="00411064">
      <w:pPr>
        <w:spacing w:line="276" w:lineRule="auto"/>
        <w:rPr>
          <w:rFonts w:eastAsia="Times New Roman"/>
          <w:sz w:val="20"/>
          <w:szCs w:val="20"/>
        </w:rPr>
      </w:pPr>
      <w:r w:rsidRPr="00003C2E">
        <w:rPr>
          <w:rFonts w:eastAsia="Times New Roman"/>
          <w:sz w:val="20"/>
          <w:szCs w:val="20"/>
        </w:rPr>
        <w:t xml:space="preserve">Z MRS v partnerskih državah na Zahodnem Balkanu pomembno prispeva h krepitvi dobrega upravljanja ter dvigu ravni tehnične usposobljenosti javnih uslužbencev, zlasti pri harmonizaciji zakonodaje z zakonodajo </w:t>
      </w:r>
      <w:r w:rsidR="009A2537">
        <w:rPr>
          <w:rFonts w:eastAsia="Times New Roman"/>
          <w:sz w:val="20"/>
          <w:szCs w:val="20"/>
        </w:rPr>
        <w:t>EU</w:t>
      </w:r>
      <w:r w:rsidRPr="00003C2E">
        <w:rPr>
          <w:rFonts w:eastAsia="Times New Roman"/>
          <w:sz w:val="20"/>
          <w:szCs w:val="20"/>
        </w:rPr>
        <w:t>, varovanju okolja in boju proti podnebnim spremembam, predvsem s trajnostnim gospodarjenjem z vodami.</w:t>
      </w:r>
    </w:p>
    <w:p w14:paraId="5FAC349F" w14:textId="77777777" w:rsidR="00003C2E" w:rsidRPr="00003C2E" w:rsidRDefault="00003C2E" w:rsidP="00411064">
      <w:pPr>
        <w:spacing w:line="276" w:lineRule="auto"/>
        <w:rPr>
          <w:rFonts w:eastAsia="Times New Roman"/>
          <w:sz w:val="20"/>
          <w:szCs w:val="20"/>
        </w:rPr>
      </w:pPr>
    </w:p>
    <w:p w14:paraId="6C6BA65A" w14:textId="77777777" w:rsidR="00003C2E" w:rsidRPr="00003C2E" w:rsidRDefault="00003C2E" w:rsidP="00411064">
      <w:pPr>
        <w:spacing w:line="276" w:lineRule="auto"/>
        <w:rPr>
          <w:rFonts w:eastAsia="Times New Roman"/>
          <w:b/>
          <w:sz w:val="20"/>
          <w:szCs w:val="20"/>
        </w:rPr>
      </w:pPr>
      <w:r w:rsidRPr="00003C2E">
        <w:rPr>
          <w:rFonts w:eastAsia="Times New Roman"/>
          <w:b/>
          <w:sz w:val="20"/>
          <w:szCs w:val="20"/>
        </w:rPr>
        <w:t>Finančna sredstva</w:t>
      </w:r>
    </w:p>
    <w:p w14:paraId="78D9CECA" w14:textId="77777777" w:rsidR="00003C2E" w:rsidRPr="00003C2E" w:rsidRDefault="00003C2E" w:rsidP="00411064">
      <w:pPr>
        <w:autoSpaceDE w:val="0"/>
        <w:autoSpaceDN w:val="0"/>
        <w:adjustRightInd w:val="0"/>
        <w:spacing w:line="276" w:lineRule="auto"/>
        <w:rPr>
          <w:rFonts w:eastAsia="Times New Roman"/>
          <w:sz w:val="20"/>
          <w:szCs w:val="20"/>
        </w:rPr>
      </w:pPr>
      <w:r w:rsidRPr="00003C2E">
        <w:rPr>
          <w:rFonts w:eastAsia="Times New Roman"/>
          <w:sz w:val="20"/>
          <w:szCs w:val="20"/>
        </w:rPr>
        <w:t xml:space="preserve">RS je leta 2004 graduirala pri Svetovni banki in postala donatorica, s čemer je prevzela del odgovornosti za odpravo revščine in uravnotežen svetovni razvoj. Zavezala se je, da bo do leta 2030 za URP namenila 0,33 % BND. Obseg sredstev za URP </w:t>
      </w:r>
      <w:r w:rsidR="00BC0520">
        <w:rPr>
          <w:rFonts w:eastAsia="Times New Roman"/>
          <w:sz w:val="20"/>
          <w:szCs w:val="20"/>
        </w:rPr>
        <w:t>RS</w:t>
      </w:r>
      <w:r w:rsidRPr="00003C2E">
        <w:rPr>
          <w:rFonts w:eastAsia="Times New Roman"/>
          <w:sz w:val="20"/>
          <w:szCs w:val="20"/>
        </w:rPr>
        <w:t xml:space="preserve"> je v letu 2024 znašal 152,81 mio EUR, kar predstavlja 0,23 </w:t>
      </w:r>
      <w:r w:rsidR="00310AFC">
        <w:rPr>
          <w:rFonts w:eastAsia="Times New Roman"/>
          <w:sz w:val="20"/>
          <w:szCs w:val="20"/>
        </w:rPr>
        <w:t>%</w:t>
      </w:r>
      <w:r w:rsidRPr="00003C2E">
        <w:rPr>
          <w:rFonts w:eastAsia="Times New Roman"/>
          <w:sz w:val="20"/>
          <w:szCs w:val="20"/>
        </w:rPr>
        <w:t xml:space="preserve"> bruto nacionalnega dohodka (BND). </w:t>
      </w:r>
      <w:bookmarkStart w:id="23" w:name="_Hlk218791449"/>
      <w:r w:rsidRPr="00003C2E">
        <w:rPr>
          <w:rFonts w:eastAsia="Times New Roman"/>
          <w:sz w:val="20"/>
          <w:szCs w:val="20"/>
        </w:rPr>
        <w:t>Preliminarni podatki o uradni razvojni pomoči za leto 2025 bodo na voljo konec marca 2026.</w:t>
      </w:r>
      <w:bookmarkEnd w:id="23"/>
      <w:r w:rsidRPr="00003C2E">
        <w:rPr>
          <w:rFonts w:eastAsia="Times New Roman"/>
          <w:sz w:val="20"/>
          <w:szCs w:val="20"/>
        </w:rPr>
        <w:t xml:space="preserve"> V nadaljevanju podatki za leto 2024.</w:t>
      </w:r>
    </w:p>
    <w:p w14:paraId="56DF2493" w14:textId="77777777" w:rsidR="00003C2E" w:rsidRPr="00003C2E" w:rsidRDefault="00003C2E" w:rsidP="00411064">
      <w:pPr>
        <w:spacing w:line="276" w:lineRule="auto"/>
        <w:rPr>
          <w:rFonts w:eastAsia="Times New Roman"/>
          <w:sz w:val="20"/>
          <w:szCs w:val="20"/>
        </w:rPr>
      </w:pPr>
    </w:p>
    <w:p w14:paraId="498B0BB8" w14:textId="77777777" w:rsidR="00003C2E" w:rsidRPr="00003C2E" w:rsidRDefault="00003C2E" w:rsidP="00411064">
      <w:pPr>
        <w:spacing w:line="276" w:lineRule="auto"/>
        <w:rPr>
          <w:rFonts w:eastAsia="Times New Roman"/>
          <w:i/>
          <w:sz w:val="20"/>
          <w:szCs w:val="20"/>
        </w:rPr>
      </w:pPr>
      <w:r w:rsidRPr="00003C2E">
        <w:rPr>
          <w:rFonts w:eastAsia="Times New Roman"/>
          <w:sz w:val="20"/>
          <w:szCs w:val="20"/>
        </w:rPr>
        <w:t xml:space="preserve">RS je v letu 2024 v države Zahodnega Balkana usmerila 21.700.360 EUR ali 46,7 </w:t>
      </w:r>
      <w:r w:rsidR="00310AFC">
        <w:rPr>
          <w:rFonts w:eastAsia="Times New Roman"/>
          <w:sz w:val="20"/>
          <w:szCs w:val="20"/>
        </w:rPr>
        <w:t>%</w:t>
      </w:r>
      <w:r w:rsidRPr="00003C2E">
        <w:rPr>
          <w:rFonts w:eastAsia="Times New Roman"/>
          <w:sz w:val="20"/>
          <w:szCs w:val="20"/>
        </w:rPr>
        <w:t xml:space="preserve"> razpoložljive dvostranske razvojne pomoči. </w:t>
      </w:r>
      <w:bookmarkStart w:id="24" w:name="_Hlk179362086"/>
      <w:r w:rsidRPr="00003C2E">
        <w:rPr>
          <w:rFonts w:eastAsia="Times New Roman"/>
          <w:sz w:val="20"/>
          <w:szCs w:val="20"/>
        </w:rPr>
        <w:t>Največje prejemnice so bile Severna Makedonija (</w:t>
      </w:r>
      <w:r w:rsidRPr="00003C2E">
        <w:rPr>
          <w:rFonts w:eastAsia="Times New Roman"/>
          <w:bCs/>
          <w:sz w:val="20"/>
          <w:szCs w:val="20"/>
        </w:rPr>
        <w:t xml:space="preserve">7.517.510 EUR ali 34,6 </w:t>
      </w:r>
      <w:r w:rsidR="008D2FFC">
        <w:rPr>
          <w:rFonts w:eastAsia="Times New Roman"/>
          <w:bCs/>
          <w:sz w:val="20"/>
          <w:szCs w:val="20"/>
        </w:rPr>
        <w:t>%</w:t>
      </w:r>
      <w:r w:rsidRPr="00003C2E">
        <w:rPr>
          <w:rFonts w:eastAsia="Times New Roman"/>
          <w:bCs/>
          <w:sz w:val="20"/>
          <w:szCs w:val="20"/>
        </w:rPr>
        <w:t xml:space="preserve"> vseh sredstev za Zahodni Balkan</w:t>
      </w:r>
      <w:r w:rsidRPr="00003C2E">
        <w:rPr>
          <w:rFonts w:eastAsia="Times New Roman"/>
          <w:sz w:val="20"/>
          <w:szCs w:val="20"/>
        </w:rPr>
        <w:t xml:space="preserve">), </w:t>
      </w:r>
      <w:r w:rsidR="00E20306">
        <w:rPr>
          <w:rFonts w:eastAsia="Times New Roman"/>
          <w:sz w:val="20"/>
          <w:szCs w:val="20"/>
        </w:rPr>
        <w:t>BiH</w:t>
      </w:r>
      <w:r w:rsidRPr="00003C2E">
        <w:rPr>
          <w:rFonts w:eastAsia="Times New Roman"/>
          <w:sz w:val="20"/>
          <w:szCs w:val="20"/>
        </w:rPr>
        <w:t xml:space="preserve"> (</w:t>
      </w:r>
      <w:r w:rsidRPr="00003C2E">
        <w:rPr>
          <w:rFonts w:eastAsia="Times New Roman"/>
          <w:bCs/>
          <w:sz w:val="20"/>
          <w:szCs w:val="20"/>
        </w:rPr>
        <w:t xml:space="preserve">5.309.175 EUR ali 24,5 </w:t>
      </w:r>
      <w:r w:rsidR="00310AFC">
        <w:rPr>
          <w:rFonts w:eastAsia="Times New Roman"/>
          <w:bCs/>
          <w:sz w:val="20"/>
          <w:szCs w:val="20"/>
        </w:rPr>
        <w:t>%</w:t>
      </w:r>
      <w:r w:rsidRPr="00003C2E">
        <w:rPr>
          <w:rFonts w:eastAsia="Times New Roman"/>
          <w:bCs/>
          <w:sz w:val="20"/>
          <w:szCs w:val="20"/>
        </w:rPr>
        <w:t>) in Srbija (</w:t>
      </w:r>
      <w:r w:rsidRPr="00C23AB5">
        <w:rPr>
          <w:rFonts w:eastAsia="Times New Roman"/>
          <w:bCs/>
          <w:sz w:val="20"/>
          <w:szCs w:val="20"/>
        </w:rPr>
        <w:t xml:space="preserve">5.126.881 EUR ali 23,6 </w:t>
      </w:r>
      <w:r w:rsidR="00310AFC">
        <w:rPr>
          <w:rFonts w:eastAsia="Times New Roman"/>
          <w:bCs/>
          <w:sz w:val="20"/>
          <w:szCs w:val="20"/>
        </w:rPr>
        <w:t>%</w:t>
      </w:r>
      <w:r w:rsidRPr="00003C2E">
        <w:rPr>
          <w:rFonts w:eastAsia="Times New Roman"/>
          <w:bCs/>
          <w:sz w:val="20"/>
          <w:szCs w:val="20"/>
        </w:rPr>
        <w:t>)</w:t>
      </w:r>
      <w:bookmarkEnd w:id="24"/>
      <w:r w:rsidRPr="00003C2E">
        <w:rPr>
          <w:rFonts w:eastAsia="Times New Roman"/>
          <w:bCs/>
          <w:sz w:val="20"/>
          <w:szCs w:val="20"/>
        </w:rPr>
        <w:t>.</w:t>
      </w:r>
      <w:r w:rsidRPr="00003C2E">
        <w:rPr>
          <w:rFonts w:eastAsia="Times New Roman"/>
          <w:sz w:val="20"/>
          <w:szCs w:val="20"/>
        </w:rPr>
        <w:t xml:space="preserve"> </w:t>
      </w:r>
    </w:p>
    <w:p w14:paraId="764D7665" w14:textId="77777777" w:rsidR="00003C2E" w:rsidRPr="00003C2E" w:rsidRDefault="00003C2E" w:rsidP="00411064">
      <w:pPr>
        <w:spacing w:line="276" w:lineRule="auto"/>
        <w:rPr>
          <w:rFonts w:eastAsia="Times New Roman"/>
          <w:b/>
          <w:sz w:val="20"/>
          <w:szCs w:val="20"/>
        </w:rPr>
      </w:pPr>
    </w:p>
    <w:p w14:paraId="14C3F7C1" w14:textId="77777777" w:rsidR="00003C2E" w:rsidRPr="00003C2E" w:rsidRDefault="00003C2E" w:rsidP="00411064">
      <w:pPr>
        <w:spacing w:line="276" w:lineRule="auto"/>
        <w:rPr>
          <w:rFonts w:eastAsia="Times New Roman"/>
          <w:b/>
          <w:sz w:val="20"/>
          <w:szCs w:val="20"/>
        </w:rPr>
      </w:pPr>
      <w:r w:rsidRPr="00003C2E">
        <w:rPr>
          <w:rFonts w:eastAsia="Times New Roman"/>
          <w:b/>
          <w:sz w:val="20"/>
          <w:szCs w:val="20"/>
        </w:rPr>
        <w:t>Razvojna pomoč MZEZ na Zahodnem Balkanu v 2025</w:t>
      </w:r>
    </w:p>
    <w:p w14:paraId="3D0472B7" w14:textId="77777777" w:rsidR="00003C2E" w:rsidRPr="00003C2E" w:rsidRDefault="00003C2E" w:rsidP="00411064">
      <w:pPr>
        <w:spacing w:line="276" w:lineRule="auto"/>
        <w:rPr>
          <w:rFonts w:eastAsia="Times New Roman"/>
          <w:sz w:val="20"/>
          <w:szCs w:val="20"/>
        </w:rPr>
      </w:pPr>
      <w:r w:rsidRPr="00003C2E">
        <w:rPr>
          <w:rFonts w:eastAsia="Times New Roman"/>
          <w:sz w:val="20"/>
          <w:szCs w:val="20"/>
        </w:rPr>
        <w:t>V letu 2025 je MZEZ prek izvajalskih ustanov in nevladnih organizacij sofinanciralo 24 projektov na Zahodnem Balkanu.</w:t>
      </w:r>
      <w:r w:rsidRPr="00C23AB5">
        <w:rPr>
          <w:rFonts w:eastAsia="Times New Roman"/>
          <w:sz w:val="20"/>
          <w:szCs w:val="20"/>
        </w:rPr>
        <w:t xml:space="preserve"> </w:t>
      </w:r>
      <w:r w:rsidRPr="00003C2E">
        <w:rPr>
          <w:rFonts w:eastAsia="Times New Roman"/>
          <w:sz w:val="20"/>
          <w:szCs w:val="20"/>
        </w:rPr>
        <w:t xml:space="preserve">Projekte so izvajale izvajalske ustanove CEP, </w:t>
      </w:r>
      <w:r w:rsidR="00DC30EA" w:rsidRPr="00003C2E">
        <w:rPr>
          <w:rFonts w:eastAsia="Times New Roman"/>
          <w:sz w:val="20"/>
          <w:szCs w:val="20"/>
        </w:rPr>
        <w:t>CMSR</w:t>
      </w:r>
      <w:r w:rsidRPr="00003C2E">
        <w:rPr>
          <w:rFonts w:eastAsia="Times New Roman"/>
          <w:sz w:val="20"/>
          <w:szCs w:val="20"/>
        </w:rPr>
        <w:t xml:space="preserve"> in ITF Ustanova za krepitev človekove varnosti, mednarodna organizacija CEF ter razvojne in humanitarne nevladne organizacije (Društvo FER, Slovenska karitas, Kulturno-izobraževalno društvo PiNA, Zavod Krog, Humanitarno društvo ADRA). V izvajanje projektov MRS so se vključevali tudi gospodarski subjekti, predvsem preko projektov nevladnih organizacij in CMSR.</w:t>
      </w:r>
    </w:p>
    <w:p w14:paraId="6EB1BAE2" w14:textId="77777777" w:rsidR="00003C2E" w:rsidRPr="00003C2E" w:rsidRDefault="00003C2E" w:rsidP="00411064">
      <w:pPr>
        <w:spacing w:line="276" w:lineRule="auto"/>
        <w:rPr>
          <w:rFonts w:eastAsia="Times New Roman"/>
          <w:sz w:val="20"/>
          <w:szCs w:val="20"/>
        </w:rPr>
      </w:pPr>
    </w:p>
    <w:p w14:paraId="335B593A" w14:textId="77777777" w:rsidR="00003C2E" w:rsidRPr="00003C2E" w:rsidRDefault="00003C2E" w:rsidP="00411064">
      <w:pPr>
        <w:spacing w:line="276" w:lineRule="auto"/>
        <w:rPr>
          <w:rFonts w:eastAsia="Times New Roman"/>
          <w:sz w:val="20"/>
          <w:szCs w:val="20"/>
        </w:rPr>
      </w:pPr>
      <w:r w:rsidRPr="00003C2E">
        <w:rPr>
          <w:rFonts w:eastAsia="Times New Roman"/>
          <w:sz w:val="20"/>
          <w:szCs w:val="20"/>
        </w:rPr>
        <w:t>Dodatno k temu je MZEZ v letu 2025 sofinanciralo 20 projektov preko razvojnega sklada, ki je namenjen sofinanciranju projektov, ki jih izvajajo diplomatska predstavništva ali konzulati RS v tujini. Od tega je bilo 6 projektov izvedenih v državah Zahodnega Balkana.</w:t>
      </w:r>
    </w:p>
    <w:p w14:paraId="527AD9EA" w14:textId="77777777" w:rsidR="00003C2E" w:rsidRPr="00003C2E" w:rsidRDefault="00003C2E" w:rsidP="00411064">
      <w:pPr>
        <w:spacing w:line="276" w:lineRule="auto"/>
        <w:rPr>
          <w:rFonts w:eastAsia="Times New Roman"/>
          <w:sz w:val="20"/>
          <w:szCs w:val="20"/>
        </w:rPr>
      </w:pPr>
    </w:p>
    <w:p w14:paraId="4E06C9A9" w14:textId="77777777" w:rsidR="00003C2E" w:rsidRPr="00003C2E" w:rsidRDefault="00003C2E" w:rsidP="00411064">
      <w:pPr>
        <w:spacing w:line="276" w:lineRule="auto"/>
        <w:rPr>
          <w:rFonts w:eastAsia="Times New Roman"/>
          <w:sz w:val="20"/>
          <w:szCs w:val="20"/>
        </w:rPr>
      </w:pPr>
      <w:r w:rsidRPr="00003C2E">
        <w:rPr>
          <w:rFonts w:eastAsia="Times New Roman"/>
          <w:sz w:val="20"/>
          <w:szCs w:val="20"/>
        </w:rPr>
        <w:t xml:space="preserve">Prav tako je v 2025 prek Veleposlaništva RS v Skopju bil izveden projekt "Naše pravice", ki starše in učitelje v državah prejemnicah ozavešča o otrokovih pravicah. </w:t>
      </w:r>
    </w:p>
    <w:p w14:paraId="7573488F" w14:textId="77777777" w:rsidR="00003C2E" w:rsidRPr="00003C2E" w:rsidRDefault="00003C2E" w:rsidP="00411064">
      <w:pPr>
        <w:spacing w:line="276" w:lineRule="auto"/>
        <w:rPr>
          <w:rFonts w:eastAsia="Times New Roman"/>
          <w:sz w:val="20"/>
          <w:szCs w:val="20"/>
        </w:rPr>
      </w:pPr>
    </w:p>
    <w:p w14:paraId="62B392EE" w14:textId="77777777" w:rsidR="00003C2E" w:rsidRPr="00003C2E" w:rsidRDefault="00003C2E" w:rsidP="00411064">
      <w:pPr>
        <w:spacing w:line="276" w:lineRule="auto"/>
        <w:rPr>
          <w:rFonts w:eastAsia="Times New Roman"/>
          <w:sz w:val="20"/>
          <w:szCs w:val="20"/>
        </w:rPr>
      </w:pPr>
      <w:r w:rsidRPr="00003C2E">
        <w:rPr>
          <w:rFonts w:eastAsia="Times New Roman"/>
          <w:sz w:val="20"/>
          <w:szCs w:val="20"/>
        </w:rPr>
        <w:t xml:space="preserve">Sredstva MZEZ v letu 2025 so bila usmerjena tudi v izvajanje projektov tehnične pomoči, namenjenih krepitvi civilne družbe. Na Zahodnem Balkanu je bilo zaključenih 6 aktivnosti dvostranske tehnične pomoči. Pomoč pristojnim organom, z izmenjavo dobrih praks in izkušenj je nudilo 31 slovenskih ekspertov z resornih ministrstev in uradov </w:t>
      </w:r>
      <w:r w:rsidR="002637E4">
        <w:rPr>
          <w:rFonts w:eastAsia="Times New Roman"/>
          <w:sz w:val="20"/>
          <w:szCs w:val="20"/>
        </w:rPr>
        <w:t>RS</w:t>
      </w:r>
      <w:r w:rsidRPr="00003C2E">
        <w:rPr>
          <w:rFonts w:eastAsia="Times New Roman"/>
          <w:sz w:val="20"/>
          <w:szCs w:val="20"/>
        </w:rPr>
        <w:t>.</w:t>
      </w:r>
    </w:p>
    <w:p w14:paraId="1E188D67" w14:textId="77777777" w:rsidR="00003C2E" w:rsidRPr="00003C2E" w:rsidRDefault="00003C2E" w:rsidP="00411064">
      <w:pPr>
        <w:spacing w:line="276" w:lineRule="auto"/>
        <w:rPr>
          <w:rFonts w:eastAsia="Times New Roman"/>
          <w:sz w:val="20"/>
          <w:szCs w:val="20"/>
        </w:rPr>
      </w:pPr>
    </w:p>
    <w:p w14:paraId="2EF57333" w14:textId="77777777" w:rsidR="00003C2E" w:rsidRPr="00003C2E" w:rsidRDefault="009B2715" w:rsidP="00411064">
      <w:pPr>
        <w:spacing w:line="276" w:lineRule="auto"/>
        <w:rPr>
          <w:rFonts w:eastAsia="Times New Roman"/>
          <w:sz w:val="20"/>
          <w:szCs w:val="20"/>
        </w:rPr>
      </w:pPr>
      <w:r>
        <w:rPr>
          <w:rFonts w:eastAsia="Times New Roman"/>
          <w:sz w:val="20"/>
          <w:szCs w:val="20"/>
        </w:rPr>
        <w:t>RS</w:t>
      </w:r>
      <w:r w:rsidR="00003C2E" w:rsidRPr="00003C2E">
        <w:rPr>
          <w:rFonts w:eastAsia="Times New Roman"/>
          <w:sz w:val="20"/>
          <w:szCs w:val="20"/>
        </w:rPr>
        <w:t xml:space="preserve"> je tudi v 2025 namenila visok delež razpoložljive dvostranske pomoči za oprostitev šolnin in štipendije (</w:t>
      </w:r>
      <w:r w:rsidR="00003C2E" w:rsidRPr="00003C2E">
        <w:rPr>
          <w:rFonts w:eastAsia="Times New Roman"/>
          <w:i/>
          <w:iCs/>
          <w:sz w:val="20"/>
          <w:szCs w:val="20"/>
        </w:rPr>
        <w:t>op. natančni podatki o višini sredstev za ta namen bodo znani v marcu 2026</w:t>
      </w:r>
      <w:r w:rsidR="00003C2E" w:rsidRPr="00003C2E">
        <w:rPr>
          <w:rFonts w:eastAsia="Times New Roman"/>
          <w:sz w:val="20"/>
          <w:szCs w:val="20"/>
        </w:rPr>
        <w:t xml:space="preserve">). </w:t>
      </w:r>
    </w:p>
    <w:p w14:paraId="195129A5" w14:textId="77777777" w:rsidR="00003C2E" w:rsidRPr="00003C2E" w:rsidRDefault="00003C2E" w:rsidP="00411064">
      <w:pPr>
        <w:spacing w:line="276" w:lineRule="auto"/>
        <w:rPr>
          <w:rFonts w:eastAsia="Times New Roman"/>
          <w:sz w:val="20"/>
          <w:szCs w:val="20"/>
        </w:rPr>
      </w:pPr>
    </w:p>
    <w:p w14:paraId="59B768AB" w14:textId="77777777" w:rsidR="00003C2E" w:rsidRPr="00003C2E" w:rsidRDefault="00003C2E" w:rsidP="00411064">
      <w:pPr>
        <w:spacing w:line="276" w:lineRule="auto"/>
        <w:rPr>
          <w:rFonts w:eastAsia="Times New Roman"/>
          <w:b/>
          <w:sz w:val="20"/>
          <w:szCs w:val="20"/>
        </w:rPr>
      </w:pPr>
      <w:r w:rsidRPr="00003C2E">
        <w:rPr>
          <w:rFonts w:eastAsia="Times New Roman"/>
          <w:b/>
          <w:sz w:val="20"/>
          <w:szCs w:val="20"/>
        </w:rPr>
        <w:t xml:space="preserve">Črna gora </w:t>
      </w:r>
    </w:p>
    <w:p w14:paraId="6C375E21" w14:textId="77777777" w:rsidR="00003C2E" w:rsidRDefault="00003C2E" w:rsidP="00411064">
      <w:pPr>
        <w:spacing w:line="276" w:lineRule="auto"/>
        <w:rPr>
          <w:rFonts w:eastAsia="Times New Roman"/>
          <w:sz w:val="20"/>
          <w:szCs w:val="20"/>
        </w:rPr>
      </w:pPr>
      <w:r w:rsidRPr="00003C2E">
        <w:rPr>
          <w:rFonts w:eastAsia="Times New Roman"/>
          <w:sz w:val="20"/>
          <w:szCs w:val="20"/>
        </w:rPr>
        <w:t>S sredstvi MZEZ se je preko CMSR v 2025 nadaljeval projekt "Izgradnja deponije gradbenih odpadkov v Občini Žabljak". Gre za triletni projekt (2023 – 2025), skupna vrednost je 1.086.935 EUR, vrednost sofinanciranja RS pa 593.906 EUR.</w:t>
      </w:r>
    </w:p>
    <w:p w14:paraId="23231B6A" w14:textId="77777777" w:rsidR="00743003" w:rsidRPr="00003C2E" w:rsidRDefault="00743003" w:rsidP="00411064">
      <w:pPr>
        <w:spacing w:line="276" w:lineRule="auto"/>
        <w:rPr>
          <w:rFonts w:eastAsia="Times New Roman"/>
          <w:sz w:val="20"/>
          <w:szCs w:val="20"/>
        </w:rPr>
      </w:pPr>
    </w:p>
    <w:p w14:paraId="14DF7C10" w14:textId="77777777" w:rsidR="00003C2E" w:rsidRPr="00003C2E" w:rsidRDefault="00003C2E" w:rsidP="00411064">
      <w:pPr>
        <w:spacing w:line="276" w:lineRule="auto"/>
        <w:rPr>
          <w:rFonts w:eastAsia="Times New Roman"/>
          <w:sz w:val="20"/>
          <w:szCs w:val="20"/>
        </w:rPr>
      </w:pPr>
      <w:r w:rsidRPr="00003C2E">
        <w:rPr>
          <w:rFonts w:eastAsia="Times New Roman"/>
          <w:sz w:val="20"/>
          <w:szCs w:val="20"/>
        </w:rPr>
        <w:t>Preko CMSR se je leta 2025 začel izvajati dvoletni projekt Izgradnja bioplinske elektrarne na odlagališču komunalnih odpadkov Možura. Skupna vrednost projekta je 1.599.267 EUR, sofinanciranje RS pa 754.433 EUR. Sredstva so na podlagi sporazuma med MZEZ in MOPE zagotovljena iz Podnebnega sklada MOPE, projekt pa administrira MZEZ.</w:t>
      </w:r>
    </w:p>
    <w:p w14:paraId="5CA74163" w14:textId="77777777" w:rsidR="00003C2E" w:rsidRPr="00003C2E" w:rsidRDefault="00003C2E" w:rsidP="00411064">
      <w:pPr>
        <w:spacing w:line="276" w:lineRule="auto"/>
        <w:rPr>
          <w:rFonts w:eastAsia="Times New Roman"/>
          <w:sz w:val="20"/>
          <w:szCs w:val="20"/>
        </w:rPr>
      </w:pPr>
    </w:p>
    <w:p w14:paraId="1784490F" w14:textId="77777777" w:rsidR="00003C2E" w:rsidRPr="00003C2E" w:rsidRDefault="00003C2E" w:rsidP="00411064">
      <w:pPr>
        <w:spacing w:line="276" w:lineRule="auto"/>
        <w:rPr>
          <w:rFonts w:eastAsia="Times New Roman"/>
          <w:sz w:val="20"/>
          <w:szCs w:val="20"/>
        </w:rPr>
      </w:pPr>
      <w:r w:rsidRPr="00003C2E">
        <w:rPr>
          <w:rFonts w:eastAsia="Times New Roman"/>
          <w:sz w:val="20"/>
          <w:szCs w:val="20"/>
        </w:rPr>
        <w:t>V Črni gori se je v letu 2025 prek CEP začel izvajati triletni projekt "Krepitev zmogljivosti na področju finančnih preiskav v Črni gori" s skupno vrednostjo 187.995 EUR.</w:t>
      </w:r>
    </w:p>
    <w:p w14:paraId="48F392F9" w14:textId="77777777" w:rsidR="00003C2E" w:rsidRPr="00003C2E" w:rsidRDefault="00003C2E" w:rsidP="00411064">
      <w:pPr>
        <w:spacing w:line="276" w:lineRule="auto"/>
        <w:rPr>
          <w:rFonts w:eastAsia="Times New Roman"/>
          <w:sz w:val="20"/>
          <w:szCs w:val="20"/>
        </w:rPr>
      </w:pPr>
    </w:p>
    <w:p w14:paraId="435A4215" w14:textId="77777777" w:rsidR="00003C2E" w:rsidRPr="00003C2E" w:rsidRDefault="00003C2E" w:rsidP="00411064">
      <w:pPr>
        <w:spacing w:line="276" w:lineRule="auto"/>
        <w:rPr>
          <w:rFonts w:eastAsia="Times New Roman"/>
          <w:sz w:val="20"/>
          <w:szCs w:val="20"/>
        </w:rPr>
      </w:pPr>
      <w:r w:rsidRPr="00003C2E">
        <w:rPr>
          <w:rFonts w:eastAsia="Times New Roman"/>
          <w:sz w:val="20"/>
          <w:szCs w:val="20"/>
        </w:rPr>
        <w:t xml:space="preserve">Zaključil se je triletni projekt na področju ekonomskega in socialnega opolnomočenja žensk, ki ga je izvajala slovenska nevladna organizacija Zavod Krog. Skupna vrednost projekta je bila </w:t>
      </w:r>
      <w:r w:rsidRPr="00003C2E">
        <w:rPr>
          <w:rFonts w:eastAsia="Times New Roman"/>
          <w:color w:val="000000"/>
          <w:sz w:val="20"/>
          <w:szCs w:val="20"/>
        </w:rPr>
        <w:t xml:space="preserve">255.200 EUR, od tega je MZEZ projekt sofinanciral v višini 230.317 EUR. </w:t>
      </w:r>
    </w:p>
    <w:p w14:paraId="78A6017B" w14:textId="77777777" w:rsidR="00003C2E" w:rsidRPr="00003C2E" w:rsidRDefault="00003C2E" w:rsidP="00411064">
      <w:pPr>
        <w:spacing w:line="276" w:lineRule="auto"/>
        <w:rPr>
          <w:rFonts w:eastAsia="Times New Roman"/>
          <w:sz w:val="20"/>
          <w:szCs w:val="20"/>
        </w:rPr>
      </w:pPr>
    </w:p>
    <w:p w14:paraId="1393D46E" w14:textId="77777777" w:rsidR="00003C2E" w:rsidRPr="00003C2E" w:rsidRDefault="00003C2E" w:rsidP="00411064">
      <w:pPr>
        <w:spacing w:line="276" w:lineRule="auto"/>
        <w:rPr>
          <w:rFonts w:eastAsia="Times New Roman"/>
          <w:sz w:val="20"/>
          <w:szCs w:val="20"/>
        </w:rPr>
      </w:pPr>
      <w:r w:rsidRPr="00003C2E">
        <w:rPr>
          <w:rFonts w:eastAsia="Times New Roman"/>
          <w:sz w:val="20"/>
          <w:szCs w:val="20"/>
        </w:rPr>
        <w:t xml:space="preserve">Urad za varovanje tajnih podatkov je v okviru dvostranske tehnične pomoči opravil analizo nacionalne zakonodaje in drugih pravnih aktov, ki opredeljujejo področje varovanja tajnih podatkov. </w:t>
      </w:r>
      <w:r w:rsidRPr="00003C2E">
        <w:rPr>
          <w:rFonts w:eastAsia="Times New Roman"/>
          <w:sz w:val="20"/>
          <w:szCs w:val="20"/>
          <w:lang w:eastAsia="sl-SI"/>
        </w:rPr>
        <w:t>Ministrstvo za kmetijstvo, gozdarstvo in prehrano</w:t>
      </w:r>
      <w:r w:rsidR="009003F0">
        <w:rPr>
          <w:rFonts w:eastAsia="Times New Roman"/>
          <w:sz w:val="20"/>
          <w:szCs w:val="20"/>
          <w:lang w:eastAsia="sl-SI"/>
        </w:rPr>
        <w:t xml:space="preserve"> </w:t>
      </w:r>
      <w:r w:rsidR="009003F0" w:rsidRPr="00682FE3">
        <w:rPr>
          <w:rFonts w:eastAsia="Aptos"/>
          <w:noProof/>
          <w:kern w:val="2"/>
          <w:sz w:val="20"/>
          <w:szCs w:val="20"/>
        </w:rPr>
        <w:t>(MKGP)</w:t>
      </w:r>
      <w:r w:rsidRPr="00003C2E">
        <w:rPr>
          <w:rFonts w:eastAsia="Times New Roman"/>
          <w:sz w:val="20"/>
          <w:szCs w:val="20"/>
          <w:lang w:eastAsia="sl-SI"/>
        </w:rPr>
        <w:t xml:space="preserve"> izvaja aktivnosti v okviru projekta, v katerem strokovnjaki iz </w:t>
      </w:r>
      <w:r w:rsidR="003B6859">
        <w:rPr>
          <w:rFonts w:eastAsia="Times New Roman"/>
          <w:sz w:val="20"/>
          <w:szCs w:val="20"/>
          <w:lang w:eastAsia="sl-SI"/>
        </w:rPr>
        <w:t>RS</w:t>
      </w:r>
      <w:r w:rsidRPr="00003C2E">
        <w:rPr>
          <w:rFonts w:eastAsia="Times New Roman"/>
          <w:sz w:val="20"/>
          <w:szCs w:val="20"/>
          <w:lang w:eastAsia="sl-SI"/>
        </w:rPr>
        <w:t xml:space="preserve"> nudijo strokovno pomoč črnogorskim kolegom na področju trajnostnega gospodarjenja z gozdovi in divjadjo. </w:t>
      </w:r>
    </w:p>
    <w:p w14:paraId="29494678" w14:textId="77777777" w:rsidR="00003C2E" w:rsidRPr="00003C2E" w:rsidRDefault="00003C2E" w:rsidP="00411064">
      <w:pPr>
        <w:spacing w:line="276" w:lineRule="auto"/>
        <w:rPr>
          <w:rFonts w:eastAsia="Times New Roman"/>
          <w:sz w:val="20"/>
          <w:szCs w:val="20"/>
        </w:rPr>
      </w:pPr>
    </w:p>
    <w:p w14:paraId="7B214082" w14:textId="77777777" w:rsidR="00003C2E" w:rsidRPr="00003C2E" w:rsidRDefault="00003C2E" w:rsidP="00411064">
      <w:pPr>
        <w:spacing w:line="276" w:lineRule="auto"/>
        <w:rPr>
          <w:rFonts w:eastAsia="Times New Roman"/>
          <w:b/>
          <w:sz w:val="20"/>
          <w:szCs w:val="20"/>
        </w:rPr>
      </w:pPr>
      <w:r w:rsidRPr="00003C2E">
        <w:rPr>
          <w:rFonts w:eastAsia="Times New Roman"/>
          <w:b/>
          <w:sz w:val="20"/>
          <w:szCs w:val="20"/>
        </w:rPr>
        <w:t>Severna Makedonija</w:t>
      </w:r>
    </w:p>
    <w:p w14:paraId="45B4B00A" w14:textId="77777777" w:rsidR="00003C2E" w:rsidRPr="00003C2E" w:rsidRDefault="00003C2E" w:rsidP="00411064">
      <w:pPr>
        <w:spacing w:line="276" w:lineRule="auto"/>
        <w:rPr>
          <w:rFonts w:eastAsia="Times New Roman"/>
          <w:sz w:val="20"/>
          <w:szCs w:val="20"/>
        </w:rPr>
      </w:pPr>
      <w:r w:rsidRPr="00003C2E">
        <w:rPr>
          <w:rFonts w:eastAsia="Times New Roman"/>
          <w:sz w:val="20"/>
          <w:szCs w:val="20"/>
        </w:rPr>
        <w:t xml:space="preserve">CEP je v letu 2025 nadaljeval z izvajanjem dvoletnega projekta Spodbujanje izobraževanja in poklicev v zdravstveni negi in babištvu v Severni Makedoniji v skupni vrednosti 113.551 EUR. Poleg tega se je v 2025 izvedel enoletni projekt Digitalizacija in trajnostni lokalni razvoj v Severni Makedoniji v skupni vrednosti 92.046 EUR. </w:t>
      </w:r>
    </w:p>
    <w:p w14:paraId="3FD2505E" w14:textId="77777777" w:rsidR="00003C2E" w:rsidRPr="00003C2E" w:rsidRDefault="00003C2E" w:rsidP="00411064">
      <w:pPr>
        <w:spacing w:line="276" w:lineRule="auto"/>
        <w:rPr>
          <w:rFonts w:eastAsia="Times New Roman"/>
          <w:sz w:val="20"/>
          <w:szCs w:val="20"/>
          <w:highlight w:val="yellow"/>
        </w:rPr>
      </w:pPr>
    </w:p>
    <w:p w14:paraId="0261ECBC" w14:textId="77777777" w:rsidR="00003C2E" w:rsidRDefault="00003C2E" w:rsidP="00411064">
      <w:pPr>
        <w:spacing w:line="276" w:lineRule="auto"/>
        <w:rPr>
          <w:rFonts w:eastAsia="Times New Roman"/>
          <w:sz w:val="20"/>
          <w:szCs w:val="20"/>
        </w:rPr>
      </w:pPr>
      <w:r w:rsidRPr="00003C2E">
        <w:rPr>
          <w:rFonts w:eastAsia="Times New Roman"/>
          <w:sz w:val="20"/>
          <w:szCs w:val="20"/>
        </w:rPr>
        <w:t>MZEZ je v 2025 sofinanciral infrastrukturni projekt na področju voda v izvedbi CMSR na Dojranskem jezeru. Gre za projekt, ki se izvaja v obdobju 2023 – 2025. Skupna vrednost projekta je 2.687.933 EUR, vrednost sofinanciranja RS pa 1.477.030 EUR.</w:t>
      </w:r>
    </w:p>
    <w:p w14:paraId="01C39FD3" w14:textId="77777777" w:rsidR="00FA77A9" w:rsidRPr="00003C2E" w:rsidRDefault="00FA77A9" w:rsidP="00411064">
      <w:pPr>
        <w:spacing w:line="276" w:lineRule="auto"/>
        <w:rPr>
          <w:rFonts w:eastAsia="Times New Roman"/>
          <w:sz w:val="20"/>
          <w:szCs w:val="20"/>
        </w:rPr>
      </w:pPr>
    </w:p>
    <w:p w14:paraId="48D7059F" w14:textId="77777777" w:rsidR="00003C2E" w:rsidRPr="00003C2E" w:rsidRDefault="00003C2E" w:rsidP="00411064">
      <w:pPr>
        <w:spacing w:line="276" w:lineRule="auto"/>
        <w:rPr>
          <w:rFonts w:eastAsia="Times New Roman"/>
          <w:sz w:val="20"/>
          <w:szCs w:val="20"/>
        </w:rPr>
      </w:pPr>
      <w:r w:rsidRPr="00003C2E">
        <w:rPr>
          <w:rFonts w:eastAsia="Times New Roman"/>
          <w:sz w:val="20"/>
          <w:szCs w:val="20"/>
        </w:rPr>
        <w:t xml:space="preserve">V 2025 se je prek CMSR začel izvajati tudi dvoletni infrastrukturni projekt z naslovom Opolnomočenje digitalnega kmetijstva: modernizacija, izobraževanje in trajnostni razvoj v Severni Makedoniji. Skupna vrednost projekta je 694.821 EUR, sofinanciranje MZEZ pa 574.821 EUR. </w:t>
      </w:r>
    </w:p>
    <w:p w14:paraId="7BFF766D" w14:textId="77777777" w:rsidR="00003C2E" w:rsidRPr="00003C2E" w:rsidRDefault="00003C2E" w:rsidP="00411064">
      <w:pPr>
        <w:spacing w:line="276" w:lineRule="auto"/>
        <w:rPr>
          <w:rFonts w:eastAsia="Times New Roman"/>
          <w:sz w:val="20"/>
          <w:szCs w:val="20"/>
        </w:rPr>
      </w:pPr>
    </w:p>
    <w:p w14:paraId="126F2BB6" w14:textId="77777777" w:rsidR="00003C2E" w:rsidRPr="00003C2E" w:rsidRDefault="00003C2E" w:rsidP="00411064">
      <w:pPr>
        <w:spacing w:line="276" w:lineRule="auto"/>
        <w:rPr>
          <w:rFonts w:eastAsia="Times New Roman"/>
          <w:sz w:val="20"/>
          <w:szCs w:val="20"/>
        </w:rPr>
      </w:pPr>
      <w:r w:rsidRPr="00003C2E">
        <w:rPr>
          <w:rFonts w:eastAsia="Times New Roman"/>
          <w:sz w:val="20"/>
          <w:szCs w:val="20"/>
        </w:rPr>
        <w:t xml:space="preserve">Prek CEF se je v 2025 začel dvoletni projekt "Akademija za javne finance Ministrstva za finance Severne Makedonije – Transformacija v učečo se organizacijo (PFA LearnOrgLab)" v skupni vrednosti 100.000 EUR, ki jo v celoti financira MZEZ. </w:t>
      </w:r>
    </w:p>
    <w:p w14:paraId="4DEC9F30" w14:textId="77777777" w:rsidR="00003C2E" w:rsidRPr="00003C2E" w:rsidRDefault="00003C2E" w:rsidP="00411064">
      <w:pPr>
        <w:spacing w:line="276" w:lineRule="auto"/>
        <w:rPr>
          <w:rFonts w:eastAsia="Times New Roman"/>
          <w:sz w:val="20"/>
          <w:szCs w:val="20"/>
          <w:highlight w:val="yellow"/>
        </w:rPr>
      </w:pPr>
    </w:p>
    <w:p w14:paraId="09A3C583" w14:textId="77777777" w:rsidR="00003C2E" w:rsidRPr="00003C2E" w:rsidRDefault="00003C2E" w:rsidP="00411064">
      <w:pPr>
        <w:spacing w:line="276" w:lineRule="auto"/>
        <w:rPr>
          <w:rFonts w:eastAsia="Times New Roman"/>
          <w:sz w:val="20"/>
          <w:szCs w:val="20"/>
          <w:highlight w:val="yellow"/>
        </w:rPr>
      </w:pPr>
      <w:r w:rsidRPr="00003C2E">
        <w:rPr>
          <w:rFonts w:eastAsia="Times New Roman"/>
          <w:sz w:val="20"/>
          <w:szCs w:val="20"/>
        </w:rPr>
        <w:t xml:space="preserve">Zaključil se je triletni projekt na področju opolnomočenja žensk čebelark, ki ga je izvajala slovenska nevladna organizacija Humanitarno društvo Adra. Skupna vrednost projekta je bila </w:t>
      </w:r>
      <w:r w:rsidRPr="00003C2E">
        <w:rPr>
          <w:rFonts w:eastAsia="Times New Roman"/>
          <w:color w:val="000000"/>
          <w:sz w:val="20"/>
          <w:szCs w:val="20"/>
        </w:rPr>
        <w:t>273.541 EUR, od tega je MZEZ projekt sofinanciral v višini 237.944 EUR.</w:t>
      </w:r>
    </w:p>
    <w:p w14:paraId="6ADCFA98" w14:textId="77777777" w:rsidR="00003C2E" w:rsidRPr="00003C2E" w:rsidRDefault="00003C2E" w:rsidP="00411064">
      <w:pPr>
        <w:spacing w:line="276" w:lineRule="auto"/>
        <w:rPr>
          <w:rFonts w:eastAsia="Times New Roman"/>
          <w:sz w:val="20"/>
          <w:szCs w:val="20"/>
          <w:lang w:eastAsia="sl-SI"/>
        </w:rPr>
      </w:pPr>
    </w:p>
    <w:p w14:paraId="3A86886A" w14:textId="77777777" w:rsidR="00003C2E" w:rsidRPr="00003C2E" w:rsidRDefault="00003C2E" w:rsidP="00411064">
      <w:pPr>
        <w:spacing w:line="276" w:lineRule="auto"/>
        <w:rPr>
          <w:rFonts w:eastAsia="Times New Roman"/>
          <w:sz w:val="20"/>
          <w:szCs w:val="20"/>
          <w:lang w:eastAsia="sl-SI"/>
        </w:rPr>
      </w:pPr>
      <w:r w:rsidRPr="00003C2E">
        <w:rPr>
          <w:rFonts w:eastAsia="Times New Roman"/>
          <w:sz w:val="20"/>
          <w:szCs w:val="20"/>
          <w:lang w:eastAsia="sl-SI"/>
        </w:rPr>
        <w:t>S sredstvi razvojnega sklada je Veleposlaništvo RS v Skopju v letu 2025 financiralo tri razvojne projekte:</w:t>
      </w:r>
    </w:p>
    <w:p w14:paraId="562C1343" w14:textId="77777777" w:rsidR="00003C2E" w:rsidRPr="00003C2E" w:rsidRDefault="00003C2E" w:rsidP="00411064">
      <w:pPr>
        <w:numPr>
          <w:ilvl w:val="0"/>
          <w:numId w:val="38"/>
        </w:numPr>
        <w:spacing w:line="276" w:lineRule="auto"/>
        <w:ind w:left="709" w:hanging="349"/>
        <w:jc w:val="left"/>
        <w:rPr>
          <w:rFonts w:eastAsia="Times New Roman"/>
          <w:sz w:val="20"/>
          <w:szCs w:val="20"/>
          <w:lang w:eastAsia="sl-SI"/>
        </w:rPr>
      </w:pPr>
      <w:r w:rsidRPr="00003C2E">
        <w:rPr>
          <w:rFonts w:eastAsia="Times New Roman"/>
          <w:sz w:val="20"/>
          <w:szCs w:val="20"/>
          <w:lang w:eastAsia="sl-SI"/>
        </w:rPr>
        <w:t>Oživitev tradicije in ohranjanje narave (99.963 EUR),</w:t>
      </w:r>
    </w:p>
    <w:p w14:paraId="73EBD97D" w14:textId="77777777" w:rsidR="00003C2E" w:rsidRPr="00003C2E" w:rsidRDefault="00003C2E" w:rsidP="00411064">
      <w:pPr>
        <w:numPr>
          <w:ilvl w:val="0"/>
          <w:numId w:val="38"/>
        </w:numPr>
        <w:spacing w:line="276" w:lineRule="auto"/>
        <w:ind w:left="709" w:hanging="349"/>
        <w:jc w:val="left"/>
        <w:rPr>
          <w:rFonts w:eastAsia="Times New Roman"/>
          <w:sz w:val="20"/>
          <w:szCs w:val="20"/>
          <w:lang w:eastAsia="sl-SI"/>
        </w:rPr>
      </w:pPr>
      <w:r w:rsidRPr="00003C2E">
        <w:rPr>
          <w:rFonts w:eastAsia="Times New Roman"/>
          <w:sz w:val="20"/>
          <w:szCs w:val="20"/>
          <w:lang w:eastAsia="sl-SI"/>
        </w:rPr>
        <w:t>Opolnomočenje žensk v podjetništvu preko trajnosti in obrtništva (99.130 EUR) ter</w:t>
      </w:r>
    </w:p>
    <w:p w14:paraId="3A037CAF" w14:textId="77777777" w:rsidR="00003C2E" w:rsidRPr="00003C2E" w:rsidRDefault="00003C2E" w:rsidP="00411064">
      <w:pPr>
        <w:numPr>
          <w:ilvl w:val="0"/>
          <w:numId w:val="38"/>
        </w:numPr>
        <w:spacing w:line="276" w:lineRule="auto"/>
        <w:ind w:left="709" w:hanging="349"/>
        <w:jc w:val="left"/>
        <w:rPr>
          <w:rFonts w:eastAsia="Times New Roman"/>
          <w:sz w:val="20"/>
          <w:szCs w:val="20"/>
          <w:lang w:eastAsia="sl-SI"/>
        </w:rPr>
      </w:pPr>
      <w:r w:rsidRPr="00003C2E">
        <w:rPr>
          <w:rFonts w:eastAsia="Times New Roman"/>
          <w:sz w:val="20"/>
          <w:szCs w:val="20"/>
          <w:lang w:eastAsia="sl-SI"/>
        </w:rPr>
        <w:t>Izobraževanje in ekonomsko opolnomočenje ranljivih žensk v Severni Makedoniji (49.050 EUR).</w:t>
      </w:r>
    </w:p>
    <w:p w14:paraId="32D30B2F" w14:textId="77777777" w:rsidR="00003C2E" w:rsidRPr="00C23AB5" w:rsidRDefault="00003C2E" w:rsidP="00411064">
      <w:pPr>
        <w:spacing w:line="276" w:lineRule="auto"/>
        <w:jc w:val="left"/>
        <w:rPr>
          <w:rFonts w:eastAsia="Times New Roman"/>
          <w:sz w:val="20"/>
          <w:szCs w:val="20"/>
          <w:lang w:val="it-IT" w:eastAsia="sl-SI"/>
        </w:rPr>
      </w:pPr>
      <w:r w:rsidRPr="00C23AB5">
        <w:rPr>
          <w:rFonts w:eastAsia="Times New Roman"/>
          <w:sz w:val="20"/>
          <w:szCs w:val="20"/>
          <w:lang w:eastAsia="sl-SI"/>
        </w:rPr>
        <w:t xml:space="preserve">Aktivnosti vseh projektov so omogočile ženskam iz ranljivih skupin pridobiti poklicno izobrazbo, nove ročne spretnosti in znanja s področja podjetništva in marketinga. </w:t>
      </w:r>
      <w:proofErr w:type="spellStart"/>
      <w:r w:rsidRPr="00C23AB5">
        <w:rPr>
          <w:rFonts w:eastAsia="Times New Roman"/>
          <w:sz w:val="20"/>
          <w:szCs w:val="20"/>
          <w:lang w:val="it-IT" w:eastAsia="sl-SI"/>
        </w:rPr>
        <w:t>Prva</w:t>
      </w:r>
      <w:proofErr w:type="spellEnd"/>
      <w:r w:rsidRPr="00C23AB5">
        <w:rPr>
          <w:rFonts w:eastAsia="Times New Roman"/>
          <w:sz w:val="20"/>
          <w:szCs w:val="20"/>
          <w:lang w:val="it-IT" w:eastAsia="sl-SI"/>
        </w:rPr>
        <w:t xml:space="preserve"> </w:t>
      </w:r>
      <w:proofErr w:type="spellStart"/>
      <w:r w:rsidRPr="00C23AB5">
        <w:rPr>
          <w:rFonts w:eastAsia="Times New Roman"/>
          <w:sz w:val="20"/>
          <w:szCs w:val="20"/>
          <w:lang w:val="it-IT" w:eastAsia="sl-SI"/>
        </w:rPr>
        <w:t>dva</w:t>
      </w:r>
      <w:proofErr w:type="spellEnd"/>
      <w:r w:rsidRPr="00C23AB5">
        <w:rPr>
          <w:rFonts w:eastAsia="Times New Roman"/>
          <w:sz w:val="20"/>
          <w:szCs w:val="20"/>
          <w:lang w:val="it-IT" w:eastAsia="sl-SI"/>
        </w:rPr>
        <w:t xml:space="preserve"> </w:t>
      </w:r>
      <w:proofErr w:type="spellStart"/>
      <w:r w:rsidRPr="00C23AB5">
        <w:rPr>
          <w:rFonts w:eastAsia="Times New Roman"/>
          <w:sz w:val="20"/>
          <w:szCs w:val="20"/>
          <w:lang w:val="it-IT" w:eastAsia="sl-SI"/>
        </w:rPr>
        <w:t>projekta</w:t>
      </w:r>
      <w:proofErr w:type="spellEnd"/>
      <w:r w:rsidRPr="00C23AB5">
        <w:rPr>
          <w:rFonts w:eastAsia="Times New Roman"/>
          <w:sz w:val="20"/>
          <w:szCs w:val="20"/>
          <w:lang w:val="it-IT" w:eastAsia="sl-SI"/>
        </w:rPr>
        <w:t xml:space="preserve"> sta </w:t>
      </w:r>
      <w:proofErr w:type="spellStart"/>
      <w:r w:rsidRPr="00C23AB5">
        <w:rPr>
          <w:rFonts w:eastAsia="Times New Roman"/>
          <w:sz w:val="20"/>
          <w:szCs w:val="20"/>
          <w:lang w:val="it-IT" w:eastAsia="sl-SI"/>
        </w:rPr>
        <w:t>dvoletna</w:t>
      </w:r>
      <w:proofErr w:type="spellEnd"/>
      <w:r w:rsidRPr="00C23AB5">
        <w:rPr>
          <w:rFonts w:eastAsia="Times New Roman"/>
          <w:sz w:val="20"/>
          <w:szCs w:val="20"/>
          <w:lang w:val="it-IT" w:eastAsia="sl-SI"/>
        </w:rPr>
        <w:t xml:space="preserve"> in </w:t>
      </w:r>
      <w:proofErr w:type="gramStart"/>
      <w:r w:rsidRPr="00C23AB5">
        <w:rPr>
          <w:rFonts w:eastAsia="Times New Roman"/>
          <w:sz w:val="20"/>
          <w:szCs w:val="20"/>
          <w:lang w:val="it-IT" w:eastAsia="sl-SI"/>
        </w:rPr>
        <w:t>se</w:t>
      </w:r>
      <w:proofErr w:type="gramEnd"/>
      <w:r w:rsidRPr="00C23AB5">
        <w:rPr>
          <w:rFonts w:eastAsia="Times New Roman"/>
          <w:sz w:val="20"/>
          <w:szCs w:val="20"/>
          <w:lang w:val="it-IT" w:eastAsia="sl-SI"/>
        </w:rPr>
        <w:t xml:space="preserve"> </w:t>
      </w:r>
      <w:proofErr w:type="spellStart"/>
      <w:r w:rsidRPr="00C23AB5">
        <w:rPr>
          <w:rFonts w:eastAsia="Times New Roman"/>
          <w:sz w:val="20"/>
          <w:szCs w:val="20"/>
          <w:lang w:val="it-IT" w:eastAsia="sl-SI"/>
        </w:rPr>
        <w:t>bosta</w:t>
      </w:r>
      <w:proofErr w:type="spellEnd"/>
      <w:r w:rsidRPr="00C23AB5">
        <w:rPr>
          <w:rFonts w:eastAsia="Times New Roman"/>
          <w:sz w:val="20"/>
          <w:szCs w:val="20"/>
          <w:lang w:val="it-IT" w:eastAsia="sl-SI"/>
        </w:rPr>
        <w:t xml:space="preserve"> </w:t>
      </w:r>
      <w:proofErr w:type="spellStart"/>
      <w:r w:rsidRPr="00C23AB5">
        <w:rPr>
          <w:rFonts w:eastAsia="Times New Roman"/>
          <w:sz w:val="20"/>
          <w:szCs w:val="20"/>
          <w:lang w:val="it-IT" w:eastAsia="sl-SI"/>
        </w:rPr>
        <w:t>nadaljevala</w:t>
      </w:r>
      <w:proofErr w:type="spellEnd"/>
      <w:r w:rsidRPr="00C23AB5">
        <w:rPr>
          <w:rFonts w:eastAsia="Times New Roman"/>
          <w:sz w:val="20"/>
          <w:szCs w:val="20"/>
          <w:lang w:val="it-IT" w:eastAsia="sl-SI"/>
        </w:rPr>
        <w:t xml:space="preserve"> </w:t>
      </w:r>
      <w:proofErr w:type="spellStart"/>
      <w:r w:rsidRPr="00C23AB5">
        <w:rPr>
          <w:rFonts w:eastAsia="Times New Roman"/>
          <w:sz w:val="20"/>
          <w:szCs w:val="20"/>
          <w:lang w:val="it-IT" w:eastAsia="sl-SI"/>
        </w:rPr>
        <w:t>tudi</w:t>
      </w:r>
      <w:proofErr w:type="spellEnd"/>
      <w:r w:rsidRPr="00C23AB5">
        <w:rPr>
          <w:rFonts w:eastAsia="Times New Roman"/>
          <w:sz w:val="20"/>
          <w:szCs w:val="20"/>
          <w:lang w:val="it-IT" w:eastAsia="sl-SI"/>
        </w:rPr>
        <w:t xml:space="preserve"> v </w:t>
      </w:r>
      <w:proofErr w:type="spellStart"/>
      <w:r w:rsidRPr="00C23AB5">
        <w:rPr>
          <w:rFonts w:eastAsia="Times New Roman"/>
          <w:sz w:val="20"/>
          <w:szCs w:val="20"/>
          <w:lang w:val="it-IT" w:eastAsia="sl-SI"/>
        </w:rPr>
        <w:t>letu</w:t>
      </w:r>
      <w:proofErr w:type="spellEnd"/>
      <w:r w:rsidRPr="00C23AB5">
        <w:rPr>
          <w:rFonts w:eastAsia="Times New Roman"/>
          <w:sz w:val="20"/>
          <w:szCs w:val="20"/>
          <w:lang w:val="it-IT" w:eastAsia="sl-SI"/>
        </w:rPr>
        <w:t xml:space="preserve"> 2026.</w:t>
      </w:r>
    </w:p>
    <w:p w14:paraId="6560DA18" w14:textId="77777777" w:rsidR="00003C2E" w:rsidRPr="00C23AB5" w:rsidRDefault="00003C2E" w:rsidP="00411064">
      <w:pPr>
        <w:spacing w:line="276" w:lineRule="auto"/>
        <w:jc w:val="left"/>
        <w:rPr>
          <w:rFonts w:eastAsia="Times New Roman"/>
          <w:sz w:val="20"/>
          <w:szCs w:val="20"/>
          <w:lang w:val="it-IT" w:eastAsia="sl-SI"/>
        </w:rPr>
      </w:pPr>
    </w:p>
    <w:p w14:paraId="4F9BCA9F" w14:textId="77777777" w:rsidR="00003C2E" w:rsidRPr="00003C2E" w:rsidRDefault="00003C2E" w:rsidP="00411064">
      <w:pPr>
        <w:spacing w:line="276" w:lineRule="auto"/>
        <w:rPr>
          <w:rFonts w:eastAsia="Times New Roman"/>
          <w:sz w:val="20"/>
          <w:szCs w:val="20"/>
          <w:lang w:eastAsia="sl-SI"/>
        </w:rPr>
      </w:pPr>
      <w:r w:rsidRPr="00003C2E">
        <w:rPr>
          <w:rFonts w:eastAsia="Times New Roman"/>
          <w:sz w:val="20"/>
          <w:szCs w:val="20"/>
          <w:lang w:eastAsia="sl-SI"/>
        </w:rPr>
        <w:t xml:space="preserve">Prek Veleposlaništva RS v Skopju je bil v 2025 izveden tudi projekt "Naše pravice", ki prek usposabljanja učiteljev, predagoških delavcev in staršev krepi dostojanstvo in opolnomočenje otrok. Za projekt je bilo namenjenih 10.000 EUR. </w:t>
      </w:r>
    </w:p>
    <w:p w14:paraId="26B911ED" w14:textId="77777777" w:rsidR="00003C2E" w:rsidRPr="00003C2E" w:rsidRDefault="00003C2E" w:rsidP="00411064">
      <w:pPr>
        <w:spacing w:line="276" w:lineRule="auto"/>
        <w:rPr>
          <w:rFonts w:eastAsia="Times New Roman"/>
          <w:sz w:val="20"/>
          <w:szCs w:val="20"/>
          <w:lang w:eastAsia="sl-SI"/>
        </w:rPr>
      </w:pPr>
    </w:p>
    <w:p w14:paraId="24F1749C" w14:textId="77777777" w:rsidR="00003C2E" w:rsidRPr="00003C2E" w:rsidRDefault="00003C2E" w:rsidP="00411064">
      <w:pPr>
        <w:spacing w:line="276" w:lineRule="auto"/>
        <w:rPr>
          <w:rFonts w:eastAsia="Times New Roman"/>
          <w:sz w:val="20"/>
          <w:szCs w:val="20"/>
          <w:lang w:eastAsia="sl-SI"/>
        </w:rPr>
      </w:pPr>
      <w:r w:rsidRPr="00003C2E">
        <w:rPr>
          <w:rFonts w:eastAsia="Times New Roman"/>
          <w:sz w:val="20"/>
          <w:szCs w:val="20"/>
          <w:lang w:eastAsia="sl-SI"/>
        </w:rPr>
        <w:t>Urad za varovanje tajnih podatkov je v okviru tehnične pomoči opravil analizo nacionalne zakonodaje in drugih pravnih aktov, ki opredeljujejo področje varovanja tajnih podatkov. Poleg tega je Urad za preprečevanje pranja denarja prav tako prek bilateralne tehnične pomoči izvedel projekt na področju priprave ter uskladitve makedonske zakonodaje s področja preprečevanja pranja denarja.</w:t>
      </w:r>
    </w:p>
    <w:p w14:paraId="5E135166" w14:textId="77777777" w:rsidR="00003C2E" w:rsidRPr="00003C2E" w:rsidRDefault="00003C2E" w:rsidP="00411064">
      <w:pPr>
        <w:spacing w:line="276" w:lineRule="auto"/>
        <w:rPr>
          <w:rFonts w:eastAsia="Times New Roman"/>
          <w:sz w:val="20"/>
          <w:szCs w:val="20"/>
        </w:rPr>
      </w:pPr>
    </w:p>
    <w:p w14:paraId="26268FE5" w14:textId="77777777" w:rsidR="00003C2E" w:rsidRPr="00003C2E" w:rsidRDefault="00003C2E" w:rsidP="00411064">
      <w:pPr>
        <w:spacing w:line="276" w:lineRule="auto"/>
        <w:rPr>
          <w:rFonts w:eastAsia="Times New Roman"/>
          <w:b/>
          <w:sz w:val="20"/>
          <w:szCs w:val="20"/>
        </w:rPr>
      </w:pPr>
      <w:r w:rsidRPr="00003C2E">
        <w:rPr>
          <w:rFonts w:eastAsia="Times New Roman"/>
          <w:b/>
          <w:sz w:val="20"/>
          <w:szCs w:val="20"/>
        </w:rPr>
        <w:t>Albanija</w:t>
      </w:r>
    </w:p>
    <w:p w14:paraId="306B15DD" w14:textId="77777777" w:rsidR="00003C2E" w:rsidRPr="00003C2E" w:rsidRDefault="00003C2E" w:rsidP="00411064">
      <w:pPr>
        <w:spacing w:line="276" w:lineRule="auto"/>
        <w:rPr>
          <w:rFonts w:eastAsia="Times New Roman"/>
          <w:sz w:val="20"/>
          <w:szCs w:val="20"/>
        </w:rPr>
      </w:pPr>
      <w:r w:rsidRPr="00003C2E">
        <w:rPr>
          <w:rFonts w:eastAsia="Times New Roman"/>
          <w:sz w:val="20"/>
          <w:szCs w:val="20"/>
        </w:rPr>
        <w:t xml:space="preserve">Slovenska nevladna organizacija Društvo FER je zaključila z izvajanjem triletnega projekta Mladi gradijo trajnostne okoljske rešitve. Skupna vrednost projekta je bila </w:t>
      </w:r>
      <w:r w:rsidRPr="00003C2E">
        <w:rPr>
          <w:rFonts w:eastAsia="Times New Roman"/>
          <w:color w:val="000000"/>
          <w:sz w:val="20"/>
          <w:szCs w:val="20"/>
        </w:rPr>
        <w:t xml:space="preserve">160.925 EUR, od tega je MZEZ projekt sofinancira v višini 145.000 EUR. </w:t>
      </w:r>
    </w:p>
    <w:p w14:paraId="173298AD" w14:textId="77777777" w:rsidR="00003C2E" w:rsidRPr="00003C2E" w:rsidRDefault="00003C2E" w:rsidP="00411064">
      <w:pPr>
        <w:spacing w:line="276" w:lineRule="auto"/>
        <w:rPr>
          <w:rFonts w:eastAsia="Times New Roman"/>
          <w:b/>
          <w:sz w:val="20"/>
          <w:szCs w:val="20"/>
          <w:highlight w:val="yellow"/>
        </w:rPr>
      </w:pPr>
    </w:p>
    <w:p w14:paraId="0B17F314" w14:textId="77777777" w:rsidR="00003C2E" w:rsidRPr="00003C2E" w:rsidRDefault="00D2033B" w:rsidP="00411064">
      <w:pPr>
        <w:spacing w:line="276" w:lineRule="auto"/>
        <w:rPr>
          <w:rFonts w:eastAsia="Times New Roman"/>
          <w:b/>
          <w:sz w:val="20"/>
          <w:szCs w:val="20"/>
        </w:rPr>
      </w:pPr>
      <w:r>
        <w:rPr>
          <w:b/>
          <w:sz w:val="20"/>
          <w:szCs w:val="20"/>
        </w:rPr>
        <w:t>BiH</w:t>
      </w:r>
    </w:p>
    <w:p w14:paraId="30D4EBA8" w14:textId="77777777" w:rsidR="00003C2E" w:rsidRPr="00003C2E" w:rsidRDefault="00003C2E" w:rsidP="00411064">
      <w:pPr>
        <w:spacing w:line="276" w:lineRule="auto"/>
        <w:rPr>
          <w:rFonts w:eastAsia="Times New Roman"/>
          <w:b/>
          <w:sz w:val="20"/>
          <w:szCs w:val="20"/>
          <w:highlight w:val="yellow"/>
        </w:rPr>
      </w:pPr>
      <w:r w:rsidRPr="00003C2E">
        <w:rPr>
          <w:rFonts w:eastAsia="Times New Roman"/>
          <w:color w:val="000000"/>
          <w:sz w:val="20"/>
          <w:szCs w:val="20"/>
          <w:lang w:eastAsia="sl-SI"/>
        </w:rPr>
        <w:t xml:space="preserve">CEP je v 2024 nadaljeval z izvajanjem dvoletnega projekta s področja podpore mladim politikom iz </w:t>
      </w:r>
      <w:r w:rsidR="00945E65">
        <w:rPr>
          <w:rFonts w:eastAsia="Times New Roman"/>
          <w:color w:val="000000"/>
          <w:sz w:val="20"/>
          <w:szCs w:val="20"/>
          <w:lang w:eastAsia="sl-SI"/>
        </w:rPr>
        <w:t>BiH</w:t>
      </w:r>
      <w:r w:rsidRPr="00003C2E">
        <w:rPr>
          <w:rFonts w:eastAsia="Times New Roman"/>
          <w:color w:val="000000"/>
          <w:sz w:val="20"/>
          <w:szCs w:val="20"/>
          <w:lang w:eastAsia="sl-SI"/>
        </w:rPr>
        <w:t xml:space="preserve"> z namenom promocije integracije v EU, delovanja v skladu s načeli dobrega upravljanja, zaščite okolja, človekovih pravic, proti-korupcije. Skupna vrednost projekta je 113.311 EUR, od tega MZEZ projekt sofinancira v višini 97.657 EUR.</w:t>
      </w:r>
    </w:p>
    <w:p w14:paraId="73615801" w14:textId="77777777" w:rsidR="00003C2E" w:rsidRPr="00003C2E" w:rsidRDefault="00003C2E" w:rsidP="00411064">
      <w:pPr>
        <w:spacing w:line="276" w:lineRule="auto"/>
        <w:rPr>
          <w:rFonts w:eastAsia="Times New Roman"/>
          <w:color w:val="000000"/>
          <w:sz w:val="20"/>
          <w:szCs w:val="20"/>
          <w:lang w:eastAsia="sl-SI"/>
        </w:rPr>
      </w:pPr>
    </w:p>
    <w:p w14:paraId="787A259B" w14:textId="77777777" w:rsidR="00003C2E" w:rsidRPr="00003C2E" w:rsidRDefault="00003C2E" w:rsidP="00411064">
      <w:pPr>
        <w:spacing w:line="276" w:lineRule="auto"/>
        <w:rPr>
          <w:rFonts w:eastAsia="Times New Roman"/>
          <w:color w:val="000000"/>
          <w:sz w:val="20"/>
          <w:szCs w:val="20"/>
          <w:lang w:eastAsia="sl-SI"/>
        </w:rPr>
      </w:pPr>
      <w:r w:rsidRPr="00003C2E">
        <w:rPr>
          <w:rFonts w:eastAsia="Times New Roman"/>
          <w:color w:val="000000"/>
          <w:sz w:val="20"/>
          <w:szCs w:val="20"/>
          <w:lang w:eastAsia="sl-SI"/>
        </w:rPr>
        <w:t xml:space="preserve">Preko ITF sta se začela izvajati dva dvoletna razvojna projekta v </w:t>
      </w:r>
      <w:r w:rsidR="00885BB9">
        <w:rPr>
          <w:rFonts w:eastAsia="Times New Roman"/>
          <w:color w:val="000000"/>
          <w:sz w:val="20"/>
          <w:szCs w:val="20"/>
          <w:lang w:eastAsia="sl-SI"/>
        </w:rPr>
        <w:t>B</w:t>
      </w:r>
      <w:r w:rsidR="00390EBD">
        <w:rPr>
          <w:rFonts w:eastAsia="Times New Roman"/>
          <w:color w:val="000000"/>
          <w:sz w:val="20"/>
          <w:szCs w:val="20"/>
          <w:lang w:eastAsia="sl-SI"/>
        </w:rPr>
        <w:t>i</w:t>
      </w:r>
      <w:r w:rsidR="00885BB9">
        <w:rPr>
          <w:rFonts w:eastAsia="Times New Roman"/>
          <w:color w:val="000000"/>
          <w:sz w:val="20"/>
          <w:szCs w:val="20"/>
          <w:lang w:eastAsia="sl-SI"/>
        </w:rPr>
        <w:t>H</w:t>
      </w:r>
      <w:r w:rsidRPr="00003C2E">
        <w:rPr>
          <w:rFonts w:eastAsia="Times New Roman"/>
          <w:color w:val="000000"/>
          <w:sz w:val="20"/>
          <w:szCs w:val="20"/>
          <w:lang w:eastAsia="sl-SI"/>
        </w:rPr>
        <w:t xml:space="preserve">: projekt protiminskega delovanja v skupni vrednosti 200.000 EUR ter projekt "Čebelarjenje za invalidne osebe z namenom opolnomočenja žrtev min iz </w:t>
      </w:r>
      <w:r w:rsidR="00945E65">
        <w:rPr>
          <w:rFonts w:eastAsia="Times New Roman"/>
          <w:color w:val="000000"/>
          <w:sz w:val="20"/>
          <w:szCs w:val="20"/>
          <w:lang w:eastAsia="sl-SI"/>
        </w:rPr>
        <w:t>BiH</w:t>
      </w:r>
      <w:r w:rsidRPr="00003C2E">
        <w:rPr>
          <w:rFonts w:eastAsia="Times New Roman"/>
          <w:color w:val="000000"/>
          <w:sz w:val="20"/>
          <w:szCs w:val="20"/>
          <w:lang w:eastAsia="sl-SI"/>
        </w:rPr>
        <w:t xml:space="preserve"> – Faza 4" v skupni vrednosti 90.000 EUR. Oba projekta v celoti sofinancira MZEZ. </w:t>
      </w:r>
    </w:p>
    <w:p w14:paraId="0101A645" w14:textId="77777777" w:rsidR="00003C2E" w:rsidRPr="00003C2E" w:rsidRDefault="00003C2E" w:rsidP="00411064">
      <w:pPr>
        <w:spacing w:line="276" w:lineRule="auto"/>
        <w:rPr>
          <w:rFonts w:eastAsia="Times New Roman"/>
          <w:color w:val="000000"/>
          <w:sz w:val="20"/>
          <w:szCs w:val="20"/>
          <w:lang w:eastAsia="sl-SI"/>
        </w:rPr>
      </w:pPr>
    </w:p>
    <w:p w14:paraId="37545B64" w14:textId="77777777" w:rsidR="00003C2E" w:rsidRPr="00003C2E" w:rsidRDefault="00003C2E" w:rsidP="00411064">
      <w:pPr>
        <w:spacing w:line="276" w:lineRule="auto"/>
        <w:rPr>
          <w:rFonts w:eastAsia="Times New Roman"/>
          <w:color w:val="000000"/>
          <w:sz w:val="20"/>
          <w:szCs w:val="20"/>
          <w:lang w:eastAsia="sl-SI"/>
        </w:rPr>
      </w:pPr>
      <w:r w:rsidRPr="00003C2E">
        <w:rPr>
          <w:rFonts w:eastAsia="Times New Roman"/>
          <w:color w:val="000000"/>
          <w:sz w:val="20"/>
          <w:szCs w:val="20"/>
          <w:lang w:eastAsia="sl-SI"/>
        </w:rPr>
        <w:t>V 2025 se je preko CMSR začelo izvajanje projekta Optimizacija in revitalizacija vodovodnega sistema v Občini Velika Kladuša. Gre za dvoletni projekt v skupni vrednosti 1.938.479 EUR, višina sofinanciranja RS je 889.479 EUR. Sredstva za projekt je na podlagi dogovora o prenosu sredstev zagotovilo MGTŠ, projekt pa administrira MZEZ.</w:t>
      </w:r>
    </w:p>
    <w:p w14:paraId="3A42D941" w14:textId="77777777" w:rsidR="00003C2E" w:rsidRPr="00003C2E" w:rsidRDefault="00003C2E" w:rsidP="00411064">
      <w:pPr>
        <w:spacing w:line="276" w:lineRule="auto"/>
        <w:rPr>
          <w:rFonts w:eastAsia="Times New Roman"/>
          <w:color w:val="000000"/>
          <w:sz w:val="20"/>
          <w:szCs w:val="20"/>
          <w:lang w:eastAsia="sl-SI"/>
        </w:rPr>
      </w:pPr>
    </w:p>
    <w:p w14:paraId="31957452" w14:textId="77777777" w:rsidR="00003C2E" w:rsidRPr="00003C2E" w:rsidRDefault="00003C2E" w:rsidP="00411064">
      <w:pPr>
        <w:spacing w:line="276" w:lineRule="auto"/>
        <w:rPr>
          <w:rFonts w:eastAsia="Times New Roman"/>
          <w:color w:val="000000"/>
          <w:sz w:val="20"/>
          <w:szCs w:val="20"/>
          <w:lang w:eastAsia="sl-SI"/>
        </w:rPr>
      </w:pPr>
      <w:r w:rsidRPr="00003C2E">
        <w:rPr>
          <w:rFonts w:eastAsia="Times New Roman"/>
          <w:color w:val="000000"/>
          <w:sz w:val="20"/>
          <w:szCs w:val="20"/>
          <w:lang w:eastAsia="sl-SI"/>
        </w:rPr>
        <w:t>Na področju krepitve vloge in opolnomočenja žensk se je zaključil triletni projekt podpore ženskemu zelenemu in trajnostnemu podjetništvu, ki ga je izvajala slovenska nevladna organizacija Kulturno-izobraževalno društvo PiNA. Skupna vrednost projekta je bila 177.674 EUR, od tega je MZEZ projekt sofinanciral v višini 145.000 EUR.</w:t>
      </w:r>
    </w:p>
    <w:p w14:paraId="4D9C423C" w14:textId="77777777" w:rsidR="00003C2E" w:rsidRPr="00003C2E" w:rsidRDefault="00003C2E" w:rsidP="00411064">
      <w:pPr>
        <w:spacing w:line="276" w:lineRule="auto"/>
        <w:rPr>
          <w:rFonts w:eastAsia="Times New Roman"/>
          <w:color w:val="000000"/>
          <w:sz w:val="20"/>
          <w:szCs w:val="20"/>
          <w:lang w:eastAsia="sl-SI"/>
        </w:rPr>
      </w:pPr>
    </w:p>
    <w:p w14:paraId="7EA5C678" w14:textId="77777777" w:rsidR="00003C2E" w:rsidRPr="00003C2E" w:rsidRDefault="00003C2E" w:rsidP="00411064">
      <w:pPr>
        <w:spacing w:line="276" w:lineRule="auto"/>
        <w:rPr>
          <w:rFonts w:eastAsia="Times New Roman"/>
          <w:sz w:val="20"/>
          <w:szCs w:val="20"/>
        </w:rPr>
      </w:pPr>
      <w:r w:rsidRPr="00003C2E">
        <w:rPr>
          <w:rFonts w:eastAsia="Times New Roman"/>
          <w:color w:val="000000"/>
          <w:sz w:val="20"/>
          <w:szCs w:val="20"/>
          <w:lang w:eastAsia="sl-SI"/>
        </w:rPr>
        <w:t xml:space="preserve">RS je </w:t>
      </w:r>
      <w:r w:rsidR="00945E65">
        <w:rPr>
          <w:rFonts w:eastAsia="Times New Roman"/>
          <w:color w:val="000000"/>
          <w:sz w:val="20"/>
          <w:szCs w:val="20"/>
          <w:lang w:eastAsia="sl-SI"/>
        </w:rPr>
        <w:t>BiH</w:t>
      </w:r>
      <w:r w:rsidRPr="00003C2E">
        <w:rPr>
          <w:rFonts w:eastAsia="Times New Roman"/>
          <w:color w:val="000000"/>
          <w:sz w:val="20"/>
          <w:szCs w:val="20"/>
          <w:lang w:eastAsia="sl-SI"/>
        </w:rPr>
        <w:t xml:space="preserve"> tudi v letu 2025 zagotovila popoplavno pomoč v višini 238.435 EUR preko strateškega partnerja za nujni humanitarni odziv Slovenske karitas za obnovo poškodovane infrastrukture in šole. </w:t>
      </w:r>
    </w:p>
    <w:p w14:paraId="38BBDF28" w14:textId="77777777" w:rsidR="00003C2E" w:rsidRPr="00003C2E" w:rsidRDefault="00003C2E" w:rsidP="00411064">
      <w:pPr>
        <w:spacing w:line="276" w:lineRule="auto"/>
        <w:rPr>
          <w:rFonts w:eastAsia="Times New Roman"/>
          <w:color w:val="000000"/>
          <w:sz w:val="20"/>
          <w:szCs w:val="20"/>
          <w:lang w:eastAsia="sl-SI"/>
        </w:rPr>
      </w:pPr>
    </w:p>
    <w:p w14:paraId="1A6CDB39" w14:textId="77777777" w:rsidR="00003C2E" w:rsidRPr="00003C2E" w:rsidRDefault="00003C2E" w:rsidP="00411064">
      <w:pPr>
        <w:spacing w:line="276" w:lineRule="auto"/>
        <w:rPr>
          <w:rFonts w:eastAsia="Times New Roman"/>
          <w:color w:val="000000"/>
          <w:sz w:val="20"/>
          <w:szCs w:val="20"/>
          <w:lang w:eastAsia="sl-SI"/>
        </w:rPr>
      </w:pPr>
      <w:bookmarkStart w:id="25" w:name="_Hlk218666938"/>
      <w:r w:rsidRPr="00003C2E">
        <w:rPr>
          <w:rFonts w:eastAsia="Times New Roman"/>
          <w:color w:val="000000"/>
          <w:sz w:val="20"/>
          <w:szCs w:val="20"/>
          <w:lang w:eastAsia="sl-SI"/>
        </w:rPr>
        <w:t>S sredstvi razvojnega sklada sta Veleposlaništvo RS v</w:t>
      </w:r>
      <w:bookmarkEnd w:id="25"/>
      <w:r w:rsidRPr="00003C2E">
        <w:rPr>
          <w:rFonts w:eastAsia="Times New Roman"/>
          <w:color w:val="000000"/>
          <w:sz w:val="20"/>
          <w:szCs w:val="20"/>
          <w:lang w:eastAsia="sl-SI"/>
        </w:rPr>
        <w:t xml:space="preserve"> Sarajevu in Konzularna pisarna v Banja Luki izvajala dva razvojna projekta, in sicer projekt EmpowerHER: Ekonomska vključenost in razvoj spretnosti za ženske v </w:t>
      </w:r>
      <w:r w:rsidR="00B10C37">
        <w:rPr>
          <w:rFonts w:eastAsia="Times New Roman"/>
          <w:color w:val="000000"/>
          <w:sz w:val="20"/>
          <w:szCs w:val="20"/>
          <w:lang w:eastAsia="sl-SI"/>
        </w:rPr>
        <w:t>BiH</w:t>
      </w:r>
      <w:r w:rsidR="00B10C37" w:rsidRPr="00003C2E">
        <w:rPr>
          <w:rFonts w:eastAsia="Times New Roman"/>
          <w:color w:val="000000"/>
          <w:sz w:val="20"/>
          <w:szCs w:val="20"/>
          <w:lang w:eastAsia="sl-SI"/>
        </w:rPr>
        <w:t xml:space="preserve"> </w:t>
      </w:r>
      <w:r w:rsidRPr="00003C2E">
        <w:rPr>
          <w:rFonts w:eastAsia="Times New Roman"/>
          <w:color w:val="000000"/>
          <w:sz w:val="20"/>
          <w:szCs w:val="20"/>
          <w:lang w:eastAsia="sl-SI"/>
        </w:rPr>
        <w:t xml:space="preserve">(VSA, 100.000 EUR), ki se zavzema za </w:t>
      </w:r>
      <w:r w:rsidRPr="00003C2E">
        <w:rPr>
          <w:rFonts w:eastAsia="Times New Roman"/>
          <w:sz w:val="20"/>
          <w:szCs w:val="20"/>
        </w:rPr>
        <w:t>gospodarsko in poklicno</w:t>
      </w:r>
      <w:r w:rsidR="00A21F8F">
        <w:rPr>
          <w:rFonts w:eastAsia="Times New Roman"/>
          <w:sz w:val="20"/>
          <w:szCs w:val="20"/>
        </w:rPr>
        <w:t xml:space="preserve"> </w:t>
      </w:r>
      <w:proofErr w:type="spellStart"/>
      <w:r w:rsidRPr="00003C2E">
        <w:rPr>
          <w:rFonts w:eastAsia="Times New Roman"/>
          <w:sz w:val="20"/>
          <w:szCs w:val="20"/>
        </w:rPr>
        <w:t>opolnomočenjo</w:t>
      </w:r>
      <w:proofErr w:type="spellEnd"/>
      <w:r w:rsidRPr="00003C2E">
        <w:rPr>
          <w:rFonts w:eastAsia="Times New Roman"/>
          <w:sz w:val="20"/>
          <w:szCs w:val="20"/>
        </w:rPr>
        <w:t xml:space="preserve"> žensk v </w:t>
      </w:r>
      <w:r w:rsidR="00B10C37">
        <w:rPr>
          <w:rFonts w:eastAsia="Times New Roman"/>
          <w:color w:val="000000"/>
          <w:sz w:val="20"/>
          <w:szCs w:val="20"/>
          <w:lang w:eastAsia="sl-SI"/>
        </w:rPr>
        <w:t>BiH</w:t>
      </w:r>
      <w:r w:rsidR="00B10C37" w:rsidRPr="00003C2E">
        <w:rPr>
          <w:rFonts w:eastAsia="Times New Roman"/>
          <w:color w:val="000000"/>
          <w:sz w:val="20"/>
          <w:szCs w:val="20"/>
          <w:lang w:eastAsia="sl-SI"/>
        </w:rPr>
        <w:t xml:space="preserve"> </w:t>
      </w:r>
      <w:r w:rsidRPr="00003C2E">
        <w:rPr>
          <w:rFonts w:eastAsia="Times New Roman"/>
          <w:sz w:val="20"/>
          <w:szCs w:val="20"/>
        </w:rPr>
        <w:t>s posebnim poudarkom na tistih, ki so dolgotrajno brezposelne, invalidne ali prihajajo iz socialno ranljivih okolij</w:t>
      </w:r>
      <w:r w:rsidRPr="00003C2E" w:rsidDel="00376FA4">
        <w:rPr>
          <w:rFonts w:eastAsia="Times New Roman"/>
          <w:color w:val="000000"/>
          <w:sz w:val="20"/>
          <w:szCs w:val="20"/>
          <w:lang w:eastAsia="sl-SI"/>
        </w:rPr>
        <w:t xml:space="preserve"> </w:t>
      </w:r>
      <w:r w:rsidRPr="00003C2E">
        <w:rPr>
          <w:rFonts w:eastAsia="Times New Roman"/>
          <w:color w:val="000000"/>
          <w:sz w:val="20"/>
          <w:szCs w:val="20"/>
          <w:lang w:eastAsia="sl-SI"/>
        </w:rPr>
        <w:t>ter projekt Ekološko trajnostni razvoj in podpora ženskam žrtvam min</w:t>
      </w:r>
      <w:r w:rsidRPr="00003C2E" w:rsidDel="00376FA4">
        <w:rPr>
          <w:rFonts w:eastAsia="Times New Roman"/>
          <w:color w:val="000000"/>
          <w:sz w:val="20"/>
          <w:szCs w:val="20"/>
          <w:lang w:eastAsia="sl-SI"/>
        </w:rPr>
        <w:t xml:space="preserve"> </w:t>
      </w:r>
      <w:r w:rsidRPr="00003C2E">
        <w:rPr>
          <w:rFonts w:eastAsia="Times New Roman"/>
          <w:color w:val="000000"/>
          <w:sz w:val="20"/>
          <w:szCs w:val="20"/>
          <w:lang w:eastAsia="sl-SI"/>
        </w:rPr>
        <w:t>(KBL, 59.300 EUR), ki je namenjen opolnomočenju žensk na področju izdelave medenih proizvodov (z namenom dodatnega dohodka) in na področju energetske učinkovitosti, reciklaže ipd. Oba projekta sta dvoletna in se bosta nadaljevala tudi v letu 2026.</w:t>
      </w:r>
    </w:p>
    <w:p w14:paraId="5D22DD71" w14:textId="77777777" w:rsidR="00003C2E" w:rsidRPr="00003C2E" w:rsidRDefault="00003C2E" w:rsidP="00411064">
      <w:pPr>
        <w:spacing w:line="276" w:lineRule="auto"/>
        <w:rPr>
          <w:rFonts w:eastAsia="Times New Roman"/>
          <w:color w:val="000000"/>
          <w:sz w:val="20"/>
          <w:szCs w:val="20"/>
          <w:lang w:eastAsia="sl-SI"/>
        </w:rPr>
      </w:pPr>
    </w:p>
    <w:p w14:paraId="1D9619AF" w14:textId="77777777" w:rsidR="00003C2E" w:rsidRPr="00003C2E" w:rsidRDefault="00003C2E" w:rsidP="00411064">
      <w:pPr>
        <w:spacing w:line="276" w:lineRule="auto"/>
        <w:rPr>
          <w:rFonts w:eastAsia="Times New Roman"/>
          <w:color w:val="000000"/>
          <w:sz w:val="20"/>
          <w:szCs w:val="20"/>
          <w:lang w:eastAsia="sl-SI"/>
        </w:rPr>
      </w:pPr>
      <w:r w:rsidRPr="00003C2E">
        <w:rPr>
          <w:rFonts w:eastAsia="Times New Roman"/>
          <w:color w:val="000000"/>
          <w:sz w:val="20"/>
          <w:szCs w:val="20"/>
          <w:lang w:eastAsia="sl-SI"/>
        </w:rPr>
        <w:t xml:space="preserve">V 2025 se je nadaljevala bilateralna tehnična pomoč slovenskih strokovnjakov </w:t>
      </w:r>
      <w:r w:rsidR="00B10C37">
        <w:rPr>
          <w:rFonts w:eastAsia="Times New Roman"/>
          <w:color w:val="000000"/>
          <w:sz w:val="20"/>
          <w:szCs w:val="20"/>
          <w:lang w:eastAsia="sl-SI"/>
        </w:rPr>
        <w:t>BiH</w:t>
      </w:r>
      <w:r w:rsidRPr="00003C2E">
        <w:rPr>
          <w:rFonts w:eastAsia="Times New Roman"/>
          <w:color w:val="000000"/>
          <w:sz w:val="20"/>
          <w:szCs w:val="20"/>
          <w:lang w:eastAsia="sl-SI"/>
        </w:rPr>
        <w:t xml:space="preserve">. </w:t>
      </w:r>
      <w:r w:rsidR="00832F51">
        <w:rPr>
          <w:rFonts w:eastAsia="Times New Roman"/>
          <w:color w:val="000000"/>
          <w:sz w:val="20"/>
          <w:szCs w:val="20"/>
          <w:lang w:eastAsia="sl-SI"/>
        </w:rPr>
        <w:t>Ministrstvo za naravne vire in prostor</w:t>
      </w:r>
      <w:r w:rsidR="00F819E7">
        <w:rPr>
          <w:rFonts w:eastAsia="Times New Roman"/>
          <w:color w:val="000000"/>
          <w:sz w:val="20"/>
          <w:szCs w:val="20"/>
          <w:lang w:eastAsia="sl-SI"/>
        </w:rPr>
        <w:t xml:space="preserve"> (MNVP)</w:t>
      </w:r>
      <w:r w:rsidRPr="00003C2E">
        <w:rPr>
          <w:rFonts w:eastAsia="Times New Roman"/>
          <w:color w:val="000000"/>
          <w:sz w:val="20"/>
          <w:szCs w:val="20"/>
          <w:lang w:eastAsia="sl-SI"/>
        </w:rPr>
        <w:t xml:space="preserve"> je izvedl</w:t>
      </w:r>
      <w:r w:rsidR="00832F51">
        <w:rPr>
          <w:rFonts w:eastAsia="Times New Roman"/>
          <w:color w:val="000000"/>
          <w:sz w:val="20"/>
          <w:szCs w:val="20"/>
          <w:lang w:eastAsia="sl-SI"/>
        </w:rPr>
        <w:t>o</w:t>
      </w:r>
      <w:r w:rsidRPr="00003C2E">
        <w:rPr>
          <w:rFonts w:eastAsia="Times New Roman"/>
          <w:color w:val="000000"/>
          <w:sz w:val="20"/>
          <w:szCs w:val="20"/>
          <w:lang w:eastAsia="sl-SI"/>
        </w:rPr>
        <w:t xml:space="preserve"> projekt svetovanja in pomoči pri pripravi vloge za pridobitev sredstev iz Solidarnostnega sklada EU </w:t>
      </w:r>
      <w:r w:rsidR="00945E65">
        <w:rPr>
          <w:rFonts w:eastAsia="Times New Roman"/>
          <w:color w:val="000000"/>
          <w:sz w:val="20"/>
          <w:szCs w:val="20"/>
          <w:lang w:eastAsia="sl-SI"/>
        </w:rPr>
        <w:t>BiH</w:t>
      </w:r>
      <w:r w:rsidRPr="00003C2E">
        <w:rPr>
          <w:rFonts w:eastAsia="Times New Roman"/>
          <w:color w:val="000000"/>
          <w:sz w:val="20"/>
          <w:szCs w:val="20"/>
          <w:lang w:eastAsia="sl-SI"/>
        </w:rPr>
        <w:t xml:space="preserve"> po poplavah, </w:t>
      </w:r>
      <w:r w:rsidR="003F6A6C">
        <w:rPr>
          <w:rFonts w:eastAsia="Times New Roman"/>
          <w:color w:val="000000"/>
          <w:sz w:val="20"/>
          <w:szCs w:val="20"/>
          <w:lang w:eastAsia="sl-SI"/>
        </w:rPr>
        <w:t>Ministrstvo za obrambo (</w:t>
      </w:r>
      <w:r w:rsidRPr="00003C2E">
        <w:rPr>
          <w:rFonts w:eastAsia="Times New Roman"/>
          <w:color w:val="000000"/>
          <w:sz w:val="20"/>
          <w:szCs w:val="20"/>
          <w:lang w:eastAsia="sl-SI"/>
        </w:rPr>
        <w:t>MO</w:t>
      </w:r>
      <w:r w:rsidR="003F6A6C">
        <w:rPr>
          <w:rFonts w:eastAsia="Times New Roman"/>
          <w:color w:val="000000"/>
          <w:sz w:val="20"/>
          <w:szCs w:val="20"/>
          <w:lang w:eastAsia="sl-SI"/>
        </w:rPr>
        <w:t>)</w:t>
      </w:r>
      <w:r w:rsidRPr="00003C2E">
        <w:rPr>
          <w:rFonts w:eastAsia="Times New Roman"/>
          <w:color w:val="000000"/>
          <w:sz w:val="20"/>
          <w:szCs w:val="20"/>
          <w:lang w:eastAsia="sl-SI"/>
        </w:rPr>
        <w:t xml:space="preserve"> pa projekt pomoči vojaške policije RS pri izgradnji Vojaške policije OS </w:t>
      </w:r>
      <w:r w:rsidR="00945E65">
        <w:rPr>
          <w:rFonts w:eastAsia="Times New Roman"/>
          <w:color w:val="000000"/>
          <w:sz w:val="20"/>
          <w:szCs w:val="20"/>
          <w:lang w:eastAsia="sl-SI"/>
        </w:rPr>
        <w:t>BiH</w:t>
      </w:r>
      <w:r w:rsidRPr="00003C2E">
        <w:rPr>
          <w:rFonts w:eastAsia="Times New Roman"/>
          <w:color w:val="000000"/>
          <w:sz w:val="20"/>
          <w:szCs w:val="20"/>
          <w:lang w:eastAsia="sl-SI"/>
        </w:rPr>
        <w:t xml:space="preserve"> in prenos ekspertize pri preiskovanju kaznivih dejanj.</w:t>
      </w:r>
    </w:p>
    <w:p w14:paraId="22641C0D" w14:textId="77777777" w:rsidR="00003C2E" w:rsidRPr="00003C2E" w:rsidRDefault="00003C2E" w:rsidP="00411064">
      <w:pPr>
        <w:spacing w:line="276" w:lineRule="auto"/>
        <w:rPr>
          <w:rFonts w:eastAsia="Times New Roman"/>
          <w:sz w:val="20"/>
          <w:szCs w:val="20"/>
          <w:highlight w:val="yellow"/>
        </w:rPr>
      </w:pPr>
    </w:p>
    <w:p w14:paraId="7594F184" w14:textId="77777777" w:rsidR="00003C2E" w:rsidRPr="00003C2E" w:rsidRDefault="00003C2E" w:rsidP="00411064">
      <w:pPr>
        <w:spacing w:line="276" w:lineRule="auto"/>
        <w:rPr>
          <w:rFonts w:eastAsia="Times New Roman"/>
          <w:b/>
          <w:sz w:val="20"/>
          <w:szCs w:val="20"/>
        </w:rPr>
      </w:pPr>
      <w:r w:rsidRPr="00003C2E">
        <w:rPr>
          <w:rFonts w:eastAsia="Times New Roman"/>
          <w:b/>
          <w:sz w:val="20"/>
          <w:szCs w:val="20"/>
        </w:rPr>
        <w:t>Kosovo</w:t>
      </w:r>
    </w:p>
    <w:p w14:paraId="6E024A23" w14:textId="77777777" w:rsidR="00003C2E" w:rsidRPr="00003C2E" w:rsidRDefault="00003C2E" w:rsidP="00411064">
      <w:pPr>
        <w:spacing w:line="276" w:lineRule="auto"/>
        <w:rPr>
          <w:rFonts w:eastAsia="Times New Roman"/>
          <w:sz w:val="20"/>
          <w:szCs w:val="20"/>
        </w:rPr>
      </w:pPr>
      <w:bookmarkStart w:id="26" w:name="_Hlk219300911"/>
      <w:r w:rsidRPr="00003C2E">
        <w:rPr>
          <w:rFonts w:eastAsia="Times New Roman"/>
          <w:sz w:val="20"/>
          <w:szCs w:val="20"/>
        </w:rPr>
        <w:t>V 2025 se je preko CMSR nadaljevalo izvajanje projekta Vzpostavitev kompostne sheme v občini Kamenica. Gre za triletni projekt v skupni vrednosti 800.410 EUR, višina sofinanciranja RS je 520.514 EUR. Sredstva za projekt so zagotovljena iz Podnebnega sklada MOPE, projekt pa administrira MZEZ.</w:t>
      </w:r>
    </w:p>
    <w:bookmarkEnd w:id="26"/>
    <w:p w14:paraId="68E32436" w14:textId="77777777" w:rsidR="00003C2E" w:rsidRPr="00003C2E" w:rsidRDefault="00003C2E" w:rsidP="00411064">
      <w:pPr>
        <w:spacing w:line="276" w:lineRule="auto"/>
        <w:rPr>
          <w:rFonts w:eastAsia="Times New Roman"/>
          <w:sz w:val="20"/>
          <w:szCs w:val="20"/>
        </w:rPr>
      </w:pPr>
    </w:p>
    <w:p w14:paraId="6CF1236D" w14:textId="77777777" w:rsidR="00003C2E" w:rsidRPr="00003C2E" w:rsidRDefault="00003C2E" w:rsidP="00411064">
      <w:pPr>
        <w:spacing w:line="276" w:lineRule="auto"/>
        <w:rPr>
          <w:rFonts w:eastAsia="Times New Roman"/>
          <w:b/>
          <w:sz w:val="20"/>
          <w:szCs w:val="20"/>
        </w:rPr>
      </w:pPr>
      <w:r w:rsidRPr="00003C2E">
        <w:rPr>
          <w:rFonts w:eastAsia="Times New Roman"/>
          <w:b/>
          <w:sz w:val="20"/>
          <w:szCs w:val="20"/>
        </w:rPr>
        <w:t>Srbija</w:t>
      </w:r>
    </w:p>
    <w:p w14:paraId="79E8F771" w14:textId="77777777" w:rsidR="00003C2E" w:rsidRPr="00003C2E" w:rsidRDefault="00003C2E" w:rsidP="00411064">
      <w:pPr>
        <w:spacing w:line="276" w:lineRule="auto"/>
        <w:rPr>
          <w:rFonts w:eastAsia="Times New Roman"/>
          <w:color w:val="000000"/>
          <w:sz w:val="20"/>
          <w:szCs w:val="20"/>
          <w:lang w:eastAsia="sl-SI"/>
        </w:rPr>
      </w:pPr>
      <w:r w:rsidRPr="00003C2E">
        <w:rPr>
          <w:rFonts w:eastAsia="Times New Roman"/>
          <w:color w:val="000000"/>
          <w:sz w:val="20"/>
          <w:szCs w:val="20"/>
          <w:lang w:eastAsia="sl-SI"/>
        </w:rPr>
        <w:t xml:space="preserve">Na področju krepitve vloge in opolnomočenja žensk se je zaključil triletni projekt krepitve podjetništva in vloge kmečkih žensk v Srbiji, ki ga izvaja slovenska nevladna organizacija Slovenske karitas. Skupna vrednost projekta je bila </w:t>
      </w:r>
      <w:r w:rsidRPr="00003C2E">
        <w:rPr>
          <w:rFonts w:eastAsia="Times New Roman"/>
          <w:color w:val="000000"/>
          <w:sz w:val="20"/>
          <w:szCs w:val="20"/>
        </w:rPr>
        <w:t xml:space="preserve">240.194 EUR, od tega je MZEZ projekt sofinanciral v višini 145.000 EUR. </w:t>
      </w:r>
    </w:p>
    <w:p w14:paraId="7969AB26" w14:textId="77777777" w:rsidR="00003C2E" w:rsidRPr="00003C2E" w:rsidRDefault="00003C2E" w:rsidP="00411064">
      <w:pPr>
        <w:spacing w:line="276" w:lineRule="auto"/>
        <w:rPr>
          <w:rFonts w:eastAsia="Times New Roman"/>
          <w:sz w:val="20"/>
          <w:szCs w:val="20"/>
        </w:rPr>
      </w:pPr>
    </w:p>
    <w:p w14:paraId="65D7CFCE" w14:textId="77777777" w:rsidR="00003C2E" w:rsidRPr="00003C2E" w:rsidRDefault="00003C2E" w:rsidP="00411064">
      <w:pPr>
        <w:spacing w:line="276" w:lineRule="auto"/>
        <w:rPr>
          <w:rFonts w:eastAsia="Times New Roman"/>
          <w:sz w:val="20"/>
          <w:szCs w:val="20"/>
        </w:rPr>
      </w:pPr>
      <w:r w:rsidRPr="00003C2E">
        <w:rPr>
          <w:rFonts w:eastAsia="Times New Roman"/>
          <w:sz w:val="20"/>
          <w:szCs w:val="20"/>
        </w:rPr>
        <w:t>S sredstvi razvojnega sklada je Veleposlaništvo RS v Beogradu izvajalo projekt Povezane, ustvarjalne, trajnostne – Pet občin, ena vizija: razvoj podeželskega podjetništva (30.000 EUR), ki se je osredotočal na ekonomskko opolnomočenje žensk, predvsem na področju trajnostnega turizma, okoljske odgovornosti, pridobitve poslovnih, finančnih, digitalnih in marketinških veščin.</w:t>
      </w:r>
    </w:p>
    <w:p w14:paraId="234C0D8B" w14:textId="77777777" w:rsidR="00003C2E" w:rsidRPr="00003C2E" w:rsidRDefault="00003C2E" w:rsidP="00411064">
      <w:pPr>
        <w:spacing w:line="276" w:lineRule="auto"/>
        <w:rPr>
          <w:rFonts w:eastAsia="Times New Roman"/>
          <w:sz w:val="20"/>
          <w:szCs w:val="20"/>
        </w:rPr>
      </w:pPr>
    </w:p>
    <w:p w14:paraId="37B06311" w14:textId="77777777" w:rsidR="00003C2E" w:rsidRPr="00003C2E" w:rsidRDefault="00003C2E" w:rsidP="00411064">
      <w:pPr>
        <w:spacing w:line="276" w:lineRule="auto"/>
        <w:rPr>
          <w:rFonts w:eastAsia="Times New Roman"/>
          <w:b/>
          <w:sz w:val="20"/>
          <w:szCs w:val="20"/>
        </w:rPr>
      </w:pPr>
      <w:r w:rsidRPr="00003C2E">
        <w:rPr>
          <w:rFonts w:eastAsia="Times New Roman"/>
          <w:b/>
          <w:sz w:val="20"/>
          <w:szCs w:val="20"/>
        </w:rPr>
        <w:t>Regionalno</w:t>
      </w:r>
    </w:p>
    <w:p w14:paraId="04D5474A" w14:textId="77777777" w:rsidR="00003C2E" w:rsidRPr="00003C2E" w:rsidRDefault="00003C2E" w:rsidP="00411064">
      <w:pPr>
        <w:spacing w:line="276" w:lineRule="auto"/>
        <w:rPr>
          <w:rFonts w:eastAsia="Times New Roman"/>
          <w:sz w:val="20"/>
          <w:szCs w:val="20"/>
        </w:rPr>
      </w:pPr>
      <w:r w:rsidRPr="00003C2E">
        <w:rPr>
          <w:rFonts w:eastAsia="Times New Roman"/>
          <w:sz w:val="20"/>
          <w:szCs w:val="20"/>
        </w:rPr>
        <w:t xml:space="preserve">CEP je nadaljeval z izvajanjem dvoletnega regionalnega projekta Evropska izmenjava aktivnosti digitalne diplomacije (EDDE), v katerega so vključeni predstavniki služb za odnose z javnostmi ministrstev za zunanje zadeve in drugih vladnih služb ter drugih ministrstev, pristojnih za komuniciranje zunanjepolitičnih tem Albanije, </w:t>
      </w:r>
      <w:r w:rsidR="00945E65">
        <w:rPr>
          <w:rFonts w:eastAsia="Times New Roman"/>
          <w:sz w:val="20"/>
          <w:szCs w:val="20"/>
        </w:rPr>
        <w:t>BiH</w:t>
      </w:r>
      <w:r w:rsidRPr="00003C2E">
        <w:rPr>
          <w:rFonts w:eastAsia="Times New Roman"/>
          <w:sz w:val="20"/>
          <w:szCs w:val="20"/>
        </w:rPr>
        <w:t>, Črne gore, Kosova, Severne Makedonije in Srbije. Skupna vrednost projekta je 359.361 EUR, od tega MZEZ projekt sofinancira v višini 70.000 EUR.</w:t>
      </w:r>
    </w:p>
    <w:p w14:paraId="051C99A2" w14:textId="77777777" w:rsidR="00003C2E" w:rsidRPr="00003C2E" w:rsidRDefault="00003C2E" w:rsidP="00411064">
      <w:pPr>
        <w:spacing w:line="276" w:lineRule="auto"/>
        <w:rPr>
          <w:rFonts w:eastAsia="Times New Roman"/>
          <w:sz w:val="20"/>
          <w:szCs w:val="20"/>
        </w:rPr>
      </w:pPr>
    </w:p>
    <w:p w14:paraId="353E94B9" w14:textId="77777777" w:rsidR="00003C2E" w:rsidRPr="00003C2E" w:rsidRDefault="00003C2E" w:rsidP="00411064">
      <w:pPr>
        <w:spacing w:line="276" w:lineRule="auto"/>
        <w:rPr>
          <w:rFonts w:eastAsia="Times New Roman"/>
          <w:sz w:val="20"/>
          <w:szCs w:val="20"/>
        </w:rPr>
      </w:pPr>
      <w:r w:rsidRPr="00003C2E">
        <w:rPr>
          <w:rFonts w:eastAsia="Times New Roman"/>
          <w:sz w:val="20"/>
          <w:szCs w:val="20"/>
        </w:rPr>
        <w:t xml:space="preserve">V 2025 je MZEZ podprlo tri triletne projekte, ki se prek CEF izvajajo regionalno na Zahodnem Balkanu. Gre za projekte "Krepitev upravljanja: Boj proti korupciji, institucionalna podpora in strokovni razvoj v računovodstvu in reviziji" (skupna višina sofinanciranja MZEZ: 1.005.000 EUR), projekt "Razvoj učinkovitih in odpornih davčnih inštitucij (TAX)" (skupna višina sofinanciranja MZEZ: 300.000 EUR) in projekt "Upravljanje z javnim premoženjem (PSAM)" (skupna višina sofinanciranja MZEZ: 1.050.000 EUR). </w:t>
      </w:r>
    </w:p>
    <w:p w14:paraId="3CDC51E0" w14:textId="77777777" w:rsidR="00003C2E" w:rsidRPr="00003C2E" w:rsidRDefault="00003C2E" w:rsidP="00411064">
      <w:pPr>
        <w:spacing w:line="276" w:lineRule="auto"/>
        <w:rPr>
          <w:rFonts w:eastAsia="Times New Roman"/>
          <w:sz w:val="20"/>
          <w:szCs w:val="20"/>
        </w:rPr>
      </w:pPr>
    </w:p>
    <w:p w14:paraId="6B3DE1F4" w14:textId="77777777" w:rsidR="00003C2E" w:rsidRPr="00003C2E" w:rsidRDefault="00003C2E" w:rsidP="00411064">
      <w:pPr>
        <w:spacing w:line="276" w:lineRule="auto"/>
        <w:rPr>
          <w:rFonts w:eastAsia="Times New Roman"/>
          <w:sz w:val="20"/>
          <w:szCs w:val="20"/>
        </w:rPr>
      </w:pPr>
      <w:r w:rsidRPr="00003C2E">
        <w:rPr>
          <w:rFonts w:eastAsia="Times New Roman"/>
          <w:sz w:val="20"/>
          <w:szCs w:val="20"/>
        </w:rPr>
        <w:t>Poleg tega je MZEZ v letu 2025 nakazalo 30.000 EUR Ministrstvu za</w:t>
      </w:r>
      <w:r w:rsidRPr="00C23AB5">
        <w:rPr>
          <w:rFonts w:eastAsia="Times New Roman"/>
          <w:sz w:val="20"/>
          <w:szCs w:val="20"/>
        </w:rPr>
        <w:t xml:space="preserve"> </w:t>
      </w:r>
      <w:r w:rsidRPr="00003C2E">
        <w:rPr>
          <w:rFonts w:eastAsia="Times New Roman"/>
          <w:sz w:val="20"/>
          <w:szCs w:val="20"/>
        </w:rPr>
        <w:t>visoko šolstvo, znanost in inovacije za aktivnosti COBISS.net na področju Zahodnega Balkana.</w:t>
      </w:r>
    </w:p>
    <w:p w14:paraId="401236D7" w14:textId="77777777" w:rsidR="00003C2E" w:rsidRPr="00003C2E" w:rsidRDefault="00003C2E" w:rsidP="00411064">
      <w:pPr>
        <w:rPr>
          <w:rFonts w:eastAsia="Times New Roman"/>
          <w:b/>
          <w:bCs/>
          <w:sz w:val="20"/>
          <w:szCs w:val="20"/>
        </w:rPr>
      </w:pPr>
    </w:p>
    <w:p w14:paraId="15CEB0D9" w14:textId="77777777" w:rsidR="00003C2E" w:rsidRPr="00003C2E" w:rsidRDefault="00003C2E" w:rsidP="00411064">
      <w:pPr>
        <w:rPr>
          <w:rFonts w:eastAsia="Times New Roman"/>
          <w:b/>
          <w:bCs/>
          <w:sz w:val="20"/>
          <w:szCs w:val="20"/>
        </w:rPr>
      </w:pPr>
      <w:r w:rsidRPr="00003C2E">
        <w:rPr>
          <w:rFonts w:eastAsia="Times New Roman"/>
          <w:b/>
          <w:bCs/>
          <w:sz w:val="20"/>
          <w:szCs w:val="20"/>
        </w:rPr>
        <w:t>Oprostitev šolnin</w:t>
      </w:r>
    </w:p>
    <w:tbl>
      <w:tblPr>
        <w:tblW w:w="8553" w:type="dxa"/>
        <w:tblCellMar>
          <w:left w:w="70" w:type="dxa"/>
          <w:right w:w="70" w:type="dxa"/>
        </w:tblCellMar>
        <w:tblLook w:val="04A0" w:firstRow="1" w:lastRow="0" w:firstColumn="1" w:lastColumn="0" w:noHBand="0" w:noVBand="1"/>
      </w:tblPr>
      <w:tblGrid>
        <w:gridCol w:w="2400"/>
        <w:gridCol w:w="3969"/>
        <w:gridCol w:w="1150"/>
        <w:gridCol w:w="1034"/>
      </w:tblGrid>
      <w:tr w:rsidR="00003C2E" w:rsidRPr="00003C2E" w14:paraId="4431B2EC" w14:textId="77777777" w:rsidTr="00F8364C">
        <w:trPr>
          <w:trHeight w:val="300"/>
        </w:trPr>
        <w:tc>
          <w:tcPr>
            <w:tcW w:w="2400" w:type="dxa"/>
            <w:tcBorders>
              <w:top w:val="single" w:sz="8" w:space="0" w:color="auto"/>
              <w:left w:val="single" w:sz="8" w:space="0" w:color="auto"/>
              <w:bottom w:val="single" w:sz="4" w:space="0" w:color="auto"/>
              <w:right w:val="single" w:sz="4" w:space="0" w:color="auto"/>
            </w:tcBorders>
            <w:shd w:val="clear" w:color="000000" w:fill="F4B084"/>
            <w:noWrap/>
            <w:vAlign w:val="bottom"/>
            <w:hideMark/>
          </w:tcPr>
          <w:p w14:paraId="35632709" w14:textId="77777777" w:rsidR="00003C2E" w:rsidRPr="00003C2E" w:rsidRDefault="00003C2E" w:rsidP="00411064">
            <w:pPr>
              <w:jc w:val="left"/>
              <w:rPr>
                <w:rFonts w:eastAsia="Times New Roman"/>
                <w:b/>
                <w:bCs/>
                <w:color w:val="000000"/>
                <w:sz w:val="20"/>
                <w:szCs w:val="20"/>
                <w:lang w:eastAsia="sl-SI"/>
              </w:rPr>
            </w:pPr>
            <w:r w:rsidRPr="00003C2E">
              <w:rPr>
                <w:rFonts w:eastAsia="Times New Roman"/>
                <w:b/>
                <w:bCs/>
                <w:color w:val="000000"/>
                <w:sz w:val="20"/>
                <w:szCs w:val="20"/>
                <w:lang w:eastAsia="sl-SI"/>
              </w:rPr>
              <w:t>Država</w:t>
            </w:r>
          </w:p>
        </w:tc>
        <w:tc>
          <w:tcPr>
            <w:tcW w:w="3969" w:type="dxa"/>
            <w:tcBorders>
              <w:top w:val="single" w:sz="8" w:space="0" w:color="auto"/>
              <w:left w:val="nil"/>
              <w:bottom w:val="single" w:sz="4" w:space="0" w:color="auto"/>
              <w:right w:val="single" w:sz="4" w:space="0" w:color="auto"/>
            </w:tcBorders>
            <w:shd w:val="clear" w:color="000000" w:fill="F4B084"/>
            <w:noWrap/>
            <w:vAlign w:val="bottom"/>
            <w:hideMark/>
          </w:tcPr>
          <w:p w14:paraId="37DD5292" w14:textId="77777777" w:rsidR="00003C2E" w:rsidRPr="00003C2E" w:rsidRDefault="00003C2E" w:rsidP="00411064">
            <w:pPr>
              <w:jc w:val="left"/>
              <w:rPr>
                <w:rFonts w:eastAsia="Times New Roman"/>
                <w:b/>
                <w:bCs/>
                <w:color w:val="000000"/>
                <w:sz w:val="20"/>
                <w:szCs w:val="20"/>
                <w:lang w:eastAsia="sl-SI"/>
              </w:rPr>
            </w:pPr>
            <w:r w:rsidRPr="00003C2E">
              <w:rPr>
                <w:rFonts w:eastAsia="Times New Roman"/>
                <w:b/>
                <w:bCs/>
                <w:color w:val="000000"/>
                <w:sz w:val="20"/>
                <w:szCs w:val="20"/>
                <w:lang w:eastAsia="sl-SI"/>
              </w:rPr>
              <w:t>Pot dodeljevanja</w:t>
            </w:r>
          </w:p>
        </w:tc>
        <w:tc>
          <w:tcPr>
            <w:tcW w:w="1150" w:type="dxa"/>
            <w:tcBorders>
              <w:top w:val="single" w:sz="8" w:space="0" w:color="auto"/>
              <w:left w:val="nil"/>
              <w:bottom w:val="single" w:sz="4" w:space="0" w:color="auto"/>
              <w:right w:val="single" w:sz="4" w:space="0" w:color="auto"/>
            </w:tcBorders>
            <w:shd w:val="clear" w:color="000000" w:fill="F4B084"/>
            <w:noWrap/>
            <w:vAlign w:val="bottom"/>
            <w:hideMark/>
          </w:tcPr>
          <w:p w14:paraId="40B57DC3" w14:textId="77777777" w:rsidR="00003C2E" w:rsidRPr="00003C2E" w:rsidRDefault="00003C2E" w:rsidP="00411064">
            <w:pPr>
              <w:jc w:val="right"/>
              <w:rPr>
                <w:rFonts w:eastAsia="Times New Roman"/>
                <w:b/>
                <w:bCs/>
                <w:color w:val="000000"/>
                <w:sz w:val="20"/>
                <w:szCs w:val="20"/>
                <w:lang w:eastAsia="sl-SI"/>
              </w:rPr>
            </w:pPr>
            <w:r w:rsidRPr="00003C2E">
              <w:rPr>
                <w:rFonts w:eastAsia="Times New Roman"/>
                <w:b/>
                <w:bCs/>
                <w:color w:val="000000"/>
                <w:sz w:val="20"/>
                <w:szCs w:val="20"/>
                <w:lang w:eastAsia="sl-SI"/>
              </w:rPr>
              <w:t>Znesek</w:t>
            </w:r>
          </w:p>
        </w:tc>
        <w:tc>
          <w:tcPr>
            <w:tcW w:w="1034" w:type="dxa"/>
            <w:tcBorders>
              <w:top w:val="single" w:sz="8" w:space="0" w:color="auto"/>
              <w:left w:val="nil"/>
              <w:bottom w:val="single" w:sz="4" w:space="0" w:color="auto"/>
              <w:right w:val="single" w:sz="8" w:space="0" w:color="auto"/>
            </w:tcBorders>
            <w:shd w:val="clear" w:color="000000" w:fill="F4B084"/>
            <w:noWrap/>
            <w:vAlign w:val="bottom"/>
            <w:hideMark/>
          </w:tcPr>
          <w:p w14:paraId="0DA669B3" w14:textId="77777777" w:rsidR="00003C2E" w:rsidRPr="00003C2E" w:rsidRDefault="00003C2E" w:rsidP="00411064">
            <w:pPr>
              <w:jc w:val="center"/>
              <w:rPr>
                <w:rFonts w:eastAsia="Times New Roman"/>
                <w:b/>
                <w:bCs/>
                <w:color w:val="000000"/>
                <w:sz w:val="20"/>
                <w:szCs w:val="20"/>
                <w:lang w:eastAsia="sl-SI"/>
              </w:rPr>
            </w:pPr>
            <w:r w:rsidRPr="00003C2E">
              <w:rPr>
                <w:rFonts w:eastAsia="Times New Roman"/>
                <w:b/>
                <w:bCs/>
                <w:color w:val="000000"/>
                <w:sz w:val="20"/>
                <w:szCs w:val="20"/>
                <w:lang w:eastAsia="sl-SI"/>
              </w:rPr>
              <w:t>Delež</w:t>
            </w:r>
          </w:p>
        </w:tc>
      </w:tr>
      <w:tr w:rsidR="00003C2E" w:rsidRPr="00003C2E" w14:paraId="4B84572B" w14:textId="77777777" w:rsidTr="00F8364C">
        <w:trPr>
          <w:trHeight w:val="300"/>
        </w:trPr>
        <w:tc>
          <w:tcPr>
            <w:tcW w:w="2400" w:type="dxa"/>
            <w:tcBorders>
              <w:top w:val="nil"/>
              <w:left w:val="single" w:sz="8" w:space="0" w:color="auto"/>
              <w:bottom w:val="single" w:sz="4" w:space="0" w:color="auto"/>
              <w:right w:val="single" w:sz="4" w:space="0" w:color="auto"/>
            </w:tcBorders>
            <w:shd w:val="clear" w:color="000000" w:fill="FCE4D6"/>
            <w:vAlign w:val="center"/>
            <w:hideMark/>
          </w:tcPr>
          <w:p w14:paraId="41A9D8BB" w14:textId="77777777" w:rsidR="00003C2E" w:rsidRPr="00003C2E" w:rsidRDefault="00D2033B" w:rsidP="00411064">
            <w:pPr>
              <w:jc w:val="left"/>
              <w:rPr>
                <w:rFonts w:eastAsia="Times New Roman"/>
                <w:b/>
                <w:bCs/>
                <w:color w:val="000000"/>
                <w:sz w:val="20"/>
                <w:szCs w:val="20"/>
                <w:lang w:eastAsia="sl-SI"/>
              </w:rPr>
            </w:pPr>
            <w:r>
              <w:rPr>
                <w:b/>
                <w:sz w:val="20"/>
                <w:szCs w:val="20"/>
              </w:rPr>
              <w:t>BiH</w:t>
            </w:r>
          </w:p>
        </w:tc>
        <w:tc>
          <w:tcPr>
            <w:tcW w:w="3969" w:type="dxa"/>
            <w:tcBorders>
              <w:top w:val="nil"/>
              <w:left w:val="nil"/>
              <w:bottom w:val="single" w:sz="4" w:space="0" w:color="auto"/>
              <w:right w:val="single" w:sz="4" w:space="0" w:color="auto"/>
            </w:tcBorders>
            <w:shd w:val="clear" w:color="000000" w:fill="FCE4D6"/>
            <w:vAlign w:val="center"/>
            <w:hideMark/>
          </w:tcPr>
          <w:p w14:paraId="2BEC6556" w14:textId="77777777" w:rsidR="00003C2E" w:rsidRPr="00003C2E" w:rsidRDefault="00003C2E" w:rsidP="00411064">
            <w:pPr>
              <w:jc w:val="left"/>
              <w:rPr>
                <w:rFonts w:eastAsia="Times New Roman"/>
                <w:color w:val="000000"/>
                <w:sz w:val="20"/>
                <w:szCs w:val="20"/>
                <w:lang w:eastAsia="sl-SI"/>
              </w:rPr>
            </w:pPr>
            <w:r w:rsidRPr="00003C2E">
              <w:rPr>
                <w:rFonts w:eastAsia="Times New Roman"/>
                <w:color w:val="000000"/>
                <w:sz w:val="20"/>
                <w:szCs w:val="20"/>
                <w:lang w:val="en-US" w:eastAsia="sl-SI"/>
              </w:rPr>
              <w:t> </w:t>
            </w:r>
          </w:p>
        </w:tc>
        <w:tc>
          <w:tcPr>
            <w:tcW w:w="1150" w:type="dxa"/>
            <w:tcBorders>
              <w:top w:val="nil"/>
              <w:left w:val="nil"/>
              <w:bottom w:val="single" w:sz="4" w:space="0" w:color="auto"/>
              <w:right w:val="single" w:sz="4" w:space="0" w:color="auto"/>
            </w:tcBorders>
            <w:shd w:val="clear" w:color="000000" w:fill="FCE4D6"/>
            <w:vAlign w:val="center"/>
            <w:hideMark/>
          </w:tcPr>
          <w:p w14:paraId="26F86132" w14:textId="77777777" w:rsidR="00003C2E" w:rsidRPr="00003C2E" w:rsidRDefault="00003C2E" w:rsidP="00411064">
            <w:pPr>
              <w:jc w:val="right"/>
              <w:rPr>
                <w:rFonts w:eastAsia="Times New Roman"/>
                <w:color w:val="000000"/>
                <w:sz w:val="20"/>
                <w:szCs w:val="20"/>
                <w:lang w:eastAsia="sl-SI"/>
              </w:rPr>
            </w:pPr>
            <w:r w:rsidRPr="00003C2E">
              <w:rPr>
                <w:rFonts w:eastAsia="Times New Roman"/>
                <w:color w:val="000000"/>
                <w:sz w:val="20"/>
                <w:szCs w:val="20"/>
                <w:lang w:eastAsia="sl-SI"/>
              </w:rPr>
              <w:t> </w:t>
            </w:r>
          </w:p>
        </w:tc>
        <w:tc>
          <w:tcPr>
            <w:tcW w:w="1034" w:type="dxa"/>
            <w:tcBorders>
              <w:top w:val="nil"/>
              <w:left w:val="nil"/>
              <w:bottom w:val="single" w:sz="4" w:space="0" w:color="auto"/>
              <w:right w:val="single" w:sz="8" w:space="0" w:color="auto"/>
            </w:tcBorders>
            <w:shd w:val="clear" w:color="000000" w:fill="FCE4D6"/>
            <w:noWrap/>
            <w:vAlign w:val="bottom"/>
            <w:hideMark/>
          </w:tcPr>
          <w:p w14:paraId="21B5838C" w14:textId="77777777" w:rsidR="00003C2E" w:rsidRPr="00003C2E" w:rsidRDefault="00003C2E" w:rsidP="00411064">
            <w:pPr>
              <w:jc w:val="left"/>
              <w:rPr>
                <w:rFonts w:eastAsia="Times New Roman"/>
                <w:color w:val="000000"/>
                <w:sz w:val="20"/>
                <w:szCs w:val="20"/>
                <w:lang w:eastAsia="sl-SI"/>
              </w:rPr>
            </w:pPr>
            <w:r w:rsidRPr="00003C2E">
              <w:rPr>
                <w:rFonts w:eastAsia="Times New Roman"/>
                <w:color w:val="000000"/>
                <w:sz w:val="20"/>
                <w:szCs w:val="20"/>
                <w:lang w:eastAsia="sl-SI"/>
              </w:rPr>
              <w:t> </w:t>
            </w:r>
          </w:p>
        </w:tc>
      </w:tr>
      <w:tr w:rsidR="00003C2E" w:rsidRPr="00003C2E" w14:paraId="2F41815B" w14:textId="77777777" w:rsidTr="00F8364C">
        <w:trPr>
          <w:trHeight w:val="510"/>
        </w:trPr>
        <w:tc>
          <w:tcPr>
            <w:tcW w:w="2400" w:type="dxa"/>
            <w:tcBorders>
              <w:top w:val="nil"/>
              <w:left w:val="single" w:sz="8" w:space="0" w:color="auto"/>
              <w:bottom w:val="single" w:sz="4" w:space="0" w:color="auto"/>
              <w:right w:val="single" w:sz="4" w:space="0" w:color="auto"/>
            </w:tcBorders>
            <w:vAlign w:val="center"/>
            <w:hideMark/>
          </w:tcPr>
          <w:p w14:paraId="2F10E723" w14:textId="77777777" w:rsidR="00003C2E" w:rsidRPr="00003C2E" w:rsidRDefault="00003C2E" w:rsidP="00411064">
            <w:pPr>
              <w:jc w:val="left"/>
              <w:rPr>
                <w:rFonts w:eastAsia="Times New Roman"/>
                <w:color w:val="000000"/>
                <w:sz w:val="20"/>
                <w:szCs w:val="20"/>
                <w:lang w:eastAsia="sl-SI"/>
              </w:rPr>
            </w:pPr>
            <w:proofErr w:type="spellStart"/>
            <w:r w:rsidRPr="00003C2E">
              <w:rPr>
                <w:rFonts w:eastAsia="Times New Roman"/>
                <w:color w:val="000000"/>
                <w:sz w:val="20"/>
                <w:szCs w:val="20"/>
                <w:lang w:val="en-US" w:eastAsia="sl-SI"/>
              </w:rPr>
              <w:t>Štipendije</w:t>
            </w:r>
            <w:proofErr w:type="spellEnd"/>
          </w:p>
        </w:tc>
        <w:tc>
          <w:tcPr>
            <w:tcW w:w="3969" w:type="dxa"/>
            <w:tcBorders>
              <w:top w:val="nil"/>
              <w:left w:val="nil"/>
              <w:bottom w:val="single" w:sz="4" w:space="0" w:color="auto"/>
              <w:right w:val="single" w:sz="4" w:space="0" w:color="auto"/>
            </w:tcBorders>
            <w:vAlign w:val="center"/>
            <w:hideMark/>
          </w:tcPr>
          <w:p w14:paraId="367FED60" w14:textId="77777777" w:rsidR="00003C2E" w:rsidRPr="00003C2E" w:rsidRDefault="00003C2E" w:rsidP="00411064">
            <w:pPr>
              <w:jc w:val="left"/>
              <w:rPr>
                <w:rFonts w:eastAsia="Times New Roman"/>
                <w:color w:val="000000"/>
                <w:sz w:val="20"/>
                <w:szCs w:val="20"/>
                <w:lang w:eastAsia="sl-SI"/>
              </w:rPr>
            </w:pPr>
            <w:r w:rsidRPr="00C23AB5">
              <w:rPr>
                <w:rFonts w:eastAsia="Times New Roman"/>
                <w:color w:val="000000"/>
                <w:sz w:val="20"/>
                <w:szCs w:val="20"/>
                <w:lang w:eastAsia="sl-SI"/>
              </w:rPr>
              <w:t>Center RS za mobilnost in evropske programe izobraževanja in usposabljanja (CMEPIUS)</w:t>
            </w:r>
          </w:p>
        </w:tc>
        <w:tc>
          <w:tcPr>
            <w:tcW w:w="1150" w:type="dxa"/>
            <w:tcBorders>
              <w:top w:val="nil"/>
              <w:left w:val="nil"/>
              <w:bottom w:val="single" w:sz="4" w:space="0" w:color="auto"/>
              <w:right w:val="single" w:sz="4" w:space="0" w:color="auto"/>
            </w:tcBorders>
            <w:vAlign w:val="center"/>
            <w:hideMark/>
          </w:tcPr>
          <w:p w14:paraId="64C25689" w14:textId="77777777" w:rsidR="00003C2E" w:rsidRPr="00003C2E" w:rsidRDefault="00003C2E" w:rsidP="00411064">
            <w:pPr>
              <w:jc w:val="right"/>
              <w:rPr>
                <w:rFonts w:eastAsia="Times New Roman"/>
                <w:color w:val="000000"/>
                <w:sz w:val="20"/>
                <w:szCs w:val="20"/>
                <w:lang w:eastAsia="sl-SI"/>
              </w:rPr>
            </w:pPr>
            <w:r w:rsidRPr="00003C2E">
              <w:rPr>
                <w:rFonts w:eastAsia="Times New Roman"/>
                <w:color w:val="000000"/>
                <w:sz w:val="20"/>
                <w:szCs w:val="20"/>
                <w:lang w:val="en-US" w:eastAsia="sl-SI"/>
              </w:rPr>
              <w:t>71.968</w:t>
            </w:r>
          </w:p>
        </w:tc>
        <w:tc>
          <w:tcPr>
            <w:tcW w:w="1034" w:type="dxa"/>
            <w:tcBorders>
              <w:top w:val="nil"/>
              <w:left w:val="nil"/>
              <w:bottom w:val="single" w:sz="4" w:space="0" w:color="auto"/>
              <w:right w:val="single" w:sz="8" w:space="0" w:color="auto"/>
            </w:tcBorders>
            <w:noWrap/>
            <w:vAlign w:val="center"/>
            <w:hideMark/>
          </w:tcPr>
          <w:p w14:paraId="0E7EBDBC" w14:textId="77777777" w:rsidR="00003C2E" w:rsidRPr="00003C2E" w:rsidRDefault="00003C2E" w:rsidP="00411064">
            <w:pPr>
              <w:jc w:val="center"/>
              <w:rPr>
                <w:rFonts w:eastAsia="Times New Roman"/>
                <w:color w:val="000000"/>
                <w:sz w:val="20"/>
                <w:szCs w:val="20"/>
                <w:lang w:eastAsia="sl-SI"/>
              </w:rPr>
            </w:pPr>
            <w:r w:rsidRPr="00003C2E">
              <w:rPr>
                <w:rFonts w:eastAsia="Times New Roman"/>
                <w:sz w:val="20"/>
                <w:szCs w:val="20"/>
                <w:lang w:val="en-US"/>
              </w:rPr>
              <w:t>0,5%</w:t>
            </w:r>
          </w:p>
        </w:tc>
      </w:tr>
      <w:tr w:rsidR="00003C2E" w:rsidRPr="00003C2E" w14:paraId="570DF05A" w14:textId="77777777" w:rsidTr="00F8364C">
        <w:trPr>
          <w:trHeight w:val="300"/>
        </w:trPr>
        <w:tc>
          <w:tcPr>
            <w:tcW w:w="2400" w:type="dxa"/>
            <w:tcBorders>
              <w:top w:val="nil"/>
              <w:left w:val="single" w:sz="8" w:space="0" w:color="auto"/>
              <w:bottom w:val="single" w:sz="4" w:space="0" w:color="auto"/>
              <w:right w:val="single" w:sz="4" w:space="0" w:color="auto"/>
            </w:tcBorders>
            <w:vAlign w:val="center"/>
            <w:hideMark/>
          </w:tcPr>
          <w:p w14:paraId="7F0C5267" w14:textId="77777777" w:rsidR="00003C2E" w:rsidRPr="00003C2E" w:rsidRDefault="00003C2E" w:rsidP="00411064">
            <w:pPr>
              <w:jc w:val="left"/>
              <w:rPr>
                <w:rFonts w:eastAsia="Times New Roman"/>
                <w:color w:val="000000"/>
                <w:sz w:val="20"/>
                <w:szCs w:val="20"/>
                <w:lang w:eastAsia="sl-SI"/>
              </w:rPr>
            </w:pPr>
            <w:proofErr w:type="spellStart"/>
            <w:r w:rsidRPr="00003C2E">
              <w:rPr>
                <w:rFonts w:eastAsia="Times New Roman"/>
                <w:color w:val="000000"/>
                <w:sz w:val="20"/>
                <w:szCs w:val="20"/>
                <w:lang w:val="en-US" w:eastAsia="sl-SI"/>
              </w:rPr>
              <w:t>Oprostitve</w:t>
            </w:r>
            <w:proofErr w:type="spellEnd"/>
            <w:r w:rsidRPr="00003C2E">
              <w:rPr>
                <w:rFonts w:eastAsia="Times New Roman"/>
                <w:color w:val="000000"/>
                <w:sz w:val="20"/>
                <w:szCs w:val="20"/>
                <w:lang w:val="en-US" w:eastAsia="sl-SI"/>
              </w:rPr>
              <w:t xml:space="preserve"> </w:t>
            </w:r>
            <w:proofErr w:type="spellStart"/>
            <w:r w:rsidRPr="00003C2E">
              <w:rPr>
                <w:rFonts w:eastAsia="Times New Roman"/>
                <w:color w:val="000000"/>
                <w:sz w:val="20"/>
                <w:szCs w:val="20"/>
                <w:lang w:val="en-US" w:eastAsia="sl-SI"/>
              </w:rPr>
              <w:t>šolnin</w:t>
            </w:r>
            <w:proofErr w:type="spellEnd"/>
          </w:p>
        </w:tc>
        <w:tc>
          <w:tcPr>
            <w:tcW w:w="3969" w:type="dxa"/>
            <w:tcBorders>
              <w:top w:val="nil"/>
              <w:left w:val="nil"/>
              <w:bottom w:val="single" w:sz="4" w:space="0" w:color="auto"/>
              <w:right w:val="single" w:sz="4" w:space="0" w:color="auto"/>
            </w:tcBorders>
            <w:vAlign w:val="center"/>
            <w:hideMark/>
          </w:tcPr>
          <w:p w14:paraId="16C22B29" w14:textId="77777777" w:rsidR="00003C2E" w:rsidRPr="00003C2E" w:rsidRDefault="00003C2E" w:rsidP="00411064">
            <w:pPr>
              <w:jc w:val="left"/>
              <w:rPr>
                <w:rFonts w:eastAsia="Times New Roman"/>
                <w:color w:val="000000"/>
                <w:sz w:val="20"/>
                <w:szCs w:val="20"/>
                <w:lang w:eastAsia="sl-SI"/>
              </w:rPr>
            </w:pPr>
            <w:proofErr w:type="spellStart"/>
            <w:r w:rsidRPr="00003C2E">
              <w:rPr>
                <w:rFonts w:eastAsia="Times New Roman"/>
                <w:color w:val="000000"/>
                <w:sz w:val="20"/>
                <w:szCs w:val="20"/>
                <w:lang w:val="en-US" w:eastAsia="sl-SI"/>
              </w:rPr>
              <w:t>Univerze</w:t>
            </w:r>
            <w:proofErr w:type="spellEnd"/>
            <w:r w:rsidRPr="00003C2E">
              <w:rPr>
                <w:rFonts w:eastAsia="Times New Roman"/>
                <w:color w:val="000000"/>
                <w:sz w:val="20"/>
                <w:szCs w:val="20"/>
                <w:lang w:val="en-US" w:eastAsia="sl-SI"/>
              </w:rPr>
              <w:t xml:space="preserve"> in VŠZ (SI)</w:t>
            </w:r>
          </w:p>
        </w:tc>
        <w:tc>
          <w:tcPr>
            <w:tcW w:w="1150" w:type="dxa"/>
            <w:tcBorders>
              <w:top w:val="nil"/>
              <w:left w:val="nil"/>
              <w:bottom w:val="single" w:sz="4" w:space="0" w:color="auto"/>
              <w:right w:val="single" w:sz="4" w:space="0" w:color="auto"/>
            </w:tcBorders>
            <w:vAlign w:val="center"/>
            <w:hideMark/>
          </w:tcPr>
          <w:p w14:paraId="31FE938B" w14:textId="77777777" w:rsidR="00003C2E" w:rsidRPr="00003C2E" w:rsidRDefault="00003C2E" w:rsidP="00411064">
            <w:pPr>
              <w:jc w:val="right"/>
              <w:rPr>
                <w:rFonts w:eastAsia="Times New Roman"/>
                <w:color w:val="000000"/>
                <w:sz w:val="20"/>
                <w:szCs w:val="20"/>
                <w:lang w:eastAsia="sl-SI"/>
              </w:rPr>
            </w:pPr>
            <w:r w:rsidRPr="00003C2E">
              <w:rPr>
                <w:rFonts w:eastAsia="Times New Roman"/>
                <w:color w:val="000000"/>
                <w:sz w:val="20"/>
                <w:szCs w:val="20"/>
                <w:lang w:val="en-US" w:eastAsia="sl-SI"/>
              </w:rPr>
              <w:t>4.137.000</w:t>
            </w:r>
          </w:p>
        </w:tc>
        <w:tc>
          <w:tcPr>
            <w:tcW w:w="1034" w:type="dxa"/>
            <w:tcBorders>
              <w:top w:val="nil"/>
              <w:left w:val="nil"/>
              <w:bottom w:val="single" w:sz="4" w:space="0" w:color="auto"/>
              <w:right w:val="single" w:sz="8" w:space="0" w:color="auto"/>
            </w:tcBorders>
            <w:noWrap/>
            <w:vAlign w:val="center"/>
            <w:hideMark/>
          </w:tcPr>
          <w:p w14:paraId="0E6F188F" w14:textId="77777777" w:rsidR="00003C2E" w:rsidRPr="00003C2E" w:rsidRDefault="00003C2E" w:rsidP="00411064">
            <w:pPr>
              <w:jc w:val="center"/>
              <w:rPr>
                <w:rFonts w:eastAsia="Times New Roman"/>
                <w:color w:val="000000"/>
                <w:sz w:val="20"/>
                <w:szCs w:val="20"/>
                <w:lang w:eastAsia="sl-SI"/>
              </w:rPr>
            </w:pPr>
            <w:r w:rsidRPr="00003C2E">
              <w:rPr>
                <w:rFonts w:eastAsia="Times New Roman"/>
                <w:sz w:val="20"/>
                <w:szCs w:val="20"/>
                <w:lang w:val="en-US"/>
              </w:rPr>
              <w:t>27,6%</w:t>
            </w:r>
          </w:p>
        </w:tc>
      </w:tr>
      <w:tr w:rsidR="00003C2E" w:rsidRPr="00003C2E" w14:paraId="202C444A" w14:textId="77777777" w:rsidTr="00F8364C">
        <w:trPr>
          <w:trHeight w:val="300"/>
        </w:trPr>
        <w:tc>
          <w:tcPr>
            <w:tcW w:w="2400" w:type="dxa"/>
            <w:tcBorders>
              <w:top w:val="nil"/>
              <w:left w:val="single" w:sz="8" w:space="0" w:color="auto"/>
              <w:bottom w:val="single" w:sz="4" w:space="0" w:color="auto"/>
              <w:right w:val="single" w:sz="4" w:space="0" w:color="auto"/>
            </w:tcBorders>
            <w:shd w:val="clear" w:color="000000" w:fill="FCE4D6"/>
            <w:vAlign w:val="center"/>
            <w:hideMark/>
          </w:tcPr>
          <w:p w14:paraId="4CCA94B2" w14:textId="77777777" w:rsidR="00003C2E" w:rsidRPr="00003C2E" w:rsidRDefault="00003C2E" w:rsidP="00411064">
            <w:pPr>
              <w:jc w:val="left"/>
              <w:rPr>
                <w:rFonts w:eastAsia="Times New Roman"/>
                <w:b/>
                <w:bCs/>
                <w:color w:val="000000"/>
                <w:sz w:val="20"/>
                <w:szCs w:val="20"/>
                <w:lang w:eastAsia="sl-SI"/>
              </w:rPr>
            </w:pPr>
            <w:proofErr w:type="spellStart"/>
            <w:r w:rsidRPr="00003C2E">
              <w:rPr>
                <w:rFonts w:eastAsia="Times New Roman"/>
                <w:b/>
                <w:bCs/>
                <w:color w:val="000000"/>
                <w:sz w:val="20"/>
                <w:szCs w:val="20"/>
                <w:lang w:val="en-US" w:eastAsia="sl-SI"/>
              </w:rPr>
              <w:t>Črna</w:t>
            </w:r>
            <w:proofErr w:type="spellEnd"/>
            <w:r w:rsidRPr="00003C2E">
              <w:rPr>
                <w:rFonts w:eastAsia="Times New Roman"/>
                <w:b/>
                <w:bCs/>
                <w:color w:val="000000"/>
                <w:sz w:val="20"/>
                <w:szCs w:val="20"/>
                <w:lang w:val="en-US" w:eastAsia="sl-SI"/>
              </w:rPr>
              <w:t xml:space="preserve"> gora</w:t>
            </w:r>
          </w:p>
        </w:tc>
        <w:tc>
          <w:tcPr>
            <w:tcW w:w="3969" w:type="dxa"/>
            <w:tcBorders>
              <w:top w:val="nil"/>
              <w:left w:val="nil"/>
              <w:bottom w:val="single" w:sz="4" w:space="0" w:color="auto"/>
              <w:right w:val="single" w:sz="4" w:space="0" w:color="auto"/>
            </w:tcBorders>
            <w:shd w:val="clear" w:color="000000" w:fill="FCE4D6"/>
            <w:vAlign w:val="center"/>
            <w:hideMark/>
          </w:tcPr>
          <w:p w14:paraId="12B74F00" w14:textId="77777777" w:rsidR="00003C2E" w:rsidRPr="00003C2E" w:rsidRDefault="00003C2E" w:rsidP="00411064">
            <w:pPr>
              <w:jc w:val="left"/>
              <w:rPr>
                <w:rFonts w:eastAsia="Times New Roman"/>
                <w:color w:val="000000"/>
                <w:sz w:val="20"/>
                <w:szCs w:val="20"/>
                <w:lang w:eastAsia="sl-SI"/>
              </w:rPr>
            </w:pPr>
            <w:r w:rsidRPr="00003C2E">
              <w:rPr>
                <w:rFonts w:eastAsia="Times New Roman"/>
                <w:color w:val="000000"/>
                <w:sz w:val="20"/>
                <w:szCs w:val="20"/>
                <w:lang w:val="en-US" w:eastAsia="sl-SI"/>
              </w:rPr>
              <w:t> </w:t>
            </w:r>
          </w:p>
        </w:tc>
        <w:tc>
          <w:tcPr>
            <w:tcW w:w="1150" w:type="dxa"/>
            <w:tcBorders>
              <w:top w:val="nil"/>
              <w:left w:val="nil"/>
              <w:bottom w:val="single" w:sz="4" w:space="0" w:color="auto"/>
              <w:right w:val="single" w:sz="4" w:space="0" w:color="auto"/>
            </w:tcBorders>
            <w:shd w:val="clear" w:color="000000" w:fill="FCE4D6"/>
            <w:vAlign w:val="center"/>
            <w:hideMark/>
          </w:tcPr>
          <w:p w14:paraId="1D5E80C7" w14:textId="77777777" w:rsidR="00003C2E" w:rsidRPr="00003C2E" w:rsidRDefault="00003C2E" w:rsidP="00411064">
            <w:pPr>
              <w:jc w:val="right"/>
              <w:rPr>
                <w:rFonts w:eastAsia="Times New Roman"/>
                <w:color w:val="000000"/>
                <w:sz w:val="20"/>
                <w:szCs w:val="20"/>
                <w:lang w:eastAsia="sl-SI"/>
              </w:rPr>
            </w:pPr>
            <w:r w:rsidRPr="00003C2E">
              <w:rPr>
                <w:rFonts w:eastAsia="Times New Roman"/>
                <w:color w:val="000000"/>
                <w:sz w:val="20"/>
                <w:szCs w:val="20"/>
                <w:lang w:eastAsia="sl-SI"/>
              </w:rPr>
              <w:t> </w:t>
            </w:r>
          </w:p>
        </w:tc>
        <w:tc>
          <w:tcPr>
            <w:tcW w:w="1034" w:type="dxa"/>
            <w:tcBorders>
              <w:top w:val="nil"/>
              <w:left w:val="nil"/>
              <w:bottom w:val="single" w:sz="4" w:space="0" w:color="auto"/>
              <w:right w:val="single" w:sz="8" w:space="0" w:color="auto"/>
            </w:tcBorders>
            <w:shd w:val="clear" w:color="000000" w:fill="FCE4D6"/>
            <w:noWrap/>
            <w:vAlign w:val="center"/>
            <w:hideMark/>
          </w:tcPr>
          <w:p w14:paraId="4D7F1A99" w14:textId="77777777" w:rsidR="00003C2E" w:rsidRPr="00003C2E" w:rsidRDefault="00003C2E" w:rsidP="00411064">
            <w:pPr>
              <w:jc w:val="center"/>
              <w:rPr>
                <w:rFonts w:eastAsia="Times New Roman"/>
                <w:color w:val="000000"/>
                <w:sz w:val="20"/>
                <w:szCs w:val="20"/>
                <w:lang w:eastAsia="sl-SI"/>
              </w:rPr>
            </w:pPr>
          </w:p>
        </w:tc>
      </w:tr>
      <w:tr w:rsidR="00003C2E" w:rsidRPr="00003C2E" w14:paraId="15CC536D" w14:textId="77777777" w:rsidTr="00F8364C">
        <w:trPr>
          <w:trHeight w:val="510"/>
        </w:trPr>
        <w:tc>
          <w:tcPr>
            <w:tcW w:w="2400" w:type="dxa"/>
            <w:tcBorders>
              <w:top w:val="nil"/>
              <w:left w:val="single" w:sz="8" w:space="0" w:color="auto"/>
              <w:bottom w:val="single" w:sz="4" w:space="0" w:color="auto"/>
              <w:right w:val="single" w:sz="4" w:space="0" w:color="auto"/>
            </w:tcBorders>
            <w:vAlign w:val="center"/>
            <w:hideMark/>
          </w:tcPr>
          <w:p w14:paraId="5D448327" w14:textId="77777777" w:rsidR="00003C2E" w:rsidRPr="00003C2E" w:rsidRDefault="00003C2E" w:rsidP="00411064">
            <w:pPr>
              <w:jc w:val="left"/>
              <w:rPr>
                <w:rFonts w:eastAsia="Times New Roman"/>
                <w:color w:val="000000"/>
                <w:sz w:val="20"/>
                <w:szCs w:val="20"/>
                <w:lang w:eastAsia="sl-SI"/>
              </w:rPr>
            </w:pPr>
            <w:proofErr w:type="spellStart"/>
            <w:r w:rsidRPr="00003C2E">
              <w:rPr>
                <w:rFonts w:eastAsia="Times New Roman"/>
                <w:color w:val="000000"/>
                <w:sz w:val="20"/>
                <w:szCs w:val="20"/>
                <w:lang w:val="en-US" w:eastAsia="sl-SI"/>
              </w:rPr>
              <w:t>Štipendije</w:t>
            </w:r>
            <w:proofErr w:type="spellEnd"/>
          </w:p>
        </w:tc>
        <w:tc>
          <w:tcPr>
            <w:tcW w:w="3969" w:type="dxa"/>
            <w:tcBorders>
              <w:top w:val="nil"/>
              <w:left w:val="nil"/>
              <w:bottom w:val="single" w:sz="4" w:space="0" w:color="auto"/>
              <w:right w:val="single" w:sz="4" w:space="0" w:color="auto"/>
            </w:tcBorders>
            <w:vAlign w:val="center"/>
            <w:hideMark/>
          </w:tcPr>
          <w:p w14:paraId="286858D2" w14:textId="77777777" w:rsidR="00003C2E" w:rsidRPr="00003C2E" w:rsidRDefault="00003C2E" w:rsidP="00411064">
            <w:pPr>
              <w:jc w:val="left"/>
              <w:rPr>
                <w:rFonts w:eastAsia="Times New Roman"/>
                <w:color w:val="000000"/>
                <w:sz w:val="20"/>
                <w:szCs w:val="20"/>
                <w:lang w:eastAsia="sl-SI"/>
              </w:rPr>
            </w:pPr>
            <w:r w:rsidRPr="00C23AB5">
              <w:rPr>
                <w:rFonts w:eastAsia="Times New Roman"/>
                <w:color w:val="000000"/>
                <w:sz w:val="20"/>
                <w:szCs w:val="20"/>
                <w:lang w:eastAsia="sl-SI"/>
              </w:rPr>
              <w:t>Center RS za mobilnost in evropske programe izobraževanja in usposabljanja (CMEPIUS)</w:t>
            </w:r>
          </w:p>
        </w:tc>
        <w:tc>
          <w:tcPr>
            <w:tcW w:w="1150" w:type="dxa"/>
            <w:tcBorders>
              <w:top w:val="nil"/>
              <w:left w:val="nil"/>
              <w:bottom w:val="single" w:sz="4" w:space="0" w:color="auto"/>
              <w:right w:val="single" w:sz="4" w:space="0" w:color="auto"/>
            </w:tcBorders>
            <w:vAlign w:val="center"/>
            <w:hideMark/>
          </w:tcPr>
          <w:p w14:paraId="4624281C" w14:textId="77777777" w:rsidR="00003C2E" w:rsidRPr="00003C2E" w:rsidRDefault="00003C2E" w:rsidP="00411064">
            <w:pPr>
              <w:jc w:val="right"/>
              <w:rPr>
                <w:rFonts w:eastAsia="Times New Roman"/>
                <w:color w:val="000000"/>
                <w:sz w:val="20"/>
                <w:szCs w:val="20"/>
                <w:lang w:eastAsia="sl-SI"/>
              </w:rPr>
            </w:pPr>
            <w:r w:rsidRPr="00003C2E">
              <w:rPr>
                <w:rFonts w:eastAsia="Times New Roman"/>
                <w:color w:val="000000"/>
                <w:sz w:val="20"/>
                <w:szCs w:val="20"/>
                <w:lang w:val="en-US" w:eastAsia="sl-SI"/>
              </w:rPr>
              <w:t>25.695</w:t>
            </w:r>
          </w:p>
        </w:tc>
        <w:tc>
          <w:tcPr>
            <w:tcW w:w="1034" w:type="dxa"/>
            <w:tcBorders>
              <w:top w:val="nil"/>
              <w:left w:val="nil"/>
              <w:bottom w:val="single" w:sz="4" w:space="0" w:color="auto"/>
              <w:right w:val="single" w:sz="8" w:space="0" w:color="auto"/>
            </w:tcBorders>
            <w:noWrap/>
            <w:vAlign w:val="center"/>
          </w:tcPr>
          <w:p w14:paraId="7423A05F" w14:textId="77777777" w:rsidR="00003C2E" w:rsidRPr="00003C2E" w:rsidRDefault="00003C2E" w:rsidP="00411064">
            <w:pPr>
              <w:jc w:val="center"/>
              <w:rPr>
                <w:rFonts w:eastAsia="Times New Roman"/>
                <w:color w:val="000000"/>
                <w:sz w:val="20"/>
                <w:szCs w:val="20"/>
                <w:lang w:eastAsia="sl-SI"/>
              </w:rPr>
            </w:pPr>
            <w:r w:rsidRPr="00003C2E">
              <w:rPr>
                <w:rFonts w:eastAsia="Times New Roman"/>
                <w:sz w:val="20"/>
                <w:szCs w:val="20"/>
                <w:lang w:val="en-US"/>
              </w:rPr>
              <w:t>0,2%</w:t>
            </w:r>
          </w:p>
        </w:tc>
      </w:tr>
      <w:tr w:rsidR="00003C2E" w:rsidRPr="00003C2E" w14:paraId="101E9D65" w14:textId="77777777" w:rsidTr="00F8364C">
        <w:trPr>
          <w:trHeight w:val="300"/>
        </w:trPr>
        <w:tc>
          <w:tcPr>
            <w:tcW w:w="2400" w:type="dxa"/>
            <w:tcBorders>
              <w:top w:val="nil"/>
              <w:left w:val="single" w:sz="8" w:space="0" w:color="auto"/>
              <w:bottom w:val="single" w:sz="4" w:space="0" w:color="auto"/>
              <w:right w:val="single" w:sz="4" w:space="0" w:color="auto"/>
            </w:tcBorders>
            <w:vAlign w:val="center"/>
            <w:hideMark/>
          </w:tcPr>
          <w:p w14:paraId="5AA93A43" w14:textId="77777777" w:rsidR="00003C2E" w:rsidRPr="00003C2E" w:rsidRDefault="00003C2E" w:rsidP="00411064">
            <w:pPr>
              <w:jc w:val="left"/>
              <w:rPr>
                <w:rFonts w:eastAsia="Times New Roman"/>
                <w:color w:val="000000"/>
                <w:sz w:val="20"/>
                <w:szCs w:val="20"/>
                <w:lang w:eastAsia="sl-SI"/>
              </w:rPr>
            </w:pPr>
            <w:proofErr w:type="spellStart"/>
            <w:r w:rsidRPr="00003C2E">
              <w:rPr>
                <w:rFonts w:eastAsia="Times New Roman"/>
                <w:color w:val="000000"/>
                <w:sz w:val="20"/>
                <w:szCs w:val="20"/>
                <w:lang w:val="en-US" w:eastAsia="sl-SI"/>
              </w:rPr>
              <w:t>Oprostitve</w:t>
            </w:r>
            <w:proofErr w:type="spellEnd"/>
            <w:r w:rsidRPr="00003C2E">
              <w:rPr>
                <w:rFonts w:eastAsia="Times New Roman"/>
                <w:color w:val="000000"/>
                <w:sz w:val="20"/>
                <w:szCs w:val="20"/>
                <w:lang w:val="en-US" w:eastAsia="sl-SI"/>
              </w:rPr>
              <w:t xml:space="preserve"> </w:t>
            </w:r>
            <w:proofErr w:type="spellStart"/>
            <w:r w:rsidRPr="00003C2E">
              <w:rPr>
                <w:rFonts w:eastAsia="Times New Roman"/>
                <w:color w:val="000000"/>
                <w:sz w:val="20"/>
                <w:szCs w:val="20"/>
                <w:lang w:val="en-US" w:eastAsia="sl-SI"/>
              </w:rPr>
              <w:t>šolnin</w:t>
            </w:r>
            <w:proofErr w:type="spellEnd"/>
          </w:p>
        </w:tc>
        <w:tc>
          <w:tcPr>
            <w:tcW w:w="3969" w:type="dxa"/>
            <w:tcBorders>
              <w:top w:val="nil"/>
              <w:left w:val="nil"/>
              <w:bottom w:val="single" w:sz="4" w:space="0" w:color="auto"/>
              <w:right w:val="single" w:sz="4" w:space="0" w:color="auto"/>
            </w:tcBorders>
            <w:vAlign w:val="center"/>
            <w:hideMark/>
          </w:tcPr>
          <w:p w14:paraId="292D08FD" w14:textId="77777777" w:rsidR="00003C2E" w:rsidRPr="00003C2E" w:rsidRDefault="00003C2E" w:rsidP="00411064">
            <w:pPr>
              <w:jc w:val="left"/>
              <w:rPr>
                <w:rFonts w:eastAsia="Times New Roman"/>
                <w:color w:val="000000"/>
                <w:sz w:val="20"/>
                <w:szCs w:val="20"/>
                <w:lang w:eastAsia="sl-SI"/>
              </w:rPr>
            </w:pPr>
            <w:proofErr w:type="spellStart"/>
            <w:r w:rsidRPr="00003C2E">
              <w:rPr>
                <w:rFonts w:eastAsia="Times New Roman"/>
                <w:color w:val="000000"/>
                <w:sz w:val="20"/>
                <w:szCs w:val="20"/>
                <w:lang w:val="en-US" w:eastAsia="sl-SI"/>
              </w:rPr>
              <w:t>Univerze</w:t>
            </w:r>
            <w:proofErr w:type="spellEnd"/>
            <w:r w:rsidRPr="00003C2E">
              <w:rPr>
                <w:rFonts w:eastAsia="Times New Roman"/>
                <w:color w:val="000000"/>
                <w:sz w:val="20"/>
                <w:szCs w:val="20"/>
                <w:lang w:val="en-US" w:eastAsia="sl-SI"/>
              </w:rPr>
              <w:t xml:space="preserve"> in VŠZ (SI)</w:t>
            </w:r>
          </w:p>
        </w:tc>
        <w:tc>
          <w:tcPr>
            <w:tcW w:w="1150" w:type="dxa"/>
            <w:tcBorders>
              <w:top w:val="nil"/>
              <w:left w:val="nil"/>
              <w:bottom w:val="single" w:sz="4" w:space="0" w:color="auto"/>
              <w:right w:val="single" w:sz="4" w:space="0" w:color="auto"/>
            </w:tcBorders>
            <w:vAlign w:val="center"/>
            <w:hideMark/>
          </w:tcPr>
          <w:p w14:paraId="3FBE93EC" w14:textId="77777777" w:rsidR="00003C2E" w:rsidRPr="00003C2E" w:rsidRDefault="00003C2E" w:rsidP="00411064">
            <w:pPr>
              <w:jc w:val="right"/>
              <w:rPr>
                <w:rFonts w:eastAsia="Times New Roman"/>
                <w:color w:val="000000"/>
                <w:sz w:val="20"/>
                <w:szCs w:val="20"/>
                <w:lang w:eastAsia="sl-SI"/>
              </w:rPr>
            </w:pPr>
            <w:r w:rsidRPr="00003C2E">
              <w:rPr>
                <w:rFonts w:eastAsia="Times New Roman"/>
                <w:color w:val="000000"/>
                <w:sz w:val="20"/>
                <w:szCs w:val="20"/>
                <w:lang w:val="en-US" w:eastAsia="sl-SI"/>
              </w:rPr>
              <w:t>749.000</w:t>
            </w:r>
          </w:p>
        </w:tc>
        <w:tc>
          <w:tcPr>
            <w:tcW w:w="1034" w:type="dxa"/>
            <w:tcBorders>
              <w:top w:val="nil"/>
              <w:left w:val="nil"/>
              <w:bottom w:val="single" w:sz="4" w:space="0" w:color="auto"/>
              <w:right w:val="single" w:sz="8" w:space="0" w:color="auto"/>
            </w:tcBorders>
            <w:noWrap/>
            <w:vAlign w:val="center"/>
          </w:tcPr>
          <w:p w14:paraId="0D3D9F8D" w14:textId="77777777" w:rsidR="00003C2E" w:rsidRPr="00003C2E" w:rsidRDefault="00003C2E" w:rsidP="00411064">
            <w:pPr>
              <w:jc w:val="center"/>
              <w:rPr>
                <w:rFonts w:eastAsia="Times New Roman"/>
                <w:color w:val="000000"/>
                <w:sz w:val="20"/>
                <w:szCs w:val="20"/>
                <w:lang w:eastAsia="sl-SI"/>
              </w:rPr>
            </w:pPr>
            <w:r w:rsidRPr="00003C2E">
              <w:rPr>
                <w:rFonts w:eastAsia="Times New Roman"/>
                <w:sz w:val="20"/>
                <w:szCs w:val="20"/>
                <w:lang w:val="en-US"/>
              </w:rPr>
              <w:t>5,0%</w:t>
            </w:r>
          </w:p>
        </w:tc>
      </w:tr>
      <w:tr w:rsidR="00003C2E" w:rsidRPr="00003C2E" w14:paraId="4FD662C4" w14:textId="77777777" w:rsidTr="00F8364C">
        <w:trPr>
          <w:trHeight w:val="300"/>
        </w:trPr>
        <w:tc>
          <w:tcPr>
            <w:tcW w:w="2400" w:type="dxa"/>
            <w:tcBorders>
              <w:top w:val="nil"/>
              <w:left w:val="single" w:sz="8" w:space="0" w:color="auto"/>
              <w:bottom w:val="single" w:sz="4" w:space="0" w:color="auto"/>
              <w:right w:val="single" w:sz="4" w:space="0" w:color="auto"/>
            </w:tcBorders>
            <w:shd w:val="clear" w:color="000000" w:fill="FCE4D6"/>
            <w:vAlign w:val="center"/>
            <w:hideMark/>
          </w:tcPr>
          <w:p w14:paraId="0188F5E0" w14:textId="77777777" w:rsidR="00003C2E" w:rsidRPr="00003C2E" w:rsidRDefault="00003C2E" w:rsidP="00411064">
            <w:pPr>
              <w:jc w:val="left"/>
              <w:rPr>
                <w:rFonts w:eastAsia="Times New Roman"/>
                <w:b/>
                <w:bCs/>
                <w:color w:val="000000"/>
                <w:sz w:val="20"/>
                <w:szCs w:val="20"/>
                <w:lang w:eastAsia="sl-SI"/>
              </w:rPr>
            </w:pPr>
            <w:r w:rsidRPr="00003C2E">
              <w:rPr>
                <w:rFonts w:eastAsia="Times New Roman"/>
                <w:b/>
                <w:bCs/>
                <w:color w:val="000000"/>
                <w:sz w:val="20"/>
                <w:szCs w:val="20"/>
                <w:lang w:val="en-US" w:eastAsia="sl-SI"/>
              </w:rPr>
              <w:t>Kosovo</w:t>
            </w:r>
          </w:p>
        </w:tc>
        <w:tc>
          <w:tcPr>
            <w:tcW w:w="3969" w:type="dxa"/>
            <w:tcBorders>
              <w:top w:val="nil"/>
              <w:left w:val="nil"/>
              <w:bottom w:val="single" w:sz="4" w:space="0" w:color="auto"/>
              <w:right w:val="single" w:sz="4" w:space="0" w:color="auto"/>
            </w:tcBorders>
            <w:shd w:val="clear" w:color="000000" w:fill="FCE4D6"/>
            <w:vAlign w:val="center"/>
            <w:hideMark/>
          </w:tcPr>
          <w:p w14:paraId="7E4D3F1B" w14:textId="77777777" w:rsidR="00003C2E" w:rsidRPr="00003C2E" w:rsidRDefault="00003C2E" w:rsidP="00411064">
            <w:pPr>
              <w:jc w:val="left"/>
              <w:rPr>
                <w:rFonts w:eastAsia="Times New Roman"/>
                <w:color w:val="000000"/>
                <w:sz w:val="20"/>
                <w:szCs w:val="20"/>
                <w:lang w:eastAsia="sl-SI"/>
              </w:rPr>
            </w:pPr>
            <w:r w:rsidRPr="00003C2E">
              <w:rPr>
                <w:rFonts w:eastAsia="Times New Roman"/>
                <w:color w:val="000000"/>
                <w:sz w:val="20"/>
                <w:szCs w:val="20"/>
                <w:lang w:val="en-US" w:eastAsia="sl-SI"/>
              </w:rPr>
              <w:t> </w:t>
            </w:r>
          </w:p>
        </w:tc>
        <w:tc>
          <w:tcPr>
            <w:tcW w:w="1150" w:type="dxa"/>
            <w:tcBorders>
              <w:top w:val="nil"/>
              <w:left w:val="nil"/>
              <w:bottom w:val="single" w:sz="4" w:space="0" w:color="auto"/>
              <w:right w:val="single" w:sz="4" w:space="0" w:color="auto"/>
            </w:tcBorders>
            <w:shd w:val="clear" w:color="000000" w:fill="FCE4D6"/>
            <w:vAlign w:val="center"/>
            <w:hideMark/>
          </w:tcPr>
          <w:p w14:paraId="747AD981" w14:textId="77777777" w:rsidR="00003C2E" w:rsidRPr="00003C2E" w:rsidRDefault="00003C2E" w:rsidP="00411064">
            <w:pPr>
              <w:jc w:val="right"/>
              <w:rPr>
                <w:rFonts w:eastAsia="Times New Roman"/>
                <w:color w:val="000000"/>
                <w:sz w:val="20"/>
                <w:szCs w:val="20"/>
                <w:lang w:eastAsia="sl-SI"/>
              </w:rPr>
            </w:pPr>
            <w:r w:rsidRPr="00003C2E">
              <w:rPr>
                <w:rFonts w:eastAsia="Times New Roman"/>
                <w:color w:val="000000"/>
                <w:sz w:val="20"/>
                <w:szCs w:val="20"/>
                <w:lang w:eastAsia="sl-SI"/>
              </w:rPr>
              <w:t> </w:t>
            </w:r>
          </w:p>
        </w:tc>
        <w:tc>
          <w:tcPr>
            <w:tcW w:w="1034" w:type="dxa"/>
            <w:tcBorders>
              <w:top w:val="nil"/>
              <w:left w:val="nil"/>
              <w:bottom w:val="single" w:sz="4" w:space="0" w:color="auto"/>
              <w:right w:val="single" w:sz="8" w:space="0" w:color="auto"/>
            </w:tcBorders>
            <w:shd w:val="clear" w:color="000000" w:fill="FCE4D6"/>
            <w:noWrap/>
            <w:vAlign w:val="center"/>
          </w:tcPr>
          <w:p w14:paraId="27F7286B" w14:textId="77777777" w:rsidR="00003C2E" w:rsidRPr="00003C2E" w:rsidRDefault="00003C2E" w:rsidP="00411064">
            <w:pPr>
              <w:jc w:val="center"/>
              <w:rPr>
                <w:rFonts w:eastAsia="Times New Roman"/>
                <w:color w:val="000000"/>
                <w:sz w:val="20"/>
                <w:szCs w:val="20"/>
                <w:lang w:eastAsia="sl-SI"/>
              </w:rPr>
            </w:pPr>
          </w:p>
        </w:tc>
      </w:tr>
      <w:tr w:rsidR="00003C2E" w:rsidRPr="00003C2E" w14:paraId="6EDD1D4D" w14:textId="77777777" w:rsidTr="00F8364C">
        <w:trPr>
          <w:trHeight w:val="510"/>
        </w:trPr>
        <w:tc>
          <w:tcPr>
            <w:tcW w:w="2400" w:type="dxa"/>
            <w:tcBorders>
              <w:top w:val="nil"/>
              <w:left w:val="single" w:sz="8" w:space="0" w:color="auto"/>
              <w:bottom w:val="single" w:sz="4" w:space="0" w:color="auto"/>
              <w:right w:val="single" w:sz="4" w:space="0" w:color="auto"/>
            </w:tcBorders>
            <w:vAlign w:val="center"/>
            <w:hideMark/>
          </w:tcPr>
          <w:p w14:paraId="6E97E77F" w14:textId="77777777" w:rsidR="00003C2E" w:rsidRPr="00003C2E" w:rsidRDefault="00003C2E" w:rsidP="00411064">
            <w:pPr>
              <w:jc w:val="left"/>
              <w:rPr>
                <w:rFonts w:eastAsia="Times New Roman"/>
                <w:color w:val="000000"/>
                <w:sz w:val="20"/>
                <w:szCs w:val="20"/>
                <w:lang w:eastAsia="sl-SI"/>
              </w:rPr>
            </w:pPr>
            <w:proofErr w:type="spellStart"/>
            <w:r w:rsidRPr="00003C2E">
              <w:rPr>
                <w:rFonts w:eastAsia="Times New Roman"/>
                <w:color w:val="000000"/>
                <w:sz w:val="20"/>
                <w:szCs w:val="20"/>
                <w:lang w:val="en-US" w:eastAsia="sl-SI"/>
              </w:rPr>
              <w:t>Štipendije</w:t>
            </w:r>
            <w:proofErr w:type="spellEnd"/>
          </w:p>
        </w:tc>
        <w:tc>
          <w:tcPr>
            <w:tcW w:w="3969" w:type="dxa"/>
            <w:tcBorders>
              <w:top w:val="nil"/>
              <w:left w:val="nil"/>
              <w:bottom w:val="single" w:sz="4" w:space="0" w:color="auto"/>
              <w:right w:val="single" w:sz="4" w:space="0" w:color="auto"/>
            </w:tcBorders>
            <w:vAlign w:val="center"/>
            <w:hideMark/>
          </w:tcPr>
          <w:p w14:paraId="5498DB5C" w14:textId="77777777" w:rsidR="00003C2E" w:rsidRPr="00003C2E" w:rsidRDefault="00003C2E" w:rsidP="00411064">
            <w:pPr>
              <w:jc w:val="left"/>
              <w:rPr>
                <w:rFonts w:eastAsia="Times New Roman"/>
                <w:color w:val="000000"/>
                <w:sz w:val="20"/>
                <w:szCs w:val="20"/>
                <w:lang w:eastAsia="sl-SI"/>
              </w:rPr>
            </w:pPr>
            <w:r w:rsidRPr="00C23AB5">
              <w:rPr>
                <w:rFonts w:eastAsia="Times New Roman"/>
                <w:color w:val="000000"/>
                <w:sz w:val="20"/>
                <w:szCs w:val="20"/>
                <w:lang w:eastAsia="sl-SI"/>
              </w:rPr>
              <w:t>Center RS za mobilnost in evropske programe izobraževanja in usposabljanja (CMEPIUS)</w:t>
            </w:r>
          </w:p>
        </w:tc>
        <w:tc>
          <w:tcPr>
            <w:tcW w:w="1150" w:type="dxa"/>
            <w:tcBorders>
              <w:top w:val="nil"/>
              <w:left w:val="nil"/>
              <w:bottom w:val="single" w:sz="4" w:space="0" w:color="auto"/>
              <w:right w:val="single" w:sz="4" w:space="0" w:color="auto"/>
            </w:tcBorders>
            <w:vAlign w:val="center"/>
            <w:hideMark/>
          </w:tcPr>
          <w:p w14:paraId="07244BBE" w14:textId="77777777" w:rsidR="00003C2E" w:rsidRPr="00003C2E" w:rsidRDefault="00003C2E" w:rsidP="00411064">
            <w:pPr>
              <w:jc w:val="right"/>
              <w:rPr>
                <w:rFonts w:eastAsia="Times New Roman"/>
                <w:color w:val="000000"/>
                <w:sz w:val="20"/>
                <w:szCs w:val="20"/>
                <w:lang w:eastAsia="sl-SI"/>
              </w:rPr>
            </w:pPr>
            <w:r w:rsidRPr="00003C2E">
              <w:rPr>
                <w:rFonts w:eastAsia="Times New Roman"/>
                <w:color w:val="000000"/>
                <w:sz w:val="20"/>
                <w:szCs w:val="20"/>
                <w:lang w:val="en-US" w:eastAsia="sl-SI"/>
              </w:rPr>
              <w:t>2.099</w:t>
            </w:r>
          </w:p>
        </w:tc>
        <w:tc>
          <w:tcPr>
            <w:tcW w:w="1034" w:type="dxa"/>
            <w:tcBorders>
              <w:top w:val="nil"/>
              <w:left w:val="nil"/>
              <w:bottom w:val="single" w:sz="4" w:space="0" w:color="auto"/>
              <w:right w:val="single" w:sz="8" w:space="0" w:color="auto"/>
            </w:tcBorders>
            <w:noWrap/>
            <w:vAlign w:val="center"/>
          </w:tcPr>
          <w:p w14:paraId="167A5A0B" w14:textId="77777777" w:rsidR="00003C2E" w:rsidRPr="00003C2E" w:rsidRDefault="00003C2E" w:rsidP="00411064">
            <w:pPr>
              <w:jc w:val="center"/>
              <w:rPr>
                <w:rFonts w:eastAsia="Times New Roman"/>
                <w:color w:val="000000"/>
                <w:sz w:val="20"/>
                <w:szCs w:val="20"/>
                <w:lang w:eastAsia="sl-SI"/>
              </w:rPr>
            </w:pPr>
            <w:r w:rsidRPr="00003C2E">
              <w:rPr>
                <w:rFonts w:eastAsia="Times New Roman"/>
                <w:sz w:val="20"/>
                <w:szCs w:val="20"/>
                <w:lang w:val="en-US"/>
              </w:rPr>
              <w:t>0,0%</w:t>
            </w:r>
          </w:p>
        </w:tc>
      </w:tr>
      <w:tr w:rsidR="00003C2E" w:rsidRPr="00003C2E" w14:paraId="28BCA3C2" w14:textId="77777777" w:rsidTr="00F8364C">
        <w:trPr>
          <w:trHeight w:val="300"/>
        </w:trPr>
        <w:tc>
          <w:tcPr>
            <w:tcW w:w="2400" w:type="dxa"/>
            <w:tcBorders>
              <w:top w:val="nil"/>
              <w:left w:val="single" w:sz="8" w:space="0" w:color="auto"/>
              <w:bottom w:val="single" w:sz="4" w:space="0" w:color="auto"/>
              <w:right w:val="single" w:sz="4" w:space="0" w:color="auto"/>
            </w:tcBorders>
            <w:vAlign w:val="center"/>
            <w:hideMark/>
          </w:tcPr>
          <w:p w14:paraId="33BA13DA" w14:textId="77777777" w:rsidR="00003C2E" w:rsidRPr="00003C2E" w:rsidRDefault="00003C2E" w:rsidP="00411064">
            <w:pPr>
              <w:jc w:val="left"/>
              <w:rPr>
                <w:rFonts w:eastAsia="Times New Roman"/>
                <w:color w:val="000000"/>
                <w:sz w:val="20"/>
                <w:szCs w:val="20"/>
                <w:lang w:eastAsia="sl-SI"/>
              </w:rPr>
            </w:pPr>
            <w:proofErr w:type="spellStart"/>
            <w:r w:rsidRPr="00003C2E">
              <w:rPr>
                <w:rFonts w:eastAsia="Times New Roman"/>
                <w:color w:val="000000"/>
                <w:sz w:val="20"/>
                <w:szCs w:val="20"/>
                <w:lang w:val="en-US" w:eastAsia="sl-SI"/>
              </w:rPr>
              <w:t>Oprostitve</w:t>
            </w:r>
            <w:proofErr w:type="spellEnd"/>
            <w:r w:rsidRPr="00003C2E">
              <w:rPr>
                <w:rFonts w:eastAsia="Times New Roman"/>
                <w:color w:val="000000"/>
                <w:sz w:val="20"/>
                <w:szCs w:val="20"/>
                <w:lang w:val="en-US" w:eastAsia="sl-SI"/>
              </w:rPr>
              <w:t xml:space="preserve"> </w:t>
            </w:r>
            <w:proofErr w:type="spellStart"/>
            <w:r w:rsidRPr="00003C2E">
              <w:rPr>
                <w:rFonts w:eastAsia="Times New Roman"/>
                <w:color w:val="000000"/>
                <w:sz w:val="20"/>
                <w:szCs w:val="20"/>
                <w:lang w:val="en-US" w:eastAsia="sl-SI"/>
              </w:rPr>
              <w:t>šolnin</w:t>
            </w:r>
            <w:proofErr w:type="spellEnd"/>
          </w:p>
        </w:tc>
        <w:tc>
          <w:tcPr>
            <w:tcW w:w="3969" w:type="dxa"/>
            <w:tcBorders>
              <w:top w:val="nil"/>
              <w:left w:val="nil"/>
              <w:bottom w:val="single" w:sz="4" w:space="0" w:color="auto"/>
              <w:right w:val="single" w:sz="4" w:space="0" w:color="auto"/>
            </w:tcBorders>
            <w:vAlign w:val="center"/>
            <w:hideMark/>
          </w:tcPr>
          <w:p w14:paraId="049855DC" w14:textId="77777777" w:rsidR="00003C2E" w:rsidRPr="00003C2E" w:rsidRDefault="00003C2E" w:rsidP="00411064">
            <w:pPr>
              <w:jc w:val="left"/>
              <w:rPr>
                <w:rFonts w:eastAsia="Times New Roman"/>
                <w:color w:val="000000"/>
                <w:sz w:val="20"/>
                <w:szCs w:val="20"/>
                <w:lang w:eastAsia="sl-SI"/>
              </w:rPr>
            </w:pPr>
            <w:proofErr w:type="spellStart"/>
            <w:r w:rsidRPr="00003C2E">
              <w:rPr>
                <w:rFonts w:eastAsia="Times New Roman"/>
                <w:color w:val="000000"/>
                <w:sz w:val="20"/>
                <w:szCs w:val="20"/>
                <w:lang w:val="en-US" w:eastAsia="sl-SI"/>
              </w:rPr>
              <w:t>Univerze</w:t>
            </w:r>
            <w:proofErr w:type="spellEnd"/>
            <w:r w:rsidRPr="00003C2E">
              <w:rPr>
                <w:rFonts w:eastAsia="Times New Roman"/>
                <w:color w:val="000000"/>
                <w:sz w:val="20"/>
                <w:szCs w:val="20"/>
                <w:lang w:val="en-US" w:eastAsia="sl-SI"/>
              </w:rPr>
              <w:t xml:space="preserve"> in VŠZ (SI)</w:t>
            </w:r>
          </w:p>
        </w:tc>
        <w:tc>
          <w:tcPr>
            <w:tcW w:w="1150" w:type="dxa"/>
            <w:tcBorders>
              <w:top w:val="nil"/>
              <w:left w:val="nil"/>
              <w:bottom w:val="single" w:sz="4" w:space="0" w:color="auto"/>
              <w:right w:val="single" w:sz="4" w:space="0" w:color="auto"/>
            </w:tcBorders>
            <w:vAlign w:val="center"/>
            <w:hideMark/>
          </w:tcPr>
          <w:p w14:paraId="63228D38" w14:textId="77777777" w:rsidR="00003C2E" w:rsidRPr="00003C2E" w:rsidRDefault="00003C2E" w:rsidP="00411064">
            <w:pPr>
              <w:jc w:val="right"/>
              <w:rPr>
                <w:rFonts w:eastAsia="Times New Roman"/>
                <w:color w:val="000000"/>
                <w:sz w:val="20"/>
                <w:szCs w:val="20"/>
                <w:lang w:eastAsia="sl-SI"/>
              </w:rPr>
            </w:pPr>
            <w:r w:rsidRPr="00003C2E">
              <w:rPr>
                <w:rFonts w:eastAsia="Times New Roman"/>
                <w:color w:val="000000"/>
                <w:sz w:val="20"/>
                <w:szCs w:val="20"/>
                <w:lang w:val="en-US" w:eastAsia="sl-SI"/>
              </w:rPr>
              <w:t>350.000</w:t>
            </w:r>
          </w:p>
        </w:tc>
        <w:tc>
          <w:tcPr>
            <w:tcW w:w="1034" w:type="dxa"/>
            <w:tcBorders>
              <w:top w:val="nil"/>
              <w:left w:val="nil"/>
              <w:bottom w:val="single" w:sz="4" w:space="0" w:color="auto"/>
              <w:right w:val="single" w:sz="8" w:space="0" w:color="auto"/>
            </w:tcBorders>
            <w:noWrap/>
            <w:vAlign w:val="center"/>
          </w:tcPr>
          <w:p w14:paraId="3F90954E" w14:textId="77777777" w:rsidR="00003C2E" w:rsidRPr="00003C2E" w:rsidRDefault="00003C2E" w:rsidP="00411064">
            <w:pPr>
              <w:jc w:val="center"/>
              <w:rPr>
                <w:rFonts w:eastAsia="Times New Roman"/>
                <w:color w:val="000000"/>
                <w:sz w:val="20"/>
                <w:szCs w:val="20"/>
                <w:lang w:eastAsia="sl-SI"/>
              </w:rPr>
            </w:pPr>
            <w:r w:rsidRPr="00003C2E">
              <w:rPr>
                <w:rFonts w:eastAsia="Times New Roman"/>
                <w:sz w:val="20"/>
                <w:szCs w:val="20"/>
                <w:lang w:val="en-US"/>
              </w:rPr>
              <w:t>2,3%</w:t>
            </w:r>
          </w:p>
        </w:tc>
      </w:tr>
      <w:tr w:rsidR="00003C2E" w:rsidRPr="00003C2E" w14:paraId="67C599ED" w14:textId="77777777" w:rsidTr="00F8364C">
        <w:trPr>
          <w:trHeight w:val="300"/>
        </w:trPr>
        <w:tc>
          <w:tcPr>
            <w:tcW w:w="2400" w:type="dxa"/>
            <w:tcBorders>
              <w:top w:val="nil"/>
              <w:left w:val="single" w:sz="8" w:space="0" w:color="auto"/>
              <w:bottom w:val="single" w:sz="4" w:space="0" w:color="auto"/>
              <w:right w:val="single" w:sz="4" w:space="0" w:color="auto"/>
            </w:tcBorders>
            <w:shd w:val="clear" w:color="000000" w:fill="FCE4D6"/>
            <w:vAlign w:val="center"/>
            <w:hideMark/>
          </w:tcPr>
          <w:p w14:paraId="67E31BD2" w14:textId="77777777" w:rsidR="00003C2E" w:rsidRPr="00003C2E" w:rsidRDefault="00003C2E" w:rsidP="00411064">
            <w:pPr>
              <w:jc w:val="left"/>
              <w:rPr>
                <w:rFonts w:eastAsia="Times New Roman"/>
                <w:b/>
                <w:bCs/>
                <w:color w:val="000000"/>
                <w:sz w:val="20"/>
                <w:szCs w:val="20"/>
                <w:lang w:eastAsia="sl-SI"/>
              </w:rPr>
            </w:pPr>
            <w:r w:rsidRPr="00003C2E">
              <w:rPr>
                <w:rFonts w:eastAsia="Times New Roman"/>
                <w:b/>
                <w:bCs/>
                <w:color w:val="000000"/>
                <w:sz w:val="20"/>
                <w:szCs w:val="20"/>
                <w:lang w:val="en-US" w:eastAsia="sl-SI"/>
              </w:rPr>
              <w:t>Severna Makedonija</w:t>
            </w:r>
          </w:p>
        </w:tc>
        <w:tc>
          <w:tcPr>
            <w:tcW w:w="3969" w:type="dxa"/>
            <w:tcBorders>
              <w:top w:val="nil"/>
              <w:left w:val="nil"/>
              <w:bottom w:val="single" w:sz="4" w:space="0" w:color="auto"/>
              <w:right w:val="single" w:sz="4" w:space="0" w:color="auto"/>
            </w:tcBorders>
            <w:shd w:val="clear" w:color="000000" w:fill="FCE4D6"/>
            <w:vAlign w:val="center"/>
            <w:hideMark/>
          </w:tcPr>
          <w:p w14:paraId="0EAF3909" w14:textId="77777777" w:rsidR="00003C2E" w:rsidRPr="00003C2E" w:rsidRDefault="00003C2E" w:rsidP="00411064">
            <w:pPr>
              <w:jc w:val="left"/>
              <w:rPr>
                <w:rFonts w:eastAsia="Times New Roman"/>
                <w:color w:val="000000"/>
                <w:sz w:val="20"/>
                <w:szCs w:val="20"/>
                <w:lang w:eastAsia="sl-SI"/>
              </w:rPr>
            </w:pPr>
            <w:r w:rsidRPr="00003C2E">
              <w:rPr>
                <w:rFonts w:eastAsia="Times New Roman"/>
                <w:color w:val="000000"/>
                <w:sz w:val="20"/>
                <w:szCs w:val="20"/>
                <w:lang w:val="en-US" w:eastAsia="sl-SI"/>
              </w:rPr>
              <w:t> </w:t>
            </w:r>
          </w:p>
        </w:tc>
        <w:tc>
          <w:tcPr>
            <w:tcW w:w="1150" w:type="dxa"/>
            <w:tcBorders>
              <w:top w:val="nil"/>
              <w:left w:val="nil"/>
              <w:bottom w:val="single" w:sz="4" w:space="0" w:color="auto"/>
              <w:right w:val="single" w:sz="4" w:space="0" w:color="auto"/>
            </w:tcBorders>
            <w:shd w:val="clear" w:color="000000" w:fill="FCE4D6"/>
            <w:vAlign w:val="center"/>
            <w:hideMark/>
          </w:tcPr>
          <w:p w14:paraId="732BB767" w14:textId="77777777" w:rsidR="00003C2E" w:rsidRPr="00003C2E" w:rsidRDefault="00003C2E" w:rsidP="00411064">
            <w:pPr>
              <w:jc w:val="right"/>
              <w:rPr>
                <w:rFonts w:eastAsia="Times New Roman"/>
                <w:color w:val="000000"/>
                <w:sz w:val="20"/>
                <w:szCs w:val="20"/>
                <w:lang w:eastAsia="sl-SI"/>
              </w:rPr>
            </w:pPr>
            <w:r w:rsidRPr="00003C2E">
              <w:rPr>
                <w:rFonts w:eastAsia="Times New Roman"/>
                <w:color w:val="000000"/>
                <w:sz w:val="20"/>
                <w:szCs w:val="20"/>
                <w:lang w:eastAsia="sl-SI"/>
              </w:rPr>
              <w:t> </w:t>
            </w:r>
          </w:p>
        </w:tc>
        <w:tc>
          <w:tcPr>
            <w:tcW w:w="1034" w:type="dxa"/>
            <w:tcBorders>
              <w:top w:val="nil"/>
              <w:left w:val="nil"/>
              <w:bottom w:val="single" w:sz="4" w:space="0" w:color="auto"/>
              <w:right w:val="single" w:sz="8" w:space="0" w:color="auto"/>
            </w:tcBorders>
            <w:shd w:val="clear" w:color="000000" w:fill="FCE4D6"/>
            <w:noWrap/>
            <w:vAlign w:val="center"/>
          </w:tcPr>
          <w:p w14:paraId="6F27DFE7" w14:textId="77777777" w:rsidR="00003C2E" w:rsidRPr="00003C2E" w:rsidRDefault="00003C2E" w:rsidP="00411064">
            <w:pPr>
              <w:jc w:val="center"/>
              <w:rPr>
                <w:rFonts w:eastAsia="Times New Roman"/>
                <w:color w:val="000000"/>
                <w:sz w:val="20"/>
                <w:szCs w:val="20"/>
                <w:lang w:eastAsia="sl-SI"/>
              </w:rPr>
            </w:pPr>
          </w:p>
        </w:tc>
      </w:tr>
      <w:tr w:rsidR="00003C2E" w:rsidRPr="00003C2E" w14:paraId="53FEA30E" w14:textId="77777777" w:rsidTr="00F8364C">
        <w:trPr>
          <w:trHeight w:val="510"/>
        </w:trPr>
        <w:tc>
          <w:tcPr>
            <w:tcW w:w="2400" w:type="dxa"/>
            <w:tcBorders>
              <w:top w:val="nil"/>
              <w:left w:val="single" w:sz="8" w:space="0" w:color="auto"/>
              <w:bottom w:val="single" w:sz="4" w:space="0" w:color="auto"/>
              <w:right w:val="single" w:sz="4" w:space="0" w:color="auto"/>
            </w:tcBorders>
            <w:vAlign w:val="center"/>
            <w:hideMark/>
          </w:tcPr>
          <w:p w14:paraId="22AF006D" w14:textId="77777777" w:rsidR="00003C2E" w:rsidRPr="00003C2E" w:rsidRDefault="00003C2E" w:rsidP="00411064">
            <w:pPr>
              <w:jc w:val="left"/>
              <w:rPr>
                <w:rFonts w:eastAsia="Times New Roman"/>
                <w:color w:val="000000"/>
                <w:sz w:val="20"/>
                <w:szCs w:val="20"/>
                <w:lang w:eastAsia="sl-SI"/>
              </w:rPr>
            </w:pPr>
            <w:proofErr w:type="spellStart"/>
            <w:r w:rsidRPr="00003C2E">
              <w:rPr>
                <w:rFonts w:eastAsia="Times New Roman"/>
                <w:color w:val="000000"/>
                <w:sz w:val="20"/>
                <w:szCs w:val="20"/>
                <w:lang w:val="en-US" w:eastAsia="sl-SI"/>
              </w:rPr>
              <w:t>Štipendije</w:t>
            </w:r>
            <w:proofErr w:type="spellEnd"/>
          </w:p>
        </w:tc>
        <w:tc>
          <w:tcPr>
            <w:tcW w:w="3969" w:type="dxa"/>
            <w:tcBorders>
              <w:top w:val="nil"/>
              <w:left w:val="nil"/>
              <w:bottom w:val="single" w:sz="4" w:space="0" w:color="auto"/>
              <w:right w:val="single" w:sz="4" w:space="0" w:color="auto"/>
            </w:tcBorders>
            <w:vAlign w:val="center"/>
            <w:hideMark/>
          </w:tcPr>
          <w:p w14:paraId="2EB01B95" w14:textId="77777777" w:rsidR="00003C2E" w:rsidRPr="00003C2E" w:rsidRDefault="00003C2E" w:rsidP="00411064">
            <w:pPr>
              <w:jc w:val="left"/>
              <w:rPr>
                <w:rFonts w:eastAsia="Times New Roman"/>
                <w:color w:val="000000"/>
                <w:sz w:val="20"/>
                <w:szCs w:val="20"/>
                <w:lang w:eastAsia="sl-SI"/>
              </w:rPr>
            </w:pPr>
            <w:r w:rsidRPr="00C23AB5">
              <w:rPr>
                <w:rFonts w:eastAsia="Times New Roman"/>
                <w:color w:val="000000"/>
                <w:sz w:val="20"/>
                <w:szCs w:val="20"/>
                <w:lang w:eastAsia="sl-SI"/>
              </w:rPr>
              <w:t>Center RS za mobilnost in evropske programe izobraževanja in usposabljanja (CMEPIUS)</w:t>
            </w:r>
          </w:p>
        </w:tc>
        <w:tc>
          <w:tcPr>
            <w:tcW w:w="1150" w:type="dxa"/>
            <w:tcBorders>
              <w:top w:val="nil"/>
              <w:left w:val="nil"/>
              <w:bottom w:val="single" w:sz="4" w:space="0" w:color="auto"/>
              <w:right w:val="single" w:sz="4" w:space="0" w:color="auto"/>
            </w:tcBorders>
            <w:vAlign w:val="center"/>
            <w:hideMark/>
          </w:tcPr>
          <w:p w14:paraId="351EEFA2" w14:textId="77777777" w:rsidR="00003C2E" w:rsidRPr="00003C2E" w:rsidRDefault="00003C2E" w:rsidP="00411064">
            <w:pPr>
              <w:jc w:val="right"/>
              <w:rPr>
                <w:rFonts w:eastAsia="Times New Roman"/>
                <w:color w:val="000000"/>
                <w:sz w:val="20"/>
                <w:szCs w:val="20"/>
                <w:lang w:eastAsia="sl-SI"/>
              </w:rPr>
            </w:pPr>
            <w:r w:rsidRPr="00003C2E">
              <w:rPr>
                <w:rFonts w:eastAsia="Times New Roman"/>
                <w:color w:val="000000"/>
                <w:sz w:val="20"/>
                <w:szCs w:val="20"/>
                <w:lang w:val="en-US" w:eastAsia="sl-SI"/>
              </w:rPr>
              <w:t>34.350</w:t>
            </w:r>
          </w:p>
        </w:tc>
        <w:tc>
          <w:tcPr>
            <w:tcW w:w="1034" w:type="dxa"/>
            <w:tcBorders>
              <w:top w:val="nil"/>
              <w:left w:val="nil"/>
              <w:bottom w:val="single" w:sz="4" w:space="0" w:color="auto"/>
              <w:right w:val="single" w:sz="8" w:space="0" w:color="auto"/>
            </w:tcBorders>
            <w:noWrap/>
            <w:vAlign w:val="center"/>
          </w:tcPr>
          <w:p w14:paraId="7EDBDEC8" w14:textId="77777777" w:rsidR="00003C2E" w:rsidRPr="00003C2E" w:rsidRDefault="00003C2E" w:rsidP="00411064">
            <w:pPr>
              <w:jc w:val="center"/>
              <w:rPr>
                <w:rFonts w:eastAsia="Times New Roman"/>
                <w:color w:val="000000"/>
                <w:sz w:val="20"/>
                <w:szCs w:val="20"/>
                <w:lang w:eastAsia="sl-SI"/>
              </w:rPr>
            </w:pPr>
            <w:r w:rsidRPr="00003C2E">
              <w:rPr>
                <w:rFonts w:eastAsia="Times New Roman"/>
                <w:sz w:val="20"/>
                <w:szCs w:val="20"/>
                <w:lang w:val="en-US"/>
              </w:rPr>
              <w:t>0,2%</w:t>
            </w:r>
          </w:p>
        </w:tc>
      </w:tr>
      <w:tr w:rsidR="00003C2E" w:rsidRPr="00003C2E" w14:paraId="4F4610CE" w14:textId="77777777" w:rsidTr="00F8364C">
        <w:trPr>
          <w:trHeight w:val="510"/>
        </w:trPr>
        <w:tc>
          <w:tcPr>
            <w:tcW w:w="2400" w:type="dxa"/>
            <w:tcBorders>
              <w:top w:val="nil"/>
              <w:left w:val="single" w:sz="8" w:space="0" w:color="auto"/>
              <w:bottom w:val="single" w:sz="4" w:space="0" w:color="auto"/>
              <w:right w:val="single" w:sz="4" w:space="0" w:color="auto"/>
            </w:tcBorders>
            <w:vAlign w:val="center"/>
            <w:hideMark/>
          </w:tcPr>
          <w:p w14:paraId="6AC2286D" w14:textId="77777777" w:rsidR="00003C2E" w:rsidRPr="00003C2E" w:rsidRDefault="00003C2E" w:rsidP="00411064">
            <w:pPr>
              <w:jc w:val="left"/>
              <w:rPr>
                <w:rFonts w:eastAsia="Times New Roman"/>
                <w:color w:val="000000"/>
                <w:sz w:val="20"/>
                <w:szCs w:val="20"/>
                <w:lang w:eastAsia="sl-SI"/>
              </w:rPr>
            </w:pPr>
            <w:proofErr w:type="spellStart"/>
            <w:r w:rsidRPr="00003C2E">
              <w:rPr>
                <w:rFonts w:eastAsia="Times New Roman"/>
                <w:color w:val="000000"/>
                <w:sz w:val="20"/>
                <w:szCs w:val="20"/>
                <w:lang w:val="en-US" w:eastAsia="sl-SI"/>
              </w:rPr>
              <w:t>Štipendije</w:t>
            </w:r>
            <w:proofErr w:type="spellEnd"/>
          </w:p>
        </w:tc>
        <w:tc>
          <w:tcPr>
            <w:tcW w:w="3969" w:type="dxa"/>
            <w:tcBorders>
              <w:top w:val="nil"/>
              <w:left w:val="nil"/>
              <w:bottom w:val="single" w:sz="4" w:space="0" w:color="auto"/>
              <w:right w:val="single" w:sz="4" w:space="0" w:color="auto"/>
            </w:tcBorders>
            <w:vAlign w:val="center"/>
            <w:hideMark/>
          </w:tcPr>
          <w:p w14:paraId="3595BD5B" w14:textId="77777777" w:rsidR="00003C2E" w:rsidRPr="00003C2E" w:rsidRDefault="00003C2E" w:rsidP="00411064">
            <w:pPr>
              <w:jc w:val="left"/>
              <w:rPr>
                <w:rFonts w:eastAsia="Times New Roman"/>
                <w:color w:val="000000"/>
                <w:sz w:val="20"/>
                <w:szCs w:val="20"/>
                <w:lang w:eastAsia="sl-SI"/>
              </w:rPr>
            </w:pPr>
            <w:r w:rsidRPr="00003C2E">
              <w:rPr>
                <w:rFonts w:eastAsia="Times New Roman"/>
                <w:color w:val="000000"/>
                <w:sz w:val="20"/>
                <w:szCs w:val="20"/>
                <w:lang w:eastAsia="sl-SI"/>
              </w:rPr>
              <w:t xml:space="preserve">Javni štipendijski, razvojni, invalidski in preživninski sklad </w:t>
            </w:r>
            <w:r w:rsidR="00CF0EDD">
              <w:rPr>
                <w:rFonts w:eastAsia="Times New Roman"/>
                <w:color w:val="000000"/>
                <w:sz w:val="20"/>
                <w:szCs w:val="20"/>
                <w:lang w:eastAsia="sl-SI"/>
              </w:rPr>
              <w:t>RS</w:t>
            </w:r>
            <w:r w:rsidRPr="00003C2E">
              <w:rPr>
                <w:rFonts w:eastAsia="Times New Roman"/>
                <w:color w:val="000000"/>
                <w:sz w:val="20"/>
                <w:szCs w:val="20"/>
                <w:lang w:eastAsia="sl-SI"/>
              </w:rPr>
              <w:t xml:space="preserve"> (Ad futura)</w:t>
            </w:r>
          </w:p>
        </w:tc>
        <w:tc>
          <w:tcPr>
            <w:tcW w:w="1150" w:type="dxa"/>
            <w:tcBorders>
              <w:top w:val="nil"/>
              <w:left w:val="nil"/>
              <w:bottom w:val="single" w:sz="4" w:space="0" w:color="auto"/>
              <w:right w:val="single" w:sz="4" w:space="0" w:color="auto"/>
            </w:tcBorders>
            <w:vAlign w:val="center"/>
            <w:hideMark/>
          </w:tcPr>
          <w:p w14:paraId="4C8E2B24" w14:textId="77777777" w:rsidR="00003C2E" w:rsidRPr="00003C2E" w:rsidRDefault="00003C2E" w:rsidP="00411064">
            <w:pPr>
              <w:jc w:val="right"/>
              <w:rPr>
                <w:rFonts w:eastAsia="Times New Roman"/>
                <w:color w:val="000000"/>
                <w:sz w:val="20"/>
                <w:szCs w:val="20"/>
                <w:lang w:eastAsia="sl-SI"/>
              </w:rPr>
            </w:pPr>
            <w:r w:rsidRPr="00003C2E">
              <w:rPr>
                <w:rFonts w:eastAsia="Times New Roman"/>
                <w:color w:val="000000"/>
                <w:sz w:val="20"/>
                <w:szCs w:val="20"/>
                <w:lang w:val="en-US" w:eastAsia="sl-SI"/>
              </w:rPr>
              <w:t>8.400</w:t>
            </w:r>
          </w:p>
        </w:tc>
        <w:tc>
          <w:tcPr>
            <w:tcW w:w="1034" w:type="dxa"/>
            <w:tcBorders>
              <w:top w:val="nil"/>
              <w:left w:val="nil"/>
              <w:bottom w:val="single" w:sz="4" w:space="0" w:color="auto"/>
              <w:right w:val="single" w:sz="8" w:space="0" w:color="auto"/>
            </w:tcBorders>
            <w:noWrap/>
            <w:vAlign w:val="center"/>
          </w:tcPr>
          <w:p w14:paraId="0519F12D" w14:textId="77777777" w:rsidR="00003C2E" w:rsidRPr="00003C2E" w:rsidRDefault="00003C2E" w:rsidP="00411064">
            <w:pPr>
              <w:jc w:val="center"/>
              <w:rPr>
                <w:rFonts w:eastAsia="Times New Roman"/>
                <w:color w:val="000000"/>
                <w:sz w:val="20"/>
                <w:szCs w:val="20"/>
                <w:lang w:eastAsia="sl-SI"/>
              </w:rPr>
            </w:pPr>
            <w:r w:rsidRPr="00003C2E">
              <w:rPr>
                <w:rFonts w:eastAsia="Times New Roman"/>
                <w:sz w:val="20"/>
                <w:szCs w:val="20"/>
                <w:lang w:val="en-US"/>
              </w:rPr>
              <w:t>0,1%</w:t>
            </w:r>
          </w:p>
        </w:tc>
      </w:tr>
      <w:tr w:rsidR="00003C2E" w:rsidRPr="00003C2E" w14:paraId="4E948BE4" w14:textId="77777777" w:rsidTr="00F8364C">
        <w:trPr>
          <w:trHeight w:val="300"/>
        </w:trPr>
        <w:tc>
          <w:tcPr>
            <w:tcW w:w="2400" w:type="dxa"/>
            <w:tcBorders>
              <w:top w:val="nil"/>
              <w:left w:val="single" w:sz="8" w:space="0" w:color="auto"/>
              <w:bottom w:val="single" w:sz="4" w:space="0" w:color="auto"/>
              <w:right w:val="single" w:sz="4" w:space="0" w:color="auto"/>
            </w:tcBorders>
            <w:vAlign w:val="center"/>
            <w:hideMark/>
          </w:tcPr>
          <w:p w14:paraId="4DFF9749" w14:textId="77777777" w:rsidR="00003C2E" w:rsidRPr="00003C2E" w:rsidRDefault="00003C2E" w:rsidP="00411064">
            <w:pPr>
              <w:jc w:val="left"/>
              <w:rPr>
                <w:rFonts w:eastAsia="Times New Roman"/>
                <w:color w:val="000000"/>
                <w:sz w:val="20"/>
                <w:szCs w:val="20"/>
                <w:lang w:eastAsia="sl-SI"/>
              </w:rPr>
            </w:pPr>
            <w:proofErr w:type="spellStart"/>
            <w:r w:rsidRPr="00003C2E">
              <w:rPr>
                <w:rFonts w:eastAsia="Times New Roman"/>
                <w:color w:val="000000"/>
                <w:sz w:val="20"/>
                <w:szCs w:val="20"/>
                <w:lang w:val="en-US" w:eastAsia="sl-SI"/>
              </w:rPr>
              <w:t>Oprostitve</w:t>
            </w:r>
            <w:proofErr w:type="spellEnd"/>
            <w:r w:rsidRPr="00003C2E">
              <w:rPr>
                <w:rFonts w:eastAsia="Times New Roman"/>
                <w:color w:val="000000"/>
                <w:sz w:val="20"/>
                <w:szCs w:val="20"/>
                <w:lang w:val="en-US" w:eastAsia="sl-SI"/>
              </w:rPr>
              <w:t xml:space="preserve"> </w:t>
            </w:r>
            <w:proofErr w:type="spellStart"/>
            <w:r w:rsidRPr="00003C2E">
              <w:rPr>
                <w:rFonts w:eastAsia="Times New Roman"/>
                <w:color w:val="000000"/>
                <w:sz w:val="20"/>
                <w:szCs w:val="20"/>
                <w:lang w:val="en-US" w:eastAsia="sl-SI"/>
              </w:rPr>
              <w:t>šolnin</w:t>
            </w:r>
            <w:proofErr w:type="spellEnd"/>
          </w:p>
        </w:tc>
        <w:tc>
          <w:tcPr>
            <w:tcW w:w="3969" w:type="dxa"/>
            <w:tcBorders>
              <w:top w:val="nil"/>
              <w:left w:val="nil"/>
              <w:bottom w:val="single" w:sz="4" w:space="0" w:color="auto"/>
              <w:right w:val="single" w:sz="4" w:space="0" w:color="auto"/>
            </w:tcBorders>
            <w:vAlign w:val="center"/>
            <w:hideMark/>
          </w:tcPr>
          <w:p w14:paraId="615BAD4D" w14:textId="77777777" w:rsidR="00003C2E" w:rsidRPr="00003C2E" w:rsidRDefault="00003C2E" w:rsidP="00411064">
            <w:pPr>
              <w:jc w:val="left"/>
              <w:rPr>
                <w:rFonts w:eastAsia="Times New Roman"/>
                <w:color w:val="000000"/>
                <w:sz w:val="20"/>
                <w:szCs w:val="20"/>
                <w:lang w:eastAsia="sl-SI"/>
              </w:rPr>
            </w:pPr>
            <w:proofErr w:type="spellStart"/>
            <w:r w:rsidRPr="00003C2E">
              <w:rPr>
                <w:rFonts w:eastAsia="Times New Roman"/>
                <w:color w:val="000000"/>
                <w:sz w:val="20"/>
                <w:szCs w:val="20"/>
                <w:lang w:val="en-US" w:eastAsia="sl-SI"/>
              </w:rPr>
              <w:t>Univerze</w:t>
            </w:r>
            <w:proofErr w:type="spellEnd"/>
            <w:r w:rsidRPr="00003C2E">
              <w:rPr>
                <w:rFonts w:eastAsia="Times New Roman"/>
                <w:color w:val="000000"/>
                <w:sz w:val="20"/>
                <w:szCs w:val="20"/>
                <w:lang w:val="en-US" w:eastAsia="sl-SI"/>
              </w:rPr>
              <w:t xml:space="preserve"> in VŠZ (SI)</w:t>
            </w:r>
          </w:p>
        </w:tc>
        <w:tc>
          <w:tcPr>
            <w:tcW w:w="1150" w:type="dxa"/>
            <w:tcBorders>
              <w:top w:val="nil"/>
              <w:left w:val="nil"/>
              <w:bottom w:val="single" w:sz="4" w:space="0" w:color="auto"/>
              <w:right w:val="single" w:sz="4" w:space="0" w:color="auto"/>
            </w:tcBorders>
            <w:vAlign w:val="center"/>
            <w:hideMark/>
          </w:tcPr>
          <w:p w14:paraId="15143E63" w14:textId="77777777" w:rsidR="00003C2E" w:rsidRPr="00003C2E" w:rsidRDefault="00003C2E" w:rsidP="00411064">
            <w:pPr>
              <w:jc w:val="right"/>
              <w:rPr>
                <w:rFonts w:eastAsia="Times New Roman"/>
                <w:color w:val="000000"/>
                <w:sz w:val="20"/>
                <w:szCs w:val="20"/>
                <w:lang w:eastAsia="sl-SI"/>
              </w:rPr>
            </w:pPr>
            <w:r w:rsidRPr="00003C2E">
              <w:rPr>
                <w:rFonts w:eastAsia="Times New Roman"/>
                <w:color w:val="000000"/>
                <w:sz w:val="20"/>
                <w:szCs w:val="20"/>
                <w:lang w:val="en-US" w:eastAsia="sl-SI"/>
              </w:rPr>
              <w:t>4.945.500</w:t>
            </w:r>
          </w:p>
        </w:tc>
        <w:tc>
          <w:tcPr>
            <w:tcW w:w="1034" w:type="dxa"/>
            <w:tcBorders>
              <w:top w:val="nil"/>
              <w:left w:val="nil"/>
              <w:bottom w:val="single" w:sz="4" w:space="0" w:color="auto"/>
              <w:right w:val="single" w:sz="8" w:space="0" w:color="auto"/>
            </w:tcBorders>
            <w:noWrap/>
            <w:vAlign w:val="center"/>
          </w:tcPr>
          <w:p w14:paraId="44AA2685" w14:textId="77777777" w:rsidR="00003C2E" w:rsidRPr="00003C2E" w:rsidRDefault="00003C2E" w:rsidP="00411064">
            <w:pPr>
              <w:jc w:val="center"/>
              <w:rPr>
                <w:rFonts w:eastAsia="Times New Roman"/>
                <w:color w:val="000000"/>
                <w:sz w:val="20"/>
                <w:szCs w:val="20"/>
                <w:lang w:eastAsia="sl-SI"/>
              </w:rPr>
            </w:pPr>
            <w:r w:rsidRPr="00003C2E">
              <w:rPr>
                <w:rFonts w:eastAsia="Times New Roman"/>
                <w:sz w:val="20"/>
                <w:szCs w:val="20"/>
                <w:lang w:val="en-US"/>
              </w:rPr>
              <w:t>33,0%</w:t>
            </w:r>
          </w:p>
        </w:tc>
      </w:tr>
      <w:tr w:rsidR="00003C2E" w:rsidRPr="00003C2E" w14:paraId="33A689DB" w14:textId="77777777" w:rsidTr="00F8364C">
        <w:trPr>
          <w:trHeight w:val="300"/>
        </w:trPr>
        <w:tc>
          <w:tcPr>
            <w:tcW w:w="2400" w:type="dxa"/>
            <w:tcBorders>
              <w:top w:val="nil"/>
              <w:left w:val="single" w:sz="8" w:space="0" w:color="auto"/>
              <w:bottom w:val="single" w:sz="4" w:space="0" w:color="auto"/>
              <w:right w:val="single" w:sz="4" w:space="0" w:color="auto"/>
            </w:tcBorders>
            <w:shd w:val="clear" w:color="000000" w:fill="FCE4D6"/>
            <w:vAlign w:val="center"/>
            <w:hideMark/>
          </w:tcPr>
          <w:p w14:paraId="33C77FEC" w14:textId="77777777" w:rsidR="00003C2E" w:rsidRPr="00003C2E" w:rsidRDefault="00003C2E" w:rsidP="00411064">
            <w:pPr>
              <w:jc w:val="left"/>
              <w:rPr>
                <w:rFonts w:eastAsia="Times New Roman"/>
                <w:b/>
                <w:bCs/>
                <w:color w:val="000000"/>
                <w:sz w:val="20"/>
                <w:szCs w:val="20"/>
                <w:lang w:eastAsia="sl-SI"/>
              </w:rPr>
            </w:pPr>
            <w:proofErr w:type="spellStart"/>
            <w:r w:rsidRPr="00003C2E">
              <w:rPr>
                <w:rFonts w:eastAsia="Times New Roman"/>
                <w:b/>
                <w:bCs/>
                <w:color w:val="000000"/>
                <w:sz w:val="20"/>
                <w:szCs w:val="20"/>
                <w:lang w:val="en-US" w:eastAsia="sl-SI"/>
              </w:rPr>
              <w:t>Srbija</w:t>
            </w:r>
            <w:proofErr w:type="spellEnd"/>
          </w:p>
        </w:tc>
        <w:tc>
          <w:tcPr>
            <w:tcW w:w="3969" w:type="dxa"/>
            <w:tcBorders>
              <w:top w:val="nil"/>
              <w:left w:val="nil"/>
              <w:bottom w:val="single" w:sz="4" w:space="0" w:color="auto"/>
              <w:right w:val="single" w:sz="4" w:space="0" w:color="auto"/>
            </w:tcBorders>
            <w:shd w:val="clear" w:color="000000" w:fill="FCE4D6"/>
            <w:vAlign w:val="center"/>
            <w:hideMark/>
          </w:tcPr>
          <w:p w14:paraId="07834F43" w14:textId="77777777" w:rsidR="00003C2E" w:rsidRPr="00003C2E" w:rsidRDefault="00003C2E" w:rsidP="00411064">
            <w:pPr>
              <w:jc w:val="left"/>
              <w:rPr>
                <w:rFonts w:eastAsia="Times New Roman"/>
                <w:color w:val="000000"/>
                <w:sz w:val="20"/>
                <w:szCs w:val="20"/>
                <w:lang w:eastAsia="sl-SI"/>
              </w:rPr>
            </w:pPr>
            <w:r w:rsidRPr="00003C2E">
              <w:rPr>
                <w:rFonts w:eastAsia="Times New Roman"/>
                <w:color w:val="000000"/>
                <w:sz w:val="20"/>
                <w:szCs w:val="20"/>
                <w:lang w:val="en-US" w:eastAsia="sl-SI"/>
              </w:rPr>
              <w:t> </w:t>
            </w:r>
          </w:p>
        </w:tc>
        <w:tc>
          <w:tcPr>
            <w:tcW w:w="1150" w:type="dxa"/>
            <w:tcBorders>
              <w:top w:val="nil"/>
              <w:left w:val="nil"/>
              <w:bottom w:val="single" w:sz="4" w:space="0" w:color="auto"/>
              <w:right w:val="single" w:sz="4" w:space="0" w:color="auto"/>
            </w:tcBorders>
            <w:shd w:val="clear" w:color="000000" w:fill="FCE4D6"/>
            <w:vAlign w:val="center"/>
            <w:hideMark/>
          </w:tcPr>
          <w:p w14:paraId="53847E9A" w14:textId="77777777" w:rsidR="00003C2E" w:rsidRPr="00003C2E" w:rsidRDefault="00003C2E" w:rsidP="00411064">
            <w:pPr>
              <w:jc w:val="right"/>
              <w:rPr>
                <w:rFonts w:eastAsia="Times New Roman"/>
                <w:color w:val="000000"/>
                <w:sz w:val="20"/>
                <w:szCs w:val="20"/>
                <w:lang w:eastAsia="sl-SI"/>
              </w:rPr>
            </w:pPr>
            <w:r w:rsidRPr="00003C2E">
              <w:rPr>
                <w:rFonts w:eastAsia="Times New Roman"/>
                <w:color w:val="000000"/>
                <w:sz w:val="20"/>
                <w:szCs w:val="20"/>
                <w:lang w:eastAsia="sl-SI"/>
              </w:rPr>
              <w:t> </w:t>
            </w:r>
          </w:p>
        </w:tc>
        <w:tc>
          <w:tcPr>
            <w:tcW w:w="1034" w:type="dxa"/>
            <w:tcBorders>
              <w:top w:val="nil"/>
              <w:left w:val="nil"/>
              <w:bottom w:val="single" w:sz="4" w:space="0" w:color="auto"/>
              <w:right w:val="single" w:sz="8" w:space="0" w:color="auto"/>
            </w:tcBorders>
            <w:shd w:val="clear" w:color="000000" w:fill="FCE4D6"/>
            <w:noWrap/>
            <w:vAlign w:val="center"/>
          </w:tcPr>
          <w:p w14:paraId="1CF9BBCE" w14:textId="77777777" w:rsidR="00003C2E" w:rsidRPr="00003C2E" w:rsidRDefault="00003C2E" w:rsidP="00411064">
            <w:pPr>
              <w:jc w:val="center"/>
              <w:rPr>
                <w:rFonts w:eastAsia="Times New Roman"/>
                <w:color w:val="000000"/>
                <w:sz w:val="20"/>
                <w:szCs w:val="20"/>
                <w:lang w:eastAsia="sl-SI"/>
              </w:rPr>
            </w:pPr>
          </w:p>
        </w:tc>
      </w:tr>
      <w:tr w:rsidR="00003C2E" w:rsidRPr="00003C2E" w14:paraId="6767F724" w14:textId="77777777" w:rsidTr="00F8364C">
        <w:trPr>
          <w:trHeight w:val="510"/>
        </w:trPr>
        <w:tc>
          <w:tcPr>
            <w:tcW w:w="2400" w:type="dxa"/>
            <w:tcBorders>
              <w:top w:val="nil"/>
              <w:left w:val="single" w:sz="8" w:space="0" w:color="auto"/>
              <w:bottom w:val="single" w:sz="4" w:space="0" w:color="auto"/>
              <w:right w:val="single" w:sz="4" w:space="0" w:color="auto"/>
            </w:tcBorders>
            <w:vAlign w:val="center"/>
            <w:hideMark/>
          </w:tcPr>
          <w:p w14:paraId="17035CFE" w14:textId="77777777" w:rsidR="00003C2E" w:rsidRPr="00003C2E" w:rsidRDefault="00003C2E" w:rsidP="00411064">
            <w:pPr>
              <w:jc w:val="left"/>
              <w:rPr>
                <w:rFonts w:eastAsia="Times New Roman"/>
                <w:color w:val="000000"/>
                <w:sz w:val="20"/>
                <w:szCs w:val="20"/>
                <w:lang w:eastAsia="sl-SI"/>
              </w:rPr>
            </w:pPr>
            <w:proofErr w:type="spellStart"/>
            <w:r w:rsidRPr="00003C2E">
              <w:rPr>
                <w:rFonts w:eastAsia="Times New Roman"/>
                <w:color w:val="000000"/>
                <w:sz w:val="20"/>
                <w:szCs w:val="20"/>
                <w:lang w:val="en-US" w:eastAsia="sl-SI"/>
              </w:rPr>
              <w:t>Štipendije</w:t>
            </w:r>
            <w:proofErr w:type="spellEnd"/>
          </w:p>
        </w:tc>
        <w:tc>
          <w:tcPr>
            <w:tcW w:w="3969" w:type="dxa"/>
            <w:tcBorders>
              <w:top w:val="nil"/>
              <w:left w:val="nil"/>
              <w:bottom w:val="single" w:sz="4" w:space="0" w:color="auto"/>
              <w:right w:val="single" w:sz="4" w:space="0" w:color="auto"/>
            </w:tcBorders>
            <w:vAlign w:val="center"/>
            <w:hideMark/>
          </w:tcPr>
          <w:p w14:paraId="77134C38" w14:textId="77777777" w:rsidR="00003C2E" w:rsidRPr="00003C2E" w:rsidRDefault="00003C2E" w:rsidP="00411064">
            <w:pPr>
              <w:jc w:val="left"/>
              <w:rPr>
                <w:rFonts w:eastAsia="Times New Roman"/>
                <w:color w:val="000000"/>
                <w:sz w:val="20"/>
                <w:szCs w:val="20"/>
                <w:lang w:eastAsia="sl-SI"/>
              </w:rPr>
            </w:pPr>
            <w:r w:rsidRPr="00C23AB5">
              <w:rPr>
                <w:rFonts w:eastAsia="Times New Roman"/>
                <w:color w:val="000000"/>
                <w:sz w:val="20"/>
                <w:szCs w:val="20"/>
                <w:lang w:eastAsia="sl-SI"/>
              </w:rPr>
              <w:t>Center RS za mobilnost in evropske programe izobraževanja in usposabljanja (CMEPIUS)</w:t>
            </w:r>
          </w:p>
        </w:tc>
        <w:tc>
          <w:tcPr>
            <w:tcW w:w="1150" w:type="dxa"/>
            <w:tcBorders>
              <w:top w:val="nil"/>
              <w:left w:val="nil"/>
              <w:bottom w:val="single" w:sz="4" w:space="0" w:color="auto"/>
              <w:right w:val="single" w:sz="4" w:space="0" w:color="auto"/>
            </w:tcBorders>
            <w:vAlign w:val="center"/>
            <w:hideMark/>
          </w:tcPr>
          <w:p w14:paraId="3A5FF947" w14:textId="77777777" w:rsidR="00003C2E" w:rsidRPr="00003C2E" w:rsidRDefault="00003C2E" w:rsidP="00411064">
            <w:pPr>
              <w:jc w:val="right"/>
              <w:rPr>
                <w:rFonts w:eastAsia="Times New Roman"/>
                <w:color w:val="000000"/>
                <w:sz w:val="20"/>
                <w:szCs w:val="20"/>
                <w:lang w:eastAsia="sl-SI"/>
              </w:rPr>
            </w:pPr>
            <w:r w:rsidRPr="00003C2E">
              <w:rPr>
                <w:rFonts w:eastAsia="Times New Roman"/>
                <w:color w:val="000000"/>
                <w:sz w:val="20"/>
                <w:szCs w:val="20"/>
                <w:lang w:val="en-US" w:eastAsia="sl-SI"/>
              </w:rPr>
              <w:t>97.113</w:t>
            </w:r>
          </w:p>
        </w:tc>
        <w:tc>
          <w:tcPr>
            <w:tcW w:w="1034" w:type="dxa"/>
            <w:tcBorders>
              <w:top w:val="nil"/>
              <w:left w:val="nil"/>
              <w:bottom w:val="single" w:sz="4" w:space="0" w:color="auto"/>
              <w:right w:val="single" w:sz="8" w:space="0" w:color="auto"/>
            </w:tcBorders>
            <w:noWrap/>
            <w:vAlign w:val="center"/>
          </w:tcPr>
          <w:p w14:paraId="0EEAF93B" w14:textId="77777777" w:rsidR="00003C2E" w:rsidRPr="00003C2E" w:rsidRDefault="00003C2E" w:rsidP="00411064">
            <w:pPr>
              <w:jc w:val="center"/>
              <w:rPr>
                <w:rFonts w:eastAsia="Times New Roman"/>
                <w:color w:val="000000"/>
                <w:sz w:val="20"/>
                <w:szCs w:val="20"/>
                <w:lang w:eastAsia="sl-SI"/>
              </w:rPr>
            </w:pPr>
            <w:r w:rsidRPr="00003C2E">
              <w:rPr>
                <w:rFonts w:eastAsia="Times New Roman"/>
                <w:sz w:val="20"/>
                <w:szCs w:val="20"/>
                <w:lang w:val="en-US"/>
              </w:rPr>
              <w:t>0,6%</w:t>
            </w:r>
          </w:p>
        </w:tc>
      </w:tr>
      <w:tr w:rsidR="00003C2E" w:rsidRPr="00003C2E" w14:paraId="7B3467CE" w14:textId="77777777" w:rsidTr="00F8364C">
        <w:trPr>
          <w:trHeight w:val="300"/>
        </w:trPr>
        <w:tc>
          <w:tcPr>
            <w:tcW w:w="2400" w:type="dxa"/>
            <w:tcBorders>
              <w:top w:val="nil"/>
              <w:left w:val="single" w:sz="8" w:space="0" w:color="auto"/>
              <w:bottom w:val="single" w:sz="4" w:space="0" w:color="auto"/>
              <w:right w:val="single" w:sz="4" w:space="0" w:color="auto"/>
            </w:tcBorders>
            <w:vAlign w:val="center"/>
            <w:hideMark/>
          </w:tcPr>
          <w:p w14:paraId="1A810E73" w14:textId="77777777" w:rsidR="00003C2E" w:rsidRPr="00003C2E" w:rsidRDefault="00003C2E" w:rsidP="00411064">
            <w:pPr>
              <w:jc w:val="left"/>
              <w:rPr>
                <w:rFonts w:eastAsia="Times New Roman"/>
                <w:color w:val="000000"/>
                <w:sz w:val="20"/>
                <w:szCs w:val="20"/>
                <w:lang w:eastAsia="sl-SI"/>
              </w:rPr>
            </w:pPr>
            <w:proofErr w:type="spellStart"/>
            <w:r w:rsidRPr="00003C2E">
              <w:rPr>
                <w:rFonts w:eastAsia="Times New Roman"/>
                <w:color w:val="000000"/>
                <w:sz w:val="20"/>
                <w:szCs w:val="20"/>
                <w:lang w:val="en-US" w:eastAsia="sl-SI"/>
              </w:rPr>
              <w:t>Oprostitve</w:t>
            </w:r>
            <w:proofErr w:type="spellEnd"/>
            <w:r w:rsidRPr="00003C2E">
              <w:rPr>
                <w:rFonts w:eastAsia="Times New Roman"/>
                <w:color w:val="000000"/>
                <w:sz w:val="20"/>
                <w:szCs w:val="20"/>
                <w:lang w:val="en-US" w:eastAsia="sl-SI"/>
              </w:rPr>
              <w:t xml:space="preserve"> </w:t>
            </w:r>
            <w:proofErr w:type="spellStart"/>
            <w:r w:rsidRPr="00003C2E">
              <w:rPr>
                <w:rFonts w:eastAsia="Times New Roman"/>
                <w:color w:val="000000"/>
                <w:sz w:val="20"/>
                <w:szCs w:val="20"/>
                <w:lang w:val="en-US" w:eastAsia="sl-SI"/>
              </w:rPr>
              <w:t>šolnin</w:t>
            </w:r>
            <w:proofErr w:type="spellEnd"/>
          </w:p>
        </w:tc>
        <w:tc>
          <w:tcPr>
            <w:tcW w:w="3969" w:type="dxa"/>
            <w:tcBorders>
              <w:top w:val="nil"/>
              <w:left w:val="nil"/>
              <w:bottom w:val="single" w:sz="4" w:space="0" w:color="auto"/>
              <w:right w:val="single" w:sz="4" w:space="0" w:color="auto"/>
            </w:tcBorders>
            <w:vAlign w:val="center"/>
            <w:hideMark/>
          </w:tcPr>
          <w:p w14:paraId="64141A9B" w14:textId="77777777" w:rsidR="00003C2E" w:rsidRPr="00003C2E" w:rsidRDefault="00003C2E" w:rsidP="00411064">
            <w:pPr>
              <w:jc w:val="left"/>
              <w:rPr>
                <w:rFonts w:eastAsia="Times New Roman"/>
                <w:color w:val="000000"/>
                <w:sz w:val="20"/>
                <w:szCs w:val="20"/>
                <w:lang w:eastAsia="sl-SI"/>
              </w:rPr>
            </w:pPr>
            <w:proofErr w:type="spellStart"/>
            <w:r w:rsidRPr="00003C2E">
              <w:rPr>
                <w:rFonts w:eastAsia="Times New Roman"/>
                <w:color w:val="000000"/>
                <w:sz w:val="20"/>
                <w:szCs w:val="20"/>
                <w:lang w:val="en-US" w:eastAsia="sl-SI"/>
              </w:rPr>
              <w:t>Univerze</w:t>
            </w:r>
            <w:proofErr w:type="spellEnd"/>
            <w:r w:rsidRPr="00003C2E">
              <w:rPr>
                <w:rFonts w:eastAsia="Times New Roman"/>
                <w:color w:val="000000"/>
                <w:sz w:val="20"/>
                <w:szCs w:val="20"/>
                <w:lang w:val="en-US" w:eastAsia="sl-SI"/>
              </w:rPr>
              <w:t xml:space="preserve"> in VŠZ (SI)</w:t>
            </w:r>
          </w:p>
        </w:tc>
        <w:tc>
          <w:tcPr>
            <w:tcW w:w="1150" w:type="dxa"/>
            <w:tcBorders>
              <w:top w:val="nil"/>
              <w:left w:val="nil"/>
              <w:bottom w:val="single" w:sz="4" w:space="0" w:color="auto"/>
              <w:right w:val="single" w:sz="4" w:space="0" w:color="auto"/>
            </w:tcBorders>
            <w:vAlign w:val="center"/>
            <w:hideMark/>
          </w:tcPr>
          <w:p w14:paraId="724D9B6D" w14:textId="77777777" w:rsidR="00003C2E" w:rsidRPr="00003C2E" w:rsidRDefault="00003C2E" w:rsidP="00411064">
            <w:pPr>
              <w:jc w:val="right"/>
              <w:rPr>
                <w:rFonts w:eastAsia="Times New Roman"/>
                <w:color w:val="000000"/>
                <w:sz w:val="20"/>
                <w:szCs w:val="20"/>
                <w:lang w:eastAsia="sl-SI"/>
              </w:rPr>
            </w:pPr>
            <w:r w:rsidRPr="00003C2E">
              <w:rPr>
                <w:rFonts w:eastAsia="Times New Roman"/>
                <w:color w:val="000000"/>
                <w:sz w:val="20"/>
                <w:szCs w:val="20"/>
                <w:lang w:val="en-US" w:eastAsia="sl-SI"/>
              </w:rPr>
              <w:t>4.574.500</w:t>
            </w:r>
          </w:p>
        </w:tc>
        <w:tc>
          <w:tcPr>
            <w:tcW w:w="1034" w:type="dxa"/>
            <w:tcBorders>
              <w:top w:val="nil"/>
              <w:left w:val="nil"/>
              <w:bottom w:val="single" w:sz="4" w:space="0" w:color="auto"/>
              <w:right w:val="single" w:sz="8" w:space="0" w:color="auto"/>
            </w:tcBorders>
            <w:noWrap/>
            <w:vAlign w:val="center"/>
          </w:tcPr>
          <w:p w14:paraId="26508CC0" w14:textId="77777777" w:rsidR="00003C2E" w:rsidRPr="00003C2E" w:rsidRDefault="00003C2E" w:rsidP="00411064">
            <w:pPr>
              <w:jc w:val="center"/>
              <w:rPr>
                <w:rFonts w:eastAsia="Times New Roman"/>
                <w:color w:val="000000"/>
                <w:sz w:val="20"/>
                <w:szCs w:val="20"/>
                <w:lang w:eastAsia="sl-SI"/>
              </w:rPr>
            </w:pPr>
            <w:r w:rsidRPr="00003C2E">
              <w:rPr>
                <w:rFonts w:eastAsia="Times New Roman"/>
                <w:sz w:val="20"/>
                <w:szCs w:val="20"/>
                <w:lang w:val="en-US"/>
              </w:rPr>
              <w:t>30,5%</w:t>
            </w:r>
          </w:p>
        </w:tc>
      </w:tr>
      <w:tr w:rsidR="00003C2E" w:rsidRPr="00003C2E" w14:paraId="2C7AE4E8" w14:textId="77777777" w:rsidTr="00F8364C">
        <w:trPr>
          <w:trHeight w:val="300"/>
        </w:trPr>
        <w:tc>
          <w:tcPr>
            <w:tcW w:w="2400" w:type="dxa"/>
            <w:tcBorders>
              <w:top w:val="nil"/>
              <w:left w:val="single" w:sz="8" w:space="0" w:color="auto"/>
              <w:bottom w:val="single" w:sz="4" w:space="0" w:color="auto"/>
              <w:right w:val="single" w:sz="4" w:space="0" w:color="auto"/>
            </w:tcBorders>
            <w:shd w:val="clear" w:color="000000" w:fill="FCE4D6"/>
            <w:vAlign w:val="center"/>
            <w:hideMark/>
          </w:tcPr>
          <w:p w14:paraId="247F43AC" w14:textId="77777777" w:rsidR="00003C2E" w:rsidRPr="00003C2E" w:rsidRDefault="00003C2E" w:rsidP="00411064">
            <w:pPr>
              <w:jc w:val="left"/>
              <w:rPr>
                <w:rFonts w:eastAsia="Times New Roman"/>
                <w:b/>
                <w:bCs/>
                <w:color w:val="000000"/>
                <w:sz w:val="20"/>
                <w:szCs w:val="20"/>
                <w:lang w:eastAsia="sl-SI"/>
              </w:rPr>
            </w:pPr>
            <w:r w:rsidRPr="00003C2E">
              <w:rPr>
                <w:rFonts w:eastAsia="Times New Roman"/>
                <w:b/>
                <w:bCs/>
                <w:color w:val="000000"/>
                <w:sz w:val="20"/>
                <w:szCs w:val="20"/>
                <w:lang w:eastAsia="sl-SI"/>
              </w:rPr>
              <w:t>Štipendije SKUPAJ</w:t>
            </w:r>
          </w:p>
        </w:tc>
        <w:tc>
          <w:tcPr>
            <w:tcW w:w="3969" w:type="dxa"/>
            <w:tcBorders>
              <w:top w:val="nil"/>
              <w:left w:val="nil"/>
              <w:bottom w:val="single" w:sz="4" w:space="0" w:color="auto"/>
              <w:right w:val="single" w:sz="4" w:space="0" w:color="auto"/>
            </w:tcBorders>
            <w:shd w:val="clear" w:color="000000" w:fill="FCE4D6"/>
            <w:noWrap/>
            <w:vAlign w:val="bottom"/>
            <w:hideMark/>
          </w:tcPr>
          <w:p w14:paraId="4153DE73" w14:textId="77777777" w:rsidR="00003C2E" w:rsidRPr="00003C2E" w:rsidRDefault="00003C2E" w:rsidP="00411064">
            <w:pPr>
              <w:jc w:val="left"/>
              <w:rPr>
                <w:rFonts w:eastAsia="Times New Roman"/>
                <w:color w:val="000000"/>
                <w:sz w:val="20"/>
                <w:szCs w:val="20"/>
                <w:lang w:eastAsia="sl-SI"/>
              </w:rPr>
            </w:pPr>
            <w:r w:rsidRPr="00003C2E">
              <w:rPr>
                <w:rFonts w:eastAsia="Times New Roman"/>
                <w:color w:val="000000"/>
                <w:sz w:val="20"/>
                <w:szCs w:val="20"/>
                <w:lang w:eastAsia="sl-SI"/>
              </w:rPr>
              <w:t> </w:t>
            </w:r>
          </w:p>
        </w:tc>
        <w:tc>
          <w:tcPr>
            <w:tcW w:w="1150" w:type="dxa"/>
            <w:tcBorders>
              <w:top w:val="nil"/>
              <w:left w:val="nil"/>
              <w:bottom w:val="single" w:sz="4" w:space="0" w:color="auto"/>
              <w:right w:val="single" w:sz="4" w:space="0" w:color="auto"/>
            </w:tcBorders>
            <w:shd w:val="clear" w:color="000000" w:fill="FCE4D6"/>
            <w:vAlign w:val="center"/>
            <w:hideMark/>
          </w:tcPr>
          <w:p w14:paraId="4989A7C3" w14:textId="77777777" w:rsidR="00003C2E" w:rsidRPr="00003C2E" w:rsidRDefault="00003C2E" w:rsidP="00411064">
            <w:pPr>
              <w:jc w:val="right"/>
              <w:rPr>
                <w:rFonts w:eastAsia="Times New Roman"/>
                <w:b/>
                <w:bCs/>
                <w:color w:val="000000"/>
                <w:sz w:val="20"/>
                <w:szCs w:val="20"/>
                <w:lang w:eastAsia="sl-SI"/>
              </w:rPr>
            </w:pPr>
            <w:r w:rsidRPr="00003C2E">
              <w:rPr>
                <w:rFonts w:eastAsia="Times New Roman"/>
                <w:b/>
                <w:bCs/>
                <w:color w:val="000000"/>
                <w:sz w:val="20"/>
                <w:szCs w:val="20"/>
                <w:lang w:eastAsia="sl-SI"/>
              </w:rPr>
              <w:t>239.625</w:t>
            </w:r>
          </w:p>
        </w:tc>
        <w:tc>
          <w:tcPr>
            <w:tcW w:w="1034" w:type="dxa"/>
            <w:tcBorders>
              <w:top w:val="nil"/>
              <w:left w:val="nil"/>
              <w:bottom w:val="single" w:sz="4" w:space="0" w:color="auto"/>
              <w:right w:val="single" w:sz="8" w:space="0" w:color="auto"/>
            </w:tcBorders>
            <w:shd w:val="clear" w:color="000000" w:fill="FCE4D6"/>
            <w:noWrap/>
            <w:vAlign w:val="center"/>
          </w:tcPr>
          <w:p w14:paraId="40F5B058" w14:textId="77777777" w:rsidR="00003C2E" w:rsidRPr="00003C2E" w:rsidRDefault="00003C2E" w:rsidP="00411064">
            <w:pPr>
              <w:jc w:val="center"/>
              <w:rPr>
                <w:rFonts w:eastAsia="Times New Roman"/>
                <w:b/>
                <w:bCs/>
                <w:color w:val="000000"/>
                <w:sz w:val="20"/>
                <w:szCs w:val="20"/>
                <w:lang w:eastAsia="sl-SI"/>
              </w:rPr>
            </w:pPr>
            <w:r w:rsidRPr="00003C2E">
              <w:rPr>
                <w:rFonts w:eastAsia="Times New Roman"/>
                <w:b/>
                <w:bCs/>
                <w:sz w:val="20"/>
                <w:szCs w:val="20"/>
                <w:lang w:val="en-US"/>
              </w:rPr>
              <w:t>1,6%</w:t>
            </w:r>
          </w:p>
        </w:tc>
      </w:tr>
      <w:tr w:rsidR="00003C2E" w:rsidRPr="00003C2E" w14:paraId="505ACB0A" w14:textId="77777777" w:rsidTr="00F8364C">
        <w:trPr>
          <w:trHeight w:val="315"/>
        </w:trPr>
        <w:tc>
          <w:tcPr>
            <w:tcW w:w="2400" w:type="dxa"/>
            <w:tcBorders>
              <w:top w:val="nil"/>
              <w:left w:val="single" w:sz="8" w:space="0" w:color="auto"/>
              <w:bottom w:val="nil"/>
              <w:right w:val="single" w:sz="4" w:space="0" w:color="auto"/>
            </w:tcBorders>
            <w:shd w:val="clear" w:color="000000" w:fill="FCE4D6"/>
            <w:vAlign w:val="center"/>
            <w:hideMark/>
          </w:tcPr>
          <w:p w14:paraId="01AC4FF5" w14:textId="77777777" w:rsidR="00003C2E" w:rsidRPr="00003C2E" w:rsidRDefault="00003C2E" w:rsidP="00411064">
            <w:pPr>
              <w:jc w:val="left"/>
              <w:rPr>
                <w:rFonts w:eastAsia="Times New Roman"/>
                <w:b/>
                <w:bCs/>
                <w:color w:val="000000"/>
                <w:sz w:val="20"/>
                <w:szCs w:val="20"/>
                <w:lang w:eastAsia="sl-SI"/>
              </w:rPr>
            </w:pPr>
            <w:r w:rsidRPr="00003C2E">
              <w:rPr>
                <w:rFonts w:eastAsia="Times New Roman"/>
                <w:b/>
                <w:bCs/>
                <w:color w:val="000000"/>
                <w:sz w:val="20"/>
                <w:szCs w:val="20"/>
                <w:lang w:eastAsia="sl-SI"/>
              </w:rPr>
              <w:t>Oprostitve šolnin SKUPAJ</w:t>
            </w:r>
          </w:p>
        </w:tc>
        <w:tc>
          <w:tcPr>
            <w:tcW w:w="3969" w:type="dxa"/>
            <w:tcBorders>
              <w:top w:val="nil"/>
              <w:left w:val="nil"/>
              <w:bottom w:val="nil"/>
              <w:right w:val="single" w:sz="4" w:space="0" w:color="auto"/>
            </w:tcBorders>
            <w:shd w:val="clear" w:color="000000" w:fill="FCE4D6"/>
            <w:noWrap/>
            <w:vAlign w:val="bottom"/>
            <w:hideMark/>
          </w:tcPr>
          <w:p w14:paraId="4A841BE8" w14:textId="77777777" w:rsidR="00003C2E" w:rsidRPr="00003C2E" w:rsidRDefault="00003C2E" w:rsidP="00411064">
            <w:pPr>
              <w:jc w:val="left"/>
              <w:rPr>
                <w:rFonts w:eastAsia="Times New Roman"/>
                <w:color w:val="000000"/>
                <w:sz w:val="20"/>
                <w:szCs w:val="20"/>
                <w:lang w:eastAsia="sl-SI"/>
              </w:rPr>
            </w:pPr>
            <w:r w:rsidRPr="00003C2E">
              <w:rPr>
                <w:rFonts w:eastAsia="Times New Roman"/>
                <w:color w:val="000000"/>
                <w:sz w:val="20"/>
                <w:szCs w:val="20"/>
                <w:lang w:eastAsia="sl-SI"/>
              </w:rPr>
              <w:t> </w:t>
            </w:r>
          </w:p>
        </w:tc>
        <w:tc>
          <w:tcPr>
            <w:tcW w:w="1150" w:type="dxa"/>
            <w:tcBorders>
              <w:top w:val="nil"/>
              <w:left w:val="nil"/>
              <w:bottom w:val="nil"/>
              <w:right w:val="single" w:sz="4" w:space="0" w:color="auto"/>
            </w:tcBorders>
            <w:shd w:val="clear" w:color="000000" w:fill="FCE4D6"/>
            <w:vAlign w:val="center"/>
            <w:hideMark/>
          </w:tcPr>
          <w:p w14:paraId="492F6C13" w14:textId="77777777" w:rsidR="00003C2E" w:rsidRPr="00003C2E" w:rsidRDefault="00003C2E" w:rsidP="00411064">
            <w:pPr>
              <w:jc w:val="right"/>
              <w:rPr>
                <w:rFonts w:eastAsia="Times New Roman"/>
                <w:b/>
                <w:bCs/>
                <w:color w:val="000000"/>
                <w:sz w:val="20"/>
                <w:szCs w:val="20"/>
                <w:lang w:eastAsia="sl-SI"/>
              </w:rPr>
            </w:pPr>
            <w:r w:rsidRPr="00003C2E">
              <w:rPr>
                <w:rFonts w:eastAsia="Times New Roman"/>
                <w:b/>
                <w:bCs/>
                <w:color w:val="000000"/>
                <w:sz w:val="20"/>
                <w:szCs w:val="20"/>
                <w:lang w:eastAsia="sl-SI"/>
              </w:rPr>
              <w:t>14.756.000</w:t>
            </w:r>
          </w:p>
        </w:tc>
        <w:tc>
          <w:tcPr>
            <w:tcW w:w="1034" w:type="dxa"/>
            <w:tcBorders>
              <w:top w:val="nil"/>
              <w:left w:val="nil"/>
              <w:bottom w:val="single" w:sz="4" w:space="0" w:color="auto"/>
              <w:right w:val="single" w:sz="8" w:space="0" w:color="auto"/>
            </w:tcBorders>
            <w:shd w:val="clear" w:color="000000" w:fill="FCE4D6"/>
            <w:noWrap/>
            <w:vAlign w:val="center"/>
          </w:tcPr>
          <w:p w14:paraId="3B51E8BF" w14:textId="77777777" w:rsidR="00003C2E" w:rsidRPr="00003C2E" w:rsidRDefault="00003C2E" w:rsidP="00411064">
            <w:pPr>
              <w:jc w:val="center"/>
              <w:rPr>
                <w:rFonts w:eastAsia="Times New Roman"/>
                <w:b/>
                <w:bCs/>
                <w:color w:val="000000"/>
                <w:sz w:val="20"/>
                <w:szCs w:val="20"/>
                <w:lang w:eastAsia="sl-SI"/>
              </w:rPr>
            </w:pPr>
            <w:r w:rsidRPr="00003C2E">
              <w:rPr>
                <w:rFonts w:eastAsia="Times New Roman"/>
                <w:b/>
                <w:bCs/>
                <w:sz w:val="20"/>
                <w:szCs w:val="20"/>
                <w:lang w:val="en-US"/>
              </w:rPr>
              <w:t>98,4%</w:t>
            </w:r>
          </w:p>
        </w:tc>
      </w:tr>
      <w:tr w:rsidR="00003C2E" w:rsidRPr="00003C2E" w14:paraId="0307AC99" w14:textId="77777777" w:rsidTr="00F8364C">
        <w:trPr>
          <w:trHeight w:val="315"/>
        </w:trPr>
        <w:tc>
          <w:tcPr>
            <w:tcW w:w="2400" w:type="dxa"/>
            <w:tcBorders>
              <w:top w:val="single" w:sz="8" w:space="0" w:color="auto"/>
              <w:left w:val="single" w:sz="8" w:space="0" w:color="auto"/>
              <w:bottom w:val="single" w:sz="8" w:space="0" w:color="auto"/>
              <w:right w:val="single" w:sz="4" w:space="0" w:color="auto"/>
            </w:tcBorders>
            <w:shd w:val="clear" w:color="000000" w:fill="F4B084"/>
            <w:noWrap/>
            <w:vAlign w:val="bottom"/>
            <w:hideMark/>
          </w:tcPr>
          <w:p w14:paraId="462C2ECD" w14:textId="77777777" w:rsidR="00003C2E" w:rsidRPr="00003C2E" w:rsidRDefault="00003C2E" w:rsidP="00411064">
            <w:pPr>
              <w:jc w:val="left"/>
              <w:rPr>
                <w:rFonts w:eastAsia="Times New Roman"/>
                <w:b/>
                <w:bCs/>
                <w:color w:val="000000"/>
                <w:sz w:val="20"/>
                <w:szCs w:val="20"/>
                <w:lang w:eastAsia="sl-SI"/>
              </w:rPr>
            </w:pPr>
            <w:r w:rsidRPr="00003C2E">
              <w:rPr>
                <w:rFonts w:eastAsia="Times New Roman"/>
                <w:b/>
                <w:bCs/>
                <w:color w:val="000000"/>
                <w:sz w:val="20"/>
                <w:szCs w:val="20"/>
                <w:lang w:eastAsia="sl-SI"/>
              </w:rPr>
              <w:t>SKUPAJ</w:t>
            </w:r>
          </w:p>
        </w:tc>
        <w:tc>
          <w:tcPr>
            <w:tcW w:w="3969" w:type="dxa"/>
            <w:tcBorders>
              <w:top w:val="single" w:sz="8" w:space="0" w:color="auto"/>
              <w:left w:val="nil"/>
              <w:bottom w:val="single" w:sz="8" w:space="0" w:color="auto"/>
              <w:right w:val="single" w:sz="4" w:space="0" w:color="auto"/>
            </w:tcBorders>
            <w:shd w:val="clear" w:color="000000" w:fill="F4B084"/>
            <w:noWrap/>
            <w:vAlign w:val="bottom"/>
            <w:hideMark/>
          </w:tcPr>
          <w:p w14:paraId="280C4517" w14:textId="77777777" w:rsidR="00003C2E" w:rsidRPr="00003C2E" w:rsidRDefault="00003C2E" w:rsidP="00411064">
            <w:pPr>
              <w:jc w:val="left"/>
              <w:rPr>
                <w:rFonts w:eastAsia="Times New Roman"/>
                <w:color w:val="000000"/>
                <w:sz w:val="20"/>
                <w:szCs w:val="20"/>
                <w:lang w:eastAsia="sl-SI"/>
              </w:rPr>
            </w:pPr>
            <w:r w:rsidRPr="00003C2E">
              <w:rPr>
                <w:rFonts w:eastAsia="Times New Roman"/>
                <w:color w:val="000000"/>
                <w:sz w:val="20"/>
                <w:szCs w:val="20"/>
                <w:lang w:eastAsia="sl-SI"/>
              </w:rPr>
              <w:t> </w:t>
            </w:r>
          </w:p>
        </w:tc>
        <w:tc>
          <w:tcPr>
            <w:tcW w:w="1150" w:type="dxa"/>
            <w:tcBorders>
              <w:top w:val="single" w:sz="8" w:space="0" w:color="auto"/>
              <w:left w:val="nil"/>
              <w:bottom w:val="single" w:sz="8" w:space="0" w:color="auto"/>
              <w:right w:val="single" w:sz="4" w:space="0" w:color="auto"/>
            </w:tcBorders>
            <w:shd w:val="clear" w:color="000000" w:fill="F4B084"/>
            <w:noWrap/>
            <w:vAlign w:val="bottom"/>
            <w:hideMark/>
          </w:tcPr>
          <w:p w14:paraId="79C35C4B" w14:textId="77777777" w:rsidR="00003C2E" w:rsidRPr="00003C2E" w:rsidRDefault="00003C2E" w:rsidP="00411064">
            <w:pPr>
              <w:jc w:val="right"/>
              <w:rPr>
                <w:rFonts w:eastAsia="Times New Roman"/>
                <w:b/>
                <w:bCs/>
                <w:color w:val="000000"/>
                <w:sz w:val="20"/>
                <w:szCs w:val="20"/>
                <w:lang w:eastAsia="sl-SI"/>
              </w:rPr>
            </w:pPr>
            <w:r w:rsidRPr="00003C2E">
              <w:rPr>
                <w:rFonts w:eastAsia="Times New Roman"/>
                <w:b/>
                <w:bCs/>
                <w:color w:val="000000"/>
                <w:sz w:val="20"/>
                <w:szCs w:val="20"/>
                <w:lang w:eastAsia="sl-SI"/>
              </w:rPr>
              <w:t>14.995.625</w:t>
            </w:r>
          </w:p>
        </w:tc>
        <w:tc>
          <w:tcPr>
            <w:tcW w:w="1034" w:type="dxa"/>
            <w:tcBorders>
              <w:top w:val="single" w:sz="8" w:space="0" w:color="auto"/>
              <w:left w:val="nil"/>
              <w:bottom w:val="single" w:sz="8" w:space="0" w:color="auto"/>
              <w:right w:val="single" w:sz="8" w:space="0" w:color="auto"/>
            </w:tcBorders>
            <w:shd w:val="clear" w:color="000000" w:fill="F4B084"/>
            <w:noWrap/>
            <w:vAlign w:val="bottom"/>
            <w:hideMark/>
          </w:tcPr>
          <w:p w14:paraId="56B89A63" w14:textId="77777777" w:rsidR="00003C2E" w:rsidRPr="00003C2E" w:rsidRDefault="00003C2E" w:rsidP="00411064">
            <w:pPr>
              <w:jc w:val="center"/>
              <w:rPr>
                <w:rFonts w:eastAsia="Times New Roman"/>
                <w:b/>
                <w:bCs/>
                <w:color w:val="000000"/>
                <w:sz w:val="20"/>
                <w:szCs w:val="20"/>
                <w:lang w:eastAsia="sl-SI"/>
              </w:rPr>
            </w:pPr>
            <w:r w:rsidRPr="00003C2E">
              <w:rPr>
                <w:rFonts w:eastAsia="Times New Roman"/>
                <w:b/>
                <w:bCs/>
                <w:color w:val="000000"/>
                <w:sz w:val="20"/>
                <w:szCs w:val="20"/>
                <w:lang w:eastAsia="sl-SI"/>
              </w:rPr>
              <w:t>100 %</w:t>
            </w:r>
          </w:p>
        </w:tc>
      </w:tr>
    </w:tbl>
    <w:p w14:paraId="58751AE2" w14:textId="77777777" w:rsidR="00003C2E" w:rsidRPr="00003C2E" w:rsidRDefault="00003C2E" w:rsidP="00411064">
      <w:pPr>
        <w:rPr>
          <w:rFonts w:eastAsia="Times New Roman"/>
          <w:sz w:val="20"/>
          <w:szCs w:val="20"/>
        </w:rPr>
      </w:pPr>
    </w:p>
    <w:p w14:paraId="1F953DE0" w14:textId="77777777" w:rsidR="003069B3" w:rsidRPr="00003C2E" w:rsidRDefault="00003C2E" w:rsidP="00411064">
      <w:pPr>
        <w:spacing w:line="276" w:lineRule="auto"/>
        <w:rPr>
          <w:b/>
          <w:sz w:val="20"/>
          <w:szCs w:val="20"/>
        </w:rPr>
      </w:pPr>
      <w:bookmarkStart w:id="27" w:name="_Hlk219299428"/>
      <w:r w:rsidRPr="00003C2E">
        <w:rPr>
          <w:rFonts w:eastAsia="Times New Roman"/>
          <w:sz w:val="20"/>
          <w:szCs w:val="20"/>
        </w:rPr>
        <w:t xml:space="preserve">V letu 2024 je </w:t>
      </w:r>
      <w:r w:rsidR="009B2715">
        <w:rPr>
          <w:rFonts w:eastAsia="Times New Roman"/>
          <w:sz w:val="20"/>
          <w:szCs w:val="20"/>
        </w:rPr>
        <w:t>RS</w:t>
      </w:r>
      <w:r w:rsidRPr="00003C2E">
        <w:rPr>
          <w:rFonts w:eastAsia="Times New Roman"/>
          <w:sz w:val="20"/>
          <w:szCs w:val="20"/>
        </w:rPr>
        <w:t xml:space="preserve"> za oprostitev šolnin in štipendije na podlagi sklenjenih dvostranskih sporazumov namenila skupaj 15.730.825 EUR ali 34 </w:t>
      </w:r>
      <w:r w:rsidR="00310AFC">
        <w:rPr>
          <w:rFonts w:eastAsia="Times New Roman"/>
          <w:sz w:val="20"/>
          <w:szCs w:val="20"/>
        </w:rPr>
        <w:t>%</w:t>
      </w:r>
      <w:r w:rsidRPr="00003C2E">
        <w:rPr>
          <w:rFonts w:eastAsia="Times New Roman"/>
          <w:sz w:val="20"/>
          <w:szCs w:val="20"/>
        </w:rPr>
        <w:t xml:space="preserve"> razpoložljive dvostranske razvojne pomoči. </w:t>
      </w:r>
      <w:bookmarkEnd w:id="27"/>
      <w:r w:rsidRPr="00003C2E">
        <w:rPr>
          <w:rFonts w:eastAsia="Times New Roman"/>
          <w:sz w:val="20"/>
          <w:szCs w:val="20"/>
        </w:rPr>
        <w:t xml:space="preserve">Od tega je bilo 15.421.000 EUR ali 98 </w:t>
      </w:r>
      <w:r w:rsidR="00310AFC">
        <w:rPr>
          <w:rFonts w:eastAsia="Times New Roman"/>
          <w:sz w:val="20"/>
          <w:szCs w:val="20"/>
        </w:rPr>
        <w:t>%</w:t>
      </w:r>
      <w:r w:rsidRPr="00003C2E">
        <w:rPr>
          <w:rFonts w:eastAsia="Times New Roman"/>
          <w:sz w:val="20"/>
          <w:szCs w:val="20"/>
        </w:rPr>
        <w:t xml:space="preserve"> za oprostitve šolnin in 309.825 EUR ali 2 </w:t>
      </w:r>
      <w:r w:rsidR="00310AFC">
        <w:rPr>
          <w:rFonts w:eastAsia="Times New Roman"/>
          <w:sz w:val="20"/>
          <w:szCs w:val="20"/>
        </w:rPr>
        <w:t>%</w:t>
      </w:r>
      <w:r w:rsidRPr="00003C2E">
        <w:rPr>
          <w:rFonts w:eastAsia="Times New Roman"/>
          <w:sz w:val="20"/>
          <w:szCs w:val="20"/>
        </w:rPr>
        <w:t xml:space="preserve"> za štipendije in plačilo šolnin. Od tega 95,3 </w:t>
      </w:r>
      <w:r w:rsidR="00310AFC">
        <w:rPr>
          <w:rFonts w:eastAsia="Times New Roman"/>
          <w:sz w:val="20"/>
          <w:szCs w:val="20"/>
        </w:rPr>
        <w:t>%</w:t>
      </w:r>
      <w:r w:rsidRPr="00003C2E">
        <w:rPr>
          <w:rFonts w:eastAsia="Times New Roman"/>
          <w:sz w:val="20"/>
          <w:szCs w:val="20"/>
        </w:rPr>
        <w:t xml:space="preserve"> na Zahodnem Balkanu za 14.756.000 EUR oprostitev šolnin in za 239.625 EUR štipendij.</w:t>
      </w:r>
    </w:p>
    <w:p w14:paraId="3B7388D3" w14:textId="77777777" w:rsidR="00E951D7" w:rsidRDefault="00E951D7" w:rsidP="00411064">
      <w:pPr>
        <w:spacing w:line="276" w:lineRule="auto"/>
        <w:rPr>
          <w:b/>
          <w:sz w:val="20"/>
          <w:szCs w:val="20"/>
        </w:rPr>
      </w:pPr>
    </w:p>
    <w:p w14:paraId="5A54E74F" w14:textId="77777777" w:rsidR="00411064" w:rsidRPr="00432C4F" w:rsidRDefault="00411064" w:rsidP="00411064">
      <w:pPr>
        <w:spacing w:line="276" w:lineRule="auto"/>
        <w:rPr>
          <w:b/>
          <w:sz w:val="20"/>
          <w:szCs w:val="20"/>
        </w:rPr>
      </w:pPr>
    </w:p>
    <w:p w14:paraId="063AA7AE" w14:textId="77777777" w:rsidR="00E951D7" w:rsidRPr="00E0169C" w:rsidRDefault="00E951D7" w:rsidP="00411064">
      <w:pPr>
        <w:pStyle w:val="Heading3"/>
        <w:rPr>
          <w:lang w:eastAsia="sl-SI"/>
        </w:rPr>
      </w:pPr>
      <w:bookmarkStart w:id="28" w:name="_Toc227227970"/>
      <w:r>
        <w:rPr>
          <w:lang w:eastAsia="sl-SI"/>
        </w:rPr>
        <w:t xml:space="preserve">5.1. </w:t>
      </w:r>
      <w:r w:rsidRPr="00E0169C">
        <w:rPr>
          <w:lang w:eastAsia="sl-SI"/>
        </w:rPr>
        <w:t>Krepitev sodelovanja na področju evropske kohezijske politike in regionalnega razvoja</w:t>
      </w:r>
      <w:bookmarkEnd w:id="28"/>
    </w:p>
    <w:p w14:paraId="133F79DB" w14:textId="77777777" w:rsidR="00E951D7" w:rsidRPr="00E0169C" w:rsidRDefault="00E951D7" w:rsidP="00411064">
      <w:pPr>
        <w:spacing w:line="276" w:lineRule="auto"/>
        <w:rPr>
          <w:rFonts w:eastAsia="Calibri"/>
          <w:b/>
          <w:sz w:val="20"/>
          <w:szCs w:val="20"/>
        </w:rPr>
      </w:pPr>
    </w:p>
    <w:p w14:paraId="05329084" w14:textId="77777777" w:rsidR="00D453C9" w:rsidRDefault="00390EBD" w:rsidP="00411064">
      <w:pPr>
        <w:spacing w:line="276" w:lineRule="auto"/>
        <w:rPr>
          <w:rFonts w:eastAsia="Calibri"/>
          <w:bCs/>
          <w:sz w:val="20"/>
          <w:szCs w:val="20"/>
        </w:rPr>
      </w:pPr>
      <w:r>
        <w:rPr>
          <w:rFonts w:eastAsia="Calibri"/>
          <w:bCs/>
          <w:sz w:val="20"/>
          <w:szCs w:val="20"/>
        </w:rPr>
        <w:t>MKRR</w:t>
      </w:r>
      <w:r w:rsidR="00D453C9" w:rsidRPr="00D453C9">
        <w:rPr>
          <w:rFonts w:eastAsia="Calibri"/>
          <w:bCs/>
          <w:sz w:val="20"/>
          <w:szCs w:val="20"/>
        </w:rPr>
        <w:t xml:space="preserve"> sodeluje pri izmenjavi izkušenj in pri predaji informacij državam Zahodnega Balkana na področju evropske kohezijske politike in regionalnega razvoja, saj so slovenske izkušnje zaradi geografske bližine, podobnih jezikov in skupne zgodovine državam Zahodnega Balkana blizu in so zato za njih lažje prenosljive.</w:t>
      </w:r>
    </w:p>
    <w:p w14:paraId="7FDED624" w14:textId="77777777" w:rsidR="00A21F8F" w:rsidRPr="00D453C9" w:rsidRDefault="00A21F8F" w:rsidP="00411064">
      <w:pPr>
        <w:spacing w:line="276" w:lineRule="auto"/>
        <w:rPr>
          <w:rFonts w:eastAsia="Calibri"/>
          <w:bCs/>
          <w:sz w:val="20"/>
          <w:szCs w:val="20"/>
        </w:rPr>
      </w:pPr>
    </w:p>
    <w:p w14:paraId="22CA1A24" w14:textId="77777777" w:rsidR="00D453C9" w:rsidRPr="00D453C9" w:rsidRDefault="00390EBD" w:rsidP="00411064">
      <w:pPr>
        <w:spacing w:line="276" w:lineRule="auto"/>
        <w:rPr>
          <w:rFonts w:eastAsia="Calibri"/>
          <w:bCs/>
          <w:sz w:val="20"/>
          <w:szCs w:val="20"/>
        </w:rPr>
      </w:pPr>
      <w:r>
        <w:rPr>
          <w:rFonts w:eastAsia="Calibri"/>
          <w:bCs/>
          <w:sz w:val="20"/>
          <w:szCs w:val="20"/>
        </w:rPr>
        <w:t>MKRR</w:t>
      </w:r>
      <w:r w:rsidR="00D453C9" w:rsidRPr="00D453C9">
        <w:rPr>
          <w:rFonts w:eastAsia="Calibri"/>
          <w:bCs/>
          <w:sz w:val="20"/>
          <w:szCs w:val="20"/>
        </w:rPr>
        <w:t xml:space="preserve"> je septembra 2025 sodelovalo pri izvedbi študijskega obiska delegacije iz </w:t>
      </w:r>
      <w:r w:rsidR="00945E65">
        <w:rPr>
          <w:rFonts w:eastAsia="Calibri"/>
          <w:bCs/>
          <w:sz w:val="20"/>
          <w:szCs w:val="20"/>
        </w:rPr>
        <w:t>BiH</w:t>
      </w:r>
      <w:r w:rsidR="00D453C9" w:rsidRPr="00D453C9">
        <w:rPr>
          <w:rFonts w:eastAsia="Calibri"/>
          <w:bCs/>
          <w:sz w:val="20"/>
          <w:szCs w:val="20"/>
        </w:rPr>
        <w:t xml:space="preserve"> v okviru projekta EU4PAR, podprtega s strani </w:t>
      </w:r>
      <w:r>
        <w:rPr>
          <w:rFonts w:eastAsia="Calibri"/>
          <w:bCs/>
          <w:sz w:val="20"/>
          <w:szCs w:val="20"/>
        </w:rPr>
        <w:t>EU</w:t>
      </w:r>
      <w:r w:rsidR="00D453C9" w:rsidRPr="00D453C9">
        <w:rPr>
          <w:rFonts w:eastAsia="Calibri"/>
          <w:bCs/>
          <w:sz w:val="20"/>
          <w:szCs w:val="20"/>
        </w:rPr>
        <w:t>. Namen projekta je izboljšati učinkovitost, transparentnost in profesionalnost javne uprave ter jo približati standardom EU.</w:t>
      </w:r>
    </w:p>
    <w:p w14:paraId="3E59A2AE" w14:textId="77777777" w:rsidR="00D453C9" w:rsidRPr="00D453C9" w:rsidRDefault="00D453C9" w:rsidP="00411064">
      <w:pPr>
        <w:spacing w:line="276" w:lineRule="auto"/>
        <w:rPr>
          <w:rFonts w:eastAsia="Calibri"/>
          <w:bCs/>
          <w:sz w:val="20"/>
          <w:szCs w:val="20"/>
        </w:rPr>
      </w:pPr>
    </w:p>
    <w:p w14:paraId="0FC2D19E" w14:textId="77777777" w:rsidR="00D453C9" w:rsidRPr="00D453C9" w:rsidRDefault="00D453C9" w:rsidP="00411064">
      <w:pPr>
        <w:spacing w:line="276" w:lineRule="auto"/>
        <w:rPr>
          <w:rFonts w:eastAsia="Calibri"/>
          <w:bCs/>
          <w:sz w:val="20"/>
          <w:szCs w:val="20"/>
        </w:rPr>
      </w:pPr>
      <w:r w:rsidRPr="00D453C9">
        <w:rPr>
          <w:rFonts w:eastAsia="Calibri"/>
          <w:bCs/>
          <w:sz w:val="20"/>
          <w:szCs w:val="20"/>
        </w:rPr>
        <w:t xml:space="preserve">Javnim uslužbencem iz </w:t>
      </w:r>
      <w:r w:rsidR="00945E65">
        <w:rPr>
          <w:rFonts w:eastAsia="Calibri"/>
          <w:bCs/>
          <w:sz w:val="20"/>
          <w:szCs w:val="20"/>
        </w:rPr>
        <w:t>BiH</w:t>
      </w:r>
      <w:r w:rsidRPr="00D453C9">
        <w:rPr>
          <w:rFonts w:eastAsia="Calibri"/>
          <w:bCs/>
          <w:sz w:val="20"/>
          <w:szCs w:val="20"/>
        </w:rPr>
        <w:t xml:space="preserve"> na nacionalni in regionalni ravni so bile predstavljene konkretne izkušnje </w:t>
      </w:r>
      <w:r w:rsidR="003B6859">
        <w:rPr>
          <w:rFonts w:eastAsia="Calibri"/>
          <w:bCs/>
          <w:sz w:val="20"/>
          <w:szCs w:val="20"/>
        </w:rPr>
        <w:t>RS</w:t>
      </w:r>
      <w:r w:rsidRPr="00D453C9">
        <w:rPr>
          <w:rFonts w:eastAsia="Calibri"/>
          <w:bCs/>
          <w:sz w:val="20"/>
          <w:szCs w:val="20"/>
        </w:rPr>
        <w:t xml:space="preserve"> na področju kohezijske politike in izvajanja programov Interreg ter na področju regionalnega razvoja. Udeleženci so se med drugim seznanili z izzivi upravljanja in nadzora evropskih strukturnih in investicijskih skladov, s pomenom učinkovite horizontalne koordinacije med ministrstvi ter s partnerstvom z deležniki na nacionalni, regionalni in lokalni ravni.</w:t>
      </w:r>
    </w:p>
    <w:p w14:paraId="3FF05D29" w14:textId="77777777" w:rsidR="00D453C9" w:rsidRPr="00D453C9" w:rsidRDefault="00D453C9" w:rsidP="00411064">
      <w:pPr>
        <w:spacing w:line="276" w:lineRule="auto"/>
        <w:rPr>
          <w:rFonts w:eastAsia="Calibri"/>
          <w:bCs/>
          <w:sz w:val="20"/>
          <w:szCs w:val="20"/>
        </w:rPr>
      </w:pPr>
    </w:p>
    <w:p w14:paraId="0332C1AB" w14:textId="77777777" w:rsidR="00D453C9" w:rsidRPr="00D453C9" w:rsidRDefault="00D453C9" w:rsidP="00411064">
      <w:pPr>
        <w:spacing w:line="276" w:lineRule="auto"/>
        <w:rPr>
          <w:rFonts w:eastAsia="Calibri"/>
          <w:bCs/>
          <w:sz w:val="20"/>
          <w:szCs w:val="20"/>
        </w:rPr>
      </w:pPr>
      <w:r w:rsidRPr="00D453C9">
        <w:rPr>
          <w:rFonts w:eastAsia="Calibri"/>
          <w:bCs/>
          <w:sz w:val="20"/>
          <w:szCs w:val="20"/>
        </w:rPr>
        <w:t>Tovrstna srečanja predstavljajo tudi dodatno spodbudo za krepitev sodelovanja na EUSAIR, EUSDR ter transnacionalnih programov Podonavje in IPA ADRION, v katerih sodelujejo države Zahodnega Balkana.</w:t>
      </w:r>
    </w:p>
    <w:p w14:paraId="4D3C7372" w14:textId="77777777" w:rsidR="00E951D7" w:rsidRDefault="00E951D7" w:rsidP="00411064">
      <w:pPr>
        <w:spacing w:line="276" w:lineRule="auto"/>
        <w:rPr>
          <w:b/>
          <w:color w:val="FF0000"/>
          <w:sz w:val="20"/>
          <w:szCs w:val="20"/>
        </w:rPr>
      </w:pPr>
    </w:p>
    <w:p w14:paraId="2325AA58" w14:textId="77777777" w:rsidR="00411064" w:rsidRPr="00432C4F" w:rsidRDefault="00411064" w:rsidP="00411064">
      <w:pPr>
        <w:spacing w:line="276" w:lineRule="auto"/>
        <w:rPr>
          <w:b/>
          <w:color w:val="FF0000"/>
          <w:sz w:val="20"/>
          <w:szCs w:val="20"/>
        </w:rPr>
      </w:pPr>
    </w:p>
    <w:p w14:paraId="7704B8D9" w14:textId="77777777" w:rsidR="005547B0" w:rsidRPr="008626F5" w:rsidRDefault="005547B0" w:rsidP="00411064">
      <w:pPr>
        <w:pStyle w:val="Heading2"/>
      </w:pPr>
      <w:bookmarkStart w:id="29" w:name="_Toc227227971"/>
      <w:r w:rsidRPr="008626F5">
        <w:t xml:space="preserve">Krepitev sodelovanja na področju </w:t>
      </w:r>
      <w:r w:rsidR="00CA48F8" w:rsidRPr="008626F5">
        <w:t>obrambe, varnosti in pravosodja</w:t>
      </w:r>
      <w:r w:rsidRPr="008626F5">
        <w:t xml:space="preserve"> (obramba, notranje zadeve, obvladovanje nesreč</w:t>
      </w:r>
      <w:r w:rsidR="00BA1233" w:rsidRPr="008626F5">
        <w:t>, pravosodje, javna uprava</w:t>
      </w:r>
      <w:r w:rsidR="009E4074" w:rsidRPr="008626F5">
        <w:t xml:space="preserve">, </w:t>
      </w:r>
      <w:r w:rsidR="00C5403E" w:rsidRPr="008626F5">
        <w:t xml:space="preserve">informacijska varnost, digitalna preobrazba, </w:t>
      </w:r>
      <w:r w:rsidR="009E4074" w:rsidRPr="008626F5">
        <w:t>varovanje tajnih podatkov</w:t>
      </w:r>
      <w:r w:rsidRPr="008626F5">
        <w:t>)</w:t>
      </w:r>
      <w:bookmarkEnd w:id="29"/>
    </w:p>
    <w:p w14:paraId="0B345698" w14:textId="77777777" w:rsidR="005547B0" w:rsidRDefault="005547B0" w:rsidP="00411064">
      <w:pPr>
        <w:spacing w:line="276" w:lineRule="auto"/>
        <w:rPr>
          <w:sz w:val="20"/>
          <w:szCs w:val="20"/>
        </w:rPr>
      </w:pPr>
    </w:p>
    <w:p w14:paraId="71EABF23" w14:textId="77777777" w:rsidR="00411064" w:rsidRPr="00432C4F" w:rsidRDefault="00411064" w:rsidP="00411064">
      <w:pPr>
        <w:spacing w:line="276" w:lineRule="auto"/>
        <w:rPr>
          <w:sz w:val="20"/>
          <w:szCs w:val="20"/>
        </w:rPr>
      </w:pPr>
    </w:p>
    <w:p w14:paraId="55B38B36" w14:textId="77777777" w:rsidR="00380C9C" w:rsidRPr="00432C4F" w:rsidRDefault="00AE2B8C" w:rsidP="00411064">
      <w:pPr>
        <w:pStyle w:val="Heading3"/>
      </w:pPr>
      <w:bookmarkStart w:id="30" w:name="_Toc227227972"/>
      <w:r w:rsidRPr="00432C4F">
        <w:t>6</w:t>
      </w:r>
      <w:r w:rsidR="00380C9C" w:rsidRPr="00432C4F">
        <w:t>.1. Krepitev sodelovanja na področju obrambe</w:t>
      </w:r>
      <w:bookmarkEnd w:id="30"/>
    </w:p>
    <w:p w14:paraId="63F08D3A" w14:textId="77777777" w:rsidR="00380C9C" w:rsidRPr="00432C4F" w:rsidRDefault="00380C9C" w:rsidP="00411064">
      <w:pPr>
        <w:spacing w:line="276" w:lineRule="auto"/>
        <w:rPr>
          <w:sz w:val="20"/>
          <w:szCs w:val="20"/>
        </w:rPr>
      </w:pPr>
    </w:p>
    <w:p w14:paraId="1E66D884" w14:textId="77777777" w:rsidR="009917BB" w:rsidRPr="00C23AB5" w:rsidRDefault="00C23AB5" w:rsidP="00411064">
      <w:pPr>
        <w:autoSpaceDE w:val="0"/>
        <w:autoSpaceDN w:val="0"/>
        <w:adjustRightInd w:val="0"/>
        <w:spacing w:line="276" w:lineRule="auto"/>
        <w:jc w:val="left"/>
        <w:rPr>
          <w:rFonts w:eastAsia="Calibri"/>
          <w:b/>
          <w:bCs/>
          <w:sz w:val="20"/>
          <w:szCs w:val="20"/>
          <w:lang w:eastAsia="sl-SI"/>
        </w:rPr>
      </w:pPr>
      <w:r w:rsidRPr="00C23AB5">
        <w:rPr>
          <w:rFonts w:eastAsia="Calibri"/>
          <w:b/>
          <w:bCs/>
          <w:sz w:val="20"/>
          <w:szCs w:val="20"/>
          <w:lang w:eastAsia="sl-SI"/>
        </w:rPr>
        <w:t>Dvostransko sodelovanje</w:t>
      </w:r>
    </w:p>
    <w:p w14:paraId="6A8D0FC0" w14:textId="77777777" w:rsidR="009917BB" w:rsidRPr="009917BB" w:rsidRDefault="009917BB" w:rsidP="00411064">
      <w:pPr>
        <w:autoSpaceDE w:val="0"/>
        <w:autoSpaceDN w:val="0"/>
        <w:adjustRightInd w:val="0"/>
        <w:spacing w:line="276" w:lineRule="auto"/>
        <w:jc w:val="left"/>
        <w:rPr>
          <w:rFonts w:eastAsia="Calibri"/>
          <w:b/>
          <w:bCs/>
          <w:sz w:val="20"/>
          <w:szCs w:val="20"/>
          <w:lang w:eastAsia="sl-SI"/>
        </w:rPr>
      </w:pPr>
    </w:p>
    <w:p w14:paraId="40A223BF" w14:textId="77777777" w:rsidR="009917BB" w:rsidRPr="00000B77" w:rsidRDefault="009917BB" w:rsidP="00411064">
      <w:pPr>
        <w:autoSpaceDE w:val="0"/>
        <w:autoSpaceDN w:val="0"/>
        <w:adjustRightInd w:val="0"/>
        <w:spacing w:line="276" w:lineRule="auto"/>
        <w:rPr>
          <w:rFonts w:eastAsia="Calibri"/>
          <w:b/>
          <w:bCs/>
          <w:sz w:val="20"/>
          <w:szCs w:val="20"/>
          <w:lang w:eastAsia="sl-SI"/>
        </w:rPr>
      </w:pPr>
      <w:r w:rsidRPr="00000B77">
        <w:rPr>
          <w:rFonts w:eastAsia="Calibri"/>
          <w:b/>
          <w:bCs/>
          <w:sz w:val="20"/>
          <w:szCs w:val="20"/>
          <w:lang w:eastAsia="sl-SI"/>
        </w:rPr>
        <w:t>Albanija</w:t>
      </w:r>
    </w:p>
    <w:p w14:paraId="27423EEA" w14:textId="77777777" w:rsidR="009917BB" w:rsidRPr="00000B77"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 xml:space="preserve">Sodelovanje </w:t>
      </w:r>
      <w:r w:rsidR="00E029A3">
        <w:rPr>
          <w:rFonts w:eastAsia="Calibri"/>
          <w:sz w:val="20"/>
          <w:szCs w:val="20"/>
          <w:lang w:eastAsia="sl-SI"/>
        </w:rPr>
        <w:t xml:space="preserve">z Albanijo </w:t>
      </w:r>
      <w:r w:rsidRPr="00000B77">
        <w:rPr>
          <w:rFonts w:eastAsia="Calibri"/>
          <w:sz w:val="20"/>
          <w:szCs w:val="20"/>
          <w:lang w:eastAsia="sl-SI"/>
        </w:rPr>
        <w:t xml:space="preserve">je </w:t>
      </w:r>
      <w:r w:rsidR="00E029A3">
        <w:rPr>
          <w:rFonts w:eastAsia="Calibri"/>
          <w:sz w:val="20"/>
          <w:szCs w:val="20"/>
          <w:lang w:eastAsia="sl-SI"/>
        </w:rPr>
        <w:t xml:space="preserve">v letu 2025 </w:t>
      </w:r>
      <w:r w:rsidRPr="00000B77">
        <w:rPr>
          <w:rFonts w:eastAsia="Calibri"/>
          <w:sz w:val="20"/>
          <w:szCs w:val="20"/>
          <w:lang w:eastAsia="sl-SI"/>
        </w:rPr>
        <w:t>potekalo v okviru regionalnih pobud</w:t>
      </w:r>
      <w:r w:rsidR="00E029A3">
        <w:rPr>
          <w:rFonts w:eastAsia="Calibri"/>
          <w:sz w:val="20"/>
          <w:szCs w:val="20"/>
          <w:lang w:eastAsia="sl-SI"/>
        </w:rPr>
        <w:t xml:space="preserve">. </w:t>
      </w:r>
      <w:r w:rsidRPr="00000B77">
        <w:rPr>
          <w:rFonts w:eastAsia="Calibri"/>
          <w:sz w:val="20"/>
          <w:szCs w:val="20"/>
          <w:lang w:eastAsia="sl-SI"/>
        </w:rPr>
        <w:t>V Albaniji je nerezidenčno akreditiran obrambni ataše polkovnik Ivan Turnšek.</w:t>
      </w:r>
    </w:p>
    <w:p w14:paraId="33745965" w14:textId="77777777" w:rsidR="009917BB" w:rsidRPr="00000B77" w:rsidRDefault="009917BB" w:rsidP="00411064">
      <w:pPr>
        <w:autoSpaceDE w:val="0"/>
        <w:autoSpaceDN w:val="0"/>
        <w:adjustRightInd w:val="0"/>
        <w:spacing w:line="276" w:lineRule="auto"/>
        <w:rPr>
          <w:rFonts w:eastAsia="Calibri"/>
          <w:sz w:val="20"/>
          <w:szCs w:val="20"/>
          <w:lang w:eastAsia="sl-SI"/>
        </w:rPr>
      </w:pPr>
    </w:p>
    <w:p w14:paraId="11964EFC" w14:textId="77777777" w:rsidR="009917BB" w:rsidRPr="00000B77" w:rsidRDefault="00945E65" w:rsidP="00411064">
      <w:pPr>
        <w:autoSpaceDE w:val="0"/>
        <w:autoSpaceDN w:val="0"/>
        <w:adjustRightInd w:val="0"/>
        <w:spacing w:line="276" w:lineRule="auto"/>
        <w:rPr>
          <w:rFonts w:eastAsia="Calibri"/>
          <w:b/>
          <w:bCs/>
          <w:sz w:val="20"/>
          <w:szCs w:val="20"/>
          <w:lang w:eastAsia="sl-SI"/>
        </w:rPr>
      </w:pPr>
      <w:r>
        <w:rPr>
          <w:rFonts w:eastAsia="Calibri"/>
          <w:b/>
          <w:bCs/>
          <w:sz w:val="20"/>
          <w:szCs w:val="20"/>
          <w:lang w:eastAsia="sl-SI"/>
        </w:rPr>
        <w:t>BiH</w:t>
      </w:r>
    </w:p>
    <w:p w14:paraId="4E60E47A" w14:textId="77777777" w:rsidR="009917BB" w:rsidRPr="00000B77"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Načrt bilateralnega sodelovanja za leto 2025 je obsegal 20 aktivnosti. Poudarek je bil na sodelovanju</w:t>
      </w:r>
      <w:r w:rsidR="00000B77">
        <w:rPr>
          <w:rFonts w:eastAsia="Calibri"/>
          <w:sz w:val="20"/>
          <w:szCs w:val="20"/>
          <w:lang w:eastAsia="sl-SI"/>
        </w:rPr>
        <w:t xml:space="preserve"> </w:t>
      </w:r>
      <w:r w:rsidRPr="00000B77">
        <w:rPr>
          <w:rFonts w:eastAsia="Calibri"/>
          <w:sz w:val="20"/>
          <w:szCs w:val="20"/>
          <w:lang w:eastAsia="sl-SI"/>
        </w:rPr>
        <w:t>med oboroženimi silami z namenom skupnega izobraževanja in usposabljanja, sodelovanja na vajah</w:t>
      </w:r>
      <w:r w:rsidR="00000B77">
        <w:rPr>
          <w:rFonts w:eastAsia="Calibri"/>
          <w:sz w:val="20"/>
          <w:szCs w:val="20"/>
          <w:lang w:eastAsia="sl-SI"/>
        </w:rPr>
        <w:t xml:space="preserve"> </w:t>
      </w:r>
      <w:r w:rsidRPr="00000B77">
        <w:rPr>
          <w:rFonts w:eastAsia="Calibri"/>
          <w:sz w:val="20"/>
          <w:szCs w:val="20"/>
          <w:lang w:eastAsia="sl-SI"/>
        </w:rPr>
        <w:t xml:space="preserve">ter prenosa znanj in izkušenj s specifičnih področij operativnega delovanja. Izvajale so se tudi aktivnosti, ki niso bile striktno zapisane v načrtu, vendar krepijo dvostransko sodelovanje. V </w:t>
      </w:r>
      <w:r w:rsidR="00945E65">
        <w:rPr>
          <w:rFonts w:eastAsia="Calibri"/>
          <w:sz w:val="20"/>
          <w:szCs w:val="20"/>
          <w:lang w:eastAsia="sl-SI"/>
        </w:rPr>
        <w:t>BiH</w:t>
      </w:r>
      <w:r w:rsidRPr="00000B77">
        <w:rPr>
          <w:rFonts w:eastAsia="Calibri"/>
          <w:sz w:val="20"/>
          <w:szCs w:val="20"/>
          <w:lang w:eastAsia="sl-SI"/>
        </w:rPr>
        <w:t xml:space="preserve"> je bil do oktobra 2025 rezidenčno akreditiran obrambni ataše polkovnik Tadej Burgar. Na akreditacijo novega atašeja še čakamo (op. predlog za akreditacijo za novega obrambnega atašeja R</w:t>
      </w:r>
      <w:r w:rsidR="009A2537">
        <w:rPr>
          <w:rFonts w:eastAsia="Calibri"/>
          <w:sz w:val="20"/>
          <w:szCs w:val="20"/>
          <w:lang w:eastAsia="sl-SI"/>
        </w:rPr>
        <w:t>S</w:t>
      </w:r>
      <w:r w:rsidRPr="00000B77">
        <w:rPr>
          <w:rFonts w:eastAsia="Calibri"/>
          <w:sz w:val="20"/>
          <w:szCs w:val="20"/>
          <w:lang w:eastAsia="sl-SI"/>
        </w:rPr>
        <w:t xml:space="preserve"> v </w:t>
      </w:r>
      <w:r w:rsidR="00945E65">
        <w:rPr>
          <w:rFonts w:eastAsia="Calibri"/>
          <w:sz w:val="20"/>
          <w:szCs w:val="20"/>
          <w:lang w:eastAsia="sl-SI"/>
        </w:rPr>
        <w:t>BiH</w:t>
      </w:r>
      <w:r w:rsidRPr="00000B77">
        <w:rPr>
          <w:rFonts w:eastAsia="Calibri"/>
          <w:sz w:val="20"/>
          <w:szCs w:val="20"/>
          <w:lang w:eastAsia="sl-SI"/>
        </w:rPr>
        <w:t xml:space="preserve"> smo posredovali že 18. avgusta 2025).</w:t>
      </w:r>
    </w:p>
    <w:p w14:paraId="7629E85F" w14:textId="77777777" w:rsidR="009917BB" w:rsidRPr="00000B77" w:rsidRDefault="009917BB" w:rsidP="00411064">
      <w:pPr>
        <w:autoSpaceDE w:val="0"/>
        <w:autoSpaceDN w:val="0"/>
        <w:adjustRightInd w:val="0"/>
        <w:spacing w:line="276" w:lineRule="auto"/>
        <w:rPr>
          <w:rFonts w:eastAsia="Calibri"/>
          <w:sz w:val="20"/>
          <w:szCs w:val="20"/>
          <w:lang w:eastAsia="sl-SI"/>
        </w:rPr>
      </w:pPr>
    </w:p>
    <w:p w14:paraId="40C46C5D" w14:textId="77777777" w:rsidR="009917BB" w:rsidRPr="00000B77"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 xml:space="preserve">MO je v okviru celovitega pristopa k mednarodnim operacijam in misijam v letu 2025 nadaljevalo s podporo projektu mednarodnega razvojnega sodelovanja »Prva pomoč – povsod in za vsakogar«, ki ga v </w:t>
      </w:r>
      <w:r w:rsidR="00945E65">
        <w:rPr>
          <w:rFonts w:eastAsia="Calibri"/>
          <w:sz w:val="20"/>
          <w:szCs w:val="20"/>
          <w:lang w:eastAsia="sl-SI"/>
        </w:rPr>
        <w:t>BiH</w:t>
      </w:r>
      <w:r w:rsidRPr="00000B77">
        <w:rPr>
          <w:rFonts w:eastAsia="Calibri"/>
          <w:sz w:val="20"/>
          <w:szCs w:val="20"/>
          <w:lang w:eastAsia="sl-SI"/>
        </w:rPr>
        <w:t xml:space="preserve"> izvaja Rdeči križ Slovenije. Projekt poteka v obliki partnerskega sodelovanja med MO,</w:t>
      </w:r>
      <w:r w:rsidR="00000B77" w:rsidRPr="00000B77">
        <w:rPr>
          <w:rFonts w:eastAsia="Calibri"/>
          <w:sz w:val="20"/>
          <w:szCs w:val="20"/>
          <w:lang w:eastAsia="sl-SI"/>
        </w:rPr>
        <w:t xml:space="preserve"> </w:t>
      </w:r>
      <w:r w:rsidRPr="00000B77">
        <w:rPr>
          <w:rFonts w:eastAsia="Calibri"/>
          <w:sz w:val="20"/>
          <w:szCs w:val="20"/>
          <w:lang w:eastAsia="sl-SI"/>
        </w:rPr>
        <w:t xml:space="preserve">Rdečim križem Slovenije, Rdečim križem obeh entitet </w:t>
      </w:r>
      <w:r w:rsidR="00945E65">
        <w:rPr>
          <w:rFonts w:eastAsia="Calibri"/>
          <w:sz w:val="20"/>
          <w:szCs w:val="20"/>
          <w:lang w:eastAsia="sl-SI"/>
        </w:rPr>
        <w:t>BiH</w:t>
      </w:r>
      <w:r w:rsidRPr="00000B77">
        <w:rPr>
          <w:rFonts w:eastAsia="Calibri"/>
          <w:sz w:val="20"/>
          <w:szCs w:val="20"/>
          <w:lang w:eastAsia="sl-SI"/>
        </w:rPr>
        <w:t xml:space="preserve"> ter vojaškimi in civilnimi strukturami </w:t>
      </w:r>
      <w:r w:rsidR="00945E65">
        <w:rPr>
          <w:rFonts w:eastAsia="Calibri"/>
          <w:sz w:val="20"/>
          <w:szCs w:val="20"/>
          <w:lang w:eastAsia="sl-SI"/>
        </w:rPr>
        <w:t>BiH</w:t>
      </w:r>
      <w:r w:rsidRPr="00000B77">
        <w:rPr>
          <w:rFonts w:eastAsia="Calibri"/>
          <w:sz w:val="20"/>
          <w:szCs w:val="20"/>
          <w:lang w:eastAsia="sl-SI"/>
        </w:rPr>
        <w:t xml:space="preserve">, pri čemer je MO prispevalo finančno, strokovno ter organizacijsko podporo. Na ta način smo pomagali zgraditi zmogljivosti Rdečega križa v obeh entitetah v </w:t>
      </w:r>
      <w:r w:rsidR="00945E65">
        <w:rPr>
          <w:rFonts w:eastAsia="Calibri"/>
          <w:sz w:val="20"/>
          <w:szCs w:val="20"/>
          <w:lang w:eastAsia="sl-SI"/>
        </w:rPr>
        <w:t>BiH</w:t>
      </w:r>
      <w:r w:rsidRPr="00000B77">
        <w:rPr>
          <w:rFonts w:eastAsia="Calibri"/>
          <w:sz w:val="20"/>
          <w:szCs w:val="20"/>
          <w:lang w:eastAsia="sl-SI"/>
        </w:rPr>
        <w:t>, kjer potekajo usposabljanja predavateljev,</w:t>
      </w:r>
      <w:r w:rsidR="00BB3996">
        <w:rPr>
          <w:rFonts w:eastAsia="Calibri"/>
          <w:sz w:val="20"/>
          <w:szCs w:val="20"/>
          <w:lang w:eastAsia="sl-SI"/>
        </w:rPr>
        <w:t xml:space="preserve"> </w:t>
      </w:r>
      <w:r w:rsidRPr="00000B77">
        <w:rPr>
          <w:rFonts w:eastAsia="Calibri"/>
          <w:sz w:val="20"/>
          <w:szCs w:val="20"/>
          <w:lang w:eastAsia="sl-SI"/>
        </w:rPr>
        <w:t>inštruktorjev, javnih uslužbencev in civilnega prebivalstva, pri čemer je poudarek na mladini. S tem</w:t>
      </w:r>
      <w:r w:rsidR="00BB3996">
        <w:rPr>
          <w:rFonts w:eastAsia="Calibri"/>
          <w:sz w:val="20"/>
          <w:szCs w:val="20"/>
          <w:lang w:eastAsia="sl-SI"/>
        </w:rPr>
        <w:t xml:space="preserve"> </w:t>
      </w:r>
      <w:r w:rsidRPr="00000B77">
        <w:rPr>
          <w:rFonts w:eastAsia="Calibri"/>
          <w:sz w:val="20"/>
          <w:szCs w:val="20"/>
          <w:lang w:eastAsia="sl-SI"/>
        </w:rPr>
        <w:t xml:space="preserve">prispevamo k promociji in prepoznavnosti RS ter slovenskega kontingenta v </w:t>
      </w:r>
      <w:r w:rsidR="00945E65">
        <w:rPr>
          <w:rFonts w:eastAsia="Calibri"/>
          <w:sz w:val="20"/>
          <w:szCs w:val="20"/>
          <w:lang w:eastAsia="sl-SI"/>
        </w:rPr>
        <w:t>BiH</w:t>
      </w:r>
      <w:r w:rsidRPr="00000B77">
        <w:rPr>
          <w:rFonts w:eastAsia="Calibri"/>
          <w:sz w:val="20"/>
          <w:szCs w:val="20"/>
          <w:lang w:eastAsia="sl-SI"/>
        </w:rPr>
        <w:t xml:space="preserve"> v vlogi subjekta, ki</w:t>
      </w:r>
      <w:r w:rsidR="00BB3996">
        <w:rPr>
          <w:rFonts w:eastAsia="Calibri"/>
          <w:sz w:val="20"/>
          <w:szCs w:val="20"/>
          <w:lang w:eastAsia="sl-SI"/>
        </w:rPr>
        <w:t xml:space="preserve"> </w:t>
      </w:r>
      <w:r w:rsidRPr="00000B77">
        <w:rPr>
          <w:rFonts w:eastAsia="Calibri"/>
          <w:sz w:val="20"/>
          <w:szCs w:val="20"/>
          <w:lang w:eastAsia="sl-SI"/>
        </w:rPr>
        <w:t>načela humanosti, nevtralnosti ter nevpletenosti postavlja v ospredje razvojnih in humanitarnih</w:t>
      </w:r>
      <w:r w:rsidR="00BB3996">
        <w:rPr>
          <w:rFonts w:eastAsia="Calibri"/>
          <w:sz w:val="20"/>
          <w:szCs w:val="20"/>
          <w:lang w:eastAsia="sl-SI"/>
        </w:rPr>
        <w:t xml:space="preserve"> </w:t>
      </w:r>
      <w:r w:rsidRPr="00000B77">
        <w:rPr>
          <w:rFonts w:eastAsia="Calibri"/>
          <w:sz w:val="20"/>
          <w:szCs w:val="20"/>
          <w:lang w:eastAsia="sl-SI"/>
        </w:rPr>
        <w:t>prizadevanj. Do sedaj je bilo v treh letih in pol nameščenih 49 avtomatičnih elektronskih defibrilatorjev</w:t>
      </w:r>
      <w:r w:rsidR="00BB3996">
        <w:rPr>
          <w:rFonts w:eastAsia="Calibri"/>
          <w:sz w:val="20"/>
          <w:szCs w:val="20"/>
          <w:lang w:eastAsia="sl-SI"/>
        </w:rPr>
        <w:t xml:space="preserve"> </w:t>
      </w:r>
      <w:r w:rsidRPr="00000B77">
        <w:rPr>
          <w:rFonts w:eastAsia="Calibri"/>
          <w:sz w:val="20"/>
          <w:szCs w:val="20"/>
          <w:lang w:eastAsia="sl-SI"/>
        </w:rPr>
        <w:t>(AED) ter doniranih 25 šolskih AED, 20 šolskih kompletov lutk za oživljanje, izvedenih 12 usposabljanj</w:t>
      </w:r>
      <w:r w:rsidR="00BB3996">
        <w:rPr>
          <w:rFonts w:eastAsia="Calibri"/>
          <w:sz w:val="20"/>
          <w:szCs w:val="20"/>
          <w:lang w:eastAsia="sl-SI"/>
        </w:rPr>
        <w:t xml:space="preserve"> </w:t>
      </w:r>
      <w:r w:rsidRPr="00000B77">
        <w:rPr>
          <w:rFonts w:eastAsia="Calibri"/>
          <w:sz w:val="20"/>
          <w:szCs w:val="20"/>
          <w:lang w:eastAsia="sl-SI"/>
        </w:rPr>
        <w:t xml:space="preserve">predavateljev Rdečega križa </w:t>
      </w:r>
      <w:r w:rsidR="00945E65">
        <w:rPr>
          <w:rFonts w:eastAsia="Calibri"/>
          <w:sz w:val="20"/>
          <w:szCs w:val="20"/>
          <w:lang w:eastAsia="sl-SI"/>
        </w:rPr>
        <w:t>BiH</w:t>
      </w:r>
      <w:r w:rsidRPr="00000B77">
        <w:rPr>
          <w:rFonts w:eastAsia="Calibri"/>
          <w:sz w:val="20"/>
          <w:szCs w:val="20"/>
          <w:lang w:eastAsia="sl-SI"/>
        </w:rPr>
        <w:t xml:space="preserve"> (usposobljenih 300 predavateljev Rdečega križa </w:t>
      </w:r>
      <w:r w:rsidR="00945E65">
        <w:rPr>
          <w:rFonts w:eastAsia="Calibri"/>
          <w:sz w:val="20"/>
          <w:szCs w:val="20"/>
          <w:lang w:eastAsia="sl-SI"/>
        </w:rPr>
        <w:t>BiH</w:t>
      </w:r>
      <w:r w:rsidRPr="00000B77">
        <w:rPr>
          <w:rFonts w:eastAsia="Calibri"/>
          <w:sz w:val="20"/>
          <w:szCs w:val="20"/>
          <w:lang w:eastAsia="sl-SI"/>
        </w:rPr>
        <w:t>) in 20</w:t>
      </w:r>
      <w:r w:rsidR="00BB3996">
        <w:rPr>
          <w:rFonts w:eastAsia="Calibri"/>
          <w:sz w:val="20"/>
          <w:szCs w:val="20"/>
          <w:lang w:eastAsia="sl-SI"/>
        </w:rPr>
        <w:t xml:space="preserve"> </w:t>
      </w:r>
      <w:r w:rsidRPr="00000B77">
        <w:rPr>
          <w:rFonts w:eastAsia="Calibri"/>
          <w:sz w:val="20"/>
          <w:szCs w:val="20"/>
          <w:lang w:eastAsia="sl-SI"/>
        </w:rPr>
        <w:t xml:space="preserve">usposabljanj prostovoljcev (usposobljenih 525 prostovoljcev Rdečega križa </w:t>
      </w:r>
      <w:r w:rsidR="00945E65">
        <w:rPr>
          <w:rFonts w:eastAsia="Calibri"/>
          <w:sz w:val="20"/>
          <w:szCs w:val="20"/>
          <w:lang w:eastAsia="sl-SI"/>
        </w:rPr>
        <w:t>BiH</w:t>
      </w:r>
      <w:r w:rsidRPr="00000B77">
        <w:rPr>
          <w:rFonts w:eastAsia="Calibri"/>
          <w:sz w:val="20"/>
          <w:szCs w:val="20"/>
          <w:lang w:eastAsia="sl-SI"/>
        </w:rPr>
        <w:t>). Na predstavitvah</w:t>
      </w:r>
      <w:r w:rsidR="00BB3996">
        <w:rPr>
          <w:rFonts w:eastAsia="Calibri"/>
          <w:sz w:val="20"/>
          <w:szCs w:val="20"/>
          <w:lang w:eastAsia="sl-SI"/>
        </w:rPr>
        <w:t xml:space="preserve"> </w:t>
      </w:r>
      <w:r w:rsidRPr="00000B77">
        <w:rPr>
          <w:rFonts w:eastAsia="Calibri"/>
          <w:sz w:val="20"/>
          <w:szCs w:val="20"/>
          <w:lang w:eastAsia="sl-SI"/>
        </w:rPr>
        <w:t>veščin temeljnih postopkov oživljanja na prostem, po šolah in trgovskih centrih v vseh občinah je</w:t>
      </w:r>
      <w:r w:rsidR="00BB3996">
        <w:rPr>
          <w:rFonts w:eastAsia="Calibri"/>
          <w:sz w:val="20"/>
          <w:szCs w:val="20"/>
          <w:lang w:eastAsia="sl-SI"/>
        </w:rPr>
        <w:t xml:space="preserve"> </w:t>
      </w:r>
      <w:r w:rsidRPr="00000B77">
        <w:rPr>
          <w:rFonts w:eastAsia="Calibri"/>
          <w:sz w:val="20"/>
          <w:szCs w:val="20"/>
          <w:lang w:eastAsia="sl-SI"/>
        </w:rPr>
        <w:t>pristopilo več kot 2.500 posameznikov (vključno s predstavniki oboroženih sil (60 pripadnikov vojaške</w:t>
      </w:r>
      <w:r w:rsidR="00BB3996">
        <w:rPr>
          <w:rFonts w:eastAsia="Calibri"/>
          <w:sz w:val="20"/>
          <w:szCs w:val="20"/>
          <w:lang w:eastAsia="sl-SI"/>
        </w:rPr>
        <w:t xml:space="preserve"> </w:t>
      </w:r>
      <w:r w:rsidRPr="00000B77">
        <w:rPr>
          <w:rFonts w:eastAsia="Calibri"/>
          <w:sz w:val="20"/>
          <w:szCs w:val="20"/>
          <w:lang w:eastAsia="sl-SI"/>
        </w:rPr>
        <w:t>policije)). Projekt je do sedaj zajel občine in mesta Kostajnica, Novi Grad, Oštra Luka, Prijedor, Kozarska</w:t>
      </w:r>
      <w:r w:rsidR="00000B77" w:rsidRPr="00000B77">
        <w:rPr>
          <w:rFonts w:eastAsia="Calibri"/>
          <w:sz w:val="20"/>
          <w:szCs w:val="20"/>
          <w:lang w:eastAsia="sl-SI"/>
        </w:rPr>
        <w:t xml:space="preserve"> </w:t>
      </w:r>
      <w:r w:rsidRPr="00000B77">
        <w:rPr>
          <w:rFonts w:eastAsia="Calibri"/>
          <w:sz w:val="20"/>
          <w:szCs w:val="20"/>
          <w:lang w:eastAsia="sl-SI"/>
        </w:rPr>
        <w:t>Dubica, Krupa na Uni, Sanski Most, Gradiška, Sarajevo (Stari grad, Centar, Novi grad, Rajlovac),</w:t>
      </w:r>
      <w:r w:rsidR="00000B77" w:rsidRPr="00000B77">
        <w:rPr>
          <w:rFonts w:eastAsia="Calibri"/>
          <w:sz w:val="20"/>
          <w:szCs w:val="20"/>
          <w:lang w:eastAsia="sl-SI"/>
        </w:rPr>
        <w:t xml:space="preserve"> </w:t>
      </w:r>
      <w:r w:rsidRPr="00000B77">
        <w:rPr>
          <w:rFonts w:eastAsia="Calibri"/>
          <w:sz w:val="20"/>
          <w:szCs w:val="20"/>
          <w:lang w:eastAsia="sl-SI"/>
        </w:rPr>
        <w:t xml:space="preserve">Derventa in Srbac. Partnerji na strani </w:t>
      </w:r>
      <w:r w:rsidR="00945E65">
        <w:rPr>
          <w:rFonts w:eastAsia="Calibri"/>
          <w:sz w:val="20"/>
          <w:szCs w:val="20"/>
          <w:lang w:eastAsia="sl-SI"/>
        </w:rPr>
        <w:t>BiH</w:t>
      </w:r>
      <w:r w:rsidRPr="00000B77">
        <w:rPr>
          <w:rFonts w:eastAsia="Calibri"/>
          <w:sz w:val="20"/>
          <w:szCs w:val="20"/>
          <w:lang w:eastAsia="sl-SI"/>
        </w:rPr>
        <w:t xml:space="preserve"> so izjemno zadovoljni z izvedbo usposabljanj, prejetim</w:t>
      </w:r>
      <w:r w:rsidR="00000B77" w:rsidRPr="00000B77">
        <w:rPr>
          <w:rFonts w:eastAsia="Calibri"/>
          <w:sz w:val="20"/>
          <w:szCs w:val="20"/>
          <w:lang w:eastAsia="sl-SI"/>
        </w:rPr>
        <w:t xml:space="preserve"> </w:t>
      </w:r>
      <w:r w:rsidRPr="00000B77">
        <w:rPr>
          <w:rFonts w:eastAsia="Calibri"/>
          <w:sz w:val="20"/>
          <w:szCs w:val="20"/>
          <w:lang w:eastAsia="sl-SI"/>
        </w:rPr>
        <w:t>znanjem ter donacijo nujno potrebnih materialnih sredstev, ki je drugače ne bi mogli nabaviti iz lokalnih</w:t>
      </w:r>
      <w:r w:rsidR="00000B77" w:rsidRPr="00000B77">
        <w:rPr>
          <w:rFonts w:eastAsia="Calibri"/>
          <w:sz w:val="20"/>
          <w:szCs w:val="20"/>
          <w:lang w:eastAsia="sl-SI"/>
        </w:rPr>
        <w:t xml:space="preserve"> </w:t>
      </w:r>
      <w:r w:rsidRPr="00000B77">
        <w:rPr>
          <w:rFonts w:eastAsia="Calibri"/>
          <w:sz w:val="20"/>
          <w:szCs w:val="20"/>
          <w:lang w:eastAsia="sl-SI"/>
        </w:rPr>
        <w:t>finančnih virov. Projekt »Prva pomoč – povsod in za vsakogar« vključuje tudi področje varnosti v</w:t>
      </w:r>
      <w:r w:rsidR="00000B77" w:rsidRPr="00000B77">
        <w:rPr>
          <w:rFonts w:eastAsia="Calibri"/>
          <w:sz w:val="20"/>
          <w:szCs w:val="20"/>
          <w:lang w:eastAsia="sl-SI"/>
        </w:rPr>
        <w:t xml:space="preserve"> </w:t>
      </w:r>
      <w:r w:rsidRPr="00000B77">
        <w:rPr>
          <w:rFonts w:eastAsia="Calibri"/>
          <w:sz w:val="20"/>
          <w:szCs w:val="20"/>
          <w:lang w:eastAsia="sl-SI"/>
        </w:rPr>
        <w:t>cestnem prometu.</w:t>
      </w:r>
    </w:p>
    <w:p w14:paraId="4A7DFC55" w14:textId="77777777" w:rsidR="009917BB" w:rsidRPr="00000B77" w:rsidRDefault="009917BB" w:rsidP="00411064">
      <w:pPr>
        <w:autoSpaceDE w:val="0"/>
        <w:autoSpaceDN w:val="0"/>
        <w:adjustRightInd w:val="0"/>
        <w:spacing w:line="276" w:lineRule="auto"/>
        <w:rPr>
          <w:rFonts w:eastAsia="Calibri"/>
          <w:sz w:val="20"/>
          <w:szCs w:val="20"/>
          <w:lang w:eastAsia="sl-SI"/>
        </w:rPr>
      </w:pPr>
    </w:p>
    <w:p w14:paraId="5E462CD5" w14:textId="77777777" w:rsidR="009917BB"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 xml:space="preserve">V </w:t>
      </w:r>
      <w:r w:rsidR="00945E65">
        <w:rPr>
          <w:rFonts w:eastAsia="Calibri"/>
          <w:sz w:val="20"/>
          <w:szCs w:val="20"/>
          <w:lang w:eastAsia="sl-SI"/>
        </w:rPr>
        <w:t>BiH</w:t>
      </w:r>
      <w:r w:rsidRPr="00000B77">
        <w:rPr>
          <w:rFonts w:eastAsia="Calibri"/>
          <w:sz w:val="20"/>
          <w:szCs w:val="20"/>
          <w:lang w:eastAsia="sl-SI"/>
        </w:rPr>
        <w:t xml:space="preserve"> smo v začetku maja 2025 predčasno uspešno zaključili vodenje projekta Natove pobude krepitve</w:t>
      </w:r>
      <w:r w:rsidR="00BB3996">
        <w:rPr>
          <w:rFonts w:eastAsia="Calibri"/>
          <w:sz w:val="20"/>
          <w:szCs w:val="20"/>
          <w:lang w:eastAsia="sl-SI"/>
        </w:rPr>
        <w:t xml:space="preserve"> </w:t>
      </w:r>
      <w:r w:rsidRPr="00000B77">
        <w:rPr>
          <w:rFonts w:eastAsia="Calibri"/>
          <w:sz w:val="20"/>
          <w:szCs w:val="20"/>
          <w:lang w:eastAsia="sl-SI"/>
        </w:rPr>
        <w:t>obrambnih zmogljivosti (</w:t>
      </w:r>
      <w:r w:rsidRPr="00000B77">
        <w:rPr>
          <w:rFonts w:eastAsia="Calibri"/>
          <w:i/>
          <w:iCs/>
          <w:sz w:val="20"/>
          <w:szCs w:val="20"/>
          <w:lang w:eastAsia="sl-SI"/>
        </w:rPr>
        <w:t xml:space="preserve">Defence Capability Building </w:t>
      </w:r>
      <w:r w:rsidRPr="00000B77">
        <w:rPr>
          <w:rFonts w:eastAsia="Calibri"/>
          <w:sz w:val="20"/>
          <w:szCs w:val="20"/>
          <w:lang w:eastAsia="sl-SI"/>
        </w:rPr>
        <w:t>– DCB) v podporo razvoju vojaške policije</w:t>
      </w:r>
      <w:r w:rsidR="00BB3996">
        <w:rPr>
          <w:rFonts w:eastAsia="Calibri"/>
          <w:sz w:val="20"/>
          <w:szCs w:val="20"/>
          <w:lang w:eastAsia="sl-SI"/>
        </w:rPr>
        <w:t xml:space="preserve"> </w:t>
      </w:r>
      <w:r w:rsidRPr="00000B77">
        <w:rPr>
          <w:rFonts w:eastAsia="Calibri"/>
          <w:sz w:val="20"/>
          <w:szCs w:val="20"/>
          <w:lang w:eastAsia="sl-SI"/>
        </w:rPr>
        <w:t xml:space="preserve">oboroženih sil </w:t>
      </w:r>
      <w:r w:rsidR="00945E65">
        <w:rPr>
          <w:rFonts w:eastAsia="Calibri"/>
          <w:sz w:val="20"/>
          <w:szCs w:val="20"/>
          <w:lang w:eastAsia="sl-SI"/>
        </w:rPr>
        <w:t>BiH</w:t>
      </w:r>
      <w:r w:rsidRPr="00000B77">
        <w:rPr>
          <w:rFonts w:eastAsia="Calibri"/>
          <w:sz w:val="20"/>
          <w:szCs w:val="20"/>
          <w:lang w:eastAsia="sl-SI"/>
        </w:rPr>
        <w:t>. S projektom se je zagotovilo nabavo štirih nadgrajenih specialnih vozil za vod</w:t>
      </w:r>
      <w:r w:rsidR="00BB3996">
        <w:rPr>
          <w:rFonts w:eastAsia="Calibri"/>
          <w:sz w:val="20"/>
          <w:szCs w:val="20"/>
          <w:lang w:eastAsia="sl-SI"/>
        </w:rPr>
        <w:t xml:space="preserve"> </w:t>
      </w:r>
      <w:r w:rsidRPr="00000B77">
        <w:rPr>
          <w:rFonts w:eastAsia="Calibri"/>
          <w:sz w:val="20"/>
          <w:szCs w:val="20"/>
          <w:lang w:eastAsia="sl-SI"/>
        </w:rPr>
        <w:t xml:space="preserve">vojaške policije oboroženih sil </w:t>
      </w:r>
      <w:r w:rsidR="00945E65">
        <w:rPr>
          <w:rFonts w:eastAsia="Calibri"/>
          <w:sz w:val="20"/>
          <w:szCs w:val="20"/>
          <w:lang w:eastAsia="sl-SI"/>
        </w:rPr>
        <w:t>BiH</w:t>
      </w:r>
      <w:r w:rsidRPr="00000B77">
        <w:rPr>
          <w:rFonts w:eastAsia="Calibri"/>
          <w:sz w:val="20"/>
          <w:szCs w:val="20"/>
          <w:lang w:eastAsia="sl-SI"/>
        </w:rPr>
        <w:t xml:space="preserve"> ter vzpostavilo celoten sistem vzdrževanja. Svečana predaja štirih</w:t>
      </w:r>
      <w:r w:rsidR="00BB3996">
        <w:rPr>
          <w:rFonts w:eastAsia="Calibri"/>
          <w:sz w:val="20"/>
          <w:szCs w:val="20"/>
          <w:lang w:eastAsia="sl-SI"/>
        </w:rPr>
        <w:t xml:space="preserve"> </w:t>
      </w:r>
      <w:r w:rsidRPr="00000B77">
        <w:rPr>
          <w:rFonts w:eastAsia="Calibri"/>
          <w:sz w:val="20"/>
          <w:szCs w:val="20"/>
          <w:lang w:eastAsia="sl-SI"/>
        </w:rPr>
        <w:t xml:space="preserve">specialnih vozil je potekala med 9. in 10. junijem 2025, ko se je na uradnem obisku v </w:t>
      </w:r>
      <w:r w:rsidR="00945E65">
        <w:rPr>
          <w:rFonts w:eastAsia="Calibri"/>
          <w:sz w:val="20"/>
          <w:szCs w:val="20"/>
          <w:lang w:eastAsia="sl-SI"/>
        </w:rPr>
        <w:t>BiH</w:t>
      </w:r>
      <w:r w:rsidRPr="00000B77">
        <w:rPr>
          <w:rFonts w:eastAsia="Calibri"/>
          <w:sz w:val="20"/>
          <w:szCs w:val="20"/>
          <w:lang w:eastAsia="sl-SI"/>
        </w:rPr>
        <w:t xml:space="preserve"> mudil minister</w:t>
      </w:r>
      <w:r w:rsidR="00BB3996">
        <w:rPr>
          <w:rFonts w:eastAsia="Calibri"/>
          <w:sz w:val="20"/>
          <w:szCs w:val="20"/>
          <w:lang w:eastAsia="sl-SI"/>
        </w:rPr>
        <w:t xml:space="preserve"> </w:t>
      </w:r>
      <w:r w:rsidRPr="00000B77">
        <w:rPr>
          <w:rFonts w:eastAsia="Calibri"/>
          <w:sz w:val="20"/>
          <w:szCs w:val="20"/>
          <w:lang w:eastAsia="sl-SI"/>
        </w:rPr>
        <w:t>za obrambo. Prek več izvedenih programov usposabljanj za voznike in vzdrževalce vozil se je zagotovilo</w:t>
      </w:r>
      <w:r w:rsidR="00BB3996">
        <w:rPr>
          <w:rFonts w:eastAsia="Calibri"/>
          <w:sz w:val="20"/>
          <w:szCs w:val="20"/>
          <w:lang w:eastAsia="sl-SI"/>
        </w:rPr>
        <w:t xml:space="preserve"> </w:t>
      </w:r>
      <w:r w:rsidRPr="00000B77">
        <w:rPr>
          <w:rFonts w:eastAsia="Calibri"/>
          <w:sz w:val="20"/>
          <w:szCs w:val="20"/>
          <w:lang w:eastAsia="sl-SI"/>
        </w:rPr>
        <w:t>potrebno znanje in veščine za dosego ene izmed ključnih zmogljivosti vojaške policije oboroženih sil</w:t>
      </w:r>
      <w:r w:rsidR="00BB3996">
        <w:rPr>
          <w:rFonts w:eastAsia="Calibri"/>
          <w:sz w:val="20"/>
          <w:szCs w:val="20"/>
          <w:lang w:eastAsia="sl-SI"/>
        </w:rPr>
        <w:t xml:space="preserve"> </w:t>
      </w:r>
      <w:r w:rsidR="00945E65">
        <w:rPr>
          <w:rFonts w:eastAsia="Calibri"/>
          <w:sz w:val="20"/>
          <w:szCs w:val="20"/>
          <w:lang w:eastAsia="sl-SI"/>
        </w:rPr>
        <w:t>BiH</w:t>
      </w:r>
      <w:r w:rsidRPr="00000B77">
        <w:rPr>
          <w:rFonts w:eastAsia="Calibri"/>
          <w:sz w:val="20"/>
          <w:szCs w:val="20"/>
          <w:lang w:eastAsia="sl-SI"/>
        </w:rPr>
        <w:t>. Gre za prvi tovrsten uspešno zaključen projekt od 12 DCB projektov za izgradnjo obrambnih</w:t>
      </w:r>
      <w:r w:rsidR="00BB3996">
        <w:rPr>
          <w:rFonts w:eastAsia="Calibri"/>
          <w:sz w:val="20"/>
          <w:szCs w:val="20"/>
          <w:lang w:eastAsia="sl-SI"/>
        </w:rPr>
        <w:t xml:space="preserve"> </w:t>
      </w:r>
      <w:r w:rsidRPr="00000B77">
        <w:rPr>
          <w:rFonts w:eastAsia="Calibri"/>
          <w:sz w:val="20"/>
          <w:szCs w:val="20"/>
          <w:lang w:eastAsia="sl-SI"/>
        </w:rPr>
        <w:t xml:space="preserve">zmogljivosti </w:t>
      </w:r>
      <w:r w:rsidR="00945E65">
        <w:rPr>
          <w:rFonts w:eastAsia="Calibri"/>
          <w:sz w:val="20"/>
          <w:szCs w:val="20"/>
          <w:lang w:eastAsia="sl-SI"/>
        </w:rPr>
        <w:t>BiH</w:t>
      </w:r>
      <w:r w:rsidRPr="00000B77">
        <w:rPr>
          <w:rFonts w:eastAsia="Calibri"/>
          <w:sz w:val="20"/>
          <w:szCs w:val="20"/>
          <w:lang w:eastAsia="sl-SI"/>
        </w:rPr>
        <w:t xml:space="preserve">. </w:t>
      </w:r>
      <w:proofErr w:type="spellStart"/>
      <w:r w:rsidR="004461D5">
        <w:rPr>
          <w:rFonts w:eastAsia="Calibri"/>
          <w:sz w:val="20"/>
          <w:szCs w:val="20"/>
          <w:lang w:eastAsia="sl-SI"/>
        </w:rPr>
        <w:t>International</w:t>
      </w:r>
      <w:proofErr w:type="spellEnd"/>
      <w:r w:rsidR="004461D5">
        <w:rPr>
          <w:rFonts w:eastAsia="Calibri"/>
          <w:sz w:val="20"/>
          <w:szCs w:val="20"/>
          <w:lang w:eastAsia="sl-SI"/>
        </w:rPr>
        <w:t xml:space="preserve"> </w:t>
      </w:r>
      <w:proofErr w:type="spellStart"/>
      <w:r w:rsidR="004461D5">
        <w:rPr>
          <w:rFonts w:eastAsia="Calibri"/>
          <w:sz w:val="20"/>
          <w:szCs w:val="20"/>
          <w:lang w:eastAsia="sl-SI"/>
        </w:rPr>
        <w:t>Staff</w:t>
      </w:r>
      <w:proofErr w:type="spellEnd"/>
      <w:r w:rsidR="004461D5">
        <w:rPr>
          <w:rFonts w:eastAsia="Calibri"/>
          <w:sz w:val="20"/>
          <w:szCs w:val="20"/>
          <w:lang w:eastAsia="sl-SI"/>
        </w:rPr>
        <w:t xml:space="preserve"> (IS)</w:t>
      </w:r>
      <w:r w:rsidRPr="00000B77">
        <w:rPr>
          <w:rFonts w:eastAsia="Calibri"/>
          <w:sz w:val="20"/>
          <w:szCs w:val="20"/>
          <w:lang w:eastAsia="sl-SI"/>
        </w:rPr>
        <w:t xml:space="preserve"> Nata je uspešno izveden projekt Vojaške policije, ki ga je v celoti izpeljala </w:t>
      </w:r>
      <w:r w:rsidR="009B2715">
        <w:rPr>
          <w:rFonts w:eastAsia="Calibri"/>
          <w:sz w:val="20"/>
          <w:szCs w:val="20"/>
          <w:lang w:eastAsia="sl-SI"/>
        </w:rPr>
        <w:t>RS</w:t>
      </w:r>
      <w:r w:rsidRPr="00000B77">
        <w:rPr>
          <w:rFonts w:eastAsia="Calibri"/>
          <w:sz w:val="20"/>
          <w:szCs w:val="20"/>
          <w:lang w:eastAsia="sl-SI"/>
        </w:rPr>
        <w:t>,</w:t>
      </w:r>
      <w:r w:rsidR="00BB3996">
        <w:rPr>
          <w:rFonts w:eastAsia="Calibri"/>
          <w:sz w:val="20"/>
          <w:szCs w:val="20"/>
          <w:lang w:eastAsia="sl-SI"/>
        </w:rPr>
        <w:t xml:space="preserve"> </w:t>
      </w:r>
      <w:r w:rsidRPr="00000B77">
        <w:rPr>
          <w:rFonts w:eastAsia="Calibri"/>
          <w:sz w:val="20"/>
          <w:szCs w:val="20"/>
          <w:lang w:eastAsia="sl-SI"/>
        </w:rPr>
        <w:t>izpostavil kot primer dobre prakse na letnem sestanku nacionalnih kontaktnih točk Natove pobude za</w:t>
      </w:r>
      <w:r w:rsidR="00BB3996">
        <w:rPr>
          <w:rFonts w:eastAsia="Calibri"/>
          <w:sz w:val="20"/>
          <w:szCs w:val="20"/>
          <w:lang w:eastAsia="sl-SI"/>
        </w:rPr>
        <w:t xml:space="preserve"> </w:t>
      </w:r>
      <w:r w:rsidRPr="00000B77">
        <w:rPr>
          <w:rFonts w:eastAsia="Calibri"/>
          <w:sz w:val="20"/>
          <w:szCs w:val="20"/>
          <w:lang w:eastAsia="sl-SI"/>
        </w:rPr>
        <w:t>izgradnjo obrambnih zmogljivosti partnerskih držav. Sodelovanje na področju vojaške policije se</w:t>
      </w:r>
      <w:r w:rsidR="00BB3996">
        <w:rPr>
          <w:rFonts w:eastAsia="Calibri"/>
          <w:sz w:val="20"/>
          <w:szCs w:val="20"/>
          <w:lang w:eastAsia="sl-SI"/>
        </w:rPr>
        <w:t xml:space="preserve"> </w:t>
      </w:r>
      <w:r w:rsidRPr="00000B77">
        <w:rPr>
          <w:rFonts w:eastAsia="Calibri"/>
          <w:sz w:val="20"/>
          <w:szCs w:val="20"/>
          <w:lang w:eastAsia="sl-SI"/>
        </w:rPr>
        <w:t>nadaljuje v bilateralni obliki in v sodelovanju z MZEZ skozi projekt tehnične pomoči, ki obsega številna</w:t>
      </w:r>
      <w:r w:rsidR="00BB3996">
        <w:rPr>
          <w:rFonts w:eastAsia="Calibri"/>
          <w:sz w:val="20"/>
          <w:szCs w:val="20"/>
          <w:lang w:eastAsia="sl-SI"/>
        </w:rPr>
        <w:t xml:space="preserve"> </w:t>
      </w:r>
      <w:r w:rsidRPr="00000B77">
        <w:rPr>
          <w:rFonts w:eastAsia="Calibri"/>
          <w:sz w:val="20"/>
          <w:szCs w:val="20"/>
          <w:lang w:eastAsia="sl-SI"/>
        </w:rPr>
        <w:t>usposabljanja za uporabo sodobnih tehnik in opreme ter ga izvajajo kriminalisti Vojaške policije</w:t>
      </w:r>
      <w:r w:rsidR="00BB3996">
        <w:rPr>
          <w:rFonts w:eastAsia="Calibri"/>
          <w:sz w:val="20"/>
          <w:szCs w:val="20"/>
          <w:lang w:eastAsia="sl-SI"/>
        </w:rPr>
        <w:t xml:space="preserve"> </w:t>
      </w:r>
      <w:r w:rsidRPr="00000B77">
        <w:rPr>
          <w:rFonts w:eastAsia="Calibri"/>
          <w:sz w:val="20"/>
          <w:szCs w:val="20"/>
          <w:lang w:eastAsia="sl-SI"/>
        </w:rPr>
        <w:t>Slovenske vojske (SV). V ta namen je Vlada RS 15. maja 2025 sprejela sklep o donaciji sodobne</w:t>
      </w:r>
      <w:r w:rsidR="00E029A3">
        <w:rPr>
          <w:rFonts w:eastAsia="Calibri"/>
          <w:sz w:val="20"/>
          <w:szCs w:val="20"/>
          <w:lang w:eastAsia="sl-SI"/>
        </w:rPr>
        <w:t xml:space="preserve"> </w:t>
      </w:r>
      <w:r w:rsidRPr="00000B77">
        <w:rPr>
          <w:rFonts w:eastAsia="Calibri"/>
          <w:sz w:val="20"/>
          <w:szCs w:val="20"/>
          <w:lang w:eastAsia="sl-SI"/>
        </w:rPr>
        <w:t xml:space="preserve">kriminalistične opreme za vojaško policijo </w:t>
      </w:r>
      <w:r w:rsidR="00945E65">
        <w:rPr>
          <w:rFonts w:eastAsia="Calibri"/>
          <w:sz w:val="20"/>
          <w:szCs w:val="20"/>
          <w:lang w:eastAsia="sl-SI"/>
        </w:rPr>
        <w:t>BiH</w:t>
      </w:r>
      <w:r w:rsidRPr="00000B77">
        <w:rPr>
          <w:rFonts w:eastAsia="Calibri"/>
          <w:sz w:val="20"/>
          <w:szCs w:val="20"/>
          <w:lang w:eastAsia="sl-SI"/>
        </w:rPr>
        <w:t>. Skozi leto so se odvijala usposabljanja vojaške policije</w:t>
      </w:r>
      <w:r w:rsidR="00BB3996">
        <w:rPr>
          <w:rFonts w:eastAsia="Calibri"/>
          <w:sz w:val="20"/>
          <w:szCs w:val="20"/>
          <w:lang w:eastAsia="sl-SI"/>
        </w:rPr>
        <w:t xml:space="preserve"> </w:t>
      </w:r>
      <w:r w:rsidR="00945E65">
        <w:rPr>
          <w:rFonts w:eastAsia="Calibri"/>
          <w:sz w:val="20"/>
          <w:szCs w:val="20"/>
          <w:lang w:eastAsia="sl-SI"/>
        </w:rPr>
        <w:t>BiH</w:t>
      </w:r>
      <w:r w:rsidRPr="00000B77">
        <w:rPr>
          <w:rFonts w:eastAsia="Calibri"/>
          <w:sz w:val="20"/>
          <w:szCs w:val="20"/>
          <w:lang w:eastAsia="sl-SI"/>
        </w:rPr>
        <w:t xml:space="preserve"> na temo preprečevanja in preiskovanja kriminalitete.</w:t>
      </w:r>
    </w:p>
    <w:p w14:paraId="4532CD0E" w14:textId="77777777" w:rsidR="00BB3996" w:rsidRPr="00000B77" w:rsidRDefault="00BB3996" w:rsidP="00411064">
      <w:pPr>
        <w:autoSpaceDE w:val="0"/>
        <w:autoSpaceDN w:val="0"/>
        <w:adjustRightInd w:val="0"/>
        <w:spacing w:line="276" w:lineRule="auto"/>
        <w:rPr>
          <w:rFonts w:eastAsia="Calibri"/>
          <w:sz w:val="20"/>
          <w:szCs w:val="20"/>
          <w:lang w:eastAsia="sl-SI"/>
        </w:rPr>
      </w:pPr>
    </w:p>
    <w:p w14:paraId="48F17E95" w14:textId="77777777" w:rsidR="009917BB"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 xml:space="preserve">Minister za obrambo </w:t>
      </w:r>
      <w:r w:rsidR="00945E65">
        <w:rPr>
          <w:rFonts w:eastAsia="Calibri"/>
          <w:sz w:val="20"/>
          <w:szCs w:val="20"/>
          <w:lang w:eastAsia="sl-SI"/>
        </w:rPr>
        <w:t>BiH</w:t>
      </w:r>
      <w:r w:rsidRPr="00000B77">
        <w:rPr>
          <w:rFonts w:eastAsia="Calibri"/>
          <w:sz w:val="20"/>
          <w:szCs w:val="20"/>
          <w:lang w:eastAsia="sl-SI"/>
        </w:rPr>
        <w:t xml:space="preserve"> Zukan Helez je v oktobru obiskal obrambni sejem SIDEC. Ob bilateralnih</w:t>
      </w:r>
      <w:r w:rsidR="00BB3996">
        <w:rPr>
          <w:rFonts w:eastAsia="Calibri"/>
          <w:sz w:val="20"/>
          <w:szCs w:val="20"/>
          <w:lang w:eastAsia="sl-SI"/>
        </w:rPr>
        <w:t xml:space="preserve"> </w:t>
      </w:r>
      <w:r w:rsidRPr="00000B77">
        <w:rPr>
          <w:rFonts w:eastAsia="Calibri"/>
          <w:sz w:val="20"/>
          <w:szCs w:val="20"/>
          <w:lang w:eastAsia="sl-SI"/>
        </w:rPr>
        <w:t xml:space="preserve">pogovorih je bil izražen interes </w:t>
      </w:r>
      <w:r w:rsidR="00945E65">
        <w:rPr>
          <w:rFonts w:eastAsia="Calibri"/>
          <w:sz w:val="20"/>
          <w:szCs w:val="20"/>
          <w:lang w:eastAsia="sl-SI"/>
        </w:rPr>
        <w:t>BiH</w:t>
      </w:r>
      <w:r w:rsidRPr="00000B77">
        <w:rPr>
          <w:rFonts w:eastAsia="Calibri"/>
          <w:sz w:val="20"/>
          <w:szCs w:val="20"/>
          <w:lang w:eastAsia="sl-SI"/>
        </w:rPr>
        <w:t xml:space="preserve"> glede sodelovanja na področju vojaške zgodovine.</w:t>
      </w:r>
    </w:p>
    <w:p w14:paraId="7391F491" w14:textId="77777777" w:rsidR="00BB3996" w:rsidRPr="00000B77" w:rsidRDefault="00BB3996" w:rsidP="00411064">
      <w:pPr>
        <w:autoSpaceDE w:val="0"/>
        <w:autoSpaceDN w:val="0"/>
        <w:adjustRightInd w:val="0"/>
        <w:spacing w:line="276" w:lineRule="auto"/>
        <w:rPr>
          <w:rFonts w:eastAsia="Calibri"/>
          <w:sz w:val="20"/>
          <w:szCs w:val="20"/>
          <w:lang w:eastAsia="sl-SI"/>
        </w:rPr>
      </w:pPr>
    </w:p>
    <w:p w14:paraId="416041BB" w14:textId="77777777" w:rsidR="009917BB"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 xml:space="preserve">V okviru izvajanja projektov civilno-vojaškega sodelovanja (CIMIC) je MO v letu 2025 v </w:t>
      </w:r>
      <w:r w:rsidR="00885BB9">
        <w:rPr>
          <w:rFonts w:eastAsia="Calibri"/>
          <w:sz w:val="20"/>
          <w:szCs w:val="20"/>
          <w:lang w:eastAsia="sl-SI"/>
        </w:rPr>
        <w:t>B</w:t>
      </w:r>
      <w:r w:rsidR="00390EBD">
        <w:rPr>
          <w:rFonts w:eastAsia="Calibri"/>
          <w:sz w:val="20"/>
          <w:szCs w:val="20"/>
          <w:lang w:eastAsia="sl-SI"/>
        </w:rPr>
        <w:t>i</w:t>
      </w:r>
      <w:r w:rsidR="00885BB9">
        <w:rPr>
          <w:rFonts w:eastAsia="Calibri"/>
          <w:sz w:val="20"/>
          <w:szCs w:val="20"/>
          <w:lang w:eastAsia="sl-SI"/>
        </w:rPr>
        <w:t>H</w:t>
      </w:r>
      <w:r w:rsidRPr="00000B77">
        <w:rPr>
          <w:rFonts w:eastAsia="Calibri"/>
          <w:sz w:val="20"/>
          <w:szCs w:val="20"/>
          <w:lang w:eastAsia="sl-SI"/>
        </w:rPr>
        <w:t xml:space="preserve"> izpeljalo</w:t>
      </w:r>
      <w:r w:rsidR="00BB3996">
        <w:rPr>
          <w:rFonts w:eastAsia="Calibri"/>
          <w:sz w:val="20"/>
          <w:szCs w:val="20"/>
          <w:lang w:eastAsia="sl-SI"/>
        </w:rPr>
        <w:t xml:space="preserve"> </w:t>
      </w:r>
      <w:r w:rsidRPr="00000B77">
        <w:rPr>
          <w:rFonts w:eastAsia="Calibri"/>
          <w:sz w:val="20"/>
          <w:szCs w:val="20"/>
          <w:lang w:eastAsia="sl-SI"/>
        </w:rPr>
        <w:t>projekte Obnova mladinskega centra Prijedor, usposabljanje s področja Kibernetske varnosti (realiziran</w:t>
      </w:r>
      <w:r w:rsidR="00BB3996">
        <w:rPr>
          <w:rFonts w:eastAsia="Calibri"/>
          <w:sz w:val="20"/>
          <w:szCs w:val="20"/>
          <w:lang w:eastAsia="sl-SI"/>
        </w:rPr>
        <w:t xml:space="preserve"> </w:t>
      </w:r>
      <w:r w:rsidRPr="00000B77">
        <w:rPr>
          <w:rFonts w:eastAsia="Calibri"/>
          <w:sz w:val="20"/>
          <w:szCs w:val="20"/>
          <w:lang w:eastAsia="sl-SI"/>
        </w:rPr>
        <w:t>v občinah Sanski Most, Oštra Luka in Novi Grad), Opremljanje šolskega igrišča OŠ Hasan Kikić v</w:t>
      </w:r>
      <w:r w:rsidR="00BB3996">
        <w:rPr>
          <w:rFonts w:eastAsia="Calibri"/>
          <w:sz w:val="20"/>
          <w:szCs w:val="20"/>
          <w:lang w:eastAsia="sl-SI"/>
        </w:rPr>
        <w:t xml:space="preserve"> </w:t>
      </w:r>
      <w:r w:rsidRPr="00000B77">
        <w:rPr>
          <w:rFonts w:eastAsia="Calibri"/>
          <w:sz w:val="20"/>
          <w:szCs w:val="20"/>
          <w:lang w:eastAsia="sl-SI"/>
        </w:rPr>
        <w:t>Sanskem mostu. V drugi polovici leta smo v sodelovanju z Upravo RS za zaščito in reševanje (URSZR)</w:t>
      </w:r>
      <w:r w:rsidR="00BB3996">
        <w:rPr>
          <w:rFonts w:eastAsia="Calibri"/>
          <w:sz w:val="20"/>
          <w:szCs w:val="20"/>
          <w:lang w:eastAsia="sl-SI"/>
        </w:rPr>
        <w:t xml:space="preserve"> </w:t>
      </w:r>
      <w:r w:rsidRPr="00000B77">
        <w:rPr>
          <w:rFonts w:eastAsia="Calibri"/>
          <w:sz w:val="20"/>
          <w:szCs w:val="20"/>
          <w:lang w:eastAsia="sl-SI"/>
        </w:rPr>
        <w:t>izvedli projekt Usposabljanje gasilcev, ki se nadaljuje tudi v letu 2026. Za nadaljevanje izvajanja projekta</w:t>
      </w:r>
      <w:r w:rsidR="00BB3996">
        <w:rPr>
          <w:rFonts w:eastAsia="Calibri"/>
          <w:sz w:val="20"/>
          <w:szCs w:val="20"/>
          <w:lang w:eastAsia="sl-SI"/>
        </w:rPr>
        <w:t xml:space="preserve"> </w:t>
      </w:r>
      <w:r w:rsidRPr="00000B77">
        <w:rPr>
          <w:rFonts w:eastAsia="Calibri"/>
          <w:sz w:val="20"/>
          <w:szCs w:val="20"/>
          <w:lang w:eastAsia="sl-SI"/>
        </w:rPr>
        <w:t>Naše pravice smo ob koncu leta 2025 izvedli priprave, saj se izvajanje v občini Sanski Most nadaljuje v</w:t>
      </w:r>
      <w:r w:rsidR="00BB3996">
        <w:rPr>
          <w:rFonts w:eastAsia="Calibri"/>
          <w:sz w:val="20"/>
          <w:szCs w:val="20"/>
          <w:lang w:eastAsia="sl-SI"/>
        </w:rPr>
        <w:t xml:space="preserve"> </w:t>
      </w:r>
      <w:r w:rsidRPr="00000B77">
        <w:rPr>
          <w:rFonts w:eastAsia="Calibri"/>
          <w:sz w:val="20"/>
          <w:szCs w:val="20"/>
          <w:lang w:eastAsia="sl-SI"/>
        </w:rPr>
        <w:t>začetku meseca januarja 2026, pri čemer pa potekajo nadaljnji pogovori v Srb</w:t>
      </w:r>
      <w:r w:rsidR="0080084B">
        <w:rPr>
          <w:rFonts w:eastAsia="Calibri"/>
          <w:sz w:val="20"/>
          <w:szCs w:val="20"/>
          <w:lang w:eastAsia="sl-SI"/>
        </w:rPr>
        <w:t>iji</w:t>
      </w:r>
      <w:r w:rsidRPr="00000B77">
        <w:rPr>
          <w:rFonts w:eastAsia="Calibri"/>
          <w:sz w:val="20"/>
          <w:szCs w:val="20"/>
          <w:lang w:eastAsia="sl-SI"/>
        </w:rPr>
        <w:t xml:space="preserve"> za izvedbo</w:t>
      </w:r>
      <w:r w:rsidR="00BB3996">
        <w:rPr>
          <w:rFonts w:eastAsia="Calibri"/>
          <w:sz w:val="20"/>
          <w:szCs w:val="20"/>
          <w:lang w:eastAsia="sl-SI"/>
        </w:rPr>
        <w:t xml:space="preserve"> </w:t>
      </w:r>
      <w:r w:rsidRPr="00000B77">
        <w:rPr>
          <w:rFonts w:eastAsia="Calibri"/>
          <w:sz w:val="20"/>
          <w:szCs w:val="20"/>
          <w:lang w:eastAsia="sl-SI"/>
        </w:rPr>
        <w:t xml:space="preserve">projekta tudi v tem delu </w:t>
      </w:r>
      <w:r w:rsidR="00945E65">
        <w:rPr>
          <w:rFonts w:eastAsia="Calibri"/>
          <w:sz w:val="20"/>
          <w:szCs w:val="20"/>
          <w:lang w:eastAsia="sl-SI"/>
        </w:rPr>
        <w:t>BiH</w:t>
      </w:r>
      <w:r w:rsidRPr="00000B77">
        <w:rPr>
          <w:rFonts w:eastAsia="Calibri"/>
          <w:sz w:val="20"/>
          <w:szCs w:val="20"/>
          <w:lang w:eastAsia="sl-SI"/>
        </w:rPr>
        <w:t xml:space="preserve"> (predvidoma v drugi polovici leta 2026 za šolsko leto 2026/2027). Projekt</w:t>
      </w:r>
      <w:r w:rsidR="00BB3996">
        <w:rPr>
          <w:rFonts w:eastAsia="Calibri"/>
          <w:sz w:val="20"/>
          <w:szCs w:val="20"/>
          <w:lang w:eastAsia="sl-SI"/>
        </w:rPr>
        <w:t xml:space="preserve"> </w:t>
      </w:r>
      <w:r w:rsidRPr="00000B77">
        <w:rPr>
          <w:rFonts w:eastAsia="Calibri"/>
          <w:sz w:val="20"/>
          <w:szCs w:val="20"/>
          <w:lang w:eastAsia="sl-SI"/>
        </w:rPr>
        <w:t>naše pravice bo v občini Sanski Most zaključen v januarju 2026.</w:t>
      </w:r>
    </w:p>
    <w:p w14:paraId="24C681DF" w14:textId="77777777" w:rsidR="00BB3996" w:rsidRPr="00000B77" w:rsidRDefault="00BB3996" w:rsidP="00411064">
      <w:pPr>
        <w:autoSpaceDE w:val="0"/>
        <w:autoSpaceDN w:val="0"/>
        <w:adjustRightInd w:val="0"/>
        <w:spacing w:line="276" w:lineRule="auto"/>
        <w:rPr>
          <w:rFonts w:eastAsia="Calibri"/>
          <w:sz w:val="20"/>
          <w:szCs w:val="20"/>
          <w:lang w:eastAsia="sl-SI"/>
        </w:rPr>
      </w:pPr>
    </w:p>
    <w:p w14:paraId="6E7100CE" w14:textId="77777777" w:rsidR="009917BB"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Za nadaljnje izvajanje projektov CIMIC je bila v mesecu novembru 2025 napotena taktična skupina</w:t>
      </w:r>
      <w:r w:rsidR="00BB3996">
        <w:rPr>
          <w:rFonts w:eastAsia="Calibri"/>
          <w:sz w:val="20"/>
          <w:szCs w:val="20"/>
          <w:lang w:eastAsia="sl-SI"/>
        </w:rPr>
        <w:t xml:space="preserve"> </w:t>
      </w:r>
      <w:r w:rsidRPr="00000B77">
        <w:rPr>
          <w:rFonts w:eastAsia="Calibri"/>
          <w:sz w:val="20"/>
          <w:szCs w:val="20"/>
          <w:lang w:eastAsia="sl-SI"/>
        </w:rPr>
        <w:t>CIMIC, sestavljena iz pripadnikov SV in civilnega funkcionalnega strokovnjaka. V letu 2026 so v prvem</w:t>
      </w:r>
      <w:r w:rsidR="00BB3996">
        <w:rPr>
          <w:rFonts w:eastAsia="Calibri"/>
          <w:sz w:val="20"/>
          <w:szCs w:val="20"/>
          <w:lang w:eastAsia="sl-SI"/>
        </w:rPr>
        <w:t xml:space="preserve"> </w:t>
      </w:r>
      <w:r w:rsidRPr="00000B77">
        <w:rPr>
          <w:rFonts w:eastAsia="Calibri"/>
          <w:sz w:val="20"/>
          <w:szCs w:val="20"/>
          <w:lang w:eastAsia="sl-SI"/>
        </w:rPr>
        <w:t>četrtletju načrtovane kratkotrajne napotitve taktične skupine CIMIC v enaki sestavi.</w:t>
      </w:r>
    </w:p>
    <w:p w14:paraId="0038D2E7" w14:textId="77777777" w:rsidR="00BB3996" w:rsidRPr="00000B77" w:rsidRDefault="00BB3996" w:rsidP="00411064">
      <w:pPr>
        <w:autoSpaceDE w:val="0"/>
        <w:autoSpaceDN w:val="0"/>
        <w:adjustRightInd w:val="0"/>
        <w:spacing w:line="276" w:lineRule="auto"/>
        <w:rPr>
          <w:rFonts w:eastAsia="Calibri"/>
          <w:sz w:val="20"/>
          <w:szCs w:val="20"/>
          <w:lang w:eastAsia="sl-SI"/>
        </w:rPr>
      </w:pPr>
    </w:p>
    <w:p w14:paraId="1EFFA955" w14:textId="77777777" w:rsidR="009917BB"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V oktobru 2025 je z delom v Natovi politični celici v Sarajevu (</w:t>
      </w:r>
      <w:r w:rsidRPr="00000B77">
        <w:rPr>
          <w:rFonts w:eastAsia="Calibri"/>
          <w:i/>
          <w:iCs/>
          <w:sz w:val="20"/>
          <w:szCs w:val="20"/>
          <w:lang w:eastAsia="sl-SI"/>
        </w:rPr>
        <w:t xml:space="preserve">Political Engagement Support Cell </w:t>
      </w:r>
      <w:r w:rsidRPr="00000B77">
        <w:rPr>
          <w:rFonts w:eastAsia="Calibri"/>
          <w:sz w:val="20"/>
          <w:szCs w:val="20"/>
          <w:lang w:eastAsia="sl-SI"/>
        </w:rPr>
        <w:t>–</w:t>
      </w:r>
      <w:r w:rsidR="00BB3996">
        <w:rPr>
          <w:rFonts w:eastAsia="Calibri"/>
          <w:sz w:val="20"/>
          <w:szCs w:val="20"/>
          <w:lang w:eastAsia="sl-SI"/>
        </w:rPr>
        <w:t xml:space="preserve"> </w:t>
      </w:r>
      <w:r w:rsidRPr="00000B77">
        <w:rPr>
          <w:rFonts w:eastAsia="Calibri"/>
          <w:sz w:val="20"/>
          <w:szCs w:val="20"/>
          <w:lang w:eastAsia="sl-SI"/>
        </w:rPr>
        <w:t>PESC) pričel civilni funkcionalni strokovnjak (CFS) s področja strateškega komuniciranja.</w:t>
      </w:r>
    </w:p>
    <w:p w14:paraId="510FEB4F" w14:textId="77777777" w:rsidR="00BB3996" w:rsidRPr="00000B77" w:rsidRDefault="00BB3996" w:rsidP="00411064">
      <w:pPr>
        <w:autoSpaceDE w:val="0"/>
        <w:autoSpaceDN w:val="0"/>
        <w:adjustRightInd w:val="0"/>
        <w:spacing w:line="276" w:lineRule="auto"/>
        <w:rPr>
          <w:rFonts w:eastAsia="Calibri"/>
          <w:sz w:val="20"/>
          <w:szCs w:val="20"/>
          <w:lang w:eastAsia="sl-SI"/>
        </w:rPr>
      </w:pPr>
    </w:p>
    <w:p w14:paraId="6AC31E39" w14:textId="77777777" w:rsidR="00BB3996" w:rsidRPr="00000B77" w:rsidRDefault="009917BB" w:rsidP="00411064">
      <w:pPr>
        <w:autoSpaceDE w:val="0"/>
        <w:autoSpaceDN w:val="0"/>
        <w:adjustRightInd w:val="0"/>
        <w:spacing w:line="276" w:lineRule="auto"/>
        <w:rPr>
          <w:rFonts w:eastAsia="Calibri"/>
          <w:b/>
          <w:bCs/>
          <w:sz w:val="20"/>
          <w:szCs w:val="20"/>
          <w:lang w:eastAsia="sl-SI"/>
        </w:rPr>
      </w:pPr>
      <w:r w:rsidRPr="00000B77">
        <w:rPr>
          <w:rFonts w:eastAsia="Calibri"/>
          <w:b/>
          <w:bCs/>
          <w:sz w:val="20"/>
          <w:szCs w:val="20"/>
          <w:lang w:eastAsia="sl-SI"/>
        </w:rPr>
        <w:t>Črna gora</w:t>
      </w:r>
    </w:p>
    <w:p w14:paraId="5A6B5975" w14:textId="77777777" w:rsidR="009917BB"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Program dvostranskega sodelovanja za leto 2025 je obsegal 19 aktivnosti, od katerih se jih velik del</w:t>
      </w:r>
      <w:r w:rsidR="00BB3996">
        <w:rPr>
          <w:rFonts w:eastAsia="Calibri"/>
          <w:sz w:val="20"/>
          <w:szCs w:val="20"/>
          <w:lang w:eastAsia="sl-SI"/>
        </w:rPr>
        <w:t xml:space="preserve"> </w:t>
      </w:r>
      <w:r w:rsidRPr="00000B77">
        <w:rPr>
          <w:rFonts w:eastAsia="Calibri"/>
          <w:sz w:val="20"/>
          <w:szCs w:val="20"/>
          <w:lang w:eastAsia="sl-SI"/>
        </w:rPr>
        <w:t>nanaša na izmenjavo izkušenj in strokovne pogovore iz širokega nabora področij, med drugim logistike,</w:t>
      </w:r>
      <w:r w:rsidR="00BB3996">
        <w:rPr>
          <w:rFonts w:eastAsia="Calibri"/>
          <w:sz w:val="20"/>
          <w:szCs w:val="20"/>
          <w:lang w:eastAsia="sl-SI"/>
        </w:rPr>
        <w:t xml:space="preserve"> </w:t>
      </w:r>
      <w:r w:rsidRPr="00000B77">
        <w:rPr>
          <w:rFonts w:eastAsia="Calibri"/>
          <w:sz w:val="20"/>
          <w:szCs w:val="20"/>
          <w:lang w:eastAsia="sl-SI"/>
        </w:rPr>
        <w:t>izobraževanja kadrov in delovanja na področju zračne obrambe ter vojaške zgodovine. V Č</w:t>
      </w:r>
      <w:r w:rsidR="00C95AED">
        <w:rPr>
          <w:rFonts w:eastAsia="Calibri"/>
          <w:sz w:val="20"/>
          <w:szCs w:val="20"/>
          <w:lang w:eastAsia="sl-SI"/>
        </w:rPr>
        <w:t>rni gori</w:t>
      </w:r>
      <w:r w:rsidRPr="00000B77">
        <w:rPr>
          <w:rFonts w:eastAsia="Calibri"/>
          <w:sz w:val="20"/>
          <w:szCs w:val="20"/>
          <w:lang w:eastAsia="sl-SI"/>
        </w:rPr>
        <w:t xml:space="preserve"> je</w:t>
      </w:r>
      <w:r w:rsidR="00BB3996">
        <w:rPr>
          <w:rFonts w:eastAsia="Calibri"/>
          <w:sz w:val="20"/>
          <w:szCs w:val="20"/>
          <w:lang w:eastAsia="sl-SI"/>
        </w:rPr>
        <w:t xml:space="preserve"> </w:t>
      </w:r>
      <w:r w:rsidRPr="00000B77">
        <w:rPr>
          <w:rFonts w:eastAsia="Calibri"/>
          <w:sz w:val="20"/>
          <w:szCs w:val="20"/>
          <w:lang w:eastAsia="sl-SI"/>
        </w:rPr>
        <w:t>rezidenčno akreditiran obrambni ataše polkovnik Ivan Turnšek. Nadaljevalo se je dolgoročno uspešno</w:t>
      </w:r>
      <w:r w:rsidR="00BB3996">
        <w:rPr>
          <w:rFonts w:eastAsia="Calibri"/>
          <w:sz w:val="20"/>
          <w:szCs w:val="20"/>
          <w:lang w:eastAsia="sl-SI"/>
        </w:rPr>
        <w:t xml:space="preserve"> </w:t>
      </w:r>
      <w:r w:rsidRPr="00000B77">
        <w:rPr>
          <w:rFonts w:eastAsia="Calibri"/>
          <w:sz w:val="20"/>
          <w:szCs w:val="20"/>
          <w:lang w:eastAsia="sl-SI"/>
        </w:rPr>
        <w:t>sodelovanje v mednarodnih operacijah in misijah v okviru skupnega kontingenta v Natovi bojni skupini</w:t>
      </w:r>
      <w:r w:rsidR="00BB3996">
        <w:rPr>
          <w:rFonts w:eastAsia="Calibri"/>
          <w:sz w:val="20"/>
          <w:szCs w:val="20"/>
          <w:lang w:eastAsia="sl-SI"/>
        </w:rPr>
        <w:t xml:space="preserve"> </w:t>
      </w:r>
      <w:r w:rsidRPr="00000B77">
        <w:rPr>
          <w:rFonts w:eastAsia="Calibri"/>
          <w:sz w:val="20"/>
          <w:szCs w:val="20"/>
          <w:lang w:eastAsia="sl-SI"/>
        </w:rPr>
        <w:t xml:space="preserve">(FLF) v Latviji. Marca 2025 se je odvil spoznavni obisk veleposlanika </w:t>
      </w:r>
      <w:r w:rsidR="00D94172" w:rsidRPr="00000B77">
        <w:rPr>
          <w:rFonts w:eastAsia="Calibri"/>
          <w:sz w:val="20"/>
          <w:szCs w:val="20"/>
          <w:lang w:eastAsia="sl-SI"/>
        </w:rPr>
        <w:t>Č</w:t>
      </w:r>
      <w:r w:rsidR="00D94172">
        <w:rPr>
          <w:rFonts w:eastAsia="Calibri"/>
          <w:sz w:val="20"/>
          <w:szCs w:val="20"/>
          <w:lang w:eastAsia="sl-SI"/>
        </w:rPr>
        <w:t xml:space="preserve">rne gore </w:t>
      </w:r>
      <w:r w:rsidRPr="00000B77">
        <w:rPr>
          <w:rFonts w:eastAsia="Calibri"/>
          <w:sz w:val="20"/>
          <w:szCs w:val="20"/>
          <w:lang w:eastAsia="sl-SI"/>
        </w:rPr>
        <w:t>z ministrom za obrambo.</w:t>
      </w:r>
      <w:r w:rsidR="00BB3996">
        <w:rPr>
          <w:rFonts w:eastAsia="Calibri"/>
          <w:sz w:val="20"/>
          <w:szCs w:val="20"/>
          <w:lang w:eastAsia="sl-SI"/>
        </w:rPr>
        <w:t xml:space="preserve"> </w:t>
      </w:r>
      <w:r w:rsidRPr="00000B77">
        <w:rPr>
          <w:rFonts w:eastAsia="Calibri"/>
          <w:sz w:val="20"/>
          <w:szCs w:val="20"/>
          <w:lang w:eastAsia="sl-SI"/>
        </w:rPr>
        <w:t>Ravno tako marca so se odvile bilateralne konzultacije direktorjev za obrambno politiko. V okviru</w:t>
      </w:r>
      <w:r w:rsidR="00BB3996">
        <w:rPr>
          <w:rFonts w:eastAsia="Calibri"/>
          <w:sz w:val="20"/>
          <w:szCs w:val="20"/>
          <w:lang w:eastAsia="sl-SI"/>
        </w:rPr>
        <w:t xml:space="preserve"> </w:t>
      </w:r>
      <w:r w:rsidRPr="00000B77">
        <w:rPr>
          <w:rFonts w:eastAsia="Calibri"/>
          <w:sz w:val="20"/>
          <w:szCs w:val="20"/>
          <w:lang w:eastAsia="sl-SI"/>
        </w:rPr>
        <w:t>bilateralnih konzultacij se je potrdilo odlično dosedanje sodelovanje in raziskale možnosti za</w:t>
      </w:r>
      <w:r w:rsidR="00BB3996">
        <w:rPr>
          <w:rFonts w:eastAsia="Calibri"/>
          <w:sz w:val="20"/>
          <w:szCs w:val="20"/>
          <w:lang w:eastAsia="sl-SI"/>
        </w:rPr>
        <w:t xml:space="preserve"> </w:t>
      </w:r>
      <w:r w:rsidRPr="00000B77">
        <w:rPr>
          <w:rFonts w:eastAsia="Calibri"/>
          <w:sz w:val="20"/>
          <w:szCs w:val="20"/>
          <w:lang w:eastAsia="sl-SI"/>
        </w:rPr>
        <w:t>poglabljanje sodelovanja, predvsem v luči doseganja Natovih ciljev zmogljivosti.</w:t>
      </w:r>
    </w:p>
    <w:p w14:paraId="6353B4CB" w14:textId="77777777" w:rsidR="00BB3996" w:rsidRPr="00000B77" w:rsidRDefault="00BB3996" w:rsidP="00411064">
      <w:pPr>
        <w:autoSpaceDE w:val="0"/>
        <w:autoSpaceDN w:val="0"/>
        <w:adjustRightInd w:val="0"/>
        <w:spacing w:line="276" w:lineRule="auto"/>
        <w:rPr>
          <w:rFonts w:eastAsia="Calibri"/>
          <w:sz w:val="20"/>
          <w:szCs w:val="20"/>
          <w:lang w:eastAsia="sl-SI"/>
        </w:rPr>
      </w:pPr>
    </w:p>
    <w:p w14:paraId="1D4BC10A" w14:textId="77777777" w:rsidR="009917BB"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Med 15. in 16. septembrom 2025 se je odvil uradni obisk ministra za obrambo v Črni gori. V sklopu</w:t>
      </w:r>
      <w:r w:rsidR="00BB3996">
        <w:rPr>
          <w:rFonts w:eastAsia="Calibri"/>
          <w:sz w:val="20"/>
          <w:szCs w:val="20"/>
          <w:lang w:eastAsia="sl-SI"/>
        </w:rPr>
        <w:t xml:space="preserve"> </w:t>
      </w:r>
      <w:r w:rsidRPr="00000B77">
        <w:rPr>
          <w:rFonts w:eastAsia="Calibri"/>
          <w:sz w:val="20"/>
          <w:szCs w:val="20"/>
          <w:lang w:eastAsia="sl-SI"/>
        </w:rPr>
        <w:t xml:space="preserve">obiska je bil podpisan sporazum o donaciji samohodnega merilnega radarja SNAR-10, ki bo v </w:t>
      </w:r>
      <w:r w:rsidR="00390EBD">
        <w:rPr>
          <w:rFonts w:eastAsia="Calibri"/>
          <w:sz w:val="20"/>
          <w:szCs w:val="20"/>
          <w:lang w:eastAsia="sl-SI"/>
        </w:rPr>
        <w:t xml:space="preserve">RS </w:t>
      </w:r>
      <w:r w:rsidRPr="00000B77">
        <w:rPr>
          <w:rFonts w:eastAsia="Calibri"/>
          <w:sz w:val="20"/>
          <w:szCs w:val="20"/>
          <w:lang w:eastAsia="sl-SI"/>
        </w:rPr>
        <w:t>služil kot muzejski eksponat.</w:t>
      </w:r>
    </w:p>
    <w:p w14:paraId="7E3968AE" w14:textId="77777777" w:rsidR="00BB3996" w:rsidRPr="00000B77" w:rsidRDefault="00BB3996" w:rsidP="00411064">
      <w:pPr>
        <w:autoSpaceDE w:val="0"/>
        <w:autoSpaceDN w:val="0"/>
        <w:adjustRightInd w:val="0"/>
        <w:spacing w:line="276" w:lineRule="auto"/>
        <w:rPr>
          <w:rFonts w:eastAsia="Calibri"/>
          <w:sz w:val="20"/>
          <w:szCs w:val="20"/>
          <w:lang w:eastAsia="sl-SI"/>
        </w:rPr>
      </w:pPr>
    </w:p>
    <w:p w14:paraId="7B71E96C" w14:textId="77777777" w:rsidR="009917BB"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Minister za obrambo Črne gore je obiskal obrambni sejem SIDEC. Slovenski oborožitveni direktor je</w:t>
      </w:r>
      <w:r w:rsidR="00BB3996">
        <w:rPr>
          <w:rFonts w:eastAsia="Calibri"/>
          <w:sz w:val="20"/>
          <w:szCs w:val="20"/>
          <w:lang w:eastAsia="sl-SI"/>
        </w:rPr>
        <w:t xml:space="preserve"> </w:t>
      </w:r>
      <w:r w:rsidRPr="00000B77">
        <w:rPr>
          <w:rFonts w:eastAsia="Calibri"/>
          <w:sz w:val="20"/>
          <w:szCs w:val="20"/>
          <w:lang w:eastAsia="sl-SI"/>
        </w:rPr>
        <w:t>črnogorskemu kolegu ob robu sejma svečano predala drugi kontingent brezpilotnih letalnikov C-Astral,</w:t>
      </w:r>
      <w:r w:rsidR="00BB3996">
        <w:rPr>
          <w:rFonts w:eastAsia="Calibri"/>
          <w:sz w:val="20"/>
          <w:szCs w:val="20"/>
          <w:lang w:eastAsia="sl-SI"/>
        </w:rPr>
        <w:t xml:space="preserve"> </w:t>
      </w:r>
      <w:r w:rsidRPr="00000B77">
        <w:rPr>
          <w:rFonts w:eastAsia="Calibri"/>
          <w:sz w:val="20"/>
          <w:szCs w:val="20"/>
          <w:lang w:eastAsia="sl-SI"/>
        </w:rPr>
        <w:t>ki je bil kupljen po principu Vlada-Vladi.</w:t>
      </w:r>
    </w:p>
    <w:p w14:paraId="5C14CB25" w14:textId="77777777" w:rsidR="00BB3996" w:rsidRPr="00000B77" w:rsidRDefault="00BB3996" w:rsidP="00411064">
      <w:pPr>
        <w:autoSpaceDE w:val="0"/>
        <w:autoSpaceDN w:val="0"/>
        <w:adjustRightInd w:val="0"/>
        <w:spacing w:line="276" w:lineRule="auto"/>
        <w:rPr>
          <w:rFonts w:eastAsia="Calibri"/>
          <w:sz w:val="20"/>
          <w:szCs w:val="20"/>
          <w:lang w:eastAsia="sl-SI"/>
        </w:rPr>
      </w:pPr>
    </w:p>
    <w:p w14:paraId="24C22E79" w14:textId="77777777" w:rsidR="009917BB"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 xml:space="preserve">V teku so postopki pridružitve oboroženih sil Črne gore kontingentu </w:t>
      </w:r>
      <w:r w:rsidR="00C75ACB">
        <w:rPr>
          <w:rFonts w:eastAsia="Calibri"/>
          <w:sz w:val="20"/>
          <w:szCs w:val="20"/>
          <w:lang w:eastAsia="sl-SI"/>
        </w:rPr>
        <w:t>SV</w:t>
      </w:r>
      <w:r w:rsidRPr="00000B77">
        <w:rPr>
          <w:rFonts w:eastAsia="Calibri"/>
          <w:sz w:val="20"/>
          <w:szCs w:val="20"/>
          <w:lang w:eastAsia="sl-SI"/>
        </w:rPr>
        <w:t xml:space="preserve"> v EUMAM</w:t>
      </w:r>
      <w:r w:rsidR="00BB3996">
        <w:rPr>
          <w:rFonts w:eastAsia="Calibri"/>
          <w:sz w:val="20"/>
          <w:szCs w:val="20"/>
          <w:lang w:eastAsia="sl-SI"/>
        </w:rPr>
        <w:t xml:space="preserve"> </w:t>
      </w:r>
      <w:r w:rsidRPr="00000B77">
        <w:rPr>
          <w:rFonts w:eastAsia="Calibri"/>
          <w:sz w:val="20"/>
          <w:szCs w:val="20"/>
          <w:lang w:eastAsia="sl-SI"/>
        </w:rPr>
        <w:t>Ukrajina, po zgledu sodelovanja v Natovih prednjih kopenskih silah v Latviji.</w:t>
      </w:r>
    </w:p>
    <w:p w14:paraId="487D9E3D" w14:textId="77777777" w:rsidR="00BB3996" w:rsidRPr="00000B77" w:rsidRDefault="00BB3996" w:rsidP="00411064">
      <w:pPr>
        <w:autoSpaceDE w:val="0"/>
        <w:autoSpaceDN w:val="0"/>
        <w:adjustRightInd w:val="0"/>
        <w:spacing w:line="276" w:lineRule="auto"/>
        <w:rPr>
          <w:rFonts w:eastAsia="Calibri"/>
          <w:sz w:val="20"/>
          <w:szCs w:val="20"/>
          <w:lang w:eastAsia="sl-SI"/>
        </w:rPr>
      </w:pPr>
    </w:p>
    <w:p w14:paraId="162C728A" w14:textId="77777777" w:rsidR="009917BB" w:rsidRPr="00000B77" w:rsidRDefault="009917BB" w:rsidP="00411064">
      <w:pPr>
        <w:autoSpaceDE w:val="0"/>
        <w:autoSpaceDN w:val="0"/>
        <w:adjustRightInd w:val="0"/>
        <w:spacing w:line="276" w:lineRule="auto"/>
        <w:rPr>
          <w:rFonts w:eastAsia="Calibri"/>
          <w:b/>
          <w:bCs/>
          <w:sz w:val="20"/>
          <w:szCs w:val="20"/>
          <w:lang w:eastAsia="sl-SI"/>
        </w:rPr>
      </w:pPr>
      <w:r w:rsidRPr="00000B77">
        <w:rPr>
          <w:rFonts w:eastAsia="Calibri"/>
          <w:b/>
          <w:bCs/>
          <w:sz w:val="20"/>
          <w:szCs w:val="20"/>
          <w:lang w:eastAsia="sl-SI"/>
        </w:rPr>
        <w:t>Severna Makedonija</w:t>
      </w:r>
    </w:p>
    <w:p w14:paraId="4232CC95" w14:textId="77777777" w:rsidR="00BB3996"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Podpisani program dvostranskega sodelovanja za leto 2025 je obsegal 20 aktivnosti, ki se nanašajo na</w:t>
      </w:r>
      <w:r w:rsidR="00BB3996">
        <w:rPr>
          <w:rFonts w:eastAsia="Calibri"/>
          <w:sz w:val="20"/>
          <w:szCs w:val="20"/>
          <w:lang w:eastAsia="sl-SI"/>
        </w:rPr>
        <w:t xml:space="preserve"> </w:t>
      </w:r>
      <w:r w:rsidRPr="00000B77">
        <w:rPr>
          <w:rFonts w:eastAsia="Calibri"/>
          <w:sz w:val="20"/>
          <w:szCs w:val="20"/>
          <w:lang w:eastAsia="sl-SI"/>
        </w:rPr>
        <w:t>skupna usposabljanja in izmenjavo izkušenj na različnih obrambno-varnostnih področjih, vključno z</w:t>
      </w:r>
      <w:r w:rsidR="00BB3996">
        <w:rPr>
          <w:rFonts w:eastAsia="Calibri"/>
          <w:sz w:val="20"/>
          <w:szCs w:val="20"/>
          <w:lang w:eastAsia="sl-SI"/>
        </w:rPr>
        <w:t xml:space="preserve"> </w:t>
      </w:r>
      <w:r w:rsidRPr="00000B77">
        <w:rPr>
          <w:rFonts w:eastAsia="Calibri"/>
          <w:sz w:val="20"/>
          <w:szCs w:val="20"/>
          <w:lang w:eastAsia="sl-SI"/>
        </w:rPr>
        <w:t>razvojem makedonskih zmogljivosti usmerjevalcev združenih ognjev (JTAC). V</w:t>
      </w:r>
      <w:r w:rsidR="00527744" w:rsidRPr="00527744">
        <w:rPr>
          <w:rFonts w:eastAsia="Calibri"/>
          <w:sz w:val="20"/>
          <w:szCs w:val="20"/>
          <w:lang w:eastAsia="sl-SI"/>
        </w:rPr>
        <w:t xml:space="preserve"> Severn</w:t>
      </w:r>
      <w:r w:rsidR="00716D79">
        <w:rPr>
          <w:rFonts w:eastAsia="Calibri"/>
          <w:sz w:val="20"/>
          <w:szCs w:val="20"/>
          <w:lang w:eastAsia="sl-SI"/>
        </w:rPr>
        <w:t>i</w:t>
      </w:r>
      <w:r w:rsidR="00527744" w:rsidRPr="00527744">
        <w:rPr>
          <w:rFonts w:eastAsia="Calibri"/>
          <w:sz w:val="20"/>
          <w:szCs w:val="20"/>
          <w:lang w:eastAsia="sl-SI"/>
        </w:rPr>
        <w:t xml:space="preserve"> Makedonij</w:t>
      </w:r>
      <w:r w:rsidR="00716D79">
        <w:rPr>
          <w:rFonts w:eastAsia="Calibri"/>
          <w:sz w:val="20"/>
          <w:szCs w:val="20"/>
          <w:lang w:eastAsia="sl-SI"/>
        </w:rPr>
        <w:t>i</w:t>
      </w:r>
      <w:r w:rsidR="00527744">
        <w:rPr>
          <w:rFonts w:eastAsia="Calibri"/>
          <w:sz w:val="20"/>
          <w:szCs w:val="20"/>
          <w:lang w:eastAsia="sl-SI"/>
        </w:rPr>
        <w:t xml:space="preserve"> </w:t>
      </w:r>
      <w:r w:rsidRPr="00000B77">
        <w:rPr>
          <w:rFonts w:eastAsia="Calibri"/>
          <w:sz w:val="20"/>
          <w:szCs w:val="20"/>
          <w:lang w:eastAsia="sl-SI"/>
        </w:rPr>
        <w:t>je rezidenčno</w:t>
      </w:r>
      <w:r w:rsidR="00BB3996">
        <w:rPr>
          <w:rFonts w:eastAsia="Calibri"/>
          <w:sz w:val="20"/>
          <w:szCs w:val="20"/>
          <w:lang w:eastAsia="sl-SI"/>
        </w:rPr>
        <w:t xml:space="preserve"> </w:t>
      </w:r>
      <w:r w:rsidRPr="00000B77">
        <w:rPr>
          <w:rFonts w:eastAsia="Calibri"/>
          <w:sz w:val="20"/>
          <w:szCs w:val="20"/>
          <w:lang w:eastAsia="sl-SI"/>
        </w:rPr>
        <w:t>akreditiran obrambni ataše polkovnik Bensad Šiniković. V okviru skupnega kontingenta se je v letu 2025</w:t>
      </w:r>
      <w:r w:rsidR="00BB3996">
        <w:rPr>
          <w:rFonts w:eastAsia="Calibri"/>
          <w:sz w:val="20"/>
          <w:szCs w:val="20"/>
          <w:lang w:eastAsia="sl-SI"/>
        </w:rPr>
        <w:t xml:space="preserve"> </w:t>
      </w:r>
      <w:r w:rsidRPr="00000B77">
        <w:rPr>
          <w:rFonts w:eastAsia="Calibri"/>
          <w:sz w:val="20"/>
          <w:szCs w:val="20"/>
          <w:lang w:eastAsia="sl-SI"/>
        </w:rPr>
        <w:t>nadaljevalo uspešno sodelovanje v Natovi bojni skupini FLF v Latviji, v katerega je poleg črnogorske</w:t>
      </w:r>
      <w:r w:rsidR="00BB3996">
        <w:rPr>
          <w:rFonts w:eastAsia="Calibri"/>
          <w:sz w:val="20"/>
          <w:szCs w:val="20"/>
          <w:lang w:eastAsia="sl-SI"/>
        </w:rPr>
        <w:t xml:space="preserve"> </w:t>
      </w:r>
      <w:r w:rsidRPr="00000B77">
        <w:rPr>
          <w:rFonts w:eastAsia="Calibri"/>
          <w:sz w:val="20"/>
          <w:szCs w:val="20"/>
          <w:lang w:eastAsia="sl-SI"/>
        </w:rPr>
        <w:t xml:space="preserve">vključena tudi makedonska enota. V februarju 2025 se je odvil uradni obisk ministra za obrambo </w:t>
      </w:r>
      <w:r w:rsidR="00B131FB" w:rsidRPr="00527744">
        <w:rPr>
          <w:rFonts w:eastAsia="Calibri"/>
          <w:sz w:val="20"/>
          <w:szCs w:val="20"/>
          <w:lang w:eastAsia="sl-SI"/>
        </w:rPr>
        <w:t>Severn</w:t>
      </w:r>
      <w:r w:rsidR="00B131FB">
        <w:rPr>
          <w:rFonts w:eastAsia="Calibri"/>
          <w:sz w:val="20"/>
          <w:szCs w:val="20"/>
          <w:lang w:eastAsia="sl-SI"/>
        </w:rPr>
        <w:t>e</w:t>
      </w:r>
      <w:r w:rsidR="00B131FB" w:rsidRPr="00527744">
        <w:rPr>
          <w:rFonts w:eastAsia="Calibri"/>
          <w:sz w:val="20"/>
          <w:szCs w:val="20"/>
          <w:lang w:eastAsia="sl-SI"/>
        </w:rPr>
        <w:t xml:space="preserve"> Makedonij</w:t>
      </w:r>
      <w:r w:rsidR="00B131FB">
        <w:rPr>
          <w:rFonts w:eastAsia="Calibri"/>
          <w:sz w:val="20"/>
          <w:szCs w:val="20"/>
          <w:lang w:eastAsia="sl-SI"/>
        </w:rPr>
        <w:t xml:space="preserve">e </w:t>
      </w:r>
      <w:r w:rsidRPr="00000B77">
        <w:rPr>
          <w:rFonts w:eastAsia="Calibri"/>
          <w:sz w:val="20"/>
          <w:szCs w:val="20"/>
          <w:lang w:eastAsia="sl-SI"/>
        </w:rPr>
        <w:t xml:space="preserve">v </w:t>
      </w:r>
      <w:r w:rsidR="00390EBD">
        <w:rPr>
          <w:rFonts w:eastAsia="Calibri"/>
          <w:sz w:val="20"/>
          <w:szCs w:val="20"/>
          <w:lang w:eastAsia="sl-SI"/>
        </w:rPr>
        <w:t>RS</w:t>
      </w:r>
      <w:r w:rsidRPr="00000B77">
        <w:rPr>
          <w:rFonts w:eastAsia="Calibri"/>
          <w:sz w:val="20"/>
          <w:szCs w:val="20"/>
          <w:lang w:eastAsia="sl-SI"/>
        </w:rPr>
        <w:t>. Nadaljevalo se je dobro sodelovanje, s predajo znanja s področja financ, usposabljanja</w:t>
      </w:r>
      <w:r w:rsidR="00BB3996">
        <w:rPr>
          <w:rFonts w:eastAsia="Calibri"/>
          <w:sz w:val="20"/>
          <w:szCs w:val="20"/>
          <w:lang w:eastAsia="sl-SI"/>
        </w:rPr>
        <w:t xml:space="preserve"> </w:t>
      </w:r>
      <w:r w:rsidRPr="00000B77">
        <w:rPr>
          <w:rFonts w:eastAsia="Calibri"/>
          <w:sz w:val="20"/>
          <w:szCs w:val="20"/>
          <w:lang w:eastAsia="sl-SI"/>
        </w:rPr>
        <w:t>združenih kontrolorjev ognja, vaj, štabnih pogovorov in tudi s področja civilne zaščite (sprejem 4</w:t>
      </w:r>
      <w:r w:rsidR="00BB3996">
        <w:rPr>
          <w:rFonts w:eastAsia="Calibri"/>
          <w:sz w:val="20"/>
          <w:szCs w:val="20"/>
          <w:lang w:eastAsia="sl-SI"/>
        </w:rPr>
        <w:t xml:space="preserve"> </w:t>
      </w:r>
      <w:r w:rsidRPr="00000B77">
        <w:rPr>
          <w:rFonts w:eastAsia="Calibri"/>
          <w:sz w:val="20"/>
          <w:szCs w:val="20"/>
          <w:lang w:eastAsia="sl-SI"/>
        </w:rPr>
        <w:t xml:space="preserve">poškodovancev iz požara v klubu v </w:t>
      </w:r>
      <w:r w:rsidR="00845FAF" w:rsidRPr="00527744">
        <w:rPr>
          <w:rFonts w:eastAsia="Calibri"/>
          <w:sz w:val="20"/>
          <w:szCs w:val="20"/>
          <w:lang w:eastAsia="sl-SI"/>
        </w:rPr>
        <w:t>Severn</w:t>
      </w:r>
      <w:r w:rsidR="00845FAF">
        <w:rPr>
          <w:rFonts w:eastAsia="Calibri"/>
          <w:sz w:val="20"/>
          <w:szCs w:val="20"/>
          <w:lang w:eastAsia="sl-SI"/>
        </w:rPr>
        <w:t>i</w:t>
      </w:r>
      <w:r w:rsidR="00845FAF" w:rsidRPr="00527744">
        <w:rPr>
          <w:rFonts w:eastAsia="Calibri"/>
          <w:sz w:val="20"/>
          <w:szCs w:val="20"/>
          <w:lang w:eastAsia="sl-SI"/>
        </w:rPr>
        <w:t xml:space="preserve"> Makedonij</w:t>
      </w:r>
      <w:r w:rsidR="00845FAF">
        <w:rPr>
          <w:rFonts w:eastAsia="Calibri"/>
          <w:sz w:val="20"/>
          <w:szCs w:val="20"/>
          <w:lang w:eastAsia="sl-SI"/>
        </w:rPr>
        <w:t>i</w:t>
      </w:r>
      <w:r w:rsidRPr="00000B77">
        <w:rPr>
          <w:rFonts w:eastAsia="Calibri"/>
          <w:sz w:val="20"/>
          <w:szCs w:val="20"/>
          <w:lang w:eastAsia="sl-SI"/>
        </w:rPr>
        <w:t>).</w:t>
      </w:r>
      <w:r w:rsidR="00BB3996">
        <w:rPr>
          <w:rFonts w:eastAsia="Calibri"/>
          <w:sz w:val="20"/>
          <w:szCs w:val="20"/>
          <w:lang w:eastAsia="sl-SI"/>
        </w:rPr>
        <w:t xml:space="preserve"> </w:t>
      </w:r>
    </w:p>
    <w:p w14:paraId="31DF4FAA" w14:textId="77777777" w:rsidR="00BB3996" w:rsidRDefault="00BB3996" w:rsidP="00411064">
      <w:pPr>
        <w:autoSpaceDE w:val="0"/>
        <w:autoSpaceDN w:val="0"/>
        <w:adjustRightInd w:val="0"/>
        <w:spacing w:line="276" w:lineRule="auto"/>
        <w:rPr>
          <w:rFonts w:eastAsia="Calibri"/>
          <w:sz w:val="20"/>
          <w:szCs w:val="20"/>
          <w:lang w:eastAsia="sl-SI"/>
        </w:rPr>
      </w:pPr>
    </w:p>
    <w:p w14:paraId="5EFFF6EF" w14:textId="77777777" w:rsidR="00BB3996"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 xml:space="preserve">V oktobru je sejem SIDEC obiskala delegacija ministrstva za obrambo </w:t>
      </w:r>
      <w:r w:rsidR="00F375DC" w:rsidRPr="00527744">
        <w:rPr>
          <w:rFonts w:eastAsia="Calibri"/>
          <w:sz w:val="20"/>
          <w:szCs w:val="20"/>
          <w:lang w:eastAsia="sl-SI"/>
        </w:rPr>
        <w:t>Severn</w:t>
      </w:r>
      <w:r w:rsidR="00F375DC">
        <w:rPr>
          <w:rFonts w:eastAsia="Calibri"/>
          <w:sz w:val="20"/>
          <w:szCs w:val="20"/>
          <w:lang w:eastAsia="sl-SI"/>
        </w:rPr>
        <w:t>i</w:t>
      </w:r>
      <w:r w:rsidR="00F375DC" w:rsidRPr="00527744">
        <w:rPr>
          <w:rFonts w:eastAsia="Calibri"/>
          <w:sz w:val="20"/>
          <w:szCs w:val="20"/>
          <w:lang w:eastAsia="sl-SI"/>
        </w:rPr>
        <w:t xml:space="preserve"> Makedonij</w:t>
      </w:r>
      <w:r w:rsidR="00F375DC">
        <w:rPr>
          <w:rFonts w:eastAsia="Calibri"/>
          <w:sz w:val="20"/>
          <w:szCs w:val="20"/>
          <w:lang w:eastAsia="sl-SI"/>
        </w:rPr>
        <w:t>i</w:t>
      </w:r>
      <w:r w:rsidRPr="00000B77">
        <w:rPr>
          <w:rFonts w:eastAsia="Calibri"/>
          <w:sz w:val="20"/>
          <w:szCs w:val="20"/>
          <w:lang w:eastAsia="sl-SI"/>
        </w:rPr>
        <w:t>, ki jo je vodila državna</w:t>
      </w:r>
      <w:r w:rsidR="00BB3996">
        <w:rPr>
          <w:rFonts w:eastAsia="Calibri"/>
          <w:sz w:val="20"/>
          <w:szCs w:val="20"/>
          <w:lang w:eastAsia="sl-SI"/>
        </w:rPr>
        <w:t xml:space="preserve"> </w:t>
      </w:r>
      <w:r w:rsidRPr="00000B77">
        <w:rPr>
          <w:rFonts w:eastAsia="Calibri"/>
          <w:sz w:val="20"/>
          <w:szCs w:val="20"/>
          <w:lang w:eastAsia="sl-SI"/>
        </w:rPr>
        <w:t>sekretarka. Ob sestanku z državnim sekretarjem MO je zaprosila za slovensko podporo pri predaji</w:t>
      </w:r>
      <w:r w:rsidR="00BB3996">
        <w:rPr>
          <w:rFonts w:eastAsia="Calibri"/>
          <w:sz w:val="20"/>
          <w:szCs w:val="20"/>
          <w:lang w:eastAsia="sl-SI"/>
        </w:rPr>
        <w:t xml:space="preserve"> </w:t>
      </w:r>
      <w:r w:rsidRPr="00000B77">
        <w:rPr>
          <w:rFonts w:eastAsia="Calibri"/>
          <w:sz w:val="20"/>
          <w:szCs w:val="20"/>
          <w:lang w:eastAsia="sl-SI"/>
        </w:rPr>
        <w:t>izkušen s področja strateških dokumentov.</w:t>
      </w:r>
      <w:r w:rsidR="00BB3996">
        <w:rPr>
          <w:rFonts w:eastAsia="Calibri"/>
          <w:sz w:val="20"/>
          <w:szCs w:val="20"/>
          <w:lang w:eastAsia="sl-SI"/>
        </w:rPr>
        <w:t xml:space="preserve"> </w:t>
      </w:r>
    </w:p>
    <w:p w14:paraId="1CB12849" w14:textId="77777777" w:rsidR="00BB3996" w:rsidRPr="00000B77" w:rsidRDefault="00BB3996" w:rsidP="00411064">
      <w:pPr>
        <w:autoSpaceDE w:val="0"/>
        <w:autoSpaceDN w:val="0"/>
        <w:adjustRightInd w:val="0"/>
        <w:spacing w:line="276" w:lineRule="auto"/>
        <w:rPr>
          <w:rFonts w:eastAsia="Calibri"/>
          <w:sz w:val="20"/>
          <w:szCs w:val="20"/>
          <w:lang w:eastAsia="sl-SI"/>
        </w:rPr>
      </w:pPr>
    </w:p>
    <w:p w14:paraId="53633CDA" w14:textId="77777777" w:rsidR="009917BB" w:rsidRPr="00000B77" w:rsidRDefault="009917BB" w:rsidP="00411064">
      <w:pPr>
        <w:autoSpaceDE w:val="0"/>
        <w:autoSpaceDN w:val="0"/>
        <w:adjustRightInd w:val="0"/>
        <w:spacing w:line="276" w:lineRule="auto"/>
        <w:rPr>
          <w:rFonts w:eastAsia="Calibri"/>
          <w:b/>
          <w:bCs/>
          <w:sz w:val="20"/>
          <w:szCs w:val="20"/>
          <w:lang w:eastAsia="sl-SI"/>
        </w:rPr>
      </w:pPr>
      <w:r w:rsidRPr="00000B77">
        <w:rPr>
          <w:rFonts w:eastAsia="Calibri"/>
          <w:b/>
          <w:bCs/>
          <w:sz w:val="20"/>
          <w:szCs w:val="20"/>
          <w:lang w:eastAsia="sl-SI"/>
        </w:rPr>
        <w:t>Kosovo</w:t>
      </w:r>
    </w:p>
    <w:p w14:paraId="21226A36" w14:textId="77777777" w:rsidR="009917BB"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Bilateralno sodelovanje na obrambnem področju ostaja omejeno, zaradi omejitve sodelovanje po</w:t>
      </w:r>
      <w:r w:rsidR="00BB3996">
        <w:rPr>
          <w:rFonts w:eastAsia="Calibri"/>
          <w:sz w:val="20"/>
          <w:szCs w:val="20"/>
          <w:lang w:eastAsia="sl-SI"/>
        </w:rPr>
        <w:t xml:space="preserve"> </w:t>
      </w:r>
      <w:r w:rsidRPr="00000B77">
        <w:rPr>
          <w:rFonts w:eastAsia="Calibri"/>
          <w:sz w:val="20"/>
          <w:szCs w:val="20"/>
          <w:lang w:eastAsia="sl-SI"/>
        </w:rPr>
        <w:t>resoluciji Varnostnega sveta OZN 1244. Na Kosovu so pripadniki taktične skupine (TS) CIMIC, ki so del</w:t>
      </w:r>
      <w:r w:rsidR="00BB3996">
        <w:rPr>
          <w:rFonts w:eastAsia="Calibri"/>
          <w:sz w:val="20"/>
          <w:szCs w:val="20"/>
          <w:lang w:eastAsia="sl-SI"/>
        </w:rPr>
        <w:t xml:space="preserve"> </w:t>
      </w:r>
      <w:r w:rsidRPr="00000B77">
        <w:rPr>
          <w:rFonts w:eastAsia="Calibri"/>
          <w:sz w:val="20"/>
          <w:szCs w:val="20"/>
          <w:lang w:eastAsia="sl-SI"/>
        </w:rPr>
        <w:t>kontingenta SV v misiji KFOR, nadaljevali z izvajanjem projektov civilno-vojaškega sodelovanja. V prvi</w:t>
      </w:r>
      <w:r w:rsidR="00BB3996">
        <w:rPr>
          <w:rFonts w:eastAsia="Calibri"/>
          <w:sz w:val="20"/>
          <w:szCs w:val="20"/>
          <w:lang w:eastAsia="sl-SI"/>
        </w:rPr>
        <w:t xml:space="preserve"> </w:t>
      </w:r>
      <w:r w:rsidRPr="00000B77">
        <w:rPr>
          <w:rFonts w:eastAsia="Calibri"/>
          <w:sz w:val="20"/>
          <w:szCs w:val="20"/>
          <w:lang w:eastAsia="sl-SI"/>
        </w:rPr>
        <w:t>polovici leta 2025 je bila uspešno izvedena evalvacija projekta Naše pravice, ki se je zaključil v</w:t>
      </w:r>
      <w:r w:rsidR="00BB3996">
        <w:rPr>
          <w:rFonts w:eastAsia="Calibri"/>
          <w:sz w:val="20"/>
          <w:szCs w:val="20"/>
          <w:lang w:eastAsia="sl-SI"/>
        </w:rPr>
        <w:t xml:space="preserve"> </w:t>
      </w:r>
      <w:r w:rsidRPr="00000B77">
        <w:rPr>
          <w:rFonts w:eastAsia="Calibri"/>
          <w:sz w:val="20"/>
          <w:szCs w:val="20"/>
          <w:lang w:eastAsia="sl-SI"/>
        </w:rPr>
        <w:t>decembru 2024 na Kosovem Polju, izvedba projekta pa se je nadaljevala še v dveh občinah (Glogovac,</w:t>
      </w:r>
      <w:r w:rsidR="00BB3996">
        <w:rPr>
          <w:rFonts w:eastAsia="Calibri"/>
          <w:sz w:val="20"/>
          <w:szCs w:val="20"/>
          <w:lang w:eastAsia="sl-SI"/>
        </w:rPr>
        <w:t xml:space="preserve"> </w:t>
      </w:r>
      <w:r w:rsidRPr="00000B77">
        <w:rPr>
          <w:rFonts w:eastAsia="Calibri"/>
          <w:sz w:val="20"/>
          <w:szCs w:val="20"/>
          <w:lang w:eastAsia="sl-SI"/>
        </w:rPr>
        <w:t>Srbica). Z izvajanjem projekta se v preostalih občinah delovanja kontingenta SV nadaljuje v prvi polovici</w:t>
      </w:r>
      <w:r w:rsidR="00BB3996">
        <w:rPr>
          <w:rFonts w:eastAsia="Calibri"/>
          <w:sz w:val="20"/>
          <w:szCs w:val="20"/>
          <w:lang w:eastAsia="sl-SI"/>
        </w:rPr>
        <w:t xml:space="preserve"> </w:t>
      </w:r>
      <w:r w:rsidRPr="00000B77">
        <w:rPr>
          <w:rFonts w:eastAsia="Calibri"/>
          <w:sz w:val="20"/>
          <w:szCs w:val="20"/>
          <w:lang w:eastAsia="sl-SI"/>
        </w:rPr>
        <w:t>leta 2026.</w:t>
      </w:r>
    </w:p>
    <w:p w14:paraId="40516C7D" w14:textId="77777777" w:rsidR="00BB3996" w:rsidRPr="00000B77" w:rsidRDefault="00BB3996" w:rsidP="00411064">
      <w:pPr>
        <w:autoSpaceDE w:val="0"/>
        <w:autoSpaceDN w:val="0"/>
        <w:adjustRightInd w:val="0"/>
        <w:spacing w:line="276" w:lineRule="auto"/>
        <w:rPr>
          <w:rFonts w:eastAsia="Calibri"/>
          <w:sz w:val="20"/>
          <w:szCs w:val="20"/>
          <w:lang w:eastAsia="sl-SI"/>
        </w:rPr>
      </w:pPr>
    </w:p>
    <w:p w14:paraId="0EBBCD35" w14:textId="77777777" w:rsidR="009917BB"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 xml:space="preserve">Kot v </w:t>
      </w:r>
      <w:r w:rsidR="00945E65">
        <w:rPr>
          <w:rFonts w:eastAsia="Calibri"/>
          <w:sz w:val="20"/>
          <w:szCs w:val="20"/>
          <w:lang w:eastAsia="sl-SI"/>
        </w:rPr>
        <w:t>BiH</w:t>
      </w:r>
      <w:r w:rsidRPr="00000B77">
        <w:rPr>
          <w:rFonts w:eastAsia="Calibri"/>
          <w:sz w:val="20"/>
          <w:szCs w:val="20"/>
          <w:lang w:eastAsia="sl-SI"/>
        </w:rPr>
        <w:t>, se tudi na Kosovu izvaja projekta usposabljanja uporabnikov na področju Kibernetske</w:t>
      </w:r>
      <w:r w:rsidR="00BB3996">
        <w:rPr>
          <w:rFonts w:eastAsia="Calibri"/>
          <w:sz w:val="20"/>
          <w:szCs w:val="20"/>
          <w:lang w:eastAsia="sl-SI"/>
        </w:rPr>
        <w:t xml:space="preserve"> </w:t>
      </w:r>
      <w:r w:rsidRPr="00000B77">
        <w:rPr>
          <w:rFonts w:eastAsia="Calibri"/>
          <w:sz w:val="20"/>
          <w:szCs w:val="20"/>
          <w:lang w:eastAsia="sl-SI"/>
        </w:rPr>
        <w:t>varnosti, ki je bil izveden v drugi polovici leta 2025.</w:t>
      </w:r>
    </w:p>
    <w:p w14:paraId="55BC1CE8" w14:textId="77777777" w:rsidR="00BB3996" w:rsidRPr="00000B77" w:rsidRDefault="00BB3996" w:rsidP="00411064">
      <w:pPr>
        <w:autoSpaceDE w:val="0"/>
        <w:autoSpaceDN w:val="0"/>
        <w:adjustRightInd w:val="0"/>
        <w:spacing w:line="276" w:lineRule="auto"/>
        <w:rPr>
          <w:rFonts w:eastAsia="Calibri"/>
          <w:sz w:val="20"/>
          <w:szCs w:val="20"/>
          <w:lang w:eastAsia="sl-SI"/>
        </w:rPr>
      </w:pPr>
    </w:p>
    <w:p w14:paraId="2CADC208" w14:textId="77777777" w:rsidR="009917BB"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V teku je tudi CIMIC projekt Usposabljanje gasilcev/Zaščita in reševanje, za katerega so stekle</w:t>
      </w:r>
      <w:r w:rsidR="00BB3996">
        <w:rPr>
          <w:rFonts w:eastAsia="Calibri"/>
          <w:sz w:val="20"/>
          <w:szCs w:val="20"/>
          <w:lang w:eastAsia="sl-SI"/>
        </w:rPr>
        <w:t xml:space="preserve"> </w:t>
      </w:r>
      <w:r w:rsidRPr="00000B77">
        <w:rPr>
          <w:rFonts w:eastAsia="Calibri"/>
          <w:sz w:val="20"/>
          <w:szCs w:val="20"/>
          <w:lang w:eastAsia="sl-SI"/>
        </w:rPr>
        <w:t>pripravljalne aktivnosti v drugi polovici leta 2025 za področje ozaveščanja lokalnega prebivalstva (šolske</w:t>
      </w:r>
      <w:r w:rsidR="00BB3996">
        <w:rPr>
          <w:rFonts w:eastAsia="Calibri"/>
          <w:sz w:val="20"/>
          <w:szCs w:val="20"/>
          <w:lang w:eastAsia="sl-SI"/>
        </w:rPr>
        <w:t xml:space="preserve"> </w:t>
      </w:r>
      <w:r w:rsidRPr="00000B77">
        <w:rPr>
          <w:rFonts w:eastAsia="Calibri"/>
          <w:sz w:val="20"/>
          <w:szCs w:val="20"/>
          <w:lang w:eastAsia="sl-SI"/>
        </w:rPr>
        <w:t>mladine) – zaščita, reševanje in pomoč z distribucijo brošur ter drugega izobraževalnega materiala. Kar</w:t>
      </w:r>
      <w:r w:rsidR="00BB3996">
        <w:rPr>
          <w:rFonts w:eastAsia="Calibri"/>
          <w:sz w:val="20"/>
          <w:szCs w:val="20"/>
          <w:lang w:eastAsia="sl-SI"/>
        </w:rPr>
        <w:t xml:space="preserve"> </w:t>
      </w:r>
      <w:r w:rsidRPr="00000B77">
        <w:rPr>
          <w:rFonts w:eastAsia="Calibri"/>
          <w:sz w:val="20"/>
          <w:szCs w:val="20"/>
          <w:lang w:eastAsia="sl-SI"/>
        </w:rPr>
        <w:t>zadeva ostale projektne aktivnosti, usposabljanje gasilcev, svetovanje na področju varstva pred</w:t>
      </w:r>
      <w:r w:rsidR="00BB3996">
        <w:rPr>
          <w:rFonts w:eastAsia="Calibri"/>
          <w:sz w:val="20"/>
          <w:szCs w:val="20"/>
          <w:lang w:eastAsia="sl-SI"/>
        </w:rPr>
        <w:t xml:space="preserve"> </w:t>
      </w:r>
      <w:r w:rsidRPr="00000B77">
        <w:rPr>
          <w:rFonts w:eastAsia="Calibri"/>
          <w:sz w:val="20"/>
          <w:szCs w:val="20"/>
          <w:lang w:eastAsia="sl-SI"/>
        </w:rPr>
        <w:t>naravnimi in drugimi nesrečami, usposabljanje na področju črpanja EU sredstev, se izvedba aktivnosti</w:t>
      </w:r>
      <w:r w:rsidR="00BB3996">
        <w:rPr>
          <w:rFonts w:eastAsia="Calibri"/>
          <w:sz w:val="20"/>
          <w:szCs w:val="20"/>
          <w:lang w:eastAsia="sl-SI"/>
        </w:rPr>
        <w:t xml:space="preserve"> </w:t>
      </w:r>
      <w:r w:rsidRPr="00000B77">
        <w:rPr>
          <w:rFonts w:eastAsia="Calibri"/>
          <w:sz w:val="20"/>
          <w:szCs w:val="20"/>
          <w:lang w:eastAsia="sl-SI"/>
        </w:rPr>
        <w:t>s področja zaščite in reševanja prenese na naslednje obdobje med 2026 in 2027, saj je interes med</w:t>
      </w:r>
      <w:r w:rsidR="00BB3996">
        <w:rPr>
          <w:rFonts w:eastAsia="Calibri"/>
          <w:sz w:val="20"/>
          <w:szCs w:val="20"/>
          <w:lang w:eastAsia="sl-SI"/>
        </w:rPr>
        <w:t xml:space="preserve"> </w:t>
      </w:r>
      <w:r w:rsidRPr="00000B77">
        <w:rPr>
          <w:rFonts w:eastAsia="Calibri"/>
          <w:sz w:val="20"/>
          <w:szCs w:val="20"/>
          <w:lang w:eastAsia="sl-SI"/>
        </w:rPr>
        <w:t>deležniki na območju delovanja SV kontingenta na Kosovu precejšen.</w:t>
      </w:r>
    </w:p>
    <w:p w14:paraId="20F966E7" w14:textId="77777777" w:rsidR="00BB3996" w:rsidRPr="00000B77" w:rsidRDefault="00BB3996" w:rsidP="00411064">
      <w:pPr>
        <w:autoSpaceDE w:val="0"/>
        <w:autoSpaceDN w:val="0"/>
        <w:adjustRightInd w:val="0"/>
        <w:spacing w:line="276" w:lineRule="auto"/>
        <w:rPr>
          <w:rFonts w:eastAsia="Calibri"/>
          <w:sz w:val="20"/>
          <w:szCs w:val="20"/>
          <w:lang w:eastAsia="sl-SI"/>
        </w:rPr>
      </w:pPr>
    </w:p>
    <w:p w14:paraId="1AED7606" w14:textId="77777777" w:rsidR="00BB3996"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Decembra je minister za obrambo obiskal pripadnike SV, ki delujejo v operaciji KFOR na Kosovu,</w:t>
      </w:r>
      <w:r w:rsidR="00BB3996">
        <w:rPr>
          <w:rFonts w:eastAsia="Calibri"/>
          <w:sz w:val="20"/>
          <w:szCs w:val="20"/>
          <w:lang w:eastAsia="sl-SI"/>
        </w:rPr>
        <w:t xml:space="preserve"> </w:t>
      </w:r>
      <w:r w:rsidRPr="00000B77">
        <w:rPr>
          <w:rFonts w:eastAsia="Calibri"/>
          <w:sz w:val="20"/>
          <w:szCs w:val="20"/>
          <w:lang w:eastAsia="sl-SI"/>
        </w:rPr>
        <w:t>novembra je generalna direktorica DOZ sodelovala na primopredaji računalniške opreme in podelitvi</w:t>
      </w:r>
      <w:r w:rsidR="00BB3996">
        <w:rPr>
          <w:rFonts w:eastAsia="Calibri"/>
          <w:sz w:val="20"/>
          <w:szCs w:val="20"/>
          <w:lang w:eastAsia="sl-SI"/>
        </w:rPr>
        <w:t xml:space="preserve"> </w:t>
      </w:r>
      <w:r w:rsidRPr="00000B77">
        <w:rPr>
          <w:rFonts w:eastAsia="Calibri"/>
          <w:sz w:val="20"/>
          <w:szCs w:val="20"/>
          <w:lang w:eastAsia="sl-SI"/>
        </w:rPr>
        <w:t>certifikatov udeležencem usposabljanja o Kibernetski varnosti.</w:t>
      </w:r>
      <w:r w:rsidR="00BB3996">
        <w:rPr>
          <w:rFonts w:eastAsia="Calibri"/>
          <w:sz w:val="20"/>
          <w:szCs w:val="20"/>
          <w:lang w:eastAsia="sl-SI"/>
        </w:rPr>
        <w:t xml:space="preserve"> </w:t>
      </w:r>
    </w:p>
    <w:p w14:paraId="22D5904F" w14:textId="77777777" w:rsidR="00BB3996" w:rsidRDefault="00BB3996" w:rsidP="00411064">
      <w:pPr>
        <w:autoSpaceDE w:val="0"/>
        <w:autoSpaceDN w:val="0"/>
        <w:adjustRightInd w:val="0"/>
        <w:spacing w:line="276" w:lineRule="auto"/>
        <w:rPr>
          <w:rFonts w:eastAsia="Calibri"/>
          <w:sz w:val="20"/>
          <w:szCs w:val="20"/>
          <w:lang w:eastAsia="sl-SI"/>
        </w:rPr>
      </w:pPr>
    </w:p>
    <w:p w14:paraId="760DEF27" w14:textId="77777777" w:rsidR="009917BB"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Za nadaljnje izvajanje projektov CIMIC je bila v mesecu novembru 2025 za 12 mesecev podaljšana</w:t>
      </w:r>
      <w:r w:rsidR="00BB3996">
        <w:rPr>
          <w:rFonts w:eastAsia="Calibri"/>
          <w:sz w:val="20"/>
          <w:szCs w:val="20"/>
          <w:lang w:eastAsia="sl-SI"/>
        </w:rPr>
        <w:t xml:space="preserve"> </w:t>
      </w:r>
      <w:r w:rsidRPr="00000B77">
        <w:rPr>
          <w:rFonts w:eastAsia="Calibri"/>
          <w:sz w:val="20"/>
          <w:szCs w:val="20"/>
          <w:lang w:eastAsia="sl-SI"/>
        </w:rPr>
        <w:t>napotitev civilne funkcionalne strokovnjakinje v taktični skupini CIMIC, ki bo z delom nadaljevala v letu</w:t>
      </w:r>
      <w:r w:rsidR="00BB3996">
        <w:rPr>
          <w:rFonts w:eastAsia="Calibri"/>
          <w:sz w:val="20"/>
          <w:szCs w:val="20"/>
          <w:lang w:eastAsia="sl-SI"/>
        </w:rPr>
        <w:t xml:space="preserve"> </w:t>
      </w:r>
      <w:r w:rsidRPr="00000B77">
        <w:rPr>
          <w:rFonts w:eastAsia="Calibri"/>
          <w:sz w:val="20"/>
          <w:szCs w:val="20"/>
          <w:lang w:eastAsia="sl-SI"/>
        </w:rPr>
        <w:t>2026.</w:t>
      </w:r>
    </w:p>
    <w:p w14:paraId="0F9C9DD0" w14:textId="77777777" w:rsidR="00BB3996" w:rsidRPr="00000B77" w:rsidRDefault="00BB3996" w:rsidP="00411064">
      <w:pPr>
        <w:autoSpaceDE w:val="0"/>
        <w:autoSpaceDN w:val="0"/>
        <w:adjustRightInd w:val="0"/>
        <w:spacing w:line="276" w:lineRule="auto"/>
        <w:rPr>
          <w:rFonts w:eastAsia="Calibri"/>
          <w:sz w:val="20"/>
          <w:szCs w:val="20"/>
          <w:lang w:eastAsia="sl-SI"/>
        </w:rPr>
      </w:pPr>
    </w:p>
    <w:p w14:paraId="065EE4BF" w14:textId="77777777" w:rsidR="009917BB" w:rsidRPr="00000B77" w:rsidRDefault="009917BB" w:rsidP="00411064">
      <w:pPr>
        <w:autoSpaceDE w:val="0"/>
        <w:autoSpaceDN w:val="0"/>
        <w:adjustRightInd w:val="0"/>
        <w:spacing w:line="276" w:lineRule="auto"/>
        <w:rPr>
          <w:rFonts w:eastAsia="Calibri"/>
          <w:b/>
          <w:bCs/>
          <w:sz w:val="20"/>
          <w:szCs w:val="20"/>
          <w:lang w:eastAsia="sl-SI"/>
        </w:rPr>
      </w:pPr>
      <w:r w:rsidRPr="00000B77">
        <w:rPr>
          <w:rFonts w:eastAsia="Calibri"/>
          <w:b/>
          <w:bCs/>
          <w:sz w:val="20"/>
          <w:szCs w:val="20"/>
          <w:lang w:eastAsia="sl-SI"/>
        </w:rPr>
        <w:t>Srbija</w:t>
      </w:r>
    </w:p>
    <w:p w14:paraId="017A1F00" w14:textId="77777777" w:rsidR="00432C4F"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Podpisani program dvostranskega sodelovanja za leto 2025 je obsegal 24 aktivnosti, predvsem s</w:t>
      </w:r>
      <w:r w:rsidR="00BB3996">
        <w:rPr>
          <w:rFonts w:eastAsia="Calibri"/>
          <w:sz w:val="20"/>
          <w:szCs w:val="20"/>
          <w:lang w:eastAsia="sl-SI"/>
        </w:rPr>
        <w:t xml:space="preserve"> </w:t>
      </w:r>
      <w:r w:rsidRPr="00000B77">
        <w:rPr>
          <w:rFonts w:eastAsia="Calibri"/>
          <w:sz w:val="20"/>
          <w:szCs w:val="20"/>
          <w:lang w:eastAsia="sl-SI"/>
        </w:rPr>
        <w:t>področja vojaških arhivov in vojaške zgodovine. V mesecu januarju 2025 so se odvile bilateralne</w:t>
      </w:r>
      <w:r w:rsidR="00BB3996">
        <w:rPr>
          <w:rFonts w:eastAsia="Calibri"/>
          <w:sz w:val="20"/>
          <w:szCs w:val="20"/>
          <w:lang w:eastAsia="sl-SI"/>
        </w:rPr>
        <w:t xml:space="preserve"> </w:t>
      </w:r>
      <w:r w:rsidRPr="00000B77">
        <w:rPr>
          <w:rFonts w:eastAsia="Calibri"/>
          <w:sz w:val="20"/>
          <w:szCs w:val="20"/>
          <w:lang w:eastAsia="sl-SI"/>
        </w:rPr>
        <w:t>konzultacije direktorjev za obrambno politiko. Dogovorjeno je bilo, da se vzpostavi skupina ekspertov,</w:t>
      </w:r>
      <w:r w:rsidR="00BB3996">
        <w:rPr>
          <w:rFonts w:eastAsia="Calibri"/>
          <w:sz w:val="20"/>
          <w:szCs w:val="20"/>
          <w:lang w:eastAsia="sl-SI"/>
        </w:rPr>
        <w:t xml:space="preserve"> </w:t>
      </w:r>
      <w:r w:rsidRPr="00000B77">
        <w:rPr>
          <w:rFonts w:eastAsia="Calibri"/>
          <w:sz w:val="20"/>
          <w:szCs w:val="20"/>
          <w:lang w:eastAsia="sl-SI"/>
        </w:rPr>
        <w:t>ki bi lahko raziskala potencialne skupne projekte, ki so še v fazi usklajevanja. Usklajuje se tudi sporazum</w:t>
      </w:r>
      <w:r w:rsidR="00BB3996">
        <w:rPr>
          <w:rFonts w:eastAsia="Calibri"/>
          <w:sz w:val="20"/>
          <w:szCs w:val="20"/>
          <w:lang w:eastAsia="sl-SI"/>
        </w:rPr>
        <w:t xml:space="preserve"> </w:t>
      </w:r>
      <w:r w:rsidRPr="00000B77">
        <w:rPr>
          <w:rFonts w:eastAsia="Calibri"/>
          <w:sz w:val="20"/>
          <w:szCs w:val="20"/>
          <w:lang w:eastAsia="sl-SI"/>
        </w:rPr>
        <w:t>s področja sodelovanja vojaških muzejev. Aktivno je sodelovanje na področju arhivske dejavnosti,</w:t>
      </w:r>
      <w:r w:rsidR="00BB3996">
        <w:rPr>
          <w:rFonts w:eastAsia="Calibri"/>
          <w:sz w:val="20"/>
          <w:szCs w:val="20"/>
          <w:lang w:eastAsia="sl-SI"/>
        </w:rPr>
        <w:t xml:space="preserve"> </w:t>
      </w:r>
      <w:r w:rsidRPr="00000B77">
        <w:rPr>
          <w:rFonts w:eastAsia="Calibri"/>
          <w:sz w:val="20"/>
          <w:szCs w:val="20"/>
          <w:lang w:eastAsia="sl-SI"/>
        </w:rPr>
        <w:t>predvsem s srbskim vojaškim arhivom. V Srbiji sta rezidenčno akreditirana obrambni ataše polkovnik</w:t>
      </w:r>
      <w:r w:rsidR="00BB3996">
        <w:rPr>
          <w:rFonts w:eastAsia="Calibri"/>
          <w:sz w:val="20"/>
          <w:szCs w:val="20"/>
          <w:lang w:eastAsia="sl-SI"/>
        </w:rPr>
        <w:t xml:space="preserve"> </w:t>
      </w:r>
      <w:r w:rsidRPr="00000B77">
        <w:rPr>
          <w:rFonts w:eastAsia="Calibri"/>
          <w:sz w:val="20"/>
          <w:szCs w:val="20"/>
          <w:lang w:eastAsia="sl-SI"/>
        </w:rPr>
        <w:t>Valter Ilenič in njegov pomočnik dr. Matej Hedl. Kljub predvidenemu obisku MO v Srbiji v letu, se ta ni</w:t>
      </w:r>
      <w:r w:rsidR="00BB3996">
        <w:rPr>
          <w:rFonts w:eastAsia="Calibri"/>
          <w:sz w:val="20"/>
          <w:szCs w:val="20"/>
          <w:lang w:eastAsia="sl-SI"/>
        </w:rPr>
        <w:t xml:space="preserve"> </w:t>
      </w:r>
      <w:r w:rsidRPr="00000B77">
        <w:rPr>
          <w:rFonts w:eastAsia="Calibri"/>
          <w:sz w:val="20"/>
          <w:szCs w:val="20"/>
          <w:lang w:eastAsia="sl-SI"/>
        </w:rPr>
        <w:t>izvedel.</w:t>
      </w:r>
    </w:p>
    <w:p w14:paraId="4503EB89" w14:textId="77777777" w:rsidR="00BB3996" w:rsidRPr="00000B77" w:rsidRDefault="00BB3996" w:rsidP="00411064">
      <w:pPr>
        <w:spacing w:line="276" w:lineRule="auto"/>
        <w:rPr>
          <w:sz w:val="20"/>
          <w:szCs w:val="20"/>
        </w:rPr>
      </w:pPr>
    </w:p>
    <w:p w14:paraId="426FCAE0" w14:textId="77777777" w:rsidR="009917BB" w:rsidRDefault="00411064" w:rsidP="00411064">
      <w:pPr>
        <w:autoSpaceDE w:val="0"/>
        <w:autoSpaceDN w:val="0"/>
        <w:adjustRightInd w:val="0"/>
        <w:spacing w:line="276" w:lineRule="auto"/>
        <w:rPr>
          <w:rFonts w:eastAsia="Calibri"/>
          <w:b/>
          <w:bCs/>
          <w:sz w:val="20"/>
          <w:szCs w:val="20"/>
          <w:lang w:eastAsia="sl-SI"/>
        </w:rPr>
      </w:pPr>
      <w:r w:rsidRPr="00000B77">
        <w:rPr>
          <w:rFonts w:eastAsia="Calibri"/>
          <w:b/>
          <w:bCs/>
          <w:sz w:val="20"/>
          <w:szCs w:val="20"/>
          <w:lang w:eastAsia="sl-SI"/>
        </w:rPr>
        <w:t xml:space="preserve">Mednarodne operacije in misije </w:t>
      </w:r>
      <w:r w:rsidR="009917BB" w:rsidRPr="00000B77">
        <w:rPr>
          <w:rFonts w:eastAsia="Calibri"/>
          <w:b/>
          <w:bCs/>
          <w:sz w:val="20"/>
          <w:szCs w:val="20"/>
          <w:lang w:eastAsia="sl-SI"/>
        </w:rPr>
        <w:t>(MOM)</w:t>
      </w:r>
    </w:p>
    <w:p w14:paraId="55C6CC17" w14:textId="77777777" w:rsidR="00BB3996" w:rsidRPr="00000B77" w:rsidRDefault="00BB3996" w:rsidP="00411064">
      <w:pPr>
        <w:autoSpaceDE w:val="0"/>
        <w:autoSpaceDN w:val="0"/>
        <w:adjustRightInd w:val="0"/>
        <w:spacing w:line="276" w:lineRule="auto"/>
        <w:rPr>
          <w:rFonts w:eastAsia="Calibri"/>
          <w:b/>
          <w:bCs/>
          <w:sz w:val="20"/>
          <w:szCs w:val="20"/>
          <w:lang w:eastAsia="sl-SI"/>
        </w:rPr>
      </w:pPr>
    </w:p>
    <w:p w14:paraId="46906A98" w14:textId="77777777" w:rsidR="009917BB" w:rsidRPr="00000B77"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Od skupno okoli 320 sodelujočih pripadnikov v MOM ima RS na Zahodnem Balkanu, ki je eno izmed</w:t>
      </w:r>
      <w:r w:rsidR="00BB3996">
        <w:rPr>
          <w:rFonts w:eastAsia="Calibri"/>
          <w:sz w:val="20"/>
          <w:szCs w:val="20"/>
          <w:lang w:eastAsia="sl-SI"/>
        </w:rPr>
        <w:t xml:space="preserve"> </w:t>
      </w:r>
      <w:r w:rsidRPr="00000B77">
        <w:rPr>
          <w:rFonts w:eastAsia="Calibri"/>
          <w:sz w:val="20"/>
          <w:szCs w:val="20"/>
          <w:lang w:eastAsia="sl-SI"/>
        </w:rPr>
        <w:t>naših prednostnih operativnih območij, napotenih okoli 150 pripadnikov, od tega okoli 120 v KFOR</w:t>
      </w:r>
      <w:r w:rsidR="00BB3996">
        <w:rPr>
          <w:rFonts w:eastAsia="Calibri"/>
          <w:sz w:val="20"/>
          <w:szCs w:val="20"/>
          <w:lang w:eastAsia="sl-SI"/>
        </w:rPr>
        <w:t xml:space="preserve"> </w:t>
      </w:r>
      <w:r w:rsidRPr="00000B77">
        <w:rPr>
          <w:rFonts w:eastAsia="Calibri"/>
          <w:sz w:val="20"/>
          <w:szCs w:val="20"/>
          <w:lang w:eastAsia="sl-SI"/>
        </w:rPr>
        <w:t>Natovo svetovalno-povezovalno skupino – NALT (tudi 4 CFS –</w:t>
      </w:r>
      <w:r w:rsidR="00BB3996">
        <w:rPr>
          <w:rFonts w:eastAsia="Calibri"/>
          <w:sz w:val="20"/>
          <w:szCs w:val="20"/>
          <w:lang w:eastAsia="sl-SI"/>
        </w:rPr>
        <w:t xml:space="preserve"> </w:t>
      </w:r>
      <w:r w:rsidRPr="00000B77">
        <w:rPr>
          <w:rFonts w:eastAsia="Calibri"/>
          <w:sz w:val="20"/>
          <w:szCs w:val="20"/>
          <w:lang w:eastAsia="sl-SI"/>
        </w:rPr>
        <w:t>politična svetovalka KFOR in pravni svetovalec v NALT, svetovalec za pogodbe in javna naročila ter 1</w:t>
      </w:r>
      <w:r w:rsidR="00BB3996">
        <w:rPr>
          <w:rFonts w:eastAsia="Calibri"/>
          <w:sz w:val="20"/>
          <w:szCs w:val="20"/>
          <w:lang w:eastAsia="sl-SI"/>
        </w:rPr>
        <w:t xml:space="preserve"> </w:t>
      </w:r>
      <w:r w:rsidRPr="00000B77">
        <w:rPr>
          <w:rFonts w:eastAsia="Calibri"/>
          <w:sz w:val="20"/>
          <w:szCs w:val="20"/>
          <w:lang w:eastAsia="sl-SI"/>
        </w:rPr>
        <w:t>CFS v TS CIMIC), okoli 20 v EUFOR Althea, 6 v Natovo poveljstvo Sarajevo (od tega 1 CFS – svetovalec</w:t>
      </w:r>
      <w:r w:rsidR="00BB3996">
        <w:rPr>
          <w:rFonts w:eastAsia="Calibri"/>
          <w:sz w:val="20"/>
          <w:szCs w:val="20"/>
          <w:lang w:eastAsia="sl-SI"/>
        </w:rPr>
        <w:t xml:space="preserve"> </w:t>
      </w:r>
      <w:r w:rsidRPr="00000B77">
        <w:rPr>
          <w:rFonts w:eastAsia="Calibri"/>
          <w:sz w:val="20"/>
          <w:szCs w:val="20"/>
          <w:lang w:eastAsia="sl-SI"/>
        </w:rPr>
        <w:t>za vzdrževanje objektov), 1 v UNMIK ter 1 v Natovo vojaško pisarno za povezavo Beograd.</w:t>
      </w:r>
    </w:p>
    <w:p w14:paraId="2D5613B3" w14:textId="77777777" w:rsidR="00BB3996" w:rsidRDefault="00BB3996" w:rsidP="00411064">
      <w:pPr>
        <w:autoSpaceDE w:val="0"/>
        <w:autoSpaceDN w:val="0"/>
        <w:adjustRightInd w:val="0"/>
        <w:spacing w:line="276" w:lineRule="auto"/>
        <w:rPr>
          <w:rFonts w:eastAsia="Calibri"/>
          <w:sz w:val="20"/>
          <w:szCs w:val="20"/>
          <w:lang w:eastAsia="sl-SI"/>
        </w:rPr>
      </w:pPr>
    </w:p>
    <w:p w14:paraId="5A3E82A2" w14:textId="77777777" w:rsidR="009917BB" w:rsidRPr="00000B77"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V letu 2025 je RS okrepila svoj vojaški prispevek v operaciji KFOR na skupno do 120 pripadnikov SV.</w:t>
      </w:r>
      <w:r w:rsidR="00BB3996">
        <w:rPr>
          <w:rFonts w:eastAsia="Calibri"/>
          <w:sz w:val="20"/>
          <w:szCs w:val="20"/>
          <w:lang w:eastAsia="sl-SI"/>
        </w:rPr>
        <w:t xml:space="preserve"> </w:t>
      </w:r>
      <w:r w:rsidRPr="00000B77">
        <w:rPr>
          <w:rFonts w:eastAsia="Calibri"/>
          <w:sz w:val="20"/>
          <w:szCs w:val="20"/>
          <w:lang w:eastAsia="sl-SI"/>
        </w:rPr>
        <w:t>Ob tem je že v 2024 RS na Kosovo napotila Taktično skupino (TS) CIMIC v sestavi 1 CFS in 2 SV, ki je</w:t>
      </w:r>
      <w:r w:rsidR="00BB3996">
        <w:rPr>
          <w:rFonts w:eastAsia="Calibri"/>
          <w:sz w:val="20"/>
          <w:szCs w:val="20"/>
          <w:lang w:eastAsia="sl-SI"/>
        </w:rPr>
        <w:t xml:space="preserve"> </w:t>
      </w:r>
      <w:r w:rsidRPr="00000B77">
        <w:rPr>
          <w:rFonts w:eastAsia="Calibri"/>
          <w:sz w:val="20"/>
          <w:szCs w:val="20"/>
          <w:lang w:eastAsia="sl-SI"/>
        </w:rPr>
        <w:t>začela izvajati projekte civilno-vojaškega sodelovanja (področje človekovih pravic, kibernetske varnosti,</w:t>
      </w:r>
      <w:r w:rsidR="00BB3996">
        <w:rPr>
          <w:rFonts w:eastAsia="Calibri"/>
          <w:sz w:val="20"/>
          <w:szCs w:val="20"/>
          <w:lang w:eastAsia="sl-SI"/>
        </w:rPr>
        <w:t xml:space="preserve"> </w:t>
      </w:r>
      <w:r w:rsidRPr="00000B77">
        <w:rPr>
          <w:rFonts w:eastAsia="Calibri"/>
          <w:sz w:val="20"/>
          <w:szCs w:val="20"/>
          <w:lang w:eastAsia="sl-SI"/>
        </w:rPr>
        <w:t>gasilstva). Jeseni 2025 je bila izvedena napotitev dodatnega CFS v NALT za področje pogodb in javnih</w:t>
      </w:r>
      <w:r w:rsidR="00BB3996">
        <w:rPr>
          <w:rFonts w:eastAsia="Calibri"/>
          <w:sz w:val="20"/>
          <w:szCs w:val="20"/>
          <w:lang w:eastAsia="sl-SI"/>
        </w:rPr>
        <w:t xml:space="preserve"> </w:t>
      </w:r>
      <w:r w:rsidRPr="00000B77">
        <w:rPr>
          <w:rFonts w:eastAsia="Calibri"/>
          <w:sz w:val="20"/>
          <w:szCs w:val="20"/>
          <w:lang w:eastAsia="sl-SI"/>
        </w:rPr>
        <w:t>naročil. RS je nadaljevala sodelovanje v misiji UNMIK na Kosovu, s popolnitvijo delovnega mesta</w:t>
      </w:r>
      <w:r w:rsidR="00BB3996">
        <w:rPr>
          <w:rFonts w:eastAsia="Calibri"/>
          <w:sz w:val="20"/>
          <w:szCs w:val="20"/>
          <w:lang w:eastAsia="sl-SI"/>
        </w:rPr>
        <w:t xml:space="preserve"> </w:t>
      </w:r>
      <w:r w:rsidRPr="00000B77">
        <w:rPr>
          <w:rFonts w:eastAsia="Calibri"/>
          <w:sz w:val="20"/>
          <w:szCs w:val="20"/>
          <w:lang w:eastAsia="sl-SI"/>
        </w:rPr>
        <w:t>glavnega vojaškega častnika za povezavo.</w:t>
      </w:r>
    </w:p>
    <w:p w14:paraId="2B265B11" w14:textId="77777777" w:rsidR="00BB3996" w:rsidRDefault="00BB3996" w:rsidP="00411064">
      <w:pPr>
        <w:autoSpaceDE w:val="0"/>
        <w:autoSpaceDN w:val="0"/>
        <w:adjustRightInd w:val="0"/>
        <w:spacing w:line="276" w:lineRule="auto"/>
        <w:rPr>
          <w:rFonts w:eastAsia="Calibri"/>
          <w:sz w:val="20"/>
          <w:szCs w:val="20"/>
          <w:lang w:eastAsia="sl-SI"/>
        </w:rPr>
      </w:pPr>
    </w:p>
    <w:p w14:paraId="79806953" w14:textId="77777777" w:rsidR="00432C4F" w:rsidRPr="00000B77"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 xml:space="preserve">RS sodeluje v operaciji EUFOR Althea v </w:t>
      </w:r>
      <w:r w:rsidR="00945E65">
        <w:rPr>
          <w:rFonts w:eastAsia="Calibri"/>
          <w:sz w:val="20"/>
          <w:szCs w:val="20"/>
          <w:lang w:eastAsia="sl-SI"/>
        </w:rPr>
        <w:t>BiH</w:t>
      </w:r>
      <w:r w:rsidRPr="00000B77">
        <w:rPr>
          <w:rFonts w:eastAsia="Calibri"/>
          <w:sz w:val="20"/>
          <w:szCs w:val="20"/>
          <w:lang w:eastAsia="sl-SI"/>
        </w:rPr>
        <w:t xml:space="preserve"> s približno 20 pripadniki SV. Na območju delovanja LOT</w:t>
      </w:r>
      <w:r w:rsidR="00BB3996">
        <w:rPr>
          <w:rFonts w:eastAsia="Calibri"/>
          <w:sz w:val="20"/>
          <w:szCs w:val="20"/>
          <w:lang w:eastAsia="sl-SI"/>
        </w:rPr>
        <w:t xml:space="preserve"> </w:t>
      </w:r>
      <w:r w:rsidRPr="00000B77">
        <w:rPr>
          <w:rFonts w:eastAsia="Calibri"/>
          <w:sz w:val="20"/>
          <w:szCs w:val="20"/>
          <w:lang w:eastAsia="sl-SI"/>
        </w:rPr>
        <w:t>hiše Banja Luka II ter območju izvajanja DCB projekta v Sarajevu se nadaljuje s projektnimi aktivnostmi</w:t>
      </w:r>
      <w:r w:rsidR="00BB3996">
        <w:rPr>
          <w:rFonts w:eastAsia="Calibri"/>
          <w:sz w:val="20"/>
          <w:szCs w:val="20"/>
          <w:lang w:eastAsia="sl-SI"/>
        </w:rPr>
        <w:t xml:space="preserve"> </w:t>
      </w:r>
      <w:r w:rsidRPr="00000B77">
        <w:rPr>
          <w:rFonts w:eastAsia="Calibri"/>
          <w:sz w:val="20"/>
          <w:szCs w:val="20"/>
          <w:lang w:eastAsia="sl-SI"/>
        </w:rPr>
        <w:t>na področju mednarodnega razvojnega sodelovanja v podporo lokalnemu prebivalstvu na temo prve</w:t>
      </w:r>
      <w:r w:rsidR="00BB3996">
        <w:rPr>
          <w:rFonts w:eastAsia="Calibri"/>
          <w:sz w:val="20"/>
          <w:szCs w:val="20"/>
          <w:lang w:eastAsia="sl-SI"/>
        </w:rPr>
        <w:t xml:space="preserve"> </w:t>
      </w:r>
      <w:r w:rsidRPr="00000B77">
        <w:rPr>
          <w:rFonts w:eastAsia="Calibri"/>
          <w:sz w:val="20"/>
          <w:szCs w:val="20"/>
          <w:lang w:eastAsia="sl-SI"/>
        </w:rPr>
        <w:t>pomoči in varnosti v cestnem prometu. Izvajajo se tudi projekti CIMIC. Hkrati je RS prisotnost ohranila</w:t>
      </w:r>
      <w:r w:rsidR="00BB3996">
        <w:rPr>
          <w:rFonts w:eastAsia="Calibri"/>
          <w:sz w:val="20"/>
          <w:szCs w:val="20"/>
          <w:lang w:eastAsia="sl-SI"/>
        </w:rPr>
        <w:t xml:space="preserve"> </w:t>
      </w:r>
      <w:r w:rsidRPr="00000B77">
        <w:rPr>
          <w:rFonts w:eastAsia="Calibri"/>
          <w:sz w:val="20"/>
          <w:szCs w:val="20"/>
          <w:lang w:eastAsia="sl-SI"/>
        </w:rPr>
        <w:t>tudi v zavezniških povezovalno-svetovalnih strukturah na ZB, in sicer v Natovem poveljstvu v Sarajevu</w:t>
      </w:r>
      <w:r w:rsidR="00BB3996">
        <w:rPr>
          <w:rFonts w:eastAsia="Calibri"/>
          <w:sz w:val="20"/>
          <w:szCs w:val="20"/>
          <w:lang w:eastAsia="sl-SI"/>
        </w:rPr>
        <w:t xml:space="preserve"> </w:t>
      </w:r>
      <w:r w:rsidRPr="00000B77">
        <w:rPr>
          <w:rFonts w:eastAsia="Calibri"/>
          <w:sz w:val="20"/>
          <w:szCs w:val="20"/>
          <w:lang w:eastAsia="sl-SI"/>
        </w:rPr>
        <w:t>s 6 pripadniki SV, od tega 1 CFS na delovnem mestu za vzdrževanje objektov ter Natovi vojaški pisarni</w:t>
      </w:r>
      <w:r w:rsidR="00BB3996">
        <w:rPr>
          <w:rFonts w:eastAsia="Calibri"/>
          <w:sz w:val="20"/>
          <w:szCs w:val="20"/>
          <w:lang w:eastAsia="sl-SI"/>
        </w:rPr>
        <w:t xml:space="preserve"> </w:t>
      </w:r>
      <w:r w:rsidRPr="00000B77">
        <w:rPr>
          <w:rFonts w:eastAsia="Calibri"/>
          <w:sz w:val="20"/>
          <w:szCs w:val="20"/>
          <w:lang w:eastAsia="sl-SI"/>
        </w:rPr>
        <w:t>za povezavo v Beogradu (1 pripadnik SV).</w:t>
      </w:r>
    </w:p>
    <w:p w14:paraId="4E55804D" w14:textId="77777777" w:rsidR="009917BB" w:rsidRPr="00000B77" w:rsidRDefault="009917BB" w:rsidP="00411064">
      <w:pPr>
        <w:spacing w:line="276" w:lineRule="auto"/>
        <w:rPr>
          <w:b/>
          <w:bCs/>
          <w:sz w:val="20"/>
          <w:szCs w:val="20"/>
        </w:rPr>
      </w:pPr>
    </w:p>
    <w:p w14:paraId="4127DA39" w14:textId="77777777" w:rsidR="009917BB" w:rsidRDefault="00C23AB5" w:rsidP="00411064">
      <w:pPr>
        <w:autoSpaceDE w:val="0"/>
        <w:autoSpaceDN w:val="0"/>
        <w:adjustRightInd w:val="0"/>
        <w:spacing w:line="276" w:lineRule="auto"/>
        <w:rPr>
          <w:rFonts w:eastAsia="Calibri"/>
          <w:b/>
          <w:bCs/>
          <w:sz w:val="20"/>
          <w:szCs w:val="20"/>
          <w:lang w:eastAsia="sl-SI"/>
        </w:rPr>
      </w:pPr>
      <w:r w:rsidRPr="00000B77">
        <w:rPr>
          <w:rFonts w:eastAsia="Calibri"/>
          <w:b/>
          <w:bCs/>
          <w:sz w:val="20"/>
          <w:szCs w:val="20"/>
          <w:lang w:eastAsia="sl-SI"/>
        </w:rPr>
        <w:t>Večstransko sodelovanje</w:t>
      </w:r>
    </w:p>
    <w:p w14:paraId="30EB84CA" w14:textId="77777777" w:rsidR="00BB3996" w:rsidRPr="00000B77" w:rsidRDefault="00BB3996" w:rsidP="00411064">
      <w:pPr>
        <w:autoSpaceDE w:val="0"/>
        <w:autoSpaceDN w:val="0"/>
        <w:adjustRightInd w:val="0"/>
        <w:spacing w:line="276" w:lineRule="auto"/>
        <w:rPr>
          <w:rFonts w:eastAsia="Calibri"/>
          <w:b/>
          <w:bCs/>
          <w:sz w:val="20"/>
          <w:szCs w:val="20"/>
          <w:lang w:eastAsia="sl-SI"/>
        </w:rPr>
      </w:pPr>
    </w:p>
    <w:p w14:paraId="5652092E" w14:textId="77777777" w:rsidR="009917BB" w:rsidRDefault="009917BB" w:rsidP="00411064">
      <w:pPr>
        <w:autoSpaceDE w:val="0"/>
        <w:autoSpaceDN w:val="0"/>
        <w:adjustRightInd w:val="0"/>
        <w:spacing w:line="276" w:lineRule="auto"/>
        <w:rPr>
          <w:rFonts w:eastAsia="Calibri"/>
          <w:b/>
          <w:bCs/>
          <w:sz w:val="20"/>
          <w:szCs w:val="20"/>
          <w:lang w:eastAsia="sl-SI"/>
        </w:rPr>
      </w:pPr>
      <w:r w:rsidRPr="00000B77">
        <w:rPr>
          <w:rFonts w:eastAsia="Calibri"/>
          <w:b/>
          <w:bCs/>
          <w:sz w:val="20"/>
          <w:szCs w:val="20"/>
          <w:lang w:eastAsia="sl-SI"/>
        </w:rPr>
        <w:t>Pobuda za obrambno sodelovanje držav srednje Evrope (CEDC)</w:t>
      </w:r>
    </w:p>
    <w:p w14:paraId="243714B6" w14:textId="77777777" w:rsidR="00BB3996" w:rsidRPr="00000B77" w:rsidRDefault="00BB3996" w:rsidP="00411064">
      <w:pPr>
        <w:autoSpaceDE w:val="0"/>
        <w:autoSpaceDN w:val="0"/>
        <w:adjustRightInd w:val="0"/>
        <w:spacing w:line="276" w:lineRule="auto"/>
        <w:rPr>
          <w:rFonts w:eastAsia="Calibri"/>
          <w:b/>
          <w:bCs/>
          <w:sz w:val="20"/>
          <w:szCs w:val="20"/>
          <w:lang w:eastAsia="sl-SI"/>
        </w:rPr>
      </w:pPr>
    </w:p>
    <w:p w14:paraId="70224C47" w14:textId="77777777" w:rsidR="009917BB"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V letu 2025 je pobudi predsedovala Slovaška. V okviru pobude se redno sestajajo tako na ministrski kot</w:t>
      </w:r>
      <w:r w:rsidR="00BB3996">
        <w:rPr>
          <w:rFonts w:eastAsia="Calibri"/>
          <w:sz w:val="20"/>
          <w:szCs w:val="20"/>
          <w:lang w:eastAsia="sl-SI"/>
        </w:rPr>
        <w:t xml:space="preserve"> </w:t>
      </w:r>
      <w:r w:rsidRPr="00000B77">
        <w:rPr>
          <w:rFonts w:eastAsia="Calibri"/>
          <w:sz w:val="20"/>
          <w:szCs w:val="20"/>
          <w:lang w:eastAsia="sl-SI"/>
        </w:rPr>
        <w:t>direktorski ravni držav članic CEDC + države Zahodnega Balkana. 29. aprila se je odvilo srečanje</w:t>
      </w:r>
      <w:r w:rsidR="00BB3996">
        <w:rPr>
          <w:rFonts w:eastAsia="Calibri"/>
          <w:sz w:val="20"/>
          <w:szCs w:val="20"/>
          <w:lang w:eastAsia="sl-SI"/>
        </w:rPr>
        <w:t xml:space="preserve"> </w:t>
      </w:r>
      <w:r w:rsidRPr="00000B77">
        <w:rPr>
          <w:rFonts w:eastAsia="Calibri"/>
          <w:sz w:val="20"/>
          <w:szCs w:val="20"/>
          <w:lang w:eastAsia="sl-SI"/>
        </w:rPr>
        <w:t>direktorjev za obrambno politiko pobude + držav Z</w:t>
      </w:r>
      <w:r w:rsidR="00390EBD">
        <w:rPr>
          <w:rFonts w:eastAsia="Calibri"/>
          <w:sz w:val="20"/>
          <w:szCs w:val="20"/>
          <w:lang w:eastAsia="sl-SI"/>
        </w:rPr>
        <w:t xml:space="preserve">ahodnega </w:t>
      </w:r>
      <w:r w:rsidRPr="00000B77">
        <w:rPr>
          <w:rFonts w:eastAsia="Calibri"/>
          <w:sz w:val="20"/>
          <w:szCs w:val="20"/>
          <w:lang w:eastAsia="sl-SI"/>
        </w:rPr>
        <w:t>B</w:t>
      </w:r>
      <w:r w:rsidR="00390EBD">
        <w:rPr>
          <w:rFonts w:eastAsia="Calibri"/>
          <w:sz w:val="20"/>
          <w:szCs w:val="20"/>
          <w:lang w:eastAsia="sl-SI"/>
        </w:rPr>
        <w:t>alkana</w:t>
      </w:r>
      <w:r w:rsidRPr="00000B77">
        <w:rPr>
          <w:rFonts w:eastAsia="Calibri"/>
          <w:sz w:val="20"/>
          <w:szCs w:val="20"/>
          <w:lang w:eastAsia="sl-SI"/>
        </w:rPr>
        <w:t>, v Bratislavi na Slovaškem. 22. in 23. septembra</w:t>
      </w:r>
      <w:r w:rsidR="00BB3996">
        <w:rPr>
          <w:rFonts w:eastAsia="Calibri"/>
          <w:sz w:val="20"/>
          <w:szCs w:val="20"/>
          <w:lang w:eastAsia="sl-SI"/>
        </w:rPr>
        <w:t xml:space="preserve"> </w:t>
      </w:r>
      <w:r w:rsidRPr="00000B77">
        <w:rPr>
          <w:rFonts w:eastAsia="Calibri"/>
          <w:sz w:val="20"/>
          <w:szCs w:val="20"/>
          <w:lang w:eastAsia="sl-SI"/>
        </w:rPr>
        <w:t>2025 v Bratislavi potekal ministerial, ki se ga je udeležil minister za obrambo. Predsedovanje od</w:t>
      </w:r>
      <w:r w:rsidR="00BB3996">
        <w:rPr>
          <w:rFonts w:eastAsia="Calibri"/>
          <w:sz w:val="20"/>
          <w:szCs w:val="20"/>
          <w:lang w:eastAsia="sl-SI"/>
        </w:rPr>
        <w:t xml:space="preserve"> </w:t>
      </w:r>
      <w:r w:rsidRPr="00000B77">
        <w:rPr>
          <w:rFonts w:eastAsia="Calibri"/>
          <w:sz w:val="20"/>
          <w:szCs w:val="20"/>
          <w:lang w:eastAsia="sl-SI"/>
        </w:rPr>
        <w:t xml:space="preserve">Slovaške v letu 2026 prevzema </w:t>
      </w:r>
      <w:r w:rsidR="009B2715">
        <w:rPr>
          <w:rFonts w:eastAsia="Calibri"/>
          <w:sz w:val="20"/>
          <w:szCs w:val="20"/>
          <w:lang w:eastAsia="sl-SI"/>
        </w:rPr>
        <w:t>RS</w:t>
      </w:r>
      <w:r w:rsidRPr="00000B77">
        <w:rPr>
          <w:rFonts w:eastAsia="Calibri"/>
          <w:sz w:val="20"/>
          <w:szCs w:val="20"/>
          <w:lang w:eastAsia="sl-SI"/>
        </w:rPr>
        <w:t>.</w:t>
      </w:r>
    </w:p>
    <w:p w14:paraId="6ED5288A" w14:textId="77777777" w:rsidR="00BB3996" w:rsidRPr="00000B77" w:rsidRDefault="00BB3996" w:rsidP="00411064">
      <w:pPr>
        <w:autoSpaceDE w:val="0"/>
        <w:autoSpaceDN w:val="0"/>
        <w:adjustRightInd w:val="0"/>
        <w:spacing w:line="276" w:lineRule="auto"/>
        <w:rPr>
          <w:rFonts w:eastAsia="Calibri"/>
          <w:sz w:val="20"/>
          <w:szCs w:val="20"/>
          <w:lang w:eastAsia="sl-SI"/>
        </w:rPr>
      </w:pPr>
    </w:p>
    <w:p w14:paraId="028133F1" w14:textId="77777777" w:rsidR="009917BB" w:rsidRDefault="009917BB" w:rsidP="00411064">
      <w:pPr>
        <w:autoSpaceDE w:val="0"/>
        <w:autoSpaceDN w:val="0"/>
        <w:adjustRightInd w:val="0"/>
        <w:spacing w:line="276" w:lineRule="auto"/>
        <w:rPr>
          <w:rFonts w:eastAsia="Calibri"/>
          <w:b/>
          <w:bCs/>
          <w:sz w:val="20"/>
          <w:szCs w:val="20"/>
          <w:lang w:eastAsia="sl-SI"/>
        </w:rPr>
      </w:pPr>
      <w:r w:rsidRPr="00000B77">
        <w:rPr>
          <w:rFonts w:eastAsia="Calibri"/>
          <w:b/>
          <w:bCs/>
          <w:sz w:val="20"/>
          <w:szCs w:val="20"/>
          <w:lang w:eastAsia="sl-SI"/>
        </w:rPr>
        <w:t>Balkanske zdravstvene namenske sile (BMTF)</w:t>
      </w:r>
    </w:p>
    <w:p w14:paraId="31B25721" w14:textId="77777777" w:rsidR="00BB3996" w:rsidRPr="00000B77" w:rsidRDefault="00BB3996" w:rsidP="00411064">
      <w:pPr>
        <w:autoSpaceDE w:val="0"/>
        <w:autoSpaceDN w:val="0"/>
        <w:adjustRightInd w:val="0"/>
        <w:spacing w:line="276" w:lineRule="auto"/>
        <w:rPr>
          <w:rFonts w:eastAsia="Calibri"/>
          <w:b/>
          <w:bCs/>
          <w:sz w:val="20"/>
          <w:szCs w:val="20"/>
          <w:lang w:eastAsia="sl-SI"/>
        </w:rPr>
      </w:pPr>
    </w:p>
    <w:p w14:paraId="21C557C5" w14:textId="77777777" w:rsidR="009917BB"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 xml:space="preserve">V decembru 2025 je bil zaključen ukrep pomoči EPF za krepitev vojaško-zdravstvenih zmogljivosti </w:t>
      </w:r>
      <w:r w:rsidR="00BB3996">
        <w:rPr>
          <w:rFonts w:eastAsia="Calibri"/>
          <w:sz w:val="20"/>
          <w:szCs w:val="20"/>
          <w:lang w:eastAsia="sl-SI"/>
        </w:rPr>
        <w:t>d</w:t>
      </w:r>
      <w:r w:rsidRPr="00000B77">
        <w:rPr>
          <w:rFonts w:eastAsia="Calibri"/>
          <w:sz w:val="20"/>
          <w:szCs w:val="20"/>
          <w:lang w:eastAsia="sl-SI"/>
        </w:rPr>
        <w:t>ržav</w:t>
      </w:r>
      <w:r w:rsidR="00BB3996">
        <w:rPr>
          <w:rFonts w:eastAsia="Calibri"/>
          <w:sz w:val="20"/>
          <w:szCs w:val="20"/>
          <w:lang w:eastAsia="sl-SI"/>
        </w:rPr>
        <w:t xml:space="preserve"> </w:t>
      </w:r>
      <w:r w:rsidRPr="00000B77">
        <w:rPr>
          <w:rFonts w:eastAsia="Calibri"/>
          <w:sz w:val="20"/>
          <w:szCs w:val="20"/>
          <w:lang w:eastAsia="sl-SI"/>
        </w:rPr>
        <w:t>BMTF v vrednosti 6 milijonov EUR. V okviru BMTF se pod vodstvom Stalnega sedeža BMTF in v</w:t>
      </w:r>
      <w:r w:rsidR="00BB3996">
        <w:rPr>
          <w:rFonts w:eastAsia="Calibri"/>
          <w:sz w:val="20"/>
          <w:szCs w:val="20"/>
          <w:lang w:eastAsia="sl-SI"/>
        </w:rPr>
        <w:t xml:space="preserve"> </w:t>
      </w:r>
      <w:r w:rsidRPr="00000B77">
        <w:rPr>
          <w:rFonts w:eastAsia="Calibri"/>
          <w:sz w:val="20"/>
          <w:szCs w:val="20"/>
          <w:lang w:eastAsia="sl-SI"/>
        </w:rPr>
        <w:t>sodelovanju z državami članicami BMTF pripravlja prošnja za drugi ukrep pomoči EPF. V začetku maja</w:t>
      </w:r>
      <w:r w:rsidR="00BB3996">
        <w:rPr>
          <w:rFonts w:eastAsia="Calibri"/>
          <w:sz w:val="20"/>
          <w:szCs w:val="20"/>
          <w:lang w:eastAsia="sl-SI"/>
        </w:rPr>
        <w:t xml:space="preserve"> </w:t>
      </w:r>
      <w:r w:rsidRPr="00000B77">
        <w:rPr>
          <w:rFonts w:eastAsia="Calibri"/>
          <w:sz w:val="20"/>
          <w:szCs w:val="20"/>
          <w:lang w:eastAsia="sl-SI"/>
        </w:rPr>
        <w:t xml:space="preserve">je </w:t>
      </w:r>
      <w:r w:rsidR="009B2715">
        <w:rPr>
          <w:rFonts w:eastAsia="Calibri"/>
          <w:sz w:val="20"/>
          <w:szCs w:val="20"/>
          <w:lang w:eastAsia="sl-SI"/>
        </w:rPr>
        <w:t>RS</w:t>
      </w:r>
      <w:r w:rsidRPr="00000B77">
        <w:rPr>
          <w:rFonts w:eastAsia="Calibri"/>
          <w:sz w:val="20"/>
          <w:szCs w:val="20"/>
          <w:lang w:eastAsia="sl-SI"/>
        </w:rPr>
        <w:t xml:space="preserve"> gostila zasedanje Usmerjevalnega odbora BMTF. Ob robu zasedanja sta se poveljnik BMTF</w:t>
      </w:r>
      <w:r w:rsidR="00BB3996">
        <w:rPr>
          <w:rFonts w:eastAsia="Calibri"/>
          <w:sz w:val="20"/>
          <w:szCs w:val="20"/>
          <w:lang w:eastAsia="sl-SI"/>
        </w:rPr>
        <w:t xml:space="preserve"> </w:t>
      </w:r>
      <w:r w:rsidRPr="00000B77">
        <w:rPr>
          <w:rFonts w:eastAsia="Calibri"/>
          <w:sz w:val="20"/>
          <w:szCs w:val="20"/>
          <w:lang w:eastAsia="sl-SI"/>
        </w:rPr>
        <w:t>in predsedujoči Usmerjevalnemu odboru BMTF srečala s predstavniki MO. S strani BMTF je bila</w:t>
      </w:r>
      <w:r w:rsidR="00BB3996">
        <w:rPr>
          <w:rFonts w:eastAsia="Calibri"/>
          <w:sz w:val="20"/>
          <w:szCs w:val="20"/>
          <w:lang w:eastAsia="sl-SI"/>
        </w:rPr>
        <w:t xml:space="preserve"> </w:t>
      </w:r>
      <w:r w:rsidRPr="00000B77">
        <w:rPr>
          <w:rFonts w:eastAsia="Calibri"/>
          <w:sz w:val="20"/>
          <w:szCs w:val="20"/>
          <w:lang w:eastAsia="sl-SI"/>
        </w:rPr>
        <w:t xml:space="preserve">poudarjena potreba po konsistentnem sodelovanju in vlogi </w:t>
      </w:r>
      <w:r w:rsidR="003B6859">
        <w:rPr>
          <w:rFonts w:eastAsia="Calibri"/>
          <w:sz w:val="20"/>
          <w:szCs w:val="20"/>
          <w:lang w:eastAsia="sl-SI"/>
        </w:rPr>
        <w:t>RS</w:t>
      </w:r>
      <w:r w:rsidRPr="00000B77">
        <w:rPr>
          <w:rFonts w:eastAsia="Calibri"/>
          <w:sz w:val="20"/>
          <w:szCs w:val="20"/>
          <w:lang w:eastAsia="sl-SI"/>
        </w:rPr>
        <w:t xml:space="preserve"> kot ene izmed treh držav sposobnih</w:t>
      </w:r>
      <w:r w:rsidR="00BB3996">
        <w:rPr>
          <w:rFonts w:eastAsia="Calibri"/>
          <w:sz w:val="20"/>
          <w:szCs w:val="20"/>
          <w:lang w:eastAsia="sl-SI"/>
        </w:rPr>
        <w:t xml:space="preserve"> </w:t>
      </w:r>
      <w:r w:rsidRPr="00000B77">
        <w:rPr>
          <w:rFonts w:eastAsia="Calibri"/>
          <w:sz w:val="20"/>
          <w:szCs w:val="20"/>
          <w:lang w:eastAsia="sl-SI"/>
        </w:rPr>
        <w:t>zagotavljati zmogljivost bolnišnice ROLE2. Slovenska stran je izpostavila interes za aktivacijo BMTF,</w:t>
      </w:r>
      <w:r w:rsidR="00BB3996">
        <w:rPr>
          <w:rFonts w:eastAsia="Calibri"/>
          <w:sz w:val="20"/>
          <w:szCs w:val="20"/>
          <w:lang w:eastAsia="sl-SI"/>
        </w:rPr>
        <w:t xml:space="preserve"> </w:t>
      </w:r>
      <w:r w:rsidRPr="00000B77">
        <w:rPr>
          <w:rFonts w:eastAsia="Calibri"/>
          <w:sz w:val="20"/>
          <w:szCs w:val="20"/>
          <w:lang w:eastAsia="sl-SI"/>
        </w:rPr>
        <w:t>ob ustrezni realni potrebi, in predlagala modularno aktivacijo, tudi v luči izjemnega zanimanja EU za</w:t>
      </w:r>
      <w:r w:rsidR="00BB3996">
        <w:rPr>
          <w:rFonts w:eastAsia="Calibri"/>
          <w:sz w:val="20"/>
          <w:szCs w:val="20"/>
          <w:lang w:eastAsia="sl-SI"/>
        </w:rPr>
        <w:t xml:space="preserve"> </w:t>
      </w:r>
      <w:r w:rsidRPr="00000B77">
        <w:rPr>
          <w:rFonts w:eastAsia="Calibri"/>
          <w:sz w:val="20"/>
          <w:szCs w:val="20"/>
          <w:lang w:eastAsia="sl-SI"/>
        </w:rPr>
        <w:t>organizacijo.</w:t>
      </w:r>
    </w:p>
    <w:p w14:paraId="2AC4F5B0" w14:textId="77777777" w:rsidR="00BB3996" w:rsidRPr="00000B77" w:rsidRDefault="00BB3996" w:rsidP="00411064">
      <w:pPr>
        <w:autoSpaceDE w:val="0"/>
        <w:autoSpaceDN w:val="0"/>
        <w:adjustRightInd w:val="0"/>
        <w:spacing w:line="276" w:lineRule="auto"/>
        <w:rPr>
          <w:rFonts w:eastAsia="Calibri"/>
          <w:sz w:val="20"/>
          <w:szCs w:val="20"/>
          <w:lang w:eastAsia="sl-SI"/>
        </w:rPr>
      </w:pPr>
    </w:p>
    <w:p w14:paraId="61122199" w14:textId="77777777" w:rsidR="009917BB" w:rsidRDefault="009917BB" w:rsidP="00411064">
      <w:pPr>
        <w:autoSpaceDE w:val="0"/>
        <w:autoSpaceDN w:val="0"/>
        <w:adjustRightInd w:val="0"/>
        <w:spacing w:line="276" w:lineRule="auto"/>
        <w:rPr>
          <w:rFonts w:eastAsia="Calibri"/>
          <w:b/>
          <w:bCs/>
          <w:sz w:val="20"/>
          <w:szCs w:val="20"/>
          <w:lang w:eastAsia="sl-SI"/>
        </w:rPr>
      </w:pPr>
      <w:r w:rsidRPr="00000B77">
        <w:rPr>
          <w:rFonts w:eastAsia="Calibri"/>
          <w:b/>
          <w:bCs/>
          <w:sz w:val="20"/>
          <w:szCs w:val="20"/>
          <w:lang w:eastAsia="sl-SI"/>
        </w:rPr>
        <w:t>Pobuda za sodelovanje obrambnih ministrstev Jugovzhodne Evrope (SEDM)</w:t>
      </w:r>
    </w:p>
    <w:p w14:paraId="0F9FE16C" w14:textId="77777777" w:rsidR="00BB3996" w:rsidRPr="00000B77" w:rsidRDefault="00BB3996" w:rsidP="00411064">
      <w:pPr>
        <w:autoSpaceDE w:val="0"/>
        <w:autoSpaceDN w:val="0"/>
        <w:adjustRightInd w:val="0"/>
        <w:spacing w:line="276" w:lineRule="auto"/>
        <w:rPr>
          <w:rFonts w:eastAsia="Calibri"/>
          <w:b/>
          <w:bCs/>
          <w:sz w:val="20"/>
          <w:szCs w:val="20"/>
          <w:lang w:eastAsia="sl-SI"/>
        </w:rPr>
      </w:pPr>
    </w:p>
    <w:p w14:paraId="0397A2DC" w14:textId="77777777" w:rsidR="009917BB" w:rsidRDefault="009917BB" w:rsidP="00411064">
      <w:pPr>
        <w:autoSpaceDE w:val="0"/>
        <w:autoSpaceDN w:val="0"/>
        <w:adjustRightInd w:val="0"/>
        <w:spacing w:line="276" w:lineRule="auto"/>
        <w:rPr>
          <w:rFonts w:eastAsia="Calibri"/>
          <w:sz w:val="20"/>
          <w:szCs w:val="20"/>
          <w:lang w:eastAsia="sl-SI"/>
        </w:rPr>
      </w:pPr>
      <w:r w:rsidRPr="00000B77">
        <w:rPr>
          <w:rFonts w:eastAsia="Calibri"/>
          <w:sz w:val="20"/>
          <w:szCs w:val="20"/>
          <w:lang w:eastAsia="sl-SI"/>
        </w:rPr>
        <w:t>RS je tudi v letu 2025 v SEDM zagovarjala nadaljevanje dela na skupnih projektih ter krepitev</w:t>
      </w:r>
      <w:r w:rsidR="00BB3996">
        <w:rPr>
          <w:rFonts w:eastAsia="Calibri"/>
          <w:sz w:val="20"/>
          <w:szCs w:val="20"/>
          <w:lang w:eastAsia="sl-SI"/>
        </w:rPr>
        <w:t xml:space="preserve"> </w:t>
      </w:r>
      <w:r w:rsidRPr="00000B77">
        <w:rPr>
          <w:rFonts w:eastAsia="Calibri"/>
          <w:sz w:val="20"/>
          <w:szCs w:val="20"/>
          <w:lang w:eastAsia="sl-SI"/>
        </w:rPr>
        <w:t>konkretnega sodelovanja z vidika pospeševanja procesa evroatlantskih integracij v skladu z aspiracijami</w:t>
      </w:r>
      <w:r w:rsidR="00BB3996">
        <w:rPr>
          <w:rFonts w:eastAsia="Calibri"/>
          <w:sz w:val="20"/>
          <w:szCs w:val="20"/>
          <w:lang w:eastAsia="sl-SI"/>
        </w:rPr>
        <w:t xml:space="preserve"> </w:t>
      </w:r>
      <w:r w:rsidRPr="00000B77">
        <w:rPr>
          <w:rFonts w:eastAsia="Calibri"/>
          <w:sz w:val="20"/>
          <w:szCs w:val="20"/>
          <w:lang w:eastAsia="sl-SI"/>
        </w:rPr>
        <w:t xml:space="preserve">posamezne države članice SEDM. </w:t>
      </w:r>
      <w:r w:rsidR="001A156D">
        <w:rPr>
          <w:rFonts w:eastAsia="Calibri"/>
          <w:sz w:val="20"/>
          <w:szCs w:val="20"/>
          <w:lang w:eastAsia="sl-SI"/>
        </w:rPr>
        <w:t>Ministrstvo za obrambo (</w:t>
      </w:r>
      <w:r w:rsidRPr="00000B77">
        <w:rPr>
          <w:rFonts w:eastAsia="Calibri"/>
          <w:sz w:val="20"/>
          <w:szCs w:val="20"/>
          <w:lang w:eastAsia="sl-SI"/>
        </w:rPr>
        <w:t>MO</w:t>
      </w:r>
      <w:r w:rsidR="001A156D">
        <w:rPr>
          <w:rFonts w:eastAsia="Calibri"/>
          <w:sz w:val="20"/>
          <w:szCs w:val="20"/>
          <w:lang w:eastAsia="sl-SI"/>
        </w:rPr>
        <w:t>)</w:t>
      </w:r>
      <w:r w:rsidRPr="00000B77">
        <w:rPr>
          <w:rFonts w:eastAsia="Calibri"/>
          <w:sz w:val="20"/>
          <w:szCs w:val="20"/>
          <w:lang w:eastAsia="sl-SI"/>
        </w:rPr>
        <w:t xml:space="preserve"> se je 2025 pridružil projektu Platforma za okrepljeno</w:t>
      </w:r>
      <w:r w:rsidR="00BB3996">
        <w:rPr>
          <w:rFonts w:eastAsia="Calibri"/>
          <w:sz w:val="20"/>
          <w:szCs w:val="20"/>
          <w:lang w:eastAsia="sl-SI"/>
        </w:rPr>
        <w:t xml:space="preserve"> </w:t>
      </w:r>
      <w:r w:rsidRPr="00000B77">
        <w:rPr>
          <w:rFonts w:eastAsia="Calibri"/>
          <w:sz w:val="20"/>
          <w:szCs w:val="20"/>
          <w:lang w:eastAsia="sl-SI"/>
        </w:rPr>
        <w:t>odgovornost (</w:t>
      </w:r>
      <w:r w:rsidRPr="00000B77">
        <w:rPr>
          <w:rFonts w:eastAsia="Calibri"/>
          <w:i/>
          <w:iCs/>
          <w:sz w:val="20"/>
          <w:szCs w:val="20"/>
          <w:lang w:eastAsia="sl-SI"/>
        </w:rPr>
        <w:t>A Platform for Enhancing Member States' Resilience</w:t>
      </w:r>
      <w:r w:rsidRPr="00000B77">
        <w:rPr>
          <w:rFonts w:eastAsia="Calibri"/>
          <w:sz w:val="20"/>
          <w:szCs w:val="20"/>
          <w:lang w:eastAsia="sl-SI"/>
        </w:rPr>
        <w:t>) in mednarodni vaji SEESIM25</w:t>
      </w:r>
      <w:r w:rsidR="00BB3996">
        <w:rPr>
          <w:rFonts w:eastAsia="Calibri"/>
          <w:sz w:val="20"/>
          <w:szCs w:val="20"/>
          <w:lang w:eastAsia="sl-SI"/>
        </w:rPr>
        <w:t xml:space="preserve"> </w:t>
      </w:r>
      <w:r w:rsidRPr="00000B77">
        <w:rPr>
          <w:rFonts w:eastAsia="Calibri"/>
          <w:sz w:val="20"/>
          <w:szCs w:val="20"/>
          <w:lang w:eastAsia="sl-SI"/>
        </w:rPr>
        <w:t>(</w:t>
      </w:r>
      <w:r w:rsidRPr="00000B77">
        <w:rPr>
          <w:rFonts w:eastAsia="Calibri"/>
          <w:i/>
          <w:iCs/>
          <w:sz w:val="20"/>
          <w:szCs w:val="20"/>
          <w:lang w:eastAsia="sl-SI"/>
        </w:rPr>
        <w:t>South Eastern Europe Simulation Network</w:t>
      </w:r>
      <w:r w:rsidRPr="00000B77">
        <w:rPr>
          <w:rFonts w:eastAsia="Calibri"/>
          <w:sz w:val="20"/>
          <w:szCs w:val="20"/>
          <w:lang w:eastAsia="sl-SI"/>
        </w:rPr>
        <w:t>). V letu 2025 se je MO udeležil Koordinacijskega odbora</w:t>
      </w:r>
      <w:r w:rsidR="00BB3996">
        <w:rPr>
          <w:rFonts w:eastAsia="Calibri"/>
          <w:sz w:val="20"/>
          <w:szCs w:val="20"/>
          <w:lang w:eastAsia="sl-SI"/>
        </w:rPr>
        <w:t xml:space="preserve"> </w:t>
      </w:r>
      <w:r w:rsidRPr="00000B77">
        <w:rPr>
          <w:rFonts w:eastAsia="Calibri"/>
          <w:sz w:val="20"/>
          <w:szCs w:val="20"/>
          <w:lang w:eastAsia="sl-SI"/>
        </w:rPr>
        <w:t>(SEDM-CC) ter Politično-vojaškega usmerjevalnega odbora (SEDM-PMSC). Od 10. do 12. junija 2025</w:t>
      </w:r>
      <w:r w:rsidR="00BB3996">
        <w:rPr>
          <w:rFonts w:eastAsia="Calibri"/>
          <w:sz w:val="20"/>
          <w:szCs w:val="20"/>
          <w:lang w:eastAsia="sl-SI"/>
        </w:rPr>
        <w:t xml:space="preserve"> </w:t>
      </w:r>
      <w:r w:rsidRPr="00000B77">
        <w:rPr>
          <w:rFonts w:eastAsia="Calibri"/>
          <w:sz w:val="20"/>
          <w:szCs w:val="20"/>
          <w:lang w:eastAsia="sl-SI"/>
        </w:rPr>
        <w:t>je v Sofiji potekalo srečanje namestnikov načelnikov generalštabov članic SEDM. Od 26. do 27.</w:t>
      </w:r>
      <w:r w:rsidR="00BB3996">
        <w:rPr>
          <w:rFonts w:eastAsia="Calibri"/>
          <w:sz w:val="20"/>
          <w:szCs w:val="20"/>
          <w:lang w:eastAsia="sl-SI"/>
        </w:rPr>
        <w:t xml:space="preserve"> </w:t>
      </w:r>
      <w:r w:rsidRPr="00000B77">
        <w:rPr>
          <w:rFonts w:eastAsia="Calibri"/>
          <w:sz w:val="20"/>
          <w:szCs w:val="20"/>
          <w:lang w:eastAsia="sl-SI"/>
        </w:rPr>
        <w:t xml:space="preserve">novembra 2025 se je v Sarajevu, </w:t>
      </w:r>
      <w:r w:rsidR="00945E65">
        <w:rPr>
          <w:rFonts w:eastAsia="Calibri"/>
          <w:sz w:val="20"/>
          <w:szCs w:val="20"/>
          <w:lang w:eastAsia="sl-SI"/>
        </w:rPr>
        <w:t>BiH</w:t>
      </w:r>
      <w:r w:rsidRPr="00000B77">
        <w:rPr>
          <w:rFonts w:eastAsia="Calibri"/>
          <w:sz w:val="20"/>
          <w:szCs w:val="20"/>
          <w:lang w:eastAsia="sl-SI"/>
        </w:rPr>
        <w:t>, odvil ministerial SEDM, katerega se je udeležil minister za</w:t>
      </w:r>
      <w:r w:rsidR="00BB3996">
        <w:rPr>
          <w:rFonts w:eastAsia="Calibri"/>
          <w:sz w:val="20"/>
          <w:szCs w:val="20"/>
          <w:lang w:eastAsia="sl-SI"/>
        </w:rPr>
        <w:t xml:space="preserve"> </w:t>
      </w:r>
      <w:r w:rsidRPr="00000B77">
        <w:rPr>
          <w:rFonts w:eastAsia="Calibri"/>
          <w:sz w:val="20"/>
          <w:szCs w:val="20"/>
          <w:lang w:eastAsia="sl-SI"/>
        </w:rPr>
        <w:t xml:space="preserve">obrambo. V letu 2026 ministerial SEDM gosti </w:t>
      </w:r>
      <w:r w:rsidR="009B2715">
        <w:rPr>
          <w:rFonts w:eastAsia="Calibri"/>
          <w:sz w:val="20"/>
          <w:szCs w:val="20"/>
          <w:lang w:eastAsia="sl-SI"/>
        </w:rPr>
        <w:t>RS</w:t>
      </w:r>
      <w:r w:rsidRPr="00000B77">
        <w:rPr>
          <w:rFonts w:eastAsia="Calibri"/>
          <w:sz w:val="20"/>
          <w:szCs w:val="20"/>
          <w:lang w:eastAsia="sl-SI"/>
        </w:rPr>
        <w:t>.</w:t>
      </w:r>
    </w:p>
    <w:p w14:paraId="6B4F955B" w14:textId="77777777" w:rsidR="00BB3996" w:rsidRPr="00000B77" w:rsidRDefault="00BB3996" w:rsidP="00411064">
      <w:pPr>
        <w:autoSpaceDE w:val="0"/>
        <w:autoSpaceDN w:val="0"/>
        <w:adjustRightInd w:val="0"/>
        <w:spacing w:line="276" w:lineRule="auto"/>
        <w:rPr>
          <w:rFonts w:eastAsia="Calibri"/>
          <w:sz w:val="20"/>
          <w:szCs w:val="20"/>
          <w:lang w:eastAsia="sl-SI"/>
        </w:rPr>
      </w:pPr>
    </w:p>
    <w:p w14:paraId="6721B02E" w14:textId="77777777" w:rsidR="009917BB" w:rsidRPr="00BB3996" w:rsidRDefault="009917BB" w:rsidP="00411064">
      <w:pPr>
        <w:autoSpaceDE w:val="0"/>
        <w:autoSpaceDN w:val="0"/>
        <w:adjustRightInd w:val="0"/>
        <w:spacing w:line="276" w:lineRule="auto"/>
        <w:rPr>
          <w:rFonts w:eastAsia="Calibri"/>
          <w:b/>
          <w:bCs/>
          <w:sz w:val="20"/>
          <w:szCs w:val="20"/>
          <w:lang w:eastAsia="sl-SI"/>
        </w:rPr>
      </w:pPr>
      <w:r w:rsidRPr="00000B77">
        <w:rPr>
          <w:rFonts w:eastAsia="Calibri"/>
          <w:b/>
          <w:bCs/>
          <w:sz w:val="20"/>
          <w:szCs w:val="20"/>
          <w:lang w:eastAsia="sl-SI"/>
        </w:rPr>
        <w:t>Jadranska listina (A-5)</w:t>
      </w:r>
    </w:p>
    <w:p w14:paraId="1270B2C0" w14:textId="77777777" w:rsidR="00933606" w:rsidRPr="00000B77" w:rsidRDefault="009917BB" w:rsidP="00411064">
      <w:pPr>
        <w:autoSpaceDE w:val="0"/>
        <w:autoSpaceDN w:val="0"/>
        <w:adjustRightInd w:val="0"/>
        <w:spacing w:line="276" w:lineRule="auto"/>
        <w:rPr>
          <w:sz w:val="20"/>
          <w:szCs w:val="20"/>
          <w:highlight w:val="yellow"/>
        </w:rPr>
      </w:pPr>
      <w:r w:rsidRPr="00000B77">
        <w:rPr>
          <w:rFonts w:eastAsia="Calibri"/>
          <w:sz w:val="20"/>
          <w:szCs w:val="20"/>
          <w:lang w:eastAsia="sl-SI"/>
        </w:rPr>
        <w:t xml:space="preserve">Pobudi A-5 je predsedovanje v 2025 prevzela </w:t>
      </w:r>
      <w:r w:rsidR="00945E65">
        <w:rPr>
          <w:rFonts w:eastAsia="Calibri"/>
          <w:sz w:val="20"/>
          <w:szCs w:val="20"/>
          <w:lang w:eastAsia="sl-SI"/>
        </w:rPr>
        <w:t>BiH</w:t>
      </w:r>
      <w:r w:rsidRPr="00000B77">
        <w:rPr>
          <w:rFonts w:eastAsia="Calibri"/>
          <w:sz w:val="20"/>
          <w:szCs w:val="20"/>
          <w:lang w:eastAsia="sl-SI"/>
        </w:rPr>
        <w:t>. 15. aprila je potekalo srečanje političnih in obrambnih</w:t>
      </w:r>
      <w:r w:rsidR="00BB3996">
        <w:rPr>
          <w:rFonts w:eastAsia="Calibri"/>
          <w:sz w:val="20"/>
          <w:szCs w:val="20"/>
          <w:lang w:eastAsia="sl-SI"/>
        </w:rPr>
        <w:t xml:space="preserve"> </w:t>
      </w:r>
      <w:r w:rsidRPr="00000B77">
        <w:rPr>
          <w:rFonts w:eastAsia="Calibri"/>
          <w:sz w:val="20"/>
          <w:szCs w:val="20"/>
          <w:lang w:eastAsia="sl-SI"/>
        </w:rPr>
        <w:t xml:space="preserve">direktorjev A5 v Konjicu, </w:t>
      </w:r>
      <w:r w:rsidR="00945E65">
        <w:rPr>
          <w:rFonts w:eastAsia="Calibri"/>
          <w:sz w:val="20"/>
          <w:szCs w:val="20"/>
          <w:lang w:eastAsia="sl-SI"/>
        </w:rPr>
        <w:t>BiH</w:t>
      </w:r>
      <w:r w:rsidRPr="00000B77">
        <w:rPr>
          <w:rFonts w:eastAsia="Calibri"/>
          <w:sz w:val="20"/>
          <w:szCs w:val="20"/>
          <w:lang w:eastAsia="sl-SI"/>
        </w:rPr>
        <w:t>. MO se srečanja ni udeležil. V dogovoru z MZEZ, se je srečanja udeležil</w:t>
      </w:r>
      <w:r w:rsidR="00BB3996">
        <w:rPr>
          <w:rFonts w:eastAsia="Calibri"/>
          <w:sz w:val="20"/>
          <w:szCs w:val="20"/>
          <w:lang w:eastAsia="sl-SI"/>
        </w:rPr>
        <w:t xml:space="preserve"> </w:t>
      </w:r>
      <w:r w:rsidRPr="00000B77">
        <w:rPr>
          <w:rFonts w:eastAsia="Calibri"/>
          <w:sz w:val="20"/>
          <w:szCs w:val="20"/>
          <w:lang w:eastAsia="sl-SI"/>
        </w:rPr>
        <w:t>predstavnik MZEZ. V oktobru 2025 je potekalo zasedanje direktorjev za obrambno politiko. 2. decembra</w:t>
      </w:r>
      <w:r w:rsidR="00BB3996">
        <w:rPr>
          <w:rFonts w:eastAsia="Calibri"/>
          <w:sz w:val="20"/>
          <w:szCs w:val="20"/>
          <w:lang w:eastAsia="sl-SI"/>
        </w:rPr>
        <w:t xml:space="preserve"> </w:t>
      </w:r>
      <w:r w:rsidRPr="00000B77">
        <w:rPr>
          <w:rFonts w:eastAsia="Calibri"/>
          <w:sz w:val="20"/>
          <w:szCs w:val="20"/>
          <w:lang w:eastAsia="sl-SI"/>
        </w:rPr>
        <w:t xml:space="preserve">2025 se je odvil ministerial A-5. </w:t>
      </w:r>
      <w:r w:rsidR="00390EBD">
        <w:rPr>
          <w:rFonts w:eastAsia="Calibri"/>
          <w:sz w:val="20"/>
          <w:szCs w:val="20"/>
          <w:lang w:eastAsia="sl-SI"/>
        </w:rPr>
        <w:t>RS</w:t>
      </w:r>
      <w:r w:rsidR="00390EBD" w:rsidRPr="00000B77">
        <w:rPr>
          <w:rFonts w:eastAsia="Calibri"/>
          <w:sz w:val="20"/>
          <w:szCs w:val="20"/>
          <w:lang w:eastAsia="sl-SI"/>
        </w:rPr>
        <w:t xml:space="preserve"> </w:t>
      </w:r>
      <w:r w:rsidRPr="00000B77">
        <w:rPr>
          <w:rFonts w:eastAsia="Calibri"/>
          <w:sz w:val="20"/>
          <w:szCs w:val="20"/>
          <w:lang w:eastAsia="sl-SI"/>
        </w:rPr>
        <w:t xml:space="preserve">in MO je zastopal veleposlanik </w:t>
      </w:r>
      <w:r w:rsidR="00390EBD">
        <w:rPr>
          <w:rFonts w:eastAsia="Calibri"/>
          <w:sz w:val="20"/>
          <w:szCs w:val="20"/>
          <w:lang w:eastAsia="sl-SI"/>
        </w:rPr>
        <w:t>RS</w:t>
      </w:r>
      <w:r w:rsidRPr="00000B77">
        <w:rPr>
          <w:rFonts w:eastAsia="Calibri"/>
          <w:sz w:val="20"/>
          <w:szCs w:val="20"/>
          <w:lang w:eastAsia="sl-SI"/>
        </w:rPr>
        <w:t xml:space="preserve"> v</w:t>
      </w:r>
      <w:r w:rsidR="00BB3996">
        <w:rPr>
          <w:rFonts w:eastAsia="Calibri"/>
          <w:sz w:val="20"/>
          <w:szCs w:val="20"/>
          <w:lang w:eastAsia="sl-SI"/>
        </w:rPr>
        <w:t xml:space="preserve"> </w:t>
      </w:r>
      <w:r w:rsidRPr="00000B77">
        <w:rPr>
          <w:rFonts w:eastAsia="Calibri"/>
          <w:sz w:val="20"/>
          <w:szCs w:val="20"/>
          <w:lang w:eastAsia="sl-SI"/>
        </w:rPr>
        <w:t>Sarajevu. Tudi v prihodnje se nameravamo dogodkov v okviru A-5 udeleževati le na podlagi vabil</w:t>
      </w:r>
      <w:r w:rsidR="00BB3996">
        <w:rPr>
          <w:rFonts w:eastAsia="Calibri"/>
          <w:sz w:val="20"/>
          <w:szCs w:val="20"/>
          <w:lang w:eastAsia="sl-SI"/>
        </w:rPr>
        <w:t xml:space="preserve"> </w:t>
      </w:r>
      <w:r w:rsidRPr="00000B77">
        <w:rPr>
          <w:rFonts w:eastAsia="Calibri"/>
          <w:sz w:val="20"/>
          <w:szCs w:val="20"/>
          <w:lang w:eastAsia="sl-SI"/>
        </w:rPr>
        <w:t>predsedujoče države.</w:t>
      </w:r>
    </w:p>
    <w:p w14:paraId="088621A8" w14:textId="77777777" w:rsidR="00627CE8" w:rsidRDefault="00627CE8" w:rsidP="00411064">
      <w:pPr>
        <w:spacing w:line="276" w:lineRule="auto"/>
        <w:rPr>
          <w:sz w:val="20"/>
          <w:szCs w:val="20"/>
          <w:highlight w:val="yellow"/>
        </w:rPr>
      </w:pPr>
    </w:p>
    <w:p w14:paraId="1CC5DC76" w14:textId="77777777" w:rsidR="00411064" w:rsidRPr="00140B34" w:rsidRDefault="00411064" w:rsidP="00411064">
      <w:pPr>
        <w:spacing w:line="276" w:lineRule="auto"/>
        <w:rPr>
          <w:sz w:val="20"/>
          <w:szCs w:val="20"/>
          <w:highlight w:val="yellow"/>
        </w:rPr>
      </w:pPr>
    </w:p>
    <w:p w14:paraId="6DA757B5" w14:textId="77777777" w:rsidR="00380C9C" w:rsidRPr="00264145" w:rsidRDefault="00AE2B8C" w:rsidP="00411064">
      <w:pPr>
        <w:pStyle w:val="Heading3"/>
      </w:pPr>
      <w:bookmarkStart w:id="31" w:name="_Toc227227973"/>
      <w:r w:rsidRPr="00264145">
        <w:t>6</w:t>
      </w:r>
      <w:r w:rsidR="00380C9C" w:rsidRPr="00264145">
        <w:t>.2. Krepitev sodelovanja na področju varstva pred nesrečami</w:t>
      </w:r>
      <w:bookmarkEnd w:id="31"/>
    </w:p>
    <w:p w14:paraId="47DCA77A" w14:textId="77777777" w:rsidR="00380C9C" w:rsidRPr="00140B34" w:rsidRDefault="00380C9C" w:rsidP="00411064">
      <w:pPr>
        <w:spacing w:line="276" w:lineRule="auto"/>
        <w:rPr>
          <w:sz w:val="20"/>
          <w:szCs w:val="20"/>
          <w:highlight w:val="yellow"/>
        </w:rPr>
      </w:pPr>
    </w:p>
    <w:p w14:paraId="7711BC5F" w14:textId="77777777" w:rsidR="00342151" w:rsidRPr="00342151" w:rsidRDefault="00342151" w:rsidP="00411064">
      <w:pPr>
        <w:autoSpaceDE w:val="0"/>
        <w:autoSpaceDN w:val="0"/>
        <w:adjustRightInd w:val="0"/>
        <w:spacing w:line="276" w:lineRule="auto"/>
        <w:rPr>
          <w:rFonts w:eastAsia="Calibri"/>
          <w:sz w:val="20"/>
          <w:szCs w:val="20"/>
          <w:lang w:eastAsia="sl-SI"/>
        </w:rPr>
      </w:pPr>
      <w:r w:rsidRPr="00342151">
        <w:rPr>
          <w:rFonts w:eastAsia="Calibri"/>
          <w:sz w:val="20"/>
          <w:szCs w:val="20"/>
          <w:lang w:eastAsia="sl-SI"/>
        </w:rPr>
        <w:t>URSZR je v letu 2025 nadaljevala z dobrim sodelovanjem z</w:t>
      </w:r>
    </w:p>
    <w:p w14:paraId="7E748C88" w14:textId="77777777" w:rsidR="00342151" w:rsidRDefault="00342151" w:rsidP="00411064">
      <w:pPr>
        <w:autoSpaceDE w:val="0"/>
        <w:autoSpaceDN w:val="0"/>
        <w:adjustRightInd w:val="0"/>
        <w:spacing w:line="276" w:lineRule="auto"/>
        <w:rPr>
          <w:rFonts w:eastAsia="Calibri"/>
          <w:sz w:val="20"/>
          <w:szCs w:val="20"/>
          <w:lang w:eastAsia="sl-SI"/>
        </w:rPr>
      </w:pPr>
      <w:r w:rsidRPr="00342151">
        <w:rPr>
          <w:rFonts w:eastAsia="Calibri"/>
          <w:sz w:val="20"/>
          <w:szCs w:val="20"/>
          <w:lang w:eastAsia="sl-SI"/>
        </w:rPr>
        <w:t>državami Zahodnega Balkana.</w:t>
      </w:r>
    </w:p>
    <w:p w14:paraId="58403FB5" w14:textId="77777777" w:rsidR="00342151" w:rsidRPr="00342151" w:rsidRDefault="00342151" w:rsidP="00411064">
      <w:pPr>
        <w:autoSpaceDE w:val="0"/>
        <w:autoSpaceDN w:val="0"/>
        <w:adjustRightInd w:val="0"/>
        <w:spacing w:line="276" w:lineRule="auto"/>
        <w:rPr>
          <w:rFonts w:eastAsia="Calibri"/>
          <w:sz w:val="20"/>
          <w:szCs w:val="20"/>
          <w:lang w:eastAsia="sl-SI"/>
        </w:rPr>
      </w:pPr>
    </w:p>
    <w:p w14:paraId="33D8D7CC" w14:textId="77777777" w:rsidR="00D2033B" w:rsidRDefault="00D2033B" w:rsidP="00411064">
      <w:pPr>
        <w:autoSpaceDE w:val="0"/>
        <w:autoSpaceDN w:val="0"/>
        <w:adjustRightInd w:val="0"/>
        <w:spacing w:line="276" w:lineRule="auto"/>
        <w:rPr>
          <w:rFonts w:eastAsia="Calibri"/>
          <w:b/>
          <w:bCs/>
          <w:sz w:val="20"/>
          <w:szCs w:val="20"/>
          <w:lang w:eastAsia="sl-SI"/>
        </w:rPr>
      </w:pPr>
      <w:r>
        <w:rPr>
          <w:b/>
          <w:sz w:val="20"/>
          <w:szCs w:val="20"/>
        </w:rPr>
        <w:t>BiH</w:t>
      </w:r>
    </w:p>
    <w:p w14:paraId="20DB8D2B" w14:textId="77777777" w:rsidR="00342151" w:rsidRDefault="00342151" w:rsidP="00411064">
      <w:pPr>
        <w:autoSpaceDE w:val="0"/>
        <w:autoSpaceDN w:val="0"/>
        <w:adjustRightInd w:val="0"/>
        <w:spacing w:line="276" w:lineRule="auto"/>
        <w:rPr>
          <w:rFonts w:eastAsia="Calibri"/>
          <w:sz w:val="20"/>
          <w:szCs w:val="20"/>
          <w:lang w:eastAsia="sl-SI"/>
        </w:rPr>
      </w:pPr>
      <w:r w:rsidRPr="00342151">
        <w:rPr>
          <w:rFonts w:eastAsia="Calibri"/>
          <w:sz w:val="20"/>
          <w:szCs w:val="20"/>
          <w:lang w:eastAsia="sl-SI"/>
        </w:rPr>
        <w:t xml:space="preserve">V okviru dvostranskega sodelovanja je bilo v obdobju od 6. – 10. </w:t>
      </w:r>
      <w:r w:rsidR="00ED66AE">
        <w:rPr>
          <w:rFonts w:eastAsia="Calibri"/>
          <w:sz w:val="20"/>
          <w:szCs w:val="20"/>
          <w:lang w:eastAsia="sl-SI"/>
        </w:rPr>
        <w:t xml:space="preserve">oktobra </w:t>
      </w:r>
      <w:r w:rsidRPr="00342151">
        <w:rPr>
          <w:rFonts w:eastAsia="Calibri"/>
          <w:sz w:val="20"/>
          <w:szCs w:val="20"/>
          <w:lang w:eastAsia="sl-SI"/>
        </w:rPr>
        <w:t>2025 izvedeno usposabljanje v</w:t>
      </w:r>
      <w:r>
        <w:rPr>
          <w:rFonts w:eastAsia="Calibri"/>
          <w:sz w:val="20"/>
          <w:szCs w:val="20"/>
          <w:lang w:eastAsia="sl-SI"/>
        </w:rPr>
        <w:t xml:space="preserve"> </w:t>
      </w:r>
      <w:r w:rsidRPr="00342151">
        <w:rPr>
          <w:rFonts w:eastAsia="Calibri"/>
          <w:sz w:val="20"/>
          <w:szCs w:val="20"/>
          <w:lang w:eastAsia="sl-SI"/>
        </w:rPr>
        <w:t xml:space="preserve">Izobraževalnem centru za zaščito in reševanje na Igu za predstavnike gasilskih enot </w:t>
      </w:r>
      <w:r w:rsidR="00945E65">
        <w:rPr>
          <w:rFonts w:eastAsia="Calibri"/>
          <w:sz w:val="20"/>
          <w:szCs w:val="20"/>
          <w:lang w:eastAsia="sl-SI"/>
        </w:rPr>
        <w:t>BiH</w:t>
      </w:r>
      <w:r w:rsidRPr="00342151">
        <w:rPr>
          <w:rFonts w:eastAsia="Calibri"/>
          <w:sz w:val="20"/>
          <w:szCs w:val="20"/>
          <w:lang w:eastAsia="sl-SI"/>
        </w:rPr>
        <w:t xml:space="preserve"> ter gasilskih enot Srb</w:t>
      </w:r>
      <w:r w:rsidR="002F2ED8">
        <w:rPr>
          <w:rFonts w:eastAsia="Calibri"/>
          <w:sz w:val="20"/>
          <w:szCs w:val="20"/>
          <w:lang w:eastAsia="sl-SI"/>
        </w:rPr>
        <w:t>ije</w:t>
      </w:r>
      <w:r w:rsidRPr="00342151">
        <w:rPr>
          <w:rFonts w:eastAsia="Calibri"/>
          <w:sz w:val="20"/>
          <w:szCs w:val="20"/>
          <w:lang w:eastAsia="sl-SI"/>
        </w:rPr>
        <w:t>. Usposabljanja so bila izvedena na temo reševanja z</w:t>
      </w:r>
      <w:r>
        <w:rPr>
          <w:rFonts w:eastAsia="Calibri"/>
          <w:sz w:val="20"/>
          <w:szCs w:val="20"/>
          <w:lang w:eastAsia="sl-SI"/>
        </w:rPr>
        <w:t xml:space="preserve"> </w:t>
      </w:r>
      <w:r w:rsidRPr="00342151">
        <w:rPr>
          <w:rFonts w:eastAsia="Calibri"/>
          <w:sz w:val="20"/>
          <w:szCs w:val="20"/>
          <w:lang w:eastAsia="sl-SI"/>
        </w:rPr>
        <w:t>vrvno tehniko, prav tako je bila izvedena praktična vaja na temo reševanja z višin in iz globin v urbanem</w:t>
      </w:r>
      <w:r>
        <w:rPr>
          <w:rFonts w:eastAsia="Calibri"/>
          <w:sz w:val="20"/>
          <w:szCs w:val="20"/>
          <w:lang w:eastAsia="sl-SI"/>
        </w:rPr>
        <w:t xml:space="preserve"> </w:t>
      </w:r>
      <w:r w:rsidRPr="00342151">
        <w:rPr>
          <w:rFonts w:eastAsia="Calibri"/>
          <w:sz w:val="20"/>
          <w:szCs w:val="20"/>
          <w:lang w:eastAsia="sl-SI"/>
        </w:rPr>
        <w:t>okolju. V nadaljevanju je potekal tudi teoretični del tehničnega reševanja iz ruševin, ki je obsegal</w:t>
      </w:r>
      <w:r>
        <w:rPr>
          <w:rFonts w:eastAsia="Calibri"/>
          <w:sz w:val="20"/>
          <w:szCs w:val="20"/>
          <w:lang w:eastAsia="sl-SI"/>
        </w:rPr>
        <w:t xml:space="preserve"> </w:t>
      </w:r>
      <w:r w:rsidRPr="00342151">
        <w:rPr>
          <w:rFonts w:eastAsia="Calibri"/>
          <w:sz w:val="20"/>
          <w:szCs w:val="20"/>
          <w:lang w:eastAsia="sl-SI"/>
        </w:rPr>
        <w:t>področje opreme in prve pomoči. Izmenjava je potekala v okviru projekta CIMIC.</w:t>
      </w:r>
    </w:p>
    <w:p w14:paraId="21C37F38" w14:textId="77777777" w:rsidR="00342151" w:rsidRPr="00342151" w:rsidRDefault="00342151" w:rsidP="00411064">
      <w:pPr>
        <w:autoSpaceDE w:val="0"/>
        <w:autoSpaceDN w:val="0"/>
        <w:adjustRightInd w:val="0"/>
        <w:spacing w:line="276" w:lineRule="auto"/>
        <w:rPr>
          <w:rFonts w:eastAsia="Calibri"/>
          <w:sz w:val="20"/>
          <w:szCs w:val="20"/>
          <w:lang w:eastAsia="sl-SI"/>
        </w:rPr>
      </w:pPr>
    </w:p>
    <w:p w14:paraId="63F43D97" w14:textId="77777777" w:rsidR="00342151" w:rsidRPr="00342151" w:rsidRDefault="00342151" w:rsidP="00411064">
      <w:pPr>
        <w:autoSpaceDE w:val="0"/>
        <w:autoSpaceDN w:val="0"/>
        <w:adjustRightInd w:val="0"/>
        <w:spacing w:line="276" w:lineRule="auto"/>
        <w:rPr>
          <w:rFonts w:eastAsia="Calibri"/>
          <w:b/>
          <w:bCs/>
          <w:sz w:val="20"/>
          <w:szCs w:val="20"/>
          <w:lang w:eastAsia="sl-SI"/>
        </w:rPr>
      </w:pPr>
      <w:r w:rsidRPr="00342151">
        <w:rPr>
          <w:rFonts w:eastAsia="Calibri"/>
          <w:b/>
          <w:bCs/>
          <w:sz w:val="20"/>
          <w:szCs w:val="20"/>
          <w:lang w:eastAsia="sl-SI"/>
        </w:rPr>
        <w:t>Črna gora</w:t>
      </w:r>
    </w:p>
    <w:p w14:paraId="2BEBB72D" w14:textId="77777777" w:rsidR="00342151" w:rsidRDefault="00342151" w:rsidP="00411064">
      <w:pPr>
        <w:autoSpaceDE w:val="0"/>
        <w:autoSpaceDN w:val="0"/>
        <w:adjustRightInd w:val="0"/>
        <w:spacing w:line="276" w:lineRule="auto"/>
        <w:rPr>
          <w:rFonts w:eastAsia="Calibri"/>
          <w:sz w:val="20"/>
          <w:szCs w:val="20"/>
          <w:lang w:eastAsia="sl-SI"/>
        </w:rPr>
      </w:pPr>
      <w:r w:rsidRPr="00342151">
        <w:rPr>
          <w:rFonts w:eastAsia="Calibri"/>
          <w:sz w:val="20"/>
          <w:szCs w:val="20"/>
          <w:lang w:eastAsia="sl-SI"/>
        </w:rPr>
        <w:t xml:space="preserve">V okviru dvostranskega sodelovanja je v obdobju od 22. – 26. </w:t>
      </w:r>
      <w:r w:rsidR="00ED66AE">
        <w:rPr>
          <w:rFonts w:eastAsia="Calibri"/>
          <w:sz w:val="20"/>
          <w:szCs w:val="20"/>
          <w:lang w:eastAsia="sl-SI"/>
        </w:rPr>
        <w:t xml:space="preserve">oktobra </w:t>
      </w:r>
      <w:r w:rsidRPr="00342151">
        <w:rPr>
          <w:rFonts w:eastAsia="Calibri"/>
          <w:sz w:val="20"/>
          <w:szCs w:val="20"/>
          <w:lang w:eastAsia="sl-SI"/>
        </w:rPr>
        <w:t xml:space="preserve">2025 in 6. – 10. </w:t>
      </w:r>
      <w:r w:rsidR="00ED66AE">
        <w:rPr>
          <w:rFonts w:eastAsia="Calibri"/>
          <w:sz w:val="20"/>
          <w:szCs w:val="20"/>
          <w:lang w:eastAsia="sl-SI"/>
        </w:rPr>
        <w:t>novembra</w:t>
      </w:r>
      <w:r w:rsidRPr="00342151">
        <w:rPr>
          <w:rFonts w:eastAsia="Calibri"/>
          <w:sz w:val="20"/>
          <w:szCs w:val="20"/>
          <w:lang w:eastAsia="sl-SI"/>
        </w:rPr>
        <w:t xml:space="preserve"> 2025 v</w:t>
      </w:r>
      <w:r>
        <w:rPr>
          <w:rFonts w:eastAsia="Calibri"/>
          <w:sz w:val="20"/>
          <w:szCs w:val="20"/>
          <w:lang w:eastAsia="sl-SI"/>
        </w:rPr>
        <w:t xml:space="preserve"> </w:t>
      </w:r>
      <w:r w:rsidRPr="00342151">
        <w:rPr>
          <w:rFonts w:eastAsia="Calibri"/>
          <w:sz w:val="20"/>
          <w:szCs w:val="20"/>
          <w:lang w:eastAsia="sl-SI"/>
        </w:rPr>
        <w:t>Izobraževalnem centru za zaščito in reševanje na Igu potekalo usposabljanje za gasilce iz Črne gore.</w:t>
      </w:r>
      <w:r>
        <w:rPr>
          <w:rFonts w:eastAsia="Calibri"/>
          <w:sz w:val="20"/>
          <w:szCs w:val="20"/>
          <w:lang w:eastAsia="sl-SI"/>
        </w:rPr>
        <w:t xml:space="preserve"> </w:t>
      </w:r>
      <w:r w:rsidRPr="00342151">
        <w:rPr>
          <w:rFonts w:eastAsia="Calibri"/>
          <w:sz w:val="20"/>
          <w:szCs w:val="20"/>
          <w:lang w:eastAsia="sl-SI"/>
        </w:rPr>
        <w:t>Usposabljanja so bila izvedena na temo reševanja v prometnih nesrečah in različnih kompleksnih</w:t>
      </w:r>
      <w:r>
        <w:rPr>
          <w:rFonts w:eastAsia="Calibri"/>
          <w:sz w:val="20"/>
          <w:szCs w:val="20"/>
          <w:lang w:eastAsia="sl-SI"/>
        </w:rPr>
        <w:t xml:space="preserve"> </w:t>
      </w:r>
      <w:r w:rsidRPr="00342151">
        <w:rPr>
          <w:rFonts w:eastAsia="Calibri"/>
          <w:sz w:val="20"/>
          <w:szCs w:val="20"/>
          <w:lang w:eastAsia="sl-SI"/>
        </w:rPr>
        <w:t>scenarijev prometnih nesreč v predoru. Dodatno je v okviru obiska potekal tudi ogled Gasilske brigade</w:t>
      </w:r>
      <w:r>
        <w:rPr>
          <w:rFonts w:eastAsia="Calibri"/>
          <w:sz w:val="20"/>
          <w:szCs w:val="20"/>
          <w:lang w:eastAsia="sl-SI"/>
        </w:rPr>
        <w:t xml:space="preserve"> </w:t>
      </w:r>
      <w:r w:rsidRPr="00342151">
        <w:rPr>
          <w:rFonts w:eastAsia="Calibri"/>
          <w:sz w:val="20"/>
          <w:szCs w:val="20"/>
          <w:lang w:eastAsia="sl-SI"/>
        </w:rPr>
        <w:t>Maribor.</w:t>
      </w:r>
    </w:p>
    <w:p w14:paraId="0CDF13B7" w14:textId="77777777" w:rsidR="00342151" w:rsidRPr="00342151" w:rsidRDefault="00342151" w:rsidP="00411064">
      <w:pPr>
        <w:autoSpaceDE w:val="0"/>
        <w:autoSpaceDN w:val="0"/>
        <w:adjustRightInd w:val="0"/>
        <w:spacing w:line="276" w:lineRule="auto"/>
        <w:rPr>
          <w:rFonts w:eastAsia="Calibri"/>
          <w:sz w:val="20"/>
          <w:szCs w:val="20"/>
          <w:lang w:eastAsia="sl-SI"/>
        </w:rPr>
      </w:pPr>
    </w:p>
    <w:p w14:paraId="65040934" w14:textId="77777777" w:rsidR="00342151" w:rsidRPr="00342151" w:rsidRDefault="00342151" w:rsidP="00411064">
      <w:pPr>
        <w:autoSpaceDE w:val="0"/>
        <w:autoSpaceDN w:val="0"/>
        <w:adjustRightInd w:val="0"/>
        <w:spacing w:line="276" w:lineRule="auto"/>
        <w:rPr>
          <w:rFonts w:eastAsia="Calibri"/>
          <w:b/>
          <w:bCs/>
          <w:sz w:val="20"/>
          <w:szCs w:val="20"/>
          <w:lang w:eastAsia="sl-SI"/>
        </w:rPr>
      </w:pPr>
      <w:r w:rsidRPr="00342151">
        <w:rPr>
          <w:rFonts w:eastAsia="Calibri"/>
          <w:b/>
          <w:bCs/>
          <w:sz w:val="20"/>
          <w:szCs w:val="20"/>
          <w:lang w:eastAsia="sl-SI"/>
        </w:rPr>
        <w:t>Kosovo</w:t>
      </w:r>
    </w:p>
    <w:p w14:paraId="66E1F2CB" w14:textId="77777777" w:rsidR="00342151" w:rsidRDefault="00342151" w:rsidP="00411064">
      <w:pPr>
        <w:autoSpaceDE w:val="0"/>
        <w:autoSpaceDN w:val="0"/>
        <w:adjustRightInd w:val="0"/>
        <w:spacing w:line="276" w:lineRule="auto"/>
        <w:rPr>
          <w:rFonts w:eastAsia="Calibri"/>
          <w:sz w:val="20"/>
          <w:szCs w:val="20"/>
          <w:lang w:eastAsia="sl-SI"/>
        </w:rPr>
      </w:pPr>
      <w:r w:rsidRPr="00342151">
        <w:rPr>
          <w:rFonts w:eastAsia="Calibri"/>
          <w:sz w:val="20"/>
          <w:szCs w:val="20"/>
          <w:lang w:eastAsia="sl-SI"/>
        </w:rPr>
        <w:t>V okviru dvostranskega sodelovanja je bilo v letu 2025 v okviru projekta CIMIC s predstavniki iz Kosova</w:t>
      </w:r>
      <w:r>
        <w:rPr>
          <w:rFonts w:eastAsia="Calibri"/>
          <w:sz w:val="20"/>
          <w:szCs w:val="20"/>
          <w:lang w:eastAsia="sl-SI"/>
        </w:rPr>
        <w:t xml:space="preserve"> </w:t>
      </w:r>
      <w:r w:rsidRPr="00342151">
        <w:rPr>
          <w:rFonts w:eastAsia="Calibri"/>
          <w:sz w:val="20"/>
          <w:szCs w:val="20"/>
          <w:lang w:eastAsia="sl-SI"/>
        </w:rPr>
        <w:t>uspešno pripravljen prevod brošure z naslovom ˝Delujmo preventivno˝.</w:t>
      </w:r>
    </w:p>
    <w:p w14:paraId="052C4CF6" w14:textId="77777777" w:rsidR="00342151" w:rsidRPr="00342151" w:rsidRDefault="00342151" w:rsidP="00411064">
      <w:pPr>
        <w:autoSpaceDE w:val="0"/>
        <w:autoSpaceDN w:val="0"/>
        <w:adjustRightInd w:val="0"/>
        <w:spacing w:line="276" w:lineRule="auto"/>
        <w:rPr>
          <w:rFonts w:eastAsia="Calibri"/>
          <w:sz w:val="20"/>
          <w:szCs w:val="20"/>
          <w:lang w:eastAsia="sl-SI"/>
        </w:rPr>
      </w:pPr>
    </w:p>
    <w:p w14:paraId="0F912C79" w14:textId="77777777" w:rsidR="00342151" w:rsidRPr="00342151" w:rsidRDefault="00342151" w:rsidP="00411064">
      <w:pPr>
        <w:autoSpaceDE w:val="0"/>
        <w:autoSpaceDN w:val="0"/>
        <w:adjustRightInd w:val="0"/>
        <w:spacing w:line="276" w:lineRule="auto"/>
        <w:rPr>
          <w:rFonts w:eastAsia="Calibri"/>
          <w:b/>
          <w:bCs/>
          <w:sz w:val="20"/>
          <w:szCs w:val="20"/>
          <w:lang w:eastAsia="sl-SI"/>
        </w:rPr>
      </w:pPr>
      <w:r w:rsidRPr="00342151">
        <w:rPr>
          <w:rFonts w:eastAsia="Calibri"/>
          <w:b/>
          <w:bCs/>
          <w:sz w:val="20"/>
          <w:szCs w:val="20"/>
          <w:lang w:eastAsia="sl-SI"/>
        </w:rPr>
        <w:t>Severna Makedonija</w:t>
      </w:r>
    </w:p>
    <w:p w14:paraId="4F63CCC9" w14:textId="77777777" w:rsidR="00342151" w:rsidRDefault="00342151" w:rsidP="00411064">
      <w:pPr>
        <w:autoSpaceDE w:val="0"/>
        <w:autoSpaceDN w:val="0"/>
        <w:adjustRightInd w:val="0"/>
        <w:spacing w:line="276" w:lineRule="auto"/>
        <w:rPr>
          <w:rFonts w:eastAsia="Calibri"/>
          <w:sz w:val="20"/>
          <w:szCs w:val="20"/>
          <w:lang w:eastAsia="sl-SI"/>
        </w:rPr>
      </w:pPr>
      <w:r w:rsidRPr="00342151">
        <w:rPr>
          <w:rFonts w:eastAsia="Calibri"/>
          <w:sz w:val="20"/>
          <w:szCs w:val="20"/>
          <w:lang w:eastAsia="sl-SI"/>
        </w:rPr>
        <w:t xml:space="preserve">V Okviru mehanizma Unije na področju civilne zaščite je </w:t>
      </w:r>
      <w:r w:rsidR="009B2715">
        <w:rPr>
          <w:rFonts w:eastAsia="Calibri"/>
          <w:sz w:val="20"/>
          <w:szCs w:val="20"/>
          <w:lang w:eastAsia="sl-SI"/>
        </w:rPr>
        <w:t>RS</w:t>
      </w:r>
      <w:r w:rsidRPr="00342151">
        <w:rPr>
          <w:rFonts w:eastAsia="Calibri"/>
          <w:sz w:val="20"/>
          <w:szCs w:val="20"/>
          <w:lang w:eastAsia="sl-SI"/>
        </w:rPr>
        <w:t xml:space="preserve"> na zaprosilo Severne</w:t>
      </w:r>
      <w:r>
        <w:rPr>
          <w:rFonts w:eastAsia="Calibri"/>
          <w:sz w:val="20"/>
          <w:szCs w:val="20"/>
          <w:lang w:eastAsia="sl-SI"/>
        </w:rPr>
        <w:t xml:space="preserve"> </w:t>
      </w:r>
      <w:r w:rsidRPr="00342151">
        <w:rPr>
          <w:rFonts w:eastAsia="Calibri"/>
          <w:sz w:val="20"/>
          <w:szCs w:val="20"/>
          <w:lang w:eastAsia="sl-SI"/>
        </w:rPr>
        <w:t>Makedonije ob požaru v nočnem klubu zagotovila prevoz in zdravljenje štirih pacientov z opeklinami.</w:t>
      </w:r>
      <w:r>
        <w:rPr>
          <w:rFonts w:eastAsia="Calibri"/>
          <w:sz w:val="20"/>
          <w:szCs w:val="20"/>
          <w:lang w:eastAsia="sl-SI"/>
        </w:rPr>
        <w:t xml:space="preserve"> </w:t>
      </w:r>
      <w:r w:rsidRPr="00342151">
        <w:rPr>
          <w:rFonts w:eastAsia="Calibri"/>
          <w:sz w:val="20"/>
          <w:szCs w:val="20"/>
          <w:lang w:eastAsia="sl-SI"/>
        </w:rPr>
        <w:t>Prav tako je Severni Makedoniji v okviru mehanizma zaradi posledic obsežnih požarov v</w:t>
      </w:r>
      <w:r>
        <w:rPr>
          <w:rFonts w:eastAsia="Calibri"/>
          <w:sz w:val="20"/>
          <w:szCs w:val="20"/>
          <w:lang w:eastAsia="sl-SI"/>
        </w:rPr>
        <w:t xml:space="preserve"> </w:t>
      </w:r>
      <w:r w:rsidRPr="00342151">
        <w:rPr>
          <w:rFonts w:eastAsia="Calibri"/>
          <w:sz w:val="20"/>
          <w:szCs w:val="20"/>
          <w:lang w:eastAsia="sl-SI"/>
        </w:rPr>
        <w:t>naravnem okolju zagotovi reševalno pomoč v obliki enote za gašenje požarov v naravnem okolju z vozili.</w:t>
      </w:r>
      <w:r>
        <w:rPr>
          <w:rFonts w:eastAsia="Calibri"/>
          <w:sz w:val="20"/>
          <w:szCs w:val="20"/>
          <w:lang w:eastAsia="sl-SI"/>
        </w:rPr>
        <w:t xml:space="preserve"> </w:t>
      </w:r>
      <w:r w:rsidRPr="00342151">
        <w:rPr>
          <w:rFonts w:eastAsia="Calibri"/>
          <w:sz w:val="20"/>
          <w:szCs w:val="20"/>
          <w:lang w:eastAsia="sl-SI"/>
        </w:rPr>
        <w:t xml:space="preserve">Predstavniki iz Severne Makedonije so se v obdobju od 25. – 27. </w:t>
      </w:r>
      <w:r w:rsidR="00ED66AE">
        <w:rPr>
          <w:rFonts w:eastAsia="Calibri"/>
          <w:sz w:val="20"/>
          <w:szCs w:val="20"/>
          <w:lang w:eastAsia="sl-SI"/>
        </w:rPr>
        <w:t xml:space="preserve">septembra </w:t>
      </w:r>
      <w:r w:rsidRPr="00342151">
        <w:rPr>
          <w:rFonts w:eastAsia="Calibri"/>
          <w:sz w:val="20"/>
          <w:szCs w:val="20"/>
          <w:lang w:eastAsia="sl-SI"/>
        </w:rPr>
        <w:t>2025 udeležili 10. sejma SOBRA</w:t>
      </w:r>
      <w:r>
        <w:rPr>
          <w:rFonts w:eastAsia="Calibri"/>
          <w:sz w:val="20"/>
          <w:szCs w:val="20"/>
          <w:lang w:eastAsia="sl-SI"/>
        </w:rPr>
        <w:t xml:space="preserve"> </w:t>
      </w:r>
      <w:r w:rsidRPr="00342151">
        <w:rPr>
          <w:rFonts w:eastAsia="Calibri"/>
          <w:sz w:val="20"/>
          <w:szCs w:val="20"/>
          <w:lang w:eastAsia="sl-SI"/>
        </w:rPr>
        <w:t>2025 v okviru programa za tuje goste.</w:t>
      </w:r>
    </w:p>
    <w:p w14:paraId="42B42904" w14:textId="77777777" w:rsidR="00342151" w:rsidRPr="00342151" w:rsidRDefault="00342151" w:rsidP="00411064">
      <w:pPr>
        <w:autoSpaceDE w:val="0"/>
        <w:autoSpaceDN w:val="0"/>
        <w:adjustRightInd w:val="0"/>
        <w:spacing w:line="276" w:lineRule="auto"/>
        <w:rPr>
          <w:rFonts w:eastAsia="Calibri"/>
          <w:sz w:val="20"/>
          <w:szCs w:val="20"/>
          <w:lang w:eastAsia="sl-SI"/>
        </w:rPr>
      </w:pPr>
    </w:p>
    <w:p w14:paraId="14964ACF" w14:textId="77777777" w:rsidR="00342151" w:rsidRPr="00342151" w:rsidRDefault="00342151" w:rsidP="00411064">
      <w:pPr>
        <w:autoSpaceDE w:val="0"/>
        <w:autoSpaceDN w:val="0"/>
        <w:adjustRightInd w:val="0"/>
        <w:spacing w:line="276" w:lineRule="auto"/>
        <w:rPr>
          <w:rFonts w:eastAsia="Calibri"/>
          <w:b/>
          <w:bCs/>
          <w:sz w:val="20"/>
          <w:szCs w:val="20"/>
          <w:lang w:eastAsia="sl-SI"/>
        </w:rPr>
      </w:pPr>
      <w:r w:rsidRPr="00342151">
        <w:rPr>
          <w:rFonts w:eastAsia="Calibri"/>
          <w:b/>
          <w:bCs/>
          <w:sz w:val="20"/>
          <w:szCs w:val="20"/>
          <w:lang w:eastAsia="sl-SI"/>
        </w:rPr>
        <w:t>REGIONALNO SODELOVANJE</w:t>
      </w:r>
    </w:p>
    <w:p w14:paraId="64C09E32" w14:textId="77777777" w:rsidR="005C3EDF" w:rsidRPr="00342151" w:rsidRDefault="00342151" w:rsidP="00411064">
      <w:pPr>
        <w:autoSpaceDE w:val="0"/>
        <w:autoSpaceDN w:val="0"/>
        <w:adjustRightInd w:val="0"/>
        <w:spacing w:line="276" w:lineRule="auto"/>
        <w:rPr>
          <w:b/>
          <w:sz w:val="20"/>
          <w:szCs w:val="20"/>
          <w:highlight w:val="yellow"/>
          <w:u w:val="single"/>
        </w:rPr>
      </w:pPr>
      <w:r w:rsidRPr="00342151">
        <w:rPr>
          <w:rFonts w:eastAsia="Calibri"/>
          <w:sz w:val="20"/>
          <w:szCs w:val="20"/>
          <w:lang w:eastAsia="sl-SI"/>
        </w:rPr>
        <w:t>V okviru Pobude za pripravljenost na nesreče in njihovo preprečevanje za Jugovzhodno Evropo (DPPI</w:t>
      </w:r>
      <w:r>
        <w:rPr>
          <w:rFonts w:eastAsia="Calibri"/>
          <w:sz w:val="20"/>
          <w:szCs w:val="20"/>
          <w:lang w:eastAsia="sl-SI"/>
        </w:rPr>
        <w:t xml:space="preserve"> </w:t>
      </w:r>
      <w:r w:rsidRPr="00342151">
        <w:rPr>
          <w:rFonts w:eastAsia="Calibri"/>
          <w:sz w:val="20"/>
          <w:szCs w:val="20"/>
          <w:lang w:eastAsia="sl-SI"/>
        </w:rPr>
        <w:t>SEE</w:t>
      </w:r>
      <w:r w:rsidR="000D3D44">
        <w:rPr>
          <w:rFonts w:eastAsia="Calibri"/>
          <w:sz w:val="20"/>
          <w:szCs w:val="20"/>
          <w:lang w:eastAsia="sl-SI"/>
        </w:rPr>
        <w:t xml:space="preserve"> ali</w:t>
      </w:r>
      <w:r w:rsidRPr="00342151">
        <w:rPr>
          <w:rFonts w:eastAsia="Calibri"/>
          <w:sz w:val="20"/>
          <w:szCs w:val="20"/>
          <w:lang w:eastAsia="sl-SI"/>
        </w:rPr>
        <w:t xml:space="preserve"> Pobuda) je od 29. </w:t>
      </w:r>
      <w:r w:rsidR="0002570E">
        <w:rPr>
          <w:rFonts w:eastAsia="Calibri"/>
          <w:sz w:val="20"/>
          <w:szCs w:val="20"/>
          <w:lang w:eastAsia="sl-SI"/>
        </w:rPr>
        <w:t>septembra</w:t>
      </w:r>
      <w:r w:rsidRPr="00342151">
        <w:rPr>
          <w:rFonts w:eastAsia="Calibri"/>
          <w:sz w:val="20"/>
          <w:szCs w:val="20"/>
          <w:lang w:eastAsia="sl-SI"/>
        </w:rPr>
        <w:t xml:space="preserve"> – 2. </w:t>
      </w:r>
      <w:r w:rsidR="00ED66AE">
        <w:rPr>
          <w:rFonts w:eastAsia="Calibri"/>
          <w:sz w:val="20"/>
          <w:szCs w:val="20"/>
          <w:lang w:eastAsia="sl-SI"/>
        </w:rPr>
        <w:t xml:space="preserve">oktobra </w:t>
      </w:r>
      <w:r w:rsidRPr="00342151">
        <w:rPr>
          <w:rFonts w:eastAsia="Calibri"/>
          <w:sz w:val="20"/>
          <w:szCs w:val="20"/>
          <w:lang w:eastAsia="sl-SI"/>
        </w:rPr>
        <w:t xml:space="preserve">2025 v Sarajevu, </w:t>
      </w:r>
      <w:r w:rsidR="00945E65">
        <w:rPr>
          <w:rFonts w:eastAsia="Calibri"/>
          <w:sz w:val="20"/>
          <w:szCs w:val="20"/>
          <w:lang w:eastAsia="sl-SI"/>
        </w:rPr>
        <w:t>BiH</w:t>
      </w:r>
      <w:r w:rsidRPr="00342151">
        <w:rPr>
          <w:rFonts w:eastAsia="Calibri"/>
          <w:sz w:val="20"/>
          <w:szCs w:val="20"/>
          <w:lang w:eastAsia="sl-SI"/>
        </w:rPr>
        <w:t xml:space="preserve"> potekal 50.</w:t>
      </w:r>
      <w:r>
        <w:rPr>
          <w:rFonts w:eastAsia="Calibri"/>
          <w:sz w:val="20"/>
          <w:szCs w:val="20"/>
          <w:lang w:eastAsia="sl-SI"/>
        </w:rPr>
        <w:t xml:space="preserve"> </w:t>
      </w:r>
      <w:r w:rsidRPr="00342151">
        <w:rPr>
          <w:rFonts w:eastAsia="Calibri"/>
          <w:sz w:val="20"/>
          <w:szCs w:val="20"/>
          <w:lang w:eastAsia="sl-SI"/>
        </w:rPr>
        <w:t>regionalni sestanek Pobude, v organizaciji predsedujoče Romunije in Sekretariata Pobude. V okviru</w:t>
      </w:r>
      <w:r>
        <w:rPr>
          <w:rFonts w:eastAsia="Calibri"/>
          <w:sz w:val="20"/>
          <w:szCs w:val="20"/>
          <w:lang w:eastAsia="sl-SI"/>
        </w:rPr>
        <w:t xml:space="preserve"> </w:t>
      </w:r>
      <w:r w:rsidRPr="00342151">
        <w:rPr>
          <w:rFonts w:eastAsia="Calibri"/>
          <w:sz w:val="20"/>
          <w:szCs w:val="20"/>
          <w:lang w:eastAsia="sl-SI"/>
        </w:rPr>
        <w:t>Programa izobraževanja in usposabljanja DPPI SEE (DMTP) je bilo v letu 2025 izvedenih 10 delavnic</w:t>
      </w:r>
      <w:r>
        <w:rPr>
          <w:rFonts w:eastAsia="Calibri"/>
          <w:sz w:val="20"/>
          <w:szCs w:val="20"/>
          <w:lang w:eastAsia="sl-SI"/>
        </w:rPr>
        <w:t xml:space="preserve"> </w:t>
      </w:r>
      <w:r w:rsidRPr="00342151">
        <w:rPr>
          <w:rFonts w:eastAsia="Calibri"/>
          <w:sz w:val="20"/>
          <w:szCs w:val="20"/>
          <w:lang w:eastAsia="sl-SI"/>
        </w:rPr>
        <w:t xml:space="preserve">oziroma usposabljanj, katerih so udeležili tudi slovenski predstavniki. </w:t>
      </w:r>
      <w:r w:rsidR="009B2715">
        <w:rPr>
          <w:rFonts w:eastAsia="Calibri"/>
          <w:sz w:val="20"/>
          <w:szCs w:val="20"/>
          <w:lang w:eastAsia="sl-SI"/>
        </w:rPr>
        <w:t>RS</w:t>
      </w:r>
      <w:r w:rsidRPr="00342151">
        <w:rPr>
          <w:rFonts w:eastAsia="Calibri"/>
          <w:sz w:val="20"/>
          <w:szCs w:val="20"/>
          <w:lang w:eastAsia="sl-SI"/>
        </w:rPr>
        <w:t xml:space="preserve"> je v sodelovanju z</w:t>
      </w:r>
      <w:r>
        <w:rPr>
          <w:rFonts w:eastAsia="Calibri"/>
          <w:sz w:val="20"/>
          <w:szCs w:val="20"/>
          <w:lang w:eastAsia="sl-SI"/>
        </w:rPr>
        <w:t xml:space="preserve"> </w:t>
      </w:r>
      <w:r w:rsidRPr="00342151">
        <w:rPr>
          <w:rFonts w:eastAsia="Calibri"/>
          <w:sz w:val="20"/>
          <w:szCs w:val="20"/>
          <w:lang w:eastAsia="sl-SI"/>
        </w:rPr>
        <w:t>Gorsko reševalno zvezo Slovenije uspešno izvedla usposabljanje za gorsko reševanje, ki je potekalo v</w:t>
      </w:r>
      <w:r>
        <w:rPr>
          <w:rFonts w:eastAsia="Calibri"/>
          <w:sz w:val="20"/>
          <w:szCs w:val="20"/>
          <w:lang w:eastAsia="sl-SI"/>
        </w:rPr>
        <w:t xml:space="preserve"> </w:t>
      </w:r>
      <w:r w:rsidRPr="00342151">
        <w:rPr>
          <w:rFonts w:eastAsia="Calibri"/>
          <w:sz w:val="20"/>
          <w:szCs w:val="20"/>
          <w:lang w:eastAsia="sl-SI"/>
        </w:rPr>
        <w:t>Kranjski Gori od 9. do</w:t>
      </w:r>
      <w:r w:rsidR="00ED66AE">
        <w:rPr>
          <w:rFonts w:eastAsia="Calibri"/>
          <w:sz w:val="20"/>
          <w:szCs w:val="20"/>
          <w:lang w:eastAsia="sl-SI"/>
        </w:rPr>
        <w:t xml:space="preserve"> </w:t>
      </w:r>
      <w:r w:rsidRPr="00342151">
        <w:rPr>
          <w:rFonts w:eastAsia="Calibri"/>
          <w:sz w:val="20"/>
          <w:szCs w:val="20"/>
          <w:lang w:eastAsia="sl-SI"/>
        </w:rPr>
        <w:t xml:space="preserve">11. </w:t>
      </w:r>
      <w:r w:rsidR="00ED66AE">
        <w:rPr>
          <w:rFonts w:eastAsia="Calibri"/>
          <w:sz w:val="20"/>
          <w:szCs w:val="20"/>
          <w:lang w:eastAsia="sl-SI"/>
        </w:rPr>
        <w:t>novembra</w:t>
      </w:r>
      <w:r w:rsidRPr="00342151">
        <w:rPr>
          <w:rFonts w:eastAsia="Calibri"/>
          <w:sz w:val="20"/>
          <w:szCs w:val="20"/>
          <w:lang w:eastAsia="sl-SI"/>
        </w:rPr>
        <w:t xml:space="preserve"> 2025. V letu 2025 je bil v </w:t>
      </w:r>
      <w:r w:rsidR="00CA2320">
        <w:rPr>
          <w:rFonts w:eastAsia="Calibri"/>
          <w:sz w:val="20"/>
          <w:szCs w:val="20"/>
          <w:lang w:eastAsia="sl-SI"/>
        </w:rPr>
        <w:t>BiH</w:t>
      </w:r>
      <w:r w:rsidRPr="00342151">
        <w:rPr>
          <w:rFonts w:eastAsia="Calibri"/>
          <w:sz w:val="20"/>
          <w:szCs w:val="20"/>
          <w:lang w:eastAsia="sl-SI"/>
        </w:rPr>
        <w:t xml:space="preserve"> uspešno ratificiran Sporazum</w:t>
      </w:r>
      <w:r>
        <w:rPr>
          <w:rFonts w:eastAsia="Calibri"/>
          <w:sz w:val="20"/>
          <w:szCs w:val="20"/>
          <w:lang w:eastAsia="sl-SI"/>
        </w:rPr>
        <w:t xml:space="preserve"> </w:t>
      </w:r>
      <w:r w:rsidRPr="00342151">
        <w:rPr>
          <w:rFonts w:eastAsia="Calibri"/>
          <w:sz w:val="20"/>
          <w:szCs w:val="20"/>
          <w:lang w:eastAsia="sl-SI"/>
        </w:rPr>
        <w:t xml:space="preserve">med Svetom ministrov </w:t>
      </w:r>
      <w:r w:rsidR="00945E65">
        <w:rPr>
          <w:rFonts w:eastAsia="Calibri"/>
          <w:sz w:val="20"/>
          <w:szCs w:val="20"/>
          <w:lang w:eastAsia="sl-SI"/>
        </w:rPr>
        <w:t>BiH</w:t>
      </w:r>
      <w:r w:rsidR="00E22BAB">
        <w:rPr>
          <w:rFonts w:eastAsia="Calibri"/>
          <w:sz w:val="20"/>
          <w:szCs w:val="20"/>
          <w:lang w:eastAsia="sl-SI"/>
        </w:rPr>
        <w:t xml:space="preserve"> </w:t>
      </w:r>
      <w:r w:rsidRPr="00342151">
        <w:rPr>
          <w:rFonts w:eastAsia="Calibri"/>
          <w:sz w:val="20"/>
          <w:szCs w:val="20"/>
          <w:lang w:eastAsia="sl-SI"/>
        </w:rPr>
        <w:t>in vladami drugih podpisnic Pobude za pripravljenost na</w:t>
      </w:r>
      <w:r>
        <w:rPr>
          <w:rFonts w:eastAsia="Calibri"/>
          <w:sz w:val="20"/>
          <w:szCs w:val="20"/>
          <w:lang w:eastAsia="sl-SI"/>
        </w:rPr>
        <w:t xml:space="preserve"> </w:t>
      </w:r>
      <w:r w:rsidRPr="00342151">
        <w:rPr>
          <w:rFonts w:eastAsia="Calibri"/>
          <w:sz w:val="20"/>
          <w:szCs w:val="20"/>
          <w:lang w:eastAsia="sl-SI"/>
        </w:rPr>
        <w:t>nesreče in njihovo preprečevanje za Jugovzhodno Evropo o ureditvi statusa sekretariata v državi</w:t>
      </w:r>
      <w:r>
        <w:rPr>
          <w:rFonts w:eastAsia="Calibri"/>
          <w:sz w:val="20"/>
          <w:szCs w:val="20"/>
          <w:lang w:eastAsia="sl-SI"/>
        </w:rPr>
        <w:t xml:space="preserve"> </w:t>
      </w:r>
      <w:r w:rsidRPr="00342151">
        <w:rPr>
          <w:rFonts w:eastAsia="Calibri"/>
          <w:sz w:val="20"/>
          <w:szCs w:val="20"/>
          <w:lang w:eastAsia="sl-SI"/>
        </w:rPr>
        <w:t>gostiteljici.</w:t>
      </w:r>
    </w:p>
    <w:p w14:paraId="4C81CA71" w14:textId="77777777" w:rsidR="00627CE8" w:rsidRDefault="00627CE8" w:rsidP="00411064">
      <w:pPr>
        <w:spacing w:line="276" w:lineRule="auto"/>
        <w:rPr>
          <w:b/>
          <w:sz w:val="20"/>
          <w:szCs w:val="20"/>
          <w:highlight w:val="yellow"/>
          <w:u w:val="single"/>
        </w:rPr>
      </w:pPr>
    </w:p>
    <w:p w14:paraId="2A402892" w14:textId="77777777" w:rsidR="002657BB" w:rsidRPr="00140B34" w:rsidRDefault="002657BB" w:rsidP="00411064">
      <w:pPr>
        <w:spacing w:line="276" w:lineRule="auto"/>
        <w:rPr>
          <w:b/>
          <w:sz w:val="20"/>
          <w:szCs w:val="20"/>
          <w:highlight w:val="yellow"/>
          <w:u w:val="single"/>
        </w:rPr>
      </w:pPr>
    </w:p>
    <w:p w14:paraId="7A612281" w14:textId="77777777" w:rsidR="00380C9C" w:rsidRPr="00140B34" w:rsidRDefault="00AE2B8C" w:rsidP="00411064">
      <w:pPr>
        <w:pStyle w:val="Heading3"/>
        <w:rPr>
          <w:highlight w:val="yellow"/>
        </w:rPr>
      </w:pPr>
      <w:bookmarkStart w:id="32" w:name="_Toc227227974"/>
      <w:r w:rsidRPr="00ED6756">
        <w:t>6</w:t>
      </w:r>
      <w:r w:rsidR="00380C9C" w:rsidRPr="00ED6756">
        <w:t>.3. Krepitev sodelovanja na področju notranjih zadev</w:t>
      </w:r>
      <w:bookmarkEnd w:id="32"/>
    </w:p>
    <w:p w14:paraId="7B75BB47" w14:textId="77777777" w:rsidR="00A20D07" w:rsidRPr="00140B34" w:rsidRDefault="00A20D07" w:rsidP="00411064">
      <w:pPr>
        <w:spacing w:line="276" w:lineRule="auto"/>
        <w:rPr>
          <w:rFonts w:eastAsia="Times New Roman"/>
          <w:sz w:val="20"/>
          <w:szCs w:val="20"/>
          <w:highlight w:val="yellow"/>
        </w:rPr>
      </w:pPr>
    </w:p>
    <w:p w14:paraId="6E9E7BEA" w14:textId="77777777" w:rsidR="007F5207" w:rsidRPr="007F5207" w:rsidRDefault="007F5207" w:rsidP="00411064">
      <w:pPr>
        <w:spacing w:line="276" w:lineRule="auto"/>
        <w:rPr>
          <w:rFonts w:eastAsia="Times New Roman" w:cs="Times New Roman"/>
          <w:sz w:val="20"/>
        </w:rPr>
      </w:pPr>
      <w:r w:rsidRPr="007F5207">
        <w:rPr>
          <w:rFonts w:eastAsia="Times New Roman" w:cs="Times New Roman"/>
          <w:sz w:val="20"/>
        </w:rPr>
        <w:t xml:space="preserve">MNZ z državami Zahodnega Balkana sodeluje skladno s sprejetimi Smernicami za delovanje RS do Zahodnega Balkana in sprejetimi strokovnimi prioritetami, ob upoštevanju širitvene strategije EU za Zahodni Balkan. Aktivnosti v letu 2025 so potekale na bilateralnem in regionalnem nivoju in so bile predhodno usklajene z državami prejemnicami pomoči. </w:t>
      </w:r>
    </w:p>
    <w:p w14:paraId="5104BA37" w14:textId="77777777" w:rsidR="007F5207" w:rsidRPr="007F5207" w:rsidRDefault="007F5207" w:rsidP="00411064">
      <w:pPr>
        <w:spacing w:line="276" w:lineRule="auto"/>
        <w:rPr>
          <w:rFonts w:eastAsia="Times New Roman" w:cs="Times New Roman"/>
          <w:sz w:val="20"/>
        </w:rPr>
      </w:pPr>
    </w:p>
    <w:p w14:paraId="3D68B3B6" w14:textId="77777777" w:rsidR="007F5207" w:rsidRPr="007F5207" w:rsidRDefault="007F5207" w:rsidP="00411064">
      <w:pPr>
        <w:spacing w:line="276" w:lineRule="auto"/>
        <w:rPr>
          <w:rFonts w:eastAsia="Times New Roman" w:cs="Times New Roman"/>
          <w:sz w:val="20"/>
        </w:rPr>
      </w:pPr>
      <w:r w:rsidRPr="007F5207">
        <w:rPr>
          <w:rFonts w:eastAsia="Times New Roman" w:cs="Times New Roman"/>
          <w:sz w:val="20"/>
        </w:rPr>
        <w:t xml:space="preserve">Največji del regionalnih aktivnosti poteka v okviru Brdo procesa, v tem okviru je MNZ organiziral tudi trinajsto neformalno srečanje ministrov za notranje zadeve. Bilateralno sodelovanje je potekalo največ s Črno goro in Severno Makedonijo. V 2025 policijski atašeji delovali na veleposlaništvih RS v </w:t>
      </w:r>
      <w:r w:rsidR="00945E65">
        <w:rPr>
          <w:rFonts w:eastAsia="Calibri"/>
          <w:sz w:val="20"/>
          <w:szCs w:val="20"/>
          <w:lang w:eastAsia="sl-SI"/>
        </w:rPr>
        <w:t>BiH,</w:t>
      </w:r>
      <w:r w:rsidR="00945E65" w:rsidRPr="00342151">
        <w:rPr>
          <w:rFonts w:eastAsia="Calibri"/>
          <w:sz w:val="20"/>
          <w:szCs w:val="20"/>
          <w:lang w:eastAsia="sl-SI"/>
        </w:rPr>
        <w:t xml:space="preserve"> </w:t>
      </w:r>
      <w:r w:rsidR="00945E65">
        <w:rPr>
          <w:rFonts w:eastAsia="Times New Roman" w:cs="Times New Roman"/>
          <w:sz w:val="20"/>
        </w:rPr>
        <w:t>BIH</w:t>
      </w:r>
      <w:r w:rsidR="00E22BAB">
        <w:rPr>
          <w:rFonts w:eastAsia="Times New Roman" w:cs="Times New Roman"/>
          <w:sz w:val="20"/>
        </w:rPr>
        <w:t xml:space="preserve">, </w:t>
      </w:r>
      <w:r w:rsidRPr="007F5207">
        <w:rPr>
          <w:rFonts w:eastAsia="Times New Roman" w:cs="Times New Roman"/>
          <w:sz w:val="20"/>
        </w:rPr>
        <w:t xml:space="preserve">Severni Makedoniji in Srbiji. V operativne aktivnosti </w:t>
      </w:r>
      <w:r w:rsidRPr="007F5207">
        <w:rPr>
          <w:rFonts w:eastAsia="Times New Roman" w:cs="Times New Roman"/>
          <w:bCs/>
          <w:sz w:val="20"/>
        </w:rPr>
        <w:t>Evropske agencije za mejno in obalno stražo</w:t>
      </w:r>
      <w:r w:rsidRPr="007F5207">
        <w:rPr>
          <w:rFonts w:eastAsia="Times New Roman" w:cs="Times New Roman"/>
          <w:sz w:val="20"/>
        </w:rPr>
        <w:t xml:space="preserve"> (Frontex) je </w:t>
      </w:r>
      <w:r w:rsidR="009B2715">
        <w:rPr>
          <w:rFonts w:eastAsia="Times New Roman" w:cs="Times New Roman"/>
          <w:sz w:val="20"/>
        </w:rPr>
        <w:t>RS</w:t>
      </w:r>
      <w:r w:rsidRPr="007F5207">
        <w:rPr>
          <w:rFonts w:eastAsia="Times New Roman" w:cs="Times New Roman"/>
          <w:sz w:val="20"/>
        </w:rPr>
        <w:t xml:space="preserve"> policiste napotila v Albanijo, </w:t>
      </w:r>
      <w:r w:rsidR="00945E65">
        <w:rPr>
          <w:rFonts w:eastAsia="Times New Roman" w:cs="Times New Roman"/>
          <w:sz w:val="20"/>
        </w:rPr>
        <w:t>BiH</w:t>
      </w:r>
      <w:r w:rsidRPr="007F5207">
        <w:rPr>
          <w:rFonts w:eastAsia="Times New Roman" w:cs="Times New Roman"/>
          <w:sz w:val="20"/>
        </w:rPr>
        <w:t>, Črno Goro, Kosovom, Severno Makedonijo in Srbijo. Policisti so sodelovali tudi v misiji EULEX Kosovo in misiji UNMIK Kosovo.</w:t>
      </w:r>
    </w:p>
    <w:p w14:paraId="74C31DE3" w14:textId="77777777" w:rsidR="007F5207" w:rsidRPr="007F5207" w:rsidRDefault="007F5207" w:rsidP="00411064">
      <w:pPr>
        <w:spacing w:line="276" w:lineRule="auto"/>
        <w:rPr>
          <w:rFonts w:eastAsia="Times New Roman" w:cs="Times New Roman"/>
          <w:sz w:val="20"/>
        </w:rPr>
      </w:pPr>
    </w:p>
    <w:p w14:paraId="7C5E8652" w14:textId="77777777" w:rsidR="007F5207" w:rsidRPr="007F5207" w:rsidRDefault="007F5207" w:rsidP="00411064">
      <w:pPr>
        <w:spacing w:line="276" w:lineRule="auto"/>
        <w:rPr>
          <w:rFonts w:eastAsia="Times New Roman" w:cs="Times New Roman"/>
          <w:sz w:val="20"/>
        </w:rPr>
      </w:pPr>
      <w:r w:rsidRPr="007F5207">
        <w:rPr>
          <w:rFonts w:eastAsia="Times New Roman" w:cs="Times New Roman"/>
          <w:sz w:val="20"/>
        </w:rPr>
        <w:t>V nadaljevanju so podrobneje navedene pomembnejše aktivnosti.</w:t>
      </w:r>
    </w:p>
    <w:p w14:paraId="5153F78B" w14:textId="77777777" w:rsidR="007F5207" w:rsidRPr="007F5207" w:rsidRDefault="007F5207" w:rsidP="00411064">
      <w:pPr>
        <w:spacing w:line="276" w:lineRule="auto"/>
        <w:rPr>
          <w:rFonts w:eastAsia="Times New Roman" w:cs="Times New Roman"/>
          <w:sz w:val="20"/>
        </w:rPr>
      </w:pPr>
    </w:p>
    <w:p w14:paraId="1D4C5DCC" w14:textId="77777777" w:rsidR="007F5207" w:rsidRPr="007F5207" w:rsidRDefault="007F5207" w:rsidP="00411064">
      <w:pPr>
        <w:spacing w:line="276" w:lineRule="auto"/>
        <w:rPr>
          <w:rFonts w:eastAsia="Times New Roman" w:cs="Times New Roman"/>
          <w:b/>
          <w:sz w:val="20"/>
        </w:rPr>
      </w:pPr>
      <w:r w:rsidRPr="007F5207">
        <w:rPr>
          <w:rFonts w:eastAsia="Times New Roman" w:cs="Times New Roman"/>
          <w:b/>
          <w:sz w:val="20"/>
        </w:rPr>
        <w:t>Proces Brdo</w:t>
      </w:r>
    </w:p>
    <w:p w14:paraId="15B72DD5" w14:textId="77777777" w:rsidR="007F5207" w:rsidRPr="007F5207" w:rsidRDefault="007F5207" w:rsidP="00411064">
      <w:pPr>
        <w:spacing w:line="276" w:lineRule="auto"/>
        <w:rPr>
          <w:rFonts w:eastAsia="Times New Roman" w:cs="Times New Roman"/>
          <w:sz w:val="20"/>
        </w:rPr>
      </w:pPr>
    </w:p>
    <w:p w14:paraId="2F660C3D" w14:textId="77777777" w:rsidR="007F5207" w:rsidRPr="007F5207" w:rsidRDefault="007F5207" w:rsidP="00411064">
      <w:pPr>
        <w:spacing w:line="276" w:lineRule="auto"/>
        <w:rPr>
          <w:rFonts w:eastAsia="Times New Roman" w:cs="Times New Roman"/>
          <w:sz w:val="20"/>
        </w:rPr>
      </w:pPr>
      <w:r w:rsidRPr="007F5207">
        <w:rPr>
          <w:rFonts w:eastAsia="Times New Roman" w:cs="Times New Roman"/>
          <w:sz w:val="20"/>
        </w:rPr>
        <w:t>Trinajsto neformalno srečanje ministrov za notranje zadeve Brdo procesa je potekalo 27. in 28. marca 2025 na Brdu pri Kranju. Namenjeno je bilo razpravi o ukrepih za krepitev varnostne politike na področju boja proti terorizmu in aktualnih izzivih in dobrih praksah na področju preprečevanja in boja proti trgovini z ljudmi v regiji. Ministri so podprli krepitev regionalnega sodelovanja v boju proti terorističnim grožnjam in pomembno vlogo mreže nacionalnih koordinatorjev za boj proti trgovini z ljudmi jugovzhodne Evrope pri nezakonitih migracijah. Ob tem so se zavzeli za enotno, usklajeno in odločno delovanje. Srečanja sta se, poleg ministrov za notranje zadeve in drugih visokih predstavnikov članic Brdo procesa, Avstrije, Italije in Madžarske, udeležila tudi evropska komisarka za širitev Kos in evropski komisar za notranje zadeve in migracije Brunner.</w:t>
      </w:r>
    </w:p>
    <w:p w14:paraId="78F03B0D" w14:textId="77777777" w:rsidR="007F5207" w:rsidRPr="007F5207" w:rsidRDefault="007F5207" w:rsidP="00411064">
      <w:pPr>
        <w:spacing w:line="276" w:lineRule="auto"/>
        <w:rPr>
          <w:rFonts w:eastAsia="Times New Roman" w:cs="Times New Roman"/>
          <w:sz w:val="20"/>
        </w:rPr>
      </w:pPr>
    </w:p>
    <w:p w14:paraId="33165916" w14:textId="77777777" w:rsidR="007F5207" w:rsidRPr="007F5207" w:rsidRDefault="007F5207" w:rsidP="00411064">
      <w:pPr>
        <w:spacing w:line="276" w:lineRule="auto"/>
        <w:rPr>
          <w:rFonts w:eastAsia="Times New Roman" w:cs="Times New Roman"/>
          <w:sz w:val="20"/>
        </w:rPr>
      </w:pPr>
      <w:r w:rsidRPr="007F5207">
        <w:rPr>
          <w:rFonts w:eastAsia="Times New Roman" w:cs="Times New Roman"/>
          <w:sz w:val="20"/>
        </w:rPr>
        <w:t>Predstavniki mreže nacionalnih koordinatorjev za boj proti trgovini z ljudmi jugovzhodne Evrope so se v 2025 sestali dvakrat. Marca na Brdu, ko so sprejeli novo strategijo mreže 2025</w:t>
      </w:r>
      <w:r w:rsidRPr="007F5207">
        <w:rPr>
          <w:rFonts w:eastAsia="Times New Roman" w:cs="Times New Roman" w:hint="cs"/>
          <w:sz w:val="20"/>
        </w:rPr>
        <w:t>–</w:t>
      </w:r>
      <w:r w:rsidRPr="007F5207">
        <w:rPr>
          <w:rFonts w:eastAsia="Times New Roman" w:cs="Times New Roman"/>
          <w:sz w:val="20"/>
        </w:rPr>
        <w:t xml:space="preserve">2029 in novembra 2025 v Sarajevu, ko so razpravljali o boju proti delovnemu izkoriščanju in pregledali pravosodne prakse s področja trgovine z ljudmi. Ob evropskem dnevu boja proti trgovini z ljudmi so predstavniki mreže v sodelovanju z </w:t>
      </w:r>
      <w:r w:rsidR="006546B0" w:rsidRPr="007F5207">
        <w:rPr>
          <w:rFonts w:eastAsia="Times New Roman" w:cs="Times New Roman"/>
          <w:sz w:val="20"/>
        </w:rPr>
        <w:t xml:space="preserve">Mednarodnim centrom za razvoj migracijske politike </w:t>
      </w:r>
      <w:r w:rsidR="006546B0">
        <w:rPr>
          <w:rFonts w:eastAsia="Times New Roman" w:cs="Times New Roman"/>
          <w:sz w:val="20"/>
        </w:rPr>
        <w:t>(</w:t>
      </w:r>
      <w:r w:rsidRPr="007F5207">
        <w:rPr>
          <w:rFonts w:eastAsia="Times New Roman" w:cs="Times New Roman"/>
          <w:sz w:val="20"/>
        </w:rPr>
        <w:t>ICMPD</w:t>
      </w:r>
      <w:r w:rsidR="006546B0">
        <w:rPr>
          <w:rFonts w:eastAsia="Times New Roman" w:cs="Times New Roman"/>
          <w:sz w:val="20"/>
        </w:rPr>
        <w:t>)</w:t>
      </w:r>
      <w:r w:rsidRPr="007F5207">
        <w:rPr>
          <w:rFonts w:eastAsia="Times New Roman" w:cs="Times New Roman"/>
          <w:sz w:val="20"/>
        </w:rPr>
        <w:t xml:space="preserve"> pripravili in objavili kratek video spot, ki opozarja na vse pogostejše oblike delovnega izkoriščanja. </w:t>
      </w:r>
    </w:p>
    <w:p w14:paraId="7B64621A" w14:textId="77777777" w:rsidR="007F5207" w:rsidRPr="007F5207" w:rsidRDefault="007F5207" w:rsidP="00411064">
      <w:pPr>
        <w:spacing w:line="276" w:lineRule="auto"/>
        <w:rPr>
          <w:rFonts w:eastAsia="Times New Roman" w:cs="Times New Roman"/>
          <w:sz w:val="20"/>
        </w:rPr>
      </w:pPr>
    </w:p>
    <w:p w14:paraId="551479BA" w14:textId="77777777" w:rsidR="007F5207" w:rsidRPr="007F5207" w:rsidRDefault="007F5207" w:rsidP="00411064">
      <w:pPr>
        <w:spacing w:line="276" w:lineRule="auto"/>
        <w:rPr>
          <w:rFonts w:eastAsia="Times New Roman" w:cs="Times New Roman"/>
          <w:sz w:val="20"/>
        </w:rPr>
      </w:pPr>
      <w:r w:rsidRPr="007F5207">
        <w:rPr>
          <w:rFonts w:eastAsia="Times New Roman" w:cs="Times New Roman"/>
          <w:sz w:val="20"/>
        </w:rPr>
        <w:t xml:space="preserve">Slovenska policija je tudi v 2025 nadaljevala z organizacijo regionalnih video konferenc predstavnikov policij držav Zahodnega Balkana in sosednjih držav </w:t>
      </w:r>
      <w:r w:rsidRPr="007F5207">
        <w:rPr>
          <w:rFonts w:eastAsia="Times New Roman" w:cs="Times New Roman"/>
          <w:bCs/>
          <w:sz w:val="20"/>
        </w:rPr>
        <w:t>za zmanjšanje nezakonitih migracij in preprečevanje tihotapljenja migrantov</w:t>
      </w:r>
      <w:r w:rsidRPr="007F5207">
        <w:rPr>
          <w:rFonts w:eastAsia="Times New Roman" w:cs="Times New Roman"/>
          <w:sz w:val="20"/>
        </w:rPr>
        <w:t xml:space="preserve">. Septembra so udeleženci izmenjali podatke o migracijskih trendih, poteh in delovanju tihotapskih združb. </w:t>
      </w:r>
    </w:p>
    <w:p w14:paraId="0D8EBF32" w14:textId="77777777" w:rsidR="007F5207" w:rsidRPr="007F5207" w:rsidRDefault="007F5207" w:rsidP="00411064">
      <w:pPr>
        <w:spacing w:line="276" w:lineRule="auto"/>
        <w:rPr>
          <w:rFonts w:eastAsia="Times New Roman" w:cs="Times New Roman"/>
          <w:sz w:val="20"/>
        </w:rPr>
      </w:pPr>
    </w:p>
    <w:p w14:paraId="3849A6D9" w14:textId="77777777" w:rsidR="007F5207" w:rsidRPr="007F5207" w:rsidRDefault="007F5207" w:rsidP="00411064">
      <w:pPr>
        <w:spacing w:line="276" w:lineRule="auto"/>
        <w:rPr>
          <w:rFonts w:eastAsia="Times New Roman" w:cs="Times New Roman"/>
          <w:sz w:val="20"/>
        </w:rPr>
      </w:pPr>
      <w:r w:rsidRPr="007F5207">
        <w:rPr>
          <w:rFonts w:eastAsia="Times New Roman" w:cs="Times New Roman"/>
          <w:b/>
          <w:bCs/>
          <w:sz w:val="20"/>
        </w:rPr>
        <w:t xml:space="preserve">Drugo regijsko sodelovanje je </w:t>
      </w:r>
      <w:r w:rsidRPr="007F5207">
        <w:rPr>
          <w:rFonts w:eastAsia="Times New Roman" w:cs="Times New Roman"/>
          <w:sz w:val="20"/>
        </w:rPr>
        <w:t xml:space="preserve">potekalo predvsem v okviru Sekretariata konvencije o policijskem sodelovanju (PCCSEE) ter z ICMPD. Sodelovanje je potekalo tudi z mednarodnimi organizacijami za varstvo pravic migrantov oziroma beguncev (UNHCR, IOM, UNICEF, Svet Evrope) v okviru njihovih aktivnosti na področju Zahodnega Balkana, ki so povezane s problematiko povečanega migracijskega toka. </w:t>
      </w:r>
    </w:p>
    <w:p w14:paraId="7C92A9D2" w14:textId="77777777" w:rsidR="007F5207" w:rsidRPr="007F5207" w:rsidRDefault="007F5207" w:rsidP="00411064">
      <w:pPr>
        <w:spacing w:line="276" w:lineRule="auto"/>
        <w:rPr>
          <w:rFonts w:eastAsia="Times New Roman" w:cs="Times New Roman"/>
          <w:sz w:val="20"/>
        </w:rPr>
      </w:pPr>
    </w:p>
    <w:p w14:paraId="2189D913" w14:textId="77777777" w:rsidR="007F5207" w:rsidRPr="007F5207" w:rsidRDefault="007F5207" w:rsidP="00411064">
      <w:pPr>
        <w:spacing w:line="276" w:lineRule="auto"/>
        <w:rPr>
          <w:rFonts w:eastAsia="Times New Roman" w:cs="Times New Roman"/>
          <w:sz w:val="20"/>
        </w:rPr>
      </w:pPr>
      <w:r w:rsidRPr="007F5207">
        <w:rPr>
          <w:rFonts w:eastAsia="Times New Roman" w:cs="Times New Roman"/>
          <w:sz w:val="20"/>
        </w:rPr>
        <w:t xml:space="preserve">Strokovnjaki MNZ in Policije so bili vključeni v aktivnosti regionalnih projektov Krepitev regionalnega sodelovanja pri upravljanju migracij med Zahodnim Balkanom in sosednjimi državami članicami EU v skladu s pravnim redom EU in mednarodnimi standardi (MIRCO), projektu Mehanizem za vračanje Zahodnega Balkana (WBRM) in projektu Podpora EU za okrepitev boja proti tihotapljenju migrantov in trgovini z ljudmi na Zahodnem Balkanu (EU4FAST). </w:t>
      </w:r>
    </w:p>
    <w:p w14:paraId="40596413" w14:textId="77777777" w:rsidR="007F5207" w:rsidRPr="007F5207" w:rsidRDefault="007F5207" w:rsidP="00411064">
      <w:pPr>
        <w:spacing w:line="276" w:lineRule="auto"/>
        <w:rPr>
          <w:rFonts w:eastAsia="Times New Roman" w:cs="Times New Roman"/>
          <w:sz w:val="20"/>
        </w:rPr>
      </w:pPr>
    </w:p>
    <w:p w14:paraId="40611341" w14:textId="77777777" w:rsidR="007F5207" w:rsidRPr="007F5207" w:rsidRDefault="007F5207" w:rsidP="00411064">
      <w:pPr>
        <w:spacing w:line="276" w:lineRule="auto"/>
        <w:rPr>
          <w:rFonts w:eastAsia="Times New Roman" w:cs="Times New Roman"/>
          <w:b/>
          <w:sz w:val="20"/>
        </w:rPr>
      </w:pPr>
      <w:r w:rsidRPr="007F5207">
        <w:rPr>
          <w:rFonts w:eastAsia="Times New Roman" w:cs="Times New Roman"/>
          <w:b/>
          <w:sz w:val="20"/>
        </w:rPr>
        <w:t>Bilateralno sodelovanje</w:t>
      </w:r>
    </w:p>
    <w:p w14:paraId="672C8319" w14:textId="77777777" w:rsidR="007F5207" w:rsidRPr="007F5207" w:rsidRDefault="007F5207" w:rsidP="00411064">
      <w:pPr>
        <w:spacing w:line="276" w:lineRule="auto"/>
        <w:rPr>
          <w:rFonts w:eastAsia="Times New Roman" w:cs="Times New Roman"/>
          <w:sz w:val="20"/>
        </w:rPr>
      </w:pPr>
      <w:r w:rsidRPr="007F5207">
        <w:rPr>
          <w:rFonts w:eastAsia="Times New Roman" w:cs="Times New Roman"/>
          <w:sz w:val="20"/>
        </w:rPr>
        <w:t xml:space="preserve">Bilateralno sodelovanje je zelo pomembna in učinkovita oblika sodelovanja med državami. V skladu s sprejetimi prioritetami RS MNZ posveča še posebno pozornost bilateralnemu sodelovanju z državami Zahodnega Balkana, tako projektom s področja migracij in azila, kot tudi prenosu znanj in izkušenj na področju dela policije. </w:t>
      </w:r>
    </w:p>
    <w:p w14:paraId="31AE31CC" w14:textId="77777777" w:rsidR="007F5207" w:rsidRPr="007F5207" w:rsidRDefault="007F5207" w:rsidP="00411064">
      <w:pPr>
        <w:spacing w:line="276" w:lineRule="auto"/>
        <w:rPr>
          <w:rFonts w:eastAsia="Times New Roman" w:cs="Times New Roman"/>
          <w:sz w:val="20"/>
        </w:rPr>
      </w:pPr>
    </w:p>
    <w:p w14:paraId="02B91F2D" w14:textId="77777777" w:rsidR="007F5207" w:rsidRPr="007F5207" w:rsidRDefault="007F5207" w:rsidP="00411064">
      <w:pPr>
        <w:spacing w:line="276" w:lineRule="auto"/>
        <w:rPr>
          <w:rFonts w:eastAsia="Times New Roman" w:cs="Times New Roman"/>
          <w:b/>
          <w:sz w:val="20"/>
        </w:rPr>
      </w:pPr>
      <w:r w:rsidRPr="007F5207">
        <w:rPr>
          <w:rFonts w:eastAsia="Times New Roman" w:cs="Times New Roman"/>
          <w:b/>
          <w:sz w:val="20"/>
        </w:rPr>
        <w:t xml:space="preserve">Albanija </w:t>
      </w:r>
    </w:p>
    <w:p w14:paraId="12EDC071" w14:textId="77777777" w:rsidR="007F5207" w:rsidRPr="007F5207" w:rsidRDefault="007F5207" w:rsidP="00411064">
      <w:pPr>
        <w:spacing w:line="276" w:lineRule="auto"/>
        <w:rPr>
          <w:rFonts w:eastAsia="Times New Roman" w:cs="Times New Roman"/>
          <w:b/>
          <w:sz w:val="20"/>
        </w:rPr>
      </w:pPr>
      <w:r w:rsidRPr="007F5207">
        <w:rPr>
          <w:rFonts w:eastAsia="Times New Roman" w:cs="Times New Roman"/>
          <w:sz w:val="20"/>
        </w:rPr>
        <w:t xml:space="preserve">V dolgoročne operativne aktivnosti agencije Frontex v Albaniji sta bila napotena dva slovenska policista. </w:t>
      </w:r>
    </w:p>
    <w:p w14:paraId="45FC6048" w14:textId="77777777" w:rsidR="007F5207" w:rsidRPr="007F5207" w:rsidRDefault="007F5207" w:rsidP="00411064">
      <w:pPr>
        <w:spacing w:line="276" w:lineRule="auto"/>
        <w:rPr>
          <w:rFonts w:eastAsia="Times New Roman" w:cs="Times New Roman"/>
          <w:b/>
          <w:sz w:val="20"/>
        </w:rPr>
      </w:pPr>
    </w:p>
    <w:p w14:paraId="7E068198" w14:textId="77777777" w:rsidR="007F5207" w:rsidRPr="007F5207" w:rsidRDefault="00D2033B" w:rsidP="00411064">
      <w:pPr>
        <w:spacing w:line="276" w:lineRule="auto"/>
        <w:rPr>
          <w:rFonts w:eastAsia="Times New Roman" w:cs="Times New Roman"/>
          <w:b/>
          <w:sz w:val="20"/>
        </w:rPr>
      </w:pPr>
      <w:r>
        <w:rPr>
          <w:b/>
          <w:sz w:val="20"/>
          <w:szCs w:val="20"/>
        </w:rPr>
        <w:t>BiH</w:t>
      </w:r>
    </w:p>
    <w:p w14:paraId="5AA6A372" w14:textId="77777777" w:rsidR="007F5207" w:rsidRPr="007F5207" w:rsidRDefault="007F5207" w:rsidP="00411064">
      <w:pPr>
        <w:spacing w:line="276" w:lineRule="auto"/>
        <w:rPr>
          <w:rFonts w:eastAsia="Times New Roman" w:cs="Times New Roman"/>
          <w:sz w:val="20"/>
        </w:rPr>
      </w:pPr>
      <w:r w:rsidRPr="007F5207">
        <w:rPr>
          <w:rFonts w:eastAsia="Times New Roman" w:cs="Times New Roman"/>
          <w:sz w:val="20"/>
        </w:rPr>
        <w:t xml:space="preserve">Sodelovanje z Ministrstvom za varnost </w:t>
      </w:r>
      <w:r w:rsidR="00885BB9">
        <w:rPr>
          <w:rFonts w:eastAsia="Times New Roman" w:cs="Times New Roman"/>
          <w:sz w:val="20"/>
        </w:rPr>
        <w:t>B</w:t>
      </w:r>
      <w:r w:rsidR="00945E65">
        <w:rPr>
          <w:rFonts w:eastAsia="Times New Roman" w:cs="Times New Roman"/>
          <w:sz w:val="20"/>
        </w:rPr>
        <w:t>i</w:t>
      </w:r>
      <w:r w:rsidR="00885BB9">
        <w:rPr>
          <w:rFonts w:eastAsia="Times New Roman" w:cs="Times New Roman"/>
          <w:sz w:val="20"/>
        </w:rPr>
        <w:t>H</w:t>
      </w:r>
      <w:r w:rsidRPr="007F5207">
        <w:rPr>
          <w:rFonts w:eastAsia="Times New Roman" w:cs="Times New Roman"/>
          <w:sz w:val="20"/>
        </w:rPr>
        <w:t xml:space="preserve"> in drugimi inštitucijami na področju varnosti v </w:t>
      </w:r>
      <w:r w:rsidR="00885BB9">
        <w:rPr>
          <w:rFonts w:eastAsia="Times New Roman" w:cs="Times New Roman"/>
          <w:sz w:val="20"/>
        </w:rPr>
        <w:t>B</w:t>
      </w:r>
      <w:r w:rsidR="00945E65">
        <w:rPr>
          <w:rFonts w:eastAsia="Times New Roman" w:cs="Times New Roman"/>
          <w:sz w:val="20"/>
        </w:rPr>
        <w:t>i</w:t>
      </w:r>
      <w:r w:rsidR="00885BB9">
        <w:rPr>
          <w:rFonts w:eastAsia="Times New Roman" w:cs="Times New Roman"/>
          <w:sz w:val="20"/>
        </w:rPr>
        <w:t>H</w:t>
      </w:r>
      <w:r w:rsidRPr="007F5207">
        <w:rPr>
          <w:rFonts w:eastAsia="Times New Roman" w:cs="Times New Roman"/>
          <w:sz w:val="20"/>
        </w:rPr>
        <w:t xml:space="preserve"> je dobro, k temu prispeva tudi delovanje policijskega atašeja na veleposlaništvu v Sarajevu. Izvedeni so bili trije študijski obiski strokovnjakov </w:t>
      </w:r>
      <w:r w:rsidR="00885BB9">
        <w:rPr>
          <w:rFonts w:eastAsia="Times New Roman" w:cs="Times New Roman"/>
          <w:sz w:val="20"/>
        </w:rPr>
        <w:t>B</w:t>
      </w:r>
      <w:r w:rsidR="00945E65">
        <w:rPr>
          <w:rFonts w:eastAsia="Times New Roman" w:cs="Times New Roman"/>
          <w:sz w:val="20"/>
        </w:rPr>
        <w:t>i</w:t>
      </w:r>
      <w:r w:rsidR="00885BB9">
        <w:rPr>
          <w:rFonts w:eastAsia="Times New Roman" w:cs="Times New Roman"/>
          <w:sz w:val="20"/>
        </w:rPr>
        <w:t>H</w:t>
      </w:r>
      <w:r w:rsidRPr="007F5207">
        <w:rPr>
          <w:rFonts w:eastAsia="Times New Roman" w:cs="Times New Roman"/>
          <w:sz w:val="20"/>
        </w:rPr>
        <w:t xml:space="preserve"> na različnih področjih dela slovenske policije. Sodelovanje je potekalo tudi v okviru delavnic Sarajevskega migracijskega dialoga. V operativne aktivnosti agencije Frontex v </w:t>
      </w:r>
      <w:r w:rsidR="00885BB9">
        <w:rPr>
          <w:rFonts w:eastAsia="Times New Roman" w:cs="Times New Roman"/>
          <w:sz w:val="20"/>
        </w:rPr>
        <w:t>B</w:t>
      </w:r>
      <w:r w:rsidR="00945E65">
        <w:rPr>
          <w:rFonts w:eastAsia="Times New Roman" w:cs="Times New Roman"/>
          <w:sz w:val="20"/>
        </w:rPr>
        <w:t>i</w:t>
      </w:r>
      <w:r w:rsidR="00885BB9">
        <w:rPr>
          <w:rFonts w:eastAsia="Times New Roman" w:cs="Times New Roman"/>
          <w:sz w:val="20"/>
        </w:rPr>
        <w:t>H</w:t>
      </w:r>
      <w:r w:rsidRPr="007F5207">
        <w:rPr>
          <w:rFonts w:eastAsia="Times New Roman" w:cs="Times New Roman"/>
          <w:sz w:val="20"/>
        </w:rPr>
        <w:t xml:space="preserve"> sta bila dolgoročna napotena dva slovenska policista, kratkoročno pa trije slovenski policisti. </w:t>
      </w:r>
    </w:p>
    <w:p w14:paraId="45D936BD" w14:textId="77777777" w:rsidR="007F5207" w:rsidRPr="007F5207" w:rsidRDefault="007F5207" w:rsidP="00411064">
      <w:pPr>
        <w:spacing w:line="276" w:lineRule="auto"/>
        <w:rPr>
          <w:rFonts w:eastAsia="Times New Roman" w:cs="Times New Roman"/>
          <w:sz w:val="20"/>
        </w:rPr>
      </w:pPr>
    </w:p>
    <w:p w14:paraId="3915C0D6" w14:textId="77777777" w:rsidR="007F5207" w:rsidRPr="007F5207" w:rsidRDefault="007F5207" w:rsidP="00411064">
      <w:pPr>
        <w:spacing w:line="276" w:lineRule="auto"/>
        <w:rPr>
          <w:rFonts w:eastAsia="Times New Roman" w:cs="Times New Roman"/>
          <w:b/>
          <w:sz w:val="20"/>
        </w:rPr>
      </w:pPr>
      <w:r w:rsidRPr="007F5207">
        <w:rPr>
          <w:rFonts w:eastAsia="Times New Roman" w:cs="Times New Roman"/>
          <w:b/>
          <w:sz w:val="20"/>
        </w:rPr>
        <w:t xml:space="preserve">Črna gora </w:t>
      </w:r>
    </w:p>
    <w:p w14:paraId="129392DC" w14:textId="77777777" w:rsidR="007F5207" w:rsidRDefault="003D624A" w:rsidP="00411064">
      <w:pPr>
        <w:spacing w:line="276" w:lineRule="auto"/>
        <w:rPr>
          <w:rFonts w:eastAsia="Times New Roman" w:cs="Times New Roman"/>
          <w:bCs/>
          <w:sz w:val="20"/>
        </w:rPr>
      </w:pPr>
      <w:r w:rsidRPr="003D624A">
        <w:rPr>
          <w:rFonts w:eastAsia="Times New Roman" w:cs="Times New Roman"/>
          <w:bCs/>
          <w:sz w:val="20"/>
        </w:rPr>
        <w:t>Sodelovanje s Črno goro poteka dobro. Minister Poklukar se je marca 2025, ob</w:t>
      </w:r>
      <w:r w:rsidR="00A21F8F">
        <w:rPr>
          <w:rFonts w:eastAsia="Times New Roman" w:cs="Times New Roman"/>
          <w:bCs/>
          <w:sz w:val="20"/>
        </w:rPr>
        <w:t xml:space="preserve"> </w:t>
      </w:r>
      <w:r w:rsidRPr="003D624A">
        <w:rPr>
          <w:rFonts w:eastAsia="Times New Roman" w:cs="Times New Roman"/>
          <w:bCs/>
          <w:sz w:val="20"/>
        </w:rPr>
        <w:t xml:space="preserve">robu ministrske konference Brdo </w:t>
      </w:r>
      <w:r w:rsidR="00A21F8F">
        <w:rPr>
          <w:rFonts w:eastAsia="Times New Roman" w:cs="Times New Roman"/>
          <w:bCs/>
          <w:sz w:val="20"/>
        </w:rPr>
        <w:t>PROCESA</w:t>
      </w:r>
      <w:r w:rsidRPr="003D624A">
        <w:rPr>
          <w:rFonts w:eastAsia="Times New Roman" w:cs="Times New Roman"/>
          <w:bCs/>
          <w:sz w:val="20"/>
        </w:rPr>
        <w:t xml:space="preserve">, srečal z ministrom za notranje zadeve Črne gore Šaranovićem. Potekale so aktivnostmi pri projektu tesnega medinstitucionalnega sodelovanja za posodobitev schengenskega akcijskega načrta v Črni gori, ki se bo končal 2026. Črnogorski strokovnjaki so bili na študijskem </w:t>
      </w:r>
      <w:r w:rsidR="00A21F8F" w:rsidRPr="003D624A">
        <w:rPr>
          <w:rFonts w:eastAsia="Times New Roman" w:cs="Times New Roman"/>
          <w:bCs/>
          <w:sz w:val="20"/>
        </w:rPr>
        <w:t>obisku</w:t>
      </w:r>
      <w:r w:rsidRPr="003D624A">
        <w:rPr>
          <w:rFonts w:eastAsia="Times New Roman" w:cs="Times New Roman"/>
          <w:bCs/>
          <w:sz w:val="20"/>
        </w:rPr>
        <w:t xml:space="preserve"> na Direktoratu za migracije, v okviru projekta Pomoč pri poglavju 24 – Finančne preiskave pa je bil izveden študijski obisk v slovenski policiji. Dva pripadnika črnogorske kriminalistične policije sta se maja udeležila praktičnega dela kriminalističnega tečaja v Gotenici. V operativne aktivnosti agencije </w:t>
      </w:r>
      <w:proofErr w:type="spellStart"/>
      <w:r w:rsidRPr="003D624A">
        <w:rPr>
          <w:rFonts w:eastAsia="Times New Roman" w:cs="Times New Roman"/>
          <w:bCs/>
          <w:sz w:val="20"/>
        </w:rPr>
        <w:t>Frontex</w:t>
      </w:r>
      <w:proofErr w:type="spellEnd"/>
      <w:r w:rsidRPr="003D624A">
        <w:rPr>
          <w:rFonts w:eastAsia="Times New Roman" w:cs="Times New Roman"/>
          <w:bCs/>
          <w:sz w:val="20"/>
        </w:rPr>
        <w:t xml:space="preserve"> v Črni gori sta bila dolgoročno napotena dva slovenska policista in trije policisti kratkoročno.</w:t>
      </w:r>
    </w:p>
    <w:p w14:paraId="4275AF7A" w14:textId="77777777" w:rsidR="003D624A" w:rsidRPr="007F5207" w:rsidRDefault="003D624A" w:rsidP="00411064">
      <w:pPr>
        <w:spacing w:line="276" w:lineRule="auto"/>
        <w:rPr>
          <w:rFonts w:eastAsia="Times New Roman" w:cs="Times New Roman"/>
          <w:sz w:val="20"/>
        </w:rPr>
      </w:pPr>
    </w:p>
    <w:p w14:paraId="37D9C5F2" w14:textId="77777777" w:rsidR="007F5207" w:rsidRPr="007F5207" w:rsidRDefault="007F5207" w:rsidP="00411064">
      <w:pPr>
        <w:spacing w:line="276" w:lineRule="auto"/>
        <w:rPr>
          <w:rFonts w:eastAsia="Times New Roman" w:cs="Times New Roman"/>
          <w:b/>
          <w:sz w:val="20"/>
        </w:rPr>
      </w:pPr>
      <w:r w:rsidRPr="007F5207">
        <w:rPr>
          <w:rFonts w:eastAsia="Times New Roman" w:cs="Times New Roman"/>
          <w:b/>
          <w:sz w:val="20"/>
        </w:rPr>
        <w:t>Kosovo</w:t>
      </w:r>
    </w:p>
    <w:p w14:paraId="388B9A99" w14:textId="77777777" w:rsidR="007F5207" w:rsidRPr="007F5207" w:rsidRDefault="007F5207" w:rsidP="00411064">
      <w:pPr>
        <w:spacing w:line="276" w:lineRule="auto"/>
        <w:rPr>
          <w:rFonts w:eastAsia="Times New Roman" w:cs="Times New Roman"/>
          <w:sz w:val="20"/>
        </w:rPr>
      </w:pPr>
      <w:r w:rsidRPr="007F5207">
        <w:rPr>
          <w:rFonts w:eastAsia="Times New Roman" w:cs="Times New Roman"/>
          <w:sz w:val="20"/>
        </w:rPr>
        <w:t>V 2025 so v misiji EULEX Kosovo sodelovali trije slovenski policisti in v misiji UNMIK Kosovo dva slovenska policista. V operativne aktivnosti agencije Frontex na Kosovu sta bila kratkoročno napotena dva slovenska policista.</w:t>
      </w:r>
    </w:p>
    <w:p w14:paraId="5EB6B692" w14:textId="77777777" w:rsidR="007F5207" w:rsidRPr="007F5207" w:rsidRDefault="007F5207" w:rsidP="00411064">
      <w:pPr>
        <w:spacing w:line="276" w:lineRule="auto"/>
        <w:rPr>
          <w:rFonts w:eastAsia="Times New Roman" w:cs="Times New Roman"/>
          <w:sz w:val="20"/>
        </w:rPr>
      </w:pPr>
    </w:p>
    <w:p w14:paraId="2286FAD3" w14:textId="77777777" w:rsidR="007F5207" w:rsidRPr="007F5207" w:rsidRDefault="007F5207" w:rsidP="00411064">
      <w:pPr>
        <w:spacing w:line="276" w:lineRule="auto"/>
        <w:rPr>
          <w:rFonts w:eastAsia="Times New Roman" w:cs="Times New Roman"/>
          <w:b/>
          <w:sz w:val="20"/>
        </w:rPr>
      </w:pPr>
      <w:r w:rsidRPr="007F5207">
        <w:rPr>
          <w:rFonts w:eastAsia="Times New Roman" w:cs="Times New Roman"/>
          <w:b/>
          <w:sz w:val="20"/>
        </w:rPr>
        <w:t xml:space="preserve">Severna Makedonija </w:t>
      </w:r>
    </w:p>
    <w:p w14:paraId="2F5126D4" w14:textId="77777777" w:rsidR="007F5207" w:rsidRPr="007F5207" w:rsidRDefault="007F5207" w:rsidP="00411064">
      <w:pPr>
        <w:spacing w:line="276" w:lineRule="auto"/>
        <w:rPr>
          <w:rFonts w:eastAsia="Times New Roman" w:cs="Times New Roman"/>
          <w:sz w:val="20"/>
        </w:rPr>
      </w:pPr>
      <w:r w:rsidRPr="007F5207">
        <w:rPr>
          <w:rFonts w:eastAsia="Times New Roman" w:cs="Times New Roman"/>
          <w:sz w:val="20"/>
        </w:rPr>
        <w:t xml:space="preserve">Sodelovanje s Severno Makedonijo poteka dobro, k temu prispeva tudi delovanje policijskega atašeja na veleposlaništvu v Skopju. Minister Poklukar se je avgusta 2025 na Ohridu srečal z ministrom za notranje zadeve Severne Makedonije </w:t>
      </w:r>
      <w:proofErr w:type="spellStart"/>
      <w:r w:rsidRPr="007F5207">
        <w:rPr>
          <w:rFonts w:eastAsia="Times New Roman" w:cs="Times New Roman"/>
          <w:sz w:val="20"/>
        </w:rPr>
        <w:t>Toškovskim</w:t>
      </w:r>
      <w:proofErr w:type="spellEnd"/>
      <w:r w:rsidRPr="007F5207">
        <w:rPr>
          <w:rFonts w:eastAsia="Times New Roman" w:cs="Times New Roman"/>
          <w:sz w:val="20"/>
        </w:rPr>
        <w:t xml:space="preserve">. Potekale so aktivnosti pri IPA projektu Krepitev vladavine prava v Severni Makedoniji. Izvedena sta bila dva študijska obiska makedonskih strokovnjakov na področju dela slovenske policije in na področju dela Direktorata za upravne notranje zadeve za vodenje matičnih registrov. V okviru projekta Krepitev sistema za upravljanje migracij in azila v Severni Makedoniji (MANOMA) je bil izveden študijski obisk v </w:t>
      </w:r>
      <w:r w:rsidR="00945E65">
        <w:rPr>
          <w:rFonts w:eastAsia="Times New Roman" w:cs="Times New Roman"/>
          <w:sz w:val="20"/>
        </w:rPr>
        <w:t>RS</w:t>
      </w:r>
      <w:r w:rsidRPr="007F5207">
        <w:rPr>
          <w:rFonts w:eastAsia="Times New Roman" w:cs="Times New Roman"/>
          <w:sz w:val="20"/>
        </w:rPr>
        <w:t>. V operativne aktivnosti agencije Frontex v Severni Makedoniji sta bila dolgoročno napotena dva slovenska policista, kratkoročno pa osem slovenskih policistov.</w:t>
      </w:r>
    </w:p>
    <w:p w14:paraId="574B5301" w14:textId="77777777" w:rsidR="007F5207" w:rsidRPr="007F5207" w:rsidRDefault="007F5207" w:rsidP="00411064">
      <w:pPr>
        <w:spacing w:line="276" w:lineRule="auto"/>
        <w:rPr>
          <w:rFonts w:eastAsia="Times New Roman" w:cs="Times New Roman"/>
          <w:sz w:val="20"/>
        </w:rPr>
      </w:pPr>
    </w:p>
    <w:p w14:paraId="7FBC2BD8" w14:textId="77777777" w:rsidR="007F5207" w:rsidRPr="007F5207" w:rsidRDefault="007F5207" w:rsidP="00411064">
      <w:pPr>
        <w:spacing w:line="276" w:lineRule="auto"/>
        <w:rPr>
          <w:rFonts w:eastAsia="Times New Roman" w:cs="Times New Roman"/>
          <w:b/>
          <w:sz w:val="20"/>
        </w:rPr>
      </w:pPr>
      <w:r w:rsidRPr="007F5207">
        <w:rPr>
          <w:rFonts w:eastAsia="Times New Roman" w:cs="Times New Roman"/>
          <w:b/>
          <w:sz w:val="20"/>
        </w:rPr>
        <w:t xml:space="preserve">Srbija </w:t>
      </w:r>
    </w:p>
    <w:p w14:paraId="70EAFF8B" w14:textId="77777777" w:rsidR="007F5207" w:rsidRPr="007F5207" w:rsidRDefault="007F5207" w:rsidP="00411064">
      <w:pPr>
        <w:spacing w:line="276" w:lineRule="auto"/>
        <w:rPr>
          <w:rFonts w:eastAsia="Times New Roman" w:cs="Times New Roman"/>
          <w:sz w:val="20"/>
        </w:rPr>
      </w:pPr>
      <w:r w:rsidRPr="007F5207">
        <w:rPr>
          <w:rFonts w:eastAsia="Times New Roman" w:cs="Times New Roman"/>
          <w:sz w:val="20"/>
        </w:rPr>
        <w:t>Sodelovanje s Srbijo poteka dobro,</w:t>
      </w:r>
      <w:r w:rsidRPr="007F5207">
        <w:rPr>
          <w:rFonts w:eastAsia="Times New Roman" w:cs="Times New Roman"/>
          <w:b/>
          <w:sz w:val="20"/>
        </w:rPr>
        <w:t xml:space="preserve"> </w:t>
      </w:r>
      <w:r w:rsidRPr="007F5207">
        <w:rPr>
          <w:rFonts w:eastAsia="Times New Roman" w:cs="Times New Roman"/>
          <w:sz w:val="20"/>
        </w:rPr>
        <w:t>k temu prispeva tudi delovanje policijskega atašeja na veleposlaništvu v Beogradu. Strokovnjaki srbskega ministrstva za notranje zadeve in policije so bili na študijskem obisku s področja dela na temu upravljanja meja in na študijskem obisku na področju dela kriminalistične policije. Dva predstavnika sr</w:t>
      </w:r>
      <w:r w:rsidR="00945E65">
        <w:rPr>
          <w:rFonts w:eastAsia="Times New Roman" w:cs="Times New Roman"/>
          <w:sz w:val="20"/>
        </w:rPr>
        <w:t>b</w:t>
      </w:r>
      <w:r w:rsidRPr="007F5207">
        <w:rPr>
          <w:rFonts w:eastAsia="Times New Roman" w:cs="Times New Roman"/>
          <w:sz w:val="20"/>
        </w:rPr>
        <w:t>ske policije sta se udeležila praktičnega dela kriminalističnega tečaja v Gotenici. V operativne aktivnosti agencije Frontex v Srbiji je bilo dolgoročno napoteno pet slovenskih policistov, kratkoročno pa devet slovenskih policistov.</w:t>
      </w:r>
    </w:p>
    <w:p w14:paraId="025A5DED" w14:textId="77777777" w:rsidR="002255BE" w:rsidRDefault="002255BE" w:rsidP="00411064">
      <w:pPr>
        <w:spacing w:line="276" w:lineRule="auto"/>
        <w:rPr>
          <w:sz w:val="20"/>
          <w:szCs w:val="20"/>
          <w:highlight w:val="yellow"/>
        </w:rPr>
      </w:pPr>
    </w:p>
    <w:p w14:paraId="5FD20C43" w14:textId="77777777" w:rsidR="00566EA7" w:rsidRPr="00140B34" w:rsidRDefault="00566EA7" w:rsidP="00411064">
      <w:pPr>
        <w:spacing w:line="276" w:lineRule="auto"/>
        <w:rPr>
          <w:sz w:val="20"/>
          <w:szCs w:val="20"/>
          <w:highlight w:val="yellow"/>
        </w:rPr>
      </w:pPr>
    </w:p>
    <w:p w14:paraId="182D44E8" w14:textId="77777777" w:rsidR="00380C9C" w:rsidRPr="0084721D" w:rsidRDefault="00AE2B8C" w:rsidP="00411064">
      <w:pPr>
        <w:pStyle w:val="Heading3"/>
        <w:pBdr>
          <w:bottom w:val="single" w:sz="4" w:space="0" w:color="auto"/>
        </w:pBdr>
      </w:pPr>
      <w:bookmarkStart w:id="33" w:name="_Toc227227975"/>
      <w:r w:rsidRPr="0084721D">
        <w:t>6</w:t>
      </w:r>
      <w:r w:rsidR="00380C9C" w:rsidRPr="0084721D">
        <w:t>.4. Krepitev sodelovanja na področju pravosodja</w:t>
      </w:r>
      <w:bookmarkEnd w:id="33"/>
    </w:p>
    <w:p w14:paraId="1BB9253E" w14:textId="77777777" w:rsidR="00380C9C" w:rsidRPr="00140B34" w:rsidRDefault="00380C9C" w:rsidP="00411064">
      <w:pPr>
        <w:spacing w:line="276" w:lineRule="auto"/>
        <w:rPr>
          <w:sz w:val="20"/>
          <w:szCs w:val="20"/>
          <w:highlight w:val="yellow"/>
        </w:rPr>
      </w:pPr>
    </w:p>
    <w:p w14:paraId="28D66E67" w14:textId="77777777" w:rsidR="00566EA7" w:rsidRPr="00566EA7" w:rsidRDefault="00566EA7" w:rsidP="00566EA7">
      <w:pPr>
        <w:spacing w:line="276" w:lineRule="auto"/>
        <w:rPr>
          <w:b/>
          <w:bCs/>
          <w:sz w:val="20"/>
          <w:szCs w:val="20"/>
        </w:rPr>
      </w:pPr>
      <w:r w:rsidRPr="00566EA7">
        <w:rPr>
          <w:b/>
          <w:bCs/>
          <w:sz w:val="20"/>
          <w:szCs w:val="20"/>
        </w:rPr>
        <w:t>Regionalno sodelovanje</w:t>
      </w:r>
    </w:p>
    <w:p w14:paraId="455625B5" w14:textId="77777777" w:rsidR="00566EA7" w:rsidRPr="00566EA7" w:rsidRDefault="00566EA7" w:rsidP="00566EA7">
      <w:pPr>
        <w:spacing w:line="276" w:lineRule="auto"/>
        <w:rPr>
          <w:sz w:val="20"/>
          <w:szCs w:val="20"/>
        </w:rPr>
      </w:pPr>
      <w:r w:rsidRPr="00566EA7">
        <w:rPr>
          <w:sz w:val="20"/>
          <w:szCs w:val="20"/>
        </w:rPr>
        <w:t>Ministrstvo za pravosodje</w:t>
      </w:r>
      <w:r w:rsidR="005713C2">
        <w:rPr>
          <w:sz w:val="20"/>
          <w:szCs w:val="20"/>
        </w:rPr>
        <w:t xml:space="preserve"> (MP)</w:t>
      </w:r>
      <w:r w:rsidRPr="00566EA7">
        <w:rPr>
          <w:sz w:val="20"/>
          <w:szCs w:val="20"/>
        </w:rPr>
        <w:t xml:space="preserve"> ima na strokovni ravni izpostavljene stalne stike z državami Zahodnega Balkana in se po potrebi dogovarja za medsebojno izmenjavo informacij oz. organizacijo bilateralnih srečanj ali študijskih obiskov. Na splošno je sodelovaje med organi dobro, prav tako sodelovanje pravosodnih organov na področju izvajanja mednarodne pravne pomoči poteka dobro in brez posebnosti. </w:t>
      </w:r>
    </w:p>
    <w:p w14:paraId="14F164C0" w14:textId="77777777" w:rsidR="00566EA7" w:rsidRPr="00566EA7" w:rsidRDefault="00566EA7" w:rsidP="00566EA7">
      <w:pPr>
        <w:spacing w:line="276" w:lineRule="auto"/>
        <w:rPr>
          <w:sz w:val="20"/>
          <w:szCs w:val="20"/>
        </w:rPr>
      </w:pPr>
    </w:p>
    <w:p w14:paraId="0BB2E4FB" w14:textId="77777777" w:rsidR="00566EA7" w:rsidRDefault="00566EA7" w:rsidP="00566EA7">
      <w:pPr>
        <w:spacing w:line="276" w:lineRule="auto"/>
        <w:rPr>
          <w:sz w:val="20"/>
          <w:szCs w:val="20"/>
        </w:rPr>
      </w:pPr>
      <w:r w:rsidRPr="00566EA7">
        <w:rPr>
          <w:sz w:val="20"/>
          <w:szCs w:val="20"/>
        </w:rPr>
        <w:t xml:space="preserve">Marca 2025 je v Ljubljani potekala mednarodna konferenca na visoki ravni »Na poti k EU: Krepitev integritete in neodvisnosti kazenskega pravosodja na Zahodnem Balkanu«, ki je organiziralo </w:t>
      </w:r>
      <w:r w:rsidR="005713C2">
        <w:rPr>
          <w:sz w:val="20"/>
          <w:szCs w:val="20"/>
        </w:rPr>
        <w:t>MP</w:t>
      </w:r>
      <w:r w:rsidRPr="00566EA7">
        <w:rPr>
          <w:sz w:val="20"/>
          <w:szCs w:val="20"/>
        </w:rPr>
        <w:t xml:space="preserve"> v sodelovanju z Global </w:t>
      </w:r>
      <w:proofErr w:type="spellStart"/>
      <w:r w:rsidRPr="00566EA7">
        <w:rPr>
          <w:sz w:val="20"/>
          <w:szCs w:val="20"/>
        </w:rPr>
        <w:t>Initiative</w:t>
      </w:r>
      <w:proofErr w:type="spellEnd"/>
      <w:r w:rsidRPr="00566EA7">
        <w:rPr>
          <w:sz w:val="20"/>
          <w:szCs w:val="20"/>
        </w:rPr>
        <w:t xml:space="preserve"> </w:t>
      </w:r>
      <w:proofErr w:type="spellStart"/>
      <w:r w:rsidRPr="00566EA7">
        <w:rPr>
          <w:sz w:val="20"/>
          <w:szCs w:val="20"/>
        </w:rPr>
        <w:t>against</w:t>
      </w:r>
      <w:proofErr w:type="spellEnd"/>
      <w:r w:rsidRPr="00566EA7">
        <w:rPr>
          <w:sz w:val="20"/>
          <w:szCs w:val="20"/>
        </w:rPr>
        <w:t xml:space="preserve"> </w:t>
      </w:r>
      <w:proofErr w:type="spellStart"/>
      <w:r w:rsidRPr="00566EA7">
        <w:rPr>
          <w:sz w:val="20"/>
          <w:szCs w:val="20"/>
        </w:rPr>
        <w:t>Transnational</w:t>
      </w:r>
      <w:proofErr w:type="spellEnd"/>
      <w:r w:rsidRPr="00566EA7">
        <w:rPr>
          <w:sz w:val="20"/>
          <w:szCs w:val="20"/>
        </w:rPr>
        <w:t xml:space="preserve"> </w:t>
      </w:r>
      <w:proofErr w:type="spellStart"/>
      <w:r w:rsidRPr="00566EA7">
        <w:rPr>
          <w:sz w:val="20"/>
          <w:szCs w:val="20"/>
        </w:rPr>
        <w:t>Organized</w:t>
      </w:r>
      <w:proofErr w:type="spellEnd"/>
      <w:r w:rsidRPr="00566EA7">
        <w:rPr>
          <w:sz w:val="20"/>
          <w:szCs w:val="20"/>
        </w:rPr>
        <w:t xml:space="preserve"> </w:t>
      </w:r>
      <w:proofErr w:type="spellStart"/>
      <w:r w:rsidRPr="00566EA7">
        <w:rPr>
          <w:sz w:val="20"/>
          <w:szCs w:val="20"/>
        </w:rPr>
        <w:t>Crime</w:t>
      </w:r>
      <w:proofErr w:type="spellEnd"/>
      <w:r w:rsidRPr="00566EA7">
        <w:rPr>
          <w:sz w:val="20"/>
          <w:szCs w:val="20"/>
        </w:rPr>
        <w:t>. Konferenca je naslovila velik pomen specializiranih protikorupcijskih organov in organov za boj proti organiziranemu kriminalu. Predstavljene so bile izkušnje tovrstnih organov na Hrvaškem in v Albaniji, svoje naloge in način dela pa je predstavila tudi slovenska Komisija za preprečevanje korupcije. Vodja Oddelka za korupcijo iz Generalne policijske uprave je predstavil izzive slovenske policije v boju zoper korupcijo, vodja specializiranega kazenskega oddelka na Okrožnem sodišču v Ljubljani pa primer dobre prakse pri uvajanju umetne inteligence v delo sodstva. Prav tako so obravnavali problematiko izkoriščanja pristanišč za nezakonito trgovino s prepovedanim blagom, kot tudi vlogo civilne družbe pri preprečevanju korupcije in ozaveščanju o njenih škodljivih posledicah.</w:t>
      </w:r>
    </w:p>
    <w:p w14:paraId="690732BE" w14:textId="77777777" w:rsidR="00566EA7" w:rsidRPr="00566EA7" w:rsidRDefault="00566EA7" w:rsidP="00566EA7">
      <w:pPr>
        <w:spacing w:line="276" w:lineRule="auto"/>
        <w:rPr>
          <w:b/>
          <w:bCs/>
          <w:sz w:val="20"/>
          <w:szCs w:val="20"/>
        </w:rPr>
      </w:pPr>
    </w:p>
    <w:p w14:paraId="5432A0C1" w14:textId="77777777" w:rsidR="00566EA7" w:rsidRPr="00566EA7" w:rsidRDefault="00566EA7" w:rsidP="00566EA7">
      <w:pPr>
        <w:spacing w:line="276" w:lineRule="auto"/>
        <w:rPr>
          <w:b/>
          <w:bCs/>
          <w:sz w:val="20"/>
          <w:szCs w:val="20"/>
        </w:rPr>
      </w:pPr>
      <w:r w:rsidRPr="00566EA7">
        <w:rPr>
          <w:b/>
          <w:bCs/>
          <w:sz w:val="20"/>
          <w:szCs w:val="20"/>
        </w:rPr>
        <w:t xml:space="preserve">Srbija in </w:t>
      </w:r>
      <w:r>
        <w:rPr>
          <w:b/>
          <w:bCs/>
          <w:sz w:val="20"/>
          <w:szCs w:val="20"/>
        </w:rPr>
        <w:t>Č</w:t>
      </w:r>
      <w:r w:rsidRPr="00566EA7">
        <w:rPr>
          <w:b/>
          <w:bCs/>
          <w:sz w:val="20"/>
          <w:szCs w:val="20"/>
        </w:rPr>
        <w:t xml:space="preserve">rna </w:t>
      </w:r>
      <w:r w:rsidR="00FA7610">
        <w:rPr>
          <w:b/>
          <w:bCs/>
          <w:sz w:val="20"/>
          <w:szCs w:val="20"/>
        </w:rPr>
        <w:t>g</w:t>
      </w:r>
      <w:r w:rsidRPr="00566EA7">
        <w:rPr>
          <w:b/>
          <w:bCs/>
          <w:sz w:val="20"/>
          <w:szCs w:val="20"/>
        </w:rPr>
        <w:t>ora</w:t>
      </w:r>
    </w:p>
    <w:p w14:paraId="354DDE03" w14:textId="77777777" w:rsidR="00566EA7" w:rsidRPr="00566EA7" w:rsidRDefault="00566EA7" w:rsidP="00566EA7">
      <w:pPr>
        <w:spacing w:line="276" w:lineRule="auto"/>
        <w:rPr>
          <w:sz w:val="20"/>
          <w:szCs w:val="20"/>
        </w:rPr>
      </w:pPr>
      <w:r w:rsidRPr="00566EA7">
        <w:rPr>
          <w:sz w:val="20"/>
          <w:szCs w:val="20"/>
        </w:rPr>
        <w:t xml:space="preserve">Na povabilo Vrhovnega sodišča Srbije sta se generalna sekretarka Vrhovnega sodišča </w:t>
      </w:r>
      <w:r w:rsidR="005713C2">
        <w:rPr>
          <w:sz w:val="20"/>
          <w:szCs w:val="20"/>
        </w:rPr>
        <w:t>RS</w:t>
      </w:r>
      <w:r w:rsidRPr="00566EA7">
        <w:rPr>
          <w:sz w:val="20"/>
          <w:szCs w:val="20"/>
        </w:rPr>
        <w:t xml:space="preserve"> ter tedanji organizacijski vodja Oddelka za spremljanje sodne prakse na Vrhovnem sodišču </w:t>
      </w:r>
      <w:r w:rsidR="005713C2">
        <w:rPr>
          <w:sz w:val="20"/>
          <w:szCs w:val="20"/>
        </w:rPr>
        <w:t>RS</w:t>
      </w:r>
      <w:r w:rsidRPr="00566EA7">
        <w:rPr>
          <w:sz w:val="20"/>
          <w:szCs w:val="20"/>
        </w:rPr>
        <w:t xml:space="preserve"> v maju 2025 udeležila sodniških </w:t>
      </w:r>
      <w:proofErr w:type="spellStart"/>
      <w:r w:rsidRPr="00566EA7">
        <w:rPr>
          <w:sz w:val="20"/>
          <w:szCs w:val="20"/>
        </w:rPr>
        <w:t>dnevov</w:t>
      </w:r>
      <w:proofErr w:type="spellEnd"/>
      <w:r w:rsidRPr="00566EA7">
        <w:rPr>
          <w:sz w:val="20"/>
          <w:szCs w:val="20"/>
        </w:rPr>
        <w:t xml:space="preserve"> v </w:t>
      </w:r>
      <w:proofErr w:type="spellStart"/>
      <w:r w:rsidRPr="00566EA7">
        <w:rPr>
          <w:sz w:val="20"/>
          <w:szCs w:val="20"/>
        </w:rPr>
        <w:t>Vrnjački</w:t>
      </w:r>
      <w:proofErr w:type="spellEnd"/>
      <w:r w:rsidRPr="00566EA7">
        <w:rPr>
          <w:sz w:val="20"/>
          <w:szCs w:val="20"/>
        </w:rPr>
        <w:t xml:space="preserve"> Banji, Srbija. Prav tako sta se na povabilo Vrhovnega sodišča Črne gore oktobra 2025 udeležila </w:t>
      </w:r>
      <w:proofErr w:type="spellStart"/>
      <w:r w:rsidRPr="00566EA7">
        <w:rPr>
          <w:sz w:val="20"/>
          <w:szCs w:val="20"/>
        </w:rPr>
        <w:t>dnevov</w:t>
      </w:r>
      <w:proofErr w:type="spellEnd"/>
      <w:r w:rsidRPr="00566EA7">
        <w:rPr>
          <w:sz w:val="20"/>
          <w:szCs w:val="20"/>
        </w:rPr>
        <w:t xml:space="preserve"> črnogorskega sodstva v Budvi.</w:t>
      </w:r>
    </w:p>
    <w:p w14:paraId="074AE106" w14:textId="77777777" w:rsidR="00566EA7" w:rsidRPr="00566EA7" w:rsidRDefault="00566EA7" w:rsidP="00566EA7">
      <w:pPr>
        <w:spacing w:line="276" w:lineRule="auto"/>
        <w:rPr>
          <w:sz w:val="20"/>
          <w:szCs w:val="20"/>
        </w:rPr>
      </w:pPr>
    </w:p>
    <w:p w14:paraId="5EA7650A" w14:textId="77777777" w:rsidR="00566EA7" w:rsidRPr="00566EA7" w:rsidRDefault="00566EA7" w:rsidP="00566EA7">
      <w:pPr>
        <w:spacing w:line="276" w:lineRule="auto"/>
        <w:rPr>
          <w:sz w:val="20"/>
          <w:szCs w:val="20"/>
        </w:rPr>
      </w:pPr>
      <w:r w:rsidRPr="00566EA7">
        <w:rPr>
          <w:sz w:val="20"/>
          <w:szCs w:val="20"/>
        </w:rPr>
        <w:t xml:space="preserve">Vrhovni sodnik Peter Golob je 7. novembra 2025 sodeloval na konferenci »Vpliv zakonodajnih reform v upravnem sporu« v Beogradu. </w:t>
      </w:r>
    </w:p>
    <w:p w14:paraId="56DC23DF" w14:textId="77777777" w:rsidR="00566EA7" w:rsidRPr="00566EA7" w:rsidRDefault="00566EA7" w:rsidP="00566EA7">
      <w:pPr>
        <w:spacing w:line="276" w:lineRule="auto"/>
        <w:rPr>
          <w:sz w:val="20"/>
          <w:szCs w:val="20"/>
        </w:rPr>
      </w:pPr>
    </w:p>
    <w:p w14:paraId="565909C9" w14:textId="77777777" w:rsidR="00566EA7" w:rsidRPr="00566EA7" w:rsidRDefault="00566EA7" w:rsidP="00566EA7">
      <w:pPr>
        <w:spacing w:line="276" w:lineRule="auto"/>
        <w:rPr>
          <w:sz w:val="20"/>
          <w:szCs w:val="20"/>
        </w:rPr>
      </w:pPr>
      <w:r w:rsidRPr="00566EA7">
        <w:rPr>
          <w:sz w:val="20"/>
          <w:szCs w:val="20"/>
        </w:rPr>
        <w:t xml:space="preserve">Februarja 2025 je vrhovna sodnica mag. </w:t>
      </w:r>
      <w:proofErr w:type="spellStart"/>
      <w:r w:rsidRPr="00566EA7">
        <w:rPr>
          <w:sz w:val="20"/>
          <w:szCs w:val="20"/>
        </w:rPr>
        <w:t>Jonike</w:t>
      </w:r>
      <w:proofErr w:type="spellEnd"/>
      <w:r w:rsidRPr="00566EA7">
        <w:rPr>
          <w:sz w:val="20"/>
          <w:szCs w:val="20"/>
        </w:rPr>
        <w:t xml:space="preserve"> </w:t>
      </w:r>
      <w:proofErr w:type="spellStart"/>
      <w:r w:rsidRPr="00566EA7">
        <w:rPr>
          <w:sz w:val="20"/>
          <w:szCs w:val="20"/>
        </w:rPr>
        <w:t>Marflak</w:t>
      </w:r>
      <w:proofErr w:type="spellEnd"/>
      <w:r w:rsidRPr="00566EA7">
        <w:rPr>
          <w:sz w:val="20"/>
          <w:szCs w:val="20"/>
        </w:rPr>
        <w:t xml:space="preserve"> Trontelj v Beogradu, Srbija sodelovala na seminarju za srbske upravne sodnike na temo »Upravno pravo EU«. prav tako je v januarju 2025 sodelovala pri pripravi in izvedbi seminarja za črnogorske sodnike na temo »Pravo intelektualne lastnine EU«. Oba seminarja sta bila izvedena v okviru projekta Evropske mreže za izobraževanje v pravosodju (EJTN) Zahodni Balkan in v sodelovanje s Srbsko pravosodno akademijo oziroma s Črnogorskim centrom za izobraževanje v sodstvu in državnem tožilstvu. </w:t>
      </w:r>
    </w:p>
    <w:p w14:paraId="30D953D0" w14:textId="77777777" w:rsidR="00566EA7" w:rsidRPr="00566EA7" w:rsidRDefault="00566EA7" w:rsidP="00566EA7">
      <w:pPr>
        <w:spacing w:line="276" w:lineRule="auto"/>
        <w:rPr>
          <w:sz w:val="20"/>
          <w:szCs w:val="20"/>
        </w:rPr>
      </w:pPr>
    </w:p>
    <w:p w14:paraId="1C712CB4" w14:textId="77777777" w:rsidR="00566EA7" w:rsidRPr="00566EA7" w:rsidRDefault="00566EA7" w:rsidP="00566EA7">
      <w:pPr>
        <w:spacing w:line="276" w:lineRule="auto"/>
        <w:rPr>
          <w:sz w:val="20"/>
          <w:szCs w:val="20"/>
        </w:rPr>
      </w:pPr>
      <w:r w:rsidRPr="00566EA7">
        <w:rPr>
          <w:sz w:val="20"/>
          <w:szCs w:val="20"/>
        </w:rPr>
        <w:t xml:space="preserve">Poleg tega Vrhovno sodišče </w:t>
      </w:r>
      <w:r w:rsidR="005713C2">
        <w:rPr>
          <w:sz w:val="20"/>
          <w:szCs w:val="20"/>
        </w:rPr>
        <w:t>RS</w:t>
      </w:r>
      <w:r w:rsidRPr="00566EA7">
        <w:rPr>
          <w:sz w:val="20"/>
          <w:szCs w:val="20"/>
        </w:rPr>
        <w:t xml:space="preserve"> sodeluje v I.SCN – S</w:t>
      </w:r>
      <w:r w:rsidR="00FA7610" w:rsidRPr="00566EA7">
        <w:rPr>
          <w:sz w:val="20"/>
          <w:szCs w:val="20"/>
        </w:rPr>
        <w:t>uperior</w:t>
      </w:r>
      <w:r w:rsidRPr="00566EA7">
        <w:rPr>
          <w:sz w:val="20"/>
          <w:szCs w:val="20"/>
        </w:rPr>
        <w:t xml:space="preserve"> </w:t>
      </w:r>
      <w:proofErr w:type="spellStart"/>
      <w:r w:rsidRPr="00566EA7">
        <w:rPr>
          <w:sz w:val="20"/>
          <w:szCs w:val="20"/>
        </w:rPr>
        <w:t>C</w:t>
      </w:r>
      <w:r w:rsidR="00FA7610" w:rsidRPr="00566EA7">
        <w:rPr>
          <w:sz w:val="20"/>
          <w:szCs w:val="20"/>
        </w:rPr>
        <w:t>ourts</w:t>
      </w:r>
      <w:proofErr w:type="spellEnd"/>
      <w:r w:rsidRPr="00566EA7">
        <w:rPr>
          <w:sz w:val="20"/>
          <w:szCs w:val="20"/>
        </w:rPr>
        <w:t xml:space="preserve"> </w:t>
      </w:r>
      <w:proofErr w:type="spellStart"/>
      <w:r w:rsidRPr="00566EA7">
        <w:rPr>
          <w:sz w:val="20"/>
          <w:szCs w:val="20"/>
        </w:rPr>
        <w:t>N</w:t>
      </w:r>
      <w:r w:rsidR="00FA7610" w:rsidRPr="00566EA7">
        <w:rPr>
          <w:sz w:val="20"/>
          <w:szCs w:val="20"/>
        </w:rPr>
        <w:t>etwork</w:t>
      </w:r>
      <w:proofErr w:type="spellEnd"/>
      <w:r w:rsidRPr="00566EA7">
        <w:rPr>
          <w:sz w:val="20"/>
          <w:szCs w:val="20"/>
        </w:rPr>
        <w:t xml:space="preserve"> (v okviru Evropskega sodišča za človekove pravice). Člani te povezave so Vrhovna sodišča držav Zahodnega Balkana razen Kosova. Vrhovno sodišče </w:t>
      </w:r>
      <w:r w:rsidR="005713C2">
        <w:rPr>
          <w:sz w:val="20"/>
          <w:szCs w:val="20"/>
        </w:rPr>
        <w:t>RS</w:t>
      </w:r>
      <w:r w:rsidRPr="00566EA7">
        <w:rPr>
          <w:sz w:val="20"/>
          <w:szCs w:val="20"/>
        </w:rPr>
        <w:t xml:space="preserve"> prav tako sodeluje v II. </w:t>
      </w:r>
      <w:proofErr w:type="spellStart"/>
      <w:r w:rsidR="005713C2" w:rsidRPr="005713C2">
        <w:rPr>
          <w:sz w:val="20"/>
          <w:szCs w:val="20"/>
        </w:rPr>
        <w:t>Network</w:t>
      </w:r>
      <w:proofErr w:type="spellEnd"/>
      <w:r w:rsidR="005713C2" w:rsidRPr="005713C2">
        <w:rPr>
          <w:sz w:val="20"/>
          <w:szCs w:val="20"/>
        </w:rPr>
        <w:t xml:space="preserve"> </w:t>
      </w:r>
      <w:proofErr w:type="spellStart"/>
      <w:r w:rsidR="005713C2" w:rsidRPr="005713C2">
        <w:rPr>
          <w:sz w:val="20"/>
          <w:szCs w:val="20"/>
        </w:rPr>
        <w:t>of</w:t>
      </w:r>
      <w:proofErr w:type="spellEnd"/>
      <w:r w:rsidR="005713C2" w:rsidRPr="005713C2">
        <w:rPr>
          <w:sz w:val="20"/>
          <w:szCs w:val="20"/>
        </w:rPr>
        <w:t xml:space="preserve"> </w:t>
      </w:r>
      <w:proofErr w:type="spellStart"/>
      <w:r w:rsidR="005713C2" w:rsidRPr="005713C2">
        <w:rPr>
          <w:sz w:val="20"/>
          <w:szCs w:val="20"/>
        </w:rPr>
        <w:t>the</w:t>
      </w:r>
      <w:proofErr w:type="spellEnd"/>
      <w:r w:rsidR="005713C2" w:rsidRPr="005713C2">
        <w:rPr>
          <w:sz w:val="20"/>
          <w:szCs w:val="20"/>
        </w:rPr>
        <w:t xml:space="preserve"> </w:t>
      </w:r>
      <w:proofErr w:type="spellStart"/>
      <w:r w:rsidR="005713C2" w:rsidRPr="005713C2">
        <w:rPr>
          <w:sz w:val="20"/>
          <w:szCs w:val="20"/>
        </w:rPr>
        <w:t>Presidents</w:t>
      </w:r>
      <w:proofErr w:type="spellEnd"/>
      <w:r w:rsidR="005713C2" w:rsidRPr="005713C2">
        <w:rPr>
          <w:sz w:val="20"/>
          <w:szCs w:val="20"/>
        </w:rPr>
        <w:t xml:space="preserve"> </w:t>
      </w:r>
      <w:proofErr w:type="spellStart"/>
      <w:r w:rsidR="005713C2" w:rsidRPr="005713C2">
        <w:rPr>
          <w:sz w:val="20"/>
          <w:szCs w:val="20"/>
        </w:rPr>
        <w:t>of</w:t>
      </w:r>
      <w:proofErr w:type="spellEnd"/>
      <w:r w:rsidR="005713C2" w:rsidRPr="005713C2">
        <w:rPr>
          <w:sz w:val="20"/>
          <w:szCs w:val="20"/>
        </w:rPr>
        <w:t xml:space="preserve"> </w:t>
      </w:r>
      <w:proofErr w:type="spellStart"/>
      <w:r w:rsidR="005713C2" w:rsidRPr="005713C2">
        <w:rPr>
          <w:sz w:val="20"/>
          <w:szCs w:val="20"/>
        </w:rPr>
        <w:t>the</w:t>
      </w:r>
      <w:proofErr w:type="spellEnd"/>
      <w:r w:rsidR="005713C2" w:rsidRPr="005713C2">
        <w:rPr>
          <w:sz w:val="20"/>
          <w:szCs w:val="20"/>
        </w:rPr>
        <w:t xml:space="preserve"> </w:t>
      </w:r>
      <w:proofErr w:type="spellStart"/>
      <w:r w:rsidR="005713C2" w:rsidRPr="005713C2">
        <w:rPr>
          <w:sz w:val="20"/>
          <w:szCs w:val="20"/>
        </w:rPr>
        <w:t>Supreme</w:t>
      </w:r>
      <w:proofErr w:type="spellEnd"/>
      <w:r w:rsidR="005713C2" w:rsidRPr="005713C2">
        <w:rPr>
          <w:sz w:val="20"/>
          <w:szCs w:val="20"/>
        </w:rPr>
        <w:t xml:space="preserve"> </w:t>
      </w:r>
      <w:proofErr w:type="spellStart"/>
      <w:r w:rsidR="005713C2" w:rsidRPr="005713C2">
        <w:rPr>
          <w:sz w:val="20"/>
          <w:szCs w:val="20"/>
        </w:rPr>
        <w:t>Judicial</w:t>
      </w:r>
      <w:proofErr w:type="spellEnd"/>
      <w:r w:rsidR="005713C2" w:rsidRPr="005713C2">
        <w:rPr>
          <w:sz w:val="20"/>
          <w:szCs w:val="20"/>
        </w:rPr>
        <w:t xml:space="preserve"> </w:t>
      </w:r>
      <w:proofErr w:type="spellStart"/>
      <w:r w:rsidR="005713C2" w:rsidRPr="005713C2">
        <w:rPr>
          <w:sz w:val="20"/>
          <w:szCs w:val="20"/>
        </w:rPr>
        <w:t>Courts</w:t>
      </w:r>
      <w:proofErr w:type="spellEnd"/>
      <w:r w:rsidR="005713C2" w:rsidRPr="005713C2">
        <w:rPr>
          <w:sz w:val="20"/>
          <w:szCs w:val="20"/>
        </w:rPr>
        <w:t xml:space="preserve"> </w:t>
      </w:r>
      <w:proofErr w:type="spellStart"/>
      <w:r w:rsidR="005713C2" w:rsidRPr="005713C2">
        <w:rPr>
          <w:sz w:val="20"/>
          <w:szCs w:val="20"/>
        </w:rPr>
        <w:t>of</w:t>
      </w:r>
      <w:proofErr w:type="spellEnd"/>
      <w:r w:rsidR="005713C2" w:rsidRPr="005713C2">
        <w:rPr>
          <w:sz w:val="20"/>
          <w:szCs w:val="20"/>
        </w:rPr>
        <w:t xml:space="preserve"> </w:t>
      </w:r>
      <w:proofErr w:type="spellStart"/>
      <w:r w:rsidR="005713C2" w:rsidRPr="005713C2">
        <w:rPr>
          <w:sz w:val="20"/>
          <w:szCs w:val="20"/>
        </w:rPr>
        <w:t>the</w:t>
      </w:r>
      <w:proofErr w:type="spellEnd"/>
      <w:r w:rsidR="005713C2" w:rsidRPr="005713C2">
        <w:rPr>
          <w:sz w:val="20"/>
          <w:szCs w:val="20"/>
        </w:rPr>
        <w:t xml:space="preserve"> </w:t>
      </w:r>
      <w:r w:rsidR="005713C2">
        <w:rPr>
          <w:sz w:val="20"/>
          <w:szCs w:val="20"/>
        </w:rPr>
        <w:t xml:space="preserve">EU. </w:t>
      </w:r>
      <w:r w:rsidRPr="00566EA7">
        <w:rPr>
          <w:sz w:val="20"/>
          <w:szCs w:val="20"/>
        </w:rPr>
        <w:t>Države Zahodnega Balkana sicer (še) niso članice, imajo pa Srbija, Črna gora in Albanija status opazovalke.</w:t>
      </w:r>
    </w:p>
    <w:p w14:paraId="3CCCBC93" w14:textId="77777777" w:rsidR="00566EA7" w:rsidRPr="00566EA7" w:rsidRDefault="00566EA7" w:rsidP="00566EA7">
      <w:pPr>
        <w:spacing w:line="276" w:lineRule="auto"/>
        <w:rPr>
          <w:sz w:val="20"/>
          <w:szCs w:val="20"/>
        </w:rPr>
      </w:pPr>
    </w:p>
    <w:p w14:paraId="156B1C4F" w14:textId="77777777" w:rsidR="00566EA7" w:rsidRPr="00566EA7" w:rsidRDefault="00566EA7" w:rsidP="00566EA7">
      <w:pPr>
        <w:spacing w:line="276" w:lineRule="auto"/>
        <w:rPr>
          <w:sz w:val="20"/>
          <w:szCs w:val="20"/>
        </w:rPr>
      </w:pPr>
      <w:r w:rsidRPr="00566EA7">
        <w:rPr>
          <w:sz w:val="20"/>
          <w:szCs w:val="20"/>
        </w:rPr>
        <w:t xml:space="preserve">Državni tožilec Specializiranega državnega tožilstva </w:t>
      </w:r>
      <w:r w:rsidR="005713C2">
        <w:rPr>
          <w:sz w:val="20"/>
          <w:szCs w:val="20"/>
        </w:rPr>
        <w:t>RS</w:t>
      </w:r>
      <w:r w:rsidRPr="00566EA7">
        <w:rPr>
          <w:sz w:val="20"/>
          <w:szCs w:val="20"/>
        </w:rPr>
        <w:t xml:space="preserve"> se je udeležil zasedanja Evropske pravosodne mreže EU in kontaktnih točk držav Zahodnega Balkana, ki je potekalo junija 2025 v Črni gori. Osrednja tema zasedanja je bila namenjena izzivom in dobrim praksam v zvezi z izvajanjem čezmejnega ukrepa tajnega opazovanja in sledenja ter v zvezi s čezmejnimi preiskavami trgovine z ljudmi.</w:t>
      </w:r>
    </w:p>
    <w:p w14:paraId="4929D26C" w14:textId="77777777" w:rsidR="00566EA7" w:rsidRPr="00566EA7" w:rsidRDefault="00566EA7" w:rsidP="00566EA7">
      <w:pPr>
        <w:spacing w:line="276" w:lineRule="auto"/>
        <w:rPr>
          <w:sz w:val="20"/>
          <w:szCs w:val="20"/>
        </w:rPr>
      </w:pPr>
    </w:p>
    <w:p w14:paraId="647A5D43" w14:textId="77777777" w:rsidR="00566EA7" w:rsidRPr="00566EA7" w:rsidRDefault="00566EA7" w:rsidP="00566EA7">
      <w:pPr>
        <w:spacing w:line="276" w:lineRule="auto"/>
        <w:rPr>
          <w:sz w:val="20"/>
          <w:szCs w:val="20"/>
        </w:rPr>
      </w:pPr>
      <w:r w:rsidRPr="00566EA7">
        <w:rPr>
          <w:sz w:val="20"/>
          <w:szCs w:val="20"/>
        </w:rPr>
        <w:t>Oktobra 2025 je Specializirano državno tožilstvo RS</w:t>
      </w:r>
      <w:r w:rsidR="006C4994">
        <w:rPr>
          <w:sz w:val="20"/>
          <w:szCs w:val="20"/>
        </w:rPr>
        <w:t xml:space="preserve"> (SDT)</w:t>
      </w:r>
      <w:r w:rsidRPr="00566EA7">
        <w:rPr>
          <w:sz w:val="20"/>
          <w:szCs w:val="20"/>
        </w:rPr>
        <w:t xml:space="preserve"> v Črni gori s </w:t>
      </w:r>
      <w:r w:rsidR="00431F05">
        <w:rPr>
          <w:sz w:val="20"/>
          <w:szCs w:val="20"/>
        </w:rPr>
        <w:t>CEP</w:t>
      </w:r>
      <w:r w:rsidRPr="00566EA7">
        <w:rPr>
          <w:sz w:val="20"/>
          <w:szCs w:val="20"/>
        </w:rPr>
        <w:t xml:space="preserve"> podpisalo Pogodbo o sodelovanju v projektu bilateralne tehnične pomoči pri izvedbi projektov v letu 2025 in 2026. Cilj projekta je krepitev zmogljivosti črnogorskih organov preiskovanja in pregona na področju finančnih preiskav za uspešen boj proti organiziranemu kriminalu in korupciji ter učinkovito izvajanje EU </w:t>
      </w:r>
      <w:proofErr w:type="spellStart"/>
      <w:r w:rsidRPr="00566EA7">
        <w:rPr>
          <w:sz w:val="20"/>
          <w:szCs w:val="20"/>
        </w:rPr>
        <w:t>acquis</w:t>
      </w:r>
      <w:proofErr w:type="spellEnd"/>
      <w:r w:rsidRPr="00566EA7">
        <w:rPr>
          <w:sz w:val="20"/>
          <w:szCs w:val="20"/>
        </w:rPr>
        <w:t>-ja. V novembru je v okviru tega projekta potekala mednarodna konferenca v Črni gori z naslovom »Krepitev kapacitet na področju finančnih preiskav in medsebojnega sodelovanja«, katere se je udeležila vodja SDT.</w:t>
      </w:r>
    </w:p>
    <w:p w14:paraId="4558BFFC" w14:textId="77777777" w:rsidR="00566EA7" w:rsidRPr="00566EA7" w:rsidRDefault="00566EA7" w:rsidP="00566EA7">
      <w:pPr>
        <w:spacing w:line="276" w:lineRule="auto"/>
        <w:rPr>
          <w:sz w:val="20"/>
          <w:szCs w:val="20"/>
        </w:rPr>
      </w:pPr>
    </w:p>
    <w:p w14:paraId="78CA0EEB" w14:textId="77777777" w:rsidR="00566EA7" w:rsidRPr="00566EA7" w:rsidRDefault="00566EA7" w:rsidP="00566EA7">
      <w:pPr>
        <w:spacing w:line="276" w:lineRule="auto"/>
        <w:rPr>
          <w:sz w:val="20"/>
          <w:szCs w:val="20"/>
        </w:rPr>
      </w:pPr>
      <w:r w:rsidRPr="00566EA7">
        <w:rPr>
          <w:sz w:val="20"/>
          <w:szCs w:val="20"/>
        </w:rPr>
        <w:t>Generalna državna tožilka RS in vrhovni državni tožilec Črne gore sta v novembru 2025 podpisala memorandum o soglasju med Vrhovnim državnim tožilstvom RS in Vrhovnim državnim tožilstvom Črne gore. Memorandum bo podlaga za vzpostavitev sodelovanja, ki bo vključevalo izmenjavo znanja in izkušenj pri pregonu kriminalnih kaznivih dejanj, zlasti organiziranega kriminala, pranja denarja, trgovine z ljudmi ter tihotapljenja migrantov. Predvideva tudi sodelovanje tožilstev obeh držav pri izmenjavi izkušenj na področju razvoja in uporabe digitalnih orodij ter pri iskanju rešitev za posodobitev tožilskih informacijskih sistemov. Istočasno je bil podpisan tudi dogovor o prenosu analitičnega orodja.</w:t>
      </w:r>
    </w:p>
    <w:p w14:paraId="7AAB4E8B" w14:textId="77777777" w:rsidR="00566EA7" w:rsidRPr="00566EA7" w:rsidRDefault="00566EA7" w:rsidP="00566EA7">
      <w:pPr>
        <w:spacing w:line="276" w:lineRule="auto"/>
        <w:rPr>
          <w:sz w:val="20"/>
          <w:szCs w:val="20"/>
        </w:rPr>
      </w:pPr>
    </w:p>
    <w:p w14:paraId="18F13065" w14:textId="77777777" w:rsidR="00566EA7" w:rsidRPr="00566EA7" w:rsidRDefault="00566EA7" w:rsidP="00566EA7">
      <w:pPr>
        <w:spacing w:line="276" w:lineRule="auto"/>
        <w:rPr>
          <w:sz w:val="20"/>
          <w:szCs w:val="20"/>
        </w:rPr>
      </w:pPr>
      <w:r w:rsidRPr="00566EA7">
        <w:rPr>
          <w:sz w:val="20"/>
          <w:szCs w:val="20"/>
        </w:rPr>
        <w:t>V letu 2025 je vrhovna državna tožilka na VDT RS uspešno zaključila svoje sodelovanje v projektu EU/Sveta Evrope – Akcija proti gospodarskemu kriminalu v Črni gori. Aktivnosti so bile osredotočene na podporo Ministrstvu za pravosodje Črne gore pri oceni izvedljivosti uvedbe dodatnega modela odvzema premoženja kot dopolnitve obstoječemu kazenskopravnemu modelu.</w:t>
      </w:r>
    </w:p>
    <w:p w14:paraId="77DA5CF1" w14:textId="77777777" w:rsidR="00566EA7" w:rsidRPr="00566EA7" w:rsidRDefault="00566EA7" w:rsidP="00566EA7">
      <w:pPr>
        <w:spacing w:line="276" w:lineRule="auto"/>
        <w:rPr>
          <w:sz w:val="20"/>
          <w:szCs w:val="20"/>
        </w:rPr>
      </w:pPr>
      <w:r w:rsidRPr="00566EA7">
        <w:rPr>
          <w:sz w:val="20"/>
          <w:szCs w:val="20"/>
        </w:rPr>
        <w:t xml:space="preserve">Sodelovanje je potekalo tudi v okviru foruma o finančni in gospodarski kriminaliteti, ki je potekal novembra 2025 v Ljubljani. Foruma sta se udeležili državna tožilka z državnega tožilstva v Beogradu in predsednica Združenja državnih tožilcev Srbije, ki sta predstavili izzive Srbije v boju proti finančni kriminaliteti ter nekdanja črnogorska tožilka, ki je predstavila mednarodno sodelovanje v zadevah organiziranega kriminala. Prav tako je višji državni tožilec SDT na konferenci Združenja tožilcev Srbije predstavil izzive in pritiske s katerimi se srečujejo tožilci v </w:t>
      </w:r>
      <w:r w:rsidR="003B6859">
        <w:rPr>
          <w:sz w:val="20"/>
          <w:szCs w:val="20"/>
        </w:rPr>
        <w:t>RS</w:t>
      </w:r>
      <w:r w:rsidRPr="00566EA7">
        <w:rPr>
          <w:sz w:val="20"/>
          <w:szCs w:val="20"/>
        </w:rPr>
        <w:t>.</w:t>
      </w:r>
    </w:p>
    <w:p w14:paraId="0F2C89FB" w14:textId="77777777" w:rsidR="00566EA7" w:rsidRPr="00566EA7" w:rsidRDefault="00566EA7" w:rsidP="00566EA7">
      <w:pPr>
        <w:spacing w:line="276" w:lineRule="auto"/>
        <w:rPr>
          <w:sz w:val="20"/>
          <w:szCs w:val="20"/>
        </w:rPr>
      </w:pPr>
    </w:p>
    <w:p w14:paraId="3AB6228C" w14:textId="77777777" w:rsidR="00566EA7" w:rsidRPr="00566EA7" w:rsidRDefault="00566EA7" w:rsidP="00566EA7">
      <w:pPr>
        <w:spacing w:line="276" w:lineRule="auto"/>
        <w:rPr>
          <w:b/>
          <w:bCs/>
          <w:sz w:val="20"/>
          <w:szCs w:val="20"/>
        </w:rPr>
      </w:pPr>
      <w:r w:rsidRPr="00566EA7">
        <w:rPr>
          <w:b/>
          <w:bCs/>
          <w:sz w:val="20"/>
          <w:szCs w:val="20"/>
        </w:rPr>
        <w:t>Makedonija</w:t>
      </w:r>
    </w:p>
    <w:p w14:paraId="78582FD2" w14:textId="77777777" w:rsidR="00566EA7" w:rsidRPr="00566EA7" w:rsidRDefault="006C4994" w:rsidP="00566EA7">
      <w:pPr>
        <w:spacing w:line="276" w:lineRule="auto"/>
        <w:rPr>
          <w:sz w:val="20"/>
          <w:szCs w:val="20"/>
        </w:rPr>
      </w:pPr>
      <w:r>
        <w:rPr>
          <w:sz w:val="20"/>
          <w:szCs w:val="20"/>
        </w:rPr>
        <w:t>SDT</w:t>
      </w:r>
      <w:r w:rsidR="00566EA7" w:rsidRPr="00566EA7">
        <w:rPr>
          <w:sz w:val="20"/>
          <w:szCs w:val="20"/>
        </w:rPr>
        <w:t xml:space="preserve"> je vključeno v projekt povezovanja specializiranih državnih tožilstev v regiji Zahodnega Balkana, ki ga izvaja Inštitut za demokracijo Skopje, Veleposlaništvo Francije in </w:t>
      </w:r>
      <w:r w:rsidR="00AF3287">
        <w:rPr>
          <w:sz w:val="20"/>
          <w:szCs w:val="20"/>
        </w:rPr>
        <w:t>s</w:t>
      </w:r>
      <w:r w:rsidR="00FF0952">
        <w:rPr>
          <w:sz w:val="20"/>
          <w:szCs w:val="20"/>
        </w:rPr>
        <w:t>pecializirano državno tožilstvo</w:t>
      </w:r>
      <w:r w:rsidR="00566EA7" w:rsidRPr="00566EA7">
        <w:rPr>
          <w:sz w:val="20"/>
          <w:szCs w:val="20"/>
        </w:rPr>
        <w:t xml:space="preserve"> Severn</w:t>
      </w:r>
      <w:r w:rsidR="00FF0952">
        <w:rPr>
          <w:sz w:val="20"/>
          <w:szCs w:val="20"/>
        </w:rPr>
        <w:t>e</w:t>
      </w:r>
      <w:r w:rsidR="00566EA7" w:rsidRPr="00566EA7">
        <w:rPr>
          <w:sz w:val="20"/>
          <w:szCs w:val="20"/>
        </w:rPr>
        <w:t xml:space="preserve"> Makedonij</w:t>
      </w:r>
      <w:r w:rsidR="00FF0952">
        <w:rPr>
          <w:sz w:val="20"/>
          <w:szCs w:val="20"/>
        </w:rPr>
        <w:t>e</w:t>
      </w:r>
      <w:r w:rsidR="00566EA7" w:rsidRPr="00566EA7">
        <w:rPr>
          <w:sz w:val="20"/>
          <w:szCs w:val="20"/>
        </w:rPr>
        <w:t xml:space="preserve">. V okviru tega projekta je vodja SDT v oktobru 2025 v Skopju predstavila stanje zadev v </w:t>
      </w:r>
      <w:r w:rsidR="00FF0952">
        <w:rPr>
          <w:sz w:val="20"/>
          <w:szCs w:val="20"/>
        </w:rPr>
        <w:t>RS</w:t>
      </w:r>
      <w:r w:rsidR="00566EA7" w:rsidRPr="00566EA7">
        <w:rPr>
          <w:sz w:val="20"/>
          <w:szCs w:val="20"/>
        </w:rPr>
        <w:t xml:space="preserve"> v katerih uporabljajo SKY ECC dokaze in postopke odvzema premoženja nezakonitega izvora.</w:t>
      </w:r>
    </w:p>
    <w:p w14:paraId="6A2F78C2" w14:textId="77777777" w:rsidR="00566EA7" w:rsidRPr="00566EA7" w:rsidRDefault="00566EA7" w:rsidP="00566EA7">
      <w:pPr>
        <w:spacing w:line="276" w:lineRule="auto"/>
        <w:rPr>
          <w:sz w:val="20"/>
          <w:szCs w:val="20"/>
        </w:rPr>
      </w:pPr>
    </w:p>
    <w:p w14:paraId="3A3892DA" w14:textId="77777777" w:rsidR="00566EA7" w:rsidRPr="00566EA7" w:rsidRDefault="00566EA7" w:rsidP="00566EA7">
      <w:pPr>
        <w:spacing w:line="276" w:lineRule="auto"/>
        <w:rPr>
          <w:b/>
          <w:bCs/>
          <w:sz w:val="20"/>
          <w:szCs w:val="20"/>
        </w:rPr>
      </w:pPr>
      <w:r w:rsidRPr="00566EA7">
        <w:rPr>
          <w:b/>
          <w:bCs/>
          <w:sz w:val="20"/>
          <w:szCs w:val="20"/>
        </w:rPr>
        <w:t>Albanija</w:t>
      </w:r>
    </w:p>
    <w:p w14:paraId="27669003" w14:textId="77777777" w:rsidR="00566EA7" w:rsidRPr="00566EA7" w:rsidRDefault="00566EA7" w:rsidP="00566EA7">
      <w:pPr>
        <w:spacing w:line="276" w:lineRule="auto"/>
        <w:rPr>
          <w:sz w:val="20"/>
          <w:szCs w:val="20"/>
        </w:rPr>
      </w:pPr>
      <w:r w:rsidRPr="00566EA7">
        <w:rPr>
          <w:sz w:val="20"/>
          <w:szCs w:val="20"/>
        </w:rPr>
        <w:t xml:space="preserve">Državno odvetništvo </w:t>
      </w:r>
      <w:r w:rsidR="00FF7229">
        <w:rPr>
          <w:sz w:val="20"/>
          <w:szCs w:val="20"/>
        </w:rPr>
        <w:t>RS je</w:t>
      </w:r>
      <w:r w:rsidRPr="00566EA7">
        <w:rPr>
          <w:sz w:val="20"/>
          <w:szCs w:val="20"/>
        </w:rPr>
        <w:t xml:space="preserve"> od 18. do 20. junija 2025 gostilo generalnega državnega odvetnika Albanije </w:t>
      </w:r>
      <w:proofErr w:type="spellStart"/>
      <w:r w:rsidRPr="00566EA7">
        <w:rPr>
          <w:sz w:val="20"/>
          <w:szCs w:val="20"/>
        </w:rPr>
        <w:t>Odise</w:t>
      </w:r>
      <w:proofErr w:type="spellEnd"/>
      <w:r w:rsidRPr="00566EA7">
        <w:rPr>
          <w:sz w:val="20"/>
          <w:szCs w:val="20"/>
        </w:rPr>
        <w:t xml:space="preserve"> </w:t>
      </w:r>
      <w:proofErr w:type="spellStart"/>
      <w:r w:rsidRPr="00566EA7">
        <w:rPr>
          <w:sz w:val="20"/>
          <w:szCs w:val="20"/>
        </w:rPr>
        <w:t>Moçke</w:t>
      </w:r>
      <w:proofErr w:type="spellEnd"/>
      <w:r w:rsidRPr="00566EA7">
        <w:rPr>
          <w:sz w:val="20"/>
          <w:szCs w:val="20"/>
        </w:rPr>
        <w:t xml:space="preserve"> z delegacijo. Študijski obisk je bil namenjen podpori državnih pravobranilcev pri usklajevanje sodnih praks z najboljšimi praksami EU in standardi človekovih pravic.</w:t>
      </w:r>
    </w:p>
    <w:p w14:paraId="24AF7C43" w14:textId="77777777" w:rsidR="00566EA7" w:rsidRPr="00566EA7" w:rsidRDefault="00566EA7" w:rsidP="00566EA7">
      <w:pPr>
        <w:spacing w:line="276" w:lineRule="auto"/>
        <w:rPr>
          <w:sz w:val="20"/>
          <w:szCs w:val="20"/>
        </w:rPr>
      </w:pPr>
    </w:p>
    <w:p w14:paraId="7B3EE084" w14:textId="77777777" w:rsidR="00345D85" w:rsidRDefault="00566EA7" w:rsidP="00566EA7">
      <w:pPr>
        <w:spacing w:line="276" w:lineRule="auto"/>
        <w:rPr>
          <w:sz w:val="20"/>
          <w:szCs w:val="20"/>
        </w:rPr>
      </w:pPr>
      <w:r w:rsidRPr="00566EA7">
        <w:rPr>
          <w:sz w:val="20"/>
          <w:szCs w:val="20"/>
        </w:rPr>
        <w:t xml:space="preserve">Predsednik Vrhovnega sodišča </w:t>
      </w:r>
      <w:r w:rsidR="00FF7229">
        <w:rPr>
          <w:sz w:val="20"/>
          <w:szCs w:val="20"/>
        </w:rPr>
        <w:t>RS</w:t>
      </w:r>
      <w:r w:rsidRPr="00566EA7">
        <w:rPr>
          <w:sz w:val="20"/>
          <w:szCs w:val="20"/>
        </w:rPr>
        <w:t xml:space="preserve"> je sodeloval na konferenci »XV </w:t>
      </w:r>
      <w:proofErr w:type="spellStart"/>
      <w:r w:rsidRPr="00566EA7">
        <w:rPr>
          <w:sz w:val="20"/>
          <w:szCs w:val="20"/>
        </w:rPr>
        <w:t>Conference</w:t>
      </w:r>
      <w:proofErr w:type="spellEnd"/>
      <w:r w:rsidRPr="00566EA7">
        <w:rPr>
          <w:sz w:val="20"/>
          <w:szCs w:val="20"/>
        </w:rPr>
        <w:t xml:space="preserve"> </w:t>
      </w:r>
      <w:proofErr w:type="spellStart"/>
      <w:r w:rsidRPr="00566EA7">
        <w:rPr>
          <w:sz w:val="20"/>
          <w:szCs w:val="20"/>
        </w:rPr>
        <w:t>of</w:t>
      </w:r>
      <w:proofErr w:type="spellEnd"/>
      <w:r w:rsidRPr="00566EA7">
        <w:rPr>
          <w:sz w:val="20"/>
          <w:szCs w:val="20"/>
        </w:rPr>
        <w:t xml:space="preserve"> </w:t>
      </w:r>
      <w:proofErr w:type="spellStart"/>
      <w:r w:rsidRPr="00566EA7">
        <w:rPr>
          <w:sz w:val="20"/>
          <w:szCs w:val="20"/>
        </w:rPr>
        <w:t>Chief</w:t>
      </w:r>
      <w:proofErr w:type="spellEnd"/>
      <w:r w:rsidRPr="00566EA7">
        <w:rPr>
          <w:sz w:val="20"/>
          <w:szCs w:val="20"/>
        </w:rPr>
        <w:t xml:space="preserve"> </w:t>
      </w:r>
      <w:proofErr w:type="spellStart"/>
      <w:r w:rsidRPr="00566EA7">
        <w:rPr>
          <w:sz w:val="20"/>
          <w:szCs w:val="20"/>
        </w:rPr>
        <w:t>Justices</w:t>
      </w:r>
      <w:proofErr w:type="spellEnd"/>
      <w:r w:rsidRPr="00566EA7">
        <w:rPr>
          <w:sz w:val="20"/>
          <w:szCs w:val="20"/>
        </w:rPr>
        <w:t xml:space="preserve"> </w:t>
      </w:r>
      <w:proofErr w:type="spellStart"/>
      <w:r w:rsidRPr="00566EA7">
        <w:rPr>
          <w:sz w:val="20"/>
          <w:szCs w:val="20"/>
        </w:rPr>
        <w:t>of</w:t>
      </w:r>
      <w:proofErr w:type="spellEnd"/>
      <w:r w:rsidRPr="00566EA7">
        <w:rPr>
          <w:sz w:val="20"/>
          <w:szCs w:val="20"/>
        </w:rPr>
        <w:t xml:space="preserve"> Central </w:t>
      </w:r>
      <w:proofErr w:type="spellStart"/>
      <w:r w:rsidRPr="00566EA7">
        <w:rPr>
          <w:sz w:val="20"/>
          <w:szCs w:val="20"/>
        </w:rPr>
        <w:t>and</w:t>
      </w:r>
      <w:proofErr w:type="spellEnd"/>
      <w:r w:rsidRPr="00566EA7">
        <w:rPr>
          <w:sz w:val="20"/>
          <w:szCs w:val="20"/>
        </w:rPr>
        <w:t xml:space="preserve"> </w:t>
      </w:r>
      <w:proofErr w:type="spellStart"/>
      <w:r w:rsidRPr="00566EA7">
        <w:rPr>
          <w:sz w:val="20"/>
          <w:szCs w:val="20"/>
        </w:rPr>
        <w:t>Eastern</w:t>
      </w:r>
      <w:proofErr w:type="spellEnd"/>
      <w:r w:rsidRPr="00566EA7">
        <w:rPr>
          <w:sz w:val="20"/>
          <w:szCs w:val="20"/>
        </w:rPr>
        <w:t xml:space="preserve"> </w:t>
      </w:r>
      <w:proofErr w:type="spellStart"/>
      <w:r w:rsidRPr="00566EA7">
        <w:rPr>
          <w:sz w:val="20"/>
          <w:szCs w:val="20"/>
        </w:rPr>
        <w:t>Europe</w:t>
      </w:r>
      <w:proofErr w:type="spellEnd"/>
      <w:r w:rsidRPr="00566EA7">
        <w:rPr>
          <w:sz w:val="20"/>
          <w:szCs w:val="20"/>
        </w:rPr>
        <w:t>«, katero je od 9. do 10. junija organiziral CEELI Inštitut.</w:t>
      </w:r>
    </w:p>
    <w:p w14:paraId="3638216A" w14:textId="77777777" w:rsidR="00411064" w:rsidRDefault="00411064" w:rsidP="00411064">
      <w:pPr>
        <w:spacing w:line="276" w:lineRule="auto"/>
        <w:rPr>
          <w:sz w:val="20"/>
          <w:szCs w:val="20"/>
        </w:rPr>
      </w:pPr>
    </w:p>
    <w:p w14:paraId="2266A3EB" w14:textId="77777777" w:rsidR="00566EA7" w:rsidRPr="003E1AAA" w:rsidRDefault="00566EA7" w:rsidP="00411064">
      <w:pPr>
        <w:spacing w:line="276" w:lineRule="auto"/>
        <w:rPr>
          <w:sz w:val="20"/>
          <w:szCs w:val="20"/>
        </w:rPr>
      </w:pPr>
    </w:p>
    <w:p w14:paraId="56AB41FD" w14:textId="77777777" w:rsidR="00380C9C" w:rsidRPr="003E1AAA" w:rsidRDefault="00AE2B8C" w:rsidP="00411064">
      <w:pPr>
        <w:pStyle w:val="Heading3"/>
      </w:pPr>
      <w:bookmarkStart w:id="34" w:name="_Toc227227976"/>
      <w:r w:rsidRPr="003E1AAA">
        <w:t>6</w:t>
      </w:r>
      <w:r w:rsidR="00380C9C" w:rsidRPr="003E1AAA">
        <w:t>.5. Krepitev sodelovanja na področju javne uprave</w:t>
      </w:r>
      <w:r w:rsidR="00627CE8" w:rsidRPr="003E1AAA">
        <w:t>, informacijske varnosti, digitalne preobrazbe</w:t>
      </w:r>
      <w:r w:rsidR="00BB6D3F" w:rsidRPr="003E1AAA">
        <w:t xml:space="preserve"> in varovanja tajnih podatkov</w:t>
      </w:r>
      <w:bookmarkEnd w:id="34"/>
    </w:p>
    <w:p w14:paraId="030F7C07" w14:textId="77777777" w:rsidR="00B06B04" w:rsidRDefault="00B06B04" w:rsidP="00411064">
      <w:pPr>
        <w:spacing w:line="276" w:lineRule="auto"/>
        <w:rPr>
          <w:rFonts w:cs="Calibri"/>
          <w:b/>
          <w:bCs/>
          <w:sz w:val="20"/>
          <w:szCs w:val="20"/>
          <w:u w:val="single"/>
        </w:rPr>
      </w:pPr>
    </w:p>
    <w:p w14:paraId="0415C85A" w14:textId="77777777" w:rsidR="00FF401A" w:rsidRPr="00C23AB5" w:rsidRDefault="00FF401A" w:rsidP="00411064">
      <w:pPr>
        <w:spacing w:line="276" w:lineRule="auto"/>
        <w:rPr>
          <w:rFonts w:cs="Calibri"/>
          <w:b/>
          <w:bCs/>
          <w:sz w:val="20"/>
          <w:szCs w:val="20"/>
        </w:rPr>
      </w:pPr>
      <w:r w:rsidRPr="00C23AB5">
        <w:rPr>
          <w:rFonts w:cs="Calibri"/>
          <w:b/>
          <w:bCs/>
          <w:sz w:val="20"/>
          <w:szCs w:val="20"/>
        </w:rPr>
        <w:t>Ministrstvo za javno upravo (MJU)</w:t>
      </w:r>
    </w:p>
    <w:p w14:paraId="52B3D3D4" w14:textId="77777777" w:rsidR="00B06B04" w:rsidRDefault="00B06B04" w:rsidP="00411064">
      <w:pPr>
        <w:spacing w:line="276" w:lineRule="auto"/>
        <w:rPr>
          <w:rFonts w:cs="Calibri"/>
          <w:b/>
          <w:bCs/>
          <w:sz w:val="20"/>
          <w:szCs w:val="20"/>
          <w:u w:val="single"/>
        </w:rPr>
      </w:pPr>
    </w:p>
    <w:p w14:paraId="57D24026" w14:textId="77777777" w:rsidR="00FF401A" w:rsidRPr="00C23AB5" w:rsidRDefault="00D2033B" w:rsidP="00411064">
      <w:pPr>
        <w:spacing w:line="276" w:lineRule="auto"/>
        <w:rPr>
          <w:rFonts w:cs="Calibri"/>
          <w:b/>
          <w:bCs/>
          <w:sz w:val="20"/>
          <w:szCs w:val="20"/>
        </w:rPr>
      </w:pPr>
      <w:r>
        <w:rPr>
          <w:b/>
          <w:sz w:val="20"/>
          <w:szCs w:val="20"/>
        </w:rPr>
        <w:t>BiH</w:t>
      </w:r>
    </w:p>
    <w:p w14:paraId="37F3E20C" w14:textId="77777777" w:rsidR="00FF401A" w:rsidRPr="00FF401A" w:rsidRDefault="00FF401A" w:rsidP="00411064">
      <w:pPr>
        <w:spacing w:line="276" w:lineRule="auto"/>
        <w:rPr>
          <w:rFonts w:cs="Calibri"/>
          <w:b/>
          <w:bCs/>
          <w:sz w:val="20"/>
          <w:szCs w:val="20"/>
        </w:rPr>
      </w:pPr>
      <w:r w:rsidRPr="00FF401A">
        <w:rPr>
          <w:rFonts w:cs="Calibri"/>
          <w:b/>
          <w:bCs/>
          <w:sz w:val="20"/>
          <w:szCs w:val="20"/>
        </w:rPr>
        <w:t xml:space="preserve">Delovni obisk komisije za pritožbe </w:t>
      </w:r>
      <w:r w:rsidR="00945E65">
        <w:rPr>
          <w:rFonts w:cs="Calibri"/>
          <w:b/>
          <w:bCs/>
          <w:sz w:val="20"/>
          <w:szCs w:val="20"/>
        </w:rPr>
        <w:t>BiH</w:t>
      </w:r>
    </w:p>
    <w:p w14:paraId="2233C3F2" w14:textId="77777777" w:rsidR="00FF401A" w:rsidRPr="00FF401A" w:rsidRDefault="00FF401A" w:rsidP="00411064">
      <w:pPr>
        <w:spacing w:line="276" w:lineRule="auto"/>
        <w:rPr>
          <w:rFonts w:cs="Calibri"/>
          <w:sz w:val="20"/>
          <w:szCs w:val="20"/>
        </w:rPr>
      </w:pPr>
      <w:r w:rsidRPr="00FF401A">
        <w:rPr>
          <w:rFonts w:cs="Calibri"/>
          <w:sz w:val="20"/>
          <w:szCs w:val="20"/>
        </w:rPr>
        <w:t xml:space="preserve">MJU </w:t>
      </w:r>
      <w:r w:rsidR="00AB3EB4">
        <w:rPr>
          <w:rFonts w:cs="Calibri"/>
          <w:sz w:val="20"/>
          <w:szCs w:val="20"/>
        </w:rPr>
        <w:t>je</w:t>
      </w:r>
      <w:r w:rsidRPr="00FF401A">
        <w:rPr>
          <w:rFonts w:cs="Calibri"/>
          <w:sz w:val="20"/>
          <w:szCs w:val="20"/>
        </w:rPr>
        <w:t xml:space="preserve"> gostil</w:t>
      </w:r>
      <w:r w:rsidR="00AB3EB4">
        <w:rPr>
          <w:rFonts w:cs="Calibri"/>
          <w:sz w:val="20"/>
          <w:szCs w:val="20"/>
        </w:rPr>
        <w:t>o</w:t>
      </w:r>
      <w:r w:rsidRPr="00FF401A">
        <w:rPr>
          <w:rFonts w:cs="Calibri"/>
          <w:sz w:val="20"/>
          <w:szCs w:val="20"/>
        </w:rPr>
        <w:t xml:space="preserve"> predsednika in člana komisije za pritožbe s krajevno pristojnostjo na nivoju celotne države </w:t>
      </w:r>
      <w:r w:rsidR="00945E65">
        <w:rPr>
          <w:rFonts w:cs="Calibri"/>
          <w:sz w:val="20"/>
          <w:szCs w:val="20"/>
        </w:rPr>
        <w:t>BiH</w:t>
      </w:r>
      <w:r w:rsidRPr="00FF401A">
        <w:rPr>
          <w:rFonts w:cs="Calibri"/>
          <w:sz w:val="20"/>
          <w:szCs w:val="20"/>
        </w:rPr>
        <w:t>. Tri članski delegaciji so predstavili delovanje Komisije za pritožbe iz delovnega razmerja pri Vladi RS - KPDR in imenovanje in razrešitev članov ter sestavo komisije.</w:t>
      </w:r>
    </w:p>
    <w:p w14:paraId="36F0EFBC" w14:textId="77777777" w:rsidR="00FF401A" w:rsidRPr="00FF401A" w:rsidRDefault="00FF401A" w:rsidP="00411064">
      <w:pPr>
        <w:spacing w:line="276" w:lineRule="auto"/>
        <w:rPr>
          <w:rFonts w:cs="Calibri"/>
          <w:b/>
          <w:bCs/>
          <w:sz w:val="20"/>
          <w:szCs w:val="20"/>
        </w:rPr>
      </w:pPr>
    </w:p>
    <w:p w14:paraId="5429CA73" w14:textId="77777777" w:rsidR="00FF401A" w:rsidRPr="00FF401A" w:rsidRDefault="00FF401A" w:rsidP="00411064">
      <w:pPr>
        <w:spacing w:line="276" w:lineRule="auto"/>
        <w:rPr>
          <w:rFonts w:cs="Calibri"/>
          <w:b/>
          <w:bCs/>
          <w:sz w:val="20"/>
          <w:szCs w:val="20"/>
        </w:rPr>
      </w:pPr>
      <w:r w:rsidRPr="00FF401A">
        <w:rPr>
          <w:rFonts w:cs="Calibri"/>
          <w:b/>
          <w:bCs/>
          <w:sz w:val="20"/>
          <w:szCs w:val="20"/>
        </w:rPr>
        <w:t xml:space="preserve">Delegacija </w:t>
      </w:r>
      <w:r w:rsidR="00945E65">
        <w:rPr>
          <w:rFonts w:cs="Calibri"/>
          <w:b/>
          <w:bCs/>
          <w:sz w:val="20"/>
          <w:szCs w:val="20"/>
        </w:rPr>
        <w:t>BiH</w:t>
      </w:r>
      <w:r w:rsidRPr="00FF401A">
        <w:rPr>
          <w:rFonts w:cs="Calibri"/>
          <w:b/>
          <w:bCs/>
          <w:sz w:val="20"/>
          <w:szCs w:val="20"/>
        </w:rPr>
        <w:t xml:space="preserve"> v okviru EU4PAR v </w:t>
      </w:r>
      <w:r w:rsidR="003B6859">
        <w:rPr>
          <w:rFonts w:cs="Calibri"/>
          <w:b/>
          <w:bCs/>
          <w:sz w:val="20"/>
          <w:szCs w:val="20"/>
        </w:rPr>
        <w:t>RS</w:t>
      </w:r>
    </w:p>
    <w:p w14:paraId="62487EBC" w14:textId="77777777" w:rsidR="00FF401A" w:rsidRPr="00FF401A" w:rsidRDefault="00FF401A" w:rsidP="00411064">
      <w:pPr>
        <w:spacing w:line="276" w:lineRule="auto"/>
        <w:rPr>
          <w:rFonts w:cs="Calibri"/>
          <w:sz w:val="20"/>
          <w:szCs w:val="20"/>
        </w:rPr>
      </w:pPr>
      <w:r w:rsidRPr="00FF401A">
        <w:rPr>
          <w:rFonts w:cs="Calibri"/>
          <w:sz w:val="20"/>
          <w:szCs w:val="20"/>
        </w:rPr>
        <w:t xml:space="preserve">Konec septembra in v začetku oktobra je potekal večdnevni študijski obisk večje delegacije </w:t>
      </w:r>
      <w:r w:rsidR="00945E65">
        <w:rPr>
          <w:rFonts w:cs="Calibri"/>
          <w:sz w:val="20"/>
          <w:szCs w:val="20"/>
        </w:rPr>
        <w:t>BiH</w:t>
      </w:r>
      <w:r w:rsidRPr="00FF401A">
        <w:rPr>
          <w:rFonts w:cs="Calibri"/>
          <w:sz w:val="20"/>
          <w:szCs w:val="20"/>
        </w:rPr>
        <w:t xml:space="preserve"> v okviru projekta EU4PAR. Projekt je namenjen krepitvi in reformi javne uprave </w:t>
      </w:r>
      <w:r w:rsidR="00945E65">
        <w:rPr>
          <w:rFonts w:cs="Calibri"/>
          <w:sz w:val="20"/>
          <w:szCs w:val="20"/>
        </w:rPr>
        <w:t>BiH</w:t>
      </w:r>
      <w:r w:rsidRPr="00FF401A">
        <w:rPr>
          <w:rFonts w:cs="Calibri"/>
          <w:sz w:val="20"/>
          <w:szCs w:val="20"/>
        </w:rPr>
        <w:t xml:space="preserve">. Delegacijo so sestavljali predstavniki državne ravni, Brčko Distrikta ter Federacije </w:t>
      </w:r>
      <w:r w:rsidR="00945E65">
        <w:rPr>
          <w:rFonts w:cs="Calibri"/>
          <w:sz w:val="20"/>
          <w:szCs w:val="20"/>
        </w:rPr>
        <w:t>BiH</w:t>
      </w:r>
      <w:r w:rsidRPr="00FF401A">
        <w:rPr>
          <w:rFonts w:cs="Calibri"/>
          <w:sz w:val="20"/>
          <w:szCs w:val="20"/>
        </w:rPr>
        <w:t xml:space="preserve"> in so obiskali več organov. Seznanili so se z delovanjem MJU in z rešitvami, ki jih </w:t>
      </w:r>
      <w:r w:rsidR="009B2715">
        <w:rPr>
          <w:rFonts w:cs="Calibri"/>
          <w:sz w:val="20"/>
          <w:szCs w:val="20"/>
        </w:rPr>
        <w:t>RS</w:t>
      </w:r>
      <w:r w:rsidRPr="00FF401A">
        <w:rPr>
          <w:rFonts w:cs="Calibri"/>
          <w:sz w:val="20"/>
          <w:szCs w:val="20"/>
        </w:rPr>
        <w:t xml:space="preserve"> razvija na ključnih področjih javne uprave (boljša zakonodaje in odprava administrativnih ovir, razvoj javnega sektorja in kompetenčnega modela ter javno naročanje in zagotavljanja transparentnosti v postopkih javnega naročanja). Obisk je prispeval k izmenjavi znanj in dobrih praks ter krepitvi sodelovanja med institucijami obeh držav.</w:t>
      </w:r>
    </w:p>
    <w:p w14:paraId="1232CDCA" w14:textId="77777777" w:rsidR="00FF401A" w:rsidRPr="00FF401A" w:rsidRDefault="00FF401A" w:rsidP="00411064">
      <w:pPr>
        <w:spacing w:line="276" w:lineRule="auto"/>
        <w:rPr>
          <w:rFonts w:cs="Calibri"/>
          <w:sz w:val="20"/>
          <w:szCs w:val="20"/>
        </w:rPr>
      </w:pPr>
    </w:p>
    <w:p w14:paraId="420D698B" w14:textId="77777777" w:rsidR="00FF401A" w:rsidRPr="00FF401A" w:rsidRDefault="00FF401A" w:rsidP="00411064">
      <w:pPr>
        <w:spacing w:line="276" w:lineRule="auto"/>
        <w:rPr>
          <w:rFonts w:cs="Calibri"/>
          <w:b/>
          <w:bCs/>
          <w:sz w:val="20"/>
          <w:szCs w:val="20"/>
        </w:rPr>
      </w:pPr>
      <w:r w:rsidRPr="00FF401A">
        <w:rPr>
          <w:rFonts w:cs="Calibri"/>
          <w:b/>
          <w:bCs/>
          <w:sz w:val="20"/>
          <w:szCs w:val="20"/>
        </w:rPr>
        <w:t>Delegacija Kantona Sarajevo</w:t>
      </w:r>
    </w:p>
    <w:p w14:paraId="1796C4F4" w14:textId="77777777" w:rsidR="00FF401A" w:rsidRPr="00FF401A" w:rsidRDefault="00FF401A" w:rsidP="00411064">
      <w:pPr>
        <w:spacing w:line="276" w:lineRule="auto"/>
        <w:rPr>
          <w:rFonts w:cs="Calibri"/>
          <w:sz w:val="20"/>
          <w:szCs w:val="20"/>
        </w:rPr>
      </w:pPr>
      <w:r w:rsidRPr="00FF401A">
        <w:rPr>
          <w:rFonts w:cs="Calibri"/>
          <w:sz w:val="20"/>
          <w:szCs w:val="20"/>
        </w:rPr>
        <w:t xml:space="preserve">Študijski obisk pod vodstvom </w:t>
      </w:r>
      <w:r w:rsidRPr="00C90298">
        <w:rPr>
          <w:rFonts w:cs="Calibri"/>
          <w:sz w:val="20"/>
          <w:szCs w:val="20"/>
        </w:rPr>
        <w:t>ministrice za pravosodje in upravo Darje Softić Kadenić</w:t>
      </w:r>
      <w:r w:rsidRPr="00FF401A">
        <w:rPr>
          <w:rFonts w:cs="Calibri"/>
          <w:sz w:val="20"/>
          <w:szCs w:val="20"/>
        </w:rPr>
        <w:t xml:space="preserve">, ki so jo spremljali predstavniki s področja javne uprave, digitalne preobrazbe, zakonodaje ter informatike in statistike, je potekal 18. </w:t>
      </w:r>
      <w:r w:rsidR="00ED66AE">
        <w:rPr>
          <w:rFonts w:cs="Calibri"/>
          <w:sz w:val="20"/>
          <w:szCs w:val="20"/>
        </w:rPr>
        <w:t xml:space="preserve">novembra </w:t>
      </w:r>
      <w:r w:rsidRPr="00FF401A">
        <w:rPr>
          <w:rFonts w:cs="Calibri"/>
          <w:sz w:val="20"/>
          <w:szCs w:val="20"/>
        </w:rPr>
        <w:t>2025 na Ministrstvu za digitalno preobrazbo</w:t>
      </w:r>
      <w:r w:rsidR="00AB3EB4">
        <w:rPr>
          <w:rFonts w:cs="Calibri"/>
          <w:sz w:val="20"/>
          <w:szCs w:val="20"/>
        </w:rPr>
        <w:t xml:space="preserve"> (MDP)</w:t>
      </w:r>
      <w:r w:rsidRPr="00FF401A">
        <w:rPr>
          <w:rFonts w:cs="Calibri"/>
          <w:sz w:val="20"/>
          <w:szCs w:val="20"/>
        </w:rPr>
        <w:t>. Predstavniki MJU so predstavili pristop k usposabljanju javnih uslužbencev, vodenju sprememb ter spodbujanje organizacijske kulture, usmerjene v inovacije.</w:t>
      </w:r>
    </w:p>
    <w:p w14:paraId="0E0E74BF" w14:textId="77777777" w:rsidR="00FF401A" w:rsidRPr="00C23AB5" w:rsidRDefault="00FF401A" w:rsidP="00411064">
      <w:pPr>
        <w:spacing w:line="276" w:lineRule="auto"/>
        <w:rPr>
          <w:rFonts w:cs="Calibri"/>
          <w:b/>
          <w:bCs/>
          <w:sz w:val="20"/>
          <w:szCs w:val="20"/>
        </w:rPr>
      </w:pPr>
    </w:p>
    <w:p w14:paraId="5BA18E63" w14:textId="77777777" w:rsidR="00FF401A" w:rsidRPr="00C23AB5" w:rsidRDefault="00FF401A" w:rsidP="00411064">
      <w:pPr>
        <w:spacing w:line="276" w:lineRule="auto"/>
        <w:rPr>
          <w:rFonts w:cs="Calibri"/>
          <w:b/>
          <w:bCs/>
          <w:sz w:val="20"/>
          <w:szCs w:val="20"/>
        </w:rPr>
      </w:pPr>
      <w:r w:rsidRPr="00C23AB5">
        <w:rPr>
          <w:rFonts w:cs="Calibri"/>
          <w:b/>
          <w:bCs/>
          <w:sz w:val="20"/>
          <w:szCs w:val="20"/>
        </w:rPr>
        <w:t xml:space="preserve">Črna gora </w:t>
      </w:r>
    </w:p>
    <w:p w14:paraId="5FE06559" w14:textId="77777777" w:rsidR="00FF401A" w:rsidRPr="00FF401A" w:rsidRDefault="00FF401A" w:rsidP="00411064">
      <w:pPr>
        <w:spacing w:line="276" w:lineRule="auto"/>
        <w:rPr>
          <w:rFonts w:cs="Calibri"/>
          <w:b/>
          <w:bCs/>
          <w:sz w:val="20"/>
          <w:szCs w:val="20"/>
        </w:rPr>
      </w:pPr>
      <w:bookmarkStart w:id="35" w:name="_Hlk215471671"/>
      <w:r w:rsidRPr="00FF401A">
        <w:rPr>
          <w:rFonts w:cs="Calibri"/>
          <w:b/>
          <w:bCs/>
          <w:sz w:val="20"/>
          <w:szCs w:val="20"/>
        </w:rPr>
        <w:t>Obisk črnogorskega veleposlanika</w:t>
      </w:r>
    </w:p>
    <w:p w14:paraId="3E9CEB10" w14:textId="77777777" w:rsidR="00FF401A" w:rsidRPr="00FF401A" w:rsidRDefault="00FF401A" w:rsidP="00411064">
      <w:pPr>
        <w:spacing w:line="276" w:lineRule="auto"/>
        <w:rPr>
          <w:rFonts w:cs="Calibri"/>
          <w:sz w:val="20"/>
          <w:szCs w:val="20"/>
          <w:u w:val="single"/>
        </w:rPr>
      </w:pPr>
      <w:r w:rsidRPr="00FF401A">
        <w:rPr>
          <w:rFonts w:cs="Calibri"/>
          <w:sz w:val="20"/>
          <w:szCs w:val="20"/>
        </w:rPr>
        <w:t xml:space="preserve">Spoznavni obisk veleposlanika </w:t>
      </w:r>
      <w:r w:rsidRPr="00C90298">
        <w:rPr>
          <w:rFonts w:cs="Calibri"/>
          <w:sz w:val="20"/>
          <w:szCs w:val="20"/>
        </w:rPr>
        <w:t xml:space="preserve">g. Dragana </w:t>
      </w:r>
      <w:proofErr w:type="spellStart"/>
      <w:r w:rsidRPr="00C90298">
        <w:rPr>
          <w:rFonts w:cs="Calibri"/>
          <w:sz w:val="20"/>
          <w:szCs w:val="20"/>
        </w:rPr>
        <w:t>Tufegdžića</w:t>
      </w:r>
      <w:proofErr w:type="spellEnd"/>
      <w:r w:rsidR="00A21F8F">
        <w:rPr>
          <w:rFonts w:cs="Calibri"/>
          <w:sz w:val="20"/>
          <w:szCs w:val="20"/>
        </w:rPr>
        <w:t xml:space="preserve"> </w:t>
      </w:r>
      <w:r w:rsidRPr="00FF401A">
        <w:rPr>
          <w:rFonts w:cs="Calibri"/>
          <w:sz w:val="20"/>
          <w:szCs w:val="20"/>
        </w:rPr>
        <w:t>pri ministru za javno upravo, mag. Francu Propsu je potekal aprila 2025.</w:t>
      </w:r>
    </w:p>
    <w:bookmarkEnd w:id="35"/>
    <w:p w14:paraId="24F29596" w14:textId="77777777" w:rsidR="00FF401A" w:rsidRPr="00FF401A" w:rsidRDefault="00FF401A" w:rsidP="00411064">
      <w:pPr>
        <w:spacing w:line="276" w:lineRule="auto"/>
        <w:rPr>
          <w:rFonts w:cs="Calibri"/>
          <w:sz w:val="20"/>
          <w:szCs w:val="20"/>
        </w:rPr>
      </w:pPr>
    </w:p>
    <w:p w14:paraId="09616DFE" w14:textId="77777777" w:rsidR="00FF401A" w:rsidRPr="00FF401A" w:rsidRDefault="00FF401A" w:rsidP="00411064">
      <w:pPr>
        <w:spacing w:line="276" w:lineRule="auto"/>
        <w:rPr>
          <w:rFonts w:cs="Calibri"/>
          <w:b/>
          <w:bCs/>
          <w:sz w:val="20"/>
          <w:szCs w:val="20"/>
        </w:rPr>
      </w:pPr>
      <w:r w:rsidRPr="00FF401A">
        <w:rPr>
          <w:rFonts w:cs="Calibri"/>
          <w:b/>
          <w:bCs/>
          <w:sz w:val="20"/>
          <w:szCs w:val="20"/>
        </w:rPr>
        <w:t>Konferenca: Učinkovitost, zaupanje, transparentnost</w:t>
      </w:r>
    </w:p>
    <w:p w14:paraId="79C55C39" w14:textId="77777777" w:rsidR="00FF401A" w:rsidRPr="00FF401A" w:rsidRDefault="00FF401A" w:rsidP="00411064">
      <w:pPr>
        <w:spacing w:line="276" w:lineRule="auto"/>
        <w:rPr>
          <w:rFonts w:cs="Calibri"/>
          <w:sz w:val="20"/>
          <w:szCs w:val="20"/>
        </w:rPr>
      </w:pPr>
      <w:r w:rsidRPr="00FF401A">
        <w:rPr>
          <w:rFonts w:cs="Calibri"/>
          <w:sz w:val="20"/>
          <w:szCs w:val="20"/>
        </w:rPr>
        <w:t xml:space="preserve">Na povabilo črnogorskega Urada za javna naročila, ki deluje pod okriljem </w:t>
      </w:r>
      <w:r w:rsidR="00AB3EB4">
        <w:rPr>
          <w:rFonts w:cs="Calibri"/>
          <w:sz w:val="20"/>
          <w:szCs w:val="20"/>
        </w:rPr>
        <w:t>MF</w:t>
      </w:r>
      <w:r w:rsidRPr="00FF401A">
        <w:rPr>
          <w:rFonts w:cs="Calibri"/>
          <w:sz w:val="20"/>
          <w:szCs w:val="20"/>
        </w:rPr>
        <w:t xml:space="preserve"> se je generalni direktor Direktorata za javno naročanje julija 2025 udeležil konference ob zaprtju 5. poglavja v pogajanjih z </w:t>
      </w:r>
      <w:r w:rsidR="00CF72F7">
        <w:rPr>
          <w:rFonts w:cs="Calibri"/>
          <w:sz w:val="20"/>
          <w:szCs w:val="20"/>
        </w:rPr>
        <w:t>EK</w:t>
      </w:r>
      <w:r w:rsidRPr="00FF401A">
        <w:rPr>
          <w:rFonts w:cs="Calibri"/>
          <w:sz w:val="20"/>
          <w:szCs w:val="20"/>
        </w:rPr>
        <w:t>, vezanega na javna naročanja.</w:t>
      </w:r>
    </w:p>
    <w:p w14:paraId="236FE454" w14:textId="77777777" w:rsidR="00FF401A" w:rsidRPr="00FF401A" w:rsidRDefault="00FF401A" w:rsidP="00411064">
      <w:pPr>
        <w:spacing w:line="276" w:lineRule="auto"/>
        <w:rPr>
          <w:rFonts w:cs="Calibri"/>
          <w:b/>
          <w:bCs/>
          <w:sz w:val="20"/>
          <w:szCs w:val="20"/>
          <w:u w:val="single"/>
        </w:rPr>
      </w:pPr>
    </w:p>
    <w:p w14:paraId="16973A78" w14:textId="77777777" w:rsidR="00FF401A" w:rsidRPr="00C23AB5" w:rsidRDefault="00FF401A" w:rsidP="00411064">
      <w:pPr>
        <w:spacing w:line="276" w:lineRule="auto"/>
        <w:rPr>
          <w:rFonts w:cs="Calibri"/>
          <w:b/>
          <w:bCs/>
          <w:sz w:val="20"/>
          <w:szCs w:val="20"/>
        </w:rPr>
      </w:pPr>
      <w:r w:rsidRPr="00C23AB5">
        <w:rPr>
          <w:rFonts w:cs="Calibri"/>
          <w:b/>
          <w:bCs/>
          <w:sz w:val="20"/>
          <w:szCs w:val="20"/>
        </w:rPr>
        <w:t>Severna Makedonija</w:t>
      </w:r>
    </w:p>
    <w:p w14:paraId="42AAB9CD" w14:textId="77777777" w:rsidR="002725B2" w:rsidRDefault="00FF401A" w:rsidP="00411064">
      <w:pPr>
        <w:spacing w:line="276" w:lineRule="auto"/>
        <w:rPr>
          <w:rFonts w:cs="Calibri"/>
          <w:b/>
          <w:bCs/>
          <w:sz w:val="20"/>
          <w:szCs w:val="20"/>
        </w:rPr>
      </w:pPr>
      <w:bookmarkStart w:id="36" w:name="_Hlk215471517"/>
      <w:r w:rsidRPr="00FF401A">
        <w:rPr>
          <w:rFonts w:cs="Calibri"/>
          <w:b/>
          <w:bCs/>
          <w:sz w:val="20"/>
          <w:szCs w:val="20"/>
        </w:rPr>
        <w:t xml:space="preserve">Podpis Memoranduma o sodelovanju </w:t>
      </w:r>
      <w:r w:rsidR="00D718F5">
        <w:rPr>
          <w:rFonts w:cs="Calibri"/>
          <w:b/>
          <w:bCs/>
          <w:sz w:val="20"/>
          <w:szCs w:val="20"/>
        </w:rPr>
        <w:t>MJU</w:t>
      </w:r>
      <w:r w:rsidRPr="00FF401A">
        <w:rPr>
          <w:rFonts w:cs="Calibri"/>
          <w:b/>
          <w:bCs/>
          <w:sz w:val="20"/>
          <w:szCs w:val="20"/>
        </w:rPr>
        <w:t xml:space="preserve"> z Ministrstvom za javno upravo Severne Makedonije </w:t>
      </w:r>
      <w:r w:rsidR="002725B2">
        <w:rPr>
          <w:rFonts w:cs="Calibri"/>
          <w:b/>
          <w:bCs/>
          <w:sz w:val="20"/>
          <w:szCs w:val="20"/>
        </w:rPr>
        <w:t>na področju reforme javne uprave</w:t>
      </w:r>
    </w:p>
    <w:p w14:paraId="2AA6CDC2" w14:textId="77777777" w:rsidR="00FF401A" w:rsidRPr="00FF401A" w:rsidRDefault="00FF401A" w:rsidP="00411064">
      <w:pPr>
        <w:spacing w:line="276" w:lineRule="auto"/>
        <w:rPr>
          <w:rFonts w:cs="Calibri"/>
          <w:sz w:val="20"/>
          <w:szCs w:val="20"/>
        </w:rPr>
      </w:pPr>
      <w:r w:rsidRPr="00FF401A">
        <w:rPr>
          <w:rFonts w:cs="Calibri"/>
          <w:sz w:val="20"/>
          <w:szCs w:val="20"/>
        </w:rPr>
        <w:t xml:space="preserve">Minister za javno upravo mag. Franc Props je aprila 2025 z delegacijo odpotoval v Skopje na podpis Memoranduma o sodelovanju med MJU in </w:t>
      </w:r>
      <w:r w:rsidR="002F2ED8">
        <w:rPr>
          <w:rFonts w:cs="Calibri"/>
          <w:sz w:val="20"/>
          <w:szCs w:val="20"/>
        </w:rPr>
        <w:t>ministrstvom za javno upravo</w:t>
      </w:r>
      <w:r w:rsidRPr="00FF401A">
        <w:rPr>
          <w:rFonts w:cs="Calibri"/>
          <w:sz w:val="20"/>
          <w:szCs w:val="20"/>
        </w:rPr>
        <w:t xml:space="preserve"> Severne Makedonije. Do podpisa Memoranduma je prišlo na pobudo severno makedonskega ministra za javno upravo Gorana Minčeva v okviru mednarodne konference, ki jo je oktobra 2024 organiziral MJU v sodelovanju z ReSPA. Dokument predstavlja skupno zavezo k nadaljnjemu spodbujanju meddržavnega sodelovanja za krepitev javne uprave in doseganju skupnih ciljev.</w:t>
      </w:r>
    </w:p>
    <w:p w14:paraId="5C304E9C" w14:textId="77777777" w:rsidR="00FF401A" w:rsidRPr="00FF401A" w:rsidRDefault="00FF401A" w:rsidP="00411064">
      <w:pPr>
        <w:spacing w:line="276" w:lineRule="auto"/>
        <w:rPr>
          <w:rFonts w:cs="Calibri"/>
          <w:sz w:val="20"/>
          <w:szCs w:val="20"/>
        </w:rPr>
      </w:pPr>
    </w:p>
    <w:p w14:paraId="4444AD49" w14:textId="77777777" w:rsidR="00FF401A" w:rsidRPr="00FF401A" w:rsidRDefault="00FF401A" w:rsidP="00411064">
      <w:pPr>
        <w:spacing w:line="276" w:lineRule="auto"/>
        <w:rPr>
          <w:rFonts w:cs="Calibri"/>
          <w:sz w:val="20"/>
          <w:szCs w:val="20"/>
        </w:rPr>
      </w:pPr>
      <w:r w:rsidRPr="00FF401A">
        <w:rPr>
          <w:rFonts w:cs="Calibri"/>
          <w:sz w:val="20"/>
          <w:szCs w:val="20"/>
        </w:rPr>
        <w:t>Ob robu podpisa so potekali tudi vsebinski pogovori o reformi javne uprave v Severni Makedoniji. Slovenski predstavniki so podelili izkušnje s sprejemom novega uslužbenskega in plačnega sistema v RS. S predstavniki institucij, pristojnih za javno naročanje, pa so izmenjali dobre prakse in izkušnje ter vzpostavili temelje za nadaljnje sodelovanje pri krepitvi konkurenčnosti in transparentnosti javnega naročanja.</w:t>
      </w:r>
    </w:p>
    <w:p w14:paraId="19B8919A" w14:textId="77777777" w:rsidR="00FF401A" w:rsidRPr="00FF401A" w:rsidRDefault="00FF401A" w:rsidP="00411064">
      <w:pPr>
        <w:spacing w:line="276" w:lineRule="auto"/>
        <w:rPr>
          <w:rFonts w:cs="Calibri"/>
          <w:sz w:val="20"/>
          <w:szCs w:val="20"/>
        </w:rPr>
      </w:pPr>
    </w:p>
    <w:bookmarkEnd w:id="36"/>
    <w:p w14:paraId="58B690BE" w14:textId="77777777" w:rsidR="00FF401A" w:rsidRPr="00FF401A" w:rsidRDefault="00FF401A" w:rsidP="00411064">
      <w:pPr>
        <w:spacing w:line="276" w:lineRule="auto"/>
        <w:rPr>
          <w:rFonts w:cs="Calibri"/>
          <w:b/>
          <w:bCs/>
          <w:sz w:val="20"/>
          <w:szCs w:val="20"/>
        </w:rPr>
      </w:pPr>
      <w:r w:rsidRPr="00FF401A">
        <w:rPr>
          <w:rFonts w:cs="Calibri"/>
          <w:b/>
          <w:bCs/>
          <w:sz w:val="20"/>
          <w:szCs w:val="20"/>
        </w:rPr>
        <w:t xml:space="preserve">Letna konferenca o lokalni samoupravi in decentralizaciji </w:t>
      </w:r>
      <w:r w:rsidRPr="00FF401A">
        <w:rPr>
          <w:rFonts w:cs="Calibri"/>
          <w:b/>
          <w:bCs/>
          <w:i/>
          <w:iCs/>
          <w:sz w:val="20"/>
          <w:szCs w:val="20"/>
        </w:rPr>
        <w:t>'Vizija za reforme za trajnostni razvoj in dostopne storitve za občane</w:t>
      </w:r>
      <w:r w:rsidRPr="00FF401A">
        <w:rPr>
          <w:rFonts w:cs="Calibri"/>
          <w:b/>
          <w:bCs/>
          <w:sz w:val="20"/>
          <w:szCs w:val="20"/>
        </w:rPr>
        <w:t>'</w:t>
      </w:r>
    </w:p>
    <w:p w14:paraId="6EDBB405" w14:textId="77777777" w:rsidR="00FF401A" w:rsidRPr="00FF401A" w:rsidRDefault="00FF401A" w:rsidP="00411064">
      <w:pPr>
        <w:spacing w:line="276" w:lineRule="auto"/>
        <w:rPr>
          <w:rFonts w:cs="Calibri"/>
          <w:sz w:val="20"/>
          <w:szCs w:val="20"/>
        </w:rPr>
      </w:pPr>
      <w:r w:rsidRPr="00FF401A">
        <w:rPr>
          <w:rFonts w:cs="Calibri"/>
          <w:sz w:val="20"/>
          <w:szCs w:val="20"/>
        </w:rPr>
        <w:t xml:space="preserve">Decembra 2025 je Ministrstvo za lokalno samoupravo Severne Makedonije v sodelovanju z Ministrstvom za digitalno transformacijo in v sodelovanju z </w:t>
      </w:r>
      <w:r w:rsidR="002F2ED8">
        <w:rPr>
          <w:rFonts w:cs="Calibri"/>
          <w:sz w:val="20"/>
          <w:szCs w:val="20"/>
        </w:rPr>
        <w:t>O</w:t>
      </w:r>
      <w:r w:rsidR="009B2715">
        <w:rPr>
          <w:rFonts w:cs="Calibri"/>
          <w:sz w:val="20"/>
          <w:szCs w:val="20"/>
        </w:rPr>
        <w:t xml:space="preserve">ZN </w:t>
      </w:r>
      <w:r w:rsidRPr="00FF401A">
        <w:rPr>
          <w:rFonts w:cs="Calibri"/>
          <w:sz w:val="20"/>
          <w:szCs w:val="20"/>
        </w:rPr>
        <w:t xml:space="preserve">– razvojni program </w:t>
      </w:r>
      <w:r w:rsidR="002F2ED8">
        <w:rPr>
          <w:rFonts w:cs="Calibri"/>
          <w:sz w:val="20"/>
          <w:szCs w:val="20"/>
        </w:rPr>
        <w:t>O</w:t>
      </w:r>
      <w:r w:rsidR="009B2715">
        <w:rPr>
          <w:rFonts w:cs="Calibri"/>
          <w:sz w:val="20"/>
          <w:szCs w:val="20"/>
        </w:rPr>
        <w:t>ZN</w:t>
      </w:r>
      <w:r w:rsidRPr="00FF401A">
        <w:rPr>
          <w:rFonts w:cs="Calibri"/>
          <w:sz w:val="20"/>
          <w:szCs w:val="20"/>
        </w:rPr>
        <w:t xml:space="preserve"> (UN PD Severna Makedonija) in ob podpori veleposlaništev Švice in Švedske, organiziralo letno konferenco, ki se jo je udeležil tudi predstavnik MJU ter predstavil slovensko ureditev lokalne samouprave in primere dobrih praks.</w:t>
      </w:r>
    </w:p>
    <w:p w14:paraId="7D960C57" w14:textId="77777777" w:rsidR="00FF401A" w:rsidRPr="00FF401A" w:rsidRDefault="00FF401A" w:rsidP="00411064">
      <w:pPr>
        <w:spacing w:line="276" w:lineRule="auto"/>
        <w:rPr>
          <w:rFonts w:cs="Calibri"/>
          <w:sz w:val="20"/>
          <w:szCs w:val="20"/>
        </w:rPr>
      </w:pPr>
    </w:p>
    <w:p w14:paraId="00644E6F" w14:textId="77777777" w:rsidR="00FF401A" w:rsidRPr="00C23AB5" w:rsidRDefault="00FF401A" w:rsidP="00411064">
      <w:pPr>
        <w:spacing w:line="276" w:lineRule="auto"/>
        <w:rPr>
          <w:b/>
          <w:bCs/>
          <w:sz w:val="20"/>
          <w:szCs w:val="20"/>
        </w:rPr>
      </w:pPr>
      <w:r w:rsidRPr="00C23AB5">
        <w:rPr>
          <w:b/>
          <w:bCs/>
          <w:sz w:val="20"/>
          <w:szCs w:val="20"/>
        </w:rPr>
        <w:t>Službene poti v regijo Z</w:t>
      </w:r>
      <w:r w:rsidR="00C23AB5">
        <w:rPr>
          <w:b/>
          <w:bCs/>
          <w:sz w:val="20"/>
          <w:szCs w:val="20"/>
        </w:rPr>
        <w:t xml:space="preserve">ahodnega </w:t>
      </w:r>
      <w:r w:rsidRPr="00C23AB5">
        <w:rPr>
          <w:b/>
          <w:bCs/>
          <w:sz w:val="20"/>
          <w:szCs w:val="20"/>
        </w:rPr>
        <w:t>B</w:t>
      </w:r>
      <w:r w:rsidR="00C23AB5">
        <w:rPr>
          <w:b/>
          <w:bCs/>
          <w:sz w:val="20"/>
          <w:szCs w:val="20"/>
        </w:rPr>
        <w:t>alkana</w:t>
      </w:r>
      <w:r w:rsidRPr="00C23AB5">
        <w:rPr>
          <w:b/>
          <w:bCs/>
          <w:sz w:val="20"/>
          <w:szCs w:val="20"/>
        </w:rPr>
        <w:t xml:space="preserve"> – pod okriljem </w:t>
      </w:r>
      <w:proofErr w:type="spellStart"/>
      <w:r w:rsidRPr="00C23AB5">
        <w:rPr>
          <w:b/>
          <w:bCs/>
          <w:sz w:val="20"/>
          <w:szCs w:val="20"/>
        </w:rPr>
        <w:t>ReSPA</w:t>
      </w:r>
      <w:proofErr w:type="spellEnd"/>
    </w:p>
    <w:p w14:paraId="2321B04C" w14:textId="77777777" w:rsidR="00FF401A" w:rsidRPr="002725B2" w:rsidRDefault="00FF401A" w:rsidP="00411064">
      <w:pPr>
        <w:spacing w:line="276" w:lineRule="auto"/>
        <w:rPr>
          <w:sz w:val="20"/>
          <w:szCs w:val="20"/>
        </w:rPr>
      </w:pPr>
      <w:r w:rsidRPr="00FF401A">
        <w:rPr>
          <w:sz w:val="20"/>
          <w:szCs w:val="20"/>
        </w:rPr>
        <w:t xml:space="preserve">V letu 2025 so se v mesecu marcu predstavniki MJU </w:t>
      </w:r>
      <w:r w:rsidRPr="002725B2">
        <w:rPr>
          <w:sz w:val="20"/>
          <w:szCs w:val="20"/>
        </w:rPr>
        <w:t xml:space="preserve">udeležili </w:t>
      </w:r>
      <w:r w:rsidRPr="006C0DAC">
        <w:rPr>
          <w:sz w:val="20"/>
          <w:szCs w:val="20"/>
        </w:rPr>
        <w:t>RESPA - delavnice o plačnih sistemih javnih uslužbencev in njihovih reformah</w:t>
      </w:r>
      <w:r w:rsidRPr="002725B2">
        <w:rPr>
          <w:sz w:val="20"/>
          <w:szCs w:val="20"/>
        </w:rPr>
        <w:t>. J</w:t>
      </w:r>
      <w:r w:rsidRPr="00C90298">
        <w:rPr>
          <w:sz w:val="20"/>
          <w:szCs w:val="20"/>
        </w:rPr>
        <w:t xml:space="preserve">unija so predstavniki MJU v Črni Gori na </w:t>
      </w:r>
      <w:r w:rsidRPr="006C0DAC">
        <w:rPr>
          <w:sz w:val="20"/>
          <w:szCs w:val="20"/>
        </w:rPr>
        <w:t>ReSPA Seasonal School on Talent Management: Structured Succession Planning for Future-Ready Public Administrations</w:t>
      </w:r>
      <w:r w:rsidRPr="002725B2">
        <w:rPr>
          <w:sz w:val="20"/>
          <w:szCs w:val="20"/>
        </w:rPr>
        <w:t xml:space="preserve">, </w:t>
      </w:r>
      <w:r w:rsidRPr="00C90298">
        <w:rPr>
          <w:sz w:val="20"/>
          <w:szCs w:val="20"/>
        </w:rPr>
        <w:t xml:space="preserve">izmenjevali dobre prakse. Oktobra so se predstavniki MJU v Črni Gori udeležili </w:t>
      </w:r>
      <w:r w:rsidRPr="006C0DAC">
        <w:rPr>
          <w:rFonts w:cs="Calibri"/>
          <w:color w:val="000000"/>
          <w:sz w:val="20"/>
          <w:szCs w:val="20"/>
        </w:rPr>
        <w:t>Sestanka DISPA (direktorji evropskih šol in inštitutov za javno upravo)</w:t>
      </w:r>
      <w:r w:rsidRPr="002725B2">
        <w:rPr>
          <w:rFonts w:cs="Calibri"/>
          <w:color w:val="000000"/>
          <w:sz w:val="20"/>
          <w:szCs w:val="20"/>
        </w:rPr>
        <w:t xml:space="preserve"> na </w:t>
      </w:r>
      <w:r w:rsidRPr="00C90298">
        <w:rPr>
          <w:rFonts w:cs="Calibri"/>
          <w:sz w:val="20"/>
          <w:szCs w:val="20"/>
        </w:rPr>
        <w:t>temo: Priprava javnih uslužbencev na prihodnost – vodenje skozi krize ob hkratnem doseganju rezultatov</w:t>
      </w:r>
      <w:r w:rsidRPr="00C90298">
        <w:rPr>
          <w:sz w:val="20"/>
          <w:szCs w:val="20"/>
        </w:rPr>
        <w:t xml:space="preserve">. Novembra pa je generalni direktor Direktorata za javni sektor sodeloval na okrogli mizi </w:t>
      </w:r>
      <w:r w:rsidRPr="006C0DAC">
        <w:rPr>
          <w:sz w:val="20"/>
          <w:szCs w:val="20"/>
        </w:rPr>
        <w:t>RESPA Western Balkans Ministerial Dialogue</w:t>
      </w:r>
      <w:r w:rsidRPr="002725B2">
        <w:rPr>
          <w:sz w:val="20"/>
          <w:szCs w:val="20"/>
        </w:rPr>
        <w:t>, ki je potekala v Rimu</w:t>
      </w:r>
      <w:r w:rsidRPr="00C90298">
        <w:rPr>
          <w:sz w:val="20"/>
          <w:szCs w:val="20"/>
        </w:rPr>
        <w:t>.</w:t>
      </w:r>
    </w:p>
    <w:p w14:paraId="5E752163" w14:textId="77777777" w:rsidR="00D83591" w:rsidRDefault="00D83591" w:rsidP="00411064">
      <w:pPr>
        <w:spacing w:line="276" w:lineRule="auto"/>
        <w:rPr>
          <w:rFonts w:eastAsia="Times New Roman"/>
          <w:noProof/>
          <w:sz w:val="20"/>
          <w:szCs w:val="20"/>
          <w:highlight w:val="yellow"/>
        </w:rPr>
      </w:pPr>
    </w:p>
    <w:p w14:paraId="4E8EA9A8" w14:textId="77777777" w:rsidR="00627CE8" w:rsidRPr="002D417C" w:rsidRDefault="00627CE8" w:rsidP="00411064">
      <w:pPr>
        <w:autoSpaceDE w:val="0"/>
        <w:autoSpaceDN w:val="0"/>
        <w:adjustRightInd w:val="0"/>
        <w:spacing w:line="276" w:lineRule="auto"/>
        <w:rPr>
          <w:rFonts w:eastAsia="Times New Roman"/>
          <w:b/>
          <w:iCs/>
          <w:sz w:val="20"/>
          <w:szCs w:val="20"/>
        </w:rPr>
      </w:pPr>
      <w:r w:rsidRPr="002D417C">
        <w:rPr>
          <w:rFonts w:eastAsia="Times New Roman"/>
          <w:b/>
          <w:iCs/>
          <w:sz w:val="20"/>
          <w:szCs w:val="20"/>
        </w:rPr>
        <w:t>MDP</w:t>
      </w:r>
    </w:p>
    <w:p w14:paraId="520F71F0" w14:textId="77777777" w:rsidR="00627CE8" w:rsidRPr="002D417C" w:rsidRDefault="00627CE8" w:rsidP="00411064">
      <w:pPr>
        <w:spacing w:line="276" w:lineRule="auto"/>
        <w:rPr>
          <w:sz w:val="20"/>
          <w:szCs w:val="20"/>
        </w:rPr>
      </w:pPr>
    </w:p>
    <w:p w14:paraId="3592F136" w14:textId="77777777" w:rsidR="00950DD2" w:rsidRPr="00C23AB5" w:rsidRDefault="00950DD2" w:rsidP="00411064">
      <w:pPr>
        <w:autoSpaceDE w:val="0"/>
        <w:autoSpaceDN w:val="0"/>
        <w:adjustRightInd w:val="0"/>
        <w:spacing w:line="276" w:lineRule="auto"/>
        <w:rPr>
          <w:b/>
          <w:bCs/>
          <w:sz w:val="20"/>
          <w:szCs w:val="20"/>
        </w:rPr>
      </w:pPr>
      <w:r w:rsidRPr="00C23AB5">
        <w:rPr>
          <w:b/>
          <w:bCs/>
          <w:sz w:val="20"/>
          <w:szCs w:val="20"/>
        </w:rPr>
        <w:t xml:space="preserve">Študijski obisk predstavnikov Severne Makedonije, Kosova, Srbije, Črne gore, Albanije ter </w:t>
      </w:r>
      <w:r w:rsidR="002725B2" w:rsidRPr="00C23AB5">
        <w:rPr>
          <w:b/>
          <w:bCs/>
          <w:sz w:val="20"/>
          <w:szCs w:val="20"/>
        </w:rPr>
        <w:t>BiH</w:t>
      </w:r>
    </w:p>
    <w:p w14:paraId="613C631B" w14:textId="77777777" w:rsidR="00950DD2" w:rsidRPr="00950DD2" w:rsidRDefault="00950DD2" w:rsidP="00411064">
      <w:pPr>
        <w:autoSpaceDE w:val="0"/>
        <w:autoSpaceDN w:val="0"/>
        <w:adjustRightInd w:val="0"/>
        <w:spacing w:line="276" w:lineRule="auto"/>
        <w:rPr>
          <w:sz w:val="20"/>
          <w:szCs w:val="20"/>
        </w:rPr>
      </w:pPr>
      <w:r w:rsidRPr="00950DD2">
        <w:rPr>
          <w:sz w:val="20"/>
          <w:szCs w:val="20"/>
        </w:rPr>
        <w:t xml:space="preserve">24. </w:t>
      </w:r>
      <w:r w:rsidR="00ED66AE">
        <w:rPr>
          <w:rFonts w:eastAsia="Calibri"/>
          <w:sz w:val="20"/>
          <w:szCs w:val="20"/>
          <w:lang w:eastAsia="sl-SI"/>
        </w:rPr>
        <w:t>oktobra</w:t>
      </w:r>
      <w:r w:rsidRPr="00950DD2">
        <w:rPr>
          <w:sz w:val="20"/>
          <w:szCs w:val="20"/>
        </w:rPr>
        <w:t xml:space="preserve"> 2025 je na ministrstvu potekal študijski obisk na temo digitalnih javnih storitev in digitalne identitete, ki sta ga organizirala projekt EU4Digital in RCC v sodelovanju z </w:t>
      </w:r>
      <w:r w:rsidR="002725B2">
        <w:rPr>
          <w:sz w:val="20"/>
          <w:szCs w:val="20"/>
        </w:rPr>
        <w:t>MDP</w:t>
      </w:r>
      <w:r w:rsidRPr="00950DD2">
        <w:rPr>
          <w:sz w:val="20"/>
          <w:szCs w:val="20"/>
        </w:rPr>
        <w:t xml:space="preserve">. Dogodka so se udeležili predstavniki Severne Makedonije, Kosova, Srbije, Črne gore, Albanije ter </w:t>
      </w:r>
      <w:r w:rsidR="002725B2">
        <w:rPr>
          <w:sz w:val="20"/>
          <w:szCs w:val="20"/>
        </w:rPr>
        <w:t>BiH</w:t>
      </w:r>
      <w:r w:rsidRPr="00950DD2">
        <w:rPr>
          <w:sz w:val="20"/>
          <w:szCs w:val="20"/>
        </w:rPr>
        <w:t xml:space="preserve">, ki so se seznanili z najnovejšimi pristopi in praksami </w:t>
      </w:r>
      <w:r w:rsidR="002725B2">
        <w:rPr>
          <w:sz w:val="20"/>
          <w:szCs w:val="20"/>
        </w:rPr>
        <w:t>RS</w:t>
      </w:r>
      <w:r w:rsidRPr="00950DD2">
        <w:rPr>
          <w:sz w:val="20"/>
          <w:szCs w:val="20"/>
        </w:rPr>
        <w:t xml:space="preserve"> na področju razvoja digitalne družbe. Študijski obisk je bil namenjen tudi izmenjavi dobrih praks ter krepitvi regionalnega sodelovanja med državami Zahodnega Balkana pri uvajanju evropskih digitalnih standardov.</w:t>
      </w:r>
    </w:p>
    <w:p w14:paraId="64B2EF61" w14:textId="77777777" w:rsidR="00950DD2" w:rsidRPr="00950DD2" w:rsidRDefault="00950DD2" w:rsidP="00411064">
      <w:pPr>
        <w:autoSpaceDE w:val="0"/>
        <w:autoSpaceDN w:val="0"/>
        <w:adjustRightInd w:val="0"/>
        <w:spacing w:line="276" w:lineRule="auto"/>
        <w:rPr>
          <w:sz w:val="20"/>
          <w:szCs w:val="20"/>
        </w:rPr>
      </w:pPr>
    </w:p>
    <w:p w14:paraId="3F963DA5" w14:textId="77777777" w:rsidR="00950DD2" w:rsidRPr="00C23AB5" w:rsidRDefault="00D2033B" w:rsidP="00411064">
      <w:pPr>
        <w:autoSpaceDE w:val="0"/>
        <w:autoSpaceDN w:val="0"/>
        <w:adjustRightInd w:val="0"/>
        <w:spacing w:line="276" w:lineRule="auto"/>
        <w:rPr>
          <w:b/>
          <w:bCs/>
          <w:sz w:val="20"/>
          <w:szCs w:val="20"/>
        </w:rPr>
      </w:pPr>
      <w:r>
        <w:rPr>
          <w:b/>
          <w:sz w:val="20"/>
          <w:szCs w:val="20"/>
        </w:rPr>
        <w:t>BiH</w:t>
      </w:r>
    </w:p>
    <w:p w14:paraId="01C7C1E1" w14:textId="77777777" w:rsidR="00950DD2" w:rsidRPr="00950DD2" w:rsidRDefault="00950DD2" w:rsidP="00411064">
      <w:pPr>
        <w:autoSpaceDE w:val="0"/>
        <w:autoSpaceDN w:val="0"/>
        <w:adjustRightInd w:val="0"/>
        <w:spacing w:line="276" w:lineRule="auto"/>
        <w:rPr>
          <w:sz w:val="20"/>
          <w:szCs w:val="20"/>
        </w:rPr>
      </w:pPr>
      <w:r w:rsidRPr="00950DD2">
        <w:rPr>
          <w:sz w:val="20"/>
          <w:szCs w:val="20"/>
        </w:rPr>
        <w:t xml:space="preserve">21. </w:t>
      </w:r>
      <w:r w:rsidR="00ED66AE">
        <w:rPr>
          <w:sz w:val="20"/>
          <w:szCs w:val="20"/>
        </w:rPr>
        <w:t xml:space="preserve">maja </w:t>
      </w:r>
      <w:r w:rsidRPr="00950DD2">
        <w:rPr>
          <w:sz w:val="20"/>
          <w:szCs w:val="20"/>
        </w:rPr>
        <w:t>2025 se je ministrica za digitalno preobrazbo mag. Ksenija Klampfer udeležila Sarajevskega poslovnega foruma (SBF), najpomembnejšega investicijsko-poslovnega dogodka v regiji Zahodnega Balkana. Ministrica Klampfer je imela na dogodku uvodni nagovor, v katerem je poudarila, da digitalna preobrazba ne pozna meja, zato je še toliko bolj pomembno, da države sodelujejo, si izmenjujejo znanje in skupaj gradijo vključujočo digitalno prihodnost. V okviru foruma je potekala tudi razprava z naslovom »Krepitev podjetij s pomočjo tehnologije in inovacij,« na katerem je sodelovala državna sekretarka dr. Aida Kamišalić Latifić.</w:t>
      </w:r>
    </w:p>
    <w:p w14:paraId="67658D88" w14:textId="77777777" w:rsidR="00950DD2" w:rsidRPr="00950DD2" w:rsidRDefault="00950DD2" w:rsidP="00411064">
      <w:pPr>
        <w:autoSpaceDE w:val="0"/>
        <w:autoSpaceDN w:val="0"/>
        <w:adjustRightInd w:val="0"/>
        <w:spacing w:line="276" w:lineRule="auto"/>
        <w:rPr>
          <w:sz w:val="20"/>
          <w:szCs w:val="20"/>
        </w:rPr>
      </w:pPr>
    </w:p>
    <w:p w14:paraId="3DF38E79" w14:textId="77777777" w:rsidR="00950DD2" w:rsidRPr="00950DD2" w:rsidRDefault="00950DD2" w:rsidP="00411064">
      <w:pPr>
        <w:autoSpaceDE w:val="0"/>
        <w:autoSpaceDN w:val="0"/>
        <w:adjustRightInd w:val="0"/>
        <w:spacing w:line="276" w:lineRule="auto"/>
        <w:rPr>
          <w:sz w:val="20"/>
          <w:szCs w:val="20"/>
        </w:rPr>
      </w:pPr>
      <w:r w:rsidRPr="00950DD2">
        <w:rPr>
          <w:sz w:val="20"/>
          <w:szCs w:val="20"/>
        </w:rPr>
        <w:t xml:space="preserve">Ob robu foruma je ministrica Klampfer skupaj z ministrom za komunikacije in promet </w:t>
      </w:r>
      <w:r w:rsidR="002725B2">
        <w:rPr>
          <w:sz w:val="20"/>
          <w:szCs w:val="20"/>
        </w:rPr>
        <w:t xml:space="preserve">BiH </w:t>
      </w:r>
      <w:r w:rsidRPr="00950DD2">
        <w:rPr>
          <w:sz w:val="20"/>
          <w:szCs w:val="20"/>
        </w:rPr>
        <w:t xml:space="preserve">Edinom Fortom podpisala Memorandum o soglasju o sodelovanju na področju digitalne preobrazbe med državama. Po podpisu memoranduma sta nato ministrica in državna sekretarka opravili še bilateralni pogovor z ministrom Fortom in direktorjem Agencije za identifikacione dokumente, evidenciju i razmjenu podataka Bosne i Hercegovine (IDDEEA) dr. Almirjem Badnjevićem. Pogovor je tekel o načrtih krepitve sodelovanja, ki jo bo omogočil podpis memoranduma in pomoči </w:t>
      </w:r>
      <w:r w:rsidR="00C70B94">
        <w:rPr>
          <w:sz w:val="20"/>
          <w:szCs w:val="20"/>
        </w:rPr>
        <w:t>RS</w:t>
      </w:r>
      <w:r w:rsidRPr="00950DD2">
        <w:rPr>
          <w:sz w:val="20"/>
          <w:szCs w:val="20"/>
        </w:rPr>
        <w:t xml:space="preserve"> pri integraciji </w:t>
      </w:r>
      <w:r w:rsidR="00945E65">
        <w:rPr>
          <w:sz w:val="20"/>
          <w:szCs w:val="20"/>
        </w:rPr>
        <w:t>BiH</w:t>
      </w:r>
      <w:r w:rsidRPr="00950DD2">
        <w:rPr>
          <w:sz w:val="20"/>
          <w:szCs w:val="20"/>
        </w:rPr>
        <w:t xml:space="preserve"> v </w:t>
      </w:r>
      <w:r w:rsidR="002725B2">
        <w:rPr>
          <w:sz w:val="20"/>
          <w:szCs w:val="20"/>
        </w:rPr>
        <w:t>EU</w:t>
      </w:r>
      <w:r w:rsidRPr="00950DD2">
        <w:rPr>
          <w:sz w:val="20"/>
          <w:szCs w:val="20"/>
        </w:rPr>
        <w:t xml:space="preserve"> predvsem na področju digitalizacije, kibernetske varnosti in evropskih projektov.</w:t>
      </w:r>
    </w:p>
    <w:p w14:paraId="43AD904C" w14:textId="77777777" w:rsidR="00950DD2" w:rsidRPr="00950DD2" w:rsidRDefault="00950DD2" w:rsidP="00411064">
      <w:pPr>
        <w:autoSpaceDE w:val="0"/>
        <w:autoSpaceDN w:val="0"/>
        <w:adjustRightInd w:val="0"/>
        <w:spacing w:line="276" w:lineRule="auto"/>
        <w:rPr>
          <w:sz w:val="20"/>
          <w:szCs w:val="20"/>
        </w:rPr>
      </w:pPr>
    </w:p>
    <w:p w14:paraId="7485935D" w14:textId="77777777" w:rsidR="00950DD2" w:rsidRPr="00950DD2" w:rsidRDefault="00950DD2" w:rsidP="00411064">
      <w:pPr>
        <w:autoSpaceDE w:val="0"/>
        <w:autoSpaceDN w:val="0"/>
        <w:adjustRightInd w:val="0"/>
        <w:spacing w:line="276" w:lineRule="auto"/>
        <w:rPr>
          <w:sz w:val="20"/>
          <w:szCs w:val="20"/>
        </w:rPr>
      </w:pPr>
      <w:r w:rsidRPr="00950DD2">
        <w:rPr>
          <w:sz w:val="20"/>
          <w:szCs w:val="20"/>
        </w:rPr>
        <w:t xml:space="preserve">18. </w:t>
      </w:r>
      <w:r w:rsidR="00ED66AE">
        <w:rPr>
          <w:sz w:val="20"/>
          <w:szCs w:val="20"/>
        </w:rPr>
        <w:t>novembra</w:t>
      </w:r>
      <w:r w:rsidRPr="00950DD2">
        <w:rPr>
          <w:sz w:val="20"/>
          <w:szCs w:val="20"/>
        </w:rPr>
        <w:t xml:space="preserve"> 2025 je državna sekretarka dr. Aida Kamišalić Latifić na </w:t>
      </w:r>
      <w:r w:rsidR="002725B2">
        <w:rPr>
          <w:sz w:val="20"/>
          <w:szCs w:val="20"/>
        </w:rPr>
        <w:t>MDP</w:t>
      </w:r>
      <w:r w:rsidRPr="00950DD2">
        <w:rPr>
          <w:sz w:val="20"/>
          <w:szCs w:val="20"/>
        </w:rPr>
        <w:t xml:space="preserve"> sprejela delegacijo Kantona Sarajevo, ki jo je vodila ministrica za pravosodje in upravo Darja Softić Kadenić, spremljali pa so jo predstavniki s področja javne uprave, digitalne preobrazbe, zakonodaje ter informatike in statistike. Predstavniki so izrazili interes za boljše razumevanje organizacijske strukture in usklajevanja digitalne preobrazbe, razvoja nacionalnih e-storitev in zalednih informacijskih sistemov ter uporabniške dostopnosti v </w:t>
      </w:r>
      <w:r w:rsidR="002725B2">
        <w:rPr>
          <w:sz w:val="20"/>
          <w:szCs w:val="20"/>
        </w:rPr>
        <w:t>RS</w:t>
      </w:r>
      <w:r w:rsidRPr="00950DD2">
        <w:rPr>
          <w:sz w:val="20"/>
          <w:szCs w:val="20"/>
        </w:rPr>
        <w:t>. Po predstavitvah sta obe strani izrazili pripravljenost za krepitev sodelovanja predvsem na področjih digitalnih javnih storitev, tehnične in semantične interoperabilnosti, kibernetske varnosti državne uprave, državnega računalniškega oblaka ter izobraževalnih programov za razvoj digitalnih kompetenc.</w:t>
      </w:r>
    </w:p>
    <w:p w14:paraId="43735C3C" w14:textId="77777777" w:rsidR="00950DD2" w:rsidRPr="00950DD2" w:rsidRDefault="00950DD2" w:rsidP="00411064">
      <w:pPr>
        <w:autoSpaceDE w:val="0"/>
        <w:autoSpaceDN w:val="0"/>
        <w:adjustRightInd w:val="0"/>
        <w:spacing w:line="276" w:lineRule="auto"/>
        <w:rPr>
          <w:sz w:val="20"/>
          <w:szCs w:val="20"/>
        </w:rPr>
      </w:pPr>
    </w:p>
    <w:p w14:paraId="3BA6309B" w14:textId="77777777" w:rsidR="00627CE8" w:rsidRPr="00140B34" w:rsidRDefault="00950DD2" w:rsidP="00411064">
      <w:pPr>
        <w:autoSpaceDE w:val="0"/>
        <w:autoSpaceDN w:val="0"/>
        <w:adjustRightInd w:val="0"/>
        <w:spacing w:line="276" w:lineRule="auto"/>
        <w:rPr>
          <w:rFonts w:eastAsia="Times New Roman"/>
          <w:b/>
          <w:iCs/>
          <w:sz w:val="20"/>
          <w:szCs w:val="20"/>
          <w:highlight w:val="yellow"/>
        </w:rPr>
      </w:pPr>
      <w:r w:rsidRPr="00950DD2">
        <w:rPr>
          <w:sz w:val="20"/>
          <w:szCs w:val="20"/>
        </w:rPr>
        <w:t xml:space="preserve">2. </w:t>
      </w:r>
      <w:r w:rsidR="00ED66AE">
        <w:rPr>
          <w:sz w:val="20"/>
          <w:szCs w:val="20"/>
        </w:rPr>
        <w:t>decembra</w:t>
      </w:r>
      <w:r w:rsidRPr="00950DD2">
        <w:rPr>
          <w:sz w:val="20"/>
          <w:szCs w:val="20"/>
        </w:rPr>
        <w:t xml:space="preserve"> 2025 je UNDP v </w:t>
      </w:r>
      <w:r w:rsidR="002725B2">
        <w:rPr>
          <w:sz w:val="20"/>
          <w:szCs w:val="20"/>
        </w:rPr>
        <w:t>BiH</w:t>
      </w:r>
      <w:r w:rsidRPr="00950DD2">
        <w:rPr>
          <w:sz w:val="20"/>
          <w:szCs w:val="20"/>
        </w:rPr>
        <w:t xml:space="preserve"> organiziral spletno dvodnevno izobraževanje za javne uslužbence na temo odgovorne in strateške uporabe umetne inteligence v delo javne uprave. Na dogodku sta nastopila tudi predstavnika </w:t>
      </w:r>
      <w:r w:rsidR="002725B2">
        <w:rPr>
          <w:sz w:val="20"/>
          <w:szCs w:val="20"/>
        </w:rPr>
        <w:t>MDP</w:t>
      </w:r>
      <w:r w:rsidRPr="00950DD2">
        <w:rPr>
          <w:sz w:val="20"/>
          <w:szCs w:val="20"/>
        </w:rPr>
        <w:t xml:space="preserve">, ki sta predstavila strateški in politični okvir umetne inteligence v </w:t>
      </w:r>
      <w:r w:rsidR="002725B2">
        <w:rPr>
          <w:sz w:val="20"/>
          <w:szCs w:val="20"/>
        </w:rPr>
        <w:t>RS</w:t>
      </w:r>
      <w:r w:rsidR="002725B2" w:rsidRPr="00950DD2">
        <w:rPr>
          <w:sz w:val="20"/>
          <w:szCs w:val="20"/>
        </w:rPr>
        <w:t xml:space="preserve"> </w:t>
      </w:r>
      <w:r w:rsidRPr="00950DD2">
        <w:rPr>
          <w:sz w:val="20"/>
          <w:szCs w:val="20"/>
        </w:rPr>
        <w:t>ter prikazala, kako se ta tehnologija v praksi uvaja v slovensko javno upravo. Posebno pozornost sta namenila konkretnim pilotnim projektom, ki prikazujejo učinkovito in varno rabo umetne inteligence v delovanju državnih organov.</w:t>
      </w:r>
    </w:p>
    <w:p w14:paraId="71A376BC" w14:textId="77777777" w:rsidR="00950DD2" w:rsidRDefault="00950DD2" w:rsidP="00411064">
      <w:pPr>
        <w:autoSpaceDE w:val="0"/>
        <w:autoSpaceDN w:val="0"/>
        <w:adjustRightInd w:val="0"/>
        <w:spacing w:line="276" w:lineRule="auto"/>
        <w:rPr>
          <w:rFonts w:eastAsia="Times New Roman"/>
          <w:b/>
          <w:iCs/>
          <w:sz w:val="20"/>
          <w:szCs w:val="20"/>
        </w:rPr>
      </w:pPr>
    </w:p>
    <w:p w14:paraId="270EEEA1" w14:textId="77777777" w:rsidR="00A209B7" w:rsidRPr="00260C4F" w:rsidRDefault="00A209B7" w:rsidP="00411064">
      <w:pPr>
        <w:autoSpaceDE w:val="0"/>
        <w:autoSpaceDN w:val="0"/>
        <w:adjustRightInd w:val="0"/>
        <w:spacing w:line="276" w:lineRule="auto"/>
        <w:rPr>
          <w:rFonts w:eastAsia="Times New Roman"/>
          <w:b/>
          <w:iCs/>
          <w:sz w:val="20"/>
          <w:szCs w:val="20"/>
        </w:rPr>
      </w:pPr>
      <w:r w:rsidRPr="00260C4F">
        <w:rPr>
          <w:rFonts w:eastAsia="Times New Roman"/>
          <w:b/>
          <w:iCs/>
          <w:sz w:val="20"/>
          <w:szCs w:val="20"/>
        </w:rPr>
        <w:t xml:space="preserve">Urad </w:t>
      </w:r>
      <w:r w:rsidR="00511614" w:rsidRPr="00260C4F">
        <w:rPr>
          <w:rFonts w:eastAsia="Times New Roman"/>
          <w:b/>
          <w:iCs/>
          <w:sz w:val="20"/>
          <w:szCs w:val="20"/>
        </w:rPr>
        <w:t xml:space="preserve">Vlade </w:t>
      </w:r>
      <w:r w:rsidRPr="00260C4F">
        <w:rPr>
          <w:rFonts w:eastAsia="Times New Roman"/>
          <w:b/>
          <w:iCs/>
          <w:sz w:val="20"/>
          <w:szCs w:val="20"/>
        </w:rPr>
        <w:t>RS za informacijsko varnost (URSIV)</w:t>
      </w:r>
    </w:p>
    <w:p w14:paraId="02E5525C" w14:textId="77777777" w:rsidR="00A209B7" w:rsidRPr="00140B34" w:rsidRDefault="00A209B7" w:rsidP="00411064">
      <w:pPr>
        <w:autoSpaceDE w:val="0"/>
        <w:autoSpaceDN w:val="0"/>
        <w:adjustRightInd w:val="0"/>
        <w:spacing w:line="276" w:lineRule="auto"/>
        <w:rPr>
          <w:rFonts w:eastAsia="Times New Roman"/>
          <w:iCs/>
          <w:sz w:val="20"/>
          <w:szCs w:val="20"/>
          <w:highlight w:val="yellow"/>
        </w:rPr>
      </w:pPr>
    </w:p>
    <w:p w14:paraId="32954BEB" w14:textId="77777777" w:rsidR="00726309" w:rsidRPr="00726309" w:rsidRDefault="00726309" w:rsidP="00411064">
      <w:pPr>
        <w:spacing w:line="276" w:lineRule="auto"/>
        <w:rPr>
          <w:sz w:val="20"/>
          <w:szCs w:val="20"/>
        </w:rPr>
      </w:pPr>
      <w:r w:rsidRPr="00726309">
        <w:rPr>
          <w:sz w:val="20"/>
          <w:szCs w:val="20"/>
        </w:rPr>
        <w:t>URSIV je v letu 2025 nadaljeval aktivnosti na Zahodnem Balkanu oz. v okviru Centra za krepitev kibernetskih zmogljivosti na Zahodnem Balkanu – WB3C (Western Balkans Cyber Capacity Centre). Dejavnosti so bile usmerjene v prenos znanja, krepitev zmogljivosti in podporo usklajevanju z evropskimi standardi in zakonodajo na področju kibernetske varnosti.</w:t>
      </w:r>
    </w:p>
    <w:p w14:paraId="248E4E91" w14:textId="77777777" w:rsidR="00726309" w:rsidRPr="00726309" w:rsidRDefault="00726309" w:rsidP="00411064">
      <w:pPr>
        <w:spacing w:line="276" w:lineRule="auto"/>
        <w:rPr>
          <w:sz w:val="20"/>
          <w:szCs w:val="20"/>
        </w:rPr>
      </w:pPr>
    </w:p>
    <w:p w14:paraId="0268D324" w14:textId="77777777" w:rsidR="00726309" w:rsidRPr="00726309" w:rsidRDefault="00726309" w:rsidP="00411064">
      <w:pPr>
        <w:spacing w:line="276" w:lineRule="auto"/>
        <w:rPr>
          <w:sz w:val="20"/>
          <w:szCs w:val="20"/>
        </w:rPr>
      </w:pPr>
      <w:r w:rsidRPr="00726309">
        <w:rPr>
          <w:sz w:val="20"/>
          <w:szCs w:val="20"/>
        </w:rPr>
        <w:t>V letu 2025 je URSIV tako izvedel tri izobraževanja. Prvo je bilo posvečeno državnim uradnikom. Izobraževanje je vključevalo t.</w:t>
      </w:r>
      <w:r w:rsidR="00903C91">
        <w:rPr>
          <w:sz w:val="20"/>
          <w:szCs w:val="20"/>
        </w:rPr>
        <w:t xml:space="preserve"> </w:t>
      </w:r>
      <w:r w:rsidRPr="00726309">
        <w:rPr>
          <w:sz w:val="20"/>
          <w:szCs w:val="20"/>
        </w:rPr>
        <w:t>i. ujemi zastavico (capture the flag) tekmovanje in zajemalo ključne teme, kot so kibernetske grožnje, phishing napadi, varstvo podatkov, upravljanje tveganj in odzivanje na incidente. Skozi interaktivne delavnice, praktične vaje in študije primerov so udeleženci pridobili znanja za prepoznavanje kibernetskih groženj, učinkovito odzivanje na incidente ter implementacijo ustreznih varnostnih politik v svojih institucijah.</w:t>
      </w:r>
    </w:p>
    <w:p w14:paraId="0A78C3FA" w14:textId="77777777" w:rsidR="00726309" w:rsidRPr="00726309" w:rsidRDefault="00726309" w:rsidP="00411064">
      <w:pPr>
        <w:spacing w:line="276" w:lineRule="auto"/>
        <w:rPr>
          <w:sz w:val="20"/>
          <w:szCs w:val="20"/>
        </w:rPr>
      </w:pPr>
    </w:p>
    <w:p w14:paraId="560314A1" w14:textId="77777777" w:rsidR="00726309" w:rsidRPr="00726309" w:rsidRDefault="00726309" w:rsidP="00411064">
      <w:pPr>
        <w:spacing w:line="276" w:lineRule="auto"/>
        <w:rPr>
          <w:sz w:val="20"/>
          <w:szCs w:val="20"/>
        </w:rPr>
      </w:pPr>
      <w:r w:rsidRPr="00726309">
        <w:rPr>
          <w:sz w:val="20"/>
          <w:szCs w:val="20"/>
        </w:rPr>
        <w:t>Drugo izobraževanje je bilo podobno prvemu, le da je bilo namenjeno predstavnikom kritične infrastrukture šestih držav Zahodnega Balkana – energetika, promet, zdravstvo in oskrba z vodo.</w:t>
      </w:r>
    </w:p>
    <w:p w14:paraId="4F3B47E8" w14:textId="77777777" w:rsidR="00726309" w:rsidRPr="00726309" w:rsidRDefault="00726309" w:rsidP="00411064">
      <w:pPr>
        <w:spacing w:line="276" w:lineRule="auto"/>
        <w:rPr>
          <w:sz w:val="20"/>
          <w:szCs w:val="20"/>
        </w:rPr>
      </w:pPr>
    </w:p>
    <w:p w14:paraId="304281A0" w14:textId="77777777" w:rsidR="00726309" w:rsidRPr="00726309" w:rsidRDefault="00726309" w:rsidP="00411064">
      <w:pPr>
        <w:spacing w:line="276" w:lineRule="auto"/>
        <w:rPr>
          <w:sz w:val="20"/>
          <w:szCs w:val="20"/>
        </w:rPr>
      </w:pPr>
      <w:r w:rsidRPr="00726309">
        <w:rPr>
          <w:sz w:val="20"/>
          <w:szCs w:val="20"/>
        </w:rPr>
        <w:t>Tretje izobraževanje pa je bilo usmerjeno v načine organizacije programov ozaveščanja o kibernetski varnosti in zahtevah Direktive NIS2. URSIV ga je organiziral skupaj s svojo sestrsko organizacijo iz Romunije – Romunski nacionalni direktorat za kibernetsko varnost. Ciljna skupina so bili javni uslužbenci v pristojnih nacionalnih organih za kibernetsko varnost. Namen tega izobraževanja je bil izobraziti pristojne ljudi o načinu načrtovanja in vsebinah kampanj ozaveščanja splošne in specifične javnosti (starejši, otroci, učitelji) o kibernetski varnosti – krepitev varnostne kulture in higiene.</w:t>
      </w:r>
    </w:p>
    <w:p w14:paraId="027391A6" w14:textId="77777777" w:rsidR="00726309" w:rsidRPr="00726309" w:rsidRDefault="00726309" w:rsidP="00411064">
      <w:pPr>
        <w:spacing w:line="276" w:lineRule="auto"/>
        <w:rPr>
          <w:sz w:val="20"/>
          <w:szCs w:val="20"/>
        </w:rPr>
      </w:pPr>
    </w:p>
    <w:p w14:paraId="26A73B76" w14:textId="77777777" w:rsidR="00726309" w:rsidRPr="00726309" w:rsidRDefault="00726309" w:rsidP="00411064">
      <w:pPr>
        <w:spacing w:line="276" w:lineRule="auto"/>
        <w:rPr>
          <w:sz w:val="20"/>
          <w:szCs w:val="20"/>
        </w:rPr>
      </w:pPr>
      <w:r w:rsidRPr="00726309">
        <w:rPr>
          <w:sz w:val="20"/>
          <w:szCs w:val="20"/>
        </w:rPr>
        <w:t>Poleg izvedenih izobraževanj se je URSIV v letu 2025 aktivno udeležil tudi strokovne konference, ki jo je organiziral WB3C z naslovom Soočanje z izsiljevalskimi programi: analiza in strategija za Zahodni Balkan (Confronting Ransomware: Analysis and Strategy for the Western Balkans). Konferenca je bila posvečena razpravam o aktualnih grožnjah izsiljevalske programske opreme in oblikovanju regionalnih pristopov za njihovo obvladovanje.</w:t>
      </w:r>
    </w:p>
    <w:p w14:paraId="78A0F382" w14:textId="77777777" w:rsidR="00726309" w:rsidRPr="00726309" w:rsidRDefault="00726309" w:rsidP="00411064">
      <w:pPr>
        <w:spacing w:line="276" w:lineRule="auto"/>
        <w:rPr>
          <w:sz w:val="20"/>
          <w:szCs w:val="20"/>
        </w:rPr>
      </w:pPr>
    </w:p>
    <w:p w14:paraId="51AACAAC" w14:textId="77777777" w:rsidR="00726309" w:rsidRPr="00726309" w:rsidRDefault="00726309" w:rsidP="00411064">
      <w:pPr>
        <w:spacing w:line="276" w:lineRule="auto"/>
        <w:rPr>
          <w:sz w:val="20"/>
          <w:szCs w:val="20"/>
        </w:rPr>
      </w:pPr>
      <w:r w:rsidRPr="00726309">
        <w:rPr>
          <w:sz w:val="20"/>
          <w:szCs w:val="20"/>
        </w:rPr>
        <w:t>Za vse aktivnosti v WB3C je URSIV v letu 2025 namenil 100.000 EUR.</w:t>
      </w:r>
    </w:p>
    <w:p w14:paraId="202DF97C" w14:textId="77777777" w:rsidR="00726309" w:rsidRPr="00726309" w:rsidRDefault="00726309" w:rsidP="00411064">
      <w:pPr>
        <w:spacing w:line="276" w:lineRule="auto"/>
        <w:rPr>
          <w:sz w:val="20"/>
          <w:szCs w:val="20"/>
        </w:rPr>
      </w:pPr>
    </w:p>
    <w:p w14:paraId="1EC8CB16" w14:textId="77777777" w:rsidR="00726309" w:rsidRPr="00726309" w:rsidRDefault="00726309" w:rsidP="00411064">
      <w:pPr>
        <w:spacing w:line="276" w:lineRule="auto"/>
        <w:rPr>
          <w:sz w:val="20"/>
          <w:szCs w:val="20"/>
        </w:rPr>
      </w:pPr>
      <w:r w:rsidRPr="00726309">
        <w:rPr>
          <w:sz w:val="20"/>
          <w:szCs w:val="20"/>
        </w:rPr>
        <w:t xml:space="preserve">Izvedene dejavnosti so pomembno prispevale h krepitvi kibernetskih zmogljivosti držav Zahodnega Balkana ter utrdile vlogo </w:t>
      </w:r>
      <w:r w:rsidR="002725B2">
        <w:rPr>
          <w:sz w:val="20"/>
          <w:szCs w:val="20"/>
        </w:rPr>
        <w:t>RS</w:t>
      </w:r>
      <w:r w:rsidRPr="00726309">
        <w:rPr>
          <w:sz w:val="20"/>
          <w:szCs w:val="20"/>
        </w:rPr>
        <w:t xml:space="preserve"> kot zanesljive partnerice na področju kibernetske varnosti v regiji.</w:t>
      </w:r>
    </w:p>
    <w:p w14:paraId="1823D7F2" w14:textId="77777777" w:rsidR="00265B24" w:rsidRPr="00140B34" w:rsidRDefault="00265B24" w:rsidP="00411064">
      <w:pPr>
        <w:spacing w:line="276" w:lineRule="auto"/>
        <w:rPr>
          <w:b/>
          <w:sz w:val="20"/>
          <w:szCs w:val="20"/>
          <w:highlight w:val="yellow"/>
        </w:rPr>
      </w:pPr>
    </w:p>
    <w:p w14:paraId="3220274C" w14:textId="77777777" w:rsidR="00F001D3" w:rsidRPr="008F52C8" w:rsidRDefault="00DF2D08" w:rsidP="00411064">
      <w:pPr>
        <w:spacing w:line="276" w:lineRule="auto"/>
        <w:rPr>
          <w:b/>
          <w:sz w:val="20"/>
          <w:szCs w:val="20"/>
        </w:rPr>
      </w:pPr>
      <w:r w:rsidRPr="008F52C8">
        <w:rPr>
          <w:b/>
          <w:sz w:val="20"/>
          <w:szCs w:val="20"/>
        </w:rPr>
        <w:t>Urad Vlade RS za v</w:t>
      </w:r>
      <w:r w:rsidR="00A734E4" w:rsidRPr="008F52C8">
        <w:rPr>
          <w:b/>
          <w:sz w:val="20"/>
          <w:szCs w:val="20"/>
        </w:rPr>
        <w:t>arovanje tajnih podatkov</w:t>
      </w:r>
    </w:p>
    <w:p w14:paraId="169053EC" w14:textId="77777777" w:rsidR="00C0571F" w:rsidRPr="00140B34" w:rsidRDefault="00C0571F" w:rsidP="00411064">
      <w:pPr>
        <w:spacing w:line="276" w:lineRule="auto"/>
        <w:rPr>
          <w:b/>
          <w:bCs/>
          <w:sz w:val="20"/>
          <w:szCs w:val="20"/>
          <w:highlight w:val="yellow"/>
        </w:rPr>
      </w:pPr>
    </w:p>
    <w:p w14:paraId="39F038E3" w14:textId="77777777" w:rsidR="00725E10" w:rsidRPr="00725E10" w:rsidRDefault="00725E10" w:rsidP="00411064">
      <w:pPr>
        <w:spacing w:line="276" w:lineRule="auto"/>
        <w:rPr>
          <w:b/>
          <w:sz w:val="20"/>
          <w:szCs w:val="20"/>
        </w:rPr>
      </w:pPr>
      <w:r w:rsidRPr="00725E10">
        <w:rPr>
          <w:sz w:val="20"/>
          <w:szCs w:val="20"/>
        </w:rPr>
        <w:t xml:space="preserve">Urad RS za varovanje tajnih podatkov (v nadaljevanju urad) kontinuirano sodeluje z državami na Zahodnem Balkanu tako v okviru regijskega kot tudi multilateralnega in bilateralnega povezovanja. </w:t>
      </w:r>
    </w:p>
    <w:p w14:paraId="4FC32020" w14:textId="77777777" w:rsidR="00725E10" w:rsidRPr="00725E10" w:rsidRDefault="00725E10" w:rsidP="00411064">
      <w:pPr>
        <w:spacing w:line="276" w:lineRule="auto"/>
        <w:rPr>
          <w:bCs/>
          <w:sz w:val="20"/>
          <w:szCs w:val="20"/>
        </w:rPr>
      </w:pPr>
    </w:p>
    <w:p w14:paraId="0BB4464B" w14:textId="77777777" w:rsidR="00725E10" w:rsidRPr="00C23AB5" w:rsidRDefault="00C23AB5" w:rsidP="00411064">
      <w:pPr>
        <w:spacing w:line="276" w:lineRule="auto"/>
        <w:rPr>
          <w:b/>
          <w:sz w:val="20"/>
          <w:szCs w:val="20"/>
        </w:rPr>
      </w:pPr>
      <w:r w:rsidRPr="00C23AB5">
        <w:rPr>
          <w:b/>
          <w:sz w:val="20"/>
          <w:szCs w:val="20"/>
        </w:rPr>
        <w:t xml:space="preserve">Multilateralne aktivnosti – nacionalni varnostni organi šestih držav </w:t>
      </w:r>
      <w:r w:rsidR="00725E10" w:rsidRPr="00C23AB5">
        <w:rPr>
          <w:b/>
          <w:sz w:val="20"/>
          <w:szCs w:val="20"/>
        </w:rPr>
        <w:t>(6S NSA)</w:t>
      </w:r>
    </w:p>
    <w:p w14:paraId="1DF9567B" w14:textId="77777777" w:rsidR="00725E10" w:rsidRPr="00725E10" w:rsidRDefault="00725E10" w:rsidP="00411064">
      <w:pPr>
        <w:spacing w:line="276" w:lineRule="auto"/>
        <w:rPr>
          <w:b/>
          <w:sz w:val="20"/>
          <w:szCs w:val="20"/>
        </w:rPr>
      </w:pPr>
      <w:r w:rsidRPr="00725E10">
        <w:rPr>
          <w:sz w:val="20"/>
          <w:szCs w:val="20"/>
        </w:rPr>
        <w:t xml:space="preserve">Urad se je udeležil srečanja direktorjev Nacionalnih varnostnih organov </w:t>
      </w:r>
      <w:r w:rsidR="002725B2">
        <w:rPr>
          <w:sz w:val="20"/>
          <w:szCs w:val="20"/>
        </w:rPr>
        <w:t>BiH</w:t>
      </w:r>
      <w:r w:rsidRPr="00725E10">
        <w:rPr>
          <w:sz w:val="20"/>
          <w:szCs w:val="20"/>
        </w:rPr>
        <w:t xml:space="preserve">, Črne Gore, Makedonije, Srbije, Hrvaške in </w:t>
      </w:r>
      <w:r w:rsidR="001959A2">
        <w:rPr>
          <w:sz w:val="20"/>
          <w:szCs w:val="20"/>
        </w:rPr>
        <w:t>RS</w:t>
      </w:r>
      <w:r w:rsidRPr="00725E10">
        <w:rPr>
          <w:sz w:val="20"/>
          <w:szCs w:val="20"/>
        </w:rPr>
        <w:t xml:space="preserve"> v Skopju (Severna Makedonija). </w:t>
      </w:r>
    </w:p>
    <w:p w14:paraId="01777F1C" w14:textId="77777777" w:rsidR="00725E10" w:rsidRPr="00C23AB5" w:rsidRDefault="00725E10" w:rsidP="00411064">
      <w:pPr>
        <w:spacing w:line="276" w:lineRule="auto"/>
        <w:rPr>
          <w:b/>
          <w:sz w:val="20"/>
          <w:szCs w:val="20"/>
        </w:rPr>
      </w:pPr>
    </w:p>
    <w:p w14:paraId="60540127" w14:textId="77777777" w:rsidR="00725E10" w:rsidRPr="00C23AB5" w:rsidRDefault="00411064" w:rsidP="00411064">
      <w:pPr>
        <w:spacing w:line="276" w:lineRule="auto"/>
        <w:rPr>
          <w:b/>
          <w:sz w:val="20"/>
          <w:szCs w:val="20"/>
        </w:rPr>
      </w:pPr>
      <w:r w:rsidRPr="00C23AB5">
        <w:rPr>
          <w:b/>
          <w:sz w:val="20"/>
          <w:szCs w:val="20"/>
        </w:rPr>
        <w:t xml:space="preserve">Programi dvostranske pomoči državam pristopnicam </w:t>
      </w:r>
      <w:r w:rsidR="00F13F4C">
        <w:rPr>
          <w:b/>
          <w:sz w:val="20"/>
          <w:szCs w:val="20"/>
        </w:rPr>
        <w:t>(</w:t>
      </w:r>
      <w:r w:rsidR="00725E10" w:rsidRPr="00C23AB5">
        <w:rPr>
          <w:b/>
          <w:sz w:val="20"/>
          <w:szCs w:val="20"/>
        </w:rPr>
        <w:t>DTP</w:t>
      </w:r>
      <w:r w:rsidR="00F13F4C">
        <w:rPr>
          <w:b/>
          <w:sz w:val="20"/>
          <w:szCs w:val="20"/>
        </w:rPr>
        <w:t>)</w:t>
      </w:r>
    </w:p>
    <w:p w14:paraId="11BD26EA" w14:textId="77777777" w:rsidR="00725E10" w:rsidRPr="00725E10" w:rsidRDefault="00725E10" w:rsidP="00411064">
      <w:pPr>
        <w:spacing w:line="276" w:lineRule="auto"/>
        <w:rPr>
          <w:sz w:val="20"/>
          <w:szCs w:val="20"/>
        </w:rPr>
      </w:pPr>
      <w:r w:rsidRPr="00725E10">
        <w:rPr>
          <w:sz w:val="20"/>
          <w:szCs w:val="20"/>
        </w:rPr>
        <w:t xml:space="preserve">V okviru približevanja držav Zahodnega Balkana EU urad aktivno sodeluje v procesih DTP. V letu 2025 je bil izveden prvi del regionalnega projekta DTP, katerega namen je krepitev pravne podlage za varovanje tajnih podatkov in nivo varovanja tajnih podatkov. Aprila 2025 so uslužbenci urada v okviru obiska v Severni Makedoniji izvedli strokovno-tehnično izobraževanje in usposabljanje predstavnikov nacionalnega varnostnega organa Severne Makedonije, čemur je junija 2025 sledilo strokovno-tehnično izobraževanje in usposabljanje predstavnikov nacionalnega varnostnega organa Severne Makedonije v </w:t>
      </w:r>
      <w:r w:rsidR="002725B2">
        <w:rPr>
          <w:sz w:val="20"/>
          <w:szCs w:val="20"/>
        </w:rPr>
        <w:t>RS</w:t>
      </w:r>
      <w:r w:rsidRPr="00725E10">
        <w:rPr>
          <w:sz w:val="20"/>
          <w:szCs w:val="20"/>
        </w:rPr>
        <w:t xml:space="preserve">. </w:t>
      </w:r>
    </w:p>
    <w:p w14:paraId="208A939C" w14:textId="77777777" w:rsidR="00725E10" w:rsidRPr="00725E10" w:rsidRDefault="00725E10" w:rsidP="00411064">
      <w:pPr>
        <w:spacing w:line="276" w:lineRule="auto"/>
        <w:rPr>
          <w:b/>
          <w:sz w:val="20"/>
          <w:szCs w:val="20"/>
        </w:rPr>
      </w:pPr>
    </w:p>
    <w:p w14:paraId="7F4D8EC6" w14:textId="77777777" w:rsidR="00725E10" w:rsidRPr="00C23AB5" w:rsidRDefault="00411064" w:rsidP="00411064">
      <w:pPr>
        <w:spacing w:line="276" w:lineRule="auto"/>
        <w:rPr>
          <w:b/>
          <w:sz w:val="20"/>
          <w:szCs w:val="20"/>
        </w:rPr>
      </w:pPr>
      <w:r w:rsidRPr="00C23AB5">
        <w:rPr>
          <w:b/>
          <w:sz w:val="20"/>
          <w:szCs w:val="20"/>
        </w:rPr>
        <w:t>Bilateralno sodelovanje</w:t>
      </w:r>
    </w:p>
    <w:p w14:paraId="5D6B5097" w14:textId="77777777" w:rsidR="00725E10" w:rsidRPr="00725E10" w:rsidRDefault="00725E10" w:rsidP="00411064">
      <w:pPr>
        <w:spacing w:line="276" w:lineRule="auto"/>
        <w:rPr>
          <w:sz w:val="20"/>
          <w:szCs w:val="20"/>
        </w:rPr>
      </w:pPr>
      <w:r w:rsidRPr="00725E10">
        <w:rPr>
          <w:sz w:val="20"/>
          <w:szCs w:val="20"/>
        </w:rPr>
        <w:t>Direktor urada je bil v septembru na delovnem obisku pri NSA Srbije.</w:t>
      </w:r>
    </w:p>
    <w:p w14:paraId="78FFAB0F" w14:textId="77777777" w:rsidR="00725E10" w:rsidRPr="00725E10" w:rsidRDefault="00725E10" w:rsidP="00411064">
      <w:pPr>
        <w:spacing w:line="276" w:lineRule="auto"/>
        <w:rPr>
          <w:b/>
          <w:sz w:val="20"/>
          <w:szCs w:val="20"/>
        </w:rPr>
      </w:pPr>
    </w:p>
    <w:p w14:paraId="03526879" w14:textId="77777777" w:rsidR="00725E10" w:rsidRPr="00725E10" w:rsidRDefault="009B2715" w:rsidP="00411064">
      <w:pPr>
        <w:spacing w:line="276" w:lineRule="auto"/>
        <w:rPr>
          <w:sz w:val="20"/>
          <w:szCs w:val="20"/>
        </w:rPr>
      </w:pPr>
      <w:r>
        <w:rPr>
          <w:sz w:val="20"/>
          <w:szCs w:val="20"/>
        </w:rPr>
        <w:t>RS</w:t>
      </w:r>
      <w:r w:rsidR="00725E10" w:rsidRPr="00725E10">
        <w:rPr>
          <w:sz w:val="20"/>
          <w:szCs w:val="20"/>
        </w:rPr>
        <w:t xml:space="preserve"> ima sklenjene bilateralne sporazume o izmenjavi in varovanju tajnih podatkov z vsemi državami Zahodnega Balkana razen </w:t>
      </w:r>
      <w:r w:rsidR="00622CF0">
        <w:rPr>
          <w:sz w:val="20"/>
          <w:szCs w:val="20"/>
        </w:rPr>
        <w:t xml:space="preserve">s </w:t>
      </w:r>
      <w:r w:rsidR="00725E10" w:rsidRPr="00725E10">
        <w:rPr>
          <w:sz w:val="20"/>
          <w:szCs w:val="20"/>
        </w:rPr>
        <w:t>Kosovo</w:t>
      </w:r>
      <w:r w:rsidR="00622CF0">
        <w:rPr>
          <w:sz w:val="20"/>
          <w:szCs w:val="20"/>
        </w:rPr>
        <w:t>m</w:t>
      </w:r>
      <w:r w:rsidR="00725E10" w:rsidRPr="00725E10">
        <w:rPr>
          <w:sz w:val="20"/>
          <w:szCs w:val="20"/>
        </w:rPr>
        <w:t xml:space="preserve">, s katero je konec leta 2025 začel pogovore o začetku procesa pogajanj za sklenitev varnostnega sporazuma. </w:t>
      </w:r>
    </w:p>
    <w:p w14:paraId="0B7E8D8D" w14:textId="77777777" w:rsidR="002255BE" w:rsidRDefault="002255BE" w:rsidP="00411064">
      <w:pPr>
        <w:spacing w:line="276" w:lineRule="auto"/>
        <w:rPr>
          <w:sz w:val="20"/>
          <w:szCs w:val="20"/>
          <w:highlight w:val="yellow"/>
        </w:rPr>
      </w:pPr>
    </w:p>
    <w:p w14:paraId="1109186B" w14:textId="77777777" w:rsidR="00411064" w:rsidRPr="00140B34" w:rsidRDefault="00411064" w:rsidP="00411064">
      <w:pPr>
        <w:spacing w:line="276" w:lineRule="auto"/>
        <w:rPr>
          <w:sz w:val="20"/>
          <w:szCs w:val="20"/>
          <w:highlight w:val="yellow"/>
        </w:rPr>
      </w:pPr>
    </w:p>
    <w:p w14:paraId="24FA8234" w14:textId="77777777" w:rsidR="002E451F" w:rsidRPr="009253DA" w:rsidRDefault="002E451F" w:rsidP="00411064">
      <w:pPr>
        <w:pStyle w:val="Heading2"/>
      </w:pPr>
      <w:bookmarkStart w:id="37" w:name="_Toc227227977"/>
      <w:r w:rsidRPr="009253DA">
        <w:t>Okrepitev in razvoj prometnih in energetskih povezav</w:t>
      </w:r>
      <w:r w:rsidR="00C2169E" w:rsidRPr="009253DA">
        <w:t xml:space="preserve"> ter krepitev sodelovanja na področju okolja in prostora</w:t>
      </w:r>
      <w:bookmarkEnd w:id="37"/>
    </w:p>
    <w:p w14:paraId="3961B81B" w14:textId="77777777" w:rsidR="002E451F" w:rsidRDefault="002E451F" w:rsidP="00411064">
      <w:pPr>
        <w:spacing w:line="276" w:lineRule="auto"/>
        <w:rPr>
          <w:sz w:val="20"/>
          <w:szCs w:val="20"/>
          <w:highlight w:val="yellow"/>
          <w:lang w:eastAsia="sl-SI"/>
        </w:rPr>
      </w:pPr>
    </w:p>
    <w:p w14:paraId="74E0B045" w14:textId="77777777" w:rsidR="00411064" w:rsidRPr="00140B34" w:rsidRDefault="00411064" w:rsidP="00411064">
      <w:pPr>
        <w:spacing w:line="276" w:lineRule="auto"/>
        <w:rPr>
          <w:sz w:val="20"/>
          <w:szCs w:val="20"/>
          <w:highlight w:val="yellow"/>
          <w:lang w:eastAsia="sl-SI"/>
        </w:rPr>
      </w:pPr>
    </w:p>
    <w:p w14:paraId="6AD74219" w14:textId="77777777" w:rsidR="00C00B39" w:rsidRPr="007F4C86" w:rsidRDefault="00AE2B8C" w:rsidP="00411064">
      <w:pPr>
        <w:pStyle w:val="Heading3"/>
        <w:rPr>
          <w:lang w:eastAsia="sl-SI"/>
        </w:rPr>
      </w:pPr>
      <w:bookmarkStart w:id="38" w:name="_Toc227227978"/>
      <w:r w:rsidRPr="007F4C86">
        <w:rPr>
          <w:lang w:eastAsia="sl-SI"/>
        </w:rPr>
        <w:t>7</w:t>
      </w:r>
      <w:r w:rsidR="00C00B39" w:rsidRPr="007F4C86">
        <w:rPr>
          <w:lang w:eastAsia="sl-SI"/>
        </w:rPr>
        <w:t>.1. Krepitev sodelovanja na področju infrastrukture</w:t>
      </w:r>
      <w:bookmarkEnd w:id="38"/>
    </w:p>
    <w:p w14:paraId="5F0F9CCF" w14:textId="77777777" w:rsidR="0015505C" w:rsidRPr="00140B34" w:rsidRDefault="0015505C" w:rsidP="00411064">
      <w:pPr>
        <w:spacing w:line="276" w:lineRule="auto"/>
        <w:rPr>
          <w:sz w:val="20"/>
          <w:szCs w:val="20"/>
          <w:highlight w:val="yellow"/>
          <w:lang w:eastAsia="sl-SI"/>
        </w:rPr>
      </w:pPr>
    </w:p>
    <w:p w14:paraId="74FFA868" w14:textId="77777777" w:rsidR="0073645E" w:rsidRDefault="0073645E" w:rsidP="00411064">
      <w:pPr>
        <w:spacing w:line="276" w:lineRule="auto"/>
        <w:rPr>
          <w:rFonts w:eastAsia="Times New Roman"/>
          <w:noProof/>
          <w:sz w:val="20"/>
          <w:szCs w:val="20"/>
        </w:rPr>
      </w:pPr>
      <w:r w:rsidRPr="0073645E">
        <w:rPr>
          <w:rFonts w:eastAsia="Times New Roman"/>
          <w:noProof/>
          <w:sz w:val="20"/>
          <w:szCs w:val="20"/>
        </w:rPr>
        <w:t xml:space="preserve">Ministrica in državni sekretar </w:t>
      </w:r>
      <w:r w:rsidR="002725B2">
        <w:rPr>
          <w:rFonts w:eastAsia="Times New Roman"/>
          <w:noProof/>
          <w:sz w:val="20"/>
          <w:szCs w:val="20"/>
        </w:rPr>
        <w:t xml:space="preserve">za infrastrukturo </w:t>
      </w:r>
      <w:r w:rsidR="00C90298">
        <w:rPr>
          <w:rFonts w:eastAsia="Times New Roman"/>
          <w:noProof/>
          <w:sz w:val="20"/>
          <w:szCs w:val="20"/>
        </w:rPr>
        <w:t xml:space="preserve">(MZI) </w:t>
      </w:r>
      <w:r w:rsidRPr="0073645E">
        <w:rPr>
          <w:rFonts w:eastAsia="Times New Roman"/>
          <w:noProof/>
          <w:sz w:val="20"/>
          <w:szCs w:val="20"/>
        </w:rPr>
        <w:t>nista izvedla bilateralnih aktivnosti na političnem nivoju, prav tako se nista udeležila mednarodnih konferenc na Z</w:t>
      </w:r>
      <w:r w:rsidR="002725B2">
        <w:rPr>
          <w:rFonts w:eastAsia="Times New Roman"/>
          <w:noProof/>
          <w:sz w:val="20"/>
          <w:szCs w:val="20"/>
        </w:rPr>
        <w:t xml:space="preserve">ahodnem </w:t>
      </w:r>
      <w:r w:rsidRPr="0073645E">
        <w:rPr>
          <w:rFonts w:eastAsia="Times New Roman"/>
          <w:noProof/>
          <w:sz w:val="20"/>
          <w:szCs w:val="20"/>
        </w:rPr>
        <w:t>B</w:t>
      </w:r>
      <w:r w:rsidR="002725B2">
        <w:rPr>
          <w:rFonts w:eastAsia="Times New Roman"/>
          <w:noProof/>
          <w:sz w:val="20"/>
          <w:szCs w:val="20"/>
        </w:rPr>
        <w:t>alkanu</w:t>
      </w:r>
      <w:r w:rsidRPr="0073645E">
        <w:rPr>
          <w:rFonts w:eastAsia="Times New Roman"/>
          <w:noProof/>
          <w:sz w:val="20"/>
          <w:szCs w:val="20"/>
        </w:rPr>
        <w:t xml:space="preserve">. </w:t>
      </w:r>
    </w:p>
    <w:p w14:paraId="0EEC9D9D" w14:textId="77777777" w:rsidR="00BF31A0" w:rsidRPr="00BF31A0" w:rsidRDefault="0073645E" w:rsidP="00BF31A0">
      <w:pPr>
        <w:spacing w:line="276" w:lineRule="auto"/>
        <w:rPr>
          <w:rFonts w:eastAsia="Times New Roman"/>
          <w:noProof/>
          <w:sz w:val="20"/>
          <w:szCs w:val="20"/>
        </w:rPr>
      </w:pPr>
      <w:r w:rsidRPr="0073645E">
        <w:rPr>
          <w:rFonts w:eastAsia="Times New Roman"/>
          <w:noProof/>
          <w:sz w:val="20"/>
          <w:szCs w:val="20"/>
        </w:rPr>
        <w:t xml:space="preserve"> </w:t>
      </w:r>
      <w:r w:rsidRPr="0073645E">
        <w:rPr>
          <w:rFonts w:eastAsia="Times New Roman"/>
          <w:noProof/>
          <w:sz w:val="20"/>
          <w:szCs w:val="20"/>
        </w:rPr>
        <w:br/>
        <w:t xml:space="preserve">Na pogovorih pri GD za Ceste in cestni promet je bil veleposlanik Kosova, tema pogovorov so bila priznavanja vozniških dovoljenj za državljane Kosova v </w:t>
      </w:r>
      <w:r w:rsidR="002725B2">
        <w:rPr>
          <w:rFonts w:eastAsia="Times New Roman"/>
          <w:noProof/>
          <w:sz w:val="20"/>
          <w:szCs w:val="20"/>
        </w:rPr>
        <w:t>RS</w:t>
      </w:r>
      <w:r w:rsidRPr="0073645E">
        <w:rPr>
          <w:rFonts w:eastAsia="Times New Roman"/>
          <w:noProof/>
          <w:sz w:val="20"/>
          <w:szCs w:val="20"/>
        </w:rPr>
        <w:t xml:space="preserve">. Priznavanje vozniških dovoljenj je s spremembami Zakona o voznikih za države bivše Jugoslavije sedaj urejeno (med te države ne sodi Albanija). </w:t>
      </w:r>
      <w:r w:rsidRPr="0073645E">
        <w:rPr>
          <w:rFonts w:eastAsia="Times New Roman"/>
          <w:noProof/>
          <w:sz w:val="20"/>
          <w:szCs w:val="20"/>
        </w:rPr>
        <w:br/>
      </w:r>
      <w:r w:rsidRPr="0073645E">
        <w:rPr>
          <w:rFonts w:eastAsia="Times New Roman"/>
          <w:noProof/>
          <w:sz w:val="20"/>
          <w:szCs w:val="20"/>
        </w:rPr>
        <w:br/>
      </w:r>
      <w:r w:rsidR="00BF31A0" w:rsidRPr="00BF31A0">
        <w:rPr>
          <w:rFonts w:eastAsia="Times New Roman"/>
          <w:noProof/>
          <w:sz w:val="20"/>
          <w:szCs w:val="20"/>
        </w:rPr>
        <w:t>MZI</w:t>
      </w:r>
      <w:r w:rsidR="00532DCE">
        <w:rPr>
          <w:rFonts w:eastAsia="Times New Roman"/>
          <w:noProof/>
          <w:sz w:val="20"/>
          <w:szCs w:val="20"/>
        </w:rPr>
        <w:t xml:space="preserve"> </w:t>
      </w:r>
      <w:r w:rsidR="00BF31A0" w:rsidRPr="00BF31A0">
        <w:rPr>
          <w:rFonts w:eastAsia="Times New Roman"/>
          <w:noProof/>
          <w:sz w:val="20"/>
          <w:szCs w:val="20"/>
        </w:rPr>
        <w:t>na operativnem (strokovnem) nivoju sodeluje</w:t>
      </w:r>
      <w:r w:rsidR="000215DD">
        <w:rPr>
          <w:rFonts w:eastAsia="Times New Roman"/>
          <w:noProof/>
          <w:sz w:val="20"/>
          <w:szCs w:val="20"/>
        </w:rPr>
        <w:t xml:space="preserve"> </w:t>
      </w:r>
      <w:r w:rsidR="00BF31A0" w:rsidRPr="00BF31A0">
        <w:rPr>
          <w:rFonts w:eastAsia="Times New Roman"/>
          <w:noProof/>
          <w:sz w:val="20"/>
          <w:szCs w:val="20"/>
        </w:rPr>
        <w:t xml:space="preserve">z večino držav Zahodnega Balkana v okviru izvajanja makro-regionalnih strategij (Kosovo ni vključeno), in sicer: </w:t>
      </w:r>
    </w:p>
    <w:p w14:paraId="26673F04" w14:textId="77777777" w:rsidR="00BF31A0" w:rsidRDefault="00BF31A0" w:rsidP="00BF31A0">
      <w:pPr>
        <w:numPr>
          <w:ilvl w:val="0"/>
          <w:numId w:val="45"/>
        </w:numPr>
        <w:spacing w:line="276" w:lineRule="auto"/>
        <w:rPr>
          <w:rFonts w:eastAsia="Times New Roman"/>
          <w:noProof/>
          <w:sz w:val="20"/>
          <w:szCs w:val="20"/>
        </w:rPr>
      </w:pPr>
      <w:r w:rsidRPr="00BF31A0">
        <w:rPr>
          <w:rFonts w:eastAsia="Times New Roman"/>
          <w:noProof/>
          <w:sz w:val="20"/>
          <w:szCs w:val="20"/>
        </w:rPr>
        <w:t>V okviru EUSDR</w:t>
      </w:r>
      <w:r w:rsidR="000215DD">
        <w:rPr>
          <w:rFonts w:eastAsia="Times New Roman"/>
          <w:noProof/>
          <w:sz w:val="20"/>
          <w:szCs w:val="20"/>
        </w:rPr>
        <w:t xml:space="preserve">, </w:t>
      </w:r>
      <w:r w:rsidRPr="00BF31A0">
        <w:rPr>
          <w:rFonts w:eastAsia="Times New Roman"/>
          <w:noProof/>
          <w:sz w:val="20"/>
          <w:szCs w:val="20"/>
        </w:rPr>
        <w:t>kjer</w:t>
      </w:r>
      <w:r w:rsidR="000215DD">
        <w:rPr>
          <w:rFonts w:eastAsia="Times New Roman"/>
          <w:noProof/>
          <w:sz w:val="20"/>
          <w:szCs w:val="20"/>
        </w:rPr>
        <w:t xml:space="preserve"> se</w:t>
      </w:r>
      <w:r w:rsidRPr="00BF31A0">
        <w:rPr>
          <w:rFonts w:eastAsia="Times New Roman"/>
          <w:noProof/>
          <w:sz w:val="20"/>
          <w:szCs w:val="20"/>
        </w:rPr>
        <w:t xml:space="preserve"> področje prometa koordinira skupaj s Srbijo, z državami: BiH, Srbija in Črna Gora ter </w:t>
      </w:r>
    </w:p>
    <w:p w14:paraId="61E95205" w14:textId="77777777" w:rsidR="0073645E" w:rsidRPr="00BF31A0" w:rsidRDefault="0073645E" w:rsidP="00BF31A0">
      <w:pPr>
        <w:numPr>
          <w:ilvl w:val="0"/>
          <w:numId w:val="45"/>
        </w:numPr>
        <w:spacing w:line="276" w:lineRule="auto"/>
        <w:rPr>
          <w:rFonts w:eastAsia="Times New Roman"/>
          <w:noProof/>
          <w:sz w:val="20"/>
          <w:szCs w:val="20"/>
        </w:rPr>
      </w:pPr>
      <w:r w:rsidRPr="00BF31A0">
        <w:rPr>
          <w:rFonts w:eastAsia="Times New Roman"/>
          <w:noProof/>
          <w:sz w:val="20"/>
          <w:szCs w:val="20"/>
        </w:rPr>
        <w:t xml:space="preserve">V okviru EUSAIR, kot člani z državami: </w:t>
      </w:r>
      <w:r w:rsidR="00945E65" w:rsidRPr="00BF31A0">
        <w:rPr>
          <w:rFonts w:eastAsia="Times New Roman"/>
          <w:noProof/>
          <w:sz w:val="20"/>
          <w:szCs w:val="20"/>
        </w:rPr>
        <w:t>BiH</w:t>
      </w:r>
      <w:r w:rsidRPr="00BF31A0">
        <w:rPr>
          <w:rFonts w:eastAsia="Times New Roman"/>
          <w:noProof/>
          <w:sz w:val="20"/>
          <w:szCs w:val="20"/>
        </w:rPr>
        <w:t>, Srbija, Črna gora, Severna Makedonija in Albanija.</w:t>
      </w:r>
    </w:p>
    <w:p w14:paraId="4EFC744A" w14:textId="77777777" w:rsidR="00345D85" w:rsidRDefault="00345D85" w:rsidP="00411064">
      <w:pPr>
        <w:spacing w:line="276" w:lineRule="auto"/>
        <w:rPr>
          <w:rFonts w:eastAsia="Times New Roman"/>
          <w:noProof/>
          <w:sz w:val="20"/>
          <w:szCs w:val="20"/>
          <w:highlight w:val="yellow"/>
        </w:rPr>
      </w:pPr>
    </w:p>
    <w:p w14:paraId="460618FE" w14:textId="77777777" w:rsidR="00411064" w:rsidRPr="00140B34" w:rsidRDefault="00411064" w:rsidP="00411064">
      <w:pPr>
        <w:spacing w:line="276" w:lineRule="auto"/>
        <w:rPr>
          <w:rFonts w:eastAsia="Times New Roman"/>
          <w:noProof/>
          <w:sz w:val="20"/>
          <w:szCs w:val="20"/>
          <w:highlight w:val="yellow"/>
        </w:rPr>
      </w:pPr>
    </w:p>
    <w:p w14:paraId="72F9A781" w14:textId="77777777" w:rsidR="00C2169E" w:rsidRPr="00140B34" w:rsidRDefault="00AE2B8C" w:rsidP="00411064">
      <w:pPr>
        <w:pStyle w:val="Heading3"/>
        <w:rPr>
          <w:highlight w:val="yellow"/>
        </w:rPr>
      </w:pPr>
      <w:bookmarkStart w:id="39" w:name="_Toc227227979"/>
      <w:r w:rsidRPr="00492C80">
        <w:rPr>
          <w:rFonts w:eastAsia="Times New Roman"/>
        </w:rPr>
        <w:t>7</w:t>
      </w:r>
      <w:r w:rsidR="00C2169E" w:rsidRPr="00492C80">
        <w:rPr>
          <w:rFonts w:eastAsia="Times New Roman"/>
        </w:rPr>
        <w:t xml:space="preserve">.2. </w:t>
      </w:r>
      <w:r w:rsidR="00C2169E" w:rsidRPr="00492C80">
        <w:t>Krepitev sodelovanja na področju okolja</w:t>
      </w:r>
      <w:r w:rsidR="00472CD6" w:rsidRPr="00492C80">
        <w:t>, podnebja in energije</w:t>
      </w:r>
      <w:bookmarkEnd w:id="39"/>
    </w:p>
    <w:p w14:paraId="6E9BFAE5" w14:textId="77777777" w:rsidR="00472CD6" w:rsidRPr="00140B34" w:rsidRDefault="00472CD6" w:rsidP="00411064">
      <w:pPr>
        <w:spacing w:line="276" w:lineRule="auto"/>
        <w:rPr>
          <w:b/>
          <w:color w:val="000000"/>
          <w:sz w:val="20"/>
          <w:szCs w:val="20"/>
          <w:highlight w:val="yellow"/>
          <w:lang w:eastAsia="sl-SI"/>
        </w:rPr>
      </w:pPr>
    </w:p>
    <w:p w14:paraId="70F506EB" w14:textId="77777777" w:rsidR="00726309" w:rsidRPr="005248B9" w:rsidRDefault="00726309" w:rsidP="00411064">
      <w:pPr>
        <w:spacing w:line="276" w:lineRule="auto"/>
        <w:rPr>
          <w:b/>
          <w:sz w:val="20"/>
          <w:szCs w:val="20"/>
        </w:rPr>
      </w:pPr>
      <w:r w:rsidRPr="00EE2AD9">
        <w:rPr>
          <w:b/>
          <w:sz w:val="20"/>
          <w:szCs w:val="20"/>
        </w:rPr>
        <w:t>Sodelovanje na področju okolja in podnebnih sprememb</w:t>
      </w:r>
    </w:p>
    <w:p w14:paraId="03175C96" w14:textId="77777777" w:rsidR="00726309" w:rsidRDefault="00726309" w:rsidP="00411064">
      <w:pPr>
        <w:spacing w:line="276" w:lineRule="auto"/>
        <w:rPr>
          <w:rFonts w:eastAsia="Times New Roman"/>
          <w:sz w:val="20"/>
          <w:szCs w:val="20"/>
          <w:lang w:eastAsia="sl-SI"/>
        </w:rPr>
      </w:pPr>
      <w:r w:rsidRPr="00EC41E7">
        <w:rPr>
          <w:rFonts w:eastAsia="Times New Roman"/>
          <w:sz w:val="20"/>
          <w:szCs w:val="20"/>
          <w:lang w:eastAsia="sl-SI"/>
        </w:rPr>
        <w:t xml:space="preserve">Februarja 2025 je MOPE v sodelovanju z Agencijo </w:t>
      </w:r>
      <w:r w:rsidR="00622CF0">
        <w:rPr>
          <w:rFonts w:eastAsia="Times New Roman"/>
          <w:sz w:val="20"/>
          <w:szCs w:val="20"/>
          <w:lang w:eastAsia="sl-SI"/>
        </w:rPr>
        <w:t>RS</w:t>
      </w:r>
      <w:r w:rsidRPr="00EC41E7">
        <w:rPr>
          <w:rFonts w:eastAsia="Times New Roman"/>
          <w:sz w:val="20"/>
          <w:szCs w:val="20"/>
          <w:lang w:eastAsia="sl-SI"/>
        </w:rPr>
        <w:t xml:space="preserve"> za okolje (ARSO) organiziralo ministrsko konferenco z naslovom »Izzivi prilagajanja podnebnim spremembam v jugovzhodni Evropi«.</w:t>
      </w:r>
      <w:r>
        <w:rPr>
          <w:rFonts w:eastAsia="Times New Roman"/>
          <w:sz w:val="20"/>
          <w:szCs w:val="20"/>
          <w:lang w:eastAsia="sl-SI"/>
        </w:rPr>
        <w:t xml:space="preserve"> </w:t>
      </w:r>
      <w:r w:rsidRPr="00EC41E7">
        <w:rPr>
          <w:rFonts w:eastAsia="Times New Roman"/>
          <w:sz w:val="20"/>
          <w:szCs w:val="20"/>
          <w:lang w:eastAsia="sl-SI"/>
        </w:rPr>
        <w:t>Konferenca je bila namenjena spodbujanju dialoga, izmenjavi dobrih praks ter utrjevanju regionalnega sodelovanja za učinkovitejše odzivanje na podnebne izzive. Udeležili so se je ministri in direktorji hidro-meteoroloških služb jugovzhodne Evrope, generalna sekretarka Svetovne meteorološke organizacije ter izvršna direktorica Evropske agencije za okolje.</w:t>
      </w:r>
    </w:p>
    <w:p w14:paraId="324799AB" w14:textId="77777777" w:rsidR="00726309" w:rsidRDefault="00726309" w:rsidP="00411064">
      <w:pPr>
        <w:spacing w:line="276" w:lineRule="auto"/>
        <w:rPr>
          <w:rFonts w:eastAsia="Times New Roman"/>
          <w:sz w:val="20"/>
          <w:szCs w:val="20"/>
          <w:lang w:eastAsia="sl-SI"/>
        </w:rPr>
      </w:pPr>
    </w:p>
    <w:p w14:paraId="7FDF1148" w14:textId="77777777" w:rsidR="00726309" w:rsidRDefault="00726309" w:rsidP="00411064">
      <w:pPr>
        <w:spacing w:line="276" w:lineRule="auto"/>
        <w:rPr>
          <w:rFonts w:eastAsia="Times New Roman"/>
          <w:sz w:val="20"/>
          <w:szCs w:val="20"/>
          <w:lang w:eastAsia="sl-SI"/>
        </w:rPr>
      </w:pPr>
      <w:r w:rsidRPr="00EC41E7">
        <w:rPr>
          <w:rFonts w:eastAsia="Times New Roman"/>
          <w:sz w:val="20"/>
          <w:szCs w:val="20"/>
          <w:lang w:eastAsia="sl-SI"/>
        </w:rPr>
        <w:t xml:space="preserve">V okviru prizadevanj za krepitev trajnostnega razvoja in okoljske politike v regiji je bil 7. marca 2025 na MOPE uspešno izveden študijski obisk delegacije iz Kosova, v sklopu projekta Krožno gospodarstvo za zeleni prehod. Projekt, ki ga financira </w:t>
      </w:r>
      <w:r w:rsidR="000D5AB1">
        <w:rPr>
          <w:rFonts w:eastAsia="Times New Roman"/>
          <w:sz w:val="20"/>
          <w:szCs w:val="20"/>
          <w:lang w:eastAsia="sl-SI"/>
        </w:rPr>
        <w:t>EK</w:t>
      </w:r>
      <w:r w:rsidR="00D64699">
        <w:rPr>
          <w:rFonts w:eastAsia="Times New Roman"/>
          <w:sz w:val="20"/>
          <w:szCs w:val="20"/>
          <w:lang w:eastAsia="sl-SI"/>
        </w:rPr>
        <w:t xml:space="preserve"> </w:t>
      </w:r>
      <w:r w:rsidRPr="00EC41E7">
        <w:rPr>
          <w:rFonts w:eastAsia="Times New Roman"/>
          <w:sz w:val="20"/>
          <w:szCs w:val="20"/>
          <w:lang w:eastAsia="sl-SI"/>
        </w:rPr>
        <w:t xml:space="preserve">– Pisarna v Kosovu, izvaja mednarodna nevladna organizacija </w:t>
      </w:r>
      <w:proofErr w:type="spellStart"/>
      <w:r w:rsidRPr="00EC41E7">
        <w:rPr>
          <w:rFonts w:eastAsia="Times New Roman"/>
          <w:i/>
          <w:iCs/>
          <w:sz w:val="20"/>
          <w:szCs w:val="20"/>
          <w:lang w:eastAsia="sl-SI"/>
        </w:rPr>
        <w:t>People</w:t>
      </w:r>
      <w:proofErr w:type="spellEnd"/>
      <w:r w:rsidRPr="00EC41E7">
        <w:rPr>
          <w:rFonts w:eastAsia="Times New Roman"/>
          <w:i/>
          <w:iCs/>
          <w:sz w:val="20"/>
          <w:szCs w:val="20"/>
          <w:lang w:eastAsia="sl-SI"/>
        </w:rPr>
        <w:t xml:space="preserve"> in </w:t>
      </w:r>
      <w:proofErr w:type="spellStart"/>
      <w:r w:rsidRPr="00EC41E7">
        <w:rPr>
          <w:rFonts w:eastAsia="Times New Roman"/>
          <w:i/>
          <w:iCs/>
          <w:sz w:val="20"/>
          <w:szCs w:val="20"/>
          <w:lang w:eastAsia="sl-SI"/>
        </w:rPr>
        <w:t>Need</w:t>
      </w:r>
      <w:proofErr w:type="spellEnd"/>
      <w:r w:rsidRPr="00EC41E7">
        <w:rPr>
          <w:rFonts w:eastAsia="Times New Roman"/>
          <w:sz w:val="20"/>
          <w:szCs w:val="20"/>
          <w:lang w:eastAsia="sl-SI"/>
        </w:rPr>
        <w:t xml:space="preserve"> iz Češke republike, v partnerstvu z lokalno organizacijo </w:t>
      </w:r>
      <w:r w:rsidRPr="00EC41E7">
        <w:rPr>
          <w:rFonts w:eastAsia="Times New Roman"/>
          <w:i/>
          <w:iCs/>
          <w:sz w:val="20"/>
          <w:szCs w:val="20"/>
          <w:lang w:eastAsia="sl-SI"/>
        </w:rPr>
        <w:t>Green Renaissance</w:t>
      </w:r>
      <w:r w:rsidRPr="00EC41E7">
        <w:rPr>
          <w:rFonts w:eastAsia="Times New Roman"/>
          <w:sz w:val="20"/>
          <w:szCs w:val="20"/>
          <w:lang w:eastAsia="sl-SI"/>
        </w:rPr>
        <w:t xml:space="preserve"> iz Kosova.</w:t>
      </w:r>
    </w:p>
    <w:p w14:paraId="2BA6F809" w14:textId="77777777" w:rsidR="00726309" w:rsidRDefault="00726309" w:rsidP="00411064">
      <w:pPr>
        <w:spacing w:line="276" w:lineRule="auto"/>
        <w:rPr>
          <w:rFonts w:eastAsia="Times New Roman"/>
          <w:sz w:val="20"/>
          <w:szCs w:val="20"/>
          <w:lang w:eastAsia="sl-SI"/>
        </w:rPr>
      </w:pPr>
    </w:p>
    <w:p w14:paraId="3F8634EE" w14:textId="77777777" w:rsidR="00726309" w:rsidRPr="00EE2AD9" w:rsidRDefault="00726309" w:rsidP="00411064">
      <w:pPr>
        <w:spacing w:line="276" w:lineRule="auto"/>
        <w:rPr>
          <w:b/>
          <w:sz w:val="20"/>
          <w:szCs w:val="20"/>
        </w:rPr>
      </w:pPr>
      <w:r w:rsidRPr="00EE2AD9">
        <w:rPr>
          <w:b/>
          <w:sz w:val="20"/>
          <w:szCs w:val="20"/>
        </w:rPr>
        <w:t>Mednarodno razvojno sodelovanje MOPE</w:t>
      </w:r>
    </w:p>
    <w:p w14:paraId="1AA96920" w14:textId="77777777" w:rsidR="00726309" w:rsidRPr="00EE2AD9" w:rsidRDefault="00726309" w:rsidP="00411064">
      <w:pPr>
        <w:spacing w:line="276" w:lineRule="auto"/>
        <w:rPr>
          <w:b/>
          <w:sz w:val="20"/>
          <w:szCs w:val="20"/>
        </w:rPr>
      </w:pPr>
      <w:r w:rsidRPr="00EE2AD9">
        <w:rPr>
          <w:sz w:val="20"/>
          <w:szCs w:val="20"/>
        </w:rPr>
        <w:t xml:space="preserve">MOPE iz sredstev Sklada za podnebne spremembe financira razvojni projekt »Krepitev zmogljivosti javnih uslužbencev na Zahodnem Balkanu za hitrejši zeleni prehod«. Projekt (2024–2026) se osredotoča na trajnostno financiranje, podnebno poročanje, obvladovanje tveganj in krepitev institucionalnih sposobnosti. Z delavnicami, usposabljanji in študijskimi obiski </w:t>
      </w:r>
      <w:r w:rsidR="000D5AB1">
        <w:rPr>
          <w:sz w:val="20"/>
          <w:szCs w:val="20"/>
        </w:rPr>
        <w:t>se bodo</w:t>
      </w:r>
      <w:r w:rsidRPr="00EE2AD9">
        <w:rPr>
          <w:sz w:val="20"/>
          <w:szCs w:val="20"/>
        </w:rPr>
        <w:t xml:space="preserve"> okrepili javn</w:t>
      </w:r>
      <w:r w:rsidR="000D5AB1">
        <w:rPr>
          <w:sz w:val="20"/>
          <w:szCs w:val="20"/>
        </w:rPr>
        <w:t>i</w:t>
      </w:r>
      <w:r w:rsidRPr="00EE2AD9">
        <w:rPr>
          <w:sz w:val="20"/>
          <w:szCs w:val="20"/>
        </w:rPr>
        <w:t xml:space="preserve"> uslužbenc</w:t>
      </w:r>
      <w:r w:rsidR="000D5AB1">
        <w:rPr>
          <w:sz w:val="20"/>
          <w:szCs w:val="20"/>
        </w:rPr>
        <w:t>i</w:t>
      </w:r>
      <w:r w:rsidRPr="00EE2AD9">
        <w:rPr>
          <w:sz w:val="20"/>
          <w:szCs w:val="20"/>
        </w:rPr>
        <w:t xml:space="preserve"> na Zahodnem Balkanu, da bodo javne institucije sposobne izvesti sistemske spremembe za zeleni prehod. Izvajalec razvojnega projekta je </w:t>
      </w:r>
      <w:r w:rsidR="007276EB">
        <w:rPr>
          <w:sz w:val="20"/>
          <w:szCs w:val="20"/>
        </w:rPr>
        <w:t>CEF.</w:t>
      </w:r>
    </w:p>
    <w:p w14:paraId="7032C238" w14:textId="77777777" w:rsidR="00726309" w:rsidRPr="00EE2AD9" w:rsidRDefault="00726309" w:rsidP="00411064">
      <w:pPr>
        <w:spacing w:line="276" w:lineRule="auto"/>
        <w:rPr>
          <w:bCs/>
          <w:sz w:val="20"/>
          <w:szCs w:val="20"/>
        </w:rPr>
      </w:pPr>
    </w:p>
    <w:p w14:paraId="6651D720" w14:textId="77777777" w:rsidR="00726309" w:rsidRPr="00EE2AD9" w:rsidRDefault="00726309" w:rsidP="00411064">
      <w:pPr>
        <w:spacing w:line="276" w:lineRule="auto"/>
        <w:rPr>
          <w:sz w:val="20"/>
          <w:szCs w:val="20"/>
        </w:rPr>
      </w:pPr>
      <w:bookmarkStart w:id="40" w:name="_Hlk187326062"/>
      <w:r>
        <w:rPr>
          <w:sz w:val="20"/>
          <w:szCs w:val="20"/>
        </w:rPr>
        <w:t>MOPE izvaja</w:t>
      </w:r>
      <w:r w:rsidRPr="00EE2AD9">
        <w:rPr>
          <w:sz w:val="20"/>
          <w:szCs w:val="20"/>
        </w:rPr>
        <w:t xml:space="preserve"> </w:t>
      </w:r>
      <w:r>
        <w:rPr>
          <w:sz w:val="20"/>
          <w:szCs w:val="20"/>
        </w:rPr>
        <w:t xml:space="preserve">razvojni </w:t>
      </w:r>
      <w:r w:rsidRPr="00EE2AD9">
        <w:rPr>
          <w:sz w:val="20"/>
          <w:szCs w:val="20"/>
        </w:rPr>
        <w:t xml:space="preserve">projekt, namenjen spodbujanju energetske učinkovitosti in e-mobilnosti v Črni gori. </w:t>
      </w:r>
      <w:bookmarkEnd w:id="40"/>
      <w:r w:rsidRPr="00EE2AD9">
        <w:rPr>
          <w:sz w:val="20"/>
          <w:szCs w:val="20"/>
        </w:rPr>
        <w:t>Projekt bo med letoma 2024 in 2026 podpiral izvajanje letnih programov Eko fonda Črne gore s sofinanciranjem javnih razpisov za subvencije za nakup električnih vozil, postavitev polnilnih postaj in izboljšanje energetske učinkovitosti. Cilji projekta vključujejo zmanjšanje emisij toplogrednih plinov, izboljšanje kakovosti zraka ter krepitev trajnostne mobilnosti in energetske učinkovitosti. Sofinanciranje bo zagotovljeno iz Sklada za podnebne spremembe RS.</w:t>
      </w:r>
    </w:p>
    <w:p w14:paraId="6CB6DF55" w14:textId="77777777" w:rsidR="00726309" w:rsidRPr="00EE2AD9" w:rsidRDefault="00726309" w:rsidP="00411064">
      <w:pPr>
        <w:spacing w:line="276" w:lineRule="auto"/>
        <w:rPr>
          <w:sz w:val="20"/>
          <w:szCs w:val="20"/>
        </w:rPr>
      </w:pPr>
    </w:p>
    <w:p w14:paraId="3EA2B19F" w14:textId="77777777" w:rsidR="00726309" w:rsidRDefault="00726309" w:rsidP="00411064">
      <w:pPr>
        <w:spacing w:line="276" w:lineRule="auto"/>
        <w:rPr>
          <w:sz w:val="20"/>
          <w:szCs w:val="20"/>
        </w:rPr>
      </w:pPr>
      <w:r w:rsidRPr="00EE2AD9">
        <w:rPr>
          <w:sz w:val="20"/>
          <w:szCs w:val="20"/>
        </w:rPr>
        <w:t xml:space="preserve">MOPE je kot sofinancer treh projektov CMSR na Zahodnem Balkanu, prenesel sredstva na MZEZ za projekte, ki naslavljajo vsebinsko področje podnebnega blaženja/prilagajanja, in sicer: izboljšanje energetske učinkovitosti v javnih zgradbah (Aracinovo, Severna Makedonija); vzpostavitev kompostne sheme v občini Kamenica (Kosovo); izgradnja bioplinske elektrarne na odlagališču komunalnih odpadkov Možura (Bar, Črna Gora). </w:t>
      </w:r>
      <w:r>
        <w:rPr>
          <w:sz w:val="20"/>
          <w:szCs w:val="20"/>
        </w:rPr>
        <w:t>Z</w:t>
      </w:r>
      <w:r w:rsidRPr="00EE2AD9">
        <w:rPr>
          <w:sz w:val="20"/>
          <w:szCs w:val="20"/>
        </w:rPr>
        <w:t>aključek p</w:t>
      </w:r>
      <w:r>
        <w:rPr>
          <w:sz w:val="20"/>
          <w:szCs w:val="20"/>
        </w:rPr>
        <w:t xml:space="preserve">rojektov, ki so se pričeli v 2024 </w:t>
      </w:r>
      <w:r w:rsidRPr="00EE2AD9">
        <w:rPr>
          <w:sz w:val="20"/>
          <w:szCs w:val="20"/>
        </w:rPr>
        <w:t xml:space="preserve">se pričakuje </w:t>
      </w:r>
      <w:r>
        <w:rPr>
          <w:sz w:val="20"/>
          <w:szCs w:val="20"/>
        </w:rPr>
        <w:t>do konca leta</w:t>
      </w:r>
      <w:r w:rsidRPr="00EE2AD9">
        <w:rPr>
          <w:sz w:val="20"/>
          <w:szCs w:val="20"/>
        </w:rPr>
        <w:t xml:space="preserve"> 202</w:t>
      </w:r>
      <w:r>
        <w:rPr>
          <w:sz w:val="20"/>
          <w:szCs w:val="20"/>
        </w:rPr>
        <w:t>6</w:t>
      </w:r>
      <w:r w:rsidRPr="00EE2AD9">
        <w:rPr>
          <w:sz w:val="20"/>
          <w:szCs w:val="20"/>
        </w:rPr>
        <w:t>, kar bo prispevalo k trajnostnemu razvoju in podnebni odpornosti regije.</w:t>
      </w:r>
    </w:p>
    <w:p w14:paraId="0284F06A" w14:textId="77777777" w:rsidR="00726309" w:rsidRDefault="00726309" w:rsidP="00411064">
      <w:pPr>
        <w:spacing w:line="276" w:lineRule="auto"/>
        <w:rPr>
          <w:sz w:val="20"/>
          <w:szCs w:val="20"/>
        </w:rPr>
      </w:pPr>
    </w:p>
    <w:p w14:paraId="4107C935" w14:textId="77777777" w:rsidR="00726309" w:rsidRPr="00EE2AD9" w:rsidRDefault="00726309" w:rsidP="00411064">
      <w:pPr>
        <w:spacing w:line="276" w:lineRule="auto"/>
        <w:rPr>
          <w:sz w:val="20"/>
          <w:szCs w:val="20"/>
        </w:rPr>
      </w:pPr>
      <w:r>
        <w:rPr>
          <w:sz w:val="20"/>
          <w:szCs w:val="20"/>
        </w:rPr>
        <w:t>MOPE se je v letu 2025 dogovarjal z</w:t>
      </w:r>
      <w:r w:rsidRPr="005248B9">
        <w:rPr>
          <w:sz w:val="20"/>
          <w:szCs w:val="20"/>
        </w:rPr>
        <w:t xml:space="preserve"> </w:t>
      </w:r>
      <w:r w:rsidR="00945E65">
        <w:rPr>
          <w:sz w:val="20"/>
          <w:szCs w:val="20"/>
        </w:rPr>
        <w:t>BiH</w:t>
      </w:r>
      <w:r w:rsidRPr="005248B9">
        <w:rPr>
          <w:sz w:val="20"/>
          <w:szCs w:val="20"/>
        </w:rPr>
        <w:t xml:space="preserve"> o izmenjavi znanj in izkušenj pri uvedbi mehanizma </w:t>
      </w:r>
      <w:r w:rsidR="00D83594" w:rsidRPr="005248B9">
        <w:rPr>
          <w:sz w:val="20"/>
          <w:szCs w:val="20"/>
        </w:rPr>
        <w:t>Evropsk</w:t>
      </w:r>
      <w:r w:rsidR="00D83594">
        <w:rPr>
          <w:sz w:val="20"/>
          <w:szCs w:val="20"/>
        </w:rPr>
        <w:t>ega</w:t>
      </w:r>
      <w:r w:rsidR="00D83594" w:rsidRPr="005248B9">
        <w:rPr>
          <w:sz w:val="20"/>
          <w:szCs w:val="20"/>
        </w:rPr>
        <w:t xml:space="preserve"> sistem</w:t>
      </w:r>
      <w:r w:rsidR="00D83594">
        <w:rPr>
          <w:sz w:val="20"/>
          <w:szCs w:val="20"/>
        </w:rPr>
        <w:t>a</w:t>
      </w:r>
      <w:r w:rsidR="00D83594" w:rsidRPr="005248B9">
        <w:rPr>
          <w:sz w:val="20"/>
          <w:szCs w:val="20"/>
        </w:rPr>
        <w:t xml:space="preserve"> za trgovanje z emisijami </w:t>
      </w:r>
      <w:r w:rsidRPr="005248B9">
        <w:rPr>
          <w:sz w:val="20"/>
          <w:szCs w:val="20"/>
        </w:rPr>
        <w:t>(</w:t>
      </w:r>
      <w:r w:rsidR="00D83594" w:rsidRPr="005248B9">
        <w:rPr>
          <w:sz w:val="20"/>
          <w:szCs w:val="20"/>
        </w:rPr>
        <w:t>EU ETS</w:t>
      </w:r>
      <w:r w:rsidRPr="005248B9">
        <w:rPr>
          <w:sz w:val="20"/>
          <w:szCs w:val="20"/>
        </w:rPr>
        <w:t>) ter o zagotavljanju tehnične pomoči pri vzpostavitvi organiziranega trga z električno energijo in trgovanjem na borzi z električno energijo.</w:t>
      </w:r>
    </w:p>
    <w:p w14:paraId="62BEC0A9" w14:textId="77777777" w:rsidR="00726309" w:rsidRPr="00EE2AD9" w:rsidRDefault="00726309" w:rsidP="00411064">
      <w:pPr>
        <w:spacing w:line="276" w:lineRule="auto"/>
        <w:rPr>
          <w:sz w:val="20"/>
          <w:szCs w:val="20"/>
        </w:rPr>
      </w:pPr>
    </w:p>
    <w:p w14:paraId="4AF1EC09" w14:textId="77777777" w:rsidR="00726309" w:rsidRPr="00EE2AD9" w:rsidRDefault="00726309" w:rsidP="00411064">
      <w:pPr>
        <w:spacing w:line="276" w:lineRule="auto"/>
        <w:rPr>
          <w:b/>
          <w:sz w:val="20"/>
          <w:szCs w:val="20"/>
        </w:rPr>
      </w:pPr>
      <w:bookmarkStart w:id="41" w:name="_Hlk218665166"/>
      <w:r w:rsidRPr="00EE2AD9">
        <w:rPr>
          <w:b/>
          <w:sz w:val="20"/>
          <w:szCs w:val="20"/>
        </w:rPr>
        <w:t>Sodelovanje na področju meteorologije in hidrologije</w:t>
      </w:r>
    </w:p>
    <w:p w14:paraId="3DF8EA8A" w14:textId="77777777" w:rsidR="00726309" w:rsidRPr="00C76207" w:rsidRDefault="00726309" w:rsidP="00411064">
      <w:pPr>
        <w:spacing w:line="276" w:lineRule="auto"/>
        <w:rPr>
          <w:rFonts w:eastAsia="Times New Roman"/>
          <w:sz w:val="20"/>
          <w:szCs w:val="20"/>
        </w:rPr>
      </w:pPr>
      <w:r w:rsidRPr="00C76207">
        <w:rPr>
          <w:rFonts w:eastAsia="Times New Roman"/>
          <w:sz w:val="20"/>
          <w:szCs w:val="20"/>
        </w:rPr>
        <w:t xml:space="preserve">ARSO gosti Regionalni instrumentacijski center Svetovne meteorološke organizacije (WMO RIC), ki meteorološkim službam v regiji nudi podporo pri zagotavljanju kakovosti meritev, vključno s sledljivostjo meteoroloških standardov. To je še posebej pomembno z vidika spremljanja podnebnih sprememb. Med ključnimi mehanizmi za doseganje tega cilja so zagotavljanje sledljivosti referenčnih standardov meteoroloških služb, organizacija delavnic s področja metrologije in merilne infrastrukture, izvedba medlaboratorijskih primerjav ter primerjav z uporabo umerjevalnega kompleta prenosnih standardov. V letu 2025 je ARSO srbskemu Republiškemu hidrometeorološkemu zavodu, s katerim redno sodeluje že več kot desetletje, zagotovil sledljivost referenčnih etalonov za temperaturo, zračni tlak, relativno vlažnost in sončno sevanje na mednarodno raven. Poleg tega je ARSO v okviru pobude </w:t>
      </w:r>
      <w:r w:rsidR="009B2715">
        <w:rPr>
          <w:rFonts w:eastAsia="Times New Roman"/>
          <w:sz w:val="20"/>
          <w:szCs w:val="20"/>
        </w:rPr>
        <w:t>ZN</w:t>
      </w:r>
      <w:r w:rsidRPr="00C76207">
        <w:rPr>
          <w:rFonts w:eastAsia="Times New Roman"/>
          <w:sz w:val="20"/>
          <w:szCs w:val="20"/>
        </w:rPr>
        <w:t xml:space="preserve"> SOFF (Systematic Observations Financing Facility) koordiniral projekt razvoja izobraževalnih modulov na področju zagotavljanja sledljivosti meritev, kar bo prispevalo h krepitvi zmogljivosti tudi v državah Zahodnega Balkana.</w:t>
      </w:r>
    </w:p>
    <w:p w14:paraId="114A7EBC" w14:textId="77777777" w:rsidR="00726309" w:rsidRPr="00C76207" w:rsidRDefault="00726309" w:rsidP="00411064">
      <w:pPr>
        <w:spacing w:line="276" w:lineRule="auto"/>
        <w:rPr>
          <w:rFonts w:eastAsia="Times New Roman"/>
          <w:sz w:val="20"/>
          <w:szCs w:val="20"/>
        </w:rPr>
      </w:pPr>
    </w:p>
    <w:p w14:paraId="71ECBA86" w14:textId="77777777" w:rsidR="00726309" w:rsidRPr="00C76207" w:rsidRDefault="00726309" w:rsidP="00411064">
      <w:pPr>
        <w:spacing w:line="276" w:lineRule="auto"/>
        <w:rPr>
          <w:rFonts w:eastAsia="Times New Roman"/>
          <w:sz w:val="20"/>
          <w:szCs w:val="20"/>
        </w:rPr>
      </w:pPr>
      <w:r w:rsidRPr="00C76207">
        <w:rPr>
          <w:rFonts w:eastAsia="Times New Roman"/>
          <w:sz w:val="20"/>
          <w:szCs w:val="20"/>
        </w:rPr>
        <w:t>Center za upravljanje suše v Jugovzhodni Evropi (DMCSEE), ki deluje pod okriljem ARSO, je v letu 2025 izvajal redno obveščanje partnerskih institucij o stanju sušnih razmer v regiji prek biltena DMCSEE Drought Bulletin. Center je hkrati aktivno sodeloval v evropskih in drugih mednarodnih projektih, povezanih s sušo (projekta X-RISK-CC in Clim4Cast), v okviru katerih izpopolnjuje metodologije in pristope monitoringa suše. Pridobljene izsledke je ARSO prenašal v regijo Jugovzhodne Evrope in tudi širše prek različnih strokovnih dogodkov. Februarja 2025 je ARSO skupaj z MOPE organiziral ministrsko konferenco o prilagajanju na podnebne spremembe, v okviru katere so se sestali direktorji hidrometeoroloških služb vseh držav članic DMCSEE z namenom okrepitve delovanja centra. Sestanek je bil zelo uspešen in se je zaključil z dvema ključnima sklepoma: da vsaka država imenuje predstavnika v operativno delovno skupino ter koordinatorja za povezovanje strokovnjakov za sušo na nacionalni ravni. Do poletja 2025 so bili imenovani vsi delegati, operativna delovna skupina pa se je novembra 2025 že sestala in pripravila osnutek programa dela in koncept delovanja DMCSEE za prihodnja leta. V okviru ministrske konference je potekala tudi tehnična konferenca o monitoringu in upravljanju suše v Jugovzhodni Evropi, na kateri so si strokovnjaki izmenjali znanja in izkušnje ter oblikovali predloge ukrepov za nadaljnjo krepitev delovanja DMCSEE.</w:t>
      </w:r>
    </w:p>
    <w:p w14:paraId="21BCAAC8" w14:textId="77777777" w:rsidR="00726309" w:rsidRPr="00C76207" w:rsidRDefault="00726309" w:rsidP="00411064">
      <w:pPr>
        <w:spacing w:line="276" w:lineRule="auto"/>
        <w:rPr>
          <w:rFonts w:eastAsia="Times New Roman"/>
          <w:sz w:val="20"/>
          <w:szCs w:val="20"/>
        </w:rPr>
      </w:pPr>
    </w:p>
    <w:p w14:paraId="5DF0771F" w14:textId="77777777" w:rsidR="00726309" w:rsidRPr="00C76207" w:rsidRDefault="00726309" w:rsidP="00411064">
      <w:pPr>
        <w:spacing w:line="276" w:lineRule="auto"/>
        <w:rPr>
          <w:rFonts w:eastAsia="Times New Roman"/>
          <w:sz w:val="20"/>
          <w:szCs w:val="20"/>
        </w:rPr>
      </w:pPr>
      <w:r w:rsidRPr="00C76207">
        <w:rPr>
          <w:rFonts w:eastAsia="Times New Roman"/>
          <w:sz w:val="20"/>
          <w:szCs w:val="20"/>
        </w:rPr>
        <w:t>ARSO je bil tudi v letu 2025 eden od izvedbenih partnerjev v projektu Svetovne meteorološke organizacije (WMO), katerega cilj je vzpostavitev Posvetovalnega sistema za zgodnje opozarjanje na mnogotere vremensko pogojene nevarnosti v Jugovzhodni Evropi (SEE-MHEWS-A). V projekt so vključene državne meteorološke in hidrološke službe Zahodnega Balkana ter Evropski center za srednjeročne napovedi vremena (ECMWF). V okviru projekta je ARSO vzpostavil visoko ločljiv sistem numeričnega napovedovanja vremena ALADIN za celotno regijo Jugovzhodne Evrope z ločljivostjo 2,5 km ter pripravil prilagoditve izhodnih podatkov za potrebe hidrološkega modeliranja in napovedovanja poplav. ARSO zagotavlja nemoteno delovanje tega modelskega sistema v okviru lastne informacijske infrastrukture na ECMWF ter bo z navedenimi aktivnostmi nadaljeval tudi v letu 2026.</w:t>
      </w:r>
    </w:p>
    <w:p w14:paraId="6D16D080" w14:textId="77777777" w:rsidR="00726309" w:rsidRPr="00C76207" w:rsidRDefault="00726309" w:rsidP="00411064">
      <w:pPr>
        <w:spacing w:line="276" w:lineRule="auto"/>
        <w:rPr>
          <w:rFonts w:eastAsia="Times New Roman"/>
          <w:sz w:val="20"/>
          <w:szCs w:val="20"/>
        </w:rPr>
      </w:pPr>
    </w:p>
    <w:p w14:paraId="1F49C273" w14:textId="77777777" w:rsidR="00726309" w:rsidRPr="00C76207" w:rsidRDefault="00726309" w:rsidP="00411064">
      <w:pPr>
        <w:spacing w:line="276" w:lineRule="auto"/>
        <w:rPr>
          <w:rFonts w:eastAsia="Times New Roman"/>
          <w:sz w:val="20"/>
          <w:szCs w:val="20"/>
        </w:rPr>
      </w:pPr>
      <w:r w:rsidRPr="00C76207">
        <w:rPr>
          <w:rFonts w:eastAsia="Times New Roman"/>
          <w:sz w:val="20"/>
          <w:szCs w:val="20"/>
        </w:rPr>
        <w:t>V okviru podpore iniciativi EW4A ARSO deluje tudi kot gostiteljica sistema za napovedovanje in opozarjanje pred poplavami na Savi (Sava Flood Forecasting and Warning System – FFWS). Na pobudo Savske komisije ARSO pripravlja prvostopenjsko podporo koordinatorjem hidroloških napovedi, kar omogoča prenos znanja in krepitev zmogljivosti uporabnikov Sava FFWS pri pripravi rednih poročil o hidroloških napovedih in opozorilih.</w:t>
      </w:r>
    </w:p>
    <w:p w14:paraId="6BB58AAB" w14:textId="77777777" w:rsidR="00726309" w:rsidRPr="00EE2AD9" w:rsidRDefault="00726309" w:rsidP="00411064">
      <w:pPr>
        <w:spacing w:line="276" w:lineRule="auto"/>
        <w:rPr>
          <w:sz w:val="20"/>
          <w:szCs w:val="20"/>
        </w:rPr>
      </w:pPr>
    </w:p>
    <w:bookmarkEnd w:id="41"/>
    <w:p w14:paraId="2E95BA9B" w14:textId="77777777" w:rsidR="00726309" w:rsidRPr="005248B9" w:rsidRDefault="00726309" w:rsidP="00411064">
      <w:pPr>
        <w:spacing w:line="276" w:lineRule="auto"/>
        <w:rPr>
          <w:b/>
          <w:color w:val="000000"/>
          <w:sz w:val="20"/>
          <w:szCs w:val="20"/>
          <w:lang w:eastAsia="sl-SI"/>
        </w:rPr>
      </w:pPr>
      <w:r w:rsidRPr="005248B9">
        <w:rPr>
          <w:b/>
          <w:color w:val="000000"/>
          <w:sz w:val="20"/>
          <w:szCs w:val="20"/>
          <w:lang w:eastAsia="sl-SI"/>
        </w:rPr>
        <w:t>Sodelovanje na področju energije</w:t>
      </w:r>
    </w:p>
    <w:p w14:paraId="4124A925" w14:textId="77777777" w:rsidR="00726309" w:rsidRPr="00EE2AD9" w:rsidRDefault="00726309" w:rsidP="00411064">
      <w:pPr>
        <w:spacing w:line="276" w:lineRule="auto"/>
        <w:rPr>
          <w:b/>
          <w:color w:val="000000"/>
          <w:sz w:val="20"/>
          <w:szCs w:val="20"/>
          <w:lang w:eastAsia="sl-SI"/>
        </w:rPr>
      </w:pPr>
      <w:proofErr w:type="spellStart"/>
      <w:r w:rsidRPr="00EE2AD9">
        <w:rPr>
          <w:b/>
          <w:color w:val="000000"/>
          <w:sz w:val="20"/>
          <w:szCs w:val="20"/>
          <w:lang w:eastAsia="sl-SI"/>
        </w:rPr>
        <w:t>Makroregionalne</w:t>
      </w:r>
      <w:proofErr w:type="spellEnd"/>
      <w:r w:rsidRPr="00EE2AD9">
        <w:rPr>
          <w:b/>
          <w:color w:val="000000"/>
          <w:sz w:val="20"/>
          <w:szCs w:val="20"/>
          <w:lang w:eastAsia="sl-SI"/>
        </w:rPr>
        <w:t xml:space="preserve"> strategije</w:t>
      </w:r>
      <w:r w:rsidR="00BF31A0">
        <w:rPr>
          <w:b/>
          <w:color w:val="000000"/>
          <w:sz w:val="20"/>
          <w:szCs w:val="20"/>
          <w:lang w:eastAsia="sl-SI"/>
        </w:rPr>
        <w:t xml:space="preserve"> EU</w:t>
      </w:r>
    </w:p>
    <w:p w14:paraId="3679CC4E" w14:textId="77777777" w:rsidR="00726309" w:rsidRPr="00EE2AD9" w:rsidRDefault="00BF31A0" w:rsidP="00411064">
      <w:pPr>
        <w:spacing w:line="276" w:lineRule="auto"/>
        <w:rPr>
          <w:bCs/>
          <w:color w:val="000000"/>
          <w:sz w:val="20"/>
          <w:szCs w:val="20"/>
          <w:lang w:eastAsia="sl-SI"/>
        </w:rPr>
      </w:pPr>
      <w:r w:rsidRPr="00BF31A0">
        <w:rPr>
          <w:bCs/>
          <w:color w:val="000000"/>
          <w:sz w:val="20"/>
          <w:szCs w:val="20"/>
          <w:lang w:eastAsia="sl-SI"/>
        </w:rPr>
        <w:t>MOPE je v sodelovanju z državami Zahodnega Balkana na področju energije tudi v letu 2025 deloval v okviru EUSDR in EUSAIR.</w:t>
      </w:r>
      <w:r>
        <w:rPr>
          <w:bCs/>
          <w:color w:val="000000"/>
          <w:sz w:val="20"/>
          <w:szCs w:val="20"/>
          <w:lang w:eastAsia="sl-SI"/>
        </w:rPr>
        <w:t xml:space="preserve"> </w:t>
      </w:r>
      <w:r w:rsidR="00726309" w:rsidRPr="00EE2AD9">
        <w:rPr>
          <w:bCs/>
          <w:color w:val="000000"/>
          <w:sz w:val="20"/>
          <w:szCs w:val="20"/>
          <w:lang w:eastAsia="sl-SI"/>
        </w:rPr>
        <w:t>Delo delovnih teles za energijo je osredotočeno predvsem na podporo državam makroregije pri njihovih prizadevanjih za izvedbo energetskega prehoda.</w:t>
      </w:r>
    </w:p>
    <w:p w14:paraId="799F9A55" w14:textId="77777777" w:rsidR="00726309" w:rsidRPr="00EE2AD9" w:rsidRDefault="00726309" w:rsidP="00411064">
      <w:pPr>
        <w:spacing w:line="276" w:lineRule="auto"/>
        <w:rPr>
          <w:rFonts w:eastAsia="Times New Roman"/>
          <w:noProof/>
          <w:sz w:val="20"/>
          <w:szCs w:val="20"/>
        </w:rPr>
      </w:pPr>
    </w:p>
    <w:p w14:paraId="7AF0B273" w14:textId="77777777" w:rsidR="00726309" w:rsidRPr="00EE2AD9" w:rsidRDefault="00726309" w:rsidP="00411064">
      <w:pPr>
        <w:spacing w:line="276" w:lineRule="auto"/>
        <w:rPr>
          <w:rFonts w:eastAsia="Times New Roman"/>
          <w:b/>
          <w:noProof/>
          <w:sz w:val="20"/>
          <w:szCs w:val="20"/>
        </w:rPr>
      </w:pPr>
      <w:r w:rsidRPr="00EE2AD9">
        <w:rPr>
          <w:rFonts w:eastAsia="Times New Roman"/>
          <w:b/>
          <w:noProof/>
          <w:sz w:val="20"/>
          <w:szCs w:val="20"/>
        </w:rPr>
        <w:t xml:space="preserve">Pogodba o Energetski skupnosti, sklenjena med EU in državami Zahodnega Balkana </w:t>
      </w:r>
    </w:p>
    <w:p w14:paraId="7EFAE47A" w14:textId="77777777" w:rsidR="00726309" w:rsidRPr="00EE2AD9" w:rsidRDefault="00726309" w:rsidP="00411064">
      <w:pPr>
        <w:spacing w:line="276" w:lineRule="auto"/>
        <w:rPr>
          <w:rFonts w:eastAsia="Times New Roman"/>
          <w:noProof/>
          <w:sz w:val="20"/>
          <w:szCs w:val="20"/>
        </w:rPr>
      </w:pPr>
      <w:r w:rsidRPr="00EE2AD9">
        <w:rPr>
          <w:rFonts w:eastAsia="Times New Roman"/>
          <w:noProof/>
          <w:sz w:val="20"/>
          <w:szCs w:val="20"/>
        </w:rPr>
        <w:t>MOPE je tudi v 202</w:t>
      </w:r>
      <w:r>
        <w:rPr>
          <w:rFonts w:eastAsia="Times New Roman"/>
          <w:noProof/>
          <w:sz w:val="20"/>
          <w:szCs w:val="20"/>
        </w:rPr>
        <w:t>5</w:t>
      </w:r>
      <w:r w:rsidRPr="00EE2AD9">
        <w:rPr>
          <w:rFonts w:eastAsia="Times New Roman"/>
          <w:noProof/>
          <w:sz w:val="20"/>
          <w:szCs w:val="20"/>
        </w:rPr>
        <w:t xml:space="preserve"> aktivno spremljal izvajanje Pogodbe o energetski skupnosti. </w:t>
      </w:r>
    </w:p>
    <w:p w14:paraId="7A1C2283" w14:textId="77777777" w:rsidR="00726309" w:rsidRPr="00EE2AD9" w:rsidRDefault="00726309" w:rsidP="00411064">
      <w:pPr>
        <w:spacing w:line="276" w:lineRule="auto"/>
        <w:rPr>
          <w:rFonts w:eastAsia="Times New Roman"/>
          <w:b/>
          <w:noProof/>
          <w:sz w:val="20"/>
          <w:szCs w:val="20"/>
        </w:rPr>
      </w:pPr>
    </w:p>
    <w:p w14:paraId="24650815" w14:textId="77777777" w:rsidR="00726309" w:rsidRPr="00EE2AD9" w:rsidRDefault="00726309" w:rsidP="00411064">
      <w:pPr>
        <w:spacing w:line="276" w:lineRule="auto"/>
        <w:rPr>
          <w:rFonts w:eastAsia="Times New Roman"/>
          <w:b/>
          <w:noProof/>
          <w:sz w:val="20"/>
          <w:szCs w:val="20"/>
        </w:rPr>
      </w:pPr>
      <w:r w:rsidRPr="00EE2AD9">
        <w:rPr>
          <w:rFonts w:eastAsia="Times New Roman"/>
          <w:b/>
          <w:noProof/>
          <w:sz w:val="20"/>
          <w:szCs w:val="20"/>
        </w:rPr>
        <w:t>Pobuda za energetsko povezovanje v Srednji in Jugovzhodni Evropi (CESEC)</w:t>
      </w:r>
    </w:p>
    <w:p w14:paraId="52F3D748" w14:textId="77777777" w:rsidR="00726309" w:rsidRPr="00EE2AD9" w:rsidRDefault="00726309" w:rsidP="00411064">
      <w:pPr>
        <w:spacing w:line="276" w:lineRule="auto"/>
        <w:rPr>
          <w:sz w:val="20"/>
          <w:szCs w:val="20"/>
        </w:rPr>
      </w:pPr>
      <w:r w:rsidRPr="00EE2AD9">
        <w:rPr>
          <w:sz w:val="20"/>
          <w:szCs w:val="20"/>
        </w:rPr>
        <w:t>MOPE je v letu 202</w:t>
      </w:r>
      <w:r>
        <w:rPr>
          <w:sz w:val="20"/>
          <w:szCs w:val="20"/>
        </w:rPr>
        <w:t>5</w:t>
      </w:r>
      <w:r w:rsidRPr="00EE2AD9">
        <w:rPr>
          <w:sz w:val="20"/>
          <w:szCs w:val="20"/>
        </w:rPr>
        <w:t xml:space="preserve">, skladno z interesi, ki so povezani z realizacijo projektov, pri katerih je udeležen, spremljal vse aktivnosti in se redno udeleževal srečanj. </w:t>
      </w:r>
    </w:p>
    <w:p w14:paraId="6F96D433" w14:textId="77777777" w:rsidR="00472CD6" w:rsidRDefault="00472CD6" w:rsidP="00411064">
      <w:pPr>
        <w:spacing w:line="276" w:lineRule="auto"/>
        <w:rPr>
          <w:noProof/>
          <w:sz w:val="20"/>
          <w:szCs w:val="20"/>
          <w:highlight w:val="yellow"/>
        </w:rPr>
      </w:pPr>
    </w:p>
    <w:p w14:paraId="085789B7" w14:textId="77777777" w:rsidR="00411064" w:rsidRPr="00140B34" w:rsidRDefault="00411064" w:rsidP="00411064">
      <w:pPr>
        <w:spacing w:line="276" w:lineRule="auto"/>
        <w:rPr>
          <w:noProof/>
          <w:sz w:val="20"/>
          <w:szCs w:val="20"/>
          <w:highlight w:val="yellow"/>
        </w:rPr>
      </w:pPr>
    </w:p>
    <w:p w14:paraId="214AD539" w14:textId="77777777" w:rsidR="00EF4288" w:rsidRPr="00AC598F" w:rsidRDefault="00EF4288" w:rsidP="00411064">
      <w:pPr>
        <w:pStyle w:val="Heading3"/>
      </w:pPr>
      <w:bookmarkStart w:id="42" w:name="_Toc227227980"/>
      <w:r w:rsidRPr="00AC598F">
        <w:rPr>
          <w:rFonts w:eastAsia="Times New Roman"/>
        </w:rPr>
        <w:t>7.</w:t>
      </w:r>
      <w:r w:rsidR="00472CD6" w:rsidRPr="00AC598F">
        <w:rPr>
          <w:rFonts w:eastAsia="Times New Roman"/>
        </w:rPr>
        <w:t>3</w:t>
      </w:r>
      <w:r w:rsidRPr="00AC598F">
        <w:rPr>
          <w:rFonts w:eastAsia="Times New Roman"/>
        </w:rPr>
        <w:t xml:space="preserve">. </w:t>
      </w:r>
      <w:r w:rsidRPr="00AC598F">
        <w:t>Krepitev sodelovanja na področju varstva narave, celostnega upravljanja z vodami</w:t>
      </w:r>
      <w:r w:rsidR="00AC598F" w:rsidRPr="00AC598F">
        <w:t>, obalo in morjem ter</w:t>
      </w:r>
      <w:r w:rsidRPr="00AC598F">
        <w:t xml:space="preserve"> sevalne </w:t>
      </w:r>
      <w:r w:rsidR="00AC598F" w:rsidRPr="00AC598F">
        <w:t>in</w:t>
      </w:r>
      <w:r w:rsidRPr="00AC598F">
        <w:t xml:space="preserve"> jedrske varnosti</w:t>
      </w:r>
      <w:bookmarkEnd w:id="42"/>
    </w:p>
    <w:p w14:paraId="4EE2B7D5" w14:textId="77777777" w:rsidR="00B60B06" w:rsidRPr="00140B34" w:rsidRDefault="00B60B06" w:rsidP="00411064">
      <w:pPr>
        <w:spacing w:line="276" w:lineRule="auto"/>
        <w:rPr>
          <w:b/>
          <w:bCs/>
          <w:sz w:val="20"/>
          <w:szCs w:val="20"/>
          <w:highlight w:val="yellow"/>
        </w:rPr>
      </w:pPr>
    </w:p>
    <w:p w14:paraId="6AB35532" w14:textId="77777777" w:rsidR="00726309" w:rsidRPr="0075072C" w:rsidRDefault="00726309" w:rsidP="00411064">
      <w:pPr>
        <w:autoSpaceDE w:val="0"/>
        <w:autoSpaceDN w:val="0"/>
        <w:adjustRightInd w:val="0"/>
        <w:spacing w:line="276" w:lineRule="auto"/>
        <w:contextualSpacing/>
        <w:jc w:val="left"/>
        <w:rPr>
          <w:rFonts w:eastAsia="Times New Roman"/>
          <w:b/>
          <w:bCs/>
          <w:sz w:val="20"/>
          <w:szCs w:val="20"/>
          <w:lang w:eastAsia="sl-SI"/>
        </w:rPr>
      </w:pPr>
      <w:r w:rsidRPr="0075072C">
        <w:rPr>
          <w:rFonts w:eastAsia="Times New Roman"/>
          <w:b/>
          <w:bCs/>
          <w:sz w:val="20"/>
          <w:szCs w:val="20"/>
          <w:lang w:eastAsia="sl-SI"/>
        </w:rPr>
        <w:t>Sodelovanje na področju varstva narave</w:t>
      </w:r>
    </w:p>
    <w:p w14:paraId="7CD851CD" w14:textId="77777777" w:rsidR="00726309" w:rsidRPr="00587FEE" w:rsidRDefault="00726309" w:rsidP="00411064">
      <w:pPr>
        <w:spacing w:line="276" w:lineRule="auto"/>
        <w:rPr>
          <w:rFonts w:ascii="Calibri" w:eastAsia="Calibri" w:hAnsi="Calibri" w:cs="Calibri"/>
          <w:sz w:val="20"/>
          <w:szCs w:val="20"/>
        </w:rPr>
      </w:pPr>
      <w:r w:rsidRPr="00587FEE">
        <w:rPr>
          <w:sz w:val="20"/>
          <w:szCs w:val="20"/>
        </w:rPr>
        <w:t>V letu 202</w:t>
      </w:r>
      <w:r>
        <w:rPr>
          <w:sz w:val="20"/>
          <w:szCs w:val="20"/>
        </w:rPr>
        <w:t>5</w:t>
      </w:r>
      <w:r w:rsidRPr="00587FEE">
        <w:rPr>
          <w:sz w:val="20"/>
          <w:szCs w:val="20"/>
        </w:rPr>
        <w:t xml:space="preserve"> se je nadaljevalo sodelovanje z državami Zahodnega Balkana na področju velikih zveri, in sicer v okviru projekta, ki ga je financiral program svetovalne pomoči nemškega zveznega Ministrstva za okolje in </w:t>
      </w:r>
      <w:r w:rsidR="000D5AB1">
        <w:rPr>
          <w:sz w:val="20"/>
          <w:szCs w:val="20"/>
        </w:rPr>
        <w:t>EK</w:t>
      </w:r>
      <w:r w:rsidRPr="00587FEE">
        <w:rPr>
          <w:sz w:val="20"/>
          <w:szCs w:val="20"/>
        </w:rPr>
        <w:t>. Projekt želi vzpostaviti platformo, ki bi podpirala čezmejno upravljanje velikih zveri v Dinaridih, na Balkanu in gorovju Pindos.</w:t>
      </w:r>
    </w:p>
    <w:p w14:paraId="11C7223B" w14:textId="77777777" w:rsidR="00726309" w:rsidRPr="0075072C" w:rsidRDefault="00726309" w:rsidP="00411064">
      <w:pPr>
        <w:autoSpaceDE w:val="0"/>
        <w:autoSpaceDN w:val="0"/>
        <w:adjustRightInd w:val="0"/>
        <w:spacing w:line="276" w:lineRule="auto"/>
        <w:contextualSpacing/>
        <w:jc w:val="left"/>
        <w:rPr>
          <w:rFonts w:eastAsia="Times New Roman"/>
          <w:sz w:val="20"/>
          <w:szCs w:val="20"/>
          <w:highlight w:val="cyan"/>
          <w:lang w:eastAsia="sl-SI"/>
        </w:rPr>
      </w:pPr>
    </w:p>
    <w:p w14:paraId="1F78F58C" w14:textId="77777777" w:rsidR="00726309" w:rsidRPr="0075072C" w:rsidRDefault="00726309" w:rsidP="00411064">
      <w:pPr>
        <w:autoSpaceDE w:val="0"/>
        <w:autoSpaceDN w:val="0"/>
        <w:adjustRightInd w:val="0"/>
        <w:spacing w:line="276" w:lineRule="auto"/>
        <w:contextualSpacing/>
        <w:jc w:val="left"/>
        <w:rPr>
          <w:rFonts w:eastAsia="Times New Roman"/>
          <w:b/>
          <w:bCs/>
          <w:sz w:val="20"/>
          <w:szCs w:val="20"/>
          <w:lang w:eastAsia="sl-SI"/>
        </w:rPr>
      </w:pPr>
      <w:r w:rsidRPr="0075072C">
        <w:rPr>
          <w:rFonts w:eastAsia="Times New Roman"/>
          <w:b/>
          <w:bCs/>
          <w:sz w:val="20"/>
          <w:szCs w:val="20"/>
          <w:lang w:eastAsia="sl-SI"/>
        </w:rPr>
        <w:t>Sodelovanje na področju celostnega upravljanja z vodami</w:t>
      </w:r>
      <w:r>
        <w:rPr>
          <w:rFonts w:eastAsia="Times New Roman"/>
          <w:b/>
          <w:bCs/>
          <w:sz w:val="20"/>
          <w:szCs w:val="20"/>
          <w:lang w:eastAsia="sl-SI"/>
        </w:rPr>
        <w:t>, obalo in morjem</w:t>
      </w:r>
    </w:p>
    <w:p w14:paraId="7E70B39A" w14:textId="77777777" w:rsidR="00726309" w:rsidRDefault="00726309" w:rsidP="00411064">
      <w:pPr>
        <w:spacing w:line="276" w:lineRule="auto"/>
        <w:rPr>
          <w:sz w:val="20"/>
          <w:szCs w:val="20"/>
        </w:rPr>
      </w:pPr>
      <w:r w:rsidRPr="00E058CA">
        <w:rPr>
          <w:bCs/>
          <w:sz w:val="20"/>
          <w:szCs w:val="20"/>
        </w:rPr>
        <w:t xml:space="preserve">RS je decembra 2023 </w:t>
      </w:r>
      <w:r>
        <w:rPr>
          <w:bCs/>
          <w:sz w:val="20"/>
          <w:szCs w:val="20"/>
        </w:rPr>
        <w:t>prevzela predsedovanje</w:t>
      </w:r>
      <w:r w:rsidRPr="00E058CA">
        <w:rPr>
          <w:bCs/>
          <w:sz w:val="20"/>
          <w:szCs w:val="20"/>
        </w:rPr>
        <w:t xml:space="preserve"> Barcelonsk</w:t>
      </w:r>
      <w:r>
        <w:rPr>
          <w:bCs/>
          <w:sz w:val="20"/>
          <w:szCs w:val="20"/>
        </w:rPr>
        <w:t>i</w:t>
      </w:r>
      <w:r w:rsidRPr="00E058CA">
        <w:rPr>
          <w:bCs/>
          <w:sz w:val="20"/>
          <w:szCs w:val="20"/>
        </w:rPr>
        <w:t xml:space="preserve"> konvencij</w:t>
      </w:r>
      <w:r>
        <w:rPr>
          <w:bCs/>
          <w:sz w:val="20"/>
          <w:szCs w:val="20"/>
        </w:rPr>
        <w:t>i</w:t>
      </w:r>
      <w:r w:rsidRPr="00E058CA">
        <w:rPr>
          <w:bCs/>
          <w:sz w:val="20"/>
          <w:szCs w:val="20"/>
        </w:rPr>
        <w:t xml:space="preserve"> in njeni</w:t>
      </w:r>
      <w:r>
        <w:rPr>
          <w:bCs/>
          <w:sz w:val="20"/>
          <w:szCs w:val="20"/>
        </w:rPr>
        <w:t>m</w:t>
      </w:r>
      <w:r w:rsidRPr="00E058CA">
        <w:rPr>
          <w:bCs/>
          <w:sz w:val="20"/>
          <w:szCs w:val="20"/>
        </w:rPr>
        <w:t xml:space="preserve"> protokolo</w:t>
      </w:r>
      <w:r>
        <w:rPr>
          <w:bCs/>
          <w:sz w:val="20"/>
          <w:szCs w:val="20"/>
        </w:rPr>
        <w:t>m</w:t>
      </w:r>
      <w:r w:rsidRPr="00E058CA">
        <w:rPr>
          <w:bCs/>
          <w:sz w:val="20"/>
          <w:szCs w:val="20"/>
        </w:rPr>
        <w:t xml:space="preserve"> (COP 23)</w:t>
      </w:r>
      <w:r>
        <w:rPr>
          <w:bCs/>
          <w:sz w:val="20"/>
          <w:szCs w:val="20"/>
        </w:rPr>
        <w:t>, ki se je zaključilo decembra 2025</w:t>
      </w:r>
      <w:r w:rsidRPr="00E058CA">
        <w:rPr>
          <w:bCs/>
          <w:sz w:val="20"/>
          <w:szCs w:val="20"/>
        </w:rPr>
        <w:t xml:space="preserve">. </w:t>
      </w:r>
      <w:r>
        <w:rPr>
          <w:sz w:val="20"/>
          <w:szCs w:val="20"/>
        </w:rPr>
        <w:t>RS je kot predsedujoča v letu 2025 organizirala ali sodelovala na številnih mednarodnih in regionalnih dogodkih, kjer se je aktivno zavzemala za izvajanje pristopa »</w:t>
      </w:r>
      <w:r>
        <w:rPr>
          <w:i/>
          <w:iCs/>
          <w:sz w:val="20"/>
          <w:szCs w:val="20"/>
        </w:rPr>
        <w:t>o</w:t>
      </w:r>
      <w:r w:rsidRPr="00B11F25">
        <w:rPr>
          <w:i/>
          <w:iCs/>
          <w:sz w:val="20"/>
          <w:szCs w:val="20"/>
        </w:rPr>
        <w:t>d izvira do morja</w:t>
      </w:r>
      <w:r>
        <w:rPr>
          <w:i/>
          <w:iCs/>
          <w:sz w:val="20"/>
          <w:szCs w:val="20"/>
        </w:rPr>
        <w:t>«</w:t>
      </w:r>
      <w:r>
        <w:rPr>
          <w:sz w:val="20"/>
          <w:szCs w:val="20"/>
        </w:rPr>
        <w:t xml:space="preserve"> s ciljem ustvarjanja sinergij s povezovanjem regionalnih programov Konvencije o varstvu reke Donave, Konvencije o varstvu Črnega morja in Barcelonske konvencije za zmanjšanje pritiskov in vplivov na obalne in velike morske ekosisteme</w:t>
      </w:r>
      <w:r w:rsidRPr="001B4089">
        <w:rPr>
          <w:sz w:val="20"/>
          <w:szCs w:val="20"/>
        </w:rPr>
        <w:t xml:space="preserve"> </w:t>
      </w:r>
      <w:r w:rsidRPr="0070470B">
        <w:rPr>
          <w:sz w:val="20"/>
          <w:szCs w:val="20"/>
        </w:rPr>
        <w:t>ter za povečanje odpornosti in trajnostno rabo vodnih in morskih virov.</w:t>
      </w:r>
    </w:p>
    <w:p w14:paraId="44A7208B" w14:textId="77777777" w:rsidR="00726309" w:rsidRDefault="00726309" w:rsidP="00411064">
      <w:pPr>
        <w:spacing w:line="276" w:lineRule="auto"/>
        <w:rPr>
          <w:sz w:val="20"/>
          <w:szCs w:val="20"/>
        </w:rPr>
      </w:pPr>
    </w:p>
    <w:p w14:paraId="5A98493D" w14:textId="77777777" w:rsidR="00726309" w:rsidRPr="0075072C" w:rsidRDefault="00726309" w:rsidP="00411064">
      <w:pPr>
        <w:spacing w:line="276" w:lineRule="auto"/>
        <w:rPr>
          <w:color w:val="111111"/>
          <w:sz w:val="20"/>
          <w:szCs w:val="20"/>
        </w:rPr>
      </w:pPr>
      <w:r>
        <w:rPr>
          <w:color w:val="111111"/>
          <w:sz w:val="20"/>
          <w:szCs w:val="20"/>
        </w:rPr>
        <w:t>Tovrstni mednarodni dogodki predstavljajo med drugim tudi</w:t>
      </w:r>
      <w:r w:rsidRPr="0075072C">
        <w:rPr>
          <w:color w:val="111111"/>
          <w:sz w:val="20"/>
          <w:szCs w:val="20"/>
        </w:rPr>
        <w:t xml:space="preserve"> podporo državam Zahodnega Balkana pri njihovem vključevanju v EU na področjih varstva morskega okolja, celostnega upravljanja z vodami in modrega gospodarstva.</w:t>
      </w:r>
    </w:p>
    <w:p w14:paraId="1F3E93B6" w14:textId="77777777" w:rsidR="00726309" w:rsidRDefault="00726309" w:rsidP="00411064">
      <w:pPr>
        <w:spacing w:line="276" w:lineRule="auto"/>
        <w:rPr>
          <w:rFonts w:cs="Calibri"/>
          <w:sz w:val="20"/>
          <w:szCs w:val="20"/>
        </w:rPr>
      </w:pPr>
    </w:p>
    <w:p w14:paraId="3EB56BD5" w14:textId="77777777" w:rsidR="00BF31A0" w:rsidRPr="00E058CA" w:rsidRDefault="00BF31A0" w:rsidP="00BF31A0">
      <w:pPr>
        <w:spacing w:line="276" w:lineRule="auto"/>
        <w:rPr>
          <w:sz w:val="20"/>
          <w:szCs w:val="20"/>
        </w:rPr>
      </w:pPr>
      <w:r>
        <w:rPr>
          <w:sz w:val="20"/>
          <w:szCs w:val="20"/>
        </w:rPr>
        <w:t xml:space="preserve">Potekale so tudi številne aktivnosti v okviru stebra Kakovost okolja/TSG 3 EUSAIR, ki ga vodi RS skupaj z </w:t>
      </w:r>
      <w:r w:rsidR="00AA57C1" w:rsidRPr="00AA57C1">
        <w:rPr>
          <w:sz w:val="20"/>
          <w:szCs w:val="20"/>
        </w:rPr>
        <w:t>BiH</w:t>
      </w:r>
      <w:r>
        <w:rPr>
          <w:sz w:val="20"/>
          <w:szCs w:val="20"/>
        </w:rPr>
        <w:t xml:space="preserve">, in ki prispevajo k izvajanju čezmejno usklajenih ukrepov za preprečevanje onesnaženja zaradi nesreč na morju (rezultati projekta NAMIRS) in k uveljavljanju sodobne metode povezovanja prostorskega načrtovanja obale in morja (ICZM/MSP). </w:t>
      </w:r>
    </w:p>
    <w:p w14:paraId="50F6A57E" w14:textId="77777777" w:rsidR="00726309" w:rsidRDefault="00726309" w:rsidP="00411064">
      <w:pPr>
        <w:spacing w:line="276" w:lineRule="auto"/>
        <w:rPr>
          <w:sz w:val="20"/>
          <w:szCs w:val="20"/>
        </w:rPr>
      </w:pPr>
    </w:p>
    <w:p w14:paraId="2137A7D2" w14:textId="77777777" w:rsidR="00726309" w:rsidRDefault="00726309" w:rsidP="00411064">
      <w:pPr>
        <w:spacing w:line="276" w:lineRule="auto"/>
        <w:rPr>
          <w:sz w:val="20"/>
          <w:szCs w:val="20"/>
        </w:rPr>
      </w:pPr>
      <w:r>
        <w:rPr>
          <w:sz w:val="20"/>
          <w:szCs w:val="20"/>
        </w:rPr>
        <w:t xml:space="preserve">Posebna pozornost je bila v letu 2025 namenjena tudi krepitvi čezmejnega in subregionalnega sodelovanja v mednarodnem porečju Save, ki poteka na podlagi izvajanja Okvirnega sporazuma o Savskem bazenu. Sodobni in učinkovit Sistem zgodnjega opozarjanja pred poplavami (Sava Flood Warning System/SFWS), s sedežem v RS, predstavlja konkreten ukrep, ki povečuje odpornost in varnost ljudi pred poplavami na območju Zahodnega Balkana in je eden od prvih te vrstne v mednarodnem porečju, ki temelji na upoštevanju pomena zelene infrastrukture oziroma na eko-povezljivosti za krepitev vloge ekološko pomembnih območij na čezmejni ravni pri načrtovanju prostorskega razvoja z uporabo Modrih in Zelenih koridorjev. V letu 2025 so bile izvedene aktivnosti za nadgradnjo tega sistema tudi z obeti mednarodne finančne podpore. </w:t>
      </w:r>
    </w:p>
    <w:p w14:paraId="6F2DDCFB" w14:textId="77777777" w:rsidR="00106040" w:rsidRDefault="00106040" w:rsidP="00411064">
      <w:pPr>
        <w:spacing w:line="276" w:lineRule="auto"/>
        <w:rPr>
          <w:rFonts w:eastAsia="Times New Roman"/>
          <w:noProof/>
          <w:sz w:val="20"/>
          <w:szCs w:val="20"/>
          <w:highlight w:val="yellow"/>
        </w:rPr>
      </w:pPr>
    </w:p>
    <w:p w14:paraId="4D838424" w14:textId="77777777" w:rsidR="00A21F8F" w:rsidRPr="00140B34" w:rsidRDefault="00A21F8F" w:rsidP="00411064">
      <w:pPr>
        <w:spacing w:line="276" w:lineRule="auto"/>
        <w:rPr>
          <w:rFonts w:eastAsia="Times New Roman"/>
          <w:noProof/>
          <w:sz w:val="20"/>
          <w:szCs w:val="20"/>
          <w:highlight w:val="yellow"/>
        </w:rPr>
      </w:pPr>
    </w:p>
    <w:p w14:paraId="497135C4" w14:textId="77777777" w:rsidR="005547B0" w:rsidRPr="009A51BD" w:rsidRDefault="005547B0" w:rsidP="00411064">
      <w:pPr>
        <w:pStyle w:val="Heading2"/>
      </w:pPr>
      <w:bookmarkStart w:id="43" w:name="_Toc227227981"/>
      <w:r w:rsidRPr="009A51BD">
        <w:t>Krepitev sode</w:t>
      </w:r>
      <w:r w:rsidR="00380C9C" w:rsidRPr="009A51BD">
        <w:t xml:space="preserve">lovanja na področju kmetijstva in </w:t>
      </w:r>
      <w:r w:rsidRPr="009A51BD">
        <w:t>zdravstva</w:t>
      </w:r>
      <w:r w:rsidR="00E073DC" w:rsidRPr="009A51BD">
        <w:t xml:space="preserve"> ter na področju dela, družine in socialnih zadev</w:t>
      </w:r>
      <w:bookmarkEnd w:id="43"/>
    </w:p>
    <w:p w14:paraId="17286E22" w14:textId="77777777" w:rsidR="005547B0" w:rsidRDefault="005547B0" w:rsidP="00411064">
      <w:pPr>
        <w:spacing w:line="276" w:lineRule="auto"/>
        <w:rPr>
          <w:sz w:val="20"/>
          <w:szCs w:val="20"/>
        </w:rPr>
      </w:pPr>
    </w:p>
    <w:p w14:paraId="0515BE3C" w14:textId="77777777" w:rsidR="00A21F8F" w:rsidRPr="009A51BD" w:rsidRDefault="00A21F8F" w:rsidP="00411064">
      <w:pPr>
        <w:spacing w:line="276" w:lineRule="auto"/>
        <w:rPr>
          <w:sz w:val="20"/>
          <w:szCs w:val="20"/>
        </w:rPr>
      </w:pPr>
    </w:p>
    <w:p w14:paraId="2E2FB9E6" w14:textId="77777777" w:rsidR="00380C9C" w:rsidRPr="009253DA" w:rsidRDefault="001125C5" w:rsidP="00411064">
      <w:pPr>
        <w:pStyle w:val="Heading3"/>
      </w:pPr>
      <w:bookmarkStart w:id="44" w:name="_Toc227227982"/>
      <w:r w:rsidRPr="009A51BD">
        <w:t>8</w:t>
      </w:r>
      <w:r w:rsidR="00380C9C" w:rsidRPr="009A51BD">
        <w:t xml:space="preserve">.1. Krepitev sodelovanja na področju kmetijstva, </w:t>
      </w:r>
      <w:r w:rsidR="00DE685E" w:rsidRPr="009A51BD">
        <w:t xml:space="preserve">razvoja podeželja, </w:t>
      </w:r>
      <w:r w:rsidR="00380C9C" w:rsidRPr="009A51BD">
        <w:t>gozdarstva</w:t>
      </w:r>
      <w:r w:rsidR="00DE685E" w:rsidRPr="009A51BD">
        <w:t>, ribištva</w:t>
      </w:r>
      <w:r w:rsidR="00380C9C" w:rsidRPr="009A51BD">
        <w:t xml:space="preserve"> in </w:t>
      </w:r>
      <w:r w:rsidR="00DE685E" w:rsidRPr="009A51BD">
        <w:t>varne hrane</w:t>
      </w:r>
      <w:bookmarkEnd w:id="44"/>
    </w:p>
    <w:p w14:paraId="77FB6592" w14:textId="77777777" w:rsidR="00957909" w:rsidRPr="00140B34" w:rsidRDefault="00957909" w:rsidP="00411064">
      <w:pPr>
        <w:autoSpaceDE w:val="0"/>
        <w:autoSpaceDN w:val="0"/>
        <w:adjustRightInd w:val="0"/>
        <w:spacing w:line="276" w:lineRule="auto"/>
        <w:rPr>
          <w:b/>
          <w:bCs/>
          <w:i/>
          <w:iCs/>
          <w:color w:val="000000"/>
          <w:sz w:val="20"/>
          <w:szCs w:val="20"/>
          <w:highlight w:val="yellow"/>
        </w:rPr>
      </w:pPr>
    </w:p>
    <w:p w14:paraId="02749B03" w14:textId="77777777" w:rsidR="00682FE3" w:rsidRPr="00682FE3" w:rsidRDefault="00682FE3" w:rsidP="00411064">
      <w:pPr>
        <w:spacing w:after="160" w:line="276" w:lineRule="auto"/>
        <w:rPr>
          <w:rFonts w:eastAsia="Aptos"/>
          <w:b/>
          <w:bCs/>
          <w:noProof/>
          <w:kern w:val="2"/>
          <w:sz w:val="20"/>
          <w:szCs w:val="20"/>
        </w:rPr>
      </w:pPr>
      <w:r w:rsidRPr="00682FE3">
        <w:rPr>
          <w:rFonts w:eastAsia="Aptos"/>
          <w:b/>
          <w:bCs/>
          <w:noProof/>
          <w:kern w:val="2"/>
          <w:sz w:val="20"/>
          <w:szCs w:val="20"/>
        </w:rPr>
        <w:t>Regionalno sodelovanje na Zahodnem Balkanu</w:t>
      </w:r>
    </w:p>
    <w:p w14:paraId="4E6B7710" w14:textId="77777777" w:rsidR="00682FE3" w:rsidRPr="00682FE3" w:rsidRDefault="00682FE3" w:rsidP="00411064">
      <w:pPr>
        <w:spacing w:after="160" w:line="276" w:lineRule="auto"/>
        <w:rPr>
          <w:rFonts w:eastAsia="Aptos"/>
          <w:noProof/>
          <w:kern w:val="2"/>
          <w:sz w:val="20"/>
          <w:szCs w:val="20"/>
        </w:rPr>
      </w:pPr>
      <w:r w:rsidRPr="00682FE3">
        <w:rPr>
          <w:rFonts w:eastAsia="Aptos"/>
          <w:noProof/>
          <w:kern w:val="2"/>
          <w:sz w:val="20"/>
          <w:szCs w:val="20"/>
        </w:rPr>
        <w:t>MKGP</w:t>
      </w:r>
      <w:r w:rsidR="00D53393">
        <w:rPr>
          <w:rFonts w:eastAsia="Aptos"/>
          <w:noProof/>
          <w:kern w:val="2"/>
          <w:sz w:val="20"/>
          <w:szCs w:val="20"/>
        </w:rPr>
        <w:t xml:space="preserve"> </w:t>
      </w:r>
      <w:r w:rsidRPr="00682FE3">
        <w:rPr>
          <w:rFonts w:eastAsia="Aptos"/>
          <w:noProof/>
          <w:kern w:val="2"/>
          <w:sz w:val="20"/>
          <w:szCs w:val="20"/>
        </w:rPr>
        <w:t>od leta 2007 aktivno sodeluje v Stalni delovni skupini za regionalni razvoj podeželja na območju jugovzhodne Evrope (v nadaljevanju: SWG RRD). RS ima v tej skupini status opazovalke. Poleg RS se med države opazovalke uvrščajo tudi Avstrija, Nemčija, Madžarska, Italija, Bolgarija, Hrvaška, Avtonomna pokrajina Vojvodina, Moldavija, Ukrajina in Francija (od leta 2023).</w:t>
      </w:r>
    </w:p>
    <w:p w14:paraId="0BC38AC4" w14:textId="77777777" w:rsidR="00682FE3" w:rsidRPr="00682FE3" w:rsidRDefault="00682FE3" w:rsidP="00411064">
      <w:pPr>
        <w:spacing w:after="160" w:line="276" w:lineRule="auto"/>
        <w:rPr>
          <w:rFonts w:eastAsia="Aptos"/>
          <w:noProof/>
          <w:kern w:val="2"/>
          <w:sz w:val="20"/>
          <w:szCs w:val="20"/>
        </w:rPr>
      </w:pPr>
      <w:r w:rsidRPr="00682FE3">
        <w:rPr>
          <w:rFonts w:eastAsia="Aptos"/>
          <w:noProof/>
          <w:kern w:val="2"/>
          <w:sz w:val="20"/>
          <w:szCs w:val="20"/>
        </w:rPr>
        <w:t xml:space="preserve">Sodelovanje MKGP v okviru SWG RRD predstavlja odlično priložnost za izmenjavo mnenj o napredku držav Zahodnega Balkana pri prevzemanju skupne kmetijske politike in približevanju regije EU. MKGP aktivno sodeluje tako na strokovni kot tudi na politični ravni, v okviru rednih zasedanj kmetijskih ministrov jugovzhodne Evrope, ki poteka na letni ravni. </w:t>
      </w:r>
    </w:p>
    <w:p w14:paraId="67AF4589" w14:textId="77777777" w:rsidR="00682FE3" w:rsidRPr="00682FE3" w:rsidRDefault="00682FE3" w:rsidP="00411064">
      <w:pPr>
        <w:spacing w:after="160" w:line="276" w:lineRule="auto"/>
        <w:rPr>
          <w:rFonts w:eastAsia="Aptos"/>
          <w:noProof/>
          <w:kern w:val="2"/>
          <w:sz w:val="20"/>
          <w:szCs w:val="20"/>
        </w:rPr>
      </w:pPr>
      <w:r w:rsidRPr="00682FE3">
        <w:rPr>
          <w:rFonts w:eastAsia="Aptos"/>
          <w:noProof/>
          <w:kern w:val="2"/>
          <w:sz w:val="20"/>
          <w:szCs w:val="20"/>
        </w:rPr>
        <w:t>Ministrstvo je v mesecu oktobru 2025 sodelovalo na 19. zasedanju kmetijskih ministrov jugovzhodne Evrope v Prištini, ki je potekalo v organizaciji Kosov</w:t>
      </w:r>
      <w:r w:rsidR="009B4D29">
        <w:rPr>
          <w:rFonts w:eastAsia="Aptos"/>
          <w:noProof/>
          <w:kern w:val="2"/>
          <w:sz w:val="20"/>
          <w:szCs w:val="20"/>
        </w:rPr>
        <w:t>a</w:t>
      </w:r>
      <w:r w:rsidRPr="00682FE3">
        <w:rPr>
          <w:rFonts w:eastAsia="Aptos"/>
          <w:noProof/>
          <w:kern w:val="2"/>
          <w:sz w:val="20"/>
          <w:szCs w:val="20"/>
        </w:rPr>
        <w:t xml:space="preserve"> v sodelovanju s SWG RRD. Na zasedanju je RS izrazila podporo napredku držav Zahodnega Balkana pri usklajevanju svojih nacionalnih politik z okvirji skupne kmetijske politike ter poudarila pomen trajnostnega in ekološkega kmetijstva, generacijske prenove in vključevanja žensk v razvoj podeželja. Zavzela se je za krepitev Berlinskega procesa kot orodja za regionalno sodelovanje in prenos dobrih praks, podprla izvajanje Zelene agende ter izpostavila nujnost inovacij, kratkih dobavnih verig in večje finančne ter tehnične podpore EU. </w:t>
      </w:r>
      <w:r w:rsidR="009B2715">
        <w:rPr>
          <w:rFonts w:eastAsia="Aptos"/>
          <w:noProof/>
          <w:kern w:val="2"/>
          <w:sz w:val="20"/>
          <w:szCs w:val="20"/>
        </w:rPr>
        <w:t>RS</w:t>
      </w:r>
      <w:r w:rsidRPr="00682FE3">
        <w:rPr>
          <w:rFonts w:eastAsia="Aptos"/>
          <w:noProof/>
          <w:kern w:val="2"/>
          <w:sz w:val="20"/>
          <w:szCs w:val="20"/>
        </w:rPr>
        <w:t xml:space="preserve"> tako ostaja trdna zagovornica širitvene politike EU in trajnostnega razvoja kmetijstva v regiji jugovzhodne Evrope.</w:t>
      </w:r>
    </w:p>
    <w:p w14:paraId="4A0B8BC9" w14:textId="77777777" w:rsidR="00682FE3" w:rsidRPr="00682FE3" w:rsidRDefault="00682FE3" w:rsidP="00411064">
      <w:pPr>
        <w:spacing w:after="160" w:line="276" w:lineRule="auto"/>
        <w:rPr>
          <w:rFonts w:eastAsia="Aptos"/>
          <w:b/>
          <w:bCs/>
          <w:noProof/>
          <w:kern w:val="2"/>
          <w:sz w:val="20"/>
          <w:szCs w:val="20"/>
        </w:rPr>
      </w:pPr>
      <w:r w:rsidRPr="00682FE3">
        <w:rPr>
          <w:rFonts w:eastAsia="Aptos"/>
          <w:b/>
          <w:bCs/>
          <w:noProof/>
          <w:kern w:val="2"/>
          <w:sz w:val="20"/>
          <w:szCs w:val="20"/>
        </w:rPr>
        <w:t>Dvostransko sodelovanje RS z državami Zahodnega Balkana</w:t>
      </w:r>
    </w:p>
    <w:p w14:paraId="37FE70E4" w14:textId="77777777" w:rsidR="00682FE3" w:rsidRPr="00682FE3" w:rsidRDefault="00D2033B" w:rsidP="00411064">
      <w:pPr>
        <w:spacing w:after="160" w:line="276" w:lineRule="auto"/>
        <w:rPr>
          <w:rFonts w:eastAsia="Aptos"/>
          <w:b/>
          <w:bCs/>
          <w:i/>
          <w:iCs/>
          <w:noProof/>
          <w:kern w:val="2"/>
          <w:sz w:val="20"/>
          <w:szCs w:val="20"/>
        </w:rPr>
      </w:pPr>
      <w:r>
        <w:rPr>
          <w:b/>
          <w:sz w:val="20"/>
          <w:szCs w:val="20"/>
        </w:rPr>
        <w:t>BiH</w:t>
      </w:r>
      <w:r w:rsidR="00682FE3" w:rsidRPr="00682FE3">
        <w:rPr>
          <w:rFonts w:eastAsia="Aptos"/>
          <w:b/>
          <w:bCs/>
          <w:noProof/>
          <w:kern w:val="2"/>
          <w:sz w:val="20"/>
          <w:szCs w:val="20"/>
        </w:rPr>
        <w:t xml:space="preserve">: </w:t>
      </w:r>
      <w:r w:rsidR="00682FE3" w:rsidRPr="00682FE3">
        <w:rPr>
          <w:rFonts w:eastAsia="Aptos"/>
          <w:noProof/>
          <w:kern w:val="2"/>
          <w:sz w:val="20"/>
          <w:szCs w:val="20"/>
        </w:rPr>
        <w:t xml:space="preserve">V aprilu 2025 je v RS potekal mednarodni simpozij o pasmi Bosansko planinskega konja, kjer so bili predstavljeni dosežki in raziskave s področja genetike in ohranjanja lokalnih pasem. V začetku oktobra 2025 sta predstavnika MKGP sodelovala na simpoziju v Sarajevu o zaščiti avtohtonih pasem, kjer sta predstavila nacionalno zakonodajo skupaj z ukrepi za zaščito ogroženih pasem v </w:t>
      </w:r>
      <w:r w:rsidR="003B6859">
        <w:rPr>
          <w:rFonts w:eastAsia="Aptos"/>
          <w:noProof/>
          <w:kern w:val="2"/>
          <w:sz w:val="20"/>
          <w:szCs w:val="20"/>
        </w:rPr>
        <w:t>RS</w:t>
      </w:r>
      <w:r w:rsidR="00682FE3" w:rsidRPr="00682FE3">
        <w:rPr>
          <w:rFonts w:eastAsia="Aptos"/>
          <w:noProof/>
          <w:kern w:val="2"/>
          <w:sz w:val="20"/>
          <w:szCs w:val="20"/>
        </w:rPr>
        <w:t xml:space="preserve"> in </w:t>
      </w:r>
      <w:r w:rsidR="000D5AB1">
        <w:rPr>
          <w:rFonts w:eastAsia="Aptos"/>
          <w:noProof/>
          <w:kern w:val="2"/>
          <w:sz w:val="20"/>
          <w:szCs w:val="20"/>
        </w:rPr>
        <w:t>EU</w:t>
      </w:r>
      <w:r w:rsidR="00682FE3" w:rsidRPr="00682FE3">
        <w:rPr>
          <w:rFonts w:eastAsia="Aptos"/>
          <w:noProof/>
          <w:kern w:val="2"/>
          <w:sz w:val="20"/>
          <w:szCs w:val="20"/>
        </w:rPr>
        <w:t>.</w:t>
      </w:r>
    </w:p>
    <w:p w14:paraId="373DB09F" w14:textId="77777777" w:rsidR="00682FE3" w:rsidRPr="00682FE3" w:rsidRDefault="00682FE3" w:rsidP="00411064">
      <w:pPr>
        <w:spacing w:after="160" w:line="276" w:lineRule="auto"/>
        <w:rPr>
          <w:rFonts w:eastAsia="Aptos"/>
          <w:b/>
          <w:bCs/>
          <w:noProof/>
          <w:kern w:val="2"/>
          <w:sz w:val="20"/>
          <w:szCs w:val="20"/>
        </w:rPr>
      </w:pPr>
      <w:r w:rsidRPr="00682FE3">
        <w:rPr>
          <w:rFonts w:eastAsia="Aptos"/>
          <w:b/>
          <w:bCs/>
          <w:noProof/>
          <w:kern w:val="2"/>
          <w:sz w:val="20"/>
          <w:szCs w:val="20"/>
        </w:rPr>
        <w:t xml:space="preserve">Srbija: </w:t>
      </w:r>
      <w:r w:rsidRPr="00682FE3">
        <w:rPr>
          <w:rFonts w:eastAsia="Aptos"/>
          <w:noProof/>
          <w:kern w:val="2"/>
          <w:sz w:val="20"/>
          <w:szCs w:val="20"/>
        </w:rPr>
        <w:t xml:space="preserve">Srbija je v avgustu 2025 na mednarodnem kmetijsko-živilskem sejmu AGRA v Gornji Radgoni sodelovala kot država partnerica, ob robu katerega je potekalo tudi bilateralno srečanje ministrice Mateje Čalušić s srbskim ministrom Draganom Glamočićem. Poleg tega je Agencija </w:t>
      </w:r>
      <w:r w:rsidR="00403E46">
        <w:rPr>
          <w:rFonts w:eastAsia="Aptos"/>
          <w:noProof/>
          <w:kern w:val="2"/>
          <w:sz w:val="20"/>
          <w:szCs w:val="20"/>
        </w:rPr>
        <w:t>RS</w:t>
      </w:r>
      <w:r w:rsidRPr="00682FE3">
        <w:rPr>
          <w:rFonts w:eastAsia="Aptos"/>
          <w:noProof/>
          <w:kern w:val="2"/>
          <w:sz w:val="20"/>
          <w:szCs w:val="20"/>
        </w:rPr>
        <w:t xml:space="preserve"> za kmetijske trge in razvoj podeželja (ARSKTRP) v sodelovanju z Geodetskim zavodom Celje (GZC) uspešno zaključila kandidaturo za EU sredstva za namen vzpostavitve integriranega administrativnega kontrolnega sistema (IAKS) v Srbiji. Trenutno poteka prva faza projekta, ki vključuje pripravo pravnih podlag in tehničnih specifikacij za izgradnjo sistema, decembra 2025 pa je v okviru projekta potekal tudi študijski obisk srbske delegacije na MKGP, kjer so se udeleženci seznanili s pravnimi podlagami sistema IAKS in registrom kmetijskih gospodarstev, s poudarkom na delovanju identifikacijskega sistema za prijavo kmetijskih zemljišč.</w:t>
      </w:r>
    </w:p>
    <w:p w14:paraId="54AD9CC7" w14:textId="77777777" w:rsidR="00682FE3" w:rsidRPr="00682FE3" w:rsidRDefault="00682FE3" w:rsidP="00411064">
      <w:pPr>
        <w:spacing w:after="160" w:line="276" w:lineRule="auto"/>
        <w:rPr>
          <w:rFonts w:eastAsia="Aptos"/>
          <w:noProof/>
          <w:kern w:val="2"/>
          <w:sz w:val="20"/>
          <w:szCs w:val="20"/>
        </w:rPr>
      </w:pPr>
      <w:r w:rsidRPr="00682FE3">
        <w:rPr>
          <w:rFonts w:eastAsia="Aptos"/>
          <w:b/>
          <w:bCs/>
          <w:noProof/>
          <w:kern w:val="2"/>
          <w:sz w:val="20"/>
          <w:szCs w:val="20"/>
        </w:rPr>
        <w:t>Črna gora:</w:t>
      </w:r>
      <w:r w:rsidRPr="00682FE3">
        <w:rPr>
          <w:rFonts w:eastAsia="Aptos"/>
          <w:noProof/>
          <w:kern w:val="2"/>
          <w:sz w:val="20"/>
          <w:szCs w:val="20"/>
        </w:rPr>
        <w:t xml:space="preserve"> </w:t>
      </w:r>
      <w:r w:rsidR="003D624A" w:rsidRPr="003D624A">
        <w:rPr>
          <w:rFonts w:eastAsia="Aptos"/>
          <w:noProof/>
          <w:kern w:val="2"/>
          <w:sz w:val="20"/>
          <w:szCs w:val="20"/>
        </w:rPr>
        <w:t xml:space="preserve">MKGP je v sodelovanju z Zavodom za gozdove Slovenije (ZGS) in Gozdarskim inštitutom Slovenije (GOZDIS) v drugi polovici novembra 2025 zaključilo z dvoletnim projektom dvostranske tehnične pomoči RS v Črni gori na področju trajnostnega upravljanja z gozdovi in divjadjo. V okviru projekta je MKGP prispevalo h krepitvi trajnostnega, sonaravnega in večnamenskega gospodarjenja z gozdovi in upravljanja z divjadjo. Poseben poudarek je bil namenjen predstavitvi zakonodaje EU na področju gozdov in gozdarstva ter metodologiji za poročanje o stanju gozdov EK. Državi sta izmenjali tudi dobre prakse in izzive pri gospodarjenju z gozdovi, ki so povezani s podnebnimi spremembami. V letu je ARSKTRP nadaljevala z izvajanjem projekta tesnnega medinstitucionalnega sodelovanja »Krepitev zmogljivosti v kmetijskem sektorju in sektorju razvoja podeželja za izvajanje skupne kmetijske politike«, ki ga financira EU, ki ga </w:t>
      </w:r>
      <w:r w:rsidR="002B64AC">
        <w:rPr>
          <w:rFonts w:eastAsia="Aptos"/>
          <w:noProof/>
          <w:kern w:val="2"/>
          <w:sz w:val="20"/>
          <w:szCs w:val="20"/>
        </w:rPr>
        <w:t>RS</w:t>
      </w:r>
      <w:r w:rsidR="003D624A" w:rsidRPr="003D624A">
        <w:rPr>
          <w:rFonts w:eastAsia="Aptos"/>
          <w:noProof/>
          <w:kern w:val="2"/>
          <w:sz w:val="20"/>
          <w:szCs w:val="20"/>
        </w:rPr>
        <w:t xml:space="preserve"> v Črni gori izvaja skupaj z Avstrijo, Francijo in Madžarsko.</w:t>
      </w:r>
    </w:p>
    <w:p w14:paraId="2364500B" w14:textId="77777777" w:rsidR="00682FE3" w:rsidRPr="00682FE3" w:rsidRDefault="00682FE3" w:rsidP="00411064">
      <w:pPr>
        <w:spacing w:after="160" w:line="276" w:lineRule="auto"/>
        <w:rPr>
          <w:rFonts w:eastAsia="Aptos"/>
          <w:b/>
          <w:bCs/>
          <w:noProof/>
          <w:kern w:val="2"/>
          <w:sz w:val="20"/>
          <w:szCs w:val="20"/>
        </w:rPr>
      </w:pPr>
      <w:r w:rsidRPr="00682FE3">
        <w:rPr>
          <w:rFonts w:eastAsia="Aptos"/>
          <w:b/>
          <w:bCs/>
          <w:noProof/>
          <w:kern w:val="2"/>
          <w:sz w:val="20"/>
          <w:szCs w:val="20"/>
        </w:rPr>
        <w:t xml:space="preserve">Albanija: </w:t>
      </w:r>
      <w:r w:rsidRPr="00682FE3">
        <w:rPr>
          <w:rFonts w:eastAsia="Aptos"/>
          <w:noProof/>
          <w:kern w:val="2"/>
          <w:sz w:val="20"/>
          <w:szCs w:val="20"/>
        </w:rPr>
        <w:t>MKGP je v prvem četrtletju leta 2025 z Albanijo uskladilo akcijski načrt za programsko obdobje 2025</w:t>
      </w:r>
      <w:r w:rsidR="00A21F8F">
        <w:rPr>
          <w:rFonts w:eastAsia="Aptos"/>
          <w:noProof/>
          <w:kern w:val="2"/>
          <w:sz w:val="20"/>
          <w:szCs w:val="20"/>
        </w:rPr>
        <w:t>-</w:t>
      </w:r>
      <w:r w:rsidRPr="00682FE3">
        <w:rPr>
          <w:rFonts w:eastAsia="Aptos"/>
          <w:noProof/>
          <w:kern w:val="2"/>
          <w:sz w:val="20"/>
          <w:szCs w:val="20"/>
        </w:rPr>
        <w:t xml:space="preserve">2027, na podlagi katerega se bodo v prihodnjem letu predvidoma začele izvajati aktivnosti na predhodno usklajenih področjih. </w:t>
      </w:r>
    </w:p>
    <w:p w14:paraId="5A5F6FFD" w14:textId="77777777" w:rsidR="006A4DFA" w:rsidRPr="00682FE3" w:rsidRDefault="00682FE3" w:rsidP="00411064">
      <w:pPr>
        <w:spacing w:line="276" w:lineRule="auto"/>
        <w:rPr>
          <w:sz w:val="20"/>
          <w:szCs w:val="20"/>
          <w:highlight w:val="yellow"/>
        </w:rPr>
      </w:pPr>
      <w:r w:rsidRPr="00682FE3">
        <w:rPr>
          <w:rFonts w:eastAsia="Aptos"/>
          <w:b/>
          <w:bCs/>
          <w:noProof/>
          <w:kern w:val="2"/>
          <w:sz w:val="20"/>
          <w:szCs w:val="20"/>
        </w:rPr>
        <w:t xml:space="preserve">Kosovo: </w:t>
      </w:r>
      <w:r w:rsidRPr="00682FE3">
        <w:rPr>
          <w:rFonts w:eastAsia="Aptos"/>
          <w:noProof/>
          <w:kern w:val="2"/>
          <w:sz w:val="20"/>
          <w:szCs w:val="20"/>
        </w:rPr>
        <w:t xml:space="preserve">V oktobru 2025 je </w:t>
      </w:r>
      <w:r w:rsidRPr="00682FE3">
        <w:rPr>
          <w:rFonts w:eastAsia="Aptos"/>
          <w:kern w:val="2"/>
          <w:sz w:val="20"/>
          <w:szCs w:val="20"/>
        </w:rPr>
        <w:t xml:space="preserve">MKGP v sodelovanju s Kmetijskim inštitutom Slovenije (KIS) in ARSKTRP v RS </w:t>
      </w:r>
      <w:r w:rsidRPr="00682FE3">
        <w:rPr>
          <w:rFonts w:eastAsia="Aptos"/>
          <w:noProof/>
          <w:kern w:val="2"/>
          <w:sz w:val="20"/>
          <w:szCs w:val="20"/>
        </w:rPr>
        <w:t>izvedlo študijski obisk na temo kmetijskega knjigovodstva in sistema FSDN. Kosovska delegacija se je seznanila s sistemskimi rešitvami, potrebnimi za izvajanje kmetijskega knjigovodstva, vodenjem evidenc ter institucionalno izmenjavo podatkov. Drugi študijski obisk v letu 2025 je potekal v Avstriji, kjer so se predstavniki kosovskega Ministrstva za kmetijstvo, gozdarstvo in razvoj podeželja ter Kmetijske razvojne agencije podrobneje seznanili z delovanjem ARSKTRP. Poseben poudarek je bil namenjen njeni organizacijski strukturi, izvajanju investicijskih ukrepov PRP in kontrol na kraju samem ter sodelovanju z Organom upravljanja.</w:t>
      </w:r>
    </w:p>
    <w:p w14:paraId="1A582D61" w14:textId="77777777" w:rsidR="00345D85" w:rsidRDefault="00345D85" w:rsidP="00411064">
      <w:pPr>
        <w:spacing w:line="276" w:lineRule="auto"/>
        <w:rPr>
          <w:sz w:val="20"/>
          <w:szCs w:val="20"/>
          <w:highlight w:val="yellow"/>
        </w:rPr>
      </w:pPr>
    </w:p>
    <w:p w14:paraId="43D1AE5E" w14:textId="77777777" w:rsidR="00411064" w:rsidRPr="00140B34" w:rsidRDefault="00411064" w:rsidP="00411064">
      <w:pPr>
        <w:spacing w:line="276" w:lineRule="auto"/>
        <w:rPr>
          <w:sz w:val="20"/>
          <w:szCs w:val="20"/>
          <w:highlight w:val="yellow"/>
        </w:rPr>
      </w:pPr>
    </w:p>
    <w:p w14:paraId="5E1B149A" w14:textId="77777777" w:rsidR="00380C9C" w:rsidRPr="008F4E70" w:rsidRDefault="001125C5" w:rsidP="00411064">
      <w:pPr>
        <w:pStyle w:val="Heading3"/>
      </w:pPr>
      <w:bookmarkStart w:id="45" w:name="_Toc227227983"/>
      <w:r w:rsidRPr="008F4E70">
        <w:t>8</w:t>
      </w:r>
      <w:r w:rsidR="00380C9C" w:rsidRPr="008F4E70">
        <w:t>.2. Krepitev sodelovanja na področju zdravstva</w:t>
      </w:r>
      <w:bookmarkEnd w:id="45"/>
    </w:p>
    <w:p w14:paraId="4FF24A96" w14:textId="77777777" w:rsidR="008F4E70" w:rsidRPr="008F4E70" w:rsidRDefault="008F4E70" w:rsidP="00411064">
      <w:pPr>
        <w:spacing w:line="276" w:lineRule="auto"/>
        <w:rPr>
          <w:rFonts w:eastAsia="Times New Roman"/>
          <w:sz w:val="20"/>
          <w:szCs w:val="20"/>
        </w:rPr>
      </w:pPr>
    </w:p>
    <w:p w14:paraId="1D2432E3" w14:textId="77777777" w:rsidR="00D453C9" w:rsidRPr="00D453C9" w:rsidRDefault="00D453C9" w:rsidP="00411064">
      <w:pPr>
        <w:spacing w:line="276" w:lineRule="auto"/>
        <w:rPr>
          <w:rFonts w:eastAsia="Times New Roman"/>
          <w:sz w:val="20"/>
          <w:szCs w:val="20"/>
        </w:rPr>
      </w:pPr>
      <w:r w:rsidRPr="00D453C9">
        <w:rPr>
          <w:rFonts w:eastAsia="Times New Roman"/>
          <w:sz w:val="20"/>
          <w:szCs w:val="20"/>
        </w:rPr>
        <w:t>V letu 2025 so bile v kontekstu sodelovanja z državami Zahodnega Balkana na področju</w:t>
      </w:r>
    </w:p>
    <w:p w14:paraId="10C0F281" w14:textId="77777777" w:rsidR="00D453C9" w:rsidRPr="00C23AB5" w:rsidRDefault="00D453C9" w:rsidP="00411064">
      <w:pPr>
        <w:spacing w:line="276" w:lineRule="auto"/>
        <w:rPr>
          <w:rFonts w:eastAsia="Times New Roman"/>
          <w:sz w:val="20"/>
          <w:szCs w:val="20"/>
        </w:rPr>
      </w:pPr>
      <w:r w:rsidRPr="00D453C9">
        <w:rPr>
          <w:rFonts w:eastAsia="Times New Roman"/>
          <w:sz w:val="20"/>
          <w:szCs w:val="20"/>
        </w:rPr>
        <w:t xml:space="preserve">zdravstva izpeljane </w:t>
      </w:r>
      <w:r w:rsidRPr="00C23AB5">
        <w:rPr>
          <w:rFonts w:eastAsia="Times New Roman"/>
          <w:sz w:val="20"/>
          <w:szCs w:val="20"/>
        </w:rPr>
        <w:t>sledeče aktivnosti:</w:t>
      </w:r>
    </w:p>
    <w:p w14:paraId="5523EFA4" w14:textId="77777777" w:rsidR="00D453C9" w:rsidRDefault="00D453C9" w:rsidP="00411064">
      <w:pPr>
        <w:numPr>
          <w:ilvl w:val="0"/>
          <w:numId w:val="40"/>
        </w:numPr>
        <w:spacing w:line="276" w:lineRule="auto"/>
        <w:rPr>
          <w:rFonts w:eastAsia="Times New Roman"/>
          <w:sz w:val="20"/>
          <w:szCs w:val="20"/>
        </w:rPr>
      </w:pPr>
      <w:r w:rsidRPr="00C23AB5">
        <w:rPr>
          <w:rFonts w:eastAsia="Times New Roman"/>
          <w:sz w:val="20"/>
          <w:szCs w:val="20"/>
        </w:rPr>
        <w:t xml:space="preserve">V mesecu januarju 2025 je bil izveden obisk delegacije strokovnjakov iz Črne gore, ki se je želela podrobneje seznaniti z zakonodajnimi in sistemskimi ukrepi na področju nadzora nad tobakom v RS. Delegacija se je sestala s predstavniki Ministrstva za zdravje (MZ) in obiskala </w:t>
      </w:r>
      <w:r w:rsidR="000B21D7">
        <w:rPr>
          <w:rFonts w:eastAsia="Times New Roman"/>
          <w:sz w:val="20"/>
          <w:szCs w:val="20"/>
        </w:rPr>
        <w:t>MF</w:t>
      </w:r>
      <w:r w:rsidRPr="00C23AB5">
        <w:rPr>
          <w:rFonts w:eastAsia="Times New Roman"/>
          <w:sz w:val="20"/>
          <w:szCs w:val="20"/>
        </w:rPr>
        <w:t xml:space="preserve"> ter nekatere od organov v njegovi sestavi. MZ je izrazilo pripravljenost za krepitev sodelovanja s črnogorsko stranjo na predmetnem strokovnem področju.</w:t>
      </w:r>
    </w:p>
    <w:p w14:paraId="5EAD49EE" w14:textId="77777777" w:rsidR="006C0DAC" w:rsidRDefault="00D453C9" w:rsidP="006C0DAC">
      <w:pPr>
        <w:numPr>
          <w:ilvl w:val="0"/>
          <w:numId w:val="40"/>
        </w:numPr>
        <w:spacing w:line="276" w:lineRule="auto"/>
        <w:rPr>
          <w:rFonts w:eastAsia="Times New Roman"/>
          <w:sz w:val="20"/>
          <w:szCs w:val="20"/>
        </w:rPr>
      </w:pPr>
      <w:r w:rsidRPr="006C0DAC">
        <w:rPr>
          <w:rFonts w:eastAsia="Times New Roman"/>
          <w:sz w:val="20"/>
          <w:szCs w:val="20"/>
        </w:rPr>
        <w:t xml:space="preserve">12. februarja 2025 je potekal sestanek predstavnikov Zavoda za zdravstveno zavarovanje Slovenije (ZZZS) in MZ z delegacijo iz Republiškega fonda za zdravstveno zavarovanje </w:t>
      </w:r>
      <w:r w:rsidR="00465C4E" w:rsidRPr="006C0DAC">
        <w:rPr>
          <w:rFonts w:eastAsia="Times New Roman"/>
          <w:sz w:val="20"/>
          <w:szCs w:val="20"/>
        </w:rPr>
        <w:t>BiH</w:t>
      </w:r>
      <w:r w:rsidRPr="006C0DAC">
        <w:rPr>
          <w:rFonts w:eastAsia="Times New Roman"/>
          <w:sz w:val="20"/>
          <w:szCs w:val="20"/>
        </w:rPr>
        <w:t xml:space="preserve"> –</w:t>
      </w:r>
      <w:r w:rsidR="0017313E" w:rsidRPr="0017313E">
        <w:rPr>
          <w:rFonts w:eastAsia="Times New Roman"/>
          <w:sz w:val="20"/>
          <w:szCs w:val="20"/>
        </w:rPr>
        <w:t xml:space="preserve"> </w:t>
      </w:r>
      <w:r w:rsidR="0017313E">
        <w:rPr>
          <w:rFonts w:eastAsia="Times New Roman"/>
          <w:sz w:val="20"/>
          <w:szCs w:val="20"/>
        </w:rPr>
        <w:t>Republike Srbske</w:t>
      </w:r>
      <w:r w:rsidRPr="006C0DAC">
        <w:rPr>
          <w:rFonts w:eastAsia="Times New Roman"/>
          <w:sz w:val="20"/>
          <w:szCs w:val="20"/>
        </w:rPr>
        <w:t xml:space="preserve">. Do srečanja je prišlo na pobudo </w:t>
      </w:r>
      <w:r w:rsidR="00465C4E" w:rsidRPr="006C0DAC">
        <w:rPr>
          <w:rFonts w:eastAsia="Times New Roman"/>
          <w:sz w:val="20"/>
          <w:szCs w:val="20"/>
        </w:rPr>
        <w:t>BiH</w:t>
      </w:r>
      <w:r w:rsidRPr="006C0DAC">
        <w:rPr>
          <w:rFonts w:eastAsia="Times New Roman"/>
          <w:sz w:val="20"/>
          <w:szCs w:val="20"/>
        </w:rPr>
        <w:t xml:space="preserve"> </w:t>
      </w:r>
      <w:r w:rsidR="00D73956">
        <w:rPr>
          <w:rFonts w:eastAsia="Times New Roman"/>
          <w:sz w:val="20"/>
          <w:szCs w:val="20"/>
        </w:rPr>
        <w:t>–</w:t>
      </w:r>
      <w:r w:rsidRPr="006C0DAC">
        <w:rPr>
          <w:rFonts w:eastAsia="Times New Roman"/>
          <w:sz w:val="20"/>
          <w:szCs w:val="20"/>
        </w:rPr>
        <w:t xml:space="preserve"> </w:t>
      </w:r>
      <w:r w:rsidR="00D73956">
        <w:rPr>
          <w:rFonts w:eastAsia="Times New Roman"/>
          <w:sz w:val="20"/>
          <w:szCs w:val="20"/>
        </w:rPr>
        <w:t>Republike Srbske</w:t>
      </w:r>
      <w:r w:rsidRPr="006C0DAC">
        <w:rPr>
          <w:rFonts w:eastAsia="Times New Roman"/>
          <w:sz w:val="20"/>
          <w:szCs w:val="20"/>
        </w:rPr>
        <w:t xml:space="preserve"> v želji po seznanitvi s sistemom DRG oz. SPP (sistemom plačevanja zdravstvenih obravnav na bolnišnični ravni po skupinah primerljivih primerov) in delovanjem ZZZS;</w:t>
      </w:r>
    </w:p>
    <w:p w14:paraId="38FA2A1F" w14:textId="77777777" w:rsidR="00D453C9" w:rsidRPr="006C0DAC" w:rsidRDefault="00D453C9" w:rsidP="006C0DAC">
      <w:pPr>
        <w:numPr>
          <w:ilvl w:val="0"/>
          <w:numId w:val="40"/>
        </w:numPr>
        <w:spacing w:line="276" w:lineRule="auto"/>
        <w:rPr>
          <w:rFonts w:eastAsia="Times New Roman"/>
          <w:sz w:val="20"/>
          <w:szCs w:val="20"/>
        </w:rPr>
      </w:pPr>
      <w:r w:rsidRPr="006C0DAC">
        <w:rPr>
          <w:rFonts w:eastAsia="Times New Roman"/>
          <w:noProof/>
          <w:sz w:val="20"/>
          <w:szCs w:val="20"/>
        </w:rPr>
        <w:t xml:space="preserve">26. in 27. februarja 2025 se je na pobudo makedonske strani mudila na delovnem obisku v RS delegacija pod vodstvom ministra za zdravje Severne Makedonije. Sestala se je z vodstvom MZ in v okviru programa obiskala še ZZZS, Nacionalni inštitut za javno zdravje, Univerzitetni rehabilitacijski inštitut </w:t>
      </w:r>
      <w:r w:rsidR="005B0072">
        <w:rPr>
          <w:rFonts w:eastAsia="Times New Roman"/>
          <w:noProof/>
          <w:sz w:val="20"/>
          <w:szCs w:val="20"/>
        </w:rPr>
        <w:t>RS</w:t>
      </w:r>
      <w:r w:rsidRPr="006C0DAC">
        <w:rPr>
          <w:rFonts w:eastAsia="Times New Roman"/>
          <w:noProof/>
          <w:sz w:val="20"/>
          <w:szCs w:val="20"/>
        </w:rPr>
        <w:t xml:space="preserve"> Soča ter Zdravstveni dom Ljubljana;</w:t>
      </w:r>
    </w:p>
    <w:p w14:paraId="702EA7FF" w14:textId="77777777" w:rsidR="00D453C9" w:rsidRPr="00C23AB5" w:rsidRDefault="00D453C9" w:rsidP="00411064">
      <w:pPr>
        <w:numPr>
          <w:ilvl w:val="0"/>
          <w:numId w:val="40"/>
        </w:numPr>
        <w:autoSpaceDE w:val="0"/>
        <w:autoSpaceDN w:val="0"/>
        <w:adjustRightInd w:val="0"/>
        <w:spacing w:line="276" w:lineRule="auto"/>
        <w:rPr>
          <w:rFonts w:eastAsia="Calibri"/>
          <w:sz w:val="20"/>
          <w:szCs w:val="20"/>
          <w:lang w:eastAsia="sl-SI"/>
        </w:rPr>
      </w:pPr>
      <w:r w:rsidRPr="00C23AB5">
        <w:rPr>
          <w:rFonts w:eastAsia="Calibri"/>
          <w:sz w:val="20"/>
          <w:szCs w:val="20"/>
          <w:lang w:eastAsia="sl-SI"/>
        </w:rPr>
        <w:t xml:space="preserve">Med 17. in 20 marcem 2025 je potekal študijski obisk delegacije visokih predstavnikov zdravstva iz </w:t>
      </w:r>
      <w:r w:rsidR="00465C4E" w:rsidRPr="00C23AB5">
        <w:rPr>
          <w:rFonts w:eastAsia="Calibri"/>
          <w:sz w:val="20"/>
          <w:szCs w:val="20"/>
          <w:lang w:eastAsia="sl-SI"/>
        </w:rPr>
        <w:t>BiH</w:t>
      </w:r>
      <w:r w:rsidRPr="00C23AB5">
        <w:rPr>
          <w:rFonts w:eastAsia="Calibri"/>
          <w:sz w:val="20"/>
          <w:szCs w:val="20"/>
          <w:lang w:eastAsia="sl-SI"/>
        </w:rPr>
        <w:t xml:space="preserve"> v RS. Svetovna zdravstvena organizacija (SZO) je namreč v okviru s strani EU financirane reforme zdravstvenega sistema v </w:t>
      </w:r>
      <w:r w:rsidR="00465C4E" w:rsidRPr="00C23AB5">
        <w:rPr>
          <w:rFonts w:eastAsia="Calibri"/>
          <w:sz w:val="20"/>
          <w:szCs w:val="20"/>
          <w:lang w:eastAsia="sl-SI"/>
        </w:rPr>
        <w:t>BiH</w:t>
      </w:r>
      <w:r w:rsidRPr="00C23AB5">
        <w:rPr>
          <w:rFonts w:eastAsia="Calibri"/>
          <w:sz w:val="20"/>
          <w:szCs w:val="20"/>
          <w:lang w:eastAsia="sl-SI"/>
        </w:rPr>
        <w:t xml:space="preserve"> organizirala omenjeni obisk z namenom seznanitve s slovenskimi izkušnjami na področju primarnega zdravstvenega varstva ter spoznavanje delovanja slovenskih centrov za krepitev zdravja in preprečevanje bolezni;</w:t>
      </w:r>
    </w:p>
    <w:p w14:paraId="48EFDF71" w14:textId="77777777" w:rsidR="00D453C9" w:rsidRPr="00C23AB5" w:rsidRDefault="00D453C9" w:rsidP="00411064">
      <w:pPr>
        <w:numPr>
          <w:ilvl w:val="0"/>
          <w:numId w:val="40"/>
        </w:numPr>
        <w:autoSpaceDE w:val="0"/>
        <w:autoSpaceDN w:val="0"/>
        <w:adjustRightInd w:val="0"/>
        <w:spacing w:line="276" w:lineRule="auto"/>
        <w:rPr>
          <w:rFonts w:eastAsia="Calibri"/>
          <w:sz w:val="20"/>
          <w:szCs w:val="20"/>
          <w:lang w:eastAsia="sl-SI"/>
        </w:rPr>
      </w:pPr>
      <w:r w:rsidRPr="00C23AB5">
        <w:rPr>
          <w:rFonts w:eastAsia="Calibri"/>
          <w:sz w:val="20"/>
          <w:szCs w:val="20"/>
          <w:lang w:eastAsia="sl-SI"/>
        </w:rPr>
        <w:t xml:space="preserve">Krajše srečanje ministrice za zdravje RS z ministrom za zunanje zadeve Severne Makedonije se je odvilo ob obisku slednjega v Univerzitetnem kliničnem centru Ljubljana 21. marca 2025, z namenom obiska pacientov iz Severne Makedonije sprejetih na zdravljenje v RS po tragični nesreči v Kočanih; </w:t>
      </w:r>
    </w:p>
    <w:p w14:paraId="355BCAFE" w14:textId="77777777" w:rsidR="00D453C9" w:rsidRPr="00C23AB5" w:rsidRDefault="00D453C9" w:rsidP="00411064">
      <w:pPr>
        <w:numPr>
          <w:ilvl w:val="0"/>
          <w:numId w:val="40"/>
        </w:numPr>
        <w:autoSpaceDE w:val="0"/>
        <w:autoSpaceDN w:val="0"/>
        <w:adjustRightInd w:val="0"/>
        <w:spacing w:line="276" w:lineRule="auto"/>
        <w:rPr>
          <w:rFonts w:eastAsia="Calibri"/>
          <w:sz w:val="20"/>
          <w:szCs w:val="20"/>
          <w:lang w:eastAsia="sl-SI"/>
        </w:rPr>
      </w:pPr>
      <w:r w:rsidRPr="00C23AB5">
        <w:rPr>
          <w:rFonts w:eastAsia="Calibri"/>
          <w:sz w:val="20"/>
          <w:szCs w:val="20"/>
          <w:lang w:eastAsia="sl-SI"/>
        </w:rPr>
        <w:t>Regionalni urad za Evropo Svetovne zdravstvene organizacije je ob gostiteljstvu MZ RS, 12. in 13. maja 2025 organiziral 11. srečanje na visoki ravni »Pobude malih držav«, katerega se je udeležil tudi minister za zdravje Črne gore;</w:t>
      </w:r>
    </w:p>
    <w:p w14:paraId="1D873D0E" w14:textId="77777777" w:rsidR="00D453C9" w:rsidRPr="00C23AB5" w:rsidRDefault="00D453C9" w:rsidP="00411064">
      <w:pPr>
        <w:numPr>
          <w:ilvl w:val="0"/>
          <w:numId w:val="40"/>
        </w:numPr>
        <w:autoSpaceDE w:val="0"/>
        <w:autoSpaceDN w:val="0"/>
        <w:adjustRightInd w:val="0"/>
        <w:spacing w:line="276" w:lineRule="auto"/>
        <w:rPr>
          <w:rFonts w:eastAsia="Calibri"/>
          <w:sz w:val="20"/>
          <w:szCs w:val="20"/>
          <w:lang w:eastAsia="sl-SI"/>
        </w:rPr>
      </w:pPr>
      <w:r w:rsidRPr="00C23AB5">
        <w:rPr>
          <w:rFonts w:eastAsia="Calibri"/>
          <w:sz w:val="20"/>
          <w:szCs w:val="20"/>
          <w:lang w:eastAsia="sl-SI"/>
        </w:rPr>
        <w:t>15. maja 2025 je bil predviden obisk ministra za zdravje Kantona Sarajevo (</w:t>
      </w:r>
      <w:r w:rsidR="00465C4E" w:rsidRPr="00C23AB5">
        <w:rPr>
          <w:rFonts w:eastAsia="Calibri"/>
          <w:sz w:val="20"/>
          <w:szCs w:val="20"/>
          <w:lang w:eastAsia="sl-SI"/>
        </w:rPr>
        <w:t>BiH</w:t>
      </w:r>
      <w:r w:rsidRPr="00C23AB5">
        <w:rPr>
          <w:rFonts w:eastAsia="Calibri"/>
          <w:sz w:val="20"/>
          <w:szCs w:val="20"/>
          <w:lang w:eastAsia="sl-SI"/>
        </w:rPr>
        <w:t>) v MZ RS (tema obiska bi bile javnozdravstvene politike), a je bil s strani pobudnikov odpovedan nekaj dni pred izvedbo;</w:t>
      </w:r>
    </w:p>
    <w:p w14:paraId="683E0033" w14:textId="77777777" w:rsidR="00D453C9" w:rsidRPr="00C23AB5" w:rsidRDefault="00D453C9" w:rsidP="00411064">
      <w:pPr>
        <w:numPr>
          <w:ilvl w:val="0"/>
          <w:numId w:val="40"/>
        </w:numPr>
        <w:autoSpaceDE w:val="0"/>
        <w:autoSpaceDN w:val="0"/>
        <w:adjustRightInd w:val="0"/>
        <w:spacing w:line="276" w:lineRule="auto"/>
        <w:rPr>
          <w:rFonts w:eastAsia="Calibri"/>
          <w:sz w:val="20"/>
          <w:szCs w:val="20"/>
          <w:lang w:eastAsia="sl-SI"/>
        </w:rPr>
      </w:pPr>
      <w:r w:rsidRPr="00C23AB5">
        <w:rPr>
          <w:rFonts w:eastAsia="Calibri"/>
          <w:sz w:val="20"/>
          <w:szCs w:val="20"/>
          <w:lang w:eastAsia="sl-SI"/>
        </w:rPr>
        <w:t xml:space="preserve">V juniju 2025 se je na lastno pobudo mudila na delovnem obisku v RS skupina strokovnjakov iz </w:t>
      </w:r>
      <w:bookmarkStart w:id="46" w:name="_Hlk224744181"/>
      <w:r w:rsidR="00465C4E" w:rsidRPr="00C23AB5">
        <w:rPr>
          <w:rFonts w:eastAsia="Calibri"/>
          <w:sz w:val="20"/>
          <w:szCs w:val="20"/>
          <w:lang w:eastAsia="sl-SI"/>
        </w:rPr>
        <w:t>BiH</w:t>
      </w:r>
      <w:bookmarkEnd w:id="46"/>
      <w:r w:rsidRPr="00C23AB5">
        <w:rPr>
          <w:rFonts w:eastAsia="Calibri"/>
          <w:sz w:val="20"/>
          <w:szCs w:val="20"/>
          <w:lang w:eastAsia="sl-SI"/>
        </w:rPr>
        <w:t>, z željo po seznanitvi z izkušnjami RS na področju primarnega zdravstvenega varstva (zdravstveno-vzgojnih centrov in centrov za krepitev zdravja), pri čemer je obiskala zdravstvena domova v Radovljici in Ljubljani;</w:t>
      </w:r>
    </w:p>
    <w:p w14:paraId="2D9A949F" w14:textId="77777777" w:rsidR="00D453C9" w:rsidRPr="00C23AB5" w:rsidRDefault="00D453C9" w:rsidP="00411064">
      <w:pPr>
        <w:numPr>
          <w:ilvl w:val="0"/>
          <w:numId w:val="40"/>
        </w:numPr>
        <w:autoSpaceDE w:val="0"/>
        <w:autoSpaceDN w:val="0"/>
        <w:adjustRightInd w:val="0"/>
        <w:spacing w:line="276" w:lineRule="auto"/>
        <w:rPr>
          <w:rFonts w:eastAsia="Calibri"/>
          <w:sz w:val="20"/>
          <w:szCs w:val="20"/>
          <w:lang w:eastAsia="sl-SI"/>
        </w:rPr>
      </w:pPr>
      <w:r w:rsidRPr="00D453C9">
        <w:rPr>
          <w:rFonts w:eastAsia="Calibri"/>
          <w:sz w:val="20"/>
          <w:szCs w:val="20"/>
          <w:lang w:eastAsia="sl-SI"/>
        </w:rPr>
        <w:t xml:space="preserve">Na zaprosilo Ministrstva za civilne </w:t>
      </w:r>
      <w:r w:rsidRPr="00C23AB5">
        <w:rPr>
          <w:rFonts w:eastAsia="Calibri"/>
          <w:sz w:val="20"/>
          <w:szCs w:val="20"/>
          <w:lang w:eastAsia="sl-SI"/>
        </w:rPr>
        <w:t xml:space="preserve">zadeve </w:t>
      </w:r>
      <w:r w:rsidR="00465C4E" w:rsidRPr="00C23AB5">
        <w:rPr>
          <w:rFonts w:eastAsia="Calibri"/>
          <w:sz w:val="20"/>
          <w:szCs w:val="20"/>
          <w:lang w:eastAsia="sl-SI"/>
        </w:rPr>
        <w:t xml:space="preserve">BiH </w:t>
      </w:r>
      <w:r w:rsidRPr="00C23AB5">
        <w:rPr>
          <w:rFonts w:eastAsia="Calibri"/>
          <w:sz w:val="20"/>
          <w:szCs w:val="20"/>
          <w:lang w:eastAsia="sl-SI"/>
        </w:rPr>
        <w:t xml:space="preserve">je bil v jeseni 2025 načrtovan obisk ministrice za civilne zadeve </w:t>
      </w:r>
      <w:r w:rsidR="00465C4E" w:rsidRPr="00C23AB5">
        <w:rPr>
          <w:rFonts w:eastAsia="Calibri"/>
          <w:sz w:val="20"/>
          <w:szCs w:val="20"/>
          <w:lang w:eastAsia="sl-SI"/>
        </w:rPr>
        <w:t>BiH</w:t>
      </w:r>
      <w:r w:rsidRPr="00C23AB5">
        <w:rPr>
          <w:rFonts w:eastAsia="Calibri"/>
          <w:sz w:val="20"/>
          <w:szCs w:val="20"/>
          <w:lang w:eastAsia="sl-SI"/>
        </w:rPr>
        <w:t>v MZ RS, ki je bil najprej prestavljen na kasnejši termin (v drugi polovici novembra 2025), nato pa s strani pobudnika odpovedan.</w:t>
      </w:r>
    </w:p>
    <w:p w14:paraId="1E44676A" w14:textId="77777777" w:rsidR="00D453C9" w:rsidRPr="00C23AB5" w:rsidRDefault="00D453C9" w:rsidP="00411064">
      <w:pPr>
        <w:numPr>
          <w:ilvl w:val="0"/>
          <w:numId w:val="40"/>
        </w:numPr>
        <w:autoSpaceDE w:val="0"/>
        <w:autoSpaceDN w:val="0"/>
        <w:adjustRightInd w:val="0"/>
        <w:spacing w:line="276" w:lineRule="auto"/>
        <w:rPr>
          <w:rFonts w:eastAsia="Calibri"/>
          <w:sz w:val="20"/>
          <w:szCs w:val="20"/>
          <w:lang w:eastAsia="sl-SI"/>
        </w:rPr>
      </w:pPr>
      <w:r w:rsidRPr="00C23AB5">
        <w:rPr>
          <w:rFonts w:eastAsia="Calibri"/>
          <w:sz w:val="20"/>
          <w:szCs w:val="20"/>
          <w:lang w:eastAsia="sl-SI"/>
        </w:rPr>
        <w:t>V okviru sodelovanja RS z Zdravstveno mrežo jugovzhodne Evrope (ZMJVE), katere partnerska država je RS od leta 2002 dalje, je predstavnica Nacionalnega inštituta za javno zdravje aktivno sodelovala na strokovnem srečanju v Sofiji 10. aprila 2025, na temo univerzalnega zdravstvenega zavarovanja v povezavi z e-zdravjem (»</w:t>
      </w:r>
      <w:r w:rsidRPr="00C23AB5">
        <w:rPr>
          <w:rFonts w:eastAsia="Calibri"/>
          <w:i/>
          <w:iCs/>
          <w:sz w:val="20"/>
          <w:szCs w:val="20"/>
          <w:lang w:eastAsia="sl-SI"/>
        </w:rPr>
        <w:t>Towards Universal Health Coverage – Give Health an e-Chance</w:t>
      </w:r>
      <w:r w:rsidRPr="00C23AB5">
        <w:rPr>
          <w:rFonts w:eastAsia="Calibri"/>
          <w:sz w:val="20"/>
          <w:szCs w:val="20"/>
          <w:lang w:eastAsia="sl-SI"/>
        </w:rPr>
        <w:t xml:space="preserve">«). Prav tako se je 25. novembra 2025 udeležila spletnega seminarja na temo </w:t>
      </w:r>
      <w:r w:rsidRPr="00C23AB5">
        <w:rPr>
          <w:rFonts w:eastAsia="Calibri"/>
          <w:i/>
          <w:iCs/>
          <w:sz w:val="20"/>
          <w:szCs w:val="20"/>
          <w:lang w:eastAsia="sl-SI"/>
        </w:rPr>
        <w:t>»Digital Health - From Theory to Practice«</w:t>
      </w:r>
      <w:r w:rsidRPr="00C23AB5">
        <w:rPr>
          <w:rFonts w:eastAsia="Calibri"/>
          <w:sz w:val="20"/>
          <w:szCs w:val="20"/>
          <w:lang w:eastAsia="sl-SI"/>
        </w:rPr>
        <w:t>, v organizaciji Sekretariata ZMJVE in trenutno predsedujoče države mreži.</w:t>
      </w:r>
    </w:p>
    <w:p w14:paraId="41400435" w14:textId="77777777" w:rsidR="00D453C9" w:rsidRPr="00C23AB5" w:rsidRDefault="00D453C9" w:rsidP="00411064">
      <w:pPr>
        <w:autoSpaceDE w:val="0"/>
        <w:autoSpaceDN w:val="0"/>
        <w:adjustRightInd w:val="0"/>
        <w:spacing w:line="276" w:lineRule="auto"/>
        <w:ind w:left="720"/>
        <w:rPr>
          <w:rFonts w:eastAsia="Calibri"/>
          <w:sz w:val="20"/>
          <w:szCs w:val="20"/>
          <w:lang w:eastAsia="sl-SI"/>
        </w:rPr>
      </w:pPr>
      <w:r w:rsidRPr="00C23AB5">
        <w:rPr>
          <w:rFonts w:eastAsia="Calibri"/>
          <w:sz w:val="20"/>
          <w:szCs w:val="20"/>
          <w:lang w:eastAsia="sl-SI"/>
        </w:rPr>
        <w:t>Konec meseca septembra 2025 so bili z vodjo Sekretariata ZMJVE opravljeni preliminarni pogovori o možnih vsebinah in oblikah sodelovanja v letu 2026.</w:t>
      </w:r>
    </w:p>
    <w:p w14:paraId="4FEE2FA8" w14:textId="77777777" w:rsidR="00D453C9" w:rsidRPr="00C23AB5" w:rsidRDefault="00D453C9" w:rsidP="00411064">
      <w:pPr>
        <w:numPr>
          <w:ilvl w:val="0"/>
          <w:numId w:val="40"/>
        </w:numPr>
        <w:autoSpaceDE w:val="0"/>
        <w:autoSpaceDN w:val="0"/>
        <w:adjustRightInd w:val="0"/>
        <w:spacing w:line="276" w:lineRule="auto"/>
        <w:rPr>
          <w:rFonts w:eastAsia="Calibri"/>
          <w:sz w:val="20"/>
          <w:szCs w:val="20"/>
          <w:lang w:eastAsia="sl-SI"/>
        </w:rPr>
      </w:pPr>
      <w:r w:rsidRPr="00C23AB5">
        <w:rPr>
          <w:rFonts w:eastAsia="Calibri"/>
          <w:sz w:val="20"/>
          <w:szCs w:val="20"/>
          <w:lang w:eastAsia="sl-SI"/>
        </w:rPr>
        <w:t>V letu 2025 se je nadaljevala in v mesecu decembru 2025 uspešno zaključila izvedba večletnega projekta »Spodbujanja izobraževanja in poklicev v zdravstveni negi in babištvu v Severni Makedoniji« Nosilec izvedbe projekta je bila na slovenski strani Zbornica zdravstvene in babiške nege Slovenije – Zveza strokovnih društev medicinskih sester, babic in zdravstvenih tehnikov Slovenije, finančno podporo projektu pa je v obdobju 2024</w:t>
      </w:r>
      <w:r w:rsidR="00A21F8F">
        <w:rPr>
          <w:rFonts w:eastAsia="Calibri"/>
          <w:sz w:val="20"/>
          <w:szCs w:val="20"/>
          <w:lang w:eastAsia="sl-SI"/>
        </w:rPr>
        <w:t xml:space="preserve"> </w:t>
      </w:r>
      <w:r w:rsidRPr="00C23AB5">
        <w:rPr>
          <w:rFonts w:eastAsia="Calibri"/>
          <w:sz w:val="20"/>
          <w:szCs w:val="20"/>
          <w:lang w:eastAsia="sl-SI"/>
        </w:rPr>
        <w:t>-</w:t>
      </w:r>
      <w:r w:rsidR="00A21F8F">
        <w:rPr>
          <w:rFonts w:eastAsia="Calibri"/>
          <w:sz w:val="20"/>
          <w:szCs w:val="20"/>
          <w:lang w:eastAsia="sl-SI"/>
        </w:rPr>
        <w:t xml:space="preserve"> </w:t>
      </w:r>
      <w:r w:rsidRPr="00C23AB5">
        <w:rPr>
          <w:rFonts w:eastAsia="Calibri"/>
          <w:sz w:val="20"/>
          <w:szCs w:val="20"/>
          <w:lang w:eastAsia="sl-SI"/>
        </w:rPr>
        <w:t xml:space="preserve">2025 nudilo </w:t>
      </w:r>
      <w:r w:rsidR="00465C4E" w:rsidRPr="00C23AB5">
        <w:rPr>
          <w:rFonts w:eastAsia="Calibri"/>
          <w:sz w:val="20"/>
          <w:szCs w:val="20"/>
          <w:lang w:eastAsia="sl-SI"/>
        </w:rPr>
        <w:t>MZEZ</w:t>
      </w:r>
      <w:r w:rsidRPr="00C23AB5">
        <w:rPr>
          <w:rFonts w:eastAsia="Calibri"/>
          <w:sz w:val="20"/>
          <w:szCs w:val="20"/>
          <w:lang w:eastAsia="sl-SI"/>
        </w:rPr>
        <w:t xml:space="preserve"> (iz sredstev mednarodnega razvojnega sodelovanja). Za administrativno-tehnično vodenje projekta je skrbel Center za evropsko prihodnost. Predstavnica MZ je sodelovala v usmerjevalnem odboru projekta.</w:t>
      </w:r>
    </w:p>
    <w:p w14:paraId="7FA72807" w14:textId="77777777" w:rsidR="00D453C9" w:rsidRPr="00D453C9" w:rsidRDefault="00D453C9" w:rsidP="00411064">
      <w:pPr>
        <w:numPr>
          <w:ilvl w:val="0"/>
          <w:numId w:val="40"/>
        </w:numPr>
        <w:autoSpaceDE w:val="0"/>
        <w:autoSpaceDN w:val="0"/>
        <w:adjustRightInd w:val="0"/>
        <w:spacing w:line="276" w:lineRule="auto"/>
        <w:rPr>
          <w:rFonts w:eastAsia="Calibri"/>
          <w:sz w:val="20"/>
          <w:szCs w:val="20"/>
          <w:lang w:eastAsia="sl-SI"/>
        </w:rPr>
      </w:pPr>
      <w:r w:rsidRPr="00C23AB5">
        <w:rPr>
          <w:rFonts w:eastAsia="Calibri"/>
          <w:sz w:val="20"/>
          <w:szCs w:val="20"/>
          <w:lang w:eastAsia="sl-SI"/>
        </w:rPr>
        <w:t>MZ je v sklopu priprave nacionalnega stališča glede Regionalnega programa OECD za jugovzhodno Evropo/Zahodni Balkan izpostavilo področji javnega zdravja in zdravstvenega varstva, kot področji, na katerih bi bilo koristno okrepiti</w:t>
      </w:r>
      <w:r w:rsidRPr="00D453C9">
        <w:rPr>
          <w:rFonts w:eastAsia="Calibri"/>
          <w:sz w:val="20"/>
          <w:szCs w:val="20"/>
          <w:lang w:eastAsia="sl-SI"/>
        </w:rPr>
        <w:t xml:space="preserve"> sodelovanje OECD (in njenih držav članic) v regiji jugovzhodne Evrope. Izkušnje s pandemijo Covid-19 namreč potrjujejo potrebo po podpori mednarodnemu sodelovanju z namenom prenosa dobrih praks in mednarodnih standardov, da bi okrepili odpornost in finančno vzdržnost zdravstvenih sistemov. Izražena je bila podpora/predlog za sodelovanje OECD v regiji jugovzhodne Evrope zlasti v okviru obstoječih struktur, ki delujejo na regionalni ravni, s posebnim poudarkom na ZMJVE, katere članice so Albanija, Bolgarija, </w:t>
      </w:r>
      <w:r w:rsidR="00465C4E">
        <w:rPr>
          <w:rFonts w:eastAsia="Calibri"/>
          <w:sz w:val="20"/>
          <w:szCs w:val="20"/>
          <w:lang w:eastAsia="sl-SI"/>
        </w:rPr>
        <w:t>BiH</w:t>
      </w:r>
      <w:r w:rsidRPr="00D453C9">
        <w:rPr>
          <w:rFonts w:eastAsia="Calibri"/>
          <w:sz w:val="20"/>
          <w:szCs w:val="20"/>
          <w:lang w:eastAsia="sl-SI"/>
        </w:rPr>
        <w:t xml:space="preserve">, Črna gora, Moldavija, Romunija, Severna Makedonija, Srbija in od oktobra 2011 tudi Izrael. RS ni članica te mreže, vendar z njo aktivno sodeluje od leta 2002, kot država partnerica in donatorica. Kar pet držav (Bolgarija, Hrvaška in Romunija kot kandidatke za članstvo v OECD ter </w:t>
      </w:r>
      <w:r w:rsidR="00BC5B5C">
        <w:rPr>
          <w:rFonts w:eastAsia="Calibri"/>
          <w:sz w:val="20"/>
          <w:szCs w:val="20"/>
          <w:lang w:eastAsia="sl-SI"/>
        </w:rPr>
        <w:t>RS</w:t>
      </w:r>
      <w:r w:rsidRPr="00D453C9">
        <w:rPr>
          <w:rFonts w:eastAsia="Calibri"/>
          <w:sz w:val="20"/>
          <w:szCs w:val="20"/>
          <w:lang w:eastAsia="sl-SI"/>
        </w:rPr>
        <w:t xml:space="preserve"> in Izrael kot članici OECD) je že tako ali drugače povezanih z ZMJVE.</w:t>
      </w:r>
    </w:p>
    <w:p w14:paraId="4AB7993E" w14:textId="77777777" w:rsidR="00D453C9" w:rsidRDefault="00D453C9" w:rsidP="00411064">
      <w:pPr>
        <w:autoSpaceDE w:val="0"/>
        <w:autoSpaceDN w:val="0"/>
        <w:adjustRightInd w:val="0"/>
        <w:spacing w:line="276" w:lineRule="auto"/>
        <w:ind w:left="720"/>
        <w:rPr>
          <w:rFonts w:eastAsia="Calibri"/>
          <w:sz w:val="20"/>
          <w:szCs w:val="20"/>
          <w:lang w:eastAsia="sl-SI"/>
        </w:rPr>
      </w:pPr>
      <w:r w:rsidRPr="00D453C9">
        <w:rPr>
          <w:rFonts w:eastAsia="Calibri"/>
          <w:sz w:val="20"/>
          <w:szCs w:val="20"/>
          <w:lang w:eastAsia="sl-SI"/>
        </w:rPr>
        <w:t xml:space="preserve">Prav tako je MZ podprlo nadaljnje sodelovanje OECD v okviru Skupne mreže visokih uradnikov OECD za proračun in zdravje, ki je v preteklosti svoje dejavnosti razširila na regijo srednje in jugovzhodne Evrope. Eno od srečanj omenjene mreže, ki je potekalo jeseni 2023, je gostila </w:t>
      </w:r>
      <w:r w:rsidR="009B2715">
        <w:rPr>
          <w:rFonts w:eastAsia="Calibri"/>
          <w:sz w:val="20"/>
          <w:szCs w:val="20"/>
          <w:lang w:eastAsia="sl-SI"/>
        </w:rPr>
        <w:t>RS</w:t>
      </w:r>
      <w:r w:rsidRPr="00D453C9">
        <w:rPr>
          <w:rFonts w:eastAsia="Calibri"/>
          <w:sz w:val="20"/>
          <w:szCs w:val="20"/>
          <w:lang w:eastAsia="sl-SI"/>
        </w:rPr>
        <w:t>.</w:t>
      </w:r>
    </w:p>
    <w:p w14:paraId="007EAD61" w14:textId="77777777" w:rsidR="00411064" w:rsidRDefault="00411064" w:rsidP="00411064">
      <w:pPr>
        <w:autoSpaceDE w:val="0"/>
        <w:autoSpaceDN w:val="0"/>
        <w:adjustRightInd w:val="0"/>
        <w:spacing w:line="276" w:lineRule="auto"/>
        <w:ind w:left="720"/>
        <w:rPr>
          <w:rFonts w:eastAsia="Calibri"/>
          <w:sz w:val="20"/>
          <w:szCs w:val="20"/>
          <w:lang w:eastAsia="sl-SI"/>
        </w:rPr>
      </w:pPr>
    </w:p>
    <w:p w14:paraId="16CE0B27" w14:textId="77777777" w:rsidR="00411064" w:rsidRPr="00D453C9" w:rsidRDefault="00411064" w:rsidP="00411064">
      <w:pPr>
        <w:autoSpaceDE w:val="0"/>
        <w:autoSpaceDN w:val="0"/>
        <w:adjustRightInd w:val="0"/>
        <w:spacing w:line="276" w:lineRule="auto"/>
        <w:ind w:left="720"/>
        <w:rPr>
          <w:rFonts w:eastAsia="Times New Roman"/>
          <w:noProof/>
          <w:sz w:val="20"/>
          <w:szCs w:val="20"/>
          <w:highlight w:val="yellow"/>
        </w:rPr>
      </w:pPr>
    </w:p>
    <w:p w14:paraId="798E9163" w14:textId="77777777" w:rsidR="00380C9C" w:rsidRPr="00511977" w:rsidRDefault="001125C5" w:rsidP="00411064">
      <w:pPr>
        <w:pStyle w:val="Heading3"/>
      </w:pPr>
      <w:bookmarkStart w:id="47" w:name="_Toc227227984"/>
      <w:r w:rsidRPr="00511977">
        <w:t>8</w:t>
      </w:r>
      <w:r w:rsidR="00380C9C" w:rsidRPr="00511977">
        <w:t>.3. Krepitev sodelovanja na področju dela, družine in socialnih zadev</w:t>
      </w:r>
      <w:bookmarkEnd w:id="47"/>
    </w:p>
    <w:p w14:paraId="6D6C6D79" w14:textId="77777777" w:rsidR="006F04E6" w:rsidRPr="00140B34" w:rsidRDefault="006F04E6" w:rsidP="00411064">
      <w:pPr>
        <w:spacing w:line="276" w:lineRule="auto"/>
        <w:rPr>
          <w:sz w:val="20"/>
          <w:szCs w:val="20"/>
          <w:highlight w:val="yellow"/>
        </w:rPr>
      </w:pPr>
    </w:p>
    <w:p w14:paraId="73B0AFC4" w14:textId="77777777" w:rsidR="002E0684" w:rsidRPr="002E0684" w:rsidRDefault="002E0684" w:rsidP="006C0DAC">
      <w:pPr>
        <w:spacing w:line="276" w:lineRule="auto"/>
        <w:rPr>
          <w:rFonts w:eastAsia="Aptos"/>
          <w:b/>
          <w:bCs/>
          <w:kern w:val="2"/>
          <w:sz w:val="20"/>
          <w:szCs w:val="20"/>
        </w:rPr>
      </w:pPr>
      <w:r w:rsidRPr="002E0684">
        <w:rPr>
          <w:rFonts w:eastAsia="Aptos"/>
          <w:b/>
          <w:bCs/>
          <w:color w:val="000000"/>
          <w:kern w:val="2"/>
          <w:sz w:val="20"/>
          <w:szCs w:val="20"/>
          <w:shd w:val="clear" w:color="auto" w:fill="FFFFFF"/>
        </w:rPr>
        <w:t>Srbija</w:t>
      </w:r>
      <w:r w:rsidRPr="002E0684">
        <w:rPr>
          <w:rFonts w:eastAsia="Aptos"/>
          <w:color w:val="000000"/>
          <w:kern w:val="2"/>
          <w:sz w:val="20"/>
          <w:szCs w:val="20"/>
          <w:shd w:val="clear" w:color="auto" w:fill="FFFFFF"/>
        </w:rPr>
        <w:t xml:space="preserve">: </w:t>
      </w:r>
    </w:p>
    <w:p w14:paraId="5C53F94C" w14:textId="77777777" w:rsidR="002E0684" w:rsidRPr="002E0684" w:rsidRDefault="002E0684" w:rsidP="006C0DAC">
      <w:pPr>
        <w:spacing w:after="160" w:line="276" w:lineRule="auto"/>
        <w:rPr>
          <w:rFonts w:eastAsia="Aptos"/>
          <w:color w:val="000000"/>
          <w:kern w:val="2"/>
          <w:sz w:val="20"/>
          <w:szCs w:val="20"/>
          <w:shd w:val="clear" w:color="auto" w:fill="FFFFFF"/>
        </w:rPr>
      </w:pPr>
      <w:r w:rsidRPr="002E0684">
        <w:rPr>
          <w:rFonts w:eastAsia="Aptos"/>
          <w:color w:val="000000"/>
          <w:kern w:val="2"/>
          <w:sz w:val="20"/>
          <w:szCs w:val="20"/>
          <w:shd w:val="clear" w:color="auto" w:fill="FFFFFF"/>
        </w:rPr>
        <w:t xml:space="preserve">Ministrstvo za človekove in manjšinske pravice ter socialni dialog Srbije je v sodelovanju z Gospodarsko zbornico Srbije in ob podpori Misije OESS v Srbiji v novembru 2025 povabilo Ministrstvo za delo, družino socialne zadeve in enake možnosti (MDDSZ) k sodelovanju na prvem panelu Mednarodne konference »Ustavimo tišino – skupaj!«. Konferenca je bila organizirana v okviru globalne kampanje »16 dni aktivizma proti nasilju na podlagi spola«, ki vsako leto združi številne institucije, organizacije in posameznike po vsem svetu v skupnem prizadevanju za boj proti nasilju na podlagi spola. </w:t>
      </w:r>
    </w:p>
    <w:p w14:paraId="1C8FC5A2" w14:textId="77777777" w:rsidR="002E0684" w:rsidRPr="002E0684" w:rsidRDefault="002E0684" w:rsidP="006C0DAC">
      <w:pPr>
        <w:spacing w:after="160" w:line="276" w:lineRule="auto"/>
        <w:rPr>
          <w:rFonts w:eastAsia="Aptos"/>
          <w:color w:val="000000"/>
          <w:kern w:val="2"/>
          <w:sz w:val="20"/>
          <w:szCs w:val="20"/>
          <w:shd w:val="clear" w:color="auto" w:fill="FFFFFF"/>
        </w:rPr>
      </w:pPr>
      <w:r w:rsidRPr="002E0684">
        <w:rPr>
          <w:rFonts w:eastAsia="Aptos"/>
          <w:color w:val="000000"/>
          <w:kern w:val="2"/>
          <w:sz w:val="20"/>
          <w:szCs w:val="20"/>
          <w:shd w:val="clear" w:color="auto" w:fill="FFFFFF"/>
        </w:rPr>
        <w:t>Prvi panel z naslovom »Institucionalni odziv na digitalno nasilje – evropske lekcije za regijo« je bil osredotočen na izmenjavo izkušenj, modelov in najboljših praks evropskih držav pri preprečevanju in boju proti digitalnemu nasilju, s posebnim poudarkom na institucionalnih mehanizmih in medsektorskem sodelovanju</w:t>
      </w:r>
    </w:p>
    <w:p w14:paraId="529D9657" w14:textId="77777777" w:rsidR="002E0684" w:rsidRPr="002E0684" w:rsidRDefault="002E0684" w:rsidP="006C0DAC">
      <w:pPr>
        <w:spacing w:line="276" w:lineRule="auto"/>
        <w:rPr>
          <w:rFonts w:eastAsia="Aptos"/>
          <w:b/>
          <w:bCs/>
          <w:kern w:val="2"/>
          <w:sz w:val="20"/>
          <w:szCs w:val="20"/>
          <w:lang w:eastAsia="sl-SI"/>
        </w:rPr>
      </w:pPr>
      <w:r w:rsidRPr="002E0684">
        <w:rPr>
          <w:rFonts w:eastAsia="Aptos"/>
          <w:b/>
          <w:bCs/>
          <w:kern w:val="2"/>
          <w:sz w:val="20"/>
          <w:szCs w:val="20"/>
          <w:lang w:eastAsia="sl-SI"/>
        </w:rPr>
        <w:t xml:space="preserve">Severna Makedonija: </w:t>
      </w:r>
    </w:p>
    <w:p w14:paraId="029D742E" w14:textId="77777777" w:rsidR="002E0684" w:rsidRPr="002E0684" w:rsidRDefault="002E0684" w:rsidP="006C0DAC">
      <w:pPr>
        <w:spacing w:line="276" w:lineRule="auto"/>
        <w:rPr>
          <w:rFonts w:eastAsia="Aptos"/>
          <w:kern w:val="2"/>
          <w:sz w:val="20"/>
          <w:szCs w:val="20"/>
          <w:lang w:eastAsia="sl-SI"/>
        </w:rPr>
      </w:pPr>
      <w:r w:rsidRPr="002E0684">
        <w:rPr>
          <w:rFonts w:eastAsia="Aptos"/>
          <w:kern w:val="2"/>
          <w:sz w:val="20"/>
          <w:szCs w:val="20"/>
          <w:lang w:eastAsia="sl-SI"/>
        </w:rPr>
        <w:t>V septembru 2025 je na MDDSZ potekal Študijski obisk delegacije Severne Makedonije, ki je prišla na študijski obisk v okviru projekta Social Insurance Administration Project, ki ga financira Mednarodna banka za obnovo in razvoj. V okviru projekta Severna Makedonija uvaja nov sistem zaposlitvene rehabilitacije in zaposlovanja, ki temelji na kvotnem sistemu ter na obveznostih Konvencije o pravicah invalidov. Osrednje teme obiska so bile zaposlitvena rehabilitacija ter zaposlovanje invalidov, programske rešitve ki podpirajo proces zaposlitvene rehabilitacije in zaposlovanja, uporaba digitalnih orodij, metode za zagotavljanje aktivne udeležbe invalidov v zaposlitveni rehabilitaciji, vključno z individualnimi načrti in primeri dobrih praks. Program je vključeval predstavitve zakonodajnega okvira in finančnih spodbud na MDDSZ ter terenske obiske URI Soča in Zavoda Papilot.</w:t>
      </w:r>
    </w:p>
    <w:p w14:paraId="6D7EC3C1" w14:textId="77777777" w:rsidR="002E0684" w:rsidRPr="002E0684" w:rsidRDefault="002E0684" w:rsidP="006C0DAC">
      <w:pPr>
        <w:spacing w:line="276" w:lineRule="auto"/>
        <w:rPr>
          <w:rFonts w:eastAsia="Times New Roman"/>
          <w:kern w:val="2"/>
          <w:sz w:val="20"/>
          <w:szCs w:val="20"/>
        </w:rPr>
      </w:pPr>
    </w:p>
    <w:p w14:paraId="3328A20D" w14:textId="77777777" w:rsidR="002E0684" w:rsidRDefault="002E0684" w:rsidP="006C0DAC">
      <w:pPr>
        <w:spacing w:line="276" w:lineRule="auto"/>
        <w:rPr>
          <w:rFonts w:eastAsia="Times New Roman"/>
          <w:kern w:val="2"/>
          <w:sz w:val="20"/>
          <w:szCs w:val="20"/>
        </w:rPr>
      </w:pPr>
      <w:r w:rsidRPr="002E0684">
        <w:rPr>
          <w:rFonts w:eastAsia="Times New Roman"/>
          <w:kern w:val="2"/>
          <w:sz w:val="20"/>
          <w:szCs w:val="20"/>
        </w:rPr>
        <w:t xml:space="preserve">Med 16. in 19. junijem so bili v Severni Makedoniji izvedeni trije dogodki Življenje in delo v Sloveniji - Kumanovo, Prilep in Ohridu. Namen dogodkov je prispevati k ustrezni zaščiti delavcev v delovnih migracijah. Zato so bile na vseh treh dogodkih predstavljene zakonodajne novosti in druge informacije s področja zaposlovanja in dela tujcev v RS ter informacije o delovnih in življenjskih pogojih v RS. Dodatno sta potekala še dva zaposlitvena dogodka in sicer 10. in 11. novembra 2025: v Velesu ter 11. </w:t>
      </w:r>
      <w:r w:rsidR="003E539A">
        <w:rPr>
          <w:rFonts w:eastAsia="Times New Roman"/>
          <w:kern w:val="2"/>
          <w:sz w:val="20"/>
          <w:szCs w:val="20"/>
        </w:rPr>
        <w:t>novembra</w:t>
      </w:r>
      <w:r w:rsidRPr="002E0684">
        <w:rPr>
          <w:rFonts w:eastAsia="Times New Roman"/>
          <w:kern w:val="2"/>
          <w:sz w:val="20"/>
          <w:szCs w:val="20"/>
        </w:rPr>
        <w:t xml:space="preserve"> 2025</w:t>
      </w:r>
      <w:r w:rsidR="003E539A">
        <w:rPr>
          <w:rFonts w:eastAsia="Times New Roman"/>
          <w:kern w:val="2"/>
          <w:sz w:val="20"/>
          <w:szCs w:val="20"/>
        </w:rPr>
        <w:t xml:space="preserve"> </w:t>
      </w:r>
      <w:r w:rsidRPr="002E0684">
        <w:rPr>
          <w:rFonts w:eastAsia="Times New Roman"/>
          <w:kern w:val="2"/>
          <w:sz w:val="20"/>
          <w:szCs w:val="20"/>
        </w:rPr>
        <w:t xml:space="preserve">v </w:t>
      </w:r>
      <w:proofErr w:type="spellStart"/>
      <w:r w:rsidRPr="002E0684">
        <w:rPr>
          <w:rFonts w:eastAsia="Times New Roman"/>
          <w:kern w:val="2"/>
          <w:sz w:val="20"/>
          <w:szCs w:val="20"/>
        </w:rPr>
        <w:t>Strumici</w:t>
      </w:r>
      <w:proofErr w:type="spellEnd"/>
      <w:r w:rsidRPr="002E0684">
        <w:rPr>
          <w:rFonts w:eastAsia="Times New Roman"/>
          <w:kern w:val="2"/>
          <w:sz w:val="20"/>
          <w:szCs w:val="20"/>
        </w:rPr>
        <w:t xml:space="preserve">. </w:t>
      </w:r>
    </w:p>
    <w:p w14:paraId="38DD9C86" w14:textId="77777777" w:rsidR="00C23AB5" w:rsidRPr="00C23AB5" w:rsidRDefault="00C23AB5" w:rsidP="006C0DAC">
      <w:pPr>
        <w:spacing w:line="276" w:lineRule="auto"/>
        <w:rPr>
          <w:rFonts w:eastAsia="Times New Roman"/>
          <w:kern w:val="2"/>
          <w:sz w:val="20"/>
          <w:szCs w:val="20"/>
        </w:rPr>
      </w:pPr>
    </w:p>
    <w:p w14:paraId="28CA8551" w14:textId="77777777" w:rsidR="002E0684" w:rsidRPr="002E0684" w:rsidRDefault="003D624A" w:rsidP="006C0DAC">
      <w:pPr>
        <w:spacing w:line="276" w:lineRule="auto"/>
        <w:rPr>
          <w:rFonts w:eastAsia="Aptos"/>
          <w:b/>
          <w:bCs/>
          <w:kern w:val="2"/>
          <w:sz w:val="20"/>
          <w:szCs w:val="20"/>
          <w:lang w:eastAsia="sl-SI"/>
        </w:rPr>
      </w:pPr>
      <w:r>
        <w:rPr>
          <w:rFonts w:eastAsia="Aptos"/>
          <w:b/>
          <w:bCs/>
          <w:kern w:val="2"/>
          <w:sz w:val="20"/>
          <w:szCs w:val="20"/>
          <w:lang w:eastAsia="sl-SI"/>
        </w:rPr>
        <w:t>Č</w:t>
      </w:r>
      <w:r w:rsidR="002E0684" w:rsidRPr="002E0684">
        <w:rPr>
          <w:rFonts w:eastAsia="Aptos"/>
          <w:b/>
          <w:bCs/>
          <w:kern w:val="2"/>
          <w:sz w:val="20"/>
          <w:szCs w:val="20"/>
          <w:lang w:eastAsia="sl-SI"/>
        </w:rPr>
        <w:t>rna Gora:</w:t>
      </w:r>
    </w:p>
    <w:p w14:paraId="7C693696" w14:textId="77777777" w:rsidR="002E0684" w:rsidRPr="002E0684" w:rsidRDefault="002E0684" w:rsidP="006C0DAC">
      <w:pPr>
        <w:spacing w:line="276" w:lineRule="auto"/>
        <w:rPr>
          <w:rFonts w:eastAsia="Aptos"/>
          <w:kern w:val="2"/>
          <w:sz w:val="20"/>
          <w:szCs w:val="20"/>
          <w:lang w:eastAsia="sl-SI"/>
        </w:rPr>
      </w:pPr>
      <w:r w:rsidRPr="002E0684">
        <w:rPr>
          <w:rFonts w:eastAsia="Aptos"/>
          <w:kern w:val="2"/>
          <w:sz w:val="20"/>
          <w:szCs w:val="20"/>
          <w:lang w:eastAsia="sl-SI"/>
        </w:rPr>
        <w:t>V</w:t>
      </w:r>
      <w:r w:rsidRPr="002E0684">
        <w:rPr>
          <w:rFonts w:eastAsia="Aptos"/>
          <w:b/>
          <w:bCs/>
          <w:kern w:val="2"/>
          <w:sz w:val="20"/>
          <w:szCs w:val="20"/>
          <w:lang w:eastAsia="sl-SI"/>
        </w:rPr>
        <w:t xml:space="preserve"> </w:t>
      </w:r>
      <w:r w:rsidRPr="002E0684">
        <w:rPr>
          <w:rFonts w:eastAsia="Aptos"/>
          <w:kern w:val="2"/>
          <w:sz w:val="20"/>
          <w:szCs w:val="20"/>
          <w:lang w:eastAsia="sl-SI"/>
        </w:rPr>
        <w:t>septembru 2025 je prav tako na MDDSZ potekal Študijski obisk delegacije Črne gore.</w:t>
      </w:r>
      <w:r w:rsidRPr="002E0684">
        <w:rPr>
          <w:rFonts w:eastAsia="Aptos"/>
          <w:b/>
          <w:bCs/>
          <w:kern w:val="2"/>
          <w:sz w:val="20"/>
          <w:szCs w:val="20"/>
          <w:lang w:eastAsia="sl-SI"/>
        </w:rPr>
        <w:t xml:space="preserve"> </w:t>
      </w:r>
      <w:r w:rsidRPr="002E0684">
        <w:rPr>
          <w:rFonts w:eastAsia="Aptos"/>
          <w:kern w:val="2"/>
          <w:sz w:val="20"/>
          <w:szCs w:val="20"/>
          <w:lang w:eastAsia="sl-SI"/>
        </w:rPr>
        <w:t>Delegacijo so sestavljali predstavniki Ministrstva za delo in socialno varstvo (ministrica Naida Nišić, državna sekretarka Anđela Bašović, svetovalka za odnose z javnostjo Snežana Ivanović) ter predstavniki Ministrstva za človekove in manjšinske pravice (minister Fatmir Gjeka, generalna direktorica Irena Rakočević, svetovalec v kabinetu ministra Martin Junča). Osrednja vsebina je bila ureditev zaposlitvene rehabilitacije, sistem zaposlovanja invalidov ter finančni ukrepi za zaposlovanje invalidov v RS. Program je vključeval predstavitev sistema na MDDSZ, obisk invalidskega podjetja CSS d.o.o., Želve d.o.o. in URI Soča.</w:t>
      </w:r>
    </w:p>
    <w:p w14:paraId="6B60013D" w14:textId="77777777" w:rsidR="002E0684" w:rsidRPr="002E0684" w:rsidRDefault="002E0684" w:rsidP="006C0DAC">
      <w:pPr>
        <w:spacing w:line="276" w:lineRule="auto"/>
        <w:rPr>
          <w:rFonts w:eastAsia="Aptos"/>
          <w:b/>
          <w:bCs/>
          <w:kern w:val="2"/>
          <w:sz w:val="20"/>
          <w:szCs w:val="20"/>
        </w:rPr>
      </w:pPr>
    </w:p>
    <w:p w14:paraId="5D1C7EF7" w14:textId="77777777" w:rsidR="002E0684" w:rsidRPr="002E0684" w:rsidRDefault="002E0684" w:rsidP="006C0DAC">
      <w:pPr>
        <w:spacing w:line="276" w:lineRule="auto"/>
        <w:rPr>
          <w:rFonts w:eastAsia="Aptos"/>
          <w:b/>
          <w:bCs/>
          <w:kern w:val="2"/>
          <w:sz w:val="20"/>
          <w:szCs w:val="20"/>
        </w:rPr>
      </w:pPr>
      <w:r w:rsidRPr="002E0684">
        <w:rPr>
          <w:rFonts w:eastAsia="Aptos"/>
          <w:b/>
          <w:bCs/>
          <w:kern w:val="2"/>
          <w:sz w:val="20"/>
          <w:szCs w:val="20"/>
        </w:rPr>
        <w:t xml:space="preserve">Albanija: </w:t>
      </w:r>
    </w:p>
    <w:p w14:paraId="293FA2AC" w14:textId="77777777" w:rsidR="002E0684" w:rsidRPr="002E0684" w:rsidRDefault="002E0684" w:rsidP="006C0DAC">
      <w:pPr>
        <w:spacing w:line="276" w:lineRule="auto"/>
        <w:rPr>
          <w:rFonts w:eastAsia="Times New Roman"/>
          <w:kern w:val="2"/>
          <w:sz w:val="20"/>
          <w:szCs w:val="20"/>
        </w:rPr>
      </w:pPr>
      <w:r w:rsidRPr="002E0684">
        <w:rPr>
          <w:rFonts w:eastAsia="Times New Roman"/>
          <w:kern w:val="2"/>
          <w:sz w:val="20"/>
          <w:szCs w:val="20"/>
        </w:rPr>
        <w:t>V mesecu maju 2025 je potekal prvi krog pogajanj za sklenitev Sporazuma med RS in Albanijo o zaposlovanju in socialnem zavarovanju,</w:t>
      </w:r>
    </w:p>
    <w:p w14:paraId="09506B44" w14:textId="77777777" w:rsidR="002E0684" w:rsidRPr="002E0684" w:rsidRDefault="002E0684" w:rsidP="006C0DAC">
      <w:pPr>
        <w:spacing w:line="276" w:lineRule="auto"/>
        <w:rPr>
          <w:rFonts w:eastAsia="Times New Roman"/>
          <w:kern w:val="2"/>
          <w:sz w:val="20"/>
          <w:szCs w:val="20"/>
        </w:rPr>
      </w:pPr>
    </w:p>
    <w:p w14:paraId="6D2FCDD1" w14:textId="77777777" w:rsidR="002E0684" w:rsidRPr="002E0684" w:rsidRDefault="002E0684" w:rsidP="006C0DAC">
      <w:pPr>
        <w:spacing w:line="276" w:lineRule="auto"/>
        <w:rPr>
          <w:rFonts w:eastAsia="Times New Roman"/>
          <w:b/>
          <w:bCs/>
          <w:kern w:val="2"/>
          <w:sz w:val="20"/>
          <w:szCs w:val="20"/>
        </w:rPr>
      </w:pPr>
      <w:r w:rsidRPr="002E0684">
        <w:rPr>
          <w:rFonts w:eastAsia="Times New Roman"/>
          <w:b/>
          <w:bCs/>
          <w:kern w:val="2"/>
          <w:sz w:val="20"/>
          <w:szCs w:val="20"/>
        </w:rPr>
        <w:t>Kosovo:</w:t>
      </w:r>
    </w:p>
    <w:p w14:paraId="5DF7BB04" w14:textId="77777777" w:rsidR="002E0684" w:rsidRPr="002E0684" w:rsidRDefault="002E0684" w:rsidP="006C0DAC">
      <w:pPr>
        <w:spacing w:line="276" w:lineRule="auto"/>
        <w:rPr>
          <w:rFonts w:eastAsia="Times New Roman"/>
          <w:kern w:val="2"/>
          <w:sz w:val="20"/>
          <w:szCs w:val="20"/>
        </w:rPr>
      </w:pPr>
      <w:r w:rsidRPr="002E0684">
        <w:rPr>
          <w:rFonts w:eastAsia="Times New Roman"/>
          <w:kern w:val="2"/>
          <w:sz w:val="20"/>
          <w:szCs w:val="20"/>
        </w:rPr>
        <w:t>V mesecu septembru 2025 je potekal sestanek s kosovsko stranjo v zvezi s sklenitvijo Sporazuma o socialnem zavarovanju med RS in Kosovo</w:t>
      </w:r>
      <w:r w:rsidR="005B0072">
        <w:rPr>
          <w:rFonts w:eastAsia="Times New Roman"/>
          <w:kern w:val="2"/>
          <w:sz w:val="20"/>
          <w:szCs w:val="20"/>
        </w:rPr>
        <w:t>m</w:t>
      </w:r>
      <w:r w:rsidRPr="002E0684">
        <w:rPr>
          <w:rFonts w:eastAsia="Times New Roman"/>
          <w:kern w:val="2"/>
          <w:sz w:val="20"/>
          <w:szCs w:val="20"/>
        </w:rPr>
        <w:t>,</w:t>
      </w:r>
    </w:p>
    <w:p w14:paraId="03CE7E78" w14:textId="77777777" w:rsidR="002E0684" w:rsidRPr="002E0684" w:rsidRDefault="002E0684" w:rsidP="006C0DAC">
      <w:pPr>
        <w:spacing w:line="276" w:lineRule="auto"/>
        <w:rPr>
          <w:rFonts w:eastAsia="Times New Roman"/>
          <w:kern w:val="2"/>
          <w:sz w:val="20"/>
          <w:szCs w:val="20"/>
        </w:rPr>
      </w:pPr>
    </w:p>
    <w:p w14:paraId="23D6784B" w14:textId="77777777" w:rsidR="002E0684" w:rsidRPr="002E0684" w:rsidRDefault="00422198" w:rsidP="006C0DAC">
      <w:pPr>
        <w:spacing w:line="276" w:lineRule="auto"/>
        <w:rPr>
          <w:rFonts w:eastAsia="Aptos"/>
          <w:b/>
          <w:bCs/>
          <w:kern w:val="2"/>
          <w:sz w:val="20"/>
          <w:szCs w:val="20"/>
        </w:rPr>
      </w:pPr>
      <w:r>
        <w:rPr>
          <w:b/>
          <w:sz w:val="20"/>
          <w:szCs w:val="20"/>
        </w:rPr>
        <w:t>BiH</w:t>
      </w:r>
      <w:r w:rsidR="002E0684" w:rsidRPr="002E0684">
        <w:rPr>
          <w:rFonts w:eastAsia="Aptos"/>
          <w:b/>
          <w:bCs/>
          <w:kern w:val="2"/>
          <w:sz w:val="20"/>
          <w:szCs w:val="20"/>
        </w:rPr>
        <w:t>:</w:t>
      </w:r>
    </w:p>
    <w:p w14:paraId="75D19FA6" w14:textId="77777777" w:rsidR="002657BB" w:rsidRPr="002E0684" w:rsidRDefault="002E0684" w:rsidP="006C0DAC">
      <w:pPr>
        <w:spacing w:line="276" w:lineRule="auto"/>
        <w:rPr>
          <w:rFonts w:eastAsia="Times New Roman"/>
          <w:kern w:val="2"/>
          <w:sz w:val="20"/>
          <w:szCs w:val="20"/>
        </w:rPr>
      </w:pPr>
      <w:r w:rsidRPr="002E0684">
        <w:rPr>
          <w:rFonts w:eastAsia="Times New Roman"/>
          <w:kern w:val="2"/>
          <w:sz w:val="20"/>
          <w:szCs w:val="20"/>
        </w:rPr>
        <w:t xml:space="preserve">V mesecu novembru 2025 je potekal sestanek Meddržavne komisije za spremljanje izvajanja Sporazuma med Svetom ministrov </w:t>
      </w:r>
      <w:r w:rsidR="00465C4E">
        <w:rPr>
          <w:rFonts w:eastAsia="Times New Roman"/>
          <w:kern w:val="2"/>
          <w:sz w:val="20"/>
          <w:szCs w:val="20"/>
        </w:rPr>
        <w:t>BiH</w:t>
      </w:r>
      <w:r w:rsidRPr="002E0684">
        <w:rPr>
          <w:rFonts w:eastAsia="Times New Roman"/>
          <w:kern w:val="2"/>
          <w:sz w:val="20"/>
          <w:szCs w:val="20"/>
        </w:rPr>
        <w:t xml:space="preserve"> in Vlado RS o zaposlovanju državljanov </w:t>
      </w:r>
      <w:r w:rsidR="00465C4E">
        <w:rPr>
          <w:rFonts w:eastAsia="Times New Roman"/>
          <w:kern w:val="2"/>
          <w:sz w:val="20"/>
          <w:szCs w:val="20"/>
        </w:rPr>
        <w:t>BiH</w:t>
      </w:r>
      <w:r w:rsidRPr="002E0684">
        <w:rPr>
          <w:rFonts w:eastAsia="Times New Roman"/>
          <w:kern w:val="2"/>
          <w:sz w:val="20"/>
          <w:szCs w:val="20"/>
        </w:rPr>
        <w:t xml:space="preserve"> v RS, na katerem je bilo dogovorjeno, da se bo sporazum ustrezno spremenil in dopolnil.</w:t>
      </w:r>
    </w:p>
    <w:p w14:paraId="05E68B4F" w14:textId="77777777" w:rsidR="000A60B7" w:rsidRDefault="000A60B7" w:rsidP="006C0DAC">
      <w:pPr>
        <w:autoSpaceDE w:val="0"/>
        <w:autoSpaceDN w:val="0"/>
        <w:adjustRightInd w:val="0"/>
        <w:spacing w:line="276" w:lineRule="auto"/>
        <w:rPr>
          <w:sz w:val="20"/>
          <w:szCs w:val="20"/>
          <w:highlight w:val="yellow"/>
        </w:rPr>
      </w:pPr>
    </w:p>
    <w:p w14:paraId="787B0DAB" w14:textId="77777777" w:rsidR="003D624A" w:rsidRDefault="003D624A" w:rsidP="006C0DAC">
      <w:pPr>
        <w:autoSpaceDE w:val="0"/>
        <w:autoSpaceDN w:val="0"/>
        <w:adjustRightInd w:val="0"/>
        <w:spacing w:line="276" w:lineRule="auto"/>
        <w:rPr>
          <w:sz w:val="20"/>
          <w:szCs w:val="20"/>
        </w:rPr>
      </w:pPr>
      <w:r w:rsidRPr="003D624A">
        <w:rPr>
          <w:b/>
          <w:bCs/>
          <w:sz w:val="20"/>
          <w:szCs w:val="20"/>
        </w:rPr>
        <w:t>Srbija</w:t>
      </w:r>
      <w:r w:rsidRPr="003D624A">
        <w:rPr>
          <w:sz w:val="20"/>
          <w:szCs w:val="20"/>
        </w:rPr>
        <w:t xml:space="preserve">: V letu 2025 je Zavod </w:t>
      </w:r>
      <w:r w:rsidR="005B0072">
        <w:rPr>
          <w:sz w:val="20"/>
          <w:szCs w:val="20"/>
        </w:rPr>
        <w:t>RS</w:t>
      </w:r>
      <w:r w:rsidRPr="003D624A">
        <w:rPr>
          <w:sz w:val="20"/>
          <w:szCs w:val="20"/>
        </w:rPr>
        <w:t xml:space="preserve"> za zaposlovanje (ZZRS) skupaj s partnerji iz Švedske, Grčije in Francije izvajal projekt tesnega medinstitucionalnega sodelovanja »Podpora izboljšanju delovnih pogojev in priprava Srbije na sodelovanje v mreži EURES«.</w:t>
      </w:r>
    </w:p>
    <w:p w14:paraId="23C84D43" w14:textId="77777777" w:rsidR="003D624A" w:rsidRDefault="003D624A" w:rsidP="006C0DAC">
      <w:pPr>
        <w:autoSpaceDE w:val="0"/>
        <w:autoSpaceDN w:val="0"/>
        <w:adjustRightInd w:val="0"/>
        <w:spacing w:line="276" w:lineRule="auto"/>
        <w:rPr>
          <w:sz w:val="20"/>
          <w:szCs w:val="20"/>
          <w:highlight w:val="yellow"/>
        </w:rPr>
      </w:pPr>
    </w:p>
    <w:p w14:paraId="5648CBCB" w14:textId="77777777" w:rsidR="006C0DAC" w:rsidRPr="00140B34" w:rsidRDefault="006C0DAC" w:rsidP="006C0DAC">
      <w:pPr>
        <w:autoSpaceDE w:val="0"/>
        <w:autoSpaceDN w:val="0"/>
        <w:adjustRightInd w:val="0"/>
        <w:spacing w:line="276" w:lineRule="auto"/>
        <w:rPr>
          <w:sz w:val="20"/>
          <w:szCs w:val="20"/>
          <w:highlight w:val="yellow"/>
        </w:rPr>
      </w:pPr>
    </w:p>
    <w:p w14:paraId="41BF1D63" w14:textId="77777777" w:rsidR="005547B0" w:rsidRPr="00021773" w:rsidRDefault="005547B0" w:rsidP="00411064">
      <w:pPr>
        <w:pStyle w:val="Heading2"/>
        <w:pBdr>
          <w:top w:val="single" w:sz="4" w:space="0" w:color="auto"/>
        </w:pBdr>
      </w:pPr>
      <w:bookmarkStart w:id="48" w:name="_Toc227227985"/>
      <w:r w:rsidRPr="00021773">
        <w:t xml:space="preserve">Spodbujanje </w:t>
      </w:r>
      <w:r w:rsidR="00F971CD" w:rsidRPr="00021773">
        <w:t>sodelovanja na področju</w:t>
      </w:r>
      <w:r w:rsidR="00887A4B" w:rsidRPr="00021773">
        <w:t xml:space="preserve"> vzgoje,</w:t>
      </w:r>
      <w:r w:rsidR="00F971CD" w:rsidRPr="00021773">
        <w:t xml:space="preserve"> izobraževanja, mladine</w:t>
      </w:r>
      <w:r w:rsidR="00512AD7" w:rsidRPr="00021773">
        <w:t>, znanosti</w:t>
      </w:r>
      <w:r w:rsidR="00F971CD" w:rsidRPr="00021773">
        <w:t xml:space="preserve"> in </w:t>
      </w:r>
      <w:r w:rsidR="00887A4B" w:rsidRPr="00021773">
        <w:t>inovacij</w:t>
      </w:r>
      <w:bookmarkEnd w:id="48"/>
    </w:p>
    <w:p w14:paraId="5BD7355B" w14:textId="77777777" w:rsidR="005547B0" w:rsidRDefault="005547B0" w:rsidP="00411064">
      <w:pPr>
        <w:spacing w:line="276" w:lineRule="auto"/>
        <w:rPr>
          <w:sz w:val="20"/>
          <w:szCs w:val="20"/>
          <w:highlight w:val="yellow"/>
        </w:rPr>
      </w:pPr>
    </w:p>
    <w:p w14:paraId="6A26CE74" w14:textId="77777777" w:rsidR="006C0DAC" w:rsidRPr="00140B34" w:rsidRDefault="006C0DAC" w:rsidP="00411064">
      <w:pPr>
        <w:spacing w:line="276" w:lineRule="auto"/>
        <w:rPr>
          <w:sz w:val="20"/>
          <w:szCs w:val="20"/>
          <w:highlight w:val="yellow"/>
        </w:rPr>
      </w:pPr>
    </w:p>
    <w:p w14:paraId="6DCB35A5" w14:textId="77777777" w:rsidR="00D02DF0" w:rsidRPr="002928FC" w:rsidRDefault="00D02DF0" w:rsidP="00411064">
      <w:pPr>
        <w:pStyle w:val="Heading3"/>
      </w:pPr>
      <w:bookmarkStart w:id="49" w:name="_Toc227227986"/>
      <w:r w:rsidRPr="002928FC">
        <w:t xml:space="preserve">9.1. </w:t>
      </w:r>
      <w:r w:rsidR="002C0966" w:rsidRPr="002928FC">
        <w:t>Krepitev sodelovanja na področju vzgoje in izobraževanja</w:t>
      </w:r>
      <w:bookmarkEnd w:id="49"/>
      <w:r w:rsidRPr="002928FC">
        <w:t xml:space="preserve"> </w:t>
      </w:r>
    </w:p>
    <w:p w14:paraId="27D5DE4C" w14:textId="77777777" w:rsidR="00D02DF0" w:rsidRPr="00140B34" w:rsidRDefault="00D02DF0" w:rsidP="00411064">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rPr>
          <w:sz w:val="20"/>
          <w:szCs w:val="20"/>
          <w:highlight w:val="yellow"/>
          <w:lang w:eastAsia="zh-CN"/>
        </w:rPr>
      </w:pPr>
    </w:p>
    <w:p w14:paraId="52BDDE0E" w14:textId="77777777" w:rsidR="006428FF" w:rsidRPr="006428FF" w:rsidRDefault="006428FF" w:rsidP="006C0DAC">
      <w:pPr>
        <w:pBdr>
          <w:bottom w:val="single" w:sz="4" w:space="1" w:color="auto"/>
        </w:pBd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rPr>
          <w:rFonts w:eastAsia="Times New Roman"/>
          <w:b/>
          <w:bCs/>
          <w:sz w:val="20"/>
          <w:szCs w:val="20"/>
          <w:lang w:eastAsia="zh-CN"/>
        </w:rPr>
      </w:pPr>
      <w:r w:rsidRPr="006428FF">
        <w:rPr>
          <w:rFonts w:eastAsia="Times New Roman"/>
          <w:b/>
          <w:bCs/>
          <w:sz w:val="20"/>
          <w:szCs w:val="20"/>
          <w:lang w:eastAsia="zh-CN"/>
        </w:rPr>
        <w:t>Dopolnilni pouk slovenščine v državah Zahodnega Balkana</w:t>
      </w:r>
    </w:p>
    <w:p w14:paraId="58FC8DC2" w14:textId="77777777" w:rsidR="006428FF" w:rsidRPr="006428FF" w:rsidRDefault="006428FF" w:rsidP="006C0DAC">
      <w:pPr>
        <w:pBdr>
          <w:bottom w:val="single" w:sz="4" w:space="1" w:color="auto"/>
        </w:pBd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rPr>
          <w:rFonts w:eastAsia="Times New Roman"/>
          <w:sz w:val="20"/>
          <w:szCs w:val="20"/>
          <w:lang w:eastAsia="zh-CN"/>
        </w:rPr>
      </w:pPr>
    </w:p>
    <w:p w14:paraId="6BD74109" w14:textId="77777777" w:rsidR="006428FF" w:rsidRPr="00465C4E" w:rsidRDefault="00465C4E" w:rsidP="006C0DAC">
      <w:pPr>
        <w:pBdr>
          <w:bottom w:val="single" w:sz="4" w:space="1" w:color="auto"/>
        </w:pBd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rPr>
          <w:rFonts w:eastAsia="Times New Roman"/>
          <w:sz w:val="20"/>
          <w:szCs w:val="20"/>
          <w:lang w:eastAsia="zh-CN"/>
        </w:rPr>
      </w:pPr>
      <w:r w:rsidRPr="00465C4E">
        <w:rPr>
          <w:rFonts w:eastAsia="Times New Roman"/>
          <w:sz w:val="20"/>
          <w:szCs w:val="20"/>
          <w:lang w:eastAsia="zh-CN"/>
        </w:rPr>
        <w:t xml:space="preserve">Ministrstvo za vzgojo in izobraževanje </w:t>
      </w:r>
      <w:r>
        <w:rPr>
          <w:rFonts w:eastAsia="Times New Roman"/>
          <w:sz w:val="20"/>
          <w:szCs w:val="20"/>
          <w:lang w:eastAsia="zh-CN"/>
        </w:rPr>
        <w:t>(</w:t>
      </w:r>
      <w:r w:rsidR="006428FF" w:rsidRPr="006428FF">
        <w:rPr>
          <w:rFonts w:eastAsia="Times New Roman"/>
          <w:sz w:val="20"/>
          <w:szCs w:val="20"/>
          <w:lang w:eastAsia="zh-CN"/>
        </w:rPr>
        <w:t>MVI</w:t>
      </w:r>
      <w:r>
        <w:rPr>
          <w:rFonts w:eastAsia="Times New Roman"/>
          <w:sz w:val="20"/>
          <w:szCs w:val="20"/>
          <w:lang w:eastAsia="zh-CN"/>
        </w:rPr>
        <w:t>)</w:t>
      </w:r>
      <w:r w:rsidR="006428FF" w:rsidRPr="006428FF">
        <w:rPr>
          <w:rFonts w:eastAsia="Times New Roman"/>
          <w:sz w:val="20"/>
          <w:szCs w:val="20"/>
          <w:lang w:eastAsia="zh-CN"/>
        </w:rPr>
        <w:t xml:space="preserve"> v letu 2025 organizira in financira dopolnilni pouk slovenščine v več krajih v </w:t>
      </w:r>
      <w:r w:rsidR="00945E65">
        <w:rPr>
          <w:rFonts w:eastAsia="Times New Roman"/>
          <w:sz w:val="20"/>
          <w:szCs w:val="20"/>
          <w:lang w:eastAsia="zh-CN"/>
        </w:rPr>
        <w:t>BiH</w:t>
      </w:r>
      <w:r w:rsidR="006428FF" w:rsidRPr="006428FF">
        <w:rPr>
          <w:rFonts w:eastAsia="Times New Roman"/>
          <w:sz w:val="20"/>
          <w:szCs w:val="20"/>
          <w:lang w:eastAsia="zh-CN"/>
        </w:rPr>
        <w:t xml:space="preserve">, Srbiji, Severni Makedoniji in v Črni gori. Dopolnilni pouk v regiji </w:t>
      </w:r>
      <w:r w:rsidR="006428FF" w:rsidRPr="00465C4E">
        <w:rPr>
          <w:rFonts w:eastAsia="Times New Roman"/>
          <w:sz w:val="20"/>
          <w:szCs w:val="20"/>
          <w:lang w:eastAsia="zh-CN"/>
        </w:rPr>
        <w:t xml:space="preserve">poučujejo </w:t>
      </w:r>
      <w:r w:rsidR="006428FF" w:rsidRPr="00C90298">
        <w:rPr>
          <w:rFonts w:eastAsia="Times New Roman"/>
          <w:sz w:val="20"/>
          <w:szCs w:val="20"/>
          <w:lang w:eastAsia="zh-CN"/>
        </w:rPr>
        <w:t>3 napotene učiteljice</w:t>
      </w:r>
      <w:r w:rsidR="006428FF" w:rsidRPr="006428FF">
        <w:rPr>
          <w:rFonts w:eastAsia="Times New Roman"/>
          <w:sz w:val="20"/>
          <w:szCs w:val="20"/>
          <w:lang w:eastAsia="zh-CN"/>
        </w:rPr>
        <w:t xml:space="preserve"> iz </w:t>
      </w:r>
      <w:r w:rsidR="005B0072">
        <w:rPr>
          <w:rFonts w:eastAsia="Times New Roman"/>
          <w:sz w:val="20"/>
          <w:szCs w:val="20"/>
          <w:lang w:eastAsia="zh-CN"/>
        </w:rPr>
        <w:t>RS</w:t>
      </w:r>
      <w:r w:rsidR="006428FF" w:rsidRPr="006428FF">
        <w:rPr>
          <w:rFonts w:eastAsia="Times New Roman"/>
          <w:sz w:val="20"/>
          <w:szCs w:val="20"/>
          <w:lang w:eastAsia="zh-CN"/>
        </w:rPr>
        <w:t xml:space="preserve"> in </w:t>
      </w:r>
      <w:r w:rsidR="006428FF" w:rsidRPr="00C90298">
        <w:rPr>
          <w:rFonts w:eastAsia="Times New Roman"/>
          <w:sz w:val="20"/>
          <w:szCs w:val="20"/>
          <w:lang w:eastAsia="zh-CN"/>
        </w:rPr>
        <w:t xml:space="preserve">8 </w:t>
      </w:r>
      <w:proofErr w:type="spellStart"/>
      <w:r w:rsidR="006428FF" w:rsidRPr="00C90298">
        <w:rPr>
          <w:rFonts w:eastAsia="Times New Roman"/>
          <w:sz w:val="20"/>
          <w:szCs w:val="20"/>
          <w:lang w:eastAsia="zh-CN"/>
        </w:rPr>
        <w:t>nenapotenih</w:t>
      </w:r>
      <w:proofErr w:type="spellEnd"/>
      <w:r w:rsidR="006428FF" w:rsidRPr="00C90298">
        <w:rPr>
          <w:rFonts w:eastAsia="Times New Roman"/>
          <w:sz w:val="20"/>
          <w:szCs w:val="20"/>
          <w:lang w:eastAsia="zh-CN"/>
        </w:rPr>
        <w:t xml:space="preserve"> učiteljev/učiteljic.</w:t>
      </w:r>
      <w:r w:rsidR="006428FF" w:rsidRPr="00465C4E">
        <w:rPr>
          <w:rFonts w:eastAsia="Times New Roman"/>
          <w:sz w:val="20"/>
          <w:szCs w:val="20"/>
          <w:lang w:eastAsia="zh-CN"/>
        </w:rPr>
        <w:t xml:space="preserve"> Dopolnilni pouk slovenščine skupaj obiskuje približno 700 udeležencev (približno 20 v Črni Gori, 200 v </w:t>
      </w:r>
      <w:r>
        <w:rPr>
          <w:rFonts w:eastAsia="Times New Roman"/>
          <w:sz w:val="20"/>
          <w:szCs w:val="20"/>
          <w:lang w:eastAsia="zh-CN"/>
        </w:rPr>
        <w:t>BiH</w:t>
      </w:r>
      <w:r w:rsidR="006428FF" w:rsidRPr="00465C4E">
        <w:rPr>
          <w:rFonts w:eastAsia="Times New Roman"/>
          <w:sz w:val="20"/>
          <w:szCs w:val="20"/>
          <w:lang w:eastAsia="zh-CN"/>
        </w:rPr>
        <w:t xml:space="preserve">, 40 otrok in 30 odraslih v Makedoniji, </w:t>
      </w:r>
      <w:r w:rsidR="006428FF" w:rsidRPr="00C90298">
        <w:rPr>
          <w:rFonts w:eastAsia="Times New Roman"/>
          <w:sz w:val="20"/>
          <w:szCs w:val="20"/>
          <w:lang w:eastAsia="zh-CN"/>
        </w:rPr>
        <w:t>160 otrok</w:t>
      </w:r>
      <w:r w:rsidR="006428FF" w:rsidRPr="00465C4E">
        <w:rPr>
          <w:rFonts w:eastAsia="Times New Roman"/>
          <w:sz w:val="20"/>
          <w:szCs w:val="20"/>
          <w:lang w:eastAsia="zh-CN"/>
        </w:rPr>
        <w:t xml:space="preserve"> in 250 odraslih v Srbiji). </w:t>
      </w:r>
    </w:p>
    <w:p w14:paraId="3BE6F63F" w14:textId="77777777" w:rsidR="006428FF" w:rsidRPr="006428FF" w:rsidRDefault="006428FF" w:rsidP="006C0DAC">
      <w:pPr>
        <w:pBdr>
          <w:bottom w:val="single" w:sz="4" w:space="1" w:color="auto"/>
        </w:pBd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rPr>
          <w:rFonts w:eastAsia="Times New Roman"/>
          <w:sz w:val="20"/>
          <w:szCs w:val="20"/>
          <w:lang w:eastAsia="zh-CN"/>
        </w:rPr>
      </w:pPr>
    </w:p>
    <w:p w14:paraId="2681B205" w14:textId="77777777" w:rsidR="006428FF" w:rsidRPr="00465C4E" w:rsidRDefault="006428FF" w:rsidP="006C0DAC">
      <w:pPr>
        <w:pBdr>
          <w:bottom w:val="single" w:sz="4" w:space="1" w:color="auto"/>
        </w:pBd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rPr>
          <w:rFonts w:eastAsia="Times New Roman"/>
          <w:sz w:val="20"/>
          <w:szCs w:val="20"/>
          <w:lang w:eastAsia="zh-CN"/>
        </w:rPr>
      </w:pPr>
      <w:r w:rsidRPr="006C0DAC">
        <w:rPr>
          <w:rFonts w:eastAsia="Times New Roman"/>
          <w:sz w:val="20"/>
          <w:szCs w:val="20"/>
          <w:lang w:eastAsia="zh-CN"/>
        </w:rPr>
        <w:t>Za dopolnilni pouk slovenskega jezika in kulture na tem območju je MVI v letu 2025 namenil cca. 530.000 EUR.</w:t>
      </w:r>
      <w:r w:rsidRPr="00465C4E">
        <w:rPr>
          <w:rFonts w:eastAsia="Times New Roman"/>
          <w:sz w:val="20"/>
          <w:szCs w:val="20"/>
          <w:lang w:eastAsia="zh-CN"/>
        </w:rPr>
        <w:t xml:space="preserve"> Otroci in mladi slovenskega rodu iz držav Zahodnega Balkana se lahko udeležijo tradicionalne tedenske poletne šole v </w:t>
      </w:r>
      <w:r w:rsidR="00465C4E">
        <w:rPr>
          <w:rFonts w:eastAsia="Times New Roman"/>
          <w:sz w:val="20"/>
          <w:szCs w:val="20"/>
          <w:lang w:eastAsia="zh-CN"/>
        </w:rPr>
        <w:t>RS</w:t>
      </w:r>
      <w:r w:rsidR="00465C4E" w:rsidRPr="00465C4E">
        <w:rPr>
          <w:rFonts w:eastAsia="Times New Roman"/>
          <w:sz w:val="20"/>
          <w:szCs w:val="20"/>
          <w:lang w:eastAsia="zh-CN"/>
        </w:rPr>
        <w:t xml:space="preserve"> </w:t>
      </w:r>
      <w:r w:rsidRPr="00465C4E">
        <w:rPr>
          <w:rFonts w:eastAsia="Times New Roman"/>
          <w:sz w:val="20"/>
          <w:szCs w:val="20"/>
          <w:lang w:eastAsia="zh-CN"/>
        </w:rPr>
        <w:t xml:space="preserve">v organizaciji MVI, Izseljenske matice in Centra šolskih in obšolskih dejavnosti (CŠOD) ter šol slovenskega jezika, ki jih organizira Center za slovenščino kot drugi in tuji jezik FF UL, MVI in Urad za Slovence v zamejstvu in po svetu (USZS) pa jih sofinancirata. </w:t>
      </w:r>
      <w:r w:rsidRPr="006C0DAC">
        <w:rPr>
          <w:rFonts w:eastAsia="Times New Roman"/>
          <w:sz w:val="20"/>
          <w:szCs w:val="20"/>
          <w:lang w:eastAsia="zh-CN"/>
        </w:rPr>
        <w:t xml:space="preserve">V letu 2025 smo predvideli tudi ukrep financiranja dejavnosti ob pouku za otroke, ki obiskujejo dopolnilni pouk slovenskega jezika na Zahodnem Balkanu (omogočanje bivanja v domovih CŠOD v okviru strokovne ekskurzije v </w:t>
      </w:r>
      <w:r w:rsidR="00921758">
        <w:rPr>
          <w:rFonts w:eastAsia="Times New Roman"/>
          <w:sz w:val="20"/>
          <w:szCs w:val="20"/>
          <w:lang w:eastAsia="zh-CN"/>
        </w:rPr>
        <w:t>RS</w:t>
      </w:r>
      <w:r w:rsidRPr="006C0DAC">
        <w:rPr>
          <w:rFonts w:eastAsia="Times New Roman"/>
          <w:sz w:val="20"/>
          <w:szCs w:val="20"/>
          <w:lang w:eastAsia="zh-CN"/>
        </w:rPr>
        <w:t>), s čimer bomo v 2026 nadaljevali.</w:t>
      </w:r>
    </w:p>
    <w:p w14:paraId="58972934" w14:textId="77777777" w:rsidR="006428FF" w:rsidRPr="006428FF" w:rsidRDefault="006428FF" w:rsidP="006C0DAC">
      <w:pPr>
        <w:pBdr>
          <w:bottom w:val="single" w:sz="4" w:space="1" w:color="auto"/>
        </w:pBd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rPr>
          <w:rFonts w:eastAsia="Times New Roman"/>
          <w:sz w:val="20"/>
          <w:szCs w:val="20"/>
          <w:lang w:eastAsia="zh-CN"/>
        </w:rPr>
      </w:pPr>
    </w:p>
    <w:p w14:paraId="3A14A35B" w14:textId="77777777" w:rsidR="006428FF" w:rsidRPr="006428FF" w:rsidRDefault="006428FF" w:rsidP="006C0DAC">
      <w:pPr>
        <w:pBdr>
          <w:bottom w:val="single" w:sz="4" w:space="1" w:color="auto"/>
        </w:pBd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rPr>
          <w:rFonts w:eastAsia="Times New Roman"/>
          <w:b/>
          <w:bCs/>
          <w:sz w:val="20"/>
          <w:szCs w:val="20"/>
          <w:lang w:eastAsia="zh-CN"/>
        </w:rPr>
      </w:pPr>
      <w:r w:rsidRPr="006428FF">
        <w:rPr>
          <w:rFonts w:eastAsia="Times New Roman"/>
          <w:b/>
          <w:bCs/>
          <w:sz w:val="20"/>
          <w:szCs w:val="20"/>
          <w:lang w:eastAsia="zh-CN"/>
        </w:rPr>
        <w:t xml:space="preserve">Poučevanje maternih jezikov in kultur drugih narodnosti v </w:t>
      </w:r>
      <w:r w:rsidR="003B6859">
        <w:rPr>
          <w:rFonts w:eastAsia="Times New Roman"/>
          <w:b/>
          <w:bCs/>
          <w:sz w:val="20"/>
          <w:szCs w:val="20"/>
          <w:lang w:eastAsia="zh-CN"/>
        </w:rPr>
        <w:t>RS</w:t>
      </w:r>
      <w:r w:rsidRPr="006428FF">
        <w:rPr>
          <w:rFonts w:eastAsia="Times New Roman"/>
          <w:b/>
          <w:bCs/>
          <w:sz w:val="20"/>
          <w:szCs w:val="20"/>
          <w:lang w:eastAsia="zh-CN"/>
        </w:rPr>
        <w:t xml:space="preserve"> </w:t>
      </w:r>
    </w:p>
    <w:p w14:paraId="44CBB060" w14:textId="77777777" w:rsidR="006428FF" w:rsidRPr="006428FF" w:rsidRDefault="006428FF" w:rsidP="006C0DAC">
      <w:pPr>
        <w:widowControl w:val="0"/>
        <w:pBdr>
          <w:bottom w:val="single" w:sz="4" w:space="1" w:color="auto"/>
        </w:pBdr>
        <w:suppressAutoHyphens/>
        <w:spacing w:line="276" w:lineRule="auto"/>
        <w:rPr>
          <w:rFonts w:eastAsia="Times New Roman"/>
          <w:sz w:val="20"/>
          <w:szCs w:val="20"/>
          <w:lang w:eastAsia="zh-CN"/>
        </w:rPr>
      </w:pPr>
      <w:bookmarkStart w:id="50" w:name="_Hlk124328721"/>
    </w:p>
    <w:p w14:paraId="553A364E" w14:textId="77777777" w:rsidR="006428FF" w:rsidRPr="006428FF" w:rsidRDefault="006428FF" w:rsidP="006C0DAC">
      <w:pPr>
        <w:pBdr>
          <w:bottom w:val="single" w:sz="4" w:space="1" w:color="auto"/>
        </w:pBdr>
        <w:spacing w:line="276" w:lineRule="auto"/>
        <w:rPr>
          <w:rFonts w:eastAsia="Calibri"/>
          <w:sz w:val="20"/>
          <w:szCs w:val="20"/>
          <w:lang w:eastAsia="zh-CN"/>
        </w:rPr>
      </w:pPr>
      <w:r w:rsidRPr="006428FF">
        <w:rPr>
          <w:rFonts w:eastAsia="Calibri"/>
          <w:sz w:val="20"/>
          <w:szCs w:val="20"/>
          <w:lang w:eastAsia="zh-CN"/>
        </w:rPr>
        <w:t xml:space="preserve">MVI sofinancira dopolnilni pouk maternih jezikov </w:t>
      </w:r>
      <w:r w:rsidRPr="00465C4E">
        <w:rPr>
          <w:rFonts w:eastAsia="Calibri"/>
          <w:sz w:val="20"/>
          <w:szCs w:val="20"/>
          <w:lang w:eastAsia="zh-CN"/>
        </w:rPr>
        <w:t>in kultur za otroke drugih narodnosti v RS</w:t>
      </w:r>
      <w:r w:rsidRPr="00C90298">
        <w:rPr>
          <w:rFonts w:eastAsia="Calibri"/>
          <w:sz w:val="20"/>
          <w:szCs w:val="20"/>
          <w:lang w:eastAsia="zh-CN"/>
        </w:rPr>
        <w:t xml:space="preserve">. V šolskem letu 2024/25 je bil sofinanciran dopolnilni pouk </w:t>
      </w:r>
      <w:r w:rsidRPr="006C0DAC">
        <w:rPr>
          <w:rFonts w:eastAsia="Calibri"/>
          <w:sz w:val="20"/>
          <w:szCs w:val="20"/>
          <w:lang w:eastAsia="zh-CN"/>
        </w:rPr>
        <w:t>makedonščine, srbščine in bosanščine</w:t>
      </w:r>
      <w:r w:rsidRPr="00465C4E">
        <w:rPr>
          <w:rFonts w:eastAsia="Calibri"/>
          <w:sz w:val="20"/>
          <w:szCs w:val="20"/>
          <w:lang w:eastAsia="zh-CN"/>
        </w:rPr>
        <w:t>. Zaznati je precejšen upad števila učencev pri poučevanju bosanščine</w:t>
      </w:r>
      <w:r w:rsidRPr="006428FF">
        <w:rPr>
          <w:rFonts w:eastAsia="Calibri"/>
          <w:sz w:val="20"/>
          <w:szCs w:val="20"/>
          <w:lang w:eastAsia="zh-CN"/>
        </w:rPr>
        <w:t xml:space="preserve">. Eden izmed razlogov je gotovo ta, da so učitelji prostovoljci. </w:t>
      </w:r>
      <w:r w:rsidR="00AA57C1" w:rsidRPr="00AA57C1">
        <w:rPr>
          <w:rFonts w:eastAsia="Calibri"/>
          <w:sz w:val="20"/>
          <w:szCs w:val="20"/>
          <w:lang w:eastAsia="zh-CN"/>
        </w:rPr>
        <w:t xml:space="preserve">BiH </w:t>
      </w:r>
      <w:r w:rsidRPr="006428FF">
        <w:rPr>
          <w:rFonts w:eastAsia="Calibri"/>
          <w:sz w:val="20"/>
          <w:szCs w:val="20"/>
          <w:lang w:eastAsia="zh-CN"/>
        </w:rPr>
        <w:t>ne zagotavlja plačila svojim učiteljem, tako kot je to urejeno pri Severni Makedoniji in Srbiji. Dopolnilni pouk hrvaščine se je izvajal, sofinanciranje pa ni bilo zaprošeno.</w:t>
      </w:r>
    </w:p>
    <w:p w14:paraId="35422999" w14:textId="77777777" w:rsidR="006428FF" w:rsidRPr="006428FF" w:rsidRDefault="006428FF" w:rsidP="006C0DAC">
      <w:pPr>
        <w:pBdr>
          <w:bottom w:val="single" w:sz="4" w:space="1" w:color="auto"/>
        </w:pBdr>
        <w:spacing w:line="276" w:lineRule="auto"/>
        <w:rPr>
          <w:rFonts w:eastAsia="Calibri"/>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785"/>
        <w:gridCol w:w="3021"/>
      </w:tblGrid>
      <w:tr w:rsidR="006428FF" w:rsidRPr="006428FF" w14:paraId="0B913273" w14:textId="77777777" w:rsidTr="00726B60">
        <w:tc>
          <w:tcPr>
            <w:tcW w:w="3256" w:type="dxa"/>
            <w:shd w:val="clear" w:color="auto" w:fill="D0CECE"/>
          </w:tcPr>
          <w:p w14:paraId="4642B590" w14:textId="77777777" w:rsidR="006428FF" w:rsidRPr="006428FF" w:rsidRDefault="006428FF" w:rsidP="006C0DAC">
            <w:pPr>
              <w:pBdr>
                <w:bottom w:val="single" w:sz="4" w:space="1" w:color="auto"/>
              </w:pBdr>
              <w:spacing w:line="276" w:lineRule="auto"/>
              <w:rPr>
                <w:rFonts w:eastAsia="Calibri"/>
                <w:sz w:val="20"/>
                <w:szCs w:val="20"/>
                <w:lang w:eastAsia="zh-CN"/>
              </w:rPr>
            </w:pPr>
            <w:r w:rsidRPr="006428FF">
              <w:rPr>
                <w:rFonts w:eastAsia="Calibri"/>
                <w:sz w:val="20"/>
                <w:szCs w:val="20"/>
                <w:lang w:eastAsia="zh-CN"/>
              </w:rPr>
              <w:t>Dopolnili pouka maternega jezika</w:t>
            </w:r>
          </w:p>
        </w:tc>
        <w:tc>
          <w:tcPr>
            <w:tcW w:w="2785" w:type="dxa"/>
            <w:shd w:val="clear" w:color="auto" w:fill="D0CECE"/>
          </w:tcPr>
          <w:p w14:paraId="083C2D22" w14:textId="77777777" w:rsidR="006428FF" w:rsidRPr="006428FF" w:rsidRDefault="006428FF" w:rsidP="006C0DAC">
            <w:pPr>
              <w:pBdr>
                <w:bottom w:val="single" w:sz="4" w:space="1" w:color="auto"/>
              </w:pBdr>
              <w:spacing w:line="276" w:lineRule="auto"/>
              <w:rPr>
                <w:rFonts w:eastAsia="Calibri"/>
                <w:sz w:val="20"/>
                <w:szCs w:val="20"/>
                <w:lang w:eastAsia="zh-CN"/>
              </w:rPr>
            </w:pPr>
            <w:r w:rsidRPr="006428FF">
              <w:rPr>
                <w:rFonts w:eastAsia="Calibri"/>
                <w:sz w:val="20"/>
                <w:szCs w:val="20"/>
                <w:lang w:eastAsia="zh-CN"/>
              </w:rPr>
              <w:t>Število učencev</w:t>
            </w:r>
          </w:p>
        </w:tc>
        <w:tc>
          <w:tcPr>
            <w:tcW w:w="3021" w:type="dxa"/>
            <w:shd w:val="clear" w:color="auto" w:fill="D0CECE"/>
          </w:tcPr>
          <w:p w14:paraId="079C2056" w14:textId="77777777" w:rsidR="006428FF" w:rsidRPr="006428FF" w:rsidRDefault="006428FF" w:rsidP="006C0DAC">
            <w:pPr>
              <w:pBdr>
                <w:bottom w:val="single" w:sz="4" w:space="1" w:color="auto"/>
              </w:pBdr>
              <w:spacing w:line="276" w:lineRule="auto"/>
              <w:rPr>
                <w:rFonts w:eastAsia="Calibri"/>
                <w:sz w:val="20"/>
                <w:szCs w:val="20"/>
                <w:lang w:eastAsia="zh-CN"/>
              </w:rPr>
            </w:pPr>
            <w:r w:rsidRPr="006428FF">
              <w:rPr>
                <w:rFonts w:eastAsia="Calibri"/>
                <w:sz w:val="20"/>
                <w:szCs w:val="20"/>
                <w:lang w:eastAsia="zh-CN"/>
              </w:rPr>
              <w:t xml:space="preserve"> Strošek v EUR</w:t>
            </w:r>
          </w:p>
        </w:tc>
      </w:tr>
      <w:tr w:rsidR="006428FF" w:rsidRPr="006428FF" w14:paraId="78160EF5" w14:textId="77777777" w:rsidTr="00726B60">
        <w:tc>
          <w:tcPr>
            <w:tcW w:w="3256" w:type="dxa"/>
          </w:tcPr>
          <w:p w14:paraId="5C4929E3" w14:textId="77777777" w:rsidR="006428FF" w:rsidRPr="006428FF" w:rsidRDefault="006428FF" w:rsidP="006C0DAC">
            <w:pPr>
              <w:pBdr>
                <w:bottom w:val="single" w:sz="4" w:space="1" w:color="auto"/>
              </w:pBdr>
              <w:spacing w:line="276" w:lineRule="auto"/>
              <w:rPr>
                <w:rFonts w:eastAsia="Calibri"/>
                <w:sz w:val="20"/>
                <w:szCs w:val="20"/>
                <w:lang w:eastAsia="zh-CN"/>
              </w:rPr>
            </w:pPr>
            <w:r w:rsidRPr="006428FF">
              <w:rPr>
                <w:rFonts w:eastAsia="Calibri"/>
                <w:sz w:val="20"/>
                <w:szCs w:val="20"/>
                <w:lang w:eastAsia="zh-CN"/>
              </w:rPr>
              <w:t>makedonščina</w:t>
            </w:r>
          </w:p>
        </w:tc>
        <w:tc>
          <w:tcPr>
            <w:tcW w:w="2785" w:type="dxa"/>
            <w:vAlign w:val="bottom"/>
          </w:tcPr>
          <w:p w14:paraId="7DD8C792" w14:textId="77777777" w:rsidR="006428FF" w:rsidRPr="006428FF" w:rsidRDefault="006428FF" w:rsidP="006C0DAC">
            <w:pPr>
              <w:pBdr>
                <w:bottom w:val="single" w:sz="4" w:space="1" w:color="auto"/>
              </w:pBdr>
              <w:spacing w:line="276" w:lineRule="auto"/>
              <w:rPr>
                <w:rFonts w:eastAsia="Calibri"/>
                <w:sz w:val="20"/>
                <w:szCs w:val="20"/>
                <w:lang w:eastAsia="zh-CN"/>
              </w:rPr>
            </w:pPr>
            <w:r w:rsidRPr="006428FF">
              <w:rPr>
                <w:rFonts w:eastAsia="Calibri"/>
                <w:sz w:val="20"/>
                <w:szCs w:val="20"/>
              </w:rPr>
              <w:t>45</w:t>
            </w:r>
          </w:p>
        </w:tc>
        <w:tc>
          <w:tcPr>
            <w:tcW w:w="3021" w:type="dxa"/>
            <w:vAlign w:val="bottom"/>
          </w:tcPr>
          <w:p w14:paraId="006D31A4" w14:textId="77777777" w:rsidR="006428FF" w:rsidRPr="006428FF" w:rsidRDefault="006428FF" w:rsidP="006C0DAC">
            <w:pPr>
              <w:pBdr>
                <w:bottom w:val="single" w:sz="4" w:space="1" w:color="auto"/>
              </w:pBdr>
              <w:spacing w:line="276" w:lineRule="auto"/>
              <w:rPr>
                <w:rFonts w:eastAsia="Calibri"/>
                <w:sz w:val="20"/>
                <w:szCs w:val="20"/>
                <w:lang w:eastAsia="zh-CN"/>
              </w:rPr>
            </w:pPr>
            <w:r w:rsidRPr="006428FF">
              <w:rPr>
                <w:rFonts w:eastAsia="Calibri"/>
                <w:sz w:val="20"/>
                <w:szCs w:val="20"/>
              </w:rPr>
              <w:t>2.025,00</w:t>
            </w:r>
          </w:p>
        </w:tc>
      </w:tr>
      <w:tr w:rsidR="006428FF" w:rsidRPr="006428FF" w14:paraId="78CED9A9" w14:textId="77777777" w:rsidTr="00726B60">
        <w:tc>
          <w:tcPr>
            <w:tcW w:w="3256" w:type="dxa"/>
          </w:tcPr>
          <w:p w14:paraId="0148B78F" w14:textId="77777777" w:rsidR="006428FF" w:rsidRPr="006428FF" w:rsidRDefault="006428FF" w:rsidP="006C0DAC">
            <w:pPr>
              <w:pBdr>
                <w:bottom w:val="single" w:sz="4" w:space="1" w:color="auto"/>
              </w:pBdr>
              <w:spacing w:line="276" w:lineRule="auto"/>
              <w:rPr>
                <w:rFonts w:eastAsia="Calibri"/>
                <w:sz w:val="20"/>
                <w:szCs w:val="20"/>
                <w:lang w:eastAsia="zh-CN"/>
              </w:rPr>
            </w:pPr>
            <w:r w:rsidRPr="006428FF">
              <w:rPr>
                <w:rFonts w:eastAsia="Calibri"/>
                <w:sz w:val="20"/>
                <w:szCs w:val="20"/>
                <w:lang w:eastAsia="zh-CN"/>
              </w:rPr>
              <w:t>srbščina</w:t>
            </w:r>
          </w:p>
        </w:tc>
        <w:tc>
          <w:tcPr>
            <w:tcW w:w="2785" w:type="dxa"/>
            <w:vAlign w:val="bottom"/>
          </w:tcPr>
          <w:p w14:paraId="5DB68CD7" w14:textId="77777777" w:rsidR="006428FF" w:rsidRPr="006428FF" w:rsidRDefault="006428FF" w:rsidP="006C0DAC">
            <w:pPr>
              <w:pBdr>
                <w:bottom w:val="single" w:sz="4" w:space="1" w:color="auto"/>
              </w:pBdr>
              <w:spacing w:line="276" w:lineRule="auto"/>
              <w:rPr>
                <w:rFonts w:eastAsia="Calibri"/>
                <w:sz w:val="20"/>
                <w:szCs w:val="20"/>
                <w:lang w:eastAsia="zh-CN"/>
              </w:rPr>
            </w:pPr>
            <w:r w:rsidRPr="006428FF">
              <w:rPr>
                <w:rFonts w:eastAsia="Calibri"/>
                <w:sz w:val="20"/>
                <w:szCs w:val="20"/>
              </w:rPr>
              <w:t>418</w:t>
            </w:r>
          </w:p>
        </w:tc>
        <w:tc>
          <w:tcPr>
            <w:tcW w:w="3021" w:type="dxa"/>
            <w:vAlign w:val="bottom"/>
          </w:tcPr>
          <w:p w14:paraId="3F45EE2C" w14:textId="77777777" w:rsidR="006428FF" w:rsidRPr="006428FF" w:rsidRDefault="006428FF" w:rsidP="006C0DAC">
            <w:pPr>
              <w:pBdr>
                <w:bottom w:val="single" w:sz="4" w:space="1" w:color="auto"/>
              </w:pBdr>
              <w:spacing w:line="276" w:lineRule="auto"/>
              <w:rPr>
                <w:rFonts w:eastAsia="Calibri"/>
                <w:sz w:val="20"/>
                <w:szCs w:val="20"/>
                <w:lang w:eastAsia="zh-CN"/>
              </w:rPr>
            </w:pPr>
            <w:r w:rsidRPr="006428FF">
              <w:rPr>
                <w:rFonts w:eastAsia="Calibri"/>
                <w:sz w:val="20"/>
                <w:szCs w:val="20"/>
              </w:rPr>
              <w:t>18.810,00</w:t>
            </w:r>
          </w:p>
        </w:tc>
      </w:tr>
      <w:tr w:rsidR="006428FF" w:rsidRPr="006428FF" w14:paraId="35ECE01C" w14:textId="77777777" w:rsidTr="00726B60">
        <w:tc>
          <w:tcPr>
            <w:tcW w:w="3256" w:type="dxa"/>
          </w:tcPr>
          <w:p w14:paraId="328113C5" w14:textId="77777777" w:rsidR="006428FF" w:rsidRPr="006428FF" w:rsidRDefault="006428FF" w:rsidP="006C0DAC">
            <w:pPr>
              <w:pBdr>
                <w:bottom w:val="single" w:sz="4" w:space="1" w:color="auto"/>
              </w:pBdr>
              <w:spacing w:line="276" w:lineRule="auto"/>
              <w:rPr>
                <w:rFonts w:eastAsia="Calibri"/>
                <w:sz w:val="20"/>
                <w:szCs w:val="20"/>
                <w:lang w:eastAsia="zh-CN"/>
              </w:rPr>
            </w:pPr>
            <w:r w:rsidRPr="006428FF">
              <w:rPr>
                <w:rFonts w:eastAsia="Calibri"/>
                <w:sz w:val="20"/>
                <w:szCs w:val="20"/>
                <w:lang w:eastAsia="zh-CN"/>
              </w:rPr>
              <w:t>bosanščina</w:t>
            </w:r>
          </w:p>
        </w:tc>
        <w:tc>
          <w:tcPr>
            <w:tcW w:w="2785" w:type="dxa"/>
            <w:vAlign w:val="bottom"/>
          </w:tcPr>
          <w:p w14:paraId="1CE02B49" w14:textId="77777777" w:rsidR="006428FF" w:rsidRPr="006428FF" w:rsidRDefault="006428FF" w:rsidP="006C0DAC">
            <w:pPr>
              <w:pBdr>
                <w:bottom w:val="single" w:sz="4" w:space="1" w:color="auto"/>
              </w:pBdr>
              <w:spacing w:line="276" w:lineRule="auto"/>
              <w:rPr>
                <w:rFonts w:eastAsia="Calibri"/>
                <w:sz w:val="20"/>
                <w:szCs w:val="20"/>
                <w:lang w:eastAsia="zh-CN"/>
              </w:rPr>
            </w:pPr>
            <w:r w:rsidRPr="006428FF">
              <w:rPr>
                <w:rFonts w:eastAsia="Calibri"/>
                <w:sz w:val="20"/>
                <w:szCs w:val="20"/>
              </w:rPr>
              <w:t>26</w:t>
            </w:r>
          </w:p>
        </w:tc>
        <w:tc>
          <w:tcPr>
            <w:tcW w:w="3021" w:type="dxa"/>
            <w:vAlign w:val="bottom"/>
          </w:tcPr>
          <w:p w14:paraId="5EE94444" w14:textId="77777777" w:rsidR="006428FF" w:rsidRPr="006428FF" w:rsidRDefault="006428FF" w:rsidP="006C0DAC">
            <w:pPr>
              <w:pBdr>
                <w:bottom w:val="single" w:sz="4" w:space="1" w:color="auto"/>
              </w:pBdr>
              <w:spacing w:line="276" w:lineRule="auto"/>
              <w:rPr>
                <w:rFonts w:eastAsia="Calibri"/>
                <w:sz w:val="20"/>
                <w:szCs w:val="20"/>
                <w:lang w:eastAsia="zh-CN"/>
              </w:rPr>
            </w:pPr>
            <w:r w:rsidRPr="006428FF">
              <w:rPr>
                <w:rFonts w:eastAsia="Calibri"/>
                <w:sz w:val="20"/>
                <w:szCs w:val="20"/>
              </w:rPr>
              <w:t>1.170,00</w:t>
            </w:r>
          </w:p>
        </w:tc>
      </w:tr>
    </w:tbl>
    <w:p w14:paraId="5B5E723B" w14:textId="77777777" w:rsidR="006428FF" w:rsidRPr="006428FF" w:rsidRDefault="006428FF" w:rsidP="006C0DAC">
      <w:pPr>
        <w:pBdr>
          <w:bottom w:val="single" w:sz="4" w:space="1" w:color="auto"/>
        </w:pBdr>
        <w:spacing w:line="276" w:lineRule="auto"/>
        <w:rPr>
          <w:rFonts w:eastAsia="Calibri"/>
          <w:sz w:val="20"/>
          <w:szCs w:val="20"/>
          <w:lang w:eastAsia="zh-CN"/>
        </w:rPr>
      </w:pPr>
    </w:p>
    <w:p w14:paraId="51511607" w14:textId="77777777" w:rsidR="006428FF" w:rsidRPr="006428FF" w:rsidRDefault="006428FF" w:rsidP="006C0DAC">
      <w:pPr>
        <w:pBdr>
          <w:bottom w:val="single" w:sz="4" w:space="1" w:color="auto"/>
        </w:pBdr>
        <w:spacing w:line="276" w:lineRule="auto"/>
        <w:rPr>
          <w:rFonts w:eastAsia="Calibri"/>
          <w:color w:val="000000"/>
          <w:sz w:val="20"/>
          <w:szCs w:val="20"/>
          <w:shd w:val="clear" w:color="auto" w:fill="FFFFFF"/>
        </w:rPr>
      </w:pPr>
      <w:r w:rsidRPr="006428FF">
        <w:rPr>
          <w:rFonts w:eastAsia="Calibri"/>
          <w:sz w:val="20"/>
          <w:szCs w:val="20"/>
          <w:lang w:eastAsia="zh-CN"/>
        </w:rPr>
        <w:t xml:space="preserve">Inštitut za narodnostna vprašanja je maja 2025 izpeljal strokovno srečanje učiteljev dopolnilnega pouka. Tema srečanja je bila </w:t>
      </w:r>
      <w:r w:rsidRPr="006428FF">
        <w:rPr>
          <w:rFonts w:eastAsia="Calibri"/>
          <w:color w:val="000000"/>
          <w:sz w:val="20"/>
          <w:szCs w:val="20"/>
        </w:rPr>
        <w:t>Igra pri jezikovnem pouku</w:t>
      </w:r>
      <w:r w:rsidRPr="006428FF">
        <w:rPr>
          <w:rFonts w:eastAsia="Calibri"/>
          <w:sz w:val="20"/>
          <w:szCs w:val="20"/>
          <w:lang w:eastAsia="zh-CN"/>
        </w:rPr>
        <w:t>.</w:t>
      </w:r>
      <w:r w:rsidRPr="006428FF">
        <w:rPr>
          <w:rFonts w:eastAsia="Calibri"/>
          <w:i/>
          <w:iCs/>
          <w:sz w:val="20"/>
          <w:szCs w:val="20"/>
          <w:lang w:eastAsia="zh-CN"/>
        </w:rPr>
        <w:t xml:space="preserve"> </w:t>
      </w:r>
    </w:p>
    <w:p w14:paraId="2EC6E728" w14:textId="77777777" w:rsidR="006428FF" w:rsidRPr="006428FF" w:rsidRDefault="006428FF" w:rsidP="006C0DAC">
      <w:pPr>
        <w:widowControl w:val="0"/>
        <w:pBdr>
          <w:bottom w:val="single" w:sz="4" w:space="1" w:color="auto"/>
        </w:pBdr>
        <w:suppressAutoHyphens/>
        <w:spacing w:line="276" w:lineRule="auto"/>
        <w:rPr>
          <w:rFonts w:eastAsia="Times New Roman"/>
          <w:sz w:val="20"/>
          <w:szCs w:val="20"/>
          <w:lang w:eastAsia="zh-CN"/>
        </w:rPr>
      </w:pPr>
    </w:p>
    <w:bookmarkEnd w:id="50"/>
    <w:p w14:paraId="1F9EB07E" w14:textId="77777777" w:rsidR="00864E70"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 xml:space="preserve">MVI med drugim financira tudi tečaj slovenščine dijakom tujcem prvo leto srednješolskega izobraževanja v </w:t>
      </w:r>
      <w:r w:rsidR="00465C4E">
        <w:rPr>
          <w:rFonts w:eastAsia="Times New Roman"/>
          <w:sz w:val="20"/>
          <w:szCs w:val="20"/>
          <w:lang w:eastAsia="zh-CN"/>
        </w:rPr>
        <w:t>RS</w:t>
      </w:r>
      <w:r w:rsidRPr="006428FF">
        <w:rPr>
          <w:rFonts w:eastAsia="Times New Roman"/>
          <w:sz w:val="20"/>
          <w:szCs w:val="20"/>
          <w:lang w:eastAsia="zh-CN"/>
        </w:rPr>
        <w:t xml:space="preserve">. </w:t>
      </w:r>
      <w:r w:rsidR="00864E70" w:rsidRPr="00864E70">
        <w:rPr>
          <w:rFonts w:eastAsia="Times New Roman"/>
          <w:sz w:val="20"/>
          <w:szCs w:val="20"/>
          <w:lang w:eastAsia="zh-CN"/>
        </w:rPr>
        <w:t>V letu 2023/24 je bilo izvedenih 12.745 ur intenzivnega tečaja in dodatnih ur, vrednost ure je bila 16,58 €, izplačanih pa 220.929 €. V 2024/25 je bilo izvedenih 12.605 ur po 17,14 € za tečaj v prvem ocenjevalnem obdobju in 17,81 € za dodatne ure v drugem ocenjevalnem obdobju; izplačanih je bilo 223.283 €</w:t>
      </w:r>
    </w:p>
    <w:p w14:paraId="25E585C7" w14:textId="77777777" w:rsidR="006428FF" w:rsidRPr="006428FF" w:rsidRDefault="006428FF" w:rsidP="006C0DAC">
      <w:pPr>
        <w:pBdr>
          <w:bottom w:val="single" w:sz="4" w:space="1" w:color="auto"/>
        </w:pBdr>
        <w:spacing w:line="276" w:lineRule="auto"/>
        <w:rPr>
          <w:rFonts w:eastAsia="Times New Roman"/>
          <w:sz w:val="20"/>
          <w:szCs w:val="20"/>
        </w:rPr>
      </w:pPr>
    </w:p>
    <w:p w14:paraId="7149D904" w14:textId="77777777" w:rsidR="006428FF" w:rsidRPr="006428FF" w:rsidRDefault="006428FF" w:rsidP="006C0DAC">
      <w:pPr>
        <w:pBdr>
          <w:bottom w:val="single" w:sz="4" w:space="1" w:color="auto"/>
        </w:pBdr>
        <w:spacing w:line="276" w:lineRule="auto"/>
        <w:rPr>
          <w:rFonts w:eastAsia="Times New Roman"/>
          <w:b/>
          <w:bCs/>
          <w:sz w:val="20"/>
          <w:szCs w:val="20"/>
        </w:rPr>
      </w:pPr>
      <w:r w:rsidRPr="006428FF">
        <w:rPr>
          <w:rFonts w:eastAsia="Times New Roman"/>
          <w:b/>
          <w:bCs/>
          <w:sz w:val="20"/>
          <w:szCs w:val="20"/>
        </w:rPr>
        <w:t>Višje šolstvo</w:t>
      </w:r>
    </w:p>
    <w:p w14:paraId="3917515C" w14:textId="77777777" w:rsidR="006428FF" w:rsidRPr="006428FF" w:rsidRDefault="006428FF" w:rsidP="006C0DAC">
      <w:pPr>
        <w:pBdr>
          <w:bottom w:val="single" w:sz="4" w:space="1" w:color="auto"/>
        </w:pBdr>
        <w:spacing w:line="276" w:lineRule="auto"/>
        <w:rPr>
          <w:rFonts w:eastAsia="Times New Roman"/>
          <w:sz w:val="20"/>
          <w:szCs w:val="20"/>
        </w:rPr>
      </w:pPr>
    </w:p>
    <w:p w14:paraId="4E990745" w14:textId="77777777" w:rsidR="006428FF" w:rsidRPr="006428FF" w:rsidRDefault="006428FF" w:rsidP="006C0DAC">
      <w:pPr>
        <w:pBdr>
          <w:bottom w:val="single" w:sz="4" w:space="1" w:color="auto"/>
        </w:pBdr>
        <w:spacing w:line="276" w:lineRule="auto"/>
        <w:rPr>
          <w:rFonts w:eastAsia="Times New Roman"/>
          <w:sz w:val="20"/>
          <w:szCs w:val="20"/>
        </w:rPr>
      </w:pPr>
      <w:r w:rsidRPr="006428FF">
        <w:rPr>
          <w:rFonts w:eastAsia="Times New Roman"/>
          <w:sz w:val="20"/>
          <w:szCs w:val="20"/>
        </w:rPr>
        <w:t>Na področju višjega šolstva prednjači predvsem sodelovanje na ravni zavodov na lastno pobudo v skladu s spodbujanjem takega sodelovanja v bilateralnih sporazumih. Med njimi velja izpostaviti dva primera:</w:t>
      </w:r>
    </w:p>
    <w:p w14:paraId="5FB8BB87" w14:textId="77777777" w:rsidR="006428FF" w:rsidRPr="006428FF" w:rsidRDefault="006428FF" w:rsidP="006C0DAC">
      <w:pPr>
        <w:numPr>
          <w:ilvl w:val="0"/>
          <w:numId w:val="43"/>
        </w:numPr>
        <w:pBdr>
          <w:bottom w:val="single" w:sz="4" w:space="1" w:color="auto"/>
        </w:pBdr>
        <w:spacing w:line="276" w:lineRule="auto"/>
        <w:contextualSpacing/>
        <w:rPr>
          <w:sz w:val="20"/>
          <w:szCs w:val="20"/>
        </w:rPr>
      </w:pPr>
      <w:r w:rsidRPr="006428FF">
        <w:rPr>
          <w:b/>
          <w:bCs/>
          <w:sz w:val="20"/>
          <w:szCs w:val="20"/>
        </w:rPr>
        <w:t>Višja strokovna šola Academia</w:t>
      </w:r>
      <w:r w:rsidRPr="006428FF">
        <w:rPr>
          <w:sz w:val="20"/>
          <w:szCs w:val="20"/>
        </w:rPr>
        <w:t xml:space="preserve"> je sodelovala v projektih DUALMON: Krepitev zmogljivosti za uvedbo in izvajanje dualnega izobraževanja v črnogorskem visokem šolstvu ter PARTISH: Razvoj delnega in višješolskega strokovnega študija v visokem šolstvu v </w:t>
      </w:r>
      <w:r w:rsidR="00535CD4">
        <w:rPr>
          <w:sz w:val="20"/>
          <w:szCs w:val="20"/>
        </w:rPr>
        <w:t>BiH</w:t>
      </w:r>
      <w:r w:rsidRPr="006428FF">
        <w:rPr>
          <w:sz w:val="20"/>
          <w:szCs w:val="20"/>
        </w:rPr>
        <w:t xml:space="preserve">. Poleg tega je bila aktivna na področju mobilnosti študentov in osebja v Črni Gori, Severni Makedoniji, Srbiji ter </w:t>
      </w:r>
      <w:r w:rsidR="00465C4E">
        <w:rPr>
          <w:sz w:val="20"/>
          <w:szCs w:val="20"/>
        </w:rPr>
        <w:t>BiH</w:t>
      </w:r>
      <w:r w:rsidRPr="006428FF">
        <w:rPr>
          <w:sz w:val="20"/>
          <w:szCs w:val="20"/>
        </w:rPr>
        <w:t>.</w:t>
      </w:r>
    </w:p>
    <w:p w14:paraId="4CFF2599" w14:textId="77777777" w:rsidR="006428FF" w:rsidRPr="006428FF" w:rsidRDefault="006428FF" w:rsidP="006C0DAC">
      <w:pPr>
        <w:numPr>
          <w:ilvl w:val="0"/>
          <w:numId w:val="43"/>
        </w:numPr>
        <w:pBdr>
          <w:bottom w:val="single" w:sz="4" w:space="1" w:color="auto"/>
        </w:pBdr>
        <w:spacing w:line="276" w:lineRule="auto"/>
        <w:contextualSpacing/>
        <w:rPr>
          <w:sz w:val="20"/>
          <w:szCs w:val="20"/>
        </w:rPr>
      </w:pPr>
      <w:r w:rsidRPr="006428FF">
        <w:rPr>
          <w:b/>
          <w:bCs/>
          <w:sz w:val="20"/>
          <w:szCs w:val="20"/>
        </w:rPr>
        <w:t>Skupnost višjih strokovnih šol RS</w:t>
      </w:r>
      <w:r w:rsidRPr="006428FF">
        <w:rPr>
          <w:sz w:val="20"/>
          <w:szCs w:val="20"/>
        </w:rPr>
        <w:t xml:space="preserve"> je bila zunanji evalvator v dveh evropskih projektih, namenjenih izboljšanju inovativnosti, modernizacije in internacionalizacije šol poklicnega izobraževanja in usposabljanja na Zahodnem Balkanu in v Albaniji. </w:t>
      </w:r>
    </w:p>
    <w:p w14:paraId="73524C93" w14:textId="77777777" w:rsidR="006428FF" w:rsidRPr="006428FF" w:rsidRDefault="006428FF" w:rsidP="006C0DAC">
      <w:pPr>
        <w:pBdr>
          <w:bottom w:val="single" w:sz="4" w:space="1" w:color="auto"/>
        </w:pBdr>
        <w:spacing w:line="276" w:lineRule="auto"/>
        <w:rPr>
          <w:rFonts w:eastAsia="Times New Roman"/>
          <w:sz w:val="20"/>
          <w:szCs w:val="20"/>
        </w:rPr>
      </w:pPr>
    </w:p>
    <w:p w14:paraId="3750961E" w14:textId="77777777" w:rsidR="006428FF" w:rsidRPr="006428FF" w:rsidRDefault="006428FF" w:rsidP="006C0DAC">
      <w:pPr>
        <w:pBdr>
          <w:bottom w:val="single" w:sz="4" w:space="1" w:color="auto"/>
        </w:pBdr>
        <w:spacing w:line="276" w:lineRule="auto"/>
        <w:rPr>
          <w:rFonts w:eastAsia="Times New Roman"/>
          <w:b/>
          <w:bCs/>
          <w:sz w:val="20"/>
          <w:szCs w:val="20"/>
        </w:rPr>
      </w:pPr>
      <w:r w:rsidRPr="006428FF">
        <w:rPr>
          <w:rFonts w:eastAsia="Times New Roman"/>
          <w:b/>
          <w:bCs/>
          <w:sz w:val="20"/>
          <w:szCs w:val="20"/>
        </w:rPr>
        <w:t>Mladina</w:t>
      </w:r>
    </w:p>
    <w:p w14:paraId="299BDA56" w14:textId="77777777" w:rsidR="006428FF" w:rsidRPr="006428FF" w:rsidRDefault="006428FF" w:rsidP="006C0DAC">
      <w:pPr>
        <w:pBdr>
          <w:bottom w:val="single" w:sz="4" w:space="1" w:color="auto"/>
        </w:pBdr>
        <w:spacing w:line="276" w:lineRule="auto"/>
        <w:rPr>
          <w:rFonts w:eastAsia="Times New Roman"/>
          <w:sz w:val="20"/>
          <w:szCs w:val="20"/>
        </w:rPr>
      </w:pPr>
    </w:p>
    <w:p w14:paraId="5B13DC1F" w14:textId="77777777" w:rsidR="006428FF" w:rsidRPr="006428FF" w:rsidRDefault="006428FF" w:rsidP="006C0DAC">
      <w:pPr>
        <w:pBdr>
          <w:bottom w:val="single" w:sz="4" w:space="1" w:color="auto"/>
        </w:pBdr>
        <w:spacing w:line="276" w:lineRule="auto"/>
        <w:rPr>
          <w:rFonts w:eastAsia="Times New Roman"/>
          <w:sz w:val="20"/>
          <w:szCs w:val="20"/>
        </w:rPr>
      </w:pPr>
      <w:bookmarkStart w:id="51" w:name="_Hlk155703412"/>
      <w:r w:rsidRPr="006428FF">
        <w:rPr>
          <w:rFonts w:eastAsia="Times New Roman"/>
          <w:sz w:val="20"/>
          <w:szCs w:val="20"/>
        </w:rPr>
        <w:t xml:space="preserve">V </w:t>
      </w:r>
      <w:r w:rsidR="003B6859">
        <w:rPr>
          <w:rFonts w:eastAsia="Times New Roman"/>
          <w:sz w:val="20"/>
          <w:szCs w:val="20"/>
        </w:rPr>
        <w:t>RS</w:t>
      </w:r>
      <w:r w:rsidRPr="006428FF">
        <w:rPr>
          <w:rFonts w:eastAsia="Times New Roman"/>
          <w:sz w:val="20"/>
          <w:szCs w:val="20"/>
        </w:rPr>
        <w:t xml:space="preserve"> deluje </w:t>
      </w:r>
      <w:r w:rsidRPr="006428FF">
        <w:rPr>
          <w:rFonts w:eastAsia="Times New Roman"/>
          <w:b/>
          <w:sz w:val="20"/>
          <w:szCs w:val="20"/>
        </w:rPr>
        <w:t>Podporni center SALTO-YOUTH za Jugovzhodno Evropo</w:t>
      </w:r>
      <w:r w:rsidRPr="006428FF">
        <w:rPr>
          <w:rFonts w:eastAsia="Times New Roman"/>
          <w:sz w:val="20"/>
          <w:szCs w:val="20"/>
        </w:rPr>
        <w:t>, ki izvaja svoje aktivnosti pod okriljem nacionalne agencije Movit, Zavod za razvoj mobilnosti mladih, in ga podpirata URSM in MVI.</w:t>
      </w:r>
    </w:p>
    <w:p w14:paraId="23F08B06" w14:textId="77777777" w:rsidR="006428FF" w:rsidRPr="006428FF" w:rsidRDefault="006428FF" w:rsidP="006C0DAC">
      <w:pPr>
        <w:pBdr>
          <w:bottom w:val="single" w:sz="4" w:space="1" w:color="auto"/>
        </w:pBdr>
        <w:spacing w:line="276" w:lineRule="auto"/>
        <w:rPr>
          <w:rFonts w:eastAsia="Times New Roman"/>
          <w:sz w:val="20"/>
          <w:szCs w:val="20"/>
        </w:rPr>
      </w:pPr>
    </w:p>
    <w:p w14:paraId="5E121F06" w14:textId="77777777" w:rsidR="006428FF" w:rsidRPr="006428FF" w:rsidRDefault="006428FF" w:rsidP="006C0DAC">
      <w:pPr>
        <w:pBdr>
          <w:bottom w:val="single" w:sz="4" w:space="1" w:color="auto"/>
        </w:pBdr>
        <w:spacing w:line="276" w:lineRule="auto"/>
        <w:rPr>
          <w:rFonts w:eastAsia="Times New Roman"/>
          <w:sz w:val="20"/>
          <w:szCs w:val="20"/>
        </w:rPr>
      </w:pPr>
      <w:r w:rsidRPr="006428FF">
        <w:rPr>
          <w:rFonts w:eastAsia="Times New Roman"/>
          <w:sz w:val="20"/>
          <w:szCs w:val="20"/>
        </w:rPr>
        <w:t>Namen</w:t>
      </w:r>
      <w:r w:rsidRPr="006428FF">
        <w:rPr>
          <w:rFonts w:eastAsia="Times New Roman"/>
          <w:b/>
          <w:bCs/>
          <w:sz w:val="20"/>
          <w:szCs w:val="20"/>
        </w:rPr>
        <w:t xml:space="preserve"> </w:t>
      </w:r>
      <w:r w:rsidRPr="006428FF">
        <w:rPr>
          <w:rFonts w:eastAsia="Times New Roman"/>
          <w:sz w:val="20"/>
          <w:szCs w:val="20"/>
        </w:rPr>
        <w:t xml:space="preserve">podpornega centra SALTO-YOUTH SEE je spodbujanje sodelovanja akterjev iz držav JV Evrope in krepitev možnosti za njihovo enakopravnejše vključevanje v programe. SALTO-YOUTH SEE RC spodbuja in podpira sodelovanje na področju mladine v okviru programa Erasmus+ Mladina in Evropske solidarnostne enote med programskimi državami in partnerskimi državami na Zahodnem Balkanu. Center spodbuja izrabo potenciala mednarodnega sodelovanja in evropskega razvoja na področju mladinskega dela tudi za krepitev nadaljnjega razvoja mladinskega dela v regiji Zahodnega Balkana. Program aktivnosti centra se izvaja s podporo “kontaktnih točk”, ki se nahajajo v regiji Zahodnega Balkana. </w:t>
      </w:r>
    </w:p>
    <w:p w14:paraId="783D0BB5" w14:textId="77777777" w:rsidR="006428FF" w:rsidRPr="006428FF" w:rsidRDefault="006428FF" w:rsidP="006C0DAC">
      <w:pPr>
        <w:pBdr>
          <w:bottom w:val="single" w:sz="4" w:space="1" w:color="auto"/>
        </w:pBdr>
        <w:spacing w:line="276" w:lineRule="auto"/>
        <w:rPr>
          <w:rFonts w:eastAsia="Times New Roman"/>
          <w:sz w:val="20"/>
          <w:szCs w:val="20"/>
        </w:rPr>
      </w:pPr>
    </w:p>
    <w:p w14:paraId="58F7197C" w14:textId="77777777" w:rsidR="006428FF" w:rsidRPr="006428FF" w:rsidRDefault="006428FF" w:rsidP="006C0DAC">
      <w:pPr>
        <w:pBdr>
          <w:bottom w:val="single" w:sz="4" w:space="1" w:color="auto"/>
        </w:pBdr>
        <w:spacing w:line="276" w:lineRule="auto"/>
        <w:rPr>
          <w:rFonts w:eastAsia="Times New Roman"/>
          <w:sz w:val="20"/>
          <w:szCs w:val="20"/>
        </w:rPr>
      </w:pPr>
      <w:r w:rsidRPr="006428FF">
        <w:rPr>
          <w:rFonts w:eastAsia="Times New Roman"/>
          <w:sz w:val="20"/>
          <w:szCs w:val="20"/>
        </w:rPr>
        <w:t>V letu 2025 je SALTO SEE, katerega dejavnosti prav tako podpira URSM, z udeleženci iz držav Zahodnega Balkana organiziral več različnih dejavnosti, ki podpirajo evropsko sodelovanje, mladinsko delo in prostovoljstvo v regiji Zahodnega Balkana.</w:t>
      </w:r>
    </w:p>
    <w:p w14:paraId="1A999845" w14:textId="77777777" w:rsidR="006428FF" w:rsidRPr="006428FF" w:rsidRDefault="006428FF" w:rsidP="006C0DAC">
      <w:pPr>
        <w:pBdr>
          <w:bottom w:val="single" w:sz="4" w:space="1" w:color="auto"/>
        </w:pBdr>
        <w:spacing w:line="276" w:lineRule="auto"/>
        <w:rPr>
          <w:rFonts w:eastAsia="Times New Roman"/>
          <w:sz w:val="20"/>
          <w:szCs w:val="20"/>
        </w:rPr>
      </w:pPr>
    </w:p>
    <w:p w14:paraId="117349F7" w14:textId="77777777" w:rsidR="006428FF" w:rsidRPr="006428FF" w:rsidRDefault="006428FF" w:rsidP="006C0DAC">
      <w:pPr>
        <w:pBdr>
          <w:bottom w:val="single" w:sz="4" w:space="1" w:color="auto"/>
        </w:pBdr>
        <w:spacing w:line="276" w:lineRule="auto"/>
        <w:rPr>
          <w:rFonts w:eastAsia="Times New Roman"/>
          <w:sz w:val="20"/>
          <w:szCs w:val="20"/>
        </w:rPr>
      </w:pPr>
      <w:r w:rsidRPr="006428FF">
        <w:rPr>
          <w:rFonts w:eastAsia="Times New Roman"/>
          <w:sz w:val="20"/>
          <w:szCs w:val="20"/>
        </w:rPr>
        <w:t xml:space="preserve">SALTO SEE je zadolžen tudi za </w:t>
      </w:r>
      <w:r w:rsidRPr="006C0DAC">
        <w:rPr>
          <w:rFonts w:eastAsia="Times New Roman"/>
          <w:sz w:val="20"/>
          <w:szCs w:val="20"/>
        </w:rPr>
        <w:t>podeljevanje znaka kakovosti Evropske solidarnostne enote</w:t>
      </w:r>
      <w:r w:rsidRPr="00531EA8">
        <w:rPr>
          <w:rFonts w:eastAsia="Times New Roman"/>
          <w:sz w:val="20"/>
          <w:szCs w:val="20"/>
        </w:rPr>
        <w:t xml:space="preserve"> (ESE) organizacijam v partnerskih državah Zahodnega Balkana. SALTO SEE bo v letu 2026 tak</w:t>
      </w:r>
      <w:r w:rsidRPr="00C90298">
        <w:rPr>
          <w:rFonts w:eastAsia="Times New Roman"/>
          <w:sz w:val="20"/>
          <w:szCs w:val="20"/>
        </w:rPr>
        <w:t xml:space="preserve">o nadaljeval z rednimi postopki podeljevanja znaka kakovosti organizacijam v teh državah, ki ga izvaja ob podpori zunanjih strokovnjakov. SALTO SEE bo še naprej organiziral tudi </w:t>
      </w:r>
      <w:r w:rsidRPr="006C0DAC">
        <w:rPr>
          <w:rFonts w:eastAsia="Times New Roman"/>
          <w:sz w:val="20"/>
          <w:szCs w:val="20"/>
        </w:rPr>
        <w:t>usposabljanja ob prihodu in na polovici obdobja za prostovoljce</w:t>
      </w:r>
      <w:r w:rsidRPr="00531EA8">
        <w:rPr>
          <w:rFonts w:eastAsia="Times New Roman"/>
          <w:sz w:val="20"/>
          <w:szCs w:val="20"/>
        </w:rPr>
        <w:t>, ki opravljajo</w:t>
      </w:r>
      <w:r w:rsidRPr="00C90298">
        <w:rPr>
          <w:rFonts w:eastAsia="Times New Roman"/>
          <w:sz w:val="20"/>
          <w:szCs w:val="20"/>
        </w:rPr>
        <w:t xml:space="preserve"> prostovoljno delo v okviru Evropske solidarnostne enote v partnerskih državah Zahodnega Balkana, ter </w:t>
      </w:r>
      <w:r w:rsidRPr="006C0DAC">
        <w:rPr>
          <w:rFonts w:eastAsia="Times New Roman"/>
          <w:sz w:val="20"/>
          <w:szCs w:val="20"/>
        </w:rPr>
        <w:t>letno srečanje za prostovoljce</w:t>
      </w:r>
      <w:r w:rsidRPr="00531EA8">
        <w:rPr>
          <w:rFonts w:eastAsia="Times New Roman"/>
          <w:sz w:val="20"/>
          <w:szCs w:val="20"/>
        </w:rPr>
        <w:t>, ki se v</w:t>
      </w:r>
      <w:r w:rsidRPr="00C90298">
        <w:rPr>
          <w:rFonts w:eastAsia="Times New Roman"/>
          <w:sz w:val="20"/>
          <w:szCs w:val="20"/>
        </w:rPr>
        <w:t>račajo s prostovoljstva v drugi državi.</w:t>
      </w:r>
      <w:bookmarkEnd w:id="51"/>
    </w:p>
    <w:p w14:paraId="0EE9335E" w14:textId="77777777" w:rsidR="006428FF" w:rsidRPr="006428FF" w:rsidRDefault="006428FF" w:rsidP="006C0DAC">
      <w:pPr>
        <w:pBdr>
          <w:bottom w:val="single" w:sz="4" w:space="1" w:color="auto"/>
        </w:pBdr>
        <w:spacing w:line="276" w:lineRule="auto"/>
        <w:rPr>
          <w:rFonts w:eastAsia="Times New Roman"/>
          <w:sz w:val="20"/>
          <w:szCs w:val="20"/>
        </w:rPr>
      </w:pPr>
    </w:p>
    <w:p w14:paraId="23645E30" w14:textId="77777777" w:rsidR="006428FF" w:rsidRPr="006428FF" w:rsidRDefault="006428FF" w:rsidP="006C0DAC">
      <w:pPr>
        <w:pBdr>
          <w:bottom w:val="single" w:sz="4" w:space="1" w:color="auto"/>
        </w:pBdr>
        <w:spacing w:line="276" w:lineRule="auto"/>
        <w:rPr>
          <w:rFonts w:eastAsia="Times New Roman"/>
          <w:b/>
          <w:bCs/>
          <w:sz w:val="20"/>
          <w:szCs w:val="20"/>
        </w:rPr>
      </w:pPr>
      <w:r w:rsidRPr="006428FF">
        <w:rPr>
          <w:rFonts w:eastAsia="Times New Roman"/>
          <w:b/>
          <w:bCs/>
          <w:sz w:val="20"/>
          <w:szCs w:val="20"/>
        </w:rPr>
        <w:t>Mobilnosti Erasmus+</w:t>
      </w:r>
    </w:p>
    <w:p w14:paraId="5C7E2463" w14:textId="77777777" w:rsidR="006428FF" w:rsidRPr="006428FF" w:rsidRDefault="006428FF" w:rsidP="006C0DAC">
      <w:pPr>
        <w:pBdr>
          <w:bottom w:val="single" w:sz="4" w:space="1" w:color="auto"/>
        </w:pBdr>
        <w:spacing w:line="276" w:lineRule="auto"/>
        <w:rPr>
          <w:rFonts w:eastAsia="Times New Roman"/>
          <w:sz w:val="20"/>
          <w:szCs w:val="20"/>
          <w:lang w:eastAsia="zh-CN"/>
        </w:rPr>
      </w:pPr>
    </w:p>
    <w:p w14:paraId="6E46D8B5" w14:textId="164215F5" w:rsidR="006428FF" w:rsidRPr="006428FF" w:rsidRDefault="004301CF" w:rsidP="006C0DAC">
      <w:pPr>
        <w:pBdr>
          <w:bottom w:val="single" w:sz="4" w:space="1" w:color="auto"/>
        </w:pBdr>
        <w:spacing w:line="276" w:lineRule="auto"/>
        <w:rPr>
          <w:rFonts w:eastAsia="Times New Roman"/>
          <w:sz w:val="20"/>
          <w:szCs w:val="20"/>
          <w:lang w:eastAsia="zh-CN"/>
        </w:rPr>
      </w:pPr>
      <w:r w:rsidRPr="006428FF">
        <w:rPr>
          <w:rFonts w:eastAsia="Times New Roman"/>
          <w:noProof/>
          <w:sz w:val="20"/>
          <w:szCs w:val="20"/>
          <w:lang w:eastAsia="zh-CN"/>
        </w:rPr>
        <w:drawing>
          <wp:inline distT="0" distB="0" distL="0" distR="0" wp14:anchorId="25334A5F" wp14:editId="7F08F8EA">
            <wp:extent cx="6096000" cy="1866900"/>
            <wp:effectExtent l="0" t="0" r="0" b="0"/>
            <wp:docPr id="2" name="Slika 1" descr="Slika, ki vsebuje besede besedilo, posnetek zaslona, potrdilo, vrstic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ki vsebuje besede besedilo, posnetek zaslona, potrdilo, vrstica&#10;&#10;Vsebina, ustvarjena z umetno inteligenco, morda ni pravil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1866900"/>
                    </a:xfrm>
                    <a:prstGeom prst="rect">
                      <a:avLst/>
                    </a:prstGeom>
                    <a:noFill/>
                    <a:ln>
                      <a:noFill/>
                    </a:ln>
                  </pic:spPr>
                </pic:pic>
              </a:graphicData>
            </a:graphic>
          </wp:inline>
        </w:drawing>
      </w:r>
    </w:p>
    <w:p w14:paraId="2EF4836D"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Po posameznih državah:</w:t>
      </w:r>
    </w:p>
    <w:p w14:paraId="7562C72F" w14:textId="77777777" w:rsidR="006428FF" w:rsidRPr="006428FF" w:rsidRDefault="006428FF" w:rsidP="006C0DAC">
      <w:pPr>
        <w:pBdr>
          <w:bottom w:val="single" w:sz="4" w:space="1" w:color="auto"/>
        </w:pBdr>
        <w:spacing w:line="276" w:lineRule="auto"/>
        <w:rPr>
          <w:rFonts w:eastAsia="Times New Roman"/>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829"/>
        <w:gridCol w:w="2830"/>
      </w:tblGrid>
      <w:tr w:rsidR="006428FF" w:rsidRPr="006428FF" w14:paraId="7C17C9F9" w14:textId="77777777" w:rsidTr="00726B60">
        <w:tc>
          <w:tcPr>
            <w:tcW w:w="2829" w:type="dxa"/>
            <w:shd w:val="clear" w:color="auto" w:fill="D0CECE"/>
          </w:tcPr>
          <w:p w14:paraId="69804710"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Država</w:t>
            </w:r>
          </w:p>
        </w:tc>
        <w:tc>
          <w:tcPr>
            <w:tcW w:w="2829" w:type="dxa"/>
            <w:shd w:val="clear" w:color="auto" w:fill="D0CECE"/>
          </w:tcPr>
          <w:p w14:paraId="79332DB7"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 xml:space="preserve">V </w:t>
            </w:r>
            <w:r w:rsidR="003B6859">
              <w:rPr>
                <w:rFonts w:eastAsia="Times New Roman"/>
                <w:sz w:val="20"/>
                <w:szCs w:val="20"/>
                <w:lang w:eastAsia="zh-CN"/>
              </w:rPr>
              <w:t>RS</w:t>
            </w:r>
          </w:p>
        </w:tc>
        <w:tc>
          <w:tcPr>
            <w:tcW w:w="2830" w:type="dxa"/>
            <w:shd w:val="clear" w:color="auto" w:fill="D0CECE"/>
          </w:tcPr>
          <w:p w14:paraId="3B6DBDD1"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 xml:space="preserve">Iz </w:t>
            </w:r>
            <w:r w:rsidR="003B6859">
              <w:rPr>
                <w:rFonts w:eastAsia="Times New Roman"/>
                <w:sz w:val="20"/>
                <w:szCs w:val="20"/>
                <w:lang w:eastAsia="zh-CN"/>
              </w:rPr>
              <w:t>RS</w:t>
            </w:r>
          </w:p>
        </w:tc>
      </w:tr>
      <w:tr w:rsidR="006428FF" w:rsidRPr="006428FF" w14:paraId="02F78D5D" w14:textId="77777777" w:rsidTr="00726B60">
        <w:tc>
          <w:tcPr>
            <w:tcW w:w="2829" w:type="dxa"/>
          </w:tcPr>
          <w:p w14:paraId="37AC4780"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Albanija</w:t>
            </w:r>
          </w:p>
        </w:tc>
        <w:tc>
          <w:tcPr>
            <w:tcW w:w="2829" w:type="dxa"/>
          </w:tcPr>
          <w:p w14:paraId="673FBEA8"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37</w:t>
            </w:r>
          </w:p>
        </w:tc>
        <w:tc>
          <w:tcPr>
            <w:tcW w:w="2830" w:type="dxa"/>
          </w:tcPr>
          <w:p w14:paraId="138225F9"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0</w:t>
            </w:r>
          </w:p>
        </w:tc>
      </w:tr>
      <w:tr w:rsidR="006428FF" w:rsidRPr="006428FF" w14:paraId="0E0BA969" w14:textId="77777777" w:rsidTr="00726B60">
        <w:tc>
          <w:tcPr>
            <w:tcW w:w="2829" w:type="dxa"/>
          </w:tcPr>
          <w:p w14:paraId="6DF6DC55" w14:textId="77777777" w:rsidR="006428FF" w:rsidRPr="006428FF" w:rsidRDefault="007C55F6" w:rsidP="006C0DAC">
            <w:pPr>
              <w:pBdr>
                <w:bottom w:val="single" w:sz="4" w:space="1" w:color="auto"/>
              </w:pBdr>
              <w:spacing w:line="276" w:lineRule="auto"/>
              <w:rPr>
                <w:rFonts w:eastAsia="Times New Roman"/>
                <w:sz w:val="20"/>
                <w:szCs w:val="20"/>
                <w:lang w:eastAsia="zh-CN"/>
              </w:rPr>
            </w:pPr>
            <w:r>
              <w:rPr>
                <w:rFonts w:eastAsia="Times New Roman"/>
                <w:sz w:val="20"/>
                <w:szCs w:val="20"/>
                <w:lang w:eastAsia="zh-CN"/>
              </w:rPr>
              <w:t>BiH</w:t>
            </w:r>
          </w:p>
        </w:tc>
        <w:tc>
          <w:tcPr>
            <w:tcW w:w="2829" w:type="dxa"/>
          </w:tcPr>
          <w:p w14:paraId="326FA7E3"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183</w:t>
            </w:r>
          </w:p>
        </w:tc>
        <w:tc>
          <w:tcPr>
            <w:tcW w:w="2830" w:type="dxa"/>
          </w:tcPr>
          <w:p w14:paraId="00887561"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15</w:t>
            </w:r>
          </w:p>
        </w:tc>
      </w:tr>
      <w:tr w:rsidR="006428FF" w:rsidRPr="006428FF" w14:paraId="2694C342" w14:textId="77777777" w:rsidTr="00726B60">
        <w:tc>
          <w:tcPr>
            <w:tcW w:w="2829" w:type="dxa"/>
          </w:tcPr>
          <w:p w14:paraId="706EEA33"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Črna gora</w:t>
            </w:r>
          </w:p>
        </w:tc>
        <w:tc>
          <w:tcPr>
            <w:tcW w:w="2829" w:type="dxa"/>
          </w:tcPr>
          <w:p w14:paraId="6A1B8FB0"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90</w:t>
            </w:r>
          </w:p>
        </w:tc>
        <w:tc>
          <w:tcPr>
            <w:tcW w:w="2830" w:type="dxa"/>
          </w:tcPr>
          <w:p w14:paraId="3E643D69"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0</w:t>
            </w:r>
          </w:p>
        </w:tc>
      </w:tr>
      <w:tr w:rsidR="006428FF" w:rsidRPr="006428FF" w14:paraId="6FEB9276" w14:textId="77777777" w:rsidTr="00726B60">
        <w:tc>
          <w:tcPr>
            <w:tcW w:w="2829" w:type="dxa"/>
          </w:tcPr>
          <w:p w14:paraId="341373D9"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Kosovo</w:t>
            </w:r>
          </w:p>
        </w:tc>
        <w:tc>
          <w:tcPr>
            <w:tcW w:w="2829" w:type="dxa"/>
          </w:tcPr>
          <w:p w14:paraId="69502080"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18</w:t>
            </w:r>
          </w:p>
        </w:tc>
        <w:tc>
          <w:tcPr>
            <w:tcW w:w="2830" w:type="dxa"/>
          </w:tcPr>
          <w:p w14:paraId="41FBB214"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3</w:t>
            </w:r>
          </w:p>
        </w:tc>
      </w:tr>
      <w:tr w:rsidR="006428FF" w:rsidRPr="006428FF" w14:paraId="774D1546" w14:textId="77777777" w:rsidTr="00726B60">
        <w:tc>
          <w:tcPr>
            <w:tcW w:w="2829" w:type="dxa"/>
          </w:tcPr>
          <w:p w14:paraId="3B5EB9F8"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Severna Makedonija</w:t>
            </w:r>
          </w:p>
        </w:tc>
        <w:tc>
          <w:tcPr>
            <w:tcW w:w="2829" w:type="dxa"/>
          </w:tcPr>
          <w:p w14:paraId="3C1137BC"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195</w:t>
            </w:r>
          </w:p>
        </w:tc>
        <w:tc>
          <w:tcPr>
            <w:tcW w:w="2830" w:type="dxa"/>
          </w:tcPr>
          <w:p w14:paraId="7B93FC90"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19</w:t>
            </w:r>
          </w:p>
        </w:tc>
      </w:tr>
      <w:tr w:rsidR="006428FF" w:rsidRPr="006428FF" w14:paraId="50357F35" w14:textId="77777777" w:rsidTr="00726B60">
        <w:tc>
          <w:tcPr>
            <w:tcW w:w="2829" w:type="dxa"/>
          </w:tcPr>
          <w:p w14:paraId="63360D19"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Srbija</w:t>
            </w:r>
          </w:p>
        </w:tc>
        <w:tc>
          <w:tcPr>
            <w:tcW w:w="2829" w:type="dxa"/>
          </w:tcPr>
          <w:p w14:paraId="2BA15CDD"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536</w:t>
            </w:r>
          </w:p>
        </w:tc>
        <w:tc>
          <w:tcPr>
            <w:tcW w:w="2830" w:type="dxa"/>
          </w:tcPr>
          <w:p w14:paraId="68744986" w14:textId="77777777" w:rsidR="006428FF" w:rsidRPr="006428FF" w:rsidRDefault="006428FF" w:rsidP="006C0DAC">
            <w:pPr>
              <w:pBdr>
                <w:bottom w:val="single" w:sz="4" w:space="1" w:color="auto"/>
              </w:pBdr>
              <w:spacing w:line="276" w:lineRule="auto"/>
              <w:rPr>
                <w:rFonts w:eastAsia="Times New Roman"/>
                <w:sz w:val="20"/>
                <w:szCs w:val="20"/>
                <w:lang w:eastAsia="zh-CN"/>
              </w:rPr>
            </w:pPr>
            <w:r w:rsidRPr="006428FF">
              <w:rPr>
                <w:rFonts w:eastAsia="Times New Roman"/>
                <w:sz w:val="20"/>
                <w:szCs w:val="20"/>
                <w:lang w:eastAsia="zh-CN"/>
              </w:rPr>
              <w:t>54</w:t>
            </w:r>
          </w:p>
        </w:tc>
      </w:tr>
    </w:tbl>
    <w:p w14:paraId="2F5DF2D1" w14:textId="77777777" w:rsidR="006428FF" w:rsidRPr="006428FF" w:rsidRDefault="006428FF" w:rsidP="006C0DAC">
      <w:pPr>
        <w:spacing w:line="276" w:lineRule="auto"/>
        <w:rPr>
          <w:rFonts w:eastAsia="Times New Roman"/>
          <w:sz w:val="20"/>
          <w:szCs w:val="20"/>
          <w:lang w:eastAsia="zh-CN"/>
        </w:rPr>
      </w:pPr>
    </w:p>
    <w:p w14:paraId="4238F83E" w14:textId="77777777" w:rsidR="006C0DAC" w:rsidRDefault="006428FF" w:rsidP="006C0DAC">
      <w:pPr>
        <w:spacing w:line="276" w:lineRule="auto"/>
        <w:rPr>
          <w:rFonts w:eastAsia="Times New Roman"/>
          <w:sz w:val="20"/>
          <w:szCs w:val="20"/>
        </w:rPr>
      </w:pPr>
      <w:r w:rsidRPr="006428FF">
        <w:rPr>
          <w:rFonts w:eastAsia="Times New Roman"/>
          <w:sz w:val="20"/>
          <w:szCs w:val="20"/>
          <w:lang w:eastAsia="zh-CN"/>
        </w:rPr>
        <w:t>Od 2021 do 2025 je bilo financiranih 111 (od 316 prijavljenih) projektov iz področja Erasmus+: Mladina in Evropska Solidarnostna enota; 5,66 milijona € za odobrena sredstva za projekte Z</w:t>
      </w:r>
      <w:r w:rsidR="003F2CDE">
        <w:rPr>
          <w:rFonts w:eastAsia="Times New Roman"/>
          <w:sz w:val="20"/>
          <w:szCs w:val="20"/>
          <w:lang w:eastAsia="zh-CN"/>
        </w:rPr>
        <w:t xml:space="preserve">ahodnega </w:t>
      </w:r>
      <w:r w:rsidRPr="006428FF">
        <w:rPr>
          <w:rFonts w:eastAsia="Times New Roman"/>
          <w:sz w:val="20"/>
          <w:szCs w:val="20"/>
          <w:lang w:eastAsia="zh-CN"/>
        </w:rPr>
        <w:t>B</w:t>
      </w:r>
      <w:r w:rsidR="003F2CDE">
        <w:rPr>
          <w:rFonts w:eastAsia="Times New Roman"/>
          <w:sz w:val="20"/>
          <w:szCs w:val="20"/>
          <w:lang w:eastAsia="zh-CN"/>
        </w:rPr>
        <w:t>alkana</w:t>
      </w:r>
      <w:r w:rsidRPr="006428FF">
        <w:rPr>
          <w:rFonts w:eastAsia="Times New Roman"/>
          <w:sz w:val="20"/>
          <w:szCs w:val="20"/>
          <w:lang w:eastAsia="zh-CN"/>
        </w:rPr>
        <w:t xml:space="preserve">. </w:t>
      </w:r>
    </w:p>
    <w:p w14:paraId="1E9844D5" w14:textId="77777777" w:rsidR="006C0DAC" w:rsidRPr="006C0DAC" w:rsidRDefault="006C0DAC" w:rsidP="006C0DAC">
      <w:pPr>
        <w:spacing w:line="276" w:lineRule="auto"/>
        <w:rPr>
          <w:rFonts w:eastAsia="Times New Roman"/>
          <w:sz w:val="20"/>
          <w:szCs w:val="20"/>
        </w:rPr>
      </w:pPr>
    </w:p>
    <w:p w14:paraId="52955ED8" w14:textId="77777777" w:rsidR="006C0DAC" w:rsidRPr="00140B34" w:rsidRDefault="006C0DAC" w:rsidP="006C0DAC">
      <w:pPr>
        <w:spacing w:line="276" w:lineRule="auto"/>
        <w:rPr>
          <w:sz w:val="20"/>
          <w:szCs w:val="20"/>
          <w:highlight w:val="yellow"/>
          <w:lang w:eastAsia="zh-CN"/>
        </w:rPr>
      </w:pPr>
    </w:p>
    <w:p w14:paraId="4764588A" w14:textId="77777777" w:rsidR="00D02DF0" w:rsidRPr="003B6034" w:rsidRDefault="00D02DF0" w:rsidP="00411064">
      <w:pPr>
        <w:pStyle w:val="Heading3"/>
        <w:rPr>
          <w:b w:val="0"/>
        </w:rPr>
      </w:pPr>
      <w:bookmarkStart w:id="52" w:name="_Toc227227987"/>
      <w:r w:rsidRPr="003B6034">
        <w:t xml:space="preserve">9.2. </w:t>
      </w:r>
      <w:r w:rsidR="002C0966" w:rsidRPr="003B6034">
        <w:t>K</w:t>
      </w:r>
      <w:r w:rsidR="004F3EA0" w:rsidRPr="003B6034">
        <w:t>repitev sodelovanja na področju</w:t>
      </w:r>
      <w:r w:rsidR="002C0966" w:rsidRPr="003B6034">
        <w:t xml:space="preserve"> visokega šolstva</w:t>
      </w:r>
      <w:r w:rsidRPr="003B6034">
        <w:t>, znanost</w:t>
      </w:r>
      <w:r w:rsidR="002C0966" w:rsidRPr="003B6034">
        <w:t>i</w:t>
      </w:r>
      <w:r w:rsidRPr="003B6034">
        <w:t xml:space="preserve"> in inovacij</w:t>
      </w:r>
      <w:bookmarkEnd w:id="52"/>
      <w:r w:rsidRPr="003B6034">
        <w:t xml:space="preserve"> </w:t>
      </w:r>
    </w:p>
    <w:p w14:paraId="6FA57854" w14:textId="77777777" w:rsidR="00E058CA" w:rsidRPr="00140B34" w:rsidRDefault="00E058CA" w:rsidP="00411064">
      <w:pPr>
        <w:spacing w:line="276" w:lineRule="auto"/>
        <w:rPr>
          <w:sz w:val="20"/>
          <w:szCs w:val="20"/>
          <w:highlight w:val="yellow"/>
        </w:rPr>
      </w:pPr>
    </w:p>
    <w:p w14:paraId="3A061252" w14:textId="77777777" w:rsidR="00FB57D4" w:rsidRPr="00FB57D4" w:rsidRDefault="00FB57D4" w:rsidP="006C0DAC">
      <w:pPr>
        <w:spacing w:line="276" w:lineRule="auto"/>
        <w:rPr>
          <w:rFonts w:eastAsia="Times New Roman"/>
          <w:sz w:val="20"/>
          <w:szCs w:val="20"/>
        </w:rPr>
      </w:pPr>
      <w:r w:rsidRPr="00FB57D4">
        <w:rPr>
          <w:rFonts w:eastAsia="Times New Roman"/>
          <w:sz w:val="20"/>
          <w:szCs w:val="20"/>
        </w:rPr>
        <w:t xml:space="preserve">V študijskem letu 2024/25 je bilo na osnovi protokolov z </w:t>
      </w:r>
      <w:r w:rsidR="00945E65">
        <w:rPr>
          <w:rFonts w:eastAsia="Times New Roman"/>
          <w:sz w:val="20"/>
          <w:szCs w:val="20"/>
        </w:rPr>
        <w:t>BiH</w:t>
      </w:r>
      <w:r w:rsidRPr="00FB57D4">
        <w:rPr>
          <w:rFonts w:eastAsia="Times New Roman"/>
          <w:sz w:val="20"/>
          <w:szCs w:val="20"/>
        </w:rPr>
        <w:t>, Črno goro, Kosovom, Severno Makedonijo in Srbijo, ki določajo izenačitev z državljani RS in/oz. z državljani EU glede stroškov plačila študija, na slovenskih javnih visokošolskih zavodih vpisanih okoli 4780 študentov iz držav Zahodnega Balkana.</w:t>
      </w:r>
    </w:p>
    <w:p w14:paraId="15F9AB88" w14:textId="77777777" w:rsidR="00FB57D4" w:rsidRPr="00FB57D4" w:rsidRDefault="00FB57D4" w:rsidP="006C0DAC">
      <w:pPr>
        <w:spacing w:line="276" w:lineRule="auto"/>
        <w:rPr>
          <w:rFonts w:eastAsia="Times New Roman"/>
          <w:sz w:val="20"/>
          <w:szCs w:val="20"/>
        </w:rPr>
      </w:pPr>
      <w:r w:rsidRPr="00FB57D4">
        <w:rPr>
          <w:rFonts w:eastAsia="Times New Roman"/>
          <w:sz w:val="20"/>
          <w:szCs w:val="20"/>
        </w:rPr>
        <w:t>Izmenjave študentov in profesorjev potekajo tudi v okviru regionalnega programa Central European Exchange Program for University Studies (CEEPUS IV) z vsemi državami Zahodnega Balkana in skupaj predstavljajo okoli 50 % delež vseh izmenjav.</w:t>
      </w:r>
    </w:p>
    <w:p w14:paraId="26364EC8" w14:textId="77777777" w:rsidR="00FB57D4" w:rsidRPr="00FB57D4" w:rsidRDefault="00FB57D4" w:rsidP="006C0DAC">
      <w:pPr>
        <w:spacing w:line="276" w:lineRule="auto"/>
        <w:rPr>
          <w:rFonts w:eastAsia="Times New Roman"/>
          <w:sz w:val="20"/>
          <w:szCs w:val="20"/>
        </w:rPr>
      </w:pPr>
      <w:r w:rsidRPr="00FB57D4">
        <w:rPr>
          <w:rFonts w:eastAsia="Times New Roman"/>
          <w:sz w:val="20"/>
          <w:szCs w:val="20"/>
        </w:rPr>
        <w:t xml:space="preserve">V okviru iniciative »Study in </w:t>
      </w:r>
      <w:proofErr w:type="spellStart"/>
      <w:r w:rsidRPr="00FB57D4">
        <w:rPr>
          <w:rFonts w:eastAsia="Times New Roman"/>
          <w:sz w:val="20"/>
          <w:szCs w:val="20"/>
        </w:rPr>
        <w:t>Slovenia</w:t>
      </w:r>
      <w:proofErr w:type="spellEnd"/>
      <w:r w:rsidRPr="00FB57D4">
        <w:rPr>
          <w:rFonts w:eastAsia="Times New Roman"/>
          <w:sz w:val="20"/>
          <w:szCs w:val="20"/>
        </w:rPr>
        <w:t xml:space="preserve">« je </w:t>
      </w:r>
      <w:r w:rsidR="00764DA5">
        <w:rPr>
          <w:rFonts w:eastAsia="Times New Roman"/>
          <w:sz w:val="20"/>
          <w:szCs w:val="20"/>
        </w:rPr>
        <w:t>RS</w:t>
      </w:r>
      <w:r w:rsidRPr="00FB57D4">
        <w:rPr>
          <w:rFonts w:eastAsia="Times New Roman"/>
          <w:sz w:val="20"/>
          <w:szCs w:val="20"/>
        </w:rPr>
        <w:t xml:space="preserve"> z državami Zahodnega Balkana sodelovala na virtualnih dogodkih in na predstavitvenih dogodkih po državah Zahodnega Balkana. Gre za skupni nastop in predstavitve javnih ter zainteresiranih zasebnih visokošolskih zavodov. </w:t>
      </w:r>
    </w:p>
    <w:p w14:paraId="0C792859" w14:textId="77777777" w:rsidR="00FB57D4" w:rsidRPr="00C23AB5" w:rsidRDefault="009B2715" w:rsidP="006C0DAC">
      <w:pPr>
        <w:spacing w:line="276" w:lineRule="auto"/>
        <w:rPr>
          <w:rFonts w:eastAsia="Times New Roman"/>
          <w:sz w:val="20"/>
          <w:szCs w:val="20"/>
        </w:rPr>
      </w:pPr>
      <w:r>
        <w:rPr>
          <w:rFonts w:eastAsia="Times New Roman"/>
          <w:sz w:val="20"/>
          <w:szCs w:val="20"/>
        </w:rPr>
        <w:t>RS</w:t>
      </w:r>
      <w:r w:rsidR="00FB57D4" w:rsidRPr="00FB57D4">
        <w:rPr>
          <w:rFonts w:eastAsia="Times New Roman"/>
          <w:sz w:val="20"/>
          <w:szCs w:val="20"/>
        </w:rPr>
        <w:t xml:space="preserve"> za študij na College of Europe – kampus Tirana - zagotavlja 2 štipendiji letno za študij slovenskih državljanov. Za študij v Tirani v študijskem letu 2025/26 je bila izbrana ena kandidatka.</w:t>
      </w:r>
    </w:p>
    <w:p w14:paraId="1F0DA212" w14:textId="77777777" w:rsidR="00FB57D4" w:rsidRPr="00FB57D4" w:rsidRDefault="00FB57D4" w:rsidP="006C0DAC">
      <w:pPr>
        <w:spacing w:line="276" w:lineRule="auto"/>
        <w:rPr>
          <w:rFonts w:eastAsia="Times New Roman"/>
          <w:sz w:val="20"/>
          <w:szCs w:val="20"/>
        </w:rPr>
      </w:pPr>
    </w:p>
    <w:p w14:paraId="690F47CE" w14:textId="77777777" w:rsidR="00FB57D4" w:rsidRPr="00C23AB5" w:rsidRDefault="00FB57D4" w:rsidP="006C0DAC">
      <w:pPr>
        <w:spacing w:line="276" w:lineRule="auto"/>
        <w:rPr>
          <w:rFonts w:eastAsia="Times New Roman"/>
          <w:b/>
          <w:bCs/>
          <w:sz w:val="20"/>
          <w:szCs w:val="20"/>
        </w:rPr>
      </w:pPr>
      <w:bookmarkStart w:id="53" w:name="_Hlk187314052"/>
      <w:r w:rsidRPr="00C23AB5">
        <w:rPr>
          <w:rFonts w:eastAsia="Times New Roman"/>
          <w:b/>
          <w:bCs/>
          <w:sz w:val="20"/>
          <w:szCs w:val="20"/>
        </w:rPr>
        <w:t>Nov podporni instrument promocije znanstvenoraziskovalne dejavnosti v tujini</w:t>
      </w:r>
    </w:p>
    <w:p w14:paraId="0A429DAE" w14:textId="77777777" w:rsidR="00FB57D4" w:rsidRPr="00FB57D4" w:rsidRDefault="00FB57D4" w:rsidP="006C0DAC">
      <w:pPr>
        <w:spacing w:line="276" w:lineRule="auto"/>
        <w:rPr>
          <w:rFonts w:eastAsia="Times New Roman"/>
          <w:sz w:val="20"/>
          <w:szCs w:val="20"/>
        </w:rPr>
      </w:pPr>
      <w:r w:rsidRPr="00FB57D4">
        <w:rPr>
          <w:rFonts w:eastAsia="Times New Roman"/>
          <w:sz w:val="20"/>
          <w:szCs w:val="20"/>
        </w:rPr>
        <w:t>Ministrstvo za visoko šolstvo, znanost in inovacije</w:t>
      </w:r>
      <w:r w:rsidR="00531EA8">
        <w:rPr>
          <w:rFonts w:eastAsia="Times New Roman"/>
          <w:sz w:val="20"/>
          <w:szCs w:val="20"/>
        </w:rPr>
        <w:t xml:space="preserve"> (MVZI)</w:t>
      </w:r>
      <w:r w:rsidRPr="00FB57D4">
        <w:rPr>
          <w:rFonts w:eastAsia="Times New Roman"/>
          <w:sz w:val="20"/>
          <w:szCs w:val="20"/>
        </w:rPr>
        <w:t xml:space="preserve"> ter </w:t>
      </w:r>
      <w:r w:rsidR="00C23AB5">
        <w:rPr>
          <w:rFonts w:eastAsia="Times New Roman"/>
          <w:sz w:val="20"/>
          <w:szCs w:val="20"/>
        </w:rPr>
        <w:t>MZEZ</w:t>
      </w:r>
      <w:r w:rsidRPr="00FB57D4">
        <w:rPr>
          <w:rFonts w:eastAsia="Times New Roman"/>
          <w:sz w:val="20"/>
          <w:szCs w:val="20"/>
        </w:rPr>
        <w:t xml:space="preserve"> sta s sprejemom skupnega pravilnika v začetku leta 2025 vzpostavila delovanje novega podpornega instrumenta za promocijo znanstvenoraziskovalne dejavnosti v tujini, ki je bolj znan pod neformalnim nazivom znanstveni sklad. Instrument spodbuja mednarodno sodelovanje in lahko prispeva h krepitvi prepoznavnosti </w:t>
      </w:r>
      <w:r w:rsidR="003B6859">
        <w:rPr>
          <w:rFonts w:eastAsia="Times New Roman"/>
          <w:sz w:val="20"/>
          <w:szCs w:val="20"/>
        </w:rPr>
        <w:t>RS</w:t>
      </w:r>
      <w:r w:rsidRPr="00FB57D4">
        <w:rPr>
          <w:rFonts w:eastAsia="Times New Roman"/>
          <w:sz w:val="20"/>
          <w:szCs w:val="20"/>
        </w:rPr>
        <w:t xml:space="preserve"> na področju znanosti, povečuje globalno prepoznavnost slovenskih raziskovalcev in krepi vlogo diplomatskih predstavništev kot veznega člena med nacionalnim in mednarodnim znanstvenim okoljem. Instrument lahko pomembno prispeva tudi k nadaljnji poglobitvi sodelovanja na Zahodnem Balkanu</w:t>
      </w:r>
      <w:r w:rsidR="00C23AB5">
        <w:rPr>
          <w:rFonts w:eastAsia="Times New Roman"/>
          <w:sz w:val="20"/>
          <w:szCs w:val="20"/>
        </w:rPr>
        <w:t>.</w:t>
      </w:r>
    </w:p>
    <w:p w14:paraId="38A7C8A5" w14:textId="77777777" w:rsidR="00FB57D4" w:rsidRPr="00FB57D4" w:rsidRDefault="00FB57D4" w:rsidP="006C0DAC">
      <w:pPr>
        <w:spacing w:line="276" w:lineRule="auto"/>
        <w:rPr>
          <w:rFonts w:eastAsia="Times New Roman"/>
          <w:sz w:val="20"/>
          <w:szCs w:val="20"/>
        </w:rPr>
      </w:pPr>
      <w:r w:rsidRPr="00FB57D4">
        <w:rPr>
          <w:rFonts w:eastAsia="Times New Roman"/>
          <w:sz w:val="20"/>
          <w:szCs w:val="20"/>
        </w:rPr>
        <w:t>V prvem letu delovanja sta bila iz sklada financirana dva projekta, ki sta se izvajala na Hrvaškem, in sicer v Zagrebu in na Reki.</w:t>
      </w:r>
    </w:p>
    <w:p w14:paraId="17C930C5" w14:textId="77777777" w:rsidR="00FB57D4" w:rsidRPr="00FB57D4" w:rsidRDefault="00FB57D4" w:rsidP="006C0DAC">
      <w:pPr>
        <w:spacing w:line="276" w:lineRule="auto"/>
        <w:rPr>
          <w:rFonts w:eastAsia="Times New Roman"/>
          <w:sz w:val="20"/>
          <w:szCs w:val="20"/>
        </w:rPr>
      </w:pPr>
    </w:p>
    <w:p w14:paraId="1C60AC57" w14:textId="77777777" w:rsidR="00FB57D4" w:rsidRPr="00FB57D4" w:rsidRDefault="00FB57D4" w:rsidP="006C0DAC">
      <w:pPr>
        <w:spacing w:line="276" w:lineRule="auto"/>
        <w:rPr>
          <w:rFonts w:eastAsia="Times New Roman"/>
          <w:sz w:val="20"/>
          <w:szCs w:val="20"/>
        </w:rPr>
      </w:pPr>
      <w:r w:rsidRPr="00FB57D4">
        <w:rPr>
          <w:rFonts w:eastAsia="Times New Roman"/>
          <w:sz w:val="20"/>
          <w:szCs w:val="20"/>
        </w:rPr>
        <w:t xml:space="preserve">Slovenske </w:t>
      </w:r>
      <w:r w:rsidRPr="00FB57D4">
        <w:rPr>
          <w:rFonts w:eastAsia="Times New Roman"/>
          <w:bCs/>
          <w:sz w:val="20"/>
          <w:szCs w:val="20"/>
        </w:rPr>
        <w:t xml:space="preserve">raziskovalne </w:t>
      </w:r>
      <w:r w:rsidRPr="00FB57D4">
        <w:rPr>
          <w:rFonts w:eastAsia="Times New Roman"/>
          <w:sz w:val="20"/>
          <w:szCs w:val="20"/>
        </w:rPr>
        <w:t>ustanove uspešno sodelujejo z raziskovalnimi ustanovami držav Zahodnega Balkana v okviru evropskih projektov in programov (Okvirni program EU za raziskave in inovacije OBZORJE EVROPA in program sodelovanja v znanosti in tehnologiji COST).</w:t>
      </w:r>
    </w:p>
    <w:p w14:paraId="43C056FA" w14:textId="77777777" w:rsidR="00FB57D4" w:rsidRPr="00FB57D4" w:rsidRDefault="00FB57D4" w:rsidP="006C0DAC">
      <w:pPr>
        <w:spacing w:line="276" w:lineRule="auto"/>
        <w:rPr>
          <w:rFonts w:eastAsia="Times New Roman"/>
          <w:sz w:val="20"/>
          <w:szCs w:val="20"/>
        </w:rPr>
      </w:pPr>
      <w:r w:rsidRPr="00FB57D4">
        <w:rPr>
          <w:rFonts w:eastAsia="Times New Roman"/>
          <w:sz w:val="20"/>
          <w:szCs w:val="20"/>
        </w:rPr>
        <w:t xml:space="preserve">Sodelovanje </w:t>
      </w:r>
      <w:r w:rsidR="00531EA8">
        <w:rPr>
          <w:rFonts w:eastAsia="Times New Roman"/>
          <w:sz w:val="20"/>
          <w:szCs w:val="20"/>
        </w:rPr>
        <w:t>RS</w:t>
      </w:r>
      <w:r w:rsidR="00531EA8" w:rsidRPr="00FB57D4">
        <w:rPr>
          <w:rFonts w:eastAsia="Times New Roman"/>
          <w:sz w:val="20"/>
          <w:szCs w:val="20"/>
        </w:rPr>
        <w:t xml:space="preserve"> </w:t>
      </w:r>
      <w:r w:rsidRPr="00FB57D4">
        <w:rPr>
          <w:rFonts w:eastAsia="Times New Roman"/>
          <w:sz w:val="20"/>
          <w:szCs w:val="20"/>
        </w:rPr>
        <w:t>z državami Zahodnega Balkana v okvirnem programu Obzorje EVROPA in število projektov:</w:t>
      </w:r>
    </w:p>
    <w:p w14:paraId="44D598B3" w14:textId="77777777" w:rsidR="00FB57D4" w:rsidRPr="00FB57D4" w:rsidRDefault="00FB57D4" w:rsidP="006C0DAC">
      <w:pPr>
        <w:numPr>
          <w:ilvl w:val="0"/>
          <w:numId w:val="5"/>
        </w:numPr>
        <w:spacing w:line="276" w:lineRule="auto"/>
        <w:rPr>
          <w:rFonts w:eastAsia="Times New Roman"/>
          <w:sz w:val="20"/>
          <w:szCs w:val="20"/>
        </w:rPr>
      </w:pPr>
      <w:r w:rsidRPr="00FB57D4">
        <w:rPr>
          <w:rFonts w:eastAsia="Times New Roman"/>
          <w:sz w:val="20"/>
          <w:szCs w:val="20"/>
        </w:rPr>
        <w:t>Albanija: 15</w:t>
      </w:r>
    </w:p>
    <w:p w14:paraId="514FE9BC" w14:textId="77777777" w:rsidR="00FB57D4" w:rsidRPr="00FB57D4" w:rsidRDefault="007C55F6" w:rsidP="006C0DAC">
      <w:pPr>
        <w:numPr>
          <w:ilvl w:val="0"/>
          <w:numId w:val="5"/>
        </w:numPr>
        <w:spacing w:line="276" w:lineRule="auto"/>
        <w:rPr>
          <w:rFonts w:eastAsia="Times New Roman"/>
          <w:sz w:val="20"/>
          <w:szCs w:val="20"/>
        </w:rPr>
      </w:pPr>
      <w:r>
        <w:rPr>
          <w:rFonts w:eastAsia="Times New Roman"/>
          <w:sz w:val="20"/>
          <w:szCs w:val="20"/>
        </w:rPr>
        <w:t>BiH</w:t>
      </w:r>
      <w:r w:rsidR="00FB57D4" w:rsidRPr="00FB57D4">
        <w:rPr>
          <w:rFonts w:eastAsia="Times New Roman"/>
          <w:sz w:val="20"/>
          <w:szCs w:val="20"/>
        </w:rPr>
        <w:t>: 19</w:t>
      </w:r>
    </w:p>
    <w:p w14:paraId="01C6C1EB" w14:textId="77777777" w:rsidR="00FB57D4" w:rsidRPr="00FB57D4" w:rsidRDefault="00FB57D4" w:rsidP="006C0DAC">
      <w:pPr>
        <w:numPr>
          <w:ilvl w:val="0"/>
          <w:numId w:val="5"/>
        </w:numPr>
        <w:spacing w:line="276" w:lineRule="auto"/>
        <w:rPr>
          <w:rFonts w:eastAsia="Times New Roman"/>
          <w:sz w:val="20"/>
          <w:szCs w:val="20"/>
        </w:rPr>
      </w:pPr>
      <w:r w:rsidRPr="00FB57D4">
        <w:rPr>
          <w:rFonts w:eastAsia="Times New Roman"/>
          <w:sz w:val="20"/>
          <w:szCs w:val="20"/>
        </w:rPr>
        <w:t>Črna gora: 11</w:t>
      </w:r>
    </w:p>
    <w:p w14:paraId="410A0812" w14:textId="77777777" w:rsidR="00FB57D4" w:rsidRPr="00FB57D4" w:rsidRDefault="00FB57D4" w:rsidP="006C0DAC">
      <w:pPr>
        <w:numPr>
          <w:ilvl w:val="0"/>
          <w:numId w:val="5"/>
        </w:numPr>
        <w:spacing w:line="276" w:lineRule="auto"/>
        <w:rPr>
          <w:rFonts w:eastAsia="Times New Roman"/>
          <w:sz w:val="20"/>
          <w:szCs w:val="20"/>
        </w:rPr>
      </w:pPr>
      <w:r w:rsidRPr="00FB57D4">
        <w:rPr>
          <w:rFonts w:eastAsia="Times New Roman"/>
          <w:sz w:val="20"/>
          <w:szCs w:val="20"/>
        </w:rPr>
        <w:t xml:space="preserve">Severna Makedonija: 26 </w:t>
      </w:r>
    </w:p>
    <w:p w14:paraId="38E4811E" w14:textId="77777777" w:rsidR="00FB57D4" w:rsidRPr="00FB57D4" w:rsidRDefault="00FB57D4" w:rsidP="006C0DAC">
      <w:pPr>
        <w:numPr>
          <w:ilvl w:val="0"/>
          <w:numId w:val="5"/>
        </w:numPr>
        <w:spacing w:line="276" w:lineRule="auto"/>
        <w:rPr>
          <w:rFonts w:eastAsia="Times New Roman"/>
          <w:sz w:val="20"/>
          <w:szCs w:val="20"/>
        </w:rPr>
      </w:pPr>
      <w:r w:rsidRPr="00FB57D4">
        <w:rPr>
          <w:rFonts w:eastAsia="Times New Roman"/>
          <w:sz w:val="20"/>
          <w:szCs w:val="20"/>
        </w:rPr>
        <w:t>Srbija: 85</w:t>
      </w:r>
    </w:p>
    <w:p w14:paraId="313A3FEE" w14:textId="77777777" w:rsidR="00FB57D4" w:rsidRPr="00FB57D4" w:rsidRDefault="00FB57D4" w:rsidP="006C0DAC">
      <w:pPr>
        <w:numPr>
          <w:ilvl w:val="0"/>
          <w:numId w:val="5"/>
        </w:numPr>
        <w:spacing w:line="276" w:lineRule="auto"/>
        <w:rPr>
          <w:rFonts w:eastAsia="Times New Roman"/>
          <w:sz w:val="20"/>
          <w:szCs w:val="20"/>
        </w:rPr>
      </w:pPr>
      <w:r w:rsidRPr="00FB57D4">
        <w:rPr>
          <w:rFonts w:eastAsia="Times New Roman"/>
          <w:sz w:val="20"/>
          <w:szCs w:val="20"/>
        </w:rPr>
        <w:t>Kosovo: 3</w:t>
      </w:r>
    </w:p>
    <w:bookmarkEnd w:id="53"/>
    <w:p w14:paraId="22B353BF" w14:textId="77777777" w:rsidR="00FB57D4" w:rsidRPr="00FB57D4" w:rsidRDefault="00FB57D4" w:rsidP="006C0DAC">
      <w:pPr>
        <w:spacing w:line="276" w:lineRule="auto"/>
        <w:rPr>
          <w:rFonts w:eastAsia="Times New Roman"/>
          <w:sz w:val="20"/>
          <w:szCs w:val="20"/>
        </w:rPr>
      </w:pPr>
      <w:r w:rsidRPr="00FB57D4">
        <w:rPr>
          <w:rFonts w:eastAsia="Times New Roman"/>
          <w:sz w:val="20"/>
          <w:szCs w:val="20"/>
        </w:rPr>
        <w:t xml:space="preserve">V letu 2025 so se na podlagi sporazumov o znanstveno-tehnološkem sodelovanju in izvedbenih programov in preteklih javnih razpisov izvajali bilateralni mobilnostni projekti z </w:t>
      </w:r>
      <w:r w:rsidR="00945E65">
        <w:rPr>
          <w:rFonts w:eastAsia="Times New Roman"/>
          <w:sz w:val="20"/>
          <w:szCs w:val="20"/>
        </w:rPr>
        <w:t>BiH</w:t>
      </w:r>
      <w:r w:rsidRPr="00FB57D4">
        <w:rPr>
          <w:rFonts w:eastAsia="Times New Roman"/>
          <w:sz w:val="20"/>
          <w:szCs w:val="20"/>
        </w:rPr>
        <w:t xml:space="preserve"> (53 projektov), Črno goro (20 projektov), Srbijo (56 projektov) in Hrvaško (46 projektov). </w:t>
      </w:r>
    </w:p>
    <w:p w14:paraId="54A08866" w14:textId="77777777" w:rsidR="00FB57D4" w:rsidRPr="00FB57D4" w:rsidRDefault="00FB57D4" w:rsidP="006C0DAC">
      <w:pPr>
        <w:spacing w:line="276" w:lineRule="auto"/>
        <w:rPr>
          <w:rFonts w:eastAsia="Times New Roman"/>
          <w:sz w:val="20"/>
          <w:szCs w:val="20"/>
        </w:rPr>
      </w:pPr>
      <w:r w:rsidRPr="00FB57D4">
        <w:rPr>
          <w:rFonts w:eastAsia="Times New Roman"/>
          <w:sz w:val="20"/>
          <w:szCs w:val="20"/>
        </w:rPr>
        <w:t xml:space="preserve">Marca 2024 je bil objavljen javni razpis za sofinanciranje mobilnostnih projektov s Srbijo (za obdobje 2026-2027), ki bi se moral v letu 2025 zaključiti, a so se postopki zaradi politične situacije v Srbiji na srbski strani zaustavili. </w:t>
      </w:r>
    </w:p>
    <w:p w14:paraId="2D9D8BDF" w14:textId="77777777" w:rsidR="00FB57D4" w:rsidRPr="00FB57D4" w:rsidRDefault="00FB57D4" w:rsidP="006C0DAC">
      <w:pPr>
        <w:spacing w:line="276" w:lineRule="auto"/>
        <w:rPr>
          <w:rFonts w:eastAsia="Times New Roman"/>
          <w:sz w:val="20"/>
          <w:szCs w:val="20"/>
        </w:rPr>
      </w:pPr>
      <w:r w:rsidRPr="00FB57D4">
        <w:rPr>
          <w:rFonts w:eastAsia="Times New Roman"/>
          <w:sz w:val="20"/>
          <w:szCs w:val="20"/>
        </w:rPr>
        <w:t xml:space="preserve">Decembra 2025 je bil podpisan protokol 15. zasedanja Meddržavne komisije med </w:t>
      </w:r>
      <w:r w:rsidR="00531EA8">
        <w:rPr>
          <w:rFonts w:eastAsia="Times New Roman"/>
          <w:sz w:val="20"/>
          <w:szCs w:val="20"/>
        </w:rPr>
        <w:t>RS</w:t>
      </w:r>
      <w:r w:rsidR="00531EA8" w:rsidRPr="00FB57D4">
        <w:rPr>
          <w:rFonts w:eastAsia="Times New Roman"/>
          <w:sz w:val="20"/>
          <w:szCs w:val="20"/>
        </w:rPr>
        <w:t xml:space="preserve"> </w:t>
      </w:r>
      <w:r w:rsidRPr="00FB57D4">
        <w:rPr>
          <w:rFonts w:eastAsia="Times New Roman"/>
          <w:sz w:val="20"/>
          <w:szCs w:val="20"/>
        </w:rPr>
        <w:t xml:space="preserve">in </w:t>
      </w:r>
      <w:r w:rsidR="00945E65">
        <w:rPr>
          <w:rFonts w:eastAsia="Times New Roman"/>
          <w:sz w:val="20"/>
          <w:szCs w:val="20"/>
        </w:rPr>
        <w:t>BiH</w:t>
      </w:r>
      <w:r w:rsidRPr="00FB57D4">
        <w:rPr>
          <w:rFonts w:eastAsia="Times New Roman"/>
          <w:sz w:val="20"/>
          <w:szCs w:val="20"/>
        </w:rPr>
        <w:t xml:space="preserve">, v sofinanciranje je bilo sprejetih 35 projektov za obdobje 2026-2027. </w:t>
      </w:r>
    </w:p>
    <w:p w14:paraId="100BA32F" w14:textId="77777777" w:rsidR="00FB57D4" w:rsidRPr="00FB57D4" w:rsidRDefault="00FB57D4" w:rsidP="006C0DAC">
      <w:pPr>
        <w:spacing w:line="276" w:lineRule="auto"/>
        <w:rPr>
          <w:rFonts w:eastAsia="Times New Roman"/>
          <w:sz w:val="20"/>
          <w:szCs w:val="20"/>
        </w:rPr>
      </w:pPr>
    </w:p>
    <w:p w14:paraId="29800C41" w14:textId="77777777" w:rsidR="00FB57D4" w:rsidRPr="00FB57D4" w:rsidRDefault="00531EA8" w:rsidP="006C0DAC">
      <w:pPr>
        <w:spacing w:line="276" w:lineRule="auto"/>
        <w:rPr>
          <w:rFonts w:eastAsia="Times New Roman"/>
          <w:sz w:val="20"/>
          <w:szCs w:val="20"/>
        </w:rPr>
      </w:pPr>
      <w:r>
        <w:rPr>
          <w:rFonts w:eastAsia="Times New Roman"/>
          <w:sz w:val="20"/>
          <w:szCs w:val="20"/>
        </w:rPr>
        <w:t>MVZI je n</w:t>
      </w:r>
      <w:r w:rsidR="00FB57D4" w:rsidRPr="00FB57D4">
        <w:rPr>
          <w:rFonts w:eastAsia="Times New Roman"/>
          <w:sz w:val="20"/>
          <w:szCs w:val="20"/>
        </w:rPr>
        <w:t>a področju inovacij v letu 2025 sodeloval pri spodbujanju raziskovalno inovacijskih projektov predvsem preko mednarodne mreže Eureka nacionalnih kontaktnih predstavnikov z državami Zahodnega Balkana. Novih partnerskih dogovorov ni bilo sklenjenih, potekale pa so različne aktivnosti in povezovanje deležnikov v okviru mednarodnih partnerstev na posameznih vsebinskih področjih (sodelovanje na raziskovalnih projektih, poslovni forumi, srečanja, iskanje poslovnih priložnosti in izmenjava dobrih praks.</w:t>
      </w:r>
    </w:p>
    <w:p w14:paraId="3062ECB6" w14:textId="77777777" w:rsidR="00FB57D4" w:rsidRPr="00C23AB5" w:rsidRDefault="00FB57D4" w:rsidP="006C0DAC">
      <w:pPr>
        <w:spacing w:line="276" w:lineRule="auto"/>
        <w:rPr>
          <w:rFonts w:eastAsia="Times New Roman"/>
          <w:b/>
          <w:bCs/>
          <w:sz w:val="20"/>
          <w:szCs w:val="20"/>
        </w:rPr>
      </w:pPr>
    </w:p>
    <w:p w14:paraId="5E1FC673" w14:textId="77777777" w:rsidR="00FB57D4" w:rsidRPr="00C23AB5" w:rsidRDefault="00FB57D4" w:rsidP="006C0DAC">
      <w:pPr>
        <w:spacing w:line="276" w:lineRule="auto"/>
        <w:rPr>
          <w:rFonts w:eastAsia="Times New Roman"/>
          <w:b/>
          <w:bCs/>
          <w:sz w:val="20"/>
          <w:szCs w:val="20"/>
        </w:rPr>
      </w:pPr>
      <w:r w:rsidRPr="00C23AB5">
        <w:rPr>
          <w:rFonts w:eastAsia="Times New Roman"/>
          <w:b/>
          <w:bCs/>
          <w:sz w:val="20"/>
          <w:szCs w:val="20"/>
        </w:rPr>
        <w:t xml:space="preserve">Študijski obisk iz </w:t>
      </w:r>
      <w:r w:rsidR="00AA57C1">
        <w:rPr>
          <w:rFonts w:eastAsia="Times New Roman"/>
          <w:b/>
          <w:bCs/>
          <w:sz w:val="20"/>
          <w:szCs w:val="20"/>
        </w:rPr>
        <w:t>BiH</w:t>
      </w:r>
    </w:p>
    <w:p w14:paraId="040D1CCC" w14:textId="77777777" w:rsidR="00FB57D4" w:rsidRPr="00FB57D4" w:rsidRDefault="00FB57D4" w:rsidP="006C0DAC">
      <w:pPr>
        <w:spacing w:line="276" w:lineRule="auto"/>
        <w:rPr>
          <w:rFonts w:eastAsia="Times New Roman"/>
          <w:sz w:val="20"/>
          <w:szCs w:val="20"/>
        </w:rPr>
      </w:pPr>
      <w:r w:rsidRPr="00FB57D4">
        <w:rPr>
          <w:rFonts w:eastAsia="Times New Roman"/>
          <w:sz w:val="20"/>
          <w:szCs w:val="20"/>
        </w:rPr>
        <w:t xml:space="preserve">V novembru 2025 je na študijski obisk v </w:t>
      </w:r>
      <w:r w:rsidR="00B06B04">
        <w:rPr>
          <w:rFonts w:eastAsia="Times New Roman"/>
          <w:sz w:val="20"/>
          <w:szCs w:val="20"/>
        </w:rPr>
        <w:t>RS</w:t>
      </w:r>
      <w:r w:rsidR="00B06B04" w:rsidRPr="00FB57D4">
        <w:rPr>
          <w:rFonts w:eastAsia="Times New Roman"/>
          <w:sz w:val="20"/>
          <w:szCs w:val="20"/>
        </w:rPr>
        <w:t xml:space="preserve"> </w:t>
      </w:r>
      <w:r w:rsidRPr="00FB57D4">
        <w:rPr>
          <w:rFonts w:eastAsia="Times New Roman"/>
          <w:sz w:val="20"/>
          <w:szCs w:val="20"/>
        </w:rPr>
        <w:t xml:space="preserve">prišla 15-članska delegacija iz </w:t>
      </w:r>
      <w:r w:rsidR="00AA57C1" w:rsidRPr="00AA57C1">
        <w:rPr>
          <w:rFonts w:eastAsia="Times New Roman"/>
          <w:sz w:val="20"/>
          <w:szCs w:val="20"/>
        </w:rPr>
        <w:t>BiH</w:t>
      </w:r>
      <w:r w:rsidRPr="00FB57D4">
        <w:rPr>
          <w:rFonts w:eastAsia="Times New Roman"/>
          <w:sz w:val="20"/>
          <w:szCs w:val="20"/>
        </w:rPr>
        <w:t>. Obisk je organizirala pisarna United Nations Develpment Programme iz Sarajeva. Namen obiska je bil seznaniti se s strukturami in dobrimi praksami razvitih inovacijskih sistemov in njihov prenos v lastno okolje. Obiskali so več deležnikov, med drugimi v Ljubljani MGTŠ, MVZI, Univerzo v Ljubljani, ARIS, Institut Jožef Stefan, SPIRIT</w:t>
      </w:r>
      <w:r w:rsidR="00182123">
        <w:rPr>
          <w:rFonts w:eastAsia="Times New Roman"/>
          <w:sz w:val="20"/>
          <w:szCs w:val="20"/>
        </w:rPr>
        <w:t xml:space="preserve"> Slovenija</w:t>
      </w:r>
      <w:r w:rsidRPr="00FB57D4">
        <w:rPr>
          <w:rFonts w:eastAsia="Times New Roman"/>
          <w:sz w:val="20"/>
          <w:szCs w:val="20"/>
        </w:rPr>
        <w:t xml:space="preserve">, Tehnološki park in druge po </w:t>
      </w:r>
      <w:r w:rsidR="00531EA8">
        <w:rPr>
          <w:rFonts w:eastAsia="Times New Roman"/>
          <w:sz w:val="20"/>
          <w:szCs w:val="20"/>
        </w:rPr>
        <w:t>RS</w:t>
      </w:r>
      <w:r w:rsidRPr="00FB57D4">
        <w:rPr>
          <w:rFonts w:eastAsia="Times New Roman"/>
          <w:sz w:val="20"/>
          <w:szCs w:val="20"/>
        </w:rPr>
        <w:t xml:space="preserve">. </w:t>
      </w:r>
    </w:p>
    <w:p w14:paraId="06166A9F" w14:textId="77777777" w:rsidR="00FB57D4" w:rsidRPr="00FB57D4" w:rsidRDefault="00FB57D4" w:rsidP="006C0DAC">
      <w:pPr>
        <w:spacing w:line="276" w:lineRule="auto"/>
        <w:rPr>
          <w:rFonts w:eastAsia="Times New Roman"/>
          <w:sz w:val="20"/>
          <w:szCs w:val="20"/>
        </w:rPr>
      </w:pPr>
      <w:r w:rsidRPr="00FB57D4">
        <w:rPr>
          <w:rFonts w:eastAsia="Times New Roman"/>
          <w:sz w:val="20"/>
          <w:szCs w:val="20"/>
        </w:rPr>
        <w:t>Na MVZI je delegacijo sprejel državni sekretar Urban Kodrič s sodelavci Direktorata za visoko šolstvo, Direktorata za znanost in inovacije in Službe za evropske zadeve in mednarodno sodelovanje. Teme razgovora so bile: Vloga izobraževanja pri razvoju inovacijskih kompetenc (digitalna pismenost, ustvarjalnost, kritično mišljenje), Povezovanje visokega šolstva z gospodarstvom: modeli sodelovanja in pilotni projekti, Vloga centrov odličnosti in izobraževalnih središč ter Digitalizacija izobraževanja in podpora s sredstvi EU.</w:t>
      </w:r>
    </w:p>
    <w:p w14:paraId="25050531" w14:textId="77777777" w:rsidR="00FB57D4" w:rsidRPr="00FB57D4" w:rsidRDefault="00FB57D4" w:rsidP="006C0DAC">
      <w:pPr>
        <w:spacing w:line="276" w:lineRule="auto"/>
        <w:rPr>
          <w:rFonts w:eastAsia="Times New Roman"/>
          <w:sz w:val="20"/>
          <w:szCs w:val="20"/>
        </w:rPr>
      </w:pPr>
    </w:p>
    <w:p w14:paraId="4CA501D1" w14:textId="77777777" w:rsidR="00FB57D4" w:rsidRPr="00C23AB5" w:rsidRDefault="00FB57D4" w:rsidP="006C0DAC">
      <w:pPr>
        <w:spacing w:line="276" w:lineRule="auto"/>
        <w:rPr>
          <w:rFonts w:eastAsia="Times New Roman"/>
          <w:b/>
          <w:sz w:val="20"/>
          <w:szCs w:val="20"/>
        </w:rPr>
      </w:pPr>
      <w:r w:rsidRPr="00C23AB5">
        <w:rPr>
          <w:rFonts w:eastAsia="Times New Roman"/>
          <w:b/>
          <w:sz w:val="20"/>
          <w:szCs w:val="20"/>
        </w:rPr>
        <w:t>Aktivnosti ENIC-NARIC centra (European Network of Information Centres - National Academic Recognition Information Centres)</w:t>
      </w:r>
    </w:p>
    <w:p w14:paraId="714380AB" w14:textId="77777777" w:rsidR="00FB57D4" w:rsidRPr="00C23AB5" w:rsidRDefault="00FB57D4" w:rsidP="006C0DAC">
      <w:pPr>
        <w:spacing w:line="276" w:lineRule="auto"/>
        <w:rPr>
          <w:rFonts w:eastAsia="Times New Roman"/>
          <w:b/>
          <w:sz w:val="20"/>
          <w:szCs w:val="20"/>
        </w:rPr>
      </w:pPr>
    </w:p>
    <w:p w14:paraId="45AC26D8" w14:textId="77777777" w:rsidR="00FB57D4" w:rsidRPr="00C23AB5" w:rsidRDefault="007C55F6" w:rsidP="006C0DAC">
      <w:pPr>
        <w:spacing w:line="276" w:lineRule="auto"/>
        <w:rPr>
          <w:rFonts w:eastAsia="Times New Roman"/>
          <w:b/>
          <w:sz w:val="20"/>
          <w:szCs w:val="20"/>
        </w:rPr>
      </w:pPr>
      <w:r>
        <w:rPr>
          <w:b/>
          <w:sz w:val="20"/>
          <w:szCs w:val="20"/>
        </w:rPr>
        <w:t>BiH</w:t>
      </w:r>
    </w:p>
    <w:p w14:paraId="785AF6B8" w14:textId="77777777" w:rsidR="00FB57D4" w:rsidRPr="00FB57D4" w:rsidRDefault="00FB57D4" w:rsidP="006C0DAC">
      <w:pPr>
        <w:spacing w:line="276" w:lineRule="auto"/>
        <w:rPr>
          <w:rFonts w:eastAsia="Times New Roman"/>
          <w:sz w:val="20"/>
          <w:szCs w:val="20"/>
        </w:rPr>
      </w:pPr>
      <w:r w:rsidRPr="00FB57D4">
        <w:rPr>
          <w:rFonts w:eastAsia="Times New Roman"/>
          <w:sz w:val="20"/>
          <w:szCs w:val="20"/>
        </w:rPr>
        <w:t xml:space="preserve">RS prejme največje število vlog za vrednotenje in priznavanje izobraževanja iz </w:t>
      </w:r>
      <w:r w:rsidR="00945E65">
        <w:rPr>
          <w:rFonts w:eastAsia="Times New Roman"/>
          <w:sz w:val="20"/>
          <w:szCs w:val="20"/>
        </w:rPr>
        <w:t>BiH</w:t>
      </w:r>
      <w:r w:rsidRPr="00FB57D4">
        <w:rPr>
          <w:rFonts w:eastAsia="Times New Roman"/>
          <w:sz w:val="20"/>
          <w:szCs w:val="20"/>
        </w:rPr>
        <w:t xml:space="preserve">, zato nadaljuje z okrepljenim sodelovanjem z organi in institucijami v </w:t>
      </w:r>
      <w:r w:rsidR="00945E65">
        <w:rPr>
          <w:rFonts w:eastAsia="Times New Roman"/>
          <w:sz w:val="20"/>
          <w:szCs w:val="20"/>
        </w:rPr>
        <w:t>BiH</w:t>
      </w:r>
      <w:r w:rsidRPr="00FB57D4">
        <w:rPr>
          <w:rFonts w:eastAsia="Times New Roman"/>
          <w:sz w:val="20"/>
          <w:szCs w:val="20"/>
        </w:rPr>
        <w:t>, vezanih na vrednotenje in priznavanje izobraževanja.</w:t>
      </w:r>
    </w:p>
    <w:p w14:paraId="54B7F145" w14:textId="77777777" w:rsidR="00FB57D4" w:rsidRPr="00FB57D4" w:rsidRDefault="00FB57D4" w:rsidP="006C0DAC">
      <w:pPr>
        <w:spacing w:line="276" w:lineRule="auto"/>
        <w:rPr>
          <w:rFonts w:eastAsia="Times New Roman"/>
          <w:sz w:val="20"/>
          <w:szCs w:val="20"/>
        </w:rPr>
      </w:pPr>
      <w:r w:rsidRPr="00FB57D4">
        <w:rPr>
          <w:rFonts w:eastAsia="Times New Roman"/>
          <w:sz w:val="20"/>
          <w:szCs w:val="20"/>
        </w:rPr>
        <w:t xml:space="preserve">Na področju srednjega šolstva je v zadnjih letih zaznan porast vlog za vrednotenje izrednega srednješolskega izobraževanja iz </w:t>
      </w:r>
      <w:r w:rsidR="00945E65">
        <w:rPr>
          <w:rFonts w:eastAsia="Times New Roman"/>
          <w:sz w:val="20"/>
          <w:szCs w:val="20"/>
        </w:rPr>
        <w:t>BiH</w:t>
      </w:r>
      <w:r w:rsidRPr="00FB57D4">
        <w:rPr>
          <w:rFonts w:eastAsia="Times New Roman"/>
          <w:sz w:val="20"/>
          <w:szCs w:val="20"/>
        </w:rPr>
        <w:t xml:space="preserve">, ki je opravljeno v zelo kratkem časovnem obdobju. Za pridobivanje informacij o verodostojnosti srednješolskih listin o izobraževanju v </w:t>
      </w:r>
      <w:r w:rsidR="00945E65">
        <w:rPr>
          <w:rFonts w:eastAsia="Times New Roman"/>
          <w:sz w:val="20"/>
          <w:szCs w:val="20"/>
        </w:rPr>
        <w:t>BiH</w:t>
      </w:r>
      <w:r w:rsidRPr="00FB57D4">
        <w:rPr>
          <w:rFonts w:eastAsia="Times New Roman"/>
          <w:sz w:val="20"/>
          <w:szCs w:val="20"/>
        </w:rPr>
        <w:t xml:space="preserve">, ki jih MVZI prejme v postopek vrednotenja, je vzpostavljena redna komunikacija z izobraževalnimi institucijami, kantonalnimi ministrstvi, kantonalnimi inšpektorati za izobraževanje in upravami za inšpekcijske zadeve v </w:t>
      </w:r>
      <w:r w:rsidR="00945E65">
        <w:rPr>
          <w:rFonts w:eastAsia="Times New Roman"/>
          <w:sz w:val="20"/>
          <w:szCs w:val="20"/>
        </w:rPr>
        <w:t>BiH</w:t>
      </w:r>
      <w:r w:rsidRPr="00FB57D4">
        <w:rPr>
          <w:rFonts w:eastAsia="Times New Roman"/>
          <w:sz w:val="20"/>
          <w:szCs w:val="20"/>
        </w:rPr>
        <w:t xml:space="preserve">. Kadar inšpekcijske službe </w:t>
      </w:r>
      <w:r w:rsidR="00945E65">
        <w:rPr>
          <w:rFonts w:eastAsia="Times New Roman"/>
          <w:sz w:val="20"/>
          <w:szCs w:val="20"/>
        </w:rPr>
        <w:t>BiH</w:t>
      </w:r>
      <w:r w:rsidRPr="00FB57D4">
        <w:rPr>
          <w:rFonts w:eastAsia="Times New Roman"/>
          <w:sz w:val="20"/>
          <w:szCs w:val="20"/>
        </w:rPr>
        <w:t xml:space="preserve"> na posameznih institucijah zaradi preiskav zoper delovanje institucije s strani pristojnih organov ne morejo izvesti preverbe verodostojnosti, ker v času preiskave ni omogočen vpogled v matične knjige institucij, o tem obvestijo MVZI. V teh primerih MVZI ustavi postopek vrednotenja izobraževanja iz </w:t>
      </w:r>
      <w:r w:rsidR="00945E65">
        <w:rPr>
          <w:rFonts w:eastAsia="Times New Roman"/>
          <w:sz w:val="20"/>
          <w:szCs w:val="20"/>
        </w:rPr>
        <w:t>BiH</w:t>
      </w:r>
      <w:r w:rsidRPr="00FB57D4">
        <w:rPr>
          <w:rFonts w:eastAsia="Times New Roman"/>
          <w:sz w:val="20"/>
          <w:szCs w:val="20"/>
        </w:rPr>
        <w:t xml:space="preserve"> do prejema potrebnih informacij iz države izvora listine o izobraževanju. V primerih pridobljenih informacij pristojnih organov iz države izvora izobraževanja, ki izkazujejo sum na ponarejene listine, so primeri skladno z zakonodajo predani v obravnavo organom pregona v RS.</w:t>
      </w:r>
    </w:p>
    <w:p w14:paraId="2FAFCACB" w14:textId="77777777" w:rsidR="00FB57D4" w:rsidRPr="00FB57D4" w:rsidRDefault="00FB57D4" w:rsidP="006C0DAC">
      <w:pPr>
        <w:spacing w:line="276" w:lineRule="auto"/>
        <w:rPr>
          <w:rFonts w:eastAsia="Times New Roman"/>
          <w:sz w:val="20"/>
          <w:szCs w:val="20"/>
        </w:rPr>
      </w:pPr>
      <w:r w:rsidRPr="00FB57D4">
        <w:rPr>
          <w:rFonts w:eastAsia="Times New Roman"/>
          <w:sz w:val="20"/>
          <w:szCs w:val="20"/>
        </w:rPr>
        <w:t xml:space="preserve">Predstavniki CIP (Centar za informiranje i priznavanje dokumenata iz oblasti/područja visokog obrazovanja) in RS se redno srečujejo in dobro sodelujejo z namenom sprotnega reševanja odprtih vprašanj v zvezi s priznavanjem in vrednotenjem listin o izobraževanju iz </w:t>
      </w:r>
      <w:r w:rsidR="00945E65">
        <w:rPr>
          <w:rFonts w:eastAsia="Times New Roman"/>
          <w:sz w:val="20"/>
          <w:szCs w:val="20"/>
        </w:rPr>
        <w:t>BiH</w:t>
      </w:r>
      <w:r w:rsidRPr="00FB57D4">
        <w:rPr>
          <w:rFonts w:eastAsia="Times New Roman"/>
          <w:sz w:val="20"/>
          <w:szCs w:val="20"/>
        </w:rPr>
        <w:t xml:space="preserve"> in RS.</w:t>
      </w:r>
    </w:p>
    <w:p w14:paraId="0603A8B7" w14:textId="77777777" w:rsidR="00FB57D4" w:rsidRPr="00FB57D4" w:rsidRDefault="00FB57D4" w:rsidP="006C0DAC">
      <w:pPr>
        <w:spacing w:line="276" w:lineRule="auto"/>
        <w:rPr>
          <w:rFonts w:eastAsia="Times New Roman"/>
          <w:sz w:val="20"/>
          <w:szCs w:val="20"/>
        </w:rPr>
      </w:pPr>
    </w:p>
    <w:p w14:paraId="556C1539" w14:textId="77777777" w:rsidR="00FB57D4" w:rsidRPr="00C23AB5" w:rsidRDefault="00FB57D4" w:rsidP="006C0DAC">
      <w:pPr>
        <w:spacing w:line="276" w:lineRule="auto"/>
        <w:rPr>
          <w:rFonts w:eastAsia="Times New Roman"/>
          <w:b/>
          <w:sz w:val="20"/>
          <w:szCs w:val="20"/>
        </w:rPr>
      </w:pPr>
      <w:r w:rsidRPr="00C23AB5">
        <w:rPr>
          <w:rFonts w:eastAsia="Times New Roman"/>
          <w:b/>
          <w:sz w:val="20"/>
          <w:szCs w:val="20"/>
        </w:rPr>
        <w:t xml:space="preserve">Srbija </w:t>
      </w:r>
    </w:p>
    <w:p w14:paraId="2E771402" w14:textId="77777777" w:rsidR="00FB57D4" w:rsidRPr="00FB57D4" w:rsidRDefault="00FB57D4" w:rsidP="006C0DAC">
      <w:pPr>
        <w:spacing w:line="276" w:lineRule="auto"/>
        <w:rPr>
          <w:rFonts w:eastAsia="Times New Roman"/>
          <w:sz w:val="20"/>
          <w:szCs w:val="20"/>
        </w:rPr>
      </w:pPr>
      <w:r w:rsidRPr="00FB57D4">
        <w:rPr>
          <w:rFonts w:eastAsia="Times New Roman"/>
          <w:sz w:val="20"/>
          <w:szCs w:val="20"/>
        </w:rPr>
        <w:t>Sodelovanje in komunikacija z institucijami pristojnimi za vrednotenje in priznavanje izobraževanja in izobraževalnimi institucijami poteka ustaljeno. Posredovane informacije o izobraževalnem sistemu in institucijah/programih so transparentne. Občasno ENIC NARIC center opaža neodzivnost pristojnih organov, povezanih z vrednotenjem in priznavanjem v Srbiji, kadar so politično odprte teme, povezane z območjem Kosovske Mitrovice ter drugimi mesti, kot so Gračanica-Priština in Zvečan. Zavedamo se kompleksnosti teh zadev in razumemo, da pristojni organi potrebujejo čas za temeljito analizo ter odzivanje na zahtevna vprašanja.</w:t>
      </w:r>
    </w:p>
    <w:p w14:paraId="29476493" w14:textId="77777777" w:rsidR="00FB57D4" w:rsidRPr="00FB57D4" w:rsidRDefault="00FB57D4" w:rsidP="006C0DAC">
      <w:pPr>
        <w:spacing w:line="276" w:lineRule="auto"/>
        <w:rPr>
          <w:rFonts w:eastAsia="Times New Roman"/>
          <w:sz w:val="20"/>
          <w:szCs w:val="20"/>
        </w:rPr>
      </w:pPr>
    </w:p>
    <w:p w14:paraId="32EA18B2" w14:textId="77777777" w:rsidR="00FB57D4" w:rsidRPr="00C23AB5" w:rsidRDefault="00FB57D4" w:rsidP="006C0DAC">
      <w:pPr>
        <w:spacing w:line="276" w:lineRule="auto"/>
        <w:rPr>
          <w:rFonts w:eastAsia="Times New Roman"/>
          <w:b/>
          <w:sz w:val="20"/>
          <w:szCs w:val="20"/>
        </w:rPr>
      </w:pPr>
      <w:r w:rsidRPr="00C23AB5">
        <w:rPr>
          <w:rFonts w:eastAsia="Times New Roman"/>
          <w:b/>
          <w:sz w:val="20"/>
          <w:szCs w:val="20"/>
        </w:rPr>
        <w:t>Črna gora</w:t>
      </w:r>
    </w:p>
    <w:p w14:paraId="59C22E78" w14:textId="77777777" w:rsidR="00FB57D4" w:rsidRPr="00FB57D4" w:rsidRDefault="00FB57D4" w:rsidP="006C0DAC">
      <w:pPr>
        <w:spacing w:line="276" w:lineRule="auto"/>
        <w:rPr>
          <w:rFonts w:eastAsia="Times New Roman"/>
          <w:sz w:val="20"/>
          <w:szCs w:val="20"/>
        </w:rPr>
      </w:pPr>
      <w:r w:rsidRPr="00FB57D4">
        <w:rPr>
          <w:rFonts w:eastAsia="Times New Roman"/>
          <w:sz w:val="20"/>
          <w:szCs w:val="20"/>
        </w:rPr>
        <w:t>Sodelovanje in komunikacija z institucijami pristojnimi za vrednotenje in priznavanje izobraževanja ter izobraževalnimi institucijami poteka ustaljeno. Posredovane informacije o izobraževalnem sistemu in institucijah/programih so transparentne.</w:t>
      </w:r>
    </w:p>
    <w:p w14:paraId="097D8837" w14:textId="77777777" w:rsidR="00FB57D4" w:rsidRPr="00FB57D4" w:rsidRDefault="00FB57D4" w:rsidP="006C0DAC">
      <w:pPr>
        <w:spacing w:line="276" w:lineRule="auto"/>
        <w:rPr>
          <w:rFonts w:eastAsia="Times New Roman"/>
          <w:sz w:val="20"/>
          <w:szCs w:val="20"/>
        </w:rPr>
      </w:pPr>
    </w:p>
    <w:p w14:paraId="2FDF588F" w14:textId="77777777" w:rsidR="00FB57D4" w:rsidRPr="00C23AB5" w:rsidRDefault="00FB57D4" w:rsidP="006C0DAC">
      <w:pPr>
        <w:spacing w:line="276" w:lineRule="auto"/>
        <w:rPr>
          <w:rFonts w:eastAsia="Times New Roman"/>
          <w:b/>
          <w:sz w:val="20"/>
          <w:szCs w:val="20"/>
        </w:rPr>
      </w:pPr>
      <w:r w:rsidRPr="00C23AB5">
        <w:rPr>
          <w:rFonts w:eastAsia="Times New Roman"/>
          <w:b/>
          <w:sz w:val="20"/>
          <w:szCs w:val="20"/>
        </w:rPr>
        <w:t>Severna Makedonija:</w:t>
      </w:r>
    </w:p>
    <w:p w14:paraId="265530BB" w14:textId="77777777" w:rsidR="00FB57D4" w:rsidRDefault="00FB57D4" w:rsidP="006C0DAC">
      <w:pPr>
        <w:spacing w:line="276" w:lineRule="auto"/>
        <w:rPr>
          <w:rFonts w:eastAsia="Times New Roman"/>
          <w:sz w:val="20"/>
          <w:szCs w:val="20"/>
        </w:rPr>
      </w:pPr>
      <w:r w:rsidRPr="00FB57D4">
        <w:rPr>
          <w:rFonts w:eastAsia="Times New Roman"/>
          <w:sz w:val="20"/>
          <w:szCs w:val="20"/>
        </w:rPr>
        <w:t>Sodelovanje in komunikacija z institucijami pristojnimi za vrednotenje in priznavanje izobraževanja in izobraževalnimi institucijami poteka ustaljeno.</w:t>
      </w:r>
    </w:p>
    <w:p w14:paraId="2D3B340D" w14:textId="77777777" w:rsidR="006C0DAC" w:rsidRPr="00FB57D4" w:rsidRDefault="006C0DAC" w:rsidP="006C0DAC">
      <w:pPr>
        <w:spacing w:line="276" w:lineRule="auto"/>
        <w:rPr>
          <w:rFonts w:eastAsia="Times New Roman"/>
          <w:b/>
          <w:bCs/>
          <w:sz w:val="20"/>
          <w:szCs w:val="20"/>
        </w:rPr>
      </w:pPr>
    </w:p>
    <w:p w14:paraId="5348A074" w14:textId="77777777" w:rsidR="00F00074" w:rsidRPr="00140B34" w:rsidRDefault="00F00074" w:rsidP="006C0DAC">
      <w:pPr>
        <w:spacing w:line="276" w:lineRule="auto"/>
        <w:rPr>
          <w:rFonts w:eastAsia="Times New Roman"/>
          <w:noProof/>
          <w:sz w:val="20"/>
          <w:szCs w:val="20"/>
          <w:highlight w:val="yellow"/>
        </w:rPr>
      </w:pPr>
    </w:p>
    <w:p w14:paraId="244051CB" w14:textId="77777777" w:rsidR="005547B0" w:rsidRPr="003B6034" w:rsidRDefault="005547B0" w:rsidP="00411064">
      <w:pPr>
        <w:pStyle w:val="Heading2"/>
      </w:pPr>
      <w:bookmarkStart w:id="54" w:name="_Toc227227988"/>
      <w:r w:rsidRPr="003B6034">
        <w:t>Sodelovanje v kulturi in medkulturni dialog</w:t>
      </w:r>
      <w:bookmarkEnd w:id="54"/>
    </w:p>
    <w:p w14:paraId="528E8F71" w14:textId="77777777" w:rsidR="005547B0" w:rsidRPr="00140B34" w:rsidRDefault="005547B0" w:rsidP="00411064">
      <w:pPr>
        <w:spacing w:line="276" w:lineRule="auto"/>
        <w:rPr>
          <w:rFonts w:eastAsia="Times New Roman"/>
          <w:noProof/>
          <w:sz w:val="20"/>
          <w:szCs w:val="20"/>
          <w:highlight w:val="yellow"/>
        </w:rPr>
      </w:pPr>
    </w:p>
    <w:p w14:paraId="4221D2D1" w14:textId="77777777" w:rsidR="00251281" w:rsidRPr="00251281" w:rsidRDefault="00251281" w:rsidP="006C0DAC">
      <w:pPr>
        <w:spacing w:after="160" w:line="276" w:lineRule="auto"/>
        <w:rPr>
          <w:rFonts w:eastAsia="Aptos"/>
          <w:b/>
          <w:bCs/>
          <w:kern w:val="2"/>
          <w:sz w:val="20"/>
          <w:szCs w:val="20"/>
        </w:rPr>
      </w:pPr>
      <w:r w:rsidRPr="00251281">
        <w:rPr>
          <w:rFonts w:eastAsia="Aptos"/>
          <w:b/>
          <w:bCs/>
          <w:kern w:val="2"/>
          <w:sz w:val="20"/>
          <w:szCs w:val="20"/>
        </w:rPr>
        <w:t>Vizualne umetnosti, arhitektura in oblikovanje</w:t>
      </w:r>
    </w:p>
    <w:p w14:paraId="26A183EE" w14:textId="77777777" w:rsidR="00251281" w:rsidRPr="00251281" w:rsidRDefault="00251281" w:rsidP="006C0DAC">
      <w:pPr>
        <w:spacing w:after="160" w:line="276" w:lineRule="auto"/>
        <w:rPr>
          <w:rFonts w:eastAsia="Aptos"/>
          <w:kern w:val="2"/>
          <w:sz w:val="20"/>
          <w:szCs w:val="20"/>
        </w:rPr>
      </w:pPr>
      <w:r w:rsidRPr="00251281">
        <w:rPr>
          <w:rFonts w:eastAsia="Aptos"/>
          <w:kern w:val="2"/>
          <w:sz w:val="20"/>
          <w:szCs w:val="20"/>
        </w:rPr>
        <w:t xml:space="preserve">Slovenski ustvarjalci so se v 2025 udeležili različnih likovnih kolonij, kot je najstarejša jugoslovanska likovna kolonija Sićevo v Srbiji, kjer je bila slikarka Ana Sluga, ali Regionalna likovna kolonija Slovenci v Tuzli v okviru Dnevov slovenske kulture v Tuzli z več slovenskimi predstavniki. Društvo likovnih akademskih umetnikov Zenica je na 54. pomladnem likovnem salonu med drugim predstavljalo dela Lojzeta Kalinška. V prostorih Hiše Evropske unije v Sarajevu so postavili fotografsko razstavo Varuhinje rek, ki sta jo pripravila Alja Bulič in Erik Valenčič; predstavili sta se Katja Bidovec in Manca Juvan. V sklopu fotografskih predstavitev izstopa še gostovanje Katarine Kolenc in Andreje Ravnak na Sarajevo Photography Festival. Veliko samostojno kiparsko razstavo je v galeriji Muzeja sodobne umetnosti v Podgorici doživel Mirsad Begić, samostojno se je v Trdnjavi Golubac v Srbiji predstavil tudi kipar Boštjan Kavčič. S predstavitvijo Ausstellung! Laibach Kunst – Sloboda predvodi narod je v beograjski galeriji Dots gostoval kolektiv Laibach. Vse bolj perspektivno je sodelovanje oblikovalcev v regiji, Fluid Design Foruma v Črni Gori se je udeležil Zoran Pungerčar. </w:t>
      </w:r>
    </w:p>
    <w:p w14:paraId="1D4EF96F" w14:textId="77777777" w:rsidR="00251281" w:rsidRPr="00251281" w:rsidRDefault="00251281" w:rsidP="006C0DAC">
      <w:pPr>
        <w:spacing w:after="160" w:line="276" w:lineRule="auto"/>
        <w:rPr>
          <w:rFonts w:eastAsia="Aptos"/>
          <w:b/>
          <w:bCs/>
          <w:kern w:val="2"/>
          <w:sz w:val="20"/>
          <w:szCs w:val="20"/>
        </w:rPr>
      </w:pPr>
      <w:r w:rsidRPr="00251281">
        <w:rPr>
          <w:rFonts w:eastAsia="Aptos"/>
          <w:b/>
          <w:bCs/>
          <w:kern w:val="2"/>
          <w:sz w:val="20"/>
          <w:szCs w:val="20"/>
        </w:rPr>
        <w:t xml:space="preserve">Knjiga </w:t>
      </w:r>
    </w:p>
    <w:p w14:paraId="79C3E519" w14:textId="77777777" w:rsidR="006C0DAC" w:rsidRDefault="00251281" w:rsidP="006C0DAC">
      <w:pPr>
        <w:spacing w:after="160" w:line="276" w:lineRule="auto"/>
        <w:rPr>
          <w:rFonts w:eastAsia="Aptos"/>
          <w:kern w:val="2"/>
          <w:sz w:val="20"/>
          <w:szCs w:val="20"/>
        </w:rPr>
      </w:pPr>
      <w:r w:rsidRPr="00251281">
        <w:rPr>
          <w:rFonts w:eastAsia="Aptos"/>
          <w:kern w:val="2"/>
          <w:sz w:val="20"/>
          <w:szCs w:val="20"/>
        </w:rPr>
        <w:t xml:space="preserve">V okviru nacionalnih predstavitev literarne ustvarjalnosti v tujini je Javna agencija za knjigo RS v letu 2025 izvedla različna srečanja. Tudi sicer redno sofinancirajo prevode slovenskih avtorjev v jezike držav Zahodnega Balkana ter udeležbe avtorjev na dogodkih na tem območju. Na pobudo Slovenskega centra PEN je bila že junija 2021 znotraj mednarodnega odbora na 53. Blejskem srečanju ustanovljena Skupina za Balkan, od takrat potekajo redna srečanja. Mednarodni in slovenski PEN se tako že vrsto let trudita pomagati PEN </w:t>
      </w:r>
      <w:r w:rsidR="00945E65">
        <w:rPr>
          <w:rFonts w:eastAsia="Aptos"/>
          <w:kern w:val="2"/>
          <w:sz w:val="20"/>
          <w:szCs w:val="20"/>
        </w:rPr>
        <w:t>BiH</w:t>
      </w:r>
      <w:r w:rsidRPr="00251281">
        <w:rPr>
          <w:rFonts w:eastAsia="Aptos"/>
          <w:kern w:val="2"/>
          <w:sz w:val="20"/>
          <w:szCs w:val="20"/>
        </w:rPr>
        <w:t>, tudi prek omogočanja brezplačne udeležbe na Blejskih srečanjih.</w:t>
      </w:r>
      <w:bookmarkStart w:id="55" w:name="_Hlk156804325"/>
    </w:p>
    <w:p w14:paraId="6B38DEC0" w14:textId="77777777" w:rsidR="006C0DAC" w:rsidRDefault="00251281" w:rsidP="006C0DAC">
      <w:pPr>
        <w:spacing w:after="160" w:line="276" w:lineRule="auto"/>
        <w:rPr>
          <w:rFonts w:eastAsia="Aptos"/>
          <w:kern w:val="2"/>
          <w:sz w:val="20"/>
          <w:szCs w:val="20"/>
        </w:rPr>
      </w:pPr>
      <w:r w:rsidRPr="00251281">
        <w:rPr>
          <w:b/>
          <w:bCs/>
          <w:sz w:val="20"/>
          <w:szCs w:val="20"/>
        </w:rPr>
        <w:t>Pooblaščeni in državni muzeji</w:t>
      </w:r>
    </w:p>
    <w:p w14:paraId="7FC65086" w14:textId="77777777" w:rsidR="00251281" w:rsidRPr="0040189A" w:rsidRDefault="00251281" w:rsidP="0040189A">
      <w:pPr>
        <w:spacing w:after="160" w:line="276" w:lineRule="auto"/>
        <w:rPr>
          <w:rFonts w:eastAsia="Aptos"/>
          <w:kern w:val="2"/>
          <w:sz w:val="20"/>
          <w:szCs w:val="20"/>
        </w:rPr>
      </w:pPr>
      <w:r w:rsidRPr="00251281">
        <w:rPr>
          <w:sz w:val="20"/>
          <w:szCs w:val="20"/>
        </w:rPr>
        <w:t xml:space="preserve">Najbolj intenzivno je sodelovanje z institucijami v Srbiji. Muzej narodne osvoboditve Maribor je gostoval v Narodnem muzeju v Nišu, Srbsko kulturno društvo Mihajlo Pupin pa je gostovalo v Fotografskem muzeju Maribor. Gornjesavski muzej Jesenice je posodil predmete Muzeju Jugoslavije za razstavo ob 90 letnici atentata na kralja Aleksandra Karađorđevića. MGLC kontinuirano izmenjuje znanja, sodeluje na delavnicah in rezidencah s Centrom za grafiko in vizualna raziskovanja, ALU Beograd. Obalne galerije Piran so v okviru EPK GO25! v Krajinskem parku Sečovlje s partnerji, med njimi tudi Muzejem savremene umetnosti Beograd, izvedle projekt s področja sodobne umetnosti. Aktivno udeležbo s predavanji in prispevki beležita Pokrajinski muzej Koper na letnem kongresu arheologov v Beogradu in Pokrajinski muzej Ptuj-Ormož na 18. mednarodnem kolokviju o rimski provincionalni umetnosti na Filozofski fakulteti Univerze v Beogradu. Dolenjski muzej je sodeloval pri postavitvi razstave umetnikov iz </w:t>
      </w:r>
      <w:r w:rsidR="00AA57C1">
        <w:rPr>
          <w:rFonts w:eastAsia="Aptos"/>
          <w:kern w:val="2"/>
          <w:sz w:val="20"/>
          <w:szCs w:val="20"/>
        </w:rPr>
        <w:t>BiH</w:t>
      </w:r>
      <w:r w:rsidR="00AA57C1" w:rsidRPr="00251281">
        <w:rPr>
          <w:sz w:val="20"/>
          <w:szCs w:val="20"/>
        </w:rPr>
        <w:t xml:space="preserve"> </w:t>
      </w:r>
      <w:r w:rsidRPr="00251281">
        <w:rPr>
          <w:sz w:val="20"/>
          <w:szCs w:val="20"/>
        </w:rPr>
        <w:t xml:space="preserve">v sodelovanju z Zgodovinskim muzejem in ALU Sarajevo. Notranjski muzej strokovno sodeluje z </w:t>
      </w:r>
      <w:proofErr w:type="spellStart"/>
      <w:r w:rsidRPr="00251281">
        <w:rPr>
          <w:sz w:val="20"/>
          <w:szCs w:val="20"/>
        </w:rPr>
        <w:t>Zemaljskim</w:t>
      </w:r>
      <w:proofErr w:type="spellEnd"/>
      <w:r w:rsidRPr="00251281">
        <w:rPr>
          <w:sz w:val="20"/>
          <w:szCs w:val="20"/>
        </w:rPr>
        <w:t xml:space="preserve"> muzejem </w:t>
      </w:r>
      <w:r w:rsidR="00AA57C1">
        <w:rPr>
          <w:rFonts w:eastAsia="Aptos"/>
          <w:kern w:val="2"/>
          <w:sz w:val="20"/>
          <w:szCs w:val="20"/>
        </w:rPr>
        <w:t>BiH</w:t>
      </w:r>
      <w:r w:rsidR="00AA57C1" w:rsidRPr="00251281">
        <w:rPr>
          <w:sz w:val="20"/>
          <w:szCs w:val="20"/>
        </w:rPr>
        <w:t xml:space="preserve"> </w:t>
      </w:r>
      <w:r w:rsidRPr="00251281">
        <w:rPr>
          <w:sz w:val="20"/>
          <w:szCs w:val="20"/>
        </w:rPr>
        <w:t xml:space="preserve">pri proučevanju jamskih hroščev. Prirodoslovni muzej Slovenije je v letu 2025 sodeloval z Albanijo na kongresu 10th European Hemiptera Congress (v okviru Bioakustične raziskave škržadov). </w:t>
      </w:r>
      <w:r w:rsidRPr="00251281">
        <w:rPr>
          <w:rFonts w:eastAsia="Times New Roman"/>
          <w:noProof/>
          <w:sz w:val="20"/>
          <w:szCs w:val="20"/>
          <w:lang w:eastAsia="sl-SI"/>
        </w:rPr>
        <w:t>S Srbijo so poleg projektov Made In 2.0 (MAO) in STANDUP (MNSZS) sodelovali Narodni muzej Slovenije s p</w:t>
      </w:r>
      <w:r w:rsidRPr="00251281">
        <w:rPr>
          <w:rFonts w:eastAsia="Times New Roman"/>
          <w:sz w:val="20"/>
          <w:szCs w:val="20"/>
          <w:lang w:eastAsia="sl-SI"/>
        </w:rPr>
        <w:t>rijavo akcije z naslovom The Complex World of Caves: A Hyperdisciplinary Approach na razpis za financiranje iz sklada COST (EU) in Narodna galerija s pedagoškimi programi.</w:t>
      </w:r>
    </w:p>
    <w:p w14:paraId="760C30B8" w14:textId="77777777" w:rsidR="00251281" w:rsidRPr="00251281" w:rsidRDefault="00251281" w:rsidP="006C0DAC">
      <w:pPr>
        <w:spacing w:line="276" w:lineRule="auto"/>
        <w:rPr>
          <w:rFonts w:eastAsia="Times New Roman"/>
          <w:noProof/>
          <w:sz w:val="20"/>
          <w:szCs w:val="20"/>
          <w:lang w:eastAsia="sl-SI"/>
        </w:rPr>
      </w:pPr>
      <w:r w:rsidRPr="00251281">
        <w:rPr>
          <w:rFonts w:eastAsia="Times New Roman"/>
          <w:noProof/>
          <w:sz w:val="20"/>
          <w:szCs w:val="20"/>
          <w:lang w:eastAsia="sl-SI"/>
        </w:rPr>
        <w:t xml:space="preserve">Mednarodna poletna šola je avgusta 2025 potekala kot "nomadska" šola v Ljubljani, Beogradu in Podgorici. Pri programu so sodelovali Muzej sodobne umetnosti Črne Gore, Muzej afriške umetnosti Beograd in Institut of Radical Imagination. Program pokriva teme, ki so povezane z zbirkami vseh treh muzejev, različnimi pogledi na tematiko Vzhoda in migracijami. </w:t>
      </w:r>
    </w:p>
    <w:p w14:paraId="4CB5EF6A" w14:textId="77777777" w:rsidR="00251281" w:rsidRPr="00251281" w:rsidRDefault="00251281" w:rsidP="006C0DAC">
      <w:pPr>
        <w:spacing w:line="276" w:lineRule="auto"/>
        <w:rPr>
          <w:rFonts w:eastAsia="Times New Roman"/>
          <w:color w:val="000000"/>
          <w:sz w:val="20"/>
          <w:szCs w:val="20"/>
          <w:lang w:eastAsia="sl-SI"/>
        </w:rPr>
      </w:pPr>
      <w:r w:rsidRPr="00251281">
        <w:rPr>
          <w:rFonts w:eastAsia="Times New Roman"/>
          <w:color w:val="000000"/>
          <w:sz w:val="20"/>
          <w:szCs w:val="20"/>
          <w:lang w:eastAsia="sl-SI"/>
        </w:rPr>
        <w:t xml:space="preserve">Z Romunijo in </w:t>
      </w:r>
      <w:r w:rsidR="002D61B1">
        <w:rPr>
          <w:rFonts w:eastAsia="Times New Roman"/>
          <w:color w:val="000000"/>
          <w:sz w:val="20"/>
          <w:szCs w:val="20"/>
          <w:lang w:eastAsia="sl-SI"/>
        </w:rPr>
        <w:t>BiH</w:t>
      </w:r>
      <w:r w:rsidRPr="00251281">
        <w:rPr>
          <w:rFonts w:eastAsia="Times New Roman"/>
          <w:color w:val="000000"/>
          <w:sz w:val="20"/>
          <w:szCs w:val="20"/>
          <w:lang w:eastAsia="sl-SI"/>
        </w:rPr>
        <w:t xml:space="preserve"> je nastala razstava "Bajević &amp; Bejenaru", ki združuje dela Maje Bajević in Mateia Bejenaruja, dveh uveljavljenih umetnikov, ki obravnavata družbeno-politične spremembe, tranzicijo in posledice vojne v svojih državah, </w:t>
      </w:r>
      <w:r w:rsidR="002D61B1">
        <w:rPr>
          <w:rFonts w:eastAsia="Times New Roman"/>
          <w:color w:val="000000"/>
          <w:sz w:val="20"/>
          <w:szCs w:val="20"/>
          <w:lang w:eastAsia="sl-SI"/>
        </w:rPr>
        <w:t>BiH</w:t>
      </w:r>
      <w:r w:rsidR="002D61B1" w:rsidRPr="00251281">
        <w:rPr>
          <w:rFonts w:eastAsia="Times New Roman"/>
          <w:color w:val="000000"/>
          <w:sz w:val="20"/>
          <w:szCs w:val="20"/>
          <w:lang w:eastAsia="sl-SI"/>
        </w:rPr>
        <w:t xml:space="preserve"> </w:t>
      </w:r>
      <w:r w:rsidRPr="00251281">
        <w:rPr>
          <w:rFonts w:eastAsia="Times New Roman"/>
          <w:color w:val="000000"/>
          <w:sz w:val="20"/>
          <w:szCs w:val="20"/>
          <w:lang w:eastAsia="sl-SI"/>
        </w:rPr>
        <w:t xml:space="preserve">ter Romuniji. </w:t>
      </w:r>
    </w:p>
    <w:p w14:paraId="7AAE96FC" w14:textId="77777777" w:rsidR="00251281" w:rsidRPr="00B2787F" w:rsidRDefault="00251281" w:rsidP="006C0DAC">
      <w:pPr>
        <w:spacing w:line="276" w:lineRule="auto"/>
        <w:rPr>
          <w:rFonts w:eastAsia="Times New Roman"/>
          <w:color w:val="000000"/>
          <w:lang w:eastAsia="sl-SI"/>
        </w:rPr>
      </w:pPr>
    </w:p>
    <w:p w14:paraId="16E34DD1" w14:textId="77777777" w:rsidR="00251281" w:rsidRPr="00251281" w:rsidRDefault="00251281" w:rsidP="006C0DAC">
      <w:pPr>
        <w:spacing w:line="276" w:lineRule="auto"/>
        <w:rPr>
          <w:b/>
          <w:bCs/>
          <w:sz w:val="20"/>
          <w:szCs w:val="20"/>
        </w:rPr>
      </w:pPr>
      <w:r w:rsidRPr="00251281">
        <w:rPr>
          <w:b/>
          <w:bCs/>
          <w:sz w:val="20"/>
          <w:szCs w:val="20"/>
        </w:rPr>
        <w:t>Knjižnična dejavnost</w:t>
      </w:r>
    </w:p>
    <w:p w14:paraId="292CFF9A" w14:textId="77777777" w:rsidR="00251281" w:rsidRPr="00251281" w:rsidRDefault="00251281" w:rsidP="006C0DAC">
      <w:pPr>
        <w:spacing w:line="276" w:lineRule="auto"/>
        <w:rPr>
          <w:sz w:val="20"/>
          <w:szCs w:val="20"/>
        </w:rPr>
      </w:pPr>
      <w:r w:rsidRPr="00251281">
        <w:rPr>
          <w:sz w:val="20"/>
          <w:szCs w:val="20"/>
        </w:rPr>
        <w:t xml:space="preserve">V letu 2025 je </w:t>
      </w:r>
      <w:r w:rsidR="000F7C9A" w:rsidRPr="000F7C9A">
        <w:rPr>
          <w:sz w:val="20"/>
          <w:szCs w:val="20"/>
        </w:rPr>
        <w:t xml:space="preserve">Narodna in univerzitetna knjižnica (NUK) </w:t>
      </w:r>
      <w:r w:rsidRPr="00251281">
        <w:rPr>
          <w:sz w:val="20"/>
          <w:szCs w:val="20"/>
        </w:rPr>
        <w:t xml:space="preserve">na področju medknjižnične izposoje sodeloval s Srbijo in Makedonijo, nekaj malega tudi s Črno Goro. Zaradi slabše razvitega tamkajšnjega medknjižničnega servisa, tesnejših stikov s Kosovim in njihovo nacionalno knjižnico niso uspeli navezati, čeprav je zaznana potreba uporabnikov NUK po njihovi literaturi. Nekaj tovrstnega gradiva uspe NUK pridobiti iz knjižnic Zahodne Evrope, predvsem Nemčije. Velik problem pri izmenjavi gradiva še vedno predstavljajo carinski postopki. Težave poskušajo reševati tako v </w:t>
      </w:r>
      <w:r w:rsidR="002B4FDA">
        <w:rPr>
          <w:sz w:val="20"/>
          <w:szCs w:val="20"/>
        </w:rPr>
        <w:t>RS</w:t>
      </w:r>
      <w:r w:rsidRPr="00251281">
        <w:rPr>
          <w:sz w:val="20"/>
          <w:szCs w:val="20"/>
        </w:rPr>
        <w:t xml:space="preserve"> kot tudi v državah pošiljateljicah (Srbija, </w:t>
      </w:r>
      <w:r w:rsidR="00945E65">
        <w:rPr>
          <w:sz w:val="20"/>
          <w:szCs w:val="20"/>
        </w:rPr>
        <w:t>BiH</w:t>
      </w:r>
      <w:r w:rsidRPr="00251281">
        <w:rPr>
          <w:sz w:val="20"/>
          <w:szCs w:val="20"/>
        </w:rPr>
        <w:t>, Črna Gora, Makedonija). Ker se knjige redno zaustavljajo na carinski pošti, poskušajo pridobiti čim več gradiva v elektronski obliki.</w:t>
      </w:r>
    </w:p>
    <w:p w14:paraId="3E568505" w14:textId="77777777" w:rsidR="00251281" w:rsidRPr="00251281" w:rsidRDefault="00251281" w:rsidP="006C0DAC">
      <w:pPr>
        <w:spacing w:line="276" w:lineRule="auto"/>
        <w:rPr>
          <w:sz w:val="20"/>
          <w:szCs w:val="20"/>
        </w:rPr>
      </w:pPr>
    </w:p>
    <w:p w14:paraId="1839F500" w14:textId="77777777" w:rsidR="00251281" w:rsidRDefault="00251281" w:rsidP="006C0DAC">
      <w:pPr>
        <w:spacing w:line="276" w:lineRule="auto"/>
        <w:rPr>
          <w:sz w:val="20"/>
          <w:szCs w:val="20"/>
        </w:rPr>
      </w:pPr>
      <w:r w:rsidRPr="00251281">
        <w:rPr>
          <w:sz w:val="20"/>
          <w:szCs w:val="20"/>
        </w:rPr>
        <w:t>Poleg navedenega NUK s Srbijo (Bibliotekarsko društvo Srbije) sodeluje tudi pri mednarodnem projektu E-ROUTES: Time travel routes through Europe. Cilj projekta je izbor, klasifikacija, opis in digitalizacija potopisnega gradiva od 18. stoletja do danes ter ustvarjanje in predstavitev novih (turističnih) tematskih poti. Nosilec projekta je Bibliotekarsko društvo Srbije, projekt je trajal med letoma 2022 in 2025.</w:t>
      </w:r>
    </w:p>
    <w:p w14:paraId="0278AEDC" w14:textId="77777777" w:rsidR="00087D9F" w:rsidRPr="00251281" w:rsidRDefault="00087D9F" w:rsidP="006C0DAC">
      <w:pPr>
        <w:spacing w:line="276" w:lineRule="auto"/>
        <w:rPr>
          <w:b/>
          <w:bCs/>
          <w:sz w:val="20"/>
          <w:szCs w:val="20"/>
        </w:rPr>
      </w:pPr>
    </w:p>
    <w:bookmarkEnd w:id="55"/>
    <w:p w14:paraId="6AD8E7B0" w14:textId="77777777" w:rsidR="00251281" w:rsidRDefault="00251281" w:rsidP="006C0DAC">
      <w:pPr>
        <w:spacing w:line="276" w:lineRule="auto"/>
        <w:rPr>
          <w:b/>
          <w:bCs/>
          <w:sz w:val="20"/>
          <w:szCs w:val="20"/>
        </w:rPr>
      </w:pPr>
      <w:r w:rsidRPr="00251281">
        <w:rPr>
          <w:b/>
          <w:bCs/>
          <w:sz w:val="20"/>
          <w:szCs w:val="20"/>
        </w:rPr>
        <w:t>Nesnovna kulturna dediščina</w:t>
      </w:r>
    </w:p>
    <w:p w14:paraId="1E3D4CDE" w14:textId="77777777" w:rsidR="00087D9F" w:rsidRPr="00251281" w:rsidRDefault="00087D9F" w:rsidP="006C0DAC">
      <w:pPr>
        <w:spacing w:line="276" w:lineRule="auto"/>
        <w:rPr>
          <w:b/>
          <w:bCs/>
          <w:sz w:val="20"/>
          <w:szCs w:val="20"/>
        </w:rPr>
      </w:pPr>
    </w:p>
    <w:p w14:paraId="30BAA9DB" w14:textId="77777777" w:rsidR="00251281" w:rsidRPr="00251281" w:rsidRDefault="00251281" w:rsidP="006C0DAC">
      <w:pPr>
        <w:spacing w:line="276" w:lineRule="auto"/>
        <w:rPr>
          <w:sz w:val="20"/>
          <w:szCs w:val="20"/>
        </w:rPr>
      </w:pPr>
      <w:r w:rsidRPr="00251281">
        <w:rPr>
          <w:sz w:val="20"/>
          <w:szCs w:val="20"/>
        </w:rPr>
        <w:t xml:space="preserve">V letu 2025 je Slovenski etnografski muzej (SEM) kot Koordinator varstva nesnovne kulturne dediščine z gradivom o nesnovni kulturni dediščini iz </w:t>
      </w:r>
      <w:r w:rsidR="000E7824">
        <w:rPr>
          <w:sz w:val="20"/>
          <w:szCs w:val="20"/>
        </w:rPr>
        <w:t>RS</w:t>
      </w:r>
      <w:r w:rsidRPr="00251281">
        <w:rPr>
          <w:sz w:val="20"/>
          <w:szCs w:val="20"/>
        </w:rPr>
        <w:t xml:space="preserve"> sodeloval na razstavi Srednjeevropske pobude – digitalni razstavi kulturne dediščine, ki je bila na ogled na spletni strani Etnografskega muzeja Beograd. SEM je kot Koordinator pripravil gradivo o dveh enotah, ki sta vpisani v Register nesnovne dediščine (Vezenje po narisku in Vezenje po štetih nitih).</w:t>
      </w:r>
    </w:p>
    <w:p w14:paraId="0412FBCC" w14:textId="77777777" w:rsidR="00251281" w:rsidRPr="00251281" w:rsidRDefault="00251281" w:rsidP="006C0DAC">
      <w:pPr>
        <w:spacing w:line="276" w:lineRule="auto"/>
        <w:rPr>
          <w:sz w:val="20"/>
          <w:szCs w:val="20"/>
        </w:rPr>
      </w:pPr>
    </w:p>
    <w:p w14:paraId="67526E4A" w14:textId="77777777" w:rsidR="00251281" w:rsidRPr="00251281" w:rsidRDefault="00251281" w:rsidP="006C0DAC">
      <w:pPr>
        <w:spacing w:line="276" w:lineRule="auto"/>
        <w:rPr>
          <w:b/>
          <w:bCs/>
          <w:sz w:val="20"/>
          <w:szCs w:val="20"/>
        </w:rPr>
      </w:pPr>
      <w:r w:rsidRPr="00251281">
        <w:rPr>
          <w:b/>
          <w:bCs/>
          <w:sz w:val="20"/>
          <w:szCs w:val="20"/>
        </w:rPr>
        <w:t>Svet ministrov za kulturo Jugovzhodne Evrope – CoMoCoSEE</w:t>
      </w:r>
    </w:p>
    <w:p w14:paraId="605DFB07" w14:textId="77777777" w:rsidR="00251281" w:rsidRPr="00251281" w:rsidRDefault="00251281" w:rsidP="006C0DAC">
      <w:pPr>
        <w:spacing w:line="276" w:lineRule="auto"/>
        <w:rPr>
          <w:b/>
          <w:bCs/>
          <w:sz w:val="20"/>
          <w:szCs w:val="20"/>
        </w:rPr>
      </w:pPr>
    </w:p>
    <w:p w14:paraId="107415D6" w14:textId="77777777" w:rsidR="00251281" w:rsidRPr="00251281" w:rsidRDefault="00251281" w:rsidP="006C0DAC">
      <w:pPr>
        <w:spacing w:line="276" w:lineRule="auto"/>
        <w:rPr>
          <w:sz w:val="20"/>
          <w:szCs w:val="20"/>
        </w:rPr>
      </w:pPr>
      <w:r w:rsidRPr="00251281">
        <w:rPr>
          <w:sz w:val="20"/>
          <w:szCs w:val="20"/>
        </w:rPr>
        <w:t xml:space="preserve">Med 11. in 13. decembrom 2025 je v Ohridu pod predsedovanjem Severne Makedonije potekalo zasedanje ministrov za kulturo držav </w:t>
      </w:r>
      <w:r w:rsidR="00F635D9">
        <w:rPr>
          <w:sz w:val="20"/>
          <w:szCs w:val="20"/>
        </w:rPr>
        <w:t>J</w:t>
      </w:r>
      <w:r w:rsidRPr="00251281">
        <w:rPr>
          <w:sz w:val="20"/>
          <w:szCs w:val="20"/>
        </w:rPr>
        <w:t xml:space="preserve">ugovzhodne Evrope v okviru pobude CoMoCoSEE, na katerem je </w:t>
      </w:r>
      <w:r w:rsidR="00531EA8">
        <w:rPr>
          <w:sz w:val="20"/>
          <w:szCs w:val="20"/>
        </w:rPr>
        <w:t>RS</w:t>
      </w:r>
      <w:r w:rsidRPr="00251281">
        <w:rPr>
          <w:sz w:val="20"/>
          <w:szCs w:val="20"/>
        </w:rPr>
        <w:t xml:space="preserve"> zastopal veleposlanik Gregor Presker; udeleženci so sprejeli deklaracijo, ki celostno utemeljuje skupno zavezo regije k varovanju, digitalni transformaciji, trajnostnemu upravljanju in poglabljanju mednarodnega sodelovanja na področju kulturne dediščine kot strateškega stebra trajnostnega in vključujočega razvoja.</w:t>
      </w:r>
    </w:p>
    <w:p w14:paraId="5076617F" w14:textId="77777777" w:rsidR="00251281" w:rsidRPr="00251281" w:rsidRDefault="00251281" w:rsidP="006C0DAC">
      <w:pPr>
        <w:spacing w:line="276" w:lineRule="auto"/>
        <w:rPr>
          <w:sz w:val="20"/>
          <w:szCs w:val="20"/>
        </w:rPr>
      </w:pPr>
    </w:p>
    <w:p w14:paraId="68872C29" w14:textId="77777777" w:rsidR="00251281" w:rsidRPr="00251281" w:rsidRDefault="00251281" w:rsidP="006C0DAC">
      <w:pPr>
        <w:spacing w:line="276" w:lineRule="auto"/>
        <w:rPr>
          <w:b/>
          <w:bCs/>
          <w:sz w:val="20"/>
          <w:szCs w:val="20"/>
        </w:rPr>
      </w:pPr>
      <w:r w:rsidRPr="00251281">
        <w:rPr>
          <w:b/>
          <w:bCs/>
          <w:sz w:val="20"/>
          <w:szCs w:val="20"/>
        </w:rPr>
        <w:t xml:space="preserve">Zavod za varstvo kulturne dediščine Slovenije </w:t>
      </w:r>
    </w:p>
    <w:p w14:paraId="24B617BC" w14:textId="77777777" w:rsidR="00251281" w:rsidRPr="00251281" w:rsidRDefault="00251281" w:rsidP="006C0DAC">
      <w:pPr>
        <w:spacing w:line="276" w:lineRule="auto"/>
        <w:rPr>
          <w:b/>
          <w:bCs/>
          <w:sz w:val="20"/>
          <w:szCs w:val="20"/>
        </w:rPr>
      </w:pPr>
    </w:p>
    <w:p w14:paraId="78B93DEB" w14:textId="77777777" w:rsidR="00251281" w:rsidRPr="00251281" w:rsidRDefault="00251281" w:rsidP="006C0DAC">
      <w:pPr>
        <w:spacing w:line="276" w:lineRule="auto"/>
        <w:rPr>
          <w:sz w:val="20"/>
          <w:szCs w:val="20"/>
        </w:rPr>
      </w:pPr>
      <w:r w:rsidRPr="00251281">
        <w:rPr>
          <w:sz w:val="20"/>
          <w:szCs w:val="20"/>
        </w:rPr>
        <w:t>Na povabilo Inštituta za antropološke in prostorske študije Znanstveno</w:t>
      </w:r>
      <w:r w:rsidRPr="00251281">
        <w:rPr>
          <w:sz w:val="20"/>
          <w:szCs w:val="20"/>
        </w:rPr>
        <w:noBreakHyphen/>
        <w:t>raziskovalnega centra Slovenske akademije znanosti in umetnosti, ki sodeluje v mednarodnem projektu STONE, sta dva arheologa iz Zavoda za varstvo kulturne dediščine Slovenije poleti 2025 sodelovala pri izvajanju arheološke raziskave na najdiščih Milavići, Baljci, Podosoje in Prijevor na območju občine Bileća v vzhodni Hercegovini.</w:t>
      </w:r>
    </w:p>
    <w:p w14:paraId="75894A2B" w14:textId="77777777" w:rsidR="00251281" w:rsidRDefault="00251281" w:rsidP="006C0DAC">
      <w:pPr>
        <w:spacing w:line="276" w:lineRule="auto"/>
        <w:rPr>
          <w:sz w:val="20"/>
          <w:szCs w:val="20"/>
        </w:rPr>
      </w:pPr>
      <w:r w:rsidRPr="00251281">
        <w:rPr>
          <w:sz w:val="20"/>
          <w:szCs w:val="20"/>
        </w:rPr>
        <w:t xml:space="preserve">Zavod za varstvo kulturne dediščine Slovenije je bil letos gostitelj 11. simpozija etnologov </w:t>
      </w:r>
      <w:r w:rsidRPr="00531EA8">
        <w:rPr>
          <w:sz w:val="20"/>
          <w:szCs w:val="20"/>
        </w:rPr>
        <w:t xml:space="preserve">konservatorjev </w:t>
      </w:r>
      <w:r w:rsidR="00531EA8">
        <w:rPr>
          <w:sz w:val="20"/>
          <w:szCs w:val="20"/>
        </w:rPr>
        <w:t>BiH</w:t>
      </w:r>
      <w:r w:rsidRPr="00531EA8">
        <w:rPr>
          <w:sz w:val="20"/>
          <w:szCs w:val="20"/>
        </w:rPr>
        <w:t>, Hrvaške, Severne Makedonije</w:t>
      </w:r>
      <w:r w:rsidRPr="00C90298">
        <w:rPr>
          <w:sz w:val="20"/>
          <w:szCs w:val="20"/>
        </w:rPr>
        <w:t xml:space="preserve">, </w:t>
      </w:r>
      <w:r w:rsidR="00531EA8">
        <w:rPr>
          <w:sz w:val="20"/>
          <w:szCs w:val="20"/>
        </w:rPr>
        <w:t>RS</w:t>
      </w:r>
      <w:r w:rsidRPr="006C0DAC">
        <w:rPr>
          <w:sz w:val="20"/>
          <w:szCs w:val="20"/>
        </w:rPr>
        <w:t xml:space="preserve"> in Srbije, ki se je odvijal v Mariboru oktobra 2025. </w:t>
      </w:r>
    </w:p>
    <w:p w14:paraId="2EEF3FBE" w14:textId="77777777" w:rsidR="006C0DAC" w:rsidRPr="00251281" w:rsidRDefault="006C0DAC" w:rsidP="006C0DAC">
      <w:pPr>
        <w:spacing w:line="276" w:lineRule="auto"/>
        <w:rPr>
          <w:sz w:val="22"/>
          <w:szCs w:val="22"/>
        </w:rPr>
      </w:pPr>
    </w:p>
    <w:p w14:paraId="2B6D3A0F" w14:textId="77777777" w:rsidR="00106040" w:rsidRPr="00140B34" w:rsidRDefault="00106040" w:rsidP="00411064">
      <w:pPr>
        <w:spacing w:line="276" w:lineRule="auto"/>
        <w:rPr>
          <w:sz w:val="20"/>
          <w:szCs w:val="20"/>
          <w:highlight w:val="yellow"/>
        </w:rPr>
      </w:pPr>
    </w:p>
    <w:p w14:paraId="185929B8" w14:textId="77777777" w:rsidR="005547B0" w:rsidRPr="00B939C1" w:rsidRDefault="005547B0" w:rsidP="00411064">
      <w:pPr>
        <w:pStyle w:val="Heading2"/>
      </w:pPr>
      <w:bookmarkStart w:id="56" w:name="_Toc227227989"/>
      <w:r w:rsidRPr="00B939C1">
        <w:t>Krepitev in povezovanje slovenske manjšine</w:t>
      </w:r>
      <w:bookmarkEnd w:id="56"/>
    </w:p>
    <w:p w14:paraId="2FA22A46" w14:textId="77777777" w:rsidR="00B673C7" w:rsidRPr="002D0E2C" w:rsidRDefault="00B673C7" w:rsidP="006C0DAC">
      <w:pPr>
        <w:spacing w:line="276" w:lineRule="auto"/>
        <w:rPr>
          <w:sz w:val="20"/>
          <w:szCs w:val="20"/>
          <w:lang w:eastAsia="sl-SI"/>
        </w:rPr>
      </w:pPr>
    </w:p>
    <w:p w14:paraId="7B3C7C45" w14:textId="77777777" w:rsidR="00FB7364" w:rsidRDefault="00FB7364" w:rsidP="006C0DAC">
      <w:pPr>
        <w:autoSpaceDE w:val="0"/>
        <w:autoSpaceDN w:val="0"/>
        <w:adjustRightInd w:val="0"/>
        <w:spacing w:line="276" w:lineRule="auto"/>
        <w:rPr>
          <w:rFonts w:eastAsia="Calibri"/>
          <w:sz w:val="20"/>
          <w:szCs w:val="20"/>
          <w:lang w:eastAsia="sl-SI"/>
        </w:rPr>
      </w:pPr>
      <w:r w:rsidRPr="002D0E2C">
        <w:rPr>
          <w:rFonts w:eastAsia="Calibri"/>
          <w:sz w:val="20"/>
          <w:szCs w:val="20"/>
          <w:lang w:eastAsia="sl-SI"/>
        </w:rPr>
        <w:t>V okviru svojih pristojnosti USZS skrbi tudi za slovensko skupnost na območju Zahodnega Balkana.</w:t>
      </w:r>
    </w:p>
    <w:p w14:paraId="5A784FC9" w14:textId="77777777" w:rsidR="002D0E2C" w:rsidRPr="002D0E2C" w:rsidRDefault="002D0E2C" w:rsidP="006C0DAC">
      <w:pPr>
        <w:autoSpaceDE w:val="0"/>
        <w:autoSpaceDN w:val="0"/>
        <w:adjustRightInd w:val="0"/>
        <w:spacing w:line="276" w:lineRule="auto"/>
        <w:rPr>
          <w:rFonts w:eastAsia="Calibri"/>
          <w:sz w:val="20"/>
          <w:szCs w:val="20"/>
          <w:lang w:eastAsia="sl-SI"/>
        </w:rPr>
      </w:pPr>
    </w:p>
    <w:p w14:paraId="5499C170" w14:textId="77777777" w:rsidR="00FB7364" w:rsidRDefault="00FB7364" w:rsidP="006C0DAC">
      <w:pPr>
        <w:autoSpaceDE w:val="0"/>
        <w:autoSpaceDN w:val="0"/>
        <w:adjustRightInd w:val="0"/>
        <w:spacing w:line="276" w:lineRule="auto"/>
        <w:rPr>
          <w:rFonts w:eastAsia="Calibri"/>
          <w:sz w:val="20"/>
          <w:szCs w:val="20"/>
          <w:lang w:eastAsia="sl-SI"/>
        </w:rPr>
      </w:pPr>
      <w:r w:rsidRPr="002D0E2C">
        <w:rPr>
          <w:rFonts w:eastAsia="Calibri"/>
          <w:sz w:val="20"/>
          <w:szCs w:val="20"/>
          <w:lang w:eastAsia="sl-SI"/>
        </w:rPr>
        <w:t xml:space="preserve">Najštevilčnejši so slovenski državljani v Srbiji (okoli 9.200 slovenskih državljanov), sledi </w:t>
      </w:r>
      <w:r w:rsidR="00531EA8">
        <w:rPr>
          <w:rFonts w:eastAsia="Calibri"/>
          <w:sz w:val="20"/>
          <w:szCs w:val="20"/>
          <w:lang w:eastAsia="sl-SI"/>
        </w:rPr>
        <w:t xml:space="preserve">BiH </w:t>
      </w:r>
      <w:r w:rsidRPr="002D0E2C">
        <w:rPr>
          <w:rFonts w:eastAsia="Calibri"/>
          <w:sz w:val="20"/>
          <w:szCs w:val="20"/>
          <w:lang w:eastAsia="sl-SI"/>
        </w:rPr>
        <w:t>(okoli 3.000 slovenskih državljanov), manjši skupnosti sta še v Severni Makedoniji</w:t>
      </w:r>
      <w:r w:rsidR="002D0E2C">
        <w:rPr>
          <w:rFonts w:eastAsia="Calibri"/>
          <w:sz w:val="20"/>
          <w:szCs w:val="20"/>
          <w:lang w:eastAsia="sl-SI"/>
        </w:rPr>
        <w:t xml:space="preserve"> </w:t>
      </w:r>
      <w:r w:rsidRPr="002D0E2C">
        <w:rPr>
          <w:rFonts w:eastAsia="Calibri"/>
          <w:sz w:val="20"/>
          <w:szCs w:val="20"/>
          <w:lang w:eastAsia="sl-SI"/>
        </w:rPr>
        <w:t>(okoli 1.300) in Črni Gori (okoli 640) slovenskih državljanov.</w:t>
      </w:r>
    </w:p>
    <w:p w14:paraId="299EC359" w14:textId="77777777" w:rsidR="002D0E2C" w:rsidRPr="002D0E2C" w:rsidRDefault="002D0E2C" w:rsidP="006C0DAC">
      <w:pPr>
        <w:autoSpaceDE w:val="0"/>
        <w:autoSpaceDN w:val="0"/>
        <w:adjustRightInd w:val="0"/>
        <w:spacing w:line="276" w:lineRule="auto"/>
        <w:rPr>
          <w:rFonts w:eastAsia="Calibri"/>
          <w:sz w:val="20"/>
          <w:szCs w:val="20"/>
          <w:lang w:eastAsia="sl-SI"/>
        </w:rPr>
      </w:pPr>
    </w:p>
    <w:p w14:paraId="4AB9091E" w14:textId="77777777" w:rsidR="00FB7364" w:rsidRDefault="00FB7364" w:rsidP="006C0DAC">
      <w:pPr>
        <w:autoSpaceDE w:val="0"/>
        <w:autoSpaceDN w:val="0"/>
        <w:adjustRightInd w:val="0"/>
        <w:spacing w:line="276" w:lineRule="auto"/>
        <w:rPr>
          <w:rFonts w:eastAsia="Calibri"/>
          <w:sz w:val="20"/>
          <w:szCs w:val="20"/>
          <w:lang w:eastAsia="sl-SI"/>
        </w:rPr>
      </w:pPr>
      <w:r w:rsidRPr="002D0E2C">
        <w:rPr>
          <w:rFonts w:eastAsia="Calibri"/>
          <w:sz w:val="20"/>
          <w:szCs w:val="20"/>
          <w:lang w:eastAsia="sl-SI"/>
        </w:rPr>
        <w:t>USZS je v skladu s svojimi pristojnostmi tudi v letu 2025 redno spremljal delovanje slovenskih</w:t>
      </w:r>
      <w:r w:rsidR="002D0E2C">
        <w:rPr>
          <w:rFonts w:eastAsia="Calibri"/>
          <w:sz w:val="20"/>
          <w:szCs w:val="20"/>
          <w:lang w:eastAsia="sl-SI"/>
        </w:rPr>
        <w:t xml:space="preserve"> </w:t>
      </w:r>
      <w:r w:rsidRPr="002D0E2C">
        <w:rPr>
          <w:rFonts w:eastAsia="Calibri"/>
          <w:sz w:val="20"/>
          <w:szCs w:val="20"/>
          <w:lang w:eastAsia="sl-SI"/>
        </w:rPr>
        <w:t>društev ter nadziral njihovo finančno poslovanje z vidika namenske, učinkovite in transparentne</w:t>
      </w:r>
      <w:r w:rsidR="002D0E2C">
        <w:rPr>
          <w:rFonts w:eastAsia="Calibri"/>
          <w:sz w:val="20"/>
          <w:szCs w:val="20"/>
          <w:lang w:eastAsia="sl-SI"/>
        </w:rPr>
        <w:t xml:space="preserve"> </w:t>
      </w:r>
      <w:r w:rsidRPr="002D0E2C">
        <w:rPr>
          <w:rFonts w:eastAsia="Calibri"/>
          <w:sz w:val="20"/>
          <w:szCs w:val="20"/>
          <w:lang w:eastAsia="sl-SI"/>
        </w:rPr>
        <w:t xml:space="preserve">porabe sredstev iz Proračuna </w:t>
      </w:r>
      <w:r w:rsidR="00531EA8">
        <w:rPr>
          <w:rFonts w:eastAsia="Calibri"/>
          <w:sz w:val="20"/>
          <w:szCs w:val="20"/>
          <w:lang w:eastAsia="sl-SI"/>
        </w:rPr>
        <w:t>RS</w:t>
      </w:r>
      <w:r w:rsidRPr="002D0E2C">
        <w:rPr>
          <w:rFonts w:eastAsia="Calibri"/>
          <w:sz w:val="20"/>
          <w:szCs w:val="20"/>
          <w:lang w:eastAsia="sl-SI"/>
        </w:rPr>
        <w:t>. Poleg finančnega nadzora je pomemben tudi</w:t>
      </w:r>
      <w:r w:rsidR="002D0E2C">
        <w:rPr>
          <w:rFonts w:eastAsia="Calibri"/>
          <w:sz w:val="20"/>
          <w:szCs w:val="20"/>
          <w:lang w:eastAsia="sl-SI"/>
        </w:rPr>
        <w:t xml:space="preserve"> </w:t>
      </w:r>
      <w:r w:rsidRPr="002D0E2C">
        <w:rPr>
          <w:rFonts w:eastAsia="Calibri"/>
          <w:sz w:val="20"/>
          <w:szCs w:val="20"/>
          <w:lang w:eastAsia="sl-SI"/>
        </w:rPr>
        <w:t>vsebinski vidik spremljanja, saj USZS spodbuja in podpira raznolike oblike ohranjanja in razvoja</w:t>
      </w:r>
      <w:r w:rsidR="002D0E2C">
        <w:rPr>
          <w:rFonts w:eastAsia="Calibri"/>
          <w:sz w:val="20"/>
          <w:szCs w:val="20"/>
          <w:lang w:eastAsia="sl-SI"/>
        </w:rPr>
        <w:t xml:space="preserve"> </w:t>
      </w:r>
      <w:r w:rsidRPr="002D0E2C">
        <w:rPr>
          <w:rFonts w:eastAsia="Calibri"/>
          <w:sz w:val="20"/>
          <w:szCs w:val="20"/>
          <w:lang w:eastAsia="sl-SI"/>
        </w:rPr>
        <w:t>slovenske identitete.</w:t>
      </w:r>
    </w:p>
    <w:p w14:paraId="379FB14B" w14:textId="77777777" w:rsidR="002D0E2C" w:rsidRPr="002D0E2C" w:rsidRDefault="002D0E2C" w:rsidP="006C0DAC">
      <w:pPr>
        <w:autoSpaceDE w:val="0"/>
        <w:autoSpaceDN w:val="0"/>
        <w:adjustRightInd w:val="0"/>
        <w:spacing w:line="276" w:lineRule="auto"/>
        <w:rPr>
          <w:rFonts w:eastAsia="Calibri"/>
          <w:sz w:val="20"/>
          <w:szCs w:val="20"/>
          <w:lang w:eastAsia="sl-SI"/>
        </w:rPr>
      </w:pPr>
    </w:p>
    <w:p w14:paraId="04616B95" w14:textId="77777777" w:rsidR="00FB7364" w:rsidRDefault="00FB7364" w:rsidP="006C0DAC">
      <w:pPr>
        <w:autoSpaceDE w:val="0"/>
        <w:autoSpaceDN w:val="0"/>
        <w:adjustRightInd w:val="0"/>
        <w:spacing w:line="276" w:lineRule="auto"/>
        <w:rPr>
          <w:rFonts w:eastAsia="Calibri"/>
          <w:sz w:val="20"/>
          <w:szCs w:val="20"/>
          <w:lang w:eastAsia="sl-SI"/>
        </w:rPr>
      </w:pPr>
      <w:r w:rsidRPr="002D0E2C">
        <w:rPr>
          <w:rFonts w:eastAsia="Calibri"/>
          <w:sz w:val="20"/>
          <w:szCs w:val="20"/>
          <w:lang w:eastAsia="sl-SI"/>
        </w:rPr>
        <w:t>Na območju Zahodnega Balkana je bil tudi v letu 2025 zaznan nadaljnji trend organiziranih, zlasti</w:t>
      </w:r>
      <w:r w:rsidR="002D0E2C">
        <w:rPr>
          <w:rFonts w:eastAsia="Calibri"/>
          <w:sz w:val="20"/>
          <w:szCs w:val="20"/>
          <w:lang w:eastAsia="sl-SI"/>
        </w:rPr>
        <w:t xml:space="preserve"> </w:t>
      </w:r>
      <w:r w:rsidRPr="002D0E2C">
        <w:rPr>
          <w:rFonts w:eastAsia="Calibri"/>
          <w:sz w:val="20"/>
          <w:szCs w:val="20"/>
          <w:lang w:eastAsia="sl-SI"/>
        </w:rPr>
        <w:t>društvenih oblik delovanja, usmerjenih v ohranjanje slovenskega jezika, kulture in pripadnosti.</w:t>
      </w:r>
      <w:r w:rsidR="002D0E2C">
        <w:rPr>
          <w:rFonts w:eastAsia="Calibri"/>
          <w:sz w:val="20"/>
          <w:szCs w:val="20"/>
          <w:lang w:eastAsia="sl-SI"/>
        </w:rPr>
        <w:t xml:space="preserve"> </w:t>
      </w:r>
      <w:r w:rsidRPr="002D0E2C">
        <w:rPr>
          <w:rFonts w:eastAsia="Calibri"/>
          <w:sz w:val="20"/>
          <w:szCs w:val="20"/>
          <w:lang w:eastAsia="sl-SI"/>
        </w:rPr>
        <w:t>Obenem ostaja izrazito zanimanje za učenje slovenskega jezika, pridobitev slovenskega</w:t>
      </w:r>
      <w:r w:rsidR="002D0E2C">
        <w:rPr>
          <w:rFonts w:eastAsia="Calibri"/>
          <w:sz w:val="20"/>
          <w:szCs w:val="20"/>
          <w:lang w:eastAsia="sl-SI"/>
        </w:rPr>
        <w:t xml:space="preserve"> </w:t>
      </w:r>
      <w:r w:rsidRPr="002D0E2C">
        <w:rPr>
          <w:rFonts w:eastAsia="Calibri"/>
          <w:sz w:val="20"/>
          <w:szCs w:val="20"/>
          <w:lang w:eastAsia="sl-SI"/>
        </w:rPr>
        <w:t xml:space="preserve">državljanstva, študij v </w:t>
      </w:r>
      <w:r w:rsidR="00531EA8">
        <w:rPr>
          <w:rFonts w:eastAsia="Calibri"/>
          <w:sz w:val="20"/>
          <w:szCs w:val="20"/>
          <w:lang w:eastAsia="sl-SI"/>
        </w:rPr>
        <w:t>RS</w:t>
      </w:r>
      <w:r w:rsidRPr="002D0E2C">
        <w:rPr>
          <w:rFonts w:eastAsia="Calibri"/>
          <w:sz w:val="20"/>
          <w:szCs w:val="20"/>
          <w:lang w:eastAsia="sl-SI"/>
        </w:rPr>
        <w:t xml:space="preserve"> ter sodelovanje v različnih oblikah izmenjav, med</w:t>
      </w:r>
      <w:r w:rsidR="002D0E2C">
        <w:rPr>
          <w:rFonts w:eastAsia="Calibri"/>
          <w:sz w:val="20"/>
          <w:szCs w:val="20"/>
          <w:lang w:eastAsia="sl-SI"/>
        </w:rPr>
        <w:t xml:space="preserve"> </w:t>
      </w:r>
      <w:r w:rsidRPr="002D0E2C">
        <w:rPr>
          <w:rFonts w:eastAsia="Calibri"/>
          <w:sz w:val="20"/>
          <w:szCs w:val="20"/>
          <w:lang w:eastAsia="sl-SI"/>
        </w:rPr>
        <w:t>katerimi izstopajo medsebojni obiski šol, društev in kulturnih skupin.</w:t>
      </w:r>
    </w:p>
    <w:p w14:paraId="2868E4BC" w14:textId="77777777" w:rsidR="002D0E2C" w:rsidRPr="002D0E2C" w:rsidRDefault="002D0E2C" w:rsidP="006C0DAC">
      <w:pPr>
        <w:autoSpaceDE w:val="0"/>
        <w:autoSpaceDN w:val="0"/>
        <w:adjustRightInd w:val="0"/>
        <w:spacing w:line="276" w:lineRule="auto"/>
        <w:rPr>
          <w:rFonts w:eastAsia="Calibri"/>
          <w:sz w:val="20"/>
          <w:szCs w:val="20"/>
          <w:lang w:eastAsia="sl-SI"/>
        </w:rPr>
      </w:pPr>
    </w:p>
    <w:p w14:paraId="5B1BBD36" w14:textId="77777777" w:rsidR="00FB7364" w:rsidRDefault="00FB7364" w:rsidP="006C0DAC">
      <w:pPr>
        <w:autoSpaceDE w:val="0"/>
        <w:autoSpaceDN w:val="0"/>
        <w:adjustRightInd w:val="0"/>
        <w:spacing w:line="276" w:lineRule="auto"/>
        <w:rPr>
          <w:rFonts w:eastAsia="Calibri"/>
          <w:sz w:val="20"/>
          <w:szCs w:val="20"/>
          <w:lang w:eastAsia="sl-SI"/>
        </w:rPr>
      </w:pPr>
      <w:r w:rsidRPr="002D0E2C">
        <w:rPr>
          <w:rFonts w:eastAsia="Calibri"/>
          <w:sz w:val="20"/>
          <w:szCs w:val="20"/>
          <w:lang w:eastAsia="sl-SI"/>
        </w:rPr>
        <w:t xml:space="preserve">Poučevanje slovenskega jezika v tujini vodi, usklajuje in izvaja </w:t>
      </w:r>
      <w:r w:rsidR="00531EA8">
        <w:rPr>
          <w:rFonts w:eastAsia="Calibri"/>
          <w:sz w:val="20"/>
          <w:szCs w:val="20"/>
          <w:lang w:eastAsia="sl-SI"/>
        </w:rPr>
        <w:t>MVI</w:t>
      </w:r>
      <w:r w:rsidRPr="002D0E2C">
        <w:rPr>
          <w:rFonts w:eastAsia="Calibri"/>
          <w:sz w:val="20"/>
          <w:szCs w:val="20"/>
          <w:lang w:eastAsia="sl-SI"/>
        </w:rPr>
        <w:t xml:space="preserve"> preko napotenih ter honorarnih učiteljic in učiteljev v sodelovanju z lokalnimi</w:t>
      </w:r>
      <w:r w:rsidR="002D0E2C">
        <w:rPr>
          <w:rFonts w:eastAsia="Calibri"/>
          <w:sz w:val="20"/>
          <w:szCs w:val="20"/>
          <w:lang w:eastAsia="sl-SI"/>
        </w:rPr>
        <w:t xml:space="preserve"> </w:t>
      </w:r>
      <w:r w:rsidRPr="002D0E2C">
        <w:rPr>
          <w:rFonts w:eastAsia="Calibri"/>
          <w:sz w:val="20"/>
          <w:szCs w:val="20"/>
          <w:lang w:eastAsia="sl-SI"/>
        </w:rPr>
        <w:t>slovenskimi društvi, ki zagotavljajo ustrezno prostorsko, logistično in organizacijsko podporo.</w:t>
      </w:r>
      <w:r w:rsidR="002D0E2C">
        <w:rPr>
          <w:rFonts w:eastAsia="Calibri"/>
          <w:sz w:val="20"/>
          <w:szCs w:val="20"/>
          <w:lang w:eastAsia="sl-SI"/>
        </w:rPr>
        <w:t xml:space="preserve"> </w:t>
      </w:r>
      <w:r w:rsidRPr="002D0E2C">
        <w:rPr>
          <w:rFonts w:eastAsia="Calibri"/>
          <w:sz w:val="20"/>
          <w:szCs w:val="20"/>
          <w:lang w:eastAsia="sl-SI"/>
        </w:rPr>
        <w:t>Učitelji dopolnilnega pouka slovenskega jezika in kulture imajo pomembno vlogo pri ohranjanju</w:t>
      </w:r>
      <w:r w:rsidR="002D0E2C">
        <w:rPr>
          <w:rFonts w:eastAsia="Calibri"/>
          <w:sz w:val="20"/>
          <w:szCs w:val="20"/>
          <w:lang w:eastAsia="sl-SI"/>
        </w:rPr>
        <w:t xml:space="preserve"> </w:t>
      </w:r>
      <w:r w:rsidRPr="002D0E2C">
        <w:rPr>
          <w:rFonts w:eastAsia="Calibri"/>
          <w:sz w:val="20"/>
          <w:szCs w:val="20"/>
          <w:lang w:eastAsia="sl-SI"/>
        </w:rPr>
        <w:t>in prenosu slovenskega jezika, kulture ter nacionalne identitete, njihova prisotnost pa ima</w:t>
      </w:r>
      <w:r w:rsidR="002D0E2C">
        <w:rPr>
          <w:rFonts w:eastAsia="Calibri"/>
          <w:sz w:val="20"/>
          <w:szCs w:val="20"/>
          <w:lang w:eastAsia="sl-SI"/>
        </w:rPr>
        <w:t xml:space="preserve"> </w:t>
      </w:r>
      <w:r w:rsidRPr="002D0E2C">
        <w:rPr>
          <w:rFonts w:eastAsia="Calibri"/>
          <w:sz w:val="20"/>
          <w:szCs w:val="20"/>
          <w:lang w:eastAsia="sl-SI"/>
        </w:rPr>
        <w:t>pozitivne učinke tudi na širše povezovanje skupnosti. Pomemben prispevek v tem okviru</w:t>
      </w:r>
      <w:r w:rsidR="002D0E2C">
        <w:rPr>
          <w:rFonts w:eastAsia="Calibri"/>
          <w:sz w:val="20"/>
          <w:szCs w:val="20"/>
          <w:lang w:eastAsia="sl-SI"/>
        </w:rPr>
        <w:t xml:space="preserve"> </w:t>
      </w:r>
      <w:r w:rsidRPr="002D0E2C">
        <w:rPr>
          <w:rFonts w:eastAsia="Calibri"/>
          <w:sz w:val="20"/>
          <w:szCs w:val="20"/>
          <w:lang w:eastAsia="sl-SI"/>
        </w:rPr>
        <w:t>predstavljajo tudi lektorati slovenskega jezika na univerzah, ki dodatno krepijo prepoznavnost</w:t>
      </w:r>
      <w:r w:rsidR="002D0E2C">
        <w:rPr>
          <w:rFonts w:eastAsia="Calibri"/>
          <w:sz w:val="20"/>
          <w:szCs w:val="20"/>
          <w:lang w:eastAsia="sl-SI"/>
        </w:rPr>
        <w:t xml:space="preserve"> </w:t>
      </w:r>
      <w:r w:rsidRPr="002D0E2C">
        <w:rPr>
          <w:rFonts w:eastAsia="Calibri"/>
          <w:sz w:val="20"/>
          <w:szCs w:val="20"/>
          <w:lang w:eastAsia="sl-SI"/>
        </w:rPr>
        <w:t>slovenskega jezika in kulture v akademskem okolju.</w:t>
      </w:r>
    </w:p>
    <w:p w14:paraId="5236B44E" w14:textId="77777777" w:rsidR="002D0E2C" w:rsidRPr="002D0E2C" w:rsidRDefault="002D0E2C" w:rsidP="006C0DAC">
      <w:pPr>
        <w:autoSpaceDE w:val="0"/>
        <w:autoSpaceDN w:val="0"/>
        <w:adjustRightInd w:val="0"/>
        <w:spacing w:line="276" w:lineRule="auto"/>
        <w:rPr>
          <w:rFonts w:eastAsia="Calibri"/>
          <w:sz w:val="20"/>
          <w:szCs w:val="20"/>
          <w:lang w:eastAsia="sl-SI"/>
        </w:rPr>
      </w:pPr>
    </w:p>
    <w:p w14:paraId="17AFFF90" w14:textId="77777777" w:rsidR="00726309" w:rsidRDefault="00FB7364" w:rsidP="006C0DAC">
      <w:pPr>
        <w:autoSpaceDE w:val="0"/>
        <w:autoSpaceDN w:val="0"/>
        <w:adjustRightInd w:val="0"/>
        <w:spacing w:line="276" w:lineRule="auto"/>
        <w:rPr>
          <w:rFonts w:eastAsia="Calibri"/>
          <w:sz w:val="20"/>
          <w:szCs w:val="20"/>
          <w:lang w:eastAsia="sl-SI"/>
        </w:rPr>
      </w:pPr>
      <w:r w:rsidRPr="002D0E2C">
        <w:rPr>
          <w:rFonts w:eastAsia="Calibri"/>
          <w:sz w:val="20"/>
          <w:szCs w:val="20"/>
          <w:lang w:eastAsia="sl-SI"/>
        </w:rPr>
        <w:t>Tako kot v preteklih letih je USZS tudi v letu 2025 finančno podprl delovanje slovenskih ustanov in društev na</w:t>
      </w:r>
      <w:r w:rsidR="002D0E2C">
        <w:rPr>
          <w:rFonts w:eastAsia="Calibri"/>
          <w:sz w:val="20"/>
          <w:szCs w:val="20"/>
          <w:lang w:eastAsia="sl-SI"/>
        </w:rPr>
        <w:t xml:space="preserve"> </w:t>
      </w:r>
      <w:r w:rsidRPr="002D0E2C">
        <w:rPr>
          <w:rFonts w:eastAsia="Calibri"/>
          <w:sz w:val="20"/>
          <w:szCs w:val="20"/>
          <w:lang w:eastAsia="sl-SI"/>
        </w:rPr>
        <w:t>obravnavanem območju. Sredstva so bila dodeljena na podlagi javnega razpisa ter dodatno tudi</w:t>
      </w:r>
      <w:r w:rsidR="002D0E2C">
        <w:rPr>
          <w:rFonts w:eastAsia="Calibri"/>
          <w:sz w:val="20"/>
          <w:szCs w:val="20"/>
          <w:lang w:eastAsia="sl-SI"/>
        </w:rPr>
        <w:t xml:space="preserve"> </w:t>
      </w:r>
      <w:r w:rsidRPr="002D0E2C">
        <w:rPr>
          <w:rFonts w:eastAsia="Calibri"/>
          <w:sz w:val="20"/>
          <w:szCs w:val="20"/>
          <w:lang w:eastAsia="sl-SI"/>
        </w:rPr>
        <w:t>iz interventnih sredstev, pri čemer je bila posebna pozornost namenjena programom in projektom,</w:t>
      </w:r>
      <w:r w:rsidR="002D0E2C">
        <w:rPr>
          <w:rFonts w:eastAsia="Calibri"/>
          <w:sz w:val="20"/>
          <w:szCs w:val="20"/>
          <w:lang w:eastAsia="sl-SI"/>
        </w:rPr>
        <w:t xml:space="preserve"> </w:t>
      </w:r>
      <w:r w:rsidRPr="002D0E2C">
        <w:rPr>
          <w:rFonts w:eastAsia="Calibri"/>
          <w:sz w:val="20"/>
          <w:szCs w:val="20"/>
          <w:lang w:eastAsia="sl-SI"/>
        </w:rPr>
        <w:t>usmerjenim v krepitev znanja slovenskega jezika ter dejavnostim, ki so povezane z mladimi in</w:t>
      </w:r>
      <w:r w:rsidR="002D0E2C">
        <w:rPr>
          <w:rFonts w:eastAsia="Calibri"/>
          <w:sz w:val="20"/>
          <w:szCs w:val="20"/>
          <w:lang w:eastAsia="sl-SI"/>
        </w:rPr>
        <w:t xml:space="preserve"> </w:t>
      </w:r>
      <w:r w:rsidRPr="002D0E2C">
        <w:rPr>
          <w:rFonts w:eastAsia="Calibri"/>
          <w:sz w:val="20"/>
          <w:szCs w:val="20"/>
          <w:lang w:eastAsia="sl-SI"/>
        </w:rPr>
        <w:t>njihovim vključevanjem v slovenski kulturni prostor.</w:t>
      </w:r>
      <w:r w:rsidR="002D0E2C">
        <w:rPr>
          <w:rFonts w:eastAsia="Calibri"/>
          <w:sz w:val="20"/>
          <w:szCs w:val="20"/>
          <w:lang w:eastAsia="sl-SI"/>
        </w:rPr>
        <w:t xml:space="preserve"> </w:t>
      </w:r>
    </w:p>
    <w:p w14:paraId="55EBE804" w14:textId="77777777" w:rsidR="00726309" w:rsidRDefault="00726309" w:rsidP="006C0DAC">
      <w:pPr>
        <w:autoSpaceDE w:val="0"/>
        <w:autoSpaceDN w:val="0"/>
        <w:adjustRightInd w:val="0"/>
        <w:spacing w:line="276" w:lineRule="auto"/>
        <w:rPr>
          <w:rFonts w:eastAsia="Calibri"/>
          <w:sz w:val="20"/>
          <w:szCs w:val="20"/>
          <w:lang w:eastAsia="sl-SI"/>
        </w:rPr>
      </w:pPr>
    </w:p>
    <w:p w14:paraId="5630BDD7" w14:textId="77777777" w:rsidR="00FB7364" w:rsidRPr="002D0E2C" w:rsidRDefault="00FB7364" w:rsidP="006C0DAC">
      <w:pPr>
        <w:autoSpaceDE w:val="0"/>
        <w:autoSpaceDN w:val="0"/>
        <w:adjustRightInd w:val="0"/>
        <w:spacing w:line="276" w:lineRule="auto"/>
        <w:rPr>
          <w:rFonts w:eastAsia="Calibri"/>
          <w:sz w:val="20"/>
          <w:szCs w:val="20"/>
          <w:lang w:eastAsia="sl-SI"/>
        </w:rPr>
      </w:pPr>
      <w:r w:rsidRPr="002D0E2C">
        <w:rPr>
          <w:rFonts w:eastAsia="Calibri"/>
          <w:sz w:val="20"/>
          <w:szCs w:val="20"/>
          <w:lang w:eastAsia="sl-SI"/>
        </w:rPr>
        <w:t>DS Humar je septembra 2025 obiskala slovensko skupnost v Srbiji. V sklopu obiska se je sestala</w:t>
      </w:r>
      <w:r w:rsidR="002D0E2C">
        <w:rPr>
          <w:rFonts w:eastAsia="Calibri"/>
          <w:sz w:val="20"/>
          <w:szCs w:val="20"/>
          <w:lang w:eastAsia="sl-SI"/>
        </w:rPr>
        <w:t xml:space="preserve"> </w:t>
      </w:r>
      <w:r w:rsidRPr="002D0E2C">
        <w:rPr>
          <w:rFonts w:eastAsia="Calibri"/>
          <w:sz w:val="20"/>
          <w:szCs w:val="20"/>
          <w:lang w:eastAsia="sl-SI"/>
        </w:rPr>
        <w:t>s srbskim ministrom za človekove in pravice manjšin ter družbeni dialog, Demom Berišo. Pred</w:t>
      </w:r>
      <w:r w:rsidR="002D0E2C">
        <w:rPr>
          <w:rFonts w:eastAsia="Calibri"/>
          <w:sz w:val="20"/>
          <w:szCs w:val="20"/>
          <w:lang w:eastAsia="sl-SI"/>
        </w:rPr>
        <w:t xml:space="preserve"> </w:t>
      </w:r>
      <w:r w:rsidRPr="002D0E2C">
        <w:rPr>
          <w:rFonts w:eastAsia="Calibri"/>
          <w:sz w:val="20"/>
          <w:szCs w:val="20"/>
          <w:lang w:eastAsia="sl-SI"/>
        </w:rPr>
        <w:t>srečanjem s slovensko skupnostjo se je na Veleposlaništvu srečala s predsednikom slovenskega</w:t>
      </w:r>
      <w:r w:rsidR="002D0E2C">
        <w:rPr>
          <w:rFonts w:eastAsia="Calibri"/>
          <w:sz w:val="20"/>
          <w:szCs w:val="20"/>
          <w:lang w:eastAsia="sl-SI"/>
        </w:rPr>
        <w:t xml:space="preserve"> </w:t>
      </w:r>
      <w:r w:rsidRPr="002D0E2C">
        <w:rPr>
          <w:rFonts w:eastAsia="Calibri"/>
          <w:sz w:val="20"/>
          <w:szCs w:val="20"/>
          <w:lang w:eastAsia="sl-SI"/>
        </w:rPr>
        <w:t>nacionalnega sveta v Srbiji, Sašom Verbićem in člani sveta. Sledila je otvoritev kulturnoizobraževalnega</w:t>
      </w:r>
      <w:r w:rsidR="002D0E2C">
        <w:rPr>
          <w:rFonts w:eastAsia="Calibri"/>
          <w:sz w:val="20"/>
          <w:szCs w:val="20"/>
          <w:lang w:eastAsia="sl-SI"/>
        </w:rPr>
        <w:t xml:space="preserve"> </w:t>
      </w:r>
      <w:r w:rsidRPr="002D0E2C">
        <w:rPr>
          <w:rFonts w:eastAsia="Calibri"/>
          <w:sz w:val="20"/>
          <w:szCs w:val="20"/>
          <w:lang w:eastAsia="sl-SI"/>
        </w:rPr>
        <w:t>centra Društva Martin Krpan Smederevo in predstavniki slovenskih društev v</w:t>
      </w:r>
      <w:r w:rsidR="002D0E2C">
        <w:rPr>
          <w:rFonts w:eastAsia="Calibri"/>
          <w:sz w:val="20"/>
          <w:szCs w:val="20"/>
          <w:lang w:eastAsia="sl-SI"/>
        </w:rPr>
        <w:t xml:space="preserve"> </w:t>
      </w:r>
      <w:r w:rsidRPr="002D0E2C">
        <w:rPr>
          <w:rFonts w:eastAsia="Calibri"/>
          <w:sz w:val="20"/>
          <w:szCs w:val="20"/>
          <w:lang w:eastAsia="sl-SI"/>
        </w:rPr>
        <w:t>severni Srbiji, drugi dan obiska pa se je srečala s predstavniki občine Bor in predstavniki društev</w:t>
      </w:r>
      <w:r w:rsidR="002D0E2C">
        <w:rPr>
          <w:rFonts w:eastAsia="Calibri"/>
          <w:sz w:val="20"/>
          <w:szCs w:val="20"/>
          <w:lang w:eastAsia="sl-SI"/>
        </w:rPr>
        <w:t xml:space="preserve"> </w:t>
      </w:r>
      <w:r w:rsidRPr="002D0E2C">
        <w:rPr>
          <w:rFonts w:eastAsia="Calibri"/>
          <w:sz w:val="20"/>
          <w:szCs w:val="20"/>
          <w:lang w:eastAsia="sl-SI"/>
        </w:rPr>
        <w:t>Slovencev v južni Srbiji, ki je potekalo v Boru.</w:t>
      </w:r>
    </w:p>
    <w:p w14:paraId="26EFB986" w14:textId="77777777" w:rsidR="002D0E2C" w:rsidRDefault="002D0E2C" w:rsidP="006C0DAC">
      <w:pPr>
        <w:autoSpaceDE w:val="0"/>
        <w:autoSpaceDN w:val="0"/>
        <w:adjustRightInd w:val="0"/>
        <w:spacing w:line="276" w:lineRule="auto"/>
        <w:rPr>
          <w:rFonts w:eastAsia="Calibri"/>
          <w:sz w:val="20"/>
          <w:szCs w:val="20"/>
          <w:lang w:eastAsia="sl-SI"/>
        </w:rPr>
      </w:pPr>
    </w:p>
    <w:p w14:paraId="55AD0A0B" w14:textId="77777777" w:rsidR="00FB7364" w:rsidRPr="002D0E2C" w:rsidRDefault="00FB7364" w:rsidP="006C0DAC">
      <w:pPr>
        <w:autoSpaceDE w:val="0"/>
        <w:autoSpaceDN w:val="0"/>
        <w:adjustRightInd w:val="0"/>
        <w:spacing w:line="276" w:lineRule="auto"/>
        <w:rPr>
          <w:rFonts w:eastAsia="Calibri"/>
          <w:sz w:val="20"/>
          <w:szCs w:val="20"/>
          <w:lang w:eastAsia="sl-SI"/>
        </w:rPr>
      </w:pPr>
      <w:r w:rsidRPr="002D0E2C">
        <w:rPr>
          <w:rFonts w:eastAsia="Calibri"/>
          <w:sz w:val="20"/>
          <w:szCs w:val="20"/>
          <w:lang w:eastAsia="sl-SI"/>
        </w:rPr>
        <w:t>Obisk DS Humar je bil med pripadniki slovenske skupnosti zelo pozitivno sprejet, saj je vključeval</w:t>
      </w:r>
      <w:r w:rsidR="002D0E2C">
        <w:rPr>
          <w:rFonts w:eastAsia="Calibri"/>
          <w:sz w:val="20"/>
          <w:szCs w:val="20"/>
          <w:lang w:eastAsia="sl-SI"/>
        </w:rPr>
        <w:t xml:space="preserve"> </w:t>
      </w:r>
      <w:r w:rsidRPr="002D0E2C">
        <w:rPr>
          <w:rFonts w:eastAsia="Calibri"/>
          <w:sz w:val="20"/>
          <w:szCs w:val="20"/>
          <w:lang w:eastAsia="sl-SI"/>
        </w:rPr>
        <w:t>tudi obiske manjših slovenskih društev izven Beograda ter srečanja s predstavniki društev iz širše</w:t>
      </w:r>
      <w:r w:rsidR="002D0E2C">
        <w:rPr>
          <w:rFonts w:eastAsia="Calibri"/>
          <w:sz w:val="20"/>
          <w:szCs w:val="20"/>
          <w:lang w:eastAsia="sl-SI"/>
        </w:rPr>
        <w:t xml:space="preserve"> </w:t>
      </w:r>
      <w:r w:rsidRPr="002D0E2C">
        <w:rPr>
          <w:rFonts w:eastAsia="Calibri"/>
          <w:sz w:val="20"/>
          <w:szCs w:val="20"/>
          <w:lang w:eastAsia="sl-SI"/>
        </w:rPr>
        <w:t>regije. Takšna neposredna srečanja so bila pomembna predvsem z vidika enakomerne</w:t>
      </w:r>
      <w:r w:rsidR="002D0E2C">
        <w:rPr>
          <w:rFonts w:eastAsia="Calibri"/>
          <w:sz w:val="20"/>
          <w:szCs w:val="20"/>
          <w:lang w:eastAsia="sl-SI"/>
        </w:rPr>
        <w:t xml:space="preserve"> </w:t>
      </w:r>
      <w:r w:rsidRPr="002D0E2C">
        <w:rPr>
          <w:rFonts w:eastAsia="Calibri"/>
          <w:sz w:val="20"/>
          <w:szCs w:val="20"/>
          <w:lang w:eastAsia="sl-SI"/>
        </w:rPr>
        <w:t>obravnave društev ter krepitve medsebojnega zaupanja in sodelovanja.</w:t>
      </w:r>
    </w:p>
    <w:p w14:paraId="6A6722F5" w14:textId="77777777" w:rsidR="002D0E2C" w:rsidRDefault="002D0E2C" w:rsidP="006C0DAC">
      <w:pPr>
        <w:autoSpaceDE w:val="0"/>
        <w:autoSpaceDN w:val="0"/>
        <w:adjustRightInd w:val="0"/>
        <w:spacing w:line="276" w:lineRule="auto"/>
        <w:rPr>
          <w:rFonts w:eastAsia="Calibri"/>
          <w:sz w:val="20"/>
          <w:szCs w:val="20"/>
          <w:lang w:eastAsia="sl-SI"/>
        </w:rPr>
      </w:pPr>
    </w:p>
    <w:p w14:paraId="11B4FE7A" w14:textId="77777777" w:rsidR="00FB7364" w:rsidRDefault="00FB7364" w:rsidP="006C0DAC">
      <w:pPr>
        <w:autoSpaceDE w:val="0"/>
        <w:autoSpaceDN w:val="0"/>
        <w:adjustRightInd w:val="0"/>
        <w:spacing w:line="276" w:lineRule="auto"/>
        <w:rPr>
          <w:rFonts w:eastAsia="Calibri"/>
          <w:sz w:val="20"/>
          <w:szCs w:val="20"/>
          <w:lang w:eastAsia="sl-SI"/>
        </w:rPr>
      </w:pPr>
      <w:r w:rsidRPr="002D0E2C">
        <w:rPr>
          <w:rFonts w:eastAsia="Calibri"/>
          <w:sz w:val="20"/>
          <w:szCs w:val="20"/>
          <w:lang w:eastAsia="sl-SI"/>
        </w:rPr>
        <w:t>Obisk je imel pomembno vlogo pri nadaljnjem utrjevanju povezanosti slovenskih rojakov z</w:t>
      </w:r>
      <w:r w:rsidR="002D0E2C">
        <w:rPr>
          <w:rFonts w:eastAsia="Calibri"/>
          <w:sz w:val="20"/>
          <w:szCs w:val="20"/>
          <w:lang w:eastAsia="sl-SI"/>
        </w:rPr>
        <w:t xml:space="preserve"> </w:t>
      </w:r>
      <w:r w:rsidRPr="002D0E2C">
        <w:rPr>
          <w:rFonts w:eastAsia="Calibri"/>
          <w:sz w:val="20"/>
          <w:szCs w:val="20"/>
          <w:lang w:eastAsia="sl-SI"/>
        </w:rPr>
        <w:t>matično domovino ter hkrati omogočil poglobljen vpogled v vsakdanje razmere, izzive in utrip</w:t>
      </w:r>
      <w:r w:rsidR="002D0E2C">
        <w:rPr>
          <w:rFonts w:eastAsia="Calibri"/>
          <w:sz w:val="20"/>
          <w:szCs w:val="20"/>
          <w:lang w:eastAsia="sl-SI"/>
        </w:rPr>
        <w:t xml:space="preserve"> </w:t>
      </w:r>
      <w:r w:rsidRPr="002D0E2C">
        <w:rPr>
          <w:rFonts w:eastAsia="Calibri"/>
          <w:sz w:val="20"/>
          <w:szCs w:val="20"/>
          <w:lang w:eastAsia="sl-SI"/>
        </w:rPr>
        <w:t>življenja slovenske skupnosti v Srbiji. Slovenska skupnost v Srbiji predstavlja pomemben most</w:t>
      </w:r>
      <w:r w:rsidR="002D0E2C">
        <w:rPr>
          <w:rFonts w:eastAsia="Calibri"/>
          <w:sz w:val="20"/>
          <w:szCs w:val="20"/>
          <w:lang w:eastAsia="sl-SI"/>
        </w:rPr>
        <w:t xml:space="preserve"> </w:t>
      </w:r>
      <w:r w:rsidRPr="002D0E2C">
        <w:rPr>
          <w:rFonts w:eastAsia="Calibri"/>
          <w:sz w:val="20"/>
          <w:szCs w:val="20"/>
          <w:lang w:eastAsia="sl-SI"/>
        </w:rPr>
        <w:t xml:space="preserve">med </w:t>
      </w:r>
      <w:r w:rsidR="00531EA8">
        <w:rPr>
          <w:rFonts w:eastAsia="Calibri"/>
          <w:sz w:val="20"/>
          <w:szCs w:val="20"/>
          <w:lang w:eastAsia="sl-SI"/>
        </w:rPr>
        <w:t>RS</w:t>
      </w:r>
      <w:r w:rsidRPr="002D0E2C">
        <w:rPr>
          <w:rFonts w:eastAsia="Calibri"/>
          <w:sz w:val="20"/>
          <w:szCs w:val="20"/>
          <w:lang w:eastAsia="sl-SI"/>
        </w:rPr>
        <w:t xml:space="preserve"> in lokalnim okoljem, saj lahko s svojim delovanjem pomembno prispeva</w:t>
      </w:r>
      <w:r w:rsidR="002D0E2C">
        <w:rPr>
          <w:rFonts w:eastAsia="Calibri"/>
          <w:sz w:val="20"/>
          <w:szCs w:val="20"/>
          <w:lang w:eastAsia="sl-SI"/>
        </w:rPr>
        <w:t xml:space="preserve"> </w:t>
      </w:r>
      <w:r w:rsidRPr="002D0E2C">
        <w:rPr>
          <w:rFonts w:eastAsia="Calibri"/>
          <w:sz w:val="20"/>
          <w:szCs w:val="20"/>
          <w:lang w:eastAsia="sl-SI"/>
        </w:rPr>
        <w:t>k navezovanju in poglabljanju stikov na področjih gospodarstva, kulture, izobraževanja ter drugih</w:t>
      </w:r>
      <w:r w:rsidR="002D0E2C">
        <w:rPr>
          <w:rFonts w:eastAsia="Calibri"/>
          <w:sz w:val="20"/>
          <w:szCs w:val="20"/>
          <w:lang w:eastAsia="sl-SI"/>
        </w:rPr>
        <w:t xml:space="preserve"> </w:t>
      </w:r>
      <w:r w:rsidRPr="002D0E2C">
        <w:rPr>
          <w:rFonts w:eastAsia="Calibri"/>
          <w:sz w:val="20"/>
          <w:szCs w:val="20"/>
          <w:lang w:eastAsia="sl-SI"/>
        </w:rPr>
        <w:t>oblik sodelovanja.</w:t>
      </w:r>
    </w:p>
    <w:p w14:paraId="67935041" w14:textId="77777777" w:rsidR="002D0E2C" w:rsidRPr="002D0E2C" w:rsidRDefault="002D0E2C" w:rsidP="006C0DAC">
      <w:pPr>
        <w:autoSpaceDE w:val="0"/>
        <w:autoSpaceDN w:val="0"/>
        <w:adjustRightInd w:val="0"/>
        <w:spacing w:line="276" w:lineRule="auto"/>
        <w:rPr>
          <w:rFonts w:eastAsia="Calibri"/>
          <w:sz w:val="20"/>
          <w:szCs w:val="20"/>
          <w:lang w:eastAsia="sl-SI"/>
        </w:rPr>
      </w:pPr>
    </w:p>
    <w:p w14:paraId="197AC7D3" w14:textId="77777777" w:rsidR="000E3E4C" w:rsidRPr="002D0E2C" w:rsidRDefault="00FB7364" w:rsidP="006C0DAC">
      <w:pPr>
        <w:autoSpaceDE w:val="0"/>
        <w:autoSpaceDN w:val="0"/>
        <w:adjustRightInd w:val="0"/>
        <w:spacing w:line="276" w:lineRule="auto"/>
        <w:rPr>
          <w:rFonts w:eastAsia="Times New Roman"/>
          <w:b/>
          <w:noProof/>
          <w:sz w:val="20"/>
          <w:szCs w:val="20"/>
          <w:highlight w:val="yellow"/>
        </w:rPr>
      </w:pPr>
      <w:r w:rsidRPr="002D0E2C">
        <w:rPr>
          <w:rFonts w:eastAsia="Calibri"/>
          <w:sz w:val="20"/>
          <w:szCs w:val="20"/>
          <w:lang w:eastAsia="sl-SI"/>
        </w:rPr>
        <w:t>Opravljeni pogovori in izmenjave mnenj bodo dragocen vir informacij pri nadaljnjem načrtovanju</w:t>
      </w:r>
      <w:r w:rsidR="002D0E2C">
        <w:rPr>
          <w:rFonts w:eastAsia="Calibri"/>
          <w:sz w:val="20"/>
          <w:szCs w:val="20"/>
          <w:lang w:eastAsia="sl-SI"/>
        </w:rPr>
        <w:t xml:space="preserve"> </w:t>
      </w:r>
      <w:r w:rsidRPr="002D0E2C">
        <w:rPr>
          <w:rFonts w:eastAsia="Calibri"/>
          <w:sz w:val="20"/>
          <w:szCs w:val="20"/>
          <w:lang w:eastAsia="sl-SI"/>
        </w:rPr>
        <w:t xml:space="preserve">dela </w:t>
      </w:r>
      <w:r w:rsidR="00FB68DF">
        <w:rPr>
          <w:rFonts w:eastAsia="Calibri"/>
          <w:sz w:val="20"/>
          <w:szCs w:val="20"/>
          <w:lang w:eastAsia="sl-SI"/>
        </w:rPr>
        <w:t>USZS</w:t>
      </w:r>
      <w:r w:rsidRPr="002D0E2C">
        <w:rPr>
          <w:rFonts w:eastAsia="Calibri"/>
          <w:sz w:val="20"/>
          <w:szCs w:val="20"/>
          <w:lang w:eastAsia="sl-SI"/>
        </w:rPr>
        <w:t>, zlasti pri odločitvah</w:t>
      </w:r>
      <w:r w:rsidR="002D0E2C">
        <w:rPr>
          <w:rFonts w:eastAsia="Calibri"/>
          <w:sz w:val="20"/>
          <w:szCs w:val="20"/>
          <w:lang w:eastAsia="sl-SI"/>
        </w:rPr>
        <w:t xml:space="preserve"> </w:t>
      </w:r>
      <w:r w:rsidRPr="002D0E2C">
        <w:rPr>
          <w:rFonts w:eastAsia="Calibri"/>
          <w:sz w:val="20"/>
          <w:szCs w:val="20"/>
          <w:lang w:eastAsia="sl-SI"/>
        </w:rPr>
        <w:t>glede usmeritev podpore prihodnjih programov. Izvedena srečanja so imela izrazito pozitiven</w:t>
      </w:r>
      <w:r w:rsidR="002D0E2C">
        <w:rPr>
          <w:rFonts w:eastAsia="Calibri"/>
          <w:sz w:val="20"/>
          <w:szCs w:val="20"/>
          <w:lang w:eastAsia="sl-SI"/>
        </w:rPr>
        <w:t xml:space="preserve"> </w:t>
      </w:r>
      <w:r w:rsidRPr="002D0E2C">
        <w:rPr>
          <w:rFonts w:eastAsia="Calibri"/>
          <w:sz w:val="20"/>
          <w:szCs w:val="20"/>
          <w:lang w:eastAsia="sl-SI"/>
        </w:rPr>
        <w:t>učinek na tam živeče Slovence ter predstavljajo dodatno spodbudo za nadaljnje ohranjanje</w:t>
      </w:r>
      <w:r w:rsidR="002D0E2C">
        <w:rPr>
          <w:rFonts w:eastAsia="Calibri"/>
          <w:sz w:val="20"/>
          <w:szCs w:val="20"/>
          <w:lang w:eastAsia="sl-SI"/>
        </w:rPr>
        <w:t xml:space="preserve"> </w:t>
      </w:r>
      <w:r w:rsidRPr="002D0E2C">
        <w:rPr>
          <w:rFonts w:eastAsia="Calibri"/>
          <w:sz w:val="20"/>
          <w:szCs w:val="20"/>
          <w:lang w:eastAsia="sl-SI"/>
        </w:rPr>
        <w:t>slovenstva, krepitev društvenega delovanja in aktivno vključevanje članov skupnosti tudi v</w:t>
      </w:r>
      <w:r w:rsidR="002D0E2C">
        <w:rPr>
          <w:rFonts w:eastAsia="Calibri"/>
          <w:sz w:val="20"/>
          <w:szCs w:val="20"/>
          <w:lang w:eastAsia="sl-SI"/>
        </w:rPr>
        <w:t xml:space="preserve"> </w:t>
      </w:r>
      <w:r w:rsidRPr="002D0E2C">
        <w:rPr>
          <w:rFonts w:eastAsia="Calibri"/>
          <w:sz w:val="20"/>
          <w:szCs w:val="20"/>
          <w:lang w:eastAsia="sl-SI"/>
        </w:rPr>
        <w:t>prihodnje.</w:t>
      </w:r>
    </w:p>
    <w:p w14:paraId="1650A6F2" w14:textId="77777777" w:rsidR="0067747A" w:rsidRDefault="0067747A" w:rsidP="0075072C">
      <w:pPr>
        <w:spacing w:line="276" w:lineRule="auto"/>
        <w:rPr>
          <w:sz w:val="20"/>
          <w:szCs w:val="20"/>
        </w:rPr>
      </w:pPr>
    </w:p>
    <w:p w14:paraId="2F215BB8" w14:textId="77777777" w:rsidR="006C0DAC" w:rsidRPr="00ED6756" w:rsidRDefault="006C0DAC" w:rsidP="0075072C">
      <w:pPr>
        <w:spacing w:line="276" w:lineRule="auto"/>
        <w:rPr>
          <w:sz w:val="20"/>
          <w:szCs w:val="20"/>
        </w:rPr>
      </w:pPr>
    </w:p>
    <w:p w14:paraId="2DC87876" w14:textId="77777777" w:rsidR="005444AE" w:rsidRPr="00ED6756" w:rsidRDefault="005444AE" w:rsidP="0075072C">
      <w:pPr>
        <w:pStyle w:val="Heading2"/>
        <w:pBdr>
          <w:bottom w:val="single" w:sz="4" w:space="0" w:color="auto"/>
        </w:pBdr>
      </w:pPr>
      <w:bookmarkStart w:id="57" w:name="_Toc227227990"/>
      <w:r w:rsidRPr="00ED6756">
        <w:t>Krepitev sodelovanja na področju statistike</w:t>
      </w:r>
      <w:bookmarkEnd w:id="57"/>
    </w:p>
    <w:p w14:paraId="7EC21FCE" w14:textId="77777777" w:rsidR="008F5DED" w:rsidRPr="00140B34" w:rsidRDefault="008F5DED" w:rsidP="00ED6756">
      <w:pPr>
        <w:spacing w:line="276" w:lineRule="auto"/>
        <w:rPr>
          <w:rFonts w:eastAsia="Calibri"/>
          <w:color w:val="000000"/>
          <w:sz w:val="20"/>
          <w:szCs w:val="20"/>
          <w:highlight w:val="yellow"/>
        </w:rPr>
      </w:pPr>
    </w:p>
    <w:p w14:paraId="784B12F9" w14:textId="77777777" w:rsidR="00F60399" w:rsidRDefault="00F60399" w:rsidP="006C0DAC">
      <w:pPr>
        <w:spacing w:line="276" w:lineRule="auto"/>
        <w:rPr>
          <w:rFonts w:eastAsia="Calibri"/>
          <w:color w:val="000000"/>
          <w:sz w:val="20"/>
          <w:szCs w:val="20"/>
        </w:rPr>
      </w:pPr>
      <w:r>
        <w:rPr>
          <w:rFonts w:eastAsia="Calibri"/>
          <w:color w:val="000000"/>
          <w:sz w:val="20"/>
          <w:szCs w:val="20"/>
        </w:rPr>
        <w:t xml:space="preserve">Statistični urad RS (SURS) že vrsto let dobro sodeluje s statističnimi uradi držav Zahodnega Balkana ter je zelo aktiven tudi pri prenosu znanja in dobrih praks. </w:t>
      </w:r>
    </w:p>
    <w:p w14:paraId="7323E572" w14:textId="77777777" w:rsidR="00F60399" w:rsidRDefault="00F60399" w:rsidP="006C0DAC">
      <w:pPr>
        <w:spacing w:line="276" w:lineRule="auto"/>
        <w:rPr>
          <w:rFonts w:eastAsia="Calibri"/>
          <w:color w:val="000000"/>
          <w:sz w:val="20"/>
          <w:szCs w:val="20"/>
        </w:rPr>
      </w:pPr>
    </w:p>
    <w:p w14:paraId="43264485" w14:textId="77777777" w:rsidR="00F60399" w:rsidRDefault="00F60399" w:rsidP="006C0DAC">
      <w:pPr>
        <w:spacing w:line="276" w:lineRule="auto"/>
        <w:rPr>
          <w:color w:val="000000"/>
          <w:sz w:val="20"/>
          <w:szCs w:val="20"/>
        </w:rPr>
      </w:pPr>
      <w:r>
        <w:rPr>
          <w:rFonts w:eastAsia="Calibri"/>
          <w:color w:val="000000"/>
          <w:sz w:val="20"/>
          <w:szCs w:val="20"/>
        </w:rPr>
        <w:t xml:space="preserve">V letu 2025 je SURS nadaljeval uspešno izvajanje </w:t>
      </w:r>
      <w:r w:rsidRPr="001613EF">
        <w:rPr>
          <w:rFonts w:eastAsia="Calibri"/>
          <w:color w:val="000000"/>
          <w:sz w:val="20"/>
          <w:szCs w:val="20"/>
        </w:rPr>
        <w:t>projekt</w:t>
      </w:r>
      <w:r>
        <w:rPr>
          <w:rFonts w:eastAsia="Calibri"/>
          <w:color w:val="000000"/>
          <w:sz w:val="20"/>
          <w:szCs w:val="20"/>
        </w:rPr>
        <w:t>a</w:t>
      </w:r>
      <w:r w:rsidRPr="001613EF">
        <w:rPr>
          <w:rFonts w:eastAsia="Calibri"/>
          <w:color w:val="000000"/>
          <w:sz w:val="20"/>
          <w:szCs w:val="20"/>
        </w:rPr>
        <w:t xml:space="preserve"> tesnega medinstitucionalnega sodelovanja v </w:t>
      </w:r>
      <w:r w:rsidR="00945E65">
        <w:rPr>
          <w:rFonts w:eastAsia="Calibri"/>
          <w:color w:val="000000"/>
          <w:sz w:val="20"/>
          <w:szCs w:val="20"/>
        </w:rPr>
        <w:t>BiH</w:t>
      </w:r>
      <w:r w:rsidRPr="001613EF">
        <w:rPr>
          <w:rFonts w:eastAsia="Calibri"/>
          <w:color w:val="000000"/>
          <w:sz w:val="20"/>
          <w:szCs w:val="20"/>
        </w:rPr>
        <w:t xml:space="preserve">, katerega cilj je nadaljnji razvoj statističnega sistema </w:t>
      </w:r>
      <w:r w:rsidR="00945E65">
        <w:rPr>
          <w:rFonts w:eastAsia="Calibri"/>
          <w:color w:val="000000"/>
          <w:sz w:val="20"/>
          <w:szCs w:val="20"/>
        </w:rPr>
        <w:t>BiH</w:t>
      </w:r>
      <w:r>
        <w:rPr>
          <w:rFonts w:eastAsia="Calibri"/>
          <w:color w:val="000000"/>
          <w:sz w:val="20"/>
          <w:szCs w:val="20"/>
        </w:rPr>
        <w:t xml:space="preserve">. </w:t>
      </w:r>
      <w:r w:rsidR="009B2715">
        <w:rPr>
          <w:rFonts w:eastAsia="Calibri"/>
          <w:color w:val="000000"/>
          <w:sz w:val="20"/>
          <w:szCs w:val="20"/>
        </w:rPr>
        <w:t>RS</w:t>
      </w:r>
      <w:r w:rsidRPr="001613EF">
        <w:rPr>
          <w:rFonts w:eastAsia="Calibri"/>
          <w:color w:val="000000"/>
          <w:sz w:val="20"/>
          <w:szCs w:val="20"/>
        </w:rPr>
        <w:t xml:space="preserve"> je v projektu sodelujoči partner v konzorciju z vodilno članico Dansko ter Italijo in Finsko.</w:t>
      </w:r>
      <w:r>
        <w:rPr>
          <w:rFonts w:eastAsia="Calibri"/>
          <w:color w:val="000000"/>
          <w:sz w:val="20"/>
          <w:szCs w:val="20"/>
        </w:rPr>
        <w:t xml:space="preserve"> </w:t>
      </w:r>
      <w:r w:rsidRPr="007A31EC">
        <w:rPr>
          <w:color w:val="000000"/>
          <w:sz w:val="20"/>
          <w:szCs w:val="20"/>
        </w:rPr>
        <w:t xml:space="preserve">Namen projekta je povečati obseg statističnih podatkov v </w:t>
      </w:r>
      <w:r w:rsidR="00945E65">
        <w:rPr>
          <w:color w:val="000000"/>
          <w:sz w:val="20"/>
          <w:szCs w:val="20"/>
        </w:rPr>
        <w:t>BiH</w:t>
      </w:r>
      <w:r w:rsidRPr="007A31EC">
        <w:rPr>
          <w:color w:val="000000"/>
          <w:sz w:val="20"/>
          <w:szCs w:val="20"/>
        </w:rPr>
        <w:t xml:space="preserve"> in usklajenost s pravnim redom ter standardi EU na področju statistike s krepitvijo institucionalne zmogljivosti statističnega sistema </w:t>
      </w:r>
      <w:r w:rsidR="00945E65">
        <w:rPr>
          <w:color w:val="000000"/>
          <w:sz w:val="20"/>
          <w:szCs w:val="20"/>
        </w:rPr>
        <w:t>BiH</w:t>
      </w:r>
      <w:r w:rsidRPr="007A31EC">
        <w:rPr>
          <w:color w:val="000000"/>
          <w:sz w:val="20"/>
          <w:szCs w:val="20"/>
        </w:rPr>
        <w:t xml:space="preserve"> in z izboljšanjem poslovnih statistik, statistike turizma, delovne sile, informacijske družbe ter plačilne bilance.</w:t>
      </w:r>
      <w:r>
        <w:rPr>
          <w:color w:val="000000"/>
          <w:sz w:val="20"/>
          <w:szCs w:val="20"/>
        </w:rPr>
        <w:t xml:space="preserve"> Predstavniki SURS sodelujejo pri izvedbi projekta na področju poslovnih statistik in statistike turizma.</w:t>
      </w:r>
    </w:p>
    <w:p w14:paraId="2E1F70C5" w14:textId="77777777" w:rsidR="00F60399" w:rsidRDefault="00F60399" w:rsidP="006C0DAC">
      <w:pPr>
        <w:spacing w:line="276" w:lineRule="auto"/>
        <w:rPr>
          <w:rFonts w:eastAsia="Calibri"/>
          <w:color w:val="000000"/>
          <w:sz w:val="20"/>
          <w:szCs w:val="20"/>
        </w:rPr>
      </w:pPr>
    </w:p>
    <w:p w14:paraId="0735EFDD" w14:textId="77777777" w:rsidR="00DD275F" w:rsidRDefault="00F60399" w:rsidP="006C0DAC">
      <w:pPr>
        <w:spacing w:line="276" w:lineRule="auto"/>
        <w:rPr>
          <w:rFonts w:eastAsia="Calibri"/>
          <w:color w:val="000000"/>
          <w:sz w:val="20"/>
          <w:szCs w:val="20"/>
        </w:rPr>
      </w:pPr>
      <w:r>
        <w:rPr>
          <w:rFonts w:eastAsia="Calibri"/>
          <w:color w:val="000000"/>
          <w:sz w:val="20"/>
          <w:szCs w:val="20"/>
        </w:rPr>
        <w:t>SURS je v letu 2025 v okviru I</w:t>
      </w:r>
      <w:r w:rsidRPr="00460B7A">
        <w:rPr>
          <w:rFonts w:eastAsia="Calibri"/>
          <w:color w:val="000000"/>
          <w:sz w:val="20"/>
          <w:szCs w:val="20"/>
        </w:rPr>
        <w:t>nstrument</w:t>
      </w:r>
      <w:r>
        <w:rPr>
          <w:rFonts w:eastAsia="Calibri"/>
          <w:color w:val="000000"/>
          <w:sz w:val="20"/>
          <w:szCs w:val="20"/>
        </w:rPr>
        <w:t>a</w:t>
      </w:r>
      <w:r w:rsidRPr="00460B7A">
        <w:rPr>
          <w:rFonts w:eastAsia="Calibri"/>
          <w:color w:val="000000"/>
          <w:sz w:val="20"/>
          <w:szCs w:val="20"/>
        </w:rPr>
        <w:t xml:space="preserve"> za predpristopno pomoč</w:t>
      </w:r>
      <w:r>
        <w:rPr>
          <w:rFonts w:eastAsia="Calibri"/>
          <w:color w:val="000000"/>
          <w:sz w:val="20"/>
          <w:szCs w:val="20"/>
        </w:rPr>
        <w:t xml:space="preserve"> – programa </w:t>
      </w:r>
      <w:r w:rsidRPr="00460B7A">
        <w:rPr>
          <w:rFonts w:eastAsia="Calibri"/>
          <w:color w:val="000000"/>
          <w:sz w:val="20"/>
          <w:szCs w:val="20"/>
        </w:rPr>
        <w:t>za področje statistike</w:t>
      </w:r>
      <w:r>
        <w:rPr>
          <w:rFonts w:eastAsia="Calibri"/>
          <w:color w:val="000000"/>
          <w:sz w:val="20"/>
          <w:szCs w:val="20"/>
        </w:rPr>
        <w:t xml:space="preserve"> –</w:t>
      </w:r>
      <w:r w:rsidRPr="00E9337A">
        <w:rPr>
          <w:rFonts w:eastAsia="Calibri"/>
          <w:color w:val="000000"/>
          <w:sz w:val="20"/>
          <w:szCs w:val="20"/>
        </w:rPr>
        <w:t xml:space="preserve"> </w:t>
      </w:r>
      <w:r>
        <w:rPr>
          <w:rFonts w:eastAsia="Calibri"/>
          <w:color w:val="000000"/>
          <w:sz w:val="20"/>
          <w:szCs w:val="20"/>
        </w:rPr>
        <w:t>ter TAIEX porgrama izvedel tudi študijske obiske predstavnikov statističnega urada Severne Makedonije s področja statistike voda, okoljskih računov, statistike selitev in uporabe administrativnih virov v statistiki ter</w:t>
      </w:r>
      <w:r w:rsidRPr="0051510D">
        <w:rPr>
          <w:rFonts w:eastAsia="Calibri"/>
          <w:color w:val="000000"/>
          <w:sz w:val="20"/>
          <w:szCs w:val="20"/>
        </w:rPr>
        <w:t xml:space="preserve"> </w:t>
      </w:r>
      <w:r>
        <w:rPr>
          <w:rFonts w:eastAsia="Calibri"/>
          <w:color w:val="000000"/>
          <w:sz w:val="20"/>
          <w:szCs w:val="20"/>
        </w:rPr>
        <w:t>predstavnikov statističnega urada Srbije s področja demografskih statistik.</w:t>
      </w:r>
    </w:p>
    <w:p w14:paraId="3B3FB0E6" w14:textId="77777777" w:rsidR="006C0DAC" w:rsidRDefault="006C0DAC" w:rsidP="006C0DAC">
      <w:pPr>
        <w:spacing w:line="276" w:lineRule="auto"/>
        <w:rPr>
          <w:rFonts w:eastAsia="Calibri"/>
          <w:color w:val="000000"/>
          <w:sz w:val="20"/>
          <w:szCs w:val="20"/>
        </w:rPr>
      </w:pPr>
    </w:p>
    <w:p w14:paraId="15724990" w14:textId="77777777" w:rsidR="00A21F8F" w:rsidRPr="00C23AB5" w:rsidRDefault="00A21F8F" w:rsidP="006C0DAC">
      <w:pPr>
        <w:spacing w:line="276" w:lineRule="auto"/>
        <w:rPr>
          <w:rFonts w:eastAsia="Calibri"/>
          <w:color w:val="000000"/>
          <w:sz w:val="20"/>
          <w:szCs w:val="20"/>
        </w:rPr>
      </w:pPr>
    </w:p>
    <w:p w14:paraId="5C7CE344" w14:textId="77777777" w:rsidR="005547B0" w:rsidRPr="00647683" w:rsidRDefault="003B39EE" w:rsidP="00411064">
      <w:pPr>
        <w:pStyle w:val="Heading1"/>
        <w:pBdr>
          <w:bottom w:val="single" w:sz="4" w:space="0" w:color="auto"/>
        </w:pBdr>
        <w:rPr>
          <w:color w:val="FF0000"/>
        </w:rPr>
      </w:pPr>
      <w:bookmarkStart w:id="58" w:name="_Toc227227991"/>
      <w:r w:rsidRPr="00647683">
        <w:t xml:space="preserve">III. </w:t>
      </w:r>
      <w:r w:rsidR="009A4B44" w:rsidRPr="00647683">
        <w:t>Pregled ključnih aktivnosti koordinatorja za Zahodni Balkan</w:t>
      </w:r>
      <w:bookmarkEnd w:id="58"/>
      <w:r w:rsidR="00EC4300" w:rsidRPr="00647683">
        <w:t xml:space="preserve"> </w:t>
      </w:r>
    </w:p>
    <w:p w14:paraId="3E278C42" w14:textId="77777777" w:rsidR="00DF6222" w:rsidRPr="00140B34" w:rsidRDefault="00DF6222" w:rsidP="006C0DAC">
      <w:pPr>
        <w:spacing w:line="276" w:lineRule="auto"/>
        <w:rPr>
          <w:sz w:val="20"/>
          <w:szCs w:val="20"/>
          <w:highlight w:val="yellow"/>
        </w:rPr>
      </w:pPr>
    </w:p>
    <w:p w14:paraId="0E3C90AD" w14:textId="77777777" w:rsidR="00CC4AA6" w:rsidRPr="00373E1D" w:rsidRDefault="00CE3E44" w:rsidP="006C0DAC">
      <w:pPr>
        <w:spacing w:line="276" w:lineRule="auto"/>
        <w:rPr>
          <w:sz w:val="20"/>
          <w:szCs w:val="20"/>
        </w:rPr>
      </w:pPr>
      <w:r w:rsidRPr="00CE3E44">
        <w:rPr>
          <w:sz w:val="20"/>
          <w:szCs w:val="20"/>
        </w:rPr>
        <w:t>Nacionalni Koordinator za Z</w:t>
      </w:r>
      <w:r w:rsidR="0059640F">
        <w:rPr>
          <w:sz w:val="20"/>
          <w:szCs w:val="20"/>
        </w:rPr>
        <w:t xml:space="preserve">ahodni </w:t>
      </w:r>
      <w:r w:rsidRPr="00CE3E44">
        <w:rPr>
          <w:sz w:val="20"/>
          <w:szCs w:val="20"/>
        </w:rPr>
        <w:t>B</w:t>
      </w:r>
      <w:r w:rsidR="0059640F">
        <w:rPr>
          <w:sz w:val="20"/>
          <w:szCs w:val="20"/>
        </w:rPr>
        <w:t>alkan</w:t>
      </w:r>
      <w:r w:rsidRPr="00CE3E44">
        <w:rPr>
          <w:sz w:val="20"/>
          <w:szCs w:val="20"/>
        </w:rPr>
        <w:t xml:space="preserve"> je v lanskem letu nadaljeval z usklajevanjem aktivnosti različnih resorjev in ministrstev na Zahodnem Balkanu ter se udeleževal konferenc, posvetovanj in diskusije glede prihodnosti regije tako v EU kot v regiji sami. Pri tem je izpostavljal slovenska stališča, predvsem našo zavezanost k širitvenemu procesu, ki mora čimprej pripeljati do članstva teh držav v Uniji. Pri tem je opozarjal na geostrateške spremembe v mednarodni skupnosti, ki terjajo odločen in strateški odziv EU, tudi, ali pa predvsem kar se tiče širitve, ki ostaja eden izmed ključnih vzvodov dokončne konsolidacije evropskega kontinenta. Ob tem je ključno, da </w:t>
      </w:r>
      <w:r w:rsidR="00744FC6">
        <w:rPr>
          <w:sz w:val="20"/>
          <w:szCs w:val="20"/>
        </w:rPr>
        <w:t>RS</w:t>
      </w:r>
      <w:r w:rsidRPr="00CE3E44">
        <w:rPr>
          <w:sz w:val="20"/>
          <w:szCs w:val="20"/>
        </w:rPr>
        <w:t xml:space="preserve"> ostaja eden izmed najpomembnejših zagovornikov regije, obenem pa državam Zahodnega Balkana praktično pomaga pri reformnih procesih, tako preko bilateralne razvojne pomoči kot tudi preko instrumentov EU.</w:t>
      </w:r>
    </w:p>
    <w:sectPr w:rsidR="00CC4AA6" w:rsidRPr="00373E1D" w:rsidSect="006C7EB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2AAF" w14:textId="77777777" w:rsidR="00196FD1" w:rsidRDefault="00196FD1" w:rsidP="00FA2DCA">
      <w:r>
        <w:separator/>
      </w:r>
    </w:p>
  </w:endnote>
  <w:endnote w:type="continuationSeparator" w:id="0">
    <w:p w14:paraId="339FA5BC" w14:textId="77777777" w:rsidR="00196FD1" w:rsidRDefault="00196FD1" w:rsidP="00FA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IMIEK+Republik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9CB8" w14:textId="77777777" w:rsidR="00461C7F" w:rsidRDefault="00461C7F">
    <w:pPr>
      <w:pStyle w:val="Footer"/>
      <w:jc w:val="right"/>
    </w:pPr>
    <w:r>
      <w:fldChar w:fldCharType="begin"/>
    </w:r>
    <w:r>
      <w:instrText xml:space="preserve"> PAGE   \* MERGEFORMAT </w:instrText>
    </w:r>
    <w:r>
      <w:fldChar w:fldCharType="separate"/>
    </w:r>
    <w:r w:rsidR="009E52A7">
      <w:rPr>
        <w:noProof/>
      </w:rPr>
      <w:t>5</w:t>
    </w:r>
    <w:r w:rsidR="009E52A7">
      <w:rPr>
        <w:noProof/>
      </w:rPr>
      <w:t>1</w:t>
    </w:r>
    <w:r>
      <w:rPr>
        <w:noProof/>
      </w:rPr>
      <w:fldChar w:fldCharType="end"/>
    </w:r>
  </w:p>
  <w:p w14:paraId="36DA0102" w14:textId="77777777" w:rsidR="00461C7F" w:rsidRDefault="00461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92850" w14:textId="77777777" w:rsidR="00196FD1" w:rsidRDefault="00196FD1" w:rsidP="00FA2DCA">
      <w:r>
        <w:separator/>
      </w:r>
    </w:p>
  </w:footnote>
  <w:footnote w:type="continuationSeparator" w:id="0">
    <w:p w14:paraId="33AA564F" w14:textId="77777777" w:rsidR="00196FD1" w:rsidRDefault="00196FD1" w:rsidP="00FA2DCA">
      <w:r>
        <w:continuationSeparator/>
      </w:r>
    </w:p>
  </w:footnote>
  <w:footnote w:id="1">
    <w:p w14:paraId="45C26EF2" w14:textId="77777777" w:rsidR="00D453C9" w:rsidRDefault="00D453C9" w:rsidP="00D453C9">
      <w:pPr>
        <w:pStyle w:val="FootnoteText"/>
      </w:pPr>
      <w:r>
        <w:rPr>
          <w:rStyle w:val="FootnoteReference"/>
        </w:rPr>
        <w:footnoteRef/>
      </w:r>
      <w:r>
        <w:t xml:space="preserve"> </w:t>
      </w:r>
      <w:hyperlink r:id="rId1" w:history="1">
        <w:r w:rsidRPr="00D62FEA">
          <w:rPr>
            <w:rStyle w:val="Hyperlink"/>
          </w:rPr>
          <w:t>EUSAIR-Action-Plan_SWD2025-114-final.pdf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891"/>
    <w:multiLevelType w:val="hybridMultilevel"/>
    <w:tmpl w:val="1F926804"/>
    <w:lvl w:ilvl="0" w:tplc="08090015">
      <w:start w:val="1"/>
      <w:numFmt w:val="upperLetter"/>
      <w:lvlText w:val="%1."/>
      <w:lvlJc w:val="left"/>
      <w:pPr>
        <w:ind w:left="429" w:hanging="360"/>
      </w:pPr>
    </w:lvl>
    <w:lvl w:ilvl="1" w:tplc="08090019" w:tentative="1">
      <w:start w:val="1"/>
      <w:numFmt w:val="lowerLetter"/>
      <w:lvlText w:val="%2."/>
      <w:lvlJc w:val="left"/>
      <w:pPr>
        <w:ind w:left="1149" w:hanging="360"/>
      </w:pPr>
    </w:lvl>
    <w:lvl w:ilvl="2" w:tplc="0809001B" w:tentative="1">
      <w:start w:val="1"/>
      <w:numFmt w:val="lowerRoman"/>
      <w:lvlText w:val="%3."/>
      <w:lvlJc w:val="right"/>
      <w:pPr>
        <w:ind w:left="1869" w:hanging="180"/>
      </w:pPr>
    </w:lvl>
    <w:lvl w:ilvl="3" w:tplc="0809000F" w:tentative="1">
      <w:start w:val="1"/>
      <w:numFmt w:val="decimal"/>
      <w:lvlText w:val="%4."/>
      <w:lvlJc w:val="left"/>
      <w:pPr>
        <w:ind w:left="2589" w:hanging="360"/>
      </w:pPr>
    </w:lvl>
    <w:lvl w:ilvl="4" w:tplc="08090019" w:tentative="1">
      <w:start w:val="1"/>
      <w:numFmt w:val="lowerLetter"/>
      <w:lvlText w:val="%5."/>
      <w:lvlJc w:val="left"/>
      <w:pPr>
        <w:ind w:left="3309" w:hanging="360"/>
      </w:pPr>
    </w:lvl>
    <w:lvl w:ilvl="5" w:tplc="0809001B" w:tentative="1">
      <w:start w:val="1"/>
      <w:numFmt w:val="lowerRoman"/>
      <w:lvlText w:val="%6."/>
      <w:lvlJc w:val="right"/>
      <w:pPr>
        <w:ind w:left="4029" w:hanging="180"/>
      </w:pPr>
    </w:lvl>
    <w:lvl w:ilvl="6" w:tplc="0809000F" w:tentative="1">
      <w:start w:val="1"/>
      <w:numFmt w:val="decimal"/>
      <w:lvlText w:val="%7."/>
      <w:lvlJc w:val="left"/>
      <w:pPr>
        <w:ind w:left="4749" w:hanging="360"/>
      </w:pPr>
    </w:lvl>
    <w:lvl w:ilvl="7" w:tplc="08090019" w:tentative="1">
      <w:start w:val="1"/>
      <w:numFmt w:val="lowerLetter"/>
      <w:lvlText w:val="%8."/>
      <w:lvlJc w:val="left"/>
      <w:pPr>
        <w:ind w:left="5469" w:hanging="360"/>
      </w:pPr>
    </w:lvl>
    <w:lvl w:ilvl="8" w:tplc="0809001B" w:tentative="1">
      <w:start w:val="1"/>
      <w:numFmt w:val="lowerRoman"/>
      <w:lvlText w:val="%9."/>
      <w:lvlJc w:val="right"/>
      <w:pPr>
        <w:ind w:left="6189" w:hanging="180"/>
      </w:pPr>
    </w:lvl>
  </w:abstractNum>
  <w:abstractNum w:abstractNumId="1" w15:restartNumberingAfterBreak="0">
    <w:nsid w:val="06EC40EF"/>
    <w:multiLevelType w:val="hybridMultilevel"/>
    <w:tmpl w:val="5FA6DC80"/>
    <w:lvl w:ilvl="0" w:tplc="CB4A7268">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DC2287"/>
    <w:multiLevelType w:val="hybridMultilevel"/>
    <w:tmpl w:val="4E047BDE"/>
    <w:lvl w:ilvl="0" w:tplc="116A60F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BD3BFF"/>
    <w:multiLevelType w:val="hybridMultilevel"/>
    <w:tmpl w:val="A79815FE"/>
    <w:lvl w:ilvl="0" w:tplc="BAA84064">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3E0990"/>
    <w:multiLevelType w:val="hybridMultilevel"/>
    <w:tmpl w:val="AD7843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0A1E75"/>
    <w:multiLevelType w:val="hybridMultilevel"/>
    <w:tmpl w:val="665C5B76"/>
    <w:lvl w:ilvl="0" w:tplc="9E76BFBE">
      <w:start w:val="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F351070"/>
    <w:multiLevelType w:val="hybridMultilevel"/>
    <w:tmpl w:val="78249E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F4736E9"/>
    <w:multiLevelType w:val="hybridMultilevel"/>
    <w:tmpl w:val="768A30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0E149C2"/>
    <w:multiLevelType w:val="hybridMultilevel"/>
    <w:tmpl w:val="A080F762"/>
    <w:lvl w:ilvl="0" w:tplc="BAA84064">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A80D51"/>
    <w:multiLevelType w:val="hybridMultilevel"/>
    <w:tmpl w:val="F0BCE836"/>
    <w:lvl w:ilvl="0" w:tplc="7848C5D4">
      <w:numFmt w:val="bullet"/>
      <w:lvlText w:val="-"/>
      <w:lvlJc w:val="left"/>
      <w:pPr>
        <w:ind w:left="720" w:hanging="360"/>
      </w:pPr>
      <w:rPr>
        <w:rFonts w:ascii="Calibri" w:eastAsia="Calibri" w:hAnsi="Calibri" w:cs="Calibr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1BC1DDF"/>
    <w:multiLevelType w:val="hybridMultilevel"/>
    <w:tmpl w:val="17EC3486"/>
    <w:lvl w:ilvl="0" w:tplc="E43420F0">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2667812"/>
    <w:multiLevelType w:val="hybridMultilevel"/>
    <w:tmpl w:val="23F498BA"/>
    <w:lvl w:ilvl="0" w:tplc="04240001">
      <w:start w:val="1"/>
      <w:numFmt w:val="bullet"/>
      <w:lvlText w:val=""/>
      <w:lvlJc w:val="left"/>
      <w:pPr>
        <w:ind w:left="1080" w:hanging="72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36B34A9"/>
    <w:multiLevelType w:val="hybridMultilevel"/>
    <w:tmpl w:val="C69032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7943422"/>
    <w:multiLevelType w:val="hybridMultilevel"/>
    <w:tmpl w:val="991663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8244A68"/>
    <w:multiLevelType w:val="hybridMultilevel"/>
    <w:tmpl w:val="B6BA9C54"/>
    <w:lvl w:ilvl="0" w:tplc="C73024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A1B2509"/>
    <w:multiLevelType w:val="hybridMultilevel"/>
    <w:tmpl w:val="21CC0F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1F744E3F"/>
    <w:multiLevelType w:val="hybridMultilevel"/>
    <w:tmpl w:val="BD7CC6AA"/>
    <w:lvl w:ilvl="0" w:tplc="FFFFFFFF">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6F2E73"/>
    <w:multiLevelType w:val="hybridMultilevel"/>
    <w:tmpl w:val="4C0E1372"/>
    <w:lvl w:ilvl="0" w:tplc="FFFFFFFF">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38F560C"/>
    <w:multiLevelType w:val="hybridMultilevel"/>
    <w:tmpl w:val="7F02FFAC"/>
    <w:lvl w:ilvl="0" w:tplc="04240001">
      <w:start w:val="1"/>
      <w:numFmt w:val="bullet"/>
      <w:lvlText w:val=""/>
      <w:lvlJc w:val="left"/>
      <w:pPr>
        <w:ind w:left="1080" w:hanging="72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5684AAF"/>
    <w:multiLevelType w:val="hybridMultilevel"/>
    <w:tmpl w:val="DC8A4E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FCF4321"/>
    <w:multiLevelType w:val="hybridMultilevel"/>
    <w:tmpl w:val="3322FC38"/>
    <w:lvl w:ilvl="0" w:tplc="CED0A39C">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2F17E14"/>
    <w:multiLevelType w:val="hybridMultilevel"/>
    <w:tmpl w:val="4072D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3B32ACA"/>
    <w:multiLevelType w:val="hybridMultilevel"/>
    <w:tmpl w:val="4C7CBB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5D73078"/>
    <w:multiLevelType w:val="hybridMultilevel"/>
    <w:tmpl w:val="33E069C4"/>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79E5C7A"/>
    <w:multiLevelType w:val="hybridMultilevel"/>
    <w:tmpl w:val="DA56BC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B33662E"/>
    <w:multiLevelType w:val="multilevel"/>
    <w:tmpl w:val="9F24C4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1D7AA4"/>
    <w:multiLevelType w:val="hybridMultilevel"/>
    <w:tmpl w:val="2EE2F9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3427E56"/>
    <w:multiLevelType w:val="multilevel"/>
    <w:tmpl w:val="F95E4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A84580"/>
    <w:multiLevelType w:val="hybridMultilevel"/>
    <w:tmpl w:val="F530DF3E"/>
    <w:lvl w:ilvl="0" w:tplc="56240F4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06210C9"/>
    <w:multiLevelType w:val="hybridMultilevel"/>
    <w:tmpl w:val="2BF0E8F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1544B94"/>
    <w:multiLevelType w:val="hybridMultilevel"/>
    <w:tmpl w:val="8032A278"/>
    <w:lvl w:ilvl="0" w:tplc="04240001">
      <w:start w:val="1"/>
      <w:numFmt w:val="bullet"/>
      <w:lvlText w:val=""/>
      <w:lvlJc w:val="left"/>
      <w:pPr>
        <w:ind w:left="789" w:hanging="360"/>
      </w:pPr>
      <w:rPr>
        <w:rFonts w:ascii="Symbol" w:hAnsi="Symbol" w:hint="default"/>
      </w:rPr>
    </w:lvl>
    <w:lvl w:ilvl="1" w:tplc="04240003">
      <w:start w:val="1"/>
      <w:numFmt w:val="bullet"/>
      <w:lvlText w:val="o"/>
      <w:lvlJc w:val="left"/>
      <w:pPr>
        <w:ind w:left="1509" w:hanging="360"/>
      </w:pPr>
      <w:rPr>
        <w:rFonts w:ascii="Courier New" w:hAnsi="Courier New" w:cs="Courier New" w:hint="default"/>
      </w:rPr>
    </w:lvl>
    <w:lvl w:ilvl="2" w:tplc="04240005" w:tentative="1">
      <w:start w:val="1"/>
      <w:numFmt w:val="bullet"/>
      <w:lvlText w:val=""/>
      <w:lvlJc w:val="left"/>
      <w:pPr>
        <w:ind w:left="2229" w:hanging="360"/>
      </w:pPr>
      <w:rPr>
        <w:rFonts w:ascii="Wingdings" w:hAnsi="Wingdings" w:hint="default"/>
      </w:rPr>
    </w:lvl>
    <w:lvl w:ilvl="3" w:tplc="04240001" w:tentative="1">
      <w:start w:val="1"/>
      <w:numFmt w:val="bullet"/>
      <w:lvlText w:val=""/>
      <w:lvlJc w:val="left"/>
      <w:pPr>
        <w:ind w:left="2949" w:hanging="360"/>
      </w:pPr>
      <w:rPr>
        <w:rFonts w:ascii="Symbol" w:hAnsi="Symbol" w:hint="default"/>
      </w:rPr>
    </w:lvl>
    <w:lvl w:ilvl="4" w:tplc="04240003" w:tentative="1">
      <w:start w:val="1"/>
      <w:numFmt w:val="bullet"/>
      <w:lvlText w:val="o"/>
      <w:lvlJc w:val="left"/>
      <w:pPr>
        <w:ind w:left="3669" w:hanging="360"/>
      </w:pPr>
      <w:rPr>
        <w:rFonts w:ascii="Courier New" w:hAnsi="Courier New" w:cs="Courier New" w:hint="default"/>
      </w:rPr>
    </w:lvl>
    <w:lvl w:ilvl="5" w:tplc="04240005" w:tentative="1">
      <w:start w:val="1"/>
      <w:numFmt w:val="bullet"/>
      <w:lvlText w:val=""/>
      <w:lvlJc w:val="left"/>
      <w:pPr>
        <w:ind w:left="4389" w:hanging="360"/>
      </w:pPr>
      <w:rPr>
        <w:rFonts w:ascii="Wingdings" w:hAnsi="Wingdings" w:hint="default"/>
      </w:rPr>
    </w:lvl>
    <w:lvl w:ilvl="6" w:tplc="04240001" w:tentative="1">
      <w:start w:val="1"/>
      <w:numFmt w:val="bullet"/>
      <w:lvlText w:val=""/>
      <w:lvlJc w:val="left"/>
      <w:pPr>
        <w:ind w:left="5109" w:hanging="360"/>
      </w:pPr>
      <w:rPr>
        <w:rFonts w:ascii="Symbol" w:hAnsi="Symbol" w:hint="default"/>
      </w:rPr>
    </w:lvl>
    <w:lvl w:ilvl="7" w:tplc="04240003" w:tentative="1">
      <w:start w:val="1"/>
      <w:numFmt w:val="bullet"/>
      <w:lvlText w:val="o"/>
      <w:lvlJc w:val="left"/>
      <w:pPr>
        <w:ind w:left="5829" w:hanging="360"/>
      </w:pPr>
      <w:rPr>
        <w:rFonts w:ascii="Courier New" w:hAnsi="Courier New" w:cs="Courier New" w:hint="default"/>
      </w:rPr>
    </w:lvl>
    <w:lvl w:ilvl="8" w:tplc="04240005" w:tentative="1">
      <w:start w:val="1"/>
      <w:numFmt w:val="bullet"/>
      <w:lvlText w:val=""/>
      <w:lvlJc w:val="left"/>
      <w:pPr>
        <w:ind w:left="6549" w:hanging="360"/>
      </w:pPr>
      <w:rPr>
        <w:rFonts w:ascii="Wingdings" w:hAnsi="Wingdings" w:hint="default"/>
      </w:rPr>
    </w:lvl>
  </w:abstractNum>
  <w:abstractNum w:abstractNumId="31" w15:restartNumberingAfterBreak="0">
    <w:nsid w:val="52F12A80"/>
    <w:multiLevelType w:val="hybridMultilevel"/>
    <w:tmpl w:val="56208326"/>
    <w:lvl w:ilvl="0" w:tplc="BAA84064">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D99106C"/>
    <w:multiLevelType w:val="hybridMultilevel"/>
    <w:tmpl w:val="2458CE76"/>
    <w:lvl w:ilvl="0" w:tplc="04240001">
      <w:start w:val="1"/>
      <w:numFmt w:val="bullet"/>
      <w:lvlText w:val=""/>
      <w:lvlJc w:val="left"/>
      <w:pPr>
        <w:ind w:left="1080" w:hanging="720"/>
      </w:pPr>
      <w:rPr>
        <w:rFonts w:ascii="Symbol" w:hAnsi="Symbol" w:hint="default"/>
      </w:rPr>
    </w:lvl>
    <w:lvl w:ilvl="1" w:tplc="065EB11E">
      <w:numFmt w:val="bullet"/>
      <w:lvlText w:val="•"/>
      <w:lvlJc w:val="left"/>
      <w:pPr>
        <w:ind w:left="1440" w:hanging="360"/>
      </w:pPr>
      <w:rPr>
        <w:rFonts w:ascii="Arial" w:eastAsia="Times New Roman" w:hAnsi="Arial" w:cs="Arial" w:hint="default"/>
        <w:b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DAB2B0D"/>
    <w:multiLevelType w:val="hybridMultilevel"/>
    <w:tmpl w:val="033A39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FDB3218"/>
    <w:multiLevelType w:val="hybridMultilevel"/>
    <w:tmpl w:val="9640A9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3D23E47"/>
    <w:multiLevelType w:val="hybridMultilevel"/>
    <w:tmpl w:val="C19CEE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5A009C4"/>
    <w:multiLevelType w:val="hybridMultilevel"/>
    <w:tmpl w:val="CCB607F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67575BF"/>
    <w:multiLevelType w:val="multilevel"/>
    <w:tmpl w:val="B958EE3C"/>
    <w:lvl w:ilvl="0">
      <w:start w:val="1"/>
      <w:numFmt w:val="decimal"/>
      <w:pStyle w:val="Heading11"/>
      <w:lvlText w:val="%1"/>
      <w:lvlJc w:val="left"/>
      <w:pPr>
        <w:ind w:left="432" w:hanging="432"/>
      </w:pPr>
    </w:lvl>
    <w:lvl w:ilvl="1">
      <w:start w:val="1"/>
      <w:numFmt w:val="decimal"/>
      <w:pStyle w:val="Heading21"/>
      <w:lvlText w:val="%1.%2"/>
      <w:lvlJc w:val="left"/>
      <w:pPr>
        <w:ind w:left="576" w:hanging="576"/>
      </w:pPr>
      <w:rPr>
        <w:b/>
        <w:bCs w:val="0"/>
        <w:sz w:val="24"/>
        <w:szCs w:val="24"/>
      </w:rPr>
    </w:lvl>
    <w:lvl w:ilvl="2">
      <w:start w:val="1"/>
      <w:numFmt w:val="decimal"/>
      <w:pStyle w:val="Heading31"/>
      <w:lvlText w:val="%1.%2.%3"/>
      <w:lvlJc w:val="left"/>
      <w:pPr>
        <w:ind w:left="862" w:hanging="720"/>
      </w:pPr>
      <w:rPr>
        <w:rFonts w:ascii="Tahoma" w:hAnsi="Tahoma" w:cs="Tahoma" w:hint="default"/>
        <w:b w:val="0"/>
        <w:bCs w:val="0"/>
        <w:i/>
        <w:iCs/>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38" w15:restartNumberingAfterBreak="0">
    <w:nsid w:val="67C82454"/>
    <w:multiLevelType w:val="hybridMultilevel"/>
    <w:tmpl w:val="BBA64F18"/>
    <w:lvl w:ilvl="0" w:tplc="FFFFFFFF">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8927ED4"/>
    <w:multiLevelType w:val="hybridMultilevel"/>
    <w:tmpl w:val="CB200A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D30A06"/>
    <w:multiLevelType w:val="hybridMultilevel"/>
    <w:tmpl w:val="89DAF0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B6C5A52"/>
    <w:multiLevelType w:val="hybridMultilevel"/>
    <w:tmpl w:val="758614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E8417DD"/>
    <w:multiLevelType w:val="hybridMultilevel"/>
    <w:tmpl w:val="E64EE2A8"/>
    <w:lvl w:ilvl="0" w:tplc="7F347DAE">
      <w:start w:val="19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56E4193"/>
    <w:multiLevelType w:val="hybridMultilevel"/>
    <w:tmpl w:val="CAC8CF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8117F1C"/>
    <w:multiLevelType w:val="hybridMultilevel"/>
    <w:tmpl w:val="F7FC19AA"/>
    <w:lvl w:ilvl="0" w:tplc="0809000F">
      <w:start w:val="1"/>
      <w:numFmt w:val="decimal"/>
      <w:lvlText w:val="%1."/>
      <w:lvlJc w:val="left"/>
      <w:pPr>
        <w:ind w:left="789" w:hanging="360"/>
      </w:pPr>
      <w:rPr>
        <w:rFonts w:hint="default"/>
      </w:rPr>
    </w:lvl>
    <w:lvl w:ilvl="1" w:tplc="04240003">
      <w:start w:val="1"/>
      <w:numFmt w:val="bullet"/>
      <w:lvlText w:val="o"/>
      <w:lvlJc w:val="left"/>
      <w:pPr>
        <w:ind w:left="1509" w:hanging="360"/>
      </w:pPr>
      <w:rPr>
        <w:rFonts w:ascii="Courier New" w:hAnsi="Courier New" w:cs="Courier New" w:hint="default"/>
      </w:rPr>
    </w:lvl>
    <w:lvl w:ilvl="2" w:tplc="04240005" w:tentative="1">
      <w:start w:val="1"/>
      <w:numFmt w:val="bullet"/>
      <w:lvlText w:val=""/>
      <w:lvlJc w:val="left"/>
      <w:pPr>
        <w:ind w:left="2229" w:hanging="360"/>
      </w:pPr>
      <w:rPr>
        <w:rFonts w:ascii="Wingdings" w:hAnsi="Wingdings" w:hint="default"/>
      </w:rPr>
    </w:lvl>
    <w:lvl w:ilvl="3" w:tplc="04240001" w:tentative="1">
      <w:start w:val="1"/>
      <w:numFmt w:val="bullet"/>
      <w:lvlText w:val=""/>
      <w:lvlJc w:val="left"/>
      <w:pPr>
        <w:ind w:left="2949" w:hanging="360"/>
      </w:pPr>
      <w:rPr>
        <w:rFonts w:ascii="Symbol" w:hAnsi="Symbol" w:hint="default"/>
      </w:rPr>
    </w:lvl>
    <w:lvl w:ilvl="4" w:tplc="04240003" w:tentative="1">
      <w:start w:val="1"/>
      <w:numFmt w:val="bullet"/>
      <w:lvlText w:val="o"/>
      <w:lvlJc w:val="left"/>
      <w:pPr>
        <w:ind w:left="3669" w:hanging="360"/>
      </w:pPr>
      <w:rPr>
        <w:rFonts w:ascii="Courier New" w:hAnsi="Courier New" w:cs="Courier New" w:hint="default"/>
      </w:rPr>
    </w:lvl>
    <w:lvl w:ilvl="5" w:tplc="04240005" w:tentative="1">
      <w:start w:val="1"/>
      <w:numFmt w:val="bullet"/>
      <w:lvlText w:val=""/>
      <w:lvlJc w:val="left"/>
      <w:pPr>
        <w:ind w:left="4389" w:hanging="360"/>
      </w:pPr>
      <w:rPr>
        <w:rFonts w:ascii="Wingdings" w:hAnsi="Wingdings" w:hint="default"/>
      </w:rPr>
    </w:lvl>
    <w:lvl w:ilvl="6" w:tplc="04240001" w:tentative="1">
      <w:start w:val="1"/>
      <w:numFmt w:val="bullet"/>
      <w:lvlText w:val=""/>
      <w:lvlJc w:val="left"/>
      <w:pPr>
        <w:ind w:left="5109" w:hanging="360"/>
      </w:pPr>
      <w:rPr>
        <w:rFonts w:ascii="Symbol" w:hAnsi="Symbol" w:hint="default"/>
      </w:rPr>
    </w:lvl>
    <w:lvl w:ilvl="7" w:tplc="04240003" w:tentative="1">
      <w:start w:val="1"/>
      <w:numFmt w:val="bullet"/>
      <w:lvlText w:val="o"/>
      <w:lvlJc w:val="left"/>
      <w:pPr>
        <w:ind w:left="5829" w:hanging="360"/>
      </w:pPr>
      <w:rPr>
        <w:rFonts w:ascii="Courier New" w:hAnsi="Courier New" w:cs="Courier New" w:hint="default"/>
      </w:rPr>
    </w:lvl>
    <w:lvl w:ilvl="8" w:tplc="04240005" w:tentative="1">
      <w:start w:val="1"/>
      <w:numFmt w:val="bullet"/>
      <w:lvlText w:val=""/>
      <w:lvlJc w:val="left"/>
      <w:pPr>
        <w:ind w:left="6549" w:hanging="360"/>
      </w:pPr>
      <w:rPr>
        <w:rFonts w:ascii="Wingdings" w:hAnsi="Wingdings" w:hint="default"/>
      </w:rPr>
    </w:lvl>
  </w:abstractNum>
  <w:abstractNum w:abstractNumId="45" w15:restartNumberingAfterBreak="0">
    <w:nsid w:val="7C6044DC"/>
    <w:multiLevelType w:val="hybridMultilevel"/>
    <w:tmpl w:val="31E458FA"/>
    <w:lvl w:ilvl="0" w:tplc="0B342C50">
      <w:start w:val="1"/>
      <w:numFmt w:val="decimal"/>
      <w:pStyle w:val="Heading2"/>
      <w:lvlText w:val="%1."/>
      <w:lvlJc w:val="left"/>
      <w:pPr>
        <w:tabs>
          <w:tab w:val="num" w:pos="1211"/>
        </w:tabs>
        <w:ind w:left="1211"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6" w15:restartNumberingAfterBreak="0">
    <w:nsid w:val="7EB257BF"/>
    <w:multiLevelType w:val="hybridMultilevel"/>
    <w:tmpl w:val="17CEB1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64470164">
    <w:abstractNumId w:val="45"/>
  </w:num>
  <w:num w:numId="2" w16cid:durableId="2037385616">
    <w:abstractNumId w:val="25"/>
  </w:num>
  <w:num w:numId="3" w16cid:durableId="377976090">
    <w:abstractNumId w:val="3"/>
  </w:num>
  <w:num w:numId="4" w16cid:durableId="715399082">
    <w:abstractNumId w:val="8"/>
  </w:num>
  <w:num w:numId="5" w16cid:durableId="2012635571">
    <w:abstractNumId w:val="14"/>
  </w:num>
  <w:num w:numId="6" w16cid:durableId="1519467728">
    <w:abstractNumId w:val="37"/>
  </w:num>
  <w:num w:numId="7" w16cid:durableId="1148472518">
    <w:abstractNumId w:val="31"/>
  </w:num>
  <w:num w:numId="8" w16cid:durableId="251669245">
    <w:abstractNumId w:val="23"/>
  </w:num>
  <w:num w:numId="9" w16cid:durableId="1557088490">
    <w:abstractNumId w:val="9"/>
  </w:num>
  <w:num w:numId="10" w16cid:durableId="1823160155">
    <w:abstractNumId w:val="0"/>
  </w:num>
  <w:num w:numId="11" w16cid:durableId="1572495576">
    <w:abstractNumId w:val="44"/>
  </w:num>
  <w:num w:numId="12" w16cid:durableId="202595114">
    <w:abstractNumId w:val="41"/>
  </w:num>
  <w:num w:numId="13" w16cid:durableId="803280278">
    <w:abstractNumId w:val="7"/>
  </w:num>
  <w:num w:numId="14" w16cid:durableId="1486898141">
    <w:abstractNumId w:val="13"/>
  </w:num>
  <w:num w:numId="15" w16cid:durableId="655843302">
    <w:abstractNumId w:val="39"/>
  </w:num>
  <w:num w:numId="16" w16cid:durableId="1271938720">
    <w:abstractNumId w:val="36"/>
  </w:num>
  <w:num w:numId="17" w16cid:durableId="881206484">
    <w:abstractNumId w:val="30"/>
  </w:num>
  <w:num w:numId="18" w16cid:durableId="353196007">
    <w:abstractNumId w:val="43"/>
  </w:num>
  <w:num w:numId="19" w16cid:durableId="38601086">
    <w:abstractNumId w:val="12"/>
  </w:num>
  <w:num w:numId="20" w16cid:durableId="1849059198">
    <w:abstractNumId w:val="34"/>
  </w:num>
  <w:num w:numId="21" w16cid:durableId="338701237">
    <w:abstractNumId w:val="4"/>
  </w:num>
  <w:num w:numId="22" w16cid:durableId="169681461">
    <w:abstractNumId w:val="21"/>
  </w:num>
  <w:num w:numId="23" w16cid:durableId="1980767174">
    <w:abstractNumId w:val="46"/>
  </w:num>
  <w:num w:numId="24" w16cid:durableId="823935840">
    <w:abstractNumId w:val="16"/>
  </w:num>
  <w:num w:numId="25" w16cid:durableId="1890609520">
    <w:abstractNumId w:val="38"/>
  </w:num>
  <w:num w:numId="26" w16cid:durableId="728652304">
    <w:abstractNumId w:val="17"/>
  </w:num>
  <w:num w:numId="27" w16cid:durableId="1449543094">
    <w:abstractNumId w:val="28"/>
  </w:num>
  <w:num w:numId="28" w16cid:durableId="335229735">
    <w:abstractNumId w:val="26"/>
  </w:num>
  <w:num w:numId="29" w16cid:durableId="225607043">
    <w:abstractNumId w:val="22"/>
  </w:num>
  <w:num w:numId="30" w16cid:durableId="1347056205">
    <w:abstractNumId w:val="33"/>
  </w:num>
  <w:num w:numId="31" w16cid:durableId="1230338143">
    <w:abstractNumId w:val="20"/>
  </w:num>
  <w:num w:numId="32" w16cid:durableId="413867812">
    <w:abstractNumId w:val="10"/>
  </w:num>
  <w:num w:numId="33" w16cid:durableId="1841499926">
    <w:abstractNumId w:val="1"/>
  </w:num>
  <w:num w:numId="34" w16cid:durableId="1630629947">
    <w:abstractNumId w:val="18"/>
  </w:num>
  <w:num w:numId="35" w16cid:durableId="1476215928">
    <w:abstractNumId w:val="32"/>
  </w:num>
  <w:num w:numId="36" w16cid:durableId="1904022013">
    <w:abstractNumId w:val="11"/>
  </w:num>
  <w:num w:numId="37" w16cid:durableId="1061560142">
    <w:abstractNumId w:val="42"/>
  </w:num>
  <w:num w:numId="38" w16cid:durableId="601111132">
    <w:abstractNumId w:val="2"/>
  </w:num>
  <w:num w:numId="39" w16cid:durableId="185559687">
    <w:abstractNumId w:val="19"/>
  </w:num>
  <w:num w:numId="40" w16cid:durableId="39257088">
    <w:abstractNumId w:val="29"/>
  </w:num>
  <w:num w:numId="41" w16cid:durableId="441337262">
    <w:abstractNumId w:val="35"/>
  </w:num>
  <w:num w:numId="42" w16cid:durableId="2018266197">
    <w:abstractNumId w:val="5"/>
    <w:lvlOverride w:ilvl="0"/>
    <w:lvlOverride w:ilvl="1"/>
    <w:lvlOverride w:ilvl="2"/>
    <w:lvlOverride w:ilvl="3"/>
    <w:lvlOverride w:ilvl="4"/>
    <w:lvlOverride w:ilvl="5"/>
    <w:lvlOverride w:ilvl="6"/>
    <w:lvlOverride w:ilvl="7"/>
    <w:lvlOverride w:ilvl="8"/>
  </w:num>
  <w:num w:numId="43" w16cid:durableId="764770025">
    <w:abstractNumId w:val="6"/>
  </w:num>
  <w:num w:numId="44" w16cid:durableId="197938387">
    <w:abstractNumId w:val="15"/>
  </w:num>
  <w:num w:numId="45" w16cid:durableId="143470558">
    <w:abstractNumId w:val="27"/>
    <w:lvlOverride w:ilvl="0"/>
    <w:lvlOverride w:ilvl="1"/>
    <w:lvlOverride w:ilvl="2"/>
    <w:lvlOverride w:ilvl="3"/>
    <w:lvlOverride w:ilvl="4"/>
    <w:lvlOverride w:ilvl="5"/>
    <w:lvlOverride w:ilvl="6"/>
    <w:lvlOverride w:ilvl="7"/>
    <w:lvlOverride w:ilvl="8"/>
  </w:num>
  <w:num w:numId="46" w16cid:durableId="539585527">
    <w:abstractNumId w:val="24"/>
  </w:num>
  <w:num w:numId="47" w16cid:durableId="647175213">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de-AT" w:vendorID="64" w:dllVersion="131078" w:nlCheck="1" w:checkStyle="0"/>
  <w:activeWritingStyle w:appName="MSWord" w:lang="en-US" w:vendorID="64" w:dllVersion="4096" w:nlCheck="1" w:checkStyle="0"/>
  <w:activeWritingStyle w:appName="MSWord" w:lang="en-US" w:vendorID="64" w:dllVersion="0" w:nlCheck="1" w:checkStyle="0"/>
  <w:activeWritingStyle w:appName="MSWord" w:lang="it-IT" w:vendorID="64" w:dllVersion="0" w:nlCheck="1" w:checkStyle="0"/>
  <w:activeWritingStyle w:appName="MSWord" w:lang="it-IT"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B0"/>
    <w:rsid w:val="00000B77"/>
    <w:rsid w:val="00000BA9"/>
    <w:rsid w:val="00002976"/>
    <w:rsid w:val="00003C2E"/>
    <w:rsid w:val="0000551D"/>
    <w:rsid w:val="000069F1"/>
    <w:rsid w:val="000171E5"/>
    <w:rsid w:val="00017273"/>
    <w:rsid w:val="000200AD"/>
    <w:rsid w:val="000202E7"/>
    <w:rsid w:val="000215DD"/>
    <w:rsid w:val="00021773"/>
    <w:rsid w:val="00022948"/>
    <w:rsid w:val="00024B8E"/>
    <w:rsid w:val="00024ED4"/>
    <w:rsid w:val="00024EF4"/>
    <w:rsid w:val="0002570E"/>
    <w:rsid w:val="00025C9B"/>
    <w:rsid w:val="00027932"/>
    <w:rsid w:val="00027F2B"/>
    <w:rsid w:val="000314BA"/>
    <w:rsid w:val="00033124"/>
    <w:rsid w:val="00033782"/>
    <w:rsid w:val="00036A11"/>
    <w:rsid w:val="00037713"/>
    <w:rsid w:val="00043080"/>
    <w:rsid w:val="00043F74"/>
    <w:rsid w:val="00045AC3"/>
    <w:rsid w:val="000537D5"/>
    <w:rsid w:val="00053C53"/>
    <w:rsid w:val="00054793"/>
    <w:rsid w:val="000551F8"/>
    <w:rsid w:val="00055690"/>
    <w:rsid w:val="0006243A"/>
    <w:rsid w:val="00063B8B"/>
    <w:rsid w:val="00063D46"/>
    <w:rsid w:val="00066C1A"/>
    <w:rsid w:val="00067831"/>
    <w:rsid w:val="000726FC"/>
    <w:rsid w:val="00072A2D"/>
    <w:rsid w:val="00073896"/>
    <w:rsid w:val="0007583D"/>
    <w:rsid w:val="00075A2C"/>
    <w:rsid w:val="000775AF"/>
    <w:rsid w:val="00077E6B"/>
    <w:rsid w:val="00080A51"/>
    <w:rsid w:val="00080EE1"/>
    <w:rsid w:val="000822FE"/>
    <w:rsid w:val="000823C5"/>
    <w:rsid w:val="00082760"/>
    <w:rsid w:val="000856BA"/>
    <w:rsid w:val="00087D9F"/>
    <w:rsid w:val="00090FFB"/>
    <w:rsid w:val="00095B38"/>
    <w:rsid w:val="000A10F9"/>
    <w:rsid w:val="000A1D27"/>
    <w:rsid w:val="000A2533"/>
    <w:rsid w:val="000A4199"/>
    <w:rsid w:val="000A5885"/>
    <w:rsid w:val="000A60B7"/>
    <w:rsid w:val="000A6FC6"/>
    <w:rsid w:val="000B1B10"/>
    <w:rsid w:val="000B1B15"/>
    <w:rsid w:val="000B1DD7"/>
    <w:rsid w:val="000B21D7"/>
    <w:rsid w:val="000B2663"/>
    <w:rsid w:val="000B3176"/>
    <w:rsid w:val="000B4354"/>
    <w:rsid w:val="000B536F"/>
    <w:rsid w:val="000B6709"/>
    <w:rsid w:val="000B71D6"/>
    <w:rsid w:val="000C798B"/>
    <w:rsid w:val="000C7B9C"/>
    <w:rsid w:val="000D19FD"/>
    <w:rsid w:val="000D1D02"/>
    <w:rsid w:val="000D3750"/>
    <w:rsid w:val="000D3D44"/>
    <w:rsid w:val="000D3ED1"/>
    <w:rsid w:val="000D482A"/>
    <w:rsid w:val="000D4C2A"/>
    <w:rsid w:val="000D5AB1"/>
    <w:rsid w:val="000D62E1"/>
    <w:rsid w:val="000E1BDA"/>
    <w:rsid w:val="000E24FD"/>
    <w:rsid w:val="000E324C"/>
    <w:rsid w:val="000E35ED"/>
    <w:rsid w:val="000E3730"/>
    <w:rsid w:val="000E3E4C"/>
    <w:rsid w:val="000E49E6"/>
    <w:rsid w:val="000E4C23"/>
    <w:rsid w:val="000E548F"/>
    <w:rsid w:val="000E72C1"/>
    <w:rsid w:val="000E7824"/>
    <w:rsid w:val="000F2626"/>
    <w:rsid w:val="000F3129"/>
    <w:rsid w:val="000F34E2"/>
    <w:rsid w:val="000F7C9A"/>
    <w:rsid w:val="001019B7"/>
    <w:rsid w:val="0010354C"/>
    <w:rsid w:val="00103773"/>
    <w:rsid w:val="00105837"/>
    <w:rsid w:val="00106040"/>
    <w:rsid w:val="0010642E"/>
    <w:rsid w:val="00110714"/>
    <w:rsid w:val="001117D7"/>
    <w:rsid w:val="001125C5"/>
    <w:rsid w:val="001127EA"/>
    <w:rsid w:val="00112EC7"/>
    <w:rsid w:val="0011344C"/>
    <w:rsid w:val="001162C9"/>
    <w:rsid w:val="001247A1"/>
    <w:rsid w:val="00126BF4"/>
    <w:rsid w:val="001275F6"/>
    <w:rsid w:val="00130CF7"/>
    <w:rsid w:val="0013333C"/>
    <w:rsid w:val="001341F9"/>
    <w:rsid w:val="001342B8"/>
    <w:rsid w:val="00134A9A"/>
    <w:rsid w:val="00134BAD"/>
    <w:rsid w:val="0013551A"/>
    <w:rsid w:val="001366F8"/>
    <w:rsid w:val="0013676A"/>
    <w:rsid w:val="00140B34"/>
    <w:rsid w:val="00140BE3"/>
    <w:rsid w:val="00142B7C"/>
    <w:rsid w:val="00142DBD"/>
    <w:rsid w:val="00145806"/>
    <w:rsid w:val="00145FCB"/>
    <w:rsid w:val="0014757C"/>
    <w:rsid w:val="00150338"/>
    <w:rsid w:val="00150BD1"/>
    <w:rsid w:val="001536BA"/>
    <w:rsid w:val="0015505C"/>
    <w:rsid w:val="00155F4E"/>
    <w:rsid w:val="00160138"/>
    <w:rsid w:val="001610A0"/>
    <w:rsid w:val="0016277D"/>
    <w:rsid w:val="001641B1"/>
    <w:rsid w:val="0016554D"/>
    <w:rsid w:val="00167501"/>
    <w:rsid w:val="00170475"/>
    <w:rsid w:val="0017127A"/>
    <w:rsid w:val="001712BC"/>
    <w:rsid w:val="0017313E"/>
    <w:rsid w:val="001732CC"/>
    <w:rsid w:val="001736A4"/>
    <w:rsid w:val="001736F7"/>
    <w:rsid w:val="001760A1"/>
    <w:rsid w:val="00177599"/>
    <w:rsid w:val="001779DB"/>
    <w:rsid w:val="00180B5A"/>
    <w:rsid w:val="00182123"/>
    <w:rsid w:val="001837EC"/>
    <w:rsid w:val="001844B6"/>
    <w:rsid w:val="0018511F"/>
    <w:rsid w:val="001852B0"/>
    <w:rsid w:val="00187B02"/>
    <w:rsid w:val="00187DB5"/>
    <w:rsid w:val="001916C9"/>
    <w:rsid w:val="00193AF1"/>
    <w:rsid w:val="00193E55"/>
    <w:rsid w:val="001946C1"/>
    <w:rsid w:val="001959A2"/>
    <w:rsid w:val="0019676C"/>
    <w:rsid w:val="001969BA"/>
    <w:rsid w:val="00196FD1"/>
    <w:rsid w:val="00197854"/>
    <w:rsid w:val="001A0697"/>
    <w:rsid w:val="001A156D"/>
    <w:rsid w:val="001A1AD7"/>
    <w:rsid w:val="001A24AA"/>
    <w:rsid w:val="001A2683"/>
    <w:rsid w:val="001A57F9"/>
    <w:rsid w:val="001A5C55"/>
    <w:rsid w:val="001A6635"/>
    <w:rsid w:val="001A68E9"/>
    <w:rsid w:val="001A76B9"/>
    <w:rsid w:val="001B0E81"/>
    <w:rsid w:val="001B2335"/>
    <w:rsid w:val="001B2D68"/>
    <w:rsid w:val="001B371C"/>
    <w:rsid w:val="001B5BCA"/>
    <w:rsid w:val="001B613C"/>
    <w:rsid w:val="001B67A3"/>
    <w:rsid w:val="001B6902"/>
    <w:rsid w:val="001B77AF"/>
    <w:rsid w:val="001C0560"/>
    <w:rsid w:val="001C3B06"/>
    <w:rsid w:val="001C5C5C"/>
    <w:rsid w:val="001D167A"/>
    <w:rsid w:val="001D33C7"/>
    <w:rsid w:val="001D4B04"/>
    <w:rsid w:val="001D5E95"/>
    <w:rsid w:val="001E299F"/>
    <w:rsid w:val="001E45FB"/>
    <w:rsid w:val="001E5A39"/>
    <w:rsid w:val="001E776B"/>
    <w:rsid w:val="001F029C"/>
    <w:rsid w:val="001F0699"/>
    <w:rsid w:val="001F17E1"/>
    <w:rsid w:val="001F2016"/>
    <w:rsid w:val="001F521D"/>
    <w:rsid w:val="001F668F"/>
    <w:rsid w:val="001F6A11"/>
    <w:rsid w:val="001F76B5"/>
    <w:rsid w:val="00200388"/>
    <w:rsid w:val="00201708"/>
    <w:rsid w:val="00202BED"/>
    <w:rsid w:val="0020406B"/>
    <w:rsid w:val="002041FF"/>
    <w:rsid w:val="002050DF"/>
    <w:rsid w:val="002055E9"/>
    <w:rsid w:val="00205633"/>
    <w:rsid w:val="0020728D"/>
    <w:rsid w:val="00207D0C"/>
    <w:rsid w:val="00212079"/>
    <w:rsid w:val="00213292"/>
    <w:rsid w:val="00216248"/>
    <w:rsid w:val="002167FC"/>
    <w:rsid w:val="00221847"/>
    <w:rsid w:val="002227A4"/>
    <w:rsid w:val="00222FB5"/>
    <w:rsid w:val="00222FD7"/>
    <w:rsid w:val="002255BE"/>
    <w:rsid w:val="00225902"/>
    <w:rsid w:val="00226F49"/>
    <w:rsid w:val="0023306D"/>
    <w:rsid w:val="00234FE7"/>
    <w:rsid w:val="00236A4D"/>
    <w:rsid w:val="00236B0B"/>
    <w:rsid w:val="0023717B"/>
    <w:rsid w:val="00240305"/>
    <w:rsid w:val="0024072C"/>
    <w:rsid w:val="002421C5"/>
    <w:rsid w:val="0024468A"/>
    <w:rsid w:val="00244A96"/>
    <w:rsid w:val="00245947"/>
    <w:rsid w:val="00246803"/>
    <w:rsid w:val="00250D1B"/>
    <w:rsid w:val="00251281"/>
    <w:rsid w:val="00252388"/>
    <w:rsid w:val="002542E5"/>
    <w:rsid w:val="0025599E"/>
    <w:rsid w:val="00256B2B"/>
    <w:rsid w:val="00257DD9"/>
    <w:rsid w:val="00260C4F"/>
    <w:rsid w:val="00262FDB"/>
    <w:rsid w:val="002637E4"/>
    <w:rsid w:val="00264018"/>
    <w:rsid w:val="00264145"/>
    <w:rsid w:val="00264501"/>
    <w:rsid w:val="002657BB"/>
    <w:rsid w:val="00265B24"/>
    <w:rsid w:val="002671C0"/>
    <w:rsid w:val="00271146"/>
    <w:rsid w:val="002725B2"/>
    <w:rsid w:val="00272ACB"/>
    <w:rsid w:val="00272F40"/>
    <w:rsid w:val="0027492F"/>
    <w:rsid w:val="00275233"/>
    <w:rsid w:val="002864A1"/>
    <w:rsid w:val="00290190"/>
    <w:rsid w:val="002903B5"/>
    <w:rsid w:val="002904D1"/>
    <w:rsid w:val="00290611"/>
    <w:rsid w:val="0029080A"/>
    <w:rsid w:val="00290AED"/>
    <w:rsid w:val="002928FC"/>
    <w:rsid w:val="00292A0E"/>
    <w:rsid w:val="00292CD6"/>
    <w:rsid w:val="00292F56"/>
    <w:rsid w:val="002935D6"/>
    <w:rsid w:val="00293B06"/>
    <w:rsid w:val="0029549C"/>
    <w:rsid w:val="00297396"/>
    <w:rsid w:val="0029777B"/>
    <w:rsid w:val="002A2A90"/>
    <w:rsid w:val="002A2B49"/>
    <w:rsid w:val="002A2FDB"/>
    <w:rsid w:val="002A3354"/>
    <w:rsid w:val="002A5FA9"/>
    <w:rsid w:val="002A61D0"/>
    <w:rsid w:val="002A6C52"/>
    <w:rsid w:val="002B0015"/>
    <w:rsid w:val="002B088B"/>
    <w:rsid w:val="002B3ED6"/>
    <w:rsid w:val="002B4FDA"/>
    <w:rsid w:val="002B64AC"/>
    <w:rsid w:val="002B723F"/>
    <w:rsid w:val="002B77BD"/>
    <w:rsid w:val="002B7D52"/>
    <w:rsid w:val="002C0966"/>
    <w:rsid w:val="002C3989"/>
    <w:rsid w:val="002C4778"/>
    <w:rsid w:val="002C6D40"/>
    <w:rsid w:val="002C73B4"/>
    <w:rsid w:val="002C75CC"/>
    <w:rsid w:val="002C79F5"/>
    <w:rsid w:val="002D0BC6"/>
    <w:rsid w:val="002D0E2C"/>
    <w:rsid w:val="002D417C"/>
    <w:rsid w:val="002D61B1"/>
    <w:rsid w:val="002D6F65"/>
    <w:rsid w:val="002D75ED"/>
    <w:rsid w:val="002D78D0"/>
    <w:rsid w:val="002D7E25"/>
    <w:rsid w:val="002E0684"/>
    <w:rsid w:val="002E3EF1"/>
    <w:rsid w:val="002E43BC"/>
    <w:rsid w:val="002E451F"/>
    <w:rsid w:val="002E6B78"/>
    <w:rsid w:val="002F11B1"/>
    <w:rsid w:val="002F2EC7"/>
    <w:rsid w:val="002F2ED8"/>
    <w:rsid w:val="002F3FA7"/>
    <w:rsid w:val="002F435F"/>
    <w:rsid w:val="002F6FCE"/>
    <w:rsid w:val="002F73D8"/>
    <w:rsid w:val="003006A3"/>
    <w:rsid w:val="00302517"/>
    <w:rsid w:val="003046AE"/>
    <w:rsid w:val="003057D6"/>
    <w:rsid w:val="003063B4"/>
    <w:rsid w:val="003069B3"/>
    <w:rsid w:val="00310A4E"/>
    <w:rsid w:val="00310AFC"/>
    <w:rsid w:val="00311316"/>
    <w:rsid w:val="0031233A"/>
    <w:rsid w:val="00312730"/>
    <w:rsid w:val="0031319D"/>
    <w:rsid w:val="00313375"/>
    <w:rsid w:val="00316426"/>
    <w:rsid w:val="00316744"/>
    <w:rsid w:val="00316A11"/>
    <w:rsid w:val="00317651"/>
    <w:rsid w:val="00317E56"/>
    <w:rsid w:val="00321535"/>
    <w:rsid w:val="00321BDD"/>
    <w:rsid w:val="00322051"/>
    <w:rsid w:val="0032254E"/>
    <w:rsid w:val="0032757F"/>
    <w:rsid w:val="00330723"/>
    <w:rsid w:val="00331927"/>
    <w:rsid w:val="00331A50"/>
    <w:rsid w:val="003324D5"/>
    <w:rsid w:val="00334033"/>
    <w:rsid w:val="003343BC"/>
    <w:rsid w:val="00335066"/>
    <w:rsid w:val="00342151"/>
    <w:rsid w:val="003423F9"/>
    <w:rsid w:val="003425FA"/>
    <w:rsid w:val="00345127"/>
    <w:rsid w:val="00345A1F"/>
    <w:rsid w:val="00345C32"/>
    <w:rsid w:val="00345D85"/>
    <w:rsid w:val="0034600C"/>
    <w:rsid w:val="0034641C"/>
    <w:rsid w:val="003503C6"/>
    <w:rsid w:val="00350633"/>
    <w:rsid w:val="00351DB9"/>
    <w:rsid w:val="00352183"/>
    <w:rsid w:val="00353CCA"/>
    <w:rsid w:val="00354790"/>
    <w:rsid w:val="00356B5B"/>
    <w:rsid w:val="00357AF7"/>
    <w:rsid w:val="003607B9"/>
    <w:rsid w:val="003608A1"/>
    <w:rsid w:val="003652B3"/>
    <w:rsid w:val="00367AAC"/>
    <w:rsid w:val="00370DF1"/>
    <w:rsid w:val="00370E93"/>
    <w:rsid w:val="00371B46"/>
    <w:rsid w:val="003722EE"/>
    <w:rsid w:val="00372E22"/>
    <w:rsid w:val="00373D2A"/>
    <w:rsid w:val="00373E1D"/>
    <w:rsid w:val="00375A48"/>
    <w:rsid w:val="00380254"/>
    <w:rsid w:val="00380BE2"/>
    <w:rsid w:val="00380C9C"/>
    <w:rsid w:val="003833D9"/>
    <w:rsid w:val="00384451"/>
    <w:rsid w:val="00384854"/>
    <w:rsid w:val="00385811"/>
    <w:rsid w:val="00386606"/>
    <w:rsid w:val="00387D4F"/>
    <w:rsid w:val="00390030"/>
    <w:rsid w:val="003902DC"/>
    <w:rsid w:val="003904C1"/>
    <w:rsid w:val="003905F5"/>
    <w:rsid w:val="00390EBD"/>
    <w:rsid w:val="00392B8D"/>
    <w:rsid w:val="0039374A"/>
    <w:rsid w:val="00394BF5"/>
    <w:rsid w:val="003959EF"/>
    <w:rsid w:val="003A2C76"/>
    <w:rsid w:val="003A5256"/>
    <w:rsid w:val="003B2B49"/>
    <w:rsid w:val="003B3864"/>
    <w:rsid w:val="003B39EE"/>
    <w:rsid w:val="003B4090"/>
    <w:rsid w:val="003B6034"/>
    <w:rsid w:val="003B6859"/>
    <w:rsid w:val="003B6B34"/>
    <w:rsid w:val="003B6B76"/>
    <w:rsid w:val="003C0741"/>
    <w:rsid w:val="003C0D4A"/>
    <w:rsid w:val="003C1CAC"/>
    <w:rsid w:val="003C2E27"/>
    <w:rsid w:val="003C3FE1"/>
    <w:rsid w:val="003C417F"/>
    <w:rsid w:val="003C4A91"/>
    <w:rsid w:val="003D00CC"/>
    <w:rsid w:val="003D5DBE"/>
    <w:rsid w:val="003D624A"/>
    <w:rsid w:val="003D7A51"/>
    <w:rsid w:val="003E01A2"/>
    <w:rsid w:val="003E0698"/>
    <w:rsid w:val="003E19A2"/>
    <w:rsid w:val="003E1AAA"/>
    <w:rsid w:val="003E2E59"/>
    <w:rsid w:val="003E3A84"/>
    <w:rsid w:val="003E45E4"/>
    <w:rsid w:val="003E539A"/>
    <w:rsid w:val="003E59CA"/>
    <w:rsid w:val="003E5B85"/>
    <w:rsid w:val="003E5DA3"/>
    <w:rsid w:val="003E6D7F"/>
    <w:rsid w:val="003E7203"/>
    <w:rsid w:val="003F0E54"/>
    <w:rsid w:val="003F2CDE"/>
    <w:rsid w:val="003F42D8"/>
    <w:rsid w:val="003F591E"/>
    <w:rsid w:val="003F6A6C"/>
    <w:rsid w:val="003F7530"/>
    <w:rsid w:val="004003A7"/>
    <w:rsid w:val="00400A07"/>
    <w:rsid w:val="00400D4C"/>
    <w:rsid w:val="0040189A"/>
    <w:rsid w:val="00402C7C"/>
    <w:rsid w:val="00403E46"/>
    <w:rsid w:val="0040471B"/>
    <w:rsid w:val="0040644C"/>
    <w:rsid w:val="004079AA"/>
    <w:rsid w:val="00407C14"/>
    <w:rsid w:val="00411064"/>
    <w:rsid w:val="0041747C"/>
    <w:rsid w:val="0041767E"/>
    <w:rsid w:val="00422198"/>
    <w:rsid w:val="00423FF1"/>
    <w:rsid w:val="004248D1"/>
    <w:rsid w:val="00424D79"/>
    <w:rsid w:val="00425964"/>
    <w:rsid w:val="00426920"/>
    <w:rsid w:val="00426A2D"/>
    <w:rsid w:val="0042707C"/>
    <w:rsid w:val="00427677"/>
    <w:rsid w:val="0043017A"/>
    <w:rsid w:val="004301CF"/>
    <w:rsid w:val="00431500"/>
    <w:rsid w:val="00431584"/>
    <w:rsid w:val="00431F05"/>
    <w:rsid w:val="00432C4F"/>
    <w:rsid w:val="004347FD"/>
    <w:rsid w:val="00434C5C"/>
    <w:rsid w:val="004351C0"/>
    <w:rsid w:val="0043591C"/>
    <w:rsid w:val="00440CA5"/>
    <w:rsid w:val="0044225F"/>
    <w:rsid w:val="0044227F"/>
    <w:rsid w:val="00443D0D"/>
    <w:rsid w:val="004461D5"/>
    <w:rsid w:val="004514BF"/>
    <w:rsid w:val="004521BC"/>
    <w:rsid w:val="0045224F"/>
    <w:rsid w:val="00453074"/>
    <w:rsid w:val="00453564"/>
    <w:rsid w:val="00453FC9"/>
    <w:rsid w:val="00454E7C"/>
    <w:rsid w:val="004551F4"/>
    <w:rsid w:val="00455896"/>
    <w:rsid w:val="004576CE"/>
    <w:rsid w:val="00457C58"/>
    <w:rsid w:val="004602DF"/>
    <w:rsid w:val="004614E2"/>
    <w:rsid w:val="00461625"/>
    <w:rsid w:val="00461C7F"/>
    <w:rsid w:val="004630DA"/>
    <w:rsid w:val="00463724"/>
    <w:rsid w:val="0046425F"/>
    <w:rsid w:val="00465C4E"/>
    <w:rsid w:val="004665BB"/>
    <w:rsid w:val="00467AC2"/>
    <w:rsid w:val="00470082"/>
    <w:rsid w:val="00470A91"/>
    <w:rsid w:val="00471E57"/>
    <w:rsid w:val="00472A43"/>
    <w:rsid w:val="00472CD6"/>
    <w:rsid w:val="00472D13"/>
    <w:rsid w:val="00472D50"/>
    <w:rsid w:val="0047358B"/>
    <w:rsid w:val="00473777"/>
    <w:rsid w:val="00475BA2"/>
    <w:rsid w:val="00476B74"/>
    <w:rsid w:val="00477186"/>
    <w:rsid w:val="004836D6"/>
    <w:rsid w:val="00483F64"/>
    <w:rsid w:val="00484C30"/>
    <w:rsid w:val="00484F98"/>
    <w:rsid w:val="0048552C"/>
    <w:rsid w:val="004878F1"/>
    <w:rsid w:val="00487ED6"/>
    <w:rsid w:val="0049071B"/>
    <w:rsid w:val="004917D8"/>
    <w:rsid w:val="00492C80"/>
    <w:rsid w:val="00493069"/>
    <w:rsid w:val="00495B0B"/>
    <w:rsid w:val="00496627"/>
    <w:rsid w:val="004A06DD"/>
    <w:rsid w:val="004A0AF1"/>
    <w:rsid w:val="004A0B60"/>
    <w:rsid w:val="004A3082"/>
    <w:rsid w:val="004A3119"/>
    <w:rsid w:val="004A349D"/>
    <w:rsid w:val="004A36E7"/>
    <w:rsid w:val="004A4849"/>
    <w:rsid w:val="004A4E79"/>
    <w:rsid w:val="004A7027"/>
    <w:rsid w:val="004A73A9"/>
    <w:rsid w:val="004A74AB"/>
    <w:rsid w:val="004B0046"/>
    <w:rsid w:val="004B0E32"/>
    <w:rsid w:val="004B2541"/>
    <w:rsid w:val="004B31C9"/>
    <w:rsid w:val="004B4028"/>
    <w:rsid w:val="004B4857"/>
    <w:rsid w:val="004B50CB"/>
    <w:rsid w:val="004C0A3C"/>
    <w:rsid w:val="004C0FBC"/>
    <w:rsid w:val="004C1EC1"/>
    <w:rsid w:val="004C1F4D"/>
    <w:rsid w:val="004C319A"/>
    <w:rsid w:val="004C3D74"/>
    <w:rsid w:val="004C44C3"/>
    <w:rsid w:val="004C5ACF"/>
    <w:rsid w:val="004C5BDA"/>
    <w:rsid w:val="004C605D"/>
    <w:rsid w:val="004C62CB"/>
    <w:rsid w:val="004D0C91"/>
    <w:rsid w:val="004D2D64"/>
    <w:rsid w:val="004D4FC6"/>
    <w:rsid w:val="004D6816"/>
    <w:rsid w:val="004D6E97"/>
    <w:rsid w:val="004D781F"/>
    <w:rsid w:val="004E1A14"/>
    <w:rsid w:val="004E2181"/>
    <w:rsid w:val="004E22B0"/>
    <w:rsid w:val="004E2DA7"/>
    <w:rsid w:val="004E4F41"/>
    <w:rsid w:val="004E6ACC"/>
    <w:rsid w:val="004E6D8A"/>
    <w:rsid w:val="004F1C8A"/>
    <w:rsid w:val="004F2A47"/>
    <w:rsid w:val="004F3EA0"/>
    <w:rsid w:val="004F4544"/>
    <w:rsid w:val="004F5BA3"/>
    <w:rsid w:val="005007BE"/>
    <w:rsid w:val="00502287"/>
    <w:rsid w:val="005023C1"/>
    <w:rsid w:val="00503074"/>
    <w:rsid w:val="005037FD"/>
    <w:rsid w:val="00503E0B"/>
    <w:rsid w:val="00503F91"/>
    <w:rsid w:val="00504506"/>
    <w:rsid w:val="00511614"/>
    <w:rsid w:val="00511977"/>
    <w:rsid w:val="005127F2"/>
    <w:rsid w:val="00512AD7"/>
    <w:rsid w:val="0051512A"/>
    <w:rsid w:val="00520D42"/>
    <w:rsid w:val="00522BD3"/>
    <w:rsid w:val="00523D1B"/>
    <w:rsid w:val="005241E9"/>
    <w:rsid w:val="00524325"/>
    <w:rsid w:val="00524D15"/>
    <w:rsid w:val="00526912"/>
    <w:rsid w:val="00526C3B"/>
    <w:rsid w:val="00527744"/>
    <w:rsid w:val="00530B20"/>
    <w:rsid w:val="005312B2"/>
    <w:rsid w:val="00531E05"/>
    <w:rsid w:val="00531EA8"/>
    <w:rsid w:val="00532295"/>
    <w:rsid w:val="00532DCE"/>
    <w:rsid w:val="00535CD4"/>
    <w:rsid w:val="0053669E"/>
    <w:rsid w:val="00536DE7"/>
    <w:rsid w:val="00537F5D"/>
    <w:rsid w:val="00541D1D"/>
    <w:rsid w:val="005444AE"/>
    <w:rsid w:val="0054480F"/>
    <w:rsid w:val="00544B2D"/>
    <w:rsid w:val="005454F5"/>
    <w:rsid w:val="00545F6C"/>
    <w:rsid w:val="00546C4F"/>
    <w:rsid w:val="0054709F"/>
    <w:rsid w:val="0055252C"/>
    <w:rsid w:val="00552F01"/>
    <w:rsid w:val="00554137"/>
    <w:rsid w:val="005547B0"/>
    <w:rsid w:val="00555D74"/>
    <w:rsid w:val="0055648E"/>
    <w:rsid w:val="00557FDF"/>
    <w:rsid w:val="00560945"/>
    <w:rsid w:val="00561F92"/>
    <w:rsid w:val="005625D1"/>
    <w:rsid w:val="00563037"/>
    <w:rsid w:val="00563668"/>
    <w:rsid w:val="005640EF"/>
    <w:rsid w:val="0056486F"/>
    <w:rsid w:val="00565E6C"/>
    <w:rsid w:val="00566EA7"/>
    <w:rsid w:val="005713C2"/>
    <w:rsid w:val="00571A6B"/>
    <w:rsid w:val="00572977"/>
    <w:rsid w:val="005731E4"/>
    <w:rsid w:val="00574583"/>
    <w:rsid w:val="005762A5"/>
    <w:rsid w:val="00580CEA"/>
    <w:rsid w:val="00583147"/>
    <w:rsid w:val="00583171"/>
    <w:rsid w:val="00583967"/>
    <w:rsid w:val="005853A5"/>
    <w:rsid w:val="00585A0C"/>
    <w:rsid w:val="00585F76"/>
    <w:rsid w:val="00586040"/>
    <w:rsid w:val="0058630B"/>
    <w:rsid w:val="00586712"/>
    <w:rsid w:val="00586B16"/>
    <w:rsid w:val="00586BD0"/>
    <w:rsid w:val="00587AE4"/>
    <w:rsid w:val="00590FBD"/>
    <w:rsid w:val="00593DBC"/>
    <w:rsid w:val="0059432C"/>
    <w:rsid w:val="0059640F"/>
    <w:rsid w:val="00597547"/>
    <w:rsid w:val="005A1529"/>
    <w:rsid w:val="005A39CC"/>
    <w:rsid w:val="005A451C"/>
    <w:rsid w:val="005A5800"/>
    <w:rsid w:val="005B0072"/>
    <w:rsid w:val="005B10E8"/>
    <w:rsid w:val="005C0A93"/>
    <w:rsid w:val="005C22D8"/>
    <w:rsid w:val="005C2B80"/>
    <w:rsid w:val="005C3EDF"/>
    <w:rsid w:val="005C4C5E"/>
    <w:rsid w:val="005C6BE2"/>
    <w:rsid w:val="005D38FD"/>
    <w:rsid w:val="005D469A"/>
    <w:rsid w:val="005D6B4F"/>
    <w:rsid w:val="005E0575"/>
    <w:rsid w:val="005E06C4"/>
    <w:rsid w:val="005E2E8A"/>
    <w:rsid w:val="005E388A"/>
    <w:rsid w:val="005E440A"/>
    <w:rsid w:val="005E4AE0"/>
    <w:rsid w:val="005F0C5C"/>
    <w:rsid w:val="005F2D6A"/>
    <w:rsid w:val="0060112E"/>
    <w:rsid w:val="00601BAC"/>
    <w:rsid w:val="00602DC0"/>
    <w:rsid w:val="006054CA"/>
    <w:rsid w:val="00606739"/>
    <w:rsid w:val="0060797F"/>
    <w:rsid w:val="0061007C"/>
    <w:rsid w:val="00610259"/>
    <w:rsid w:val="00610A17"/>
    <w:rsid w:val="00610D96"/>
    <w:rsid w:val="00611115"/>
    <w:rsid w:val="00611170"/>
    <w:rsid w:val="006116D9"/>
    <w:rsid w:val="006130D6"/>
    <w:rsid w:val="00614798"/>
    <w:rsid w:val="00617DA7"/>
    <w:rsid w:val="00621F5B"/>
    <w:rsid w:val="006222D6"/>
    <w:rsid w:val="00622CF0"/>
    <w:rsid w:val="00625E12"/>
    <w:rsid w:val="00627CE8"/>
    <w:rsid w:val="006314C5"/>
    <w:rsid w:val="0063152D"/>
    <w:rsid w:val="00631840"/>
    <w:rsid w:val="00636054"/>
    <w:rsid w:val="0063736A"/>
    <w:rsid w:val="006428FF"/>
    <w:rsid w:val="00643B08"/>
    <w:rsid w:val="00644D6A"/>
    <w:rsid w:val="0064621C"/>
    <w:rsid w:val="00647496"/>
    <w:rsid w:val="006474F5"/>
    <w:rsid w:val="00647683"/>
    <w:rsid w:val="006477C9"/>
    <w:rsid w:val="006504B7"/>
    <w:rsid w:val="006507DC"/>
    <w:rsid w:val="00650B50"/>
    <w:rsid w:val="006546B0"/>
    <w:rsid w:val="00656A68"/>
    <w:rsid w:val="00657036"/>
    <w:rsid w:val="006631BE"/>
    <w:rsid w:val="00663677"/>
    <w:rsid w:val="00666A7D"/>
    <w:rsid w:val="0066771D"/>
    <w:rsid w:val="00670251"/>
    <w:rsid w:val="00675046"/>
    <w:rsid w:val="006752D6"/>
    <w:rsid w:val="00675B3F"/>
    <w:rsid w:val="00675EBF"/>
    <w:rsid w:val="006772CB"/>
    <w:rsid w:val="006772E9"/>
    <w:rsid w:val="0067747A"/>
    <w:rsid w:val="00680C0C"/>
    <w:rsid w:val="00681800"/>
    <w:rsid w:val="006825A2"/>
    <w:rsid w:val="00682FE3"/>
    <w:rsid w:val="0068368D"/>
    <w:rsid w:val="006846DB"/>
    <w:rsid w:val="0069172C"/>
    <w:rsid w:val="00691782"/>
    <w:rsid w:val="00691B88"/>
    <w:rsid w:val="006942D7"/>
    <w:rsid w:val="00695F22"/>
    <w:rsid w:val="006965D2"/>
    <w:rsid w:val="006970C1"/>
    <w:rsid w:val="00697F80"/>
    <w:rsid w:val="006A1FCD"/>
    <w:rsid w:val="006A2A80"/>
    <w:rsid w:val="006A2DAB"/>
    <w:rsid w:val="006A482E"/>
    <w:rsid w:val="006A4DFA"/>
    <w:rsid w:val="006A648B"/>
    <w:rsid w:val="006A6AB9"/>
    <w:rsid w:val="006A71C7"/>
    <w:rsid w:val="006B2695"/>
    <w:rsid w:val="006B26DD"/>
    <w:rsid w:val="006B2BD3"/>
    <w:rsid w:val="006B558F"/>
    <w:rsid w:val="006B6013"/>
    <w:rsid w:val="006B65A1"/>
    <w:rsid w:val="006B7829"/>
    <w:rsid w:val="006C00FE"/>
    <w:rsid w:val="006C0DAC"/>
    <w:rsid w:val="006C24ED"/>
    <w:rsid w:val="006C2A9F"/>
    <w:rsid w:val="006C4994"/>
    <w:rsid w:val="006C4A66"/>
    <w:rsid w:val="006C5168"/>
    <w:rsid w:val="006C7B64"/>
    <w:rsid w:val="006C7EB9"/>
    <w:rsid w:val="006D0A4F"/>
    <w:rsid w:val="006D1BB4"/>
    <w:rsid w:val="006D2D13"/>
    <w:rsid w:val="006D5576"/>
    <w:rsid w:val="006D56D2"/>
    <w:rsid w:val="006D5B4A"/>
    <w:rsid w:val="006D7D5C"/>
    <w:rsid w:val="006E01BB"/>
    <w:rsid w:val="006E1B6F"/>
    <w:rsid w:val="006E2242"/>
    <w:rsid w:val="006E3ADF"/>
    <w:rsid w:val="006E5F77"/>
    <w:rsid w:val="006E7B57"/>
    <w:rsid w:val="006F03F4"/>
    <w:rsid w:val="006F04E6"/>
    <w:rsid w:val="006F061E"/>
    <w:rsid w:val="006F1532"/>
    <w:rsid w:val="006F3114"/>
    <w:rsid w:val="006F4768"/>
    <w:rsid w:val="006F4823"/>
    <w:rsid w:val="006F4935"/>
    <w:rsid w:val="006F4995"/>
    <w:rsid w:val="007015E0"/>
    <w:rsid w:val="00702092"/>
    <w:rsid w:val="00705651"/>
    <w:rsid w:val="00705918"/>
    <w:rsid w:val="0070626D"/>
    <w:rsid w:val="007075A9"/>
    <w:rsid w:val="00710768"/>
    <w:rsid w:val="00712675"/>
    <w:rsid w:val="00712794"/>
    <w:rsid w:val="007143DB"/>
    <w:rsid w:val="007148DC"/>
    <w:rsid w:val="00716D79"/>
    <w:rsid w:val="00717EED"/>
    <w:rsid w:val="0072189E"/>
    <w:rsid w:val="007225EB"/>
    <w:rsid w:val="00725E10"/>
    <w:rsid w:val="00726309"/>
    <w:rsid w:val="00726B60"/>
    <w:rsid w:val="007276EB"/>
    <w:rsid w:val="00727F6E"/>
    <w:rsid w:val="00730A23"/>
    <w:rsid w:val="00730AB5"/>
    <w:rsid w:val="00730DC7"/>
    <w:rsid w:val="0073461B"/>
    <w:rsid w:val="007363AE"/>
    <w:rsid w:val="0073645E"/>
    <w:rsid w:val="0073722C"/>
    <w:rsid w:val="007375DF"/>
    <w:rsid w:val="0074048E"/>
    <w:rsid w:val="00743003"/>
    <w:rsid w:val="00744FC6"/>
    <w:rsid w:val="007455B3"/>
    <w:rsid w:val="00746CC5"/>
    <w:rsid w:val="0074700A"/>
    <w:rsid w:val="00747255"/>
    <w:rsid w:val="00747BB7"/>
    <w:rsid w:val="0075040B"/>
    <w:rsid w:val="0075072C"/>
    <w:rsid w:val="007514F7"/>
    <w:rsid w:val="00754241"/>
    <w:rsid w:val="0075614F"/>
    <w:rsid w:val="00756206"/>
    <w:rsid w:val="0075644E"/>
    <w:rsid w:val="00757DB7"/>
    <w:rsid w:val="00757EF7"/>
    <w:rsid w:val="0076106F"/>
    <w:rsid w:val="00762B01"/>
    <w:rsid w:val="007632BB"/>
    <w:rsid w:val="0076467A"/>
    <w:rsid w:val="00764D97"/>
    <w:rsid w:val="00764DA5"/>
    <w:rsid w:val="00766F4B"/>
    <w:rsid w:val="00770322"/>
    <w:rsid w:val="00772B87"/>
    <w:rsid w:val="00773251"/>
    <w:rsid w:val="007732DA"/>
    <w:rsid w:val="00773417"/>
    <w:rsid w:val="00774250"/>
    <w:rsid w:val="0077741B"/>
    <w:rsid w:val="007777A2"/>
    <w:rsid w:val="0078066F"/>
    <w:rsid w:val="007811E4"/>
    <w:rsid w:val="00781510"/>
    <w:rsid w:val="00783745"/>
    <w:rsid w:val="007850B0"/>
    <w:rsid w:val="00785A3B"/>
    <w:rsid w:val="00786113"/>
    <w:rsid w:val="00786DCF"/>
    <w:rsid w:val="00787054"/>
    <w:rsid w:val="00787600"/>
    <w:rsid w:val="00787C73"/>
    <w:rsid w:val="007938F3"/>
    <w:rsid w:val="007948E8"/>
    <w:rsid w:val="007958A6"/>
    <w:rsid w:val="00796CCA"/>
    <w:rsid w:val="00796FCC"/>
    <w:rsid w:val="007A06F5"/>
    <w:rsid w:val="007A151C"/>
    <w:rsid w:val="007A1F80"/>
    <w:rsid w:val="007A4B57"/>
    <w:rsid w:val="007A7F38"/>
    <w:rsid w:val="007B013E"/>
    <w:rsid w:val="007B10A4"/>
    <w:rsid w:val="007B19E2"/>
    <w:rsid w:val="007B3046"/>
    <w:rsid w:val="007C0983"/>
    <w:rsid w:val="007C55F6"/>
    <w:rsid w:val="007D20CF"/>
    <w:rsid w:val="007D20D6"/>
    <w:rsid w:val="007D252D"/>
    <w:rsid w:val="007D5FE5"/>
    <w:rsid w:val="007D6253"/>
    <w:rsid w:val="007D70E8"/>
    <w:rsid w:val="007E1552"/>
    <w:rsid w:val="007E2996"/>
    <w:rsid w:val="007E3D88"/>
    <w:rsid w:val="007E5FDE"/>
    <w:rsid w:val="007E6123"/>
    <w:rsid w:val="007E6325"/>
    <w:rsid w:val="007E68E5"/>
    <w:rsid w:val="007E69C6"/>
    <w:rsid w:val="007F33E0"/>
    <w:rsid w:val="007F3E5A"/>
    <w:rsid w:val="007F4C86"/>
    <w:rsid w:val="007F5207"/>
    <w:rsid w:val="008002E7"/>
    <w:rsid w:val="0080084B"/>
    <w:rsid w:val="0080207A"/>
    <w:rsid w:val="00803822"/>
    <w:rsid w:val="008038D3"/>
    <w:rsid w:val="008048DE"/>
    <w:rsid w:val="0081145E"/>
    <w:rsid w:val="0081199B"/>
    <w:rsid w:val="00812FAB"/>
    <w:rsid w:val="008166DA"/>
    <w:rsid w:val="00820173"/>
    <w:rsid w:val="0082120A"/>
    <w:rsid w:val="00821318"/>
    <w:rsid w:val="00823601"/>
    <w:rsid w:val="0082381E"/>
    <w:rsid w:val="0082646E"/>
    <w:rsid w:val="00826576"/>
    <w:rsid w:val="00827506"/>
    <w:rsid w:val="008310FB"/>
    <w:rsid w:val="008314AF"/>
    <w:rsid w:val="00832F51"/>
    <w:rsid w:val="008332E1"/>
    <w:rsid w:val="0083502D"/>
    <w:rsid w:val="008369EF"/>
    <w:rsid w:val="00837821"/>
    <w:rsid w:val="00841BEC"/>
    <w:rsid w:val="008424AC"/>
    <w:rsid w:val="008424FB"/>
    <w:rsid w:val="008434BE"/>
    <w:rsid w:val="00844C4E"/>
    <w:rsid w:val="00845049"/>
    <w:rsid w:val="0084546C"/>
    <w:rsid w:val="00845D67"/>
    <w:rsid w:val="00845FAF"/>
    <w:rsid w:val="00846467"/>
    <w:rsid w:val="008471DF"/>
    <w:rsid w:val="0084721D"/>
    <w:rsid w:val="00850893"/>
    <w:rsid w:val="0085202E"/>
    <w:rsid w:val="008552F5"/>
    <w:rsid w:val="008553CC"/>
    <w:rsid w:val="00855CBA"/>
    <w:rsid w:val="008560E8"/>
    <w:rsid w:val="00861A19"/>
    <w:rsid w:val="008626F5"/>
    <w:rsid w:val="00862AB8"/>
    <w:rsid w:val="00863577"/>
    <w:rsid w:val="00863F0A"/>
    <w:rsid w:val="00864E70"/>
    <w:rsid w:val="0086523E"/>
    <w:rsid w:val="008659E4"/>
    <w:rsid w:val="00865A84"/>
    <w:rsid w:val="00865CE1"/>
    <w:rsid w:val="00866EAE"/>
    <w:rsid w:val="00867674"/>
    <w:rsid w:val="00867B0A"/>
    <w:rsid w:val="00867C6C"/>
    <w:rsid w:val="00870B65"/>
    <w:rsid w:val="00870B69"/>
    <w:rsid w:val="00871385"/>
    <w:rsid w:val="008725FB"/>
    <w:rsid w:val="00874F3C"/>
    <w:rsid w:val="00875B8E"/>
    <w:rsid w:val="0087651C"/>
    <w:rsid w:val="00881063"/>
    <w:rsid w:val="00883980"/>
    <w:rsid w:val="00885BB9"/>
    <w:rsid w:val="00885C9F"/>
    <w:rsid w:val="008862EA"/>
    <w:rsid w:val="00887A4B"/>
    <w:rsid w:val="00887A8C"/>
    <w:rsid w:val="00887BA9"/>
    <w:rsid w:val="0089237B"/>
    <w:rsid w:val="008951DF"/>
    <w:rsid w:val="00895607"/>
    <w:rsid w:val="00895C01"/>
    <w:rsid w:val="008A0575"/>
    <w:rsid w:val="008A137C"/>
    <w:rsid w:val="008A13E5"/>
    <w:rsid w:val="008A28B8"/>
    <w:rsid w:val="008A29DB"/>
    <w:rsid w:val="008A2D4D"/>
    <w:rsid w:val="008A3DCA"/>
    <w:rsid w:val="008A4433"/>
    <w:rsid w:val="008A45BF"/>
    <w:rsid w:val="008A4D0A"/>
    <w:rsid w:val="008A4FAD"/>
    <w:rsid w:val="008A5E5F"/>
    <w:rsid w:val="008A680B"/>
    <w:rsid w:val="008A6BC8"/>
    <w:rsid w:val="008B0D1B"/>
    <w:rsid w:val="008B1133"/>
    <w:rsid w:val="008B1843"/>
    <w:rsid w:val="008B1A5B"/>
    <w:rsid w:val="008B5305"/>
    <w:rsid w:val="008B5F09"/>
    <w:rsid w:val="008C0CD7"/>
    <w:rsid w:val="008C0F83"/>
    <w:rsid w:val="008C1734"/>
    <w:rsid w:val="008C3340"/>
    <w:rsid w:val="008C42DC"/>
    <w:rsid w:val="008C6757"/>
    <w:rsid w:val="008C7B63"/>
    <w:rsid w:val="008C7FBF"/>
    <w:rsid w:val="008D0CD2"/>
    <w:rsid w:val="008D1A80"/>
    <w:rsid w:val="008D2FFC"/>
    <w:rsid w:val="008D4560"/>
    <w:rsid w:val="008D6D23"/>
    <w:rsid w:val="008E2DB6"/>
    <w:rsid w:val="008E353E"/>
    <w:rsid w:val="008E3696"/>
    <w:rsid w:val="008E3EBD"/>
    <w:rsid w:val="008E4E1C"/>
    <w:rsid w:val="008E6402"/>
    <w:rsid w:val="008E6EE7"/>
    <w:rsid w:val="008E73C5"/>
    <w:rsid w:val="008F0078"/>
    <w:rsid w:val="008F3B48"/>
    <w:rsid w:val="008F4E70"/>
    <w:rsid w:val="008F52C8"/>
    <w:rsid w:val="008F58B4"/>
    <w:rsid w:val="008F5DED"/>
    <w:rsid w:val="009003F0"/>
    <w:rsid w:val="009006F0"/>
    <w:rsid w:val="00901099"/>
    <w:rsid w:val="00901A62"/>
    <w:rsid w:val="00903C91"/>
    <w:rsid w:val="00905207"/>
    <w:rsid w:val="00906252"/>
    <w:rsid w:val="0090663D"/>
    <w:rsid w:val="00910CCD"/>
    <w:rsid w:val="00910E97"/>
    <w:rsid w:val="00911596"/>
    <w:rsid w:val="00912AB1"/>
    <w:rsid w:val="00913618"/>
    <w:rsid w:val="00915E1A"/>
    <w:rsid w:val="00915F96"/>
    <w:rsid w:val="00920A10"/>
    <w:rsid w:val="009212B9"/>
    <w:rsid w:val="00921758"/>
    <w:rsid w:val="009241D6"/>
    <w:rsid w:val="009245E8"/>
    <w:rsid w:val="00925188"/>
    <w:rsid w:val="009253DA"/>
    <w:rsid w:val="00925AC7"/>
    <w:rsid w:val="009308BC"/>
    <w:rsid w:val="00930B95"/>
    <w:rsid w:val="00932D7A"/>
    <w:rsid w:val="00933606"/>
    <w:rsid w:val="009347C2"/>
    <w:rsid w:val="00940051"/>
    <w:rsid w:val="0094079B"/>
    <w:rsid w:val="00942146"/>
    <w:rsid w:val="009440A8"/>
    <w:rsid w:val="0094497F"/>
    <w:rsid w:val="00944FD6"/>
    <w:rsid w:val="00945487"/>
    <w:rsid w:val="00945E65"/>
    <w:rsid w:val="00945FD9"/>
    <w:rsid w:val="0094647B"/>
    <w:rsid w:val="0094731B"/>
    <w:rsid w:val="00947880"/>
    <w:rsid w:val="00947E18"/>
    <w:rsid w:val="009500B9"/>
    <w:rsid w:val="00950DD2"/>
    <w:rsid w:val="00953EAF"/>
    <w:rsid w:val="009545CE"/>
    <w:rsid w:val="009576F2"/>
    <w:rsid w:val="00957909"/>
    <w:rsid w:val="00961D38"/>
    <w:rsid w:val="009621C1"/>
    <w:rsid w:val="009630A6"/>
    <w:rsid w:val="009634B3"/>
    <w:rsid w:val="009634FD"/>
    <w:rsid w:val="00964B99"/>
    <w:rsid w:val="00967FDA"/>
    <w:rsid w:val="00970A22"/>
    <w:rsid w:val="009710C9"/>
    <w:rsid w:val="00973B11"/>
    <w:rsid w:val="00973B4B"/>
    <w:rsid w:val="009752BB"/>
    <w:rsid w:val="0097656E"/>
    <w:rsid w:val="009775FD"/>
    <w:rsid w:val="00980D87"/>
    <w:rsid w:val="00980F84"/>
    <w:rsid w:val="00982A07"/>
    <w:rsid w:val="009830CE"/>
    <w:rsid w:val="00983ED4"/>
    <w:rsid w:val="0098559E"/>
    <w:rsid w:val="009864C8"/>
    <w:rsid w:val="00986632"/>
    <w:rsid w:val="00986A43"/>
    <w:rsid w:val="00986F5E"/>
    <w:rsid w:val="00987D16"/>
    <w:rsid w:val="0099078D"/>
    <w:rsid w:val="00990802"/>
    <w:rsid w:val="00990DA9"/>
    <w:rsid w:val="00990ED5"/>
    <w:rsid w:val="0099114E"/>
    <w:rsid w:val="009917BB"/>
    <w:rsid w:val="009917C3"/>
    <w:rsid w:val="00991BA0"/>
    <w:rsid w:val="00991D6E"/>
    <w:rsid w:val="00993411"/>
    <w:rsid w:val="00993E2E"/>
    <w:rsid w:val="0099488C"/>
    <w:rsid w:val="00995932"/>
    <w:rsid w:val="00995C93"/>
    <w:rsid w:val="00995E5E"/>
    <w:rsid w:val="00996E1A"/>
    <w:rsid w:val="009A06E1"/>
    <w:rsid w:val="009A0EF0"/>
    <w:rsid w:val="009A102A"/>
    <w:rsid w:val="009A2537"/>
    <w:rsid w:val="009A4B44"/>
    <w:rsid w:val="009A4BC8"/>
    <w:rsid w:val="009A51BD"/>
    <w:rsid w:val="009A7BF5"/>
    <w:rsid w:val="009A7D8F"/>
    <w:rsid w:val="009B22F3"/>
    <w:rsid w:val="009B2715"/>
    <w:rsid w:val="009B3400"/>
    <w:rsid w:val="009B37F3"/>
    <w:rsid w:val="009B49A1"/>
    <w:rsid w:val="009B4CDE"/>
    <w:rsid w:val="009B4D29"/>
    <w:rsid w:val="009B4F0B"/>
    <w:rsid w:val="009B6287"/>
    <w:rsid w:val="009B6D0E"/>
    <w:rsid w:val="009B7895"/>
    <w:rsid w:val="009C1EB0"/>
    <w:rsid w:val="009C47F0"/>
    <w:rsid w:val="009C5324"/>
    <w:rsid w:val="009C5CF1"/>
    <w:rsid w:val="009C7E17"/>
    <w:rsid w:val="009D0503"/>
    <w:rsid w:val="009D1326"/>
    <w:rsid w:val="009D16DD"/>
    <w:rsid w:val="009D2329"/>
    <w:rsid w:val="009D24F3"/>
    <w:rsid w:val="009D52AD"/>
    <w:rsid w:val="009D5AD8"/>
    <w:rsid w:val="009E120A"/>
    <w:rsid w:val="009E1B54"/>
    <w:rsid w:val="009E268D"/>
    <w:rsid w:val="009E2B9D"/>
    <w:rsid w:val="009E3EAC"/>
    <w:rsid w:val="009E4074"/>
    <w:rsid w:val="009E4D5C"/>
    <w:rsid w:val="009E4F3D"/>
    <w:rsid w:val="009E52A7"/>
    <w:rsid w:val="009E65CC"/>
    <w:rsid w:val="009E79DB"/>
    <w:rsid w:val="009F3E5E"/>
    <w:rsid w:val="009F4084"/>
    <w:rsid w:val="009F5983"/>
    <w:rsid w:val="009F6922"/>
    <w:rsid w:val="009F791B"/>
    <w:rsid w:val="009F7E89"/>
    <w:rsid w:val="00A015C0"/>
    <w:rsid w:val="00A0330E"/>
    <w:rsid w:val="00A03EC9"/>
    <w:rsid w:val="00A05A11"/>
    <w:rsid w:val="00A064D0"/>
    <w:rsid w:val="00A07B00"/>
    <w:rsid w:val="00A10811"/>
    <w:rsid w:val="00A10845"/>
    <w:rsid w:val="00A109EE"/>
    <w:rsid w:val="00A11A90"/>
    <w:rsid w:val="00A12A64"/>
    <w:rsid w:val="00A12AE7"/>
    <w:rsid w:val="00A12F31"/>
    <w:rsid w:val="00A131FA"/>
    <w:rsid w:val="00A14234"/>
    <w:rsid w:val="00A16E80"/>
    <w:rsid w:val="00A17738"/>
    <w:rsid w:val="00A206DD"/>
    <w:rsid w:val="00A209B7"/>
    <w:rsid w:val="00A20D07"/>
    <w:rsid w:val="00A21790"/>
    <w:rsid w:val="00A21F8F"/>
    <w:rsid w:val="00A23423"/>
    <w:rsid w:val="00A24316"/>
    <w:rsid w:val="00A25953"/>
    <w:rsid w:val="00A26C55"/>
    <w:rsid w:val="00A30E0F"/>
    <w:rsid w:val="00A31356"/>
    <w:rsid w:val="00A31E64"/>
    <w:rsid w:val="00A335D6"/>
    <w:rsid w:val="00A34F91"/>
    <w:rsid w:val="00A375FE"/>
    <w:rsid w:val="00A40C82"/>
    <w:rsid w:val="00A40DBD"/>
    <w:rsid w:val="00A4358A"/>
    <w:rsid w:val="00A43C9F"/>
    <w:rsid w:val="00A44031"/>
    <w:rsid w:val="00A44963"/>
    <w:rsid w:val="00A45DD0"/>
    <w:rsid w:val="00A5004F"/>
    <w:rsid w:val="00A5278F"/>
    <w:rsid w:val="00A55E27"/>
    <w:rsid w:val="00A6269A"/>
    <w:rsid w:val="00A62D68"/>
    <w:rsid w:val="00A639EF"/>
    <w:rsid w:val="00A65371"/>
    <w:rsid w:val="00A70695"/>
    <w:rsid w:val="00A71D7E"/>
    <w:rsid w:val="00A72AA2"/>
    <w:rsid w:val="00A72CA4"/>
    <w:rsid w:val="00A730AD"/>
    <w:rsid w:val="00A7319F"/>
    <w:rsid w:val="00A734E4"/>
    <w:rsid w:val="00A76359"/>
    <w:rsid w:val="00A80E7F"/>
    <w:rsid w:val="00A8269B"/>
    <w:rsid w:val="00A82B18"/>
    <w:rsid w:val="00A83BB0"/>
    <w:rsid w:val="00A84D9F"/>
    <w:rsid w:val="00A868A1"/>
    <w:rsid w:val="00A87208"/>
    <w:rsid w:val="00A875DD"/>
    <w:rsid w:val="00A87DEA"/>
    <w:rsid w:val="00A9123A"/>
    <w:rsid w:val="00A92BEB"/>
    <w:rsid w:val="00A9370A"/>
    <w:rsid w:val="00A93809"/>
    <w:rsid w:val="00A93E07"/>
    <w:rsid w:val="00A96AF3"/>
    <w:rsid w:val="00AA0513"/>
    <w:rsid w:val="00AA1AE2"/>
    <w:rsid w:val="00AA31F6"/>
    <w:rsid w:val="00AA3B85"/>
    <w:rsid w:val="00AA3E0E"/>
    <w:rsid w:val="00AA57C1"/>
    <w:rsid w:val="00AA676E"/>
    <w:rsid w:val="00AA7333"/>
    <w:rsid w:val="00AB1489"/>
    <w:rsid w:val="00AB3911"/>
    <w:rsid w:val="00AB39C1"/>
    <w:rsid w:val="00AB3EB4"/>
    <w:rsid w:val="00AB53AA"/>
    <w:rsid w:val="00AB5440"/>
    <w:rsid w:val="00AB5A9F"/>
    <w:rsid w:val="00AB61DA"/>
    <w:rsid w:val="00AB782E"/>
    <w:rsid w:val="00AC1C66"/>
    <w:rsid w:val="00AC1D64"/>
    <w:rsid w:val="00AC3C36"/>
    <w:rsid w:val="00AC3FB9"/>
    <w:rsid w:val="00AC4235"/>
    <w:rsid w:val="00AC4278"/>
    <w:rsid w:val="00AC4EDA"/>
    <w:rsid w:val="00AC57FF"/>
    <w:rsid w:val="00AC598F"/>
    <w:rsid w:val="00AC5998"/>
    <w:rsid w:val="00AC610E"/>
    <w:rsid w:val="00AC74BA"/>
    <w:rsid w:val="00AD03D9"/>
    <w:rsid w:val="00AD08FC"/>
    <w:rsid w:val="00AD181D"/>
    <w:rsid w:val="00AD199C"/>
    <w:rsid w:val="00AD272B"/>
    <w:rsid w:val="00AD3105"/>
    <w:rsid w:val="00AD427D"/>
    <w:rsid w:val="00AD55FD"/>
    <w:rsid w:val="00AD5DBC"/>
    <w:rsid w:val="00AD7588"/>
    <w:rsid w:val="00AE0FB5"/>
    <w:rsid w:val="00AE2B8C"/>
    <w:rsid w:val="00AE3209"/>
    <w:rsid w:val="00AE3F80"/>
    <w:rsid w:val="00AE434A"/>
    <w:rsid w:val="00AE5C05"/>
    <w:rsid w:val="00AE77D7"/>
    <w:rsid w:val="00AF069E"/>
    <w:rsid w:val="00AF2324"/>
    <w:rsid w:val="00AF2CE9"/>
    <w:rsid w:val="00AF2F33"/>
    <w:rsid w:val="00AF3002"/>
    <w:rsid w:val="00AF3287"/>
    <w:rsid w:val="00AF46D5"/>
    <w:rsid w:val="00AF6440"/>
    <w:rsid w:val="00AF7884"/>
    <w:rsid w:val="00B01138"/>
    <w:rsid w:val="00B01850"/>
    <w:rsid w:val="00B02AB7"/>
    <w:rsid w:val="00B06B04"/>
    <w:rsid w:val="00B101F6"/>
    <w:rsid w:val="00B1041C"/>
    <w:rsid w:val="00B10C37"/>
    <w:rsid w:val="00B113F3"/>
    <w:rsid w:val="00B131FB"/>
    <w:rsid w:val="00B14443"/>
    <w:rsid w:val="00B15BB5"/>
    <w:rsid w:val="00B1658B"/>
    <w:rsid w:val="00B16B91"/>
    <w:rsid w:val="00B2062F"/>
    <w:rsid w:val="00B226EC"/>
    <w:rsid w:val="00B24710"/>
    <w:rsid w:val="00B24CBD"/>
    <w:rsid w:val="00B2679F"/>
    <w:rsid w:val="00B276ED"/>
    <w:rsid w:val="00B30451"/>
    <w:rsid w:val="00B32C97"/>
    <w:rsid w:val="00B32EAC"/>
    <w:rsid w:val="00B332CD"/>
    <w:rsid w:val="00B34BA3"/>
    <w:rsid w:val="00B36AF8"/>
    <w:rsid w:val="00B37936"/>
    <w:rsid w:val="00B37BF3"/>
    <w:rsid w:val="00B42A54"/>
    <w:rsid w:val="00B45E92"/>
    <w:rsid w:val="00B469FA"/>
    <w:rsid w:val="00B46F13"/>
    <w:rsid w:val="00B47E0B"/>
    <w:rsid w:val="00B510F6"/>
    <w:rsid w:val="00B517BD"/>
    <w:rsid w:val="00B52F39"/>
    <w:rsid w:val="00B56FA3"/>
    <w:rsid w:val="00B60020"/>
    <w:rsid w:val="00B60B06"/>
    <w:rsid w:val="00B60D93"/>
    <w:rsid w:val="00B61905"/>
    <w:rsid w:val="00B62498"/>
    <w:rsid w:val="00B63B7C"/>
    <w:rsid w:val="00B64682"/>
    <w:rsid w:val="00B654BA"/>
    <w:rsid w:val="00B673C7"/>
    <w:rsid w:val="00B72ED5"/>
    <w:rsid w:val="00B74037"/>
    <w:rsid w:val="00B74A8A"/>
    <w:rsid w:val="00B759DF"/>
    <w:rsid w:val="00B76A65"/>
    <w:rsid w:val="00B77171"/>
    <w:rsid w:val="00B77C0E"/>
    <w:rsid w:val="00B813BF"/>
    <w:rsid w:val="00B81505"/>
    <w:rsid w:val="00B81A31"/>
    <w:rsid w:val="00B83406"/>
    <w:rsid w:val="00B84361"/>
    <w:rsid w:val="00B84383"/>
    <w:rsid w:val="00B8485F"/>
    <w:rsid w:val="00B85FFC"/>
    <w:rsid w:val="00B86711"/>
    <w:rsid w:val="00B8673B"/>
    <w:rsid w:val="00B9057D"/>
    <w:rsid w:val="00B91386"/>
    <w:rsid w:val="00B916C7"/>
    <w:rsid w:val="00B919BC"/>
    <w:rsid w:val="00B9309A"/>
    <w:rsid w:val="00B939C1"/>
    <w:rsid w:val="00B94B95"/>
    <w:rsid w:val="00B956D2"/>
    <w:rsid w:val="00B95B37"/>
    <w:rsid w:val="00BA09CA"/>
    <w:rsid w:val="00BA0BEC"/>
    <w:rsid w:val="00BA1233"/>
    <w:rsid w:val="00BA1662"/>
    <w:rsid w:val="00BA2494"/>
    <w:rsid w:val="00BA38C9"/>
    <w:rsid w:val="00BA4ABE"/>
    <w:rsid w:val="00BA550A"/>
    <w:rsid w:val="00BA5A50"/>
    <w:rsid w:val="00BA7EC0"/>
    <w:rsid w:val="00BB1D05"/>
    <w:rsid w:val="00BB3996"/>
    <w:rsid w:val="00BB6116"/>
    <w:rsid w:val="00BB6D3F"/>
    <w:rsid w:val="00BC0520"/>
    <w:rsid w:val="00BC233A"/>
    <w:rsid w:val="00BC2F9E"/>
    <w:rsid w:val="00BC4657"/>
    <w:rsid w:val="00BC5319"/>
    <w:rsid w:val="00BC5ACA"/>
    <w:rsid w:val="00BC5B5C"/>
    <w:rsid w:val="00BD132C"/>
    <w:rsid w:val="00BD2090"/>
    <w:rsid w:val="00BD4FDD"/>
    <w:rsid w:val="00BD7617"/>
    <w:rsid w:val="00BE2CBB"/>
    <w:rsid w:val="00BE30E5"/>
    <w:rsid w:val="00BE41D2"/>
    <w:rsid w:val="00BE43E1"/>
    <w:rsid w:val="00BE4680"/>
    <w:rsid w:val="00BE47C4"/>
    <w:rsid w:val="00BE4841"/>
    <w:rsid w:val="00BE4A71"/>
    <w:rsid w:val="00BF1624"/>
    <w:rsid w:val="00BF16FD"/>
    <w:rsid w:val="00BF1EFC"/>
    <w:rsid w:val="00BF2118"/>
    <w:rsid w:val="00BF219E"/>
    <w:rsid w:val="00BF31A0"/>
    <w:rsid w:val="00BF495F"/>
    <w:rsid w:val="00BF6250"/>
    <w:rsid w:val="00BF677A"/>
    <w:rsid w:val="00C003B2"/>
    <w:rsid w:val="00C009BE"/>
    <w:rsid w:val="00C00B39"/>
    <w:rsid w:val="00C01EDD"/>
    <w:rsid w:val="00C029A7"/>
    <w:rsid w:val="00C02AF8"/>
    <w:rsid w:val="00C0301B"/>
    <w:rsid w:val="00C03927"/>
    <w:rsid w:val="00C03DE0"/>
    <w:rsid w:val="00C04E6D"/>
    <w:rsid w:val="00C0571F"/>
    <w:rsid w:val="00C06A12"/>
    <w:rsid w:val="00C11D2C"/>
    <w:rsid w:val="00C12E99"/>
    <w:rsid w:val="00C176B5"/>
    <w:rsid w:val="00C2100F"/>
    <w:rsid w:val="00C2169E"/>
    <w:rsid w:val="00C21F28"/>
    <w:rsid w:val="00C2273B"/>
    <w:rsid w:val="00C237C2"/>
    <w:rsid w:val="00C23AB5"/>
    <w:rsid w:val="00C24F30"/>
    <w:rsid w:val="00C26C1A"/>
    <w:rsid w:val="00C2721F"/>
    <w:rsid w:val="00C275F8"/>
    <w:rsid w:val="00C27DBA"/>
    <w:rsid w:val="00C30B81"/>
    <w:rsid w:val="00C30CBF"/>
    <w:rsid w:val="00C31F6E"/>
    <w:rsid w:val="00C321A6"/>
    <w:rsid w:val="00C336C9"/>
    <w:rsid w:val="00C343AD"/>
    <w:rsid w:val="00C349F0"/>
    <w:rsid w:val="00C36B40"/>
    <w:rsid w:val="00C37022"/>
    <w:rsid w:val="00C411CA"/>
    <w:rsid w:val="00C43D5D"/>
    <w:rsid w:val="00C5403E"/>
    <w:rsid w:val="00C54674"/>
    <w:rsid w:val="00C56B90"/>
    <w:rsid w:val="00C60012"/>
    <w:rsid w:val="00C61DFE"/>
    <w:rsid w:val="00C62832"/>
    <w:rsid w:val="00C63A28"/>
    <w:rsid w:val="00C64B34"/>
    <w:rsid w:val="00C65D61"/>
    <w:rsid w:val="00C65DBB"/>
    <w:rsid w:val="00C66B84"/>
    <w:rsid w:val="00C70B94"/>
    <w:rsid w:val="00C753F7"/>
    <w:rsid w:val="00C75ACB"/>
    <w:rsid w:val="00C763E0"/>
    <w:rsid w:val="00C7678A"/>
    <w:rsid w:val="00C82172"/>
    <w:rsid w:val="00C8374C"/>
    <w:rsid w:val="00C850C7"/>
    <w:rsid w:val="00C85962"/>
    <w:rsid w:val="00C864B2"/>
    <w:rsid w:val="00C90298"/>
    <w:rsid w:val="00C90E34"/>
    <w:rsid w:val="00C94F64"/>
    <w:rsid w:val="00C94FDA"/>
    <w:rsid w:val="00C952A4"/>
    <w:rsid w:val="00C95AED"/>
    <w:rsid w:val="00C96585"/>
    <w:rsid w:val="00C96A65"/>
    <w:rsid w:val="00CA2027"/>
    <w:rsid w:val="00CA210E"/>
    <w:rsid w:val="00CA2320"/>
    <w:rsid w:val="00CA24CB"/>
    <w:rsid w:val="00CA2E11"/>
    <w:rsid w:val="00CA38F3"/>
    <w:rsid w:val="00CA3BE4"/>
    <w:rsid w:val="00CA41F4"/>
    <w:rsid w:val="00CA48F8"/>
    <w:rsid w:val="00CA5090"/>
    <w:rsid w:val="00CA5D5C"/>
    <w:rsid w:val="00CA5F19"/>
    <w:rsid w:val="00CA64E9"/>
    <w:rsid w:val="00CA67F7"/>
    <w:rsid w:val="00CB223A"/>
    <w:rsid w:val="00CB3BD6"/>
    <w:rsid w:val="00CB525E"/>
    <w:rsid w:val="00CB52EC"/>
    <w:rsid w:val="00CB579E"/>
    <w:rsid w:val="00CB5EC3"/>
    <w:rsid w:val="00CB6624"/>
    <w:rsid w:val="00CB6EA6"/>
    <w:rsid w:val="00CC4AA6"/>
    <w:rsid w:val="00CC5607"/>
    <w:rsid w:val="00CC65DA"/>
    <w:rsid w:val="00CD1FBB"/>
    <w:rsid w:val="00CD20AA"/>
    <w:rsid w:val="00CD50F9"/>
    <w:rsid w:val="00CD535C"/>
    <w:rsid w:val="00CD5FA3"/>
    <w:rsid w:val="00CE0231"/>
    <w:rsid w:val="00CE0853"/>
    <w:rsid w:val="00CE1550"/>
    <w:rsid w:val="00CE1F54"/>
    <w:rsid w:val="00CE2B93"/>
    <w:rsid w:val="00CE3E44"/>
    <w:rsid w:val="00CE3EAC"/>
    <w:rsid w:val="00CE5B8C"/>
    <w:rsid w:val="00CE5E33"/>
    <w:rsid w:val="00CE5E4B"/>
    <w:rsid w:val="00CE6788"/>
    <w:rsid w:val="00CE6DC1"/>
    <w:rsid w:val="00CF094E"/>
    <w:rsid w:val="00CF0D79"/>
    <w:rsid w:val="00CF0EDD"/>
    <w:rsid w:val="00CF1C83"/>
    <w:rsid w:val="00CF1CD7"/>
    <w:rsid w:val="00CF39DF"/>
    <w:rsid w:val="00CF6A6D"/>
    <w:rsid w:val="00CF72F7"/>
    <w:rsid w:val="00D00B87"/>
    <w:rsid w:val="00D0208F"/>
    <w:rsid w:val="00D02466"/>
    <w:rsid w:val="00D02DF0"/>
    <w:rsid w:val="00D06F49"/>
    <w:rsid w:val="00D10DA2"/>
    <w:rsid w:val="00D10F7D"/>
    <w:rsid w:val="00D11A4E"/>
    <w:rsid w:val="00D12CE9"/>
    <w:rsid w:val="00D14FCC"/>
    <w:rsid w:val="00D16DDE"/>
    <w:rsid w:val="00D170BF"/>
    <w:rsid w:val="00D2033B"/>
    <w:rsid w:val="00D20962"/>
    <w:rsid w:val="00D213D5"/>
    <w:rsid w:val="00D23BD2"/>
    <w:rsid w:val="00D24783"/>
    <w:rsid w:val="00D30486"/>
    <w:rsid w:val="00D3137B"/>
    <w:rsid w:val="00D31690"/>
    <w:rsid w:val="00D317F7"/>
    <w:rsid w:val="00D31B11"/>
    <w:rsid w:val="00D34DCF"/>
    <w:rsid w:val="00D4027E"/>
    <w:rsid w:val="00D41E30"/>
    <w:rsid w:val="00D43903"/>
    <w:rsid w:val="00D453C9"/>
    <w:rsid w:val="00D46055"/>
    <w:rsid w:val="00D473F3"/>
    <w:rsid w:val="00D47CDE"/>
    <w:rsid w:val="00D5130B"/>
    <w:rsid w:val="00D52670"/>
    <w:rsid w:val="00D53393"/>
    <w:rsid w:val="00D53508"/>
    <w:rsid w:val="00D57293"/>
    <w:rsid w:val="00D57832"/>
    <w:rsid w:val="00D57921"/>
    <w:rsid w:val="00D57FA0"/>
    <w:rsid w:val="00D603C4"/>
    <w:rsid w:val="00D64699"/>
    <w:rsid w:val="00D6484B"/>
    <w:rsid w:val="00D65304"/>
    <w:rsid w:val="00D653F4"/>
    <w:rsid w:val="00D718F5"/>
    <w:rsid w:val="00D73956"/>
    <w:rsid w:val="00D75C6D"/>
    <w:rsid w:val="00D76C82"/>
    <w:rsid w:val="00D7724D"/>
    <w:rsid w:val="00D77656"/>
    <w:rsid w:val="00D81809"/>
    <w:rsid w:val="00D83591"/>
    <w:rsid w:val="00D83594"/>
    <w:rsid w:val="00D8587C"/>
    <w:rsid w:val="00D8683A"/>
    <w:rsid w:val="00D87882"/>
    <w:rsid w:val="00D87B47"/>
    <w:rsid w:val="00D90803"/>
    <w:rsid w:val="00D9102E"/>
    <w:rsid w:val="00D91067"/>
    <w:rsid w:val="00D9256E"/>
    <w:rsid w:val="00D94172"/>
    <w:rsid w:val="00D95682"/>
    <w:rsid w:val="00D9614C"/>
    <w:rsid w:val="00D9658B"/>
    <w:rsid w:val="00DA194D"/>
    <w:rsid w:val="00DA23E9"/>
    <w:rsid w:val="00DA3D6E"/>
    <w:rsid w:val="00DA491F"/>
    <w:rsid w:val="00DA7475"/>
    <w:rsid w:val="00DA7608"/>
    <w:rsid w:val="00DB0D99"/>
    <w:rsid w:val="00DB19A2"/>
    <w:rsid w:val="00DB20FB"/>
    <w:rsid w:val="00DB2F25"/>
    <w:rsid w:val="00DB344A"/>
    <w:rsid w:val="00DB61E2"/>
    <w:rsid w:val="00DC1F7F"/>
    <w:rsid w:val="00DC2003"/>
    <w:rsid w:val="00DC30EA"/>
    <w:rsid w:val="00DC3604"/>
    <w:rsid w:val="00DC561C"/>
    <w:rsid w:val="00DD24E0"/>
    <w:rsid w:val="00DD275F"/>
    <w:rsid w:val="00DD29D2"/>
    <w:rsid w:val="00DD4487"/>
    <w:rsid w:val="00DD4820"/>
    <w:rsid w:val="00DD48A0"/>
    <w:rsid w:val="00DD49AF"/>
    <w:rsid w:val="00DD58EE"/>
    <w:rsid w:val="00DD5FF3"/>
    <w:rsid w:val="00DD72A0"/>
    <w:rsid w:val="00DD7FCD"/>
    <w:rsid w:val="00DE0B3E"/>
    <w:rsid w:val="00DE168C"/>
    <w:rsid w:val="00DE1A87"/>
    <w:rsid w:val="00DE3B69"/>
    <w:rsid w:val="00DE4B33"/>
    <w:rsid w:val="00DE5A30"/>
    <w:rsid w:val="00DE5BA2"/>
    <w:rsid w:val="00DE685E"/>
    <w:rsid w:val="00DE6DE3"/>
    <w:rsid w:val="00DE7E33"/>
    <w:rsid w:val="00DF07FD"/>
    <w:rsid w:val="00DF1300"/>
    <w:rsid w:val="00DF2D08"/>
    <w:rsid w:val="00DF3F47"/>
    <w:rsid w:val="00DF6222"/>
    <w:rsid w:val="00DF66A2"/>
    <w:rsid w:val="00E029A3"/>
    <w:rsid w:val="00E04DDA"/>
    <w:rsid w:val="00E058CA"/>
    <w:rsid w:val="00E06F54"/>
    <w:rsid w:val="00E073DC"/>
    <w:rsid w:val="00E10A18"/>
    <w:rsid w:val="00E1224A"/>
    <w:rsid w:val="00E12F2F"/>
    <w:rsid w:val="00E14598"/>
    <w:rsid w:val="00E1509A"/>
    <w:rsid w:val="00E16ED9"/>
    <w:rsid w:val="00E20306"/>
    <w:rsid w:val="00E207A9"/>
    <w:rsid w:val="00E21086"/>
    <w:rsid w:val="00E22BAB"/>
    <w:rsid w:val="00E24B92"/>
    <w:rsid w:val="00E24D3A"/>
    <w:rsid w:val="00E25628"/>
    <w:rsid w:val="00E25652"/>
    <w:rsid w:val="00E31DFA"/>
    <w:rsid w:val="00E3457D"/>
    <w:rsid w:val="00E35CF0"/>
    <w:rsid w:val="00E3606E"/>
    <w:rsid w:val="00E44553"/>
    <w:rsid w:val="00E47693"/>
    <w:rsid w:val="00E51EEA"/>
    <w:rsid w:val="00E53CA0"/>
    <w:rsid w:val="00E551A6"/>
    <w:rsid w:val="00E56D09"/>
    <w:rsid w:val="00E5716B"/>
    <w:rsid w:val="00E6017B"/>
    <w:rsid w:val="00E60906"/>
    <w:rsid w:val="00E6196F"/>
    <w:rsid w:val="00E61B27"/>
    <w:rsid w:val="00E62185"/>
    <w:rsid w:val="00E66A27"/>
    <w:rsid w:val="00E7315A"/>
    <w:rsid w:val="00E74200"/>
    <w:rsid w:val="00E7727F"/>
    <w:rsid w:val="00E8110A"/>
    <w:rsid w:val="00E91546"/>
    <w:rsid w:val="00E91CEA"/>
    <w:rsid w:val="00E936DB"/>
    <w:rsid w:val="00E93717"/>
    <w:rsid w:val="00E94B5C"/>
    <w:rsid w:val="00E951D7"/>
    <w:rsid w:val="00E95A02"/>
    <w:rsid w:val="00EA0CCC"/>
    <w:rsid w:val="00EA0D77"/>
    <w:rsid w:val="00EA1D02"/>
    <w:rsid w:val="00EA30A7"/>
    <w:rsid w:val="00EA30CE"/>
    <w:rsid w:val="00EA4917"/>
    <w:rsid w:val="00EA66B8"/>
    <w:rsid w:val="00EB06BF"/>
    <w:rsid w:val="00EB1062"/>
    <w:rsid w:val="00EB1133"/>
    <w:rsid w:val="00EB38EC"/>
    <w:rsid w:val="00EB5615"/>
    <w:rsid w:val="00EB72E9"/>
    <w:rsid w:val="00EB7733"/>
    <w:rsid w:val="00EB7A44"/>
    <w:rsid w:val="00EC1315"/>
    <w:rsid w:val="00EC22FC"/>
    <w:rsid w:val="00EC4300"/>
    <w:rsid w:val="00ED34D6"/>
    <w:rsid w:val="00ED39B9"/>
    <w:rsid w:val="00ED4BBA"/>
    <w:rsid w:val="00ED66AE"/>
    <w:rsid w:val="00ED6756"/>
    <w:rsid w:val="00ED6B22"/>
    <w:rsid w:val="00EE1C07"/>
    <w:rsid w:val="00EE2A67"/>
    <w:rsid w:val="00EE31CB"/>
    <w:rsid w:val="00EE6A96"/>
    <w:rsid w:val="00EF0A61"/>
    <w:rsid w:val="00EF1452"/>
    <w:rsid w:val="00EF3879"/>
    <w:rsid w:val="00EF4288"/>
    <w:rsid w:val="00EF61BA"/>
    <w:rsid w:val="00EF65B9"/>
    <w:rsid w:val="00F00074"/>
    <w:rsid w:val="00F00186"/>
    <w:rsid w:val="00F001D3"/>
    <w:rsid w:val="00F0020A"/>
    <w:rsid w:val="00F00762"/>
    <w:rsid w:val="00F0140C"/>
    <w:rsid w:val="00F019DF"/>
    <w:rsid w:val="00F01FF3"/>
    <w:rsid w:val="00F04220"/>
    <w:rsid w:val="00F07841"/>
    <w:rsid w:val="00F07CDE"/>
    <w:rsid w:val="00F07D37"/>
    <w:rsid w:val="00F07D86"/>
    <w:rsid w:val="00F13F4C"/>
    <w:rsid w:val="00F140F1"/>
    <w:rsid w:val="00F16942"/>
    <w:rsid w:val="00F24461"/>
    <w:rsid w:val="00F25828"/>
    <w:rsid w:val="00F25A53"/>
    <w:rsid w:val="00F26F92"/>
    <w:rsid w:val="00F322A9"/>
    <w:rsid w:val="00F32F85"/>
    <w:rsid w:val="00F336A3"/>
    <w:rsid w:val="00F3433F"/>
    <w:rsid w:val="00F35076"/>
    <w:rsid w:val="00F375DC"/>
    <w:rsid w:val="00F376A8"/>
    <w:rsid w:val="00F407C4"/>
    <w:rsid w:val="00F40FD7"/>
    <w:rsid w:val="00F43C08"/>
    <w:rsid w:val="00F43D21"/>
    <w:rsid w:val="00F45395"/>
    <w:rsid w:val="00F45F5B"/>
    <w:rsid w:val="00F46C21"/>
    <w:rsid w:val="00F51B5B"/>
    <w:rsid w:val="00F52FB8"/>
    <w:rsid w:val="00F5319B"/>
    <w:rsid w:val="00F55291"/>
    <w:rsid w:val="00F57909"/>
    <w:rsid w:val="00F57A03"/>
    <w:rsid w:val="00F60399"/>
    <w:rsid w:val="00F610DE"/>
    <w:rsid w:val="00F62499"/>
    <w:rsid w:val="00F635D9"/>
    <w:rsid w:val="00F64531"/>
    <w:rsid w:val="00F64781"/>
    <w:rsid w:val="00F64799"/>
    <w:rsid w:val="00F64EE6"/>
    <w:rsid w:val="00F735E8"/>
    <w:rsid w:val="00F74963"/>
    <w:rsid w:val="00F75050"/>
    <w:rsid w:val="00F75449"/>
    <w:rsid w:val="00F75A35"/>
    <w:rsid w:val="00F76848"/>
    <w:rsid w:val="00F771CA"/>
    <w:rsid w:val="00F811DC"/>
    <w:rsid w:val="00F819E7"/>
    <w:rsid w:val="00F82929"/>
    <w:rsid w:val="00F82D84"/>
    <w:rsid w:val="00F8364C"/>
    <w:rsid w:val="00F84598"/>
    <w:rsid w:val="00F849C1"/>
    <w:rsid w:val="00F84EC6"/>
    <w:rsid w:val="00F85998"/>
    <w:rsid w:val="00F86344"/>
    <w:rsid w:val="00F87185"/>
    <w:rsid w:val="00F9020B"/>
    <w:rsid w:val="00F916D1"/>
    <w:rsid w:val="00F96D7A"/>
    <w:rsid w:val="00F971CD"/>
    <w:rsid w:val="00FA0693"/>
    <w:rsid w:val="00FA24EE"/>
    <w:rsid w:val="00FA2DCA"/>
    <w:rsid w:val="00FA2EB0"/>
    <w:rsid w:val="00FA39A9"/>
    <w:rsid w:val="00FA6A1C"/>
    <w:rsid w:val="00FA6C8E"/>
    <w:rsid w:val="00FA7610"/>
    <w:rsid w:val="00FA77A9"/>
    <w:rsid w:val="00FA7D95"/>
    <w:rsid w:val="00FA7DD4"/>
    <w:rsid w:val="00FB0C58"/>
    <w:rsid w:val="00FB109A"/>
    <w:rsid w:val="00FB3318"/>
    <w:rsid w:val="00FB548E"/>
    <w:rsid w:val="00FB57D4"/>
    <w:rsid w:val="00FB68DF"/>
    <w:rsid w:val="00FB6D75"/>
    <w:rsid w:val="00FB7364"/>
    <w:rsid w:val="00FC0744"/>
    <w:rsid w:val="00FC0FAC"/>
    <w:rsid w:val="00FC115C"/>
    <w:rsid w:val="00FC16D2"/>
    <w:rsid w:val="00FC4CA2"/>
    <w:rsid w:val="00FC4D72"/>
    <w:rsid w:val="00FC7803"/>
    <w:rsid w:val="00FD02F2"/>
    <w:rsid w:val="00FD095C"/>
    <w:rsid w:val="00FD459A"/>
    <w:rsid w:val="00FD4E8D"/>
    <w:rsid w:val="00FD6838"/>
    <w:rsid w:val="00FD6E26"/>
    <w:rsid w:val="00FE031E"/>
    <w:rsid w:val="00FE12EB"/>
    <w:rsid w:val="00FE17A5"/>
    <w:rsid w:val="00FE18B0"/>
    <w:rsid w:val="00FE41DD"/>
    <w:rsid w:val="00FE452C"/>
    <w:rsid w:val="00FE4561"/>
    <w:rsid w:val="00FE46CD"/>
    <w:rsid w:val="00FE52F3"/>
    <w:rsid w:val="00FE5FC3"/>
    <w:rsid w:val="00FE62F6"/>
    <w:rsid w:val="00FE6481"/>
    <w:rsid w:val="00FE66AF"/>
    <w:rsid w:val="00FF0952"/>
    <w:rsid w:val="00FF0EAD"/>
    <w:rsid w:val="00FF133B"/>
    <w:rsid w:val="00FF14B7"/>
    <w:rsid w:val="00FF189D"/>
    <w:rsid w:val="00FF1A17"/>
    <w:rsid w:val="00FF1CB4"/>
    <w:rsid w:val="00FF401A"/>
    <w:rsid w:val="00FF4BBA"/>
    <w:rsid w:val="00FF51A9"/>
    <w:rsid w:val="00FF51C0"/>
    <w:rsid w:val="00FF67A3"/>
    <w:rsid w:val="00FF7229"/>
    <w:rsid w:val="00FF7B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7B7088"/>
  <w15:chartTrackingRefBased/>
  <w15:docId w15:val="{027D0667-BBD9-4877-A402-D9BF7AF3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803"/>
    <w:pPr>
      <w:jc w:val="both"/>
    </w:pPr>
    <w:rPr>
      <w:rFonts w:ascii="Arial" w:eastAsia="BatangChe" w:hAnsi="Arial" w:cs="Arial"/>
      <w:sz w:val="24"/>
      <w:szCs w:val="24"/>
      <w:lang w:eastAsia="en-US"/>
    </w:rPr>
  </w:style>
  <w:style w:type="paragraph" w:styleId="Heading1">
    <w:name w:val="heading 1"/>
    <w:basedOn w:val="Normal"/>
    <w:next w:val="Normal"/>
    <w:link w:val="Heading1Char"/>
    <w:uiPriority w:val="9"/>
    <w:qFormat/>
    <w:rsid w:val="00565E6C"/>
    <w:pPr>
      <w:keepNext/>
      <w:pBdr>
        <w:top w:val="single" w:sz="4" w:space="1" w:color="auto"/>
        <w:left w:val="single" w:sz="4" w:space="4" w:color="auto"/>
        <w:bottom w:val="single" w:sz="4" w:space="1" w:color="auto"/>
        <w:right w:val="single" w:sz="4" w:space="4" w:color="auto"/>
      </w:pBdr>
      <w:shd w:val="clear" w:color="auto" w:fill="99FF99"/>
      <w:spacing w:before="240" w:after="60" w:line="276" w:lineRule="auto"/>
      <w:outlineLvl w:val="0"/>
    </w:pPr>
    <w:rPr>
      <w:rFonts w:eastAsia="Times New Roman"/>
      <w:b/>
      <w:bCs/>
      <w:kern w:val="32"/>
      <w:sz w:val="20"/>
      <w:szCs w:val="20"/>
    </w:rPr>
  </w:style>
  <w:style w:type="paragraph" w:styleId="Heading2">
    <w:name w:val="heading 2"/>
    <w:basedOn w:val="Normal"/>
    <w:next w:val="Normal"/>
    <w:link w:val="Heading2Char"/>
    <w:uiPriority w:val="9"/>
    <w:unhideWhenUsed/>
    <w:qFormat/>
    <w:rsid w:val="00565E6C"/>
    <w:pPr>
      <w:numPr>
        <w:numId w:val="1"/>
      </w:numPr>
      <w:pBdr>
        <w:top w:val="single" w:sz="4" w:space="1" w:color="auto"/>
        <w:left w:val="single" w:sz="4" w:space="4" w:color="auto"/>
        <w:bottom w:val="single" w:sz="4" w:space="1" w:color="auto"/>
        <w:right w:val="single" w:sz="4" w:space="4" w:color="auto"/>
      </w:pBdr>
      <w:shd w:val="clear" w:color="auto" w:fill="FFFF66"/>
      <w:tabs>
        <w:tab w:val="clear" w:pos="1211"/>
        <w:tab w:val="num" w:pos="0"/>
      </w:tabs>
      <w:spacing w:line="276" w:lineRule="auto"/>
      <w:ind w:left="0" w:firstLine="0"/>
      <w:outlineLvl w:val="1"/>
    </w:pPr>
    <w:rPr>
      <w:b/>
      <w:sz w:val="20"/>
      <w:szCs w:val="20"/>
    </w:rPr>
  </w:style>
  <w:style w:type="paragraph" w:styleId="Heading3">
    <w:name w:val="heading 3"/>
    <w:basedOn w:val="Normal"/>
    <w:next w:val="Normal"/>
    <w:link w:val="Heading3Char"/>
    <w:uiPriority w:val="9"/>
    <w:unhideWhenUsed/>
    <w:qFormat/>
    <w:rsid w:val="00565E6C"/>
    <w:pPr>
      <w:pBdr>
        <w:top w:val="single" w:sz="4" w:space="1" w:color="auto"/>
        <w:left w:val="single" w:sz="4" w:space="4" w:color="auto"/>
        <w:bottom w:val="single" w:sz="4" w:space="1" w:color="auto"/>
        <w:right w:val="single" w:sz="4" w:space="4" w:color="auto"/>
      </w:pBdr>
      <w:shd w:val="clear" w:color="auto" w:fill="FFFFCC"/>
      <w:autoSpaceDE w:val="0"/>
      <w:autoSpaceDN w:val="0"/>
      <w:adjustRightInd w:val="0"/>
      <w:spacing w:line="276" w:lineRule="auto"/>
      <w:outlineLvl w:val="2"/>
    </w:pPr>
    <w:rPr>
      <w:b/>
      <w:i/>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lips Body,No Spacing1,ARTICLE TEXT,Medium Grid 21,Spacing,ISSUE AREA,Nessuna spaziatura,SUBHEADING,B"/>
    <w:link w:val="NoSpacingChar"/>
    <w:uiPriority w:val="1"/>
    <w:qFormat/>
    <w:rsid w:val="002935D6"/>
    <w:rPr>
      <w:sz w:val="22"/>
      <w:szCs w:val="22"/>
      <w:lang w:eastAsia="en-US"/>
    </w:rPr>
  </w:style>
  <w:style w:type="paragraph" w:customStyle="1" w:styleId="Pa4">
    <w:name w:val="Pa4"/>
    <w:basedOn w:val="Normal"/>
    <w:next w:val="Normal"/>
    <w:uiPriority w:val="99"/>
    <w:rsid w:val="00AE434A"/>
    <w:pPr>
      <w:autoSpaceDE w:val="0"/>
      <w:autoSpaceDN w:val="0"/>
      <w:adjustRightInd w:val="0"/>
      <w:spacing w:line="201" w:lineRule="atLeast"/>
    </w:pPr>
    <w:rPr>
      <w:rFonts w:ascii="CIMIEK+Republika" w:hAnsi="CIMIEK+Republika"/>
      <w:lang w:eastAsia="sl-SI"/>
    </w:rPr>
  </w:style>
  <w:style w:type="paragraph" w:styleId="ListParagraph">
    <w:name w:val="List Paragraph"/>
    <w:aliases w:val="List Paragraph (numbered (a)),Dot pt,F5 List Paragraph,List Paragraph1,List Paragraph Char Char Char,Indicator Text,Colorful List - Accent 11,Numbered Para 1,Bullet 1,Bullet Points,MAIN CONTENT,List Paragraph11,Recommendatio,Bullet laye,3"/>
    <w:basedOn w:val="Normal"/>
    <w:link w:val="ListParagraphChar"/>
    <w:uiPriority w:val="34"/>
    <w:qFormat/>
    <w:rsid w:val="00826576"/>
    <w:pPr>
      <w:ind w:left="708"/>
    </w:pPr>
    <w:rPr>
      <w:rFonts w:ascii="Times New Roman" w:eastAsia="Times New Roman" w:hAnsi="Times New Roman"/>
      <w:lang w:eastAsia="sl-SI"/>
    </w:rPr>
  </w:style>
  <w:style w:type="paragraph" w:customStyle="1" w:styleId="datumtevilka">
    <w:name w:val="datum številka"/>
    <w:basedOn w:val="Normal"/>
    <w:qFormat/>
    <w:rsid w:val="00A14234"/>
    <w:pPr>
      <w:tabs>
        <w:tab w:val="left" w:pos="1701"/>
      </w:tabs>
      <w:spacing w:line="260" w:lineRule="exact"/>
    </w:pPr>
    <w:rPr>
      <w:rFonts w:eastAsia="Times New Roman"/>
      <w:sz w:val="20"/>
      <w:szCs w:val="20"/>
      <w:lang w:eastAsia="sl-SI"/>
    </w:rPr>
  </w:style>
  <w:style w:type="character" w:styleId="CommentReference">
    <w:name w:val="annotation reference"/>
    <w:unhideWhenUsed/>
    <w:rsid w:val="00073896"/>
    <w:rPr>
      <w:sz w:val="16"/>
      <w:szCs w:val="16"/>
    </w:rPr>
  </w:style>
  <w:style w:type="paragraph" w:styleId="CommentText">
    <w:name w:val="annotation text"/>
    <w:basedOn w:val="Normal"/>
    <w:link w:val="CommentTextChar"/>
    <w:uiPriority w:val="99"/>
    <w:unhideWhenUsed/>
    <w:rsid w:val="00073896"/>
    <w:rPr>
      <w:sz w:val="20"/>
      <w:szCs w:val="20"/>
    </w:rPr>
  </w:style>
  <w:style w:type="character" w:customStyle="1" w:styleId="CommentTextChar">
    <w:name w:val="Comment Text Char"/>
    <w:link w:val="CommentText"/>
    <w:uiPriority w:val="99"/>
    <w:rsid w:val="00073896"/>
    <w:rPr>
      <w:lang w:eastAsia="en-US"/>
    </w:rPr>
  </w:style>
  <w:style w:type="paragraph" w:styleId="CommentSubject">
    <w:name w:val="annotation subject"/>
    <w:basedOn w:val="CommentText"/>
    <w:next w:val="CommentText"/>
    <w:link w:val="CommentSubjectChar"/>
    <w:uiPriority w:val="99"/>
    <w:semiHidden/>
    <w:unhideWhenUsed/>
    <w:rsid w:val="00073896"/>
    <w:rPr>
      <w:b/>
      <w:bCs/>
    </w:rPr>
  </w:style>
  <w:style w:type="character" w:customStyle="1" w:styleId="CommentSubjectChar">
    <w:name w:val="Comment Subject Char"/>
    <w:link w:val="CommentSubject"/>
    <w:uiPriority w:val="99"/>
    <w:semiHidden/>
    <w:rsid w:val="00073896"/>
    <w:rPr>
      <w:b/>
      <w:bCs/>
      <w:lang w:eastAsia="en-US"/>
    </w:rPr>
  </w:style>
  <w:style w:type="paragraph" w:styleId="BalloonText">
    <w:name w:val="Balloon Text"/>
    <w:basedOn w:val="Normal"/>
    <w:link w:val="BalloonTextChar"/>
    <w:uiPriority w:val="99"/>
    <w:semiHidden/>
    <w:unhideWhenUsed/>
    <w:rsid w:val="00073896"/>
    <w:rPr>
      <w:rFonts w:ascii="Tahoma" w:hAnsi="Tahoma" w:cs="Tahoma"/>
      <w:sz w:val="16"/>
      <w:szCs w:val="16"/>
    </w:rPr>
  </w:style>
  <w:style w:type="character" w:customStyle="1" w:styleId="BalloonTextChar">
    <w:name w:val="Balloon Text Char"/>
    <w:link w:val="BalloonText"/>
    <w:uiPriority w:val="99"/>
    <w:semiHidden/>
    <w:rsid w:val="00073896"/>
    <w:rPr>
      <w:rFonts w:ascii="Tahoma" w:hAnsi="Tahoma" w:cs="Tahoma"/>
      <w:sz w:val="16"/>
      <w:szCs w:val="16"/>
      <w:lang w:eastAsia="en-US"/>
    </w:rPr>
  </w:style>
  <w:style w:type="paragraph" w:customStyle="1" w:styleId="Default">
    <w:name w:val="Default"/>
    <w:rsid w:val="0055252C"/>
    <w:pPr>
      <w:autoSpaceDE w:val="0"/>
      <w:autoSpaceDN w:val="0"/>
      <w:adjustRightInd w:val="0"/>
    </w:pPr>
    <w:rPr>
      <w:rFonts w:ascii="Arial" w:hAnsi="Arial" w:cs="Arial"/>
      <w:color w:val="000000"/>
      <w:sz w:val="24"/>
      <w:szCs w:val="24"/>
    </w:rPr>
  </w:style>
  <w:style w:type="paragraph" w:customStyle="1" w:styleId="podpisi">
    <w:name w:val="podpisi"/>
    <w:basedOn w:val="Normal"/>
    <w:qFormat/>
    <w:rsid w:val="00C2169E"/>
    <w:pPr>
      <w:tabs>
        <w:tab w:val="left" w:pos="3402"/>
      </w:tabs>
      <w:spacing w:line="260" w:lineRule="atLeast"/>
    </w:pPr>
    <w:rPr>
      <w:rFonts w:eastAsia="Times New Roman"/>
      <w:sz w:val="20"/>
      <w:lang w:val="it-IT"/>
    </w:rPr>
  </w:style>
  <w:style w:type="character" w:customStyle="1" w:styleId="ListParagraphChar">
    <w:name w:val="List Paragraph Char"/>
    <w:aliases w:val="List Paragraph (numbered (a)) Char,Dot pt Char,F5 List Paragraph Char,List Paragraph1 Char,List Paragraph Char Char Char Char,Indicator Text Char,Colorful List - Accent 11 Char,Numbered Para 1 Char,Bullet 1 Char,Bullet Points Char"/>
    <w:link w:val="ListParagraph"/>
    <w:uiPriority w:val="34"/>
    <w:qFormat/>
    <w:rsid w:val="00C2169E"/>
    <w:rPr>
      <w:rFonts w:ascii="Times New Roman" w:eastAsia="Times New Roman" w:hAnsi="Times New Roman"/>
      <w:sz w:val="24"/>
      <w:szCs w:val="24"/>
    </w:rPr>
  </w:style>
  <w:style w:type="paragraph" w:styleId="BodyText2">
    <w:name w:val="Body Text 2"/>
    <w:basedOn w:val="Normal"/>
    <w:link w:val="BodyText2Char"/>
    <w:rsid w:val="00C2169E"/>
    <w:rPr>
      <w:rFonts w:ascii="Times New Roman" w:eastAsia="Times New Roman" w:hAnsi="Times New Roman"/>
      <w:lang w:eastAsia="sl-SI"/>
    </w:rPr>
  </w:style>
  <w:style w:type="character" w:customStyle="1" w:styleId="BodyText2Char">
    <w:name w:val="Body Text 2 Char"/>
    <w:link w:val="BodyText2"/>
    <w:rsid w:val="00C2169E"/>
    <w:rPr>
      <w:rFonts w:ascii="Times New Roman" w:eastAsia="Times New Roman" w:hAnsi="Times New Roman"/>
      <w:sz w:val="24"/>
      <w:szCs w:val="24"/>
    </w:rPr>
  </w:style>
  <w:style w:type="paragraph" w:styleId="BodyText3">
    <w:name w:val="Body Text 3"/>
    <w:basedOn w:val="Normal"/>
    <w:link w:val="BodyText3Char"/>
    <w:rsid w:val="00C2169E"/>
    <w:pPr>
      <w:spacing w:after="120"/>
    </w:pPr>
    <w:rPr>
      <w:rFonts w:ascii="Times New Roman" w:eastAsia="Times New Roman" w:hAnsi="Times New Roman"/>
      <w:sz w:val="16"/>
      <w:szCs w:val="16"/>
      <w:lang w:eastAsia="sl-SI"/>
    </w:rPr>
  </w:style>
  <w:style w:type="character" w:customStyle="1" w:styleId="BodyText3Char">
    <w:name w:val="Body Text 3 Char"/>
    <w:link w:val="BodyText3"/>
    <w:rsid w:val="00C2169E"/>
    <w:rPr>
      <w:rFonts w:ascii="Times New Roman" w:eastAsia="Times New Roman" w:hAnsi="Times New Roman"/>
      <w:sz w:val="16"/>
      <w:szCs w:val="16"/>
    </w:rPr>
  </w:style>
  <w:style w:type="character" w:customStyle="1" w:styleId="Heading1Char">
    <w:name w:val="Heading 1 Char"/>
    <w:link w:val="Heading1"/>
    <w:uiPriority w:val="9"/>
    <w:rsid w:val="00565E6C"/>
    <w:rPr>
      <w:rFonts w:ascii="Arial" w:eastAsia="Times New Roman" w:hAnsi="Arial" w:cs="Arial"/>
      <w:b/>
      <w:bCs/>
      <w:kern w:val="32"/>
      <w:shd w:val="clear" w:color="auto" w:fill="99FF99"/>
      <w:lang w:eastAsia="en-US"/>
    </w:rPr>
  </w:style>
  <w:style w:type="character" w:customStyle="1" w:styleId="Heading2Char">
    <w:name w:val="Heading 2 Char"/>
    <w:link w:val="Heading2"/>
    <w:uiPriority w:val="9"/>
    <w:rsid w:val="00565E6C"/>
    <w:rPr>
      <w:rFonts w:ascii="Arial" w:eastAsia="BatangChe" w:hAnsi="Arial" w:cs="Arial"/>
      <w:b/>
      <w:shd w:val="clear" w:color="auto" w:fill="FFFF66"/>
      <w:lang w:eastAsia="en-US"/>
    </w:rPr>
  </w:style>
  <w:style w:type="character" w:customStyle="1" w:styleId="Heading3Char">
    <w:name w:val="Heading 3 Char"/>
    <w:link w:val="Heading3"/>
    <w:uiPriority w:val="9"/>
    <w:rsid w:val="00565E6C"/>
    <w:rPr>
      <w:rFonts w:ascii="Arial" w:eastAsia="BatangChe" w:hAnsi="Arial" w:cs="Arial"/>
      <w:b/>
      <w:i/>
      <w:color w:val="000000"/>
      <w:shd w:val="clear" w:color="auto" w:fill="FFFFCC"/>
      <w:lang w:eastAsia="en-US"/>
    </w:rPr>
  </w:style>
  <w:style w:type="paragraph" w:styleId="TOCHeading">
    <w:name w:val="TOC Heading"/>
    <w:basedOn w:val="Heading1"/>
    <w:next w:val="Normal"/>
    <w:uiPriority w:val="39"/>
    <w:semiHidden/>
    <w:unhideWhenUsed/>
    <w:qFormat/>
    <w:rsid w:val="00812FAB"/>
    <w:pPr>
      <w:keepLines/>
      <w:spacing w:before="480" w:after="0"/>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unhideWhenUsed/>
    <w:qFormat/>
    <w:rsid w:val="00957909"/>
    <w:pPr>
      <w:tabs>
        <w:tab w:val="left" w:pos="660"/>
        <w:tab w:val="right" w:leader="dot" w:pos="9062"/>
      </w:tabs>
      <w:spacing w:line="288" w:lineRule="auto"/>
      <w:ind w:left="221"/>
    </w:pPr>
    <w:rPr>
      <w:rFonts w:ascii="Calibri" w:eastAsia="MS Mincho" w:hAnsi="Calibri"/>
      <w:lang w:val="en-US" w:eastAsia="ja-JP"/>
    </w:rPr>
  </w:style>
  <w:style w:type="paragraph" w:styleId="TOC1">
    <w:name w:val="toc 1"/>
    <w:basedOn w:val="Normal"/>
    <w:next w:val="Normal"/>
    <w:autoRedefine/>
    <w:uiPriority w:val="39"/>
    <w:unhideWhenUsed/>
    <w:qFormat/>
    <w:rsid w:val="000E4C23"/>
    <w:pPr>
      <w:tabs>
        <w:tab w:val="right" w:leader="dot" w:pos="9062"/>
      </w:tabs>
    </w:pPr>
    <w:rPr>
      <w:rFonts w:ascii="Calibri" w:eastAsia="MS Mincho" w:hAnsi="Calibri"/>
      <w:lang w:val="en-US" w:eastAsia="ja-JP"/>
    </w:rPr>
  </w:style>
  <w:style w:type="paragraph" w:styleId="TOC3">
    <w:name w:val="toc 3"/>
    <w:basedOn w:val="Normal"/>
    <w:next w:val="Normal"/>
    <w:autoRedefine/>
    <w:uiPriority w:val="39"/>
    <w:unhideWhenUsed/>
    <w:qFormat/>
    <w:rsid w:val="00B510F6"/>
    <w:pPr>
      <w:tabs>
        <w:tab w:val="right" w:leader="dot" w:pos="9062"/>
      </w:tabs>
      <w:ind w:left="442"/>
    </w:pPr>
    <w:rPr>
      <w:rFonts w:ascii="Calibri" w:eastAsia="MS Mincho" w:hAnsi="Calibri"/>
      <w:lang w:val="en-US" w:eastAsia="ja-JP"/>
    </w:rPr>
  </w:style>
  <w:style w:type="character" w:styleId="Hyperlink">
    <w:name w:val="Hyperlink"/>
    <w:uiPriority w:val="99"/>
    <w:unhideWhenUsed/>
    <w:rsid w:val="00D90803"/>
    <w:rPr>
      <w:color w:val="0000FF"/>
      <w:u w:val="single"/>
    </w:rPr>
  </w:style>
  <w:style w:type="paragraph" w:styleId="Header">
    <w:name w:val="header"/>
    <w:basedOn w:val="Normal"/>
    <w:link w:val="HeaderChar"/>
    <w:unhideWhenUsed/>
    <w:rsid w:val="00FA2DCA"/>
    <w:pPr>
      <w:tabs>
        <w:tab w:val="center" w:pos="4536"/>
        <w:tab w:val="right" w:pos="9072"/>
      </w:tabs>
    </w:pPr>
  </w:style>
  <w:style w:type="character" w:customStyle="1" w:styleId="HeaderChar">
    <w:name w:val="Header Char"/>
    <w:link w:val="Header"/>
    <w:rsid w:val="00FA2DCA"/>
    <w:rPr>
      <w:rFonts w:ascii="Arial" w:eastAsia="BatangChe" w:hAnsi="Arial" w:cs="Arial"/>
      <w:sz w:val="24"/>
      <w:szCs w:val="24"/>
      <w:lang w:eastAsia="en-US"/>
    </w:rPr>
  </w:style>
  <w:style w:type="paragraph" w:styleId="Footer">
    <w:name w:val="footer"/>
    <w:basedOn w:val="Normal"/>
    <w:link w:val="FooterChar"/>
    <w:uiPriority w:val="99"/>
    <w:unhideWhenUsed/>
    <w:rsid w:val="00FA2DCA"/>
    <w:pPr>
      <w:tabs>
        <w:tab w:val="center" w:pos="4536"/>
        <w:tab w:val="right" w:pos="9072"/>
      </w:tabs>
    </w:pPr>
  </w:style>
  <w:style w:type="character" w:customStyle="1" w:styleId="FooterChar">
    <w:name w:val="Footer Char"/>
    <w:link w:val="Footer"/>
    <w:uiPriority w:val="99"/>
    <w:rsid w:val="00FA2DCA"/>
    <w:rPr>
      <w:rFonts w:ascii="Arial" w:eastAsia="BatangChe" w:hAnsi="Arial" w:cs="Arial"/>
      <w:sz w:val="24"/>
      <w:szCs w:val="24"/>
      <w:lang w:eastAsia="en-US"/>
    </w:rPr>
  </w:style>
  <w:style w:type="paragraph" w:styleId="BodyText">
    <w:name w:val="Body Text"/>
    <w:basedOn w:val="Normal"/>
    <w:link w:val="BodyTextChar"/>
    <w:uiPriority w:val="99"/>
    <w:semiHidden/>
    <w:unhideWhenUsed/>
    <w:rsid w:val="00372E22"/>
    <w:pPr>
      <w:spacing w:after="120"/>
    </w:pPr>
  </w:style>
  <w:style w:type="character" w:customStyle="1" w:styleId="BodyTextChar">
    <w:name w:val="Body Text Char"/>
    <w:link w:val="BodyText"/>
    <w:uiPriority w:val="99"/>
    <w:semiHidden/>
    <w:rsid w:val="00372E22"/>
    <w:rPr>
      <w:rFonts w:ascii="Arial" w:eastAsia="BatangChe" w:hAnsi="Arial" w:cs="Arial"/>
      <w:sz w:val="24"/>
      <w:szCs w:val="24"/>
      <w:lang w:eastAsia="en-US"/>
    </w:rPr>
  </w:style>
  <w:style w:type="paragraph" w:styleId="HTMLPreformatted">
    <w:name w:val="HTML Preformatted"/>
    <w:basedOn w:val="Normal"/>
    <w:link w:val="HTMLPreformattedChar"/>
    <w:uiPriority w:val="99"/>
    <w:unhideWhenUsed/>
    <w:rsid w:val="00913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sl-SI"/>
    </w:rPr>
  </w:style>
  <w:style w:type="character" w:customStyle="1" w:styleId="HTMLPreformattedChar">
    <w:name w:val="HTML Preformatted Char"/>
    <w:link w:val="HTMLPreformatted"/>
    <w:uiPriority w:val="99"/>
    <w:rsid w:val="00913618"/>
    <w:rPr>
      <w:rFonts w:ascii="Courier New" w:eastAsia="Times New Roman" w:hAnsi="Courier New" w:cs="Courier New"/>
    </w:rPr>
  </w:style>
  <w:style w:type="paragraph" w:styleId="FootnoteText">
    <w:name w:val="footnote text"/>
    <w:basedOn w:val="Normal"/>
    <w:link w:val="FootnoteTextChar"/>
    <w:uiPriority w:val="99"/>
    <w:semiHidden/>
    <w:unhideWhenUsed/>
    <w:rsid w:val="00675B3F"/>
    <w:pPr>
      <w:jc w:val="left"/>
    </w:pPr>
    <w:rPr>
      <w:rFonts w:eastAsia="Times New Roman" w:cs="Times New Roman"/>
      <w:sz w:val="20"/>
      <w:szCs w:val="20"/>
    </w:rPr>
  </w:style>
  <w:style w:type="character" w:customStyle="1" w:styleId="FootnoteTextChar">
    <w:name w:val="Footnote Text Char"/>
    <w:link w:val="FootnoteText"/>
    <w:uiPriority w:val="99"/>
    <w:semiHidden/>
    <w:rsid w:val="00675B3F"/>
    <w:rPr>
      <w:rFonts w:ascii="Arial" w:eastAsia="Times New Roman" w:hAnsi="Arial"/>
      <w:lang w:eastAsia="en-US"/>
    </w:rPr>
  </w:style>
  <w:style w:type="character" w:styleId="FootnoteReference">
    <w:name w:val="footnote reference"/>
    <w:aliases w:val="de nota al pie,Ref,fr,Style 13,-E Fußnotenzeichen,(Diplomarbeit FZ),(Diplomarbeit FZ)1,(Diplomarbeit FZ)2,(Diplomarbeit FZ)3,(Diplomarbeit FZ)4,(Diplomarbeit FZ)5,(Diplomarbeit FZ)6,(Diplomarbeit FZ)7,(Diplomarbeit FZ)8,Style 7,註"/>
    <w:uiPriority w:val="99"/>
    <w:unhideWhenUsed/>
    <w:qFormat/>
    <w:rsid w:val="00675B3F"/>
    <w:rPr>
      <w:vertAlign w:val="superscript"/>
    </w:rPr>
  </w:style>
  <w:style w:type="table" w:styleId="TableGrid">
    <w:name w:val="Table Grid"/>
    <w:basedOn w:val="TableNormal"/>
    <w:uiPriority w:val="39"/>
    <w:rsid w:val="00FC7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center"/>
    <w:basedOn w:val="Normal"/>
    <w:rsid w:val="00DC561C"/>
    <w:pPr>
      <w:spacing w:before="100" w:beforeAutospacing="1" w:after="100" w:afterAutospacing="1"/>
      <w:jc w:val="left"/>
    </w:pPr>
    <w:rPr>
      <w:rFonts w:ascii="Times New Roman" w:eastAsia="Times New Roman" w:hAnsi="Times New Roman" w:cs="Times New Roman"/>
      <w:lang w:eastAsia="sl-SI"/>
    </w:rPr>
  </w:style>
  <w:style w:type="character" w:customStyle="1" w:styleId="NoSpacingChar">
    <w:name w:val="No Spacing Char"/>
    <w:aliases w:val="Clips Body Char,No Spacing1 Char,ARTICLE TEXT Char,Medium Grid 21 Char,Spacing Char,ISSUE AREA Char,Nessuna spaziatura Char,SUBHEADING Char,B Char"/>
    <w:link w:val="NoSpacing"/>
    <w:uiPriority w:val="1"/>
    <w:qFormat/>
    <w:locked/>
    <w:rsid w:val="008C3340"/>
    <w:rPr>
      <w:sz w:val="22"/>
      <w:szCs w:val="22"/>
      <w:lang w:eastAsia="en-US"/>
    </w:rPr>
  </w:style>
  <w:style w:type="paragraph" w:customStyle="1" w:styleId="Naslovpredpisa">
    <w:name w:val="Naslov_predpisa"/>
    <w:basedOn w:val="Normal"/>
    <w:link w:val="NaslovpredpisaZnak"/>
    <w:qFormat/>
    <w:rsid w:val="00FD4E8D"/>
    <w:pPr>
      <w:suppressAutoHyphens/>
      <w:overflowPunct w:val="0"/>
      <w:autoSpaceDE w:val="0"/>
      <w:autoSpaceDN w:val="0"/>
      <w:adjustRightInd w:val="0"/>
      <w:spacing w:before="120" w:after="160" w:line="200" w:lineRule="exact"/>
      <w:jc w:val="center"/>
      <w:textAlignment w:val="baseline"/>
    </w:pPr>
    <w:rPr>
      <w:rFonts w:eastAsia="Times New Roman"/>
      <w:b/>
      <w:sz w:val="22"/>
      <w:szCs w:val="22"/>
      <w:lang w:eastAsia="sl-SI"/>
    </w:rPr>
  </w:style>
  <w:style w:type="character" w:customStyle="1" w:styleId="NaslovpredpisaZnak">
    <w:name w:val="Naslov_predpisa Znak"/>
    <w:link w:val="Naslovpredpisa"/>
    <w:rsid w:val="00FD4E8D"/>
    <w:rPr>
      <w:rFonts w:ascii="Arial" w:eastAsia="Times New Roman" w:hAnsi="Arial" w:cs="Arial"/>
      <w:b/>
      <w:sz w:val="22"/>
      <w:szCs w:val="22"/>
    </w:rPr>
  </w:style>
  <w:style w:type="character" w:customStyle="1" w:styleId="fontstyle01">
    <w:name w:val="fontstyle01"/>
    <w:rsid w:val="004A06DD"/>
    <w:rPr>
      <w:rFonts w:ascii="Arial" w:hAnsi="Arial" w:cs="Arial" w:hint="default"/>
      <w:b/>
      <w:bCs/>
      <w:i w:val="0"/>
      <w:iCs w:val="0"/>
      <w:color w:val="000000"/>
      <w:sz w:val="20"/>
      <w:szCs w:val="20"/>
    </w:rPr>
  </w:style>
  <w:style w:type="paragraph" w:styleId="PlainText">
    <w:name w:val="Plain Text"/>
    <w:basedOn w:val="Normal"/>
    <w:link w:val="PlainTextChar"/>
    <w:uiPriority w:val="99"/>
    <w:unhideWhenUsed/>
    <w:rsid w:val="008D0CD2"/>
    <w:pPr>
      <w:jc w:val="left"/>
    </w:pPr>
    <w:rPr>
      <w:rFonts w:ascii="Calibri" w:eastAsia="Calibri" w:hAnsi="Calibri" w:cs="Times New Roman"/>
      <w:sz w:val="22"/>
      <w:szCs w:val="21"/>
    </w:rPr>
  </w:style>
  <w:style w:type="character" w:customStyle="1" w:styleId="PlainTextChar">
    <w:name w:val="Plain Text Char"/>
    <w:link w:val="PlainText"/>
    <w:uiPriority w:val="99"/>
    <w:rsid w:val="008D0CD2"/>
    <w:rPr>
      <w:sz w:val="22"/>
      <w:szCs w:val="21"/>
      <w:lang w:eastAsia="en-US"/>
    </w:rPr>
  </w:style>
  <w:style w:type="paragraph" w:styleId="NormalWeb">
    <w:name w:val="Normal (Web)"/>
    <w:basedOn w:val="Normal"/>
    <w:uiPriority w:val="99"/>
    <w:rsid w:val="00F407C4"/>
    <w:pPr>
      <w:spacing w:before="100" w:beforeAutospacing="1" w:after="100" w:afterAutospacing="1"/>
      <w:jc w:val="left"/>
    </w:pPr>
    <w:rPr>
      <w:rFonts w:ascii="Times New Roman" w:eastAsia="Times New Roman" w:hAnsi="Times New Roman" w:cs="Times New Roman"/>
      <w:lang w:eastAsia="sl-SI"/>
    </w:rPr>
  </w:style>
  <w:style w:type="paragraph" w:customStyle="1" w:styleId="ZADEVA">
    <w:name w:val="ZADEVA"/>
    <w:basedOn w:val="Normal"/>
    <w:qFormat/>
    <w:rsid w:val="00F407C4"/>
    <w:pPr>
      <w:tabs>
        <w:tab w:val="left" w:pos="1701"/>
      </w:tabs>
      <w:spacing w:line="260" w:lineRule="atLeast"/>
      <w:ind w:left="1701" w:hanging="1701"/>
      <w:jc w:val="left"/>
    </w:pPr>
    <w:rPr>
      <w:rFonts w:eastAsia="Times New Roman" w:cs="Times New Roman"/>
      <w:b/>
      <w:sz w:val="20"/>
      <w:lang w:val="it-IT"/>
    </w:rPr>
  </w:style>
  <w:style w:type="character" w:styleId="Strong">
    <w:name w:val="Strong"/>
    <w:qFormat/>
    <w:rsid w:val="00512AD7"/>
    <w:rPr>
      <w:b/>
      <w:bCs/>
    </w:rPr>
  </w:style>
  <w:style w:type="paragraph" w:customStyle="1" w:styleId="P68B1DB1-Navaden3">
    <w:name w:val="P68B1DB1-Navaden3"/>
    <w:basedOn w:val="Normal"/>
    <w:rsid w:val="00335066"/>
    <w:pPr>
      <w:spacing w:after="200" w:line="276" w:lineRule="auto"/>
      <w:jc w:val="left"/>
    </w:pPr>
    <w:rPr>
      <w:rFonts w:ascii="Calibri" w:eastAsia="Calibri" w:hAnsi="Calibri" w:cs="Calibri"/>
      <w:sz w:val="20"/>
      <w:szCs w:val="20"/>
      <w:lang w:eastAsia="sl-SI"/>
    </w:rPr>
  </w:style>
  <w:style w:type="character" w:customStyle="1" w:styleId="gmaildefault">
    <w:name w:val="gmail_default"/>
    <w:rsid w:val="00E04DDA"/>
  </w:style>
  <w:style w:type="paragraph" w:styleId="Revision">
    <w:name w:val="Revision"/>
    <w:hidden/>
    <w:uiPriority w:val="99"/>
    <w:semiHidden/>
    <w:rsid w:val="009E65CC"/>
    <w:rPr>
      <w:rFonts w:ascii="Arial" w:eastAsia="BatangChe" w:hAnsi="Arial" w:cs="Arial"/>
      <w:sz w:val="24"/>
      <w:szCs w:val="24"/>
      <w:lang w:eastAsia="en-US"/>
    </w:rPr>
  </w:style>
  <w:style w:type="paragraph" w:customStyle="1" w:styleId="Heading11">
    <w:name w:val="Heading 11"/>
    <w:basedOn w:val="Normal"/>
    <w:rsid w:val="006C24ED"/>
    <w:pPr>
      <w:numPr>
        <w:numId w:val="6"/>
      </w:numPr>
      <w:jc w:val="left"/>
    </w:pPr>
    <w:rPr>
      <w:rFonts w:eastAsia="Times New Roman" w:cs="Times New Roman"/>
      <w:sz w:val="20"/>
      <w:szCs w:val="22"/>
      <w:lang w:eastAsia="sl-SI"/>
    </w:rPr>
  </w:style>
  <w:style w:type="paragraph" w:customStyle="1" w:styleId="Heading21">
    <w:name w:val="Heading 21"/>
    <w:basedOn w:val="Normal"/>
    <w:rsid w:val="006C24ED"/>
    <w:pPr>
      <w:numPr>
        <w:ilvl w:val="1"/>
        <w:numId w:val="6"/>
      </w:numPr>
      <w:jc w:val="left"/>
    </w:pPr>
    <w:rPr>
      <w:rFonts w:eastAsia="Times New Roman" w:cs="Times New Roman"/>
      <w:sz w:val="20"/>
      <w:szCs w:val="22"/>
      <w:lang w:eastAsia="sl-SI"/>
    </w:rPr>
  </w:style>
  <w:style w:type="paragraph" w:customStyle="1" w:styleId="Heading31">
    <w:name w:val="Heading 31"/>
    <w:basedOn w:val="Normal"/>
    <w:rsid w:val="006C24ED"/>
    <w:pPr>
      <w:numPr>
        <w:ilvl w:val="2"/>
        <w:numId w:val="6"/>
      </w:numPr>
      <w:jc w:val="left"/>
    </w:pPr>
    <w:rPr>
      <w:rFonts w:eastAsia="Times New Roman" w:cs="Times New Roman"/>
      <w:sz w:val="20"/>
      <w:szCs w:val="22"/>
      <w:lang w:eastAsia="sl-SI"/>
    </w:rPr>
  </w:style>
  <w:style w:type="paragraph" w:customStyle="1" w:styleId="Heading41">
    <w:name w:val="Heading 41"/>
    <w:basedOn w:val="Normal"/>
    <w:rsid w:val="006C24ED"/>
    <w:pPr>
      <w:numPr>
        <w:ilvl w:val="3"/>
        <w:numId w:val="6"/>
      </w:numPr>
      <w:jc w:val="left"/>
    </w:pPr>
    <w:rPr>
      <w:rFonts w:eastAsia="Times New Roman" w:cs="Times New Roman"/>
      <w:sz w:val="20"/>
      <w:szCs w:val="22"/>
      <w:lang w:eastAsia="sl-SI"/>
    </w:rPr>
  </w:style>
  <w:style w:type="paragraph" w:customStyle="1" w:styleId="Heading51">
    <w:name w:val="Heading 51"/>
    <w:basedOn w:val="Normal"/>
    <w:rsid w:val="006C24ED"/>
    <w:pPr>
      <w:numPr>
        <w:ilvl w:val="4"/>
        <w:numId w:val="6"/>
      </w:numPr>
      <w:jc w:val="left"/>
    </w:pPr>
    <w:rPr>
      <w:rFonts w:eastAsia="Times New Roman" w:cs="Times New Roman"/>
      <w:sz w:val="20"/>
      <w:szCs w:val="22"/>
      <w:lang w:eastAsia="sl-SI"/>
    </w:rPr>
  </w:style>
  <w:style w:type="paragraph" w:customStyle="1" w:styleId="Heading61">
    <w:name w:val="Heading 61"/>
    <w:basedOn w:val="Normal"/>
    <w:rsid w:val="006C24ED"/>
    <w:pPr>
      <w:numPr>
        <w:ilvl w:val="5"/>
        <w:numId w:val="6"/>
      </w:numPr>
      <w:jc w:val="left"/>
    </w:pPr>
    <w:rPr>
      <w:rFonts w:eastAsia="Times New Roman" w:cs="Times New Roman"/>
      <w:sz w:val="20"/>
      <w:szCs w:val="22"/>
      <w:lang w:eastAsia="sl-SI"/>
    </w:rPr>
  </w:style>
  <w:style w:type="paragraph" w:customStyle="1" w:styleId="Heading71">
    <w:name w:val="Heading 71"/>
    <w:basedOn w:val="Normal"/>
    <w:rsid w:val="006C24ED"/>
    <w:pPr>
      <w:numPr>
        <w:ilvl w:val="6"/>
        <w:numId w:val="6"/>
      </w:numPr>
      <w:jc w:val="left"/>
    </w:pPr>
    <w:rPr>
      <w:rFonts w:eastAsia="Times New Roman" w:cs="Times New Roman"/>
      <w:sz w:val="20"/>
      <w:szCs w:val="22"/>
      <w:lang w:eastAsia="sl-SI"/>
    </w:rPr>
  </w:style>
  <w:style w:type="paragraph" w:customStyle="1" w:styleId="Heading81">
    <w:name w:val="Heading 81"/>
    <w:basedOn w:val="Normal"/>
    <w:rsid w:val="006C24ED"/>
    <w:pPr>
      <w:numPr>
        <w:ilvl w:val="7"/>
        <w:numId w:val="6"/>
      </w:numPr>
      <w:jc w:val="left"/>
    </w:pPr>
    <w:rPr>
      <w:rFonts w:eastAsia="Times New Roman" w:cs="Times New Roman"/>
      <w:sz w:val="20"/>
      <w:szCs w:val="22"/>
      <w:lang w:eastAsia="sl-SI"/>
    </w:rPr>
  </w:style>
  <w:style w:type="paragraph" w:customStyle="1" w:styleId="Heading91">
    <w:name w:val="Heading 91"/>
    <w:basedOn w:val="Normal"/>
    <w:rsid w:val="006C24ED"/>
    <w:pPr>
      <w:numPr>
        <w:ilvl w:val="8"/>
        <w:numId w:val="6"/>
      </w:numPr>
      <w:jc w:val="left"/>
    </w:pPr>
    <w:rPr>
      <w:rFonts w:eastAsia="Times New Roman" w:cs="Times New Roman"/>
      <w:sz w:val="20"/>
      <w:szCs w:val="22"/>
      <w:lang w:eastAsia="sl-SI"/>
    </w:rPr>
  </w:style>
  <w:style w:type="character" w:styleId="FollowedHyperlink">
    <w:name w:val="FollowedHyperlink"/>
    <w:uiPriority w:val="99"/>
    <w:semiHidden/>
    <w:unhideWhenUsed/>
    <w:rsid w:val="00995E5E"/>
    <w:rPr>
      <w:color w:val="954F72"/>
      <w:u w:val="single"/>
    </w:rPr>
  </w:style>
  <w:style w:type="paragraph" w:customStyle="1" w:styleId="Drava">
    <w:name w:val="Država"/>
    <w:basedOn w:val="Normal"/>
    <w:link w:val="DravaZnak"/>
    <w:qFormat/>
    <w:rsid w:val="00EA0D77"/>
    <w:pPr>
      <w:spacing w:line="312" w:lineRule="auto"/>
    </w:pPr>
    <w:rPr>
      <w:rFonts w:eastAsia="Calibri"/>
      <w:b/>
      <w:sz w:val="22"/>
      <w:szCs w:val="20"/>
    </w:rPr>
  </w:style>
  <w:style w:type="character" w:customStyle="1" w:styleId="DravaZnak">
    <w:name w:val="Država Znak"/>
    <w:link w:val="Drava"/>
    <w:rsid w:val="00EA0D77"/>
    <w:rPr>
      <w:rFonts w:ascii="Arial" w:hAnsi="Arial" w:cs="Arial"/>
      <w:b/>
      <w:sz w:val="22"/>
      <w:lang w:eastAsia="en-US"/>
    </w:rPr>
  </w:style>
  <w:style w:type="paragraph" w:customStyle="1" w:styleId="align-justify">
    <w:name w:val="align-justify"/>
    <w:basedOn w:val="Normal"/>
    <w:rsid w:val="00511614"/>
    <w:pPr>
      <w:spacing w:before="100" w:beforeAutospacing="1" w:after="100" w:afterAutospacing="1"/>
      <w:jc w:val="left"/>
    </w:pPr>
    <w:rPr>
      <w:rFonts w:ascii="Times New Roman" w:eastAsia="Times New Roman" w:hAnsi="Times New Roman" w:cs="Times New Roman"/>
      <w:lang w:eastAsia="sl-SI"/>
    </w:rPr>
  </w:style>
  <w:style w:type="table" w:customStyle="1" w:styleId="TableGrid1">
    <w:name w:val="Table Grid1"/>
    <w:basedOn w:val="TableNormal"/>
    <w:next w:val="TableGrid"/>
    <w:uiPriority w:val="39"/>
    <w:rsid w:val="00642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38">
      <w:bodyDiv w:val="1"/>
      <w:marLeft w:val="0"/>
      <w:marRight w:val="0"/>
      <w:marTop w:val="0"/>
      <w:marBottom w:val="0"/>
      <w:divBdr>
        <w:top w:val="none" w:sz="0" w:space="0" w:color="auto"/>
        <w:left w:val="none" w:sz="0" w:space="0" w:color="auto"/>
        <w:bottom w:val="none" w:sz="0" w:space="0" w:color="auto"/>
        <w:right w:val="none" w:sz="0" w:space="0" w:color="auto"/>
      </w:divBdr>
    </w:div>
    <w:div w:id="141704659">
      <w:bodyDiv w:val="1"/>
      <w:marLeft w:val="0"/>
      <w:marRight w:val="0"/>
      <w:marTop w:val="0"/>
      <w:marBottom w:val="0"/>
      <w:divBdr>
        <w:top w:val="none" w:sz="0" w:space="0" w:color="auto"/>
        <w:left w:val="none" w:sz="0" w:space="0" w:color="auto"/>
        <w:bottom w:val="none" w:sz="0" w:space="0" w:color="auto"/>
        <w:right w:val="none" w:sz="0" w:space="0" w:color="auto"/>
      </w:divBdr>
    </w:div>
    <w:div w:id="247269869">
      <w:bodyDiv w:val="1"/>
      <w:marLeft w:val="0"/>
      <w:marRight w:val="0"/>
      <w:marTop w:val="0"/>
      <w:marBottom w:val="0"/>
      <w:divBdr>
        <w:top w:val="none" w:sz="0" w:space="0" w:color="auto"/>
        <w:left w:val="none" w:sz="0" w:space="0" w:color="auto"/>
        <w:bottom w:val="none" w:sz="0" w:space="0" w:color="auto"/>
        <w:right w:val="none" w:sz="0" w:space="0" w:color="auto"/>
      </w:divBdr>
    </w:div>
    <w:div w:id="258414048">
      <w:bodyDiv w:val="1"/>
      <w:marLeft w:val="0"/>
      <w:marRight w:val="0"/>
      <w:marTop w:val="0"/>
      <w:marBottom w:val="0"/>
      <w:divBdr>
        <w:top w:val="none" w:sz="0" w:space="0" w:color="auto"/>
        <w:left w:val="none" w:sz="0" w:space="0" w:color="auto"/>
        <w:bottom w:val="none" w:sz="0" w:space="0" w:color="auto"/>
        <w:right w:val="none" w:sz="0" w:space="0" w:color="auto"/>
      </w:divBdr>
    </w:div>
    <w:div w:id="302585097">
      <w:bodyDiv w:val="1"/>
      <w:marLeft w:val="0"/>
      <w:marRight w:val="0"/>
      <w:marTop w:val="0"/>
      <w:marBottom w:val="0"/>
      <w:divBdr>
        <w:top w:val="none" w:sz="0" w:space="0" w:color="auto"/>
        <w:left w:val="none" w:sz="0" w:space="0" w:color="auto"/>
        <w:bottom w:val="none" w:sz="0" w:space="0" w:color="auto"/>
        <w:right w:val="none" w:sz="0" w:space="0" w:color="auto"/>
      </w:divBdr>
      <w:divsChild>
        <w:div w:id="1278023425">
          <w:marLeft w:val="0"/>
          <w:marRight w:val="0"/>
          <w:marTop w:val="0"/>
          <w:marBottom w:val="0"/>
          <w:divBdr>
            <w:top w:val="none" w:sz="0" w:space="0" w:color="auto"/>
            <w:left w:val="none" w:sz="0" w:space="0" w:color="auto"/>
            <w:bottom w:val="none" w:sz="0" w:space="0" w:color="auto"/>
            <w:right w:val="none" w:sz="0" w:space="0" w:color="auto"/>
          </w:divBdr>
          <w:divsChild>
            <w:div w:id="347294493">
              <w:marLeft w:val="0"/>
              <w:marRight w:val="0"/>
              <w:marTop w:val="0"/>
              <w:marBottom w:val="0"/>
              <w:divBdr>
                <w:top w:val="none" w:sz="0" w:space="0" w:color="auto"/>
                <w:left w:val="none" w:sz="0" w:space="0" w:color="auto"/>
                <w:bottom w:val="none" w:sz="0" w:space="0" w:color="auto"/>
                <w:right w:val="none" w:sz="0" w:space="0" w:color="auto"/>
              </w:divBdr>
            </w:div>
            <w:div w:id="413161063">
              <w:marLeft w:val="0"/>
              <w:marRight w:val="0"/>
              <w:marTop w:val="0"/>
              <w:marBottom w:val="0"/>
              <w:divBdr>
                <w:top w:val="none" w:sz="0" w:space="0" w:color="auto"/>
                <w:left w:val="none" w:sz="0" w:space="0" w:color="auto"/>
                <w:bottom w:val="none" w:sz="0" w:space="0" w:color="auto"/>
                <w:right w:val="none" w:sz="0" w:space="0" w:color="auto"/>
              </w:divBdr>
            </w:div>
            <w:div w:id="609239851">
              <w:marLeft w:val="0"/>
              <w:marRight w:val="0"/>
              <w:marTop w:val="0"/>
              <w:marBottom w:val="0"/>
              <w:divBdr>
                <w:top w:val="none" w:sz="0" w:space="0" w:color="auto"/>
                <w:left w:val="none" w:sz="0" w:space="0" w:color="auto"/>
                <w:bottom w:val="none" w:sz="0" w:space="0" w:color="auto"/>
                <w:right w:val="none" w:sz="0" w:space="0" w:color="auto"/>
              </w:divBdr>
            </w:div>
            <w:div w:id="773287719">
              <w:marLeft w:val="0"/>
              <w:marRight w:val="0"/>
              <w:marTop w:val="0"/>
              <w:marBottom w:val="0"/>
              <w:divBdr>
                <w:top w:val="none" w:sz="0" w:space="0" w:color="auto"/>
                <w:left w:val="none" w:sz="0" w:space="0" w:color="auto"/>
                <w:bottom w:val="none" w:sz="0" w:space="0" w:color="auto"/>
                <w:right w:val="none" w:sz="0" w:space="0" w:color="auto"/>
              </w:divBdr>
            </w:div>
            <w:div w:id="839781708">
              <w:marLeft w:val="0"/>
              <w:marRight w:val="0"/>
              <w:marTop w:val="0"/>
              <w:marBottom w:val="0"/>
              <w:divBdr>
                <w:top w:val="none" w:sz="0" w:space="0" w:color="auto"/>
                <w:left w:val="none" w:sz="0" w:space="0" w:color="auto"/>
                <w:bottom w:val="none" w:sz="0" w:space="0" w:color="auto"/>
                <w:right w:val="none" w:sz="0" w:space="0" w:color="auto"/>
              </w:divBdr>
            </w:div>
            <w:div w:id="881137186">
              <w:marLeft w:val="0"/>
              <w:marRight w:val="0"/>
              <w:marTop w:val="0"/>
              <w:marBottom w:val="0"/>
              <w:divBdr>
                <w:top w:val="none" w:sz="0" w:space="0" w:color="auto"/>
                <w:left w:val="none" w:sz="0" w:space="0" w:color="auto"/>
                <w:bottom w:val="none" w:sz="0" w:space="0" w:color="auto"/>
                <w:right w:val="none" w:sz="0" w:space="0" w:color="auto"/>
              </w:divBdr>
            </w:div>
            <w:div w:id="1094205046">
              <w:marLeft w:val="0"/>
              <w:marRight w:val="0"/>
              <w:marTop w:val="0"/>
              <w:marBottom w:val="0"/>
              <w:divBdr>
                <w:top w:val="none" w:sz="0" w:space="0" w:color="auto"/>
                <w:left w:val="none" w:sz="0" w:space="0" w:color="auto"/>
                <w:bottom w:val="none" w:sz="0" w:space="0" w:color="auto"/>
                <w:right w:val="none" w:sz="0" w:space="0" w:color="auto"/>
              </w:divBdr>
            </w:div>
            <w:div w:id="1444809670">
              <w:marLeft w:val="0"/>
              <w:marRight w:val="0"/>
              <w:marTop w:val="0"/>
              <w:marBottom w:val="0"/>
              <w:divBdr>
                <w:top w:val="none" w:sz="0" w:space="0" w:color="auto"/>
                <w:left w:val="none" w:sz="0" w:space="0" w:color="auto"/>
                <w:bottom w:val="none" w:sz="0" w:space="0" w:color="auto"/>
                <w:right w:val="none" w:sz="0" w:space="0" w:color="auto"/>
              </w:divBdr>
            </w:div>
            <w:div w:id="182500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0364">
      <w:bodyDiv w:val="1"/>
      <w:marLeft w:val="0"/>
      <w:marRight w:val="0"/>
      <w:marTop w:val="0"/>
      <w:marBottom w:val="0"/>
      <w:divBdr>
        <w:top w:val="none" w:sz="0" w:space="0" w:color="auto"/>
        <w:left w:val="none" w:sz="0" w:space="0" w:color="auto"/>
        <w:bottom w:val="none" w:sz="0" w:space="0" w:color="auto"/>
        <w:right w:val="none" w:sz="0" w:space="0" w:color="auto"/>
      </w:divBdr>
    </w:div>
    <w:div w:id="433551694">
      <w:bodyDiv w:val="1"/>
      <w:marLeft w:val="0"/>
      <w:marRight w:val="0"/>
      <w:marTop w:val="0"/>
      <w:marBottom w:val="0"/>
      <w:divBdr>
        <w:top w:val="none" w:sz="0" w:space="0" w:color="auto"/>
        <w:left w:val="none" w:sz="0" w:space="0" w:color="auto"/>
        <w:bottom w:val="none" w:sz="0" w:space="0" w:color="auto"/>
        <w:right w:val="none" w:sz="0" w:space="0" w:color="auto"/>
      </w:divBdr>
    </w:div>
    <w:div w:id="455757186">
      <w:bodyDiv w:val="1"/>
      <w:marLeft w:val="0"/>
      <w:marRight w:val="0"/>
      <w:marTop w:val="0"/>
      <w:marBottom w:val="0"/>
      <w:divBdr>
        <w:top w:val="none" w:sz="0" w:space="0" w:color="auto"/>
        <w:left w:val="none" w:sz="0" w:space="0" w:color="auto"/>
        <w:bottom w:val="none" w:sz="0" w:space="0" w:color="auto"/>
        <w:right w:val="none" w:sz="0" w:space="0" w:color="auto"/>
      </w:divBdr>
    </w:div>
    <w:div w:id="464203062">
      <w:bodyDiv w:val="1"/>
      <w:marLeft w:val="0"/>
      <w:marRight w:val="0"/>
      <w:marTop w:val="0"/>
      <w:marBottom w:val="0"/>
      <w:divBdr>
        <w:top w:val="none" w:sz="0" w:space="0" w:color="auto"/>
        <w:left w:val="none" w:sz="0" w:space="0" w:color="auto"/>
        <w:bottom w:val="none" w:sz="0" w:space="0" w:color="auto"/>
        <w:right w:val="none" w:sz="0" w:space="0" w:color="auto"/>
      </w:divBdr>
    </w:div>
    <w:div w:id="720710676">
      <w:bodyDiv w:val="1"/>
      <w:marLeft w:val="0"/>
      <w:marRight w:val="0"/>
      <w:marTop w:val="0"/>
      <w:marBottom w:val="0"/>
      <w:divBdr>
        <w:top w:val="none" w:sz="0" w:space="0" w:color="auto"/>
        <w:left w:val="none" w:sz="0" w:space="0" w:color="auto"/>
        <w:bottom w:val="none" w:sz="0" w:space="0" w:color="auto"/>
        <w:right w:val="none" w:sz="0" w:space="0" w:color="auto"/>
      </w:divBdr>
    </w:div>
    <w:div w:id="741413951">
      <w:bodyDiv w:val="1"/>
      <w:marLeft w:val="0"/>
      <w:marRight w:val="0"/>
      <w:marTop w:val="0"/>
      <w:marBottom w:val="0"/>
      <w:divBdr>
        <w:top w:val="none" w:sz="0" w:space="0" w:color="auto"/>
        <w:left w:val="none" w:sz="0" w:space="0" w:color="auto"/>
        <w:bottom w:val="none" w:sz="0" w:space="0" w:color="auto"/>
        <w:right w:val="none" w:sz="0" w:space="0" w:color="auto"/>
      </w:divBdr>
    </w:div>
    <w:div w:id="771125076">
      <w:bodyDiv w:val="1"/>
      <w:marLeft w:val="0"/>
      <w:marRight w:val="0"/>
      <w:marTop w:val="0"/>
      <w:marBottom w:val="0"/>
      <w:divBdr>
        <w:top w:val="none" w:sz="0" w:space="0" w:color="auto"/>
        <w:left w:val="none" w:sz="0" w:space="0" w:color="auto"/>
        <w:bottom w:val="none" w:sz="0" w:space="0" w:color="auto"/>
        <w:right w:val="none" w:sz="0" w:space="0" w:color="auto"/>
      </w:divBdr>
    </w:div>
    <w:div w:id="903688104">
      <w:bodyDiv w:val="1"/>
      <w:marLeft w:val="0"/>
      <w:marRight w:val="0"/>
      <w:marTop w:val="0"/>
      <w:marBottom w:val="0"/>
      <w:divBdr>
        <w:top w:val="none" w:sz="0" w:space="0" w:color="auto"/>
        <w:left w:val="none" w:sz="0" w:space="0" w:color="auto"/>
        <w:bottom w:val="none" w:sz="0" w:space="0" w:color="auto"/>
        <w:right w:val="none" w:sz="0" w:space="0" w:color="auto"/>
      </w:divBdr>
    </w:div>
    <w:div w:id="952204081">
      <w:bodyDiv w:val="1"/>
      <w:marLeft w:val="0"/>
      <w:marRight w:val="0"/>
      <w:marTop w:val="0"/>
      <w:marBottom w:val="0"/>
      <w:divBdr>
        <w:top w:val="none" w:sz="0" w:space="0" w:color="auto"/>
        <w:left w:val="none" w:sz="0" w:space="0" w:color="auto"/>
        <w:bottom w:val="none" w:sz="0" w:space="0" w:color="auto"/>
        <w:right w:val="none" w:sz="0" w:space="0" w:color="auto"/>
      </w:divBdr>
    </w:div>
    <w:div w:id="961031613">
      <w:bodyDiv w:val="1"/>
      <w:marLeft w:val="0"/>
      <w:marRight w:val="0"/>
      <w:marTop w:val="0"/>
      <w:marBottom w:val="0"/>
      <w:divBdr>
        <w:top w:val="none" w:sz="0" w:space="0" w:color="auto"/>
        <w:left w:val="none" w:sz="0" w:space="0" w:color="auto"/>
        <w:bottom w:val="none" w:sz="0" w:space="0" w:color="auto"/>
        <w:right w:val="none" w:sz="0" w:space="0" w:color="auto"/>
      </w:divBdr>
    </w:div>
    <w:div w:id="977229144">
      <w:bodyDiv w:val="1"/>
      <w:marLeft w:val="0"/>
      <w:marRight w:val="0"/>
      <w:marTop w:val="0"/>
      <w:marBottom w:val="0"/>
      <w:divBdr>
        <w:top w:val="none" w:sz="0" w:space="0" w:color="auto"/>
        <w:left w:val="none" w:sz="0" w:space="0" w:color="auto"/>
        <w:bottom w:val="none" w:sz="0" w:space="0" w:color="auto"/>
        <w:right w:val="none" w:sz="0" w:space="0" w:color="auto"/>
      </w:divBdr>
    </w:div>
    <w:div w:id="1005715885">
      <w:bodyDiv w:val="1"/>
      <w:marLeft w:val="0"/>
      <w:marRight w:val="0"/>
      <w:marTop w:val="0"/>
      <w:marBottom w:val="0"/>
      <w:divBdr>
        <w:top w:val="none" w:sz="0" w:space="0" w:color="auto"/>
        <w:left w:val="none" w:sz="0" w:space="0" w:color="auto"/>
        <w:bottom w:val="none" w:sz="0" w:space="0" w:color="auto"/>
        <w:right w:val="none" w:sz="0" w:space="0" w:color="auto"/>
      </w:divBdr>
    </w:div>
    <w:div w:id="1120034556">
      <w:bodyDiv w:val="1"/>
      <w:marLeft w:val="0"/>
      <w:marRight w:val="0"/>
      <w:marTop w:val="0"/>
      <w:marBottom w:val="0"/>
      <w:divBdr>
        <w:top w:val="none" w:sz="0" w:space="0" w:color="auto"/>
        <w:left w:val="none" w:sz="0" w:space="0" w:color="auto"/>
        <w:bottom w:val="none" w:sz="0" w:space="0" w:color="auto"/>
        <w:right w:val="none" w:sz="0" w:space="0" w:color="auto"/>
      </w:divBdr>
    </w:div>
    <w:div w:id="1172792878">
      <w:bodyDiv w:val="1"/>
      <w:marLeft w:val="0"/>
      <w:marRight w:val="0"/>
      <w:marTop w:val="0"/>
      <w:marBottom w:val="0"/>
      <w:divBdr>
        <w:top w:val="none" w:sz="0" w:space="0" w:color="auto"/>
        <w:left w:val="none" w:sz="0" w:space="0" w:color="auto"/>
        <w:bottom w:val="none" w:sz="0" w:space="0" w:color="auto"/>
        <w:right w:val="none" w:sz="0" w:space="0" w:color="auto"/>
      </w:divBdr>
    </w:div>
    <w:div w:id="1223367981">
      <w:bodyDiv w:val="1"/>
      <w:marLeft w:val="0"/>
      <w:marRight w:val="0"/>
      <w:marTop w:val="0"/>
      <w:marBottom w:val="0"/>
      <w:divBdr>
        <w:top w:val="none" w:sz="0" w:space="0" w:color="auto"/>
        <w:left w:val="none" w:sz="0" w:space="0" w:color="auto"/>
        <w:bottom w:val="none" w:sz="0" w:space="0" w:color="auto"/>
        <w:right w:val="none" w:sz="0" w:space="0" w:color="auto"/>
      </w:divBdr>
    </w:div>
    <w:div w:id="1235969484">
      <w:bodyDiv w:val="1"/>
      <w:marLeft w:val="0"/>
      <w:marRight w:val="0"/>
      <w:marTop w:val="0"/>
      <w:marBottom w:val="0"/>
      <w:divBdr>
        <w:top w:val="none" w:sz="0" w:space="0" w:color="auto"/>
        <w:left w:val="none" w:sz="0" w:space="0" w:color="auto"/>
        <w:bottom w:val="none" w:sz="0" w:space="0" w:color="auto"/>
        <w:right w:val="none" w:sz="0" w:space="0" w:color="auto"/>
      </w:divBdr>
    </w:div>
    <w:div w:id="1237130084">
      <w:bodyDiv w:val="1"/>
      <w:marLeft w:val="0"/>
      <w:marRight w:val="0"/>
      <w:marTop w:val="0"/>
      <w:marBottom w:val="0"/>
      <w:divBdr>
        <w:top w:val="none" w:sz="0" w:space="0" w:color="auto"/>
        <w:left w:val="none" w:sz="0" w:space="0" w:color="auto"/>
        <w:bottom w:val="none" w:sz="0" w:space="0" w:color="auto"/>
        <w:right w:val="none" w:sz="0" w:space="0" w:color="auto"/>
      </w:divBdr>
      <w:divsChild>
        <w:div w:id="40981488">
          <w:marLeft w:val="0"/>
          <w:marRight w:val="0"/>
          <w:marTop w:val="0"/>
          <w:marBottom w:val="0"/>
          <w:divBdr>
            <w:top w:val="none" w:sz="0" w:space="0" w:color="auto"/>
            <w:left w:val="none" w:sz="0" w:space="0" w:color="auto"/>
            <w:bottom w:val="none" w:sz="0" w:space="0" w:color="auto"/>
            <w:right w:val="none" w:sz="0" w:space="0" w:color="auto"/>
          </w:divBdr>
          <w:divsChild>
            <w:div w:id="4499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733004">
      <w:bodyDiv w:val="1"/>
      <w:marLeft w:val="0"/>
      <w:marRight w:val="0"/>
      <w:marTop w:val="0"/>
      <w:marBottom w:val="0"/>
      <w:divBdr>
        <w:top w:val="none" w:sz="0" w:space="0" w:color="auto"/>
        <w:left w:val="none" w:sz="0" w:space="0" w:color="auto"/>
        <w:bottom w:val="none" w:sz="0" w:space="0" w:color="auto"/>
        <w:right w:val="none" w:sz="0" w:space="0" w:color="auto"/>
      </w:divBdr>
    </w:div>
    <w:div w:id="1309169295">
      <w:bodyDiv w:val="1"/>
      <w:marLeft w:val="0"/>
      <w:marRight w:val="0"/>
      <w:marTop w:val="0"/>
      <w:marBottom w:val="0"/>
      <w:divBdr>
        <w:top w:val="none" w:sz="0" w:space="0" w:color="auto"/>
        <w:left w:val="none" w:sz="0" w:space="0" w:color="auto"/>
        <w:bottom w:val="none" w:sz="0" w:space="0" w:color="auto"/>
        <w:right w:val="none" w:sz="0" w:space="0" w:color="auto"/>
      </w:divBdr>
    </w:div>
    <w:div w:id="1356156148">
      <w:bodyDiv w:val="1"/>
      <w:marLeft w:val="0"/>
      <w:marRight w:val="0"/>
      <w:marTop w:val="0"/>
      <w:marBottom w:val="0"/>
      <w:divBdr>
        <w:top w:val="none" w:sz="0" w:space="0" w:color="auto"/>
        <w:left w:val="none" w:sz="0" w:space="0" w:color="auto"/>
        <w:bottom w:val="none" w:sz="0" w:space="0" w:color="auto"/>
        <w:right w:val="none" w:sz="0" w:space="0" w:color="auto"/>
      </w:divBdr>
    </w:div>
    <w:div w:id="1523125390">
      <w:bodyDiv w:val="1"/>
      <w:marLeft w:val="0"/>
      <w:marRight w:val="0"/>
      <w:marTop w:val="0"/>
      <w:marBottom w:val="0"/>
      <w:divBdr>
        <w:top w:val="none" w:sz="0" w:space="0" w:color="auto"/>
        <w:left w:val="none" w:sz="0" w:space="0" w:color="auto"/>
        <w:bottom w:val="none" w:sz="0" w:space="0" w:color="auto"/>
        <w:right w:val="none" w:sz="0" w:space="0" w:color="auto"/>
      </w:divBdr>
    </w:div>
    <w:div w:id="1536844743">
      <w:bodyDiv w:val="1"/>
      <w:marLeft w:val="0"/>
      <w:marRight w:val="0"/>
      <w:marTop w:val="0"/>
      <w:marBottom w:val="0"/>
      <w:divBdr>
        <w:top w:val="none" w:sz="0" w:space="0" w:color="auto"/>
        <w:left w:val="none" w:sz="0" w:space="0" w:color="auto"/>
        <w:bottom w:val="none" w:sz="0" w:space="0" w:color="auto"/>
        <w:right w:val="none" w:sz="0" w:space="0" w:color="auto"/>
      </w:divBdr>
    </w:div>
    <w:div w:id="1570505626">
      <w:bodyDiv w:val="1"/>
      <w:marLeft w:val="0"/>
      <w:marRight w:val="0"/>
      <w:marTop w:val="0"/>
      <w:marBottom w:val="0"/>
      <w:divBdr>
        <w:top w:val="none" w:sz="0" w:space="0" w:color="auto"/>
        <w:left w:val="none" w:sz="0" w:space="0" w:color="auto"/>
        <w:bottom w:val="none" w:sz="0" w:space="0" w:color="auto"/>
        <w:right w:val="none" w:sz="0" w:space="0" w:color="auto"/>
      </w:divBdr>
    </w:div>
    <w:div w:id="1711496799">
      <w:bodyDiv w:val="1"/>
      <w:marLeft w:val="0"/>
      <w:marRight w:val="0"/>
      <w:marTop w:val="0"/>
      <w:marBottom w:val="0"/>
      <w:divBdr>
        <w:top w:val="none" w:sz="0" w:space="0" w:color="auto"/>
        <w:left w:val="none" w:sz="0" w:space="0" w:color="auto"/>
        <w:bottom w:val="none" w:sz="0" w:space="0" w:color="auto"/>
        <w:right w:val="none" w:sz="0" w:space="0" w:color="auto"/>
      </w:divBdr>
    </w:div>
    <w:div w:id="1749308644">
      <w:bodyDiv w:val="1"/>
      <w:marLeft w:val="0"/>
      <w:marRight w:val="0"/>
      <w:marTop w:val="0"/>
      <w:marBottom w:val="0"/>
      <w:divBdr>
        <w:top w:val="none" w:sz="0" w:space="0" w:color="auto"/>
        <w:left w:val="none" w:sz="0" w:space="0" w:color="auto"/>
        <w:bottom w:val="none" w:sz="0" w:space="0" w:color="auto"/>
        <w:right w:val="none" w:sz="0" w:space="0" w:color="auto"/>
      </w:divBdr>
    </w:div>
    <w:div w:id="1756896486">
      <w:bodyDiv w:val="1"/>
      <w:marLeft w:val="0"/>
      <w:marRight w:val="0"/>
      <w:marTop w:val="0"/>
      <w:marBottom w:val="0"/>
      <w:divBdr>
        <w:top w:val="none" w:sz="0" w:space="0" w:color="auto"/>
        <w:left w:val="none" w:sz="0" w:space="0" w:color="auto"/>
        <w:bottom w:val="none" w:sz="0" w:space="0" w:color="auto"/>
        <w:right w:val="none" w:sz="0" w:space="0" w:color="auto"/>
      </w:divBdr>
    </w:div>
    <w:div w:id="1942570033">
      <w:bodyDiv w:val="1"/>
      <w:marLeft w:val="0"/>
      <w:marRight w:val="0"/>
      <w:marTop w:val="0"/>
      <w:marBottom w:val="0"/>
      <w:divBdr>
        <w:top w:val="none" w:sz="0" w:space="0" w:color="auto"/>
        <w:left w:val="none" w:sz="0" w:space="0" w:color="auto"/>
        <w:bottom w:val="none" w:sz="0" w:space="0" w:color="auto"/>
        <w:right w:val="none" w:sz="0" w:space="0" w:color="auto"/>
      </w:divBdr>
    </w:div>
    <w:div w:id="1992519458">
      <w:bodyDiv w:val="1"/>
      <w:marLeft w:val="0"/>
      <w:marRight w:val="0"/>
      <w:marTop w:val="0"/>
      <w:marBottom w:val="0"/>
      <w:divBdr>
        <w:top w:val="none" w:sz="0" w:space="0" w:color="auto"/>
        <w:left w:val="none" w:sz="0" w:space="0" w:color="auto"/>
        <w:bottom w:val="none" w:sz="0" w:space="0" w:color="auto"/>
        <w:right w:val="none" w:sz="0" w:space="0" w:color="auto"/>
      </w:divBdr>
    </w:div>
    <w:div w:id="20797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adriatic-ionian.eu/wp-content/uploads/2025/05/EUSAIR-Action-Plan_SWD2025-114-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7D425-960F-47AF-943B-7638B3118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25095</Words>
  <Characters>143042</Characters>
  <Application>Microsoft Office Word</Application>
  <DocSecurity>0</DocSecurity>
  <Lines>1192</Lines>
  <Paragraphs>335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167802</CharactersWithSpaces>
  <SharedDoc>false</SharedDoc>
  <HLinks>
    <vt:vector size="204" baseType="variant">
      <vt:variant>
        <vt:i4>1638462</vt:i4>
      </vt:variant>
      <vt:variant>
        <vt:i4>194</vt:i4>
      </vt:variant>
      <vt:variant>
        <vt:i4>0</vt:i4>
      </vt:variant>
      <vt:variant>
        <vt:i4>5</vt:i4>
      </vt:variant>
      <vt:variant>
        <vt:lpwstr/>
      </vt:variant>
      <vt:variant>
        <vt:lpwstr>_Toc227227991</vt:lpwstr>
      </vt:variant>
      <vt:variant>
        <vt:i4>1638462</vt:i4>
      </vt:variant>
      <vt:variant>
        <vt:i4>188</vt:i4>
      </vt:variant>
      <vt:variant>
        <vt:i4>0</vt:i4>
      </vt:variant>
      <vt:variant>
        <vt:i4>5</vt:i4>
      </vt:variant>
      <vt:variant>
        <vt:lpwstr/>
      </vt:variant>
      <vt:variant>
        <vt:lpwstr>_Toc227227990</vt:lpwstr>
      </vt:variant>
      <vt:variant>
        <vt:i4>1572926</vt:i4>
      </vt:variant>
      <vt:variant>
        <vt:i4>182</vt:i4>
      </vt:variant>
      <vt:variant>
        <vt:i4>0</vt:i4>
      </vt:variant>
      <vt:variant>
        <vt:i4>5</vt:i4>
      </vt:variant>
      <vt:variant>
        <vt:lpwstr/>
      </vt:variant>
      <vt:variant>
        <vt:lpwstr>_Toc227227989</vt:lpwstr>
      </vt:variant>
      <vt:variant>
        <vt:i4>1572926</vt:i4>
      </vt:variant>
      <vt:variant>
        <vt:i4>176</vt:i4>
      </vt:variant>
      <vt:variant>
        <vt:i4>0</vt:i4>
      </vt:variant>
      <vt:variant>
        <vt:i4>5</vt:i4>
      </vt:variant>
      <vt:variant>
        <vt:lpwstr/>
      </vt:variant>
      <vt:variant>
        <vt:lpwstr>_Toc227227988</vt:lpwstr>
      </vt:variant>
      <vt:variant>
        <vt:i4>1572926</vt:i4>
      </vt:variant>
      <vt:variant>
        <vt:i4>170</vt:i4>
      </vt:variant>
      <vt:variant>
        <vt:i4>0</vt:i4>
      </vt:variant>
      <vt:variant>
        <vt:i4>5</vt:i4>
      </vt:variant>
      <vt:variant>
        <vt:lpwstr/>
      </vt:variant>
      <vt:variant>
        <vt:lpwstr>_Toc227227987</vt:lpwstr>
      </vt:variant>
      <vt:variant>
        <vt:i4>1572926</vt:i4>
      </vt:variant>
      <vt:variant>
        <vt:i4>164</vt:i4>
      </vt:variant>
      <vt:variant>
        <vt:i4>0</vt:i4>
      </vt:variant>
      <vt:variant>
        <vt:i4>5</vt:i4>
      </vt:variant>
      <vt:variant>
        <vt:lpwstr/>
      </vt:variant>
      <vt:variant>
        <vt:lpwstr>_Toc227227986</vt:lpwstr>
      </vt:variant>
      <vt:variant>
        <vt:i4>1572926</vt:i4>
      </vt:variant>
      <vt:variant>
        <vt:i4>158</vt:i4>
      </vt:variant>
      <vt:variant>
        <vt:i4>0</vt:i4>
      </vt:variant>
      <vt:variant>
        <vt:i4>5</vt:i4>
      </vt:variant>
      <vt:variant>
        <vt:lpwstr/>
      </vt:variant>
      <vt:variant>
        <vt:lpwstr>_Toc227227985</vt:lpwstr>
      </vt:variant>
      <vt:variant>
        <vt:i4>1572926</vt:i4>
      </vt:variant>
      <vt:variant>
        <vt:i4>152</vt:i4>
      </vt:variant>
      <vt:variant>
        <vt:i4>0</vt:i4>
      </vt:variant>
      <vt:variant>
        <vt:i4>5</vt:i4>
      </vt:variant>
      <vt:variant>
        <vt:lpwstr/>
      </vt:variant>
      <vt:variant>
        <vt:lpwstr>_Toc227227984</vt:lpwstr>
      </vt:variant>
      <vt:variant>
        <vt:i4>1572926</vt:i4>
      </vt:variant>
      <vt:variant>
        <vt:i4>146</vt:i4>
      </vt:variant>
      <vt:variant>
        <vt:i4>0</vt:i4>
      </vt:variant>
      <vt:variant>
        <vt:i4>5</vt:i4>
      </vt:variant>
      <vt:variant>
        <vt:lpwstr/>
      </vt:variant>
      <vt:variant>
        <vt:lpwstr>_Toc227227983</vt:lpwstr>
      </vt:variant>
      <vt:variant>
        <vt:i4>1572926</vt:i4>
      </vt:variant>
      <vt:variant>
        <vt:i4>140</vt:i4>
      </vt:variant>
      <vt:variant>
        <vt:i4>0</vt:i4>
      </vt:variant>
      <vt:variant>
        <vt:i4>5</vt:i4>
      </vt:variant>
      <vt:variant>
        <vt:lpwstr/>
      </vt:variant>
      <vt:variant>
        <vt:lpwstr>_Toc227227982</vt:lpwstr>
      </vt:variant>
      <vt:variant>
        <vt:i4>1572926</vt:i4>
      </vt:variant>
      <vt:variant>
        <vt:i4>134</vt:i4>
      </vt:variant>
      <vt:variant>
        <vt:i4>0</vt:i4>
      </vt:variant>
      <vt:variant>
        <vt:i4>5</vt:i4>
      </vt:variant>
      <vt:variant>
        <vt:lpwstr/>
      </vt:variant>
      <vt:variant>
        <vt:lpwstr>_Toc227227981</vt:lpwstr>
      </vt:variant>
      <vt:variant>
        <vt:i4>1572926</vt:i4>
      </vt:variant>
      <vt:variant>
        <vt:i4>128</vt:i4>
      </vt:variant>
      <vt:variant>
        <vt:i4>0</vt:i4>
      </vt:variant>
      <vt:variant>
        <vt:i4>5</vt:i4>
      </vt:variant>
      <vt:variant>
        <vt:lpwstr/>
      </vt:variant>
      <vt:variant>
        <vt:lpwstr>_Toc227227980</vt:lpwstr>
      </vt:variant>
      <vt:variant>
        <vt:i4>1507390</vt:i4>
      </vt:variant>
      <vt:variant>
        <vt:i4>122</vt:i4>
      </vt:variant>
      <vt:variant>
        <vt:i4>0</vt:i4>
      </vt:variant>
      <vt:variant>
        <vt:i4>5</vt:i4>
      </vt:variant>
      <vt:variant>
        <vt:lpwstr/>
      </vt:variant>
      <vt:variant>
        <vt:lpwstr>_Toc227227979</vt:lpwstr>
      </vt:variant>
      <vt:variant>
        <vt:i4>1507390</vt:i4>
      </vt:variant>
      <vt:variant>
        <vt:i4>116</vt:i4>
      </vt:variant>
      <vt:variant>
        <vt:i4>0</vt:i4>
      </vt:variant>
      <vt:variant>
        <vt:i4>5</vt:i4>
      </vt:variant>
      <vt:variant>
        <vt:lpwstr/>
      </vt:variant>
      <vt:variant>
        <vt:lpwstr>_Toc227227978</vt:lpwstr>
      </vt:variant>
      <vt:variant>
        <vt:i4>1507390</vt:i4>
      </vt:variant>
      <vt:variant>
        <vt:i4>110</vt:i4>
      </vt:variant>
      <vt:variant>
        <vt:i4>0</vt:i4>
      </vt:variant>
      <vt:variant>
        <vt:i4>5</vt:i4>
      </vt:variant>
      <vt:variant>
        <vt:lpwstr/>
      </vt:variant>
      <vt:variant>
        <vt:lpwstr>_Toc227227977</vt:lpwstr>
      </vt:variant>
      <vt:variant>
        <vt:i4>1507390</vt:i4>
      </vt:variant>
      <vt:variant>
        <vt:i4>104</vt:i4>
      </vt:variant>
      <vt:variant>
        <vt:i4>0</vt:i4>
      </vt:variant>
      <vt:variant>
        <vt:i4>5</vt:i4>
      </vt:variant>
      <vt:variant>
        <vt:lpwstr/>
      </vt:variant>
      <vt:variant>
        <vt:lpwstr>_Toc227227976</vt:lpwstr>
      </vt:variant>
      <vt:variant>
        <vt:i4>1507390</vt:i4>
      </vt:variant>
      <vt:variant>
        <vt:i4>98</vt:i4>
      </vt:variant>
      <vt:variant>
        <vt:i4>0</vt:i4>
      </vt:variant>
      <vt:variant>
        <vt:i4>5</vt:i4>
      </vt:variant>
      <vt:variant>
        <vt:lpwstr/>
      </vt:variant>
      <vt:variant>
        <vt:lpwstr>_Toc227227975</vt:lpwstr>
      </vt:variant>
      <vt:variant>
        <vt:i4>1507390</vt:i4>
      </vt:variant>
      <vt:variant>
        <vt:i4>92</vt:i4>
      </vt:variant>
      <vt:variant>
        <vt:i4>0</vt:i4>
      </vt:variant>
      <vt:variant>
        <vt:i4>5</vt:i4>
      </vt:variant>
      <vt:variant>
        <vt:lpwstr/>
      </vt:variant>
      <vt:variant>
        <vt:lpwstr>_Toc227227974</vt:lpwstr>
      </vt:variant>
      <vt:variant>
        <vt:i4>1507390</vt:i4>
      </vt:variant>
      <vt:variant>
        <vt:i4>86</vt:i4>
      </vt:variant>
      <vt:variant>
        <vt:i4>0</vt:i4>
      </vt:variant>
      <vt:variant>
        <vt:i4>5</vt:i4>
      </vt:variant>
      <vt:variant>
        <vt:lpwstr/>
      </vt:variant>
      <vt:variant>
        <vt:lpwstr>_Toc227227973</vt:lpwstr>
      </vt:variant>
      <vt:variant>
        <vt:i4>1507390</vt:i4>
      </vt:variant>
      <vt:variant>
        <vt:i4>80</vt:i4>
      </vt:variant>
      <vt:variant>
        <vt:i4>0</vt:i4>
      </vt:variant>
      <vt:variant>
        <vt:i4>5</vt:i4>
      </vt:variant>
      <vt:variant>
        <vt:lpwstr/>
      </vt:variant>
      <vt:variant>
        <vt:lpwstr>_Toc227227972</vt:lpwstr>
      </vt:variant>
      <vt:variant>
        <vt:i4>1507390</vt:i4>
      </vt:variant>
      <vt:variant>
        <vt:i4>74</vt:i4>
      </vt:variant>
      <vt:variant>
        <vt:i4>0</vt:i4>
      </vt:variant>
      <vt:variant>
        <vt:i4>5</vt:i4>
      </vt:variant>
      <vt:variant>
        <vt:lpwstr/>
      </vt:variant>
      <vt:variant>
        <vt:lpwstr>_Toc227227971</vt:lpwstr>
      </vt:variant>
      <vt:variant>
        <vt:i4>1507390</vt:i4>
      </vt:variant>
      <vt:variant>
        <vt:i4>68</vt:i4>
      </vt:variant>
      <vt:variant>
        <vt:i4>0</vt:i4>
      </vt:variant>
      <vt:variant>
        <vt:i4>5</vt:i4>
      </vt:variant>
      <vt:variant>
        <vt:lpwstr/>
      </vt:variant>
      <vt:variant>
        <vt:lpwstr>_Toc227227970</vt:lpwstr>
      </vt:variant>
      <vt:variant>
        <vt:i4>1441854</vt:i4>
      </vt:variant>
      <vt:variant>
        <vt:i4>62</vt:i4>
      </vt:variant>
      <vt:variant>
        <vt:i4>0</vt:i4>
      </vt:variant>
      <vt:variant>
        <vt:i4>5</vt:i4>
      </vt:variant>
      <vt:variant>
        <vt:lpwstr/>
      </vt:variant>
      <vt:variant>
        <vt:lpwstr>_Toc227227969</vt:lpwstr>
      </vt:variant>
      <vt:variant>
        <vt:i4>1441854</vt:i4>
      </vt:variant>
      <vt:variant>
        <vt:i4>56</vt:i4>
      </vt:variant>
      <vt:variant>
        <vt:i4>0</vt:i4>
      </vt:variant>
      <vt:variant>
        <vt:i4>5</vt:i4>
      </vt:variant>
      <vt:variant>
        <vt:lpwstr/>
      </vt:variant>
      <vt:variant>
        <vt:lpwstr>_Toc227227968</vt:lpwstr>
      </vt:variant>
      <vt:variant>
        <vt:i4>1441854</vt:i4>
      </vt:variant>
      <vt:variant>
        <vt:i4>50</vt:i4>
      </vt:variant>
      <vt:variant>
        <vt:i4>0</vt:i4>
      </vt:variant>
      <vt:variant>
        <vt:i4>5</vt:i4>
      </vt:variant>
      <vt:variant>
        <vt:lpwstr/>
      </vt:variant>
      <vt:variant>
        <vt:lpwstr>_Toc227227967</vt:lpwstr>
      </vt:variant>
      <vt:variant>
        <vt:i4>1441854</vt:i4>
      </vt:variant>
      <vt:variant>
        <vt:i4>44</vt:i4>
      </vt:variant>
      <vt:variant>
        <vt:i4>0</vt:i4>
      </vt:variant>
      <vt:variant>
        <vt:i4>5</vt:i4>
      </vt:variant>
      <vt:variant>
        <vt:lpwstr/>
      </vt:variant>
      <vt:variant>
        <vt:lpwstr>_Toc227227966</vt:lpwstr>
      </vt:variant>
      <vt:variant>
        <vt:i4>1441854</vt:i4>
      </vt:variant>
      <vt:variant>
        <vt:i4>38</vt:i4>
      </vt:variant>
      <vt:variant>
        <vt:i4>0</vt:i4>
      </vt:variant>
      <vt:variant>
        <vt:i4>5</vt:i4>
      </vt:variant>
      <vt:variant>
        <vt:lpwstr/>
      </vt:variant>
      <vt:variant>
        <vt:lpwstr>_Toc227227965</vt:lpwstr>
      </vt:variant>
      <vt:variant>
        <vt:i4>1441854</vt:i4>
      </vt:variant>
      <vt:variant>
        <vt:i4>32</vt:i4>
      </vt:variant>
      <vt:variant>
        <vt:i4>0</vt:i4>
      </vt:variant>
      <vt:variant>
        <vt:i4>5</vt:i4>
      </vt:variant>
      <vt:variant>
        <vt:lpwstr/>
      </vt:variant>
      <vt:variant>
        <vt:lpwstr>_Toc227227964</vt:lpwstr>
      </vt:variant>
      <vt:variant>
        <vt:i4>1441854</vt:i4>
      </vt:variant>
      <vt:variant>
        <vt:i4>26</vt:i4>
      </vt:variant>
      <vt:variant>
        <vt:i4>0</vt:i4>
      </vt:variant>
      <vt:variant>
        <vt:i4>5</vt:i4>
      </vt:variant>
      <vt:variant>
        <vt:lpwstr/>
      </vt:variant>
      <vt:variant>
        <vt:lpwstr>_Toc227227963</vt:lpwstr>
      </vt:variant>
      <vt:variant>
        <vt:i4>1441854</vt:i4>
      </vt:variant>
      <vt:variant>
        <vt:i4>20</vt:i4>
      </vt:variant>
      <vt:variant>
        <vt:i4>0</vt:i4>
      </vt:variant>
      <vt:variant>
        <vt:i4>5</vt:i4>
      </vt:variant>
      <vt:variant>
        <vt:lpwstr/>
      </vt:variant>
      <vt:variant>
        <vt:lpwstr>_Toc227227962</vt:lpwstr>
      </vt:variant>
      <vt:variant>
        <vt:i4>1441854</vt:i4>
      </vt:variant>
      <vt:variant>
        <vt:i4>14</vt:i4>
      </vt:variant>
      <vt:variant>
        <vt:i4>0</vt:i4>
      </vt:variant>
      <vt:variant>
        <vt:i4>5</vt:i4>
      </vt:variant>
      <vt:variant>
        <vt:lpwstr/>
      </vt:variant>
      <vt:variant>
        <vt:lpwstr>_Toc227227961</vt:lpwstr>
      </vt:variant>
      <vt:variant>
        <vt:i4>1441854</vt:i4>
      </vt:variant>
      <vt:variant>
        <vt:i4>8</vt:i4>
      </vt:variant>
      <vt:variant>
        <vt:i4>0</vt:i4>
      </vt:variant>
      <vt:variant>
        <vt:i4>5</vt:i4>
      </vt:variant>
      <vt:variant>
        <vt:lpwstr/>
      </vt:variant>
      <vt:variant>
        <vt:lpwstr>_Toc227227960</vt:lpwstr>
      </vt:variant>
      <vt:variant>
        <vt:i4>1376318</vt:i4>
      </vt:variant>
      <vt:variant>
        <vt:i4>2</vt:i4>
      </vt:variant>
      <vt:variant>
        <vt:i4>0</vt:i4>
      </vt:variant>
      <vt:variant>
        <vt:i4>5</vt:i4>
      </vt:variant>
      <vt:variant>
        <vt:lpwstr/>
      </vt:variant>
      <vt:variant>
        <vt:lpwstr>_Toc227227959</vt:lpwstr>
      </vt:variant>
      <vt:variant>
        <vt:i4>7798869</vt:i4>
      </vt:variant>
      <vt:variant>
        <vt:i4>0</vt:i4>
      </vt:variant>
      <vt:variant>
        <vt:i4>0</vt:i4>
      </vt:variant>
      <vt:variant>
        <vt:i4>5</vt:i4>
      </vt:variant>
      <vt:variant>
        <vt:lpwstr>https://www.adriatic-ionian.eu/wp-content/uploads/2025/05/EUSAIR-Action-Plan_SWD2025-114-final.pdf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a350</dc:creator>
  <cp:keywords/>
  <cp:lastModifiedBy>mzz</cp:lastModifiedBy>
  <cp:revision>2</cp:revision>
  <cp:lastPrinted>2026-03-18T16:04:00Z</cp:lastPrinted>
  <dcterms:created xsi:type="dcterms:W3CDTF">2026-05-27T09:33:00Z</dcterms:created>
  <dcterms:modified xsi:type="dcterms:W3CDTF">2026-05-27T09:33:00Z</dcterms:modified>
</cp:coreProperties>
</file>