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1271256"/>
        <w:docPartObj>
          <w:docPartGallery w:val="Cover Pages"/>
          <w:docPartUnique/>
        </w:docPartObj>
      </w:sdtPr>
      <w:sdtContent>
        <w:p w14:paraId="3F83EC20" w14:textId="21311DA8" w:rsidR="00A03F99" w:rsidRPr="008401DD" w:rsidRDefault="00222655" w:rsidP="00222655">
          <w:pPr>
            <w:ind w:left="-1134"/>
          </w:pPr>
          <w:r>
            <w:rPr>
              <w:noProof/>
            </w:rPr>
            <w:drawing>
              <wp:inline distT="0" distB="0" distL="0" distR="0" wp14:anchorId="744B7B90" wp14:editId="47A7C80E">
                <wp:extent cx="7410201" cy="2826327"/>
                <wp:effectExtent l="0" t="0" r="635" b="0"/>
                <wp:docPr id="2" name="Picture 2" descr="republika slovenija&#10;ministrstvo za zunanje zadeve&#10;mednarodno razvojno sodelovanj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publika slovenija&#10;ministrstvo za zunanje zadeve&#10;mednarodno razvojno sodelovanje slovenije"/>
                        <pic:cNvPicPr/>
                      </pic:nvPicPr>
                      <pic:blipFill>
                        <a:blip r:embed="rId11">
                          <a:extLst>
                            <a:ext uri="{28A0092B-C50C-407E-A947-70E740481C1C}">
                              <a14:useLocalDpi xmlns:a14="http://schemas.microsoft.com/office/drawing/2010/main" val="0"/>
                            </a:ext>
                          </a:extLst>
                        </a:blip>
                        <a:stretch>
                          <a:fillRect/>
                        </a:stretch>
                      </pic:blipFill>
                      <pic:spPr>
                        <a:xfrm>
                          <a:off x="0" y="0"/>
                          <a:ext cx="7458261" cy="2844658"/>
                        </a:xfrm>
                        <a:prstGeom prst="rect">
                          <a:avLst/>
                        </a:prstGeom>
                      </pic:spPr>
                    </pic:pic>
                  </a:graphicData>
                </a:graphic>
              </wp:inline>
            </w:drawing>
          </w:r>
        </w:p>
        <w:p w14:paraId="3B9C6173" w14:textId="50A2295C" w:rsidR="00567D2E" w:rsidRPr="00567D2E" w:rsidRDefault="00567D2E" w:rsidP="00567D2E">
          <w:pPr>
            <w:spacing w:before="2280"/>
            <w:jc w:val="right"/>
            <w:rPr>
              <w:sz w:val="56"/>
              <w:szCs w:val="56"/>
            </w:rPr>
          </w:pPr>
          <w:r w:rsidRPr="00567D2E">
            <w:rPr>
              <w:sz w:val="56"/>
              <w:szCs w:val="56"/>
            </w:rPr>
            <w:t>EVALVACIJA IN REVIZIJA PROJEKTOV IZGRADNJE</w:t>
          </w:r>
          <w:r>
            <w:rPr>
              <w:sz w:val="56"/>
              <w:szCs w:val="56"/>
            </w:rPr>
            <w:br/>
          </w:r>
          <w:r w:rsidRPr="00567D2E">
            <w:rPr>
              <w:sz w:val="56"/>
              <w:szCs w:val="56"/>
            </w:rPr>
            <w:t>VODNE INFRASTRUKTURE V OBČINI PROBIŠTIP V</w:t>
          </w:r>
          <w:r>
            <w:rPr>
              <w:sz w:val="56"/>
              <w:szCs w:val="56"/>
            </w:rPr>
            <w:br/>
          </w:r>
          <w:r w:rsidRPr="00567D2E">
            <w:rPr>
              <w:sz w:val="56"/>
              <w:szCs w:val="56"/>
            </w:rPr>
            <w:t>SEVERNI MAKEDONIJI V OBDOBJU 2012-2019</w:t>
          </w:r>
        </w:p>
        <w:p w14:paraId="670A0044" w14:textId="795353AA" w:rsidR="00567D2E" w:rsidRPr="00567D2E" w:rsidRDefault="00567D2E" w:rsidP="00567D2E">
          <w:pPr>
            <w:jc w:val="right"/>
            <w:rPr>
              <w:sz w:val="36"/>
              <w:szCs w:val="36"/>
            </w:rPr>
          </w:pPr>
          <w:r w:rsidRPr="00567D2E">
            <w:rPr>
              <w:color w:val="525252" w:themeColor="accent3" w:themeShade="80"/>
              <w:sz w:val="36"/>
              <w:szCs w:val="36"/>
            </w:rPr>
            <w:t>Končno poročilo</w:t>
          </w:r>
        </w:p>
        <w:p w14:paraId="2C932615" w14:textId="77777777" w:rsidR="00567D2E" w:rsidRDefault="00567D2E"/>
        <w:p w14:paraId="4CEC1FEE" w14:textId="77777777" w:rsidR="00567D2E" w:rsidRDefault="00567D2E"/>
        <w:p w14:paraId="070258E2" w14:textId="77777777" w:rsidR="00567D2E" w:rsidRDefault="00567D2E"/>
        <w:p w14:paraId="38D63FB0" w14:textId="1991BCBD" w:rsidR="00A03F99" w:rsidRPr="008401DD" w:rsidRDefault="00A03F99">
          <w:r w:rsidRPr="008401DD">
            <w:br w:type="page"/>
          </w:r>
        </w:p>
      </w:sdtContent>
    </w:sdt>
    <w:p w14:paraId="3D428730" w14:textId="77777777" w:rsidR="00911278" w:rsidRPr="008401DD" w:rsidRDefault="00911278" w:rsidP="00960E68"/>
    <w:tbl>
      <w:tblPr>
        <w:tblStyle w:val="TableGrid"/>
        <w:tblW w:w="0" w:type="auto"/>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2689"/>
        <w:gridCol w:w="6139"/>
      </w:tblGrid>
      <w:tr w:rsidR="00911278" w:rsidRPr="008401DD" w14:paraId="0330E9E3" w14:textId="77777777" w:rsidTr="00B56F83">
        <w:tc>
          <w:tcPr>
            <w:tcW w:w="2689" w:type="dxa"/>
            <w:vMerge w:val="restart"/>
            <w:tcBorders>
              <w:top w:val="single" w:sz="12" w:space="0" w:color="70AD47" w:themeColor="accent6"/>
            </w:tcBorders>
          </w:tcPr>
          <w:p w14:paraId="0E5613CA" w14:textId="77777777" w:rsidR="00911278" w:rsidRPr="008401DD" w:rsidRDefault="00911278" w:rsidP="00567D2E">
            <w:pPr>
              <w:spacing w:line="276" w:lineRule="auto"/>
              <w:rPr>
                <w:rFonts w:cs="Arial"/>
                <w:b/>
                <w:color w:val="67C18C"/>
              </w:rPr>
            </w:pPr>
            <w:r w:rsidRPr="00615A3A">
              <w:rPr>
                <w:rFonts w:cs="Arial"/>
                <w:b/>
                <w:color w:val="538135" w:themeColor="accent6" w:themeShade="BF"/>
              </w:rPr>
              <w:t>Naročnik evalvacije:</w:t>
            </w:r>
          </w:p>
        </w:tc>
        <w:tc>
          <w:tcPr>
            <w:tcW w:w="6139" w:type="dxa"/>
            <w:tcBorders>
              <w:top w:val="single" w:sz="12" w:space="0" w:color="70AD47" w:themeColor="accent6"/>
            </w:tcBorders>
          </w:tcPr>
          <w:p w14:paraId="1741DF7D" w14:textId="77777777" w:rsidR="00911278" w:rsidRPr="008401DD" w:rsidRDefault="00911278" w:rsidP="00960E68">
            <w:pPr>
              <w:spacing w:line="276" w:lineRule="auto"/>
              <w:rPr>
                <w:rFonts w:cs="Arial"/>
                <w:i/>
              </w:rPr>
            </w:pPr>
            <w:r w:rsidRPr="008401DD">
              <w:rPr>
                <w:rFonts w:cs="Arial"/>
                <w:b/>
              </w:rPr>
              <w:t>Ministrstvo za zunanje zadeve</w:t>
            </w:r>
          </w:p>
          <w:p w14:paraId="55276D3D" w14:textId="77777777" w:rsidR="00911278" w:rsidRPr="008401DD" w:rsidRDefault="00911278" w:rsidP="00960E68">
            <w:pPr>
              <w:spacing w:line="276" w:lineRule="auto"/>
              <w:rPr>
                <w:rFonts w:cs="Arial"/>
              </w:rPr>
            </w:pPr>
            <w:r w:rsidRPr="008401DD">
              <w:rPr>
                <w:rFonts w:cs="Arial"/>
              </w:rPr>
              <w:t>Prešernova cesta 25</w:t>
            </w:r>
          </w:p>
          <w:p w14:paraId="6496AB27" w14:textId="77777777" w:rsidR="00911278" w:rsidRPr="008401DD" w:rsidRDefault="00911278" w:rsidP="00960E68">
            <w:pPr>
              <w:spacing w:line="276" w:lineRule="auto"/>
              <w:rPr>
                <w:rFonts w:cs="Arial"/>
              </w:rPr>
            </w:pPr>
            <w:r w:rsidRPr="008401DD">
              <w:rPr>
                <w:rFonts w:cs="Arial"/>
              </w:rPr>
              <w:t>1000 Ljubljana</w:t>
            </w:r>
          </w:p>
        </w:tc>
      </w:tr>
      <w:tr w:rsidR="00911278" w:rsidRPr="008401DD" w14:paraId="4C902A1F" w14:textId="77777777" w:rsidTr="00B56F83">
        <w:trPr>
          <w:trHeight w:val="619"/>
        </w:trPr>
        <w:tc>
          <w:tcPr>
            <w:tcW w:w="2689" w:type="dxa"/>
            <w:vMerge/>
          </w:tcPr>
          <w:p w14:paraId="06896077" w14:textId="77777777" w:rsidR="00911278" w:rsidRPr="008401DD" w:rsidRDefault="00911278" w:rsidP="00960E68">
            <w:pPr>
              <w:spacing w:line="276" w:lineRule="auto"/>
              <w:rPr>
                <w:rFonts w:cs="Arial"/>
                <w:b/>
                <w:color w:val="67C18C"/>
              </w:rPr>
            </w:pPr>
          </w:p>
        </w:tc>
        <w:tc>
          <w:tcPr>
            <w:tcW w:w="6139" w:type="dxa"/>
          </w:tcPr>
          <w:p w14:paraId="5F467525" w14:textId="77777777" w:rsidR="00911278" w:rsidRPr="008401DD" w:rsidRDefault="00911278" w:rsidP="00960E68">
            <w:pPr>
              <w:spacing w:line="276" w:lineRule="auto"/>
              <w:rPr>
                <w:rFonts w:cs="Arial"/>
              </w:rPr>
            </w:pPr>
            <w:r w:rsidRPr="008401DD">
              <w:rPr>
                <w:rFonts w:cs="Arial"/>
                <w:b/>
              </w:rPr>
              <w:t>Kontaktna oseba:</w:t>
            </w:r>
          </w:p>
          <w:p w14:paraId="2D08FAF4" w14:textId="77777777" w:rsidR="00911278" w:rsidRPr="008401DD" w:rsidRDefault="00911278" w:rsidP="00960E68">
            <w:pPr>
              <w:pStyle w:val="ListParagraph"/>
              <w:numPr>
                <w:ilvl w:val="0"/>
                <w:numId w:val="2"/>
              </w:numPr>
              <w:spacing w:line="276" w:lineRule="auto"/>
              <w:rPr>
                <w:rFonts w:cs="Arial"/>
                <w:b/>
              </w:rPr>
            </w:pPr>
            <w:r w:rsidRPr="008401DD">
              <w:rPr>
                <w:rFonts w:cs="Arial"/>
              </w:rPr>
              <w:t>Nataša Adlešič Barba, pooblaščena ministrica</w:t>
            </w:r>
            <w:r w:rsidR="00862B9F" w:rsidRPr="008401DD">
              <w:rPr>
                <w:rFonts w:cs="Arial"/>
              </w:rPr>
              <w:t xml:space="preserve"> </w:t>
            </w:r>
          </w:p>
        </w:tc>
      </w:tr>
      <w:tr w:rsidR="00911278" w:rsidRPr="008401DD" w14:paraId="275D0ECA" w14:textId="77777777" w:rsidTr="00B56F83">
        <w:trPr>
          <w:trHeight w:val="1124"/>
        </w:trPr>
        <w:tc>
          <w:tcPr>
            <w:tcW w:w="2689" w:type="dxa"/>
          </w:tcPr>
          <w:p w14:paraId="51ACCC0A" w14:textId="77777777" w:rsidR="00911278" w:rsidRPr="008401DD" w:rsidRDefault="00911278" w:rsidP="00960E68">
            <w:pPr>
              <w:spacing w:line="276" w:lineRule="auto"/>
              <w:rPr>
                <w:rFonts w:cs="Arial"/>
                <w:b/>
                <w:color w:val="67C18C"/>
              </w:rPr>
            </w:pPr>
            <w:r w:rsidRPr="00615A3A">
              <w:rPr>
                <w:rFonts w:cs="Arial"/>
                <w:b/>
                <w:color w:val="538135" w:themeColor="accent6" w:themeShade="BF"/>
              </w:rPr>
              <w:t>Naslov evalvacije:</w:t>
            </w:r>
          </w:p>
        </w:tc>
        <w:tc>
          <w:tcPr>
            <w:tcW w:w="6139" w:type="dxa"/>
          </w:tcPr>
          <w:p w14:paraId="6D1C813C" w14:textId="6F4C4907" w:rsidR="00911278" w:rsidRPr="008401DD" w:rsidRDefault="00911278" w:rsidP="00960E68">
            <w:pPr>
              <w:spacing w:line="276" w:lineRule="auto"/>
              <w:rPr>
                <w:rFonts w:cs="Arial"/>
                <w:b/>
              </w:rPr>
            </w:pPr>
            <w:r w:rsidRPr="008401DD">
              <w:rPr>
                <w:rFonts w:cs="Arial"/>
                <w:b/>
              </w:rPr>
              <w:t xml:space="preserve">Evalvacija </w:t>
            </w:r>
            <w:r w:rsidR="007F4CD9" w:rsidRPr="008401DD">
              <w:rPr>
                <w:rFonts w:cs="Arial"/>
                <w:b/>
              </w:rPr>
              <w:t xml:space="preserve">in revizija </w:t>
            </w:r>
            <w:r w:rsidRPr="008401DD">
              <w:rPr>
                <w:rFonts w:cs="Arial"/>
                <w:b/>
              </w:rPr>
              <w:t xml:space="preserve">projektov </w:t>
            </w:r>
            <w:r w:rsidR="003C57ED" w:rsidRPr="008401DD">
              <w:rPr>
                <w:rFonts w:cs="Arial"/>
                <w:b/>
              </w:rPr>
              <w:t xml:space="preserve">izgradnje vodne infrastrukture v občini </w:t>
            </w:r>
            <w:proofErr w:type="spellStart"/>
            <w:r w:rsidR="003C57ED" w:rsidRPr="008401DD">
              <w:rPr>
                <w:rFonts w:cs="Arial"/>
                <w:b/>
              </w:rPr>
              <w:t>Probištip</w:t>
            </w:r>
            <w:proofErr w:type="spellEnd"/>
            <w:r w:rsidR="003C57ED" w:rsidRPr="008401DD">
              <w:rPr>
                <w:rFonts w:cs="Arial"/>
                <w:b/>
              </w:rPr>
              <w:t xml:space="preserve"> v Severni Makedoniji v obdobju 2012 do 2019</w:t>
            </w:r>
            <w:r w:rsidR="00DE3192" w:rsidRPr="008401DD">
              <w:rPr>
                <w:rFonts w:cs="Arial"/>
                <w:b/>
              </w:rPr>
              <w:t xml:space="preserve"> </w:t>
            </w:r>
            <w:r w:rsidR="003C57ED" w:rsidRPr="008401DD">
              <w:rPr>
                <w:rFonts w:cs="Arial"/>
                <w:b/>
              </w:rPr>
              <w:t xml:space="preserve">- </w:t>
            </w:r>
            <w:r w:rsidR="00710E00" w:rsidRPr="008401DD">
              <w:rPr>
                <w:rFonts w:cs="Arial"/>
                <w:b/>
              </w:rPr>
              <w:t>Končno</w:t>
            </w:r>
            <w:r w:rsidR="003C57ED" w:rsidRPr="008401DD">
              <w:rPr>
                <w:rFonts w:cs="Arial"/>
                <w:b/>
              </w:rPr>
              <w:t xml:space="preserve"> poročilo</w:t>
            </w:r>
            <w:r w:rsidR="004A1805" w:rsidRPr="008401DD">
              <w:rPr>
                <w:rFonts w:cs="Arial"/>
                <w:b/>
              </w:rPr>
              <w:t xml:space="preserve"> </w:t>
            </w:r>
            <w:r w:rsidR="00DA4C27" w:rsidRPr="008401DD">
              <w:rPr>
                <w:rFonts w:cs="Arial"/>
                <w:b/>
              </w:rPr>
              <w:t>- osnutek</w:t>
            </w:r>
          </w:p>
          <w:p w14:paraId="7996C052" w14:textId="748745E6" w:rsidR="00911278" w:rsidRPr="008401DD" w:rsidRDefault="00911278" w:rsidP="00960E68">
            <w:pPr>
              <w:spacing w:line="276" w:lineRule="auto"/>
              <w:rPr>
                <w:rFonts w:cs="Arial"/>
                <w:i/>
              </w:rPr>
            </w:pPr>
            <w:r w:rsidRPr="008401DD">
              <w:rPr>
                <w:rFonts w:cs="Arial"/>
                <w:i/>
              </w:rPr>
              <w:t>(</w:t>
            </w:r>
            <w:r w:rsidRPr="00161A81">
              <w:rPr>
                <w:rFonts w:cs="Arial"/>
                <w:i/>
                <w:lang w:val="en-GB"/>
              </w:rPr>
              <w:t>Evaluation</w:t>
            </w:r>
            <w:r w:rsidR="007F4CD9" w:rsidRPr="00161A81">
              <w:rPr>
                <w:rFonts w:cs="Arial"/>
                <w:i/>
                <w:lang w:val="en-GB"/>
              </w:rPr>
              <w:t xml:space="preserve"> and audit</w:t>
            </w:r>
            <w:r w:rsidRPr="00161A81">
              <w:rPr>
                <w:rFonts w:cs="Arial"/>
                <w:i/>
                <w:lang w:val="en-GB"/>
              </w:rPr>
              <w:t xml:space="preserve"> of</w:t>
            </w:r>
            <w:r w:rsidR="00EF4D1F" w:rsidRPr="00161A81">
              <w:rPr>
                <w:rFonts w:cs="Arial"/>
                <w:i/>
                <w:lang w:val="en-GB"/>
              </w:rPr>
              <w:t xml:space="preserve"> water infrastructure construction projects in the municipality of </w:t>
            </w:r>
            <w:proofErr w:type="spellStart"/>
            <w:r w:rsidR="00EF4D1F" w:rsidRPr="00161A81">
              <w:rPr>
                <w:rFonts w:cs="Arial"/>
                <w:i/>
                <w:lang w:val="en-GB"/>
              </w:rPr>
              <w:t>Probištip</w:t>
            </w:r>
            <w:proofErr w:type="spellEnd"/>
            <w:r w:rsidR="00EF4D1F" w:rsidRPr="00161A81">
              <w:rPr>
                <w:rFonts w:cs="Arial"/>
                <w:i/>
                <w:lang w:val="en-GB"/>
              </w:rPr>
              <w:t xml:space="preserve"> in Northern Macedonia in the period 2012 to 2019</w:t>
            </w:r>
            <w:r w:rsidR="00082F3A" w:rsidRPr="00161A81">
              <w:rPr>
                <w:rFonts w:cs="Arial"/>
                <w:i/>
                <w:lang w:val="en-GB"/>
              </w:rPr>
              <w:t xml:space="preserve"> </w:t>
            </w:r>
            <w:r w:rsidR="00710E00" w:rsidRPr="00161A81">
              <w:rPr>
                <w:rFonts w:cs="Arial"/>
                <w:i/>
                <w:lang w:val="en-GB"/>
              </w:rPr>
              <w:t>–</w:t>
            </w:r>
            <w:r w:rsidR="00EF4D1F" w:rsidRPr="00161A81">
              <w:rPr>
                <w:rFonts w:cs="Arial"/>
                <w:i/>
                <w:lang w:val="en-GB"/>
              </w:rPr>
              <w:t xml:space="preserve"> </w:t>
            </w:r>
            <w:r w:rsidR="00710E00" w:rsidRPr="00161A81">
              <w:rPr>
                <w:rFonts w:cs="Arial"/>
                <w:i/>
                <w:lang w:val="en-GB"/>
              </w:rPr>
              <w:t xml:space="preserve">Final </w:t>
            </w:r>
            <w:r w:rsidR="00EF4D1F" w:rsidRPr="00161A81">
              <w:rPr>
                <w:rFonts w:cs="Arial"/>
                <w:i/>
                <w:lang w:val="en-GB"/>
              </w:rPr>
              <w:t>report</w:t>
            </w:r>
            <w:r w:rsidR="00966230" w:rsidRPr="008401DD">
              <w:rPr>
                <w:rFonts w:cs="Arial"/>
                <w:i/>
              </w:rPr>
              <w:t>)</w:t>
            </w:r>
          </w:p>
        </w:tc>
      </w:tr>
      <w:tr w:rsidR="00911278" w:rsidRPr="008401DD" w14:paraId="31815A21" w14:textId="77777777" w:rsidTr="00B56F83">
        <w:trPr>
          <w:trHeight w:val="974"/>
        </w:trPr>
        <w:tc>
          <w:tcPr>
            <w:tcW w:w="2689" w:type="dxa"/>
            <w:vMerge w:val="restart"/>
          </w:tcPr>
          <w:p w14:paraId="6C90D0E2" w14:textId="77777777" w:rsidR="00911278" w:rsidRPr="008401DD" w:rsidRDefault="00911278" w:rsidP="00960E68">
            <w:pPr>
              <w:spacing w:line="276" w:lineRule="auto"/>
              <w:rPr>
                <w:rFonts w:cs="Arial"/>
                <w:b/>
                <w:color w:val="67C18C"/>
              </w:rPr>
            </w:pPr>
            <w:r w:rsidRPr="00615A3A">
              <w:rPr>
                <w:rFonts w:cs="Arial"/>
                <w:b/>
                <w:color w:val="538135" w:themeColor="accent6" w:themeShade="BF"/>
              </w:rPr>
              <w:t>Izvajalec evalvacije:</w:t>
            </w:r>
          </w:p>
        </w:tc>
        <w:tc>
          <w:tcPr>
            <w:tcW w:w="6139" w:type="dxa"/>
          </w:tcPr>
          <w:p w14:paraId="0AAA4E8A" w14:textId="77777777" w:rsidR="00911278" w:rsidRPr="008401DD" w:rsidRDefault="00911278" w:rsidP="00960E68">
            <w:pPr>
              <w:spacing w:line="276" w:lineRule="auto"/>
              <w:rPr>
                <w:rFonts w:cs="Arial"/>
                <w:b/>
              </w:rPr>
            </w:pPr>
            <w:proofErr w:type="spellStart"/>
            <w:r w:rsidRPr="008401DD">
              <w:rPr>
                <w:rFonts w:cs="Arial"/>
                <w:b/>
              </w:rPr>
              <w:t>Deloitte</w:t>
            </w:r>
            <w:proofErr w:type="spellEnd"/>
            <w:r w:rsidRPr="008401DD">
              <w:rPr>
                <w:rFonts w:cs="Arial"/>
                <w:b/>
              </w:rPr>
              <w:t xml:space="preserve"> </w:t>
            </w:r>
            <w:proofErr w:type="spellStart"/>
            <w:r w:rsidRPr="008401DD">
              <w:rPr>
                <w:rFonts w:cs="Arial"/>
                <w:b/>
              </w:rPr>
              <w:t>d.o.o</w:t>
            </w:r>
            <w:proofErr w:type="spellEnd"/>
            <w:r w:rsidRPr="008401DD">
              <w:rPr>
                <w:rFonts w:cs="Arial"/>
                <w:b/>
              </w:rPr>
              <w:t>.</w:t>
            </w:r>
          </w:p>
          <w:p w14:paraId="4293AEEB" w14:textId="77777777" w:rsidR="00911278" w:rsidRPr="008401DD" w:rsidRDefault="00911278" w:rsidP="00960E68">
            <w:pPr>
              <w:spacing w:line="276" w:lineRule="auto"/>
              <w:rPr>
                <w:rFonts w:cs="Arial"/>
              </w:rPr>
            </w:pPr>
            <w:r w:rsidRPr="008401DD">
              <w:rPr>
                <w:rFonts w:cs="Arial"/>
              </w:rPr>
              <w:t xml:space="preserve">Oddelek poslovnega svetovanja </w:t>
            </w:r>
          </w:p>
          <w:p w14:paraId="36AA3C59" w14:textId="77777777" w:rsidR="00911278" w:rsidRPr="008401DD" w:rsidRDefault="00911278" w:rsidP="00960E68">
            <w:pPr>
              <w:spacing w:line="276" w:lineRule="auto"/>
              <w:rPr>
                <w:rFonts w:cs="Arial"/>
              </w:rPr>
            </w:pPr>
            <w:r w:rsidRPr="008401DD">
              <w:rPr>
                <w:rFonts w:cs="Arial"/>
              </w:rPr>
              <w:t>Dunajska cesta 165</w:t>
            </w:r>
          </w:p>
          <w:p w14:paraId="3BD9E70B" w14:textId="77777777" w:rsidR="00911278" w:rsidRPr="008401DD" w:rsidRDefault="00911278" w:rsidP="00960E68">
            <w:pPr>
              <w:spacing w:line="276" w:lineRule="auto"/>
              <w:rPr>
                <w:rFonts w:cs="Arial"/>
              </w:rPr>
            </w:pPr>
            <w:r w:rsidRPr="008401DD">
              <w:rPr>
                <w:rFonts w:cs="Arial"/>
              </w:rPr>
              <w:t>1000 Ljubljana</w:t>
            </w:r>
          </w:p>
        </w:tc>
      </w:tr>
      <w:tr w:rsidR="00911278" w:rsidRPr="008401DD" w14:paraId="2C9D0620" w14:textId="77777777" w:rsidTr="00B56F83">
        <w:trPr>
          <w:trHeight w:val="563"/>
        </w:trPr>
        <w:tc>
          <w:tcPr>
            <w:tcW w:w="2689" w:type="dxa"/>
            <w:vMerge/>
          </w:tcPr>
          <w:p w14:paraId="4A6B6241" w14:textId="77777777" w:rsidR="00911278" w:rsidRPr="008401DD" w:rsidRDefault="00911278" w:rsidP="00960E68">
            <w:pPr>
              <w:spacing w:line="276" w:lineRule="auto"/>
              <w:rPr>
                <w:rFonts w:cs="Arial"/>
                <w:b/>
                <w:color w:val="67C18C"/>
              </w:rPr>
            </w:pPr>
          </w:p>
        </w:tc>
        <w:tc>
          <w:tcPr>
            <w:tcW w:w="6139" w:type="dxa"/>
          </w:tcPr>
          <w:p w14:paraId="14A52F48" w14:textId="77777777" w:rsidR="00911278" w:rsidRPr="008401DD" w:rsidRDefault="00911278" w:rsidP="00960E68">
            <w:pPr>
              <w:spacing w:line="276" w:lineRule="auto"/>
              <w:rPr>
                <w:rFonts w:cs="Arial"/>
                <w:b/>
              </w:rPr>
            </w:pPr>
            <w:r w:rsidRPr="008401DD">
              <w:rPr>
                <w:rFonts w:cs="Arial"/>
                <w:b/>
              </w:rPr>
              <w:t>Vodja projekta:</w:t>
            </w:r>
          </w:p>
          <w:p w14:paraId="2013A491" w14:textId="77777777" w:rsidR="00911278" w:rsidRPr="008401DD" w:rsidRDefault="003C57ED" w:rsidP="00960E68">
            <w:pPr>
              <w:pStyle w:val="ListParagraph"/>
              <w:numPr>
                <w:ilvl w:val="0"/>
                <w:numId w:val="1"/>
              </w:numPr>
              <w:spacing w:line="276" w:lineRule="auto"/>
              <w:rPr>
                <w:rFonts w:cs="Arial"/>
              </w:rPr>
            </w:pPr>
            <w:r w:rsidRPr="008401DD">
              <w:rPr>
                <w:rFonts w:cs="Arial"/>
              </w:rPr>
              <w:t xml:space="preserve">Gregor </w:t>
            </w:r>
            <w:proofErr w:type="spellStart"/>
            <w:r w:rsidRPr="008401DD">
              <w:rPr>
                <w:rFonts w:cs="Arial"/>
              </w:rPr>
              <w:t>Skender</w:t>
            </w:r>
            <w:proofErr w:type="spellEnd"/>
            <w:r w:rsidR="00911278" w:rsidRPr="008401DD">
              <w:rPr>
                <w:rFonts w:cs="Arial"/>
              </w:rPr>
              <w:t xml:space="preserve">, </w:t>
            </w:r>
            <w:r w:rsidRPr="008401DD">
              <w:rPr>
                <w:rFonts w:cs="Arial"/>
              </w:rPr>
              <w:t>višji manager</w:t>
            </w:r>
            <w:r w:rsidR="00862B9F" w:rsidRPr="008401DD">
              <w:rPr>
                <w:rFonts w:cs="Arial"/>
              </w:rPr>
              <w:t xml:space="preserve"> </w:t>
            </w:r>
          </w:p>
        </w:tc>
      </w:tr>
      <w:tr w:rsidR="00911278" w:rsidRPr="008401DD" w14:paraId="52FC5105" w14:textId="77777777" w:rsidTr="00161A81">
        <w:trPr>
          <w:trHeight w:val="443"/>
        </w:trPr>
        <w:tc>
          <w:tcPr>
            <w:tcW w:w="2689" w:type="dxa"/>
            <w:vMerge/>
          </w:tcPr>
          <w:p w14:paraId="1F00BCFD" w14:textId="77777777" w:rsidR="00911278" w:rsidRPr="008401DD" w:rsidRDefault="00911278" w:rsidP="00960E68">
            <w:pPr>
              <w:spacing w:line="276" w:lineRule="auto"/>
              <w:rPr>
                <w:rFonts w:cs="Arial"/>
                <w:b/>
                <w:color w:val="67C18C"/>
              </w:rPr>
            </w:pPr>
          </w:p>
        </w:tc>
        <w:tc>
          <w:tcPr>
            <w:tcW w:w="6139" w:type="dxa"/>
          </w:tcPr>
          <w:p w14:paraId="7A5EF4B2" w14:textId="77777777" w:rsidR="00911278" w:rsidRPr="008401DD" w:rsidRDefault="00911278" w:rsidP="00960E68">
            <w:pPr>
              <w:spacing w:line="276" w:lineRule="auto"/>
              <w:rPr>
                <w:rFonts w:cs="Arial"/>
                <w:b/>
              </w:rPr>
            </w:pPr>
            <w:r w:rsidRPr="008401DD">
              <w:rPr>
                <w:rFonts w:cs="Arial"/>
                <w:b/>
              </w:rPr>
              <w:t>Člani projektne skupine:</w:t>
            </w:r>
          </w:p>
          <w:p w14:paraId="27DE591C" w14:textId="77777777" w:rsidR="00911278" w:rsidRPr="008401DD" w:rsidRDefault="003C57ED" w:rsidP="00960E68">
            <w:pPr>
              <w:pStyle w:val="ListParagraph"/>
              <w:numPr>
                <w:ilvl w:val="0"/>
                <w:numId w:val="1"/>
              </w:numPr>
              <w:spacing w:line="276" w:lineRule="auto"/>
              <w:rPr>
                <w:rFonts w:cs="Arial"/>
              </w:rPr>
            </w:pPr>
            <w:r w:rsidRPr="008401DD">
              <w:rPr>
                <w:rFonts w:cs="Arial"/>
              </w:rPr>
              <w:t>Ana Kržič, svetovalka</w:t>
            </w:r>
          </w:p>
          <w:p w14:paraId="180D582C" w14:textId="77777777" w:rsidR="003C57ED" w:rsidRPr="008401DD" w:rsidRDefault="003C57ED" w:rsidP="00960E68">
            <w:pPr>
              <w:pStyle w:val="ListParagraph"/>
              <w:numPr>
                <w:ilvl w:val="0"/>
                <w:numId w:val="1"/>
              </w:numPr>
              <w:spacing w:line="276" w:lineRule="auto"/>
              <w:rPr>
                <w:rFonts w:cs="Arial"/>
              </w:rPr>
            </w:pPr>
            <w:r w:rsidRPr="008401DD">
              <w:rPr>
                <w:rFonts w:cs="Arial"/>
              </w:rPr>
              <w:t xml:space="preserve">Vesna Pavlović, manager </w:t>
            </w:r>
          </w:p>
        </w:tc>
      </w:tr>
      <w:tr w:rsidR="00911278" w:rsidRPr="008401DD" w14:paraId="48E421D2" w14:textId="77777777" w:rsidTr="00B56F83">
        <w:trPr>
          <w:trHeight w:val="559"/>
        </w:trPr>
        <w:tc>
          <w:tcPr>
            <w:tcW w:w="2689" w:type="dxa"/>
            <w:vMerge/>
          </w:tcPr>
          <w:p w14:paraId="34BD2022" w14:textId="77777777" w:rsidR="00911278" w:rsidRPr="008401DD" w:rsidRDefault="00911278" w:rsidP="00960E68">
            <w:pPr>
              <w:spacing w:line="276" w:lineRule="auto"/>
              <w:rPr>
                <w:rFonts w:cs="Arial"/>
                <w:b/>
                <w:color w:val="67C18C"/>
              </w:rPr>
            </w:pPr>
          </w:p>
        </w:tc>
        <w:tc>
          <w:tcPr>
            <w:tcW w:w="6139" w:type="dxa"/>
          </w:tcPr>
          <w:p w14:paraId="568680BB" w14:textId="77777777" w:rsidR="00911278" w:rsidRPr="008401DD" w:rsidRDefault="00911278" w:rsidP="00960E68">
            <w:pPr>
              <w:spacing w:line="276" w:lineRule="auto"/>
              <w:rPr>
                <w:rFonts w:cs="Arial"/>
                <w:b/>
              </w:rPr>
            </w:pPr>
            <w:r w:rsidRPr="008401DD">
              <w:rPr>
                <w:rFonts w:cs="Arial"/>
                <w:b/>
              </w:rPr>
              <w:t>Odgovorna oseba:</w:t>
            </w:r>
          </w:p>
          <w:p w14:paraId="0105719C" w14:textId="77777777" w:rsidR="00911278" w:rsidRPr="008401DD" w:rsidRDefault="00911278" w:rsidP="00960E68">
            <w:pPr>
              <w:pStyle w:val="ListParagraph"/>
              <w:numPr>
                <w:ilvl w:val="0"/>
                <w:numId w:val="1"/>
              </w:numPr>
              <w:spacing w:line="276" w:lineRule="auto"/>
              <w:rPr>
                <w:rFonts w:cs="Arial"/>
              </w:rPr>
            </w:pPr>
            <w:r w:rsidRPr="008401DD">
              <w:rPr>
                <w:rFonts w:cs="Arial"/>
              </w:rPr>
              <w:t>Mitja Kumar, partner</w:t>
            </w:r>
          </w:p>
        </w:tc>
      </w:tr>
      <w:tr w:rsidR="00911278" w:rsidRPr="008401DD" w14:paraId="36402F75" w14:textId="77777777" w:rsidTr="00B56F83">
        <w:tc>
          <w:tcPr>
            <w:tcW w:w="2689" w:type="dxa"/>
            <w:tcBorders>
              <w:bottom w:val="single" w:sz="12" w:space="0" w:color="70AD47" w:themeColor="accent6"/>
            </w:tcBorders>
          </w:tcPr>
          <w:p w14:paraId="72F25F50" w14:textId="77777777" w:rsidR="00911278" w:rsidRPr="008401DD" w:rsidRDefault="00911278" w:rsidP="00960E68">
            <w:pPr>
              <w:spacing w:line="276" w:lineRule="auto"/>
              <w:rPr>
                <w:rFonts w:cs="Arial"/>
                <w:b/>
                <w:color w:val="67C18C"/>
              </w:rPr>
            </w:pPr>
            <w:r w:rsidRPr="00615A3A">
              <w:rPr>
                <w:rFonts w:cs="Arial"/>
                <w:b/>
                <w:color w:val="538135" w:themeColor="accent6" w:themeShade="BF"/>
              </w:rPr>
              <w:t>Datum in kraj priprave:</w:t>
            </w:r>
          </w:p>
        </w:tc>
        <w:tc>
          <w:tcPr>
            <w:tcW w:w="6139" w:type="dxa"/>
            <w:tcBorders>
              <w:bottom w:val="single" w:sz="12" w:space="0" w:color="70AD47" w:themeColor="accent6"/>
            </w:tcBorders>
          </w:tcPr>
          <w:p w14:paraId="573F6630" w14:textId="77777777" w:rsidR="00911278" w:rsidRPr="008401DD" w:rsidRDefault="003C57ED" w:rsidP="00960E68">
            <w:pPr>
              <w:spacing w:line="276" w:lineRule="auto"/>
              <w:rPr>
                <w:rFonts w:cs="Arial"/>
              </w:rPr>
            </w:pPr>
            <w:r w:rsidRPr="008401DD">
              <w:rPr>
                <w:rFonts w:cs="Arial"/>
              </w:rPr>
              <w:t>September 2020</w:t>
            </w:r>
            <w:r w:rsidR="00911278" w:rsidRPr="008401DD">
              <w:rPr>
                <w:rFonts w:cs="Arial"/>
              </w:rPr>
              <w:t xml:space="preserve"> </w:t>
            </w:r>
            <w:r w:rsidRPr="008401DD">
              <w:rPr>
                <w:rFonts w:cs="Arial"/>
              </w:rPr>
              <w:t>–</w:t>
            </w:r>
            <w:r w:rsidR="00911278" w:rsidRPr="008401DD">
              <w:rPr>
                <w:rFonts w:cs="Arial"/>
              </w:rPr>
              <w:t xml:space="preserve"> </w:t>
            </w:r>
            <w:r w:rsidRPr="008401DD">
              <w:rPr>
                <w:rFonts w:cs="Arial"/>
              </w:rPr>
              <w:t>November 2020</w:t>
            </w:r>
            <w:r w:rsidR="00911278" w:rsidRPr="008401DD">
              <w:rPr>
                <w:rFonts w:cs="Arial"/>
              </w:rPr>
              <w:t>, Ljubljana</w:t>
            </w:r>
          </w:p>
        </w:tc>
      </w:tr>
    </w:tbl>
    <w:p w14:paraId="5769642F" w14:textId="77777777" w:rsidR="00911278" w:rsidRPr="008401DD" w:rsidRDefault="00911278" w:rsidP="00960E68">
      <w:pPr>
        <w:spacing w:line="276" w:lineRule="auto"/>
        <w:jc w:val="both"/>
      </w:pPr>
    </w:p>
    <w:p w14:paraId="01354043" w14:textId="77777777" w:rsidR="00911278" w:rsidRPr="008401DD" w:rsidRDefault="00911278" w:rsidP="00960E68">
      <w:r w:rsidRPr="008401DD">
        <w:br w:type="page"/>
      </w:r>
    </w:p>
    <w:p w14:paraId="72EEEE01" w14:textId="77777777" w:rsidR="00911278" w:rsidRPr="008401DD" w:rsidRDefault="00911278" w:rsidP="00960E68">
      <w:pPr>
        <w:pStyle w:val="Caption"/>
        <w:spacing w:after="0"/>
        <w:rPr>
          <w:color w:val="1F4E79" w:themeColor="accent1" w:themeShade="80"/>
        </w:rPr>
      </w:pPr>
      <w:bookmarkStart w:id="0" w:name="_Toc52394908"/>
      <w:r w:rsidRPr="008401DD">
        <w:rPr>
          <w:b/>
          <w:i w:val="0"/>
          <w:color w:val="1F4E79" w:themeColor="accent1" w:themeShade="80"/>
          <w:sz w:val="36"/>
        </w:rPr>
        <w:lastRenderedPageBreak/>
        <w:t>Kazalo</w:t>
      </w:r>
      <w:bookmarkEnd w:id="0"/>
    </w:p>
    <w:p w14:paraId="532D87E3" w14:textId="213879E1" w:rsidR="00911278" w:rsidRPr="008401DD" w:rsidRDefault="00911278" w:rsidP="00960E68">
      <w:pPr>
        <w:pStyle w:val="TOC1"/>
        <w:spacing w:after="0"/>
      </w:pPr>
    </w:p>
    <w:p w14:paraId="1BD09316" w14:textId="49435970" w:rsidR="0073087E" w:rsidRPr="009E56AE" w:rsidRDefault="00911278">
      <w:pPr>
        <w:pStyle w:val="TOC1"/>
      </w:pPr>
      <w:r w:rsidRPr="008401DD">
        <w:fldChar w:fldCharType="begin"/>
      </w:r>
      <w:r w:rsidRPr="008401DD">
        <w:instrText xml:space="preserve"> TOC \o "1-3" \h \z \u </w:instrText>
      </w:r>
      <w:r w:rsidRPr="008401DD">
        <w:fldChar w:fldCharType="separate"/>
      </w:r>
      <w:hyperlink w:anchor="_Toc57377154" w:history="1">
        <w:r w:rsidR="0073087E" w:rsidRPr="009E56AE">
          <w:t>Seznam kratic</w:t>
        </w:r>
        <w:r w:rsidR="0073087E" w:rsidRPr="009E56AE">
          <w:rPr>
            <w:webHidden/>
          </w:rPr>
          <w:tab/>
        </w:r>
        <w:r w:rsidR="0073087E" w:rsidRPr="009E56AE">
          <w:rPr>
            <w:webHidden/>
          </w:rPr>
          <w:fldChar w:fldCharType="begin"/>
        </w:r>
        <w:r w:rsidR="0073087E" w:rsidRPr="009E56AE">
          <w:rPr>
            <w:webHidden/>
          </w:rPr>
          <w:instrText xml:space="preserve"> PAGEREF _Toc57377154 \h </w:instrText>
        </w:r>
        <w:r w:rsidR="0073087E" w:rsidRPr="009E56AE">
          <w:rPr>
            <w:webHidden/>
          </w:rPr>
        </w:r>
        <w:r w:rsidR="0073087E" w:rsidRPr="009E56AE">
          <w:rPr>
            <w:webHidden/>
          </w:rPr>
          <w:fldChar w:fldCharType="separate"/>
        </w:r>
        <w:r w:rsidR="00F67E80">
          <w:rPr>
            <w:webHidden/>
          </w:rPr>
          <w:t>3</w:t>
        </w:r>
        <w:r w:rsidR="0073087E" w:rsidRPr="009E56AE">
          <w:rPr>
            <w:webHidden/>
          </w:rPr>
          <w:fldChar w:fldCharType="end"/>
        </w:r>
      </w:hyperlink>
    </w:p>
    <w:p w14:paraId="2BA78364" w14:textId="16F67310" w:rsidR="0073087E" w:rsidRPr="009E56AE" w:rsidRDefault="00000000">
      <w:pPr>
        <w:pStyle w:val="TOC1"/>
      </w:pPr>
      <w:hyperlink w:anchor="_Toc57377155" w:history="1">
        <w:r w:rsidR="0073087E" w:rsidRPr="009E56AE">
          <w:t>1.</w:t>
        </w:r>
        <w:r w:rsidR="0073087E" w:rsidRPr="009E56AE">
          <w:tab/>
          <w:t>Povzetek</w:t>
        </w:r>
        <w:r w:rsidR="0073087E" w:rsidRPr="009E56AE">
          <w:rPr>
            <w:webHidden/>
          </w:rPr>
          <w:tab/>
        </w:r>
        <w:r w:rsidR="0073087E" w:rsidRPr="009E56AE">
          <w:rPr>
            <w:webHidden/>
          </w:rPr>
          <w:fldChar w:fldCharType="begin"/>
        </w:r>
        <w:r w:rsidR="0073087E" w:rsidRPr="009E56AE">
          <w:rPr>
            <w:webHidden/>
          </w:rPr>
          <w:instrText xml:space="preserve"> PAGEREF _Toc57377155 \h </w:instrText>
        </w:r>
        <w:r w:rsidR="0073087E" w:rsidRPr="009E56AE">
          <w:rPr>
            <w:webHidden/>
          </w:rPr>
        </w:r>
        <w:r w:rsidR="0073087E" w:rsidRPr="009E56AE">
          <w:rPr>
            <w:webHidden/>
          </w:rPr>
          <w:fldChar w:fldCharType="separate"/>
        </w:r>
        <w:r w:rsidR="00F67E80">
          <w:rPr>
            <w:webHidden/>
          </w:rPr>
          <w:t>4</w:t>
        </w:r>
        <w:r w:rsidR="0073087E" w:rsidRPr="009E56AE">
          <w:rPr>
            <w:webHidden/>
          </w:rPr>
          <w:fldChar w:fldCharType="end"/>
        </w:r>
      </w:hyperlink>
    </w:p>
    <w:p w14:paraId="54686958" w14:textId="784BFF0A" w:rsidR="0073087E" w:rsidRPr="009E56AE" w:rsidRDefault="00000000">
      <w:pPr>
        <w:pStyle w:val="TOC1"/>
      </w:pPr>
      <w:hyperlink w:anchor="_Toc57377156" w:history="1">
        <w:r w:rsidR="0073087E" w:rsidRPr="009E56AE">
          <w:t>2.</w:t>
        </w:r>
        <w:r w:rsidR="0073087E" w:rsidRPr="009E56AE">
          <w:tab/>
          <w:t>Abstract</w:t>
        </w:r>
        <w:r w:rsidR="0073087E" w:rsidRPr="009E56AE">
          <w:rPr>
            <w:webHidden/>
          </w:rPr>
          <w:tab/>
        </w:r>
        <w:r w:rsidR="0073087E" w:rsidRPr="009E56AE">
          <w:rPr>
            <w:webHidden/>
          </w:rPr>
          <w:fldChar w:fldCharType="begin"/>
        </w:r>
        <w:r w:rsidR="0073087E" w:rsidRPr="009E56AE">
          <w:rPr>
            <w:webHidden/>
          </w:rPr>
          <w:instrText xml:space="preserve"> PAGEREF _Toc57377156 \h </w:instrText>
        </w:r>
        <w:r w:rsidR="0073087E" w:rsidRPr="009E56AE">
          <w:rPr>
            <w:webHidden/>
          </w:rPr>
        </w:r>
        <w:r w:rsidR="0073087E" w:rsidRPr="009E56AE">
          <w:rPr>
            <w:webHidden/>
          </w:rPr>
          <w:fldChar w:fldCharType="separate"/>
        </w:r>
        <w:r w:rsidR="00F67E80">
          <w:rPr>
            <w:webHidden/>
          </w:rPr>
          <w:t>7</w:t>
        </w:r>
        <w:r w:rsidR="0073087E" w:rsidRPr="009E56AE">
          <w:rPr>
            <w:webHidden/>
          </w:rPr>
          <w:fldChar w:fldCharType="end"/>
        </w:r>
      </w:hyperlink>
    </w:p>
    <w:p w14:paraId="449E42E3" w14:textId="6361FE48" w:rsidR="0073087E" w:rsidRPr="009E56AE" w:rsidRDefault="00000000">
      <w:pPr>
        <w:pStyle w:val="TOC1"/>
      </w:pPr>
      <w:hyperlink w:anchor="_Toc57377157" w:history="1">
        <w:r w:rsidR="0073087E" w:rsidRPr="009E56AE">
          <w:t>3.</w:t>
        </w:r>
        <w:r w:rsidR="0073087E" w:rsidRPr="009E56AE">
          <w:tab/>
          <w:t>Uvod</w:t>
        </w:r>
        <w:r w:rsidR="0073087E" w:rsidRPr="009E56AE">
          <w:rPr>
            <w:webHidden/>
          </w:rPr>
          <w:tab/>
        </w:r>
        <w:r w:rsidR="0073087E" w:rsidRPr="009E56AE">
          <w:rPr>
            <w:webHidden/>
          </w:rPr>
          <w:fldChar w:fldCharType="begin"/>
        </w:r>
        <w:r w:rsidR="0073087E" w:rsidRPr="009E56AE">
          <w:rPr>
            <w:webHidden/>
          </w:rPr>
          <w:instrText xml:space="preserve"> PAGEREF _Toc57377157 \h </w:instrText>
        </w:r>
        <w:r w:rsidR="0073087E" w:rsidRPr="009E56AE">
          <w:rPr>
            <w:webHidden/>
          </w:rPr>
        </w:r>
        <w:r w:rsidR="0073087E" w:rsidRPr="009E56AE">
          <w:rPr>
            <w:webHidden/>
          </w:rPr>
          <w:fldChar w:fldCharType="separate"/>
        </w:r>
        <w:r w:rsidR="00F67E80">
          <w:rPr>
            <w:webHidden/>
          </w:rPr>
          <w:t>10</w:t>
        </w:r>
        <w:r w:rsidR="0073087E" w:rsidRPr="009E56AE">
          <w:rPr>
            <w:webHidden/>
          </w:rPr>
          <w:fldChar w:fldCharType="end"/>
        </w:r>
      </w:hyperlink>
    </w:p>
    <w:p w14:paraId="0678EA37" w14:textId="5A7CAA43" w:rsidR="0073087E" w:rsidRPr="009E56AE" w:rsidRDefault="00000000">
      <w:pPr>
        <w:pStyle w:val="TOC2"/>
        <w:tabs>
          <w:tab w:val="left" w:pos="880"/>
          <w:tab w:val="right" w:leader="dot" w:pos="9350"/>
        </w:tabs>
      </w:pPr>
      <w:hyperlink w:anchor="_Toc57377158" w:history="1">
        <w:r w:rsidR="0073087E" w:rsidRPr="009E56AE">
          <w:t>3.1.</w:t>
        </w:r>
        <w:r w:rsidR="0073087E" w:rsidRPr="009E56AE">
          <w:tab/>
          <w:t>Opredelitev predmeta evalvacije</w:t>
        </w:r>
        <w:r w:rsidR="0073087E" w:rsidRPr="009E56AE">
          <w:rPr>
            <w:webHidden/>
          </w:rPr>
          <w:tab/>
        </w:r>
        <w:r w:rsidR="0073087E" w:rsidRPr="009E56AE">
          <w:rPr>
            <w:webHidden/>
          </w:rPr>
          <w:fldChar w:fldCharType="begin"/>
        </w:r>
        <w:r w:rsidR="0073087E" w:rsidRPr="009E56AE">
          <w:rPr>
            <w:webHidden/>
          </w:rPr>
          <w:instrText xml:space="preserve"> PAGEREF _Toc57377158 \h </w:instrText>
        </w:r>
        <w:r w:rsidR="0073087E" w:rsidRPr="009E56AE">
          <w:rPr>
            <w:webHidden/>
          </w:rPr>
        </w:r>
        <w:r w:rsidR="0073087E" w:rsidRPr="009E56AE">
          <w:rPr>
            <w:webHidden/>
          </w:rPr>
          <w:fldChar w:fldCharType="separate"/>
        </w:r>
        <w:r w:rsidR="00F67E80">
          <w:rPr>
            <w:noProof/>
            <w:webHidden/>
          </w:rPr>
          <w:t>10</w:t>
        </w:r>
        <w:r w:rsidR="0073087E" w:rsidRPr="009E56AE">
          <w:rPr>
            <w:webHidden/>
          </w:rPr>
          <w:fldChar w:fldCharType="end"/>
        </w:r>
      </w:hyperlink>
    </w:p>
    <w:p w14:paraId="67BDFB19" w14:textId="42EAEC88" w:rsidR="0073087E" w:rsidRPr="009E56AE" w:rsidRDefault="00000000">
      <w:pPr>
        <w:pStyle w:val="TOC2"/>
        <w:tabs>
          <w:tab w:val="left" w:pos="880"/>
          <w:tab w:val="right" w:leader="dot" w:pos="9350"/>
        </w:tabs>
      </w:pPr>
      <w:hyperlink w:anchor="_Toc57377159" w:history="1">
        <w:r w:rsidR="0073087E" w:rsidRPr="009E56AE">
          <w:t>3.2.</w:t>
        </w:r>
        <w:r w:rsidR="0073087E" w:rsidRPr="009E56AE">
          <w:tab/>
          <w:t>Namen in cilji evalvacije</w:t>
        </w:r>
        <w:r w:rsidR="0073087E" w:rsidRPr="009E56AE">
          <w:rPr>
            <w:webHidden/>
          </w:rPr>
          <w:tab/>
        </w:r>
        <w:r w:rsidR="0073087E" w:rsidRPr="009E56AE">
          <w:rPr>
            <w:webHidden/>
          </w:rPr>
          <w:fldChar w:fldCharType="begin"/>
        </w:r>
        <w:r w:rsidR="0073087E" w:rsidRPr="009E56AE">
          <w:rPr>
            <w:webHidden/>
          </w:rPr>
          <w:instrText xml:space="preserve"> PAGEREF _Toc57377159 \h </w:instrText>
        </w:r>
        <w:r w:rsidR="0073087E" w:rsidRPr="009E56AE">
          <w:rPr>
            <w:webHidden/>
          </w:rPr>
        </w:r>
        <w:r w:rsidR="0073087E" w:rsidRPr="009E56AE">
          <w:rPr>
            <w:webHidden/>
          </w:rPr>
          <w:fldChar w:fldCharType="separate"/>
        </w:r>
        <w:r w:rsidR="00F67E80">
          <w:rPr>
            <w:noProof/>
            <w:webHidden/>
          </w:rPr>
          <w:t>10</w:t>
        </w:r>
        <w:r w:rsidR="0073087E" w:rsidRPr="009E56AE">
          <w:rPr>
            <w:webHidden/>
          </w:rPr>
          <w:fldChar w:fldCharType="end"/>
        </w:r>
      </w:hyperlink>
    </w:p>
    <w:p w14:paraId="7E56D3FB" w14:textId="72358D98" w:rsidR="0073087E" w:rsidRPr="009E56AE" w:rsidRDefault="00000000">
      <w:pPr>
        <w:pStyle w:val="TOC2"/>
        <w:tabs>
          <w:tab w:val="left" w:pos="880"/>
          <w:tab w:val="right" w:leader="dot" w:pos="9350"/>
        </w:tabs>
      </w:pPr>
      <w:hyperlink w:anchor="_Toc57377160" w:history="1">
        <w:r w:rsidR="0073087E" w:rsidRPr="009E56AE">
          <w:t>3.3.</w:t>
        </w:r>
        <w:r w:rsidR="0073087E" w:rsidRPr="009E56AE">
          <w:tab/>
          <w:t>Struktura poročila in postopek evalvacije</w:t>
        </w:r>
        <w:r w:rsidR="0073087E" w:rsidRPr="009E56AE">
          <w:rPr>
            <w:webHidden/>
          </w:rPr>
          <w:tab/>
        </w:r>
        <w:r w:rsidR="0073087E" w:rsidRPr="009E56AE">
          <w:rPr>
            <w:webHidden/>
          </w:rPr>
          <w:fldChar w:fldCharType="begin"/>
        </w:r>
        <w:r w:rsidR="0073087E" w:rsidRPr="009E56AE">
          <w:rPr>
            <w:webHidden/>
          </w:rPr>
          <w:instrText xml:space="preserve"> PAGEREF _Toc57377160 \h </w:instrText>
        </w:r>
        <w:r w:rsidR="0073087E" w:rsidRPr="009E56AE">
          <w:rPr>
            <w:webHidden/>
          </w:rPr>
        </w:r>
        <w:r w:rsidR="0073087E" w:rsidRPr="009E56AE">
          <w:rPr>
            <w:webHidden/>
          </w:rPr>
          <w:fldChar w:fldCharType="separate"/>
        </w:r>
        <w:r w:rsidR="00F67E80">
          <w:rPr>
            <w:noProof/>
            <w:webHidden/>
          </w:rPr>
          <w:t>11</w:t>
        </w:r>
        <w:r w:rsidR="0073087E" w:rsidRPr="009E56AE">
          <w:rPr>
            <w:webHidden/>
          </w:rPr>
          <w:fldChar w:fldCharType="end"/>
        </w:r>
      </w:hyperlink>
    </w:p>
    <w:p w14:paraId="640F4595" w14:textId="2AD16EC4" w:rsidR="0073087E" w:rsidRPr="009E56AE" w:rsidRDefault="00000000">
      <w:pPr>
        <w:pStyle w:val="TOC1"/>
      </w:pPr>
      <w:hyperlink w:anchor="_Toc57377161" w:history="1">
        <w:r w:rsidR="0073087E" w:rsidRPr="009E56AE">
          <w:t>4.</w:t>
        </w:r>
        <w:r w:rsidR="0073087E" w:rsidRPr="009E56AE">
          <w:tab/>
          <w:t>Okoliščine izvajanja</w:t>
        </w:r>
        <w:r w:rsidR="0073087E" w:rsidRPr="009E56AE">
          <w:rPr>
            <w:webHidden/>
          </w:rPr>
          <w:tab/>
        </w:r>
        <w:r w:rsidR="0073087E" w:rsidRPr="009E56AE">
          <w:rPr>
            <w:webHidden/>
          </w:rPr>
          <w:fldChar w:fldCharType="begin"/>
        </w:r>
        <w:r w:rsidR="0073087E" w:rsidRPr="009E56AE">
          <w:rPr>
            <w:webHidden/>
          </w:rPr>
          <w:instrText xml:space="preserve"> PAGEREF _Toc57377161 \h </w:instrText>
        </w:r>
        <w:r w:rsidR="0073087E" w:rsidRPr="009E56AE">
          <w:rPr>
            <w:webHidden/>
          </w:rPr>
        </w:r>
        <w:r w:rsidR="0073087E" w:rsidRPr="009E56AE">
          <w:rPr>
            <w:webHidden/>
          </w:rPr>
          <w:fldChar w:fldCharType="separate"/>
        </w:r>
        <w:r w:rsidR="00F67E80">
          <w:rPr>
            <w:webHidden/>
          </w:rPr>
          <w:t>12</w:t>
        </w:r>
        <w:r w:rsidR="0073087E" w:rsidRPr="009E56AE">
          <w:rPr>
            <w:webHidden/>
          </w:rPr>
          <w:fldChar w:fldCharType="end"/>
        </w:r>
      </w:hyperlink>
    </w:p>
    <w:p w14:paraId="38ED59A5" w14:textId="07E31FD3" w:rsidR="0073087E" w:rsidRPr="009E56AE" w:rsidRDefault="00000000">
      <w:pPr>
        <w:pStyle w:val="TOC2"/>
        <w:tabs>
          <w:tab w:val="left" w:pos="880"/>
          <w:tab w:val="right" w:leader="dot" w:pos="9350"/>
        </w:tabs>
      </w:pPr>
      <w:hyperlink w:anchor="_Toc57377162" w:history="1">
        <w:r w:rsidR="0073087E" w:rsidRPr="009E56AE">
          <w:t>4.1.</w:t>
        </w:r>
        <w:r w:rsidR="0073087E" w:rsidRPr="009E56AE">
          <w:tab/>
          <w:t>Javno-politični kontekst v Sloveniji</w:t>
        </w:r>
        <w:r w:rsidR="0073087E" w:rsidRPr="009E56AE">
          <w:rPr>
            <w:webHidden/>
          </w:rPr>
          <w:tab/>
        </w:r>
        <w:r w:rsidR="0073087E" w:rsidRPr="009E56AE">
          <w:rPr>
            <w:webHidden/>
          </w:rPr>
          <w:fldChar w:fldCharType="begin"/>
        </w:r>
        <w:r w:rsidR="0073087E" w:rsidRPr="009E56AE">
          <w:rPr>
            <w:webHidden/>
          </w:rPr>
          <w:instrText xml:space="preserve"> PAGEREF _Toc57377162 \h </w:instrText>
        </w:r>
        <w:r w:rsidR="0073087E" w:rsidRPr="009E56AE">
          <w:rPr>
            <w:webHidden/>
          </w:rPr>
        </w:r>
        <w:r w:rsidR="0073087E" w:rsidRPr="009E56AE">
          <w:rPr>
            <w:webHidden/>
          </w:rPr>
          <w:fldChar w:fldCharType="separate"/>
        </w:r>
        <w:r w:rsidR="00F67E80">
          <w:rPr>
            <w:noProof/>
            <w:webHidden/>
          </w:rPr>
          <w:t>12</w:t>
        </w:r>
        <w:r w:rsidR="0073087E" w:rsidRPr="009E56AE">
          <w:rPr>
            <w:webHidden/>
          </w:rPr>
          <w:fldChar w:fldCharType="end"/>
        </w:r>
      </w:hyperlink>
    </w:p>
    <w:p w14:paraId="0494D3BB" w14:textId="0F59FB7B" w:rsidR="0073087E" w:rsidRPr="009E56AE" w:rsidRDefault="00000000">
      <w:pPr>
        <w:pStyle w:val="TOC2"/>
        <w:tabs>
          <w:tab w:val="left" w:pos="880"/>
          <w:tab w:val="right" w:leader="dot" w:pos="9350"/>
        </w:tabs>
      </w:pPr>
      <w:hyperlink w:anchor="_Toc57377163" w:history="1">
        <w:r w:rsidR="0073087E" w:rsidRPr="009E56AE">
          <w:t>4.2.</w:t>
        </w:r>
        <w:r w:rsidR="0073087E" w:rsidRPr="009E56AE">
          <w:tab/>
          <w:t>Institucionalni kontekst</w:t>
        </w:r>
        <w:r w:rsidR="0073087E" w:rsidRPr="009E56AE">
          <w:rPr>
            <w:webHidden/>
          </w:rPr>
          <w:tab/>
        </w:r>
        <w:r w:rsidR="0073087E" w:rsidRPr="009E56AE">
          <w:rPr>
            <w:webHidden/>
          </w:rPr>
          <w:fldChar w:fldCharType="begin"/>
        </w:r>
        <w:r w:rsidR="0073087E" w:rsidRPr="009E56AE">
          <w:rPr>
            <w:webHidden/>
          </w:rPr>
          <w:instrText xml:space="preserve"> PAGEREF _Toc57377163 \h </w:instrText>
        </w:r>
        <w:r w:rsidR="0073087E" w:rsidRPr="009E56AE">
          <w:rPr>
            <w:webHidden/>
          </w:rPr>
        </w:r>
        <w:r w:rsidR="0073087E" w:rsidRPr="009E56AE">
          <w:rPr>
            <w:webHidden/>
          </w:rPr>
          <w:fldChar w:fldCharType="separate"/>
        </w:r>
        <w:r w:rsidR="00F67E80">
          <w:rPr>
            <w:noProof/>
            <w:webHidden/>
          </w:rPr>
          <w:t>17</w:t>
        </w:r>
        <w:r w:rsidR="0073087E" w:rsidRPr="009E56AE">
          <w:rPr>
            <w:webHidden/>
          </w:rPr>
          <w:fldChar w:fldCharType="end"/>
        </w:r>
      </w:hyperlink>
    </w:p>
    <w:p w14:paraId="5C8B56AB" w14:textId="57772BA4" w:rsidR="0073087E" w:rsidRPr="009E56AE" w:rsidRDefault="00000000">
      <w:pPr>
        <w:pStyle w:val="TOC2"/>
        <w:tabs>
          <w:tab w:val="left" w:pos="880"/>
          <w:tab w:val="right" w:leader="dot" w:pos="9350"/>
        </w:tabs>
      </w:pPr>
      <w:hyperlink w:anchor="_Toc57377164" w:history="1">
        <w:r w:rsidR="0073087E" w:rsidRPr="009E56AE">
          <w:t>4.3.</w:t>
        </w:r>
        <w:r w:rsidR="0073087E" w:rsidRPr="009E56AE">
          <w:tab/>
          <w:t>Razvojni kontekst v Severni Makedoniji</w:t>
        </w:r>
        <w:r w:rsidR="0073087E" w:rsidRPr="009E56AE">
          <w:rPr>
            <w:webHidden/>
          </w:rPr>
          <w:tab/>
        </w:r>
        <w:r w:rsidR="0073087E" w:rsidRPr="009E56AE">
          <w:rPr>
            <w:webHidden/>
          </w:rPr>
          <w:fldChar w:fldCharType="begin"/>
        </w:r>
        <w:r w:rsidR="0073087E" w:rsidRPr="009E56AE">
          <w:rPr>
            <w:webHidden/>
          </w:rPr>
          <w:instrText xml:space="preserve"> PAGEREF _Toc57377164 \h </w:instrText>
        </w:r>
        <w:r w:rsidR="0073087E" w:rsidRPr="009E56AE">
          <w:rPr>
            <w:webHidden/>
          </w:rPr>
        </w:r>
        <w:r w:rsidR="0073087E" w:rsidRPr="009E56AE">
          <w:rPr>
            <w:webHidden/>
          </w:rPr>
          <w:fldChar w:fldCharType="separate"/>
        </w:r>
        <w:r w:rsidR="00F67E80">
          <w:rPr>
            <w:noProof/>
            <w:webHidden/>
          </w:rPr>
          <w:t>18</w:t>
        </w:r>
        <w:r w:rsidR="0073087E" w:rsidRPr="009E56AE">
          <w:rPr>
            <w:webHidden/>
          </w:rPr>
          <w:fldChar w:fldCharType="end"/>
        </w:r>
      </w:hyperlink>
    </w:p>
    <w:p w14:paraId="6888BEA0" w14:textId="42DCCEEA" w:rsidR="0073087E" w:rsidRPr="009E56AE" w:rsidRDefault="00000000">
      <w:pPr>
        <w:pStyle w:val="TOC3"/>
        <w:tabs>
          <w:tab w:val="left" w:pos="1320"/>
          <w:tab w:val="right" w:leader="dot" w:pos="9350"/>
        </w:tabs>
      </w:pPr>
      <w:hyperlink w:anchor="_Toc57377165" w:history="1">
        <w:r w:rsidR="0073087E" w:rsidRPr="009E56AE">
          <w:t>4.3.1.</w:t>
        </w:r>
        <w:r w:rsidR="0073087E" w:rsidRPr="009E56AE">
          <w:tab/>
          <w:t>Politični kontekst</w:t>
        </w:r>
        <w:r w:rsidR="0073087E" w:rsidRPr="009E56AE">
          <w:rPr>
            <w:webHidden/>
          </w:rPr>
          <w:tab/>
        </w:r>
        <w:r w:rsidR="0073087E" w:rsidRPr="009E56AE">
          <w:rPr>
            <w:webHidden/>
          </w:rPr>
          <w:fldChar w:fldCharType="begin"/>
        </w:r>
        <w:r w:rsidR="0073087E" w:rsidRPr="009E56AE">
          <w:rPr>
            <w:webHidden/>
          </w:rPr>
          <w:instrText xml:space="preserve"> PAGEREF _Toc57377165 \h </w:instrText>
        </w:r>
        <w:r w:rsidR="0073087E" w:rsidRPr="009E56AE">
          <w:rPr>
            <w:webHidden/>
          </w:rPr>
        </w:r>
        <w:r w:rsidR="0073087E" w:rsidRPr="009E56AE">
          <w:rPr>
            <w:webHidden/>
          </w:rPr>
          <w:fldChar w:fldCharType="separate"/>
        </w:r>
        <w:r w:rsidR="00F67E80">
          <w:rPr>
            <w:noProof/>
            <w:webHidden/>
          </w:rPr>
          <w:t>18</w:t>
        </w:r>
        <w:r w:rsidR="0073087E" w:rsidRPr="009E56AE">
          <w:rPr>
            <w:webHidden/>
          </w:rPr>
          <w:fldChar w:fldCharType="end"/>
        </w:r>
      </w:hyperlink>
    </w:p>
    <w:p w14:paraId="6105FE87" w14:textId="4BC28DA7" w:rsidR="0073087E" w:rsidRPr="009E56AE" w:rsidRDefault="00000000">
      <w:pPr>
        <w:pStyle w:val="TOC3"/>
        <w:tabs>
          <w:tab w:val="left" w:pos="1320"/>
          <w:tab w:val="right" w:leader="dot" w:pos="9350"/>
        </w:tabs>
      </w:pPr>
      <w:hyperlink w:anchor="_Toc57377166" w:history="1">
        <w:r w:rsidR="0073087E" w:rsidRPr="009E56AE">
          <w:t>4.3.2.</w:t>
        </w:r>
        <w:r w:rsidR="0073087E" w:rsidRPr="009E56AE">
          <w:tab/>
          <w:t>Donatorsko okolje</w:t>
        </w:r>
        <w:r w:rsidR="0073087E" w:rsidRPr="009E56AE">
          <w:rPr>
            <w:webHidden/>
          </w:rPr>
          <w:tab/>
        </w:r>
        <w:r w:rsidR="0073087E" w:rsidRPr="009E56AE">
          <w:rPr>
            <w:webHidden/>
          </w:rPr>
          <w:fldChar w:fldCharType="begin"/>
        </w:r>
        <w:r w:rsidR="0073087E" w:rsidRPr="009E56AE">
          <w:rPr>
            <w:webHidden/>
          </w:rPr>
          <w:instrText xml:space="preserve"> PAGEREF _Toc57377166 \h </w:instrText>
        </w:r>
        <w:r w:rsidR="0073087E" w:rsidRPr="009E56AE">
          <w:rPr>
            <w:webHidden/>
          </w:rPr>
        </w:r>
        <w:r w:rsidR="0073087E" w:rsidRPr="009E56AE">
          <w:rPr>
            <w:webHidden/>
          </w:rPr>
          <w:fldChar w:fldCharType="separate"/>
        </w:r>
        <w:r w:rsidR="00F67E80">
          <w:rPr>
            <w:noProof/>
            <w:webHidden/>
          </w:rPr>
          <w:t>19</w:t>
        </w:r>
        <w:r w:rsidR="0073087E" w:rsidRPr="009E56AE">
          <w:rPr>
            <w:webHidden/>
          </w:rPr>
          <w:fldChar w:fldCharType="end"/>
        </w:r>
      </w:hyperlink>
    </w:p>
    <w:p w14:paraId="3E026B4B" w14:textId="693B738B" w:rsidR="0073087E" w:rsidRPr="009E56AE" w:rsidRDefault="00000000">
      <w:pPr>
        <w:pStyle w:val="TOC2"/>
        <w:tabs>
          <w:tab w:val="left" w:pos="880"/>
          <w:tab w:val="right" w:leader="dot" w:pos="9350"/>
        </w:tabs>
      </w:pPr>
      <w:hyperlink w:anchor="_Toc57377167" w:history="1">
        <w:r w:rsidR="0073087E" w:rsidRPr="009E56AE">
          <w:t>4.4.</w:t>
        </w:r>
        <w:r w:rsidR="0073087E" w:rsidRPr="009E56AE">
          <w:tab/>
          <w:t>Vsebina projekta</w:t>
        </w:r>
        <w:r w:rsidR="0073087E" w:rsidRPr="009E56AE">
          <w:rPr>
            <w:webHidden/>
          </w:rPr>
          <w:tab/>
        </w:r>
        <w:r w:rsidR="0073087E" w:rsidRPr="009E56AE">
          <w:rPr>
            <w:webHidden/>
          </w:rPr>
          <w:fldChar w:fldCharType="begin"/>
        </w:r>
        <w:r w:rsidR="0073087E" w:rsidRPr="009E56AE">
          <w:rPr>
            <w:webHidden/>
          </w:rPr>
          <w:instrText xml:space="preserve"> PAGEREF _Toc57377167 \h </w:instrText>
        </w:r>
        <w:r w:rsidR="0073087E" w:rsidRPr="009E56AE">
          <w:rPr>
            <w:webHidden/>
          </w:rPr>
        </w:r>
        <w:r w:rsidR="0073087E" w:rsidRPr="009E56AE">
          <w:rPr>
            <w:webHidden/>
          </w:rPr>
          <w:fldChar w:fldCharType="separate"/>
        </w:r>
        <w:r w:rsidR="00F67E80">
          <w:rPr>
            <w:noProof/>
            <w:webHidden/>
          </w:rPr>
          <w:t>20</w:t>
        </w:r>
        <w:r w:rsidR="0073087E" w:rsidRPr="009E56AE">
          <w:rPr>
            <w:webHidden/>
          </w:rPr>
          <w:fldChar w:fldCharType="end"/>
        </w:r>
      </w:hyperlink>
    </w:p>
    <w:p w14:paraId="7DDAE573" w14:textId="471D28A6" w:rsidR="0073087E" w:rsidRPr="009E56AE" w:rsidRDefault="00000000">
      <w:pPr>
        <w:pStyle w:val="TOC3"/>
        <w:tabs>
          <w:tab w:val="left" w:pos="1320"/>
          <w:tab w:val="right" w:leader="dot" w:pos="9350"/>
        </w:tabs>
      </w:pPr>
      <w:hyperlink w:anchor="_Toc57377168" w:history="1">
        <w:r w:rsidR="0073087E" w:rsidRPr="009E56AE">
          <w:t>4.4.1.</w:t>
        </w:r>
        <w:r w:rsidR="0073087E" w:rsidRPr="009E56AE">
          <w:tab/>
          <w:t>Pomanjkljivosti v prejeti dokumentaciji in druge omejitve</w:t>
        </w:r>
        <w:r w:rsidR="0073087E" w:rsidRPr="009E56AE">
          <w:rPr>
            <w:webHidden/>
          </w:rPr>
          <w:tab/>
        </w:r>
        <w:r w:rsidR="0073087E" w:rsidRPr="009E56AE">
          <w:rPr>
            <w:webHidden/>
          </w:rPr>
          <w:fldChar w:fldCharType="begin"/>
        </w:r>
        <w:r w:rsidR="0073087E" w:rsidRPr="009E56AE">
          <w:rPr>
            <w:webHidden/>
          </w:rPr>
          <w:instrText xml:space="preserve"> PAGEREF _Toc57377168 \h </w:instrText>
        </w:r>
        <w:r w:rsidR="0073087E" w:rsidRPr="009E56AE">
          <w:rPr>
            <w:webHidden/>
          </w:rPr>
        </w:r>
        <w:r w:rsidR="0073087E" w:rsidRPr="009E56AE">
          <w:rPr>
            <w:webHidden/>
          </w:rPr>
          <w:fldChar w:fldCharType="separate"/>
        </w:r>
        <w:r w:rsidR="00F67E80">
          <w:rPr>
            <w:noProof/>
            <w:webHidden/>
          </w:rPr>
          <w:t>21</w:t>
        </w:r>
        <w:r w:rsidR="0073087E" w:rsidRPr="009E56AE">
          <w:rPr>
            <w:webHidden/>
          </w:rPr>
          <w:fldChar w:fldCharType="end"/>
        </w:r>
      </w:hyperlink>
    </w:p>
    <w:p w14:paraId="51A15860" w14:textId="47000968" w:rsidR="0073087E" w:rsidRPr="009E56AE" w:rsidRDefault="00000000">
      <w:pPr>
        <w:pStyle w:val="TOC1"/>
      </w:pPr>
      <w:hyperlink w:anchor="_Toc57377169" w:history="1">
        <w:r w:rsidR="0073087E" w:rsidRPr="009E56AE">
          <w:t>5.</w:t>
        </w:r>
        <w:r w:rsidR="0073087E" w:rsidRPr="009E56AE">
          <w:tab/>
          <w:t>Evalvacijski program</w:t>
        </w:r>
        <w:r w:rsidR="0073087E" w:rsidRPr="009E56AE">
          <w:rPr>
            <w:webHidden/>
          </w:rPr>
          <w:tab/>
        </w:r>
        <w:r w:rsidR="0073087E" w:rsidRPr="009E56AE">
          <w:rPr>
            <w:webHidden/>
          </w:rPr>
          <w:fldChar w:fldCharType="begin"/>
        </w:r>
        <w:r w:rsidR="0073087E" w:rsidRPr="009E56AE">
          <w:rPr>
            <w:webHidden/>
          </w:rPr>
          <w:instrText xml:space="preserve"> PAGEREF _Toc57377169 \h </w:instrText>
        </w:r>
        <w:r w:rsidR="0073087E" w:rsidRPr="009E56AE">
          <w:rPr>
            <w:webHidden/>
          </w:rPr>
        </w:r>
        <w:r w:rsidR="0073087E" w:rsidRPr="009E56AE">
          <w:rPr>
            <w:webHidden/>
          </w:rPr>
          <w:fldChar w:fldCharType="separate"/>
        </w:r>
        <w:r w:rsidR="00F67E80">
          <w:rPr>
            <w:webHidden/>
          </w:rPr>
          <w:t>22</w:t>
        </w:r>
        <w:r w:rsidR="0073087E" w:rsidRPr="009E56AE">
          <w:rPr>
            <w:webHidden/>
          </w:rPr>
          <w:fldChar w:fldCharType="end"/>
        </w:r>
      </w:hyperlink>
    </w:p>
    <w:p w14:paraId="35C82E6C" w14:textId="2754A3D1" w:rsidR="0073087E" w:rsidRPr="009E56AE" w:rsidRDefault="00000000">
      <w:pPr>
        <w:pStyle w:val="TOC2"/>
        <w:tabs>
          <w:tab w:val="left" w:pos="880"/>
          <w:tab w:val="right" w:leader="dot" w:pos="9350"/>
        </w:tabs>
      </w:pPr>
      <w:hyperlink w:anchor="_Toc57377170" w:history="1">
        <w:r w:rsidR="0073087E" w:rsidRPr="009E56AE">
          <w:t>5.1.</w:t>
        </w:r>
        <w:r w:rsidR="0073087E" w:rsidRPr="009E56AE">
          <w:tab/>
          <w:t>Analiza intervencijske logike</w:t>
        </w:r>
        <w:r w:rsidR="0073087E" w:rsidRPr="009E56AE">
          <w:rPr>
            <w:webHidden/>
          </w:rPr>
          <w:tab/>
        </w:r>
        <w:r w:rsidR="0073087E" w:rsidRPr="009E56AE">
          <w:rPr>
            <w:webHidden/>
          </w:rPr>
          <w:fldChar w:fldCharType="begin"/>
        </w:r>
        <w:r w:rsidR="0073087E" w:rsidRPr="009E56AE">
          <w:rPr>
            <w:webHidden/>
          </w:rPr>
          <w:instrText xml:space="preserve"> PAGEREF _Toc57377170 \h </w:instrText>
        </w:r>
        <w:r w:rsidR="0073087E" w:rsidRPr="009E56AE">
          <w:rPr>
            <w:webHidden/>
          </w:rPr>
        </w:r>
        <w:r w:rsidR="0073087E" w:rsidRPr="009E56AE">
          <w:rPr>
            <w:webHidden/>
          </w:rPr>
          <w:fldChar w:fldCharType="separate"/>
        </w:r>
        <w:r w:rsidR="00F67E80">
          <w:rPr>
            <w:noProof/>
            <w:webHidden/>
          </w:rPr>
          <w:t>23</w:t>
        </w:r>
        <w:r w:rsidR="0073087E" w:rsidRPr="009E56AE">
          <w:rPr>
            <w:webHidden/>
          </w:rPr>
          <w:fldChar w:fldCharType="end"/>
        </w:r>
      </w:hyperlink>
    </w:p>
    <w:p w14:paraId="5BA9AD04" w14:textId="02D31158" w:rsidR="0073087E" w:rsidRPr="009E56AE" w:rsidRDefault="00000000">
      <w:pPr>
        <w:pStyle w:val="TOC3"/>
        <w:tabs>
          <w:tab w:val="left" w:pos="1320"/>
          <w:tab w:val="right" w:leader="dot" w:pos="9350"/>
        </w:tabs>
      </w:pPr>
      <w:hyperlink w:anchor="_Toc57377171" w:history="1">
        <w:r w:rsidR="0073087E" w:rsidRPr="009E56AE">
          <w:t>5.1.1.</w:t>
        </w:r>
        <w:r w:rsidR="0073087E" w:rsidRPr="009E56AE">
          <w:tab/>
          <w:t>Notranja usklajenost</w:t>
        </w:r>
        <w:r w:rsidR="0073087E" w:rsidRPr="009E56AE">
          <w:rPr>
            <w:webHidden/>
          </w:rPr>
          <w:tab/>
        </w:r>
        <w:r w:rsidR="0073087E" w:rsidRPr="009E56AE">
          <w:rPr>
            <w:webHidden/>
          </w:rPr>
          <w:fldChar w:fldCharType="begin"/>
        </w:r>
        <w:r w:rsidR="0073087E" w:rsidRPr="009E56AE">
          <w:rPr>
            <w:webHidden/>
          </w:rPr>
          <w:instrText xml:space="preserve"> PAGEREF _Toc57377171 \h </w:instrText>
        </w:r>
        <w:r w:rsidR="0073087E" w:rsidRPr="009E56AE">
          <w:rPr>
            <w:webHidden/>
          </w:rPr>
        </w:r>
        <w:r w:rsidR="0073087E" w:rsidRPr="009E56AE">
          <w:rPr>
            <w:webHidden/>
          </w:rPr>
          <w:fldChar w:fldCharType="separate"/>
        </w:r>
        <w:r w:rsidR="00F67E80">
          <w:rPr>
            <w:noProof/>
            <w:webHidden/>
          </w:rPr>
          <w:t>23</w:t>
        </w:r>
        <w:r w:rsidR="0073087E" w:rsidRPr="009E56AE">
          <w:rPr>
            <w:webHidden/>
          </w:rPr>
          <w:fldChar w:fldCharType="end"/>
        </w:r>
      </w:hyperlink>
    </w:p>
    <w:p w14:paraId="175F4CBF" w14:textId="078D9F4C" w:rsidR="0073087E" w:rsidRPr="009E56AE" w:rsidRDefault="00000000">
      <w:pPr>
        <w:pStyle w:val="TOC3"/>
        <w:tabs>
          <w:tab w:val="left" w:pos="1320"/>
          <w:tab w:val="right" w:leader="dot" w:pos="9350"/>
        </w:tabs>
      </w:pPr>
      <w:hyperlink w:anchor="_Toc57377172" w:history="1">
        <w:r w:rsidR="0073087E" w:rsidRPr="009E56AE">
          <w:t>5.1.2.</w:t>
        </w:r>
        <w:r w:rsidR="0073087E" w:rsidRPr="009E56AE">
          <w:tab/>
          <w:t>Zunanja usklajenost</w:t>
        </w:r>
        <w:r w:rsidR="0073087E" w:rsidRPr="009E56AE">
          <w:rPr>
            <w:webHidden/>
          </w:rPr>
          <w:tab/>
        </w:r>
        <w:r w:rsidR="0073087E" w:rsidRPr="009E56AE">
          <w:rPr>
            <w:webHidden/>
          </w:rPr>
          <w:fldChar w:fldCharType="begin"/>
        </w:r>
        <w:r w:rsidR="0073087E" w:rsidRPr="009E56AE">
          <w:rPr>
            <w:webHidden/>
          </w:rPr>
          <w:instrText xml:space="preserve"> PAGEREF _Toc57377172 \h </w:instrText>
        </w:r>
        <w:r w:rsidR="0073087E" w:rsidRPr="009E56AE">
          <w:rPr>
            <w:webHidden/>
          </w:rPr>
        </w:r>
        <w:r w:rsidR="0073087E" w:rsidRPr="009E56AE">
          <w:rPr>
            <w:webHidden/>
          </w:rPr>
          <w:fldChar w:fldCharType="separate"/>
        </w:r>
        <w:r w:rsidR="00F67E80">
          <w:rPr>
            <w:noProof/>
            <w:webHidden/>
          </w:rPr>
          <w:t>23</w:t>
        </w:r>
        <w:r w:rsidR="0073087E" w:rsidRPr="009E56AE">
          <w:rPr>
            <w:webHidden/>
          </w:rPr>
          <w:fldChar w:fldCharType="end"/>
        </w:r>
      </w:hyperlink>
    </w:p>
    <w:p w14:paraId="3E0FEA24" w14:textId="22CC9B4E" w:rsidR="0073087E" w:rsidRPr="009E56AE" w:rsidRDefault="00000000">
      <w:pPr>
        <w:pStyle w:val="TOC2"/>
        <w:tabs>
          <w:tab w:val="left" w:pos="880"/>
          <w:tab w:val="right" w:leader="dot" w:pos="9350"/>
        </w:tabs>
      </w:pPr>
      <w:hyperlink w:anchor="_Toc57377173" w:history="1">
        <w:r w:rsidR="0073087E" w:rsidRPr="009E56AE">
          <w:t>5.2.</w:t>
        </w:r>
        <w:r w:rsidR="0073087E" w:rsidRPr="009E56AE">
          <w:tab/>
          <w:t>Evalvacijska matrika</w:t>
        </w:r>
        <w:r w:rsidR="0073087E" w:rsidRPr="009E56AE">
          <w:rPr>
            <w:webHidden/>
          </w:rPr>
          <w:tab/>
        </w:r>
        <w:r w:rsidR="0073087E" w:rsidRPr="009E56AE">
          <w:rPr>
            <w:webHidden/>
          </w:rPr>
          <w:fldChar w:fldCharType="begin"/>
        </w:r>
        <w:r w:rsidR="0073087E" w:rsidRPr="009E56AE">
          <w:rPr>
            <w:webHidden/>
          </w:rPr>
          <w:instrText xml:space="preserve"> PAGEREF _Toc57377173 \h </w:instrText>
        </w:r>
        <w:r w:rsidR="0073087E" w:rsidRPr="009E56AE">
          <w:rPr>
            <w:webHidden/>
          </w:rPr>
        </w:r>
        <w:r w:rsidR="0073087E" w:rsidRPr="009E56AE">
          <w:rPr>
            <w:webHidden/>
          </w:rPr>
          <w:fldChar w:fldCharType="separate"/>
        </w:r>
        <w:r w:rsidR="00F67E80">
          <w:rPr>
            <w:noProof/>
            <w:webHidden/>
          </w:rPr>
          <w:t>25</w:t>
        </w:r>
        <w:r w:rsidR="0073087E" w:rsidRPr="009E56AE">
          <w:rPr>
            <w:webHidden/>
          </w:rPr>
          <w:fldChar w:fldCharType="end"/>
        </w:r>
      </w:hyperlink>
    </w:p>
    <w:p w14:paraId="03964E1C" w14:textId="1B947BC9" w:rsidR="0073087E" w:rsidRPr="009E56AE" w:rsidRDefault="00000000">
      <w:pPr>
        <w:pStyle w:val="TOC2"/>
        <w:tabs>
          <w:tab w:val="left" w:pos="880"/>
          <w:tab w:val="right" w:leader="dot" w:pos="9350"/>
        </w:tabs>
      </w:pPr>
      <w:hyperlink w:anchor="_Toc57377174" w:history="1">
        <w:r w:rsidR="0073087E" w:rsidRPr="009E56AE">
          <w:t>5.3.</w:t>
        </w:r>
        <w:r w:rsidR="0073087E" w:rsidRPr="009E56AE">
          <w:tab/>
          <w:t>Načrt dela</w:t>
        </w:r>
        <w:r w:rsidR="0073087E" w:rsidRPr="009E56AE">
          <w:rPr>
            <w:webHidden/>
          </w:rPr>
          <w:tab/>
        </w:r>
        <w:r w:rsidR="0073087E" w:rsidRPr="009E56AE">
          <w:rPr>
            <w:webHidden/>
          </w:rPr>
          <w:fldChar w:fldCharType="begin"/>
        </w:r>
        <w:r w:rsidR="0073087E" w:rsidRPr="009E56AE">
          <w:rPr>
            <w:webHidden/>
          </w:rPr>
          <w:instrText xml:space="preserve"> PAGEREF _Toc57377174 \h </w:instrText>
        </w:r>
        <w:r w:rsidR="0073087E" w:rsidRPr="009E56AE">
          <w:rPr>
            <w:webHidden/>
          </w:rPr>
        </w:r>
        <w:r w:rsidR="0073087E" w:rsidRPr="009E56AE">
          <w:rPr>
            <w:webHidden/>
          </w:rPr>
          <w:fldChar w:fldCharType="separate"/>
        </w:r>
        <w:r w:rsidR="00F67E80">
          <w:rPr>
            <w:noProof/>
            <w:webHidden/>
          </w:rPr>
          <w:t>38</w:t>
        </w:r>
        <w:r w:rsidR="0073087E" w:rsidRPr="009E56AE">
          <w:rPr>
            <w:webHidden/>
          </w:rPr>
          <w:fldChar w:fldCharType="end"/>
        </w:r>
      </w:hyperlink>
    </w:p>
    <w:p w14:paraId="383F3248" w14:textId="5FA27DCA" w:rsidR="0073087E" w:rsidRPr="009E56AE" w:rsidRDefault="00000000">
      <w:pPr>
        <w:pStyle w:val="TOC3"/>
        <w:tabs>
          <w:tab w:val="left" w:pos="1320"/>
          <w:tab w:val="right" w:leader="dot" w:pos="9350"/>
        </w:tabs>
      </w:pPr>
      <w:hyperlink w:anchor="_Toc57377175" w:history="1">
        <w:r w:rsidR="0073087E" w:rsidRPr="009E56AE">
          <w:t>5.3.1.</w:t>
        </w:r>
        <w:r w:rsidR="0073087E" w:rsidRPr="009E56AE">
          <w:tab/>
          <w:t>Opravljeno terensko delo</w:t>
        </w:r>
        <w:r w:rsidR="0073087E" w:rsidRPr="009E56AE">
          <w:rPr>
            <w:webHidden/>
          </w:rPr>
          <w:tab/>
        </w:r>
        <w:r w:rsidR="0073087E" w:rsidRPr="009E56AE">
          <w:rPr>
            <w:webHidden/>
          </w:rPr>
          <w:fldChar w:fldCharType="begin"/>
        </w:r>
        <w:r w:rsidR="0073087E" w:rsidRPr="009E56AE">
          <w:rPr>
            <w:webHidden/>
          </w:rPr>
          <w:instrText xml:space="preserve"> PAGEREF _Toc57377175 \h </w:instrText>
        </w:r>
        <w:r w:rsidR="0073087E" w:rsidRPr="009E56AE">
          <w:rPr>
            <w:webHidden/>
          </w:rPr>
        </w:r>
        <w:r w:rsidR="0073087E" w:rsidRPr="009E56AE">
          <w:rPr>
            <w:webHidden/>
          </w:rPr>
          <w:fldChar w:fldCharType="separate"/>
        </w:r>
        <w:r w:rsidR="00F67E80">
          <w:rPr>
            <w:noProof/>
            <w:webHidden/>
          </w:rPr>
          <w:t>39</w:t>
        </w:r>
        <w:r w:rsidR="0073087E" w:rsidRPr="009E56AE">
          <w:rPr>
            <w:webHidden/>
          </w:rPr>
          <w:fldChar w:fldCharType="end"/>
        </w:r>
      </w:hyperlink>
    </w:p>
    <w:p w14:paraId="6B78D124" w14:textId="34C01022" w:rsidR="0073087E" w:rsidRPr="009E56AE" w:rsidRDefault="00000000">
      <w:pPr>
        <w:pStyle w:val="TOC1"/>
      </w:pPr>
      <w:hyperlink w:anchor="_Toc57377176" w:history="1">
        <w:r w:rsidR="0073087E" w:rsidRPr="009E56AE">
          <w:t>6.</w:t>
        </w:r>
        <w:r w:rsidR="0073087E" w:rsidRPr="009E56AE">
          <w:tab/>
          <w:t>Ugotovitve in zaključki (odgovori na evalvacijska vprašanja)</w:t>
        </w:r>
        <w:r w:rsidR="0073087E" w:rsidRPr="009E56AE">
          <w:rPr>
            <w:webHidden/>
          </w:rPr>
          <w:tab/>
        </w:r>
        <w:r w:rsidR="0073087E" w:rsidRPr="009E56AE">
          <w:rPr>
            <w:webHidden/>
          </w:rPr>
          <w:fldChar w:fldCharType="begin"/>
        </w:r>
        <w:r w:rsidR="0073087E" w:rsidRPr="009E56AE">
          <w:rPr>
            <w:webHidden/>
          </w:rPr>
          <w:instrText xml:space="preserve"> PAGEREF _Toc57377176 \h </w:instrText>
        </w:r>
        <w:r w:rsidR="0073087E" w:rsidRPr="009E56AE">
          <w:rPr>
            <w:webHidden/>
          </w:rPr>
        </w:r>
        <w:r w:rsidR="0073087E" w:rsidRPr="009E56AE">
          <w:rPr>
            <w:webHidden/>
          </w:rPr>
          <w:fldChar w:fldCharType="separate"/>
        </w:r>
        <w:r w:rsidR="00F67E80">
          <w:rPr>
            <w:webHidden/>
          </w:rPr>
          <w:t>40</w:t>
        </w:r>
        <w:r w:rsidR="0073087E" w:rsidRPr="009E56AE">
          <w:rPr>
            <w:webHidden/>
          </w:rPr>
          <w:fldChar w:fldCharType="end"/>
        </w:r>
      </w:hyperlink>
    </w:p>
    <w:p w14:paraId="14FC3BE1" w14:textId="3ECBBE5F" w:rsidR="0073087E" w:rsidRPr="009E56AE" w:rsidRDefault="00000000">
      <w:pPr>
        <w:pStyle w:val="TOC2"/>
        <w:tabs>
          <w:tab w:val="left" w:pos="880"/>
          <w:tab w:val="right" w:leader="dot" w:pos="9350"/>
        </w:tabs>
      </w:pPr>
      <w:hyperlink w:anchor="_Toc57377177" w:history="1">
        <w:r w:rsidR="0073087E" w:rsidRPr="009E56AE">
          <w:t>6.1.</w:t>
        </w:r>
        <w:r w:rsidR="0073087E" w:rsidRPr="009E56AE">
          <w:tab/>
          <w:t>Odgovori na evalvacijska vprašanja</w:t>
        </w:r>
        <w:r w:rsidR="0073087E" w:rsidRPr="009E56AE">
          <w:rPr>
            <w:webHidden/>
          </w:rPr>
          <w:tab/>
        </w:r>
        <w:r w:rsidR="0073087E" w:rsidRPr="009E56AE">
          <w:rPr>
            <w:webHidden/>
          </w:rPr>
          <w:fldChar w:fldCharType="begin"/>
        </w:r>
        <w:r w:rsidR="0073087E" w:rsidRPr="009E56AE">
          <w:rPr>
            <w:webHidden/>
          </w:rPr>
          <w:instrText xml:space="preserve"> PAGEREF _Toc57377177 \h </w:instrText>
        </w:r>
        <w:r w:rsidR="0073087E" w:rsidRPr="009E56AE">
          <w:rPr>
            <w:webHidden/>
          </w:rPr>
        </w:r>
        <w:r w:rsidR="0073087E" w:rsidRPr="009E56AE">
          <w:rPr>
            <w:webHidden/>
          </w:rPr>
          <w:fldChar w:fldCharType="separate"/>
        </w:r>
        <w:r w:rsidR="00F67E80">
          <w:rPr>
            <w:noProof/>
            <w:webHidden/>
          </w:rPr>
          <w:t>40</w:t>
        </w:r>
        <w:r w:rsidR="0073087E" w:rsidRPr="009E56AE">
          <w:rPr>
            <w:webHidden/>
          </w:rPr>
          <w:fldChar w:fldCharType="end"/>
        </w:r>
      </w:hyperlink>
    </w:p>
    <w:p w14:paraId="2B91EC80" w14:textId="765C2461" w:rsidR="0073087E" w:rsidRPr="009E56AE" w:rsidRDefault="00000000">
      <w:pPr>
        <w:pStyle w:val="TOC3"/>
        <w:tabs>
          <w:tab w:val="left" w:pos="1320"/>
          <w:tab w:val="right" w:leader="dot" w:pos="9350"/>
        </w:tabs>
      </w:pPr>
      <w:hyperlink w:anchor="_Toc57377178" w:history="1">
        <w:r w:rsidR="0073087E" w:rsidRPr="009E56AE">
          <w:t>6.1.1.</w:t>
        </w:r>
        <w:r w:rsidR="0073087E" w:rsidRPr="009E56AE">
          <w:tab/>
          <w:t>Ustreznost</w:t>
        </w:r>
        <w:r w:rsidR="0073087E" w:rsidRPr="009E56AE">
          <w:rPr>
            <w:webHidden/>
          </w:rPr>
          <w:tab/>
        </w:r>
        <w:r w:rsidR="0073087E" w:rsidRPr="009E56AE">
          <w:rPr>
            <w:webHidden/>
          </w:rPr>
          <w:fldChar w:fldCharType="begin"/>
        </w:r>
        <w:r w:rsidR="0073087E" w:rsidRPr="009E56AE">
          <w:rPr>
            <w:webHidden/>
          </w:rPr>
          <w:instrText xml:space="preserve"> PAGEREF _Toc57377178 \h </w:instrText>
        </w:r>
        <w:r w:rsidR="0073087E" w:rsidRPr="009E56AE">
          <w:rPr>
            <w:webHidden/>
          </w:rPr>
        </w:r>
        <w:r w:rsidR="0073087E" w:rsidRPr="009E56AE">
          <w:rPr>
            <w:webHidden/>
          </w:rPr>
          <w:fldChar w:fldCharType="separate"/>
        </w:r>
        <w:r w:rsidR="00F67E80">
          <w:rPr>
            <w:noProof/>
            <w:webHidden/>
          </w:rPr>
          <w:t>40</w:t>
        </w:r>
        <w:r w:rsidR="0073087E" w:rsidRPr="009E56AE">
          <w:rPr>
            <w:webHidden/>
          </w:rPr>
          <w:fldChar w:fldCharType="end"/>
        </w:r>
      </w:hyperlink>
    </w:p>
    <w:p w14:paraId="182AA219" w14:textId="59CE5BE7" w:rsidR="0073087E" w:rsidRPr="009E56AE" w:rsidRDefault="00000000">
      <w:pPr>
        <w:pStyle w:val="TOC3"/>
        <w:tabs>
          <w:tab w:val="left" w:pos="1320"/>
          <w:tab w:val="right" w:leader="dot" w:pos="9350"/>
        </w:tabs>
      </w:pPr>
      <w:hyperlink w:anchor="_Toc57377179" w:history="1">
        <w:r w:rsidR="0073087E" w:rsidRPr="009E56AE">
          <w:t>6.1.2.</w:t>
        </w:r>
        <w:r w:rsidR="0073087E" w:rsidRPr="009E56AE">
          <w:tab/>
          <w:t>Uspešnost</w:t>
        </w:r>
        <w:r w:rsidR="0073087E" w:rsidRPr="009E56AE">
          <w:rPr>
            <w:webHidden/>
          </w:rPr>
          <w:tab/>
        </w:r>
        <w:r w:rsidR="0073087E" w:rsidRPr="009E56AE">
          <w:rPr>
            <w:webHidden/>
          </w:rPr>
          <w:fldChar w:fldCharType="begin"/>
        </w:r>
        <w:r w:rsidR="0073087E" w:rsidRPr="009E56AE">
          <w:rPr>
            <w:webHidden/>
          </w:rPr>
          <w:instrText xml:space="preserve"> PAGEREF _Toc57377179 \h </w:instrText>
        </w:r>
        <w:r w:rsidR="0073087E" w:rsidRPr="009E56AE">
          <w:rPr>
            <w:webHidden/>
          </w:rPr>
        </w:r>
        <w:r w:rsidR="0073087E" w:rsidRPr="009E56AE">
          <w:rPr>
            <w:webHidden/>
          </w:rPr>
          <w:fldChar w:fldCharType="separate"/>
        </w:r>
        <w:r w:rsidR="00F67E80">
          <w:rPr>
            <w:noProof/>
            <w:webHidden/>
          </w:rPr>
          <w:t>47</w:t>
        </w:r>
        <w:r w:rsidR="0073087E" w:rsidRPr="009E56AE">
          <w:rPr>
            <w:webHidden/>
          </w:rPr>
          <w:fldChar w:fldCharType="end"/>
        </w:r>
      </w:hyperlink>
    </w:p>
    <w:p w14:paraId="36996A61" w14:textId="497A244F" w:rsidR="0073087E" w:rsidRPr="009E56AE" w:rsidRDefault="00000000">
      <w:pPr>
        <w:pStyle w:val="TOC3"/>
        <w:tabs>
          <w:tab w:val="left" w:pos="1320"/>
          <w:tab w:val="right" w:leader="dot" w:pos="9350"/>
        </w:tabs>
      </w:pPr>
      <w:hyperlink w:anchor="_Toc57377180" w:history="1">
        <w:r w:rsidR="0073087E" w:rsidRPr="009E56AE">
          <w:t>6.1.3.</w:t>
        </w:r>
        <w:r w:rsidR="0073087E" w:rsidRPr="009E56AE">
          <w:tab/>
          <w:t>Učinkovitost</w:t>
        </w:r>
        <w:r w:rsidR="0073087E" w:rsidRPr="009E56AE">
          <w:rPr>
            <w:webHidden/>
          </w:rPr>
          <w:tab/>
        </w:r>
        <w:r w:rsidR="0073087E" w:rsidRPr="009E56AE">
          <w:rPr>
            <w:webHidden/>
          </w:rPr>
          <w:fldChar w:fldCharType="begin"/>
        </w:r>
        <w:r w:rsidR="0073087E" w:rsidRPr="009E56AE">
          <w:rPr>
            <w:webHidden/>
          </w:rPr>
          <w:instrText xml:space="preserve"> PAGEREF _Toc57377180 \h </w:instrText>
        </w:r>
        <w:r w:rsidR="0073087E" w:rsidRPr="009E56AE">
          <w:rPr>
            <w:webHidden/>
          </w:rPr>
        </w:r>
        <w:r w:rsidR="0073087E" w:rsidRPr="009E56AE">
          <w:rPr>
            <w:webHidden/>
          </w:rPr>
          <w:fldChar w:fldCharType="separate"/>
        </w:r>
        <w:r w:rsidR="00F67E80">
          <w:rPr>
            <w:noProof/>
            <w:webHidden/>
          </w:rPr>
          <w:t>48</w:t>
        </w:r>
        <w:r w:rsidR="0073087E" w:rsidRPr="009E56AE">
          <w:rPr>
            <w:webHidden/>
          </w:rPr>
          <w:fldChar w:fldCharType="end"/>
        </w:r>
      </w:hyperlink>
    </w:p>
    <w:p w14:paraId="3692E826" w14:textId="598AF315" w:rsidR="0073087E" w:rsidRPr="009E56AE" w:rsidRDefault="00000000">
      <w:pPr>
        <w:pStyle w:val="TOC3"/>
        <w:tabs>
          <w:tab w:val="left" w:pos="1320"/>
          <w:tab w:val="right" w:leader="dot" w:pos="9350"/>
        </w:tabs>
      </w:pPr>
      <w:hyperlink w:anchor="_Toc57377181" w:history="1">
        <w:r w:rsidR="0073087E" w:rsidRPr="009E56AE">
          <w:t>6.1.4.</w:t>
        </w:r>
        <w:r w:rsidR="0073087E" w:rsidRPr="009E56AE">
          <w:tab/>
          <w:t>Vpliv</w:t>
        </w:r>
        <w:r w:rsidR="0073087E" w:rsidRPr="009E56AE">
          <w:rPr>
            <w:webHidden/>
          </w:rPr>
          <w:tab/>
        </w:r>
        <w:r w:rsidR="0073087E" w:rsidRPr="009E56AE">
          <w:rPr>
            <w:webHidden/>
          </w:rPr>
          <w:fldChar w:fldCharType="begin"/>
        </w:r>
        <w:r w:rsidR="0073087E" w:rsidRPr="009E56AE">
          <w:rPr>
            <w:webHidden/>
          </w:rPr>
          <w:instrText xml:space="preserve"> PAGEREF _Toc57377181 \h </w:instrText>
        </w:r>
        <w:r w:rsidR="0073087E" w:rsidRPr="009E56AE">
          <w:rPr>
            <w:webHidden/>
          </w:rPr>
        </w:r>
        <w:r w:rsidR="0073087E" w:rsidRPr="009E56AE">
          <w:rPr>
            <w:webHidden/>
          </w:rPr>
          <w:fldChar w:fldCharType="separate"/>
        </w:r>
        <w:r w:rsidR="00F67E80">
          <w:rPr>
            <w:noProof/>
            <w:webHidden/>
          </w:rPr>
          <w:t>56</w:t>
        </w:r>
        <w:r w:rsidR="0073087E" w:rsidRPr="009E56AE">
          <w:rPr>
            <w:webHidden/>
          </w:rPr>
          <w:fldChar w:fldCharType="end"/>
        </w:r>
      </w:hyperlink>
    </w:p>
    <w:p w14:paraId="3CE0DCA3" w14:textId="04F40578" w:rsidR="0073087E" w:rsidRPr="009E56AE" w:rsidRDefault="00000000">
      <w:pPr>
        <w:pStyle w:val="TOC3"/>
        <w:tabs>
          <w:tab w:val="left" w:pos="1320"/>
          <w:tab w:val="right" w:leader="dot" w:pos="9350"/>
        </w:tabs>
      </w:pPr>
      <w:hyperlink w:anchor="_Toc57377182" w:history="1">
        <w:r w:rsidR="0073087E" w:rsidRPr="009E56AE">
          <w:t>6.1.5.</w:t>
        </w:r>
        <w:r w:rsidR="0073087E" w:rsidRPr="009E56AE">
          <w:tab/>
          <w:t>Trajnost</w:t>
        </w:r>
        <w:r w:rsidR="0073087E" w:rsidRPr="009E56AE">
          <w:rPr>
            <w:webHidden/>
          </w:rPr>
          <w:tab/>
        </w:r>
        <w:r w:rsidR="0073087E" w:rsidRPr="009E56AE">
          <w:rPr>
            <w:webHidden/>
          </w:rPr>
          <w:fldChar w:fldCharType="begin"/>
        </w:r>
        <w:r w:rsidR="0073087E" w:rsidRPr="009E56AE">
          <w:rPr>
            <w:webHidden/>
          </w:rPr>
          <w:instrText xml:space="preserve"> PAGEREF _Toc57377182 \h </w:instrText>
        </w:r>
        <w:r w:rsidR="0073087E" w:rsidRPr="009E56AE">
          <w:rPr>
            <w:webHidden/>
          </w:rPr>
        </w:r>
        <w:r w:rsidR="0073087E" w:rsidRPr="009E56AE">
          <w:rPr>
            <w:webHidden/>
          </w:rPr>
          <w:fldChar w:fldCharType="separate"/>
        </w:r>
        <w:r w:rsidR="00F67E80">
          <w:rPr>
            <w:noProof/>
            <w:webHidden/>
          </w:rPr>
          <w:t>57</w:t>
        </w:r>
        <w:r w:rsidR="0073087E" w:rsidRPr="009E56AE">
          <w:rPr>
            <w:webHidden/>
          </w:rPr>
          <w:fldChar w:fldCharType="end"/>
        </w:r>
      </w:hyperlink>
    </w:p>
    <w:p w14:paraId="197D2319" w14:textId="4B32B04B" w:rsidR="0073087E" w:rsidRPr="009E56AE" w:rsidRDefault="00000000">
      <w:pPr>
        <w:pStyle w:val="TOC1"/>
      </w:pPr>
      <w:hyperlink w:anchor="_Toc57377183" w:history="1">
        <w:r w:rsidR="0073087E" w:rsidRPr="009E56AE">
          <w:t>7.</w:t>
        </w:r>
        <w:r w:rsidR="0073087E" w:rsidRPr="009E56AE">
          <w:tab/>
          <w:t>Ključne ugotovitve in priporočila</w:t>
        </w:r>
        <w:r w:rsidR="0073087E" w:rsidRPr="009E56AE">
          <w:rPr>
            <w:webHidden/>
          </w:rPr>
          <w:tab/>
        </w:r>
        <w:r w:rsidR="0073087E" w:rsidRPr="009E56AE">
          <w:rPr>
            <w:webHidden/>
          </w:rPr>
          <w:fldChar w:fldCharType="begin"/>
        </w:r>
        <w:r w:rsidR="0073087E" w:rsidRPr="009E56AE">
          <w:rPr>
            <w:webHidden/>
          </w:rPr>
          <w:instrText xml:space="preserve"> PAGEREF _Toc57377183 \h </w:instrText>
        </w:r>
        <w:r w:rsidR="0073087E" w:rsidRPr="009E56AE">
          <w:rPr>
            <w:webHidden/>
          </w:rPr>
        </w:r>
        <w:r w:rsidR="0073087E" w:rsidRPr="009E56AE">
          <w:rPr>
            <w:webHidden/>
          </w:rPr>
          <w:fldChar w:fldCharType="separate"/>
        </w:r>
        <w:r w:rsidR="00F67E80">
          <w:rPr>
            <w:webHidden/>
          </w:rPr>
          <w:t>59</w:t>
        </w:r>
        <w:r w:rsidR="0073087E" w:rsidRPr="009E56AE">
          <w:rPr>
            <w:webHidden/>
          </w:rPr>
          <w:fldChar w:fldCharType="end"/>
        </w:r>
      </w:hyperlink>
    </w:p>
    <w:p w14:paraId="70B82D4D" w14:textId="4F860B2D" w:rsidR="0073087E" w:rsidRPr="009E56AE" w:rsidRDefault="00000000">
      <w:pPr>
        <w:pStyle w:val="TOC1"/>
      </w:pPr>
      <w:hyperlink w:anchor="_Toc57377184" w:history="1">
        <w:r w:rsidR="0073087E" w:rsidRPr="009E56AE">
          <w:t>8.</w:t>
        </w:r>
        <w:r w:rsidR="0073087E" w:rsidRPr="009E56AE">
          <w:tab/>
          <w:t>Findings and recommendations</w:t>
        </w:r>
        <w:r w:rsidR="0073087E" w:rsidRPr="009E56AE">
          <w:rPr>
            <w:webHidden/>
          </w:rPr>
          <w:tab/>
        </w:r>
        <w:r w:rsidR="0073087E" w:rsidRPr="009E56AE">
          <w:rPr>
            <w:webHidden/>
          </w:rPr>
          <w:fldChar w:fldCharType="begin"/>
        </w:r>
        <w:r w:rsidR="0073087E" w:rsidRPr="009E56AE">
          <w:rPr>
            <w:webHidden/>
          </w:rPr>
          <w:instrText xml:space="preserve"> PAGEREF _Toc57377184 \h </w:instrText>
        </w:r>
        <w:r w:rsidR="0073087E" w:rsidRPr="009E56AE">
          <w:rPr>
            <w:webHidden/>
          </w:rPr>
        </w:r>
        <w:r w:rsidR="0073087E" w:rsidRPr="009E56AE">
          <w:rPr>
            <w:webHidden/>
          </w:rPr>
          <w:fldChar w:fldCharType="separate"/>
        </w:r>
        <w:r w:rsidR="00F67E80">
          <w:rPr>
            <w:webHidden/>
          </w:rPr>
          <w:t>62</w:t>
        </w:r>
        <w:r w:rsidR="0073087E" w:rsidRPr="009E56AE">
          <w:rPr>
            <w:webHidden/>
          </w:rPr>
          <w:fldChar w:fldCharType="end"/>
        </w:r>
      </w:hyperlink>
    </w:p>
    <w:p w14:paraId="64AEDE27" w14:textId="77FFBD00" w:rsidR="0073087E" w:rsidRPr="009E56AE" w:rsidRDefault="00000000">
      <w:pPr>
        <w:pStyle w:val="TOC1"/>
      </w:pPr>
      <w:hyperlink w:anchor="_Toc57377185" w:history="1">
        <w:r w:rsidR="0073087E" w:rsidRPr="009E56AE">
          <w:t>9.</w:t>
        </w:r>
        <w:r w:rsidR="0073087E" w:rsidRPr="009E56AE">
          <w:tab/>
          <w:t>Ključna spoznanja</w:t>
        </w:r>
        <w:r w:rsidR="0073087E" w:rsidRPr="009E56AE">
          <w:rPr>
            <w:webHidden/>
          </w:rPr>
          <w:tab/>
        </w:r>
        <w:r w:rsidR="0073087E" w:rsidRPr="009E56AE">
          <w:rPr>
            <w:webHidden/>
          </w:rPr>
          <w:fldChar w:fldCharType="begin"/>
        </w:r>
        <w:r w:rsidR="0073087E" w:rsidRPr="009E56AE">
          <w:rPr>
            <w:webHidden/>
          </w:rPr>
          <w:instrText xml:space="preserve"> PAGEREF _Toc57377185 \h </w:instrText>
        </w:r>
        <w:r w:rsidR="0073087E" w:rsidRPr="009E56AE">
          <w:rPr>
            <w:webHidden/>
          </w:rPr>
        </w:r>
        <w:r w:rsidR="0073087E" w:rsidRPr="009E56AE">
          <w:rPr>
            <w:webHidden/>
          </w:rPr>
          <w:fldChar w:fldCharType="separate"/>
        </w:r>
        <w:r w:rsidR="00F67E80">
          <w:rPr>
            <w:webHidden/>
          </w:rPr>
          <w:t>65</w:t>
        </w:r>
        <w:r w:rsidR="0073087E" w:rsidRPr="009E56AE">
          <w:rPr>
            <w:webHidden/>
          </w:rPr>
          <w:fldChar w:fldCharType="end"/>
        </w:r>
      </w:hyperlink>
    </w:p>
    <w:p w14:paraId="238D6FB0" w14:textId="6330E385" w:rsidR="0073087E" w:rsidRPr="009E56AE" w:rsidRDefault="00000000">
      <w:pPr>
        <w:pStyle w:val="TOC1"/>
      </w:pPr>
      <w:hyperlink w:anchor="_Toc57377186" w:history="1">
        <w:r w:rsidR="0073087E" w:rsidRPr="009E56AE">
          <w:t>10.</w:t>
        </w:r>
        <w:r w:rsidR="0073087E" w:rsidRPr="009E56AE">
          <w:tab/>
          <w:t>Literatura</w:t>
        </w:r>
        <w:r w:rsidR="0073087E" w:rsidRPr="009E56AE">
          <w:rPr>
            <w:webHidden/>
          </w:rPr>
          <w:tab/>
        </w:r>
        <w:r w:rsidR="0073087E" w:rsidRPr="009E56AE">
          <w:rPr>
            <w:webHidden/>
          </w:rPr>
          <w:fldChar w:fldCharType="begin"/>
        </w:r>
        <w:r w:rsidR="0073087E" w:rsidRPr="009E56AE">
          <w:rPr>
            <w:webHidden/>
          </w:rPr>
          <w:instrText xml:space="preserve"> PAGEREF _Toc57377186 \h </w:instrText>
        </w:r>
        <w:r w:rsidR="0073087E" w:rsidRPr="009E56AE">
          <w:rPr>
            <w:webHidden/>
          </w:rPr>
        </w:r>
        <w:r w:rsidR="0073087E" w:rsidRPr="009E56AE">
          <w:rPr>
            <w:webHidden/>
          </w:rPr>
          <w:fldChar w:fldCharType="separate"/>
        </w:r>
        <w:r w:rsidR="00F67E80">
          <w:rPr>
            <w:webHidden/>
          </w:rPr>
          <w:t>67</w:t>
        </w:r>
        <w:r w:rsidR="0073087E" w:rsidRPr="009E56AE">
          <w:rPr>
            <w:webHidden/>
          </w:rPr>
          <w:fldChar w:fldCharType="end"/>
        </w:r>
      </w:hyperlink>
    </w:p>
    <w:p w14:paraId="04026D89" w14:textId="2B737E62" w:rsidR="0073087E" w:rsidRPr="009E56AE" w:rsidRDefault="00000000">
      <w:pPr>
        <w:pStyle w:val="TOC1"/>
      </w:pPr>
      <w:hyperlink w:anchor="_Toc57377187" w:history="1">
        <w:r w:rsidR="0073087E" w:rsidRPr="009E56AE">
          <w:t>11.</w:t>
        </w:r>
        <w:r w:rsidR="0073087E" w:rsidRPr="009E56AE">
          <w:tab/>
          <w:t>Priloge</w:t>
        </w:r>
        <w:r w:rsidR="0073087E" w:rsidRPr="009E56AE">
          <w:rPr>
            <w:webHidden/>
          </w:rPr>
          <w:tab/>
        </w:r>
        <w:r w:rsidR="0073087E" w:rsidRPr="009E56AE">
          <w:rPr>
            <w:webHidden/>
          </w:rPr>
          <w:fldChar w:fldCharType="begin"/>
        </w:r>
        <w:r w:rsidR="0073087E" w:rsidRPr="009E56AE">
          <w:rPr>
            <w:webHidden/>
          </w:rPr>
          <w:instrText xml:space="preserve"> PAGEREF _Toc57377187 \h </w:instrText>
        </w:r>
        <w:r w:rsidR="0073087E" w:rsidRPr="009E56AE">
          <w:rPr>
            <w:webHidden/>
          </w:rPr>
        </w:r>
        <w:r w:rsidR="0073087E" w:rsidRPr="009E56AE">
          <w:rPr>
            <w:webHidden/>
          </w:rPr>
          <w:fldChar w:fldCharType="separate"/>
        </w:r>
        <w:r w:rsidR="00F67E80">
          <w:rPr>
            <w:webHidden/>
          </w:rPr>
          <w:t>68</w:t>
        </w:r>
        <w:r w:rsidR="0073087E" w:rsidRPr="009E56AE">
          <w:rPr>
            <w:webHidden/>
          </w:rPr>
          <w:fldChar w:fldCharType="end"/>
        </w:r>
      </w:hyperlink>
    </w:p>
    <w:p w14:paraId="6C30D5E4" w14:textId="6C652806" w:rsidR="0073087E" w:rsidRDefault="00000000">
      <w:pPr>
        <w:pStyle w:val="TOC1"/>
        <w:rPr>
          <w:rFonts w:asciiTheme="minorHAnsi" w:eastAsiaTheme="minorEastAsia" w:hAnsiTheme="minorHAnsi"/>
          <w:b w:val="0"/>
          <w:sz w:val="22"/>
          <w:lang w:eastAsia="sl-SI" w:bidi="ar-SA"/>
        </w:rPr>
      </w:pPr>
      <w:hyperlink w:anchor="_Toc57377188" w:history="1">
        <w:r w:rsidR="0073087E" w:rsidRPr="009E56AE">
          <w:t>Priloga 1: Izhodišča za evalvacijo in revizijo projektov izgradnje vodne infrastrukture v občini Probištip v Severni Makedoniji v obdobju 2012 do 2019</w:t>
        </w:r>
        <w:r w:rsidR="0073087E" w:rsidRPr="009E56AE">
          <w:rPr>
            <w:webHidden/>
          </w:rPr>
          <w:tab/>
        </w:r>
        <w:r w:rsidR="0073087E" w:rsidRPr="009E56AE">
          <w:rPr>
            <w:webHidden/>
          </w:rPr>
          <w:fldChar w:fldCharType="begin"/>
        </w:r>
        <w:r w:rsidR="0073087E" w:rsidRPr="009E56AE">
          <w:rPr>
            <w:webHidden/>
          </w:rPr>
          <w:instrText xml:space="preserve"> PAGEREF _Toc57377188 \h </w:instrText>
        </w:r>
        <w:r w:rsidR="0073087E" w:rsidRPr="009E56AE">
          <w:rPr>
            <w:webHidden/>
          </w:rPr>
        </w:r>
        <w:r w:rsidR="0073087E" w:rsidRPr="009E56AE">
          <w:rPr>
            <w:webHidden/>
          </w:rPr>
          <w:fldChar w:fldCharType="separate"/>
        </w:r>
        <w:r w:rsidR="00F67E80">
          <w:rPr>
            <w:webHidden/>
          </w:rPr>
          <w:t>68</w:t>
        </w:r>
        <w:r w:rsidR="0073087E" w:rsidRPr="009E56AE">
          <w:rPr>
            <w:webHidden/>
          </w:rPr>
          <w:fldChar w:fldCharType="end"/>
        </w:r>
      </w:hyperlink>
    </w:p>
    <w:p w14:paraId="1BE9477F" w14:textId="19D1AC6D" w:rsidR="005D462A" w:rsidRPr="008401DD" w:rsidRDefault="00911278" w:rsidP="000C7F8E">
      <w:pPr>
        <w:spacing w:line="276" w:lineRule="auto"/>
        <w:jc w:val="both"/>
      </w:pPr>
      <w:r w:rsidRPr="008401DD">
        <w:fldChar w:fldCharType="end"/>
      </w:r>
      <w:bookmarkStart w:id="1" w:name="_Toc52394909"/>
    </w:p>
    <w:p w14:paraId="6D7DE4B9" w14:textId="7235FAF4" w:rsidR="00911278" w:rsidRPr="008401DD" w:rsidRDefault="00911278" w:rsidP="00960E68">
      <w:pPr>
        <w:rPr>
          <w:b/>
          <w:color w:val="1F4E79" w:themeColor="accent1" w:themeShade="80"/>
        </w:rPr>
      </w:pPr>
      <w:r w:rsidRPr="008401DD">
        <w:rPr>
          <w:b/>
          <w:color w:val="1F4E79" w:themeColor="accent1" w:themeShade="80"/>
          <w:sz w:val="36"/>
        </w:rPr>
        <w:t>Kazalo slik, tabel in prilog</w:t>
      </w:r>
      <w:bookmarkEnd w:id="1"/>
      <w:r w:rsidRPr="008401DD">
        <w:rPr>
          <w:b/>
          <w:color w:val="1F4E79" w:themeColor="accent1" w:themeShade="80"/>
          <w:sz w:val="36"/>
        </w:rPr>
        <w:t xml:space="preserve"> </w:t>
      </w:r>
    </w:p>
    <w:p w14:paraId="11BC871E" w14:textId="77777777" w:rsidR="007C22DE" w:rsidRPr="008401DD" w:rsidRDefault="007C22DE" w:rsidP="00960E68">
      <w:pPr>
        <w:pStyle w:val="TableofFigures"/>
        <w:tabs>
          <w:tab w:val="right" w:leader="dot" w:pos="9350"/>
        </w:tabs>
        <w:spacing w:line="276" w:lineRule="auto"/>
      </w:pPr>
    </w:p>
    <w:p w14:paraId="0E4991BA" w14:textId="72C393C4" w:rsidR="000C7F8E" w:rsidRDefault="001B1991">
      <w:pPr>
        <w:pStyle w:val="TableofFigures"/>
        <w:tabs>
          <w:tab w:val="right" w:leader="dot" w:pos="9350"/>
        </w:tabs>
        <w:rPr>
          <w:rFonts w:asciiTheme="minorHAnsi" w:eastAsiaTheme="minorEastAsia" w:hAnsiTheme="minorHAnsi"/>
          <w:noProof/>
          <w:sz w:val="22"/>
          <w:lang w:val="en-US" w:eastAsia="en-US" w:bidi="ar-SA"/>
        </w:rPr>
      </w:pPr>
      <w:r w:rsidRPr="008401DD">
        <w:rPr>
          <w:b/>
        </w:rPr>
        <w:lastRenderedPageBreak/>
        <w:fldChar w:fldCharType="begin"/>
      </w:r>
      <w:r w:rsidRPr="008401DD">
        <w:rPr>
          <w:b/>
        </w:rPr>
        <w:instrText xml:space="preserve"> TOC \c "Slika" </w:instrText>
      </w:r>
      <w:r w:rsidRPr="008401DD">
        <w:rPr>
          <w:b/>
        </w:rPr>
        <w:fldChar w:fldCharType="separate"/>
      </w:r>
      <w:r w:rsidR="000C7F8E" w:rsidRPr="00B8121B">
        <w:rPr>
          <w:b/>
          <w:noProof/>
        </w:rPr>
        <w:t>Slika 1</w:t>
      </w:r>
      <w:r w:rsidR="000C7F8E">
        <w:rPr>
          <w:noProof/>
        </w:rPr>
        <w:t xml:space="preserve"> Povezava intervencijske logike LFA in osnovnih evalvacijskih meril OECD</w:t>
      </w:r>
      <w:r w:rsidR="000C7F8E">
        <w:rPr>
          <w:noProof/>
        </w:rPr>
        <w:tab/>
      </w:r>
      <w:r w:rsidR="000C7F8E">
        <w:rPr>
          <w:noProof/>
        </w:rPr>
        <w:fldChar w:fldCharType="begin"/>
      </w:r>
      <w:r w:rsidR="000C7F8E">
        <w:rPr>
          <w:noProof/>
        </w:rPr>
        <w:instrText xml:space="preserve"> PAGEREF _Toc56779391 \h </w:instrText>
      </w:r>
      <w:r w:rsidR="000C7F8E">
        <w:rPr>
          <w:noProof/>
        </w:rPr>
      </w:r>
      <w:r w:rsidR="000C7F8E">
        <w:rPr>
          <w:noProof/>
        </w:rPr>
        <w:fldChar w:fldCharType="separate"/>
      </w:r>
      <w:r w:rsidR="00F67E80">
        <w:rPr>
          <w:noProof/>
        </w:rPr>
        <w:t>22</w:t>
      </w:r>
      <w:r w:rsidR="000C7F8E">
        <w:rPr>
          <w:noProof/>
        </w:rPr>
        <w:fldChar w:fldCharType="end"/>
      </w:r>
    </w:p>
    <w:p w14:paraId="3DCAD20E" w14:textId="77777777" w:rsidR="000C7F8E" w:rsidRDefault="001B1991" w:rsidP="00960E68">
      <w:pPr>
        <w:spacing w:line="276" w:lineRule="auto"/>
        <w:rPr>
          <w:noProof/>
        </w:rPr>
      </w:pPr>
      <w:r w:rsidRPr="008401DD">
        <w:rPr>
          <w:b/>
        </w:rPr>
        <w:fldChar w:fldCharType="end"/>
      </w:r>
      <w:r w:rsidRPr="008401DD">
        <w:rPr>
          <w:b/>
        </w:rPr>
        <w:fldChar w:fldCharType="begin"/>
      </w:r>
      <w:r w:rsidRPr="008401DD">
        <w:rPr>
          <w:b/>
        </w:rPr>
        <w:instrText xml:space="preserve"> TOC \c "Tabela" </w:instrText>
      </w:r>
      <w:r w:rsidRPr="008401DD">
        <w:rPr>
          <w:b/>
        </w:rPr>
        <w:fldChar w:fldCharType="separate"/>
      </w:r>
    </w:p>
    <w:p w14:paraId="28E92CBE" w14:textId="6C381D90"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 xml:space="preserve">Tabela 1 </w:t>
      </w:r>
      <w:r>
        <w:rPr>
          <w:noProof/>
        </w:rPr>
        <w:t>Pregled temeljnih dokumentov ki urejajo MRS v Sloveniji</w:t>
      </w:r>
      <w:r>
        <w:rPr>
          <w:noProof/>
        </w:rPr>
        <w:tab/>
      </w:r>
      <w:r>
        <w:rPr>
          <w:noProof/>
        </w:rPr>
        <w:fldChar w:fldCharType="begin"/>
      </w:r>
      <w:r>
        <w:rPr>
          <w:noProof/>
        </w:rPr>
        <w:instrText xml:space="preserve"> PAGEREF _Toc56779394 \h </w:instrText>
      </w:r>
      <w:r>
        <w:rPr>
          <w:noProof/>
        </w:rPr>
      </w:r>
      <w:r>
        <w:rPr>
          <w:noProof/>
        </w:rPr>
        <w:fldChar w:fldCharType="separate"/>
      </w:r>
      <w:r w:rsidR="00F67E80">
        <w:rPr>
          <w:noProof/>
        </w:rPr>
        <w:t>12</w:t>
      </w:r>
      <w:r>
        <w:rPr>
          <w:noProof/>
        </w:rPr>
        <w:fldChar w:fldCharType="end"/>
      </w:r>
    </w:p>
    <w:p w14:paraId="14663DB5" w14:textId="1E8260E9"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2</w:t>
      </w:r>
      <w:r>
        <w:rPr>
          <w:noProof/>
        </w:rPr>
        <w:t xml:space="preserve"> Severna Makedonija in Slovenija - ključni kazalci</w:t>
      </w:r>
      <w:r>
        <w:rPr>
          <w:noProof/>
        </w:rPr>
        <w:tab/>
      </w:r>
      <w:r>
        <w:rPr>
          <w:noProof/>
        </w:rPr>
        <w:fldChar w:fldCharType="begin"/>
      </w:r>
      <w:r>
        <w:rPr>
          <w:noProof/>
        </w:rPr>
        <w:instrText xml:space="preserve"> PAGEREF _Toc56779395 \h </w:instrText>
      </w:r>
      <w:r>
        <w:rPr>
          <w:noProof/>
        </w:rPr>
      </w:r>
      <w:r>
        <w:rPr>
          <w:noProof/>
        </w:rPr>
        <w:fldChar w:fldCharType="separate"/>
      </w:r>
      <w:r w:rsidR="00F67E80">
        <w:rPr>
          <w:noProof/>
        </w:rPr>
        <w:t>18</w:t>
      </w:r>
      <w:r>
        <w:rPr>
          <w:noProof/>
        </w:rPr>
        <w:fldChar w:fldCharType="end"/>
      </w:r>
    </w:p>
    <w:p w14:paraId="315A0393" w14:textId="643FC3B7"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3</w:t>
      </w:r>
      <w:r>
        <w:rPr>
          <w:noProof/>
        </w:rPr>
        <w:t xml:space="preserve"> Prejemki razpoložljive dvostranske razvojne pomoči v Severni Makedoniji</w:t>
      </w:r>
      <w:r>
        <w:rPr>
          <w:noProof/>
        </w:rPr>
        <w:tab/>
      </w:r>
      <w:r>
        <w:rPr>
          <w:noProof/>
        </w:rPr>
        <w:fldChar w:fldCharType="begin"/>
      </w:r>
      <w:r>
        <w:rPr>
          <w:noProof/>
        </w:rPr>
        <w:instrText xml:space="preserve"> PAGEREF _Toc56779396 \h </w:instrText>
      </w:r>
      <w:r>
        <w:rPr>
          <w:noProof/>
        </w:rPr>
      </w:r>
      <w:r>
        <w:rPr>
          <w:noProof/>
        </w:rPr>
        <w:fldChar w:fldCharType="separate"/>
      </w:r>
      <w:r w:rsidR="00F67E80">
        <w:rPr>
          <w:noProof/>
        </w:rPr>
        <w:t>20</w:t>
      </w:r>
      <w:r>
        <w:rPr>
          <w:noProof/>
        </w:rPr>
        <w:fldChar w:fldCharType="end"/>
      </w:r>
    </w:p>
    <w:p w14:paraId="6547E86E" w14:textId="396201BF"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4</w:t>
      </w:r>
      <w:r>
        <w:rPr>
          <w:noProof/>
        </w:rPr>
        <w:t xml:space="preserve"> Finančna konstrukcija projekta 1: Izgradnja čistilne naprave za pitno vodo</w:t>
      </w:r>
      <w:r>
        <w:rPr>
          <w:noProof/>
        </w:rPr>
        <w:tab/>
      </w:r>
      <w:r>
        <w:rPr>
          <w:noProof/>
        </w:rPr>
        <w:fldChar w:fldCharType="begin"/>
      </w:r>
      <w:r>
        <w:rPr>
          <w:noProof/>
        </w:rPr>
        <w:instrText xml:space="preserve"> PAGEREF _Toc56779397 \h </w:instrText>
      </w:r>
      <w:r>
        <w:rPr>
          <w:noProof/>
        </w:rPr>
      </w:r>
      <w:r>
        <w:rPr>
          <w:noProof/>
        </w:rPr>
        <w:fldChar w:fldCharType="separate"/>
      </w:r>
      <w:r w:rsidR="00F67E80">
        <w:rPr>
          <w:noProof/>
        </w:rPr>
        <w:t>20</w:t>
      </w:r>
      <w:r>
        <w:rPr>
          <w:noProof/>
        </w:rPr>
        <w:fldChar w:fldCharType="end"/>
      </w:r>
    </w:p>
    <w:p w14:paraId="12ACAF7C" w14:textId="47455255"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5</w:t>
      </w:r>
      <w:r>
        <w:rPr>
          <w:noProof/>
        </w:rPr>
        <w:t xml:space="preserve"> Finančna konstrukcija projekta 2: Revitalizacija in avtomatizacija obstoječih vodooskrbnih objektov</w:t>
      </w:r>
      <w:r>
        <w:rPr>
          <w:noProof/>
        </w:rPr>
        <w:tab/>
      </w:r>
      <w:r>
        <w:rPr>
          <w:noProof/>
        </w:rPr>
        <w:fldChar w:fldCharType="begin"/>
      </w:r>
      <w:r>
        <w:rPr>
          <w:noProof/>
        </w:rPr>
        <w:instrText xml:space="preserve"> PAGEREF _Toc56779398 \h </w:instrText>
      </w:r>
      <w:r>
        <w:rPr>
          <w:noProof/>
        </w:rPr>
      </w:r>
      <w:r>
        <w:rPr>
          <w:noProof/>
        </w:rPr>
        <w:fldChar w:fldCharType="separate"/>
      </w:r>
      <w:r w:rsidR="00F67E80">
        <w:rPr>
          <w:noProof/>
        </w:rPr>
        <w:t>21</w:t>
      </w:r>
      <w:r>
        <w:rPr>
          <w:noProof/>
        </w:rPr>
        <w:fldChar w:fldCharType="end"/>
      </w:r>
    </w:p>
    <w:p w14:paraId="05D4F4A1" w14:textId="0E64DEE7"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6</w:t>
      </w:r>
      <w:r>
        <w:rPr>
          <w:noProof/>
        </w:rPr>
        <w:t xml:space="preserve"> Razdelitev celotne vrednosti projekta glede na vrste stroškov</w:t>
      </w:r>
      <w:r>
        <w:rPr>
          <w:noProof/>
        </w:rPr>
        <w:tab/>
      </w:r>
      <w:r>
        <w:rPr>
          <w:noProof/>
        </w:rPr>
        <w:fldChar w:fldCharType="begin"/>
      </w:r>
      <w:r>
        <w:rPr>
          <w:noProof/>
        </w:rPr>
        <w:instrText xml:space="preserve"> PAGEREF _Toc56779399 \h </w:instrText>
      </w:r>
      <w:r>
        <w:rPr>
          <w:noProof/>
        </w:rPr>
      </w:r>
      <w:r>
        <w:rPr>
          <w:noProof/>
        </w:rPr>
        <w:fldChar w:fldCharType="separate"/>
      </w:r>
      <w:r w:rsidR="00F67E80">
        <w:rPr>
          <w:noProof/>
        </w:rPr>
        <w:t>55</w:t>
      </w:r>
      <w:r>
        <w:rPr>
          <w:noProof/>
        </w:rPr>
        <w:fldChar w:fldCharType="end"/>
      </w:r>
    </w:p>
    <w:p w14:paraId="55B96A07" w14:textId="67DAF5D4"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7</w:t>
      </w:r>
      <w:r>
        <w:rPr>
          <w:noProof/>
        </w:rPr>
        <w:t xml:space="preserve"> Razdelitev celotne vrednosti projekta glede na izvajalce</w:t>
      </w:r>
      <w:r>
        <w:rPr>
          <w:noProof/>
        </w:rPr>
        <w:tab/>
      </w:r>
      <w:r>
        <w:rPr>
          <w:noProof/>
        </w:rPr>
        <w:fldChar w:fldCharType="begin"/>
      </w:r>
      <w:r>
        <w:rPr>
          <w:noProof/>
        </w:rPr>
        <w:instrText xml:space="preserve"> PAGEREF _Toc56779400 \h </w:instrText>
      </w:r>
      <w:r>
        <w:rPr>
          <w:noProof/>
        </w:rPr>
      </w:r>
      <w:r>
        <w:rPr>
          <w:noProof/>
        </w:rPr>
        <w:fldChar w:fldCharType="separate"/>
      </w:r>
      <w:r w:rsidR="00F67E80">
        <w:rPr>
          <w:noProof/>
        </w:rPr>
        <w:t>55</w:t>
      </w:r>
      <w:r>
        <w:rPr>
          <w:noProof/>
        </w:rPr>
        <w:fldChar w:fldCharType="end"/>
      </w:r>
    </w:p>
    <w:p w14:paraId="45256875" w14:textId="18B34E70" w:rsidR="000C7F8E" w:rsidRDefault="000C7F8E">
      <w:pPr>
        <w:pStyle w:val="TableofFigures"/>
        <w:tabs>
          <w:tab w:val="right" w:leader="dot" w:pos="9350"/>
        </w:tabs>
        <w:rPr>
          <w:rFonts w:asciiTheme="minorHAnsi" w:eastAsiaTheme="minorEastAsia" w:hAnsiTheme="minorHAnsi"/>
          <w:noProof/>
          <w:sz w:val="22"/>
          <w:lang w:val="en-US" w:eastAsia="en-US" w:bidi="ar-SA"/>
        </w:rPr>
      </w:pPr>
      <w:r w:rsidRPr="00B8121B">
        <w:rPr>
          <w:b/>
          <w:noProof/>
        </w:rPr>
        <w:t>Tabela 8</w:t>
      </w:r>
      <w:r>
        <w:rPr>
          <w:noProof/>
        </w:rPr>
        <w:t xml:space="preserve"> Razdelitev celotne vrednosti projekta glede na vrste stroškov</w:t>
      </w:r>
      <w:r>
        <w:rPr>
          <w:noProof/>
        </w:rPr>
        <w:tab/>
      </w:r>
      <w:r>
        <w:rPr>
          <w:noProof/>
        </w:rPr>
        <w:fldChar w:fldCharType="begin"/>
      </w:r>
      <w:r>
        <w:rPr>
          <w:noProof/>
        </w:rPr>
        <w:instrText xml:space="preserve"> PAGEREF _Toc56779401 \h </w:instrText>
      </w:r>
      <w:r>
        <w:rPr>
          <w:noProof/>
        </w:rPr>
      </w:r>
      <w:r>
        <w:rPr>
          <w:noProof/>
        </w:rPr>
        <w:fldChar w:fldCharType="separate"/>
      </w:r>
      <w:r w:rsidR="00F67E80">
        <w:rPr>
          <w:noProof/>
        </w:rPr>
        <w:t>55</w:t>
      </w:r>
      <w:r>
        <w:rPr>
          <w:noProof/>
        </w:rPr>
        <w:fldChar w:fldCharType="end"/>
      </w:r>
    </w:p>
    <w:p w14:paraId="501D1F82" w14:textId="6D76C96C" w:rsidR="005E3A50" w:rsidRPr="008401DD" w:rsidRDefault="001B1991" w:rsidP="00960E68">
      <w:pPr>
        <w:spacing w:line="276" w:lineRule="auto"/>
        <w:rPr>
          <w:noProof/>
        </w:rPr>
      </w:pPr>
      <w:r w:rsidRPr="008401DD">
        <w:rPr>
          <w:b/>
        </w:rPr>
        <w:fldChar w:fldCharType="end"/>
      </w:r>
    </w:p>
    <w:p w14:paraId="4C34DE70" w14:textId="77777777" w:rsidR="00B56F83" w:rsidRPr="008401DD" w:rsidRDefault="00B2763E" w:rsidP="00960E68">
      <w:pPr>
        <w:pStyle w:val="Heading1"/>
        <w:numPr>
          <w:ilvl w:val="0"/>
          <w:numId w:val="0"/>
        </w:numPr>
        <w:ind w:left="720" w:hanging="720"/>
      </w:pPr>
      <w:bookmarkStart w:id="2" w:name="_Toc52394910"/>
      <w:bookmarkStart w:id="3" w:name="_Toc56088883"/>
      <w:bookmarkStart w:id="4" w:name="_Toc56112177"/>
      <w:bookmarkStart w:id="5" w:name="_Toc57377154"/>
      <w:r w:rsidRPr="008401DD">
        <w:t>Seznam kratic</w:t>
      </w:r>
      <w:bookmarkEnd w:id="2"/>
      <w:bookmarkEnd w:id="3"/>
      <w:bookmarkEnd w:id="4"/>
      <w:bookmarkEnd w:id="5"/>
    </w:p>
    <w:p w14:paraId="23465D6F" w14:textId="77777777" w:rsidR="00B56F83" w:rsidRPr="008401DD" w:rsidRDefault="00B56F83" w:rsidP="00960E68">
      <w:pPr>
        <w:spacing w:line="276" w:lineRule="auto"/>
        <w:jc w:val="both"/>
        <w:rPr>
          <w:rFonts w:cs="Arial"/>
        </w:rPr>
      </w:pPr>
    </w:p>
    <w:p w14:paraId="5D7B30A2" w14:textId="54537A97" w:rsidR="00C958A3" w:rsidRPr="008401DD" w:rsidRDefault="00085C43" w:rsidP="00960E68">
      <w:pPr>
        <w:spacing w:line="276" w:lineRule="auto"/>
        <w:ind w:left="2160" w:hanging="2160"/>
        <w:jc w:val="both"/>
        <w:rPr>
          <w:rFonts w:cs="Arial"/>
        </w:rPr>
      </w:pPr>
      <w:r w:rsidRPr="008401DD">
        <w:rPr>
          <w:rFonts w:cs="Arial"/>
          <w:b/>
        </w:rPr>
        <w:t>BDP</w:t>
      </w:r>
      <w:r w:rsidR="00C958A3" w:rsidRPr="008401DD">
        <w:rPr>
          <w:rFonts w:cs="Arial"/>
          <w:b/>
        </w:rPr>
        <w:tab/>
      </w:r>
      <w:r w:rsidRPr="008401DD">
        <w:rPr>
          <w:rFonts w:cs="Arial"/>
        </w:rPr>
        <w:t>Bruto domač</w:t>
      </w:r>
      <w:r w:rsidR="00311E3C" w:rsidRPr="008401DD">
        <w:rPr>
          <w:rFonts w:cs="Arial"/>
        </w:rPr>
        <w:t>i proizvod</w:t>
      </w:r>
    </w:p>
    <w:p w14:paraId="348B1B57" w14:textId="3DE5944A" w:rsidR="00085C43" w:rsidRPr="008401DD" w:rsidRDefault="00085C43" w:rsidP="00960E68">
      <w:pPr>
        <w:spacing w:line="276" w:lineRule="auto"/>
        <w:ind w:left="2160" w:hanging="2160"/>
        <w:jc w:val="both"/>
        <w:rPr>
          <w:rFonts w:cs="Arial"/>
          <w:i/>
        </w:rPr>
      </w:pPr>
      <w:r w:rsidRPr="008401DD">
        <w:rPr>
          <w:rFonts w:cs="Arial"/>
          <w:b/>
        </w:rPr>
        <w:t>CMSR</w:t>
      </w:r>
      <w:r w:rsidRPr="008401DD">
        <w:rPr>
          <w:rFonts w:cs="Arial"/>
          <w:b/>
        </w:rPr>
        <w:tab/>
      </w:r>
      <w:r w:rsidRPr="008401DD">
        <w:rPr>
          <w:rFonts w:cs="Arial"/>
        </w:rPr>
        <w:t xml:space="preserve">Center za mednarodno sodelovanje in razvoj </w:t>
      </w:r>
    </w:p>
    <w:p w14:paraId="58E8CFBE" w14:textId="080DF76D" w:rsidR="00447792" w:rsidRPr="008401DD" w:rsidRDefault="00447792" w:rsidP="00960E68">
      <w:pPr>
        <w:spacing w:line="276" w:lineRule="auto"/>
        <w:ind w:left="2160" w:hanging="2160"/>
        <w:jc w:val="both"/>
        <w:rPr>
          <w:rFonts w:cs="Arial"/>
          <w:i/>
        </w:rPr>
      </w:pPr>
      <w:r w:rsidRPr="008401DD">
        <w:rPr>
          <w:rFonts w:cs="Arial"/>
          <w:b/>
        </w:rPr>
        <w:t>DAC</w:t>
      </w:r>
      <w:r w:rsidRPr="008401DD">
        <w:rPr>
          <w:rFonts w:cs="Arial"/>
          <w:b/>
        </w:rPr>
        <w:tab/>
      </w:r>
      <w:r w:rsidRPr="008401DD">
        <w:rPr>
          <w:rFonts w:cs="Arial"/>
        </w:rPr>
        <w:t xml:space="preserve">Odbor za razvojno pomoč </w:t>
      </w:r>
      <w:r w:rsidRPr="008401DD">
        <w:rPr>
          <w:rFonts w:cs="Arial"/>
          <w:i/>
        </w:rPr>
        <w:t>(</w:t>
      </w:r>
      <w:proofErr w:type="spellStart"/>
      <w:r w:rsidRPr="008401DD">
        <w:rPr>
          <w:rFonts w:cs="Arial"/>
          <w:i/>
        </w:rPr>
        <w:t>Development</w:t>
      </w:r>
      <w:proofErr w:type="spellEnd"/>
      <w:r w:rsidRPr="008401DD">
        <w:rPr>
          <w:rFonts w:cs="Arial"/>
          <w:i/>
        </w:rPr>
        <w:t xml:space="preserve"> </w:t>
      </w:r>
      <w:proofErr w:type="spellStart"/>
      <w:r w:rsidRPr="008401DD">
        <w:rPr>
          <w:rFonts w:cs="Arial"/>
          <w:i/>
        </w:rPr>
        <w:t>Assistance</w:t>
      </w:r>
      <w:proofErr w:type="spellEnd"/>
      <w:r w:rsidRPr="008401DD">
        <w:rPr>
          <w:rFonts w:cs="Arial"/>
          <w:i/>
        </w:rPr>
        <w:t xml:space="preserve"> </w:t>
      </w:r>
      <w:proofErr w:type="spellStart"/>
      <w:r w:rsidRPr="008401DD">
        <w:rPr>
          <w:rFonts w:cs="Arial"/>
          <w:i/>
        </w:rPr>
        <w:t>Committee</w:t>
      </w:r>
      <w:proofErr w:type="spellEnd"/>
      <w:r w:rsidRPr="008401DD">
        <w:rPr>
          <w:rFonts w:cs="Arial"/>
          <w:i/>
        </w:rPr>
        <w:t>)</w:t>
      </w:r>
    </w:p>
    <w:p w14:paraId="1AD9B863" w14:textId="4814AEC1" w:rsidR="00F905BC" w:rsidRPr="008401DD" w:rsidRDefault="00F905BC" w:rsidP="00960E68">
      <w:pPr>
        <w:spacing w:line="276" w:lineRule="auto"/>
        <w:ind w:left="2160" w:hanging="2160"/>
        <w:jc w:val="both"/>
        <w:rPr>
          <w:rFonts w:cs="Arial"/>
          <w:i/>
        </w:rPr>
      </w:pPr>
      <w:r w:rsidRPr="008401DD">
        <w:rPr>
          <w:rFonts w:cs="Arial"/>
          <w:b/>
        </w:rPr>
        <w:t>DKP</w:t>
      </w:r>
      <w:r w:rsidRPr="008401DD">
        <w:rPr>
          <w:rFonts w:cs="Arial"/>
          <w:b/>
        </w:rPr>
        <w:tab/>
      </w:r>
      <w:r w:rsidRPr="008401DD">
        <w:rPr>
          <w:rFonts w:cs="Arial"/>
        </w:rPr>
        <w:t>Diplomatsko-konzularna predstavništva</w:t>
      </w:r>
    </w:p>
    <w:p w14:paraId="5A05915D" w14:textId="77777777" w:rsidR="00D709BC" w:rsidRPr="008401DD" w:rsidRDefault="00D709BC" w:rsidP="00960E68">
      <w:pPr>
        <w:spacing w:line="276" w:lineRule="auto"/>
        <w:ind w:left="2160" w:hanging="2160"/>
        <w:jc w:val="both"/>
        <w:rPr>
          <w:rFonts w:cs="Arial"/>
        </w:rPr>
      </w:pPr>
      <w:r w:rsidRPr="008401DD">
        <w:rPr>
          <w:rFonts w:cs="Arial"/>
          <w:b/>
        </w:rPr>
        <w:t>Država prejemnica</w:t>
      </w:r>
      <w:r w:rsidRPr="008401DD">
        <w:rPr>
          <w:rFonts w:cs="Arial"/>
          <w:b/>
        </w:rPr>
        <w:tab/>
      </w:r>
      <w:r w:rsidR="003A136F" w:rsidRPr="008401DD">
        <w:rPr>
          <w:rFonts w:cs="Arial"/>
        </w:rPr>
        <w:t>Severna Makedonija</w:t>
      </w:r>
      <w:r w:rsidRPr="008401DD">
        <w:rPr>
          <w:rFonts w:cs="Arial"/>
        </w:rPr>
        <w:t xml:space="preserve"> kot država prejemnica razvojne pomoči </w:t>
      </w:r>
    </w:p>
    <w:p w14:paraId="698E8DDC" w14:textId="5E76CC48" w:rsidR="00B56F83" w:rsidRPr="008401DD" w:rsidRDefault="00B56F83" w:rsidP="00960E68">
      <w:pPr>
        <w:spacing w:line="276" w:lineRule="auto"/>
        <w:jc w:val="both"/>
        <w:rPr>
          <w:rFonts w:cs="Arial"/>
        </w:rPr>
      </w:pPr>
      <w:r w:rsidRPr="008401DD">
        <w:rPr>
          <w:rFonts w:cs="Arial"/>
          <w:b/>
        </w:rPr>
        <w:t>EU</w:t>
      </w:r>
      <w:r w:rsidRPr="008401DD">
        <w:rPr>
          <w:rFonts w:cs="Arial"/>
          <w:b/>
        </w:rPr>
        <w:tab/>
      </w:r>
      <w:r w:rsidRPr="008401DD">
        <w:rPr>
          <w:rFonts w:cs="Arial"/>
          <w:b/>
        </w:rPr>
        <w:tab/>
      </w:r>
      <w:r w:rsidRPr="008401DD">
        <w:rPr>
          <w:rFonts w:cs="Arial"/>
          <w:b/>
        </w:rPr>
        <w:tab/>
      </w:r>
      <w:r w:rsidR="008079DB" w:rsidRPr="008401DD">
        <w:rPr>
          <w:rFonts w:cs="Arial"/>
        </w:rPr>
        <w:t>Evropska unija</w:t>
      </w:r>
    </w:p>
    <w:p w14:paraId="0E87BE93" w14:textId="618C35E9" w:rsidR="00B43626" w:rsidRPr="008401DD" w:rsidRDefault="00B43626" w:rsidP="00960E68">
      <w:pPr>
        <w:spacing w:line="276" w:lineRule="auto"/>
        <w:jc w:val="both"/>
        <w:rPr>
          <w:rFonts w:cs="Arial"/>
        </w:rPr>
      </w:pPr>
      <w:r w:rsidRPr="008401DD">
        <w:rPr>
          <w:rFonts w:cs="Arial"/>
          <w:b/>
        </w:rPr>
        <w:t>EUR</w:t>
      </w:r>
      <w:r w:rsidRPr="008401DD">
        <w:rPr>
          <w:rFonts w:cs="Arial"/>
          <w:b/>
        </w:rPr>
        <w:tab/>
      </w:r>
      <w:r w:rsidRPr="008401DD">
        <w:rPr>
          <w:rFonts w:cs="Arial"/>
          <w:b/>
        </w:rPr>
        <w:tab/>
      </w:r>
      <w:r w:rsidRPr="008401DD">
        <w:rPr>
          <w:rFonts w:cs="Arial"/>
          <w:b/>
        </w:rPr>
        <w:tab/>
      </w:r>
      <w:r w:rsidRPr="008401DD">
        <w:rPr>
          <w:rFonts w:cs="Arial"/>
        </w:rPr>
        <w:t>Euro</w:t>
      </w:r>
    </w:p>
    <w:p w14:paraId="2E660D06" w14:textId="15BA2F27" w:rsidR="00082F3A" w:rsidRPr="008401DD" w:rsidRDefault="00082F3A" w:rsidP="00960E68">
      <w:pPr>
        <w:spacing w:line="276" w:lineRule="auto"/>
        <w:ind w:left="2160" w:hanging="2160"/>
        <w:jc w:val="both"/>
        <w:rPr>
          <w:rFonts w:cs="Arial"/>
        </w:rPr>
      </w:pPr>
      <w:r w:rsidRPr="008401DD">
        <w:rPr>
          <w:rFonts w:cs="Arial"/>
          <w:b/>
        </w:rPr>
        <w:t>Prejemnik donacije</w:t>
      </w:r>
      <w:r w:rsidRPr="008401DD">
        <w:rPr>
          <w:rFonts w:cs="Arial"/>
          <w:b/>
        </w:rPr>
        <w:tab/>
      </w:r>
      <w:r w:rsidRPr="008401DD">
        <w:rPr>
          <w:rFonts w:cs="Arial"/>
        </w:rPr>
        <w:t xml:space="preserve">Javna oseba, ki je prejela </w:t>
      </w:r>
      <w:r w:rsidR="006254F8" w:rsidRPr="008401DD">
        <w:rPr>
          <w:rFonts w:cs="Arial"/>
        </w:rPr>
        <w:t>sofinanciranje RS z nepovratnimi sredstvi</w:t>
      </w:r>
    </w:p>
    <w:p w14:paraId="1CE528E2" w14:textId="06A2CB83" w:rsidR="00D709BC" w:rsidRPr="008401DD" w:rsidRDefault="00D709BC" w:rsidP="00960E68">
      <w:pPr>
        <w:spacing w:line="276" w:lineRule="auto"/>
        <w:ind w:left="2160" w:hanging="2160"/>
        <w:jc w:val="both"/>
        <w:rPr>
          <w:rFonts w:cs="Arial"/>
        </w:rPr>
      </w:pPr>
      <w:r w:rsidRPr="008401DD">
        <w:rPr>
          <w:rFonts w:cs="Arial"/>
          <w:b/>
        </w:rPr>
        <w:t>Končni upravičenec</w:t>
      </w:r>
      <w:r w:rsidRPr="008401DD">
        <w:rPr>
          <w:rFonts w:cs="Arial"/>
          <w:b/>
        </w:rPr>
        <w:tab/>
      </w:r>
      <w:r w:rsidRPr="008401DD">
        <w:rPr>
          <w:rFonts w:cs="Arial"/>
        </w:rPr>
        <w:t>Posameznik ali skupina ljudi, ki imajo korist od ukrepanja na ravni družbe</w:t>
      </w:r>
    </w:p>
    <w:p w14:paraId="079DBAED" w14:textId="1BADD9D7" w:rsidR="00D709BC" w:rsidRPr="008401DD" w:rsidRDefault="00D709BC" w:rsidP="00960E68">
      <w:pPr>
        <w:spacing w:line="276" w:lineRule="auto"/>
        <w:ind w:left="2160" w:hanging="2160"/>
        <w:jc w:val="both"/>
        <w:rPr>
          <w:rFonts w:cs="Arial"/>
        </w:rPr>
      </w:pPr>
      <w:r w:rsidRPr="008401DD">
        <w:rPr>
          <w:rFonts w:cs="Arial"/>
          <w:b/>
        </w:rPr>
        <w:t>Izvajalec projekta</w:t>
      </w:r>
      <w:r w:rsidRPr="008401DD">
        <w:rPr>
          <w:rFonts w:cs="Arial"/>
          <w:b/>
        </w:rPr>
        <w:tab/>
      </w:r>
      <w:r w:rsidRPr="008401DD">
        <w:rPr>
          <w:rFonts w:cs="Arial"/>
        </w:rPr>
        <w:t>Pravna oseba zadolžena za izvedbo projekt</w:t>
      </w:r>
      <w:r w:rsidR="00082F3A" w:rsidRPr="008401DD">
        <w:rPr>
          <w:rFonts w:cs="Arial"/>
        </w:rPr>
        <w:t>a</w:t>
      </w:r>
      <w:r w:rsidR="009E57DC" w:rsidRPr="008401DD">
        <w:rPr>
          <w:rFonts w:cs="Arial"/>
        </w:rPr>
        <w:t xml:space="preserve">, ki </w:t>
      </w:r>
      <w:r w:rsidR="00082F3A" w:rsidRPr="008401DD">
        <w:rPr>
          <w:rFonts w:cs="Arial"/>
        </w:rPr>
        <w:t>je</w:t>
      </w:r>
      <w:r w:rsidR="009E57DC" w:rsidRPr="008401DD">
        <w:rPr>
          <w:rFonts w:cs="Arial"/>
        </w:rPr>
        <w:t xml:space="preserve"> predmet evalvacije</w:t>
      </w:r>
    </w:p>
    <w:p w14:paraId="4918BF3C" w14:textId="58311075" w:rsidR="00B56F83" w:rsidRPr="008401DD" w:rsidRDefault="00B56F83" w:rsidP="00960E68">
      <w:pPr>
        <w:spacing w:line="276" w:lineRule="auto"/>
        <w:jc w:val="both"/>
        <w:rPr>
          <w:rFonts w:cs="Arial"/>
          <w:i/>
        </w:rPr>
      </w:pPr>
      <w:r w:rsidRPr="008401DD">
        <w:rPr>
          <w:rFonts w:cs="Arial"/>
          <w:b/>
        </w:rPr>
        <w:t>LFA</w:t>
      </w:r>
      <w:r w:rsidRPr="008401DD">
        <w:rPr>
          <w:rFonts w:cs="Arial"/>
        </w:rPr>
        <w:t xml:space="preserve"> </w:t>
      </w:r>
      <w:r w:rsidRPr="008401DD">
        <w:rPr>
          <w:rFonts w:cs="Arial"/>
        </w:rPr>
        <w:tab/>
      </w:r>
      <w:r w:rsidRPr="008401DD">
        <w:rPr>
          <w:rFonts w:cs="Arial"/>
        </w:rPr>
        <w:tab/>
      </w:r>
      <w:r w:rsidRPr="008401DD">
        <w:rPr>
          <w:rFonts w:cs="Arial"/>
        </w:rPr>
        <w:tab/>
      </w:r>
      <w:r w:rsidR="00D709BC" w:rsidRPr="008401DD">
        <w:rPr>
          <w:rFonts w:cs="Arial"/>
        </w:rPr>
        <w:t xml:space="preserve">Pristop logičnega okvirja </w:t>
      </w:r>
      <w:r w:rsidR="00D709BC" w:rsidRPr="008401DD">
        <w:rPr>
          <w:rFonts w:cs="Arial"/>
          <w:i/>
        </w:rPr>
        <w:t>(</w:t>
      </w:r>
      <w:proofErr w:type="spellStart"/>
      <w:r w:rsidRPr="008401DD">
        <w:rPr>
          <w:rFonts w:cs="Arial"/>
          <w:i/>
        </w:rPr>
        <w:t>Logframe</w:t>
      </w:r>
      <w:proofErr w:type="spellEnd"/>
      <w:r w:rsidRPr="008401DD">
        <w:rPr>
          <w:rFonts w:cs="Arial"/>
          <w:i/>
        </w:rPr>
        <w:t xml:space="preserve"> </w:t>
      </w:r>
      <w:proofErr w:type="spellStart"/>
      <w:r w:rsidRPr="008401DD">
        <w:rPr>
          <w:rFonts w:cs="Arial"/>
          <w:i/>
        </w:rPr>
        <w:t>approach</w:t>
      </w:r>
      <w:proofErr w:type="spellEnd"/>
      <w:r w:rsidR="00D709BC" w:rsidRPr="008401DD">
        <w:rPr>
          <w:rFonts w:cs="Arial"/>
          <w:i/>
        </w:rPr>
        <w:t>)</w:t>
      </w:r>
    </w:p>
    <w:p w14:paraId="6D514EBD" w14:textId="10C8A46A" w:rsidR="007F6D73" w:rsidRPr="008401DD" w:rsidRDefault="007F6D73" w:rsidP="00960E68">
      <w:pPr>
        <w:spacing w:line="276" w:lineRule="auto"/>
        <w:jc w:val="both"/>
        <w:rPr>
          <w:rFonts w:cs="Arial"/>
        </w:rPr>
      </w:pPr>
      <w:r w:rsidRPr="008401DD">
        <w:rPr>
          <w:rFonts w:cs="Arial"/>
          <w:b/>
        </w:rPr>
        <w:t>MOP</w:t>
      </w:r>
      <w:r w:rsidRPr="008401DD">
        <w:rPr>
          <w:rFonts w:cs="Arial"/>
        </w:rPr>
        <w:t xml:space="preserve"> </w:t>
      </w:r>
      <w:r w:rsidRPr="008401DD">
        <w:rPr>
          <w:rFonts w:cs="Arial"/>
        </w:rPr>
        <w:tab/>
      </w:r>
      <w:r w:rsidRPr="008401DD">
        <w:rPr>
          <w:rFonts w:cs="Arial"/>
        </w:rPr>
        <w:tab/>
      </w:r>
      <w:r w:rsidRPr="008401DD">
        <w:rPr>
          <w:rFonts w:cs="Arial"/>
        </w:rPr>
        <w:tab/>
        <w:t>Ministrstvo za okolje in prostor Republike Slovenije</w:t>
      </w:r>
    </w:p>
    <w:p w14:paraId="5322B327" w14:textId="6FFC6301" w:rsidR="007F6D73" w:rsidRPr="008401DD" w:rsidRDefault="007F6D73" w:rsidP="00960E68">
      <w:pPr>
        <w:spacing w:line="276" w:lineRule="auto"/>
        <w:jc w:val="both"/>
        <w:rPr>
          <w:rFonts w:cs="Arial"/>
          <w:i/>
        </w:rPr>
      </w:pPr>
      <w:r w:rsidRPr="008401DD">
        <w:rPr>
          <w:rFonts w:cs="Arial"/>
          <w:b/>
        </w:rPr>
        <w:t>MGRT</w:t>
      </w:r>
      <w:r w:rsidRPr="008401DD">
        <w:rPr>
          <w:rFonts w:cs="Arial"/>
        </w:rPr>
        <w:t xml:space="preserve"> </w:t>
      </w:r>
      <w:r w:rsidRPr="008401DD">
        <w:rPr>
          <w:rFonts w:cs="Arial"/>
        </w:rPr>
        <w:tab/>
      </w:r>
      <w:r w:rsidRPr="008401DD">
        <w:rPr>
          <w:rFonts w:cs="Arial"/>
        </w:rPr>
        <w:tab/>
      </w:r>
      <w:r w:rsidRPr="008401DD">
        <w:rPr>
          <w:rFonts w:cs="Arial"/>
        </w:rPr>
        <w:tab/>
        <w:t>Ministrstvo za gospodarski razvoj in tehnologijo Republike Slovenije</w:t>
      </w:r>
    </w:p>
    <w:p w14:paraId="556D2FEC" w14:textId="77777777" w:rsidR="00D709BC" w:rsidRPr="008401DD" w:rsidRDefault="00D709BC" w:rsidP="00960E68">
      <w:pPr>
        <w:spacing w:line="276" w:lineRule="auto"/>
        <w:ind w:left="2160" w:hanging="2160"/>
        <w:jc w:val="both"/>
        <w:rPr>
          <w:rFonts w:cs="Arial"/>
        </w:rPr>
      </w:pPr>
      <w:r w:rsidRPr="008401DD">
        <w:rPr>
          <w:rFonts w:cs="Arial"/>
          <w:b/>
        </w:rPr>
        <w:t>MZZ</w:t>
      </w:r>
      <w:r w:rsidRPr="008401DD">
        <w:rPr>
          <w:rFonts w:cs="Arial"/>
          <w:b/>
        </w:rPr>
        <w:tab/>
      </w:r>
      <w:r w:rsidRPr="008401DD">
        <w:rPr>
          <w:rFonts w:cs="Arial"/>
        </w:rPr>
        <w:t>Ministrstvo za zunanje zadeve; se nanaša na slovensko Ministrstvo za zunanje zadeve, če ni navedeno drugače</w:t>
      </w:r>
    </w:p>
    <w:p w14:paraId="58D44361" w14:textId="1950FEF1" w:rsidR="00EF4D1F" w:rsidRPr="008401DD" w:rsidRDefault="00EF4D1F" w:rsidP="00960E68">
      <w:pPr>
        <w:spacing w:line="276" w:lineRule="auto"/>
        <w:ind w:left="2160" w:hanging="2160"/>
        <w:jc w:val="both"/>
        <w:rPr>
          <w:rFonts w:cs="Arial"/>
        </w:rPr>
      </w:pPr>
      <w:r w:rsidRPr="008401DD">
        <w:rPr>
          <w:rFonts w:cs="Arial"/>
          <w:b/>
        </w:rPr>
        <w:t>MF</w:t>
      </w:r>
      <w:r w:rsidRPr="008401DD">
        <w:rPr>
          <w:rFonts w:cs="Arial"/>
          <w:b/>
        </w:rPr>
        <w:tab/>
      </w:r>
      <w:r w:rsidRPr="008401DD">
        <w:rPr>
          <w:rFonts w:cs="Arial"/>
        </w:rPr>
        <w:t>Ministrstvo za finance; se nanaša na slovensko Ministrstvo za finance, če ni navedeno drugače</w:t>
      </w:r>
    </w:p>
    <w:p w14:paraId="5351287C" w14:textId="0ABF56F9" w:rsidR="00447792" w:rsidRPr="008401DD" w:rsidRDefault="00447792" w:rsidP="00960E68">
      <w:pPr>
        <w:spacing w:line="276" w:lineRule="auto"/>
        <w:ind w:left="2160" w:hanging="2160"/>
        <w:jc w:val="both"/>
        <w:rPr>
          <w:rFonts w:cs="Arial"/>
        </w:rPr>
      </w:pPr>
      <w:r w:rsidRPr="008401DD">
        <w:rPr>
          <w:rFonts w:cs="Arial"/>
          <w:b/>
        </w:rPr>
        <w:t>MRS</w:t>
      </w:r>
      <w:r w:rsidRPr="008401DD">
        <w:rPr>
          <w:rFonts w:cs="Arial"/>
          <w:b/>
        </w:rPr>
        <w:tab/>
      </w:r>
      <w:r w:rsidRPr="008401DD">
        <w:rPr>
          <w:rFonts w:cs="Arial"/>
        </w:rPr>
        <w:t>Mednarodno razvojno sodelovanje</w:t>
      </w:r>
    </w:p>
    <w:p w14:paraId="6229C77D" w14:textId="34D480DD" w:rsidR="00B56F83" w:rsidRPr="008401DD" w:rsidRDefault="00B56F83" w:rsidP="00960E68">
      <w:pPr>
        <w:spacing w:line="276" w:lineRule="auto"/>
        <w:ind w:left="2160" w:hanging="2160"/>
        <w:jc w:val="both"/>
        <w:rPr>
          <w:rFonts w:cs="Arial"/>
        </w:rPr>
      </w:pPr>
      <w:r w:rsidRPr="008401DD">
        <w:rPr>
          <w:rFonts w:cs="Arial"/>
          <w:b/>
        </w:rPr>
        <w:t>OECD</w:t>
      </w:r>
      <w:r w:rsidRPr="008401DD">
        <w:rPr>
          <w:rFonts w:cs="Arial"/>
        </w:rPr>
        <w:t xml:space="preserve"> </w:t>
      </w:r>
      <w:r w:rsidRPr="008401DD">
        <w:rPr>
          <w:rFonts w:cs="Arial"/>
        </w:rPr>
        <w:tab/>
      </w:r>
      <w:r w:rsidR="00D709BC" w:rsidRPr="008401DD">
        <w:rPr>
          <w:rFonts w:cs="Arial"/>
        </w:rPr>
        <w:t>Org</w:t>
      </w:r>
      <w:r w:rsidR="00B27574" w:rsidRPr="008401DD">
        <w:rPr>
          <w:rFonts w:cs="Arial"/>
        </w:rPr>
        <w:t>anizacija</w:t>
      </w:r>
      <w:r w:rsidR="00D709BC" w:rsidRPr="008401DD">
        <w:rPr>
          <w:rFonts w:cs="Arial"/>
        </w:rPr>
        <w:t xml:space="preserve"> za ekonomsko sodelovanje in razvoj</w:t>
      </w:r>
      <w:r w:rsidR="00D709BC" w:rsidRPr="008401DD">
        <w:rPr>
          <w:rFonts w:cs="Arial"/>
          <w:i/>
        </w:rPr>
        <w:t xml:space="preserve"> (</w:t>
      </w:r>
      <w:proofErr w:type="spellStart"/>
      <w:r w:rsidRPr="008401DD">
        <w:rPr>
          <w:rFonts w:cs="Arial"/>
          <w:i/>
        </w:rPr>
        <w:t>Organisation</w:t>
      </w:r>
      <w:proofErr w:type="spellEnd"/>
      <w:r w:rsidRPr="008401DD">
        <w:rPr>
          <w:rFonts w:cs="Arial"/>
          <w:i/>
        </w:rPr>
        <w:t xml:space="preserve"> </w:t>
      </w:r>
      <w:proofErr w:type="spellStart"/>
      <w:r w:rsidRPr="008401DD">
        <w:rPr>
          <w:rFonts w:cs="Arial"/>
          <w:i/>
        </w:rPr>
        <w:t>for</w:t>
      </w:r>
      <w:proofErr w:type="spellEnd"/>
      <w:r w:rsidRPr="008401DD">
        <w:rPr>
          <w:rFonts w:cs="Arial"/>
          <w:i/>
        </w:rPr>
        <w:t xml:space="preserve"> </w:t>
      </w:r>
      <w:proofErr w:type="spellStart"/>
      <w:r w:rsidRPr="008401DD">
        <w:rPr>
          <w:rFonts w:cs="Arial"/>
          <w:i/>
        </w:rPr>
        <w:t>Econo</w:t>
      </w:r>
      <w:r w:rsidR="00D709BC" w:rsidRPr="008401DD">
        <w:rPr>
          <w:rFonts w:cs="Arial"/>
          <w:i/>
        </w:rPr>
        <w:t>mic</w:t>
      </w:r>
      <w:proofErr w:type="spellEnd"/>
      <w:r w:rsidR="00D709BC" w:rsidRPr="008401DD">
        <w:rPr>
          <w:rFonts w:cs="Arial"/>
          <w:i/>
        </w:rPr>
        <w:t xml:space="preserve"> </w:t>
      </w:r>
      <w:proofErr w:type="spellStart"/>
      <w:r w:rsidR="00D709BC" w:rsidRPr="008401DD">
        <w:rPr>
          <w:rFonts w:cs="Arial"/>
          <w:i/>
        </w:rPr>
        <w:t>Cooperation</w:t>
      </w:r>
      <w:proofErr w:type="spellEnd"/>
      <w:r w:rsidR="00D709BC" w:rsidRPr="008401DD">
        <w:rPr>
          <w:rFonts w:cs="Arial"/>
          <w:i/>
        </w:rPr>
        <w:t xml:space="preserve"> </w:t>
      </w:r>
      <w:proofErr w:type="spellStart"/>
      <w:r w:rsidR="00D709BC" w:rsidRPr="008401DD">
        <w:rPr>
          <w:rFonts w:cs="Arial"/>
          <w:i/>
        </w:rPr>
        <w:t>and</w:t>
      </w:r>
      <w:proofErr w:type="spellEnd"/>
      <w:r w:rsidR="00D709BC" w:rsidRPr="008401DD">
        <w:rPr>
          <w:rFonts w:cs="Arial"/>
          <w:i/>
        </w:rPr>
        <w:t xml:space="preserve"> </w:t>
      </w:r>
      <w:proofErr w:type="spellStart"/>
      <w:r w:rsidR="00D709BC" w:rsidRPr="008401DD">
        <w:rPr>
          <w:rFonts w:cs="Arial"/>
          <w:i/>
        </w:rPr>
        <w:t>Development</w:t>
      </w:r>
      <w:proofErr w:type="spellEnd"/>
      <w:r w:rsidR="00D709BC" w:rsidRPr="008401DD">
        <w:rPr>
          <w:rFonts w:cs="Arial"/>
          <w:i/>
        </w:rPr>
        <w:t>)</w:t>
      </w:r>
    </w:p>
    <w:p w14:paraId="77D6EBC9" w14:textId="77777777" w:rsidR="00C958A3" w:rsidRPr="008401DD" w:rsidRDefault="00C958A3" w:rsidP="00960E68">
      <w:pPr>
        <w:jc w:val="both"/>
      </w:pPr>
      <w:r w:rsidRPr="008401DD">
        <w:rPr>
          <w:b/>
        </w:rPr>
        <w:t>OZN</w:t>
      </w:r>
      <w:r w:rsidRPr="008401DD">
        <w:tab/>
      </w:r>
      <w:r w:rsidRPr="008401DD">
        <w:tab/>
      </w:r>
      <w:r w:rsidRPr="008401DD">
        <w:tab/>
        <w:t>Organizacija združenih narodov</w:t>
      </w:r>
    </w:p>
    <w:p w14:paraId="0B207502" w14:textId="56FF7B14" w:rsidR="00A0317C" w:rsidRPr="008401DD" w:rsidRDefault="00884643" w:rsidP="00960E68">
      <w:pPr>
        <w:spacing w:line="276" w:lineRule="auto"/>
        <w:ind w:left="2160" w:hanging="2160"/>
        <w:jc w:val="both"/>
      </w:pPr>
      <w:proofErr w:type="spellStart"/>
      <w:r w:rsidRPr="008401DD">
        <w:rPr>
          <w:b/>
        </w:rPr>
        <w:t>ReMRSHP</w:t>
      </w:r>
      <w:proofErr w:type="spellEnd"/>
      <w:r w:rsidRPr="008401DD">
        <w:rPr>
          <w:rFonts w:cs="Arial"/>
          <w:b/>
        </w:rPr>
        <w:tab/>
      </w:r>
      <w:r w:rsidRPr="008401DD">
        <w:rPr>
          <w:rFonts w:cs="Arial"/>
        </w:rPr>
        <w:t>Resolucija o mednarodnem razvojnem sodelovanju in humanitarni pomoči</w:t>
      </w:r>
      <w:r w:rsidR="00B144C8">
        <w:rPr>
          <w:rFonts w:cs="Arial"/>
        </w:rPr>
        <w:t xml:space="preserve"> </w:t>
      </w:r>
      <w:r w:rsidRPr="008401DD">
        <w:rPr>
          <w:rFonts w:cs="Arial"/>
        </w:rPr>
        <w:t>Republike Slovenije</w:t>
      </w:r>
      <w:r w:rsidR="00A0317C" w:rsidRPr="008401DD">
        <w:tab/>
      </w:r>
      <w:r w:rsidR="00A0317C" w:rsidRPr="008401DD">
        <w:tab/>
        <w:t xml:space="preserve"> </w:t>
      </w:r>
    </w:p>
    <w:p w14:paraId="77359248" w14:textId="77777777" w:rsidR="00B56F83" w:rsidRPr="008401DD" w:rsidRDefault="00B56F83" w:rsidP="00960E68">
      <w:pPr>
        <w:spacing w:line="276" w:lineRule="auto"/>
        <w:jc w:val="both"/>
        <w:rPr>
          <w:rFonts w:cs="Arial"/>
        </w:rPr>
      </w:pPr>
      <w:r w:rsidRPr="008401DD">
        <w:rPr>
          <w:rFonts w:cs="Arial"/>
          <w:b/>
        </w:rPr>
        <w:t>RS</w:t>
      </w:r>
      <w:r w:rsidRPr="008401DD">
        <w:rPr>
          <w:rFonts w:cs="Arial"/>
          <w:b/>
        </w:rPr>
        <w:tab/>
      </w:r>
      <w:r w:rsidRPr="008401DD">
        <w:rPr>
          <w:rFonts w:cs="Arial"/>
          <w:b/>
        </w:rPr>
        <w:tab/>
      </w:r>
      <w:r w:rsidRPr="008401DD">
        <w:rPr>
          <w:rFonts w:cs="Arial"/>
          <w:b/>
        </w:rPr>
        <w:tab/>
      </w:r>
      <w:r w:rsidR="00D260A0" w:rsidRPr="008401DD">
        <w:rPr>
          <w:rFonts w:cs="Arial"/>
        </w:rPr>
        <w:t xml:space="preserve">Republika Slovenija </w:t>
      </w:r>
    </w:p>
    <w:p w14:paraId="5D39DC13" w14:textId="02B61F32" w:rsidR="00E428C8" w:rsidRPr="008401DD" w:rsidRDefault="00834EFA" w:rsidP="00960E68">
      <w:pPr>
        <w:spacing w:line="276" w:lineRule="auto"/>
        <w:jc w:val="both"/>
        <w:rPr>
          <w:rFonts w:cs="Arial"/>
        </w:rPr>
      </w:pPr>
      <w:r w:rsidRPr="008401DD">
        <w:rPr>
          <w:rFonts w:cs="Arial"/>
          <w:b/>
        </w:rPr>
        <w:t>TNI</w:t>
      </w:r>
      <w:r w:rsidR="00E428C8" w:rsidRPr="008401DD">
        <w:rPr>
          <w:rFonts w:cs="Arial"/>
          <w:b/>
        </w:rPr>
        <w:tab/>
      </w:r>
      <w:r w:rsidR="00E428C8" w:rsidRPr="008401DD">
        <w:rPr>
          <w:rFonts w:cs="Arial"/>
          <w:b/>
        </w:rPr>
        <w:tab/>
      </w:r>
      <w:r w:rsidR="00E428C8" w:rsidRPr="008401DD">
        <w:rPr>
          <w:rFonts w:cs="Arial"/>
          <w:b/>
        </w:rPr>
        <w:tab/>
      </w:r>
      <w:r w:rsidR="00E428C8" w:rsidRPr="008401DD">
        <w:rPr>
          <w:rFonts w:cs="Arial"/>
        </w:rPr>
        <w:t xml:space="preserve">Tuje neposredne investicije </w:t>
      </w:r>
    </w:p>
    <w:p w14:paraId="0FBCB1ED" w14:textId="77777777" w:rsidR="00B56F83" w:rsidRPr="008401DD" w:rsidRDefault="00B56F83" w:rsidP="00960E68">
      <w:pPr>
        <w:spacing w:line="276" w:lineRule="auto"/>
        <w:jc w:val="both"/>
      </w:pPr>
      <w:r w:rsidRPr="008401DD">
        <w:rPr>
          <w:b/>
        </w:rPr>
        <w:t>USD</w:t>
      </w:r>
      <w:r w:rsidRPr="008401DD">
        <w:rPr>
          <w:b/>
        </w:rPr>
        <w:tab/>
      </w:r>
      <w:r w:rsidRPr="008401DD">
        <w:rPr>
          <w:b/>
        </w:rPr>
        <w:tab/>
      </w:r>
      <w:r w:rsidRPr="008401DD">
        <w:rPr>
          <w:b/>
        </w:rPr>
        <w:tab/>
      </w:r>
      <w:r w:rsidR="00D709BC" w:rsidRPr="008401DD">
        <w:t xml:space="preserve">Ameriški dolarji </w:t>
      </w:r>
      <w:r w:rsidR="00D709BC" w:rsidRPr="008401DD">
        <w:rPr>
          <w:i/>
        </w:rPr>
        <w:t>(</w:t>
      </w:r>
      <w:proofErr w:type="spellStart"/>
      <w:r w:rsidR="00D709BC" w:rsidRPr="008401DD">
        <w:rPr>
          <w:i/>
        </w:rPr>
        <w:t>United</w:t>
      </w:r>
      <w:proofErr w:type="spellEnd"/>
      <w:r w:rsidR="00D709BC" w:rsidRPr="008401DD">
        <w:rPr>
          <w:i/>
        </w:rPr>
        <w:t xml:space="preserve"> </w:t>
      </w:r>
      <w:proofErr w:type="spellStart"/>
      <w:r w:rsidR="00D709BC" w:rsidRPr="008401DD">
        <w:rPr>
          <w:i/>
        </w:rPr>
        <w:t>States</w:t>
      </w:r>
      <w:proofErr w:type="spellEnd"/>
      <w:r w:rsidR="00D709BC" w:rsidRPr="008401DD">
        <w:rPr>
          <w:i/>
        </w:rPr>
        <w:t xml:space="preserve"> </w:t>
      </w:r>
      <w:proofErr w:type="spellStart"/>
      <w:r w:rsidR="00D709BC" w:rsidRPr="008401DD">
        <w:rPr>
          <w:i/>
        </w:rPr>
        <w:t>dollars</w:t>
      </w:r>
      <w:proofErr w:type="spellEnd"/>
      <w:r w:rsidR="00D709BC" w:rsidRPr="008401DD">
        <w:rPr>
          <w:i/>
        </w:rPr>
        <w:t>)</w:t>
      </w:r>
    </w:p>
    <w:p w14:paraId="55028F96" w14:textId="77777777" w:rsidR="00B56F83" w:rsidRPr="008401DD" w:rsidRDefault="00B56F83" w:rsidP="00960E68">
      <w:pPr>
        <w:spacing w:line="276" w:lineRule="auto"/>
        <w:ind w:left="2160" w:hanging="2160"/>
        <w:jc w:val="both"/>
        <w:rPr>
          <w:b/>
        </w:rPr>
      </w:pPr>
      <w:r w:rsidRPr="008401DD">
        <w:rPr>
          <w:b/>
        </w:rPr>
        <w:t>Z</w:t>
      </w:r>
      <w:r w:rsidR="00A0317C" w:rsidRPr="008401DD">
        <w:rPr>
          <w:b/>
        </w:rPr>
        <w:t>MRSHP</w:t>
      </w:r>
      <w:r w:rsidRPr="008401DD">
        <w:rPr>
          <w:b/>
        </w:rPr>
        <w:tab/>
      </w:r>
      <w:r w:rsidRPr="008401DD">
        <w:t>Zakon o mednarodnem razvojnem sodelovanju</w:t>
      </w:r>
      <w:r w:rsidR="00A0317C" w:rsidRPr="008401DD">
        <w:t xml:space="preserve"> in humanitarni pomoči</w:t>
      </w:r>
      <w:r w:rsidRPr="008401DD">
        <w:t xml:space="preserve"> Republike Slovenije</w:t>
      </w:r>
    </w:p>
    <w:p w14:paraId="0BCAF939" w14:textId="48268CD9" w:rsidR="00C958A3" w:rsidRPr="0073087E" w:rsidRDefault="00B2763E" w:rsidP="0073087E">
      <w:pPr>
        <w:spacing w:line="276" w:lineRule="auto"/>
        <w:ind w:left="2160" w:hanging="2160"/>
        <w:jc w:val="both"/>
      </w:pPr>
      <w:r w:rsidRPr="008401DD">
        <w:rPr>
          <w:b/>
        </w:rPr>
        <w:t>ZDA</w:t>
      </w:r>
      <w:r w:rsidRPr="008401DD">
        <w:rPr>
          <w:b/>
        </w:rPr>
        <w:tab/>
      </w:r>
      <w:r w:rsidRPr="008401DD">
        <w:t>Združene države Amerike</w:t>
      </w:r>
    </w:p>
    <w:p w14:paraId="7CF55AF3" w14:textId="77777777" w:rsidR="003753C2" w:rsidRPr="008401DD" w:rsidRDefault="003753C2" w:rsidP="00960E68">
      <w:pPr>
        <w:pStyle w:val="Heading1"/>
        <w:spacing w:line="276" w:lineRule="auto"/>
      </w:pPr>
      <w:bookmarkStart w:id="6" w:name="_Toc52394911"/>
      <w:bookmarkStart w:id="7" w:name="_Toc56088884"/>
      <w:bookmarkStart w:id="8" w:name="_Toc56112178"/>
      <w:bookmarkStart w:id="9" w:name="_Toc57377155"/>
      <w:bookmarkStart w:id="10" w:name="_Toc481764223"/>
      <w:r w:rsidRPr="008401DD">
        <w:t>Povzetek</w:t>
      </w:r>
      <w:bookmarkEnd w:id="6"/>
      <w:bookmarkEnd w:id="7"/>
      <w:bookmarkEnd w:id="8"/>
      <w:bookmarkEnd w:id="9"/>
    </w:p>
    <w:p w14:paraId="65C0F1FD" w14:textId="77777777" w:rsidR="006F317B" w:rsidRDefault="006F317B" w:rsidP="00960E68">
      <w:pPr>
        <w:jc w:val="both"/>
      </w:pPr>
    </w:p>
    <w:p w14:paraId="0FBB0B24" w14:textId="48906008" w:rsidR="00832AC1" w:rsidRPr="008401DD" w:rsidRDefault="00832AC1" w:rsidP="00960E68">
      <w:pPr>
        <w:jc w:val="both"/>
        <w:rPr>
          <w:rFonts w:eastAsia="Times New Roman" w:cs="Calibri"/>
          <w:szCs w:val="24"/>
          <w:lang w:eastAsia="sl-SI"/>
        </w:rPr>
      </w:pPr>
      <w:r w:rsidRPr="008401DD">
        <w:t xml:space="preserve">Predmet evalvacije sta projekta izgradnje vodne infrastrukture v občini </w:t>
      </w:r>
      <w:proofErr w:type="spellStart"/>
      <w:r w:rsidRPr="008401DD">
        <w:t>Probištip</w:t>
      </w:r>
      <w:proofErr w:type="spellEnd"/>
      <w:r w:rsidRPr="008401DD">
        <w:t xml:space="preserve"> v Severni Makedoniji, in sicer projekt izgradnje čistilne naprave za pitno vodo v občini </w:t>
      </w:r>
      <w:proofErr w:type="spellStart"/>
      <w:r w:rsidRPr="008401DD">
        <w:t>Probištip</w:t>
      </w:r>
      <w:proofErr w:type="spellEnd"/>
      <w:r w:rsidRPr="008401DD">
        <w:t xml:space="preserve"> v letu 2012, ki je bil sofinanciran s strani Ministrstva za zunanje zadeve (MZZ), ter projekt revitalizacije in avtomatizacije obstoječih vodooskrbnih objektov v občini </w:t>
      </w:r>
      <w:proofErr w:type="spellStart"/>
      <w:r w:rsidRPr="008401DD">
        <w:t>Probištip</w:t>
      </w:r>
      <w:proofErr w:type="spellEnd"/>
      <w:r w:rsidRPr="008401DD">
        <w:t>, izveden v letih 2018 in 2019, sofinanciran s strani Ministrstva za finance (MF). Oba projekta sta bila implementirana preko Centra za mednarodno sodelovanje in razvoj (CMSR). Upoštevajoč opredeljen predmet evalvacije sta c</w:t>
      </w:r>
      <w:r w:rsidRPr="008401DD">
        <w:rPr>
          <w:rFonts w:cs="Arial"/>
          <w:szCs w:val="20"/>
          <w:lang w:eastAsia="sl-SI"/>
        </w:rPr>
        <w:t xml:space="preserve">ilja evalvacije dva: (i) </w:t>
      </w:r>
      <w:r w:rsidRPr="008401DD">
        <w:rPr>
          <w:rFonts w:eastAsia="Times New Roman" w:cs="Calibri"/>
          <w:szCs w:val="24"/>
          <w:lang w:eastAsia="sl-SI"/>
        </w:rPr>
        <w:t xml:space="preserve">ocena doseganja ciljev projekta ter rezultatov, učinkov, vplivov in okoliščin izvedbe projekta ter (ii) priprava priporočil za </w:t>
      </w:r>
      <w:r w:rsidRPr="008401DD">
        <w:rPr>
          <w:rFonts w:eastAsia="Times New Roman" w:cs="Calibri"/>
          <w:szCs w:val="24"/>
          <w:lang w:eastAsia="sl-SI"/>
        </w:rPr>
        <w:lastRenderedPageBreak/>
        <w:t>učinkovitejše upravljanje projektnega cikla tj. načrtovanje in izbor, pripravo, spremljanje in izvedbo projektov preko CMSR v prihodnje.</w:t>
      </w:r>
    </w:p>
    <w:p w14:paraId="15A71828" w14:textId="77777777" w:rsidR="00832AC1" w:rsidRPr="008401DD" w:rsidRDefault="00832AC1" w:rsidP="00960E68">
      <w:pPr>
        <w:jc w:val="both"/>
        <w:rPr>
          <w:rFonts w:eastAsia="Times New Roman" w:cs="Calibri"/>
          <w:szCs w:val="24"/>
          <w:lang w:eastAsia="sl-SI"/>
        </w:rPr>
      </w:pPr>
    </w:p>
    <w:p w14:paraId="46567339" w14:textId="69B78091" w:rsidR="00832AC1" w:rsidRPr="008401DD" w:rsidRDefault="00832AC1" w:rsidP="00960E68">
      <w:pPr>
        <w:jc w:val="both"/>
      </w:pPr>
      <w:r w:rsidRPr="008401DD">
        <w:t xml:space="preserve">Sredstva v okviru slovenskega mednarodnega razvojnega sodelovanja (MRS) so dopolnjevala finančno udeležbo lokalnih deležnikov in kredita Japonske banke (JICA). Slovenija je za prvi projekt prispevala nepovratna sredstva v višini 480.000 EUR, celotna vrednost projekta pa je znašala 1.400.000 EUR, medtem ko je za drugi projekt Slovenija z nepovratnimi sredstvi sofinancirala polovico vrednosti investicije, in sicer 599.800 EUR, celotna vrednost projekta pa je znašala 1.199.600 EUR. </w:t>
      </w:r>
    </w:p>
    <w:p w14:paraId="7D8F307D" w14:textId="77777777" w:rsidR="00832AC1" w:rsidRPr="008401DD" w:rsidRDefault="00832AC1" w:rsidP="00960E68">
      <w:pPr>
        <w:spacing w:line="240" w:lineRule="auto"/>
        <w:jc w:val="both"/>
        <w:rPr>
          <w:rFonts w:cs="Arial"/>
        </w:rPr>
      </w:pPr>
    </w:p>
    <w:p w14:paraId="794422FE" w14:textId="118D247A" w:rsidR="00832AC1" w:rsidRPr="008401DD" w:rsidRDefault="00832AC1" w:rsidP="00960E68">
      <w:pPr>
        <w:jc w:val="both"/>
        <w:rPr>
          <w:rFonts w:eastAsiaTheme="minorEastAsia"/>
          <w:szCs w:val="20"/>
        </w:rPr>
      </w:pPr>
      <w:r w:rsidRPr="008401DD">
        <w:t>Cilji obeh projektov so bili sorodni, in sicer omogočanje trajne rabe voda in zagotavljanje ustrezne pitne vode, spodbujanje družbenega in gospodarskega razvoja v degradiranem okolju ter povečanje zmogljivosti čiščenja vode. Na podlagi pregleda dokumentacije in vrste pogovorov z deležniki v RS (ministrstva, CMSR) in v državi prejemnici (lokalni deležniki, izvajalec, veleposlaništvo), ki so bili vključeni v</w:t>
      </w:r>
      <w:r w:rsidR="00D74408">
        <w:t xml:space="preserve"> izvajanje projekta ugotavljamo</w:t>
      </w:r>
      <w:r w:rsidRPr="008401DD">
        <w:t xml:space="preserve">, da so cilji bili v celoti doseženi. </w:t>
      </w:r>
      <w:r w:rsidRPr="008401DD">
        <w:rPr>
          <w:rFonts w:cs="Arial"/>
        </w:rPr>
        <w:t xml:space="preserve">Oba projekta sta uspešno naslovila prepoznane potrebe po zagotovitvi ustrezne količine pitne vode za prebivalce občine </w:t>
      </w:r>
      <w:proofErr w:type="spellStart"/>
      <w:r w:rsidRPr="008401DD">
        <w:rPr>
          <w:rFonts w:cs="Arial"/>
        </w:rPr>
        <w:t>Probištip</w:t>
      </w:r>
      <w:proofErr w:type="spellEnd"/>
      <w:r w:rsidRPr="008401DD">
        <w:rPr>
          <w:rFonts w:cs="Arial"/>
        </w:rPr>
        <w:t xml:space="preserve">. </w:t>
      </w:r>
      <w:r w:rsidRPr="008401DD">
        <w:rPr>
          <w:rFonts w:eastAsiaTheme="minorEastAsia"/>
          <w:szCs w:val="20"/>
        </w:rPr>
        <w:t xml:space="preserve">Delno sta zasledovala tudi pristop temelječ na človekovih pravicah, saj </w:t>
      </w:r>
      <w:r w:rsidRPr="008401DD">
        <w:rPr>
          <w:rFonts w:cs="Arial"/>
        </w:rPr>
        <w:t>ne prihaja več do pomanjkanja vode med sušnimi obdobji,</w:t>
      </w:r>
      <w:r w:rsidRPr="008401DD">
        <w:rPr>
          <w:rFonts w:eastAsiaTheme="minorEastAsia"/>
          <w:szCs w:val="20"/>
        </w:rPr>
        <w:t xml:space="preserve"> kar podpira človekovo pravico do zdravja, pravico do zdravega življenjskega okolja ter pravico do vode.</w:t>
      </w:r>
      <w:r w:rsidR="00B144C8">
        <w:rPr>
          <w:rFonts w:eastAsiaTheme="minorEastAsia"/>
          <w:szCs w:val="20"/>
        </w:rPr>
        <w:t xml:space="preserve"> </w:t>
      </w:r>
      <w:r w:rsidRPr="008401DD">
        <w:rPr>
          <w:rFonts w:eastAsiaTheme="minorEastAsia"/>
          <w:szCs w:val="20"/>
        </w:rPr>
        <w:t>Delno sta prispevala tudi k varovanju okolja, saj je z izgradnjo čistilne naprave zagotovljena trajnostna raba naravnih danosti območja, medtem ko pristop doseganja enakosti spolov ni bil zasledovan in z vidika vsebine projekta tudi ni relevanten.</w:t>
      </w:r>
      <w:r w:rsidR="001831B5" w:rsidRPr="008401DD">
        <w:rPr>
          <w:rFonts w:eastAsiaTheme="minorEastAsia"/>
          <w:szCs w:val="20"/>
        </w:rPr>
        <w:t xml:space="preserve"> Projekta sta si komplementarna, saj prvi zagotavlja čisto vodo, drugi pa </w:t>
      </w:r>
      <w:r w:rsidR="00C91CFF">
        <w:rPr>
          <w:rFonts w:eastAsiaTheme="minorEastAsia"/>
          <w:szCs w:val="20"/>
        </w:rPr>
        <w:t xml:space="preserve">povečuje </w:t>
      </w:r>
      <w:r w:rsidR="001831B5" w:rsidRPr="008401DD">
        <w:rPr>
          <w:rFonts w:eastAsiaTheme="minorEastAsia"/>
          <w:szCs w:val="20"/>
        </w:rPr>
        <w:t xml:space="preserve">zmogljivost oskrbnega sistema in </w:t>
      </w:r>
      <w:r w:rsidR="002E1936">
        <w:rPr>
          <w:rFonts w:eastAsiaTheme="minorEastAsia"/>
          <w:szCs w:val="20"/>
        </w:rPr>
        <w:t xml:space="preserve">dodatno </w:t>
      </w:r>
      <w:r w:rsidR="001831B5" w:rsidRPr="008401DD">
        <w:rPr>
          <w:rFonts w:eastAsiaTheme="minorEastAsia"/>
          <w:szCs w:val="20"/>
        </w:rPr>
        <w:t>nadgrajuje zmogljivosti</w:t>
      </w:r>
      <w:r w:rsidR="002E1936">
        <w:rPr>
          <w:rFonts w:eastAsiaTheme="minorEastAsia"/>
          <w:szCs w:val="20"/>
        </w:rPr>
        <w:t xml:space="preserve"> čistilne naprave</w:t>
      </w:r>
      <w:r w:rsidR="001831B5" w:rsidRPr="008401DD">
        <w:rPr>
          <w:rFonts w:eastAsiaTheme="minorEastAsia"/>
          <w:szCs w:val="20"/>
        </w:rPr>
        <w:t>.</w:t>
      </w:r>
    </w:p>
    <w:p w14:paraId="45FF6694" w14:textId="77777777" w:rsidR="00832AC1" w:rsidRPr="008401DD" w:rsidRDefault="00832AC1" w:rsidP="00960E68">
      <w:pPr>
        <w:jc w:val="both"/>
        <w:rPr>
          <w:rFonts w:eastAsiaTheme="minorEastAsia"/>
          <w:szCs w:val="20"/>
        </w:rPr>
      </w:pPr>
    </w:p>
    <w:p w14:paraId="720F22CA" w14:textId="6FB847F7" w:rsidR="00832AC1" w:rsidRPr="008401DD" w:rsidRDefault="00832AC1" w:rsidP="00960E68">
      <w:pPr>
        <w:jc w:val="both"/>
      </w:pPr>
      <w:r w:rsidRPr="008401DD">
        <w:t xml:space="preserve">Projekta imata potencialni pozitiven dolgoročni vpliv na končne prejemnike, saj se vodooskrbni objekti, ki so bili zgrajeni/revitalizirani, uporabljajo se za daljše obdobje, vgrajena oprema pa ima dolgo življenjsko dobo. Kot potencialni dolgoročni vpliv prepoznavamo izboljšanje kakovosti življenja prebivalcev v občini </w:t>
      </w:r>
      <w:proofErr w:type="spellStart"/>
      <w:r w:rsidRPr="008401DD">
        <w:t>Probištip</w:t>
      </w:r>
      <w:proofErr w:type="spellEnd"/>
      <w:r w:rsidRPr="008401DD">
        <w:t>, saj se jim je pomembno izboljšal dostop do kakovostne pitne vode, dobava vode pa poteka nemoteno. S prenosom znanja izvajalcev obeh projektov glede upravljanja z vodno infrastrukturo na upravljalca objektov pa je v določeni meri zagotovljena tudi trajnost doseženih učinkov.</w:t>
      </w:r>
    </w:p>
    <w:p w14:paraId="49B69638" w14:textId="77777777" w:rsidR="00832AC1" w:rsidRPr="008401DD" w:rsidRDefault="00832AC1" w:rsidP="00960E68">
      <w:pPr>
        <w:jc w:val="both"/>
      </w:pPr>
    </w:p>
    <w:p w14:paraId="4457341E" w14:textId="241CA431" w:rsidR="00832AC1" w:rsidRPr="008401DD" w:rsidRDefault="00832AC1" w:rsidP="00960E68">
      <w:pPr>
        <w:jc w:val="both"/>
        <w:rPr>
          <w:rFonts w:cs="Arial"/>
        </w:rPr>
      </w:pPr>
      <w:r w:rsidRPr="008401DD">
        <w:rPr>
          <w:rFonts w:cs="Arial"/>
        </w:rPr>
        <w:t>Ključne pomanjkljivosti, ki jih je evalvacija projektov razkrila, se kažejo v samem postopku izbora in potrjevanja projektov MRS, ter sistemu upravljanja in spremljanja projektov.</w:t>
      </w:r>
    </w:p>
    <w:p w14:paraId="6077292E" w14:textId="77777777" w:rsidR="00832AC1" w:rsidRPr="008401DD" w:rsidRDefault="00832AC1" w:rsidP="00960E68">
      <w:pPr>
        <w:jc w:val="both"/>
        <w:rPr>
          <w:rFonts w:cs="Arial"/>
        </w:rPr>
      </w:pPr>
    </w:p>
    <w:p w14:paraId="5673B216" w14:textId="75060495" w:rsidR="00832AC1" w:rsidRPr="008401DD" w:rsidRDefault="00832AC1" w:rsidP="00960E68">
      <w:pPr>
        <w:jc w:val="both"/>
      </w:pPr>
      <w:r w:rsidRPr="008401DD">
        <w:t xml:space="preserve">Projektna predloga temeljita na pomanjkljivih, nestandardiziranih obrazcih, podobno velja za ocenjevalne obrazce, ki </w:t>
      </w:r>
      <w:r w:rsidR="00C91CFF" w:rsidRPr="008401DD">
        <w:t>temeljijo le na kratkih projektnih opisih</w:t>
      </w:r>
      <w:r w:rsidR="00FD09D1">
        <w:t xml:space="preserve"> (oblika teh je bila v preteklosti dogovorjena z MZZ)</w:t>
      </w:r>
      <w:r w:rsidR="00C91CFF" w:rsidRPr="008401DD">
        <w:t xml:space="preserve"> </w:t>
      </w:r>
      <w:r w:rsidRPr="008401DD">
        <w:t xml:space="preserve">in ne ponujajo zadostnih utemeljitev točkovanja. Tekom priprave projektnega predloga tudi ni bila </w:t>
      </w:r>
      <w:r w:rsidR="005B08BE" w:rsidRPr="008401DD">
        <w:t xml:space="preserve">zahtevana in posledično ni bila </w:t>
      </w:r>
      <w:r w:rsidRPr="008401DD">
        <w:t>izvedena ustrezna analiza tveganj in načrt za ustrezno naslavljanje le-teh, kar lahko služi kot podlaga za načrtovanje ustreznih kontrolnih mehanizmov tekom izvedbe.</w:t>
      </w:r>
    </w:p>
    <w:p w14:paraId="2F83D0CE" w14:textId="77777777" w:rsidR="00832AC1" w:rsidRPr="008401DD" w:rsidRDefault="00832AC1" w:rsidP="00960E68">
      <w:pPr>
        <w:jc w:val="both"/>
      </w:pPr>
    </w:p>
    <w:p w14:paraId="6EEE4E5E" w14:textId="6F731548" w:rsidR="00832AC1" w:rsidRPr="008401DD" w:rsidRDefault="00832AC1" w:rsidP="00960E68">
      <w:pPr>
        <w:jc w:val="both"/>
      </w:pPr>
      <w:r w:rsidRPr="008401DD">
        <w:t xml:space="preserve">Sistem izbora projektov obstaja, a je nejasen in v določenih vidikih </w:t>
      </w:r>
      <w:proofErr w:type="spellStart"/>
      <w:r w:rsidRPr="008401DD">
        <w:t>netransparenten</w:t>
      </w:r>
      <w:proofErr w:type="spellEnd"/>
      <w:r w:rsidRPr="008401DD">
        <w:t xml:space="preserve">, investicijska dokumentacija pa ni podprta z ustreznimi analizami in študijami in je v celoti prepuščena lokalnemu partnerju. Pripravljavec investicijske dokumentacije v obeh projektih je bil prejemnik sredstev (občina </w:t>
      </w:r>
      <w:proofErr w:type="spellStart"/>
      <w:r w:rsidRPr="008401DD">
        <w:t>Probištip</w:t>
      </w:r>
      <w:proofErr w:type="spellEnd"/>
      <w:r w:rsidRPr="008401DD">
        <w:t xml:space="preserve">), </w:t>
      </w:r>
      <w:r w:rsidR="00C91CFF" w:rsidRPr="008401DD">
        <w:t>CMSR in ostali deležniki pa s to dokumentacijo ne razpolagajo</w:t>
      </w:r>
      <w:r w:rsidR="003E462E">
        <w:t xml:space="preserve"> </w:t>
      </w:r>
      <w:r w:rsidR="00C91CFF">
        <w:t>v celoti</w:t>
      </w:r>
      <w:r w:rsidR="00D83D63">
        <w:t>, ampak imajo na voljo le idejno zasnovo projekta</w:t>
      </w:r>
      <w:r w:rsidRPr="008401DD">
        <w:t>.</w:t>
      </w:r>
      <w:r w:rsidR="00C91CFF">
        <w:t xml:space="preserve"> </w:t>
      </w:r>
      <w:r w:rsidRPr="008401DD">
        <w:t>Ta pomanjkljivost je ključna zato, ker je odločitev za financiranje odvisna od izbrane variante, ki pa mora temeljiti na ustreznih študijah, ki prav tako niso bile del projektne dokumentacije (npr. študija izvedljivosti, študija vplivov na okolje, študija stroškov in koristi ipd.).</w:t>
      </w:r>
    </w:p>
    <w:p w14:paraId="47415CB1" w14:textId="77777777" w:rsidR="00832AC1" w:rsidRPr="008401DD" w:rsidRDefault="00832AC1" w:rsidP="00960E68">
      <w:pPr>
        <w:jc w:val="both"/>
      </w:pPr>
    </w:p>
    <w:p w14:paraId="318DC58C" w14:textId="2D045050" w:rsidR="00832AC1" w:rsidRPr="008401DD" w:rsidRDefault="00832AC1" w:rsidP="00960E68">
      <w:pPr>
        <w:jc w:val="both"/>
      </w:pPr>
      <w:r w:rsidRPr="008401DD">
        <w:t xml:space="preserve">Pri pregledu tehničnih in finančnih postavk projektnih predlogov se CMSR </w:t>
      </w:r>
      <w:r w:rsidR="00C91CFF">
        <w:t>v preteklih letih ni posvetoval</w:t>
      </w:r>
      <w:r w:rsidR="00C91CFF" w:rsidRPr="008401DD">
        <w:t xml:space="preserve"> </w:t>
      </w:r>
      <w:r w:rsidRPr="008401DD">
        <w:t xml:space="preserve">z zunanjimi strokovnjaki z namenom preverbe točnosti postavk, kar prav tako povečuje tveganje neracionalne porabe javnih sredstev, v določeni meri pa tudi korupcijska tveganja, saj se celotna odločitev glede izbrane rešitve in s tem povezanimi stroški prepušča lokalnim deležnikom. </w:t>
      </w:r>
      <w:r w:rsidR="00C91CFF">
        <w:t xml:space="preserve">CMSR je v zadnjem letu dni uvedel prakso vključevanja zunanjih strokovnjakov v pregled projektnih predlogov. </w:t>
      </w:r>
      <w:r w:rsidRPr="008401DD">
        <w:t>Nepravilnosti ali neracionalne rabe sredstev v primeru obravnavanih projektov v okviru evalvacije sicer nismo zaznali.</w:t>
      </w:r>
    </w:p>
    <w:p w14:paraId="26E05E22" w14:textId="77777777" w:rsidR="00832AC1" w:rsidRPr="008401DD" w:rsidRDefault="00832AC1" w:rsidP="00960E68">
      <w:pPr>
        <w:jc w:val="both"/>
      </w:pPr>
    </w:p>
    <w:p w14:paraId="088802C4" w14:textId="79D3C350" w:rsidR="00832AC1" w:rsidRPr="008401DD" w:rsidRDefault="00832AC1" w:rsidP="00960E68">
      <w:pPr>
        <w:jc w:val="both"/>
      </w:pPr>
      <w:r w:rsidRPr="008401DD">
        <w:t>Oba projekta sta bila sicer izvedena pred začetkom postopka standardizacije postopkov in obrazcev s strani nacionalnega koordinatorja MRS, zato se določene pomanjkljivosti in ugotovitve že naslavljajo. Smiselna pa je dopolnitev postopkov priprave projektov z ex-</w:t>
      </w:r>
      <w:proofErr w:type="spellStart"/>
      <w:r w:rsidRPr="008401DD">
        <w:t>an</w:t>
      </w:r>
      <w:r w:rsidR="00AE3CF8" w:rsidRPr="008401DD">
        <w:t>te</w:t>
      </w:r>
      <w:proofErr w:type="spellEnd"/>
      <w:r w:rsidR="00AE3CF8" w:rsidRPr="008401DD">
        <w:t xml:space="preserve"> zahtevami lokalnim deležnikom</w:t>
      </w:r>
      <w:r w:rsidRPr="008401DD">
        <w:t xml:space="preserve"> glede minimalnih zahtev pri pripravi investicijske dokumentacije in pripadajočih študij. Del sredstev MRS naj se tako zlasti v </w:t>
      </w:r>
      <w:r w:rsidRPr="008401DD">
        <w:lastRenderedPageBreak/>
        <w:t xml:space="preserve">primeru deležnikov z omejenimi zmogljivostmi nameni tudi za pripravo, ali vsaj pregled tehničnih postavk investicijske dokumentacije z vključevanjem </w:t>
      </w:r>
      <w:r w:rsidR="00895C8B">
        <w:t xml:space="preserve">neodvisnih </w:t>
      </w:r>
      <w:r w:rsidRPr="008401DD">
        <w:t>zunanjih strokovnjakov.</w:t>
      </w:r>
    </w:p>
    <w:p w14:paraId="64DEC675" w14:textId="77777777" w:rsidR="00832AC1" w:rsidRPr="008401DD" w:rsidRDefault="00832AC1" w:rsidP="00960E68">
      <w:pPr>
        <w:jc w:val="both"/>
      </w:pPr>
    </w:p>
    <w:p w14:paraId="51706B9E" w14:textId="40E606AF" w:rsidR="00832AC1" w:rsidRPr="008401DD" w:rsidRDefault="00832AC1" w:rsidP="00960E68">
      <w:pPr>
        <w:jc w:val="both"/>
        <w:rPr>
          <w:rFonts w:cs="Arial"/>
        </w:rPr>
      </w:pPr>
      <w:r w:rsidRPr="008401DD">
        <w:rPr>
          <w:rFonts w:cs="Arial"/>
        </w:rPr>
        <w:t xml:space="preserve">Trenutni sistem upravljanja in sistem spremljanja in poročanja sta pomanjkljiva, saj sam programski okvir ne predvideva jasno opredeljenih operativnih ciljev, predvsem pa za cilje niso opredeljeni merljivi kazalniki, na podlagi katerih bi </w:t>
      </w:r>
      <w:proofErr w:type="spellStart"/>
      <w:r w:rsidRPr="008401DD">
        <w:rPr>
          <w:rFonts w:cs="Arial"/>
        </w:rPr>
        <w:t>evalvator</w:t>
      </w:r>
      <w:proofErr w:type="spellEnd"/>
      <w:r w:rsidRPr="008401DD">
        <w:rPr>
          <w:rFonts w:cs="Arial"/>
        </w:rPr>
        <w:t xml:space="preserve"> lahko sklepal o napredku </w:t>
      </w:r>
      <w:r w:rsidR="007723D4">
        <w:rPr>
          <w:rFonts w:cs="Arial"/>
        </w:rPr>
        <w:t xml:space="preserve">projekta in/ ali </w:t>
      </w:r>
      <w:r w:rsidRPr="008401DD">
        <w:rPr>
          <w:rFonts w:cs="Arial"/>
        </w:rPr>
        <w:t xml:space="preserve">programa glede na zastavljene cilje. </w:t>
      </w:r>
      <w:r w:rsidRPr="008401DD">
        <w:rPr>
          <w:rFonts w:cs="Arial"/>
          <w:szCs w:val="20"/>
        </w:rPr>
        <w:t xml:space="preserve">Kot priporočilo zato podajamo predlog za vzpostavitev mehanizmov za spremljanje projektov v fazi samega načrtovanja projekta skladno z načeli stroke in dobrega projektnega upravljanja, okrepitev vloge CMSR na področju upravljanja projektov, in zagotavljanje jasne revizijske sledi v fazi izbora in izvedbe projektov. </w:t>
      </w:r>
    </w:p>
    <w:p w14:paraId="60DD6290" w14:textId="77777777" w:rsidR="00832AC1" w:rsidRPr="008401DD" w:rsidRDefault="00832AC1" w:rsidP="00960E68">
      <w:pPr>
        <w:jc w:val="both"/>
        <w:rPr>
          <w:rFonts w:cs="Arial"/>
        </w:rPr>
      </w:pPr>
    </w:p>
    <w:p w14:paraId="281B2A2C" w14:textId="4BF8DA42" w:rsidR="00832AC1" w:rsidRPr="008401DD" w:rsidRDefault="00832AC1" w:rsidP="00960E68">
      <w:pPr>
        <w:jc w:val="both"/>
        <w:rPr>
          <w:rFonts w:cs="Arial"/>
        </w:rPr>
      </w:pPr>
      <w:r w:rsidRPr="008401DD">
        <w:rPr>
          <w:rFonts w:cs="Arial"/>
        </w:rPr>
        <w:t xml:space="preserve">Več ugotovitev glede sistemskih </w:t>
      </w:r>
      <w:r w:rsidR="007723D4">
        <w:rPr>
          <w:rFonts w:cs="Arial"/>
        </w:rPr>
        <w:t>pomanjkljivosti</w:t>
      </w:r>
      <w:r w:rsidR="007723D4" w:rsidRPr="008401DD">
        <w:rPr>
          <w:rFonts w:cs="Arial"/>
        </w:rPr>
        <w:t xml:space="preserve"> </w:t>
      </w:r>
      <w:r w:rsidRPr="008401DD">
        <w:rPr>
          <w:rFonts w:cs="Arial"/>
        </w:rPr>
        <w:t>procesa izbora, potrjevanja in upravljanja projektov MRS izvira iz sistemske ureditve, ki na nacionalni ravni združuje več deležnikov, temelji pa na sorazmerno kompleksnih postopkih usklajevanja in dogovarjanja med nacionalnim koordinatorjem, financerji, izvajalci projektov in drugimi deležniki. Eno od priporočil evalvacije se zato nanaša na širši kontekst sistemske ureditve MRS v RS, ko gre za bilateralne projekte, in sicer poziva h proučitvi možnosti za večjo integracijo sistema in postopkov odločanja.</w:t>
      </w:r>
    </w:p>
    <w:p w14:paraId="1FA90071" w14:textId="77777777" w:rsidR="001831B5" w:rsidRPr="008401DD" w:rsidRDefault="001831B5" w:rsidP="00960E68">
      <w:pPr>
        <w:jc w:val="both"/>
        <w:rPr>
          <w:rFonts w:cs="Arial"/>
        </w:rPr>
      </w:pPr>
    </w:p>
    <w:p w14:paraId="413BF432" w14:textId="607FAAFF" w:rsidR="001831B5" w:rsidRPr="008401DD" w:rsidRDefault="001831B5" w:rsidP="00161A81">
      <w:pPr>
        <w:jc w:val="both"/>
        <w:rPr>
          <w:rFonts w:eastAsia="Times New Roman" w:cs="Calibri"/>
          <w:szCs w:val="24"/>
          <w:lang w:eastAsia="sl-SI"/>
        </w:rPr>
      </w:pPr>
      <w:r w:rsidRPr="008401DD">
        <w:rPr>
          <w:rFonts w:eastAsia="Times New Roman" w:cs="Calibri"/>
          <w:szCs w:val="24"/>
          <w:lang w:eastAsia="sl-SI"/>
        </w:rPr>
        <w:t xml:space="preserve">Pri samem izvajanju projektov MRS v Severni Makedoniji je sicer zelo pomembno, da </w:t>
      </w:r>
      <w:r w:rsidR="007723D4">
        <w:rPr>
          <w:rFonts w:eastAsia="Times New Roman" w:cs="Calibri"/>
          <w:szCs w:val="24"/>
          <w:lang w:eastAsia="sl-SI"/>
        </w:rPr>
        <w:t>so v same projekte vgrajeni mehanizmi</w:t>
      </w:r>
      <w:r w:rsidRPr="008401DD">
        <w:rPr>
          <w:rFonts w:eastAsia="Times New Roman" w:cs="Calibri"/>
          <w:szCs w:val="24"/>
          <w:lang w:eastAsia="sl-SI"/>
        </w:rPr>
        <w:t xml:space="preserve"> za </w:t>
      </w:r>
      <w:r w:rsidR="007723D4">
        <w:rPr>
          <w:rFonts w:eastAsia="Times New Roman" w:cs="Calibri"/>
          <w:szCs w:val="24"/>
          <w:lang w:eastAsia="sl-SI"/>
        </w:rPr>
        <w:t>zagotavljanje</w:t>
      </w:r>
      <w:r w:rsidR="007723D4" w:rsidRPr="008401DD">
        <w:rPr>
          <w:rFonts w:eastAsia="Times New Roman" w:cs="Calibri"/>
          <w:szCs w:val="24"/>
          <w:lang w:eastAsia="sl-SI"/>
        </w:rPr>
        <w:t xml:space="preserve"> </w:t>
      </w:r>
      <w:r w:rsidRPr="008401DD">
        <w:rPr>
          <w:rFonts w:eastAsia="Times New Roman" w:cs="Calibri"/>
          <w:szCs w:val="24"/>
          <w:lang w:eastAsia="sl-SI"/>
        </w:rPr>
        <w:t xml:space="preserve">trajnosti projektov. Pomembno orodje v tem smislu je </w:t>
      </w:r>
      <w:proofErr w:type="spellStart"/>
      <w:r w:rsidRPr="008401DD">
        <w:rPr>
          <w:rFonts w:eastAsia="Times New Roman" w:cs="Calibri"/>
          <w:szCs w:val="24"/>
          <w:lang w:eastAsia="sl-SI"/>
        </w:rPr>
        <w:t>t.i</w:t>
      </w:r>
      <w:proofErr w:type="spellEnd"/>
      <w:r w:rsidRPr="008401DD">
        <w:rPr>
          <w:rFonts w:eastAsia="Times New Roman" w:cs="Calibri"/>
          <w:szCs w:val="24"/>
          <w:lang w:eastAsia="sl-SI"/>
        </w:rPr>
        <w:t xml:space="preserve">. mehko pogojevanje, s pomočjo katerega se izvedba projektov lahko veže na izpolnjevanje določenih zahtev s strani države prejemnice, bodisi v smislu prilagoditve pravnega okvirja, bodisi v smislu zagotovitve virov ali zmogljivosti za zagotavljanje trajnosti projekta po njegovem zaključku. Ena od ugotovljenih pomanjkljivosti </w:t>
      </w:r>
      <w:proofErr w:type="spellStart"/>
      <w:r w:rsidRPr="008401DD">
        <w:rPr>
          <w:rFonts w:eastAsia="Times New Roman" w:cs="Calibri"/>
          <w:szCs w:val="24"/>
          <w:lang w:eastAsia="sl-SI"/>
        </w:rPr>
        <w:t>evalviranih</w:t>
      </w:r>
      <w:proofErr w:type="spellEnd"/>
      <w:r w:rsidRPr="008401DD">
        <w:rPr>
          <w:rFonts w:eastAsia="Times New Roman" w:cs="Calibri"/>
          <w:szCs w:val="24"/>
          <w:lang w:eastAsia="sl-SI"/>
        </w:rPr>
        <w:t xml:space="preserve"> projektov z vidika trajnosti je ta, da v projektni zasnovi ni bilo upoštevano vprašanje vzdržnosti financiranja vzdrževanja infrastrukture na dolgi rok, zato je smiselno navedeno upoštevati že v fazi izdelave tehnične dokumentacije in izbire tehnično-tehnološke </w:t>
      </w:r>
      <w:r w:rsidR="00C91CFF" w:rsidRPr="008401DD">
        <w:rPr>
          <w:rFonts w:eastAsia="Times New Roman" w:cs="Calibri"/>
          <w:szCs w:val="24"/>
          <w:lang w:eastAsia="sl-SI"/>
        </w:rPr>
        <w:t>rešitve.</w:t>
      </w:r>
      <w:r w:rsidR="009071F0">
        <w:rPr>
          <w:rFonts w:eastAsia="Times New Roman" w:cs="Calibri"/>
          <w:szCs w:val="24"/>
          <w:lang w:eastAsia="sl-SI"/>
        </w:rPr>
        <w:t xml:space="preserve"> V primeru konkretnih projektov </w:t>
      </w:r>
      <w:r w:rsidR="00BB658C">
        <w:rPr>
          <w:rFonts w:eastAsia="Times New Roman" w:cs="Calibri"/>
          <w:szCs w:val="24"/>
          <w:lang w:eastAsia="sl-SI"/>
        </w:rPr>
        <w:t>predstavlja</w:t>
      </w:r>
      <w:r w:rsidR="009071F0">
        <w:rPr>
          <w:rFonts w:eastAsia="Times New Roman" w:cs="Calibri"/>
          <w:szCs w:val="24"/>
          <w:lang w:eastAsia="sl-SI"/>
        </w:rPr>
        <w:t xml:space="preserve"> del problema</w:t>
      </w:r>
      <w:r w:rsidR="00BB658C">
        <w:rPr>
          <w:rFonts w:eastAsia="Times New Roman" w:cs="Calibri"/>
          <w:szCs w:val="24"/>
          <w:lang w:eastAsia="sl-SI"/>
        </w:rPr>
        <w:t xml:space="preserve"> trajnosti</w:t>
      </w:r>
      <w:r w:rsidR="009071F0">
        <w:rPr>
          <w:rFonts w:eastAsia="Times New Roman" w:cs="Calibri"/>
          <w:szCs w:val="24"/>
          <w:lang w:eastAsia="sl-SI"/>
        </w:rPr>
        <w:t>, ki bi ga bilo v prihodnje potrebno upoštevati v zasnovi projekta in projektni dokumentaciji, tudi način financiranja infrastrukture za oskrbo s pitno vodo, ki mora upoštevati tudi občutljivost prejemkov pomoči na morebitno povečanje stroškov.</w:t>
      </w:r>
    </w:p>
    <w:p w14:paraId="352D9720" w14:textId="7DBE8F84" w:rsidR="00832AC1" w:rsidRPr="008401DD" w:rsidRDefault="00832AC1" w:rsidP="00960E68">
      <w:pPr>
        <w:jc w:val="both"/>
        <w:rPr>
          <w:rFonts w:cs="Arial"/>
        </w:rPr>
      </w:pPr>
    </w:p>
    <w:p w14:paraId="07AFADD9" w14:textId="770F0A61" w:rsidR="001831B5" w:rsidRPr="008401DD" w:rsidRDefault="00832AC1" w:rsidP="00960E68">
      <w:pPr>
        <w:jc w:val="both"/>
        <w:rPr>
          <w:rFonts w:cs="Arial"/>
        </w:rPr>
      </w:pPr>
      <w:r w:rsidRPr="008401DD">
        <w:rPr>
          <w:rFonts w:cs="Arial"/>
        </w:rPr>
        <w:t xml:space="preserve">Na splošno torej ugotavljamo, da se ključne pomanjkljivosti pri izvajanju </w:t>
      </w:r>
      <w:proofErr w:type="spellStart"/>
      <w:r w:rsidR="006F317B">
        <w:rPr>
          <w:rFonts w:cs="Arial"/>
        </w:rPr>
        <w:t>evalviranih</w:t>
      </w:r>
      <w:proofErr w:type="spellEnd"/>
      <w:r w:rsidRPr="008401DD">
        <w:rPr>
          <w:rFonts w:cs="Arial"/>
        </w:rPr>
        <w:t xml:space="preserve"> projektov nanašajo na upravljanje projektnega cikla, med tem ko z vidika ustreznosti in uspešnosti projektov ni večjih ugotovitev ali priporočil. Slovenija je v Severni Makedoniji prepoznana kot pomembna donatorica, oba projekta, ki sta bila predmet evalvacije, pa sta bila s strani deležnikov iz Severne Makedonije, ki so bili vključeni v projekt, prepoznana kot uspešna. Vsi so poudarjali tudi učinkovitost izvedbe ter odzivnost projektnih partnerjev in izvajalcev.</w:t>
      </w:r>
    </w:p>
    <w:p w14:paraId="228E186C" w14:textId="77777777" w:rsidR="00832AC1" w:rsidRPr="008401DD" w:rsidRDefault="00832AC1" w:rsidP="00960E68">
      <w:pPr>
        <w:jc w:val="both"/>
        <w:rPr>
          <w:rFonts w:cs="Arial"/>
        </w:rPr>
      </w:pPr>
    </w:p>
    <w:p w14:paraId="404B9910" w14:textId="77777777" w:rsidR="00832AC1" w:rsidRPr="008401DD" w:rsidRDefault="00BD3F57" w:rsidP="00960E68">
      <w:pPr>
        <w:jc w:val="both"/>
        <w:rPr>
          <w:rFonts w:cs="Arial"/>
          <w:i/>
        </w:rPr>
      </w:pPr>
      <w:r>
        <w:rPr>
          <w:rFonts w:cs="Arial"/>
        </w:rPr>
        <w:t>Oba projekta se neposredno odzivata na</w:t>
      </w:r>
      <w:r w:rsidR="006F317B">
        <w:rPr>
          <w:rFonts w:cs="Arial"/>
        </w:rPr>
        <w:t xml:space="preserve"> </w:t>
      </w:r>
      <w:r>
        <w:rPr>
          <w:rFonts w:cs="Arial"/>
        </w:rPr>
        <w:t xml:space="preserve">lokalne potrebe prejemnikov pomoči in tako dodatno krepita </w:t>
      </w:r>
      <w:r w:rsidR="00832AC1" w:rsidRPr="008401DD">
        <w:rPr>
          <w:rFonts w:cs="Arial"/>
        </w:rPr>
        <w:t>zgodovinsk</w:t>
      </w:r>
      <w:r>
        <w:rPr>
          <w:rFonts w:cs="Arial"/>
        </w:rPr>
        <w:t>o</w:t>
      </w:r>
      <w:r w:rsidR="00832AC1" w:rsidRPr="008401DD">
        <w:rPr>
          <w:rFonts w:cs="Arial"/>
        </w:rPr>
        <w:t>, jezikovn</w:t>
      </w:r>
      <w:r>
        <w:rPr>
          <w:rFonts w:cs="Arial"/>
        </w:rPr>
        <w:t>o</w:t>
      </w:r>
      <w:r w:rsidR="00832AC1" w:rsidRPr="008401DD">
        <w:rPr>
          <w:rFonts w:cs="Arial"/>
        </w:rPr>
        <w:t>, kultur</w:t>
      </w:r>
      <w:r>
        <w:rPr>
          <w:rFonts w:cs="Arial"/>
        </w:rPr>
        <w:t>no</w:t>
      </w:r>
      <w:r w:rsidR="00832AC1" w:rsidRPr="008401DD">
        <w:rPr>
          <w:rFonts w:cs="Arial"/>
        </w:rPr>
        <w:t xml:space="preserve"> in upravno-administrativn</w:t>
      </w:r>
      <w:r>
        <w:rPr>
          <w:rFonts w:cs="Arial"/>
        </w:rPr>
        <w:t>o</w:t>
      </w:r>
      <w:r w:rsidR="00832AC1" w:rsidRPr="008401DD">
        <w:rPr>
          <w:rFonts w:cs="Arial"/>
        </w:rPr>
        <w:t xml:space="preserve"> bližin</w:t>
      </w:r>
      <w:r>
        <w:rPr>
          <w:rFonts w:cs="Arial"/>
        </w:rPr>
        <w:t>o</w:t>
      </w:r>
      <w:r w:rsidR="00832AC1" w:rsidRPr="008401DD">
        <w:rPr>
          <w:rFonts w:cs="Arial"/>
        </w:rPr>
        <w:t xml:space="preserve"> in povezanost obeh držav.</w:t>
      </w:r>
      <w:r w:rsidR="00832AC1" w:rsidRPr="008401DD">
        <w:t xml:space="preserve"> </w:t>
      </w:r>
      <w:r w:rsidR="00832AC1" w:rsidRPr="008401DD">
        <w:rPr>
          <w:rFonts w:cs="Arial"/>
        </w:rPr>
        <w:t xml:space="preserve">Glede na to, da se več občin v Severni Makedoniji sooča s podobnimi izzivi zagotavljanja nemotene oskrbe s kakovostno pitno vodo, je smiselno v postopku zbiranja predlogov projektov </w:t>
      </w:r>
      <w:proofErr w:type="spellStart"/>
      <w:r w:rsidR="00832AC1" w:rsidRPr="008401DD">
        <w:rPr>
          <w:rFonts w:cs="Arial"/>
        </w:rPr>
        <w:t>prioritizirati</w:t>
      </w:r>
      <w:proofErr w:type="spellEnd"/>
      <w:r w:rsidR="00832AC1" w:rsidRPr="008401DD">
        <w:rPr>
          <w:rFonts w:cs="Arial"/>
        </w:rPr>
        <w:t xml:space="preserve"> tiste, ki so vsebinsko sorodni in se posledično lahko replicirajo z uporabo obstoječega slovenskega znanja in izkušenj. Dodana vrednost in doseg projektov se lahko še poveča na način, da se posebna pozornost posveti projektom z regionalno dimenzijo (npr. regionalni centri za ravnanje z odpadki, medobčinska vodna infrastruktura ipd.).</w:t>
      </w:r>
    </w:p>
    <w:p w14:paraId="2FAB08A8" w14:textId="77777777" w:rsidR="00BA1704" w:rsidRPr="008401DD" w:rsidRDefault="00BA1704" w:rsidP="00960E68">
      <w:pPr>
        <w:spacing w:line="276" w:lineRule="auto"/>
        <w:jc w:val="both"/>
        <w:rPr>
          <w:rFonts w:eastAsia="Times New Roman" w:cs="Calibri"/>
          <w:szCs w:val="24"/>
          <w:lang w:eastAsia="sl-SI"/>
        </w:rPr>
      </w:pPr>
    </w:p>
    <w:p w14:paraId="117648D6" w14:textId="0561CA7E" w:rsidR="006F317B" w:rsidRDefault="006F317B">
      <w:pPr>
        <w:spacing w:after="160"/>
        <w:rPr>
          <w:rFonts w:eastAsia="Times New Roman" w:cs="Calibri"/>
          <w:szCs w:val="24"/>
          <w:lang w:eastAsia="sl-SI"/>
        </w:rPr>
      </w:pPr>
      <w:r>
        <w:rPr>
          <w:rFonts w:eastAsia="Times New Roman" w:cs="Calibri"/>
          <w:szCs w:val="24"/>
          <w:lang w:eastAsia="sl-SI"/>
        </w:rPr>
        <w:br w:type="page"/>
      </w:r>
    </w:p>
    <w:p w14:paraId="1671FE9F" w14:textId="40F58DA8" w:rsidR="003A7B4E" w:rsidRPr="00161A81" w:rsidRDefault="00D731F0" w:rsidP="00161A81">
      <w:pPr>
        <w:pStyle w:val="Heading1"/>
        <w:rPr>
          <w:lang w:val="en-GB"/>
        </w:rPr>
      </w:pPr>
      <w:bookmarkStart w:id="11" w:name="_Toc56088885"/>
      <w:bookmarkStart w:id="12" w:name="_Toc56112179"/>
      <w:bookmarkStart w:id="13" w:name="_Toc57377156"/>
      <w:r w:rsidRPr="00161A81">
        <w:rPr>
          <w:lang w:val="en-GB"/>
        </w:rPr>
        <w:lastRenderedPageBreak/>
        <w:t>Abstract</w:t>
      </w:r>
      <w:bookmarkEnd w:id="11"/>
      <w:bookmarkEnd w:id="12"/>
      <w:bookmarkEnd w:id="13"/>
    </w:p>
    <w:p w14:paraId="2C3B8AF5" w14:textId="77777777" w:rsidR="006F317B" w:rsidRDefault="006F317B" w:rsidP="00960E68">
      <w:pPr>
        <w:jc w:val="both"/>
        <w:rPr>
          <w:lang w:val="en-GB"/>
        </w:rPr>
      </w:pPr>
      <w:bookmarkStart w:id="14" w:name="_Toc52394912"/>
      <w:bookmarkEnd w:id="10"/>
    </w:p>
    <w:p w14:paraId="326014DF" w14:textId="2B4F4767" w:rsidR="00A02682" w:rsidRDefault="00A02682" w:rsidP="00960E68">
      <w:pPr>
        <w:jc w:val="both"/>
        <w:rPr>
          <w:lang w:val="en-GB"/>
        </w:rPr>
      </w:pPr>
      <w:r w:rsidRPr="00161A81">
        <w:rPr>
          <w:lang w:val="en-GB"/>
        </w:rPr>
        <w:t xml:space="preserve">The subject of evaluation are the projects of construction of water infrastructure in the municipality of </w:t>
      </w:r>
      <w:proofErr w:type="spellStart"/>
      <w:r w:rsidRPr="00161A81">
        <w:rPr>
          <w:lang w:val="en-GB"/>
        </w:rPr>
        <w:t>Probištip</w:t>
      </w:r>
      <w:proofErr w:type="spellEnd"/>
      <w:r w:rsidRPr="00161A81">
        <w:rPr>
          <w:lang w:val="en-GB"/>
        </w:rPr>
        <w:t xml:space="preserve"> in Northern Macedonia, namely the project of construction of a drinking water treatment plant in the municipality of </w:t>
      </w:r>
      <w:proofErr w:type="spellStart"/>
      <w:r w:rsidRPr="00161A81">
        <w:rPr>
          <w:lang w:val="en-GB"/>
        </w:rPr>
        <w:t>Probištip</w:t>
      </w:r>
      <w:proofErr w:type="spellEnd"/>
      <w:r w:rsidRPr="00161A81">
        <w:rPr>
          <w:lang w:val="en-GB"/>
        </w:rPr>
        <w:t xml:space="preserve"> in 2012, co-financed by the Ministry of Foreign Affairs, and the project of revitalization and automation of existing water supply facilities in the municipality of </w:t>
      </w:r>
      <w:proofErr w:type="spellStart"/>
      <w:r w:rsidRPr="00161A81">
        <w:rPr>
          <w:lang w:val="en-GB"/>
        </w:rPr>
        <w:t>Probištip</w:t>
      </w:r>
      <w:proofErr w:type="spellEnd"/>
      <w:r w:rsidRPr="00161A81">
        <w:rPr>
          <w:lang w:val="en-GB"/>
        </w:rPr>
        <w:t xml:space="preserve">, implemented in 2018 and 2019, co-financed by the Ministry of Finance. Both projects were implemented through the </w:t>
      </w:r>
      <w:proofErr w:type="spellStart"/>
      <w:r w:rsidRPr="00161A81">
        <w:rPr>
          <w:lang w:val="en-GB"/>
        </w:rPr>
        <w:t>Center</w:t>
      </w:r>
      <w:proofErr w:type="spellEnd"/>
      <w:r w:rsidRPr="00161A81">
        <w:rPr>
          <w:lang w:val="en-GB"/>
        </w:rPr>
        <w:t xml:space="preserve"> for International Cooperation and Development (CMSR). Taking into account the defined subject of evaluation, the objectives of the evaluation </w:t>
      </w:r>
      <w:r w:rsidR="002E1936" w:rsidRPr="00161A81">
        <w:rPr>
          <w:lang w:val="en-GB"/>
        </w:rPr>
        <w:t>are twofold</w:t>
      </w:r>
      <w:r w:rsidRPr="00161A81">
        <w:rPr>
          <w:lang w:val="en-GB"/>
        </w:rPr>
        <w:t>: (</w:t>
      </w:r>
      <w:proofErr w:type="spellStart"/>
      <w:r w:rsidRPr="00161A81">
        <w:rPr>
          <w:lang w:val="en-GB"/>
        </w:rPr>
        <w:t>i</w:t>
      </w:r>
      <w:proofErr w:type="spellEnd"/>
      <w:r w:rsidRPr="00161A81">
        <w:rPr>
          <w:lang w:val="en-GB"/>
        </w:rPr>
        <w:t xml:space="preserve">) assessment of the achievement of project objectives and results, effects, impacts and circumstances of project implementation, and (ii) preparation of recommendations for </w:t>
      </w:r>
      <w:r w:rsidR="002E1936" w:rsidRPr="00161A81">
        <w:rPr>
          <w:lang w:val="en-GB"/>
        </w:rPr>
        <w:t xml:space="preserve">a </w:t>
      </w:r>
      <w:r w:rsidRPr="00161A81">
        <w:rPr>
          <w:lang w:val="en-GB"/>
        </w:rPr>
        <w:t>more efficient project cycle, i.e. planning and selection, preparation, monitoring and implementation of proje</w:t>
      </w:r>
      <w:r w:rsidR="006F317B">
        <w:rPr>
          <w:lang w:val="en-GB"/>
        </w:rPr>
        <w:t>cts through CMSR in the future.</w:t>
      </w:r>
    </w:p>
    <w:p w14:paraId="3844BD2D" w14:textId="77777777" w:rsidR="006F317B" w:rsidRPr="00161A81" w:rsidRDefault="006F317B" w:rsidP="00960E68">
      <w:pPr>
        <w:jc w:val="both"/>
        <w:rPr>
          <w:lang w:val="en-GB"/>
        </w:rPr>
      </w:pPr>
    </w:p>
    <w:p w14:paraId="2ED8C40A" w14:textId="2240C57A" w:rsidR="00184CF2" w:rsidRDefault="00A02682" w:rsidP="00960E68">
      <w:pPr>
        <w:jc w:val="both"/>
        <w:rPr>
          <w:lang w:val="en-GB"/>
        </w:rPr>
      </w:pPr>
      <w:r w:rsidRPr="00161A81">
        <w:rPr>
          <w:lang w:val="en-GB"/>
        </w:rPr>
        <w:t xml:space="preserve">Funds under the </w:t>
      </w:r>
      <w:r w:rsidR="002E1936" w:rsidRPr="00161A81">
        <w:rPr>
          <w:lang w:val="en-GB"/>
        </w:rPr>
        <w:t xml:space="preserve">Slovenia's Development Cooperation </w:t>
      </w:r>
      <w:r w:rsidRPr="00161A81">
        <w:rPr>
          <w:lang w:val="en-GB"/>
        </w:rPr>
        <w:t xml:space="preserve">complemented the financial participation of local stakeholders and a loan </w:t>
      </w:r>
      <w:r w:rsidR="002E1936" w:rsidRPr="00161A81">
        <w:rPr>
          <w:lang w:val="en-GB"/>
        </w:rPr>
        <w:t xml:space="preserve">by </w:t>
      </w:r>
      <w:r w:rsidRPr="00161A81">
        <w:rPr>
          <w:lang w:val="en-GB"/>
        </w:rPr>
        <w:t xml:space="preserve">the Japan International Cooperation Agency (JICA). Slovenia contributed a grant of EUR 480.000 for the first project, while the total value of the project </w:t>
      </w:r>
      <w:r w:rsidR="002E1936" w:rsidRPr="00161A81">
        <w:rPr>
          <w:lang w:val="en-GB"/>
        </w:rPr>
        <w:t xml:space="preserve">amounting to </w:t>
      </w:r>
      <w:r w:rsidRPr="00161A81">
        <w:rPr>
          <w:lang w:val="en-GB"/>
        </w:rPr>
        <w:t xml:space="preserve">EUR 1.400.000. In the second project Slovenia co-financed half of the </w:t>
      </w:r>
      <w:r w:rsidR="002E1936" w:rsidRPr="00161A81">
        <w:rPr>
          <w:lang w:val="en-GB"/>
        </w:rPr>
        <w:t>eligible cost of the project</w:t>
      </w:r>
      <w:r w:rsidRPr="00161A81">
        <w:rPr>
          <w:lang w:val="en-GB"/>
        </w:rPr>
        <w:t xml:space="preserve">, namely EUR 599.800, </w:t>
      </w:r>
      <w:r w:rsidR="002E1936" w:rsidRPr="00161A81">
        <w:rPr>
          <w:lang w:val="en-GB"/>
        </w:rPr>
        <w:t xml:space="preserve">with </w:t>
      </w:r>
      <w:r w:rsidRPr="00161A81">
        <w:rPr>
          <w:lang w:val="en-GB"/>
        </w:rPr>
        <w:t xml:space="preserve">the total value of the project </w:t>
      </w:r>
      <w:r w:rsidR="002E1936" w:rsidRPr="00161A81">
        <w:rPr>
          <w:lang w:val="en-GB"/>
        </w:rPr>
        <w:t xml:space="preserve">amounting to </w:t>
      </w:r>
      <w:r w:rsidRPr="00161A81">
        <w:rPr>
          <w:lang w:val="en-GB"/>
        </w:rPr>
        <w:t>EUR 1.199.600 EUR.</w:t>
      </w:r>
    </w:p>
    <w:p w14:paraId="4D59BD09" w14:textId="77777777" w:rsidR="006F317B" w:rsidRPr="00161A81" w:rsidRDefault="006F317B" w:rsidP="00960E68">
      <w:pPr>
        <w:jc w:val="both"/>
        <w:rPr>
          <w:lang w:val="en-GB"/>
        </w:rPr>
      </w:pPr>
    </w:p>
    <w:p w14:paraId="621BED4C" w14:textId="1989C8EF" w:rsidR="00184CF2" w:rsidRDefault="00184CF2" w:rsidP="00960E68">
      <w:pPr>
        <w:jc w:val="both"/>
        <w:rPr>
          <w:lang w:val="en-GB"/>
        </w:rPr>
      </w:pPr>
      <w:r w:rsidRPr="00161A81">
        <w:rPr>
          <w:lang w:val="en-GB"/>
        </w:rPr>
        <w:t xml:space="preserve">The objectives of both projects were: to enable a sustainable use of water and to provide adequate drinking water, to promote social and economic development in a degraded environment, and to increase capacity of water filtration. Based on the review of documentation and </w:t>
      </w:r>
      <w:r w:rsidR="002E1936" w:rsidRPr="00161A81">
        <w:rPr>
          <w:lang w:val="en-GB"/>
        </w:rPr>
        <w:t>a series o</w:t>
      </w:r>
      <w:r w:rsidRPr="00161A81">
        <w:rPr>
          <w:lang w:val="en-GB"/>
        </w:rPr>
        <w:t xml:space="preserve">f interviews with stakeholders in the Republic of Slovenia (ministries, CMSR) and in the recipient country (local stakeholders, contractor, embassy), which were involved in the project implementation, we establish that the </w:t>
      </w:r>
      <w:r w:rsidR="002E1936" w:rsidRPr="00161A81">
        <w:rPr>
          <w:lang w:val="en-GB"/>
        </w:rPr>
        <w:t xml:space="preserve">objectives of both projects </w:t>
      </w:r>
      <w:r w:rsidRPr="00161A81">
        <w:rPr>
          <w:lang w:val="en-GB"/>
        </w:rPr>
        <w:t xml:space="preserve">were fully achieved. Both projects have successfully addressed the identified needs to provide an adequate amount of drinking water for the inhabitants of the municipality of </w:t>
      </w:r>
      <w:proofErr w:type="spellStart"/>
      <w:r w:rsidRPr="00161A81">
        <w:rPr>
          <w:lang w:val="en-GB"/>
        </w:rPr>
        <w:t>Probištip</w:t>
      </w:r>
      <w:proofErr w:type="spellEnd"/>
      <w:r w:rsidRPr="00161A81">
        <w:rPr>
          <w:lang w:val="en-GB"/>
        </w:rPr>
        <w:t xml:space="preserve">. They also partly followed a human rights-based approach, as there is no longer a shortage of water during droughts, which supports the human right to health, the right to a healthy living environment and the right to water. Both projects also partly contributed to the protection of the environment, as the construction of the treatment plant ensures </w:t>
      </w:r>
      <w:r w:rsidR="002E1936" w:rsidRPr="00161A81">
        <w:rPr>
          <w:lang w:val="en-GB"/>
        </w:rPr>
        <w:t xml:space="preserve">a </w:t>
      </w:r>
      <w:r w:rsidRPr="00161A81">
        <w:rPr>
          <w:lang w:val="en-GB"/>
        </w:rPr>
        <w:t xml:space="preserve">sustainable use of the natural resources </w:t>
      </w:r>
      <w:r w:rsidR="002E1936" w:rsidRPr="00161A81">
        <w:rPr>
          <w:lang w:val="en-GB"/>
        </w:rPr>
        <w:t xml:space="preserve">in </w:t>
      </w:r>
      <w:r w:rsidRPr="00161A81">
        <w:rPr>
          <w:lang w:val="en-GB"/>
        </w:rPr>
        <w:t xml:space="preserve">the area, while the approach to achieving gender equality was not followed and is not relevant </w:t>
      </w:r>
      <w:r w:rsidR="002E1936" w:rsidRPr="00161A81">
        <w:rPr>
          <w:lang w:val="en-GB"/>
        </w:rPr>
        <w:t>for the evaluated projects</w:t>
      </w:r>
      <w:r w:rsidRPr="00161A81">
        <w:rPr>
          <w:lang w:val="en-GB"/>
        </w:rPr>
        <w:t>.</w:t>
      </w:r>
      <w:r w:rsidR="001831B5" w:rsidRPr="00161A81">
        <w:rPr>
          <w:lang w:val="en-GB"/>
        </w:rPr>
        <w:t xml:space="preserve"> The two projects are complementary, as the first project provides clean water and the second </w:t>
      </w:r>
      <w:r w:rsidR="003E462E">
        <w:rPr>
          <w:lang w:val="en-GB"/>
        </w:rPr>
        <w:t xml:space="preserve">increases </w:t>
      </w:r>
      <w:r w:rsidR="001831B5" w:rsidRPr="00161A81">
        <w:rPr>
          <w:lang w:val="en-GB"/>
        </w:rPr>
        <w:t xml:space="preserve">the capacity of the supply system and </w:t>
      </w:r>
      <w:r w:rsidR="002E1936" w:rsidRPr="00161A81">
        <w:rPr>
          <w:lang w:val="en-GB"/>
        </w:rPr>
        <w:t xml:space="preserve">further </w:t>
      </w:r>
      <w:r w:rsidR="001831B5" w:rsidRPr="00161A81">
        <w:rPr>
          <w:lang w:val="en-GB"/>
        </w:rPr>
        <w:t xml:space="preserve">upgrades </w:t>
      </w:r>
      <w:r w:rsidR="002E1936" w:rsidRPr="00161A81">
        <w:rPr>
          <w:lang w:val="en-GB"/>
        </w:rPr>
        <w:t xml:space="preserve">the </w:t>
      </w:r>
      <w:r w:rsidR="001831B5" w:rsidRPr="00161A81">
        <w:rPr>
          <w:lang w:val="en-GB"/>
        </w:rPr>
        <w:t>capacity</w:t>
      </w:r>
      <w:r w:rsidR="002E1936" w:rsidRPr="00161A81">
        <w:rPr>
          <w:lang w:val="en-GB"/>
        </w:rPr>
        <w:t xml:space="preserve"> of the water treatment infrastructure</w:t>
      </w:r>
      <w:r w:rsidR="001831B5" w:rsidRPr="00161A81">
        <w:rPr>
          <w:lang w:val="en-GB"/>
        </w:rPr>
        <w:t>.</w:t>
      </w:r>
    </w:p>
    <w:p w14:paraId="157CA3D0" w14:textId="77777777" w:rsidR="006F317B" w:rsidRPr="00161A81" w:rsidRDefault="006F317B" w:rsidP="00960E68">
      <w:pPr>
        <w:jc w:val="both"/>
        <w:rPr>
          <w:lang w:val="en-GB"/>
        </w:rPr>
      </w:pPr>
    </w:p>
    <w:p w14:paraId="4ACC6B83" w14:textId="286D4DA1" w:rsidR="00184CF2" w:rsidRDefault="00184CF2" w:rsidP="00960E68">
      <w:pPr>
        <w:jc w:val="both"/>
        <w:rPr>
          <w:lang w:val="en-GB"/>
        </w:rPr>
      </w:pPr>
      <w:r w:rsidRPr="00161A81">
        <w:rPr>
          <w:lang w:val="en-GB"/>
        </w:rPr>
        <w:t xml:space="preserve">The projects have a potential positive long-term impact on the final recipients, as the water supply facilities that have been built/revitalized are used </w:t>
      </w:r>
      <w:r w:rsidR="002E1936" w:rsidRPr="00161A81">
        <w:rPr>
          <w:lang w:val="en-GB"/>
        </w:rPr>
        <w:t>over a</w:t>
      </w:r>
      <w:r w:rsidRPr="00161A81">
        <w:rPr>
          <w:lang w:val="en-GB"/>
        </w:rPr>
        <w:t xml:space="preserve"> longer period and the installed equipment has a long </w:t>
      </w:r>
      <w:r w:rsidR="002E1936" w:rsidRPr="00161A81">
        <w:rPr>
          <w:lang w:val="en-GB"/>
        </w:rPr>
        <w:t>lifetime</w:t>
      </w:r>
      <w:r w:rsidRPr="00161A81">
        <w:rPr>
          <w:lang w:val="en-GB"/>
        </w:rPr>
        <w:t xml:space="preserve">. We recognize the improvement of the quality of life of the inhabitants of the municipality of </w:t>
      </w:r>
      <w:proofErr w:type="spellStart"/>
      <w:r w:rsidRPr="00161A81">
        <w:rPr>
          <w:lang w:val="en-GB"/>
        </w:rPr>
        <w:t>Probištip</w:t>
      </w:r>
      <w:proofErr w:type="spellEnd"/>
      <w:r w:rsidRPr="00161A81">
        <w:rPr>
          <w:lang w:val="en-GB"/>
        </w:rPr>
        <w:t xml:space="preserve"> as a potential long-term impact, as their access to quality drinking water has significantly improved and the supply of water is </w:t>
      </w:r>
      <w:r w:rsidR="002E1936" w:rsidRPr="00161A81">
        <w:rPr>
          <w:lang w:val="en-GB"/>
        </w:rPr>
        <w:t xml:space="preserve">now </w:t>
      </w:r>
      <w:r w:rsidRPr="00161A81">
        <w:rPr>
          <w:lang w:val="en-GB"/>
        </w:rPr>
        <w:t xml:space="preserve">uninterrupted. By transferring the knowledge </w:t>
      </w:r>
      <w:r w:rsidR="00DB621C" w:rsidRPr="00161A81">
        <w:rPr>
          <w:lang w:val="en-GB"/>
        </w:rPr>
        <w:t xml:space="preserve">from </w:t>
      </w:r>
      <w:r w:rsidRPr="00161A81">
        <w:rPr>
          <w:lang w:val="en-GB"/>
        </w:rPr>
        <w:t>the contractors of both projects regarding the management of water infrastructure to the facility manager, the sustainability of the achieved effects is also ensured to a certain extent.</w:t>
      </w:r>
    </w:p>
    <w:p w14:paraId="47255B79" w14:textId="77777777" w:rsidR="006F317B" w:rsidRPr="00161A81" w:rsidRDefault="006F317B" w:rsidP="00960E68">
      <w:pPr>
        <w:jc w:val="both"/>
        <w:rPr>
          <w:lang w:val="en-GB"/>
        </w:rPr>
      </w:pPr>
    </w:p>
    <w:p w14:paraId="40312B4B" w14:textId="7C9652FF" w:rsidR="001831B5" w:rsidRDefault="001831B5" w:rsidP="00960E68">
      <w:pPr>
        <w:jc w:val="both"/>
        <w:rPr>
          <w:lang w:val="en-GB"/>
        </w:rPr>
      </w:pPr>
      <w:r w:rsidRPr="00161A81">
        <w:rPr>
          <w:lang w:val="en-GB"/>
        </w:rPr>
        <w:t xml:space="preserve">The key shortcomings revealed by the project evaluation </w:t>
      </w:r>
      <w:r w:rsidR="00DB621C" w:rsidRPr="00161A81">
        <w:rPr>
          <w:lang w:val="en-GB"/>
        </w:rPr>
        <w:t>relate to</w:t>
      </w:r>
      <w:r w:rsidRPr="00161A81">
        <w:rPr>
          <w:lang w:val="en-GB"/>
        </w:rPr>
        <w:t xml:space="preserve"> project selection and </w:t>
      </w:r>
      <w:r w:rsidR="00DB621C" w:rsidRPr="00161A81">
        <w:rPr>
          <w:lang w:val="en-GB"/>
        </w:rPr>
        <w:t xml:space="preserve">approval process </w:t>
      </w:r>
      <w:r w:rsidRPr="00161A81">
        <w:rPr>
          <w:lang w:val="en-GB"/>
        </w:rPr>
        <w:t xml:space="preserve">within Slovenia's development cooperation, as well as project management and monitoring system. </w:t>
      </w:r>
    </w:p>
    <w:p w14:paraId="477585C6" w14:textId="77777777" w:rsidR="006F317B" w:rsidRPr="00161A81" w:rsidRDefault="006F317B" w:rsidP="00960E68">
      <w:pPr>
        <w:jc w:val="both"/>
        <w:rPr>
          <w:lang w:val="en-GB"/>
        </w:rPr>
      </w:pPr>
    </w:p>
    <w:p w14:paraId="1B272CF0" w14:textId="0B280636" w:rsidR="00AE3CF8" w:rsidRDefault="005B08BE" w:rsidP="00960E68">
      <w:pPr>
        <w:jc w:val="both"/>
        <w:rPr>
          <w:lang w:val="en-GB"/>
        </w:rPr>
      </w:pPr>
      <w:r w:rsidRPr="00161A81">
        <w:rPr>
          <w:lang w:val="en-GB"/>
        </w:rPr>
        <w:t xml:space="preserve">Project proposals are based on </w:t>
      </w:r>
      <w:r w:rsidR="00DB621C" w:rsidRPr="00161A81">
        <w:rPr>
          <w:lang w:val="en-GB"/>
        </w:rPr>
        <w:t>inadequate</w:t>
      </w:r>
      <w:r w:rsidRPr="00161A81">
        <w:rPr>
          <w:lang w:val="en-GB"/>
        </w:rPr>
        <w:t xml:space="preserve">, non-standardized forms. </w:t>
      </w:r>
      <w:r w:rsidR="00DB621C" w:rsidRPr="00161A81">
        <w:rPr>
          <w:lang w:val="en-GB"/>
        </w:rPr>
        <w:t>S</w:t>
      </w:r>
      <w:r w:rsidRPr="00161A81">
        <w:rPr>
          <w:lang w:val="en-GB"/>
        </w:rPr>
        <w:t xml:space="preserve">imilar also applies to </w:t>
      </w:r>
      <w:r w:rsidR="00DB621C" w:rsidRPr="00161A81">
        <w:rPr>
          <w:lang w:val="en-GB"/>
        </w:rPr>
        <w:t xml:space="preserve">project appraisal </w:t>
      </w:r>
      <w:r w:rsidRPr="00161A81">
        <w:rPr>
          <w:lang w:val="en-GB"/>
        </w:rPr>
        <w:t xml:space="preserve">forms that are based only on short project descriptions </w:t>
      </w:r>
      <w:r w:rsidR="00BB658C">
        <w:rPr>
          <w:lang w:val="en-GB"/>
        </w:rPr>
        <w:t xml:space="preserve">(these have been agreed upon in the past with the Ministry of Foreign Affairs) </w:t>
      </w:r>
      <w:r w:rsidRPr="00161A81">
        <w:rPr>
          <w:lang w:val="en-GB"/>
        </w:rPr>
        <w:t>and do not offer sufficient justification for scoring. During the preparation of the project proposal, an appropriate risk analysis</w:t>
      </w:r>
      <w:r w:rsidR="00895C8B" w:rsidRPr="00161A81">
        <w:rPr>
          <w:lang w:val="en-GB"/>
        </w:rPr>
        <w:t xml:space="preserve"> and risk mitigation plan</w:t>
      </w:r>
      <w:r w:rsidR="00AE3CF8" w:rsidRPr="00161A81">
        <w:rPr>
          <w:lang w:val="en-GB"/>
        </w:rPr>
        <w:t xml:space="preserve">, which </w:t>
      </w:r>
      <w:r w:rsidR="00895C8B" w:rsidRPr="00161A81">
        <w:rPr>
          <w:lang w:val="en-GB"/>
        </w:rPr>
        <w:t xml:space="preserve">could </w:t>
      </w:r>
      <w:r w:rsidR="00AE3CF8" w:rsidRPr="00161A81">
        <w:rPr>
          <w:lang w:val="en-GB"/>
        </w:rPr>
        <w:t>serve as a basis for planning appropriate control mechanisms during the implementation</w:t>
      </w:r>
      <w:r w:rsidR="00895C8B" w:rsidRPr="00161A81">
        <w:rPr>
          <w:lang w:val="en-GB"/>
        </w:rPr>
        <w:t xml:space="preserve"> stage</w:t>
      </w:r>
      <w:r w:rsidR="00AE3CF8" w:rsidRPr="00161A81">
        <w:rPr>
          <w:lang w:val="en-GB"/>
        </w:rPr>
        <w:t>,</w:t>
      </w:r>
      <w:r w:rsidRPr="00161A81">
        <w:rPr>
          <w:lang w:val="en-GB"/>
        </w:rPr>
        <w:t xml:space="preserve"> </w:t>
      </w:r>
      <w:r w:rsidR="00AE3CF8" w:rsidRPr="00161A81">
        <w:rPr>
          <w:lang w:val="en-GB"/>
        </w:rPr>
        <w:t>was not requested and has therefore not been conduct</w:t>
      </w:r>
      <w:r w:rsidR="00895C8B" w:rsidRPr="00161A81">
        <w:rPr>
          <w:lang w:val="en-GB"/>
        </w:rPr>
        <w:t>ed</w:t>
      </w:r>
      <w:r w:rsidR="00AE3CF8" w:rsidRPr="00161A81">
        <w:rPr>
          <w:lang w:val="en-GB"/>
        </w:rPr>
        <w:t xml:space="preserve">. </w:t>
      </w:r>
    </w:p>
    <w:p w14:paraId="492830AF" w14:textId="77777777" w:rsidR="006F317B" w:rsidRPr="00161A81" w:rsidRDefault="006F317B" w:rsidP="00960E68">
      <w:pPr>
        <w:jc w:val="both"/>
        <w:rPr>
          <w:lang w:val="en-GB"/>
        </w:rPr>
      </w:pPr>
    </w:p>
    <w:p w14:paraId="4764F4B0" w14:textId="7B1EC919" w:rsidR="00AE3CF8" w:rsidRDefault="00AE3CF8" w:rsidP="00960E68">
      <w:pPr>
        <w:jc w:val="both"/>
        <w:rPr>
          <w:lang w:val="en-GB"/>
        </w:rPr>
      </w:pPr>
      <w:r w:rsidRPr="00161A81">
        <w:rPr>
          <w:lang w:val="en-GB"/>
        </w:rPr>
        <w:t xml:space="preserve">The project selection system exists, </w:t>
      </w:r>
      <w:r w:rsidR="00895C8B" w:rsidRPr="00161A81">
        <w:rPr>
          <w:lang w:val="en-GB"/>
        </w:rPr>
        <w:t>however it is vague</w:t>
      </w:r>
      <w:r w:rsidRPr="00161A81">
        <w:rPr>
          <w:lang w:val="en-GB"/>
        </w:rPr>
        <w:t xml:space="preserve"> </w:t>
      </w:r>
      <w:proofErr w:type="gramStart"/>
      <w:r w:rsidRPr="00161A81">
        <w:rPr>
          <w:lang w:val="en-GB"/>
        </w:rPr>
        <w:t>and in some aspects</w:t>
      </w:r>
      <w:proofErr w:type="gramEnd"/>
      <w:r w:rsidRPr="00161A81">
        <w:rPr>
          <w:lang w:val="en-GB"/>
        </w:rPr>
        <w:t xml:space="preserve"> non-transparent</w:t>
      </w:r>
      <w:r w:rsidR="00895C8B" w:rsidRPr="00161A81">
        <w:rPr>
          <w:lang w:val="en-GB"/>
        </w:rPr>
        <w:t>. T</w:t>
      </w:r>
      <w:r w:rsidRPr="00161A81">
        <w:rPr>
          <w:lang w:val="en-GB"/>
        </w:rPr>
        <w:t xml:space="preserve">he investment documentation is not supported by appropriate </w:t>
      </w:r>
      <w:r w:rsidR="00895C8B" w:rsidRPr="00161A81">
        <w:rPr>
          <w:lang w:val="en-GB"/>
        </w:rPr>
        <w:t>analyses</w:t>
      </w:r>
      <w:r w:rsidRPr="00161A81">
        <w:rPr>
          <w:lang w:val="en-GB"/>
        </w:rPr>
        <w:t xml:space="preserve"> and studies and is therefore left entirely to the local partner. The investment documentation </w:t>
      </w:r>
      <w:r w:rsidR="00895C8B" w:rsidRPr="00161A81">
        <w:rPr>
          <w:lang w:val="en-GB"/>
        </w:rPr>
        <w:t xml:space="preserve">for </w:t>
      </w:r>
      <w:r w:rsidRPr="00161A81">
        <w:rPr>
          <w:lang w:val="en-GB"/>
        </w:rPr>
        <w:t xml:space="preserve">both projects was </w:t>
      </w:r>
      <w:r w:rsidR="00895C8B" w:rsidRPr="00161A81">
        <w:rPr>
          <w:lang w:val="en-GB"/>
        </w:rPr>
        <w:t xml:space="preserve">prepared </w:t>
      </w:r>
      <w:r w:rsidRPr="00161A81">
        <w:rPr>
          <w:lang w:val="en-GB"/>
        </w:rPr>
        <w:t xml:space="preserve">the recipient of the funds (municipality of </w:t>
      </w:r>
      <w:proofErr w:type="spellStart"/>
      <w:r w:rsidRPr="00161A81">
        <w:rPr>
          <w:lang w:val="en-GB"/>
        </w:rPr>
        <w:t>Probištip</w:t>
      </w:r>
      <w:proofErr w:type="spellEnd"/>
      <w:r w:rsidRPr="00161A81">
        <w:rPr>
          <w:lang w:val="en-GB"/>
        </w:rPr>
        <w:t xml:space="preserve">), </w:t>
      </w:r>
      <w:r w:rsidR="00895C8B" w:rsidRPr="00161A81">
        <w:rPr>
          <w:lang w:val="en-GB"/>
        </w:rPr>
        <w:t xml:space="preserve">while </w:t>
      </w:r>
      <w:r w:rsidRPr="00161A81">
        <w:rPr>
          <w:lang w:val="en-GB"/>
        </w:rPr>
        <w:t xml:space="preserve">CMSR and other stakeholders </w:t>
      </w:r>
      <w:r w:rsidR="00895C8B" w:rsidRPr="00161A81">
        <w:rPr>
          <w:lang w:val="en-GB"/>
        </w:rPr>
        <w:t xml:space="preserve">did </w:t>
      </w:r>
      <w:r w:rsidRPr="00161A81">
        <w:rPr>
          <w:lang w:val="en-GB"/>
        </w:rPr>
        <w:t xml:space="preserve">not have </w:t>
      </w:r>
      <w:r w:rsidR="003E462E">
        <w:rPr>
          <w:lang w:val="en-GB"/>
        </w:rPr>
        <w:t>the complete</w:t>
      </w:r>
      <w:r w:rsidR="003E462E" w:rsidRPr="00161A81">
        <w:rPr>
          <w:lang w:val="en-GB"/>
        </w:rPr>
        <w:t xml:space="preserve"> </w:t>
      </w:r>
      <w:r w:rsidRPr="00161A81">
        <w:rPr>
          <w:lang w:val="en-GB"/>
        </w:rPr>
        <w:t xml:space="preserve">documentation </w:t>
      </w:r>
      <w:r w:rsidRPr="00161A81">
        <w:rPr>
          <w:lang w:val="en-GB"/>
        </w:rPr>
        <w:lastRenderedPageBreak/>
        <w:t>at their disposal</w:t>
      </w:r>
      <w:r w:rsidR="00BB658C">
        <w:rPr>
          <w:lang w:val="en-GB"/>
        </w:rPr>
        <w:t>, but rather possessed only the project</w:t>
      </w:r>
      <w:r w:rsidR="003E462E" w:rsidRPr="003E462E">
        <w:rPr>
          <w:lang w:val="en-GB"/>
        </w:rPr>
        <w:t xml:space="preserve"> conceptual design.</w:t>
      </w:r>
      <w:r w:rsidR="003E462E">
        <w:rPr>
          <w:lang w:val="en-GB"/>
        </w:rPr>
        <w:t xml:space="preserve"> </w:t>
      </w:r>
      <w:r w:rsidRPr="00161A81">
        <w:rPr>
          <w:lang w:val="en-GB"/>
        </w:rPr>
        <w:t xml:space="preserve">This shortcoming is crucial because the decision to finance depends on the chosen </w:t>
      </w:r>
      <w:r w:rsidR="00895C8B" w:rsidRPr="00161A81">
        <w:rPr>
          <w:lang w:val="en-GB"/>
        </w:rPr>
        <w:t>variant or solution</w:t>
      </w:r>
      <w:r w:rsidRPr="00161A81">
        <w:rPr>
          <w:lang w:val="en-GB"/>
        </w:rPr>
        <w:t>, which must be based on relevant studies</w:t>
      </w:r>
      <w:r w:rsidR="00895C8B" w:rsidRPr="00161A81">
        <w:rPr>
          <w:lang w:val="en-GB"/>
        </w:rPr>
        <w:t>, which</w:t>
      </w:r>
      <w:r w:rsidRPr="00161A81">
        <w:rPr>
          <w:lang w:val="en-GB"/>
        </w:rPr>
        <w:t xml:space="preserve"> were not part of the project documentation (e</w:t>
      </w:r>
      <w:r w:rsidR="00895C8B" w:rsidRPr="00161A81">
        <w:rPr>
          <w:lang w:val="en-GB"/>
        </w:rPr>
        <w:t>.</w:t>
      </w:r>
      <w:r w:rsidRPr="00161A81">
        <w:rPr>
          <w:lang w:val="en-GB"/>
        </w:rPr>
        <w:t>g</w:t>
      </w:r>
      <w:r w:rsidR="00895C8B" w:rsidRPr="00161A81">
        <w:rPr>
          <w:lang w:val="en-GB"/>
        </w:rPr>
        <w:t>.</w:t>
      </w:r>
      <w:r w:rsidRPr="00161A81">
        <w:rPr>
          <w:lang w:val="en-GB"/>
        </w:rPr>
        <w:t xml:space="preserve"> feasibility study, environmental impact study, cost-benefit study, etc.).</w:t>
      </w:r>
    </w:p>
    <w:p w14:paraId="173E3596" w14:textId="77777777" w:rsidR="006F317B" w:rsidRPr="00161A81" w:rsidRDefault="006F317B" w:rsidP="00960E68">
      <w:pPr>
        <w:jc w:val="both"/>
        <w:rPr>
          <w:lang w:val="en-GB"/>
        </w:rPr>
      </w:pPr>
    </w:p>
    <w:p w14:paraId="57C49B08" w14:textId="6715C422" w:rsidR="00AE3CF8" w:rsidRDefault="00AE3CF8" w:rsidP="00960E68">
      <w:pPr>
        <w:jc w:val="both"/>
        <w:rPr>
          <w:lang w:val="en-GB"/>
        </w:rPr>
      </w:pPr>
      <w:r w:rsidRPr="00161A81">
        <w:rPr>
          <w:lang w:val="en-GB"/>
        </w:rPr>
        <w:t xml:space="preserve">When reviewing the technical and financial items of project proposals, CMSR </w:t>
      </w:r>
      <w:r w:rsidR="003E462E">
        <w:rPr>
          <w:lang w:val="en-GB"/>
        </w:rPr>
        <w:t>has previously not</w:t>
      </w:r>
      <w:r w:rsidR="00BB658C">
        <w:rPr>
          <w:lang w:val="en-GB"/>
        </w:rPr>
        <w:t xml:space="preserve"> been</w:t>
      </w:r>
      <w:r w:rsidRPr="00161A81">
        <w:rPr>
          <w:lang w:val="en-GB"/>
        </w:rPr>
        <w:t xml:space="preserve"> consult</w:t>
      </w:r>
      <w:r w:rsidR="00BB658C">
        <w:rPr>
          <w:lang w:val="en-GB"/>
        </w:rPr>
        <w:t>ing</w:t>
      </w:r>
      <w:r w:rsidRPr="00161A81">
        <w:rPr>
          <w:lang w:val="en-GB"/>
        </w:rPr>
        <w:t xml:space="preserve"> with external experts in order to verify the accuracy of the items, which also increases the risk of irrational use of public funds and, to some extent, corruption risks, as the overall decision regarding the chosen </w:t>
      </w:r>
      <w:r w:rsidR="00895C8B" w:rsidRPr="00161A81">
        <w:rPr>
          <w:lang w:val="en-GB"/>
        </w:rPr>
        <w:t xml:space="preserve">project variant or solution as well as related </w:t>
      </w:r>
      <w:r w:rsidRPr="00161A81">
        <w:rPr>
          <w:lang w:val="en-GB"/>
        </w:rPr>
        <w:t xml:space="preserve">costs </w:t>
      </w:r>
      <w:r w:rsidR="00895C8B" w:rsidRPr="00161A81">
        <w:rPr>
          <w:lang w:val="en-GB"/>
        </w:rPr>
        <w:t xml:space="preserve">estimates are </w:t>
      </w:r>
      <w:r w:rsidRPr="00161A81">
        <w:rPr>
          <w:lang w:val="en-GB"/>
        </w:rPr>
        <w:t xml:space="preserve">left to local stakeholders. </w:t>
      </w:r>
      <w:r w:rsidR="00B144C8">
        <w:rPr>
          <w:lang w:val="en-GB"/>
        </w:rPr>
        <w:t>Nevertheless</w:t>
      </w:r>
      <w:r w:rsidR="00BB658C">
        <w:rPr>
          <w:lang w:val="en-GB"/>
        </w:rPr>
        <w:t>,</w:t>
      </w:r>
      <w:r w:rsidR="003E462E">
        <w:rPr>
          <w:lang w:val="en-GB"/>
        </w:rPr>
        <w:t xml:space="preserve"> the practice of involving external experts in the review of the project proposal</w:t>
      </w:r>
      <w:r w:rsidR="00BB658C">
        <w:rPr>
          <w:lang w:val="en-GB"/>
        </w:rPr>
        <w:t>s</w:t>
      </w:r>
      <w:r w:rsidR="003E462E">
        <w:rPr>
          <w:lang w:val="en-GB"/>
        </w:rPr>
        <w:t xml:space="preserve"> has been introduced</w:t>
      </w:r>
      <w:r w:rsidR="00BB658C">
        <w:rPr>
          <w:lang w:val="en-GB"/>
        </w:rPr>
        <w:t xml:space="preserve"> in the past year</w:t>
      </w:r>
      <w:r w:rsidR="003E462E">
        <w:rPr>
          <w:lang w:val="en-GB"/>
        </w:rPr>
        <w:t xml:space="preserve">. </w:t>
      </w:r>
      <w:r w:rsidR="00895C8B" w:rsidRPr="00161A81">
        <w:rPr>
          <w:lang w:val="en-GB"/>
        </w:rPr>
        <w:t>Nevertheless, we have not detected concrete cases of i</w:t>
      </w:r>
      <w:r w:rsidRPr="00161A81">
        <w:rPr>
          <w:lang w:val="en-GB"/>
        </w:rPr>
        <w:t xml:space="preserve">rregularities or irrational use of funds </w:t>
      </w:r>
      <w:r w:rsidR="00895C8B" w:rsidRPr="00161A81">
        <w:rPr>
          <w:lang w:val="en-GB"/>
        </w:rPr>
        <w:t>in the evaluation of the two</w:t>
      </w:r>
      <w:r w:rsidRPr="00161A81">
        <w:rPr>
          <w:lang w:val="en-GB"/>
        </w:rPr>
        <w:t xml:space="preserve"> projects.</w:t>
      </w:r>
    </w:p>
    <w:p w14:paraId="5650D92D" w14:textId="77777777" w:rsidR="006F317B" w:rsidRPr="00161A81" w:rsidRDefault="006F317B" w:rsidP="00960E68">
      <w:pPr>
        <w:jc w:val="both"/>
        <w:rPr>
          <w:lang w:val="en-GB"/>
        </w:rPr>
      </w:pPr>
    </w:p>
    <w:p w14:paraId="5462132C" w14:textId="41285291" w:rsidR="00AE3CF8" w:rsidRDefault="00AE3CF8" w:rsidP="00960E68">
      <w:pPr>
        <w:jc w:val="both"/>
        <w:rPr>
          <w:lang w:val="en-GB"/>
        </w:rPr>
      </w:pPr>
      <w:r w:rsidRPr="00161A81">
        <w:rPr>
          <w:lang w:val="en-GB"/>
        </w:rPr>
        <w:t>Both projects were implemented before the process of standardization of procedures and forms by the national coordinator of Slovenia's development cooperation</w:t>
      </w:r>
      <w:r w:rsidR="00895C8B" w:rsidRPr="00161A81">
        <w:rPr>
          <w:lang w:val="en-GB"/>
        </w:rPr>
        <w:t xml:space="preserve"> started</w:t>
      </w:r>
      <w:r w:rsidRPr="00161A81">
        <w:rPr>
          <w:lang w:val="en-GB"/>
        </w:rPr>
        <w:t xml:space="preserve">, </w:t>
      </w:r>
      <w:r w:rsidR="00895C8B" w:rsidRPr="00161A81">
        <w:rPr>
          <w:lang w:val="en-GB"/>
        </w:rPr>
        <w:t xml:space="preserve">therefore </w:t>
      </w:r>
      <w:r w:rsidRPr="00161A81">
        <w:rPr>
          <w:lang w:val="en-GB"/>
        </w:rPr>
        <w:t xml:space="preserve">certain shortcomings and findings </w:t>
      </w:r>
      <w:r w:rsidR="00895C8B" w:rsidRPr="00161A81">
        <w:rPr>
          <w:lang w:val="en-GB"/>
        </w:rPr>
        <w:t xml:space="preserve">have </w:t>
      </w:r>
      <w:r w:rsidRPr="00161A81">
        <w:rPr>
          <w:lang w:val="en-GB"/>
        </w:rPr>
        <w:t xml:space="preserve">already </w:t>
      </w:r>
      <w:r w:rsidR="00895C8B" w:rsidRPr="00161A81">
        <w:rPr>
          <w:lang w:val="en-GB"/>
        </w:rPr>
        <w:t xml:space="preserve">been </w:t>
      </w:r>
      <w:r w:rsidRPr="00161A81">
        <w:rPr>
          <w:lang w:val="en-GB"/>
        </w:rPr>
        <w:t xml:space="preserve">addressed. It </w:t>
      </w:r>
      <w:r w:rsidR="00895C8B" w:rsidRPr="00161A81">
        <w:rPr>
          <w:lang w:val="en-GB"/>
        </w:rPr>
        <w:t>would still be advisable to</w:t>
      </w:r>
      <w:r w:rsidRPr="00161A81">
        <w:rPr>
          <w:lang w:val="en-GB"/>
        </w:rPr>
        <w:t xml:space="preserve"> supplement the project preparation procedures with ex-ante </w:t>
      </w:r>
      <w:r w:rsidR="00895C8B" w:rsidRPr="00161A81">
        <w:rPr>
          <w:lang w:val="en-GB"/>
        </w:rPr>
        <w:t xml:space="preserve">conditions for </w:t>
      </w:r>
      <w:r w:rsidRPr="00161A81">
        <w:rPr>
          <w:lang w:val="en-GB"/>
        </w:rPr>
        <w:t>local stakeholders regarding the minimum requirements for the preparation of investment documentation and related studies. Part of the Slovenia's development cooperation funds should be used, especially in the case of stakeholders with limited capacity, for the preparation or at least the review and expert assessment of technical items of investment documentation</w:t>
      </w:r>
      <w:r w:rsidR="00895C8B" w:rsidRPr="00161A81">
        <w:rPr>
          <w:lang w:val="en-GB"/>
        </w:rPr>
        <w:t xml:space="preserve">, by involving independent </w:t>
      </w:r>
      <w:r w:rsidRPr="00161A81">
        <w:rPr>
          <w:lang w:val="en-GB"/>
        </w:rPr>
        <w:t>external experts.</w:t>
      </w:r>
    </w:p>
    <w:p w14:paraId="4BB6BEFD" w14:textId="77777777" w:rsidR="006F317B" w:rsidRPr="00161A81" w:rsidRDefault="006F317B" w:rsidP="00960E68">
      <w:pPr>
        <w:jc w:val="both"/>
        <w:rPr>
          <w:lang w:val="en-GB"/>
        </w:rPr>
      </w:pPr>
    </w:p>
    <w:p w14:paraId="1448EE81" w14:textId="07255B5A" w:rsidR="00AE3CF8" w:rsidRDefault="00AE3CF8" w:rsidP="00960E68">
      <w:pPr>
        <w:jc w:val="both"/>
        <w:rPr>
          <w:lang w:val="en-GB"/>
        </w:rPr>
      </w:pPr>
      <w:r w:rsidRPr="00161A81">
        <w:rPr>
          <w:lang w:val="en-GB"/>
        </w:rPr>
        <w:t>The current management system</w:t>
      </w:r>
      <w:r w:rsidR="00895C8B" w:rsidRPr="00161A81">
        <w:rPr>
          <w:lang w:val="en-GB"/>
        </w:rPr>
        <w:t>, as well as</w:t>
      </w:r>
      <w:r w:rsidRPr="00161A81">
        <w:rPr>
          <w:lang w:val="en-GB"/>
        </w:rPr>
        <w:t xml:space="preserve"> monitoring and reporting system are deficient, as the program framework itself does not provide clearly defined operational objectives</w:t>
      </w:r>
      <w:r w:rsidR="00895C8B" w:rsidRPr="00161A81">
        <w:rPr>
          <w:lang w:val="en-GB"/>
        </w:rPr>
        <w:t xml:space="preserve">. Moreover, the projects to not envisage </w:t>
      </w:r>
      <w:r w:rsidRPr="00161A81">
        <w:rPr>
          <w:lang w:val="en-GB"/>
        </w:rPr>
        <w:t xml:space="preserve">measurable indicators </w:t>
      </w:r>
      <w:r w:rsidR="00895C8B" w:rsidRPr="00161A81">
        <w:rPr>
          <w:lang w:val="en-GB"/>
        </w:rPr>
        <w:t>to measure project</w:t>
      </w:r>
      <w:r w:rsidRPr="00161A81">
        <w:rPr>
          <w:lang w:val="en-GB"/>
        </w:rPr>
        <w:t xml:space="preserve"> objectives, on the basis of which the evaluator could </w:t>
      </w:r>
      <w:r w:rsidR="00895C8B" w:rsidRPr="00161A81">
        <w:rPr>
          <w:lang w:val="en-GB"/>
        </w:rPr>
        <w:t>assess project and / or program</w:t>
      </w:r>
      <w:r w:rsidRPr="00161A81">
        <w:rPr>
          <w:lang w:val="en-GB"/>
        </w:rPr>
        <w:t xml:space="preserve"> </w:t>
      </w:r>
      <w:r w:rsidR="00895C8B" w:rsidRPr="00161A81">
        <w:rPr>
          <w:lang w:val="en-GB"/>
        </w:rPr>
        <w:t>progress</w:t>
      </w:r>
      <w:r w:rsidRPr="00161A81">
        <w:rPr>
          <w:lang w:val="en-GB"/>
        </w:rPr>
        <w:t xml:space="preserve">. </w:t>
      </w:r>
      <w:r w:rsidR="00895C8B" w:rsidRPr="00161A81">
        <w:rPr>
          <w:lang w:val="en-GB"/>
        </w:rPr>
        <w:t>W</w:t>
      </w:r>
      <w:r w:rsidRPr="00161A81">
        <w:rPr>
          <w:lang w:val="en-GB"/>
        </w:rPr>
        <w:t>e therefore propose to establish mechanisms for monitoring of projects</w:t>
      </w:r>
      <w:r w:rsidR="00895C8B" w:rsidRPr="00161A81">
        <w:rPr>
          <w:lang w:val="en-GB"/>
        </w:rPr>
        <w:t xml:space="preserve"> already</w:t>
      </w:r>
      <w:r w:rsidRPr="00161A81">
        <w:rPr>
          <w:lang w:val="en-GB"/>
        </w:rPr>
        <w:t xml:space="preserve"> in the project planning phase in accordance with the </w:t>
      </w:r>
      <w:r w:rsidR="00895C8B" w:rsidRPr="00161A81">
        <w:rPr>
          <w:lang w:val="en-GB"/>
        </w:rPr>
        <w:t xml:space="preserve">best practice </w:t>
      </w:r>
      <w:r w:rsidRPr="00161A81">
        <w:rPr>
          <w:lang w:val="en-GB"/>
        </w:rPr>
        <w:t>and good project management</w:t>
      </w:r>
      <w:r w:rsidR="00895C8B" w:rsidRPr="00161A81">
        <w:rPr>
          <w:lang w:val="en-GB"/>
        </w:rPr>
        <w:t xml:space="preserve"> standards. We also propose</w:t>
      </w:r>
      <w:r w:rsidRPr="00161A81">
        <w:rPr>
          <w:lang w:val="en-GB"/>
        </w:rPr>
        <w:t xml:space="preserve"> strengthening the role of CMSR in project management, </w:t>
      </w:r>
      <w:r w:rsidR="00895C8B" w:rsidRPr="00161A81">
        <w:rPr>
          <w:lang w:val="en-GB"/>
        </w:rPr>
        <w:t>as well as</w:t>
      </w:r>
      <w:r w:rsidRPr="00161A81">
        <w:rPr>
          <w:lang w:val="en-GB"/>
        </w:rPr>
        <w:t xml:space="preserve"> a clear audit trail in the project selection and implementation phase.</w:t>
      </w:r>
    </w:p>
    <w:p w14:paraId="4563AFD8" w14:textId="77777777" w:rsidR="006F317B" w:rsidRPr="00161A81" w:rsidRDefault="006F317B" w:rsidP="00960E68">
      <w:pPr>
        <w:jc w:val="both"/>
        <w:rPr>
          <w:lang w:val="en-GB"/>
        </w:rPr>
      </w:pPr>
    </w:p>
    <w:p w14:paraId="1907E79A" w14:textId="02C63D8A" w:rsidR="00AF00E9" w:rsidRDefault="00AE3CF8" w:rsidP="00960E68">
      <w:pPr>
        <w:jc w:val="both"/>
        <w:rPr>
          <w:lang w:val="en-GB"/>
        </w:rPr>
      </w:pPr>
      <w:r w:rsidRPr="00161A81">
        <w:rPr>
          <w:lang w:val="en-GB"/>
        </w:rPr>
        <w:t xml:space="preserve">Several findings </w:t>
      </w:r>
      <w:r w:rsidR="007723D4" w:rsidRPr="00161A81">
        <w:rPr>
          <w:lang w:val="en-GB"/>
        </w:rPr>
        <w:t xml:space="preserve">regarding </w:t>
      </w:r>
      <w:r w:rsidRPr="00161A81">
        <w:rPr>
          <w:lang w:val="en-GB"/>
        </w:rPr>
        <w:t xml:space="preserve">the systemic </w:t>
      </w:r>
      <w:r w:rsidR="007723D4" w:rsidRPr="00161A81">
        <w:rPr>
          <w:lang w:val="en-GB"/>
        </w:rPr>
        <w:t>deficiencies in the process of</w:t>
      </w:r>
      <w:r w:rsidRPr="00161A81">
        <w:rPr>
          <w:lang w:val="en-GB"/>
        </w:rPr>
        <w:t xml:space="preserve"> project selection, validation and management stem from a systemic arrangement</w:t>
      </w:r>
      <w:r w:rsidR="007723D4" w:rsidRPr="00161A81">
        <w:rPr>
          <w:lang w:val="en-GB"/>
        </w:rPr>
        <w:t>s of Slovenia's development cooperation. Se</w:t>
      </w:r>
      <w:r w:rsidRPr="00161A81">
        <w:rPr>
          <w:lang w:val="en-GB"/>
        </w:rPr>
        <w:t xml:space="preserve">veral stakeholders at the national level </w:t>
      </w:r>
      <w:r w:rsidR="007723D4" w:rsidRPr="00161A81">
        <w:rPr>
          <w:lang w:val="en-GB"/>
        </w:rPr>
        <w:t>cooperate and coordinate within a</w:t>
      </w:r>
      <w:r w:rsidRPr="00161A81">
        <w:rPr>
          <w:lang w:val="en-GB"/>
        </w:rPr>
        <w:t xml:space="preserve"> relatively complex </w:t>
      </w:r>
      <w:r w:rsidR="007723D4" w:rsidRPr="00161A81">
        <w:rPr>
          <w:lang w:val="en-GB"/>
        </w:rPr>
        <w:t xml:space="preserve">system, bringing together the </w:t>
      </w:r>
      <w:r w:rsidRPr="00161A81">
        <w:rPr>
          <w:lang w:val="en-GB"/>
        </w:rPr>
        <w:t xml:space="preserve">national coordinator, </w:t>
      </w:r>
      <w:r w:rsidR="007723D4" w:rsidRPr="00161A81">
        <w:rPr>
          <w:lang w:val="en-GB"/>
        </w:rPr>
        <w:t>financers</w:t>
      </w:r>
      <w:r w:rsidRPr="00161A81">
        <w:rPr>
          <w:lang w:val="en-GB"/>
        </w:rPr>
        <w:t xml:space="preserve">, project contractors and other stakeholders. One of the evaluation recommendations therefore refers to the broader context of systemic </w:t>
      </w:r>
      <w:r w:rsidR="007723D4" w:rsidRPr="00161A81">
        <w:rPr>
          <w:lang w:val="en-GB"/>
        </w:rPr>
        <w:t xml:space="preserve">arrangements under </w:t>
      </w:r>
      <w:r w:rsidR="00AF00E9" w:rsidRPr="00161A81">
        <w:rPr>
          <w:lang w:val="en-GB"/>
        </w:rPr>
        <w:t>Slovenia's development cooperation</w:t>
      </w:r>
      <w:r w:rsidRPr="00161A81">
        <w:rPr>
          <w:lang w:val="en-GB"/>
        </w:rPr>
        <w:t xml:space="preserve"> </w:t>
      </w:r>
      <w:r w:rsidR="007723D4" w:rsidRPr="00161A81">
        <w:rPr>
          <w:lang w:val="en-GB"/>
        </w:rPr>
        <w:t>in case of</w:t>
      </w:r>
      <w:r w:rsidRPr="00161A81">
        <w:rPr>
          <w:lang w:val="en-GB"/>
        </w:rPr>
        <w:t xml:space="preserve"> bilateral projects</w:t>
      </w:r>
      <w:r w:rsidR="007723D4" w:rsidRPr="00161A81">
        <w:rPr>
          <w:lang w:val="en-GB"/>
        </w:rPr>
        <w:t>, where we suggest to analyse the possibilities for</w:t>
      </w:r>
      <w:r w:rsidRPr="00161A81">
        <w:rPr>
          <w:lang w:val="en-GB"/>
        </w:rPr>
        <w:t xml:space="preserve"> greater integration of the system and decision-making procedures.</w:t>
      </w:r>
    </w:p>
    <w:p w14:paraId="564669BE" w14:textId="77777777" w:rsidR="006F317B" w:rsidRPr="00161A81" w:rsidRDefault="006F317B" w:rsidP="00960E68">
      <w:pPr>
        <w:jc w:val="both"/>
        <w:rPr>
          <w:lang w:val="en-GB"/>
        </w:rPr>
      </w:pPr>
    </w:p>
    <w:p w14:paraId="1DB32C38" w14:textId="77B49AF4" w:rsidR="00AF00E9" w:rsidRDefault="00AF00E9" w:rsidP="00960E68">
      <w:pPr>
        <w:jc w:val="both"/>
        <w:rPr>
          <w:lang w:val="en-GB"/>
        </w:rPr>
      </w:pPr>
      <w:r w:rsidRPr="00161A81">
        <w:rPr>
          <w:lang w:val="en-GB"/>
        </w:rPr>
        <w:t xml:space="preserve">When implementing Slovenia's development cooperation projects in Northern Macedonia, it is very important </w:t>
      </w:r>
      <w:r w:rsidR="007723D4" w:rsidRPr="00161A81">
        <w:rPr>
          <w:lang w:val="en-GB"/>
        </w:rPr>
        <w:t>measures to</w:t>
      </w:r>
      <w:r w:rsidRPr="00161A81">
        <w:rPr>
          <w:lang w:val="en-GB"/>
        </w:rPr>
        <w:t xml:space="preserve"> ensure the sustainability of projects</w:t>
      </w:r>
      <w:r w:rsidR="007723D4" w:rsidRPr="00161A81">
        <w:rPr>
          <w:lang w:val="en-GB"/>
        </w:rPr>
        <w:t xml:space="preserve"> are incorporated in the project design</w:t>
      </w:r>
      <w:r w:rsidRPr="00161A81">
        <w:rPr>
          <w:lang w:val="en-GB"/>
        </w:rPr>
        <w:t xml:space="preserve">. An important tool in this regard is the </w:t>
      </w:r>
      <w:r w:rsidR="00B40D0C" w:rsidRPr="00161A81">
        <w:rPr>
          <w:lang w:val="en-GB"/>
        </w:rPr>
        <w:t>so-called</w:t>
      </w:r>
      <w:r w:rsidRPr="00161A81">
        <w:rPr>
          <w:lang w:val="en-GB"/>
        </w:rPr>
        <w:t xml:space="preserve"> soft </w:t>
      </w:r>
      <w:r w:rsidR="00B40D0C" w:rsidRPr="00161A81">
        <w:rPr>
          <w:lang w:val="en-GB"/>
        </w:rPr>
        <w:t>conditioning</w:t>
      </w:r>
      <w:r w:rsidRPr="00161A81">
        <w:rPr>
          <w:lang w:val="en-GB"/>
        </w:rPr>
        <w:t xml:space="preserve">, </w:t>
      </w:r>
      <w:r w:rsidR="007723D4" w:rsidRPr="00161A81">
        <w:rPr>
          <w:lang w:val="en-GB"/>
        </w:rPr>
        <w:t>a concept where the</w:t>
      </w:r>
      <w:r w:rsidRPr="00161A81">
        <w:rPr>
          <w:lang w:val="en-GB"/>
        </w:rPr>
        <w:t xml:space="preserve"> implementation of projects </w:t>
      </w:r>
      <w:r w:rsidR="007723D4" w:rsidRPr="00161A81">
        <w:rPr>
          <w:lang w:val="en-GB"/>
        </w:rPr>
        <w:t>is</w:t>
      </w:r>
      <w:r w:rsidRPr="00161A81">
        <w:rPr>
          <w:lang w:val="en-GB"/>
        </w:rPr>
        <w:t xml:space="preserve"> linked to the </w:t>
      </w:r>
      <w:r w:rsidR="00B40D0C" w:rsidRPr="00161A81">
        <w:rPr>
          <w:lang w:val="en-GB"/>
        </w:rPr>
        <w:t>fulfilment</w:t>
      </w:r>
      <w:r w:rsidRPr="00161A81">
        <w:rPr>
          <w:lang w:val="en-GB"/>
        </w:rPr>
        <w:t xml:space="preserve"> of certain requirements by the recipient country, either in terms of adapting the legal framework or in terms of providing resources or capacity to ensure the sustainability of the project after its completion. One of the identified shortcomings of the evaluated projects is that the project design did not take into account the issue of sustainability of financing </w:t>
      </w:r>
      <w:r w:rsidR="009359DA" w:rsidRPr="00161A81">
        <w:rPr>
          <w:lang w:val="en-GB"/>
        </w:rPr>
        <w:t xml:space="preserve">the maintenance of the </w:t>
      </w:r>
      <w:r w:rsidRPr="00161A81">
        <w:rPr>
          <w:lang w:val="en-GB"/>
        </w:rPr>
        <w:t xml:space="preserve">infrastructure in the long run, </w:t>
      </w:r>
      <w:r w:rsidR="009359DA" w:rsidRPr="00161A81">
        <w:rPr>
          <w:lang w:val="en-GB"/>
        </w:rPr>
        <w:t>therefore it would be advisable to take such issues into account already in the stage of analysing the technical solution in the investment documentation</w:t>
      </w:r>
      <w:r w:rsidRPr="00161A81">
        <w:rPr>
          <w:lang w:val="en-GB"/>
        </w:rPr>
        <w:t>.</w:t>
      </w:r>
      <w:r w:rsidR="00BB658C">
        <w:rPr>
          <w:lang w:val="en-GB"/>
        </w:rPr>
        <w:t xml:space="preserve"> </w:t>
      </w:r>
      <w:r w:rsidR="00BB658C" w:rsidRPr="00BB658C">
        <w:rPr>
          <w:lang w:val="en-GB"/>
        </w:rPr>
        <w:t xml:space="preserve">In the case of </w:t>
      </w:r>
      <w:r w:rsidR="00BB658C">
        <w:rPr>
          <w:lang w:val="en-GB"/>
        </w:rPr>
        <w:t>evaluated</w:t>
      </w:r>
      <w:r w:rsidR="00BB658C" w:rsidRPr="00BB658C">
        <w:rPr>
          <w:lang w:val="en-GB"/>
        </w:rPr>
        <w:t xml:space="preserve"> projects, </w:t>
      </w:r>
      <w:r w:rsidR="00BB658C">
        <w:rPr>
          <w:lang w:val="en-GB"/>
        </w:rPr>
        <w:t xml:space="preserve">the issue of sustainability is partially related to the system of financing water infrastructure. In the future, sensitivity of </w:t>
      </w:r>
      <w:r w:rsidR="00BB658C" w:rsidRPr="00BB658C">
        <w:rPr>
          <w:lang w:val="en-GB"/>
        </w:rPr>
        <w:t>aid receipts to possible cost increases</w:t>
      </w:r>
      <w:r w:rsidR="008C0495">
        <w:rPr>
          <w:lang w:val="en-GB"/>
        </w:rPr>
        <w:t xml:space="preserve"> should already be considered in the project design and project documentation</w:t>
      </w:r>
      <w:r w:rsidR="00BB658C">
        <w:rPr>
          <w:lang w:val="en-GB"/>
        </w:rPr>
        <w:t>.</w:t>
      </w:r>
    </w:p>
    <w:p w14:paraId="25CA9FA5" w14:textId="77777777" w:rsidR="006F317B" w:rsidRPr="00161A81" w:rsidRDefault="006F317B" w:rsidP="00960E68">
      <w:pPr>
        <w:jc w:val="both"/>
        <w:rPr>
          <w:lang w:val="en-GB"/>
        </w:rPr>
      </w:pPr>
    </w:p>
    <w:p w14:paraId="15F623D3" w14:textId="482764A6" w:rsidR="00AF00E9" w:rsidRDefault="00AF00E9" w:rsidP="00960E68">
      <w:pPr>
        <w:jc w:val="both"/>
        <w:rPr>
          <w:lang w:val="en-GB"/>
        </w:rPr>
      </w:pPr>
      <w:r w:rsidRPr="00161A81">
        <w:rPr>
          <w:lang w:val="en-GB"/>
        </w:rPr>
        <w:t>In general, we find that the key shortcomings in the implementation of the evaluated projects relate to the management of the project cycle, while from the point of view of the adequacy and success of the projects there are no major findings or recommendations. Slovenia is recognized as an important donor in Northern Macedonia</w:t>
      </w:r>
      <w:r w:rsidR="00BD3F57" w:rsidRPr="00161A81">
        <w:rPr>
          <w:lang w:val="en-GB"/>
        </w:rPr>
        <w:t>. B</w:t>
      </w:r>
      <w:r w:rsidRPr="00161A81">
        <w:rPr>
          <w:lang w:val="en-GB"/>
        </w:rPr>
        <w:t xml:space="preserve">oth </w:t>
      </w:r>
      <w:r w:rsidR="00BD3F57" w:rsidRPr="00161A81">
        <w:rPr>
          <w:lang w:val="en-GB"/>
        </w:rPr>
        <w:t xml:space="preserve">evaluated </w:t>
      </w:r>
      <w:r w:rsidRPr="00161A81">
        <w:rPr>
          <w:lang w:val="en-GB"/>
        </w:rPr>
        <w:t xml:space="preserve">projects were </w:t>
      </w:r>
      <w:r w:rsidR="00BD3F57" w:rsidRPr="00161A81">
        <w:rPr>
          <w:lang w:val="en-GB"/>
        </w:rPr>
        <w:t xml:space="preserve">also </w:t>
      </w:r>
      <w:r w:rsidRPr="00161A81">
        <w:rPr>
          <w:lang w:val="en-GB"/>
        </w:rPr>
        <w:t xml:space="preserve">recognized as successful by the stakeholders from Northern </w:t>
      </w:r>
      <w:r w:rsidRPr="00161A81">
        <w:rPr>
          <w:lang w:val="en-GB"/>
        </w:rPr>
        <w:lastRenderedPageBreak/>
        <w:t>Macedonia involved in the project</w:t>
      </w:r>
      <w:r w:rsidR="00BD3F57" w:rsidRPr="00161A81">
        <w:rPr>
          <w:lang w:val="en-GB"/>
        </w:rPr>
        <w:t xml:space="preserve"> implementation</w:t>
      </w:r>
      <w:r w:rsidRPr="00161A81">
        <w:rPr>
          <w:lang w:val="en-GB"/>
        </w:rPr>
        <w:t>. All of them also emphasized the efficiency of implementation and the responsiveness of project partners and contractors.</w:t>
      </w:r>
    </w:p>
    <w:p w14:paraId="3249F597" w14:textId="77777777" w:rsidR="006F317B" w:rsidRPr="00161A81" w:rsidRDefault="006F317B" w:rsidP="00960E68">
      <w:pPr>
        <w:jc w:val="both"/>
        <w:rPr>
          <w:lang w:val="en-GB"/>
        </w:rPr>
      </w:pPr>
    </w:p>
    <w:p w14:paraId="49D30CC2" w14:textId="56B93E7B" w:rsidR="00AF00E9" w:rsidRPr="00161A81" w:rsidRDefault="00BD3F57" w:rsidP="00960E68">
      <w:pPr>
        <w:jc w:val="both"/>
        <w:rPr>
          <w:lang w:val="en-GB"/>
        </w:rPr>
      </w:pPr>
      <w:r w:rsidRPr="00161A81">
        <w:rPr>
          <w:lang w:val="en-GB"/>
        </w:rPr>
        <w:t>Both evaluated projects</w:t>
      </w:r>
      <w:r w:rsidR="00AF00E9" w:rsidRPr="00161A81">
        <w:rPr>
          <w:lang w:val="en-GB"/>
        </w:rPr>
        <w:t xml:space="preserve"> </w:t>
      </w:r>
      <w:r w:rsidRPr="00161A81">
        <w:rPr>
          <w:lang w:val="en-GB"/>
        </w:rPr>
        <w:t xml:space="preserve">directly correspond to the </w:t>
      </w:r>
      <w:r w:rsidR="00A005CA" w:rsidRPr="00161A81">
        <w:rPr>
          <w:lang w:val="en-GB"/>
        </w:rPr>
        <w:t xml:space="preserve">local </w:t>
      </w:r>
      <w:r w:rsidRPr="00161A81">
        <w:rPr>
          <w:lang w:val="en-GB"/>
        </w:rPr>
        <w:t>needs of recipients of aid and thus further strengthen the existing</w:t>
      </w:r>
      <w:r w:rsidR="00AF00E9" w:rsidRPr="00161A81">
        <w:rPr>
          <w:lang w:val="en-GB"/>
        </w:rPr>
        <w:t xml:space="preserve"> historical, linguistic, cultural and administrative proximity and </w:t>
      </w:r>
      <w:r w:rsidRPr="00161A81">
        <w:rPr>
          <w:lang w:val="en-GB"/>
        </w:rPr>
        <w:t>relations between Slovenia and Northern Macedonia</w:t>
      </w:r>
      <w:r w:rsidR="00AF00E9" w:rsidRPr="00161A81">
        <w:rPr>
          <w:lang w:val="en-GB"/>
        </w:rPr>
        <w:t xml:space="preserve">. Given that several municipalities in Northern Macedonia face similar challenges in ensuring an uninterrupted supply of quality drinking water, it makes sense to prioritize those that </w:t>
      </w:r>
      <w:r w:rsidR="00A005CA" w:rsidRPr="00161A81">
        <w:rPr>
          <w:lang w:val="en-GB"/>
        </w:rPr>
        <w:t>require similar solutions and can thus be replicated</w:t>
      </w:r>
      <w:r w:rsidR="00AF00E9" w:rsidRPr="00161A81">
        <w:rPr>
          <w:lang w:val="en-GB"/>
        </w:rPr>
        <w:t xml:space="preserve"> using existing Slovenian knowledge and experience. The added value and reach of projects </w:t>
      </w:r>
      <w:r w:rsidR="00A005CA" w:rsidRPr="00161A81">
        <w:rPr>
          <w:lang w:val="en-GB"/>
        </w:rPr>
        <w:t xml:space="preserve">could </w:t>
      </w:r>
      <w:r w:rsidR="00AF00E9" w:rsidRPr="00161A81">
        <w:rPr>
          <w:lang w:val="en-GB"/>
        </w:rPr>
        <w:t>be further increased by paying special attention to projects with a regional dimension (e</w:t>
      </w:r>
      <w:r w:rsidR="00A005CA" w:rsidRPr="00161A81">
        <w:rPr>
          <w:lang w:val="en-GB"/>
        </w:rPr>
        <w:t>.</w:t>
      </w:r>
      <w:r w:rsidR="00AF00E9" w:rsidRPr="00161A81">
        <w:rPr>
          <w:lang w:val="en-GB"/>
        </w:rPr>
        <w:t>g</w:t>
      </w:r>
      <w:r w:rsidR="00A005CA" w:rsidRPr="00161A81">
        <w:rPr>
          <w:lang w:val="en-GB"/>
        </w:rPr>
        <w:t>.</w:t>
      </w:r>
      <w:r w:rsidR="00AF00E9" w:rsidRPr="00161A81">
        <w:rPr>
          <w:lang w:val="en-GB"/>
        </w:rPr>
        <w:t xml:space="preserve"> regional waste management </w:t>
      </w:r>
      <w:r w:rsidR="00A005CA" w:rsidRPr="00161A81">
        <w:rPr>
          <w:lang w:val="en-GB"/>
        </w:rPr>
        <w:t>centres</w:t>
      </w:r>
      <w:r w:rsidR="00AF00E9" w:rsidRPr="00161A81">
        <w:rPr>
          <w:lang w:val="en-GB"/>
        </w:rPr>
        <w:t xml:space="preserve">, inter-municipal water infrastructure, etc.). </w:t>
      </w:r>
    </w:p>
    <w:p w14:paraId="65FE3F73" w14:textId="47C41E81" w:rsidR="00D731F0" w:rsidRPr="008401DD" w:rsidRDefault="00D731F0" w:rsidP="00960E68">
      <w:pPr>
        <w:jc w:val="both"/>
      </w:pPr>
      <w:r w:rsidRPr="008401DD">
        <w:br w:type="page"/>
      </w:r>
    </w:p>
    <w:p w14:paraId="3612C162" w14:textId="5AFF28CB" w:rsidR="00801CC4" w:rsidRDefault="00C40435" w:rsidP="00960E68">
      <w:pPr>
        <w:pStyle w:val="Heading1"/>
        <w:spacing w:line="276" w:lineRule="auto"/>
      </w:pPr>
      <w:bookmarkStart w:id="15" w:name="_Toc56088886"/>
      <w:bookmarkStart w:id="16" w:name="_Toc56112180"/>
      <w:bookmarkStart w:id="17" w:name="_Toc57377157"/>
      <w:r w:rsidRPr="008401DD">
        <w:lastRenderedPageBreak/>
        <w:t>Uvod</w:t>
      </w:r>
      <w:bookmarkEnd w:id="14"/>
      <w:bookmarkEnd w:id="15"/>
      <w:bookmarkEnd w:id="16"/>
      <w:bookmarkEnd w:id="17"/>
    </w:p>
    <w:p w14:paraId="09CCE292" w14:textId="77777777" w:rsidR="006F317B" w:rsidRPr="006F317B" w:rsidRDefault="006F317B" w:rsidP="006F317B"/>
    <w:p w14:paraId="0891961C" w14:textId="77777777" w:rsidR="00801CC4" w:rsidRPr="008401DD" w:rsidRDefault="00C40435" w:rsidP="00960E68">
      <w:pPr>
        <w:pStyle w:val="Heading2"/>
        <w:spacing w:before="0" w:after="0"/>
      </w:pPr>
      <w:bookmarkStart w:id="18" w:name="_Toc52394913"/>
      <w:bookmarkStart w:id="19" w:name="_Toc56088887"/>
      <w:bookmarkStart w:id="20" w:name="_Toc56112181"/>
      <w:bookmarkStart w:id="21" w:name="_Toc57377158"/>
      <w:r w:rsidRPr="008401DD">
        <w:t xml:space="preserve">Opredelitev </w:t>
      </w:r>
      <w:r w:rsidR="00A51A85" w:rsidRPr="008401DD">
        <w:t>predmeta</w:t>
      </w:r>
      <w:r w:rsidR="00316353" w:rsidRPr="008401DD">
        <w:t xml:space="preserve"> evalvacije</w:t>
      </w:r>
      <w:bookmarkEnd w:id="18"/>
      <w:bookmarkEnd w:id="19"/>
      <w:bookmarkEnd w:id="20"/>
      <w:bookmarkEnd w:id="21"/>
    </w:p>
    <w:p w14:paraId="79280582" w14:textId="77777777" w:rsidR="006F317B" w:rsidRDefault="006F317B" w:rsidP="00960E68">
      <w:pPr>
        <w:spacing w:line="276" w:lineRule="auto"/>
        <w:jc w:val="both"/>
      </w:pPr>
    </w:p>
    <w:p w14:paraId="136A7C6F" w14:textId="1D4E087C" w:rsidR="00363285" w:rsidRPr="008401DD" w:rsidRDefault="00C40435" w:rsidP="00960E68">
      <w:pPr>
        <w:spacing w:line="276" w:lineRule="auto"/>
        <w:jc w:val="both"/>
        <w:rPr>
          <w:lang w:eastAsia="sl-SI"/>
        </w:rPr>
      </w:pPr>
      <w:r w:rsidRPr="008401DD">
        <w:t>Predmet</w:t>
      </w:r>
      <w:r w:rsidR="00C66EB2" w:rsidRPr="008401DD">
        <w:t xml:space="preserve"> evalvacije</w:t>
      </w:r>
      <w:r w:rsidRPr="008401DD">
        <w:t xml:space="preserve"> </w:t>
      </w:r>
      <w:r w:rsidR="00EF2CE3" w:rsidRPr="008401DD">
        <w:t xml:space="preserve">sta projekta izgradnje vodne infrastrukture v občini </w:t>
      </w:r>
      <w:proofErr w:type="spellStart"/>
      <w:r w:rsidR="00EF2CE3" w:rsidRPr="008401DD">
        <w:t>Probištip</w:t>
      </w:r>
      <w:proofErr w:type="spellEnd"/>
      <w:r w:rsidR="00EF2CE3" w:rsidRPr="008401DD">
        <w:t>, v Severni Makedoniji in sicer projekt</w:t>
      </w:r>
      <w:r w:rsidRPr="008401DD">
        <w:t xml:space="preserve"> </w:t>
      </w:r>
      <w:r w:rsidR="00EF2CE3" w:rsidRPr="008401DD">
        <w:t xml:space="preserve">izgradnje čistilne naprave za pitno vodo v občini </w:t>
      </w:r>
      <w:proofErr w:type="spellStart"/>
      <w:r w:rsidR="00EF2CE3" w:rsidRPr="008401DD">
        <w:t>Probištip</w:t>
      </w:r>
      <w:proofErr w:type="spellEnd"/>
      <w:r w:rsidR="00EF2CE3" w:rsidRPr="008401DD">
        <w:t xml:space="preserve"> v letu 2012, ki je bil sofinanciran s strani </w:t>
      </w:r>
      <w:r w:rsidR="007F6D73" w:rsidRPr="008401DD">
        <w:t>MZZ</w:t>
      </w:r>
      <w:r w:rsidR="00EF2CE3" w:rsidRPr="008401DD">
        <w:t xml:space="preserve"> ter projekt revitalizacije in avtomatizacije obstoječih vodooskrbnih objektov v občini </w:t>
      </w:r>
      <w:proofErr w:type="spellStart"/>
      <w:r w:rsidR="00EF2CE3" w:rsidRPr="008401DD">
        <w:t>Probištip</w:t>
      </w:r>
      <w:proofErr w:type="spellEnd"/>
      <w:r w:rsidR="00EF2CE3" w:rsidRPr="008401DD">
        <w:t>, izpeljan v letih 2018</w:t>
      </w:r>
      <w:r w:rsidR="00363285" w:rsidRPr="008401DD">
        <w:t xml:space="preserve"> in 2019, </w:t>
      </w:r>
      <w:r w:rsidR="00EF2CE3" w:rsidRPr="008401DD">
        <w:t xml:space="preserve">sofinanciran s strani </w:t>
      </w:r>
      <w:r w:rsidR="007F6D73" w:rsidRPr="008401DD">
        <w:t>MF.</w:t>
      </w:r>
      <w:r w:rsidR="00B144C8">
        <w:t xml:space="preserve"> </w:t>
      </w:r>
      <w:r w:rsidR="007F6D73" w:rsidRPr="008401DD">
        <w:t xml:space="preserve">CMSR </w:t>
      </w:r>
      <w:r w:rsidR="00484987" w:rsidRPr="008401DD">
        <w:t>je kot izvajalec tehnično - operativnega dela bilateralnega mednarodnega razvojnega sodelovanja Republike Slovenije (RS)</w:t>
      </w:r>
      <w:r w:rsidR="004B2376" w:rsidRPr="008401DD">
        <w:t xml:space="preserve"> </w:t>
      </w:r>
      <w:r w:rsidR="00484987" w:rsidRPr="008401DD">
        <w:t xml:space="preserve">implementiral oba projekta. </w:t>
      </w:r>
      <w:r w:rsidR="00363285" w:rsidRPr="008401DD">
        <w:rPr>
          <w:bCs/>
        </w:rPr>
        <w:t xml:space="preserve">V okviru prvega projekta izgradnje čistilne naprave, je bila zgrajena čistilna naprava za pripravo pitne vode, </w:t>
      </w:r>
      <w:r w:rsidR="001B4418" w:rsidRPr="008401DD">
        <w:rPr>
          <w:bCs/>
        </w:rPr>
        <w:t>ki čisti vodo s</w:t>
      </w:r>
      <w:r w:rsidR="00363285" w:rsidRPr="008401DD">
        <w:rPr>
          <w:bCs/>
        </w:rPr>
        <w:t xml:space="preserve"> postopki </w:t>
      </w:r>
      <w:proofErr w:type="spellStart"/>
      <w:r w:rsidR="00363285" w:rsidRPr="008401DD">
        <w:rPr>
          <w:bCs/>
        </w:rPr>
        <w:t>pre-ozonacije</w:t>
      </w:r>
      <w:proofErr w:type="spellEnd"/>
      <w:r w:rsidR="00363285" w:rsidRPr="008401DD">
        <w:rPr>
          <w:bCs/>
        </w:rPr>
        <w:t xml:space="preserve">, sesedanja in usedanja, </w:t>
      </w:r>
      <w:proofErr w:type="spellStart"/>
      <w:r w:rsidR="00363285" w:rsidRPr="008401DD">
        <w:rPr>
          <w:bCs/>
        </w:rPr>
        <w:t>ozonacije</w:t>
      </w:r>
      <w:proofErr w:type="spellEnd"/>
      <w:r w:rsidR="00363285" w:rsidRPr="008401DD">
        <w:rPr>
          <w:bCs/>
        </w:rPr>
        <w:t xml:space="preserve">, filtriranjem vode z aktivnim ogljem in obdelavo blata čistilne naprave. Skupaj z že zgrajeno novo infrastrukturo (vodovod) izgradnja predstavlja vir trajnostne oskrbe prebivalstva s kvalitetno pitno vodo. </w:t>
      </w:r>
      <w:r w:rsidR="00363285" w:rsidRPr="008401DD">
        <w:rPr>
          <w:lang w:eastAsia="sl-SI"/>
        </w:rPr>
        <w:t xml:space="preserve">Projekt </w:t>
      </w:r>
      <w:r w:rsidR="00363285" w:rsidRPr="008401DD">
        <w:t>revitalizacije in avtomatizacije obstoječih vodooskrbnih objektov je sledil kot</w:t>
      </w:r>
      <w:r w:rsidR="00363285" w:rsidRPr="008401DD">
        <w:rPr>
          <w:lang w:eastAsia="sl-SI"/>
        </w:rPr>
        <w:t xml:space="preserve"> nadgradnja projekta iz leta 2012, saj se je zaradi povečanja števila gospodinjstev po</w:t>
      </w:r>
      <w:r w:rsidR="001B4418" w:rsidRPr="008401DD">
        <w:rPr>
          <w:lang w:eastAsia="sl-SI"/>
        </w:rPr>
        <w:t>v</w:t>
      </w:r>
      <w:r w:rsidR="00363285" w:rsidRPr="008401DD">
        <w:rPr>
          <w:lang w:eastAsia="sl-SI"/>
        </w:rPr>
        <w:t>ečala</w:t>
      </w:r>
      <w:r w:rsidR="001B4418" w:rsidRPr="008401DD">
        <w:rPr>
          <w:lang w:eastAsia="sl-SI"/>
        </w:rPr>
        <w:t xml:space="preserve"> tudi</w:t>
      </w:r>
      <w:r w:rsidR="00363285" w:rsidRPr="008401DD">
        <w:rPr>
          <w:lang w:eastAsia="sl-SI"/>
        </w:rPr>
        <w:t xml:space="preserve"> poraba pitne vode. V sklopu tega projekta se je obnovilo pet medsebojno povezanih vodooskrbnih objektov v občini, kar je omogočilo ponovno učinkovito in nemoteno oskrbovanje prebivalcev s pitno vodo. Stare črpalke so se</w:t>
      </w:r>
      <w:r w:rsidR="004E5206" w:rsidRPr="008401DD">
        <w:rPr>
          <w:lang w:eastAsia="sl-SI"/>
        </w:rPr>
        <w:t xml:space="preserve"> nadomestile </w:t>
      </w:r>
      <w:r w:rsidR="00363285" w:rsidRPr="008401DD">
        <w:rPr>
          <w:lang w:eastAsia="sl-SI"/>
        </w:rPr>
        <w:t xml:space="preserve">z novimi, postavljene so bile nove transformatorske postaje, izvedena je bila avtomatizacija upravljanja črpalk in rehabilitacija obstoječih objektov, dodatno so bile postavljene </w:t>
      </w:r>
      <w:proofErr w:type="spellStart"/>
      <w:r w:rsidR="00363285" w:rsidRPr="008401DD">
        <w:rPr>
          <w:lang w:eastAsia="sl-SI"/>
        </w:rPr>
        <w:t>ultrafiltracijske</w:t>
      </w:r>
      <w:proofErr w:type="spellEnd"/>
      <w:r w:rsidR="00363285" w:rsidRPr="008401DD">
        <w:rPr>
          <w:lang w:eastAsia="sl-SI"/>
        </w:rPr>
        <w:t xml:space="preserve"> membrane za filtriranje. </w:t>
      </w:r>
    </w:p>
    <w:p w14:paraId="41E8370A" w14:textId="77777777" w:rsidR="006B0F9E" w:rsidRPr="008401DD" w:rsidRDefault="006B0F9E" w:rsidP="00960E68">
      <w:pPr>
        <w:spacing w:line="276" w:lineRule="auto"/>
        <w:jc w:val="both"/>
      </w:pPr>
    </w:p>
    <w:p w14:paraId="7734779A" w14:textId="6F99E776" w:rsidR="0066570C" w:rsidRPr="008401DD" w:rsidRDefault="00EF4D1F" w:rsidP="00960E68">
      <w:pPr>
        <w:spacing w:line="276" w:lineRule="auto"/>
        <w:jc w:val="both"/>
        <w:rPr>
          <w:rFonts w:cs="Arial"/>
          <w:szCs w:val="20"/>
          <w:lang w:eastAsia="en-US" w:bidi="ar-SA"/>
        </w:rPr>
      </w:pPr>
      <w:r w:rsidRPr="008401DD">
        <w:t>Projekta</w:t>
      </w:r>
      <w:r w:rsidR="00C66EB2" w:rsidRPr="008401DD">
        <w:t xml:space="preserve">, ki </w:t>
      </w:r>
      <w:r w:rsidR="0033382F" w:rsidRPr="008401DD">
        <w:t>s</w:t>
      </w:r>
      <w:r w:rsidRPr="008401DD">
        <w:t>ta</w:t>
      </w:r>
      <w:r w:rsidR="0033382F" w:rsidRPr="008401DD">
        <w:t xml:space="preserve"> predmet evalvacije,</w:t>
      </w:r>
      <w:r w:rsidR="007277A5" w:rsidRPr="008401DD">
        <w:t xml:space="preserve"> </w:t>
      </w:r>
      <w:r w:rsidR="008C254C" w:rsidRPr="008401DD">
        <w:t>temeljita</w:t>
      </w:r>
      <w:r w:rsidR="007277A5" w:rsidRPr="008401DD">
        <w:t xml:space="preserve"> na Sporazumu </w:t>
      </w:r>
      <w:r w:rsidR="00010C69" w:rsidRPr="008401DD">
        <w:t xml:space="preserve">med </w:t>
      </w:r>
      <w:r w:rsidR="00B27574" w:rsidRPr="008401DD">
        <w:t>V</w:t>
      </w:r>
      <w:r w:rsidR="00010C69" w:rsidRPr="008401DD">
        <w:t xml:space="preserve">lado Republike Slovenije in </w:t>
      </w:r>
      <w:r w:rsidR="00B27574" w:rsidRPr="008401DD">
        <w:t>V</w:t>
      </w:r>
      <w:r w:rsidR="00010C69" w:rsidRPr="008401DD">
        <w:t>lado Republike Makedonije o razvojnem sodelovanju</w:t>
      </w:r>
      <w:r w:rsidR="007277A5" w:rsidRPr="008401DD">
        <w:t xml:space="preserve"> (Sporazum)</w:t>
      </w:r>
      <w:r w:rsidR="007277A5" w:rsidRPr="008401DD">
        <w:rPr>
          <w:rStyle w:val="FootnoteReference"/>
          <w:rFonts w:cs="Arial"/>
        </w:rPr>
        <w:footnoteReference w:id="2"/>
      </w:r>
      <w:r w:rsidR="007277A5" w:rsidRPr="008401DD">
        <w:rPr>
          <w:rFonts w:cs="Arial"/>
        </w:rPr>
        <w:t xml:space="preserve">, </w:t>
      </w:r>
      <w:r w:rsidRPr="008401DD">
        <w:rPr>
          <w:rFonts w:cs="Arial"/>
        </w:rPr>
        <w:t>podpisanem 10.</w:t>
      </w:r>
      <w:r w:rsidR="00082F3A" w:rsidRPr="008401DD">
        <w:rPr>
          <w:rFonts w:cs="Arial"/>
        </w:rPr>
        <w:t xml:space="preserve"> </w:t>
      </w:r>
      <w:r w:rsidRPr="008401DD">
        <w:rPr>
          <w:rFonts w:cs="Arial"/>
        </w:rPr>
        <w:t>6.</w:t>
      </w:r>
      <w:r w:rsidR="00082F3A" w:rsidRPr="008401DD">
        <w:rPr>
          <w:rFonts w:cs="Arial"/>
        </w:rPr>
        <w:t xml:space="preserve"> </w:t>
      </w:r>
      <w:r w:rsidRPr="008401DD">
        <w:rPr>
          <w:rFonts w:cs="Arial"/>
        </w:rPr>
        <w:t>2004 in ratificiranem 8.</w:t>
      </w:r>
      <w:r w:rsidR="00082F3A" w:rsidRPr="008401DD">
        <w:rPr>
          <w:rFonts w:cs="Arial"/>
        </w:rPr>
        <w:t xml:space="preserve"> </w:t>
      </w:r>
      <w:r w:rsidRPr="008401DD">
        <w:rPr>
          <w:rFonts w:cs="Arial"/>
        </w:rPr>
        <w:t>6.</w:t>
      </w:r>
      <w:r w:rsidR="00082F3A" w:rsidRPr="008401DD">
        <w:rPr>
          <w:rFonts w:cs="Arial"/>
        </w:rPr>
        <w:t xml:space="preserve"> </w:t>
      </w:r>
      <w:r w:rsidRPr="008401DD">
        <w:rPr>
          <w:rFonts w:cs="Arial"/>
        </w:rPr>
        <w:t>2006</w:t>
      </w:r>
      <w:r w:rsidR="007277A5" w:rsidRPr="008401DD">
        <w:rPr>
          <w:rFonts w:cs="Arial"/>
        </w:rPr>
        <w:t xml:space="preserve">. Sporazum določa ciljna </w:t>
      </w:r>
      <w:r w:rsidR="0033382F" w:rsidRPr="008401DD">
        <w:rPr>
          <w:rFonts w:cs="Arial"/>
        </w:rPr>
        <w:t xml:space="preserve">področja </w:t>
      </w:r>
      <w:r w:rsidR="00A31496" w:rsidRPr="008401DD">
        <w:rPr>
          <w:rFonts w:cs="Arial"/>
        </w:rPr>
        <w:t xml:space="preserve">mednarodnega </w:t>
      </w:r>
      <w:r w:rsidR="0033382F" w:rsidRPr="008401DD">
        <w:rPr>
          <w:rFonts w:cs="Arial"/>
        </w:rPr>
        <w:t>razvojnega sodelovanja</w:t>
      </w:r>
      <w:r w:rsidR="007277A5" w:rsidRPr="008401DD">
        <w:rPr>
          <w:rFonts w:cs="Arial"/>
        </w:rPr>
        <w:t xml:space="preserve"> med Republiko Slovenijo in </w:t>
      </w:r>
      <w:r w:rsidRPr="008401DD">
        <w:rPr>
          <w:rFonts w:cs="Arial"/>
        </w:rPr>
        <w:t>Severno Makedonijo</w:t>
      </w:r>
      <w:r w:rsidR="007277A5" w:rsidRPr="008401DD">
        <w:rPr>
          <w:rFonts w:cs="Arial"/>
        </w:rPr>
        <w:t xml:space="preserve">. </w:t>
      </w:r>
      <w:r w:rsidR="0066570C" w:rsidRPr="008401DD">
        <w:rPr>
          <w:rFonts w:cs="Arial"/>
          <w:szCs w:val="20"/>
          <w:lang w:eastAsia="en-US" w:bidi="ar-SA"/>
        </w:rPr>
        <w:t>Razvojno sodelovanje med Slovenijo in Severno Makedonijo se osredotoča na varovanje okolja, predvsem na zaščito vodnih virov in gospodarjenje z odpadnimi vodami ter energetsko učinkovitost. Pri tem se daje poseben poudarek krepitvi gospodarskega razvoja in uravnoteženemu regionalnemu razvoju ter posodobitvi javne uprave in usposabljanju s področja približevanja</w:t>
      </w:r>
      <w:r w:rsidR="005C475F" w:rsidRPr="008401DD">
        <w:rPr>
          <w:rFonts w:cs="Arial"/>
          <w:szCs w:val="20"/>
          <w:lang w:eastAsia="en-US" w:bidi="ar-SA"/>
        </w:rPr>
        <w:t xml:space="preserve"> Evropski uniji</w:t>
      </w:r>
      <w:r w:rsidR="0066570C" w:rsidRPr="008401DD">
        <w:rPr>
          <w:rFonts w:cs="Arial"/>
          <w:szCs w:val="20"/>
          <w:lang w:eastAsia="en-US" w:bidi="ar-SA"/>
        </w:rPr>
        <w:t xml:space="preserve"> </w:t>
      </w:r>
      <w:r w:rsidR="005C475F" w:rsidRPr="008401DD">
        <w:rPr>
          <w:rFonts w:cs="Arial"/>
          <w:szCs w:val="20"/>
          <w:lang w:eastAsia="en-US" w:bidi="ar-SA"/>
        </w:rPr>
        <w:t>(</w:t>
      </w:r>
      <w:r w:rsidR="0066570C" w:rsidRPr="008401DD">
        <w:rPr>
          <w:rFonts w:cs="Arial"/>
          <w:szCs w:val="20"/>
          <w:lang w:eastAsia="en-US" w:bidi="ar-SA"/>
        </w:rPr>
        <w:t>EU</w:t>
      </w:r>
      <w:r w:rsidR="005C475F" w:rsidRPr="008401DD">
        <w:rPr>
          <w:rFonts w:cs="Arial"/>
          <w:szCs w:val="20"/>
          <w:lang w:eastAsia="en-US" w:bidi="ar-SA"/>
        </w:rPr>
        <w:t>)</w:t>
      </w:r>
      <w:r w:rsidR="0066570C" w:rsidRPr="008401DD">
        <w:rPr>
          <w:rFonts w:cs="Arial"/>
          <w:szCs w:val="20"/>
          <w:lang w:eastAsia="en-US" w:bidi="ar-SA"/>
        </w:rPr>
        <w:t>.</w:t>
      </w:r>
    </w:p>
    <w:p w14:paraId="1461D3EE" w14:textId="77777777" w:rsidR="006B0F9E" w:rsidRPr="008401DD" w:rsidRDefault="006B0F9E" w:rsidP="00960E68">
      <w:pPr>
        <w:spacing w:line="276" w:lineRule="auto"/>
        <w:jc w:val="both"/>
        <w:rPr>
          <w:rFonts w:cs="Arial"/>
        </w:rPr>
      </w:pPr>
    </w:p>
    <w:p w14:paraId="32DD4183" w14:textId="451A83DB" w:rsidR="0033382F" w:rsidRDefault="00316353" w:rsidP="00960E68">
      <w:pPr>
        <w:spacing w:line="276" w:lineRule="auto"/>
        <w:jc w:val="both"/>
      </w:pPr>
      <w:r w:rsidRPr="008401DD">
        <w:rPr>
          <w:rFonts w:cs="Arial"/>
        </w:rPr>
        <w:t xml:space="preserve">Evalvacija </w:t>
      </w:r>
      <w:r w:rsidR="0033382F" w:rsidRPr="008401DD">
        <w:rPr>
          <w:rFonts w:cs="Arial"/>
        </w:rPr>
        <w:t>je utemeljena</w:t>
      </w:r>
      <w:r w:rsidR="007277A5" w:rsidRPr="008401DD">
        <w:rPr>
          <w:rFonts w:cs="Arial"/>
        </w:rPr>
        <w:t xml:space="preserve"> na smernicah </w:t>
      </w:r>
      <w:r w:rsidR="0033382F" w:rsidRPr="008401DD">
        <w:rPr>
          <w:rFonts w:cs="Arial"/>
        </w:rPr>
        <w:t>Organizacije</w:t>
      </w:r>
      <w:r w:rsidR="007277A5" w:rsidRPr="008401DD">
        <w:rPr>
          <w:rFonts w:cs="Arial"/>
        </w:rPr>
        <w:t xml:space="preserve"> za ekonomsko sodelovanje in razvoj (</w:t>
      </w:r>
      <w:r w:rsidR="00E808DB" w:rsidRPr="008401DD">
        <w:t>OECD)</w:t>
      </w:r>
      <w:r w:rsidR="007277A5" w:rsidRPr="008401DD">
        <w:rPr>
          <w:rStyle w:val="FootnoteReference"/>
        </w:rPr>
        <w:footnoteReference w:id="3"/>
      </w:r>
      <w:r w:rsidR="00E808DB" w:rsidRPr="008401DD">
        <w:t xml:space="preserve">, pri čemer metodologija temelji na </w:t>
      </w:r>
      <w:r w:rsidRPr="008401DD">
        <w:t xml:space="preserve">vnaprej določenih </w:t>
      </w:r>
      <w:r w:rsidR="00C40D28" w:rsidRPr="008401DD">
        <w:t>merilih</w:t>
      </w:r>
      <w:r w:rsidRPr="008401DD">
        <w:t xml:space="preserve"> </w:t>
      </w:r>
      <w:r w:rsidR="00C66EB2" w:rsidRPr="008401DD">
        <w:t xml:space="preserve">in vprašanjih </w:t>
      </w:r>
      <w:r w:rsidR="0033382F" w:rsidRPr="008401DD">
        <w:t>za vrednotenje</w:t>
      </w:r>
      <w:r w:rsidR="00E808DB" w:rsidRPr="008401DD">
        <w:rPr>
          <w:rStyle w:val="FootnoteReference"/>
        </w:rPr>
        <w:footnoteReference w:id="4"/>
      </w:r>
      <w:r w:rsidR="00E808DB" w:rsidRPr="008401DD">
        <w:t>.</w:t>
      </w:r>
      <w:r w:rsidR="00C66EB2" w:rsidRPr="008401DD">
        <w:t xml:space="preserve"> </w:t>
      </w:r>
    </w:p>
    <w:p w14:paraId="25413E5A" w14:textId="77777777" w:rsidR="006F317B" w:rsidRPr="008401DD" w:rsidRDefault="006F317B" w:rsidP="00960E68">
      <w:pPr>
        <w:spacing w:line="276" w:lineRule="auto"/>
        <w:jc w:val="both"/>
      </w:pPr>
    </w:p>
    <w:p w14:paraId="6D270E16" w14:textId="77777777" w:rsidR="00801CC4" w:rsidRPr="008401DD" w:rsidRDefault="00316353" w:rsidP="00960E68">
      <w:pPr>
        <w:pStyle w:val="Heading2"/>
        <w:spacing w:before="0" w:after="0"/>
      </w:pPr>
      <w:bookmarkStart w:id="22" w:name="_Toc52394914"/>
      <w:bookmarkStart w:id="23" w:name="_Toc56088888"/>
      <w:bookmarkStart w:id="24" w:name="_Toc56112182"/>
      <w:bookmarkStart w:id="25" w:name="_Toc57377159"/>
      <w:r w:rsidRPr="008401DD">
        <w:t>Namen in cilji evalvacije</w:t>
      </w:r>
      <w:bookmarkEnd w:id="22"/>
      <w:bookmarkEnd w:id="23"/>
      <w:bookmarkEnd w:id="24"/>
      <w:bookmarkEnd w:id="25"/>
    </w:p>
    <w:p w14:paraId="4172FE37" w14:textId="77777777" w:rsidR="006F317B" w:rsidRDefault="006F317B" w:rsidP="00960E68">
      <w:pPr>
        <w:jc w:val="both"/>
        <w:rPr>
          <w:lang w:eastAsia="sl-SI"/>
        </w:rPr>
      </w:pPr>
    </w:p>
    <w:p w14:paraId="0E54577C" w14:textId="5B680ACB" w:rsidR="00154D86" w:rsidRPr="008401DD" w:rsidRDefault="00C66EB2" w:rsidP="00960E68">
      <w:pPr>
        <w:jc w:val="both"/>
        <w:rPr>
          <w:lang w:eastAsia="sl-SI"/>
        </w:rPr>
      </w:pPr>
      <w:r w:rsidRPr="008401DD">
        <w:rPr>
          <w:lang w:eastAsia="sl-SI"/>
        </w:rPr>
        <w:t>Namen evalvacije</w:t>
      </w:r>
      <w:r w:rsidR="009C2892" w:rsidRPr="008401DD">
        <w:rPr>
          <w:lang w:eastAsia="sl-SI"/>
        </w:rPr>
        <w:t xml:space="preserve"> je zagotoviti </w:t>
      </w:r>
      <w:r w:rsidR="009E57DC" w:rsidRPr="008401DD">
        <w:rPr>
          <w:lang w:eastAsia="sl-SI"/>
        </w:rPr>
        <w:t>podlago za prihodnje usmeritve financerjev</w:t>
      </w:r>
      <w:r w:rsidR="005C475F" w:rsidRPr="008401DD">
        <w:rPr>
          <w:lang w:eastAsia="sl-SI"/>
        </w:rPr>
        <w:t xml:space="preserve"> mednarodnega razvojnega sodelovanja</w:t>
      </w:r>
      <w:r w:rsidR="009E57DC" w:rsidRPr="008401DD">
        <w:rPr>
          <w:lang w:eastAsia="sl-SI"/>
        </w:rPr>
        <w:t xml:space="preserve"> </w:t>
      </w:r>
      <w:r w:rsidR="005C475F" w:rsidRPr="008401DD">
        <w:rPr>
          <w:lang w:eastAsia="sl-SI"/>
        </w:rPr>
        <w:t>(</w:t>
      </w:r>
      <w:r w:rsidR="009E57DC" w:rsidRPr="008401DD">
        <w:rPr>
          <w:lang w:eastAsia="sl-SI"/>
        </w:rPr>
        <w:t>MRS</w:t>
      </w:r>
      <w:r w:rsidR="005C475F" w:rsidRPr="008401DD">
        <w:rPr>
          <w:lang w:eastAsia="sl-SI"/>
        </w:rPr>
        <w:t>)</w:t>
      </w:r>
      <w:r w:rsidR="009E57DC" w:rsidRPr="008401DD">
        <w:rPr>
          <w:lang w:eastAsia="sl-SI"/>
        </w:rPr>
        <w:t xml:space="preserve"> za sodelovanje s CMSR na področju MRS, CMSR pa izhodišča za izboljšanje izvajanja</w:t>
      </w:r>
      <w:r w:rsidR="00E36888" w:rsidRPr="008401DD">
        <w:rPr>
          <w:lang w:eastAsia="sl-SI"/>
        </w:rPr>
        <w:t xml:space="preserve"> </w:t>
      </w:r>
      <w:r w:rsidR="009E57DC" w:rsidRPr="008401DD">
        <w:rPr>
          <w:lang w:eastAsia="sl-SI"/>
        </w:rPr>
        <w:t>projektov MRS</w:t>
      </w:r>
      <w:r w:rsidR="003844F0" w:rsidRPr="008401DD">
        <w:rPr>
          <w:lang w:eastAsia="sl-SI"/>
        </w:rPr>
        <w:t xml:space="preserve">. </w:t>
      </w:r>
      <w:r w:rsidR="009E57DC" w:rsidRPr="008401DD">
        <w:rPr>
          <w:lang w:eastAsia="sl-SI"/>
        </w:rPr>
        <w:t>Vrednotenje je bilo osnovano</w:t>
      </w:r>
      <w:r w:rsidR="003844F0" w:rsidRPr="008401DD">
        <w:rPr>
          <w:lang w:eastAsia="sl-SI"/>
        </w:rPr>
        <w:t xml:space="preserve"> na ključnih </w:t>
      </w:r>
      <w:r w:rsidR="00A51A85" w:rsidRPr="008401DD">
        <w:rPr>
          <w:lang w:eastAsia="sl-SI"/>
        </w:rPr>
        <w:t>merilih za vrednotenje</w:t>
      </w:r>
      <w:r w:rsidRPr="008401DD">
        <w:rPr>
          <w:lang w:eastAsia="sl-SI"/>
        </w:rPr>
        <w:t xml:space="preserve"> OECD</w:t>
      </w:r>
      <w:r w:rsidR="00A51A85" w:rsidRPr="008401DD">
        <w:rPr>
          <w:lang w:eastAsia="sl-SI"/>
        </w:rPr>
        <w:t xml:space="preserve"> </w:t>
      </w:r>
      <w:r w:rsidR="003844F0" w:rsidRPr="008401DD">
        <w:rPr>
          <w:lang w:eastAsia="sl-SI"/>
        </w:rPr>
        <w:t>– ustreznost,</w:t>
      </w:r>
      <w:r w:rsidR="00096EB5" w:rsidRPr="008401DD">
        <w:rPr>
          <w:lang w:eastAsia="sl-SI"/>
        </w:rPr>
        <w:t xml:space="preserve"> uspešnost,</w:t>
      </w:r>
      <w:r w:rsidR="003844F0" w:rsidRPr="008401DD">
        <w:rPr>
          <w:lang w:eastAsia="sl-SI"/>
        </w:rPr>
        <w:t xml:space="preserve"> </w:t>
      </w:r>
      <w:r w:rsidR="009E57DC" w:rsidRPr="008401DD">
        <w:rPr>
          <w:lang w:eastAsia="sl-SI"/>
        </w:rPr>
        <w:t xml:space="preserve">učinkovitost, vpliv in trajnost. </w:t>
      </w:r>
      <w:r w:rsidR="001021AE" w:rsidRPr="008401DD">
        <w:rPr>
          <w:lang w:eastAsia="sl-SI"/>
        </w:rPr>
        <w:t>Merila so podlaga za pripravo od</w:t>
      </w:r>
      <w:r w:rsidRPr="008401DD">
        <w:rPr>
          <w:lang w:eastAsia="sl-SI"/>
        </w:rPr>
        <w:t xml:space="preserve">govorov na vprašanja </w:t>
      </w:r>
      <w:r w:rsidR="00576A74" w:rsidRPr="008401DD">
        <w:rPr>
          <w:lang w:eastAsia="sl-SI"/>
        </w:rPr>
        <w:t>za vrednotenje</w:t>
      </w:r>
      <w:r w:rsidR="001021AE" w:rsidRPr="008401DD">
        <w:rPr>
          <w:lang w:eastAsia="sl-SI"/>
        </w:rPr>
        <w:t xml:space="preserve"> in priporočil. </w:t>
      </w:r>
    </w:p>
    <w:p w14:paraId="75318D37" w14:textId="77777777" w:rsidR="006B0F9E" w:rsidRPr="008401DD" w:rsidRDefault="006B0F9E" w:rsidP="00960E68">
      <w:pPr>
        <w:jc w:val="both"/>
        <w:rPr>
          <w:lang w:eastAsia="sl-SI"/>
        </w:rPr>
      </w:pPr>
    </w:p>
    <w:p w14:paraId="54ACDC54" w14:textId="57D719D2" w:rsidR="009E57DC" w:rsidRPr="008401DD" w:rsidRDefault="00316353" w:rsidP="00960E68">
      <w:pPr>
        <w:spacing w:line="276" w:lineRule="auto"/>
        <w:jc w:val="both"/>
        <w:rPr>
          <w:rFonts w:cs="Arial"/>
          <w:szCs w:val="20"/>
          <w:lang w:eastAsia="sl-SI"/>
        </w:rPr>
      </w:pPr>
      <w:r w:rsidRPr="008401DD">
        <w:rPr>
          <w:rFonts w:cs="Arial"/>
          <w:b/>
          <w:szCs w:val="20"/>
          <w:lang w:eastAsia="sl-SI"/>
        </w:rPr>
        <w:t>Cilj</w:t>
      </w:r>
      <w:r w:rsidR="004E5206" w:rsidRPr="008401DD">
        <w:rPr>
          <w:rFonts w:cs="Arial"/>
          <w:b/>
          <w:szCs w:val="20"/>
          <w:lang w:eastAsia="sl-SI"/>
        </w:rPr>
        <w:t>a</w:t>
      </w:r>
      <w:r w:rsidRPr="008401DD">
        <w:rPr>
          <w:rFonts w:cs="Arial"/>
          <w:b/>
          <w:szCs w:val="20"/>
          <w:lang w:eastAsia="sl-SI"/>
        </w:rPr>
        <w:t xml:space="preserve"> evalvacije</w:t>
      </w:r>
      <w:r w:rsidR="001021AE" w:rsidRPr="008401DD">
        <w:rPr>
          <w:rFonts w:cs="Arial"/>
          <w:szCs w:val="20"/>
          <w:lang w:eastAsia="sl-SI"/>
        </w:rPr>
        <w:t xml:space="preserve"> s</w:t>
      </w:r>
      <w:r w:rsidR="004E5206" w:rsidRPr="008401DD">
        <w:rPr>
          <w:rFonts w:cs="Arial"/>
          <w:szCs w:val="20"/>
          <w:lang w:eastAsia="sl-SI"/>
        </w:rPr>
        <w:t>ta</w:t>
      </w:r>
      <w:r w:rsidR="001021AE" w:rsidRPr="008401DD">
        <w:rPr>
          <w:rFonts w:cs="Arial"/>
          <w:szCs w:val="20"/>
          <w:lang w:eastAsia="sl-SI"/>
        </w:rPr>
        <w:t>:</w:t>
      </w:r>
    </w:p>
    <w:p w14:paraId="068D69C5" w14:textId="720676EF" w:rsidR="009E57DC" w:rsidRPr="008401DD" w:rsidRDefault="009E57DC" w:rsidP="00960E68">
      <w:pPr>
        <w:pStyle w:val="ListParagraph"/>
        <w:numPr>
          <w:ilvl w:val="0"/>
          <w:numId w:val="5"/>
        </w:numPr>
        <w:spacing w:line="276" w:lineRule="auto"/>
        <w:jc w:val="both"/>
        <w:rPr>
          <w:rFonts w:cs="Arial"/>
          <w:szCs w:val="20"/>
          <w:lang w:eastAsia="sl-SI"/>
        </w:rPr>
      </w:pPr>
      <w:r w:rsidRPr="008401DD">
        <w:rPr>
          <w:rFonts w:eastAsia="Times New Roman" w:cs="Calibri"/>
          <w:szCs w:val="24"/>
          <w:lang w:eastAsia="sl-SI"/>
        </w:rPr>
        <w:t>ocena doseganja ciljev projekt</w:t>
      </w:r>
      <w:r w:rsidR="004E5206" w:rsidRPr="008401DD">
        <w:rPr>
          <w:rFonts w:eastAsia="Times New Roman" w:cs="Calibri"/>
          <w:szCs w:val="24"/>
          <w:lang w:eastAsia="sl-SI"/>
        </w:rPr>
        <w:t>a</w:t>
      </w:r>
      <w:r w:rsidRPr="008401DD">
        <w:rPr>
          <w:rFonts w:eastAsia="Times New Roman" w:cs="Calibri"/>
          <w:szCs w:val="24"/>
          <w:lang w:eastAsia="sl-SI"/>
        </w:rPr>
        <w:t xml:space="preserve"> ter rezultatov, učinkov, vplivov in okoliščin izvedbe projekta;</w:t>
      </w:r>
    </w:p>
    <w:p w14:paraId="7A1F6994" w14:textId="4E91D20E" w:rsidR="009E57DC" w:rsidRPr="008401DD" w:rsidRDefault="009E57DC" w:rsidP="00960E68">
      <w:pPr>
        <w:pStyle w:val="ListParagraph"/>
        <w:numPr>
          <w:ilvl w:val="0"/>
          <w:numId w:val="5"/>
        </w:numPr>
        <w:spacing w:line="276" w:lineRule="auto"/>
        <w:jc w:val="both"/>
        <w:rPr>
          <w:rFonts w:eastAsia="Times New Roman" w:cs="Calibri"/>
          <w:szCs w:val="24"/>
          <w:lang w:eastAsia="sl-SI"/>
        </w:rPr>
      </w:pPr>
      <w:r w:rsidRPr="008401DD">
        <w:rPr>
          <w:rFonts w:eastAsia="Times New Roman" w:cs="Calibri"/>
          <w:szCs w:val="24"/>
          <w:lang w:eastAsia="sl-SI"/>
        </w:rPr>
        <w:t xml:space="preserve">priprava priporočil za učinkovitejše upravljanje projektnega cikla tj. načrtovanje in izbor, pripravo, spremljanje in izvedbo projektov </w:t>
      </w:r>
      <w:r w:rsidR="00491E77" w:rsidRPr="008401DD">
        <w:rPr>
          <w:rFonts w:eastAsia="Times New Roman" w:cs="Calibri"/>
          <w:szCs w:val="24"/>
          <w:lang w:eastAsia="sl-SI"/>
        </w:rPr>
        <w:t xml:space="preserve">preko </w:t>
      </w:r>
      <w:r w:rsidRPr="008401DD">
        <w:rPr>
          <w:rFonts w:eastAsia="Times New Roman" w:cs="Calibri"/>
          <w:szCs w:val="24"/>
          <w:lang w:eastAsia="sl-SI"/>
        </w:rPr>
        <w:t>CMSR v prihodnje.</w:t>
      </w:r>
    </w:p>
    <w:p w14:paraId="5C6B2833" w14:textId="77777777" w:rsidR="006B0F9E" w:rsidRPr="008401DD" w:rsidRDefault="006B0F9E" w:rsidP="00960E68">
      <w:pPr>
        <w:spacing w:line="276" w:lineRule="auto"/>
        <w:jc w:val="both"/>
      </w:pPr>
    </w:p>
    <w:p w14:paraId="187435AD" w14:textId="70FF5E15" w:rsidR="00801CC4" w:rsidRPr="008401DD" w:rsidRDefault="00576A74" w:rsidP="00960E68">
      <w:pPr>
        <w:spacing w:line="276" w:lineRule="auto"/>
        <w:jc w:val="both"/>
      </w:pPr>
      <w:r w:rsidRPr="008401DD">
        <w:t>Skladno s smernicami</w:t>
      </w:r>
      <w:r w:rsidR="00D31127" w:rsidRPr="008401DD">
        <w:t xml:space="preserve"> OECD </w:t>
      </w:r>
      <w:r w:rsidR="00C66EB2" w:rsidRPr="008401DD">
        <w:t xml:space="preserve">za </w:t>
      </w:r>
      <w:r w:rsidRPr="008401DD">
        <w:t>evalvacijo</w:t>
      </w:r>
      <w:r w:rsidR="00D31127" w:rsidRPr="008401DD">
        <w:t xml:space="preserve"> </w:t>
      </w:r>
      <w:r w:rsidRPr="008401DD">
        <w:t xml:space="preserve">mednarodnega razvojnega sodelovanja so </w:t>
      </w:r>
      <w:proofErr w:type="spellStart"/>
      <w:r w:rsidRPr="008401DD">
        <w:t>evalvacijska</w:t>
      </w:r>
      <w:proofErr w:type="spellEnd"/>
      <w:r w:rsidRPr="008401DD">
        <w:t xml:space="preserve"> priporočila podlaga za izboljšanje prihodnjih politik, programov in projektov. </w:t>
      </w:r>
      <w:r w:rsidRPr="008401DD">
        <w:rPr>
          <w:szCs w:val="20"/>
        </w:rPr>
        <w:t>Za koordinacijo izvedbe priporočil je kot nosilec politike MRS odgovoren MZZ.</w:t>
      </w:r>
      <w:r w:rsidRPr="008401DD">
        <w:t xml:space="preserve"> </w:t>
      </w:r>
      <w:r w:rsidR="00D31127" w:rsidRPr="008401DD">
        <w:t>MZZ (</w:t>
      </w:r>
      <w:r w:rsidRPr="008401DD">
        <w:t>konkretno,</w:t>
      </w:r>
      <w:r w:rsidR="0066570C" w:rsidRPr="008401DD">
        <w:t xml:space="preserve"> Direktorat za </w:t>
      </w:r>
      <w:proofErr w:type="spellStart"/>
      <w:r w:rsidR="0066570C" w:rsidRPr="008401DD">
        <w:t>multilateralo</w:t>
      </w:r>
      <w:proofErr w:type="spellEnd"/>
      <w:r w:rsidR="0066570C" w:rsidRPr="008401DD">
        <w:t xml:space="preserve"> in </w:t>
      </w:r>
      <w:r w:rsidR="00D31127" w:rsidRPr="008401DD">
        <w:lastRenderedPageBreak/>
        <w:t xml:space="preserve">razvojno sodelovanje) je prav tako odgovorno za izvedbo priporočil, ki se nanašajo na </w:t>
      </w:r>
      <w:r w:rsidR="00344481" w:rsidRPr="008401DD">
        <w:t>njegove pristojnosti in delovne naloge.</w:t>
      </w:r>
      <w:r w:rsidR="00862B9F" w:rsidRPr="008401DD">
        <w:t xml:space="preserve"> </w:t>
      </w:r>
    </w:p>
    <w:p w14:paraId="0FC94BD6" w14:textId="77777777" w:rsidR="006B0F9E" w:rsidRPr="008401DD" w:rsidRDefault="006B0F9E" w:rsidP="00960E68">
      <w:pPr>
        <w:spacing w:line="276" w:lineRule="auto"/>
        <w:jc w:val="both"/>
      </w:pPr>
    </w:p>
    <w:p w14:paraId="3D3BE90B" w14:textId="77777777" w:rsidR="00801CC4" w:rsidRPr="008401DD" w:rsidRDefault="00443387" w:rsidP="00960E68">
      <w:pPr>
        <w:pStyle w:val="Heading2"/>
        <w:spacing w:before="0" w:after="0"/>
      </w:pPr>
      <w:bookmarkStart w:id="26" w:name="_Toc52394915"/>
      <w:bookmarkStart w:id="27" w:name="_Toc56088889"/>
      <w:bookmarkStart w:id="28" w:name="_Toc56112183"/>
      <w:bookmarkStart w:id="29" w:name="_Toc57377160"/>
      <w:r w:rsidRPr="008401DD">
        <w:t xml:space="preserve">Struktura </w:t>
      </w:r>
      <w:r w:rsidR="00C66EB2" w:rsidRPr="008401DD">
        <w:t>poročila in postopek evalvacije</w:t>
      </w:r>
      <w:bookmarkEnd w:id="26"/>
      <w:bookmarkEnd w:id="27"/>
      <w:bookmarkEnd w:id="28"/>
      <w:bookmarkEnd w:id="29"/>
    </w:p>
    <w:p w14:paraId="604C5C27" w14:textId="77777777" w:rsidR="006F317B" w:rsidRDefault="006F317B" w:rsidP="00960E68">
      <w:pPr>
        <w:spacing w:line="276" w:lineRule="auto"/>
        <w:jc w:val="both"/>
      </w:pPr>
    </w:p>
    <w:p w14:paraId="3E681181" w14:textId="4D7A9312" w:rsidR="00801CC4" w:rsidRPr="008401DD" w:rsidRDefault="00443387" w:rsidP="00960E68">
      <w:pPr>
        <w:spacing w:line="276" w:lineRule="auto"/>
        <w:jc w:val="both"/>
      </w:pPr>
      <w:r w:rsidRPr="008401DD">
        <w:t xml:space="preserve">Poročilo je sestavljeno iz štirih ključnih delov. </w:t>
      </w:r>
      <w:r w:rsidR="00D731F0" w:rsidRPr="008401DD">
        <w:t>Četrto</w:t>
      </w:r>
      <w:r w:rsidRPr="008401DD">
        <w:t xml:space="preserve"> poglavje določa </w:t>
      </w:r>
      <w:r w:rsidR="00062D72" w:rsidRPr="008401DD">
        <w:t>okoliščine</w:t>
      </w:r>
      <w:r w:rsidRPr="008401DD">
        <w:t xml:space="preserve"> izvajanja projekta, ki zajema pregled </w:t>
      </w:r>
      <w:r w:rsidR="00062D72" w:rsidRPr="008401DD">
        <w:t>javno-političnega konteksta</w:t>
      </w:r>
      <w:r w:rsidRPr="008401DD">
        <w:t xml:space="preserve"> </w:t>
      </w:r>
      <w:r w:rsidR="004D2DC1" w:rsidRPr="008401DD">
        <w:t>Slovenije</w:t>
      </w:r>
      <w:r w:rsidRPr="008401DD">
        <w:t xml:space="preserve">, </w:t>
      </w:r>
      <w:r w:rsidR="004D2DC1" w:rsidRPr="008401DD">
        <w:t xml:space="preserve">političnega </w:t>
      </w:r>
      <w:r w:rsidR="00062D72" w:rsidRPr="008401DD">
        <w:t>konteksta</w:t>
      </w:r>
      <w:r w:rsidR="00384CE3" w:rsidRPr="008401DD">
        <w:t xml:space="preserve"> </w:t>
      </w:r>
      <w:r w:rsidR="00195DA1" w:rsidRPr="008401DD">
        <w:t>Severne Makedonije</w:t>
      </w:r>
      <w:r w:rsidR="00384CE3" w:rsidRPr="008401DD">
        <w:t xml:space="preserve"> in prisotnost</w:t>
      </w:r>
      <w:r w:rsidR="00062D72" w:rsidRPr="008401DD">
        <w:t xml:space="preserve"> drugih donatorjev</w:t>
      </w:r>
      <w:r w:rsidR="00384CE3" w:rsidRPr="008401DD">
        <w:t>, ter</w:t>
      </w:r>
      <w:r w:rsidRPr="008401DD">
        <w:t xml:space="preserve"> </w:t>
      </w:r>
      <w:r w:rsidR="00062D72" w:rsidRPr="008401DD">
        <w:t>opis projektov, ki so predmet evalvacije</w:t>
      </w:r>
      <w:r w:rsidRPr="008401DD">
        <w:t xml:space="preserve">. </w:t>
      </w:r>
      <w:r w:rsidR="00D731F0" w:rsidRPr="008401DD">
        <w:t>Peto</w:t>
      </w:r>
      <w:r w:rsidR="00743AEF" w:rsidRPr="008401DD">
        <w:t xml:space="preserve"> poglavje </w:t>
      </w:r>
      <w:r w:rsidR="008860EE" w:rsidRPr="008401DD">
        <w:t>opredeljuje</w:t>
      </w:r>
      <w:r w:rsidR="009F61C3" w:rsidRPr="008401DD">
        <w:t xml:space="preserve"> podrobnosti programa</w:t>
      </w:r>
      <w:r w:rsidR="00C66EB2" w:rsidRPr="008401DD">
        <w:t xml:space="preserve"> evalvacije</w:t>
      </w:r>
      <w:r w:rsidR="00743AEF" w:rsidRPr="008401DD">
        <w:t xml:space="preserve"> kot tudi metodologi</w:t>
      </w:r>
      <w:r w:rsidR="00C66EB2" w:rsidRPr="008401DD">
        <w:t>jo evalvacije</w:t>
      </w:r>
      <w:r w:rsidR="009F61C3" w:rsidRPr="008401DD">
        <w:t xml:space="preserve">, </w:t>
      </w:r>
      <w:r w:rsidR="008860EE" w:rsidRPr="008401DD">
        <w:t>ki je utemeljena n</w:t>
      </w:r>
      <w:r w:rsidR="0010702C" w:rsidRPr="008401DD">
        <w:t>a</w:t>
      </w:r>
      <w:r w:rsidR="008860EE" w:rsidRPr="008401DD">
        <w:t xml:space="preserve"> </w:t>
      </w:r>
      <w:r w:rsidR="00082F3A" w:rsidRPr="008401DD">
        <w:t xml:space="preserve">posodobljenih </w:t>
      </w:r>
      <w:proofErr w:type="spellStart"/>
      <w:r w:rsidR="00082F3A" w:rsidRPr="008401DD">
        <w:t>evalvacijskih</w:t>
      </w:r>
      <w:proofErr w:type="spellEnd"/>
      <w:r w:rsidR="00082F3A" w:rsidRPr="008401DD">
        <w:t xml:space="preserve"> kriterijih Odbora OECD za razvojno pomoč.</w:t>
      </w:r>
      <w:r w:rsidR="00743AEF" w:rsidRPr="008401DD">
        <w:t xml:space="preserve"> </w:t>
      </w:r>
      <w:r w:rsidR="008860EE" w:rsidRPr="008401DD">
        <w:t xml:space="preserve">V </w:t>
      </w:r>
      <w:r w:rsidR="00D731F0" w:rsidRPr="008401DD">
        <w:t>petem</w:t>
      </w:r>
      <w:r w:rsidR="008860EE" w:rsidRPr="008401DD">
        <w:t xml:space="preserve"> poglavju je</w:t>
      </w:r>
      <w:r w:rsidR="00743AEF" w:rsidRPr="008401DD">
        <w:t xml:space="preserve"> nato </w:t>
      </w:r>
      <w:r w:rsidR="008860EE" w:rsidRPr="008401DD">
        <w:t>podana ocena</w:t>
      </w:r>
      <w:r w:rsidR="00743AEF" w:rsidRPr="008401DD">
        <w:t xml:space="preserve"> </w:t>
      </w:r>
      <w:r w:rsidR="008860EE" w:rsidRPr="008401DD">
        <w:t>intervencijske logike,</w:t>
      </w:r>
      <w:r w:rsidR="00743AEF" w:rsidRPr="008401DD">
        <w:t xml:space="preserve"> </w:t>
      </w:r>
      <w:r w:rsidR="008860EE" w:rsidRPr="008401DD">
        <w:t>tj. notranje</w:t>
      </w:r>
      <w:r w:rsidR="00743AEF" w:rsidRPr="008401DD">
        <w:t xml:space="preserve"> in </w:t>
      </w:r>
      <w:r w:rsidR="008860EE" w:rsidRPr="008401DD">
        <w:t>zunanje usklajenosti</w:t>
      </w:r>
      <w:r w:rsidR="00743AEF" w:rsidRPr="008401DD">
        <w:t xml:space="preserve"> ciljev slovenskega razvojnega sodelovanja in aktivnosti </w:t>
      </w:r>
      <w:r w:rsidR="00195DA1" w:rsidRPr="008401DD">
        <w:t>v Severni Makedoniji</w:t>
      </w:r>
      <w:r w:rsidR="00743AEF" w:rsidRPr="008401DD">
        <w:t xml:space="preserve">. </w:t>
      </w:r>
      <w:r w:rsidR="008860EE" w:rsidRPr="008401DD">
        <w:t>S</w:t>
      </w:r>
      <w:r w:rsidR="00743AEF" w:rsidRPr="008401DD">
        <w:t xml:space="preserve">ledi podrobna </w:t>
      </w:r>
      <w:r w:rsidR="008860EE" w:rsidRPr="008401DD">
        <w:t>razčlenitev uporabljenih</w:t>
      </w:r>
      <w:r w:rsidR="00743AEF" w:rsidRPr="008401DD">
        <w:t xml:space="preserve"> metod, </w:t>
      </w:r>
      <w:r w:rsidR="008860EE" w:rsidRPr="008401DD">
        <w:t>kazalnikov</w:t>
      </w:r>
      <w:r w:rsidR="00743AEF" w:rsidRPr="008401DD">
        <w:t xml:space="preserve"> in </w:t>
      </w:r>
      <w:r w:rsidR="004D2DC1" w:rsidRPr="008401DD">
        <w:t>virov</w:t>
      </w:r>
      <w:r w:rsidR="008860EE" w:rsidRPr="008401DD">
        <w:t xml:space="preserve"> podatkov na podlagi meril in </w:t>
      </w:r>
      <w:proofErr w:type="spellStart"/>
      <w:r w:rsidR="008860EE" w:rsidRPr="008401DD">
        <w:t>evalvacijskih</w:t>
      </w:r>
      <w:proofErr w:type="spellEnd"/>
      <w:r w:rsidR="008860EE" w:rsidRPr="008401DD">
        <w:t xml:space="preserve"> vprašanj, ki jih je opredelil naročnik (MZZ). </w:t>
      </w:r>
      <w:r w:rsidR="00743AEF" w:rsidRPr="008401DD">
        <w:t>Na podlagi</w:t>
      </w:r>
      <w:r w:rsidR="00C40D28" w:rsidRPr="008401DD">
        <w:t xml:space="preserve"> zbranih in analiziranih podatkov</w:t>
      </w:r>
      <w:r w:rsidR="00743AEF" w:rsidRPr="008401DD">
        <w:t xml:space="preserve">, </w:t>
      </w:r>
      <w:r w:rsidR="008860EE" w:rsidRPr="008401DD">
        <w:t xml:space="preserve">so v </w:t>
      </w:r>
      <w:r w:rsidR="00D731F0" w:rsidRPr="008401DD">
        <w:t>šestem</w:t>
      </w:r>
      <w:r w:rsidR="008860EE" w:rsidRPr="008401DD">
        <w:t xml:space="preserve"> poglavju povzete ključne ugotovitve in sklepi evalvacije (tj. podani so odgovori na </w:t>
      </w:r>
      <w:proofErr w:type="spellStart"/>
      <w:r w:rsidR="008860EE" w:rsidRPr="008401DD">
        <w:t>evalvacijska</w:t>
      </w:r>
      <w:proofErr w:type="spellEnd"/>
      <w:r w:rsidR="008860EE" w:rsidRPr="008401DD">
        <w:t xml:space="preserve"> vprašanja)</w:t>
      </w:r>
      <w:r w:rsidR="003C033B" w:rsidRPr="008401DD">
        <w:t xml:space="preserve">. </w:t>
      </w:r>
      <w:r w:rsidR="008860EE" w:rsidRPr="008401DD">
        <w:t>V sedmem</w:t>
      </w:r>
      <w:r w:rsidR="003D59B1" w:rsidRPr="008401DD">
        <w:t xml:space="preserve"> in devetem</w:t>
      </w:r>
      <w:r w:rsidR="00D731F0" w:rsidRPr="008401DD">
        <w:t xml:space="preserve"> </w:t>
      </w:r>
      <w:r w:rsidR="003D59B1" w:rsidRPr="008401DD">
        <w:t>poglavju</w:t>
      </w:r>
      <w:r w:rsidR="008860EE" w:rsidRPr="008401DD">
        <w:t xml:space="preserve"> so predstavljen</w:t>
      </w:r>
      <w:r w:rsidR="004F2611" w:rsidRPr="008401DD">
        <w:t>e ugotovitve in priporočila</w:t>
      </w:r>
      <w:r w:rsidR="003C033B" w:rsidRPr="008401DD">
        <w:t xml:space="preserve"> </w:t>
      </w:r>
      <w:r w:rsidR="004F2611" w:rsidRPr="008401DD">
        <w:t xml:space="preserve">ter </w:t>
      </w:r>
      <w:r w:rsidR="008860EE" w:rsidRPr="008401DD">
        <w:t xml:space="preserve">spoznanja </w:t>
      </w:r>
      <w:proofErr w:type="spellStart"/>
      <w:r w:rsidR="008860EE" w:rsidRPr="008401DD">
        <w:t>evalvatorja</w:t>
      </w:r>
      <w:proofErr w:type="spellEnd"/>
      <w:r w:rsidR="003C033B" w:rsidRPr="008401DD">
        <w:t xml:space="preserve">. </w:t>
      </w:r>
      <w:r w:rsidR="00801CC4" w:rsidRPr="008401DD">
        <w:rPr>
          <w:rFonts w:cs="Arial"/>
        </w:rPr>
        <w:br w:type="page"/>
      </w:r>
    </w:p>
    <w:p w14:paraId="397458C8" w14:textId="4DE128F7" w:rsidR="00801CC4" w:rsidRDefault="00103350" w:rsidP="00960E68">
      <w:pPr>
        <w:pStyle w:val="Heading1"/>
        <w:spacing w:line="276" w:lineRule="auto"/>
      </w:pPr>
      <w:bookmarkStart w:id="30" w:name="_Toc52394916"/>
      <w:bookmarkStart w:id="31" w:name="_Toc56088890"/>
      <w:bookmarkStart w:id="32" w:name="_Toc56112184"/>
      <w:bookmarkStart w:id="33" w:name="_Toc57377161"/>
      <w:r w:rsidRPr="008401DD">
        <w:lastRenderedPageBreak/>
        <w:t>Okoliščine izvajanja</w:t>
      </w:r>
      <w:bookmarkEnd w:id="30"/>
      <w:bookmarkEnd w:id="31"/>
      <w:bookmarkEnd w:id="32"/>
      <w:bookmarkEnd w:id="33"/>
    </w:p>
    <w:p w14:paraId="51ED7634" w14:textId="77777777" w:rsidR="006F317B" w:rsidRPr="006F317B" w:rsidRDefault="006F317B" w:rsidP="006F317B"/>
    <w:p w14:paraId="3F7EBF1B" w14:textId="77777777" w:rsidR="00801CC4" w:rsidRPr="008401DD" w:rsidRDefault="00103350" w:rsidP="00960E68">
      <w:pPr>
        <w:pStyle w:val="Heading2"/>
        <w:spacing w:before="0" w:after="0"/>
      </w:pPr>
      <w:bookmarkStart w:id="34" w:name="_Toc52394917"/>
      <w:bookmarkStart w:id="35" w:name="_Toc56088891"/>
      <w:bookmarkStart w:id="36" w:name="_Toc56112185"/>
      <w:bookmarkStart w:id="37" w:name="_Toc57377162"/>
      <w:r w:rsidRPr="008401DD">
        <w:t>Javno-politični kontekst v Sloveniji</w:t>
      </w:r>
      <w:bookmarkEnd w:id="34"/>
      <w:bookmarkEnd w:id="35"/>
      <w:bookmarkEnd w:id="36"/>
      <w:bookmarkEnd w:id="37"/>
    </w:p>
    <w:p w14:paraId="153CA753" w14:textId="77777777" w:rsidR="006F317B" w:rsidRDefault="006F317B" w:rsidP="00960E68">
      <w:pPr>
        <w:spacing w:line="276" w:lineRule="auto"/>
        <w:jc w:val="both"/>
        <w:rPr>
          <w:szCs w:val="20"/>
        </w:rPr>
      </w:pPr>
    </w:p>
    <w:p w14:paraId="7C764F76" w14:textId="7E6C210B" w:rsidR="00DF7286" w:rsidRPr="008401DD" w:rsidRDefault="00DF7286" w:rsidP="00960E68">
      <w:pPr>
        <w:spacing w:line="276" w:lineRule="auto"/>
        <w:jc w:val="both"/>
        <w:rPr>
          <w:szCs w:val="20"/>
        </w:rPr>
      </w:pPr>
      <w:r w:rsidRPr="008401DD">
        <w:rPr>
          <w:szCs w:val="20"/>
        </w:rPr>
        <w:t>V skladu z Zakonom o mednarodnem razvojnem sodelovanju</w:t>
      </w:r>
      <w:r w:rsidR="00C40D28" w:rsidRPr="008401DD">
        <w:rPr>
          <w:szCs w:val="20"/>
        </w:rPr>
        <w:t xml:space="preserve"> </w:t>
      </w:r>
      <w:r w:rsidR="00A0317C" w:rsidRPr="008401DD">
        <w:rPr>
          <w:szCs w:val="20"/>
        </w:rPr>
        <w:t xml:space="preserve">in humanitarni pomoči </w:t>
      </w:r>
      <w:r w:rsidR="00C40D28" w:rsidRPr="008401DD">
        <w:rPr>
          <w:szCs w:val="20"/>
        </w:rPr>
        <w:t>Republike Slovenije (</w:t>
      </w:r>
      <w:r w:rsidR="00A0317C" w:rsidRPr="008401DD">
        <w:rPr>
          <w:szCs w:val="20"/>
        </w:rPr>
        <w:t>ZMRSHP</w:t>
      </w:r>
      <w:r w:rsidR="00C40D28" w:rsidRPr="008401DD">
        <w:rPr>
          <w:szCs w:val="20"/>
        </w:rPr>
        <w:t>)</w:t>
      </w:r>
      <w:r w:rsidR="00C40D28" w:rsidRPr="008401DD">
        <w:rPr>
          <w:rStyle w:val="FootnoteReference"/>
          <w:szCs w:val="20"/>
        </w:rPr>
        <w:footnoteReference w:id="5"/>
      </w:r>
      <w:r w:rsidRPr="008401DD">
        <w:rPr>
          <w:szCs w:val="20"/>
        </w:rPr>
        <w:t xml:space="preserve"> MZZ koordinira slovensko politiko </w:t>
      </w:r>
      <w:r w:rsidR="002B1FBD" w:rsidRPr="008401DD">
        <w:rPr>
          <w:szCs w:val="20"/>
        </w:rPr>
        <w:t xml:space="preserve">mednarodnega </w:t>
      </w:r>
      <w:r w:rsidRPr="008401DD">
        <w:rPr>
          <w:szCs w:val="20"/>
        </w:rPr>
        <w:t>razvojnega sodelovanja, kar obsega tako načrtovanje politike, kot tudi njeno izvedbo, koordinacijo in spremljanje.</w:t>
      </w:r>
    </w:p>
    <w:p w14:paraId="16D312E1" w14:textId="77777777" w:rsidR="006B0F9E" w:rsidRPr="008401DD" w:rsidRDefault="006B0F9E" w:rsidP="00960E68">
      <w:pPr>
        <w:spacing w:line="276" w:lineRule="auto"/>
        <w:jc w:val="both"/>
        <w:rPr>
          <w:szCs w:val="20"/>
        </w:rPr>
      </w:pPr>
    </w:p>
    <w:p w14:paraId="0737C957" w14:textId="0A7391BC" w:rsidR="0010645D" w:rsidRPr="008401DD" w:rsidRDefault="00DF7286" w:rsidP="00960E68">
      <w:pPr>
        <w:spacing w:line="276" w:lineRule="auto"/>
        <w:jc w:val="both"/>
        <w:rPr>
          <w:szCs w:val="20"/>
        </w:rPr>
      </w:pPr>
      <w:r w:rsidRPr="008401DD">
        <w:rPr>
          <w:szCs w:val="20"/>
        </w:rPr>
        <w:t xml:space="preserve">Projekti </w:t>
      </w:r>
      <w:r w:rsidR="00A0317C" w:rsidRPr="008401DD">
        <w:rPr>
          <w:szCs w:val="20"/>
        </w:rPr>
        <w:t xml:space="preserve">izgradnje vodne infrastrukture v občini </w:t>
      </w:r>
      <w:proofErr w:type="spellStart"/>
      <w:r w:rsidR="00A0317C" w:rsidRPr="008401DD">
        <w:rPr>
          <w:szCs w:val="20"/>
        </w:rPr>
        <w:t>Probištip</w:t>
      </w:r>
      <w:proofErr w:type="spellEnd"/>
      <w:r w:rsidR="00A0317C" w:rsidRPr="008401DD">
        <w:rPr>
          <w:szCs w:val="20"/>
        </w:rPr>
        <w:t xml:space="preserve"> v Severni Makedoniji</w:t>
      </w:r>
      <w:r w:rsidRPr="008401DD">
        <w:rPr>
          <w:szCs w:val="20"/>
        </w:rPr>
        <w:t>, ki so bili izveden</w:t>
      </w:r>
      <w:r w:rsidR="00C40D28" w:rsidRPr="008401DD">
        <w:rPr>
          <w:szCs w:val="20"/>
        </w:rPr>
        <w:t>i v okviru</w:t>
      </w:r>
      <w:r w:rsidR="00862B9F" w:rsidRPr="008401DD">
        <w:rPr>
          <w:szCs w:val="20"/>
        </w:rPr>
        <w:t xml:space="preserve"> </w:t>
      </w:r>
      <w:r w:rsidR="00C40D28" w:rsidRPr="008401DD">
        <w:rPr>
          <w:szCs w:val="20"/>
        </w:rPr>
        <w:t>slovenske razvojne</w:t>
      </w:r>
      <w:r w:rsidRPr="008401DD">
        <w:rPr>
          <w:szCs w:val="20"/>
        </w:rPr>
        <w:t xml:space="preserve"> pomoč</w:t>
      </w:r>
      <w:r w:rsidR="00C40D28" w:rsidRPr="008401DD">
        <w:rPr>
          <w:szCs w:val="20"/>
        </w:rPr>
        <w:t>i</w:t>
      </w:r>
      <w:r w:rsidRPr="008401DD">
        <w:rPr>
          <w:szCs w:val="20"/>
        </w:rPr>
        <w:t xml:space="preserve">, temeljijo na </w:t>
      </w:r>
      <w:r w:rsidR="00C40D28" w:rsidRPr="008401DD">
        <w:rPr>
          <w:szCs w:val="20"/>
        </w:rPr>
        <w:t xml:space="preserve">Sporazumu. </w:t>
      </w:r>
      <w:r w:rsidRPr="008401DD">
        <w:rPr>
          <w:szCs w:val="20"/>
        </w:rPr>
        <w:t xml:space="preserve">Temeljni </w:t>
      </w:r>
      <w:r w:rsidR="00C40D28" w:rsidRPr="008401DD">
        <w:rPr>
          <w:szCs w:val="20"/>
        </w:rPr>
        <w:t>dokumenti, ki urejajo slovenski MRS</w:t>
      </w:r>
      <w:r w:rsidRPr="008401DD">
        <w:rPr>
          <w:szCs w:val="20"/>
        </w:rPr>
        <w:t xml:space="preserve"> so (po vrsti od najbolj splošnega do najbolj </w:t>
      </w:r>
      <w:r w:rsidR="00C40D28" w:rsidRPr="008401DD">
        <w:rPr>
          <w:szCs w:val="20"/>
        </w:rPr>
        <w:t>osredotočenega</w:t>
      </w:r>
      <w:r w:rsidRPr="008401DD">
        <w:rPr>
          <w:szCs w:val="20"/>
        </w:rPr>
        <w:t>): Deklaracija o zunanji politiki Republike Slovenije; Strategija zunanje politike Republike Slovenije; Zakon o mednarodnem razvojnem sodelovanju</w:t>
      </w:r>
      <w:r w:rsidR="00A0317C" w:rsidRPr="008401DD">
        <w:rPr>
          <w:szCs w:val="20"/>
        </w:rPr>
        <w:t xml:space="preserve"> in humanitarni pomoči Republike Slovenije</w:t>
      </w:r>
      <w:r w:rsidRPr="008401DD">
        <w:rPr>
          <w:szCs w:val="20"/>
        </w:rPr>
        <w:t>;</w:t>
      </w:r>
      <w:r w:rsidR="009200F2" w:rsidRPr="008401DD">
        <w:t xml:space="preserve"> </w:t>
      </w:r>
      <w:r w:rsidR="009200F2" w:rsidRPr="008401DD">
        <w:rPr>
          <w:szCs w:val="20"/>
        </w:rPr>
        <w:t>Uredba o izvajanju mednarodnega razvojnega sodelovanja in humanitarne po</w:t>
      </w:r>
      <w:r w:rsidR="005F55D6" w:rsidRPr="008401DD">
        <w:rPr>
          <w:szCs w:val="20"/>
        </w:rPr>
        <w:t>m</w:t>
      </w:r>
      <w:r w:rsidR="009200F2" w:rsidRPr="008401DD">
        <w:rPr>
          <w:szCs w:val="20"/>
        </w:rPr>
        <w:t>oči Republike Slovenije;</w:t>
      </w:r>
      <w:r w:rsidRPr="008401DD">
        <w:rPr>
          <w:szCs w:val="20"/>
        </w:rPr>
        <w:t xml:space="preserve"> </w:t>
      </w:r>
      <w:r w:rsidR="00A0317C" w:rsidRPr="008401DD">
        <w:rPr>
          <w:szCs w:val="20"/>
        </w:rPr>
        <w:t>Resolucija o mednarodnem razvojnem sodelovanju in humanitarni pomoči Republike Slovenije (</w:t>
      </w:r>
      <w:proofErr w:type="spellStart"/>
      <w:r w:rsidR="00A0317C" w:rsidRPr="008401DD">
        <w:rPr>
          <w:szCs w:val="20"/>
        </w:rPr>
        <w:t>ReMRSHP</w:t>
      </w:r>
      <w:proofErr w:type="spellEnd"/>
      <w:r w:rsidR="00A0317C" w:rsidRPr="008401DD">
        <w:rPr>
          <w:szCs w:val="20"/>
        </w:rPr>
        <w:t>)</w:t>
      </w:r>
      <w:r w:rsidRPr="008401DD">
        <w:rPr>
          <w:szCs w:val="20"/>
        </w:rPr>
        <w:t>;</w:t>
      </w:r>
      <w:r w:rsidR="009A1007" w:rsidRPr="008401DD">
        <w:t xml:space="preserve"> </w:t>
      </w:r>
      <w:r w:rsidR="009A1007" w:rsidRPr="008401DD">
        <w:rPr>
          <w:szCs w:val="20"/>
        </w:rPr>
        <w:t>Strategija mednarodnega razvojnega sodelovanja in humanitarne pomoči Republike Slovenije do leta 2030;</w:t>
      </w:r>
      <w:r w:rsidR="00B32C95" w:rsidRPr="008401DD">
        <w:rPr>
          <w:szCs w:val="20"/>
        </w:rPr>
        <w:t xml:space="preserve"> </w:t>
      </w:r>
      <w:r w:rsidRPr="008401DD">
        <w:rPr>
          <w:szCs w:val="20"/>
        </w:rPr>
        <w:t>Okvirni program mednarodnega razvojnega sodelovanja in humanitarne pomoči Republike Slovenije za obdob</w:t>
      </w:r>
      <w:r w:rsidR="0010645D" w:rsidRPr="008401DD">
        <w:rPr>
          <w:szCs w:val="20"/>
        </w:rPr>
        <w:t xml:space="preserve">je 2013 do 2015 in 2016 do 2019; </w:t>
      </w:r>
      <w:r w:rsidR="0010645D" w:rsidRPr="008401DD">
        <w:t xml:space="preserve">Sporazum med </w:t>
      </w:r>
      <w:r w:rsidR="00EE0970" w:rsidRPr="008401DD">
        <w:t>V</w:t>
      </w:r>
      <w:r w:rsidR="0010645D" w:rsidRPr="008401DD">
        <w:t xml:space="preserve">lado Republike Slovenije in </w:t>
      </w:r>
      <w:r w:rsidR="00EE0970" w:rsidRPr="008401DD">
        <w:t>V</w:t>
      </w:r>
      <w:r w:rsidR="0010645D" w:rsidRPr="008401DD">
        <w:t xml:space="preserve">lado </w:t>
      </w:r>
      <w:r w:rsidR="00627CD3" w:rsidRPr="008401DD">
        <w:t xml:space="preserve">Severne </w:t>
      </w:r>
      <w:r w:rsidR="0010645D" w:rsidRPr="008401DD">
        <w:t>Makedonije o razvojnem sodelovanju</w:t>
      </w:r>
      <w:r w:rsidR="00472E98" w:rsidRPr="008401DD">
        <w:t xml:space="preserve">, </w:t>
      </w:r>
      <w:r w:rsidR="00472E98" w:rsidRPr="008401DD">
        <w:rPr>
          <w:szCs w:val="20"/>
        </w:rPr>
        <w:t xml:space="preserve">Memorandum o mednarodnem razvojnem sodelovanju med </w:t>
      </w:r>
      <w:r w:rsidR="00EE0970" w:rsidRPr="008401DD">
        <w:rPr>
          <w:szCs w:val="20"/>
        </w:rPr>
        <w:t>V</w:t>
      </w:r>
      <w:r w:rsidR="00472E98" w:rsidRPr="008401DD">
        <w:rPr>
          <w:szCs w:val="20"/>
        </w:rPr>
        <w:t xml:space="preserve">lado Republike Slovenije in </w:t>
      </w:r>
      <w:r w:rsidR="00EE0970" w:rsidRPr="008401DD">
        <w:rPr>
          <w:szCs w:val="20"/>
        </w:rPr>
        <w:t>V</w:t>
      </w:r>
      <w:r w:rsidR="00472E98" w:rsidRPr="008401DD">
        <w:rPr>
          <w:szCs w:val="20"/>
        </w:rPr>
        <w:t>lado</w:t>
      </w:r>
      <w:r w:rsidR="00EE0970" w:rsidRPr="008401DD">
        <w:rPr>
          <w:szCs w:val="20"/>
        </w:rPr>
        <w:t xml:space="preserve"> </w:t>
      </w:r>
      <w:r w:rsidR="00627CD3" w:rsidRPr="008401DD">
        <w:rPr>
          <w:szCs w:val="20"/>
        </w:rPr>
        <w:t xml:space="preserve">Severne </w:t>
      </w:r>
      <w:r w:rsidR="00472E98" w:rsidRPr="008401DD">
        <w:rPr>
          <w:szCs w:val="20"/>
        </w:rPr>
        <w:t>Makedonije v letu 2012 (ne velja več)</w:t>
      </w:r>
      <w:r w:rsidR="0010645D" w:rsidRPr="008401DD">
        <w:rPr>
          <w:szCs w:val="20"/>
        </w:rPr>
        <w:t>.</w:t>
      </w:r>
      <w:r w:rsidRPr="008401DD">
        <w:rPr>
          <w:szCs w:val="20"/>
        </w:rPr>
        <w:t xml:space="preserve"> Navedeni dokumenti stremijo k usklajenemu, konkretnemu in ciljno usmerjenemu državnemu pristopu do razvojnega sodelovanja, ki je v skladu z usmeritvami nacionalnega gospodarskega in družbenega napredka in prioritetami zunanje politike (za oceno zunanje skladnosti projektov, ki so predmet evalvacije, </w:t>
      </w:r>
      <w:r w:rsidR="00B56F83" w:rsidRPr="008401DD">
        <w:rPr>
          <w:szCs w:val="20"/>
        </w:rPr>
        <w:t>gledati</w:t>
      </w:r>
      <w:r w:rsidRPr="008401DD">
        <w:rPr>
          <w:szCs w:val="20"/>
        </w:rPr>
        <w:t xml:space="preserve"> poglavje </w:t>
      </w:r>
      <w:r w:rsidR="00D731F0" w:rsidRPr="008401DD">
        <w:rPr>
          <w:szCs w:val="20"/>
        </w:rPr>
        <w:t>5</w:t>
      </w:r>
      <w:r w:rsidR="00CC2213" w:rsidRPr="008401DD">
        <w:rPr>
          <w:szCs w:val="20"/>
        </w:rPr>
        <w:t>.1</w:t>
      </w:r>
      <w:r w:rsidRPr="008401DD">
        <w:rPr>
          <w:szCs w:val="20"/>
        </w:rPr>
        <w:t>.2).</w:t>
      </w:r>
      <w:r w:rsidR="00B32C95" w:rsidRPr="008401DD">
        <w:rPr>
          <w:szCs w:val="20"/>
        </w:rPr>
        <w:t xml:space="preserve"> </w:t>
      </w:r>
      <w:r w:rsidR="008C5AAC" w:rsidRPr="008401DD">
        <w:rPr>
          <w:szCs w:val="20"/>
        </w:rPr>
        <w:t>Povzetek ključnih informacij o posameznih dokumentih</w:t>
      </w:r>
      <w:r w:rsidR="00B32C95" w:rsidRPr="008401DD">
        <w:rPr>
          <w:szCs w:val="20"/>
        </w:rPr>
        <w:t xml:space="preserve"> je mogoče razbrati iz spodnje tabele.</w:t>
      </w:r>
    </w:p>
    <w:p w14:paraId="0712272B" w14:textId="77777777" w:rsidR="004B2376" w:rsidRPr="008401DD" w:rsidRDefault="004B2376" w:rsidP="00960E68">
      <w:pPr>
        <w:spacing w:line="276" w:lineRule="auto"/>
        <w:jc w:val="both"/>
        <w:rPr>
          <w:color w:val="FF0000"/>
          <w:szCs w:val="20"/>
        </w:rPr>
      </w:pPr>
    </w:p>
    <w:p w14:paraId="568B6766" w14:textId="5672940D" w:rsidR="00677C69" w:rsidRPr="008401DD" w:rsidRDefault="00677C69" w:rsidP="00960E68">
      <w:pPr>
        <w:pStyle w:val="Caption"/>
        <w:keepNext/>
        <w:spacing w:after="0"/>
      </w:pPr>
      <w:bookmarkStart w:id="38" w:name="_Toc56779394"/>
      <w:r w:rsidRPr="008401DD">
        <w:t xml:space="preserve">Tabela </w:t>
      </w:r>
      <w:r w:rsidRPr="008401DD">
        <w:fldChar w:fldCharType="begin"/>
      </w:r>
      <w:r w:rsidRPr="008401DD">
        <w:instrText xml:space="preserve"> SEQ Tabela \* ARABIC </w:instrText>
      </w:r>
      <w:r w:rsidRPr="008401DD">
        <w:fldChar w:fldCharType="separate"/>
      </w:r>
      <w:r w:rsidR="00F67E80">
        <w:rPr>
          <w:noProof/>
        </w:rPr>
        <w:t>1</w:t>
      </w:r>
      <w:r w:rsidRPr="008401DD">
        <w:fldChar w:fldCharType="end"/>
      </w:r>
      <w:r w:rsidRPr="008401DD">
        <w:t xml:space="preserve"> Pregled temeljnih dokumentov ki urejajo MRS v Sloveniji</w:t>
      </w:r>
      <w:bookmarkEnd w:id="38"/>
    </w:p>
    <w:tbl>
      <w:tblPr>
        <w:tblStyle w:val="GridTable1Light"/>
        <w:tblW w:w="0" w:type="auto"/>
        <w:tblLook w:val="04A0" w:firstRow="1" w:lastRow="0" w:firstColumn="1" w:lastColumn="0" w:noHBand="0" w:noVBand="1"/>
      </w:tblPr>
      <w:tblGrid>
        <w:gridCol w:w="1980"/>
        <w:gridCol w:w="1134"/>
        <w:gridCol w:w="3898"/>
        <w:gridCol w:w="2338"/>
      </w:tblGrid>
      <w:tr w:rsidR="00F15908" w:rsidRPr="008401DD" w14:paraId="737A903A" w14:textId="77777777" w:rsidTr="00615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43A36A"/>
          </w:tcPr>
          <w:p w14:paraId="0233B92B" w14:textId="77777777" w:rsidR="0010645D" w:rsidRPr="008401DD" w:rsidRDefault="0010645D" w:rsidP="00960E68">
            <w:pPr>
              <w:spacing w:line="276" w:lineRule="auto"/>
              <w:jc w:val="both"/>
              <w:rPr>
                <w:color w:val="FFFFFF" w:themeColor="background1"/>
                <w:sz w:val="18"/>
                <w:szCs w:val="20"/>
              </w:rPr>
            </w:pPr>
            <w:r w:rsidRPr="008401DD">
              <w:rPr>
                <w:color w:val="FFFFFF" w:themeColor="background1"/>
                <w:sz w:val="18"/>
                <w:szCs w:val="20"/>
              </w:rPr>
              <w:t>Ime dokumenta</w:t>
            </w:r>
          </w:p>
        </w:tc>
        <w:tc>
          <w:tcPr>
            <w:tcW w:w="1134" w:type="dxa"/>
            <w:shd w:val="clear" w:color="auto" w:fill="43A36A"/>
          </w:tcPr>
          <w:p w14:paraId="155360B2" w14:textId="77777777" w:rsidR="0010645D" w:rsidRPr="008401DD" w:rsidRDefault="0010645D" w:rsidP="007E77AE">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Sprejem/ veljavnost</w:t>
            </w:r>
          </w:p>
        </w:tc>
        <w:tc>
          <w:tcPr>
            <w:tcW w:w="3898" w:type="dxa"/>
            <w:shd w:val="clear" w:color="auto" w:fill="43A36A"/>
          </w:tcPr>
          <w:p w14:paraId="3AB13760" w14:textId="0A8370B3" w:rsidR="0010645D" w:rsidRPr="008401DD" w:rsidRDefault="0010645D" w:rsidP="00960E68">
            <w:pPr>
              <w:spacing w:line="276" w:lineRule="auto"/>
              <w:jc w:val="both"/>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Cilji, vsebinska prednostna področja oz</w:t>
            </w:r>
            <w:r w:rsidR="00F12DCF">
              <w:rPr>
                <w:color w:val="FFFFFF" w:themeColor="background1"/>
                <w:sz w:val="18"/>
                <w:szCs w:val="20"/>
              </w:rPr>
              <w:t>.</w:t>
            </w:r>
            <w:r w:rsidRPr="008401DD">
              <w:rPr>
                <w:color w:val="FFFFFF" w:themeColor="background1"/>
                <w:sz w:val="18"/>
                <w:szCs w:val="20"/>
              </w:rPr>
              <w:t xml:space="preserve"> projekti</w:t>
            </w:r>
          </w:p>
        </w:tc>
        <w:tc>
          <w:tcPr>
            <w:tcW w:w="2338" w:type="dxa"/>
            <w:shd w:val="clear" w:color="auto" w:fill="43A36A"/>
          </w:tcPr>
          <w:p w14:paraId="3BA63CE2" w14:textId="77777777" w:rsidR="0010645D" w:rsidRPr="008401DD" w:rsidRDefault="0010645D" w:rsidP="00960E68">
            <w:pPr>
              <w:spacing w:line="276" w:lineRule="auto"/>
              <w:jc w:val="both"/>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Geografska prednostna področja</w:t>
            </w:r>
          </w:p>
        </w:tc>
      </w:tr>
      <w:tr w:rsidR="0010645D" w:rsidRPr="008401DD" w14:paraId="05969442"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3FFBF103" w14:textId="77777777" w:rsidR="0010645D" w:rsidRPr="008401DD" w:rsidRDefault="0010645D" w:rsidP="00960E68">
            <w:pPr>
              <w:spacing w:line="276" w:lineRule="auto"/>
              <w:rPr>
                <w:b w:val="0"/>
                <w:color w:val="67C18C"/>
                <w:sz w:val="18"/>
                <w:szCs w:val="20"/>
              </w:rPr>
            </w:pPr>
            <w:r w:rsidRPr="008401DD">
              <w:rPr>
                <w:b w:val="0"/>
                <w:color w:val="67C18C"/>
                <w:sz w:val="18"/>
                <w:szCs w:val="20"/>
              </w:rPr>
              <w:t>Deklaracija o zunanji politiki RS</w:t>
            </w:r>
          </w:p>
        </w:tc>
        <w:tc>
          <w:tcPr>
            <w:tcW w:w="1134" w:type="dxa"/>
          </w:tcPr>
          <w:p w14:paraId="3F59E851" w14:textId="77777777" w:rsidR="0010645D" w:rsidRPr="008401DD" w:rsidRDefault="0010645D"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10.7.2015</w:t>
            </w:r>
          </w:p>
        </w:tc>
        <w:tc>
          <w:tcPr>
            <w:tcW w:w="3898" w:type="dxa"/>
          </w:tcPr>
          <w:p w14:paraId="7732384D" w14:textId="31CFA075" w:rsidR="0010645D" w:rsidRPr="008401DD" w:rsidRDefault="0010645D" w:rsidP="00B8121B">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Okrepljen multilateralni sistem</w:t>
            </w:r>
            <w:r w:rsidR="00F15908" w:rsidRPr="008401DD">
              <w:rPr>
                <w:sz w:val="18"/>
                <w:szCs w:val="20"/>
              </w:rPr>
              <w:t xml:space="preserve">, ki temelji na okrepljenem </w:t>
            </w:r>
            <w:r w:rsidRPr="008401DD">
              <w:rPr>
                <w:sz w:val="18"/>
                <w:szCs w:val="20"/>
              </w:rPr>
              <w:t>mednarodnem razvojnem sodelovanju in trajnostnem razvoju</w:t>
            </w:r>
            <w:r w:rsidR="00F15908" w:rsidRPr="008401DD">
              <w:rPr>
                <w:sz w:val="18"/>
                <w:szCs w:val="20"/>
              </w:rPr>
              <w:t xml:space="preserve">. </w:t>
            </w:r>
          </w:p>
        </w:tc>
        <w:tc>
          <w:tcPr>
            <w:tcW w:w="2338" w:type="dxa"/>
          </w:tcPr>
          <w:p w14:paraId="5CA6C9BF" w14:textId="77777777" w:rsidR="0010645D" w:rsidRPr="008401DD" w:rsidRDefault="00F15908" w:rsidP="00B8121B">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Zahodni Balkan, širitev EU in </w:t>
            </w:r>
            <w:r w:rsidR="0010645D" w:rsidRPr="008401DD">
              <w:rPr>
                <w:sz w:val="18"/>
                <w:szCs w:val="20"/>
              </w:rPr>
              <w:t>NATO</w:t>
            </w:r>
          </w:p>
        </w:tc>
      </w:tr>
      <w:tr w:rsidR="0010645D" w:rsidRPr="008401DD" w14:paraId="533A930C"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7CC262B8" w14:textId="77777777" w:rsidR="0010645D" w:rsidRPr="008401DD" w:rsidRDefault="0010645D" w:rsidP="00960E68">
            <w:pPr>
              <w:spacing w:line="276" w:lineRule="auto"/>
              <w:rPr>
                <w:b w:val="0"/>
                <w:color w:val="67C18C"/>
                <w:sz w:val="18"/>
                <w:szCs w:val="20"/>
              </w:rPr>
            </w:pPr>
            <w:r w:rsidRPr="008401DD">
              <w:rPr>
                <w:b w:val="0"/>
                <w:color w:val="67C18C"/>
                <w:sz w:val="18"/>
                <w:szCs w:val="20"/>
              </w:rPr>
              <w:t>Strategija zunanje politike RS</w:t>
            </w:r>
          </w:p>
        </w:tc>
        <w:tc>
          <w:tcPr>
            <w:tcW w:w="1134" w:type="dxa"/>
          </w:tcPr>
          <w:p w14:paraId="48521645" w14:textId="77777777" w:rsidR="0010645D" w:rsidRPr="008401DD" w:rsidRDefault="0010645D"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30.7.2015</w:t>
            </w:r>
          </w:p>
        </w:tc>
        <w:tc>
          <w:tcPr>
            <w:tcW w:w="3898" w:type="dxa"/>
          </w:tcPr>
          <w:p w14:paraId="102D1E6D" w14:textId="08C8997B"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MRS in humanitarna pomoč (navedena</w:t>
            </w:r>
            <w:r w:rsidR="00D731F0" w:rsidRPr="008401DD">
              <w:rPr>
                <w:sz w:val="18"/>
                <w:szCs w:val="20"/>
              </w:rPr>
              <w:t xml:space="preserve"> kot svoj naslov v poglavju 4</w:t>
            </w:r>
            <w:r w:rsidR="00F15908" w:rsidRPr="008401DD">
              <w:rPr>
                <w:sz w:val="18"/>
                <w:szCs w:val="20"/>
              </w:rPr>
              <w:t xml:space="preserve"> z </w:t>
            </w:r>
            <w:r w:rsidRPr="008401DD">
              <w:rPr>
                <w:sz w:val="18"/>
                <w:szCs w:val="20"/>
              </w:rPr>
              <w:t>naslovom Zunanja politika v preseku - prednostna področja,</w:t>
            </w:r>
          </w:p>
          <w:p w14:paraId="2DF4E868" w14:textId="49D0F5F9"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podpoglavj</w:t>
            </w:r>
            <w:r w:rsidR="00D731F0" w:rsidRPr="008401DD">
              <w:rPr>
                <w:sz w:val="18"/>
                <w:szCs w:val="20"/>
              </w:rPr>
              <w:t>e 4</w:t>
            </w:r>
            <w:r w:rsidR="00F15908" w:rsidRPr="008401DD">
              <w:rPr>
                <w:sz w:val="18"/>
                <w:szCs w:val="20"/>
              </w:rPr>
              <w:t xml:space="preserve">.1 Krepitev multilateralnega sistema in upravljanje </w:t>
            </w:r>
            <w:r w:rsidRPr="008401DD">
              <w:rPr>
                <w:sz w:val="18"/>
                <w:szCs w:val="20"/>
              </w:rPr>
              <w:t>globalizacije)</w:t>
            </w:r>
          </w:p>
          <w:p w14:paraId="2784A916"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27577986" w14:textId="77777777"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Mednarodno razvojno sodel</w:t>
            </w:r>
            <w:r w:rsidR="00F15908" w:rsidRPr="008401DD">
              <w:rPr>
                <w:sz w:val="18"/>
                <w:szCs w:val="20"/>
              </w:rPr>
              <w:t xml:space="preserve">ovanje in humanitarna pomoč sta </w:t>
            </w:r>
            <w:r w:rsidRPr="008401DD">
              <w:rPr>
                <w:sz w:val="18"/>
                <w:szCs w:val="20"/>
              </w:rPr>
              <w:t>pomembni sestavini slovenske zunanje politike. Pomenita izraz</w:t>
            </w:r>
          </w:p>
          <w:p w14:paraId="61DDDCEC" w14:textId="77777777"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solidarn</w:t>
            </w:r>
            <w:r w:rsidR="00F15908" w:rsidRPr="008401DD">
              <w:rPr>
                <w:sz w:val="18"/>
                <w:szCs w:val="20"/>
              </w:rPr>
              <w:t xml:space="preserve">osti in interesa, saj posledice neenakopravnega in </w:t>
            </w:r>
            <w:r w:rsidRPr="008401DD">
              <w:rPr>
                <w:sz w:val="18"/>
                <w:szCs w:val="20"/>
              </w:rPr>
              <w:t>neuravnoteženega razvoja ter kriz ogro</w:t>
            </w:r>
            <w:r w:rsidR="00F15908" w:rsidRPr="008401DD">
              <w:rPr>
                <w:sz w:val="18"/>
                <w:szCs w:val="20"/>
              </w:rPr>
              <w:t xml:space="preserve">žajo mir, varnost in stabilnost v svetu. Prispeva h krepitvi </w:t>
            </w:r>
            <w:r w:rsidRPr="008401DD">
              <w:rPr>
                <w:sz w:val="18"/>
                <w:szCs w:val="20"/>
              </w:rPr>
              <w:t>dvostranskih odnosov in prepoznavnosti</w:t>
            </w:r>
          </w:p>
          <w:p w14:paraId="6F0BFAEB" w14:textId="3486A47B"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RS v svetu. Z vključevanjem zmo</w:t>
            </w:r>
            <w:r w:rsidR="00F15908" w:rsidRPr="008401DD">
              <w:rPr>
                <w:sz w:val="18"/>
                <w:szCs w:val="20"/>
              </w:rPr>
              <w:t xml:space="preserve">gljivosti javnega, zasebnega in </w:t>
            </w:r>
            <w:r w:rsidRPr="008401DD">
              <w:rPr>
                <w:sz w:val="18"/>
                <w:szCs w:val="20"/>
              </w:rPr>
              <w:t>nevladnega sektorja, znanosti, inovacij in tehnologije je pril</w:t>
            </w:r>
            <w:r w:rsidR="00F15908" w:rsidRPr="008401DD">
              <w:rPr>
                <w:sz w:val="18"/>
                <w:szCs w:val="20"/>
              </w:rPr>
              <w:t xml:space="preserve">ožnost tudi </w:t>
            </w:r>
            <w:r w:rsidRPr="008401DD">
              <w:rPr>
                <w:sz w:val="18"/>
                <w:szCs w:val="20"/>
              </w:rPr>
              <w:t>za uveljavitev gospodarskih i</w:t>
            </w:r>
            <w:r w:rsidR="00F15908" w:rsidRPr="008401DD">
              <w:rPr>
                <w:sz w:val="18"/>
                <w:szCs w:val="20"/>
              </w:rPr>
              <w:t xml:space="preserve">n drugih subjektov RS v tujini. </w:t>
            </w:r>
            <w:r w:rsidRPr="008401DD">
              <w:rPr>
                <w:sz w:val="18"/>
                <w:szCs w:val="20"/>
              </w:rPr>
              <w:t>Upoštevajoč vrednote, razvojne usmeritve in zmogljivosti RS, cilje</w:t>
            </w:r>
            <w:r w:rsidR="00893678" w:rsidRPr="008401DD">
              <w:rPr>
                <w:sz w:val="18"/>
                <w:szCs w:val="20"/>
              </w:rPr>
              <w:t xml:space="preserve"> </w:t>
            </w:r>
            <w:r w:rsidRPr="008401DD">
              <w:rPr>
                <w:sz w:val="18"/>
                <w:szCs w:val="20"/>
              </w:rPr>
              <w:t xml:space="preserve">mednarodne skupnosti, zlasti cilje </w:t>
            </w:r>
            <w:r w:rsidR="00F55CFC" w:rsidRPr="008401DD">
              <w:rPr>
                <w:sz w:val="18"/>
                <w:szCs w:val="20"/>
              </w:rPr>
              <w:t>Organizacije združenih narodov (</w:t>
            </w:r>
            <w:r w:rsidRPr="008401DD">
              <w:rPr>
                <w:sz w:val="18"/>
                <w:szCs w:val="20"/>
              </w:rPr>
              <w:t>OZN</w:t>
            </w:r>
            <w:r w:rsidR="00F55CFC" w:rsidRPr="008401DD">
              <w:rPr>
                <w:sz w:val="18"/>
                <w:szCs w:val="20"/>
              </w:rPr>
              <w:t>)</w:t>
            </w:r>
            <w:r w:rsidR="00F15908" w:rsidRPr="008401DD">
              <w:rPr>
                <w:sz w:val="18"/>
                <w:szCs w:val="20"/>
              </w:rPr>
              <w:t xml:space="preserve"> in EU, </w:t>
            </w:r>
            <w:r w:rsidR="00F15908" w:rsidRPr="008401DD">
              <w:rPr>
                <w:sz w:val="18"/>
                <w:szCs w:val="20"/>
              </w:rPr>
              <w:lastRenderedPageBreak/>
              <w:t xml:space="preserve">ter prednostna področja </w:t>
            </w:r>
            <w:r w:rsidRPr="008401DD">
              <w:rPr>
                <w:sz w:val="18"/>
                <w:szCs w:val="20"/>
              </w:rPr>
              <w:t>in območja slovenske zunanje politike se razvojno sodelovanje RS</w:t>
            </w:r>
          </w:p>
          <w:p w14:paraId="30DB88CF" w14:textId="54FB01F9"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udejst</w:t>
            </w:r>
            <w:r w:rsidR="00F15908" w:rsidRPr="008401DD">
              <w:rPr>
                <w:sz w:val="18"/>
                <w:szCs w:val="20"/>
              </w:rPr>
              <w:t xml:space="preserve">vuje na izbranih geografskih in </w:t>
            </w:r>
            <w:r w:rsidRPr="008401DD">
              <w:rPr>
                <w:sz w:val="18"/>
                <w:szCs w:val="20"/>
              </w:rPr>
              <w:t>t</w:t>
            </w:r>
            <w:r w:rsidR="00F15908" w:rsidRPr="008401DD">
              <w:rPr>
                <w:sz w:val="18"/>
                <w:szCs w:val="20"/>
              </w:rPr>
              <w:t xml:space="preserve">ematskih prednostnih področjih. V </w:t>
            </w:r>
            <w:r w:rsidRPr="008401DD">
              <w:rPr>
                <w:sz w:val="18"/>
                <w:szCs w:val="20"/>
              </w:rPr>
              <w:t>načrtovanje in izvajanje nalog</w:t>
            </w:r>
            <w:r w:rsidR="00F15908" w:rsidRPr="008401DD">
              <w:rPr>
                <w:sz w:val="18"/>
                <w:szCs w:val="20"/>
              </w:rPr>
              <w:t xml:space="preserve"> na razvojnem področju so močno </w:t>
            </w:r>
            <w:r w:rsidRPr="008401DD">
              <w:rPr>
                <w:sz w:val="18"/>
                <w:szCs w:val="20"/>
              </w:rPr>
              <w:t>vpeta diplomatska predstavništva. Pri določitvi obsega in oblik</w:t>
            </w:r>
            <w:r w:rsidR="00497B61" w:rsidRPr="008401DD">
              <w:rPr>
                <w:sz w:val="18"/>
                <w:szCs w:val="20"/>
              </w:rPr>
              <w:t xml:space="preserve"> </w:t>
            </w:r>
            <w:r w:rsidRPr="008401DD">
              <w:rPr>
                <w:sz w:val="18"/>
                <w:szCs w:val="20"/>
              </w:rPr>
              <w:t>razvojnega sodelovanja bo RS posebno p</w:t>
            </w:r>
            <w:r w:rsidR="00F15908" w:rsidRPr="008401DD">
              <w:rPr>
                <w:sz w:val="18"/>
                <w:szCs w:val="20"/>
              </w:rPr>
              <w:t xml:space="preserve">ozornost namenjala razvoju </w:t>
            </w:r>
            <w:r w:rsidRPr="008401DD">
              <w:rPr>
                <w:sz w:val="18"/>
                <w:szCs w:val="20"/>
              </w:rPr>
              <w:t>in vključevanju tistih poklicnih profilov</w:t>
            </w:r>
            <w:r w:rsidR="00F15908" w:rsidRPr="008401DD">
              <w:rPr>
                <w:sz w:val="18"/>
                <w:szCs w:val="20"/>
              </w:rPr>
              <w:t xml:space="preserve">, ki lahko ustrezno obravnavajo </w:t>
            </w:r>
            <w:r w:rsidRPr="008401DD">
              <w:rPr>
                <w:sz w:val="18"/>
                <w:szCs w:val="20"/>
              </w:rPr>
              <w:t>razvojna vprašanja. Razvojno sode</w:t>
            </w:r>
            <w:r w:rsidR="00F15908" w:rsidRPr="008401DD">
              <w:rPr>
                <w:sz w:val="18"/>
                <w:szCs w:val="20"/>
              </w:rPr>
              <w:t xml:space="preserve">lovanje temelji na pravnem redu </w:t>
            </w:r>
            <w:r w:rsidRPr="008401DD">
              <w:rPr>
                <w:sz w:val="18"/>
                <w:szCs w:val="20"/>
              </w:rPr>
              <w:t>RS in EU, standardih in merilih OECD/</w:t>
            </w:r>
            <w:r w:rsidR="00F15908" w:rsidRPr="008401DD">
              <w:rPr>
                <w:sz w:val="18"/>
                <w:szCs w:val="20"/>
              </w:rPr>
              <w:t xml:space="preserve">DAC, načelih skladnosti politik </w:t>
            </w:r>
            <w:r w:rsidRPr="008401DD">
              <w:rPr>
                <w:sz w:val="18"/>
                <w:szCs w:val="20"/>
              </w:rPr>
              <w:t>za razvoj in učinkovitosti razvojnega sodelovanja ter na izkušnjah in</w:t>
            </w:r>
          </w:p>
          <w:p w14:paraId="711C435D"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primerjalnih prednostih RS. </w:t>
            </w:r>
          </w:p>
          <w:p w14:paraId="645142A4"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1C767129" w14:textId="77777777" w:rsidR="0010645D" w:rsidRPr="008401DD" w:rsidRDefault="0010645D"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Razvojno sodelovanje: izraz solida</w:t>
            </w:r>
            <w:r w:rsidR="00F15908" w:rsidRPr="008401DD">
              <w:rPr>
                <w:sz w:val="18"/>
                <w:szCs w:val="20"/>
              </w:rPr>
              <w:t xml:space="preserve">rnosti, instrument trajnostnega </w:t>
            </w:r>
            <w:r w:rsidRPr="008401DD">
              <w:rPr>
                <w:sz w:val="18"/>
                <w:szCs w:val="20"/>
              </w:rPr>
              <w:t>razvoja in krepitve prepoznavnosti</w:t>
            </w:r>
          </w:p>
        </w:tc>
        <w:tc>
          <w:tcPr>
            <w:tcW w:w="2338" w:type="dxa"/>
          </w:tcPr>
          <w:p w14:paraId="06DFF4BC"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lastRenderedPageBreak/>
              <w:t>Evropa, Zahodni Balkan in</w:t>
            </w:r>
          </w:p>
          <w:p w14:paraId="58BC84AC" w14:textId="01927648" w:rsidR="0010645D"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evropsko sosedstvo, Rusija, </w:t>
            </w:r>
            <w:r w:rsidR="005F2143" w:rsidRPr="008401DD">
              <w:rPr>
                <w:sz w:val="18"/>
                <w:szCs w:val="20"/>
              </w:rPr>
              <w:t>Združene države Amerike (</w:t>
            </w:r>
            <w:r w:rsidRPr="008401DD">
              <w:rPr>
                <w:sz w:val="18"/>
                <w:szCs w:val="20"/>
              </w:rPr>
              <w:t>ZDA</w:t>
            </w:r>
            <w:r w:rsidR="005F2143" w:rsidRPr="008401DD">
              <w:rPr>
                <w:sz w:val="18"/>
                <w:szCs w:val="20"/>
              </w:rPr>
              <w:t xml:space="preserve">), </w:t>
            </w:r>
            <w:r w:rsidRPr="008401DD">
              <w:rPr>
                <w:sz w:val="18"/>
                <w:szCs w:val="20"/>
              </w:rPr>
              <w:t>Sredozemlje, Azija, Afrika in Latinska Amerika</w:t>
            </w:r>
          </w:p>
        </w:tc>
      </w:tr>
      <w:tr w:rsidR="0010645D" w:rsidRPr="008401DD" w14:paraId="510554FE"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09282807" w14:textId="77777777" w:rsidR="0010645D" w:rsidRPr="008401DD" w:rsidRDefault="0010645D" w:rsidP="00960E68">
            <w:pPr>
              <w:spacing w:line="276" w:lineRule="auto"/>
              <w:rPr>
                <w:b w:val="0"/>
                <w:color w:val="67C18C"/>
                <w:sz w:val="18"/>
                <w:szCs w:val="20"/>
              </w:rPr>
            </w:pPr>
            <w:r w:rsidRPr="008401DD">
              <w:rPr>
                <w:b w:val="0"/>
                <w:color w:val="67C18C"/>
                <w:sz w:val="18"/>
                <w:szCs w:val="20"/>
              </w:rPr>
              <w:t>Zakon o mednarodnem razvojnem sodelovanju in humanitarni pomoči RS</w:t>
            </w:r>
          </w:p>
        </w:tc>
        <w:tc>
          <w:tcPr>
            <w:tcW w:w="1134" w:type="dxa"/>
          </w:tcPr>
          <w:p w14:paraId="649440E6" w14:textId="77777777" w:rsidR="0010645D" w:rsidRPr="008401DD" w:rsidRDefault="00F15908"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17.4.2018</w:t>
            </w:r>
          </w:p>
        </w:tc>
        <w:tc>
          <w:tcPr>
            <w:tcW w:w="3898" w:type="dxa"/>
          </w:tcPr>
          <w:p w14:paraId="30067E30" w14:textId="5138B60B"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Cilj mednarodnega razvojnega sodelovanja</w:t>
            </w:r>
            <w:r w:rsidR="00017372" w:rsidRPr="008401DD">
              <w:rPr>
                <w:sz w:val="18"/>
                <w:szCs w:val="20"/>
              </w:rPr>
              <w:t>:</w:t>
            </w:r>
            <w:r w:rsidR="00B8121B">
              <w:rPr>
                <w:sz w:val="18"/>
                <w:szCs w:val="20"/>
              </w:rPr>
              <w:t xml:space="preserve"> </w:t>
            </w:r>
            <w:r w:rsidRPr="008401DD">
              <w:rPr>
                <w:sz w:val="18"/>
                <w:szCs w:val="20"/>
              </w:rPr>
              <w:t>prispevati k odpravi revščine in zmanjšanju neenakosti ter pospeševanje trajnostnega razvoja v partnerskih državah.</w:t>
            </w:r>
          </w:p>
          <w:p w14:paraId="0423C870"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39F97986" w14:textId="05781267" w:rsidR="0010645D"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Cilj humanitarne pomoči</w:t>
            </w:r>
            <w:r w:rsidR="00017372" w:rsidRPr="008401DD">
              <w:rPr>
                <w:sz w:val="18"/>
                <w:szCs w:val="20"/>
              </w:rPr>
              <w:t>:</w:t>
            </w:r>
            <w:r w:rsidR="00B8121B">
              <w:rPr>
                <w:sz w:val="18"/>
                <w:szCs w:val="20"/>
              </w:rPr>
              <w:t xml:space="preserve"> </w:t>
            </w:r>
            <w:r w:rsidR="00017372" w:rsidRPr="008401DD">
              <w:rPr>
                <w:sz w:val="18"/>
                <w:szCs w:val="20"/>
              </w:rPr>
              <w:t>r</w:t>
            </w:r>
            <w:r w:rsidRPr="008401DD">
              <w:rPr>
                <w:sz w:val="18"/>
                <w:szCs w:val="20"/>
              </w:rPr>
              <w:t>eševanje človeških življenj, preprečevanje in lajšanje tr</w:t>
            </w:r>
            <w:r w:rsidR="00017372" w:rsidRPr="008401DD">
              <w:rPr>
                <w:sz w:val="18"/>
                <w:szCs w:val="20"/>
              </w:rPr>
              <w:t xml:space="preserve">pljenja, ohranjanje človekovega </w:t>
            </w:r>
            <w:r w:rsidRPr="008401DD">
              <w:rPr>
                <w:sz w:val="18"/>
                <w:szCs w:val="20"/>
              </w:rPr>
              <w:t>dostojanstva, zmanjšanje ranljivosti in tveganja za krize, preventivno delovanje ter krepitev odpornosti proti krizam in zmogljivosti za zagotavljanje odziva nanje.</w:t>
            </w:r>
          </w:p>
        </w:tc>
        <w:tc>
          <w:tcPr>
            <w:tcW w:w="2338" w:type="dxa"/>
          </w:tcPr>
          <w:p w14:paraId="32B7D223" w14:textId="0EAA81FC" w:rsidR="0010645D"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Države v razvoju (ni natančnejše </w:t>
            </w:r>
            <w:r w:rsidR="006B0F9E" w:rsidRPr="008401DD">
              <w:rPr>
                <w:sz w:val="18"/>
                <w:szCs w:val="20"/>
              </w:rPr>
              <w:t>opredelitve</w:t>
            </w:r>
            <w:r w:rsidRPr="008401DD">
              <w:rPr>
                <w:sz w:val="18"/>
                <w:szCs w:val="20"/>
              </w:rPr>
              <w:t>)</w:t>
            </w:r>
          </w:p>
        </w:tc>
      </w:tr>
      <w:tr w:rsidR="0077444F" w:rsidRPr="008401DD" w14:paraId="23299138"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0E7090E9" w14:textId="35F038D7" w:rsidR="0077444F" w:rsidRPr="008401DD" w:rsidRDefault="0077444F" w:rsidP="00960E68">
            <w:pPr>
              <w:spacing w:line="276" w:lineRule="auto"/>
              <w:rPr>
                <w:b w:val="0"/>
                <w:color w:val="67C18C"/>
                <w:sz w:val="18"/>
                <w:szCs w:val="20"/>
              </w:rPr>
            </w:pPr>
            <w:r w:rsidRPr="008401DD">
              <w:rPr>
                <w:b w:val="0"/>
                <w:color w:val="67C18C"/>
                <w:sz w:val="18"/>
                <w:szCs w:val="20"/>
              </w:rPr>
              <w:t xml:space="preserve">Zakon o mednarodnem razvojnem sodelovanju </w:t>
            </w:r>
          </w:p>
        </w:tc>
        <w:tc>
          <w:tcPr>
            <w:tcW w:w="1134" w:type="dxa"/>
          </w:tcPr>
          <w:p w14:paraId="7A6F46E4" w14:textId="77777777" w:rsidR="0077444F" w:rsidRPr="008401DD" w:rsidRDefault="0077444F"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21.7.2006</w:t>
            </w:r>
          </w:p>
          <w:p w14:paraId="0F73FD2F" w14:textId="3720EFC1" w:rsidR="00472E98" w:rsidRPr="008401DD" w:rsidRDefault="00472E98"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(ne velja več)</w:t>
            </w:r>
          </w:p>
        </w:tc>
        <w:tc>
          <w:tcPr>
            <w:tcW w:w="3898" w:type="dxa"/>
          </w:tcPr>
          <w:p w14:paraId="5CFE56EC" w14:textId="6F988641" w:rsidR="0077444F" w:rsidRPr="00B8121B" w:rsidRDefault="0077444F"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Boj proti revščini v državah v razvoju s podpiranjem njihovega gospodarskega in družbenega razvoja</w:t>
            </w:r>
          </w:p>
          <w:p w14:paraId="7B937CB6" w14:textId="278B8AAF" w:rsidR="0077444F" w:rsidRPr="00B8121B" w:rsidRDefault="0077444F"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Zagotavljanje miru in človekove varnosti v svetu, zlasti s krepitvijo in pospeševanjem demokracije, pravne države, človekovih pravic in dobrega upravljanja v državah v razvoju</w:t>
            </w:r>
          </w:p>
          <w:p w14:paraId="3C7AF2BF" w14:textId="75D17B6E" w:rsidR="0077444F" w:rsidRPr="00B8121B" w:rsidRDefault="0077444F"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Boj proti HIV/AIDS, malariji in drugim boleznim ter zmanjševanje umrljivosti novorojenčkov in mater</w:t>
            </w:r>
          </w:p>
          <w:p w14:paraId="6F5D049A" w14:textId="462E810F" w:rsidR="0077444F" w:rsidRPr="00B8121B" w:rsidRDefault="0077444F"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Omogočanje vsem, ne glede na spol, raso ali vero, da dosežejo splošno ali osnovno raven izobrazbe</w:t>
            </w:r>
          </w:p>
          <w:p w14:paraId="6A332AC6" w14:textId="22D54D1A" w:rsidR="0077444F" w:rsidRPr="00B8121B" w:rsidRDefault="0077444F"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Zagotavljanje trajnostnega razvoja, ki uravnoteženo vključuje cilje ohranjanja okolja, varstvo naravnih virov, ekonomsko rast in</w:t>
            </w:r>
          </w:p>
          <w:p w14:paraId="47FCDBED" w14:textId="77777777" w:rsidR="0077444F" w:rsidRPr="00B8121B" w:rsidRDefault="0077444F" w:rsidP="00B8121B">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vzdržnost, ter skrb za socialno vključenost in pravičnost;</w:t>
            </w:r>
          </w:p>
          <w:p w14:paraId="3FC21C23" w14:textId="4F626816" w:rsidR="0077444F" w:rsidRPr="00B8121B" w:rsidRDefault="0077444F" w:rsidP="00B8121B">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Zagotavljanje osnovnih družbenih storitev in dobrega upravljanja ob upoštevanju družbene in osebne varnosti;</w:t>
            </w:r>
          </w:p>
          <w:p w14:paraId="6435F7CA" w14:textId="4C82FB22" w:rsidR="0077444F" w:rsidRPr="00B8121B" w:rsidRDefault="0077444F" w:rsidP="00B8121B">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Krepitev dvostranskega in večstranskega sodelovanja s prednostnimi državami</w:t>
            </w:r>
          </w:p>
          <w:p w14:paraId="2FF98409" w14:textId="67E8F06C" w:rsidR="0077444F" w:rsidRPr="00B8121B" w:rsidRDefault="0077444F" w:rsidP="00B8121B">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Drugi specifični cilji Republike Slovenije na tem področju, skladno z </w:t>
            </w:r>
            <w:r w:rsidRPr="00B8121B">
              <w:rPr>
                <w:sz w:val="18"/>
                <w:szCs w:val="20"/>
              </w:rPr>
              <w:lastRenderedPageBreak/>
              <w:t>zunanjepolitičnimi interesi in glede na vsebino Resolucije o</w:t>
            </w:r>
          </w:p>
          <w:p w14:paraId="6FC4BE70" w14:textId="44EC7C8E" w:rsidR="0077444F" w:rsidRPr="00B8121B" w:rsidRDefault="0077444F" w:rsidP="00B8121B">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mednarodnem razvojnem sodelovanju v skladu s 4. členom tega zakona</w:t>
            </w:r>
          </w:p>
        </w:tc>
        <w:tc>
          <w:tcPr>
            <w:tcW w:w="2338" w:type="dxa"/>
          </w:tcPr>
          <w:p w14:paraId="69CAC662" w14:textId="3D3DC549" w:rsidR="0077444F" w:rsidRPr="008401DD" w:rsidRDefault="0077444F"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lastRenderedPageBreak/>
              <w:t>Države v razvoju (ni natančnejše opredelitve)</w:t>
            </w:r>
          </w:p>
        </w:tc>
      </w:tr>
      <w:tr w:rsidR="00F15908" w:rsidRPr="008401DD" w14:paraId="2DEF2C67"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549A6AAA" w14:textId="5574C055" w:rsidR="00F15908" w:rsidRPr="008401DD" w:rsidRDefault="00F15908" w:rsidP="00960E68">
            <w:pPr>
              <w:spacing w:line="276" w:lineRule="auto"/>
              <w:rPr>
                <w:b w:val="0"/>
                <w:color w:val="67C18C"/>
                <w:sz w:val="18"/>
                <w:szCs w:val="20"/>
              </w:rPr>
            </w:pPr>
            <w:r w:rsidRPr="008401DD">
              <w:rPr>
                <w:b w:val="0"/>
                <w:color w:val="67C18C"/>
                <w:sz w:val="18"/>
                <w:szCs w:val="20"/>
              </w:rPr>
              <w:t xml:space="preserve">Uredba o izvajanju mednarodnega razvojnega sodelovanja in humanitarne </w:t>
            </w:r>
            <w:r w:rsidR="008C254C" w:rsidRPr="008401DD">
              <w:rPr>
                <w:b w:val="0"/>
                <w:color w:val="67C18C"/>
                <w:sz w:val="18"/>
                <w:szCs w:val="20"/>
              </w:rPr>
              <w:t>pomoči</w:t>
            </w:r>
            <w:r w:rsidRPr="008401DD">
              <w:rPr>
                <w:b w:val="0"/>
                <w:color w:val="67C18C"/>
                <w:sz w:val="18"/>
                <w:szCs w:val="20"/>
              </w:rPr>
              <w:t xml:space="preserve"> Republike Slovenije</w:t>
            </w:r>
          </w:p>
        </w:tc>
        <w:tc>
          <w:tcPr>
            <w:tcW w:w="1134" w:type="dxa"/>
          </w:tcPr>
          <w:p w14:paraId="42FAE628" w14:textId="77777777" w:rsidR="00F15908" w:rsidRPr="008401DD" w:rsidRDefault="00F15908"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22.11.2018</w:t>
            </w:r>
          </w:p>
        </w:tc>
        <w:tc>
          <w:tcPr>
            <w:tcW w:w="3898" w:type="dxa"/>
          </w:tcPr>
          <w:p w14:paraId="2E5C63AD" w14:textId="77777777" w:rsidR="00F15908"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Prispevati k odpravi revščine, zmanjševanju neenakosti ter doseganju trajnostnega razvoja v partnerskih državah.</w:t>
            </w:r>
          </w:p>
        </w:tc>
        <w:tc>
          <w:tcPr>
            <w:tcW w:w="2338" w:type="dxa"/>
          </w:tcPr>
          <w:p w14:paraId="2968A0D7" w14:textId="49F82DA2" w:rsidR="00F15908" w:rsidRPr="008401DD" w:rsidRDefault="009200F2"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Države v razvoju (ni natančnejše </w:t>
            </w:r>
            <w:r w:rsidR="008C254C" w:rsidRPr="008401DD">
              <w:rPr>
                <w:sz w:val="18"/>
                <w:szCs w:val="20"/>
              </w:rPr>
              <w:t>opredelitve</w:t>
            </w:r>
            <w:r w:rsidRPr="008401DD">
              <w:rPr>
                <w:sz w:val="18"/>
                <w:szCs w:val="20"/>
              </w:rPr>
              <w:t>)</w:t>
            </w:r>
          </w:p>
        </w:tc>
      </w:tr>
      <w:tr w:rsidR="0010645D" w:rsidRPr="008401DD" w14:paraId="036792F9"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4B872C28" w14:textId="77777777" w:rsidR="0010645D" w:rsidRPr="008401DD" w:rsidRDefault="0010645D" w:rsidP="00960E68">
            <w:pPr>
              <w:spacing w:line="276" w:lineRule="auto"/>
              <w:rPr>
                <w:b w:val="0"/>
                <w:color w:val="67C18C"/>
                <w:sz w:val="18"/>
                <w:szCs w:val="20"/>
              </w:rPr>
            </w:pPr>
            <w:r w:rsidRPr="008401DD">
              <w:rPr>
                <w:b w:val="0"/>
                <w:color w:val="67C18C"/>
                <w:sz w:val="18"/>
                <w:szCs w:val="20"/>
              </w:rPr>
              <w:t>Resolucija o mednarodnem razvojnem sodelovanju in humanitarni pomoči Republike Slovenije</w:t>
            </w:r>
          </w:p>
        </w:tc>
        <w:tc>
          <w:tcPr>
            <w:tcW w:w="1134" w:type="dxa"/>
          </w:tcPr>
          <w:p w14:paraId="1BB5D1FA" w14:textId="77777777" w:rsidR="0010645D" w:rsidRPr="008401DD" w:rsidRDefault="00F15908"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26.9.2017</w:t>
            </w:r>
          </w:p>
        </w:tc>
        <w:tc>
          <w:tcPr>
            <w:tcW w:w="3898" w:type="dxa"/>
          </w:tcPr>
          <w:p w14:paraId="31B796A7" w14:textId="77777777" w:rsidR="00125E87"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Prispevati k odpravi revščine, zmanjševanju neenakosti ter doseganju trajnostnega razvoja v partnerskih državah.</w:t>
            </w:r>
            <w:r w:rsidR="00125E87" w:rsidRPr="008401DD">
              <w:rPr>
                <w:sz w:val="18"/>
                <w:szCs w:val="20"/>
              </w:rPr>
              <w:t xml:space="preserve"> Prednostna vsebinska področja so tako: </w:t>
            </w:r>
          </w:p>
          <w:p w14:paraId="10D78991" w14:textId="77777777" w:rsidR="00125E87" w:rsidRPr="008401DD" w:rsidRDefault="00125E87"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spodbujanje miroljubnih in vključujočih družb, s poudarkom na dobrem upravljanju, enakih možnostih, vključno z enakostjo spolov, ter kakovostnem izobraževanju;</w:t>
            </w:r>
          </w:p>
          <w:p w14:paraId="29451653" w14:textId="24CB749C" w:rsidR="0010645D" w:rsidRPr="008401DD" w:rsidRDefault="00125E87"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boj proti podnebnim spremembam, s poudarkom na trajnostnem gospodarjenju z naravnimi in energetskimi viri.</w:t>
            </w:r>
            <w:r w:rsidR="00C848FE" w:rsidRPr="008401DD">
              <w:rPr>
                <w:sz w:val="18"/>
                <w:szCs w:val="20"/>
              </w:rPr>
              <w:t xml:space="preserve"> </w:t>
            </w:r>
          </w:p>
        </w:tc>
        <w:tc>
          <w:tcPr>
            <w:tcW w:w="2338" w:type="dxa"/>
          </w:tcPr>
          <w:p w14:paraId="5A7631F6" w14:textId="77777777" w:rsidR="0010645D" w:rsidRPr="008401DD" w:rsidRDefault="00F15908"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Zahodni Balkan, evropsko sosedstvo in podsaharska Afrika, s poudarkom na najmanj razvitih državah.</w:t>
            </w:r>
          </w:p>
        </w:tc>
      </w:tr>
      <w:tr w:rsidR="00CF2901" w:rsidRPr="008401DD" w14:paraId="25EE3A1F"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150CD3F9" w14:textId="434EE347" w:rsidR="00CF2901" w:rsidRPr="008401DD" w:rsidRDefault="00CF2901" w:rsidP="00960E68">
            <w:pPr>
              <w:spacing w:line="276" w:lineRule="auto"/>
              <w:rPr>
                <w:b w:val="0"/>
                <w:color w:val="67C18C"/>
                <w:sz w:val="18"/>
                <w:szCs w:val="20"/>
              </w:rPr>
            </w:pPr>
            <w:r w:rsidRPr="008401DD">
              <w:rPr>
                <w:b w:val="0"/>
                <w:color w:val="67C18C"/>
                <w:sz w:val="18"/>
                <w:szCs w:val="20"/>
              </w:rPr>
              <w:t>Resolucija o mednarodnem razvojnem sodelovanju Republike Slovenije za obdobje do leta 2015</w:t>
            </w:r>
          </w:p>
        </w:tc>
        <w:tc>
          <w:tcPr>
            <w:tcW w:w="1134" w:type="dxa"/>
          </w:tcPr>
          <w:p w14:paraId="202AEA82" w14:textId="77777777" w:rsidR="00CF2901" w:rsidRPr="008401DD" w:rsidRDefault="00CF2901"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2.8.2008 za obdobje do leta 2015</w:t>
            </w:r>
          </w:p>
          <w:p w14:paraId="282CBC9E" w14:textId="2830A30F" w:rsidR="00BD0975" w:rsidRPr="008401DD" w:rsidRDefault="00BD097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(ne velja več)</w:t>
            </w:r>
          </w:p>
        </w:tc>
        <w:tc>
          <w:tcPr>
            <w:tcW w:w="3898" w:type="dxa"/>
          </w:tcPr>
          <w:p w14:paraId="34AC3628" w14:textId="77777777" w:rsidR="00CF2901" w:rsidRPr="008401DD" w:rsidRDefault="00CF2901"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(izhaja iz zakona – navaja najpomembnejše)</w:t>
            </w:r>
          </w:p>
          <w:p w14:paraId="0526770D" w14:textId="5401E6A9" w:rsidR="00CF2901" w:rsidRPr="00B8121B" w:rsidRDefault="00CF2901"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Zmanjševanje revščine s spodbujanjem gospodarskega in družbenega razvoja</w:t>
            </w:r>
          </w:p>
          <w:p w14:paraId="562A726C" w14:textId="46FB2C1E" w:rsidR="00CF2901" w:rsidRPr="00B8121B" w:rsidRDefault="00CF2901"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Zagotavljanje miru in varnosti, boj proti aidsu in drugim boleznim, ki pestijo manj razvite države</w:t>
            </w:r>
          </w:p>
          <w:p w14:paraId="51695AD0" w14:textId="5FB6BB84" w:rsidR="00CF2901" w:rsidRPr="00B8121B" w:rsidRDefault="00CF2901" w:rsidP="00B8121B">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Zagotavljanje izobraževanja za vse, trajnostnega razvoja in dobrega vladanja</w:t>
            </w:r>
          </w:p>
          <w:p w14:paraId="574CC5F9" w14:textId="0149C674" w:rsidR="00CF2901" w:rsidRPr="00B8121B" w:rsidRDefault="00CF2901" w:rsidP="00B8121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Krepitev dvostranskega in večstranskega sodelovanja s prednostnimi državami</w:t>
            </w:r>
          </w:p>
        </w:tc>
        <w:tc>
          <w:tcPr>
            <w:tcW w:w="2338" w:type="dxa"/>
          </w:tcPr>
          <w:p w14:paraId="25673D04" w14:textId="2C999B9E" w:rsidR="00CF2901" w:rsidRPr="008401DD" w:rsidRDefault="00CF2901"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Zahodni Balkan - Makedonija, Črna gora, Srbija, Bosna in Hercegovina, Albanija ter</w:t>
            </w:r>
          </w:p>
          <w:p w14:paraId="049C9421" w14:textId="77777777" w:rsidR="00CF2901" w:rsidRPr="008401DD" w:rsidRDefault="00CF2901"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Kosovo</w:t>
            </w:r>
          </w:p>
          <w:p w14:paraId="35A9BAF7" w14:textId="25EBD848" w:rsidR="00CF2901" w:rsidRPr="008401DD" w:rsidRDefault="00CF2901"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Vzhodna Evropa, Kavkaz in Srednja Azija - Moldavija in Ukrajina</w:t>
            </w:r>
          </w:p>
          <w:p w14:paraId="3753D3B9" w14:textId="09112F58" w:rsidR="00CF2901" w:rsidRPr="008401DD" w:rsidRDefault="00CF2901"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Države v razvoju – Afrika</w:t>
            </w:r>
          </w:p>
        </w:tc>
      </w:tr>
      <w:tr w:rsidR="009200F2" w:rsidRPr="008401DD" w14:paraId="51BAF731"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377DFD73" w14:textId="77777777" w:rsidR="009200F2" w:rsidRPr="008401DD" w:rsidRDefault="009200F2" w:rsidP="00960E68">
            <w:pPr>
              <w:spacing w:line="276" w:lineRule="auto"/>
              <w:rPr>
                <w:b w:val="0"/>
                <w:color w:val="67C18C"/>
                <w:sz w:val="18"/>
                <w:szCs w:val="20"/>
              </w:rPr>
            </w:pPr>
            <w:r w:rsidRPr="008401DD">
              <w:rPr>
                <w:b w:val="0"/>
                <w:color w:val="67C18C"/>
                <w:sz w:val="18"/>
                <w:szCs w:val="20"/>
              </w:rPr>
              <w:t>Strategija mednarodnega razvojnega sodelovanja in humanitarne pomoči Republike Slovenije do leta 2030</w:t>
            </w:r>
          </w:p>
        </w:tc>
        <w:tc>
          <w:tcPr>
            <w:tcW w:w="1134" w:type="dxa"/>
          </w:tcPr>
          <w:p w14:paraId="7770F7F2" w14:textId="77777777" w:rsidR="009200F2" w:rsidRPr="008401DD" w:rsidRDefault="009200F2"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10.12.2018</w:t>
            </w:r>
          </w:p>
        </w:tc>
        <w:tc>
          <w:tcPr>
            <w:tcW w:w="3898" w:type="dxa"/>
          </w:tcPr>
          <w:p w14:paraId="43E4F095" w14:textId="384F89E9" w:rsidR="00A615E6" w:rsidRPr="008401DD" w:rsidRDefault="009200F2"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Strategija predvideva štiri glavne teme mednarodnega razvojnega sodelovanja</w:t>
            </w:r>
            <w:r w:rsidR="00A615E6" w:rsidRPr="008401DD">
              <w:rPr>
                <w:sz w:val="18"/>
                <w:szCs w:val="20"/>
              </w:rPr>
              <w:t>:</w:t>
            </w:r>
          </w:p>
          <w:p w14:paraId="40EE4CBC" w14:textId="77777777" w:rsidR="00A615E6" w:rsidRPr="008401DD" w:rsidRDefault="009200F2" w:rsidP="00B8121B">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Slovenija se bo zavzemala za dostojno delo ter trajnostni in vključujoči gospodarski razvoj v partnerskih državah, spodbujala bo zaposlitvene možnosti za ženske in mlade ter razvoj </w:t>
            </w:r>
            <w:proofErr w:type="spellStart"/>
            <w:r w:rsidRPr="008401DD">
              <w:rPr>
                <w:sz w:val="18"/>
                <w:szCs w:val="20"/>
              </w:rPr>
              <w:t>mikro</w:t>
            </w:r>
            <w:proofErr w:type="spellEnd"/>
            <w:r w:rsidRPr="008401DD">
              <w:rPr>
                <w:sz w:val="18"/>
                <w:szCs w:val="20"/>
              </w:rPr>
              <w:t xml:space="preserve">, malih in srednjih podjetij v partnerskih državah. </w:t>
            </w:r>
          </w:p>
          <w:p w14:paraId="1102A284" w14:textId="77777777" w:rsidR="00A615E6" w:rsidRPr="008401DD" w:rsidRDefault="00A615E6" w:rsidP="00B8121B">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w:t>
            </w:r>
            <w:r w:rsidR="009200F2" w:rsidRPr="008401DD">
              <w:rPr>
                <w:sz w:val="18"/>
                <w:szCs w:val="20"/>
              </w:rPr>
              <w:t>podbujala</w:t>
            </w:r>
            <w:r w:rsidRPr="008401DD">
              <w:rPr>
                <w:sz w:val="18"/>
                <w:szCs w:val="20"/>
              </w:rPr>
              <w:t xml:space="preserve"> bo</w:t>
            </w:r>
            <w:r w:rsidR="009200F2" w:rsidRPr="008401DD">
              <w:rPr>
                <w:sz w:val="18"/>
                <w:szCs w:val="20"/>
              </w:rPr>
              <w:t xml:space="preserve"> razvoj dobrega upravljanja in vladavine prava, vključno s podporo vzpostavitvi učinkovitih, odgovornih in preglednih institucij. </w:t>
            </w:r>
          </w:p>
          <w:p w14:paraId="2D2149BE" w14:textId="77777777" w:rsidR="00A615E6" w:rsidRPr="008401DD" w:rsidRDefault="009200F2" w:rsidP="00B8121B">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Zavzemala se bo za trajnostno gospodarjenje z naravnimi viri in njihovo učinkovito rabo, predvsem s podporo prehodu v t. i. krožno gospodarstvo. </w:t>
            </w:r>
          </w:p>
          <w:p w14:paraId="7116C2CE" w14:textId="77777777" w:rsidR="009200F2" w:rsidRPr="008401DD" w:rsidRDefault="00A615E6" w:rsidP="00B8121B">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Nudila bo</w:t>
            </w:r>
            <w:r w:rsidR="009200F2" w:rsidRPr="008401DD">
              <w:rPr>
                <w:sz w:val="18"/>
                <w:szCs w:val="20"/>
              </w:rPr>
              <w:t xml:space="preserve"> pomoč dejavnostim za zmanjševanje izpustov toplogrednih plinov in prilagajanje podnebnim spremembam v partnerskih državah.</w:t>
            </w:r>
          </w:p>
        </w:tc>
        <w:tc>
          <w:tcPr>
            <w:tcW w:w="2338" w:type="dxa"/>
          </w:tcPr>
          <w:p w14:paraId="113C4F4D" w14:textId="6FF0A142" w:rsidR="009200F2" w:rsidRPr="008401DD" w:rsidRDefault="009200F2"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Zahodni Balkan, evropsko sosedstvo in Podsaharska Afrika</w:t>
            </w:r>
            <w:r w:rsidR="00125E87" w:rsidRPr="008401DD">
              <w:rPr>
                <w:sz w:val="18"/>
                <w:szCs w:val="20"/>
              </w:rPr>
              <w:t>, s poudarkom na najmanj razvitih državah.</w:t>
            </w:r>
          </w:p>
        </w:tc>
      </w:tr>
      <w:tr w:rsidR="003953C5" w:rsidRPr="008401DD" w14:paraId="1ADCA2AD"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32AE75D4" w14:textId="7F1FB91E" w:rsidR="003953C5" w:rsidRPr="008401DD" w:rsidRDefault="003953C5" w:rsidP="00960E68">
            <w:pPr>
              <w:spacing w:line="276" w:lineRule="auto"/>
              <w:rPr>
                <w:color w:val="67C18C"/>
                <w:sz w:val="18"/>
                <w:szCs w:val="20"/>
              </w:rPr>
            </w:pPr>
            <w:r w:rsidRPr="008401DD">
              <w:rPr>
                <w:b w:val="0"/>
                <w:color w:val="67C18C"/>
                <w:sz w:val="18"/>
                <w:szCs w:val="20"/>
              </w:rPr>
              <w:t xml:space="preserve">Okvirni program mednarodnega razvojnega sodelovanja in humanitarne pomoči </w:t>
            </w:r>
            <w:r w:rsidRPr="008401DD">
              <w:rPr>
                <w:b w:val="0"/>
                <w:color w:val="67C18C"/>
                <w:sz w:val="18"/>
                <w:szCs w:val="20"/>
              </w:rPr>
              <w:lastRenderedPageBreak/>
              <w:t>Republike Slovenije v letih 2011 in 2012</w:t>
            </w:r>
          </w:p>
        </w:tc>
        <w:tc>
          <w:tcPr>
            <w:tcW w:w="1134" w:type="dxa"/>
          </w:tcPr>
          <w:p w14:paraId="422F9DD2" w14:textId="7777777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lastRenderedPageBreak/>
              <w:t>25.2.2010</w:t>
            </w:r>
          </w:p>
          <w:p w14:paraId="69EB1FC7" w14:textId="2D5CC2B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(ne velja več)</w:t>
            </w:r>
          </w:p>
        </w:tc>
        <w:tc>
          <w:tcPr>
            <w:tcW w:w="3898" w:type="dxa"/>
          </w:tcPr>
          <w:p w14:paraId="5BF9BD4F" w14:textId="1386DAE2"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Vsebinske prioritete razvojnega sodelovanja:</w:t>
            </w:r>
          </w:p>
          <w:p w14:paraId="37B2767D" w14:textId="00284025" w:rsidR="003953C5" w:rsidRPr="00B8121B" w:rsidRDefault="003953C5" w:rsidP="00B8121B">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družbene storitve </w:t>
            </w:r>
          </w:p>
          <w:p w14:paraId="2198FE91" w14:textId="20764A8D" w:rsidR="003953C5" w:rsidRPr="00B8121B" w:rsidRDefault="003953C5" w:rsidP="00B8121B">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gospodarske storitve </w:t>
            </w:r>
          </w:p>
          <w:p w14:paraId="7EBE7342" w14:textId="3EFDE634" w:rsidR="003953C5" w:rsidRPr="00B8121B" w:rsidRDefault="003953C5" w:rsidP="00B8121B">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roofErr w:type="spellStart"/>
            <w:r w:rsidRPr="00B8121B">
              <w:rPr>
                <w:sz w:val="18"/>
                <w:szCs w:val="20"/>
              </w:rPr>
              <w:t>multisektorske</w:t>
            </w:r>
            <w:proofErr w:type="spellEnd"/>
            <w:r w:rsidRPr="00B8121B">
              <w:rPr>
                <w:sz w:val="18"/>
                <w:szCs w:val="20"/>
              </w:rPr>
              <w:t xml:space="preserve"> in horizontalne oblike pomoči </w:t>
            </w:r>
          </w:p>
          <w:p w14:paraId="100F57BF"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1DE73A16" w14:textId="678C07B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Vsebinske prioritete humanitarne in post-konfliktne pomoči: </w:t>
            </w:r>
          </w:p>
          <w:p w14:paraId="4A67FF43" w14:textId="7142A797" w:rsidR="003953C5" w:rsidRPr="00B8121B" w:rsidRDefault="003953C5" w:rsidP="00B8121B">
            <w:pPr>
              <w:pStyle w:val="ListParagraph"/>
              <w:numPr>
                <w:ilvl w:val="0"/>
                <w:numId w:val="31"/>
              </w:numPr>
              <w:spacing w:line="276" w:lineRule="auto"/>
              <w:ind w:left="360"/>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zmanjševanje revščine in lakote, </w:t>
            </w:r>
          </w:p>
          <w:p w14:paraId="74182B9F" w14:textId="46208066" w:rsidR="003953C5" w:rsidRPr="00B8121B" w:rsidRDefault="003953C5" w:rsidP="00B8121B">
            <w:pPr>
              <w:pStyle w:val="ListParagraph"/>
              <w:numPr>
                <w:ilvl w:val="0"/>
                <w:numId w:val="31"/>
              </w:numPr>
              <w:spacing w:line="276" w:lineRule="auto"/>
              <w:ind w:left="360"/>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protiminsko delovanje ter </w:t>
            </w:r>
          </w:p>
          <w:p w14:paraId="7C2F065B" w14:textId="3DA71E12" w:rsidR="003953C5" w:rsidRPr="00B8121B" w:rsidRDefault="003953C5" w:rsidP="00B8121B">
            <w:pPr>
              <w:pStyle w:val="ListParagraph"/>
              <w:numPr>
                <w:ilvl w:val="0"/>
                <w:numId w:val="30"/>
              </w:numPr>
              <w:spacing w:line="276" w:lineRule="auto"/>
              <w:ind w:left="360"/>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pomoč otrokom v post-konfliktnih situacijah</w:t>
            </w:r>
          </w:p>
        </w:tc>
        <w:tc>
          <w:tcPr>
            <w:tcW w:w="2338" w:type="dxa"/>
          </w:tcPr>
          <w:p w14:paraId="3313D4EF" w14:textId="1CB6EDE0"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lastRenderedPageBreak/>
              <w:t xml:space="preserve">Države Zahodnega Balkana: Črna gora in Makedonija (programsko), Bosna in Hercegovina, </w:t>
            </w:r>
            <w:r w:rsidRPr="008401DD">
              <w:rPr>
                <w:sz w:val="18"/>
                <w:szCs w:val="20"/>
              </w:rPr>
              <w:lastRenderedPageBreak/>
              <w:t>Srbija, Kosovo in Albanija (projektno)</w:t>
            </w:r>
          </w:p>
        </w:tc>
      </w:tr>
      <w:tr w:rsidR="003953C5" w:rsidRPr="008401DD" w14:paraId="0EEF5113"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0CA9F1D0" w14:textId="77777777" w:rsidR="003953C5" w:rsidRPr="008401DD" w:rsidRDefault="003953C5" w:rsidP="00960E68">
            <w:pPr>
              <w:spacing w:line="276" w:lineRule="auto"/>
              <w:rPr>
                <w:b w:val="0"/>
                <w:color w:val="67C18C"/>
                <w:sz w:val="18"/>
                <w:szCs w:val="20"/>
              </w:rPr>
            </w:pPr>
            <w:r w:rsidRPr="008401DD">
              <w:rPr>
                <w:b w:val="0"/>
                <w:color w:val="67C18C"/>
                <w:sz w:val="18"/>
                <w:szCs w:val="20"/>
              </w:rPr>
              <w:lastRenderedPageBreak/>
              <w:t>Okvirni program mednarodnega razvojnega sodelovanja in humanitarne pomoči Republike Slovenije za obdobje 2013 do 2015</w:t>
            </w:r>
          </w:p>
        </w:tc>
        <w:tc>
          <w:tcPr>
            <w:tcW w:w="1134" w:type="dxa"/>
          </w:tcPr>
          <w:p w14:paraId="6EAE7853" w14:textId="7777777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11. 4. 2013 za obdobje 2013 do 2015</w:t>
            </w:r>
          </w:p>
        </w:tc>
        <w:tc>
          <w:tcPr>
            <w:tcW w:w="3898" w:type="dxa"/>
          </w:tcPr>
          <w:p w14:paraId="364AF819" w14:textId="2A0EC9EC" w:rsidR="003953C5" w:rsidRPr="00B8121B" w:rsidRDefault="003953C5" w:rsidP="00B8121B">
            <w:pPr>
              <w:pStyle w:val="ListParagraph"/>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Krepitev dobrega upravljanja in pravne države s poudarkom na približevanju evroatlantskim integracijam</w:t>
            </w:r>
          </w:p>
          <w:p w14:paraId="751C98F1" w14:textId="388828FC" w:rsidR="003953C5" w:rsidRPr="00B8121B" w:rsidRDefault="003953C5" w:rsidP="00B8121B">
            <w:pPr>
              <w:pStyle w:val="ListParagraph"/>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Varovanje okolja s poudarkom na trajnostnem upravljanju voda</w:t>
            </w:r>
          </w:p>
          <w:p w14:paraId="652448CA" w14:textId="77777777" w:rsidR="003953C5" w:rsidRPr="00B8121B" w:rsidRDefault="003953C5" w:rsidP="00B8121B">
            <w:pPr>
              <w:pStyle w:val="ListParagraph"/>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Krepitev vloge žensk in skrb za dobrobit otrok</w:t>
            </w:r>
          </w:p>
        </w:tc>
        <w:tc>
          <w:tcPr>
            <w:tcW w:w="2338" w:type="dxa"/>
          </w:tcPr>
          <w:p w14:paraId="3C09554F"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Črna gora, Makedonija, Bosna in Hercegovina, Srbija, Kosovo in Albanija, </w:t>
            </w:r>
          </w:p>
          <w:p w14:paraId="4D1A8F11"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Moldavija, Zelenortski otoki</w:t>
            </w:r>
          </w:p>
        </w:tc>
      </w:tr>
      <w:tr w:rsidR="003953C5" w:rsidRPr="008401DD" w14:paraId="48A3488B"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0E060DD6" w14:textId="77777777" w:rsidR="003953C5" w:rsidRPr="008401DD" w:rsidRDefault="003953C5" w:rsidP="00960E68">
            <w:pPr>
              <w:spacing w:line="276" w:lineRule="auto"/>
              <w:rPr>
                <w:b w:val="0"/>
                <w:color w:val="67C18C"/>
                <w:sz w:val="18"/>
                <w:szCs w:val="20"/>
              </w:rPr>
            </w:pPr>
            <w:r w:rsidRPr="008401DD">
              <w:rPr>
                <w:b w:val="0"/>
                <w:color w:val="67C18C"/>
                <w:sz w:val="18"/>
                <w:szCs w:val="20"/>
              </w:rPr>
              <w:t>Okvirni program mednarodnega razvojnega sodelovanja in humanitarne pomoči Republike Slovenije za obdobje 2016 do 2019</w:t>
            </w:r>
          </w:p>
        </w:tc>
        <w:tc>
          <w:tcPr>
            <w:tcW w:w="1134" w:type="dxa"/>
          </w:tcPr>
          <w:p w14:paraId="194D8C9B" w14:textId="7777777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14. 4. 2016 za obdobje 2016 do 2019</w:t>
            </w:r>
          </w:p>
        </w:tc>
        <w:tc>
          <w:tcPr>
            <w:tcW w:w="3898" w:type="dxa"/>
          </w:tcPr>
          <w:p w14:paraId="4F17E32F" w14:textId="77777777" w:rsidR="003953C5" w:rsidRPr="00B8121B" w:rsidRDefault="003953C5" w:rsidP="00B8121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Krepitev dobrega upravljanja in pravne države s poudarkom na približevanju EU</w:t>
            </w:r>
          </w:p>
          <w:p w14:paraId="627369D9" w14:textId="2B09FBDA" w:rsidR="003953C5" w:rsidRPr="00B8121B" w:rsidRDefault="003953C5" w:rsidP="00B8121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Varovanje okolja s poudarkom na trajnostnem upravljanju voda</w:t>
            </w:r>
          </w:p>
          <w:p w14:paraId="00B099A1" w14:textId="0D3AAC93" w:rsidR="003953C5" w:rsidRPr="00B8121B" w:rsidRDefault="003953C5" w:rsidP="00B8121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B8121B">
              <w:rPr>
                <w:sz w:val="18"/>
                <w:szCs w:val="20"/>
              </w:rPr>
              <w:t xml:space="preserve">Krepitev vloge žensk in skrb za dobrobit otrok </w:t>
            </w:r>
          </w:p>
        </w:tc>
        <w:tc>
          <w:tcPr>
            <w:tcW w:w="2338" w:type="dxa"/>
          </w:tcPr>
          <w:p w14:paraId="12026944"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i/>
                <w:sz w:val="18"/>
                <w:szCs w:val="20"/>
              </w:rPr>
              <w:t>Zahodni Balkan</w:t>
            </w:r>
            <w:r w:rsidRPr="008401DD">
              <w:rPr>
                <w:sz w:val="18"/>
                <w:szCs w:val="20"/>
              </w:rPr>
              <w:t xml:space="preserve"> – Črna gora (programsko), Bosna in Hercegovina, Makedonija, Srbija, Kosovo in Albanija</w:t>
            </w:r>
          </w:p>
          <w:p w14:paraId="018D1CE4"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(projektno)</w:t>
            </w:r>
          </w:p>
          <w:p w14:paraId="1D9A04E0"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i/>
                <w:sz w:val="18"/>
                <w:szCs w:val="20"/>
              </w:rPr>
              <w:t>Vzhodna Evropa, Kavkaz in srednja Azija</w:t>
            </w:r>
            <w:r w:rsidRPr="008401DD">
              <w:rPr>
                <w:sz w:val="18"/>
                <w:szCs w:val="20"/>
              </w:rPr>
              <w:t xml:space="preserve"> – predvsem Ukrajina in Moldavija </w:t>
            </w:r>
          </w:p>
          <w:p w14:paraId="38B9BD63"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i/>
                <w:sz w:val="18"/>
                <w:szCs w:val="20"/>
              </w:rPr>
              <w:t>(Podsaharska) Afrika</w:t>
            </w:r>
            <w:r w:rsidRPr="008401DD">
              <w:rPr>
                <w:sz w:val="18"/>
                <w:szCs w:val="20"/>
              </w:rPr>
              <w:t xml:space="preserve"> - Zelenortski otoki (projektno)</w:t>
            </w:r>
          </w:p>
        </w:tc>
      </w:tr>
      <w:tr w:rsidR="003953C5" w:rsidRPr="008401DD" w14:paraId="5A62C4BB"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3B22E492" w14:textId="51C18E45" w:rsidR="003953C5" w:rsidRPr="008401DD" w:rsidRDefault="003953C5" w:rsidP="00960E68">
            <w:pPr>
              <w:spacing w:line="276" w:lineRule="auto"/>
              <w:rPr>
                <w:color w:val="67C18C"/>
                <w:sz w:val="18"/>
                <w:szCs w:val="20"/>
              </w:rPr>
            </w:pPr>
            <w:r w:rsidRPr="008401DD">
              <w:rPr>
                <w:b w:val="0"/>
                <w:color w:val="67C18C"/>
                <w:sz w:val="18"/>
                <w:szCs w:val="20"/>
              </w:rPr>
              <w:t xml:space="preserve">Sporazum med </w:t>
            </w:r>
            <w:r w:rsidR="00EE0970" w:rsidRPr="008401DD">
              <w:rPr>
                <w:b w:val="0"/>
                <w:color w:val="67C18C"/>
                <w:sz w:val="18"/>
                <w:szCs w:val="20"/>
              </w:rPr>
              <w:t>V</w:t>
            </w:r>
            <w:r w:rsidRPr="008401DD">
              <w:rPr>
                <w:b w:val="0"/>
                <w:color w:val="67C18C"/>
                <w:sz w:val="18"/>
                <w:szCs w:val="20"/>
              </w:rPr>
              <w:t xml:space="preserve">lado Republike Slovenije in </w:t>
            </w:r>
            <w:r w:rsidR="00EE0970" w:rsidRPr="008401DD">
              <w:rPr>
                <w:b w:val="0"/>
                <w:color w:val="67C18C"/>
                <w:sz w:val="18"/>
                <w:szCs w:val="20"/>
              </w:rPr>
              <w:t>V</w:t>
            </w:r>
            <w:r w:rsidRPr="008401DD">
              <w:rPr>
                <w:b w:val="0"/>
                <w:color w:val="67C18C"/>
                <w:sz w:val="18"/>
                <w:szCs w:val="20"/>
              </w:rPr>
              <w:t>lado Republike Makedonije o razvojnem sodelovanju</w:t>
            </w:r>
          </w:p>
        </w:tc>
        <w:tc>
          <w:tcPr>
            <w:tcW w:w="1134" w:type="dxa"/>
          </w:tcPr>
          <w:p w14:paraId="44A79A58" w14:textId="7777777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10.7.2006</w:t>
            </w:r>
          </w:p>
        </w:tc>
        <w:tc>
          <w:tcPr>
            <w:tcW w:w="3898" w:type="dxa"/>
          </w:tcPr>
          <w:p w14:paraId="6CD8EB9F"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8401DD">
              <w:rPr>
                <w:rFonts w:cs="Arial"/>
                <w:color w:val="000000"/>
                <w:sz w:val="18"/>
                <w:szCs w:val="18"/>
                <w:shd w:val="clear" w:color="auto" w:fill="FFFFFF"/>
              </w:rPr>
              <w:t>Ciljna področja razvojnega sodelovanja so:</w:t>
            </w:r>
          </w:p>
          <w:p w14:paraId="58D421CE"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trajnostni gospodarski razvoj,</w:t>
            </w:r>
          </w:p>
          <w:p w14:paraId="5D21BD2B"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osnovne socialne storitve,</w:t>
            </w:r>
          </w:p>
          <w:p w14:paraId="7262F296"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odgovorno vodenje države,</w:t>
            </w:r>
          </w:p>
          <w:p w14:paraId="590147C5"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socialna varnost,</w:t>
            </w:r>
          </w:p>
          <w:p w14:paraId="212B4455"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varstvo okolja,</w:t>
            </w:r>
          </w:p>
          <w:p w14:paraId="13E93CB6" w14:textId="77777777" w:rsidR="003953C5" w:rsidRPr="008401DD" w:rsidRDefault="003953C5" w:rsidP="00B8121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rFonts w:cs="Arial"/>
                <w:color w:val="000000"/>
                <w:sz w:val="18"/>
                <w:szCs w:val="18"/>
                <w:shd w:val="clear" w:color="auto" w:fill="FFFFFF"/>
              </w:rPr>
              <w:t>razvoj raziskovanja/znanja.</w:t>
            </w:r>
          </w:p>
          <w:p w14:paraId="75CABEB2"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7E02B5C9"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Glavni namen je približati Severno Makedonijo članstvu v EU. </w:t>
            </w:r>
          </w:p>
        </w:tc>
        <w:tc>
          <w:tcPr>
            <w:tcW w:w="2338" w:type="dxa"/>
          </w:tcPr>
          <w:p w14:paraId="4904DB6D" w14:textId="77777777"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Republika Severna Makedonija</w:t>
            </w:r>
          </w:p>
        </w:tc>
      </w:tr>
      <w:tr w:rsidR="003953C5" w:rsidRPr="008401DD" w14:paraId="79BBD9BA" w14:textId="77777777" w:rsidTr="00F15908">
        <w:tc>
          <w:tcPr>
            <w:cnfStyle w:val="001000000000" w:firstRow="0" w:lastRow="0" w:firstColumn="1" w:lastColumn="0" w:oddVBand="0" w:evenVBand="0" w:oddHBand="0" w:evenHBand="0" w:firstRowFirstColumn="0" w:firstRowLastColumn="0" w:lastRowFirstColumn="0" w:lastRowLastColumn="0"/>
            <w:tcW w:w="1980" w:type="dxa"/>
          </w:tcPr>
          <w:p w14:paraId="2C76D7F3" w14:textId="6BB00DC8" w:rsidR="003953C5" w:rsidRPr="008401DD" w:rsidRDefault="003953C5" w:rsidP="00960E68">
            <w:pPr>
              <w:spacing w:line="276" w:lineRule="auto"/>
              <w:rPr>
                <w:b w:val="0"/>
                <w:color w:val="67C18C"/>
                <w:sz w:val="18"/>
                <w:szCs w:val="20"/>
              </w:rPr>
            </w:pPr>
            <w:r w:rsidRPr="008401DD">
              <w:rPr>
                <w:b w:val="0"/>
                <w:color w:val="67C18C"/>
                <w:sz w:val="18"/>
                <w:szCs w:val="20"/>
              </w:rPr>
              <w:t xml:space="preserve">Memorandum o mednarodnem razvojnem sodelovanju med </w:t>
            </w:r>
            <w:r w:rsidR="00EE0970" w:rsidRPr="008401DD">
              <w:rPr>
                <w:b w:val="0"/>
                <w:color w:val="67C18C"/>
                <w:sz w:val="18"/>
                <w:szCs w:val="20"/>
              </w:rPr>
              <w:t>V</w:t>
            </w:r>
            <w:r w:rsidRPr="008401DD">
              <w:rPr>
                <w:b w:val="0"/>
                <w:color w:val="67C18C"/>
                <w:sz w:val="18"/>
                <w:szCs w:val="20"/>
              </w:rPr>
              <w:t xml:space="preserve">lado Republike Slovenije in </w:t>
            </w:r>
            <w:r w:rsidR="00EE0970" w:rsidRPr="008401DD">
              <w:rPr>
                <w:b w:val="0"/>
                <w:color w:val="67C18C"/>
                <w:sz w:val="18"/>
                <w:szCs w:val="20"/>
              </w:rPr>
              <w:t>V</w:t>
            </w:r>
            <w:r w:rsidRPr="008401DD">
              <w:rPr>
                <w:b w:val="0"/>
                <w:color w:val="67C18C"/>
                <w:sz w:val="18"/>
                <w:szCs w:val="20"/>
              </w:rPr>
              <w:t>lado Republike Makedonije v letu 2012</w:t>
            </w:r>
          </w:p>
        </w:tc>
        <w:tc>
          <w:tcPr>
            <w:tcW w:w="1134" w:type="dxa"/>
          </w:tcPr>
          <w:p w14:paraId="2BDF6ED9" w14:textId="77777777"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3.7.2012</w:t>
            </w:r>
          </w:p>
          <w:p w14:paraId="6647427E" w14:textId="1989DD80" w:rsidR="003953C5" w:rsidRPr="008401DD" w:rsidRDefault="003953C5" w:rsidP="007E77A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(ne velja več)</w:t>
            </w:r>
          </w:p>
        </w:tc>
        <w:tc>
          <w:tcPr>
            <w:tcW w:w="3898" w:type="dxa"/>
          </w:tcPr>
          <w:p w14:paraId="56CEC4F9" w14:textId="01A17DA2"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401DD">
              <w:rPr>
                <w:rFonts w:cs="Arial"/>
                <w:color w:val="000000"/>
                <w:sz w:val="18"/>
                <w:szCs w:val="18"/>
                <w:shd w:val="clear" w:color="auto" w:fill="FFFFFF"/>
              </w:rPr>
              <w:t xml:space="preserve">Sledenje strateškim prednostnim usmeritvam </w:t>
            </w:r>
            <w:r w:rsidR="00627CD3" w:rsidRPr="008401DD">
              <w:rPr>
                <w:rFonts w:cs="Arial"/>
                <w:color w:val="000000"/>
                <w:sz w:val="18"/>
                <w:szCs w:val="18"/>
                <w:shd w:val="clear" w:color="auto" w:fill="FFFFFF"/>
              </w:rPr>
              <w:t xml:space="preserve">Severne </w:t>
            </w:r>
            <w:r w:rsidRPr="008401DD">
              <w:rPr>
                <w:rFonts w:cs="Arial"/>
                <w:color w:val="000000"/>
                <w:sz w:val="18"/>
                <w:szCs w:val="18"/>
                <w:shd w:val="clear" w:color="auto" w:fill="FFFFFF"/>
              </w:rPr>
              <w:t>Makedonije in potrebam po njenem nadaljnjem gospodarskem in družbenem razvoju, spodbujanju uravnoteženega regionalnega razvoja ter varovanja okolja.</w:t>
            </w:r>
          </w:p>
        </w:tc>
        <w:tc>
          <w:tcPr>
            <w:tcW w:w="2338" w:type="dxa"/>
          </w:tcPr>
          <w:p w14:paraId="55675F32" w14:textId="491CFDEB" w:rsidR="003953C5" w:rsidRPr="008401DD" w:rsidRDefault="003953C5" w:rsidP="00B8121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Republika Severna Makedonija</w:t>
            </w:r>
          </w:p>
        </w:tc>
      </w:tr>
    </w:tbl>
    <w:p w14:paraId="3A7779A6" w14:textId="77777777" w:rsidR="00E46F33" w:rsidRPr="008401DD" w:rsidRDefault="00E46F33" w:rsidP="00960E68">
      <w:pPr>
        <w:rPr>
          <w:rFonts w:eastAsiaTheme="majorEastAsia" w:cs="Arial"/>
          <w:color w:val="9ACA3C"/>
          <w:sz w:val="28"/>
          <w:szCs w:val="28"/>
        </w:rPr>
      </w:pPr>
      <w:r w:rsidRPr="008401DD">
        <w:br w:type="page"/>
      </w:r>
    </w:p>
    <w:p w14:paraId="1A221580" w14:textId="079D594C" w:rsidR="00B36119" w:rsidRPr="008401DD" w:rsidRDefault="00B36119" w:rsidP="00960E68">
      <w:pPr>
        <w:pStyle w:val="Heading2"/>
        <w:spacing w:before="0" w:after="0"/>
      </w:pPr>
      <w:bookmarkStart w:id="39" w:name="_Toc52394918"/>
      <w:bookmarkStart w:id="40" w:name="_Toc56088892"/>
      <w:bookmarkStart w:id="41" w:name="_Toc56112186"/>
      <w:bookmarkStart w:id="42" w:name="_Toc57377163"/>
      <w:r w:rsidRPr="008401DD">
        <w:lastRenderedPageBreak/>
        <w:t>Institucionalni kontekst</w:t>
      </w:r>
      <w:bookmarkEnd w:id="39"/>
      <w:bookmarkEnd w:id="40"/>
      <w:bookmarkEnd w:id="41"/>
      <w:bookmarkEnd w:id="42"/>
    </w:p>
    <w:p w14:paraId="5F59D816" w14:textId="77777777" w:rsidR="006F317B" w:rsidRDefault="006F317B" w:rsidP="00960E68">
      <w:pPr>
        <w:jc w:val="both"/>
      </w:pPr>
    </w:p>
    <w:p w14:paraId="289F81A1" w14:textId="196F5699" w:rsidR="00A615E6" w:rsidRPr="008401DD" w:rsidRDefault="00A615E6" w:rsidP="00960E68">
      <w:pPr>
        <w:jc w:val="both"/>
      </w:pPr>
      <w:r w:rsidRPr="008401DD">
        <w:t xml:space="preserve">Ključni deležniki načrtovanja in izvajanja mednarodnega razvojnega sodelovanja in humanitarne pomoči v Sloveniji so: </w:t>
      </w:r>
      <w:r w:rsidRPr="008401DD">
        <w:rPr>
          <w:b/>
        </w:rPr>
        <w:t>Ministrstvo za zunanje zadeve</w:t>
      </w:r>
      <w:r w:rsidRPr="008401DD">
        <w:t xml:space="preserve"> kot nacionalni koordinator, </w:t>
      </w:r>
      <w:r w:rsidRPr="008401DD">
        <w:rPr>
          <w:b/>
        </w:rPr>
        <w:t>Stalna koordinacijska skupina</w:t>
      </w:r>
      <w:r w:rsidRPr="008401DD">
        <w:t xml:space="preserve"> (v preteklosti Medresorsko delovno telo),</w:t>
      </w:r>
      <w:r w:rsidRPr="008401DD">
        <w:rPr>
          <w:rFonts w:cs="Calibri"/>
          <w:color w:val="404040"/>
          <w:szCs w:val="20"/>
        </w:rPr>
        <w:t xml:space="preserve"> </w:t>
      </w:r>
      <w:r w:rsidRPr="008401DD">
        <w:t>ki je glavni koordinacijski organ za mednarodno razvojno sodelovanje in humanitarno pomoč, sestavljajo pa jo predstavniki ministrstev in vladnih služb,</w:t>
      </w:r>
      <w:r w:rsidRPr="008401DD">
        <w:rPr>
          <w:rFonts w:cs="Calibri"/>
          <w:color w:val="404040"/>
          <w:szCs w:val="20"/>
        </w:rPr>
        <w:t xml:space="preserve"> </w:t>
      </w:r>
      <w:r w:rsidRPr="008401DD">
        <w:rPr>
          <w:b/>
        </w:rPr>
        <w:t>Strokovni svet za mednarodno razvojno sodelovanje</w:t>
      </w:r>
      <w:r w:rsidRPr="008401DD">
        <w:t>, drugi resorji ter izvajalci: ustanove, nevladne organizacije in zasebni sektor.</w:t>
      </w:r>
    </w:p>
    <w:p w14:paraId="7486E8C6" w14:textId="77777777" w:rsidR="006B0F9E" w:rsidRPr="008401DD" w:rsidRDefault="006B0F9E" w:rsidP="00960E68">
      <w:pPr>
        <w:jc w:val="both"/>
      </w:pPr>
    </w:p>
    <w:p w14:paraId="0A3CC4D3" w14:textId="70D09E20" w:rsidR="00B36119" w:rsidRPr="008401DD" w:rsidRDefault="00B36119" w:rsidP="00960E68">
      <w:pPr>
        <w:jc w:val="both"/>
      </w:pPr>
      <w:r w:rsidRPr="008401DD">
        <w:rPr>
          <w:b/>
        </w:rPr>
        <w:t>Ministrstvo za zunanje zadeve</w:t>
      </w:r>
      <w:r w:rsidRPr="008401DD">
        <w:t xml:space="preserve"> je nacionalni koordinator MRS v RS, državni sekretar za področje </w:t>
      </w:r>
      <w:proofErr w:type="spellStart"/>
      <w:r w:rsidRPr="008401DD">
        <w:t>multilaterale</w:t>
      </w:r>
      <w:proofErr w:type="spellEnd"/>
      <w:r w:rsidRPr="008401DD">
        <w:t xml:space="preserve"> ima tudi vlogo razvojnega ministra. Strokovno se s področjem MRS ukvarja Direktorat</w:t>
      </w:r>
      <w:r w:rsidR="00125E87" w:rsidRPr="008401DD">
        <w:t xml:space="preserve"> pristojen za MRS in humanitarno pomoč</w:t>
      </w:r>
      <w:r w:rsidRPr="008401DD">
        <w:t>, ki je pristojen za načrtovanje politik MRS na nacionalni in mednarodni ravni ter za izvajanje, koordiniranje in spremljanje MRS. Operativno načrtovanje in spremljanje izvajanja programov in projektov MRS poleg ostalih nalog povezanih z MRS znotraj direktorata opravlja Sektor za razvojno sodelovanje in humanitarno pomoč.</w:t>
      </w:r>
    </w:p>
    <w:p w14:paraId="0E4F27B7" w14:textId="77777777" w:rsidR="006B0F9E" w:rsidRPr="008401DD" w:rsidRDefault="006B0F9E" w:rsidP="00960E68">
      <w:pPr>
        <w:jc w:val="both"/>
      </w:pPr>
    </w:p>
    <w:p w14:paraId="58578321" w14:textId="2B5D5458" w:rsidR="00E76C26" w:rsidRPr="008401DD" w:rsidRDefault="00E76C26" w:rsidP="00960E68">
      <w:pPr>
        <w:spacing w:line="240" w:lineRule="auto"/>
        <w:contextualSpacing/>
        <w:jc w:val="both"/>
        <w:rPr>
          <w:rFonts w:eastAsia="Times New Roman" w:cs="Calibri"/>
          <w:szCs w:val="20"/>
          <w:lang w:eastAsia="sl-SI"/>
        </w:rPr>
      </w:pPr>
      <w:r w:rsidRPr="008401DD">
        <w:rPr>
          <w:b/>
        </w:rPr>
        <w:t>Stalna koordinacijska skupina</w:t>
      </w:r>
      <w:r w:rsidRPr="008401DD">
        <w:t xml:space="preserve"> </w:t>
      </w:r>
      <w:r w:rsidRPr="008401DD">
        <w:rPr>
          <w:rFonts w:eastAsia="Times New Roman" w:cs="Calibri"/>
          <w:szCs w:val="20"/>
          <w:lang w:eastAsia="sl-SI"/>
        </w:rPr>
        <w:t>sodeluje pri načrtovanju</w:t>
      </w:r>
      <w:r w:rsidR="00E04767" w:rsidRPr="008401DD">
        <w:rPr>
          <w:rFonts w:eastAsia="Times New Roman" w:cs="Calibri"/>
          <w:szCs w:val="20"/>
          <w:lang w:eastAsia="sl-SI"/>
        </w:rPr>
        <w:t xml:space="preserve"> in usklajevanju mednarodnega razvojnega sodelovanja in humanitarne pomoči in spremlja njegovo izvajanje. Prav tako obravnava okvirne višine sredstev </w:t>
      </w:r>
      <w:r w:rsidRPr="008401DD">
        <w:rPr>
          <w:rFonts w:eastAsia="Times New Roman" w:cs="Calibri"/>
          <w:szCs w:val="20"/>
          <w:lang w:eastAsia="sl-SI"/>
        </w:rPr>
        <w:t>mednarodnega razvojnega sodelovanja in humanitarne pomoči</w:t>
      </w:r>
      <w:r w:rsidR="00E04767" w:rsidRPr="008401DD">
        <w:rPr>
          <w:rFonts w:eastAsia="Times New Roman" w:cs="Calibri"/>
          <w:szCs w:val="20"/>
          <w:lang w:eastAsia="sl-SI"/>
        </w:rPr>
        <w:t>. Med nalogami skupine je tudi s</w:t>
      </w:r>
      <w:r w:rsidRPr="008401DD">
        <w:rPr>
          <w:rFonts w:eastAsia="Times New Roman" w:cs="Calibri"/>
          <w:szCs w:val="20"/>
          <w:lang w:eastAsia="sl-SI"/>
        </w:rPr>
        <w:t>premlja</w:t>
      </w:r>
      <w:r w:rsidR="00E04767" w:rsidRPr="008401DD">
        <w:rPr>
          <w:rFonts w:eastAsia="Times New Roman" w:cs="Calibri"/>
          <w:szCs w:val="20"/>
          <w:lang w:eastAsia="sl-SI"/>
        </w:rPr>
        <w:t>nje</w:t>
      </w:r>
      <w:r w:rsidRPr="008401DD">
        <w:rPr>
          <w:rFonts w:eastAsia="Times New Roman" w:cs="Calibri"/>
          <w:szCs w:val="20"/>
          <w:lang w:eastAsia="sl-SI"/>
        </w:rPr>
        <w:t xml:space="preserve"> skladnost</w:t>
      </w:r>
      <w:r w:rsidR="00187C68" w:rsidRPr="008401DD">
        <w:rPr>
          <w:rFonts w:eastAsia="Times New Roman" w:cs="Calibri"/>
          <w:szCs w:val="20"/>
          <w:lang w:eastAsia="sl-SI"/>
        </w:rPr>
        <w:t>i</w:t>
      </w:r>
      <w:r w:rsidRPr="008401DD">
        <w:rPr>
          <w:rFonts w:eastAsia="Times New Roman" w:cs="Calibri"/>
          <w:szCs w:val="20"/>
          <w:lang w:eastAsia="sl-SI"/>
        </w:rPr>
        <w:t xml:space="preserve"> politik za razvoj in uskl</w:t>
      </w:r>
      <w:r w:rsidR="00187C68" w:rsidRPr="008401DD">
        <w:rPr>
          <w:rFonts w:eastAsia="Times New Roman" w:cs="Calibri"/>
          <w:szCs w:val="20"/>
          <w:lang w:eastAsia="sl-SI"/>
        </w:rPr>
        <w:t>ajevanje</w:t>
      </w:r>
      <w:r w:rsidRPr="008401DD">
        <w:rPr>
          <w:rFonts w:eastAsia="Times New Roman" w:cs="Calibri"/>
          <w:szCs w:val="20"/>
          <w:lang w:eastAsia="sl-SI"/>
        </w:rPr>
        <w:t xml:space="preserve"> predlog</w:t>
      </w:r>
      <w:r w:rsidR="00187C68" w:rsidRPr="008401DD">
        <w:rPr>
          <w:rFonts w:eastAsia="Times New Roman" w:cs="Calibri"/>
          <w:szCs w:val="20"/>
          <w:lang w:eastAsia="sl-SI"/>
        </w:rPr>
        <w:t>ov</w:t>
      </w:r>
      <w:r w:rsidRPr="008401DD">
        <w:rPr>
          <w:rFonts w:eastAsia="Times New Roman" w:cs="Calibri"/>
          <w:szCs w:val="20"/>
          <w:lang w:eastAsia="sl-SI"/>
        </w:rPr>
        <w:t xml:space="preserve"> strateških in normativnih dokumentov s področja mednarodnega razvojnega sodelovanja in humanitarne pomoči ter spremlja</w:t>
      </w:r>
      <w:r w:rsidR="00E04767" w:rsidRPr="008401DD">
        <w:rPr>
          <w:rFonts w:eastAsia="Times New Roman" w:cs="Calibri"/>
          <w:szCs w:val="20"/>
          <w:lang w:eastAsia="sl-SI"/>
        </w:rPr>
        <w:t>nje ugotovitev</w:t>
      </w:r>
      <w:r w:rsidRPr="008401DD">
        <w:rPr>
          <w:rFonts w:eastAsia="Times New Roman" w:cs="Calibri"/>
          <w:szCs w:val="20"/>
          <w:lang w:eastAsia="sl-SI"/>
        </w:rPr>
        <w:t xml:space="preserve"> in priporočil evalvacij.</w:t>
      </w:r>
      <w:r w:rsidR="00091B6E" w:rsidRPr="008401DD">
        <w:rPr>
          <w:rFonts w:eastAsia="Times New Roman" w:cs="Calibri"/>
          <w:szCs w:val="20"/>
          <w:lang w:eastAsia="sl-SI"/>
        </w:rPr>
        <w:t xml:space="preserve"> </w:t>
      </w:r>
      <w:r w:rsidRPr="008401DD">
        <w:rPr>
          <w:rFonts w:eastAsia="Times New Roman" w:cs="Calibri"/>
          <w:szCs w:val="20"/>
          <w:lang w:eastAsia="sl-SI"/>
        </w:rPr>
        <w:t>Prav tako sodeluje tudi pri pripravi poročil in ocen uspešnosti izvajanja mednarodnega razvojnega sodelovanja in humanitarne pomoči.</w:t>
      </w:r>
    </w:p>
    <w:p w14:paraId="304E76D6" w14:textId="77777777" w:rsidR="008537EA" w:rsidRPr="008401DD" w:rsidRDefault="008537EA" w:rsidP="00960E68">
      <w:pPr>
        <w:spacing w:line="240" w:lineRule="auto"/>
        <w:contextualSpacing/>
        <w:jc w:val="both"/>
        <w:rPr>
          <w:rFonts w:eastAsia="Times New Roman" w:cs="Calibri"/>
          <w:szCs w:val="20"/>
          <w:lang w:eastAsia="sl-SI"/>
        </w:rPr>
      </w:pPr>
    </w:p>
    <w:p w14:paraId="4D31AE28" w14:textId="76E6B5F2" w:rsidR="008537EA" w:rsidRPr="008401DD" w:rsidRDefault="008537EA" w:rsidP="00960E68">
      <w:pPr>
        <w:spacing w:line="240" w:lineRule="auto"/>
        <w:jc w:val="both"/>
        <w:rPr>
          <w:rFonts w:asciiTheme="minorHAnsi" w:hAnsiTheme="minorHAnsi" w:cs="Calibri"/>
          <w:color w:val="404040" w:themeColor="text1" w:themeTint="BF"/>
        </w:rPr>
      </w:pPr>
      <w:r w:rsidRPr="008401DD">
        <w:rPr>
          <w:b/>
        </w:rPr>
        <w:t xml:space="preserve">Strokovni svet za mednarodno razvojno sodelovanje </w:t>
      </w:r>
      <w:r w:rsidRPr="008401DD">
        <w:rPr>
          <w:rFonts w:eastAsia="Times New Roman" w:cs="Calibri"/>
          <w:szCs w:val="20"/>
          <w:lang w:eastAsia="sl-SI"/>
        </w:rPr>
        <w:t xml:space="preserve">svetuje pri vprašanjih, ki jih nanj naslovi nacionalni koordinator za mednarodno razvojno sodelovanje in humanitarno pomoč, sodeluje pri pripravi strateških in normativnih dokumentov, spremlja </w:t>
      </w:r>
      <w:r w:rsidR="00491E77" w:rsidRPr="008401DD">
        <w:rPr>
          <w:rFonts w:eastAsia="Times New Roman" w:cs="Calibri"/>
          <w:szCs w:val="20"/>
          <w:lang w:eastAsia="sl-SI"/>
        </w:rPr>
        <w:t xml:space="preserve">izvajanje </w:t>
      </w:r>
      <w:r w:rsidRPr="008401DD">
        <w:rPr>
          <w:rFonts w:eastAsia="Times New Roman" w:cs="Calibri"/>
          <w:szCs w:val="20"/>
          <w:lang w:eastAsia="sl-SI"/>
        </w:rPr>
        <w:t>Strategije in pripravlja mnenja o dejavnostih in stališčih Slovenije na področju mednarodnega razvojnega sodelovanja in humanitarne pomoči.</w:t>
      </w:r>
    </w:p>
    <w:p w14:paraId="05F31A23" w14:textId="77777777" w:rsidR="008537EA" w:rsidRPr="008401DD" w:rsidRDefault="008537EA" w:rsidP="00960E68">
      <w:pPr>
        <w:spacing w:line="240" w:lineRule="auto"/>
        <w:contextualSpacing/>
        <w:jc w:val="both"/>
        <w:rPr>
          <w:b/>
        </w:rPr>
      </w:pPr>
    </w:p>
    <w:p w14:paraId="5A3E6FE1" w14:textId="77777777" w:rsidR="00A615E6" w:rsidRPr="008401DD" w:rsidRDefault="00A615E6" w:rsidP="00960E68">
      <w:pPr>
        <w:jc w:val="both"/>
      </w:pPr>
      <w:r w:rsidRPr="008401DD">
        <w:t xml:space="preserve">Pri načrtovanju in izvajanju mednarodnega razvojnega sodelovanja in humanitarne pomoči imajo ključno vlogo tudi </w:t>
      </w:r>
      <w:r w:rsidRPr="008401DD">
        <w:rPr>
          <w:b/>
        </w:rPr>
        <w:t>diplomatska predstavništva</w:t>
      </w:r>
      <w:r w:rsidRPr="008401DD">
        <w:t>,</w:t>
      </w:r>
      <w:r w:rsidR="00042041" w:rsidRPr="008401DD">
        <w:t xml:space="preserve"> ki</w:t>
      </w:r>
      <w:r w:rsidRPr="008401DD">
        <w:t xml:space="preserve"> so posredniki med donatorico in prejemnico,</w:t>
      </w:r>
      <w:r w:rsidR="00C01211" w:rsidRPr="008401DD">
        <w:t xml:space="preserve"> in </w:t>
      </w:r>
      <w:r w:rsidR="00C01211" w:rsidRPr="008401DD">
        <w:rPr>
          <w:b/>
        </w:rPr>
        <w:t>nevladne organizacije</w:t>
      </w:r>
      <w:r w:rsidR="00C01211" w:rsidRPr="008401DD">
        <w:t>, ki s svojo mrežo lokalnih partnerjev in neposrednim dostopom do ljudi na terenu omogočajo tudi delovanje v državah, kjer Slovenija nima diplomatske mreže.</w:t>
      </w:r>
    </w:p>
    <w:p w14:paraId="27AAA0CD" w14:textId="77777777" w:rsidR="00BD0975" w:rsidRPr="008401DD" w:rsidRDefault="00BD0975" w:rsidP="00960E68">
      <w:pPr>
        <w:jc w:val="both"/>
        <w:rPr>
          <w:b/>
        </w:rPr>
      </w:pPr>
    </w:p>
    <w:p w14:paraId="4B6974E5" w14:textId="4576BC38" w:rsidR="00DC5EF0" w:rsidRPr="008401DD" w:rsidRDefault="00C72259" w:rsidP="00DC5EF0">
      <w:pPr>
        <w:jc w:val="both"/>
      </w:pPr>
      <w:r w:rsidRPr="008401DD">
        <w:rPr>
          <w:b/>
        </w:rPr>
        <w:t>Center za mednarodno sodelovanje in razvoj</w:t>
      </w:r>
      <w:r w:rsidRPr="008401DD">
        <w:t xml:space="preserve"> (CMSR) je v skladu z Zakonom o mednarodnem razvojnem sodelovanju in humanitarni pomoči RS, izvajalec bilateralnega mednarodnega razvojnega sodelovanja</w:t>
      </w:r>
      <w:r w:rsidR="005A3F2C" w:rsidRPr="008401DD">
        <w:t xml:space="preserve"> Republike Slovenije</w:t>
      </w:r>
      <w:r w:rsidRPr="008401DD">
        <w:t xml:space="preserve">. </w:t>
      </w:r>
      <w:r w:rsidR="00776E20" w:rsidRPr="008401DD">
        <w:t>RS</w:t>
      </w:r>
      <w:r w:rsidRPr="008401DD">
        <w:t xml:space="preserve"> prek CMSR na podlagi sklenjenih pogodb o sofinanciranju programa CMSR za izvajanje mednarodnega razvojnega sodelovanja med CMSR in ministrstvi (pristojnimi za finance, okolje in gospodarstvo) </w:t>
      </w:r>
      <w:r w:rsidR="00472E98" w:rsidRPr="008401DD">
        <w:t xml:space="preserve">sofinancira </w:t>
      </w:r>
      <w:r w:rsidRPr="008401DD">
        <w:t xml:space="preserve">infrastrukturne in druge razvojne projekte v partnerskih državah. Na podlagi prioritetnih področij in območij mednarodnega razvojnega sodelovanja Slovenije, poznavanja slovenskega gospodarstva in </w:t>
      </w:r>
      <w:r w:rsidR="003C3D49" w:rsidRPr="008401DD">
        <w:t xml:space="preserve">njegovih primerjalnih prednosti, </w:t>
      </w:r>
      <w:r w:rsidR="00DC5EF0" w:rsidRPr="008401DD">
        <w:t xml:space="preserve">CMSR skladno z znanimi razvojnimi potrebami partnerskih držav na področju javne infrastrukture, ki so opredeljene v razvojnih načrtih partnerskih držav na nacionalni ali lokalni ravni, zbrane projektne predloge po preverjanju in ocenjevanju vključi v predlog </w:t>
      </w:r>
      <w:r w:rsidR="00DC5EF0">
        <w:t>programa</w:t>
      </w:r>
      <w:r w:rsidR="00DC5EF0" w:rsidRPr="008401DD">
        <w:t xml:space="preserve"> za izvajanje mednarodnega razvojnega sodelovanja za določeno obdobje in ga pošlje članom Sveta Centra za potrditev na seji Sveta Centra. Svet Centra na seji sprejme Program CMSR za izvajanje projektov MRS za določeno obdobje</w:t>
      </w:r>
      <w:r w:rsidR="00DC5EF0">
        <w:t>. Predlog programa vsebuje tudi s</w:t>
      </w:r>
      <w:r w:rsidR="00DC5EF0" w:rsidRPr="008401DD">
        <w:t xml:space="preserve">eznam nabora projektov </w:t>
      </w:r>
      <w:r w:rsidR="00DC5EF0">
        <w:t xml:space="preserve">in </w:t>
      </w:r>
      <w:r w:rsidR="00DC5EF0" w:rsidRPr="008401DD">
        <w:t>predloge za financiranje s strani različnih financerjev RS</w:t>
      </w:r>
      <w:r w:rsidR="00DC5EF0">
        <w:t xml:space="preserve">. </w:t>
      </w:r>
      <w:r w:rsidR="00DC5EF0" w:rsidRPr="008401DD">
        <w:t>CMSR predlagane projekte uradne razvojne pomoči za sofinanciranje s strani RS ocenjuje z vidika kakovosti vsebinske zasnove projekta, skladnosti z načeli trajnostnega razvoja in izdelane finančne konstrukcije</w:t>
      </w:r>
      <w:r w:rsidR="00DC5EF0" w:rsidRPr="008401DD">
        <w:rPr>
          <w:rStyle w:val="FootnoteReference"/>
        </w:rPr>
        <w:footnoteReference w:id="6"/>
      </w:r>
      <w:r w:rsidR="00DC5EF0" w:rsidRPr="008401DD">
        <w:t xml:space="preserve">. </w:t>
      </w:r>
      <w:r w:rsidR="00DC5EF0">
        <w:t>P</w:t>
      </w:r>
      <w:r w:rsidR="00DC5EF0" w:rsidRPr="008401DD">
        <w:t>otencialni financerji MRS</w:t>
      </w:r>
      <w:r w:rsidR="00DC5EF0">
        <w:t xml:space="preserve"> nato upoštevaje </w:t>
      </w:r>
      <w:r w:rsidR="00DC5EF0" w:rsidRPr="008401DD">
        <w:t xml:space="preserve">višino </w:t>
      </w:r>
      <w:r w:rsidR="00DC5EF0">
        <w:t xml:space="preserve">razpoložljivih </w:t>
      </w:r>
      <w:r w:rsidR="00DC5EF0" w:rsidRPr="008401DD">
        <w:t>sredstev za sofinanciranje</w:t>
      </w:r>
      <w:r w:rsidR="00DC5EF0">
        <w:t xml:space="preserve"> iz potrjenega programa izberejo projekte, ki so zreli za sofinanciranje</w:t>
      </w:r>
      <w:r w:rsidR="00DC5EF0" w:rsidRPr="008401DD">
        <w:t xml:space="preserve"> nacionalni koordinator pa pridobi mnenja diplomatsko-konzularnih predstavništev (DKP) in bilateralnih sektorjev,. Za projekte, ki so potrjeni tudi s strani vlade, CMSR (ali prejemnik nepovratnih sredstev v partnerski državi) izvedeta postopek izbire izvajalcev.</w:t>
      </w:r>
    </w:p>
    <w:p w14:paraId="3221868F" w14:textId="27B64511" w:rsidR="006B0F9E" w:rsidRPr="008401DD" w:rsidRDefault="006B0F9E" w:rsidP="00DC5EF0">
      <w:pPr>
        <w:jc w:val="both"/>
      </w:pPr>
    </w:p>
    <w:p w14:paraId="30032E48" w14:textId="590BBB69" w:rsidR="00C72259" w:rsidRPr="008401DD" w:rsidRDefault="00C72259" w:rsidP="00960E68">
      <w:pPr>
        <w:jc w:val="both"/>
      </w:pPr>
    </w:p>
    <w:p w14:paraId="2940EB4B" w14:textId="2EA871A3" w:rsidR="00801CC4" w:rsidRDefault="00103350" w:rsidP="00960E68">
      <w:pPr>
        <w:pStyle w:val="Heading2"/>
        <w:spacing w:before="0" w:after="0"/>
      </w:pPr>
      <w:bookmarkStart w:id="43" w:name="_Toc52394919"/>
      <w:bookmarkStart w:id="44" w:name="_Toc56088893"/>
      <w:bookmarkStart w:id="45" w:name="_Toc56112187"/>
      <w:bookmarkStart w:id="46" w:name="_Toc57377164"/>
      <w:r w:rsidRPr="008401DD">
        <w:lastRenderedPageBreak/>
        <w:t xml:space="preserve">Razvojni kontekst </w:t>
      </w:r>
      <w:r w:rsidR="009E57DC" w:rsidRPr="008401DD">
        <w:t>v Severni Makedoniji</w:t>
      </w:r>
      <w:bookmarkEnd w:id="43"/>
      <w:bookmarkEnd w:id="44"/>
      <w:bookmarkEnd w:id="45"/>
      <w:bookmarkEnd w:id="46"/>
    </w:p>
    <w:p w14:paraId="0F1C4705" w14:textId="77777777" w:rsidR="006F317B" w:rsidRPr="006F317B" w:rsidRDefault="006F317B" w:rsidP="006F317B"/>
    <w:p w14:paraId="3A8F5830" w14:textId="77777777" w:rsidR="00801CC4" w:rsidRPr="008401DD" w:rsidRDefault="002234FE" w:rsidP="006F317B">
      <w:pPr>
        <w:pStyle w:val="Heading3"/>
      </w:pPr>
      <w:bookmarkStart w:id="47" w:name="_Toc505379034"/>
      <w:bookmarkStart w:id="48" w:name="_Toc52394920"/>
      <w:bookmarkStart w:id="49" w:name="_Toc56088894"/>
      <w:bookmarkStart w:id="50" w:name="_Toc56112188"/>
      <w:bookmarkStart w:id="51" w:name="_Toc57377165"/>
      <w:r w:rsidRPr="008401DD">
        <w:t xml:space="preserve">Politični </w:t>
      </w:r>
      <w:bookmarkEnd w:id="47"/>
      <w:r w:rsidRPr="008401DD">
        <w:t>kontekst</w:t>
      </w:r>
      <w:bookmarkEnd w:id="48"/>
      <w:bookmarkEnd w:id="49"/>
      <w:bookmarkEnd w:id="50"/>
      <w:bookmarkEnd w:id="51"/>
      <w:r w:rsidR="00801CC4" w:rsidRPr="008401DD">
        <w:t xml:space="preserve"> </w:t>
      </w:r>
    </w:p>
    <w:p w14:paraId="3D22B368" w14:textId="77777777" w:rsidR="006F317B" w:rsidRDefault="006F317B" w:rsidP="00960E68">
      <w:pPr>
        <w:spacing w:line="276" w:lineRule="auto"/>
        <w:jc w:val="both"/>
      </w:pPr>
    </w:p>
    <w:p w14:paraId="28370F44" w14:textId="6910AF2E" w:rsidR="00A3781B" w:rsidRDefault="00F76988" w:rsidP="00960E68">
      <w:pPr>
        <w:spacing w:line="276" w:lineRule="auto"/>
        <w:jc w:val="both"/>
        <w:rPr>
          <w:color w:val="000000" w:themeColor="text1"/>
        </w:rPr>
      </w:pPr>
      <w:r w:rsidRPr="008401DD">
        <w:t xml:space="preserve">Severna Makedonija je celinska država na Balkanskem polotoku, ki obsega območje 25.333 </w:t>
      </w:r>
      <w:r w:rsidRPr="008401DD">
        <w:rPr>
          <w:color w:val="000000" w:themeColor="text1"/>
        </w:rPr>
        <w:t>km</w:t>
      </w:r>
      <w:r w:rsidRPr="008401DD">
        <w:rPr>
          <w:color w:val="000000" w:themeColor="text1"/>
          <w:vertAlign w:val="superscript"/>
        </w:rPr>
        <w:t>2</w:t>
      </w:r>
      <w:r w:rsidRPr="008401DD">
        <w:t>, na kate</w:t>
      </w:r>
      <w:r w:rsidR="00A20972" w:rsidRPr="008401DD">
        <w:t>r</w:t>
      </w:r>
      <w:r w:rsidRPr="008401DD">
        <w:t xml:space="preserve">em živi </w:t>
      </w:r>
      <w:r w:rsidR="00826008" w:rsidRPr="008401DD">
        <w:t xml:space="preserve">2.103.721 prebivalcev. </w:t>
      </w:r>
      <w:r w:rsidR="00085C43" w:rsidRPr="008401DD">
        <w:t>Bruto domači proizvod (</w:t>
      </w:r>
      <w:r w:rsidR="00826008" w:rsidRPr="008401DD">
        <w:rPr>
          <w:color w:val="000000" w:themeColor="text1"/>
        </w:rPr>
        <w:t>BDP</w:t>
      </w:r>
      <w:r w:rsidR="00085C43" w:rsidRPr="008401DD">
        <w:rPr>
          <w:color w:val="000000" w:themeColor="text1"/>
        </w:rPr>
        <w:t>)</w:t>
      </w:r>
      <w:r w:rsidR="00826008" w:rsidRPr="008401DD">
        <w:rPr>
          <w:color w:val="000000" w:themeColor="text1"/>
        </w:rPr>
        <w:t xml:space="preserve"> Severne Maked</w:t>
      </w:r>
      <w:r w:rsidR="00CC2213" w:rsidRPr="008401DD">
        <w:rPr>
          <w:color w:val="000000" w:themeColor="text1"/>
        </w:rPr>
        <w:t>o</w:t>
      </w:r>
      <w:r w:rsidR="00826008" w:rsidRPr="008401DD">
        <w:rPr>
          <w:color w:val="000000" w:themeColor="text1"/>
        </w:rPr>
        <w:t>nije je v letu 20</w:t>
      </w:r>
      <w:r w:rsidR="00225377" w:rsidRPr="008401DD">
        <w:rPr>
          <w:color w:val="000000" w:themeColor="text1"/>
        </w:rPr>
        <w:t>19</w:t>
      </w:r>
      <w:r w:rsidR="00826008" w:rsidRPr="008401DD">
        <w:rPr>
          <w:color w:val="000000" w:themeColor="text1"/>
        </w:rPr>
        <w:t xml:space="preserve"> znašal </w:t>
      </w:r>
      <w:r w:rsidR="00225377" w:rsidRPr="008401DD">
        <w:rPr>
          <w:color w:val="000000" w:themeColor="text1"/>
        </w:rPr>
        <w:t>11,3</w:t>
      </w:r>
      <w:r w:rsidR="00826008" w:rsidRPr="008401DD">
        <w:rPr>
          <w:color w:val="000000" w:themeColor="text1"/>
        </w:rPr>
        <w:t xml:space="preserve"> mil</w:t>
      </w:r>
      <w:r w:rsidR="00B144C8">
        <w:rPr>
          <w:color w:val="000000" w:themeColor="text1"/>
        </w:rPr>
        <w:t>i</w:t>
      </w:r>
      <w:r w:rsidR="00826008" w:rsidRPr="008401DD">
        <w:rPr>
          <w:color w:val="000000" w:themeColor="text1"/>
        </w:rPr>
        <w:t>jard</w:t>
      </w:r>
      <w:r w:rsidR="00091B6E" w:rsidRPr="008401DD">
        <w:rPr>
          <w:color w:val="000000" w:themeColor="text1"/>
        </w:rPr>
        <w:t xml:space="preserve"> </w:t>
      </w:r>
      <w:r w:rsidR="00826008" w:rsidRPr="008401DD">
        <w:rPr>
          <w:color w:val="000000" w:themeColor="text1"/>
        </w:rPr>
        <w:t>EUR, kar</w:t>
      </w:r>
      <w:r w:rsidR="00A20972" w:rsidRPr="008401DD">
        <w:rPr>
          <w:color w:val="000000" w:themeColor="text1"/>
        </w:rPr>
        <w:t xml:space="preserve"> na prebivalca znaša 5.</w:t>
      </w:r>
      <w:r w:rsidR="00225377" w:rsidRPr="008401DD">
        <w:rPr>
          <w:color w:val="000000" w:themeColor="text1"/>
        </w:rPr>
        <w:t>453</w:t>
      </w:r>
      <w:r w:rsidR="00A20972" w:rsidRPr="008401DD">
        <w:rPr>
          <w:color w:val="000000" w:themeColor="text1"/>
        </w:rPr>
        <w:t xml:space="preserve"> EUR in tako država spada v višji srednji dohodkovni razred. </w:t>
      </w:r>
    </w:p>
    <w:p w14:paraId="3271EED0" w14:textId="77777777" w:rsidR="006F317B" w:rsidRPr="008401DD" w:rsidRDefault="006F317B" w:rsidP="00960E68">
      <w:pPr>
        <w:spacing w:line="276" w:lineRule="auto"/>
        <w:jc w:val="both"/>
        <w:rPr>
          <w:color w:val="000000" w:themeColor="text1"/>
        </w:rPr>
      </w:pPr>
    </w:p>
    <w:p w14:paraId="635177C5" w14:textId="587AE5D6" w:rsidR="00E52AB7" w:rsidRPr="008401DD" w:rsidRDefault="00E52AB7" w:rsidP="00960E68">
      <w:pPr>
        <w:pStyle w:val="Caption"/>
        <w:keepNext/>
        <w:spacing w:after="0"/>
      </w:pPr>
      <w:bookmarkStart w:id="52" w:name="_Toc56779395"/>
      <w:r w:rsidRPr="008401DD">
        <w:t xml:space="preserve">Tabela </w:t>
      </w:r>
      <w:r w:rsidRPr="008401DD">
        <w:fldChar w:fldCharType="begin"/>
      </w:r>
      <w:r w:rsidRPr="008401DD">
        <w:instrText xml:space="preserve"> SEQ Tabela \* ARABIC </w:instrText>
      </w:r>
      <w:r w:rsidRPr="008401DD">
        <w:fldChar w:fldCharType="separate"/>
      </w:r>
      <w:r w:rsidR="00F67E80">
        <w:rPr>
          <w:noProof/>
        </w:rPr>
        <w:t>2</w:t>
      </w:r>
      <w:r w:rsidRPr="008401DD">
        <w:fldChar w:fldCharType="end"/>
      </w:r>
      <w:r w:rsidRPr="008401DD">
        <w:t xml:space="preserve"> Severna Makedonija in Slovenija - ključni kazalci</w:t>
      </w:r>
      <w:bookmarkEnd w:id="52"/>
    </w:p>
    <w:tbl>
      <w:tblPr>
        <w:tblStyle w:val="TableGrid"/>
        <w:tblW w:w="9353"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1838"/>
        <w:gridCol w:w="1563"/>
        <w:gridCol w:w="1984"/>
        <w:gridCol w:w="1984"/>
        <w:gridCol w:w="1984"/>
      </w:tblGrid>
      <w:tr w:rsidR="00A20972" w:rsidRPr="008401DD" w14:paraId="0CC82EBF" w14:textId="77777777" w:rsidTr="00F15908">
        <w:tc>
          <w:tcPr>
            <w:tcW w:w="1838" w:type="dxa"/>
            <w:tcBorders>
              <w:top w:val="single" w:sz="12" w:space="0" w:color="70AD47" w:themeColor="accent6"/>
              <w:bottom w:val="single" w:sz="12" w:space="0" w:color="70AD47" w:themeColor="accent6"/>
            </w:tcBorders>
            <w:shd w:val="clear" w:color="auto" w:fill="67C18C"/>
          </w:tcPr>
          <w:p w14:paraId="476CB920" w14:textId="77777777" w:rsidR="00A20972" w:rsidRPr="008401DD" w:rsidRDefault="00A20972" w:rsidP="00960E68">
            <w:pPr>
              <w:spacing w:line="276" w:lineRule="auto"/>
              <w:jc w:val="both"/>
              <w:rPr>
                <w:rFonts w:cs="Arial"/>
                <w:color w:val="FFFFFF" w:themeColor="background1"/>
                <w:sz w:val="18"/>
                <w:szCs w:val="20"/>
              </w:rPr>
            </w:pPr>
          </w:p>
        </w:tc>
        <w:tc>
          <w:tcPr>
            <w:tcW w:w="1563" w:type="dxa"/>
            <w:tcBorders>
              <w:top w:val="single" w:sz="12" w:space="0" w:color="70AD47" w:themeColor="accent6"/>
              <w:bottom w:val="single" w:sz="12" w:space="0" w:color="70AD47" w:themeColor="accent6"/>
            </w:tcBorders>
            <w:shd w:val="clear" w:color="auto" w:fill="67C18C"/>
            <w:vAlign w:val="center"/>
          </w:tcPr>
          <w:p w14:paraId="3106E46E" w14:textId="77777777" w:rsidR="00A20972" w:rsidRPr="008401DD" w:rsidRDefault="00A20972" w:rsidP="00960E68">
            <w:pPr>
              <w:spacing w:line="276" w:lineRule="auto"/>
              <w:jc w:val="both"/>
              <w:rPr>
                <w:rFonts w:cs="Arial"/>
                <w:b/>
                <w:color w:val="FFFFFF" w:themeColor="background1"/>
                <w:sz w:val="18"/>
                <w:szCs w:val="20"/>
              </w:rPr>
            </w:pPr>
            <w:r w:rsidRPr="008401DD">
              <w:rPr>
                <w:rFonts w:cs="Arial"/>
                <w:b/>
                <w:color w:val="FFFFFF" w:themeColor="background1"/>
                <w:sz w:val="18"/>
                <w:szCs w:val="20"/>
              </w:rPr>
              <w:t>Površina (km</w:t>
            </w:r>
            <w:r w:rsidRPr="008401DD">
              <w:rPr>
                <w:rFonts w:cs="Arial"/>
                <w:b/>
                <w:color w:val="FFFFFF" w:themeColor="background1"/>
                <w:sz w:val="18"/>
                <w:szCs w:val="20"/>
                <w:vertAlign w:val="superscript"/>
              </w:rPr>
              <w:t>2</w:t>
            </w:r>
            <w:r w:rsidRPr="008401DD">
              <w:rPr>
                <w:rFonts w:cs="Arial"/>
                <w:b/>
                <w:color w:val="FFFFFF" w:themeColor="background1"/>
                <w:sz w:val="18"/>
                <w:szCs w:val="20"/>
              </w:rPr>
              <w:t xml:space="preserve">) </w:t>
            </w:r>
          </w:p>
        </w:tc>
        <w:tc>
          <w:tcPr>
            <w:tcW w:w="1984" w:type="dxa"/>
            <w:tcBorders>
              <w:top w:val="single" w:sz="12" w:space="0" w:color="70AD47" w:themeColor="accent6"/>
              <w:bottom w:val="single" w:sz="12" w:space="0" w:color="70AD47" w:themeColor="accent6"/>
            </w:tcBorders>
            <w:shd w:val="clear" w:color="auto" w:fill="67C18C"/>
            <w:vAlign w:val="center"/>
          </w:tcPr>
          <w:p w14:paraId="707627B3" w14:textId="77777777" w:rsidR="00A20972" w:rsidRPr="008401DD" w:rsidRDefault="00A20972" w:rsidP="00960E68">
            <w:pPr>
              <w:spacing w:line="276" w:lineRule="auto"/>
              <w:jc w:val="both"/>
              <w:rPr>
                <w:rFonts w:cs="Arial"/>
                <w:b/>
                <w:color w:val="FFFFFF" w:themeColor="background1"/>
                <w:sz w:val="18"/>
                <w:szCs w:val="20"/>
              </w:rPr>
            </w:pPr>
            <w:r w:rsidRPr="008401DD">
              <w:rPr>
                <w:rFonts w:cs="Arial"/>
                <w:b/>
                <w:color w:val="FFFFFF" w:themeColor="background1"/>
                <w:sz w:val="18"/>
                <w:szCs w:val="20"/>
              </w:rPr>
              <w:t>Prebivalstvo</w:t>
            </w:r>
          </w:p>
        </w:tc>
        <w:tc>
          <w:tcPr>
            <w:tcW w:w="1984" w:type="dxa"/>
            <w:tcBorders>
              <w:top w:val="single" w:sz="12" w:space="0" w:color="70AD47" w:themeColor="accent6"/>
              <w:bottom w:val="single" w:sz="12" w:space="0" w:color="70AD47" w:themeColor="accent6"/>
            </w:tcBorders>
            <w:shd w:val="clear" w:color="auto" w:fill="67C18C"/>
            <w:vAlign w:val="center"/>
          </w:tcPr>
          <w:p w14:paraId="7FDDF2C3" w14:textId="77777777" w:rsidR="00A20972" w:rsidRPr="008401DD" w:rsidRDefault="00A20972" w:rsidP="00960E68">
            <w:pPr>
              <w:spacing w:line="276" w:lineRule="auto"/>
              <w:jc w:val="both"/>
              <w:rPr>
                <w:rFonts w:cs="Arial"/>
                <w:b/>
                <w:color w:val="FFFFFF" w:themeColor="background1"/>
                <w:sz w:val="18"/>
                <w:szCs w:val="20"/>
              </w:rPr>
            </w:pPr>
            <w:r w:rsidRPr="008401DD">
              <w:rPr>
                <w:rFonts w:cs="Arial"/>
                <w:b/>
                <w:color w:val="FFFFFF" w:themeColor="background1"/>
                <w:sz w:val="18"/>
                <w:szCs w:val="20"/>
              </w:rPr>
              <w:t>BDP na prebivalca</w:t>
            </w:r>
          </w:p>
        </w:tc>
        <w:tc>
          <w:tcPr>
            <w:tcW w:w="1984" w:type="dxa"/>
            <w:tcBorders>
              <w:top w:val="single" w:sz="12" w:space="0" w:color="70AD47" w:themeColor="accent6"/>
              <w:bottom w:val="single" w:sz="12" w:space="0" w:color="70AD47" w:themeColor="accent6"/>
            </w:tcBorders>
            <w:shd w:val="clear" w:color="auto" w:fill="67C18C"/>
            <w:vAlign w:val="center"/>
          </w:tcPr>
          <w:p w14:paraId="00B7230C" w14:textId="77777777" w:rsidR="00A20972" w:rsidRPr="008401DD" w:rsidRDefault="00A20972" w:rsidP="00960E68">
            <w:pPr>
              <w:spacing w:line="276" w:lineRule="auto"/>
              <w:jc w:val="both"/>
              <w:rPr>
                <w:rFonts w:cs="Arial"/>
                <w:b/>
                <w:color w:val="FFFFFF" w:themeColor="background1"/>
                <w:sz w:val="18"/>
                <w:szCs w:val="20"/>
              </w:rPr>
            </w:pPr>
            <w:r w:rsidRPr="008401DD">
              <w:rPr>
                <w:rFonts w:cs="Arial"/>
                <w:b/>
                <w:color w:val="FFFFFF" w:themeColor="background1"/>
                <w:sz w:val="18"/>
                <w:szCs w:val="20"/>
              </w:rPr>
              <w:t>BDP na prebivalca (PPP)</w:t>
            </w:r>
          </w:p>
        </w:tc>
      </w:tr>
      <w:tr w:rsidR="00A20972" w:rsidRPr="008401DD" w14:paraId="6EBECDE8" w14:textId="77777777" w:rsidTr="00F15908">
        <w:trPr>
          <w:trHeight w:val="236"/>
        </w:trPr>
        <w:tc>
          <w:tcPr>
            <w:tcW w:w="1838" w:type="dxa"/>
            <w:tcBorders>
              <w:top w:val="single" w:sz="12" w:space="0" w:color="70AD47" w:themeColor="accent6"/>
            </w:tcBorders>
          </w:tcPr>
          <w:p w14:paraId="76B60F61" w14:textId="77777777" w:rsidR="00A20972" w:rsidRPr="008401DD" w:rsidRDefault="00A20972" w:rsidP="00960E68">
            <w:pPr>
              <w:spacing w:line="276" w:lineRule="auto"/>
              <w:jc w:val="both"/>
              <w:rPr>
                <w:rFonts w:cs="Arial"/>
                <w:b/>
                <w:sz w:val="18"/>
                <w:szCs w:val="20"/>
              </w:rPr>
            </w:pPr>
            <w:r w:rsidRPr="008401DD">
              <w:rPr>
                <w:sz w:val="18"/>
              </w:rPr>
              <w:t>Slovenija</w:t>
            </w:r>
          </w:p>
        </w:tc>
        <w:tc>
          <w:tcPr>
            <w:tcW w:w="1563" w:type="dxa"/>
            <w:tcBorders>
              <w:top w:val="single" w:sz="12" w:space="0" w:color="70AD47" w:themeColor="accent6"/>
            </w:tcBorders>
          </w:tcPr>
          <w:p w14:paraId="4178F835" w14:textId="77777777" w:rsidR="00A20972" w:rsidRPr="008401DD" w:rsidRDefault="00A20972" w:rsidP="00960E68">
            <w:pPr>
              <w:spacing w:line="276" w:lineRule="auto"/>
              <w:rPr>
                <w:rFonts w:cs="Arial"/>
                <w:sz w:val="18"/>
                <w:szCs w:val="20"/>
              </w:rPr>
            </w:pPr>
            <w:r w:rsidRPr="008401DD">
              <w:rPr>
                <w:sz w:val="18"/>
              </w:rPr>
              <w:t>20.270</w:t>
            </w:r>
          </w:p>
        </w:tc>
        <w:tc>
          <w:tcPr>
            <w:tcW w:w="1984" w:type="dxa"/>
            <w:tcBorders>
              <w:top w:val="single" w:sz="12" w:space="0" w:color="70AD47" w:themeColor="accent6"/>
            </w:tcBorders>
          </w:tcPr>
          <w:p w14:paraId="58D6E424" w14:textId="77777777" w:rsidR="00A20972" w:rsidRPr="008401DD" w:rsidRDefault="00A20972" w:rsidP="00960E68">
            <w:pPr>
              <w:spacing w:line="276" w:lineRule="auto"/>
              <w:rPr>
                <w:rFonts w:cs="Arial"/>
                <w:sz w:val="18"/>
                <w:szCs w:val="20"/>
              </w:rPr>
            </w:pPr>
            <w:r w:rsidRPr="008401DD">
              <w:rPr>
                <w:sz w:val="18"/>
              </w:rPr>
              <w:t>2.064.845</w:t>
            </w:r>
          </w:p>
        </w:tc>
        <w:tc>
          <w:tcPr>
            <w:tcW w:w="1984" w:type="dxa"/>
            <w:tcBorders>
              <w:top w:val="single" w:sz="12" w:space="0" w:color="70AD47" w:themeColor="accent6"/>
            </w:tcBorders>
          </w:tcPr>
          <w:p w14:paraId="46FB1F94" w14:textId="77777777" w:rsidR="00A20972" w:rsidRPr="008401DD" w:rsidRDefault="00A20972" w:rsidP="00960E68">
            <w:pPr>
              <w:spacing w:line="276" w:lineRule="auto"/>
              <w:rPr>
                <w:rFonts w:cs="Arial"/>
                <w:sz w:val="18"/>
                <w:szCs w:val="20"/>
              </w:rPr>
            </w:pPr>
            <w:r w:rsidRPr="008401DD">
              <w:rPr>
                <w:sz w:val="18"/>
              </w:rPr>
              <w:t>$ 26.145</w:t>
            </w:r>
          </w:p>
        </w:tc>
        <w:tc>
          <w:tcPr>
            <w:tcW w:w="1984" w:type="dxa"/>
            <w:tcBorders>
              <w:top w:val="single" w:sz="12" w:space="0" w:color="70AD47" w:themeColor="accent6"/>
            </w:tcBorders>
          </w:tcPr>
          <w:p w14:paraId="2AF75D30" w14:textId="77777777" w:rsidR="00A20972" w:rsidRPr="008401DD" w:rsidRDefault="00A20972" w:rsidP="00960E68">
            <w:pPr>
              <w:spacing w:line="276" w:lineRule="auto"/>
              <w:rPr>
                <w:rFonts w:cs="Arial"/>
                <w:sz w:val="18"/>
                <w:szCs w:val="20"/>
              </w:rPr>
            </w:pPr>
            <w:r w:rsidRPr="008401DD">
              <w:rPr>
                <w:sz w:val="18"/>
              </w:rPr>
              <w:t>$ 40.656</w:t>
            </w:r>
          </w:p>
        </w:tc>
      </w:tr>
      <w:tr w:rsidR="00A20972" w:rsidRPr="008401DD" w14:paraId="0E8F7D6C" w14:textId="77777777" w:rsidTr="00F15908">
        <w:tc>
          <w:tcPr>
            <w:tcW w:w="1838" w:type="dxa"/>
            <w:tcBorders>
              <w:bottom w:val="single" w:sz="12" w:space="0" w:color="70AD47" w:themeColor="accent6"/>
            </w:tcBorders>
          </w:tcPr>
          <w:p w14:paraId="28EE2476" w14:textId="77777777" w:rsidR="00A20972" w:rsidRPr="008401DD" w:rsidRDefault="00A20972" w:rsidP="00960E68">
            <w:pPr>
              <w:spacing w:line="276" w:lineRule="auto"/>
              <w:jc w:val="both"/>
              <w:rPr>
                <w:rFonts w:cs="Arial"/>
                <w:b/>
                <w:sz w:val="18"/>
                <w:szCs w:val="20"/>
              </w:rPr>
            </w:pPr>
            <w:r w:rsidRPr="008401DD">
              <w:rPr>
                <w:sz w:val="18"/>
              </w:rPr>
              <w:t>Severna Makedonija</w:t>
            </w:r>
          </w:p>
        </w:tc>
        <w:tc>
          <w:tcPr>
            <w:tcW w:w="1563" w:type="dxa"/>
            <w:tcBorders>
              <w:bottom w:val="single" w:sz="12" w:space="0" w:color="70AD47" w:themeColor="accent6"/>
            </w:tcBorders>
          </w:tcPr>
          <w:p w14:paraId="52F97AFD" w14:textId="77777777" w:rsidR="00A20972" w:rsidRPr="008401DD" w:rsidRDefault="00A20972" w:rsidP="00960E68">
            <w:pPr>
              <w:spacing w:line="276" w:lineRule="auto"/>
              <w:rPr>
                <w:rFonts w:cs="Arial"/>
                <w:sz w:val="18"/>
                <w:szCs w:val="20"/>
              </w:rPr>
            </w:pPr>
            <w:r w:rsidRPr="008401DD">
              <w:rPr>
                <w:sz w:val="18"/>
              </w:rPr>
              <w:t>25.333</w:t>
            </w:r>
          </w:p>
        </w:tc>
        <w:tc>
          <w:tcPr>
            <w:tcW w:w="1984" w:type="dxa"/>
            <w:tcBorders>
              <w:bottom w:val="single" w:sz="12" w:space="0" w:color="70AD47" w:themeColor="accent6"/>
            </w:tcBorders>
          </w:tcPr>
          <w:p w14:paraId="47F0179F" w14:textId="77777777" w:rsidR="00A20972" w:rsidRPr="008401DD" w:rsidRDefault="00A20972" w:rsidP="00960E68">
            <w:pPr>
              <w:spacing w:line="276" w:lineRule="auto"/>
              <w:rPr>
                <w:rFonts w:cs="Arial"/>
                <w:sz w:val="18"/>
                <w:szCs w:val="20"/>
              </w:rPr>
            </w:pPr>
            <w:r w:rsidRPr="008401DD">
              <w:rPr>
                <w:sz w:val="18"/>
              </w:rPr>
              <w:t>2.103.721</w:t>
            </w:r>
          </w:p>
        </w:tc>
        <w:tc>
          <w:tcPr>
            <w:tcW w:w="1984" w:type="dxa"/>
            <w:tcBorders>
              <w:bottom w:val="single" w:sz="12" w:space="0" w:color="70AD47" w:themeColor="accent6"/>
            </w:tcBorders>
          </w:tcPr>
          <w:p w14:paraId="60C71530" w14:textId="1CF33D2E" w:rsidR="00A20972" w:rsidRPr="008401DD" w:rsidRDefault="00A20972" w:rsidP="00960E68">
            <w:pPr>
              <w:spacing w:line="276" w:lineRule="auto"/>
              <w:rPr>
                <w:rFonts w:cs="Arial"/>
                <w:sz w:val="18"/>
                <w:szCs w:val="20"/>
              </w:rPr>
            </w:pPr>
            <w:r w:rsidRPr="008401DD">
              <w:rPr>
                <w:sz w:val="18"/>
              </w:rPr>
              <w:t xml:space="preserve">$ </w:t>
            </w:r>
            <w:r w:rsidR="00ED5236" w:rsidRPr="008401DD">
              <w:rPr>
                <w:sz w:val="18"/>
              </w:rPr>
              <w:t>6.392</w:t>
            </w:r>
          </w:p>
        </w:tc>
        <w:tc>
          <w:tcPr>
            <w:tcW w:w="1984" w:type="dxa"/>
            <w:tcBorders>
              <w:bottom w:val="single" w:sz="12" w:space="0" w:color="70AD47" w:themeColor="accent6"/>
            </w:tcBorders>
          </w:tcPr>
          <w:p w14:paraId="5084B7E4" w14:textId="77777777" w:rsidR="00A20972" w:rsidRPr="008401DD" w:rsidRDefault="00A20972" w:rsidP="00960E68">
            <w:pPr>
              <w:spacing w:line="276" w:lineRule="auto"/>
              <w:rPr>
                <w:rFonts w:cs="Arial"/>
                <w:sz w:val="18"/>
                <w:szCs w:val="20"/>
              </w:rPr>
            </w:pPr>
            <w:r w:rsidRPr="008401DD">
              <w:rPr>
                <w:sz w:val="18"/>
              </w:rPr>
              <w:t>$ 17.814</w:t>
            </w:r>
          </w:p>
        </w:tc>
      </w:tr>
    </w:tbl>
    <w:p w14:paraId="31CB58AD" w14:textId="4577DDC4" w:rsidR="00A20972" w:rsidRPr="008401DD" w:rsidRDefault="00E52AB7" w:rsidP="00960E68">
      <w:pPr>
        <w:spacing w:line="276" w:lineRule="auto"/>
        <w:jc w:val="both"/>
        <w:rPr>
          <w:color w:val="000000" w:themeColor="text1"/>
          <w:sz w:val="16"/>
        </w:rPr>
      </w:pPr>
      <w:r w:rsidRPr="008401DD">
        <w:rPr>
          <w:color w:val="000000" w:themeColor="text1"/>
          <w:sz w:val="16"/>
        </w:rPr>
        <w:t xml:space="preserve">Vir: </w:t>
      </w:r>
      <w:r w:rsidR="00B144C8">
        <w:rPr>
          <w:color w:val="000000" w:themeColor="text1"/>
          <w:sz w:val="16"/>
        </w:rPr>
        <w:t>Svetovna banka</w:t>
      </w:r>
    </w:p>
    <w:p w14:paraId="66D94489" w14:textId="77777777" w:rsidR="00BD0975" w:rsidRPr="008401DD" w:rsidRDefault="00BD0975" w:rsidP="00960E68">
      <w:pPr>
        <w:spacing w:line="276" w:lineRule="auto"/>
        <w:jc w:val="both"/>
      </w:pPr>
    </w:p>
    <w:p w14:paraId="3D257C41" w14:textId="5A31395D" w:rsidR="006B0F9E" w:rsidRPr="008401DD" w:rsidRDefault="00E52AB7" w:rsidP="00960E68">
      <w:pPr>
        <w:spacing w:line="276" w:lineRule="auto"/>
        <w:jc w:val="both"/>
      </w:pPr>
      <w:r w:rsidRPr="008401DD">
        <w:t xml:space="preserve">Severna Makedonija spada </w:t>
      </w:r>
      <w:r w:rsidR="00A04221" w:rsidRPr="008401DD">
        <w:t xml:space="preserve">v </w:t>
      </w:r>
      <w:r w:rsidRPr="008401DD">
        <w:t>območje Zahodnega Balkana, ki je v kontekstu MRS en</w:t>
      </w:r>
      <w:r w:rsidR="00A04221" w:rsidRPr="008401DD">
        <w:t>o</w:t>
      </w:r>
      <w:r w:rsidRPr="008401DD">
        <w:t xml:space="preserve"> izmed prednostnih geografskih področij</w:t>
      </w:r>
      <w:r w:rsidR="00E33342" w:rsidRPr="008401DD">
        <w:t xml:space="preserve">. </w:t>
      </w:r>
      <w:r w:rsidRPr="008401DD">
        <w:t xml:space="preserve">Z mednarodnim razvojnim sodelovanjem na Zahodnem Balkanu Slovenija, tudi v skladu z Novim evropskim soglasjem o razvoju, prispeva h krepitvi regionalnega sodelovanja ter hkrati podpira vlogo držav s srednje visokim dohodkom, med katere sodi tudi Severna Makedonija, pri zaščiti globalnih javnih dobrin in trajnostnemu razvoju. Za odnos Slovenije do držav Zahodnega Balkana sta značilna strateški interes in pripravljenost prispevati k stabilnosti, miru in varnosti ter gospodarskemu in družbenemu razvoju držav regije. Slovenija podpira prizadevanja držav Zahodnega Balkana, da postanejo članice EU, kar je ključnega pomena za stabilnost in napredek regije. Slovenija je v Strategiji mednarodnega razvojnega sodelovanja in humanitarne pomoči RS do leta 2030 zapisala, da bo podpirala družbeno-ekonomski razvoj </w:t>
      </w:r>
      <w:r w:rsidR="00063A5F" w:rsidRPr="008401DD">
        <w:t xml:space="preserve">Severne </w:t>
      </w:r>
      <w:r w:rsidRPr="008401DD">
        <w:t>Makedonije s poudarkom na razvoju ugodnega poslovnega okolja in kmetijskega sektorja, ter naložbah</w:t>
      </w:r>
      <w:r w:rsidR="00E33342" w:rsidRPr="008401DD">
        <w:t xml:space="preserve"> v javno infrastrukturo. Posebna</w:t>
      </w:r>
      <w:r w:rsidRPr="008401DD">
        <w:t xml:space="preserve"> pozornost </w:t>
      </w:r>
      <w:r w:rsidR="00E33342" w:rsidRPr="008401DD">
        <w:t>je</w:t>
      </w:r>
      <w:r w:rsidRPr="008401DD">
        <w:t xml:space="preserve"> namenjena krepitvi vladavine prava ter spoštovanju temeljnih svoboščin in pravic s poudarkom na enakosti spolov in krepitvi udeležbe žensk na trgu dela</w:t>
      </w:r>
      <w:r w:rsidRPr="008401DD">
        <w:rPr>
          <w:rStyle w:val="FootnoteReference"/>
        </w:rPr>
        <w:footnoteReference w:id="7"/>
      </w:r>
      <w:r w:rsidR="006B0F9E" w:rsidRPr="008401DD">
        <w:t>.</w:t>
      </w:r>
    </w:p>
    <w:p w14:paraId="6115A06A" w14:textId="2D7297A7" w:rsidR="00A20972" w:rsidRPr="008401DD" w:rsidRDefault="00A20972" w:rsidP="00960E68">
      <w:pPr>
        <w:spacing w:line="276" w:lineRule="auto"/>
        <w:jc w:val="both"/>
        <w:rPr>
          <w:color w:val="5B9BD5" w:themeColor="accent1"/>
        </w:rPr>
      </w:pPr>
    </w:p>
    <w:p w14:paraId="15B7EBDC" w14:textId="2030A69B" w:rsidR="00826008" w:rsidRPr="008401DD" w:rsidRDefault="00826008" w:rsidP="00960E68">
      <w:pPr>
        <w:spacing w:line="276" w:lineRule="auto"/>
        <w:jc w:val="both"/>
        <w:rPr>
          <w:color w:val="000000" w:themeColor="text1"/>
        </w:rPr>
      </w:pPr>
      <w:r w:rsidRPr="008401DD">
        <w:rPr>
          <w:color w:val="000000" w:themeColor="text1"/>
        </w:rPr>
        <w:t xml:space="preserve">Celotne vhodne tuje neposredne investicije (TNI) v Severni Makedoniji so v letu 2017 znašale 5,2 </w:t>
      </w:r>
      <w:r w:rsidR="008C254C" w:rsidRPr="008401DD">
        <w:rPr>
          <w:color w:val="000000" w:themeColor="text1"/>
        </w:rPr>
        <w:t>milijard</w:t>
      </w:r>
      <w:r w:rsidRPr="008401DD">
        <w:rPr>
          <w:color w:val="000000" w:themeColor="text1"/>
        </w:rPr>
        <w:t xml:space="preserve"> EUR. Povprečna letna stopnja rasti vhodnih TNI od leta 2014 je znašala 6,2 %. Celotne izhodne TNI Severne Makedonije so v letu 2017 znašale 0,1 </w:t>
      </w:r>
      <w:r w:rsidR="008C254C" w:rsidRPr="008401DD">
        <w:rPr>
          <w:color w:val="000000" w:themeColor="text1"/>
        </w:rPr>
        <w:t>milijard</w:t>
      </w:r>
      <w:r w:rsidRPr="008401DD">
        <w:rPr>
          <w:color w:val="000000" w:themeColor="text1"/>
        </w:rPr>
        <w:t xml:space="preserve"> EUR, povprečna letna stopnja rasti izhodnih TNI od leta 2014 pa je znašala -15,3 %. V obdobju januar 2003 - april 2019 je znašala skupna vrednost vhodnih TNI 8,7 </w:t>
      </w:r>
      <w:r w:rsidR="008C254C" w:rsidRPr="008401DD">
        <w:rPr>
          <w:color w:val="000000" w:themeColor="text1"/>
        </w:rPr>
        <w:t>milijard</w:t>
      </w:r>
      <w:r w:rsidRPr="008401DD">
        <w:rPr>
          <w:color w:val="000000" w:themeColor="text1"/>
        </w:rPr>
        <w:t xml:space="preserve"> EUR. Glavna država vlagateljica je Slovenija,</w:t>
      </w:r>
      <w:r w:rsidR="00AD5BBA" w:rsidRPr="008401DD">
        <w:rPr>
          <w:color w:val="000000" w:themeColor="text1"/>
        </w:rPr>
        <w:t xml:space="preserve"> ki je v tem obdobju investirala 1.253,3 milijona EUR,</w:t>
      </w:r>
      <w:r w:rsidRPr="008401DD">
        <w:rPr>
          <w:color w:val="000000" w:themeColor="text1"/>
        </w:rPr>
        <w:t xml:space="preserve"> sledita pa ji Turčija in ZDA. Največ investicij je na področju nepremičnin in avtomobilskih delov</w:t>
      </w:r>
      <w:r w:rsidR="00AD5BBA" w:rsidRPr="008401DD">
        <w:rPr>
          <w:rStyle w:val="FootnoteReference"/>
          <w:color w:val="000000" w:themeColor="text1"/>
        </w:rPr>
        <w:footnoteReference w:id="8"/>
      </w:r>
      <w:r w:rsidR="006B0F9E" w:rsidRPr="008401DD">
        <w:rPr>
          <w:color w:val="000000" w:themeColor="text1"/>
        </w:rPr>
        <w:t>.</w:t>
      </w:r>
    </w:p>
    <w:p w14:paraId="6CDE7BF4" w14:textId="77777777" w:rsidR="006B0F9E" w:rsidRPr="008401DD" w:rsidRDefault="006B0F9E" w:rsidP="00960E68">
      <w:pPr>
        <w:spacing w:line="276" w:lineRule="auto"/>
        <w:jc w:val="both"/>
        <w:rPr>
          <w:color w:val="000000" w:themeColor="text1"/>
        </w:rPr>
      </w:pPr>
    </w:p>
    <w:p w14:paraId="4BE0193C" w14:textId="2E167B88" w:rsidR="00171E8C" w:rsidRPr="008401DD" w:rsidRDefault="00171E8C" w:rsidP="00960E68">
      <w:pPr>
        <w:spacing w:line="276" w:lineRule="auto"/>
        <w:jc w:val="both"/>
      </w:pPr>
      <w:r w:rsidRPr="008401DD">
        <w:t>Slovenija in Severna Makedonija sta pomembni gospodarski partnerici, gospodarski odnosi med državama pa so zelo dobri. Gospodarsko sodelovanje na vseh ravneh (blagovna in storitvena menjava, naložbe) konstantno raste. Glavni cilj je povečati blagovno menjavo in poglobiti gospodarsko sodelovanje tudi na področjih storitev in tujih neposrednih naložb. Podjetja z večinskim slovenskim kapitalom zagotavljajo v Severni Makedoniji približno 2.500 delovnih mest.</w:t>
      </w:r>
    </w:p>
    <w:p w14:paraId="31E41C8D" w14:textId="77777777" w:rsidR="004B2376" w:rsidRPr="008401DD" w:rsidRDefault="00543438" w:rsidP="006F317B">
      <w:pPr>
        <w:pStyle w:val="Heading3"/>
      </w:pPr>
      <w:bookmarkStart w:id="53" w:name="_Toc52394921"/>
      <w:bookmarkStart w:id="54" w:name="_Toc56088895"/>
      <w:bookmarkStart w:id="55" w:name="_Toc56112189"/>
      <w:bookmarkStart w:id="56" w:name="_Toc57377166"/>
      <w:r w:rsidRPr="008401DD">
        <w:t>Donatorsko okolje</w:t>
      </w:r>
      <w:bookmarkEnd w:id="53"/>
      <w:bookmarkEnd w:id="54"/>
      <w:bookmarkEnd w:id="55"/>
      <w:bookmarkEnd w:id="56"/>
    </w:p>
    <w:p w14:paraId="73874C49" w14:textId="77777777" w:rsidR="006F317B" w:rsidRDefault="006F317B" w:rsidP="00960E68">
      <w:pPr>
        <w:jc w:val="both"/>
      </w:pPr>
    </w:p>
    <w:p w14:paraId="5AF9EB4F" w14:textId="2BBC57F6" w:rsidR="00401D32" w:rsidRPr="008401DD" w:rsidRDefault="00401D32" w:rsidP="00960E68">
      <w:pPr>
        <w:jc w:val="both"/>
      </w:pPr>
      <w:r w:rsidRPr="008401DD">
        <w:t xml:space="preserve">Severna Makedonija prejema tehnično in finančno razvojno pomoč številnih držav, tako na bilateralni ravni kot tudi od mednarodnih agencij in instrumentov. Glavna vira multilateralne mednarodne razvojne pomoči so organizacije Združenih narodov (ZN) ter instrument EU za predpristopno pomoč IPA II. Izmed posameznih držav so v </w:t>
      </w:r>
      <w:r w:rsidR="00063A5F" w:rsidRPr="008401DD">
        <w:t xml:space="preserve">Severni </w:t>
      </w:r>
      <w:r w:rsidRPr="008401DD">
        <w:t>Makedoniji najbolj aktivne ZDA</w:t>
      </w:r>
      <w:r w:rsidR="00A04221" w:rsidRPr="008401DD">
        <w:t xml:space="preserve">, </w:t>
      </w:r>
      <w:r w:rsidRPr="008401DD">
        <w:t xml:space="preserve">Švica </w:t>
      </w:r>
      <w:r w:rsidR="00A04221" w:rsidRPr="008401DD">
        <w:t>in</w:t>
      </w:r>
      <w:r w:rsidRPr="008401DD">
        <w:t xml:space="preserve"> Nemčija. </w:t>
      </w:r>
    </w:p>
    <w:p w14:paraId="59D9216F" w14:textId="77777777" w:rsidR="006B0F9E" w:rsidRPr="008401DD" w:rsidRDefault="006B0F9E" w:rsidP="00960E68">
      <w:pPr>
        <w:jc w:val="both"/>
      </w:pPr>
    </w:p>
    <w:p w14:paraId="40C527D1" w14:textId="77777777" w:rsidR="00ED13E0" w:rsidRPr="008401DD" w:rsidRDefault="000D2364" w:rsidP="00960E68">
      <w:pPr>
        <w:jc w:val="both"/>
      </w:pPr>
      <w:r w:rsidRPr="008401DD">
        <w:lastRenderedPageBreak/>
        <w:t>Glede na podatke OECD</w:t>
      </w:r>
      <w:r w:rsidRPr="008401DD">
        <w:rPr>
          <w:rStyle w:val="FootnoteReference"/>
        </w:rPr>
        <w:footnoteReference w:id="9"/>
      </w:r>
      <w:r w:rsidRPr="008401DD">
        <w:rPr>
          <w:rStyle w:val="FootnoteReference"/>
        </w:rPr>
        <w:t xml:space="preserve"> </w:t>
      </w:r>
      <w:r w:rsidRPr="008401DD">
        <w:t xml:space="preserve">je Severna Makedonija prejela za </w:t>
      </w:r>
      <w:r w:rsidR="005B2AA0" w:rsidRPr="008401DD">
        <w:t>251</w:t>
      </w:r>
      <w:r w:rsidRPr="008401DD">
        <w:t xml:space="preserve"> milijonov USD bruto izplačil za uradno razvojno p</w:t>
      </w:r>
      <w:r w:rsidR="005B2AA0" w:rsidRPr="008401DD">
        <w:t>omoč v letu 2018</w:t>
      </w:r>
      <w:r w:rsidRPr="008401DD">
        <w:t xml:space="preserve">, v primerjavi s </w:t>
      </w:r>
      <w:r w:rsidR="005B2AA0" w:rsidRPr="008401DD">
        <w:t>229,83</w:t>
      </w:r>
      <w:r w:rsidRPr="008401DD">
        <w:t xml:space="preserve"> milijoni USD v letu</w:t>
      </w:r>
      <w:r w:rsidR="005B2AA0" w:rsidRPr="008401DD">
        <w:t xml:space="preserve"> 2017</w:t>
      </w:r>
      <w:r w:rsidRPr="008401DD">
        <w:t xml:space="preserve"> oziroma 2</w:t>
      </w:r>
      <w:r w:rsidR="005B2AA0" w:rsidRPr="008401DD">
        <w:t>39</w:t>
      </w:r>
      <w:r w:rsidRPr="008401DD">
        <w:t xml:space="preserve"> milijoni USD v letu</w:t>
      </w:r>
      <w:r w:rsidR="005B2AA0" w:rsidRPr="008401DD">
        <w:t xml:space="preserve"> 2016. V letu 2012 je prejela 205 milijonov USD bruto izplačil, v letu 2013 pa 267 milijonov USD.</w:t>
      </w:r>
      <w:r w:rsidR="00E95D0E" w:rsidRPr="008401DD">
        <w:t xml:space="preserve"> </w:t>
      </w:r>
    </w:p>
    <w:p w14:paraId="52D5B3C6" w14:textId="77777777" w:rsidR="006C2A13" w:rsidRPr="008401DD" w:rsidRDefault="006C2A13" w:rsidP="00960E68">
      <w:pPr>
        <w:spacing w:line="240" w:lineRule="auto"/>
        <w:jc w:val="both"/>
        <w:rPr>
          <w:rFonts w:cs="Arial"/>
          <w:b/>
        </w:rPr>
      </w:pPr>
    </w:p>
    <w:p w14:paraId="669548E7" w14:textId="662B27CC" w:rsidR="00ED13E0" w:rsidRPr="008401DD" w:rsidRDefault="006C2A13" w:rsidP="00960E68">
      <w:pPr>
        <w:spacing w:line="240" w:lineRule="auto"/>
        <w:jc w:val="both"/>
        <w:rPr>
          <w:rFonts w:cs="Arial"/>
        </w:rPr>
      </w:pPr>
      <w:r w:rsidRPr="008401DD">
        <w:rPr>
          <w:rFonts w:cs="Arial"/>
          <w:b/>
        </w:rPr>
        <w:t>Združenih narodov</w:t>
      </w:r>
      <w:r w:rsidRPr="008401DD">
        <w:rPr>
          <w:rFonts w:cs="Arial"/>
        </w:rPr>
        <w:t xml:space="preserve"> (</w:t>
      </w:r>
      <w:r w:rsidR="00ED13E0" w:rsidRPr="008401DD">
        <w:rPr>
          <w:rFonts w:cs="Arial"/>
          <w:b/>
        </w:rPr>
        <w:t>ZN</w:t>
      </w:r>
      <w:r w:rsidRPr="008401DD">
        <w:rPr>
          <w:rFonts w:cs="Arial"/>
          <w:b/>
        </w:rPr>
        <w:t>)</w:t>
      </w:r>
      <w:r w:rsidR="00ED13E0" w:rsidRPr="008401DD">
        <w:rPr>
          <w:rFonts w:cs="Arial"/>
        </w:rPr>
        <w:t>: v Severni Makedoniji prisotne organizacije</w:t>
      </w:r>
      <w:r w:rsidRPr="008401DD">
        <w:rPr>
          <w:rFonts w:cs="Arial"/>
        </w:rPr>
        <w:t xml:space="preserve"> ZN</w:t>
      </w:r>
      <w:r w:rsidR="00ED13E0" w:rsidRPr="008401DD">
        <w:rPr>
          <w:rFonts w:cs="Arial"/>
        </w:rPr>
        <w:t xml:space="preserve"> zasledujejo cilje </w:t>
      </w:r>
      <w:r w:rsidR="000035A4" w:rsidRPr="008401DD">
        <w:rPr>
          <w:rFonts w:cs="Arial"/>
        </w:rPr>
        <w:t>petih</w:t>
      </w:r>
      <w:r w:rsidR="00ED13E0" w:rsidRPr="008401DD">
        <w:rPr>
          <w:rFonts w:cs="Arial"/>
        </w:rPr>
        <w:t xml:space="preserve"> prednostnih področ</w:t>
      </w:r>
      <w:r w:rsidR="00A04221" w:rsidRPr="008401DD">
        <w:rPr>
          <w:rFonts w:cs="Arial"/>
        </w:rPr>
        <w:t>ij</w:t>
      </w:r>
      <w:r w:rsidR="00ED13E0" w:rsidRPr="008401DD">
        <w:rPr>
          <w:rFonts w:cs="Arial"/>
        </w:rPr>
        <w:t xml:space="preserve">, in sicer </w:t>
      </w:r>
      <w:r w:rsidR="000035A4" w:rsidRPr="008401DD">
        <w:rPr>
          <w:rFonts w:cs="Arial"/>
        </w:rPr>
        <w:t>zaposl</w:t>
      </w:r>
      <w:r w:rsidR="00401D32" w:rsidRPr="008401DD">
        <w:rPr>
          <w:rFonts w:cs="Arial"/>
        </w:rPr>
        <w:t>j</w:t>
      </w:r>
      <w:r w:rsidR="000035A4" w:rsidRPr="008401DD">
        <w:rPr>
          <w:rFonts w:cs="Arial"/>
        </w:rPr>
        <w:t>ivosti, dobre</w:t>
      </w:r>
      <w:r w:rsidR="00A04221" w:rsidRPr="008401DD">
        <w:rPr>
          <w:rFonts w:cs="Arial"/>
        </w:rPr>
        <w:t>ga</w:t>
      </w:r>
      <w:r w:rsidR="000035A4" w:rsidRPr="008401DD">
        <w:rPr>
          <w:rFonts w:cs="Arial"/>
        </w:rPr>
        <w:t xml:space="preserve"> vodenj</w:t>
      </w:r>
      <w:r w:rsidR="00A04221" w:rsidRPr="008401DD">
        <w:rPr>
          <w:rFonts w:cs="Arial"/>
        </w:rPr>
        <w:t>a</w:t>
      </w:r>
      <w:r w:rsidR="000035A4" w:rsidRPr="008401DD">
        <w:rPr>
          <w:rFonts w:cs="Arial"/>
        </w:rPr>
        <w:t>/upravljanj</w:t>
      </w:r>
      <w:r w:rsidR="00A04221" w:rsidRPr="008401DD">
        <w:rPr>
          <w:rFonts w:cs="Arial"/>
        </w:rPr>
        <w:t>a</w:t>
      </w:r>
      <w:r w:rsidR="000035A4" w:rsidRPr="008401DD">
        <w:rPr>
          <w:rFonts w:cs="Arial"/>
        </w:rPr>
        <w:t>, socialn</w:t>
      </w:r>
      <w:r w:rsidR="00A04221" w:rsidRPr="008401DD">
        <w:rPr>
          <w:rFonts w:cs="Arial"/>
        </w:rPr>
        <w:t>e</w:t>
      </w:r>
      <w:r w:rsidR="000035A4" w:rsidRPr="008401DD">
        <w:rPr>
          <w:rFonts w:cs="Arial"/>
        </w:rPr>
        <w:t xml:space="preserve"> vključenosti, </w:t>
      </w:r>
      <w:proofErr w:type="spellStart"/>
      <w:r w:rsidR="000035A4" w:rsidRPr="008401DD">
        <w:rPr>
          <w:rFonts w:cs="Arial"/>
        </w:rPr>
        <w:t>okoljsk</w:t>
      </w:r>
      <w:r w:rsidR="00A04221" w:rsidRPr="008401DD">
        <w:rPr>
          <w:rFonts w:cs="Arial"/>
        </w:rPr>
        <w:t>e</w:t>
      </w:r>
      <w:proofErr w:type="spellEnd"/>
      <w:r w:rsidR="000035A4" w:rsidRPr="008401DD">
        <w:rPr>
          <w:rFonts w:cs="Arial"/>
        </w:rPr>
        <w:t xml:space="preserve"> trajnosti, enakosti spolov in </w:t>
      </w:r>
      <w:r w:rsidR="00401D32" w:rsidRPr="008401DD">
        <w:rPr>
          <w:rFonts w:cs="Arial"/>
        </w:rPr>
        <w:t>področj</w:t>
      </w:r>
      <w:r w:rsidR="00A04221" w:rsidRPr="008401DD">
        <w:rPr>
          <w:rFonts w:cs="Arial"/>
        </w:rPr>
        <w:t>a</w:t>
      </w:r>
      <w:r w:rsidR="00401D32" w:rsidRPr="008401DD">
        <w:rPr>
          <w:rFonts w:cs="Arial"/>
        </w:rPr>
        <w:t xml:space="preserve"> beguncev in</w:t>
      </w:r>
      <w:r w:rsidR="000035A4" w:rsidRPr="008401DD">
        <w:rPr>
          <w:rFonts w:cs="Arial"/>
        </w:rPr>
        <w:t xml:space="preserve"> migrant</w:t>
      </w:r>
      <w:r w:rsidR="00401D32" w:rsidRPr="008401DD">
        <w:rPr>
          <w:rFonts w:cs="Arial"/>
        </w:rPr>
        <w:t>ov</w:t>
      </w:r>
      <w:r w:rsidR="000035A4" w:rsidRPr="008401DD">
        <w:rPr>
          <w:rFonts w:cs="Arial"/>
        </w:rPr>
        <w:t xml:space="preserve">. </w:t>
      </w:r>
      <w:r w:rsidR="00ED13E0" w:rsidRPr="008401DD">
        <w:rPr>
          <w:rFonts w:cs="Arial"/>
        </w:rPr>
        <w:t>Državi nudijo tehnično pomoč in dostop do strokovnega znanja, izbrane projekte podpirajo tudi finančno</w:t>
      </w:r>
      <w:r w:rsidR="00CC2213" w:rsidRPr="008401DD">
        <w:rPr>
          <w:rFonts w:cs="Arial"/>
        </w:rPr>
        <w:t>. Prioritetno področje p</w:t>
      </w:r>
      <w:r w:rsidR="009D5C18" w:rsidRPr="008401DD">
        <w:rPr>
          <w:rFonts w:cs="Arial"/>
        </w:rPr>
        <w:t>rograma razvoja ZN v Severni Makedoniji je odprava revščine</w:t>
      </w:r>
      <w:r w:rsidR="00ED13E0" w:rsidRPr="008401DD">
        <w:rPr>
          <w:rStyle w:val="FootnoteReference"/>
        </w:rPr>
        <w:footnoteReference w:id="10"/>
      </w:r>
      <w:r w:rsidR="00ED13E0" w:rsidRPr="008401DD">
        <w:rPr>
          <w:rFonts w:cs="Arial"/>
        </w:rPr>
        <w:t>.</w:t>
      </w:r>
      <w:r w:rsidR="009D5C18" w:rsidRPr="008401DD">
        <w:rPr>
          <w:rFonts w:cs="Arial"/>
        </w:rPr>
        <w:t xml:space="preserve"> Najbolj zasledovani cilji trajnostnega razvoja pa so odprava revščine, zmanjšanje neenakosti in mir, pravičnost in močne institucije</w:t>
      </w:r>
      <w:r w:rsidR="009D5C18" w:rsidRPr="008401DD">
        <w:rPr>
          <w:rStyle w:val="FootnoteReference"/>
          <w:rFonts w:cs="Arial"/>
        </w:rPr>
        <w:footnoteReference w:id="11"/>
      </w:r>
      <w:r w:rsidR="009D5C18" w:rsidRPr="008401DD">
        <w:rPr>
          <w:rFonts w:cs="Arial"/>
        </w:rPr>
        <w:t>.</w:t>
      </w:r>
      <w:r w:rsidR="00091B6E" w:rsidRPr="008401DD">
        <w:rPr>
          <w:rFonts w:cs="Arial"/>
        </w:rPr>
        <w:t xml:space="preserve"> </w:t>
      </w:r>
    </w:p>
    <w:p w14:paraId="081AA6CE" w14:textId="77777777" w:rsidR="00ED13E0" w:rsidRPr="008401DD" w:rsidRDefault="00ED13E0" w:rsidP="00960E68">
      <w:pPr>
        <w:spacing w:line="240" w:lineRule="auto"/>
        <w:jc w:val="both"/>
        <w:rPr>
          <w:rFonts w:cs="Arial"/>
          <w:color w:val="ED7D31" w:themeColor="accent2"/>
        </w:rPr>
      </w:pPr>
    </w:p>
    <w:p w14:paraId="017DDAFF" w14:textId="42196D98" w:rsidR="00ED13E0" w:rsidRPr="008401DD" w:rsidRDefault="006C2A13" w:rsidP="00960E68">
      <w:pPr>
        <w:spacing w:line="240" w:lineRule="auto"/>
        <w:jc w:val="both"/>
        <w:rPr>
          <w:rFonts w:cs="Arial"/>
        </w:rPr>
      </w:pPr>
      <w:r w:rsidRPr="008401DD">
        <w:rPr>
          <w:rFonts w:cs="Arial"/>
          <w:b/>
        </w:rPr>
        <w:t xml:space="preserve">Instrument za predpristopno pomoč </w:t>
      </w:r>
      <w:r w:rsidR="00ED13E0" w:rsidRPr="008401DD">
        <w:rPr>
          <w:rFonts w:cs="Arial"/>
          <w:b/>
        </w:rPr>
        <w:t>IPA II</w:t>
      </w:r>
      <w:r w:rsidR="00ED13E0" w:rsidRPr="008401DD">
        <w:rPr>
          <w:rFonts w:cs="Arial"/>
        </w:rPr>
        <w:t>:</w:t>
      </w:r>
      <w:r w:rsidR="00ED13E0" w:rsidRPr="008401DD">
        <w:rPr>
          <w:rFonts w:cs="Arial"/>
          <w:i/>
        </w:rPr>
        <w:t xml:space="preserve"> </w:t>
      </w:r>
      <w:r w:rsidR="00ED13E0" w:rsidRPr="008401DD">
        <w:rPr>
          <w:rFonts w:cs="Arial"/>
        </w:rPr>
        <w:t>IPA II je instrument, s pomočjo katerega EU podpira reformne programe držav, ki si prizadevajo za članstvo. Izvaja se v obliki finančne in tehnične pomoči na področj</w:t>
      </w:r>
      <w:r w:rsidR="00E25B66" w:rsidRPr="008401DD">
        <w:rPr>
          <w:rFonts w:cs="Arial"/>
        </w:rPr>
        <w:t>ih</w:t>
      </w:r>
      <w:r w:rsidR="00ED13E0" w:rsidRPr="008401DD">
        <w:rPr>
          <w:rFonts w:cs="Arial"/>
        </w:rPr>
        <w:t xml:space="preserve"> reforme javne uprave, vladavine prava, trajnostnega gospodarstva, družbenega razvoja ter kmetijstva in razvoja podeželja. Severni Makedoniji je v obdobju 2014-2020 namenjenih 608,7 milijonov EUR</w:t>
      </w:r>
      <w:r w:rsidR="00E25B66" w:rsidRPr="008401DD">
        <w:rPr>
          <w:rFonts w:cs="Arial"/>
        </w:rPr>
        <w:t>,</w:t>
      </w:r>
      <w:r w:rsidR="00ED13E0" w:rsidRPr="008401DD">
        <w:rPr>
          <w:rFonts w:cs="Arial"/>
        </w:rPr>
        <w:t xml:space="preserve"> instrument pa se izvaja na način krepitve zmogljivosti (tudi preko podpore oblikovanju in izvajanju politik), usklajevanja s standardi EU in izboljšanja </w:t>
      </w:r>
      <w:r w:rsidR="005F55D6" w:rsidRPr="008401DD">
        <w:rPr>
          <w:rFonts w:cs="Arial"/>
        </w:rPr>
        <w:t>infrastrukture.</w:t>
      </w:r>
      <w:r w:rsidR="00E25B66" w:rsidRPr="008401DD">
        <w:rPr>
          <w:rFonts w:cs="Arial"/>
        </w:rPr>
        <w:t xml:space="preserve"> U</w:t>
      </w:r>
      <w:r w:rsidR="00ED13E0" w:rsidRPr="008401DD">
        <w:rPr>
          <w:rFonts w:cs="Arial"/>
        </w:rPr>
        <w:t>smerjen pa je v naslednje sektorje:</w:t>
      </w:r>
    </w:p>
    <w:p w14:paraId="544717EA"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demokracija in dobro upravljanje;</w:t>
      </w:r>
    </w:p>
    <w:p w14:paraId="466D5D73"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vladavina prava in temeljne pravice;</w:t>
      </w:r>
    </w:p>
    <w:p w14:paraId="6CA6EA3A"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okolje in podnebni ukrepi;</w:t>
      </w:r>
    </w:p>
    <w:p w14:paraId="5A74B106"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promet;</w:t>
      </w:r>
    </w:p>
    <w:p w14:paraId="49B81A0E"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konkurenčnost in inovacije;</w:t>
      </w:r>
    </w:p>
    <w:p w14:paraId="36CC73FD" w14:textId="77777777"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socialni razvoj;</w:t>
      </w:r>
    </w:p>
    <w:p w14:paraId="5C8A6FC6" w14:textId="0F493F68" w:rsidR="00ED13E0" w:rsidRPr="008401DD" w:rsidRDefault="00ED13E0" w:rsidP="00960E68">
      <w:pPr>
        <w:pStyle w:val="ListParagraph"/>
        <w:numPr>
          <w:ilvl w:val="0"/>
          <w:numId w:val="11"/>
        </w:numPr>
        <w:spacing w:line="240" w:lineRule="auto"/>
        <w:ind w:left="714" w:hanging="357"/>
        <w:jc w:val="both"/>
        <w:rPr>
          <w:rFonts w:cs="Arial"/>
        </w:rPr>
      </w:pPr>
      <w:r w:rsidRPr="008401DD">
        <w:rPr>
          <w:rFonts w:cs="Arial"/>
        </w:rPr>
        <w:t>kmetijstvo in razvoj podeželja</w:t>
      </w:r>
      <w:r w:rsidR="008F0EB6" w:rsidRPr="008401DD">
        <w:rPr>
          <w:rFonts w:cs="Arial"/>
        </w:rPr>
        <w:t>;</w:t>
      </w:r>
    </w:p>
    <w:p w14:paraId="45EEE7FB" w14:textId="77777777" w:rsidR="00FB529F" w:rsidRPr="008401DD" w:rsidRDefault="00ED13E0" w:rsidP="00960E68">
      <w:pPr>
        <w:pStyle w:val="ListParagraph"/>
        <w:numPr>
          <w:ilvl w:val="0"/>
          <w:numId w:val="11"/>
        </w:numPr>
        <w:spacing w:line="240" w:lineRule="auto"/>
        <w:ind w:left="714" w:hanging="357"/>
        <w:jc w:val="both"/>
        <w:rPr>
          <w:rFonts w:cs="Arial"/>
        </w:rPr>
      </w:pPr>
      <w:r w:rsidRPr="008401DD">
        <w:rPr>
          <w:rFonts w:cs="Arial"/>
        </w:rPr>
        <w:t>regionalno in teritorialno sodelovanje</w:t>
      </w:r>
      <w:r w:rsidRPr="008401DD">
        <w:rPr>
          <w:rStyle w:val="FootnoteReference"/>
          <w:rFonts w:cs="Arial"/>
        </w:rPr>
        <w:footnoteReference w:id="12"/>
      </w:r>
      <w:r w:rsidRPr="008401DD">
        <w:rPr>
          <w:rFonts w:cs="Arial"/>
        </w:rPr>
        <w:t>.</w:t>
      </w:r>
    </w:p>
    <w:p w14:paraId="794654FB" w14:textId="77777777" w:rsidR="00A00D57" w:rsidRPr="008401DD" w:rsidRDefault="00A00D57" w:rsidP="00960E68">
      <w:pPr>
        <w:pStyle w:val="ListParagraph"/>
        <w:spacing w:line="240" w:lineRule="auto"/>
        <w:ind w:left="714"/>
        <w:jc w:val="both"/>
        <w:rPr>
          <w:rFonts w:cs="Arial"/>
        </w:rPr>
      </w:pPr>
    </w:p>
    <w:p w14:paraId="1A37285B" w14:textId="7C200874" w:rsidR="00FB529F" w:rsidRPr="008401DD" w:rsidRDefault="00A00D57" w:rsidP="00960E68">
      <w:pPr>
        <w:jc w:val="both"/>
      </w:pPr>
      <w:r w:rsidRPr="008401DD">
        <w:rPr>
          <w:b/>
        </w:rPr>
        <w:t>ZDA</w:t>
      </w:r>
      <w:r w:rsidRPr="008401DD">
        <w:t>: Pomoč ameriške vlade Severni Makedoniji se osredotoča na pospeševanje nadaljnjega razvoja Severne Makedonije na poti k popolni integraciji v evroatlantsko skupnost in pomoč pri prizadevanju vlade Severne Makedonije za vzdrževanje gospodarskih in demokratičnih reform pri doseganju stabilnosti in blaginje</w:t>
      </w:r>
      <w:r w:rsidRPr="008401DD">
        <w:rPr>
          <w:rStyle w:val="FootnoteReference"/>
        </w:rPr>
        <w:footnoteReference w:id="13"/>
      </w:r>
      <w:r w:rsidRPr="008401DD">
        <w:t>.</w:t>
      </w:r>
    </w:p>
    <w:p w14:paraId="73F13C07" w14:textId="77777777" w:rsidR="006B0F9E" w:rsidRPr="008401DD" w:rsidRDefault="006B0F9E" w:rsidP="00960E68">
      <w:pPr>
        <w:jc w:val="both"/>
      </w:pPr>
    </w:p>
    <w:p w14:paraId="5113F89C" w14:textId="57C75873" w:rsidR="00A00D57" w:rsidRPr="008401DD" w:rsidRDefault="00A00D57" w:rsidP="00960E68">
      <w:pPr>
        <w:jc w:val="both"/>
      </w:pPr>
      <w:r w:rsidRPr="008401DD">
        <w:rPr>
          <w:b/>
        </w:rPr>
        <w:t>Švica</w:t>
      </w:r>
      <w:r w:rsidRPr="008401DD">
        <w:t xml:space="preserve">: Splošni cilj švicarskega sodelovanja za obdobje 2017 do 2020 je podpreti Severno Makedonijo pri njenih reformah, da bi izpolnila evropske standarde in zgradila socialno vključujočo demokracijo in tržno gospodarstvo, hkrati pa zagotovila dobro upravljanje </w:t>
      </w:r>
      <w:r w:rsidR="00436A04" w:rsidRPr="008401DD">
        <w:t>z naravnimi viri</w:t>
      </w:r>
      <w:r w:rsidRPr="008401DD">
        <w:t>. Ta cilj je tesno povezan s prednostnimi nalogami in nacionalnimi razvojnimi politikami Severne Makedonije, z reformami, potrebnimi za pristop Severne Makedonije k EU, pa tudi z Agendo za trajnostni razvoj do leta 2030</w:t>
      </w:r>
      <w:r w:rsidR="00436A04" w:rsidRPr="008401DD">
        <w:rPr>
          <w:rStyle w:val="FootnoteReference"/>
        </w:rPr>
        <w:footnoteReference w:id="14"/>
      </w:r>
      <w:r w:rsidRPr="008401DD">
        <w:t xml:space="preserve">. </w:t>
      </w:r>
      <w:r w:rsidR="00B457F3" w:rsidRPr="008401DD">
        <w:t>Švica je v letu 2018 Severni Makedoniji namenila 23,6 milijona CHF za razvojno pomoč, v letu 2019 26,4 milijona CHF, med leti 2012 in 2019 pa skupno kar 141,3 milijona CHF</w:t>
      </w:r>
      <w:r w:rsidR="00B457F3" w:rsidRPr="008401DD">
        <w:rPr>
          <w:rStyle w:val="FootnoteReference"/>
        </w:rPr>
        <w:footnoteReference w:id="15"/>
      </w:r>
      <w:r w:rsidR="006B0F9E" w:rsidRPr="008401DD">
        <w:t>.</w:t>
      </w:r>
    </w:p>
    <w:p w14:paraId="06355271" w14:textId="15990C92" w:rsidR="00A00D57" w:rsidRPr="008401DD" w:rsidRDefault="00436A04" w:rsidP="00960E68">
      <w:pPr>
        <w:jc w:val="both"/>
      </w:pPr>
      <w:r w:rsidRPr="008401DD">
        <w:rPr>
          <w:b/>
        </w:rPr>
        <w:t>Nemčija</w:t>
      </w:r>
      <w:r w:rsidRPr="008401DD">
        <w:t>: Temelj nemške politike do Severne Makedonije je podpora vključevanju države v evroatlantsko skupnost in v ta namen podpora potrebnim reformam, predvsem na področju pravne države. Razvojno sodelovanje se osredotoča na okolju prijazne infrastrukturne projekte (zlasti hidroelektrarne in vetrno energijo, oskrba z vodo, ravnanje z odpadki in ohranjanje narave), krepitev socialne infrastrukture z občinskimi projekti in podpiranje razvoja tržnega gospodarstva, zlasti s spodbujanjem malih in srednje velikih podjet</w:t>
      </w:r>
      <w:r w:rsidR="00B27574" w:rsidRPr="008401DD">
        <w:t>ij</w:t>
      </w:r>
      <w:r w:rsidRPr="008401DD">
        <w:t>, posodabljanje kmetijstva in usklajevanje zakonodaje s standardi EU</w:t>
      </w:r>
      <w:r w:rsidRPr="008401DD">
        <w:rPr>
          <w:rStyle w:val="FootnoteReference"/>
        </w:rPr>
        <w:footnoteReference w:id="16"/>
      </w:r>
      <w:r w:rsidRPr="008401DD">
        <w:t>.</w:t>
      </w:r>
    </w:p>
    <w:p w14:paraId="2B934BD7" w14:textId="77777777" w:rsidR="006B0F9E" w:rsidRPr="008401DD" w:rsidRDefault="006B0F9E" w:rsidP="00960E68">
      <w:pPr>
        <w:jc w:val="both"/>
      </w:pPr>
    </w:p>
    <w:p w14:paraId="182070D9" w14:textId="44F83C80" w:rsidR="004B5442" w:rsidRPr="008401DD" w:rsidRDefault="004B5442" w:rsidP="00960E68">
      <w:pPr>
        <w:jc w:val="both"/>
      </w:pPr>
      <w:r w:rsidRPr="008401DD">
        <w:rPr>
          <w:b/>
        </w:rPr>
        <w:t xml:space="preserve">Slovenija: </w:t>
      </w:r>
      <w:r w:rsidRPr="008401DD">
        <w:t>Severna Makedonija je za Slovenijo ena izmed prioritetnih držav v nudenju mednarodne razvojne pomoči. Skladno z meddržavnim dogovorom se razvojno sodelovanje med Slovenijo in Severno Makedonijo osredotoča na varovanje okolja, predvsem na zaščito vodnih virov in gospodarjenje z odpadnimi vodami ter energetsko učinkovitost. Pri tem se daje poseben poudarek krepitvi gospodarskega razvoja in uravnoteženemu regionalnemu razvoju ter posodobitvi javne uprave in usposabljanju s področja približevanja EU.</w:t>
      </w:r>
    </w:p>
    <w:p w14:paraId="0235E640" w14:textId="77777777" w:rsidR="006B0F9E" w:rsidRPr="008401DD" w:rsidRDefault="006B0F9E" w:rsidP="00960E68">
      <w:pPr>
        <w:jc w:val="both"/>
      </w:pPr>
    </w:p>
    <w:p w14:paraId="6E0BD2C3" w14:textId="6E3C946C" w:rsidR="00FF1669" w:rsidRPr="008401DD" w:rsidRDefault="00472E98" w:rsidP="00960E68">
      <w:pPr>
        <w:jc w:val="both"/>
      </w:pPr>
      <w:r w:rsidRPr="008401DD">
        <w:t>Sofinanciranje RS z nepovratnimi sredstvi</w:t>
      </w:r>
      <w:r w:rsidR="00E14F6F" w:rsidRPr="008401DD">
        <w:t xml:space="preserve"> </w:t>
      </w:r>
      <w:r w:rsidR="00657389" w:rsidRPr="008401DD">
        <w:t>za razvojno pomoč Severni Makedoniji je v letu 2018 znašala 3.873.246 EUR, kar je občutno več kot v letih 201</w:t>
      </w:r>
      <w:r w:rsidRPr="008401DD">
        <w:t>2</w:t>
      </w:r>
      <w:r w:rsidR="00657389" w:rsidRPr="008401DD">
        <w:t>-2017.</w:t>
      </w:r>
      <w:r w:rsidR="00225377" w:rsidRPr="008401DD">
        <w:t xml:space="preserve"> V obdobju med leti 2012-2017 je bil glavni razlog za manjše sofinanciranje razvojnih projektov v strani RS politična nestabilnost v Severni Makedoniji, zaradi katere v Severni Makedoniji ni bilo zadostne politične podpore posameznim razvojnim projektom.</w:t>
      </w:r>
    </w:p>
    <w:p w14:paraId="6263F8FC" w14:textId="77777777" w:rsidR="004B2376" w:rsidRPr="008401DD" w:rsidRDefault="004B2376" w:rsidP="00960E68">
      <w:pPr>
        <w:jc w:val="both"/>
      </w:pPr>
    </w:p>
    <w:p w14:paraId="2D6E89D9" w14:textId="1AC10960" w:rsidR="004B5442" w:rsidRPr="008401DD" w:rsidRDefault="004B5442" w:rsidP="00960E68">
      <w:pPr>
        <w:pStyle w:val="Caption"/>
        <w:keepNext/>
        <w:spacing w:after="0"/>
      </w:pPr>
      <w:bookmarkStart w:id="57" w:name="_Toc56779396"/>
      <w:r w:rsidRPr="008401DD">
        <w:t xml:space="preserve">Tabela </w:t>
      </w:r>
      <w:r w:rsidRPr="008401DD">
        <w:fldChar w:fldCharType="begin"/>
      </w:r>
      <w:r w:rsidRPr="008401DD">
        <w:instrText xml:space="preserve"> SEQ Tabela \* ARABIC </w:instrText>
      </w:r>
      <w:r w:rsidRPr="008401DD">
        <w:fldChar w:fldCharType="separate"/>
      </w:r>
      <w:r w:rsidR="00F67E80">
        <w:rPr>
          <w:noProof/>
        </w:rPr>
        <w:t>3</w:t>
      </w:r>
      <w:r w:rsidRPr="008401DD">
        <w:fldChar w:fldCharType="end"/>
      </w:r>
      <w:r w:rsidRPr="008401DD">
        <w:t xml:space="preserve"> Prejemki razpoložljive dvostranske razvojne pomoči v Severni Makedoniji</w:t>
      </w:r>
      <w:r w:rsidR="00D15ED7" w:rsidRPr="008401DD">
        <w:rPr>
          <w:rStyle w:val="FootnoteReference"/>
        </w:rPr>
        <w:footnoteReference w:id="17"/>
      </w:r>
      <w:bookmarkEnd w:id="57"/>
    </w:p>
    <w:tbl>
      <w:tblPr>
        <w:tblStyle w:val="TableGrid"/>
        <w:tblW w:w="0" w:type="auto"/>
        <w:tblLook w:val="04A0" w:firstRow="1" w:lastRow="0" w:firstColumn="1" w:lastColumn="0" w:noHBand="0" w:noVBand="1"/>
      </w:tblPr>
      <w:tblGrid>
        <w:gridCol w:w="1106"/>
        <w:gridCol w:w="1017"/>
        <w:gridCol w:w="1213"/>
        <w:gridCol w:w="1213"/>
        <w:gridCol w:w="1213"/>
        <w:gridCol w:w="1213"/>
        <w:gridCol w:w="1213"/>
        <w:gridCol w:w="1162"/>
      </w:tblGrid>
      <w:tr w:rsidR="00CF2901" w:rsidRPr="008401DD" w14:paraId="5EEFA3A1" w14:textId="59834FF6" w:rsidTr="009A3A29">
        <w:tc>
          <w:tcPr>
            <w:tcW w:w="1146" w:type="dxa"/>
            <w:shd w:val="clear" w:color="auto" w:fill="67C18C"/>
          </w:tcPr>
          <w:p w14:paraId="205AA35F" w14:textId="2759EDFB" w:rsidR="00CF2901" w:rsidRPr="008401DD" w:rsidRDefault="00CF2901" w:rsidP="00960E68">
            <w:pPr>
              <w:jc w:val="both"/>
              <w:rPr>
                <w:b/>
                <w:color w:val="FFFFFF" w:themeColor="background1"/>
              </w:rPr>
            </w:pPr>
            <w:r w:rsidRPr="008401DD">
              <w:rPr>
                <w:b/>
                <w:color w:val="FFFFFF" w:themeColor="background1"/>
              </w:rPr>
              <w:t>Leto</w:t>
            </w:r>
          </w:p>
        </w:tc>
        <w:tc>
          <w:tcPr>
            <w:tcW w:w="839" w:type="dxa"/>
            <w:shd w:val="clear" w:color="auto" w:fill="67C18C"/>
          </w:tcPr>
          <w:p w14:paraId="68B9E970" w14:textId="38FAB0E3" w:rsidR="00CF2901" w:rsidRPr="008401DD" w:rsidRDefault="00CF2901" w:rsidP="00960E68">
            <w:pPr>
              <w:jc w:val="both"/>
              <w:rPr>
                <w:b/>
                <w:color w:val="FFFFFF" w:themeColor="background1"/>
              </w:rPr>
            </w:pPr>
            <w:r w:rsidRPr="008401DD">
              <w:rPr>
                <w:b/>
                <w:color w:val="FFFFFF" w:themeColor="background1"/>
              </w:rPr>
              <w:t>2012</w:t>
            </w:r>
          </w:p>
        </w:tc>
        <w:tc>
          <w:tcPr>
            <w:tcW w:w="1237" w:type="dxa"/>
            <w:shd w:val="clear" w:color="auto" w:fill="67C18C"/>
          </w:tcPr>
          <w:p w14:paraId="503A49E7" w14:textId="6BA9B60C" w:rsidR="00CF2901" w:rsidRPr="008401DD" w:rsidRDefault="00CF2901" w:rsidP="00960E68">
            <w:pPr>
              <w:jc w:val="both"/>
              <w:rPr>
                <w:b/>
                <w:color w:val="FFFFFF" w:themeColor="background1"/>
              </w:rPr>
            </w:pPr>
            <w:r w:rsidRPr="008401DD">
              <w:rPr>
                <w:b/>
                <w:color w:val="FFFFFF" w:themeColor="background1"/>
              </w:rPr>
              <w:t>2013</w:t>
            </w:r>
          </w:p>
        </w:tc>
        <w:tc>
          <w:tcPr>
            <w:tcW w:w="1237" w:type="dxa"/>
            <w:shd w:val="clear" w:color="auto" w:fill="67C18C"/>
          </w:tcPr>
          <w:p w14:paraId="67320D50" w14:textId="40782E53" w:rsidR="00CF2901" w:rsidRPr="008401DD" w:rsidRDefault="00CF2901" w:rsidP="00960E68">
            <w:pPr>
              <w:jc w:val="both"/>
              <w:rPr>
                <w:b/>
                <w:color w:val="FFFFFF" w:themeColor="background1"/>
              </w:rPr>
            </w:pPr>
            <w:r w:rsidRPr="008401DD">
              <w:rPr>
                <w:b/>
                <w:color w:val="FFFFFF" w:themeColor="background1"/>
              </w:rPr>
              <w:t>2014</w:t>
            </w:r>
          </w:p>
        </w:tc>
        <w:tc>
          <w:tcPr>
            <w:tcW w:w="1237" w:type="dxa"/>
            <w:shd w:val="clear" w:color="auto" w:fill="67C18C"/>
          </w:tcPr>
          <w:p w14:paraId="0635B392" w14:textId="35753096" w:rsidR="00CF2901" w:rsidRPr="008401DD" w:rsidRDefault="00CF2901" w:rsidP="00960E68">
            <w:pPr>
              <w:jc w:val="both"/>
              <w:rPr>
                <w:b/>
                <w:color w:val="FFFFFF" w:themeColor="background1"/>
              </w:rPr>
            </w:pPr>
            <w:r w:rsidRPr="008401DD">
              <w:rPr>
                <w:b/>
                <w:color w:val="FFFFFF" w:themeColor="background1"/>
              </w:rPr>
              <w:t>2015</w:t>
            </w:r>
          </w:p>
        </w:tc>
        <w:tc>
          <w:tcPr>
            <w:tcW w:w="1237" w:type="dxa"/>
            <w:shd w:val="clear" w:color="auto" w:fill="67C18C"/>
          </w:tcPr>
          <w:p w14:paraId="5536A508" w14:textId="29901AC1" w:rsidR="00CF2901" w:rsidRPr="008401DD" w:rsidRDefault="00CF2901" w:rsidP="00960E68">
            <w:pPr>
              <w:jc w:val="both"/>
              <w:rPr>
                <w:b/>
                <w:color w:val="FFFFFF" w:themeColor="background1"/>
              </w:rPr>
            </w:pPr>
            <w:r w:rsidRPr="008401DD">
              <w:rPr>
                <w:b/>
                <w:color w:val="FFFFFF" w:themeColor="background1"/>
              </w:rPr>
              <w:t>2016</w:t>
            </w:r>
          </w:p>
        </w:tc>
        <w:tc>
          <w:tcPr>
            <w:tcW w:w="1237" w:type="dxa"/>
            <w:shd w:val="clear" w:color="auto" w:fill="67C18C"/>
          </w:tcPr>
          <w:p w14:paraId="2C65F834" w14:textId="067A8616" w:rsidR="00CF2901" w:rsidRPr="008401DD" w:rsidRDefault="00CF2901" w:rsidP="00960E68">
            <w:pPr>
              <w:jc w:val="both"/>
              <w:rPr>
                <w:b/>
                <w:color w:val="FFFFFF" w:themeColor="background1"/>
              </w:rPr>
            </w:pPr>
            <w:r w:rsidRPr="008401DD">
              <w:rPr>
                <w:b/>
                <w:color w:val="FFFFFF" w:themeColor="background1"/>
              </w:rPr>
              <w:t>2017</w:t>
            </w:r>
          </w:p>
        </w:tc>
        <w:tc>
          <w:tcPr>
            <w:tcW w:w="1180" w:type="dxa"/>
            <w:shd w:val="clear" w:color="auto" w:fill="67C18C"/>
          </w:tcPr>
          <w:p w14:paraId="1D9F6C02" w14:textId="02C79367" w:rsidR="00CF2901" w:rsidRPr="008401DD" w:rsidRDefault="00CF2901" w:rsidP="00960E68">
            <w:pPr>
              <w:jc w:val="both"/>
              <w:rPr>
                <w:b/>
                <w:color w:val="FFFFFF" w:themeColor="background1"/>
              </w:rPr>
            </w:pPr>
            <w:r w:rsidRPr="008401DD">
              <w:rPr>
                <w:b/>
                <w:color w:val="FFFFFF" w:themeColor="background1"/>
              </w:rPr>
              <w:t>2018</w:t>
            </w:r>
          </w:p>
        </w:tc>
      </w:tr>
      <w:tr w:rsidR="00CF2901" w:rsidRPr="008401DD" w14:paraId="35D51482" w14:textId="07FF41D3" w:rsidTr="009A3A29">
        <w:tc>
          <w:tcPr>
            <w:tcW w:w="1146" w:type="dxa"/>
          </w:tcPr>
          <w:p w14:paraId="2A652EEE" w14:textId="6328024E" w:rsidR="00CF2901" w:rsidRPr="00161A81" w:rsidRDefault="00CF2901" w:rsidP="00960E68">
            <w:pPr>
              <w:jc w:val="both"/>
              <w:rPr>
                <w:sz w:val="18"/>
              </w:rPr>
            </w:pPr>
            <w:r w:rsidRPr="00161A81">
              <w:rPr>
                <w:sz w:val="18"/>
              </w:rPr>
              <w:t>Prejeti znesek</w:t>
            </w:r>
          </w:p>
        </w:tc>
        <w:tc>
          <w:tcPr>
            <w:tcW w:w="839" w:type="dxa"/>
          </w:tcPr>
          <w:p w14:paraId="24101FBA" w14:textId="4E12548C" w:rsidR="00CF2901" w:rsidRPr="00161A81" w:rsidRDefault="00CF2901" w:rsidP="00960E68">
            <w:pPr>
              <w:jc w:val="both"/>
              <w:rPr>
                <w:sz w:val="18"/>
              </w:rPr>
            </w:pPr>
            <w:r w:rsidRPr="00161A81">
              <w:rPr>
                <w:sz w:val="18"/>
              </w:rPr>
              <w:t>2.295.573 EUR</w:t>
            </w:r>
          </w:p>
        </w:tc>
        <w:tc>
          <w:tcPr>
            <w:tcW w:w="1237" w:type="dxa"/>
          </w:tcPr>
          <w:p w14:paraId="06C63954" w14:textId="04469D60" w:rsidR="00CF2901" w:rsidRPr="00161A81" w:rsidRDefault="00CF2901" w:rsidP="00960E68">
            <w:pPr>
              <w:jc w:val="both"/>
              <w:rPr>
                <w:sz w:val="18"/>
              </w:rPr>
            </w:pPr>
            <w:r w:rsidRPr="00161A81">
              <w:rPr>
                <w:sz w:val="18"/>
              </w:rPr>
              <w:t>2.687.932 EUR</w:t>
            </w:r>
          </w:p>
        </w:tc>
        <w:tc>
          <w:tcPr>
            <w:tcW w:w="1237" w:type="dxa"/>
          </w:tcPr>
          <w:p w14:paraId="7D920F53" w14:textId="39EE2896" w:rsidR="00CF2901" w:rsidRPr="00161A81" w:rsidRDefault="00CF2901" w:rsidP="00960E68">
            <w:pPr>
              <w:jc w:val="both"/>
              <w:rPr>
                <w:sz w:val="18"/>
              </w:rPr>
            </w:pPr>
            <w:r w:rsidRPr="00161A81">
              <w:rPr>
                <w:sz w:val="18"/>
              </w:rPr>
              <w:t>2.105.101 EUR</w:t>
            </w:r>
          </w:p>
        </w:tc>
        <w:tc>
          <w:tcPr>
            <w:tcW w:w="1237" w:type="dxa"/>
          </w:tcPr>
          <w:p w14:paraId="6762CBC0" w14:textId="1F4510A3" w:rsidR="00CF2901" w:rsidRPr="00161A81" w:rsidRDefault="00CF2901" w:rsidP="00960E68">
            <w:pPr>
              <w:jc w:val="both"/>
              <w:rPr>
                <w:sz w:val="18"/>
              </w:rPr>
            </w:pPr>
            <w:r w:rsidRPr="00161A81">
              <w:rPr>
                <w:sz w:val="18"/>
              </w:rPr>
              <w:t>2.281.603 EUR</w:t>
            </w:r>
          </w:p>
        </w:tc>
        <w:tc>
          <w:tcPr>
            <w:tcW w:w="1237" w:type="dxa"/>
          </w:tcPr>
          <w:p w14:paraId="542F7478" w14:textId="4BA3ACDF" w:rsidR="00CF2901" w:rsidRPr="00161A81" w:rsidRDefault="00CF2901" w:rsidP="00960E68">
            <w:pPr>
              <w:jc w:val="both"/>
              <w:rPr>
                <w:sz w:val="18"/>
              </w:rPr>
            </w:pPr>
            <w:r w:rsidRPr="00161A81">
              <w:rPr>
                <w:sz w:val="18"/>
              </w:rPr>
              <w:t>2.715.682 EUR</w:t>
            </w:r>
          </w:p>
        </w:tc>
        <w:tc>
          <w:tcPr>
            <w:tcW w:w="1237" w:type="dxa"/>
          </w:tcPr>
          <w:p w14:paraId="3B93F2C4" w14:textId="630EA4E3" w:rsidR="00CF2901" w:rsidRPr="00161A81" w:rsidRDefault="00CF2901" w:rsidP="00960E68">
            <w:pPr>
              <w:jc w:val="both"/>
              <w:rPr>
                <w:sz w:val="18"/>
              </w:rPr>
            </w:pPr>
            <w:r w:rsidRPr="00161A81">
              <w:rPr>
                <w:sz w:val="18"/>
              </w:rPr>
              <w:t>3.136.770 EUR</w:t>
            </w:r>
          </w:p>
        </w:tc>
        <w:tc>
          <w:tcPr>
            <w:tcW w:w="1180" w:type="dxa"/>
          </w:tcPr>
          <w:p w14:paraId="668CFEDC" w14:textId="4E80A8AC" w:rsidR="00CF2901" w:rsidRPr="00161A81" w:rsidRDefault="00CF2901" w:rsidP="00960E68">
            <w:pPr>
              <w:jc w:val="both"/>
              <w:rPr>
                <w:sz w:val="18"/>
              </w:rPr>
            </w:pPr>
            <w:r w:rsidRPr="00161A81">
              <w:rPr>
                <w:sz w:val="18"/>
              </w:rPr>
              <w:t>3.873.246 EUR</w:t>
            </w:r>
          </w:p>
        </w:tc>
      </w:tr>
    </w:tbl>
    <w:p w14:paraId="647F0100" w14:textId="2E2CBF20" w:rsidR="006B0F9E" w:rsidRDefault="006B0F9E" w:rsidP="00960E68">
      <w:pPr>
        <w:jc w:val="both"/>
        <w:rPr>
          <w:b/>
        </w:rPr>
      </w:pPr>
    </w:p>
    <w:p w14:paraId="05ACEE9E" w14:textId="77777777" w:rsidR="007E77AE" w:rsidRPr="008401DD" w:rsidRDefault="007E77AE" w:rsidP="00960E68">
      <w:pPr>
        <w:jc w:val="both"/>
        <w:rPr>
          <w:b/>
        </w:rPr>
      </w:pPr>
    </w:p>
    <w:p w14:paraId="46A85D64" w14:textId="77777777" w:rsidR="00DD263A" w:rsidRPr="008401DD" w:rsidRDefault="00015106" w:rsidP="00960E68">
      <w:pPr>
        <w:pStyle w:val="Heading2"/>
        <w:spacing w:before="0" w:after="0"/>
      </w:pPr>
      <w:bookmarkStart w:id="58" w:name="_Toc52394922"/>
      <w:bookmarkStart w:id="59" w:name="_Toc56088896"/>
      <w:bookmarkStart w:id="60" w:name="_Toc56112190"/>
      <w:bookmarkStart w:id="61" w:name="_Toc57377167"/>
      <w:r w:rsidRPr="008401DD">
        <w:t>Vsebina projekta</w:t>
      </w:r>
      <w:bookmarkEnd w:id="58"/>
      <w:bookmarkEnd w:id="59"/>
      <w:bookmarkEnd w:id="60"/>
      <w:bookmarkEnd w:id="61"/>
    </w:p>
    <w:p w14:paraId="4F52B2B5" w14:textId="77777777" w:rsidR="006F317B" w:rsidRDefault="006F317B" w:rsidP="00960E68">
      <w:pPr>
        <w:jc w:val="both"/>
      </w:pPr>
    </w:p>
    <w:p w14:paraId="405ADFF5" w14:textId="088AC921" w:rsidR="00FB529F" w:rsidRPr="008401DD" w:rsidRDefault="002F00BD" w:rsidP="00960E68">
      <w:pPr>
        <w:jc w:val="both"/>
      </w:pPr>
      <w:r w:rsidRPr="008401DD">
        <w:t xml:space="preserve">Mesto </w:t>
      </w:r>
      <w:proofErr w:type="spellStart"/>
      <w:r w:rsidRPr="008401DD">
        <w:t>Probištip</w:t>
      </w:r>
      <w:proofErr w:type="spellEnd"/>
      <w:r w:rsidRPr="008401DD">
        <w:t xml:space="preserve"> </w:t>
      </w:r>
      <w:r w:rsidR="00AE3ECB" w:rsidRPr="008401DD">
        <w:t>leži na severovzhodu Severne Makedonije</w:t>
      </w:r>
      <w:r w:rsidRPr="008401DD">
        <w:t xml:space="preserve"> ustanovljeno </w:t>
      </w:r>
      <w:r w:rsidR="00AE3ECB" w:rsidRPr="008401DD">
        <w:t>pa je bilo</w:t>
      </w:r>
      <w:r w:rsidRPr="008401DD">
        <w:t xml:space="preserve"> leta 1945</w:t>
      </w:r>
      <w:r w:rsidR="00091B6E" w:rsidRPr="008401DD">
        <w:t xml:space="preserve"> </w:t>
      </w:r>
      <w:r w:rsidRPr="008401DD">
        <w:t>kot tipično rudarsko mesto</w:t>
      </w:r>
      <w:r w:rsidR="00AE3ECB" w:rsidRPr="008401DD">
        <w:t>. Mesto</w:t>
      </w:r>
      <w:r w:rsidRPr="008401DD">
        <w:t xml:space="preserve"> ima 10.816 prebivalcev</w:t>
      </w:r>
      <w:r w:rsidR="0087391E" w:rsidRPr="008401DD">
        <w:t xml:space="preserve">, </w:t>
      </w:r>
      <w:r w:rsidR="003D6B5B" w:rsidRPr="008401DD">
        <w:t>o</w:t>
      </w:r>
      <w:r w:rsidR="0087391E" w:rsidRPr="008401DD">
        <w:t xml:space="preserve">bčina </w:t>
      </w:r>
      <w:proofErr w:type="spellStart"/>
      <w:r w:rsidR="0087391E" w:rsidRPr="008401DD">
        <w:t>Probištip</w:t>
      </w:r>
      <w:proofErr w:type="spellEnd"/>
      <w:r w:rsidR="0087391E" w:rsidRPr="008401DD">
        <w:t xml:space="preserve"> pa 16.193 prebivalcev</w:t>
      </w:r>
      <w:r w:rsidRPr="008401DD">
        <w:t xml:space="preserve">. Na razvoj mesta </w:t>
      </w:r>
      <w:r w:rsidR="0087391E" w:rsidRPr="008401DD">
        <w:t>in industrije je pomembno vplival rudnik</w:t>
      </w:r>
      <w:r w:rsidRPr="008401DD">
        <w:t xml:space="preserve"> svinca in cinka </w:t>
      </w:r>
      <w:proofErr w:type="spellStart"/>
      <w:r w:rsidR="0087391E" w:rsidRPr="008401DD">
        <w:t>Zletovo</w:t>
      </w:r>
      <w:proofErr w:type="spellEnd"/>
      <w:r w:rsidR="0087391E" w:rsidRPr="008401DD">
        <w:t xml:space="preserve">, ki pa je škodljivo vplival na okolje in v okoliški ekosistem ter reko </w:t>
      </w:r>
      <w:proofErr w:type="spellStart"/>
      <w:r w:rsidR="0087391E" w:rsidRPr="008401DD">
        <w:t>Zletovico</w:t>
      </w:r>
      <w:proofErr w:type="spellEnd"/>
      <w:r w:rsidR="0087391E" w:rsidRPr="008401DD">
        <w:t xml:space="preserve"> spuščal težke kovine, zaradi česar voda, zajeta iz reke</w:t>
      </w:r>
      <w:r w:rsidR="00776E20" w:rsidRPr="008401DD">
        <w:t>,</w:t>
      </w:r>
      <w:r w:rsidR="0087391E" w:rsidRPr="008401DD">
        <w:t xml:space="preserve"> ni ustrezala normativom za pitno vodo</w:t>
      </w:r>
      <w:r w:rsidR="00783838" w:rsidRPr="008401DD">
        <w:rPr>
          <w:rStyle w:val="FootnoteReference"/>
        </w:rPr>
        <w:footnoteReference w:id="18"/>
      </w:r>
      <w:r w:rsidR="0087391E" w:rsidRPr="008401DD">
        <w:t xml:space="preserve">. </w:t>
      </w:r>
    </w:p>
    <w:p w14:paraId="4D722DD2" w14:textId="77777777" w:rsidR="006B0F9E" w:rsidRPr="008401DD" w:rsidRDefault="006B0F9E" w:rsidP="00960E68">
      <w:pPr>
        <w:jc w:val="both"/>
      </w:pPr>
    </w:p>
    <w:p w14:paraId="794E8946" w14:textId="2AD3CA84" w:rsidR="00FF05F0" w:rsidRPr="008401DD" w:rsidRDefault="0087391E" w:rsidP="00960E68">
      <w:pPr>
        <w:jc w:val="both"/>
      </w:pPr>
      <w:r w:rsidRPr="008401DD">
        <w:t xml:space="preserve">Namen prvega projekta izgradnje čistilne naprave za pitno vodo v letih 2012 in 2013 je bil zagotavljati prebivalcem občine </w:t>
      </w:r>
      <w:proofErr w:type="spellStart"/>
      <w:r w:rsidRPr="008401DD">
        <w:t>Probištip</w:t>
      </w:r>
      <w:proofErr w:type="spellEnd"/>
      <w:r w:rsidRPr="008401DD">
        <w:t xml:space="preserve"> ustrezno pitno vodo, omogočiti trajno rabo voda in preprečevati škodljive vplive na zdravje ljudi. Prav tako je bil cilj izgradnje tudi spodbujanje družbenega in gospodarskega razvoja v degradiranem območju. </w:t>
      </w:r>
      <w:r w:rsidR="0075270C" w:rsidRPr="008401DD">
        <w:t xml:space="preserve">Slovenija je prispevala </w:t>
      </w:r>
      <w:r w:rsidR="00472E98" w:rsidRPr="008401DD">
        <w:t xml:space="preserve">nepovratna sredstva </w:t>
      </w:r>
      <w:r w:rsidR="0075270C" w:rsidRPr="008401DD">
        <w:t>v višini 480.000 EUR, 800.000 EUR je bilo financiranih kot kredit pri japonski agenciji za mednarodno sodelovanje JICA, 159.000 EUR pa je prispevala Severna Makedonija iz lastni</w:t>
      </w:r>
      <w:r w:rsidR="005029C9" w:rsidRPr="008401DD">
        <w:t>h</w:t>
      </w:r>
      <w:r w:rsidR="0075270C" w:rsidRPr="008401DD">
        <w:t xml:space="preserve"> sredstev. </w:t>
      </w:r>
    </w:p>
    <w:p w14:paraId="30AADEAF" w14:textId="77777777" w:rsidR="004B2376" w:rsidRPr="008401DD" w:rsidRDefault="004B2376" w:rsidP="00960E68">
      <w:pPr>
        <w:jc w:val="both"/>
      </w:pPr>
    </w:p>
    <w:p w14:paraId="54F54960" w14:textId="275082FD" w:rsidR="00FF05F0" w:rsidRPr="008401DD" w:rsidRDefault="00FF05F0" w:rsidP="00960E68">
      <w:pPr>
        <w:pStyle w:val="Caption"/>
        <w:keepNext/>
        <w:spacing w:after="0"/>
      </w:pPr>
      <w:bookmarkStart w:id="62" w:name="_Toc56779397"/>
      <w:r w:rsidRPr="008401DD">
        <w:t xml:space="preserve">Tabela </w:t>
      </w:r>
      <w:r w:rsidRPr="008401DD">
        <w:fldChar w:fldCharType="begin"/>
      </w:r>
      <w:r w:rsidRPr="008401DD">
        <w:instrText xml:space="preserve"> SEQ Tabela \* ARABIC </w:instrText>
      </w:r>
      <w:r w:rsidRPr="008401DD">
        <w:fldChar w:fldCharType="separate"/>
      </w:r>
      <w:r w:rsidR="00F67E80">
        <w:rPr>
          <w:noProof/>
        </w:rPr>
        <w:t>4</w:t>
      </w:r>
      <w:r w:rsidRPr="008401DD">
        <w:fldChar w:fldCharType="end"/>
      </w:r>
      <w:r w:rsidRPr="008401DD">
        <w:t xml:space="preserve"> Finančna konstrukcija projekta 1: Izgradnja čistilne naprave za pitno vodo</w:t>
      </w:r>
      <w:bookmarkEnd w:id="62"/>
    </w:p>
    <w:tbl>
      <w:tblPr>
        <w:tblStyle w:val="TableGrid"/>
        <w:tblW w:w="0" w:type="auto"/>
        <w:tblInd w:w="108" w:type="dxa"/>
        <w:tblLook w:val="04A0" w:firstRow="1" w:lastRow="0" w:firstColumn="1" w:lastColumn="0" w:noHBand="0" w:noVBand="1"/>
      </w:tblPr>
      <w:tblGrid>
        <w:gridCol w:w="3455"/>
        <w:gridCol w:w="2579"/>
        <w:gridCol w:w="2920"/>
      </w:tblGrid>
      <w:tr w:rsidR="00FF05F0" w:rsidRPr="008401DD" w14:paraId="5776EA5E" w14:textId="77777777" w:rsidTr="004E5206">
        <w:trPr>
          <w:trHeight w:val="160"/>
        </w:trPr>
        <w:tc>
          <w:tcPr>
            <w:tcW w:w="3455" w:type="dxa"/>
            <w:vAlign w:val="center"/>
          </w:tcPr>
          <w:p w14:paraId="610CC6F5" w14:textId="5FC66329" w:rsidR="00FF05F0" w:rsidRPr="008401DD" w:rsidRDefault="00FF05F0" w:rsidP="00960E68">
            <w:pPr>
              <w:spacing w:line="276" w:lineRule="auto"/>
              <w:jc w:val="both"/>
              <w:rPr>
                <w:sz w:val="18"/>
              </w:rPr>
            </w:pPr>
            <w:r w:rsidRPr="008401DD">
              <w:rPr>
                <w:sz w:val="18"/>
              </w:rPr>
              <w:t>Lastna sredstva</w:t>
            </w:r>
            <w:r w:rsidR="005029C9" w:rsidRPr="008401DD">
              <w:rPr>
                <w:sz w:val="18"/>
              </w:rPr>
              <w:t xml:space="preserve"> Severne Makedonije</w:t>
            </w:r>
          </w:p>
        </w:tc>
        <w:tc>
          <w:tcPr>
            <w:tcW w:w="2579" w:type="dxa"/>
            <w:vAlign w:val="center"/>
          </w:tcPr>
          <w:p w14:paraId="4239921A" w14:textId="77777777" w:rsidR="00FF05F0" w:rsidRPr="008401DD" w:rsidRDefault="00FF05F0" w:rsidP="00960E68">
            <w:pPr>
              <w:keepNext/>
              <w:keepLines/>
              <w:spacing w:line="276" w:lineRule="auto"/>
              <w:jc w:val="both"/>
              <w:outlineLvl w:val="5"/>
              <w:rPr>
                <w:sz w:val="18"/>
              </w:rPr>
            </w:pPr>
            <w:r w:rsidRPr="008401DD">
              <w:rPr>
                <w:sz w:val="18"/>
              </w:rPr>
              <w:t>16 %</w:t>
            </w:r>
          </w:p>
        </w:tc>
        <w:tc>
          <w:tcPr>
            <w:tcW w:w="2920" w:type="dxa"/>
            <w:vAlign w:val="center"/>
          </w:tcPr>
          <w:p w14:paraId="35A6B4E8" w14:textId="77777777" w:rsidR="00FF05F0" w:rsidRPr="008401DD" w:rsidRDefault="00FF05F0" w:rsidP="00960E68">
            <w:pPr>
              <w:keepNext/>
              <w:keepLines/>
              <w:spacing w:line="276" w:lineRule="auto"/>
              <w:jc w:val="both"/>
              <w:outlineLvl w:val="5"/>
              <w:rPr>
                <w:sz w:val="18"/>
              </w:rPr>
            </w:pPr>
            <w:r w:rsidRPr="008401DD">
              <w:rPr>
                <w:sz w:val="18"/>
              </w:rPr>
              <w:t>120.000 EUR</w:t>
            </w:r>
          </w:p>
        </w:tc>
      </w:tr>
      <w:tr w:rsidR="00FF05F0" w:rsidRPr="008401DD" w14:paraId="708CD309" w14:textId="77777777" w:rsidTr="004E5206">
        <w:trPr>
          <w:trHeight w:val="160"/>
        </w:trPr>
        <w:tc>
          <w:tcPr>
            <w:tcW w:w="3455" w:type="dxa"/>
            <w:vAlign w:val="center"/>
          </w:tcPr>
          <w:p w14:paraId="0809F9EF" w14:textId="77777777" w:rsidR="00FF05F0" w:rsidRPr="008401DD" w:rsidRDefault="00FF05F0" w:rsidP="00960E68">
            <w:pPr>
              <w:spacing w:line="276" w:lineRule="auto"/>
              <w:jc w:val="both"/>
              <w:rPr>
                <w:sz w:val="18"/>
              </w:rPr>
            </w:pPr>
            <w:r w:rsidRPr="008401DD">
              <w:rPr>
                <w:sz w:val="18"/>
              </w:rPr>
              <w:t>Kredit JICA</w:t>
            </w:r>
          </w:p>
        </w:tc>
        <w:tc>
          <w:tcPr>
            <w:tcW w:w="2579" w:type="dxa"/>
            <w:vAlign w:val="center"/>
          </w:tcPr>
          <w:p w14:paraId="01C5FAE1" w14:textId="77777777" w:rsidR="00FF05F0" w:rsidRPr="008401DD" w:rsidRDefault="00FF05F0" w:rsidP="00960E68">
            <w:pPr>
              <w:keepNext/>
              <w:keepLines/>
              <w:spacing w:line="276" w:lineRule="auto"/>
              <w:jc w:val="both"/>
              <w:outlineLvl w:val="5"/>
              <w:rPr>
                <w:sz w:val="18"/>
              </w:rPr>
            </w:pPr>
            <w:r w:rsidRPr="008401DD">
              <w:rPr>
                <w:sz w:val="18"/>
              </w:rPr>
              <w:t>57%</w:t>
            </w:r>
          </w:p>
        </w:tc>
        <w:tc>
          <w:tcPr>
            <w:tcW w:w="2920" w:type="dxa"/>
            <w:vAlign w:val="center"/>
          </w:tcPr>
          <w:p w14:paraId="23362DEE" w14:textId="77777777" w:rsidR="00FF05F0" w:rsidRPr="008401DD" w:rsidRDefault="00FF05F0" w:rsidP="00960E68">
            <w:pPr>
              <w:keepNext/>
              <w:keepLines/>
              <w:spacing w:line="276" w:lineRule="auto"/>
              <w:jc w:val="both"/>
              <w:outlineLvl w:val="5"/>
              <w:rPr>
                <w:sz w:val="18"/>
              </w:rPr>
            </w:pPr>
            <w:r w:rsidRPr="008401DD">
              <w:rPr>
                <w:sz w:val="18"/>
              </w:rPr>
              <w:t>800.000 EUR</w:t>
            </w:r>
          </w:p>
        </w:tc>
      </w:tr>
      <w:tr w:rsidR="00FF05F0" w:rsidRPr="008401DD" w14:paraId="20EFE243" w14:textId="77777777" w:rsidTr="004E5206">
        <w:trPr>
          <w:trHeight w:val="178"/>
        </w:trPr>
        <w:tc>
          <w:tcPr>
            <w:tcW w:w="3455" w:type="dxa"/>
            <w:vAlign w:val="center"/>
          </w:tcPr>
          <w:p w14:paraId="6588ED5D" w14:textId="31917159" w:rsidR="00FF05F0" w:rsidRPr="008401DD" w:rsidRDefault="00472E98" w:rsidP="00960E68">
            <w:pPr>
              <w:spacing w:line="276" w:lineRule="auto"/>
              <w:jc w:val="both"/>
              <w:rPr>
                <w:sz w:val="18"/>
              </w:rPr>
            </w:pPr>
            <w:r w:rsidRPr="008401DD">
              <w:rPr>
                <w:sz w:val="18"/>
              </w:rPr>
              <w:t>Sofinanciranje</w:t>
            </w:r>
            <w:r w:rsidR="008C254C" w:rsidRPr="008401DD">
              <w:rPr>
                <w:sz w:val="18"/>
              </w:rPr>
              <w:t xml:space="preserve"> </w:t>
            </w:r>
            <w:r w:rsidR="00FF05F0" w:rsidRPr="008401DD">
              <w:rPr>
                <w:sz w:val="18"/>
              </w:rPr>
              <w:t xml:space="preserve">RS </w:t>
            </w:r>
          </w:p>
        </w:tc>
        <w:tc>
          <w:tcPr>
            <w:tcW w:w="2579" w:type="dxa"/>
            <w:vAlign w:val="center"/>
          </w:tcPr>
          <w:p w14:paraId="5106F49B" w14:textId="77777777" w:rsidR="00FF05F0" w:rsidRPr="008401DD" w:rsidRDefault="00FF05F0" w:rsidP="00960E68">
            <w:pPr>
              <w:keepNext/>
              <w:keepLines/>
              <w:spacing w:line="276" w:lineRule="auto"/>
              <w:jc w:val="both"/>
              <w:outlineLvl w:val="5"/>
              <w:rPr>
                <w:sz w:val="18"/>
              </w:rPr>
            </w:pPr>
            <w:r w:rsidRPr="008401DD">
              <w:rPr>
                <w:sz w:val="18"/>
              </w:rPr>
              <w:t>27 %</w:t>
            </w:r>
          </w:p>
        </w:tc>
        <w:tc>
          <w:tcPr>
            <w:tcW w:w="2920" w:type="dxa"/>
            <w:vAlign w:val="center"/>
          </w:tcPr>
          <w:p w14:paraId="12E2C6C3" w14:textId="77777777" w:rsidR="00FF05F0" w:rsidRPr="008401DD" w:rsidRDefault="00FF05F0" w:rsidP="00960E68">
            <w:pPr>
              <w:keepNext/>
              <w:keepLines/>
              <w:spacing w:line="276" w:lineRule="auto"/>
              <w:jc w:val="both"/>
              <w:outlineLvl w:val="5"/>
              <w:rPr>
                <w:sz w:val="18"/>
              </w:rPr>
            </w:pPr>
            <w:r w:rsidRPr="008401DD">
              <w:rPr>
                <w:sz w:val="18"/>
              </w:rPr>
              <w:t>480.000 EUR</w:t>
            </w:r>
          </w:p>
        </w:tc>
      </w:tr>
      <w:tr w:rsidR="00FF05F0" w:rsidRPr="008401DD" w14:paraId="4E354EF1" w14:textId="77777777" w:rsidTr="00FF05F0">
        <w:trPr>
          <w:trHeight w:val="210"/>
        </w:trPr>
        <w:tc>
          <w:tcPr>
            <w:tcW w:w="3455" w:type="dxa"/>
            <w:shd w:val="clear" w:color="auto" w:fill="67C18C"/>
            <w:vAlign w:val="center"/>
          </w:tcPr>
          <w:p w14:paraId="2DC7D964" w14:textId="1A0CE85F" w:rsidR="00FF05F0" w:rsidRPr="008401DD" w:rsidRDefault="00FF05F0" w:rsidP="00960E68">
            <w:pPr>
              <w:spacing w:line="276" w:lineRule="auto"/>
              <w:jc w:val="both"/>
              <w:rPr>
                <w:b/>
                <w:color w:val="FFFFFF" w:themeColor="background1"/>
                <w:sz w:val="18"/>
              </w:rPr>
            </w:pPr>
            <w:r w:rsidRPr="008401DD">
              <w:rPr>
                <w:b/>
                <w:color w:val="FFFFFF" w:themeColor="background1"/>
                <w:sz w:val="18"/>
              </w:rPr>
              <w:t>SKUPAJ</w:t>
            </w:r>
            <w:r w:rsidR="00091B6E" w:rsidRPr="008401DD">
              <w:rPr>
                <w:b/>
                <w:color w:val="FFFFFF" w:themeColor="background1"/>
                <w:sz w:val="18"/>
              </w:rPr>
              <w:t xml:space="preserve"> </w:t>
            </w:r>
          </w:p>
        </w:tc>
        <w:tc>
          <w:tcPr>
            <w:tcW w:w="2579" w:type="dxa"/>
            <w:shd w:val="clear" w:color="auto" w:fill="67C18C"/>
            <w:vAlign w:val="center"/>
          </w:tcPr>
          <w:p w14:paraId="66EB9BE1" w14:textId="77777777" w:rsidR="00FF05F0" w:rsidRPr="008401DD" w:rsidRDefault="00FF05F0" w:rsidP="00960E68">
            <w:pPr>
              <w:spacing w:line="276" w:lineRule="auto"/>
              <w:jc w:val="both"/>
              <w:rPr>
                <w:b/>
                <w:color w:val="FFFFFF" w:themeColor="background1"/>
                <w:sz w:val="18"/>
              </w:rPr>
            </w:pPr>
          </w:p>
        </w:tc>
        <w:tc>
          <w:tcPr>
            <w:tcW w:w="2920" w:type="dxa"/>
            <w:shd w:val="clear" w:color="auto" w:fill="67C18C"/>
            <w:vAlign w:val="center"/>
          </w:tcPr>
          <w:p w14:paraId="77C7FCAC" w14:textId="77777777" w:rsidR="00FF05F0" w:rsidRPr="008401DD" w:rsidRDefault="00FF05F0" w:rsidP="00960E68">
            <w:pPr>
              <w:spacing w:line="276" w:lineRule="auto"/>
              <w:jc w:val="both"/>
              <w:rPr>
                <w:b/>
                <w:color w:val="FFFFFF" w:themeColor="background1"/>
                <w:sz w:val="18"/>
              </w:rPr>
            </w:pPr>
            <w:r w:rsidRPr="008401DD">
              <w:rPr>
                <w:b/>
                <w:color w:val="FFFFFF" w:themeColor="background1"/>
                <w:sz w:val="18"/>
              </w:rPr>
              <w:t xml:space="preserve"> 1.400.000 EUR</w:t>
            </w:r>
          </w:p>
        </w:tc>
      </w:tr>
    </w:tbl>
    <w:p w14:paraId="6E224226" w14:textId="77777777" w:rsidR="00FF05F0" w:rsidRPr="008401DD" w:rsidRDefault="00FF05F0" w:rsidP="00960E68">
      <w:pPr>
        <w:jc w:val="both"/>
      </w:pPr>
    </w:p>
    <w:p w14:paraId="33509A66" w14:textId="683B606C" w:rsidR="0087391E" w:rsidRPr="008401DD" w:rsidRDefault="0075270C" w:rsidP="00960E68">
      <w:pPr>
        <w:jc w:val="both"/>
      </w:pPr>
      <w:r w:rsidRPr="008401DD">
        <w:t xml:space="preserve">Izvajalec projekta je bilo podjetje Iskra Sistemi </w:t>
      </w:r>
      <w:proofErr w:type="spellStart"/>
      <w:r w:rsidRPr="008401DD">
        <w:t>d.d</w:t>
      </w:r>
      <w:proofErr w:type="spellEnd"/>
      <w:r w:rsidRPr="008401DD">
        <w:t>.</w:t>
      </w:r>
      <w:r w:rsidR="00692235" w:rsidRPr="008401DD">
        <w:t xml:space="preserve">, ki je zgradilo čistilno napravo za pitno vodo, ki za postopke čiščenja vode uporablja postopke </w:t>
      </w:r>
      <w:proofErr w:type="spellStart"/>
      <w:r w:rsidR="00692235" w:rsidRPr="008401DD">
        <w:t>pre-ozonacije</w:t>
      </w:r>
      <w:proofErr w:type="spellEnd"/>
      <w:r w:rsidR="00692235" w:rsidRPr="008401DD">
        <w:t xml:space="preserve">, sesedanja in usedanja, </w:t>
      </w:r>
      <w:proofErr w:type="spellStart"/>
      <w:r w:rsidR="00692235" w:rsidRPr="008401DD">
        <w:t>ozonacije</w:t>
      </w:r>
      <w:proofErr w:type="spellEnd"/>
      <w:r w:rsidR="00692235" w:rsidRPr="008401DD">
        <w:t xml:space="preserve">, filtriranja vode z aktivnim ogljem in obdeluje blato čistilne naprave. </w:t>
      </w:r>
    </w:p>
    <w:p w14:paraId="48EF053F" w14:textId="77777777" w:rsidR="006B0F9E" w:rsidRPr="008401DD" w:rsidRDefault="006B0F9E" w:rsidP="00960E68">
      <w:pPr>
        <w:jc w:val="both"/>
      </w:pPr>
    </w:p>
    <w:p w14:paraId="364018CA" w14:textId="2B83F9E2" w:rsidR="0075270C" w:rsidRPr="008401DD" w:rsidRDefault="0075270C" w:rsidP="00960E68">
      <w:pPr>
        <w:jc w:val="both"/>
      </w:pPr>
      <w:r w:rsidRPr="008401DD">
        <w:t>Zaradi stalnega povečevanja števila gospodinjstev in rasti industrijske proizvodnje v letih</w:t>
      </w:r>
      <w:r w:rsidR="00D1771E" w:rsidRPr="008401DD">
        <w:t xml:space="preserve"> pred začetkom drugega projekta</w:t>
      </w:r>
      <w:r w:rsidRPr="008401DD">
        <w:t xml:space="preserve">, se je povečala tudi poraba pitne vode, zato se je pojavila potreba po povečanju zmogljivosti proizvodnje pitne vode. V ta namen je MF v letih 2018 in 2019 sofinanciralo projekt revitalizacije in avtomatizacije obstoječih vodooskrbnih projektov </w:t>
      </w:r>
      <w:r w:rsidR="00B27574" w:rsidRPr="008401DD">
        <w:t xml:space="preserve">z </w:t>
      </w:r>
      <w:r w:rsidRPr="008401DD">
        <w:t xml:space="preserve">namenom učinkovitega oskrbovanja prebivalcev s pitno vodo iz dveh ločenih virov. </w:t>
      </w:r>
      <w:r w:rsidR="00FF05F0" w:rsidRPr="008401DD">
        <w:t xml:space="preserve">Slovenija je </w:t>
      </w:r>
      <w:r w:rsidR="00472E98" w:rsidRPr="008401DD">
        <w:t xml:space="preserve">z nepovratnimi sredstvi sofinancirala </w:t>
      </w:r>
      <w:r w:rsidR="00FF05F0" w:rsidRPr="008401DD">
        <w:t xml:space="preserve">polovico sredstev in sicer </w:t>
      </w:r>
      <w:r w:rsidR="00B27574" w:rsidRPr="008401DD">
        <w:t>599.800</w:t>
      </w:r>
      <w:r w:rsidR="00FF05F0" w:rsidRPr="008401DD">
        <w:t xml:space="preserve"> EUR, medtem ko je bila druga polovica financirana iz lastnih sredstev</w:t>
      </w:r>
      <w:r w:rsidR="005029C9" w:rsidRPr="008401DD">
        <w:t xml:space="preserve"> </w:t>
      </w:r>
      <w:r w:rsidR="00522752" w:rsidRPr="008401DD">
        <w:t xml:space="preserve">občine </w:t>
      </w:r>
      <w:proofErr w:type="spellStart"/>
      <w:r w:rsidR="00522752" w:rsidRPr="008401DD">
        <w:t>Probištip</w:t>
      </w:r>
      <w:proofErr w:type="spellEnd"/>
      <w:r w:rsidR="00FF05F0" w:rsidRPr="008401DD">
        <w:t xml:space="preserve">. </w:t>
      </w:r>
    </w:p>
    <w:p w14:paraId="0A10A44B" w14:textId="77777777" w:rsidR="004B2376" w:rsidRPr="008401DD" w:rsidRDefault="004B2376" w:rsidP="00960E68">
      <w:pPr>
        <w:jc w:val="both"/>
      </w:pPr>
    </w:p>
    <w:p w14:paraId="5403E023" w14:textId="2D104193" w:rsidR="00FF05F0" w:rsidRPr="008401DD" w:rsidRDefault="00FF05F0" w:rsidP="00960E68">
      <w:pPr>
        <w:pStyle w:val="Caption"/>
        <w:keepNext/>
        <w:spacing w:after="0"/>
      </w:pPr>
      <w:bookmarkStart w:id="63" w:name="_Toc56779398"/>
      <w:r w:rsidRPr="008401DD">
        <w:t xml:space="preserve">Tabela </w:t>
      </w:r>
      <w:r w:rsidRPr="008401DD">
        <w:fldChar w:fldCharType="begin"/>
      </w:r>
      <w:r w:rsidRPr="008401DD">
        <w:instrText xml:space="preserve"> SEQ Tabela \* ARABIC </w:instrText>
      </w:r>
      <w:r w:rsidRPr="008401DD">
        <w:fldChar w:fldCharType="separate"/>
      </w:r>
      <w:r w:rsidR="00F67E80">
        <w:rPr>
          <w:noProof/>
        </w:rPr>
        <w:t>5</w:t>
      </w:r>
      <w:r w:rsidRPr="008401DD">
        <w:fldChar w:fldCharType="end"/>
      </w:r>
      <w:r w:rsidRPr="008401DD">
        <w:t xml:space="preserve"> Finančna konstrukcija projekta 2: Revitalizacija in avtomatizacija obstoječih vodooskrbnih objektov</w:t>
      </w:r>
      <w:bookmarkEnd w:id="63"/>
    </w:p>
    <w:tbl>
      <w:tblPr>
        <w:tblStyle w:val="TableGrid"/>
        <w:tblW w:w="0" w:type="auto"/>
        <w:tblInd w:w="108" w:type="dxa"/>
        <w:tblLook w:val="04A0" w:firstRow="1" w:lastRow="0" w:firstColumn="1" w:lastColumn="0" w:noHBand="0" w:noVBand="1"/>
      </w:tblPr>
      <w:tblGrid>
        <w:gridCol w:w="3455"/>
        <w:gridCol w:w="2579"/>
        <w:gridCol w:w="2920"/>
      </w:tblGrid>
      <w:tr w:rsidR="00FF05F0" w:rsidRPr="008401DD" w14:paraId="33731025" w14:textId="77777777" w:rsidTr="004E5206">
        <w:trPr>
          <w:trHeight w:val="160"/>
        </w:trPr>
        <w:tc>
          <w:tcPr>
            <w:tcW w:w="3455" w:type="dxa"/>
            <w:vAlign w:val="center"/>
          </w:tcPr>
          <w:p w14:paraId="33BA87FD" w14:textId="45B0B1E6" w:rsidR="00FF05F0" w:rsidRPr="008401DD" w:rsidRDefault="00FF05F0" w:rsidP="00960E68">
            <w:pPr>
              <w:spacing w:line="276" w:lineRule="auto"/>
              <w:jc w:val="both"/>
              <w:rPr>
                <w:sz w:val="18"/>
              </w:rPr>
            </w:pPr>
            <w:r w:rsidRPr="008401DD">
              <w:rPr>
                <w:sz w:val="18"/>
              </w:rPr>
              <w:t>Lastna sredstva</w:t>
            </w:r>
            <w:r w:rsidR="005029C9" w:rsidRPr="008401DD">
              <w:rPr>
                <w:sz w:val="18"/>
              </w:rPr>
              <w:t xml:space="preserve"> </w:t>
            </w:r>
            <w:r w:rsidR="00522752" w:rsidRPr="008401DD">
              <w:rPr>
                <w:sz w:val="18"/>
              </w:rPr>
              <w:t xml:space="preserve">občine </w:t>
            </w:r>
            <w:proofErr w:type="spellStart"/>
            <w:r w:rsidR="00522752" w:rsidRPr="008401DD">
              <w:rPr>
                <w:sz w:val="18"/>
              </w:rPr>
              <w:t>Probištip</w:t>
            </w:r>
            <w:proofErr w:type="spellEnd"/>
          </w:p>
        </w:tc>
        <w:tc>
          <w:tcPr>
            <w:tcW w:w="2579" w:type="dxa"/>
            <w:vAlign w:val="center"/>
          </w:tcPr>
          <w:p w14:paraId="15FFD69F" w14:textId="77777777" w:rsidR="00FF05F0" w:rsidRPr="008401DD" w:rsidRDefault="00FF05F0" w:rsidP="00960E68">
            <w:pPr>
              <w:keepNext/>
              <w:keepLines/>
              <w:spacing w:line="276" w:lineRule="auto"/>
              <w:jc w:val="both"/>
              <w:outlineLvl w:val="5"/>
              <w:rPr>
                <w:sz w:val="18"/>
              </w:rPr>
            </w:pPr>
            <w:r w:rsidRPr="008401DD">
              <w:rPr>
                <w:sz w:val="18"/>
              </w:rPr>
              <w:t>50 %</w:t>
            </w:r>
          </w:p>
        </w:tc>
        <w:tc>
          <w:tcPr>
            <w:tcW w:w="2920" w:type="dxa"/>
            <w:vAlign w:val="center"/>
          </w:tcPr>
          <w:p w14:paraId="12D93FD9" w14:textId="01161977" w:rsidR="00FF05F0" w:rsidRPr="008401DD" w:rsidRDefault="00B27574" w:rsidP="00960E68">
            <w:pPr>
              <w:keepNext/>
              <w:keepLines/>
              <w:spacing w:line="276" w:lineRule="auto"/>
              <w:jc w:val="both"/>
              <w:outlineLvl w:val="5"/>
              <w:rPr>
                <w:sz w:val="18"/>
              </w:rPr>
            </w:pPr>
            <w:r w:rsidRPr="008401DD">
              <w:rPr>
                <w:sz w:val="18"/>
              </w:rPr>
              <w:t>599.800</w:t>
            </w:r>
            <w:r w:rsidR="00FF05F0" w:rsidRPr="008401DD">
              <w:rPr>
                <w:sz w:val="18"/>
              </w:rPr>
              <w:t xml:space="preserve"> EUR</w:t>
            </w:r>
          </w:p>
        </w:tc>
      </w:tr>
      <w:tr w:rsidR="00FF05F0" w:rsidRPr="008401DD" w14:paraId="0F0D094B" w14:textId="77777777" w:rsidTr="004E5206">
        <w:trPr>
          <w:trHeight w:val="178"/>
        </w:trPr>
        <w:tc>
          <w:tcPr>
            <w:tcW w:w="3455" w:type="dxa"/>
            <w:vAlign w:val="center"/>
          </w:tcPr>
          <w:p w14:paraId="603F2AA4" w14:textId="4E4474D7" w:rsidR="00FF05F0" w:rsidRPr="008401DD" w:rsidRDefault="00472E98" w:rsidP="00960E68">
            <w:pPr>
              <w:spacing w:line="276" w:lineRule="auto"/>
              <w:jc w:val="both"/>
              <w:rPr>
                <w:sz w:val="18"/>
              </w:rPr>
            </w:pPr>
            <w:r w:rsidRPr="008401DD">
              <w:rPr>
                <w:sz w:val="18"/>
              </w:rPr>
              <w:t>Sofinanciranje</w:t>
            </w:r>
            <w:r w:rsidR="00B144C8">
              <w:rPr>
                <w:sz w:val="18"/>
              </w:rPr>
              <w:t xml:space="preserve"> </w:t>
            </w:r>
            <w:r w:rsidR="00FF05F0" w:rsidRPr="008401DD">
              <w:rPr>
                <w:sz w:val="18"/>
              </w:rPr>
              <w:t xml:space="preserve">RS </w:t>
            </w:r>
          </w:p>
        </w:tc>
        <w:tc>
          <w:tcPr>
            <w:tcW w:w="2579" w:type="dxa"/>
            <w:vAlign w:val="center"/>
          </w:tcPr>
          <w:p w14:paraId="7253AF31" w14:textId="77777777" w:rsidR="00FF05F0" w:rsidRPr="008401DD" w:rsidRDefault="00FF05F0" w:rsidP="00960E68">
            <w:pPr>
              <w:keepNext/>
              <w:keepLines/>
              <w:spacing w:line="276" w:lineRule="auto"/>
              <w:jc w:val="both"/>
              <w:outlineLvl w:val="5"/>
              <w:rPr>
                <w:sz w:val="18"/>
              </w:rPr>
            </w:pPr>
            <w:r w:rsidRPr="008401DD">
              <w:rPr>
                <w:sz w:val="18"/>
              </w:rPr>
              <w:t>50 %</w:t>
            </w:r>
          </w:p>
        </w:tc>
        <w:tc>
          <w:tcPr>
            <w:tcW w:w="2920" w:type="dxa"/>
            <w:vAlign w:val="center"/>
          </w:tcPr>
          <w:p w14:paraId="0F74CDEF" w14:textId="47DB8CD9" w:rsidR="00FF05F0" w:rsidRPr="008401DD" w:rsidRDefault="00B27574" w:rsidP="00960E68">
            <w:pPr>
              <w:keepNext/>
              <w:keepLines/>
              <w:spacing w:line="276" w:lineRule="auto"/>
              <w:jc w:val="both"/>
              <w:outlineLvl w:val="5"/>
              <w:rPr>
                <w:sz w:val="18"/>
              </w:rPr>
            </w:pPr>
            <w:r w:rsidRPr="008401DD">
              <w:rPr>
                <w:sz w:val="18"/>
              </w:rPr>
              <w:t>599.800</w:t>
            </w:r>
            <w:r w:rsidR="00FF05F0" w:rsidRPr="008401DD">
              <w:rPr>
                <w:sz w:val="18"/>
              </w:rPr>
              <w:t xml:space="preserve"> EUR</w:t>
            </w:r>
          </w:p>
        </w:tc>
      </w:tr>
      <w:tr w:rsidR="00FF05F0" w:rsidRPr="008401DD" w14:paraId="507FC79A" w14:textId="77777777" w:rsidTr="00FF05F0">
        <w:trPr>
          <w:trHeight w:val="210"/>
        </w:trPr>
        <w:tc>
          <w:tcPr>
            <w:tcW w:w="3455" w:type="dxa"/>
            <w:shd w:val="clear" w:color="auto" w:fill="67C18C"/>
            <w:vAlign w:val="center"/>
          </w:tcPr>
          <w:p w14:paraId="022A2FF5" w14:textId="7C3B43BF" w:rsidR="00FF05F0" w:rsidRPr="008401DD" w:rsidRDefault="00FF05F0" w:rsidP="00960E68">
            <w:pPr>
              <w:spacing w:line="276" w:lineRule="auto"/>
              <w:jc w:val="both"/>
              <w:rPr>
                <w:b/>
                <w:color w:val="FFFFFF" w:themeColor="background1"/>
                <w:sz w:val="18"/>
              </w:rPr>
            </w:pPr>
            <w:r w:rsidRPr="008401DD">
              <w:rPr>
                <w:b/>
                <w:color w:val="FFFFFF" w:themeColor="background1"/>
                <w:sz w:val="18"/>
              </w:rPr>
              <w:t>SKUPAJ</w:t>
            </w:r>
            <w:r w:rsidR="00091B6E" w:rsidRPr="008401DD">
              <w:rPr>
                <w:b/>
                <w:color w:val="FFFFFF" w:themeColor="background1"/>
                <w:sz w:val="18"/>
              </w:rPr>
              <w:t xml:space="preserve"> </w:t>
            </w:r>
          </w:p>
        </w:tc>
        <w:tc>
          <w:tcPr>
            <w:tcW w:w="2579" w:type="dxa"/>
            <w:shd w:val="clear" w:color="auto" w:fill="67C18C"/>
            <w:vAlign w:val="center"/>
          </w:tcPr>
          <w:p w14:paraId="277E75D7" w14:textId="77777777" w:rsidR="00FF05F0" w:rsidRPr="008401DD" w:rsidRDefault="00FF05F0" w:rsidP="00960E68">
            <w:pPr>
              <w:spacing w:line="276" w:lineRule="auto"/>
              <w:jc w:val="both"/>
              <w:rPr>
                <w:b/>
                <w:color w:val="FFFFFF" w:themeColor="background1"/>
                <w:sz w:val="18"/>
              </w:rPr>
            </w:pPr>
          </w:p>
        </w:tc>
        <w:tc>
          <w:tcPr>
            <w:tcW w:w="2920" w:type="dxa"/>
            <w:shd w:val="clear" w:color="auto" w:fill="67C18C"/>
            <w:vAlign w:val="center"/>
          </w:tcPr>
          <w:p w14:paraId="397B768D" w14:textId="2BD9FB0E" w:rsidR="00FF05F0" w:rsidRPr="008401DD" w:rsidRDefault="00FF05F0" w:rsidP="00960E68">
            <w:pPr>
              <w:spacing w:line="276" w:lineRule="auto"/>
              <w:jc w:val="both"/>
              <w:rPr>
                <w:b/>
                <w:color w:val="FFFFFF" w:themeColor="background1"/>
                <w:sz w:val="18"/>
              </w:rPr>
            </w:pPr>
            <w:r w:rsidRPr="008401DD">
              <w:rPr>
                <w:b/>
                <w:color w:val="FFFFFF" w:themeColor="background1"/>
                <w:sz w:val="18"/>
              </w:rPr>
              <w:t xml:space="preserve"> 1.19</w:t>
            </w:r>
            <w:r w:rsidR="00B27574" w:rsidRPr="008401DD">
              <w:rPr>
                <w:b/>
                <w:color w:val="FFFFFF" w:themeColor="background1"/>
                <w:sz w:val="18"/>
              </w:rPr>
              <w:t>9</w:t>
            </w:r>
            <w:r w:rsidRPr="008401DD">
              <w:rPr>
                <w:b/>
                <w:color w:val="FFFFFF" w:themeColor="background1"/>
                <w:sz w:val="18"/>
              </w:rPr>
              <w:t>.</w:t>
            </w:r>
            <w:r w:rsidR="00B27574" w:rsidRPr="008401DD">
              <w:rPr>
                <w:b/>
                <w:color w:val="FFFFFF" w:themeColor="background1"/>
                <w:sz w:val="18"/>
              </w:rPr>
              <w:t>6</w:t>
            </w:r>
            <w:r w:rsidRPr="008401DD">
              <w:rPr>
                <w:b/>
                <w:color w:val="FFFFFF" w:themeColor="background1"/>
                <w:sz w:val="18"/>
              </w:rPr>
              <w:t>00 EUR</w:t>
            </w:r>
          </w:p>
        </w:tc>
      </w:tr>
    </w:tbl>
    <w:p w14:paraId="51194A9E" w14:textId="77777777" w:rsidR="0087391E" w:rsidRPr="008401DD" w:rsidRDefault="0087391E" w:rsidP="00960E68">
      <w:pPr>
        <w:jc w:val="both"/>
      </w:pPr>
    </w:p>
    <w:p w14:paraId="525069E9" w14:textId="6A89D771" w:rsidR="00E00A34" w:rsidRPr="008401DD" w:rsidRDefault="00E00A34" w:rsidP="00960E68">
      <w:pPr>
        <w:jc w:val="both"/>
      </w:pPr>
      <w:r w:rsidRPr="008401DD">
        <w:t xml:space="preserve">Osnovni namen projekta je bil zagotovitev trajnostne oskrbe prebivalcev </w:t>
      </w:r>
      <w:proofErr w:type="spellStart"/>
      <w:r w:rsidRPr="008401DD">
        <w:t>Probištipa</w:t>
      </w:r>
      <w:proofErr w:type="spellEnd"/>
      <w:r w:rsidRPr="008401DD">
        <w:t xml:space="preserve"> in bližnjih naselij s </w:t>
      </w:r>
      <w:r w:rsidR="00522752" w:rsidRPr="008401DD">
        <w:t>kakovostno</w:t>
      </w:r>
      <w:r w:rsidRPr="008401DD">
        <w:t xml:space="preserve"> pitno vodo, posledično pa tudi</w:t>
      </w:r>
      <w:r w:rsidR="00091B6E" w:rsidRPr="008401DD">
        <w:t xml:space="preserve"> </w:t>
      </w:r>
      <w:r w:rsidRPr="008401DD">
        <w:t>izboljšanje kakovost življenja in vzpostavitev pogojev za hitrejši gospodarski razvoj občine.</w:t>
      </w:r>
    </w:p>
    <w:p w14:paraId="451AFEF0" w14:textId="77777777" w:rsidR="006B0F9E" w:rsidRPr="008401DD" w:rsidRDefault="006B0F9E" w:rsidP="00960E68">
      <w:pPr>
        <w:jc w:val="both"/>
      </w:pPr>
    </w:p>
    <w:p w14:paraId="71FBF9AA" w14:textId="27C58CCB" w:rsidR="00E00A34" w:rsidRPr="008401DD" w:rsidRDefault="00E00A34" w:rsidP="00960E68">
      <w:pPr>
        <w:jc w:val="both"/>
      </w:pPr>
      <w:r w:rsidRPr="008401DD">
        <w:lastRenderedPageBreak/>
        <w:t xml:space="preserve">Cilji projekta so bili: omogočanje trajne rabe voda in zagotavljanje ustrezne pitne vode, spodbujanje družbenega in gospodarskega razvoja v degradiranem okolju ter </w:t>
      </w:r>
      <w:r w:rsidR="008C254C" w:rsidRPr="008401DD">
        <w:t xml:space="preserve">povečane zmogljivosti </w:t>
      </w:r>
      <w:r w:rsidR="0006139E" w:rsidRPr="008401DD">
        <w:t>čiščenja</w:t>
      </w:r>
      <w:r w:rsidRPr="008401DD">
        <w:t xml:space="preserve"> vode.</w:t>
      </w:r>
    </w:p>
    <w:p w14:paraId="6AA5EFC8" w14:textId="77777777" w:rsidR="00FB529F" w:rsidRPr="008401DD" w:rsidRDefault="00FB529F" w:rsidP="00960E68"/>
    <w:p w14:paraId="312E9851" w14:textId="77777777" w:rsidR="006D65BB" w:rsidRPr="008401DD" w:rsidRDefault="00DD263A" w:rsidP="006F317B">
      <w:pPr>
        <w:pStyle w:val="Heading3"/>
      </w:pPr>
      <w:bookmarkStart w:id="64" w:name="_Toc52394923"/>
      <w:bookmarkStart w:id="65" w:name="_Toc56088897"/>
      <w:bookmarkStart w:id="66" w:name="_Toc56112191"/>
      <w:bookmarkStart w:id="67" w:name="_Toc57377168"/>
      <w:r w:rsidRPr="008401DD">
        <w:t>Pomanjkljivosti v prejeti dokumentaciji in druge omejitve</w:t>
      </w:r>
      <w:bookmarkEnd w:id="64"/>
      <w:bookmarkEnd w:id="65"/>
      <w:bookmarkEnd w:id="66"/>
      <w:bookmarkEnd w:id="67"/>
    </w:p>
    <w:p w14:paraId="4565B3B7" w14:textId="77777777" w:rsidR="006D65BB" w:rsidRPr="008401DD" w:rsidRDefault="006D65BB" w:rsidP="00960E68"/>
    <w:p w14:paraId="66322CD2" w14:textId="06528B6E" w:rsidR="003604E6" w:rsidRPr="008401DD" w:rsidRDefault="003604E6" w:rsidP="00960E68">
      <w:r w:rsidRPr="008401DD">
        <w:t xml:space="preserve">Kot pomanjkljivosti oz. morebitne omejitve zaznavamo sledeče: </w:t>
      </w:r>
    </w:p>
    <w:p w14:paraId="73E5D2F2" w14:textId="771F9CE9" w:rsidR="003604E6" w:rsidRPr="008401DD" w:rsidRDefault="00A01DF7" w:rsidP="002E7919">
      <w:pPr>
        <w:pStyle w:val="ListParagraph"/>
        <w:numPr>
          <w:ilvl w:val="0"/>
          <w:numId w:val="11"/>
        </w:numPr>
        <w:ind w:left="714" w:hanging="357"/>
        <w:jc w:val="both"/>
      </w:pPr>
      <w:r w:rsidRPr="008401DD">
        <w:t>Prvi projek</w:t>
      </w:r>
      <w:r w:rsidR="00480584" w:rsidRPr="008401DD">
        <w:t>t izgradnje čistilne naprave v o</w:t>
      </w:r>
      <w:r w:rsidRPr="008401DD">
        <w:t xml:space="preserve">bčini </w:t>
      </w:r>
      <w:proofErr w:type="spellStart"/>
      <w:r w:rsidRPr="008401DD">
        <w:t>Probištip</w:t>
      </w:r>
      <w:proofErr w:type="spellEnd"/>
      <w:r w:rsidRPr="008401DD">
        <w:t xml:space="preserve"> je bil končan leta 2013, kar lahko predstavlja problem, saj </w:t>
      </w:r>
      <w:r w:rsidR="004112E0" w:rsidRPr="008401DD">
        <w:t xml:space="preserve">nekatere </w:t>
      </w:r>
      <w:r w:rsidRPr="008401DD">
        <w:t xml:space="preserve">osebe udeležene v zasnovo, vodenje in izvedbo projekta lahko </w:t>
      </w:r>
      <w:r w:rsidR="00CC2213" w:rsidRPr="008401DD">
        <w:t>ne opravljajo več svojih funkcij</w:t>
      </w:r>
      <w:r w:rsidRPr="008401DD">
        <w:t xml:space="preserve"> in je intervju z njimi nemogoče opraviti</w:t>
      </w:r>
      <w:r w:rsidR="004112E0" w:rsidRPr="008401DD">
        <w:t xml:space="preserve">. </w:t>
      </w:r>
      <w:r w:rsidR="00983865" w:rsidRPr="008401DD">
        <w:t xml:space="preserve">Zamenjal se je župan občine </w:t>
      </w:r>
      <w:proofErr w:type="spellStart"/>
      <w:r w:rsidR="00983865" w:rsidRPr="008401DD">
        <w:t>Probištip</w:t>
      </w:r>
      <w:proofErr w:type="spellEnd"/>
      <w:r w:rsidR="00983865" w:rsidRPr="008401DD">
        <w:t>, tako da ne moremo opraviti intervjuja z županom, ki je opravljal svoje dolžnosti v času izvajanja prvega projekta v letih 2012-2013. Prav tako</w:t>
      </w:r>
      <w:r w:rsidR="003E462E">
        <w:t xml:space="preserve"> zaradi zamenjave poslovodstva CMSR v letu 2019</w:t>
      </w:r>
      <w:r w:rsidR="000412DA">
        <w:t>,</w:t>
      </w:r>
      <w:r w:rsidR="00983865" w:rsidRPr="008401DD">
        <w:t xml:space="preserve"> </w:t>
      </w:r>
      <w:r w:rsidR="00DC65C3" w:rsidRPr="008401DD">
        <w:t>ne moremo opraviti intervjuja z bivšim direktorjem CMSR</w:t>
      </w:r>
      <w:r w:rsidR="00983865" w:rsidRPr="008401DD">
        <w:t xml:space="preserve">, ki je CMSR vodil obdobju izvedbe prvega projekta in izbire ter začetka drugega projekta. </w:t>
      </w:r>
      <w:r w:rsidRPr="008401DD">
        <w:t xml:space="preserve">Prav tako je potrebno </w:t>
      </w:r>
      <w:r w:rsidR="00F65973" w:rsidRPr="008401DD">
        <w:t>u</w:t>
      </w:r>
      <w:r w:rsidRPr="008401DD">
        <w:t xml:space="preserve">poštevati takratno stanje v </w:t>
      </w:r>
      <w:r w:rsidR="00F65973" w:rsidRPr="008401DD">
        <w:t xml:space="preserve">občini </w:t>
      </w:r>
      <w:r w:rsidRPr="008401DD">
        <w:t xml:space="preserve">in smernice ter zakonodajo, ki je veljalo za takratno obdobje. </w:t>
      </w:r>
    </w:p>
    <w:p w14:paraId="66AC29ED" w14:textId="0612D5C1" w:rsidR="00A01DF7" w:rsidRPr="008401DD" w:rsidRDefault="00A01DF7" w:rsidP="002E7919">
      <w:pPr>
        <w:pStyle w:val="ListParagraph"/>
        <w:numPr>
          <w:ilvl w:val="0"/>
          <w:numId w:val="11"/>
        </w:numPr>
        <w:ind w:left="714" w:hanging="357"/>
        <w:jc w:val="both"/>
      </w:pPr>
      <w:r w:rsidRPr="008401DD">
        <w:t xml:space="preserve">V prejeti projektni dokumentaciji ni </w:t>
      </w:r>
      <w:r w:rsidR="00955492" w:rsidRPr="008401DD">
        <w:t>bilo priloženih</w:t>
      </w:r>
      <w:r w:rsidRPr="008401DD">
        <w:t xml:space="preserve"> </w:t>
      </w:r>
      <w:r w:rsidR="00955492" w:rsidRPr="008401DD">
        <w:t xml:space="preserve">nobenih </w:t>
      </w:r>
      <w:r w:rsidR="00E17B45" w:rsidRPr="008401DD">
        <w:t xml:space="preserve">ugotovitev </w:t>
      </w:r>
      <w:r w:rsidR="00955492" w:rsidRPr="008401DD">
        <w:t>analiz</w:t>
      </w:r>
      <w:r w:rsidR="00E17B45" w:rsidRPr="008401DD">
        <w:t>, ki bi načeloma morale biti opravljene</w:t>
      </w:r>
      <w:r w:rsidR="00955492" w:rsidRPr="008401DD">
        <w:t xml:space="preserve"> pred začetkom projektov (analiza stanja, analiza vplivov na okolje, študija izvedljivosti, itd.)</w:t>
      </w:r>
      <w:r w:rsidR="00F65973" w:rsidRPr="008401DD">
        <w:t>.</w:t>
      </w:r>
      <w:r w:rsidR="00955492" w:rsidRPr="008401DD">
        <w:t xml:space="preserve"> </w:t>
      </w:r>
    </w:p>
    <w:p w14:paraId="5603C8E7" w14:textId="153E4E39" w:rsidR="00E17B45" w:rsidRPr="008401DD" w:rsidRDefault="00E17B45" w:rsidP="002E7919">
      <w:pPr>
        <w:pStyle w:val="ListParagraph"/>
        <w:numPr>
          <w:ilvl w:val="0"/>
          <w:numId w:val="11"/>
        </w:numPr>
        <w:ind w:left="714" w:hanging="357"/>
        <w:jc w:val="both"/>
      </w:pPr>
      <w:r w:rsidRPr="008401DD">
        <w:t>V prejeti projektni dokumentaciji ni priloženih dokumentov o izveden</w:t>
      </w:r>
      <w:r w:rsidR="005032AC" w:rsidRPr="008401DD">
        <w:t>emu</w:t>
      </w:r>
      <w:r w:rsidRPr="008401DD">
        <w:t xml:space="preserve"> javn</w:t>
      </w:r>
      <w:r w:rsidR="005032AC" w:rsidRPr="008401DD">
        <w:t>emu</w:t>
      </w:r>
      <w:r w:rsidRPr="008401DD">
        <w:t xml:space="preserve"> naročil</w:t>
      </w:r>
      <w:r w:rsidR="005032AC" w:rsidRPr="008401DD">
        <w:t>u</w:t>
      </w:r>
      <w:r w:rsidRPr="008401DD">
        <w:t xml:space="preserve"> za izbor izvajalcev</w:t>
      </w:r>
      <w:r w:rsidR="005032AC" w:rsidRPr="008401DD">
        <w:t xml:space="preserve"> za projekt Izgradnje čistilne naprave v </w:t>
      </w:r>
      <w:r w:rsidR="003D6B5B" w:rsidRPr="008401DD">
        <w:t>o</w:t>
      </w:r>
      <w:r w:rsidR="005032AC" w:rsidRPr="008401DD">
        <w:t xml:space="preserve">bčini </w:t>
      </w:r>
      <w:proofErr w:type="spellStart"/>
      <w:r w:rsidR="005032AC" w:rsidRPr="008401DD">
        <w:t>Probištip</w:t>
      </w:r>
      <w:proofErr w:type="spellEnd"/>
      <w:r w:rsidR="005032AC" w:rsidRPr="008401DD">
        <w:t xml:space="preserve"> v letih 2012-2013</w:t>
      </w:r>
      <w:r w:rsidR="00640E3C" w:rsidRPr="008401DD">
        <w:t xml:space="preserve">. Pri projektu je vlagatelj prošnje za sofinanciranje (tj. </w:t>
      </w:r>
      <w:r w:rsidR="003D6B5B" w:rsidRPr="008401DD">
        <w:t>o</w:t>
      </w:r>
      <w:r w:rsidR="00640E3C" w:rsidRPr="008401DD">
        <w:t xml:space="preserve">bčina </w:t>
      </w:r>
      <w:proofErr w:type="spellStart"/>
      <w:r w:rsidR="00640E3C" w:rsidRPr="008401DD">
        <w:t>Probištip</w:t>
      </w:r>
      <w:proofErr w:type="spellEnd"/>
      <w:r w:rsidR="00640E3C" w:rsidRPr="008401DD">
        <w:t>) sam izbral izvajalca, v skladu s pravni</w:t>
      </w:r>
      <w:r w:rsidR="009A3A29" w:rsidRPr="008401DD">
        <w:t>m redom Severne Makedo</w:t>
      </w:r>
      <w:r w:rsidR="00640E3C" w:rsidRPr="008401DD">
        <w:t>nije.</w:t>
      </w:r>
    </w:p>
    <w:p w14:paraId="7AECC3C3" w14:textId="36BF6912" w:rsidR="003C57ED" w:rsidRPr="008401DD" w:rsidRDefault="003C57ED" w:rsidP="00960E68">
      <w:pPr>
        <w:pStyle w:val="ListParagraph"/>
        <w:numPr>
          <w:ilvl w:val="0"/>
          <w:numId w:val="11"/>
        </w:numPr>
      </w:pPr>
      <w:r w:rsidRPr="008401DD">
        <w:br w:type="page"/>
      </w:r>
    </w:p>
    <w:p w14:paraId="681F168F" w14:textId="77777777" w:rsidR="00801CC4" w:rsidRPr="008401DD" w:rsidRDefault="00543438" w:rsidP="00960E68">
      <w:pPr>
        <w:pStyle w:val="Heading1"/>
        <w:spacing w:line="276" w:lineRule="auto"/>
      </w:pPr>
      <w:bookmarkStart w:id="68" w:name="_Toc52394924"/>
      <w:bookmarkStart w:id="69" w:name="_Toc56088898"/>
      <w:bookmarkStart w:id="70" w:name="_Toc56112192"/>
      <w:bookmarkStart w:id="71" w:name="_Toc57377169"/>
      <w:proofErr w:type="spellStart"/>
      <w:r w:rsidRPr="008401DD">
        <w:lastRenderedPageBreak/>
        <w:t>Evalvacijski</w:t>
      </w:r>
      <w:proofErr w:type="spellEnd"/>
      <w:r w:rsidRPr="008401DD">
        <w:t xml:space="preserve"> program</w:t>
      </w:r>
      <w:bookmarkEnd w:id="68"/>
      <w:bookmarkEnd w:id="69"/>
      <w:bookmarkEnd w:id="70"/>
      <w:bookmarkEnd w:id="71"/>
      <w:r w:rsidRPr="008401DD">
        <w:t xml:space="preserve"> </w:t>
      </w:r>
    </w:p>
    <w:p w14:paraId="3052FA4C" w14:textId="77777777" w:rsidR="006F317B" w:rsidRDefault="006F317B" w:rsidP="00960E68">
      <w:pPr>
        <w:spacing w:line="240" w:lineRule="auto"/>
        <w:jc w:val="both"/>
        <w:rPr>
          <w:rFonts w:cs="Arial"/>
        </w:rPr>
      </w:pPr>
      <w:bookmarkStart w:id="72" w:name="_Toc481764232"/>
    </w:p>
    <w:p w14:paraId="08F28558" w14:textId="1430D473" w:rsidR="00984059" w:rsidRPr="008401DD" w:rsidRDefault="00984059" w:rsidP="00960E68">
      <w:pPr>
        <w:spacing w:line="240" w:lineRule="auto"/>
        <w:jc w:val="both"/>
        <w:rPr>
          <w:rFonts w:cs="Arial"/>
        </w:rPr>
      </w:pPr>
      <w:r w:rsidRPr="008401DD">
        <w:rPr>
          <w:rFonts w:cs="Arial"/>
        </w:rPr>
        <w:t>Metodologija je pripravljena na podlagi pravil in standardov OECD na področju evalvacij MRS</w:t>
      </w:r>
      <w:r w:rsidRPr="008401DD">
        <w:rPr>
          <w:rStyle w:val="FootnoteReference"/>
          <w:rFonts w:cs="Arial"/>
        </w:rPr>
        <w:footnoteReference w:id="19"/>
      </w:r>
      <w:r w:rsidRPr="008401DD">
        <w:rPr>
          <w:rFonts w:cs="Arial"/>
        </w:rPr>
        <w:t xml:space="preserve"> ter </w:t>
      </w:r>
      <w:proofErr w:type="spellStart"/>
      <w:r w:rsidRPr="008401DD">
        <w:rPr>
          <w:rFonts w:cs="Arial"/>
        </w:rPr>
        <w:t>evalvacijske</w:t>
      </w:r>
      <w:proofErr w:type="spellEnd"/>
      <w:r w:rsidRPr="008401DD">
        <w:rPr>
          <w:rFonts w:cs="Arial"/>
        </w:rPr>
        <w:t xml:space="preserve"> politike in smernic MRS RS. </w:t>
      </w:r>
      <w:proofErr w:type="spellStart"/>
      <w:r w:rsidRPr="008401DD">
        <w:rPr>
          <w:rFonts w:cs="Arial"/>
        </w:rPr>
        <w:t>Evalvacijska</w:t>
      </w:r>
      <w:proofErr w:type="spellEnd"/>
      <w:r w:rsidRPr="008401DD">
        <w:rPr>
          <w:rFonts w:cs="Arial"/>
        </w:rPr>
        <w:t xml:space="preserve"> merila so bila predhodno določena s strani naročnika, ki je, skladno z omenjeno politiko, predlagal pet OECD meril (ustreznost, uspešnost, učinkovitost, vpliv in trajnost).</w:t>
      </w:r>
    </w:p>
    <w:p w14:paraId="5AF23D6F" w14:textId="77777777" w:rsidR="00984059" w:rsidRPr="008401DD" w:rsidRDefault="00984059" w:rsidP="00960E68">
      <w:pPr>
        <w:spacing w:line="240" w:lineRule="auto"/>
        <w:jc w:val="both"/>
        <w:rPr>
          <w:rFonts w:cs="Arial"/>
        </w:rPr>
      </w:pPr>
    </w:p>
    <w:p w14:paraId="1A2BBB92" w14:textId="3155C07F" w:rsidR="00984059" w:rsidRPr="008401DD" w:rsidRDefault="00984059" w:rsidP="00960E68">
      <w:pPr>
        <w:spacing w:line="240" w:lineRule="auto"/>
        <w:jc w:val="both"/>
        <w:rPr>
          <w:rFonts w:cs="Arial"/>
        </w:rPr>
      </w:pPr>
      <w:r w:rsidRPr="008401DD">
        <w:rPr>
          <w:rFonts w:cs="Arial"/>
        </w:rPr>
        <w:t>Pri pripravi metodološkega okvirja za evalvacijo smo se naslonili tudi na Smernice Evropske komisije za upravljanje projektnega cikla v primeru projektov razvojnega sodelovanja</w:t>
      </w:r>
      <w:r w:rsidRPr="008401DD">
        <w:rPr>
          <w:rStyle w:val="FootnoteReference"/>
          <w:rFonts w:cs="Arial"/>
        </w:rPr>
        <w:footnoteReference w:id="20"/>
      </w:r>
      <w:r w:rsidRPr="008401DD">
        <w:rPr>
          <w:rFonts w:cs="Arial"/>
        </w:rPr>
        <w:t>, ki izhajajo iz enakega nabora meril kot smernice OECD, a metodologijo nadgradijo s pristopom logičnega okvirja (</w:t>
      </w:r>
      <w:proofErr w:type="spellStart"/>
      <w:r w:rsidRPr="008401DD">
        <w:rPr>
          <w:rFonts w:cs="Arial"/>
        </w:rPr>
        <w:t>t.i</w:t>
      </w:r>
      <w:proofErr w:type="spellEnd"/>
      <w:r w:rsidRPr="008401DD">
        <w:rPr>
          <w:rFonts w:cs="Arial"/>
        </w:rPr>
        <w:t xml:space="preserve">. </w:t>
      </w:r>
      <w:proofErr w:type="spellStart"/>
      <w:r w:rsidRPr="008401DD">
        <w:rPr>
          <w:rFonts w:cs="Arial"/>
          <w:i/>
        </w:rPr>
        <w:t>logframe</w:t>
      </w:r>
      <w:proofErr w:type="spellEnd"/>
      <w:r w:rsidRPr="008401DD">
        <w:rPr>
          <w:rFonts w:cs="Arial"/>
          <w:i/>
        </w:rPr>
        <w:t xml:space="preserve"> </w:t>
      </w:r>
      <w:proofErr w:type="spellStart"/>
      <w:r w:rsidRPr="008401DD">
        <w:rPr>
          <w:rFonts w:cs="Arial"/>
          <w:i/>
        </w:rPr>
        <w:t>approach</w:t>
      </w:r>
      <w:proofErr w:type="spellEnd"/>
      <w:r w:rsidRPr="008401DD">
        <w:rPr>
          <w:rFonts w:cs="Arial"/>
        </w:rPr>
        <w:t>, oz. LFA), s pomočjo katere se primerja dosežke projektov/programov glede na zastavljene cilje. LFA se uporablja v vseh fazah upravljanja projektnega cikla, od načrtovanja in izvajanja MRS do evalvacije, ki predstavlja sklepno fazo. Dobro opredeljen LFA zagotavlja okvir za evalvacijo, saj jasno določa namen in rezultate programa oz. projekta, orodja za njihovo evalvacijo (kazalnike in načine presoje) in ključne predpostavke izvajanja.</w:t>
      </w:r>
    </w:p>
    <w:p w14:paraId="6576067F" w14:textId="21DF2747" w:rsidR="00984059" w:rsidRPr="008401DD" w:rsidRDefault="00984059" w:rsidP="00960E68">
      <w:pPr>
        <w:spacing w:line="240" w:lineRule="auto"/>
        <w:jc w:val="both"/>
        <w:rPr>
          <w:rFonts w:cs="Arial"/>
        </w:rPr>
      </w:pPr>
    </w:p>
    <w:p w14:paraId="7BE4312A" w14:textId="47024428" w:rsidR="00984059" w:rsidRPr="008401DD" w:rsidRDefault="00984059" w:rsidP="00960E68">
      <w:pPr>
        <w:spacing w:line="240" w:lineRule="auto"/>
        <w:jc w:val="both"/>
        <w:rPr>
          <w:rFonts w:cs="Arial"/>
        </w:rPr>
      </w:pPr>
      <w:r w:rsidRPr="008401DD">
        <w:rPr>
          <w:rFonts w:cs="Arial"/>
        </w:rPr>
        <w:t xml:space="preserve">LFA je pristop, znotraj katerega se oblikuje </w:t>
      </w:r>
      <w:proofErr w:type="spellStart"/>
      <w:r w:rsidRPr="008401DD">
        <w:rPr>
          <w:rFonts w:cs="Arial"/>
        </w:rPr>
        <w:t>t.i</w:t>
      </w:r>
      <w:proofErr w:type="spellEnd"/>
      <w:r w:rsidRPr="008401DD">
        <w:rPr>
          <w:rFonts w:cs="Arial"/>
        </w:rPr>
        <w:t xml:space="preserve">. LFA matrica. Ta naj bi bila rezultat premišljenega načrtovanja projektov razvojnega sodelovanja na podlagi intervencijske logike, predpostavk, preverljivih kazalnikov in virov. Opredeljuje splošni cilj programa oz. politike MRS, namen programa in specifične cilje, ki so neposredno povezani s projektnimi aktivnostmi. </w:t>
      </w:r>
      <w:r w:rsidR="00522752" w:rsidRPr="008401DD">
        <w:rPr>
          <w:rFonts w:cs="Arial"/>
        </w:rPr>
        <w:t>Za potrebe te evalva</w:t>
      </w:r>
      <w:r w:rsidR="00163201" w:rsidRPr="008401DD">
        <w:rPr>
          <w:rFonts w:cs="Arial"/>
        </w:rPr>
        <w:t>ci</w:t>
      </w:r>
      <w:r w:rsidR="00522752" w:rsidRPr="008401DD">
        <w:rPr>
          <w:rFonts w:cs="Arial"/>
        </w:rPr>
        <w:t xml:space="preserve">je je logični okvir podlaga za pripravo različnih </w:t>
      </w:r>
      <w:r w:rsidR="008C254C" w:rsidRPr="008401DD">
        <w:rPr>
          <w:rFonts w:cs="Arial"/>
        </w:rPr>
        <w:t>kategorij</w:t>
      </w:r>
      <w:r w:rsidR="00522752" w:rsidRPr="008401DD">
        <w:rPr>
          <w:rFonts w:cs="Arial"/>
        </w:rPr>
        <w:t xml:space="preserve"> vrednotenja in razumevanje načina, s katerim </w:t>
      </w:r>
      <w:r w:rsidR="00513885" w:rsidRPr="008401DD">
        <w:rPr>
          <w:rFonts w:cs="Arial"/>
        </w:rPr>
        <w:t>projekt</w:t>
      </w:r>
      <w:r w:rsidR="00522752" w:rsidRPr="008401DD">
        <w:rPr>
          <w:rFonts w:cs="Arial"/>
        </w:rPr>
        <w:t xml:space="preserve"> in projektne aktivnosti dosegajo zastavljene cilje.</w:t>
      </w:r>
    </w:p>
    <w:p w14:paraId="5EF32CD1" w14:textId="5F044D83" w:rsidR="00984059" w:rsidRPr="008401DD" w:rsidRDefault="00984059" w:rsidP="00960E68">
      <w:pPr>
        <w:spacing w:line="240" w:lineRule="auto"/>
        <w:jc w:val="both"/>
        <w:rPr>
          <w:rFonts w:cs="Arial"/>
        </w:rPr>
      </w:pPr>
    </w:p>
    <w:p w14:paraId="02F728A5" w14:textId="2F047F45" w:rsidR="00984059" w:rsidRPr="008401DD" w:rsidRDefault="00984059" w:rsidP="00960E68">
      <w:pPr>
        <w:pStyle w:val="Caption"/>
        <w:keepNext/>
        <w:spacing w:after="0"/>
      </w:pPr>
      <w:bookmarkStart w:id="73" w:name="_Toc52391778"/>
      <w:bookmarkStart w:id="74" w:name="_Toc56779391"/>
      <w:r w:rsidRPr="008401DD">
        <w:t xml:space="preserve">Slika </w:t>
      </w:r>
      <w:r w:rsidRPr="008401DD">
        <w:fldChar w:fldCharType="begin"/>
      </w:r>
      <w:r w:rsidRPr="008401DD">
        <w:instrText xml:space="preserve"> SEQ Slika \* ARABIC </w:instrText>
      </w:r>
      <w:r w:rsidRPr="008401DD">
        <w:fldChar w:fldCharType="separate"/>
      </w:r>
      <w:r w:rsidR="00F67E80">
        <w:rPr>
          <w:noProof/>
        </w:rPr>
        <w:t>1</w:t>
      </w:r>
      <w:r w:rsidRPr="008401DD">
        <w:fldChar w:fldCharType="end"/>
      </w:r>
      <w:r w:rsidRPr="008401DD">
        <w:t xml:space="preserve"> Povezava intervencijske logike LFA in osnovnih </w:t>
      </w:r>
      <w:proofErr w:type="spellStart"/>
      <w:r w:rsidRPr="008401DD">
        <w:t>evalvacijskih</w:t>
      </w:r>
      <w:proofErr w:type="spellEnd"/>
      <w:r w:rsidRPr="008401DD">
        <w:t xml:space="preserve"> meril OECD</w:t>
      </w:r>
      <w:bookmarkEnd w:id="73"/>
      <w:bookmarkEnd w:id="74"/>
    </w:p>
    <w:p w14:paraId="6277BF74" w14:textId="06D6A957" w:rsidR="00984059" w:rsidRPr="008401DD" w:rsidRDefault="00984059" w:rsidP="00960E68">
      <w:pPr>
        <w:spacing w:line="240" w:lineRule="auto"/>
        <w:jc w:val="center"/>
        <w:rPr>
          <w:rFonts w:cs="Arial"/>
        </w:rPr>
      </w:pPr>
      <w:r w:rsidRPr="008401DD">
        <w:rPr>
          <w:noProof/>
          <w:lang w:eastAsia="sl-SI" w:bidi="ar-SA"/>
        </w:rPr>
        <w:drawing>
          <wp:inline distT="0" distB="0" distL="0" distR="0" wp14:anchorId="742B1C02" wp14:editId="7EC6AD06">
            <wp:extent cx="5139161" cy="3419519"/>
            <wp:effectExtent l="0" t="0" r="4445" b="0"/>
            <wp:docPr id="1" name="Picture 1" descr="Povezava intervencijske logike LFA in osnovnih evalvacijskih meril OECD: grafika je opisana v poglavju 5. Evalvacijski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vezava intervencijske logike LFA in osnovnih evalvacijskih meril OECD: grafika je opisana v poglavju 5. Evalvacijski program."/>
                    <pic:cNvPicPr/>
                  </pic:nvPicPr>
                  <pic:blipFill>
                    <a:blip r:embed="rId12">
                      <a:extLst>
                        <a:ext uri="{28A0092B-C50C-407E-A947-70E740481C1C}">
                          <a14:useLocalDpi xmlns:a14="http://schemas.microsoft.com/office/drawing/2010/main" val="0"/>
                        </a:ext>
                      </a:extLst>
                    </a:blip>
                    <a:stretch>
                      <a:fillRect/>
                    </a:stretch>
                  </pic:blipFill>
                  <pic:spPr>
                    <a:xfrm>
                      <a:off x="0" y="0"/>
                      <a:ext cx="5139161" cy="3419519"/>
                    </a:xfrm>
                    <a:prstGeom prst="rect">
                      <a:avLst/>
                    </a:prstGeom>
                  </pic:spPr>
                </pic:pic>
              </a:graphicData>
            </a:graphic>
          </wp:inline>
        </w:drawing>
      </w:r>
    </w:p>
    <w:p w14:paraId="7746A62F" w14:textId="155A69D8" w:rsidR="00801CC4" w:rsidRDefault="00801CC4" w:rsidP="00960E68">
      <w:pPr>
        <w:spacing w:line="276" w:lineRule="auto"/>
        <w:jc w:val="both"/>
      </w:pPr>
    </w:p>
    <w:p w14:paraId="489B349F" w14:textId="20459137" w:rsidR="006F317B" w:rsidRDefault="006F317B" w:rsidP="00960E68">
      <w:pPr>
        <w:spacing w:line="276" w:lineRule="auto"/>
        <w:jc w:val="both"/>
      </w:pPr>
    </w:p>
    <w:p w14:paraId="52174CB4" w14:textId="7B1C2D24" w:rsidR="006F317B" w:rsidRPr="008401DD" w:rsidRDefault="006F317B" w:rsidP="00960E68">
      <w:pPr>
        <w:spacing w:line="276" w:lineRule="auto"/>
        <w:jc w:val="both"/>
      </w:pPr>
    </w:p>
    <w:p w14:paraId="6C624EC9" w14:textId="67F2C389" w:rsidR="00801CC4" w:rsidRDefault="00854D5C" w:rsidP="00960E68">
      <w:pPr>
        <w:pStyle w:val="Heading2"/>
        <w:spacing w:before="0" w:after="0"/>
      </w:pPr>
      <w:bookmarkStart w:id="75" w:name="_Toc52394925"/>
      <w:bookmarkStart w:id="76" w:name="_Toc56088899"/>
      <w:bookmarkStart w:id="77" w:name="_Toc56112193"/>
      <w:bookmarkStart w:id="78" w:name="_Toc57377170"/>
      <w:bookmarkEnd w:id="72"/>
      <w:r w:rsidRPr="008401DD">
        <w:t xml:space="preserve">Analiza </w:t>
      </w:r>
      <w:r w:rsidR="00B436E7" w:rsidRPr="008401DD">
        <w:t>intervencijske logike</w:t>
      </w:r>
      <w:bookmarkEnd w:id="75"/>
      <w:bookmarkEnd w:id="76"/>
      <w:bookmarkEnd w:id="77"/>
      <w:bookmarkEnd w:id="78"/>
      <w:r w:rsidR="00B436E7" w:rsidRPr="008401DD">
        <w:t xml:space="preserve"> </w:t>
      </w:r>
    </w:p>
    <w:p w14:paraId="67443AC8" w14:textId="77777777" w:rsidR="006F317B" w:rsidRPr="006F317B" w:rsidRDefault="006F317B" w:rsidP="006F317B"/>
    <w:p w14:paraId="12755CA6" w14:textId="77777777" w:rsidR="00801CC4" w:rsidRPr="008401DD" w:rsidRDefault="00B31B48" w:rsidP="006F317B">
      <w:pPr>
        <w:pStyle w:val="Heading3"/>
      </w:pPr>
      <w:bookmarkStart w:id="79" w:name="_Toc52394926"/>
      <w:bookmarkStart w:id="80" w:name="_Toc56088900"/>
      <w:bookmarkStart w:id="81" w:name="_Toc56112194"/>
      <w:bookmarkStart w:id="82" w:name="_Toc57377171"/>
      <w:r w:rsidRPr="008401DD">
        <w:t>N</w:t>
      </w:r>
      <w:r w:rsidR="00606568" w:rsidRPr="008401DD">
        <w:t>otranja uskl</w:t>
      </w:r>
      <w:r w:rsidRPr="008401DD">
        <w:t>a</w:t>
      </w:r>
      <w:r w:rsidR="00606568" w:rsidRPr="008401DD">
        <w:t>jenost</w:t>
      </w:r>
      <w:bookmarkEnd w:id="79"/>
      <w:bookmarkEnd w:id="80"/>
      <w:bookmarkEnd w:id="81"/>
      <w:bookmarkEnd w:id="82"/>
    </w:p>
    <w:p w14:paraId="2F355044" w14:textId="77777777" w:rsidR="006F317B" w:rsidRDefault="006F317B" w:rsidP="00960E68">
      <w:pPr>
        <w:spacing w:line="276" w:lineRule="auto"/>
        <w:jc w:val="both"/>
        <w:rPr>
          <w:rFonts w:cs="Arial"/>
        </w:rPr>
      </w:pPr>
    </w:p>
    <w:p w14:paraId="53EADF5C" w14:textId="19A6CDE4" w:rsidR="00EB31D6" w:rsidRPr="008401DD" w:rsidRDefault="00EB31D6" w:rsidP="00960E68">
      <w:pPr>
        <w:spacing w:line="276" w:lineRule="auto"/>
        <w:jc w:val="both"/>
        <w:rPr>
          <w:rFonts w:cs="Arial"/>
        </w:rPr>
      </w:pPr>
      <w:r w:rsidRPr="008401DD">
        <w:rPr>
          <w:rFonts w:cs="Arial"/>
        </w:rPr>
        <w:lastRenderedPageBreak/>
        <w:t xml:space="preserve">Mednarodno razvojno pomoč Slovenije v Severni </w:t>
      </w:r>
      <w:r w:rsidR="00390AC0" w:rsidRPr="008401DD">
        <w:rPr>
          <w:rFonts w:cs="Arial"/>
        </w:rPr>
        <w:t xml:space="preserve">Makedoniji </w:t>
      </w:r>
      <w:r w:rsidRPr="008401DD">
        <w:rPr>
          <w:rFonts w:cs="Arial"/>
        </w:rPr>
        <w:t xml:space="preserve">ureja Sporazum med Vlado Republike Slovenije in Vlado Republike Severne Makedonije o razvojnem sodelovanju. Sporazum (1. člen) opredeljuje šest ciljnih področij razvojnega sodelovanja med RS in Severno Makedonijo: </w:t>
      </w:r>
    </w:p>
    <w:p w14:paraId="7487B518" w14:textId="77777777" w:rsidR="00EB31D6" w:rsidRPr="008401DD" w:rsidRDefault="00EB31D6" w:rsidP="00960E68">
      <w:pPr>
        <w:pStyle w:val="ListParagraph"/>
        <w:numPr>
          <w:ilvl w:val="0"/>
          <w:numId w:val="9"/>
        </w:numPr>
        <w:spacing w:line="276" w:lineRule="auto"/>
        <w:jc w:val="both"/>
        <w:rPr>
          <w:rFonts w:cs="Arial"/>
        </w:rPr>
      </w:pPr>
      <w:r w:rsidRPr="008401DD">
        <w:rPr>
          <w:rFonts w:cs="Arial"/>
        </w:rPr>
        <w:t>trajnostni gospodarski razvoj,</w:t>
      </w:r>
    </w:p>
    <w:p w14:paraId="153B5068" w14:textId="77777777" w:rsidR="00EB31D6" w:rsidRPr="008401DD" w:rsidRDefault="00EB31D6" w:rsidP="00960E68">
      <w:pPr>
        <w:pStyle w:val="ListParagraph"/>
        <w:numPr>
          <w:ilvl w:val="0"/>
          <w:numId w:val="9"/>
        </w:numPr>
        <w:spacing w:line="276" w:lineRule="auto"/>
        <w:jc w:val="both"/>
        <w:rPr>
          <w:rFonts w:cs="Arial"/>
        </w:rPr>
      </w:pPr>
      <w:r w:rsidRPr="008401DD">
        <w:rPr>
          <w:rFonts w:cs="Arial"/>
        </w:rPr>
        <w:t>osnovne socialne storitve,</w:t>
      </w:r>
    </w:p>
    <w:p w14:paraId="1F8874D5" w14:textId="77777777" w:rsidR="00EB31D6" w:rsidRPr="008401DD" w:rsidRDefault="00EB31D6" w:rsidP="00960E68">
      <w:pPr>
        <w:pStyle w:val="ListParagraph"/>
        <w:numPr>
          <w:ilvl w:val="0"/>
          <w:numId w:val="9"/>
        </w:numPr>
        <w:spacing w:line="276" w:lineRule="auto"/>
        <w:jc w:val="both"/>
        <w:rPr>
          <w:rFonts w:cs="Arial"/>
        </w:rPr>
      </w:pPr>
      <w:r w:rsidRPr="008401DD">
        <w:rPr>
          <w:rFonts w:cs="Arial"/>
        </w:rPr>
        <w:t>odgovorno vodenje države,</w:t>
      </w:r>
    </w:p>
    <w:p w14:paraId="50F6DB0E" w14:textId="77777777" w:rsidR="00EB31D6" w:rsidRPr="008401DD" w:rsidRDefault="00EB31D6" w:rsidP="00960E68">
      <w:pPr>
        <w:pStyle w:val="ListParagraph"/>
        <w:numPr>
          <w:ilvl w:val="0"/>
          <w:numId w:val="9"/>
        </w:numPr>
        <w:spacing w:line="276" w:lineRule="auto"/>
        <w:jc w:val="both"/>
        <w:rPr>
          <w:rFonts w:cs="Arial"/>
        </w:rPr>
      </w:pPr>
      <w:r w:rsidRPr="008401DD">
        <w:rPr>
          <w:rFonts w:cs="Arial"/>
        </w:rPr>
        <w:t>socialna varnost,</w:t>
      </w:r>
    </w:p>
    <w:p w14:paraId="293E9376" w14:textId="77777777" w:rsidR="00EB31D6" w:rsidRPr="008401DD" w:rsidRDefault="00EB31D6" w:rsidP="00960E68">
      <w:pPr>
        <w:pStyle w:val="ListParagraph"/>
        <w:numPr>
          <w:ilvl w:val="0"/>
          <w:numId w:val="9"/>
        </w:numPr>
        <w:spacing w:line="276" w:lineRule="auto"/>
        <w:jc w:val="both"/>
        <w:rPr>
          <w:rFonts w:cs="Arial"/>
        </w:rPr>
      </w:pPr>
      <w:r w:rsidRPr="008401DD">
        <w:rPr>
          <w:rFonts w:cs="Arial"/>
        </w:rPr>
        <w:t>varstvo okolja,</w:t>
      </w:r>
    </w:p>
    <w:p w14:paraId="60ABD481" w14:textId="3AC523FC" w:rsidR="00473232" w:rsidRPr="008401DD" w:rsidRDefault="00EB31D6" w:rsidP="00960E68">
      <w:pPr>
        <w:pStyle w:val="ListParagraph"/>
        <w:numPr>
          <w:ilvl w:val="0"/>
          <w:numId w:val="9"/>
        </w:numPr>
        <w:spacing w:line="276" w:lineRule="auto"/>
        <w:jc w:val="both"/>
        <w:rPr>
          <w:rFonts w:cs="Arial"/>
        </w:rPr>
      </w:pPr>
      <w:r w:rsidRPr="008401DD">
        <w:rPr>
          <w:rFonts w:cs="Arial"/>
        </w:rPr>
        <w:t>razvoj raziskovanja/znanja.</w:t>
      </w:r>
    </w:p>
    <w:p w14:paraId="38025968" w14:textId="24E7BC63" w:rsidR="00433253" w:rsidRPr="008401DD" w:rsidRDefault="00433253" w:rsidP="00960E68">
      <w:pPr>
        <w:spacing w:line="276" w:lineRule="auto"/>
        <w:jc w:val="both"/>
      </w:pPr>
    </w:p>
    <w:p w14:paraId="195755A4" w14:textId="7055CFBF" w:rsidR="000B0846" w:rsidRPr="008401DD" w:rsidRDefault="000B0846" w:rsidP="00960E68">
      <w:pPr>
        <w:spacing w:line="276" w:lineRule="auto"/>
        <w:jc w:val="both"/>
      </w:pPr>
      <w:r w:rsidRPr="008401DD">
        <w:t>Projekta sta skladna s to definicijo, kar je razvidno iz točke b) zgodaj, ki govori o osnovnih socialnih storitvah, kamor lahko štejemo tudi socialno infrastrukturo.</w:t>
      </w:r>
    </w:p>
    <w:p w14:paraId="270FCFAB" w14:textId="77777777" w:rsidR="006B0F9E" w:rsidRPr="008401DD" w:rsidRDefault="006B0F9E" w:rsidP="00960E68">
      <w:pPr>
        <w:spacing w:line="276" w:lineRule="auto"/>
        <w:jc w:val="both"/>
      </w:pPr>
    </w:p>
    <w:p w14:paraId="6932E972" w14:textId="7DDC2A07" w:rsidR="00433253" w:rsidRPr="008401DD" w:rsidRDefault="00627CD3" w:rsidP="00960E68">
      <w:pPr>
        <w:spacing w:line="276" w:lineRule="auto"/>
        <w:jc w:val="both"/>
      </w:pPr>
      <w:r w:rsidRPr="008401DD">
        <w:t>S</w:t>
      </w:r>
      <w:r w:rsidR="00225377" w:rsidRPr="008401DD">
        <w:t xml:space="preserve"> </w:t>
      </w:r>
      <w:r w:rsidR="00D41675" w:rsidRPr="008401DD">
        <w:t xml:space="preserve">Severno Makedonijo je </w:t>
      </w:r>
      <w:r w:rsidR="008F0EB6" w:rsidRPr="008401DD">
        <w:t>RS</w:t>
      </w:r>
      <w:r w:rsidR="00D41675" w:rsidRPr="008401DD">
        <w:t xml:space="preserve"> doslej sklenila tri memorandume o razvojnem sodelovanju, maja 2011 za leto 2011, julija 2012 za leto 2012, julija 2013 pa za obdobje 2013 do 2015. Zaradi politične situacije v Severni Makedoniji se v kasnejših letih ni sklepalo memorandumov, tako da je razvojno sodelovanje potekalo na projektni osnovi. </w:t>
      </w:r>
      <w:r w:rsidR="00433253" w:rsidRPr="008401DD">
        <w:t xml:space="preserve">Program razvojnega sodelovanja med Vlado </w:t>
      </w:r>
      <w:r w:rsidRPr="008401DD">
        <w:t xml:space="preserve">RS </w:t>
      </w:r>
      <w:r w:rsidR="00433253" w:rsidRPr="008401DD">
        <w:t xml:space="preserve">in Vlado Republike Severne Makedonije za obdobje 2020 do 2021 je </w:t>
      </w:r>
      <w:r w:rsidR="00D41675" w:rsidRPr="008401DD">
        <w:t xml:space="preserve">bil podpisan, ni pa še ratificiran. Vlada </w:t>
      </w:r>
      <w:r w:rsidRPr="008401DD">
        <w:t>RS</w:t>
      </w:r>
      <w:r w:rsidR="00D41675" w:rsidRPr="008401DD">
        <w:t xml:space="preserve"> je za podporo razvojnim projektom za krepitev gospodarske in družbene infrastrukture v Severni Makedoniji za obdobje od 2020 do 2021 predvidela sredstva v okvirni višini 1.476.000 EUR. Pri izbiri projektov sta pogodbenici upoštevali strateške prednostne usmeritve Severne Makedonije in potrebo po njenem nadaljnjem gospodarskem in družbenem razvoju, spodbujanju uravnoteženega regionalnega razvoja ter varovanju okolja.</w:t>
      </w:r>
    </w:p>
    <w:p w14:paraId="3B04535F" w14:textId="77777777" w:rsidR="00EB31D6" w:rsidRPr="008401DD" w:rsidRDefault="00EB31D6" w:rsidP="00960E68">
      <w:pPr>
        <w:spacing w:line="276" w:lineRule="auto"/>
        <w:jc w:val="both"/>
        <w:rPr>
          <w:rFonts w:cs="Arial"/>
        </w:rPr>
      </w:pPr>
    </w:p>
    <w:p w14:paraId="6DC79887" w14:textId="39188EFB" w:rsidR="00BF2F38" w:rsidRPr="008401DD" w:rsidRDefault="00AF65AF" w:rsidP="006F317B">
      <w:pPr>
        <w:pStyle w:val="Heading3"/>
      </w:pPr>
      <w:bookmarkStart w:id="83" w:name="_Toc52394927"/>
      <w:bookmarkStart w:id="84" w:name="_Toc56088901"/>
      <w:bookmarkStart w:id="85" w:name="_Toc56112195"/>
      <w:bookmarkStart w:id="86" w:name="_Toc57377172"/>
      <w:r w:rsidRPr="008401DD">
        <w:t xml:space="preserve">Zunanja </w:t>
      </w:r>
      <w:r w:rsidR="00B64AF1" w:rsidRPr="008401DD">
        <w:t>usklajenost</w:t>
      </w:r>
      <w:bookmarkEnd w:id="83"/>
      <w:bookmarkEnd w:id="84"/>
      <w:bookmarkEnd w:id="85"/>
      <w:bookmarkEnd w:id="86"/>
    </w:p>
    <w:p w14:paraId="05130D08" w14:textId="77777777" w:rsidR="006F317B" w:rsidRPr="006F317B" w:rsidRDefault="006F317B" w:rsidP="00960E68">
      <w:pPr>
        <w:spacing w:line="240" w:lineRule="auto"/>
        <w:jc w:val="both"/>
        <w:rPr>
          <w:rFonts w:cs="Arial"/>
          <w:b/>
          <w:szCs w:val="20"/>
        </w:rPr>
      </w:pPr>
    </w:p>
    <w:p w14:paraId="37F8276A" w14:textId="099DC81F" w:rsidR="0024353C" w:rsidRPr="006F317B" w:rsidRDefault="0024353C" w:rsidP="00960E68">
      <w:pPr>
        <w:spacing w:line="240" w:lineRule="auto"/>
        <w:jc w:val="both"/>
        <w:rPr>
          <w:rFonts w:cs="Arial"/>
          <w:b/>
          <w:szCs w:val="20"/>
        </w:rPr>
      </w:pPr>
      <w:r w:rsidRPr="006F317B">
        <w:rPr>
          <w:rFonts w:cs="Arial"/>
          <w:b/>
          <w:szCs w:val="20"/>
        </w:rPr>
        <w:t>Deklaracija o zunanji politiki RS</w:t>
      </w:r>
    </w:p>
    <w:p w14:paraId="460CE6BF" w14:textId="77777777" w:rsidR="0024353C" w:rsidRPr="006F317B" w:rsidRDefault="0024353C" w:rsidP="00960E68">
      <w:pPr>
        <w:spacing w:line="240" w:lineRule="auto"/>
        <w:jc w:val="both"/>
        <w:rPr>
          <w:rFonts w:cs="Arial"/>
          <w:b/>
          <w:szCs w:val="20"/>
        </w:rPr>
      </w:pPr>
    </w:p>
    <w:p w14:paraId="77FD1409" w14:textId="08FF4B64" w:rsidR="0024353C" w:rsidRPr="006F317B" w:rsidRDefault="0024353C" w:rsidP="00960E68">
      <w:pPr>
        <w:spacing w:line="240" w:lineRule="auto"/>
        <w:jc w:val="both"/>
        <w:rPr>
          <w:rFonts w:cs="Arial"/>
          <w:szCs w:val="20"/>
        </w:rPr>
      </w:pPr>
      <w:r w:rsidRPr="006F317B">
        <w:rPr>
          <w:rFonts w:cs="Arial"/>
          <w:szCs w:val="20"/>
        </w:rPr>
        <w:t>Deklaracija navaja deset prednostnih področij in območij zunanje politike RS, med njimi so naslednja štiri (implicitno ali eksplicitno) vključena v ciljih razvojnega sodelovanja med RS in Severno Makedonijo v Sporazumu</w:t>
      </w:r>
      <w:r w:rsidRPr="006F317B">
        <w:rPr>
          <w:rStyle w:val="FootnoteReference"/>
          <w:rFonts w:cs="Arial"/>
          <w:szCs w:val="20"/>
        </w:rPr>
        <w:footnoteReference w:id="21"/>
      </w:r>
      <w:r w:rsidRPr="006F317B">
        <w:rPr>
          <w:rFonts w:cs="Arial"/>
          <w:szCs w:val="20"/>
        </w:rPr>
        <w:t>:</w:t>
      </w:r>
    </w:p>
    <w:p w14:paraId="75940AAF" w14:textId="77777777" w:rsidR="00662B43"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 xml:space="preserve">mednarodno gospodarsko, kulturno, znanstveno in izobraževalno sodelovanje; </w:t>
      </w:r>
    </w:p>
    <w:p w14:paraId="0FDA7FE6" w14:textId="48749E24" w:rsidR="00662B43" w:rsidRPr="006F317B" w:rsidRDefault="00662B43" w:rsidP="00960E68">
      <w:pPr>
        <w:pStyle w:val="ListParagraph"/>
        <w:numPr>
          <w:ilvl w:val="0"/>
          <w:numId w:val="11"/>
        </w:numPr>
        <w:spacing w:line="240" w:lineRule="auto"/>
        <w:ind w:left="714" w:hanging="357"/>
        <w:jc w:val="both"/>
        <w:rPr>
          <w:rFonts w:cs="Arial"/>
          <w:szCs w:val="20"/>
        </w:rPr>
      </w:pPr>
      <w:r w:rsidRPr="006F317B">
        <w:rPr>
          <w:rFonts w:cs="Arial"/>
          <w:szCs w:val="20"/>
        </w:rPr>
        <w:t>spodbujanje razvoja stabilnega socialnega in ekološkega tržnega gospodarstva, ki bo omogočilo trajnostni razvoj</w:t>
      </w:r>
    </w:p>
    <w:p w14:paraId="3610A7B8" w14:textId="509EC955" w:rsidR="00662B43"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področje podnebnih sprememb in varovanja okolja;</w:t>
      </w:r>
    </w:p>
    <w:p w14:paraId="46F13EE7" w14:textId="5150B105" w:rsidR="0024353C"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 xml:space="preserve">podpora širitvi </w:t>
      </w:r>
      <w:r w:rsidR="008F0EB6" w:rsidRPr="006F317B">
        <w:rPr>
          <w:rFonts w:cs="Arial"/>
          <w:szCs w:val="20"/>
        </w:rPr>
        <w:t>EU</w:t>
      </w:r>
      <w:r w:rsidRPr="006F317B">
        <w:rPr>
          <w:rFonts w:cs="Arial"/>
          <w:szCs w:val="20"/>
        </w:rPr>
        <w:t xml:space="preserve"> in nadgradnja slovenske prisotnosti na Zahodnem Balkanu</w:t>
      </w:r>
      <w:r w:rsidR="008F0EB6" w:rsidRPr="006F317B">
        <w:rPr>
          <w:rFonts w:cs="Arial"/>
          <w:szCs w:val="20"/>
        </w:rPr>
        <w:t>.</w:t>
      </w:r>
    </w:p>
    <w:p w14:paraId="19CB6FEC" w14:textId="77777777" w:rsidR="0024353C" w:rsidRPr="006F317B" w:rsidRDefault="0024353C" w:rsidP="00960E68">
      <w:pPr>
        <w:spacing w:line="240" w:lineRule="auto"/>
        <w:jc w:val="both"/>
        <w:rPr>
          <w:rFonts w:cs="Arial"/>
          <w:color w:val="FF0000"/>
          <w:szCs w:val="20"/>
        </w:rPr>
      </w:pPr>
    </w:p>
    <w:p w14:paraId="2C917F7C" w14:textId="77777777" w:rsidR="0024353C" w:rsidRPr="006F317B" w:rsidRDefault="0024353C" w:rsidP="00960E68">
      <w:pPr>
        <w:spacing w:line="240" w:lineRule="auto"/>
        <w:jc w:val="both"/>
        <w:rPr>
          <w:rFonts w:cs="Arial"/>
          <w:b/>
          <w:szCs w:val="20"/>
        </w:rPr>
      </w:pPr>
      <w:r w:rsidRPr="006F317B">
        <w:rPr>
          <w:rFonts w:cs="Arial"/>
          <w:b/>
          <w:szCs w:val="20"/>
        </w:rPr>
        <w:t>Strategija o zunanji politiki RS</w:t>
      </w:r>
    </w:p>
    <w:p w14:paraId="64D48E36" w14:textId="77777777" w:rsidR="0024353C" w:rsidRPr="006F317B" w:rsidRDefault="0024353C" w:rsidP="00960E68">
      <w:pPr>
        <w:spacing w:line="240" w:lineRule="auto"/>
        <w:jc w:val="both"/>
        <w:rPr>
          <w:rFonts w:cs="Arial"/>
          <w:b/>
          <w:szCs w:val="20"/>
        </w:rPr>
      </w:pPr>
    </w:p>
    <w:p w14:paraId="4960A979" w14:textId="749E812A" w:rsidR="0024353C" w:rsidRPr="006F317B" w:rsidRDefault="0024353C" w:rsidP="00960E68">
      <w:pPr>
        <w:spacing w:line="240" w:lineRule="auto"/>
        <w:jc w:val="both"/>
        <w:rPr>
          <w:rFonts w:cs="Arial"/>
          <w:color w:val="FF0000"/>
          <w:szCs w:val="20"/>
        </w:rPr>
      </w:pPr>
      <w:r w:rsidRPr="006F317B">
        <w:rPr>
          <w:rFonts w:cs="Arial"/>
          <w:szCs w:val="20"/>
        </w:rPr>
        <w:t>Kot država Zahodnega Balkana predstavlja Severna Makedonija eno izmed prednostnih geografskih območjih, opredeljenih v strategiji</w:t>
      </w:r>
      <w:r w:rsidRPr="006F317B">
        <w:rPr>
          <w:rStyle w:val="FootnoteReference"/>
          <w:rFonts w:cs="Arial"/>
          <w:szCs w:val="20"/>
        </w:rPr>
        <w:footnoteReference w:id="22"/>
      </w:r>
      <w:r w:rsidRPr="006F317B">
        <w:rPr>
          <w:rFonts w:cs="Arial"/>
          <w:szCs w:val="20"/>
        </w:rPr>
        <w:t xml:space="preserve">. Strategija tudi izpostavlja razvojno sodelovanje kot eno izmed področij potrebnih okrepitev. Ugotavljamo, da </w:t>
      </w:r>
      <w:r w:rsidR="00FA55B9" w:rsidRPr="006F317B">
        <w:rPr>
          <w:rFonts w:cs="Arial"/>
          <w:szCs w:val="20"/>
        </w:rPr>
        <w:t xml:space="preserve">je </w:t>
      </w:r>
      <w:r w:rsidRPr="006F317B">
        <w:rPr>
          <w:rFonts w:cs="Arial"/>
          <w:szCs w:val="20"/>
        </w:rPr>
        <w:t xml:space="preserve">razvojno sodelovanje s </w:t>
      </w:r>
      <w:r w:rsidR="004D75E7" w:rsidRPr="006F317B">
        <w:rPr>
          <w:rFonts w:cs="Arial"/>
          <w:szCs w:val="20"/>
        </w:rPr>
        <w:t>Severno Makedonijo</w:t>
      </w:r>
      <w:r w:rsidRPr="006F317B">
        <w:rPr>
          <w:rFonts w:cs="Arial"/>
          <w:szCs w:val="20"/>
        </w:rPr>
        <w:t xml:space="preserve"> s strategijo usklajeno, saj cilji sporazuma odražajo cilje, izražene v strategiji.</w:t>
      </w:r>
    </w:p>
    <w:p w14:paraId="1C526A77" w14:textId="77777777" w:rsidR="0024353C" w:rsidRPr="006F317B" w:rsidRDefault="0024353C" w:rsidP="00960E68">
      <w:pPr>
        <w:spacing w:line="240" w:lineRule="auto"/>
        <w:jc w:val="both"/>
        <w:rPr>
          <w:rFonts w:cs="Arial"/>
          <w:color w:val="FF0000"/>
          <w:szCs w:val="20"/>
        </w:rPr>
      </w:pPr>
    </w:p>
    <w:p w14:paraId="20CB131A" w14:textId="54FBD049" w:rsidR="0024353C" w:rsidRPr="006F317B" w:rsidRDefault="0024353C" w:rsidP="00960E68">
      <w:pPr>
        <w:keepNext/>
        <w:spacing w:line="240" w:lineRule="auto"/>
        <w:jc w:val="both"/>
        <w:rPr>
          <w:rFonts w:cs="Arial"/>
          <w:b/>
          <w:szCs w:val="20"/>
        </w:rPr>
      </w:pPr>
      <w:r w:rsidRPr="006F317B">
        <w:rPr>
          <w:rFonts w:cs="Arial"/>
          <w:b/>
          <w:szCs w:val="20"/>
        </w:rPr>
        <w:t>Zakon o mednarodnem razvojnem sodelovanju</w:t>
      </w:r>
      <w:r w:rsidR="00662B43" w:rsidRPr="006F317B">
        <w:rPr>
          <w:rFonts w:cs="Arial"/>
          <w:b/>
          <w:szCs w:val="20"/>
        </w:rPr>
        <w:t xml:space="preserve"> in humanitarni pomoči</w:t>
      </w:r>
    </w:p>
    <w:p w14:paraId="29A884F1" w14:textId="77777777" w:rsidR="0024353C" w:rsidRPr="006F317B" w:rsidRDefault="0024353C" w:rsidP="00960E68">
      <w:pPr>
        <w:keepNext/>
        <w:spacing w:line="240" w:lineRule="auto"/>
        <w:jc w:val="both"/>
        <w:rPr>
          <w:rFonts w:cs="Arial"/>
          <w:szCs w:val="20"/>
        </w:rPr>
      </w:pPr>
    </w:p>
    <w:p w14:paraId="4100E9BE" w14:textId="1D9C0982" w:rsidR="0024353C" w:rsidRPr="006F317B" w:rsidRDefault="0024353C" w:rsidP="00960E68">
      <w:pPr>
        <w:keepNext/>
        <w:spacing w:line="240" w:lineRule="auto"/>
        <w:jc w:val="both"/>
        <w:rPr>
          <w:rFonts w:cs="Arial"/>
          <w:color w:val="FF0000"/>
          <w:szCs w:val="20"/>
        </w:rPr>
      </w:pPr>
      <w:r w:rsidRPr="006F317B">
        <w:rPr>
          <w:rFonts w:cs="Arial"/>
          <w:szCs w:val="20"/>
        </w:rPr>
        <w:t xml:space="preserve">Zakon opredeljuje </w:t>
      </w:r>
      <w:r w:rsidR="00653A97" w:rsidRPr="006F317B">
        <w:rPr>
          <w:rFonts w:cs="Arial"/>
          <w:szCs w:val="20"/>
        </w:rPr>
        <w:t xml:space="preserve">dva cilja </w:t>
      </w:r>
      <w:r w:rsidR="008C254C" w:rsidRPr="006F317B">
        <w:rPr>
          <w:rFonts w:cs="Arial"/>
          <w:szCs w:val="20"/>
        </w:rPr>
        <w:t>mednarodnega</w:t>
      </w:r>
      <w:r w:rsidR="00653A97" w:rsidRPr="006F317B">
        <w:rPr>
          <w:rFonts w:cs="Arial"/>
          <w:szCs w:val="20"/>
        </w:rPr>
        <w:t xml:space="preserve"> razvojnega sodelovanja</w:t>
      </w:r>
      <w:r w:rsidRPr="006F317B">
        <w:rPr>
          <w:rFonts w:cs="Arial"/>
          <w:szCs w:val="20"/>
        </w:rPr>
        <w:t xml:space="preserve">, </w:t>
      </w:r>
      <w:r w:rsidR="00653A97" w:rsidRPr="006F317B">
        <w:rPr>
          <w:rFonts w:cs="Arial"/>
          <w:szCs w:val="20"/>
        </w:rPr>
        <w:t>in sicer prispevati k odpravi revščine in zmanjšanju neenakosti ter pospeševanje trajnostnega razvoja v partnerskih državah.</w:t>
      </w:r>
      <w:r w:rsidRPr="006F317B">
        <w:rPr>
          <w:rFonts w:cs="Arial"/>
          <w:szCs w:val="20"/>
        </w:rPr>
        <w:t xml:space="preserve"> Neusklajenosti med </w:t>
      </w:r>
      <w:r w:rsidR="0012785A" w:rsidRPr="006F317B">
        <w:rPr>
          <w:rFonts w:cs="Arial"/>
          <w:szCs w:val="20"/>
        </w:rPr>
        <w:t xml:space="preserve">ZMRSHP in sporazumom </w:t>
      </w:r>
      <w:r w:rsidR="008F0EB6" w:rsidRPr="006F317B">
        <w:rPr>
          <w:rFonts w:cs="Arial"/>
          <w:szCs w:val="20"/>
        </w:rPr>
        <w:t>med V</w:t>
      </w:r>
      <w:r w:rsidR="0012785A" w:rsidRPr="006F317B">
        <w:rPr>
          <w:rFonts w:cs="Arial"/>
          <w:szCs w:val="20"/>
        </w:rPr>
        <w:t xml:space="preserve">lado </w:t>
      </w:r>
      <w:r w:rsidR="008F0EB6" w:rsidRPr="006F317B">
        <w:rPr>
          <w:rFonts w:cs="Arial"/>
          <w:szCs w:val="20"/>
        </w:rPr>
        <w:t>RS</w:t>
      </w:r>
      <w:r w:rsidR="0012785A" w:rsidRPr="006F317B">
        <w:rPr>
          <w:rFonts w:cs="Arial"/>
          <w:szCs w:val="20"/>
        </w:rPr>
        <w:t xml:space="preserve"> in </w:t>
      </w:r>
      <w:r w:rsidR="008F0EB6" w:rsidRPr="006F317B">
        <w:rPr>
          <w:rFonts w:cs="Arial"/>
          <w:szCs w:val="20"/>
        </w:rPr>
        <w:t>V</w:t>
      </w:r>
      <w:r w:rsidR="0012785A" w:rsidRPr="006F317B">
        <w:rPr>
          <w:rFonts w:cs="Arial"/>
          <w:szCs w:val="20"/>
        </w:rPr>
        <w:t xml:space="preserve">lado Republike </w:t>
      </w:r>
      <w:r w:rsidR="00A515AC" w:rsidRPr="006F317B">
        <w:rPr>
          <w:rFonts w:cs="Arial"/>
          <w:szCs w:val="20"/>
        </w:rPr>
        <w:t xml:space="preserve">Severne </w:t>
      </w:r>
      <w:r w:rsidR="0012785A" w:rsidRPr="006F317B">
        <w:rPr>
          <w:rFonts w:cs="Arial"/>
          <w:szCs w:val="20"/>
        </w:rPr>
        <w:t xml:space="preserve">Makedonije o razvojnem sodelovanju ne zaznavamo. </w:t>
      </w:r>
    </w:p>
    <w:p w14:paraId="5B13EFD8" w14:textId="77777777" w:rsidR="0024353C" w:rsidRPr="006F317B" w:rsidRDefault="0024353C" w:rsidP="00960E68">
      <w:pPr>
        <w:spacing w:line="240" w:lineRule="auto"/>
        <w:jc w:val="both"/>
        <w:rPr>
          <w:rFonts w:cs="Arial"/>
          <w:color w:val="FF0000"/>
          <w:szCs w:val="20"/>
        </w:rPr>
      </w:pPr>
    </w:p>
    <w:p w14:paraId="26E518CC" w14:textId="585ACFBC" w:rsidR="0024353C" w:rsidRPr="006F317B" w:rsidRDefault="0024353C" w:rsidP="00960E68">
      <w:pPr>
        <w:spacing w:line="240" w:lineRule="auto"/>
        <w:jc w:val="both"/>
        <w:rPr>
          <w:rFonts w:cs="Arial"/>
          <w:b/>
          <w:szCs w:val="20"/>
        </w:rPr>
      </w:pPr>
      <w:r w:rsidRPr="006F317B">
        <w:rPr>
          <w:rFonts w:cs="Arial"/>
          <w:b/>
          <w:szCs w:val="20"/>
        </w:rPr>
        <w:t>Resolucija o mednarodnem razvojnem sodelovanju</w:t>
      </w:r>
      <w:r w:rsidR="000B78D8" w:rsidRPr="006F317B">
        <w:rPr>
          <w:rFonts w:cs="Arial"/>
          <w:b/>
          <w:szCs w:val="20"/>
        </w:rPr>
        <w:t xml:space="preserve"> in humanitarni pomoči</w:t>
      </w:r>
    </w:p>
    <w:p w14:paraId="3DF51018" w14:textId="77777777" w:rsidR="0024353C" w:rsidRPr="006F317B" w:rsidRDefault="0024353C" w:rsidP="00960E68">
      <w:pPr>
        <w:spacing w:line="240" w:lineRule="auto"/>
        <w:jc w:val="both"/>
        <w:rPr>
          <w:rFonts w:cs="Arial"/>
          <w:szCs w:val="20"/>
        </w:rPr>
      </w:pPr>
    </w:p>
    <w:p w14:paraId="7D773538" w14:textId="77777777" w:rsidR="0024353C" w:rsidRPr="006F317B" w:rsidRDefault="0024353C" w:rsidP="00960E68">
      <w:pPr>
        <w:spacing w:line="240" w:lineRule="auto"/>
        <w:jc w:val="both"/>
        <w:rPr>
          <w:rFonts w:cs="Arial"/>
          <w:szCs w:val="20"/>
        </w:rPr>
      </w:pPr>
      <w:r w:rsidRPr="006F317B">
        <w:rPr>
          <w:rFonts w:cs="Arial"/>
          <w:szCs w:val="20"/>
        </w:rPr>
        <w:lastRenderedPageBreak/>
        <w:t>Poleg prednostnih območij in krovnih ciljev, ki so analogni tistim, navedenim v zakonu o MRS, opredeljuje resolucija tudi merila za izbor vsebinsko/tematskih prednostnih nalog</w:t>
      </w:r>
      <w:r w:rsidRPr="006F317B">
        <w:rPr>
          <w:rStyle w:val="FootnoteReference"/>
          <w:rFonts w:cs="Arial"/>
          <w:szCs w:val="20"/>
        </w:rPr>
        <w:footnoteReference w:id="23"/>
      </w:r>
      <w:r w:rsidRPr="006F317B">
        <w:rPr>
          <w:rFonts w:cs="Arial"/>
          <w:szCs w:val="20"/>
        </w:rPr>
        <w:t>. Dodatno k razvojni usmeritvi in strategiji(-</w:t>
      </w:r>
      <w:proofErr w:type="spellStart"/>
      <w:r w:rsidRPr="006F317B">
        <w:rPr>
          <w:rFonts w:cs="Arial"/>
          <w:szCs w:val="20"/>
        </w:rPr>
        <w:t>am</w:t>
      </w:r>
      <w:proofErr w:type="spellEnd"/>
      <w:r w:rsidRPr="006F317B">
        <w:rPr>
          <w:rFonts w:cs="Arial"/>
          <w:szCs w:val="20"/>
        </w:rPr>
        <w:t>) države prejemnice najdemo med dejavniki še:</w:t>
      </w:r>
    </w:p>
    <w:p w14:paraId="614190A4" w14:textId="77777777" w:rsidR="0024353C"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mednarodni dogovori in standardi ter usmeritve Evropske komisije, OZN in drugih mednarodnih organizacij – to so, prilagajanje podnebnim spremembam, razvoj dobrega upravljanja in izboljšanje institucionalnih zmogljivosti, regionalno sodelovanje in povezovanje, razvoj prometne infrastrukture, ekološko kmetijstvo in zagotovitev ustrezne preskrbe s hrano;</w:t>
      </w:r>
    </w:p>
    <w:p w14:paraId="2B56C19D" w14:textId="77777777" w:rsidR="0024353C"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cilje zunanje politike in strateške razvojne usmeritve slovenske družbe in gospodarstva;</w:t>
      </w:r>
    </w:p>
    <w:p w14:paraId="3A4E7C4D" w14:textId="77777777" w:rsidR="0024353C" w:rsidRPr="006F317B" w:rsidRDefault="0024353C" w:rsidP="00960E68">
      <w:pPr>
        <w:pStyle w:val="ListParagraph"/>
        <w:numPr>
          <w:ilvl w:val="0"/>
          <w:numId w:val="11"/>
        </w:numPr>
        <w:spacing w:line="240" w:lineRule="auto"/>
        <w:ind w:left="714" w:hanging="357"/>
        <w:jc w:val="both"/>
        <w:rPr>
          <w:rFonts w:cs="Arial"/>
          <w:szCs w:val="20"/>
        </w:rPr>
      </w:pPr>
      <w:r w:rsidRPr="006F317B">
        <w:rPr>
          <w:rFonts w:cs="Arial"/>
          <w:szCs w:val="20"/>
        </w:rPr>
        <w:t>pozitivne izkušnje s preteklih projektov.</w:t>
      </w:r>
    </w:p>
    <w:p w14:paraId="70036EC3" w14:textId="77777777" w:rsidR="0024353C" w:rsidRPr="006F317B" w:rsidRDefault="0024353C" w:rsidP="00960E68">
      <w:pPr>
        <w:spacing w:line="240" w:lineRule="auto"/>
        <w:jc w:val="both"/>
        <w:rPr>
          <w:rFonts w:cs="Arial"/>
          <w:szCs w:val="20"/>
        </w:rPr>
      </w:pPr>
    </w:p>
    <w:p w14:paraId="4EBD120B" w14:textId="1D38F5B3" w:rsidR="0024353C" w:rsidRPr="006F317B" w:rsidRDefault="0024353C" w:rsidP="00960E68">
      <w:pPr>
        <w:spacing w:line="240" w:lineRule="auto"/>
        <w:jc w:val="both"/>
        <w:rPr>
          <w:rFonts w:cs="Arial"/>
          <w:szCs w:val="20"/>
        </w:rPr>
      </w:pPr>
      <w:r w:rsidRPr="006F317B">
        <w:rPr>
          <w:rFonts w:cs="Arial"/>
          <w:szCs w:val="20"/>
        </w:rPr>
        <w:t xml:space="preserve">Tako usmeritve mednarodnih institucij kot tudi strategije RS so v veliki meri pri ciljih Sporazuma upoštevane (razliko pri usklajenosti z usmeritvami EU najdemo v poudarku Sporazuma na področju izobraževanja in izpustitvi razvoja prometne infrastrukture ter področja kmetijstva in prehrane). </w:t>
      </w:r>
    </w:p>
    <w:p w14:paraId="466A1CB8" w14:textId="77777777" w:rsidR="0024353C" w:rsidRPr="006F317B" w:rsidRDefault="0024353C" w:rsidP="00960E68">
      <w:pPr>
        <w:spacing w:line="240" w:lineRule="auto"/>
        <w:jc w:val="both"/>
        <w:rPr>
          <w:rFonts w:cs="Arial"/>
          <w:color w:val="FF0000"/>
          <w:szCs w:val="20"/>
        </w:rPr>
      </w:pPr>
    </w:p>
    <w:p w14:paraId="6FDC87D2" w14:textId="77777777" w:rsidR="0024353C" w:rsidRPr="006F317B" w:rsidRDefault="0024353C" w:rsidP="00960E68">
      <w:pPr>
        <w:spacing w:line="240" w:lineRule="auto"/>
        <w:jc w:val="both"/>
        <w:rPr>
          <w:rFonts w:cs="Arial"/>
          <w:b/>
          <w:szCs w:val="20"/>
        </w:rPr>
      </w:pPr>
      <w:r w:rsidRPr="006F317B">
        <w:rPr>
          <w:rFonts w:cs="Arial"/>
          <w:b/>
          <w:szCs w:val="20"/>
        </w:rPr>
        <w:t>Okvirna programa mednarodnega razvojnega sodelovanja in humanitarne pomoči Republike Slovenije za obdobji 2013 do 2015 in 2016 do 2019</w:t>
      </w:r>
    </w:p>
    <w:p w14:paraId="7A538057" w14:textId="77777777" w:rsidR="0024353C" w:rsidRPr="006F317B" w:rsidRDefault="0024353C" w:rsidP="00960E68">
      <w:pPr>
        <w:spacing w:line="240" w:lineRule="auto"/>
        <w:jc w:val="both"/>
        <w:rPr>
          <w:rFonts w:cs="Arial"/>
          <w:szCs w:val="20"/>
        </w:rPr>
      </w:pPr>
    </w:p>
    <w:p w14:paraId="77756CC3" w14:textId="06B8EF63" w:rsidR="006106C0" w:rsidRPr="006F317B" w:rsidRDefault="0024353C" w:rsidP="00960E68">
      <w:pPr>
        <w:spacing w:line="240" w:lineRule="auto"/>
        <w:jc w:val="both"/>
        <w:rPr>
          <w:rFonts w:cs="Arial"/>
          <w:szCs w:val="20"/>
        </w:rPr>
      </w:pPr>
      <w:r w:rsidRPr="006F317B">
        <w:rPr>
          <w:rFonts w:cs="Arial"/>
          <w:szCs w:val="20"/>
        </w:rPr>
        <w:t>Tudi ta</w:t>
      </w:r>
      <w:r w:rsidR="00A515AC" w:rsidRPr="006F317B">
        <w:rPr>
          <w:rFonts w:cs="Arial"/>
          <w:szCs w:val="20"/>
        </w:rPr>
        <w:t xml:space="preserve"> </w:t>
      </w:r>
      <w:r w:rsidRPr="006F317B">
        <w:rPr>
          <w:rFonts w:cs="Arial"/>
          <w:szCs w:val="20"/>
        </w:rPr>
        <w:t>dva strateška dokumenta opredeljujeta</w:t>
      </w:r>
      <w:r w:rsidR="00D516A9" w:rsidRPr="006F317B">
        <w:rPr>
          <w:rFonts w:cs="Arial"/>
          <w:szCs w:val="20"/>
        </w:rPr>
        <w:t xml:space="preserve"> Zahodni Balkan, kamor </w:t>
      </w:r>
      <w:r w:rsidR="00FA55B9" w:rsidRPr="006F317B">
        <w:rPr>
          <w:rFonts w:cs="Arial"/>
          <w:szCs w:val="20"/>
        </w:rPr>
        <w:t xml:space="preserve">spada </w:t>
      </w:r>
      <w:r w:rsidR="00D516A9" w:rsidRPr="006F317B">
        <w:rPr>
          <w:rFonts w:cs="Arial"/>
          <w:szCs w:val="20"/>
        </w:rPr>
        <w:t>tudi</w:t>
      </w:r>
      <w:r w:rsidRPr="006F317B">
        <w:rPr>
          <w:rFonts w:cs="Arial"/>
          <w:szCs w:val="20"/>
        </w:rPr>
        <w:t xml:space="preserve"> </w:t>
      </w:r>
      <w:r w:rsidR="00D516A9" w:rsidRPr="006F317B">
        <w:rPr>
          <w:rFonts w:cs="Arial"/>
          <w:szCs w:val="20"/>
        </w:rPr>
        <w:t>Severna Makedonija,</w:t>
      </w:r>
      <w:r w:rsidRPr="006F317B">
        <w:rPr>
          <w:rFonts w:cs="Arial"/>
          <w:szCs w:val="20"/>
        </w:rPr>
        <w:t xml:space="preserve"> kot geografsko prioriteto mednarodnega razvojnega sodelovanja Slovenije. Kot vsebinske prioritete</w:t>
      </w:r>
      <w:r w:rsidR="00D516A9" w:rsidRPr="006F317B">
        <w:rPr>
          <w:rFonts w:cs="Arial"/>
          <w:szCs w:val="20"/>
        </w:rPr>
        <w:t xml:space="preserve"> bilateralnega razvojnega sodelovanja</w:t>
      </w:r>
      <w:r w:rsidRPr="006F317B">
        <w:rPr>
          <w:rFonts w:cs="Arial"/>
          <w:szCs w:val="20"/>
        </w:rPr>
        <w:t xml:space="preserve"> navajata »krepitev dobrega upravljanja in pravne države s poudarkom na približevanju EU; varovanje okolja s poudarkom na trajnostnem upravljanju voda ter krepitev vloge žensk in skrb za dobrobit otrok.« Cilji Sporazuma se ujemajo s prvima dvema prioritetama, </w:t>
      </w:r>
      <w:r w:rsidR="00D516A9" w:rsidRPr="006F317B">
        <w:rPr>
          <w:rFonts w:cs="Arial"/>
          <w:szCs w:val="20"/>
        </w:rPr>
        <w:t xml:space="preserve">krepitev vlog žensk in skrb za dobrobit otrok </w:t>
      </w:r>
      <w:r w:rsidR="0011072F" w:rsidRPr="006F317B">
        <w:rPr>
          <w:rFonts w:cs="Arial"/>
          <w:szCs w:val="20"/>
        </w:rPr>
        <w:t xml:space="preserve">pa </w:t>
      </w:r>
      <w:r w:rsidRPr="006F317B">
        <w:rPr>
          <w:rFonts w:cs="Arial"/>
          <w:szCs w:val="20"/>
        </w:rPr>
        <w:t>med cilji ni eksplicitno navedena.</w:t>
      </w:r>
    </w:p>
    <w:p w14:paraId="393228C8" w14:textId="77777777" w:rsidR="00E36F48" w:rsidRPr="006F317B" w:rsidRDefault="00E36F48" w:rsidP="00960E68">
      <w:pPr>
        <w:spacing w:line="240" w:lineRule="auto"/>
        <w:jc w:val="both"/>
        <w:rPr>
          <w:rFonts w:cs="Arial"/>
          <w:color w:val="ED7D31" w:themeColor="accent2"/>
          <w:szCs w:val="20"/>
        </w:rPr>
      </w:pPr>
    </w:p>
    <w:p w14:paraId="0569745B" w14:textId="77777777" w:rsidR="0024353C" w:rsidRPr="008401DD" w:rsidRDefault="0024353C" w:rsidP="00960E68">
      <w:pPr>
        <w:spacing w:line="276" w:lineRule="auto"/>
        <w:jc w:val="both"/>
        <w:sectPr w:rsidR="0024353C" w:rsidRPr="008401DD" w:rsidSect="00222655">
          <w:footerReference w:type="default" r:id="rId13"/>
          <w:pgSz w:w="12240" w:h="15840"/>
          <w:pgMar w:top="284" w:right="1440" w:bottom="1440" w:left="1440" w:header="709" w:footer="709" w:gutter="0"/>
          <w:pgNumType w:start="0"/>
          <w:cols w:space="708"/>
          <w:titlePg/>
          <w:docGrid w:linePitch="360"/>
        </w:sectPr>
      </w:pPr>
    </w:p>
    <w:p w14:paraId="1D337186" w14:textId="77777777" w:rsidR="00BF2F38" w:rsidRPr="008401DD" w:rsidRDefault="00BF2F38" w:rsidP="00960E68">
      <w:pPr>
        <w:pStyle w:val="Heading2"/>
        <w:spacing w:before="0" w:after="0"/>
      </w:pPr>
      <w:bookmarkStart w:id="87" w:name="_Toc52394928"/>
      <w:bookmarkStart w:id="88" w:name="_Toc56088902"/>
      <w:bookmarkStart w:id="89" w:name="_Toc56112196"/>
      <w:bookmarkStart w:id="90" w:name="_Toc57377173"/>
      <w:proofErr w:type="spellStart"/>
      <w:r w:rsidRPr="008401DD">
        <w:lastRenderedPageBreak/>
        <w:t>Evalvacijska</w:t>
      </w:r>
      <w:proofErr w:type="spellEnd"/>
      <w:r w:rsidRPr="008401DD">
        <w:t xml:space="preserve"> matrika</w:t>
      </w:r>
      <w:bookmarkEnd w:id="87"/>
      <w:bookmarkEnd w:id="88"/>
      <w:bookmarkEnd w:id="89"/>
      <w:bookmarkEnd w:id="90"/>
    </w:p>
    <w:p w14:paraId="67FE5F73" w14:textId="77777777" w:rsidR="006F317B" w:rsidRDefault="006F317B" w:rsidP="00960E68">
      <w:pPr>
        <w:pStyle w:val="CommentText"/>
        <w:jc w:val="both"/>
        <w:rPr>
          <w:rFonts w:cs="Arial"/>
        </w:rPr>
      </w:pPr>
    </w:p>
    <w:p w14:paraId="0DFD08DB" w14:textId="65C59552" w:rsidR="00BF2F38" w:rsidRPr="008401DD" w:rsidRDefault="00BF2F38" w:rsidP="00960E68">
      <w:pPr>
        <w:pStyle w:val="CommentText"/>
        <w:jc w:val="both"/>
      </w:pPr>
      <w:r w:rsidRPr="008401DD">
        <w:rPr>
          <w:rFonts w:cs="Arial"/>
        </w:rPr>
        <w:t xml:space="preserve">Spodaj je predstavljena </w:t>
      </w:r>
      <w:proofErr w:type="spellStart"/>
      <w:r w:rsidRPr="008401DD">
        <w:rPr>
          <w:rFonts w:cs="Arial"/>
        </w:rPr>
        <w:t>evalvacijska</w:t>
      </w:r>
      <w:proofErr w:type="spellEnd"/>
      <w:r w:rsidRPr="008401DD">
        <w:rPr>
          <w:rFonts w:cs="Arial"/>
        </w:rPr>
        <w:t xml:space="preserve"> matrika, ki prikazuje merila za vrednotenje, vprašanja in z njimi povezane kazalnike in podatkovne vire. </w:t>
      </w:r>
      <w:r w:rsidR="00C515AC" w:rsidRPr="008401DD">
        <w:t>Kazalnike merimo tam, kjer so zadeve merljive, ostalo pa so vidiki (tj. vsebinska področja vrednotenja, na katerih preko opisnih metod prihaja do ugotovitev in zaključkov).</w:t>
      </w:r>
      <w:r w:rsidR="008A59E3" w:rsidRPr="008401DD">
        <w:t xml:space="preserve"> Projekta sta sicer dva, a ju zaradi sorodne vsebine in ciljev, ki jih naslavljata, ter enotne ciljne skupine, obravnavamo kot celoto (z izjemo pregleda dokumentacije in izbornih postopkov).</w:t>
      </w:r>
    </w:p>
    <w:p w14:paraId="3F497F2B" w14:textId="77777777" w:rsidR="00BF2F38" w:rsidRPr="008401DD" w:rsidRDefault="00BF2F38" w:rsidP="00960E68">
      <w:pPr>
        <w:spacing w:line="276" w:lineRule="auto"/>
        <w:jc w:val="both"/>
        <w:rPr>
          <w:rFonts w:cs="Arial"/>
          <w:szCs w:val="20"/>
        </w:rPr>
      </w:pPr>
    </w:p>
    <w:p w14:paraId="01A064A6" w14:textId="297C7A9E" w:rsidR="00BF2F38" w:rsidRPr="008401DD" w:rsidRDefault="00BF2F38" w:rsidP="00960E68">
      <w:pPr>
        <w:pStyle w:val="Caption"/>
        <w:spacing w:after="0" w:line="276" w:lineRule="auto"/>
        <w:jc w:val="both"/>
        <w:rPr>
          <w:rFonts w:cs="Arial"/>
          <w:b/>
          <w:i w:val="0"/>
          <w:color w:val="67C18C"/>
          <w:sz w:val="20"/>
        </w:rPr>
      </w:pPr>
      <w:bookmarkStart w:id="91" w:name="_Toc481767711"/>
      <w:bookmarkStart w:id="92" w:name="_Toc505353884"/>
      <w:bookmarkStart w:id="93" w:name="_Toc52391653"/>
      <w:r w:rsidRPr="008401DD">
        <w:rPr>
          <w:rFonts w:cs="Arial"/>
          <w:b/>
          <w:i w:val="0"/>
          <w:color w:val="67C18C"/>
          <w:sz w:val="20"/>
          <w:szCs w:val="20"/>
        </w:rPr>
        <w:t xml:space="preserve">Tabela </w:t>
      </w:r>
      <w:r w:rsidR="00B6189D" w:rsidRPr="008401DD">
        <w:rPr>
          <w:rFonts w:cs="Arial"/>
          <w:b/>
          <w:i w:val="0"/>
          <w:color w:val="67C18C"/>
          <w:sz w:val="20"/>
          <w:szCs w:val="20"/>
        </w:rPr>
        <w:fldChar w:fldCharType="begin"/>
      </w:r>
      <w:r w:rsidR="00B6189D" w:rsidRPr="008401DD">
        <w:rPr>
          <w:rFonts w:cs="Arial"/>
          <w:b/>
          <w:i w:val="0"/>
          <w:color w:val="67C18C"/>
          <w:sz w:val="20"/>
          <w:szCs w:val="20"/>
        </w:rPr>
        <w:instrText xml:space="preserve"> STYLEREF 1 \s </w:instrText>
      </w:r>
      <w:r w:rsidR="00B6189D" w:rsidRPr="008401DD">
        <w:rPr>
          <w:rFonts w:cs="Arial"/>
          <w:b/>
          <w:i w:val="0"/>
          <w:color w:val="67C18C"/>
          <w:sz w:val="20"/>
          <w:szCs w:val="20"/>
        </w:rPr>
        <w:fldChar w:fldCharType="separate"/>
      </w:r>
      <w:r w:rsidR="00F67E80">
        <w:rPr>
          <w:rFonts w:cs="Arial"/>
          <w:b/>
          <w:i w:val="0"/>
          <w:noProof/>
          <w:color w:val="67C18C"/>
          <w:sz w:val="20"/>
          <w:szCs w:val="20"/>
        </w:rPr>
        <w:t>5</w:t>
      </w:r>
      <w:r w:rsidR="00B6189D" w:rsidRPr="008401DD">
        <w:rPr>
          <w:rFonts w:cs="Arial"/>
          <w:b/>
          <w:i w:val="0"/>
          <w:color w:val="67C18C"/>
          <w:sz w:val="20"/>
          <w:szCs w:val="20"/>
        </w:rPr>
        <w:fldChar w:fldCharType="end"/>
      </w:r>
      <w:r w:rsidR="00B6189D" w:rsidRPr="008401DD">
        <w:rPr>
          <w:rFonts w:cs="Arial"/>
          <w:b/>
          <w:i w:val="0"/>
          <w:color w:val="67C18C"/>
          <w:sz w:val="20"/>
          <w:szCs w:val="20"/>
        </w:rPr>
        <w:t>.</w:t>
      </w:r>
      <w:r w:rsidR="00B6189D" w:rsidRPr="008401DD">
        <w:rPr>
          <w:rFonts w:cs="Arial"/>
          <w:b/>
          <w:i w:val="0"/>
          <w:color w:val="67C18C"/>
          <w:sz w:val="20"/>
          <w:szCs w:val="20"/>
        </w:rPr>
        <w:fldChar w:fldCharType="begin"/>
      </w:r>
      <w:r w:rsidR="00B6189D" w:rsidRPr="008401DD">
        <w:rPr>
          <w:rFonts w:cs="Arial"/>
          <w:b/>
          <w:i w:val="0"/>
          <w:color w:val="67C18C"/>
          <w:sz w:val="20"/>
          <w:szCs w:val="20"/>
        </w:rPr>
        <w:instrText xml:space="preserve"> SEQ Table \* ARABIC \s 1 </w:instrText>
      </w:r>
      <w:r w:rsidR="00B6189D" w:rsidRPr="008401DD">
        <w:rPr>
          <w:rFonts w:cs="Arial"/>
          <w:b/>
          <w:i w:val="0"/>
          <w:color w:val="67C18C"/>
          <w:sz w:val="20"/>
          <w:szCs w:val="20"/>
        </w:rPr>
        <w:fldChar w:fldCharType="separate"/>
      </w:r>
      <w:r w:rsidR="00F67E80">
        <w:rPr>
          <w:rFonts w:cs="Arial"/>
          <w:b/>
          <w:i w:val="0"/>
          <w:noProof/>
          <w:color w:val="67C18C"/>
          <w:sz w:val="20"/>
          <w:szCs w:val="20"/>
        </w:rPr>
        <w:t>1</w:t>
      </w:r>
      <w:r w:rsidR="00B6189D" w:rsidRPr="008401DD">
        <w:rPr>
          <w:rFonts w:cs="Arial"/>
          <w:b/>
          <w:i w:val="0"/>
          <w:color w:val="67C18C"/>
          <w:sz w:val="20"/>
          <w:szCs w:val="20"/>
        </w:rPr>
        <w:fldChar w:fldCharType="end"/>
      </w:r>
      <w:r w:rsidRPr="008401DD">
        <w:rPr>
          <w:rFonts w:cs="Arial"/>
          <w:b/>
          <w:i w:val="0"/>
          <w:color w:val="67C18C"/>
          <w:sz w:val="20"/>
          <w:szCs w:val="20"/>
        </w:rPr>
        <w:t>:</w:t>
      </w:r>
      <w:r w:rsidRPr="008401DD">
        <w:rPr>
          <w:rFonts w:cs="Arial"/>
          <w:b/>
          <w:i w:val="0"/>
          <w:color w:val="67C18C"/>
          <w:sz w:val="20"/>
        </w:rPr>
        <w:t xml:space="preserve"> </w:t>
      </w:r>
      <w:bookmarkEnd w:id="91"/>
      <w:bookmarkEnd w:id="92"/>
      <w:proofErr w:type="spellStart"/>
      <w:r w:rsidRPr="008401DD">
        <w:rPr>
          <w:rFonts w:cs="Arial"/>
          <w:b/>
          <w:i w:val="0"/>
          <w:color w:val="67C18C"/>
          <w:sz w:val="20"/>
        </w:rPr>
        <w:t>Evalvacijska</w:t>
      </w:r>
      <w:proofErr w:type="spellEnd"/>
      <w:r w:rsidRPr="008401DD">
        <w:rPr>
          <w:rFonts w:cs="Arial"/>
          <w:b/>
          <w:i w:val="0"/>
          <w:color w:val="67C18C"/>
          <w:sz w:val="20"/>
        </w:rPr>
        <w:t xml:space="preserve"> matrika</w:t>
      </w:r>
      <w:bookmarkEnd w:id="93"/>
    </w:p>
    <w:tbl>
      <w:tblPr>
        <w:tblW w:w="130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4"/>
        <w:gridCol w:w="3175"/>
        <w:gridCol w:w="4532"/>
        <w:gridCol w:w="3689"/>
      </w:tblGrid>
      <w:tr w:rsidR="00BF2F38" w:rsidRPr="008401DD" w14:paraId="49A8195C" w14:textId="77777777" w:rsidTr="0071177B">
        <w:trPr>
          <w:trHeight w:val="475"/>
        </w:trPr>
        <w:tc>
          <w:tcPr>
            <w:tcW w:w="1644" w:type="dxa"/>
            <w:tcBorders>
              <w:top w:val="single" w:sz="12" w:space="0" w:color="75787B"/>
              <w:bottom w:val="single" w:sz="12" w:space="0" w:color="75787B"/>
            </w:tcBorders>
            <w:shd w:val="clear" w:color="auto" w:fill="67C18C"/>
            <w:vAlign w:val="center"/>
            <w:hideMark/>
          </w:tcPr>
          <w:p w14:paraId="0141E77C" w14:textId="77777777" w:rsidR="00BF2F38" w:rsidRPr="008401DD" w:rsidRDefault="00BF2F38" w:rsidP="00960E68">
            <w:pPr>
              <w:spacing w:line="276" w:lineRule="auto"/>
              <w:jc w:val="center"/>
              <w:rPr>
                <w:rFonts w:eastAsia="Times New Roman" w:cs="Arial"/>
                <w:b/>
                <w:bCs/>
                <w:color w:val="FFFFFF" w:themeColor="background1"/>
                <w:szCs w:val="20"/>
              </w:rPr>
            </w:pPr>
            <w:r w:rsidRPr="008401DD">
              <w:rPr>
                <w:rFonts w:cs="Arial"/>
                <w:b/>
                <w:color w:val="FFFFFF" w:themeColor="background1"/>
              </w:rPr>
              <w:t>Kriterij</w:t>
            </w:r>
          </w:p>
        </w:tc>
        <w:tc>
          <w:tcPr>
            <w:tcW w:w="3175" w:type="dxa"/>
            <w:tcBorders>
              <w:top w:val="single" w:sz="12" w:space="0" w:color="75787B"/>
              <w:bottom w:val="single" w:sz="12" w:space="0" w:color="75787B"/>
            </w:tcBorders>
            <w:shd w:val="clear" w:color="auto" w:fill="67C18C"/>
            <w:vAlign w:val="center"/>
            <w:hideMark/>
          </w:tcPr>
          <w:p w14:paraId="585A35D8" w14:textId="77777777" w:rsidR="00BF2F38" w:rsidRPr="008401DD" w:rsidRDefault="00BF2F38" w:rsidP="00960E68">
            <w:pPr>
              <w:spacing w:line="276" w:lineRule="auto"/>
              <w:jc w:val="center"/>
              <w:rPr>
                <w:rFonts w:eastAsia="Times New Roman" w:cs="Arial"/>
                <w:b/>
                <w:bCs/>
                <w:color w:val="FFFFFF" w:themeColor="background1"/>
                <w:szCs w:val="20"/>
              </w:rPr>
            </w:pPr>
            <w:proofErr w:type="spellStart"/>
            <w:r w:rsidRPr="008401DD">
              <w:rPr>
                <w:rFonts w:cs="Arial"/>
                <w:b/>
                <w:color w:val="FFFFFF" w:themeColor="background1"/>
              </w:rPr>
              <w:t>Evalvacijska</w:t>
            </w:r>
            <w:proofErr w:type="spellEnd"/>
            <w:r w:rsidRPr="008401DD">
              <w:rPr>
                <w:rFonts w:cs="Arial"/>
                <w:b/>
                <w:color w:val="FFFFFF" w:themeColor="background1"/>
              </w:rPr>
              <w:t xml:space="preserve"> vprašanja povezana na vsak kriterij</w:t>
            </w:r>
          </w:p>
        </w:tc>
        <w:tc>
          <w:tcPr>
            <w:tcW w:w="4532" w:type="dxa"/>
            <w:tcBorders>
              <w:top w:val="single" w:sz="12" w:space="0" w:color="75787B"/>
              <w:bottom w:val="single" w:sz="12" w:space="0" w:color="75787B"/>
            </w:tcBorders>
            <w:shd w:val="clear" w:color="auto" w:fill="67C18C"/>
            <w:vAlign w:val="center"/>
            <w:hideMark/>
          </w:tcPr>
          <w:p w14:paraId="17D094D8" w14:textId="4D1F9FC2" w:rsidR="00BF2F38" w:rsidRPr="008401DD" w:rsidRDefault="00BF2F38" w:rsidP="00960E68">
            <w:pPr>
              <w:spacing w:line="276" w:lineRule="auto"/>
              <w:jc w:val="center"/>
              <w:rPr>
                <w:rFonts w:eastAsia="Times New Roman" w:cs="Arial"/>
                <w:b/>
                <w:bCs/>
                <w:color w:val="FFFFFF" w:themeColor="background1"/>
                <w:szCs w:val="20"/>
              </w:rPr>
            </w:pPr>
            <w:r w:rsidRPr="008401DD">
              <w:rPr>
                <w:rFonts w:cs="Arial"/>
                <w:b/>
                <w:color w:val="FFFFFF" w:themeColor="background1"/>
              </w:rPr>
              <w:t xml:space="preserve">Kazalniki </w:t>
            </w:r>
            <w:r w:rsidR="003546B2" w:rsidRPr="008401DD">
              <w:rPr>
                <w:rFonts w:cs="Arial"/>
                <w:b/>
                <w:color w:val="FFFFFF" w:themeColor="background1"/>
              </w:rPr>
              <w:t xml:space="preserve">oz. vidiki vrednotenja </w:t>
            </w:r>
            <w:r w:rsidRPr="008401DD">
              <w:rPr>
                <w:rFonts w:cs="Arial"/>
                <w:b/>
                <w:color w:val="FFFFFF" w:themeColor="background1"/>
              </w:rPr>
              <w:t>po vprašanjih za vsak kriterij</w:t>
            </w:r>
          </w:p>
        </w:tc>
        <w:tc>
          <w:tcPr>
            <w:tcW w:w="3689" w:type="dxa"/>
            <w:tcBorders>
              <w:top w:val="single" w:sz="12" w:space="0" w:color="75787B"/>
              <w:bottom w:val="single" w:sz="12" w:space="0" w:color="75787B"/>
            </w:tcBorders>
            <w:shd w:val="clear" w:color="auto" w:fill="67C18C"/>
            <w:vAlign w:val="center"/>
            <w:hideMark/>
          </w:tcPr>
          <w:p w14:paraId="37EAE6E1" w14:textId="77777777" w:rsidR="00BF2F38" w:rsidRPr="008401DD" w:rsidRDefault="00BF2F38" w:rsidP="00960E68">
            <w:pPr>
              <w:spacing w:line="276" w:lineRule="auto"/>
              <w:jc w:val="center"/>
              <w:rPr>
                <w:rFonts w:eastAsia="Times New Roman" w:cs="Arial"/>
                <w:b/>
                <w:bCs/>
                <w:color w:val="FFFFFF" w:themeColor="background1"/>
                <w:szCs w:val="20"/>
              </w:rPr>
            </w:pPr>
            <w:r w:rsidRPr="008401DD">
              <w:rPr>
                <w:rFonts w:cs="Arial"/>
                <w:b/>
                <w:color w:val="FFFFFF" w:themeColor="background1"/>
              </w:rPr>
              <w:t>Metode zbiranja informacij podatkovnih virov (v oklepajih)</w:t>
            </w:r>
          </w:p>
        </w:tc>
      </w:tr>
      <w:tr w:rsidR="006B6CF2" w:rsidRPr="008401DD" w14:paraId="16A50FA9" w14:textId="77777777" w:rsidTr="0071177B">
        <w:trPr>
          <w:trHeight w:val="1145"/>
        </w:trPr>
        <w:tc>
          <w:tcPr>
            <w:tcW w:w="1644" w:type="dxa"/>
            <w:vMerge w:val="restart"/>
            <w:tcBorders>
              <w:top w:val="dotted" w:sz="4" w:space="0" w:color="70AD47" w:themeColor="accent6"/>
            </w:tcBorders>
            <w:shd w:val="clear" w:color="auto" w:fill="auto"/>
            <w:vAlign w:val="center"/>
          </w:tcPr>
          <w:p w14:paraId="73BEDDB5" w14:textId="77777777" w:rsidR="006B6CF2" w:rsidRPr="008401DD" w:rsidRDefault="006B6CF2" w:rsidP="00960E68">
            <w:pPr>
              <w:spacing w:line="276" w:lineRule="auto"/>
              <w:jc w:val="center"/>
              <w:rPr>
                <w:rFonts w:cs="Arial"/>
                <w:b/>
                <w:color w:val="1B75BC"/>
              </w:rPr>
            </w:pPr>
            <w:r w:rsidRPr="008401DD">
              <w:rPr>
                <w:rFonts w:cs="Arial"/>
                <w:b/>
                <w:color w:val="1B75BC"/>
              </w:rPr>
              <w:t>1. Ustreznost</w:t>
            </w:r>
          </w:p>
          <w:p w14:paraId="7C4C5326" w14:textId="7AEA2039" w:rsidR="006B6CF2" w:rsidRPr="008401DD" w:rsidRDefault="006B6CF2" w:rsidP="00960E68">
            <w:pPr>
              <w:spacing w:line="276" w:lineRule="auto"/>
              <w:jc w:val="both"/>
              <w:rPr>
                <w:rFonts w:eastAsia="Times New Roman" w:cs="Arial"/>
                <w:b/>
                <w:bCs/>
                <w:color w:val="FFFFFF" w:themeColor="background1"/>
                <w:szCs w:val="20"/>
              </w:rPr>
            </w:pPr>
          </w:p>
          <w:p w14:paraId="50E1AD2C" w14:textId="081A7AEA" w:rsidR="006B6CF2" w:rsidRPr="008401DD" w:rsidRDefault="006B6CF2" w:rsidP="00960E68">
            <w:pPr>
              <w:spacing w:line="276" w:lineRule="auto"/>
              <w:jc w:val="both"/>
              <w:rPr>
                <w:rFonts w:cs="Arial"/>
                <w:b/>
                <w:color w:val="1B75BC"/>
              </w:rPr>
            </w:pPr>
          </w:p>
        </w:tc>
        <w:tc>
          <w:tcPr>
            <w:tcW w:w="3175" w:type="dxa"/>
            <w:tcBorders>
              <w:top w:val="dotted" w:sz="4" w:space="0" w:color="70AD47" w:themeColor="accent6"/>
            </w:tcBorders>
            <w:shd w:val="clear" w:color="auto" w:fill="F2F2F2" w:themeFill="background1" w:themeFillShade="F2"/>
            <w:vAlign w:val="center"/>
          </w:tcPr>
          <w:p w14:paraId="7CBD4726" w14:textId="7C987C06" w:rsidR="006B6CF2" w:rsidRPr="008401DD" w:rsidRDefault="00A465B8" w:rsidP="00960E68">
            <w:pPr>
              <w:tabs>
                <w:tab w:val="left" w:pos="426"/>
              </w:tabs>
              <w:spacing w:line="276" w:lineRule="auto"/>
              <w:jc w:val="both"/>
              <w:rPr>
                <w:rFonts w:cs="Arial"/>
                <w:color w:val="1B75BC"/>
              </w:rPr>
            </w:pPr>
            <w:r w:rsidRPr="008401DD">
              <w:rPr>
                <w:rFonts w:cs="Arial"/>
                <w:i/>
                <w:color w:val="1B75BC"/>
              </w:rPr>
              <w:t>1. V</w:t>
            </w:r>
            <w:r w:rsidR="006B6CF2" w:rsidRPr="008401DD">
              <w:rPr>
                <w:rFonts w:cs="Arial"/>
                <w:i/>
                <w:color w:val="1B75BC"/>
              </w:rPr>
              <w:t xml:space="preserve"> kolikšni meri se cilj in zasnova projekta odzivata na potrebe prejemnikov?</w:t>
            </w:r>
          </w:p>
        </w:tc>
        <w:tc>
          <w:tcPr>
            <w:tcW w:w="4532" w:type="dxa"/>
            <w:tcBorders>
              <w:top w:val="dotted" w:sz="4" w:space="0" w:color="70AD47" w:themeColor="accent6"/>
            </w:tcBorders>
            <w:shd w:val="clear" w:color="auto" w:fill="F2F2F2" w:themeFill="background1" w:themeFillShade="F2"/>
            <w:vAlign w:val="center"/>
          </w:tcPr>
          <w:p w14:paraId="045F78AA" w14:textId="77777777" w:rsidR="006B6CF2" w:rsidRPr="008401DD" w:rsidRDefault="006B6CF2" w:rsidP="00960E68">
            <w:pPr>
              <w:spacing w:line="276" w:lineRule="auto"/>
              <w:jc w:val="center"/>
              <w:rPr>
                <w:rFonts w:cs="Arial"/>
                <w:color w:val="000000"/>
              </w:rPr>
            </w:pPr>
            <w:r w:rsidRPr="008401DD">
              <w:rPr>
                <w:rFonts w:cs="Arial"/>
                <w:color w:val="000000"/>
              </w:rPr>
              <w:t xml:space="preserve">Povzetek </w:t>
            </w:r>
            <w:proofErr w:type="spellStart"/>
            <w:r w:rsidRPr="008401DD">
              <w:rPr>
                <w:rFonts w:cs="Arial"/>
                <w:color w:val="000000"/>
              </w:rPr>
              <w:t>evalvacijskih</w:t>
            </w:r>
            <w:proofErr w:type="spellEnd"/>
            <w:r w:rsidRPr="008401DD">
              <w:rPr>
                <w:rFonts w:cs="Arial"/>
                <w:color w:val="000000"/>
              </w:rPr>
              <w:t xml:space="preserve"> vprašanj 1.1-1.4</w:t>
            </w:r>
          </w:p>
        </w:tc>
        <w:tc>
          <w:tcPr>
            <w:tcW w:w="3689" w:type="dxa"/>
            <w:tcBorders>
              <w:top w:val="dotted" w:sz="4" w:space="0" w:color="70AD47" w:themeColor="accent6"/>
            </w:tcBorders>
            <w:shd w:val="clear" w:color="auto" w:fill="F2F2F2" w:themeFill="background1" w:themeFillShade="F2"/>
            <w:vAlign w:val="center"/>
          </w:tcPr>
          <w:p w14:paraId="5DA4CEF9" w14:textId="77777777" w:rsidR="006B6CF2" w:rsidRPr="008401DD" w:rsidRDefault="006B6CF2" w:rsidP="00960E68">
            <w:pPr>
              <w:spacing w:line="276" w:lineRule="auto"/>
              <w:jc w:val="center"/>
              <w:rPr>
                <w:rFonts w:cs="Arial"/>
                <w:color w:val="000000"/>
              </w:rPr>
            </w:pPr>
            <w:r w:rsidRPr="008401DD">
              <w:rPr>
                <w:rFonts w:cs="Arial"/>
                <w:color w:val="000000"/>
              </w:rPr>
              <w:t>Vse metode, navedene pri vprašanjih 1.1-1.4</w:t>
            </w:r>
          </w:p>
        </w:tc>
      </w:tr>
      <w:tr w:rsidR="006B6CF2" w:rsidRPr="008401DD" w14:paraId="4524C926" w14:textId="77777777" w:rsidTr="00CF39C9">
        <w:trPr>
          <w:trHeight w:val="555"/>
        </w:trPr>
        <w:tc>
          <w:tcPr>
            <w:tcW w:w="1644" w:type="dxa"/>
            <w:vMerge/>
            <w:shd w:val="clear" w:color="auto" w:fill="auto"/>
            <w:vAlign w:val="center"/>
          </w:tcPr>
          <w:p w14:paraId="435B247E" w14:textId="7123B3F5" w:rsidR="006B6CF2" w:rsidRPr="008401DD" w:rsidRDefault="006B6CF2" w:rsidP="00960E68">
            <w:pPr>
              <w:spacing w:line="276" w:lineRule="auto"/>
              <w:jc w:val="both"/>
              <w:rPr>
                <w:rFonts w:cs="Arial"/>
                <w:b/>
                <w:color w:val="1B75BC"/>
              </w:rPr>
            </w:pPr>
          </w:p>
        </w:tc>
        <w:tc>
          <w:tcPr>
            <w:tcW w:w="3175" w:type="dxa"/>
            <w:vMerge w:val="restart"/>
            <w:shd w:val="clear" w:color="auto" w:fill="auto"/>
            <w:vAlign w:val="center"/>
          </w:tcPr>
          <w:p w14:paraId="12746C41" w14:textId="77777777" w:rsidR="006B6CF2" w:rsidRPr="008401DD" w:rsidRDefault="006B6CF2" w:rsidP="00960E68">
            <w:pPr>
              <w:spacing w:line="276" w:lineRule="auto"/>
              <w:rPr>
                <w:rFonts w:cs="Arial"/>
                <w:i/>
                <w:color w:val="67C18C"/>
              </w:rPr>
            </w:pPr>
            <w:r w:rsidRPr="008401DD">
              <w:rPr>
                <w:rFonts w:cs="Arial"/>
                <w:i/>
                <w:color w:val="67C18C"/>
              </w:rPr>
              <w:t>1.1. Ali so bile za projekt opravljene ustrezne predhodne analize in študije (npr. študiji izvedljivosti, analizi stroškov in koristi, študiji vplivov na okolje, idejni rešitvi, projektu za pridobitev gradbenega dovoljenja, ipd.) in ali je bila na njihovi podlagi sprejeta odločitev o izboru projekta?</w:t>
            </w:r>
          </w:p>
          <w:p w14:paraId="1A93CC78" w14:textId="77777777" w:rsidR="006B6CF2" w:rsidRPr="008401DD" w:rsidRDefault="006B6CF2" w:rsidP="00960E68">
            <w:pPr>
              <w:spacing w:line="276" w:lineRule="auto"/>
              <w:jc w:val="both"/>
              <w:rPr>
                <w:rFonts w:cs="Arial"/>
                <w:i/>
                <w:color w:val="67C18C"/>
              </w:rPr>
            </w:pPr>
          </w:p>
        </w:tc>
        <w:tc>
          <w:tcPr>
            <w:tcW w:w="8221" w:type="dxa"/>
            <w:gridSpan w:val="2"/>
            <w:tcBorders>
              <w:top w:val="dotted" w:sz="4" w:space="0" w:color="70AD47" w:themeColor="accent6"/>
            </w:tcBorders>
            <w:shd w:val="clear" w:color="auto" w:fill="auto"/>
            <w:vAlign w:val="center"/>
          </w:tcPr>
          <w:p w14:paraId="33BF18BD" w14:textId="778CAF8C" w:rsidR="006B6CF2" w:rsidRPr="008401DD" w:rsidRDefault="006B6CF2" w:rsidP="00960E68">
            <w:pPr>
              <w:spacing w:line="276" w:lineRule="auto"/>
              <w:jc w:val="center"/>
              <w:rPr>
                <w:rFonts w:cs="Arial"/>
                <w:b/>
                <w:color w:val="000000" w:themeColor="text1"/>
                <w:szCs w:val="20"/>
              </w:rPr>
            </w:pPr>
            <w:r w:rsidRPr="008401DD">
              <w:rPr>
                <w:rFonts w:cs="Arial"/>
                <w:b/>
                <w:color w:val="000000" w:themeColor="text1"/>
                <w:szCs w:val="20"/>
              </w:rPr>
              <w:t>Ustreznost dokumentacije in analiz</w:t>
            </w:r>
          </w:p>
        </w:tc>
      </w:tr>
      <w:tr w:rsidR="00B27574" w:rsidRPr="008401DD" w14:paraId="2E9A1978" w14:textId="77777777" w:rsidTr="00480584">
        <w:trPr>
          <w:trHeight w:val="555"/>
        </w:trPr>
        <w:tc>
          <w:tcPr>
            <w:tcW w:w="1644" w:type="dxa"/>
            <w:vMerge/>
            <w:shd w:val="clear" w:color="auto" w:fill="auto"/>
            <w:vAlign w:val="center"/>
          </w:tcPr>
          <w:p w14:paraId="2AADF8E9" w14:textId="036D431E"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6F32BECF" w14:textId="1582EA29"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08CF05EF" w14:textId="283F02A6" w:rsidR="00B27574" w:rsidRPr="008401DD" w:rsidRDefault="00B27574" w:rsidP="00960E68">
            <w:pPr>
              <w:spacing w:line="276" w:lineRule="auto"/>
              <w:rPr>
                <w:rFonts w:cs="Arial"/>
                <w:color w:val="000000" w:themeColor="text1"/>
                <w:szCs w:val="20"/>
              </w:rPr>
            </w:pPr>
            <w:r w:rsidRPr="008401DD">
              <w:rPr>
                <w:rFonts w:cs="Arial"/>
                <w:b/>
                <w:color w:val="000000" w:themeColor="text1"/>
                <w:szCs w:val="20"/>
              </w:rPr>
              <w:t>K1.1.1</w:t>
            </w:r>
            <w:r w:rsidRPr="008401DD">
              <w:rPr>
                <w:rFonts w:cs="Arial"/>
                <w:color w:val="000000" w:themeColor="text1"/>
                <w:szCs w:val="20"/>
              </w:rPr>
              <w:t xml:space="preserve">.: Izdelana je ustrezna investicijska dokumentacija, ki </w:t>
            </w:r>
            <w:r w:rsidR="003855C0" w:rsidRPr="008401DD">
              <w:rPr>
                <w:rFonts w:cs="Arial"/>
                <w:color w:val="000000" w:themeColor="text1"/>
                <w:szCs w:val="20"/>
              </w:rPr>
              <w:t>sledi minimalnim standardom</w:t>
            </w:r>
            <w:r w:rsidRPr="008401DD">
              <w:rPr>
                <w:rFonts w:cs="Arial"/>
                <w:color w:val="000000" w:themeColor="text1"/>
                <w:szCs w:val="20"/>
              </w:rPr>
              <w:t xml:space="preserve"> za izdelavo investicijske dokumentacije, ki veljajo v Republiki Sloveniji</w:t>
            </w:r>
            <w:r w:rsidRPr="008401DD">
              <w:rPr>
                <w:rStyle w:val="FootnoteReference"/>
                <w:rFonts w:cs="Arial"/>
                <w:color w:val="000000" w:themeColor="text1"/>
                <w:szCs w:val="20"/>
              </w:rPr>
              <w:footnoteReference w:id="24"/>
            </w:r>
          </w:p>
        </w:tc>
        <w:tc>
          <w:tcPr>
            <w:tcW w:w="3689" w:type="dxa"/>
            <w:tcBorders>
              <w:top w:val="dotted" w:sz="4" w:space="0" w:color="70AD47" w:themeColor="accent6"/>
            </w:tcBorders>
            <w:shd w:val="clear" w:color="auto" w:fill="auto"/>
          </w:tcPr>
          <w:p w14:paraId="1370F8E8" w14:textId="17409385" w:rsidR="00B27574" w:rsidRPr="008401DD" w:rsidRDefault="00B27574" w:rsidP="00960E68">
            <w:pPr>
              <w:pStyle w:val="ListParagraph"/>
              <w:numPr>
                <w:ilvl w:val="0"/>
                <w:numId w:val="11"/>
              </w:numPr>
              <w:spacing w:line="276" w:lineRule="auto"/>
              <w:rPr>
                <w:rFonts w:cs="Arial"/>
                <w:i/>
                <w:color w:val="67C18C"/>
              </w:rPr>
            </w:pPr>
            <w:r w:rsidRPr="008401DD">
              <w:rPr>
                <w:rFonts w:cs="Arial"/>
              </w:rPr>
              <w:t xml:space="preserve">Pregled in analiza posredovane dokumentacije: </w:t>
            </w:r>
            <w:r w:rsidRPr="008401DD">
              <w:rPr>
                <w:rFonts w:cs="Arial"/>
                <w:i/>
              </w:rPr>
              <w:t>investicijska dokumentacija</w:t>
            </w:r>
          </w:p>
          <w:p w14:paraId="7E37E794" w14:textId="77777777" w:rsidR="00B27574" w:rsidRPr="008401DD" w:rsidRDefault="00B27574" w:rsidP="00960E68">
            <w:pPr>
              <w:pStyle w:val="ListParagraph"/>
              <w:numPr>
                <w:ilvl w:val="0"/>
                <w:numId w:val="11"/>
              </w:numPr>
              <w:spacing w:line="276" w:lineRule="auto"/>
              <w:rPr>
                <w:rFonts w:cs="Arial"/>
                <w:i/>
                <w:color w:val="67C18C"/>
              </w:rPr>
            </w:pPr>
            <w:r w:rsidRPr="008401DD">
              <w:rPr>
                <w:rFonts w:cs="Arial"/>
              </w:rPr>
              <w:t>Intervju z nacionalnim koordinatorjem (MZZ) o prejetih predlogih zasnov projektov</w:t>
            </w:r>
          </w:p>
          <w:p w14:paraId="092369AF" w14:textId="2BC0E586" w:rsidR="00B27574" w:rsidRPr="008401DD" w:rsidRDefault="00B27574" w:rsidP="00960E68">
            <w:pPr>
              <w:pStyle w:val="ListParagraph"/>
              <w:numPr>
                <w:ilvl w:val="0"/>
                <w:numId w:val="11"/>
              </w:numPr>
              <w:spacing w:line="276" w:lineRule="auto"/>
              <w:rPr>
                <w:rFonts w:cs="Arial"/>
                <w:i/>
                <w:color w:val="67C18C"/>
              </w:rPr>
            </w:pPr>
            <w:r w:rsidRPr="008401DD">
              <w:rPr>
                <w:rFonts w:cs="Arial"/>
              </w:rPr>
              <w:t>Intervju s CMSR</w:t>
            </w:r>
            <w:r w:rsidR="00EE0970" w:rsidRPr="008401DD">
              <w:rPr>
                <w:rFonts w:cs="Arial"/>
              </w:rPr>
              <w:t>, MZZ</w:t>
            </w:r>
            <w:r w:rsidRPr="008401DD">
              <w:rPr>
                <w:rFonts w:cs="Arial"/>
              </w:rPr>
              <w:t xml:space="preserve"> in MF glede podlag za pripravo projekta</w:t>
            </w:r>
          </w:p>
        </w:tc>
      </w:tr>
      <w:tr w:rsidR="00B27574" w:rsidRPr="008401DD" w14:paraId="4FF31EF1" w14:textId="77777777" w:rsidTr="00480584">
        <w:trPr>
          <w:trHeight w:val="555"/>
        </w:trPr>
        <w:tc>
          <w:tcPr>
            <w:tcW w:w="1644" w:type="dxa"/>
            <w:vMerge/>
            <w:shd w:val="clear" w:color="auto" w:fill="auto"/>
            <w:vAlign w:val="center"/>
          </w:tcPr>
          <w:p w14:paraId="6DE6B40E" w14:textId="0367C162"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46966250" w14:textId="16169E3C"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12468031" w14:textId="1C09F83C" w:rsidR="00B27574" w:rsidRPr="008401DD" w:rsidRDefault="00B27574" w:rsidP="00960E68">
            <w:pPr>
              <w:spacing w:line="276" w:lineRule="auto"/>
              <w:rPr>
                <w:rFonts w:cs="Arial"/>
                <w:color w:val="000000" w:themeColor="text1"/>
                <w:szCs w:val="20"/>
              </w:rPr>
            </w:pPr>
            <w:r w:rsidRPr="008401DD">
              <w:rPr>
                <w:rFonts w:cs="Arial"/>
                <w:b/>
                <w:color w:val="000000" w:themeColor="text1"/>
                <w:szCs w:val="20"/>
              </w:rPr>
              <w:t>K1.1.2</w:t>
            </w:r>
            <w:r w:rsidRPr="008401DD">
              <w:rPr>
                <w:rFonts w:cs="Arial"/>
                <w:color w:val="000000" w:themeColor="text1"/>
                <w:szCs w:val="20"/>
              </w:rPr>
              <w:t>.: Izdelane so ustrezne študije, ki so podlaga za pripravo investicijske dokumentacije (vsaj analiza stanja in potreb, predhodna idejna rešitev, analiza vplivov na okolje ter analiza standardov in normativov, ki veljajo v Severni Makedoniji)</w:t>
            </w:r>
          </w:p>
        </w:tc>
        <w:tc>
          <w:tcPr>
            <w:tcW w:w="3689" w:type="dxa"/>
            <w:tcBorders>
              <w:top w:val="dotted" w:sz="4" w:space="0" w:color="70AD47" w:themeColor="accent6"/>
            </w:tcBorders>
            <w:shd w:val="clear" w:color="auto" w:fill="auto"/>
          </w:tcPr>
          <w:p w14:paraId="39F409D5" w14:textId="4B9E3F3E"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Pregled in analiza posredovane dokumentacije: </w:t>
            </w:r>
            <w:r w:rsidRPr="008401DD">
              <w:rPr>
                <w:rFonts w:cs="Arial"/>
                <w:i/>
              </w:rPr>
              <w:t>študija izvedljivosti, analiza potreb, analiza stroškov in koristi, študija vplivov na okolje, idejne rešitve, projekt za pridobitev gradbenega dovoljenja, ipd.</w:t>
            </w:r>
          </w:p>
          <w:p w14:paraId="18D2D746" w14:textId="77777777"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lastRenderedPageBreak/>
              <w:t>Intervju z nacionalnim koordinatorjem (MZZ) o prejetih predlogih zasnov projektov</w:t>
            </w:r>
          </w:p>
          <w:p w14:paraId="35B08535" w14:textId="65E00D6B"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Intervju s CMSR</w:t>
            </w:r>
            <w:r w:rsidR="00EE0970" w:rsidRPr="008401DD">
              <w:rPr>
                <w:rFonts w:cs="Arial"/>
              </w:rPr>
              <w:t>, MZZ</w:t>
            </w:r>
            <w:r w:rsidRPr="008401DD">
              <w:rPr>
                <w:rFonts w:cs="Arial"/>
              </w:rPr>
              <w:t xml:space="preserve"> in MF glede podlag za pripravo projekta</w:t>
            </w:r>
          </w:p>
        </w:tc>
      </w:tr>
      <w:tr w:rsidR="00B27574" w:rsidRPr="008401DD" w14:paraId="215940E3" w14:textId="77777777" w:rsidTr="0071177B">
        <w:trPr>
          <w:trHeight w:val="555"/>
        </w:trPr>
        <w:tc>
          <w:tcPr>
            <w:tcW w:w="1644" w:type="dxa"/>
            <w:vMerge/>
            <w:shd w:val="clear" w:color="auto" w:fill="auto"/>
            <w:vAlign w:val="center"/>
          </w:tcPr>
          <w:p w14:paraId="0DCCAFAD" w14:textId="294B13B6"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007C2DDC" w14:textId="7DE3B877"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36F7F244" w14:textId="40DD5F89" w:rsidR="00B27574" w:rsidRPr="008401DD" w:rsidRDefault="00B27574" w:rsidP="00960E68">
            <w:pPr>
              <w:spacing w:line="276" w:lineRule="auto"/>
              <w:jc w:val="both"/>
              <w:rPr>
                <w:rFonts w:cs="Arial"/>
                <w:color w:val="000000" w:themeColor="text1"/>
                <w:szCs w:val="20"/>
              </w:rPr>
            </w:pPr>
            <w:r w:rsidRPr="008401DD">
              <w:rPr>
                <w:rFonts w:cs="Arial"/>
                <w:b/>
                <w:color w:val="000000" w:themeColor="text1"/>
                <w:szCs w:val="20"/>
              </w:rPr>
              <w:t>K1.1.3</w:t>
            </w:r>
            <w:r w:rsidRPr="008401DD">
              <w:rPr>
                <w:rFonts w:cs="Arial"/>
                <w:color w:val="000000" w:themeColor="text1"/>
                <w:szCs w:val="20"/>
              </w:rPr>
              <w:t>.: Pridobljena so ustrezna soglasja, dovoljenja in (če je primerno) zemljišča</w:t>
            </w:r>
          </w:p>
        </w:tc>
        <w:tc>
          <w:tcPr>
            <w:tcW w:w="3689" w:type="dxa"/>
            <w:tcBorders>
              <w:top w:val="dotted" w:sz="4" w:space="0" w:color="70AD47" w:themeColor="accent6"/>
            </w:tcBorders>
            <w:shd w:val="clear" w:color="auto" w:fill="auto"/>
          </w:tcPr>
          <w:p w14:paraId="32D94A60" w14:textId="364E511E" w:rsidR="00B27574" w:rsidRPr="008401DD" w:rsidRDefault="00B27574" w:rsidP="00960E68">
            <w:pPr>
              <w:pStyle w:val="ListParagraph"/>
              <w:numPr>
                <w:ilvl w:val="0"/>
                <w:numId w:val="11"/>
              </w:numPr>
              <w:spacing w:line="276" w:lineRule="auto"/>
              <w:rPr>
                <w:rFonts w:cs="Arial"/>
              </w:rPr>
            </w:pPr>
            <w:r w:rsidRPr="008401DD">
              <w:rPr>
                <w:rFonts w:cs="Arial"/>
              </w:rPr>
              <w:t>Pregled in analiza posredovane projektne dokumentacije:</w:t>
            </w:r>
          </w:p>
          <w:p w14:paraId="3430381F" w14:textId="110F93A6"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Intervju z županom očine </w:t>
            </w:r>
            <w:proofErr w:type="spellStart"/>
            <w:r w:rsidRPr="008401DD">
              <w:rPr>
                <w:rFonts w:cs="Arial"/>
              </w:rPr>
              <w:t>Probištip</w:t>
            </w:r>
            <w:proofErr w:type="spellEnd"/>
            <w:r w:rsidRPr="008401DD">
              <w:rPr>
                <w:rFonts w:cs="Arial"/>
              </w:rPr>
              <w:t xml:space="preserve"> kot predlagateljem projekta glede pridobitve ustreznih soglasij in dovoljenj</w:t>
            </w:r>
          </w:p>
          <w:p w14:paraId="6115EE06" w14:textId="07B9F539"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Intervju s CMSR glede pridobitve ustreznih dovoljenj in soglasij</w:t>
            </w:r>
          </w:p>
        </w:tc>
      </w:tr>
      <w:tr w:rsidR="00B27574" w:rsidRPr="008401DD" w14:paraId="750C249D" w14:textId="77777777" w:rsidTr="00CF39C9">
        <w:trPr>
          <w:trHeight w:val="555"/>
        </w:trPr>
        <w:tc>
          <w:tcPr>
            <w:tcW w:w="1644" w:type="dxa"/>
            <w:vMerge/>
            <w:shd w:val="clear" w:color="auto" w:fill="auto"/>
            <w:vAlign w:val="center"/>
          </w:tcPr>
          <w:p w14:paraId="05AF7EBE" w14:textId="0EAD1F3E"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389DE563" w14:textId="77777777" w:rsidR="00B27574" w:rsidRPr="008401DD" w:rsidRDefault="00B27574" w:rsidP="00960E68">
            <w:pPr>
              <w:spacing w:line="276" w:lineRule="auto"/>
              <w:jc w:val="both"/>
              <w:rPr>
                <w:rFonts w:cs="Arial"/>
                <w:i/>
                <w:color w:val="67C18C"/>
              </w:rPr>
            </w:pPr>
          </w:p>
        </w:tc>
        <w:tc>
          <w:tcPr>
            <w:tcW w:w="8221" w:type="dxa"/>
            <w:gridSpan w:val="2"/>
            <w:tcBorders>
              <w:top w:val="dotted" w:sz="4" w:space="0" w:color="70AD47" w:themeColor="accent6"/>
            </w:tcBorders>
            <w:shd w:val="clear" w:color="auto" w:fill="auto"/>
            <w:vAlign w:val="center"/>
          </w:tcPr>
          <w:p w14:paraId="713E1081" w14:textId="2E8BC08A" w:rsidR="00B27574" w:rsidRPr="008401DD" w:rsidRDefault="00B27574" w:rsidP="00960E68">
            <w:pPr>
              <w:spacing w:line="276" w:lineRule="auto"/>
              <w:jc w:val="center"/>
              <w:rPr>
                <w:rFonts w:cs="Arial"/>
                <w:b/>
                <w:color w:val="000000" w:themeColor="text1"/>
                <w:szCs w:val="20"/>
              </w:rPr>
            </w:pPr>
            <w:r w:rsidRPr="008401DD">
              <w:rPr>
                <w:rFonts w:cs="Arial"/>
                <w:b/>
                <w:color w:val="000000" w:themeColor="text1"/>
                <w:szCs w:val="20"/>
              </w:rPr>
              <w:t>Skladnost analiz z osnovnimi izhodišči (glede na ključne kazalnike stanja):</w:t>
            </w:r>
          </w:p>
        </w:tc>
      </w:tr>
      <w:tr w:rsidR="00B27574" w:rsidRPr="008401DD" w14:paraId="7A0810DD" w14:textId="77777777" w:rsidTr="0071177B">
        <w:trPr>
          <w:trHeight w:val="555"/>
        </w:trPr>
        <w:tc>
          <w:tcPr>
            <w:tcW w:w="1644" w:type="dxa"/>
            <w:vMerge/>
            <w:shd w:val="clear" w:color="auto" w:fill="auto"/>
            <w:vAlign w:val="center"/>
          </w:tcPr>
          <w:p w14:paraId="48DD1B2F" w14:textId="6FEE4DAC"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6568B483" w14:textId="5E4D2019"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7CE1E8A4" w14:textId="1D9FF743" w:rsidR="00B27574" w:rsidRPr="008401DD" w:rsidRDefault="00B27574" w:rsidP="00960E68">
            <w:pPr>
              <w:spacing w:line="276" w:lineRule="auto"/>
              <w:jc w:val="both"/>
              <w:rPr>
                <w:rFonts w:cs="Arial"/>
                <w:b/>
                <w:color w:val="000000" w:themeColor="text1"/>
                <w:szCs w:val="20"/>
              </w:rPr>
            </w:pPr>
            <w:r w:rsidRPr="008401DD">
              <w:rPr>
                <w:rFonts w:cs="Arial"/>
                <w:b/>
                <w:color w:val="000000" w:themeColor="text1"/>
                <w:szCs w:val="20"/>
              </w:rPr>
              <w:t xml:space="preserve">K1.1.4.: </w:t>
            </w:r>
            <w:r w:rsidRPr="008401DD">
              <w:rPr>
                <w:rFonts w:cs="Arial"/>
                <w:color w:val="000000" w:themeColor="text1"/>
                <w:szCs w:val="20"/>
              </w:rPr>
              <w:t xml:space="preserve">Število prebivalcev v občini </w:t>
            </w:r>
            <w:proofErr w:type="spellStart"/>
            <w:r w:rsidRPr="008401DD">
              <w:rPr>
                <w:rFonts w:cs="Arial"/>
                <w:color w:val="000000" w:themeColor="text1"/>
                <w:szCs w:val="20"/>
              </w:rPr>
              <w:t>Probištip</w:t>
            </w:r>
            <w:proofErr w:type="spellEnd"/>
            <w:r w:rsidRPr="008401DD">
              <w:rPr>
                <w:rFonts w:cs="Arial"/>
                <w:color w:val="000000" w:themeColor="text1"/>
                <w:szCs w:val="20"/>
              </w:rPr>
              <w:t xml:space="preserve"> po letih</w:t>
            </w:r>
          </w:p>
        </w:tc>
        <w:tc>
          <w:tcPr>
            <w:tcW w:w="3689" w:type="dxa"/>
            <w:tcBorders>
              <w:top w:val="dotted" w:sz="4" w:space="0" w:color="70AD47" w:themeColor="accent6"/>
            </w:tcBorders>
            <w:shd w:val="clear" w:color="auto" w:fill="auto"/>
          </w:tcPr>
          <w:p w14:paraId="539A2ABB" w14:textId="5E0EA7FA" w:rsidR="00B27574" w:rsidRPr="008401DD" w:rsidRDefault="00B27574" w:rsidP="00960E68">
            <w:pPr>
              <w:pStyle w:val="ListParagraph"/>
              <w:numPr>
                <w:ilvl w:val="0"/>
                <w:numId w:val="11"/>
              </w:numPr>
              <w:spacing w:line="276" w:lineRule="auto"/>
              <w:rPr>
                <w:rFonts w:cs="Arial"/>
              </w:rPr>
            </w:pPr>
            <w:r w:rsidRPr="008401DD">
              <w:rPr>
                <w:rFonts w:cs="Arial"/>
              </w:rPr>
              <w:t xml:space="preserve">Intervju z županom občine </w:t>
            </w:r>
            <w:proofErr w:type="spellStart"/>
            <w:r w:rsidRPr="008401DD">
              <w:rPr>
                <w:rFonts w:cs="Arial"/>
              </w:rPr>
              <w:t>Probištip</w:t>
            </w:r>
            <w:proofErr w:type="spellEnd"/>
            <w:r w:rsidRPr="008401DD">
              <w:rPr>
                <w:rFonts w:cs="Arial"/>
              </w:rPr>
              <w:t xml:space="preserve"> glede statističnih podatkov o občini in njenem razvoju</w:t>
            </w:r>
          </w:p>
          <w:p w14:paraId="07C1DDEE" w14:textId="158A4820"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uradnih statistik (podatki dostopni na spletu)</w:t>
            </w:r>
          </w:p>
          <w:p w14:paraId="01A6E0BB" w14:textId="09619B96"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5C42E9EC" w14:textId="77777777" w:rsidTr="0071177B">
        <w:trPr>
          <w:trHeight w:val="555"/>
        </w:trPr>
        <w:tc>
          <w:tcPr>
            <w:tcW w:w="1644" w:type="dxa"/>
            <w:vMerge/>
            <w:shd w:val="clear" w:color="auto" w:fill="auto"/>
            <w:vAlign w:val="center"/>
          </w:tcPr>
          <w:p w14:paraId="08214515" w14:textId="31ACA834"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7F63EB9A" w14:textId="175C0424"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37525CE5" w14:textId="734EF9B5" w:rsidR="00B27574" w:rsidRPr="008401DD" w:rsidRDefault="00B27574" w:rsidP="00960E68">
            <w:pPr>
              <w:spacing w:line="276" w:lineRule="auto"/>
              <w:jc w:val="both"/>
              <w:rPr>
                <w:rFonts w:cs="Arial"/>
                <w:b/>
                <w:color w:val="000000" w:themeColor="text1"/>
                <w:szCs w:val="20"/>
              </w:rPr>
            </w:pPr>
            <w:r w:rsidRPr="008401DD">
              <w:rPr>
                <w:rFonts w:cs="Arial"/>
                <w:b/>
                <w:color w:val="000000" w:themeColor="text1"/>
                <w:szCs w:val="20"/>
              </w:rPr>
              <w:t xml:space="preserve">K1.1.5.: </w:t>
            </w:r>
            <w:r w:rsidRPr="008401DD">
              <w:rPr>
                <w:rFonts w:cs="Arial"/>
                <w:color w:val="000000" w:themeColor="text1"/>
                <w:szCs w:val="20"/>
              </w:rPr>
              <w:t xml:space="preserve">BDP na prebivalca v občini </w:t>
            </w:r>
            <w:proofErr w:type="spellStart"/>
            <w:r w:rsidRPr="008401DD">
              <w:rPr>
                <w:rFonts w:cs="Arial"/>
                <w:color w:val="000000" w:themeColor="text1"/>
                <w:szCs w:val="20"/>
              </w:rPr>
              <w:t>Probištip</w:t>
            </w:r>
            <w:proofErr w:type="spellEnd"/>
            <w:r w:rsidRPr="008401DD">
              <w:rPr>
                <w:rFonts w:cs="Arial"/>
                <w:color w:val="000000" w:themeColor="text1"/>
                <w:szCs w:val="20"/>
              </w:rPr>
              <w:t xml:space="preserve"> ter Severni Makedoniji za obdobje 2010-2019</w:t>
            </w:r>
          </w:p>
        </w:tc>
        <w:tc>
          <w:tcPr>
            <w:tcW w:w="3689" w:type="dxa"/>
            <w:tcBorders>
              <w:top w:val="dotted" w:sz="4" w:space="0" w:color="70AD47" w:themeColor="accent6"/>
            </w:tcBorders>
            <w:shd w:val="clear" w:color="auto" w:fill="auto"/>
          </w:tcPr>
          <w:p w14:paraId="41ABC2D1" w14:textId="0B942869"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Intervju z županom občine </w:t>
            </w:r>
            <w:proofErr w:type="spellStart"/>
            <w:r w:rsidRPr="008401DD">
              <w:rPr>
                <w:rFonts w:cs="Arial"/>
              </w:rPr>
              <w:t>Probištip</w:t>
            </w:r>
            <w:proofErr w:type="spellEnd"/>
            <w:r w:rsidRPr="008401DD">
              <w:rPr>
                <w:rFonts w:cs="Arial"/>
              </w:rPr>
              <w:t xml:space="preserve"> glede statističnih podatkov o občini in njenem razvoju</w:t>
            </w:r>
          </w:p>
          <w:p w14:paraId="4D9892B0" w14:textId="5B3AC597"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uradnih statistik (podatki dostopni na spletu)</w:t>
            </w:r>
          </w:p>
          <w:p w14:paraId="6DC29109" w14:textId="116FCA62"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19262E61" w14:textId="77777777" w:rsidTr="0071177B">
        <w:trPr>
          <w:trHeight w:val="555"/>
        </w:trPr>
        <w:tc>
          <w:tcPr>
            <w:tcW w:w="1644" w:type="dxa"/>
            <w:vMerge/>
            <w:shd w:val="clear" w:color="auto" w:fill="auto"/>
            <w:vAlign w:val="center"/>
          </w:tcPr>
          <w:p w14:paraId="611B2184" w14:textId="393A645C"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68E19F17" w14:textId="52BC1F2F"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636CCE6E" w14:textId="4DDF08A1" w:rsidR="00B27574" w:rsidRPr="008401DD" w:rsidRDefault="00B27574" w:rsidP="00960E68">
            <w:pPr>
              <w:spacing w:line="276" w:lineRule="auto"/>
              <w:jc w:val="both"/>
              <w:rPr>
                <w:rFonts w:cs="Arial"/>
                <w:color w:val="000000" w:themeColor="text1"/>
                <w:szCs w:val="20"/>
              </w:rPr>
            </w:pPr>
            <w:r w:rsidRPr="008401DD">
              <w:rPr>
                <w:rFonts w:cs="Arial"/>
                <w:b/>
                <w:color w:val="000000" w:themeColor="text1"/>
                <w:szCs w:val="20"/>
              </w:rPr>
              <w:t xml:space="preserve">K1.1.6.: </w:t>
            </w:r>
            <w:r w:rsidRPr="008401DD">
              <w:rPr>
                <w:rFonts w:cs="Arial"/>
                <w:color w:val="000000" w:themeColor="text1"/>
                <w:szCs w:val="20"/>
              </w:rPr>
              <w:t xml:space="preserve">Stopnja registrirane brezposelnosti v občini </w:t>
            </w:r>
            <w:proofErr w:type="spellStart"/>
            <w:r w:rsidRPr="008401DD">
              <w:rPr>
                <w:rFonts w:cs="Arial"/>
                <w:color w:val="000000" w:themeColor="text1"/>
                <w:szCs w:val="20"/>
              </w:rPr>
              <w:t>Probištip</w:t>
            </w:r>
            <w:proofErr w:type="spellEnd"/>
            <w:r w:rsidRPr="008401DD">
              <w:rPr>
                <w:rFonts w:cs="Arial"/>
                <w:color w:val="000000" w:themeColor="text1"/>
                <w:szCs w:val="20"/>
              </w:rPr>
              <w:t xml:space="preserve"> ter Severni Makedoniji za obdobje 2010-2019</w:t>
            </w:r>
          </w:p>
          <w:p w14:paraId="32A122E7" w14:textId="77777777" w:rsidR="00B27574" w:rsidRPr="008401DD" w:rsidRDefault="00B27574" w:rsidP="00960E68">
            <w:pPr>
              <w:spacing w:line="276" w:lineRule="auto"/>
              <w:jc w:val="both"/>
              <w:rPr>
                <w:rFonts w:cs="Arial"/>
                <w:b/>
                <w:color w:val="000000" w:themeColor="text1"/>
                <w:szCs w:val="20"/>
              </w:rPr>
            </w:pPr>
          </w:p>
        </w:tc>
        <w:tc>
          <w:tcPr>
            <w:tcW w:w="3689" w:type="dxa"/>
            <w:tcBorders>
              <w:top w:val="dotted" w:sz="4" w:space="0" w:color="70AD47" w:themeColor="accent6"/>
            </w:tcBorders>
            <w:shd w:val="clear" w:color="auto" w:fill="auto"/>
          </w:tcPr>
          <w:p w14:paraId="49CCDAF4" w14:textId="39C640E5"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Intervju z županom občine </w:t>
            </w:r>
            <w:proofErr w:type="spellStart"/>
            <w:r w:rsidRPr="008401DD">
              <w:rPr>
                <w:rFonts w:cs="Arial"/>
              </w:rPr>
              <w:t>Probištip</w:t>
            </w:r>
            <w:proofErr w:type="spellEnd"/>
            <w:r w:rsidRPr="008401DD">
              <w:rPr>
                <w:rFonts w:cs="Arial"/>
              </w:rPr>
              <w:t xml:space="preserve"> glede statističnih podatkov o občini in njenem razvoju</w:t>
            </w:r>
          </w:p>
          <w:p w14:paraId="5B9017F4" w14:textId="5CC45CAB"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lastRenderedPageBreak/>
              <w:t>Pregled uradnih statistik (podatki dostopni na spletu)</w:t>
            </w:r>
          </w:p>
          <w:p w14:paraId="6AC4C0D2" w14:textId="55798B2B"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4709C9A4" w14:textId="77777777" w:rsidTr="0071177B">
        <w:trPr>
          <w:trHeight w:val="555"/>
        </w:trPr>
        <w:tc>
          <w:tcPr>
            <w:tcW w:w="1644" w:type="dxa"/>
            <w:vMerge/>
            <w:shd w:val="clear" w:color="auto" w:fill="auto"/>
            <w:vAlign w:val="center"/>
          </w:tcPr>
          <w:p w14:paraId="44B3DD9B" w14:textId="3FCE0429"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43495BB9" w14:textId="331546D8"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7050AEEE" w14:textId="05B467BD" w:rsidR="00B27574" w:rsidRPr="008401DD" w:rsidRDefault="00B27574" w:rsidP="00960E68">
            <w:pPr>
              <w:spacing w:line="276" w:lineRule="auto"/>
              <w:jc w:val="both"/>
              <w:rPr>
                <w:rFonts w:cs="Arial"/>
                <w:b/>
                <w:color w:val="000000" w:themeColor="text1"/>
                <w:szCs w:val="20"/>
              </w:rPr>
            </w:pPr>
            <w:r w:rsidRPr="008401DD">
              <w:rPr>
                <w:rFonts w:cs="Arial"/>
                <w:b/>
                <w:color w:val="000000" w:themeColor="text1"/>
                <w:szCs w:val="20"/>
              </w:rPr>
              <w:t xml:space="preserve">K1.1.7.: </w:t>
            </w:r>
            <w:r w:rsidRPr="008401DD">
              <w:rPr>
                <w:rFonts w:cs="Arial"/>
                <w:color w:val="000000" w:themeColor="text1"/>
                <w:szCs w:val="20"/>
              </w:rPr>
              <w:t xml:space="preserve">Razpoložljiv dohodek na gospodinjstvo v občini </w:t>
            </w:r>
            <w:proofErr w:type="spellStart"/>
            <w:r w:rsidRPr="008401DD">
              <w:rPr>
                <w:rFonts w:cs="Arial"/>
                <w:color w:val="000000" w:themeColor="text1"/>
                <w:szCs w:val="20"/>
              </w:rPr>
              <w:t>Probištip</w:t>
            </w:r>
            <w:proofErr w:type="spellEnd"/>
            <w:r w:rsidRPr="008401DD">
              <w:rPr>
                <w:rFonts w:cs="Arial"/>
                <w:color w:val="000000" w:themeColor="text1"/>
                <w:szCs w:val="20"/>
              </w:rPr>
              <w:t xml:space="preserve"> ter Severni Makedoniji za obdobje 2010-2019</w:t>
            </w:r>
          </w:p>
        </w:tc>
        <w:tc>
          <w:tcPr>
            <w:tcW w:w="3689" w:type="dxa"/>
            <w:tcBorders>
              <w:top w:val="dotted" w:sz="4" w:space="0" w:color="70AD47" w:themeColor="accent6"/>
            </w:tcBorders>
            <w:shd w:val="clear" w:color="auto" w:fill="auto"/>
          </w:tcPr>
          <w:p w14:paraId="5DFAB878" w14:textId="4B1AE9A9"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uradnih statistik (podatki dostopni na spletu)</w:t>
            </w:r>
          </w:p>
          <w:p w14:paraId="6253E1C9" w14:textId="44875FDF"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17C2FB76" w14:textId="77777777" w:rsidTr="0071177B">
        <w:trPr>
          <w:trHeight w:val="555"/>
        </w:trPr>
        <w:tc>
          <w:tcPr>
            <w:tcW w:w="1644" w:type="dxa"/>
            <w:vMerge/>
            <w:shd w:val="clear" w:color="auto" w:fill="auto"/>
            <w:vAlign w:val="center"/>
          </w:tcPr>
          <w:p w14:paraId="0032A677" w14:textId="7E89EB7E"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3228CA92" w14:textId="2124C7F2"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61F00460" w14:textId="74FC77A7" w:rsidR="00B27574" w:rsidRPr="008401DD" w:rsidRDefault="00B27574" w:rsidP="00960E68">
            <w:pPr>
              <w:spacing w:line="276" w:lineRule="auto"/>
              <w:jc w:val="both"/>
              <w:rPr>
                <w:rFonts w:cs="Arial"/>
                <w:b/>
                <w:color w:val="000000" w:themeColor="text1"/>
                <w:szCs w:val="20"/>
              </w:rPr>
            </w:pPr>
            <w:r w:rsidRPr="008401DD">
              <w:rPr>
                <w:rFonts w:cs="Arial"/>
                <w:b/>
                <w:color w:val="000000" w:themeColor="text1"/>
                <w:szCs w:val="20"/>
              </w:rPr>
              <w:t xml:space="preserve">K1.1.8.: </w:t>
            </w:r>
            <w:r w:rsidRPr="008401DD">
              <w:rPr>
                <w:rFonts w:cs="Arial"/>
                <w:color w:val="000000" w:themeColor="text1"/>
                <w:szCs w:val="20"/>
              </w:rPr>
              <w:t xml:space="preserve">Delež prebivalcev občine </w:t>
            </w:r>
            <w:proofErr w:type="spellStart"/>
            <w:r w:rsidRPr="008401DD">
              <w:rPr>
                <w:rFonts w:cs="Arial"/>
                <w:color w:val="000000" w:themeColor="text1"/>
                <w:szCs w:val="20"/>
              </w:rPr>
              <w:t>Probištip</w:t>
            </w:r>
            <w:proofErr w:type="spellEnd"/>
            <w:r w:rsidRPr="008401DD">
              <w:rPr>
                <w:rFonts w:cs="Arial"/>
                <w:color w:val="000000" w:themeColor="text1"/>
                <w:szCs w:val="20"/>
              </w:rPr>
              <w:t xml:space="preserve"> in Severne Makedonije z dostopom do</w:t>
            </w:r>
            <w:r w:rsidRPr="008401DD">
              <w:t xml:space="preserve"> </w:t>
            </w:r>
            <w:r w:rsidRPr="008401DD">
              <w:rPr>
                <w:rFonts w:cs="Arial"/>
                <w:color w:val="000000" w:themeColor="text1"/>
                <w:szCs w:val="20"/>
              </w:rPr>
              <w:t>sistemov za oskrbo s pitno vodo za obdobje 2010-2019</w:t>
            </w:r>
          </w:p>
        </w:tc>
        <w:tc>
          <w:tcPr>
            <w:tcW w:w="3689" w:type="dxa"/>
            <w:tcBorders>
              <w:top w:val="dotted" w:sz="4" w:space="0" w:color="70AD47" w:themeColor="accent6"/>
            </w:tcBorders>
            <w:shd w:val="clear" w:color="auto" w:fill="auto"/>
          </w:tcPr>
          <w:p w14:paraId="426F7B26" w14:textId="5D6B5189"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uradnih statistik (podatki dostopni na spletu)</w:t>
            </w:r>
          </w:p>
          <w:p w14:paraId="4FE4CE16" w14:textId="282BAB4F"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639636A9" w14:textId="77777777" w:rsidTr="0071177B">
        <w:trPr>
          <w:trHeight w:val="555"/>
        </w:trPr>
        <w:tc>
          <w:tcPr>
            <w:tcW w:w="1644" w:type="dxa"/>
            <w:vMerge/>
            <w:shd w:val="clear" w:color="auto" w:fill="auto"/>
            <w:vAlign w:val="center"/>
          </w:tcPr>
          <w:p w14:paraId="2E358CB3" w14:textId="4630F65B"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576376A8" w14:textId="752EECC1"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1DCBFDC0" w14:textId="14873223" w:rsidR="00B27574" w:rsidRPr="008401DD" w:rsidRDefault="00B27574" w:rsidP="00960E68">
            <w:pPr>
              <w:spacing w:line="276" w:lineRule="auto"/>
              <w:jc w:val="both"/>
              <w:rPr>
                <w:rFonts w:cs="Arial"/>
                <w:b/>
                <w:color w:val="000000" w:themeColor="text1"/>
                <w:szCs w:val="20"/>
              </w:rPr>
            </w:pPr>
            <w:r w:rsidRPr="008401DD">
              <w:rPr>
                <w:rFonts w:cs="Arial"/>
                <w:b/>
                <w:color w:val="000000" w:themeColor="text1"/>
                <w:szCs w:val="20"/>
              </w:rPr>
              <w:t xml:space="preserve">K1.1.9.: </w:t>
            </w:r>
            <w:r w:rsidRPr="008401DD">
              <w:rPr>
                <w:rFonts w:cs="Arial"/>
                <w:color w:val="000000" w:themeColor="text1"/>
                <w:szCs w:val="20"/>
              </w:rPr>
              <w:t xml:space="preserve">Identificirane težave povezane s kakovostjo pitne vode v občini </w:t>
            </w:r>
            <w:proofErr w:type="spellStart"/>
            <w:r w:rsidRPr="008401DD">
              <w:rPr>
                <w:rFonts w:cs="Arial"/>
                <w:color w:val="000000" w:themeColor="text1"/>
                <w:szCs w:val="20"/>
              </w:rPr>
              <w:t>Probištip</w:t>
            </w:r>
            <w:proofErr w:type="spellEnd"/>
          </w:p>
        </w:tc>
        <w:tc>
          <w:tcPr>
            <w:tcW w:w="3689" w:type="dxa"/>
            <w:tcBorders>
              <w:top w:val="dotted" w:sz="4" w:space="0" w:color="70AD47" w:themeColor="accent6"/>
            </w:tcBorders>
            <w:shd w:val="clear" w:color="auto" w:fill="auto"/>
          </w:tcPr>
          <w:p w14:paraId="31783207" w14:textId="5A49EACB"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Intervju z (nekdanjim in sedanjim) županom občine </w:t>
            </w:r>
            <w:proofErr w:type="spellStart"/>
            <w:r w:rsidRPr="008401DD">
              <w:rPr>
                <w:rFonts w:cs="Arial"/>
              </w:rPr>
              <w:t>Probištip</w:t>
            </w:r>
            <w:proofErr w:type="spellEnd"/>
            <w:r w:rsidRPr="008401DD">
              <w:rPr>
                <w:rFonts w:cs="Arial"/>
              </w:rPr>
              <w:t xml:space="preserve"> glede kakovosti pitne vode v občini</w:t>
            </w:r>
          </w:p>
          <w:p w14:paraId="64A00873" w14:textId="60C15C43"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 xml:space="preserve">Intervju z upravljalcem komunalnega podjetja Nikola </w:t>
            </w:r>
            <w:proofErr w:type="spellStart"/>
            <w:r w:rsidRPr="008401DD">
              <w:rPr>
                <w:rFonts w:cs="Arial"/>
              </w:rPr>
              <w:t>Karev</w:t>
            </w:r>
            <w:proofErr w:type="spellEnd"/>
            <w:r w:rsidRPr="008401DD">
              <w:rPr>
                <w:rFonts w:cs="Arial"/>
              </w:rPr>
              <w:t xml:space="preserve"> glede težav oz. kakovostjo pitne vode v občini </w:t>
            </w:r>
            <w:proofErr w:type="spellStart"/>
            <w:r w:rsidRPr="008401DD">
              <w:rPr>
                <w:rFonts w:cs="Arial"/>
              </w:rPr>
              <w:t>Probištip</w:t>
            </w:r>
            <w:proofErr w:type="spellEnd"/>
          </w:p>
          <w:p w14:paraId="35D265C0" w14:textId="6437E455" w:rsidR="00B27574" w:rsidRPr="008401DD" w:rsidRDefault="00B27574" w:rsidP="00960E68">
            <w:pPr>
              <w:pStyle w:val="ListParagraph"/>
              <w:numPr>
                <w:ilvl w:val="0"/>
                <w:numId w:val="11"/>
              </w:numPr>
              <w:spacing w:line="276" w:lineRule="auto"/>
              <w:rPr>
                <w:rFonts w:cs="Arial"/>
                <w:color w:val="7F7F7F" w:themeColor="text1" w:themeTint="80"/>
              </w:rPr>
            </w:pPr>
            <w:r w:rsidRPr="008401DD">
              <w:rPr>
                <w:rFonts w:cs="Arial"/>
              </w:rPr>
              <w:t>Pregled zasnov projektov</w:t>
            </w:r>
          </w:p>
        </w:tc>
      </w:tr>
      <w:tr w:rsidR="00B27574" w:rsidRPr="008401DD" w14:paraId="5BF9DEF1" w14:textId="77777777" w:rsidTr="0078042C">
        <w:trPr>
          <w:trHeight w:val="841"/>
        </w:trPr>
        <w:tc>
          <w:tcPr>
            <w:tcW w:w="1644" w:type="dxa"/>
            <w:vMerge/>
            <w:shd w:val="clear" w:color="auto" w:fill="auto"/>
            <w:vAlign w:val="center"/>
            <w:hideMark/>
          </w:tcPr>
          <w:p w14:paraId="2937E4A0" w14:textId="40ABC7DC" w:rsidR="00B27574" w:rsidRPr="008401DD" w:rsidRDefault="00B27574" w:rsidP="00960E68">
            <w:pPr>
              <w:spacing w:line="276" w:lineRule="auto"/>
              <w:jc w:val="both"/>
              <w:rPr>
                <w:rFonts w:cs="Arial"/>
                <w:color w:val="FFFFFF" w:themeColor="background1"/>
                <w:szCs w:val="20"/>
              </w:rPr>
            </w:pPr>
          </w:p>
        </w:tc>
        <w:tc>
          <w:tcPr>
            <w:tcW w:w="3175" w:type="dxa"/>
            <w:vMerge w:val="restart"/>
            <w:tcBorders>
              <w:top w:val="dotted" w:sz="4" w:space="0" w:color="70AD47" w:themeColor="accent6"/>
            </w:tcBorders>
            <w:shd w:val="clear" w:color="auto" w:fill="auto"/>
            <w:vAlign w:val="center"/>
          </w:tcPr>
          <w:p w14:paraId="16A79ADA" w14:textId="77777777" w:rsidR="00B27574" w:rsidRPr="008401DD" w:rsidRDefault="00B27574" w:rsidP="00960E68">
            <w:pPr>
              <w:spacing w:line="276" w:lineRule="auto"/>
              <w:rPr>
                <w:rFonts w:cs="Arial"/>
                <w:i/>
                <w:color w:val="67C18C"/>
                <w:szCs w:val="20"/>
              </w:rPr>
            </w:pPr>
            <w:r w:rsidRPr="008401DD">
              <w:rPr>
                <w:rFonts w:cs="Arial"/>
                <w:i/>
                <w:color w:val="67C18C"/>
              </w:rPr>
              <w:t xml:space="preserve">1.2 Ali so bile upoštevane variante in alternative izvedbe projektov z upoštevanjem vseh dimenzij trajnostnega razvoja: ekonomska, družbena in </w:t>
            </w:r>
            <w:proofErr w:type="spellStart"/>
            <w:r w:rsidRPr="008401DD">
              <w:rPr>
                <w:rFonts w:cs="Arial"/>
                <w:i/>
                <w:color w:val="67C18C"/>
              </w:rPr>
              <w:t>okoljska</w:t>
            </w:r>
            <w:proofErr w:type="spellEnd"/>
            <w:r w:rsidRPr="008401DD">
              <w:rPr>
                <w:rFonts w:cs="Arial"/>
                <w:i/>
                <w:color w:val="67C18C"/>
              </w:rPr>
              <w:t xml:space="preserve"> (npr. alternativne tehnologije, lokacije, sinergije z drugimi projekti, ipd.)?</w:t>
            </w:r>
          </w:p>
          <w:p w14:paraId="36EC644E" w14:textId="7B0E3161" w:rsidR="00B27574" w:rsidRPr="008401DD" w:rsidRDefault="00B27574" w:rsidP="00960E68">
            <w:pPr>
              <w:spacing w:line="276" w:lineRule="auto"/>
              <w:rPr>
                <w:rFonts w:cs="Arial"/>
                <w:i/>
                <w:color w:val="67C18C"/>
              </w:rPr>
            </w:pPr>
          </w:p>
          <w:p w14:paraId="604AA4AA" w14:textId="5AF16DCD" w:rsidR="00B27574" w:rsidRPr="008401DD" w:rsidRDefault="00B27574" w:rsidP="00960E68">
            <w:pPr>
              <w:spacing w:line="276" w:lineRule="auto"/>
              <w:rPr>
                <w:rFonts w:cs="Arial"/>
                <w:i/>
                <w:color w:val="67C18C"/>
                <w:szCs w:val="20"/>
              </w:rPr>
            </w:pPr>
          </w:p>
        </w:tc>
        <w:tc>
          <w:tcPr>
            <w:tcW w:w="4532" w:type="dxa"/>
            <w:tcBorders>
              <w:top w:val="dotted" w:sz="4" w:space="0" w:color="70AD47" w:themeColor="accent6"/>
            </w:tcBorders>
            <w:shd w:val="clear" w:color="auto" w:fill="auto"/>
            <w:vAlign w:val="center"/>
          </w:tcPr>
          <w:p w14:paraId="2A9C0618" w14:textId="7810E9C9" w:rsidR="00B27574" w:rsidRPr="008401DD" w:rsidRDefault="00B27574" w:rsidP="00960E68">
            <w:pPr>
              <w:spacing w:line="276" w:lineRule="auto"/>
              <w:rPr>
                <w:rFonts w:cs="Arial"/>
                <w:color w:val="000000" w:themeColor="text1"/>
                <w:szCs w:val="20"/>
              </w:rPr>
            </w:pPr>
            <w:r w:rsidRPr="008401DD">
              <w:rPr>
                <w:rFonts w:cs="Arial"/>
                <w:b/>
                <w:color w:val="000000" w:themeColor="text1"/>
                <w:szCs w:val="20"/>
              </w:rPr>
              <w:t>K1.2.1</w:t>
            </w:r>
            <w:r w:rsidRPr="008401DD">
              <w:rPr>
                <w:rFonts w:cs="Arial"/>
                <w:color w:val="000000" w:themeColor="text1"/>
                <w:szCs w:val="20"/>
              </w:rPr>
              <w:t xml:space="preserve">.: Obstoj analize tehničnih možnosti/variant </w:t>
            </w:r>
          </w:p>
          <w:p w14:paraId="452158DD" w14:textId="5E54ABAC" w:rsidR="00B27574" w:rsidRPr="008401DD" w:rsidRDefault="00B27574" w:rsidP="00960E68">
            <w:pPr>
              <w:spacing w:line="276" w:lineRule="auto"/>
            </w:pPr>
          </w:p>
        </w:tc>
        <w:tc>
          <w:tcPr>
            <w:tcW w:w="3689" w:type="dxa"/>
            <w:tcBorders>
              <w:top w:val="dotted" w:sz="4" w:space="0" w:color="70AD47" w:themeColor="accent6"/>
            </w:tcBorders>
            <w:shd w:val="clear" w:color="auto" w:fill="auto"/>
          </w:tcPr>
          <w:p w14:paraId="646E532F" w14:textId="74FD7378" w:rsidR="00B27574" w:rsidRPr="008401DD" w:rsidRDefault="00B27574" w:rsidP="00960E68">
            <w:pPr>
              <w:pStyle w:val="ListParagraph"/>
              <w:numPr>
                <w:ilvl w:val="0"/>
                <w:numId w:val="11"/>
              </w:numPr>
              <w:spacing w:line="276" w:lineRule="auto"/>
              <w:rPr>
                <w:rFonts w:cs="Arial"/>
                <w:i/>
              </w:rPr>
            </w:pPr>
            <w:r w:rsidRPr="008401DD">
              <w:rPr>
                <w:rFonts w:cs="Arial"/>
              </w:rPr>
              <w:t>Pregled in analiza posredovane dokumentacije: projektna zasnova in ostalih variant</w:t>
            </w:r>
          </w:p>
          <w:p w14:paraId="26B71225" w14:textId="309FB2F5" w:rsidR="00B27574" w:rsidRPr="008401DD" w:rsidRDefault="00B27574" w:rsidP="00960E68">
            <w:pPr>
              <w:pStyle w:val="ListParagraph"/>
              <w:numPr>
                <w:ilvl w:val="0"/>
                <w:numId w:val="11"/>
              </w:numPr>
              <w:spacing w:line="276" w:lineRule="auto"/>
              <w:rPr>
                <w:rFonts w:cs="Arial"/>
              </w:rPr>
            </w:pPr>
            <w:r w:rsidRPr="008401DD">
              <w:rPr>
                <w:rFonts w:cs="Arial"/>
              </w:rPr>
              <w:t>Intervju s CMSR glede preučitve obstoječih variant in alternativ</w:t>
            </w:r>
          </w:p>
          <w:p w14:paraId="2B5AF871" w14:textId="5102BA83" w:rsidR="00B27574" w:rsidRPr="008401DD" w:rsidRDefault="00B27574" w:rsidP="00960E68">
            <w:pPr>
              <w:pStyle w:val="ListParagraph"/>
              <w:numPr>
                <w:ilvl w:val="0"/>
                <w:numId w:val="11"/>
              </w:numPr>
              <w:spacing w:line="276" w:lineRule="auto"/>
              <w:rPr>
                <w:rFonts w:cs="Arial"/>
              </w:rPr>
            </w:pPr>
            <w:r w:rsidRPr="008401DD">
              <w:rPr>
                <w:rFonts w:cs="Arial"/>
              </w:rPr>
              <w:t>Intervju z nacionalnim koordinatorjem (MZZ) o prejetih predlogih zasnov projektov</w:t>
            </w:r>
          </w:p>
        </w:tc>
      </w:tr>
      <w:tr w:rsidR="00B27574" w:rsidRPr="008401DD" w14:paraId="599A39FC" w14:textId="77777777" w:rsidTr="0078042C">
        <w:trPr>
          <w:trHeight w:val="841"/>
        </w:trPr>
        <w:tc>
          <w:tcPr>
            <w:tcW w:w="1644" w:type="dxa"/>
            <w:vMerge/>
            <w:shd w:val="clear" w:color="auto" w:fill="auto"/>
            <w:vAlign w:val="center"/>
          </w:tcPr>
          <w:p w14:paraId="365F31E1" w14:textId="435CA0E1" w:rsidR="00B27574" w:rsidRPr="008401DD" w:rsidRDefault="00B27574" w:rsidP="00960E68">
            <w:pPr>
              <w:spacing w:line="276" w:lineRule="auto"/>
              <w:jc w:val="both"/>
              <w:rPr>
                <w:rFonts w:cs="Arial"/>
                <w:color w:val="FFFFFF" w:themeColor="background1"/>
                <w:szCs w:val="20"/>
              </w:rPr>
            </w:pPr>
          </w:p>
        </w:tc>
        <w:tc>
          <w:tcPr>
            <w:tcW w:w="3175" w:type="dxa"/>
            <w:vMerge/>
            <w:shd w:val="clear" w:color="auto" w:fill="auto"/>
          </w:tcPr>
          <w:p w14:paraId="7D0960AC" w14:textId="04912E8A"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6BCEA1D0" w14:textId="00717D63" w:rsidR="00B27574" w:rsidRPr="008401DD" w:rsidRDefault="00B27574" w:rsidP="00960E68">
            <w:pPr>
              <w:spacing w:line="276" w:lineRule="auto"/>
              <w:rPr>
                <w:rFonts w:cs="Arial"/>
                <w:color w:val="000000" w:themeColor="text1"/>
                <w:szCs w:val="20"/>
              </w:rPr>
            </w:pPr>
            <w:r w:rsidRPr="008401DD">
              <w:rPr>
                <w:rFonts w:cs="Arial"/>
                <w:b/>
                <w:color w:val="000000" w:themeColor="text1"/>
                <w:szCs w:val="20"/>
              </w:rPr>
              <w:t>K1.2.2</w:t>
            </w:r>
            <w:r w:rsidRPr="008401DD">
              <w:rPr>
                <w:rFonts w:cs="Arial"/>
                <w:color w:val="000000" w:themeColor="text1"/>
                <w:szCs w:val="20"/>
              </w:rPr>
              <w:t>.: Smotrnost utemeljitve izbrane variante</w:t>
            </w:r>
          </w:p>
        </w:tc>
        <w:tc>
          <w:tcPr>
            <w:tcW w:w="3689" w:type="dxa"/>
            <w:tcBorders>
              <w:top w:val="dotted" w:sz="4" w:space="0" w:color="70AD47" w:themeColor="accent6"/>
            </w:tcBorders>
            <w:shd w:val="clear" w:color="auto" w:fill="auto"/>
          </w:tcPr>
          <w:p w14:paraId="2BA2304A" w14:textId="50C94991" w:rsidR="00B27574" w:rsidRPr="008401DD" w:rsidRDefault="00B27574" w:rsidP="00960E68">
            <w:pPr>
              <w:pStyle w:val="ListParagraph"/>
              <w:numPr>
                <w:ilvl w:val="0"/>
                <w:numId w:val="11"/>
              </w:numPr>
              <w:spacing w:line="276" w:lineRule="auto"/>
              <w:rPr>
                <w:rFonts w:cs="Arial"/>
                <w:i/>
              </w:rPr>
            </w:pPr>
            <w:r w:rsidRPr="008401DD">
              <w:rPr>
                <w:rFonts w:cs="Arial"/>
              </w:rPr>
              <w:t>Pregled in analiza posredovane dokumentacije: projektna zasnova</w:t>
            </w:r>
          </w:p>
          <w:p w14:paraId="059AF3B2" w14:textId="24CDCE03" w:rsidR="00B27574" w:rsidRPr="008401DD" w:rsidRDefault="00B27574" w:rsidP="00960E68">
            <w:pPr>
              <w:pStyle w:val="ListParagraph"/>
              <w:numPr>
                <w:ilvl w:val="0"/>
                <w:numId w:val="11"/>
              </w:numPr>
              <w:spacing w:line="276" w:lineRule="auto"/>
              <w:rPr>
                <w:rFonts w:cs="Arial"/>
              </w:rPr>
            </w:pPr>
            <w:r w:rsidRPr="008401DD">
              <w:rPr>
                <w:rFonts w:cs="Arial"/>
              </w:rPr>
              <w:t>Intervju s CMSR glede odločitve za izbrana projekta in ocene projekta po merilih za izbiro</w:t>
            </w:r>
          </w:p>
          <w:p w14:paraId="7122A82A" w14:textId="3D467CA1" w:rsidR="00B27574" w:rsidRPr="008401DD" w:rsidRDefault="00B27574" w:rsidP="00960E68">
            <w:pPr>
              <w:pStyle w:val="ListParagraph"/>
              <w:numPr>
                <w:ilvl w:val="0"/>
                <w:numId w:val="11"/>
              </w:numPr>
              <w:spacing w:line="276" w:lineRule="auto"/>
              <w:rPr>
                <w:rFonts w:cs="Arial"/>
              </w:rPr>
            </w:pPr>
            <w:r w:rsidRPr="008401DD">
              <w:rPr>
                <w:rFonts w:cs="Arial"/>
              </w:rPr>
              <w:t>Intervju z bivšim veleposlanikov v Skopju glede sinergij razvojnih projektov, ki so financiranih s strani drugih držav</w:t>
            </w:r>
          </w:p>
        </w:tc>
      </w:tr>
      <w:tr w:rsidR="00B27574" w:rsidRPr="008401DD" w14:paraId="5DD27534" w14:textId="77777777" w:rsidTr="0078042C">
        <w:trPr>
          <w:trHeight w:val="841"/>
        </w:trPr>
        <w:tc>
          <w:tcPr>
            <w:tcW w:w="1644" w:type="dxa"/>
            <w:vMerge/>
            <w:shd w:val="clear" w:color="auto" w:fill="auto"/>
            <w:vAlign w:val="center"/>
          </w:tcPr>
          <w:p w14:paraId="3C30539A" w14:textId="57B1BA86" w:rsidR="00B27574" w:rsidRPr="008401DD" w:rsidRDefault="00B27574" w:rsidP="00960E68">
            <w:pPr>
              <w:spacing w:line="276" w:lineRule="auto"/>
              <w:jc w:val="both"/>
              <w:rPr>
                <w:rFonts w:cs="Arial"/>
                <w:color w:val="FFFFFF" w:themeColor="background1"/>
                <w:szCs w:val="20"/>
              </w:rPr>
            </w:pPr>
          </w:p>
        </w:tc>
        <w:tc>
          <w:tcPr>
            <w:tcW w:w="3175" w:type="dxa"/>
            <w:vMerge/>
            <w:shd w:val="clear" w:color="auto" w:fill="auto"/>
          </w:tcPr>
          <w:p w14:paraId="250406A0" w14:textId="44EE4702" w:rsidR="00B27574" w:rsidRPr="008401DD" w:rsidRDefault="00B27574" w:rsidP="00960E68">
            <w:pPr>
              <w:spacing w:line="276" w:lineRule="auto"/>
              <w:jc w:val="both"/>
              <w:rPr>
                <w:rFonts w:cs="Arial"/>
                <w:i/>
                <w:color w:val="67C18C"/>
              </w:rPr>
            </w:pPr>
          </w:p>
        </w:tc>
        <w:tc>
          <w:tcPr>
            <w:tcW w:w="4532" w:type="dxa"/>
            <w:tcBorders>
              <w:top w:val="dotted" w:sz="4" w:space="0" w:color="70AD47" w:themeColor="accent6"/>
            </w:tcBorders>
            <w:shd w:val="clear" w:color="auto" w:fill="auto"/>
            <w:vAlign w:val="center"/>
          </w:tcPr>
          <w:p w14:paraId="267EED23" w14:textId="2730C7AF" w:rsidR="00B27574" w:rsidRPr="008401DD" w:rsidRDefault="00B27574" w:rsidP="00960E68">
            <w:pPr>
              <w:spacing w:line="276" w:lineRule="auto"/>
              <w:rPr>
                <w:rFonts w:cs="Arial"/>
                <w:color w:val="000000" w:themeColor="text1"/>
                <w:szCs w:val="20"/>
              </w:rPr>
            </w:pPr>
            <w:r w:rsidRPr="008401DD">
              <w:rPr>
                <w:rFonts w:cs="Arial"/>
                <w:b/>
                <w:color w:val="000000" w:themeColor="text1"/>
                <w:szCs w:val="20"/>
              </w:rPr>
              <w:t>K1.2.3</w:t>
            </w:r>
            <w:r w:rsidRPr="008401DD">
              <w:rPr>
                <w:rFonts w:cs="Arial"/>
                <w:color w:val="000000" w:themeColor="text1"/>
                <w:szCs w:val="20"/>
              </w:rPr>
              <w:t>.: Smotrnost izbrane variante z vidika naslavljanja različnih dimenzij trajnostnega razvoja (zlasti v povezavi s cilji trajnostnega razvoja določenimi v Agendi 2030)</w:t>
            </w:r>
          </w:p>
        </w:tc>
        <w:tc>
          <w:tcPr>
            <w:tcW w:w="3689" w:type="dxa"/>
            <w:tcBorders>
              <w:top w:val="dotted" w:sz="4" w:space="0" w:color="70AD47" w:themeColor="accent6"/>
            </w:tcBorders>
            <w:shd w:val="clear" w:color="auto" w:fill="auto"/>
          </w:tcPr>
          <w:p w14:paraId="695A850B" w14:textId="59A3160B" w:rsidR="00B27574" w:rsidRPr="008401DD" w:rsidRDefault="00B27574" w:rsidP="00960E68">
            <w:pPr>
              <w:pStyle w:val="ListParagraph"/>
              <w:numPr>
                <w:ilvl w:val="0"/>
                <w:numId w:val="11"/>
              </w:numPr>
              <w:spacing w:line="276" w:lineRule="auto"/>
              <w:rPr>
                <w:rFonts w:cs="Arial"/>
              </w:rPr>
            </w:pPr>
            <w:r w:rsidRPr="008401DD">
              <w:rPr>
                <w:rFonts w:cs="Arial"/>
              </w:rPr>
              <w:t xml:space="preserve">Pregled in analiza posredovane dokumentacije: </w:t>
            </w:r>
            <w:r w:rsidRPr="008401DD">
              <w:rPr>
                <w:rFonts w:cs="Arial"/>
                <w:i/>
              </w:rPr>
              <w:t>projektna naloga</w:t>
            </w:r>
          </w:p>
          <w:p w14:paraId="6E5C165A" w14:textId="77777777" w:rsidR="00B27574" w:rsidRPr="008401DD" w:rsidRDefault="00B27574" w:rsidP="00960E68">
            <w:pPr>
              <w:pStyle w:val="ListParagraph"/>
              <w:spacing w:line="276" w:lineRule="auto"/>
              <w:ind w:left="455"/>
              <w:rPr>
                <w:rFonts w:cs="Arial"/>
                <w:color w:val="7F7F7F" w:themeColor="text1" w:themeTint="80"/>
              </w:rPr>
            </w:pPr>
          </w:p>
        </w:tc>
      </w:tr>
      <w:tr w:rsidR="00B27574" w:rsidRPr="008401DD" w14:paraId="73276434" w14:textId="77777777" w:rsidTr="00322055">
        <w:trPr>
          <w:trHeight w:val="913"/>
        </w:trPr>
        <w:tc>
          <w:tcPr>
            <w:tcW w:w="1644" w:type="dxa"/>
            <w:vMerge/>
            <w:shd w:val="clear" w:color="auto" w:fill="auto"/>
            <w:vAlign w:val="center"/>
          </w:tcPr>
          <w:p w14:paraId="1BEA9FDD" w14:textId="3F33EA52"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2850236C" w14:textId="77777777" w:rsidR="00B27574" w:rsidRPr="008401DD" w:rsidRDefault="00B27574" w:rsidP="00960E68">
            <w:pPr>
              <w:spacing w:line="276" w:lineRule="auto"/>
              <w:rPr>
                <w:rFonts w:cs="Arial"/>
                <w:i/>
                <w:color w:val="67C18C"/>
                <w:szCs w:val="20"/>
              </w:rPr>
            </w:pPr>
            <w:r w:rsidRPr="008401DD">
              <w:rPr>
                <w:rFonts w:cs="Arial"/>
                <w:i/>
                <w:color w:val="67C18C"/>
              </w:rPr>
              <w:t>1.3. Ali je v fazi načrtovanja, izbora in priprave projektov CMSR na smiseln način upošteval obseg projekta, projektne cilje in način izvedbe glede na identificirane potrebe ter projektna tveganja?</w:t>
            </w:r>
          </w:p>
          <w:p w14:paraId="256BC1A6" w14:textId="6B5EAB85" w:rsidR="00B27574" w:rsidRPr="008401DD" w:rsidRDefault="00B27574" w:rsidP="00960E68">
            <w:pPr>
              <w:spacing w:line="276" w:lineRule="auto"/>
              <w:rPr>
                <w:rFonts w:cs="Arial"/>
                <w:i/>
                <w:color w:val="67C18C"/>
              </w:rPr>
            </w:pPr>
          </w:p>
          <w:p w14:paraId="31F0C7DC" w14:textId="19083825" w:rsidR="00B27574" w:rsidRPr="008401DD" w:rsidRDefault="00B27574" w:rsidP="00960E68">
            <w:pPr>
              <w:spacing w:line="276" w:lineRule="auto"/>
              <w:rPr>
                <w:rFonts w:cs="Arial"/>
                <w:i/>
                <w:color w:val="67C18C"/>
              </w:rPr>
            </w:pPr>
          </w:p>
          <w:p w14:paraId="7D30127E" w14:textId="29901F29" w:rsidR="00B27574" w:rsidRPr="008401DD" w:rsidRDefault="00B27574" w:rsidP="00960E68">
            <w:pPr>
              <w:spacing w:line="276" w:lineRule="auto"/>
              <w:rPr>
                <w:rFonts w:cs="Arial"/>
                <w:i/>
                <w:color w:val="67C18C"/>
              </w:rPr>
            </w:pPr>
          </w:p>
          <w:p w14:paraId="3842683B" w14:textId="7A444ECE" w:rsidR="00B27574" w:rsidRPr="008401DD" w:rsidRDefault="00B27574" w:rsidP="00960E68">
            <w:pPr>
              <w:spacing w:line="276" w:lineRule="auto"/>
              <w:rPr>
                <w:rFonts w:cs="Arial"/>
                <w:i/>
                <w:color w:val="67C18C"/>
              </w:rPr>
            </w:pPr>
          </w:p>
          <w:p w14:paraId="66A56E08" w14:textId="1309CE84" w:rsidR="00B27574" w:rsidRPr="008401DD" w:rsidRDefault="00B27574" w:rsidP="00960E68">
            <w:pPr>
              <w:spacing w:line="276" w:lineRule="auto"/>
              <w:rPr>
                <w:rFonts w:cs="Arial"/>
                <w:i/>
                <w:color w:val="67C18C"/>
              </w:rPr>
            </w:pPr>
          </w:p>
          <w:p w14:paraId="737B177F" w14:textId="2D9A49B1" w:rsidR="00B27574" w:rsidRPr="008401DD" w:rsidRDefault="00B27574" w:rsidP="00960E68">
            <w:pPr>
              <w:spacing w:line="276" w:lineRule="auto"/>
              <w:rPr>
                <w:rFonts w:cs="Arial"/>
                <w:i/>
                <w:color w:val="67C18C"/>
              </w:rPr>
            </w:pPr>
          </w:p>
          <w:p w14:paraId="5441673C" w14:textId="54E69977" w:rsidR="00B27574" w:rsidRPr="008401DD" w:rsidRDefault="00B27574" w:rsidP="00960E68">
            <w:pPr>
              <w:spacing w:line="276" w:lineRule="auto"/>
              <w:rPr>
                <w:rFonts w:cs="Arial"/>
                <w:i/>
                <w:color w:val="67C18C"/>
              </w:rPr>
            </w:pPr>
          </w:p>
          <w:p w14:paraId="1303B2BC" w14:textId="6996AFE3"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2792BC14" w14:textId="0C38DE8E" w:rsidR="00B27574" w:rsidRPr="008401DD" w:rsidRDefault="00B27574" w:rsidP="00960E68">
            <w:pPr>
              <w:spacing w:line="276" w:lineRule="auto"/>
              <w:rPr>
                <w:rFonts w:cs="Arial"/>
                <w:szCs w:val="20"/>
              </w:rPr>
            </w:pPr>
            <w:r w:rsidRPr="008401DD">
              <w:rPr>
                <w:rFonts w:cs="Arial"/>
                <w:b/>
                <w:color w:val="000000" w:themeColor="text1"/>
                <w:szCs w:val="20"/>
              </w:rPr>
              <w:t>K1.3.1</w:t>
            </w:r>
            <w:r w:rsidRPr="008401DD">
              <w:rPr>
                <w:rFonts w:cs="Arial"/>
                <w:color w:val="000000" w:themeColor="text1"/>
                <w:szCs w:val="20"/>
              </w:rPr>
              <w:t xml:space="preserve">.: </w:t>
            </w:r>
            <w:r w:rsidRPr="008401DD">
              <w:rPr>
                <w:rFonts w:cs="Arial"/>
                <w:szCs w:val="20"/>
              </w:rPr>
              <w:t>Ustreznost in skladnost ciljev in načrtovanih rezultatov projekta z Resolucijo o mednarodnem razvojnem sodelovanju RS za obdobje do leta 2015 in Resolucijo o mednarodnem razvojnem sodelovanju in humanitarni pomoči RS sprejeto v letu 2017</w:t>
            </w:r>
          </w:p>
        </w:tc>
        <w:tc>
          <w:tcPr>
            <w:tcW w:w="3689" w:type="dxa"/>
            <w:shd w:val="clear" w:color="auto" w:fill="auto"/>
          </w:tcPr>
          <w:p w14:paraId="2995A5F0" w14:textId="7C282571"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Pregled projektne dokumentacije in Resolucij o izvajanju MRS</w:t>
            </w:r>
          </w:p>
          <w:p w14:paraId="43461884" w14:textId="7CCCB1D3"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projektnih ciljev (vključno z vprašanjem merljivosti le-teh)</w:t>
            </w:r>
          </w:p>
        </w:tc>
      </w:tr>
      <w:tr w:rsidR="00B27574" w:rsidRPr="008401DD" w14:paraId="28ECD5DE" w14:textId="77777777" w:rsidTr="0078042C">
        <w:trPr>
          <w:trHeight w:val="300"/>
        </w:trPr>
        <w:tc>
          <w:tcPr>
            <w:tcW w:w="1644" w:type="dxa"/>
            <w:vMerge/>
            <w:shd w:val="clear" w:color="auto" w:fill="auto"/>
            <w:vAlign w:val="center"/>
          </w:tcPr>
          <w:p w14:paraId="792F8EB5" w14:textId="4E389B3A"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3082BD86" w14:textId="232B4400"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22AD9C9E" w14:textId="79317DC0" w:rsidR="00B27574" w:rsidRPr="008401DD" w:rsidRDefault="00B27574" w:rsidP="00960E68">
            <w:pPr>
              <w:spacing w:line="276" w:lineRule="auto"/>
              <w:rPr>
                <w:rFonts w:cs="Arial"/>
                <w:szCs w:val="20"/>
              </w:rPr>
            </w:pPr>
            <w:r w:rsidRPr="008401DD">
              <w:rPr>
                <w:rFonts w:cs="Arial"/>
                <w:b/>
                <w:color w:val="000000" w:themeColor="text1"/>
                <w:szCs w:val="20"/>
              </w:rPr>
              <w:t>K1.3.2</w:t>
            </w:r>
            <w:r w:rsidRPr="008401DD">
              <w:rPr>
                <w:rFonts w:cs="Arial"/>
                <w:color w:val="000000" w:themeColor="text1"/>
                <w:szCs w:val="20"/>
              </w:rPr>
              <w:t xml:space="preserve">.: </w:t>
            </w:r>
            <w:r w:rsidRPr="008401DD">
              <w:rPr>
                <w:rFonts w:cs="Arial"/>
                <w:szCs w:val="20"/>
              </w:rPr>
              <w:t>Skladnost ciljev in učinkov projekta z identificiranimi potrebami v državi prejemnici (upoštevajoč stanje vodovodne infrastrukture, dostopnost in kakovost pitne vode)</w:t>
            </w:r>
          </w:p>
        </w:tc>
        <w:tc>
          <w:tcPr>
            <w:tcW w:w="3689" w:type="dxa"/>
            <w:shd w:val="clear" w:color="auto" w:fill="auto"/>
          </w:tcPr>
          <w:p w14:paraId="66CC45A4" w14:textId="69620DC4"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Pregled projektne dokumentacije in Resolucij o izvajanju MRS</w:t>
            </w:r>
          </w:p>
          <w:p w14:paraId="349A1C7D" w14:textId="58D34588"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ocenjevanja predlogov projektov glede na merila za izbor projektov (skladnost s potrebami)</w:t>
            </w:r>
          </w:p>
          <w:p w14:paraId="795E1231" w14:textId="610591E8"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z bivšim veleposlanikom v Skopju glede identificiranih potreb države (stanje vodne infrastrukture)</w:t>
            </w:r>
          </w:p>
        </w:tc>
      </w:tr>
      <w:tr w:rsidR="00B27574" w:rsidRPr="008401DD" w14:paraId="7D930655" w14:textId="77777777" w:rsidTr="0078042C">
        <w:trPr>
          <w:trHeight w:val="300"/>
        </w:trPr>
        <w:tc>
          <w:tcPr>
            <w:tcW w:w="1644" w:type="dxa"/>
            <w:vMerge/>
            <w:shd w:val="clear" w:color="auto" w:fill="auto"/>
            <w:vAlign w:val="center"/>
          </w:tcPr>
          <w:p w14:paraId="7AB54D87" w14:textId="4C936EF3"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186C29C2" w14:textId="18D8E050"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088AB8BE" w14:textId="6AAA6F72" w:rsidR="00B27574" w:rsidRPr="008401DD" w:rsidRDefault="00B27574" w:rsidP="00960E68">
            <w:pPr>
              <w:spacing w:line="276" w:lineRule="auto"/>
              <w:rPr>
                <w:rFonts w:cs="Arial"/>
                <w:szCs w:val="20"/>
              </w:rPr>
            </w:pPr>
            <w:r w:rsidRPr="008401DD">
              <w:rPr>
                <w:rFonts w:cs="Arial"/>
                <w:b/>
                <w:color w:val="000000" w:themeColor="text1"/>
                <w:szCs w:val="20"/>
              </w:rPr>
              <w:t>K1.3.3</w:t>
            </w:r>
            <w:r w:rsidRPr="008401DD">
              <w:rPr>
                <w:rFonts w:cs="Arial"/>
                <w:color w:val="000000" w:themeColor="text1"/>
                <w:szCs w:val="20"/>
              </w:rPr>
              <w:t xml:space="preserve">.: </w:t>
            </w:r>
            <w:r w:rsidRPr="008401DD">
              <w:rPr>
                <w:rFonts w:cs="Arial"/>
                <w:szCs w:val="20"/>
              </w:rPr>
              <w:t>Skladnost načina izvedbe projektov z identificiranimi potrebami države prejemnice</w:t>
            </w:r>
          </w:p>
        </w:tc>
        <w:tc>
          <w:tcPr>
            <w:tcW w:w="3689" w:type="dxa"/>
            <w:shd w:val="clear" w:color="auto" w:fill="auto"/>
          </w:tcPr>
          <w:p w14:paraId="498E61A0" w14:textId="3ED280DB"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ocenjevanja predlogov projektov glede na merila za izbor projektov (skladnost s potrebami)</w:t>
            </w:r>
          </w:p>
          <w:p w14:paraId="4CDE0C84" w14:textId="351E2836"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z nekdanjim veleposlanikom v Skopju glede identificiranih potreb države (ali projekt naslavlja potrebe, ali je aktualen.</w:t>
            </w:r>
            <w:r w:rsidR="00B144C8">
              <w:t>.</w:t>
            </w:r>
            <w:r w:rsidRPr="008401DD">
              <w:t>.)</w:t>
            </w:r>
          </w:p>
        </w:tc>
      </w:tr>
      <w:tr w:rsidR="00B27574" w:rsidRPr="008401DD" w14:paraId="519ADE71" w14:textId="77777777" w:rsidTr="0078042C">
        <w:trPr>
          <w:trHeight w:val="300"/>
        </w:trPr>
        <w:tc>
          <w:tcPr>
            <w:tcW w:w="1644" w:type="dxa"/>
            <w:vMerge/>
            <w:shd w:val="clear" w:color="auto" w:fill="auto"/>
            <w:vAlign w:val="center"/>
          </w:tcPr>
          <w:p w14:paraId="74B6DDB6" w14:textId="0004C58F"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26648DF9" w14:textId="4C5721DA"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7AA750DC" w14:textId="43C0B5C5" w:rsidR="00B27574" w:rsidRPr="008401DD" w:rsidRDefault="00B27574" w:rsidP="00960E68">
            <w:pPr>
              <w:spacing w:line="276" w:lineRule="auto"/>
              <w:rPr>
                <w:rFonts w:cs="Arial"/>
                <w:szCs w:val="20"/>
              </w:rPr>
            </w:pPr>
            <w:r w:rsidRPr="008401DD">
              <w:rPr>
                <w:rFonts w:cs="Arial"/>
                <w:b/>
                <w:color w:val="000000" w:themeColor="text1"/>
                <w:szCs w:val="20"/>
              </w:rPr>
              <w:t>K1.3.4</w:t>
            </w:r>
            <w:r w:rsidRPr="008401DD">
              <w:rPr>
                <w:rFonts w:cs="Arial"/>
                <w:color w:val="000000" w:themeColor="text1"/>
                <w:szCs w:val="20"/>
              </w:rPr>
              <w:t xml:space="preserve">.: </w:t>
            </w:r>
            <w:r w:rsidRPr="008401DD">
              <w:rPr>
                <w:rFonts w:cs="Arial"/>
                <w:szCs w:val="20"/>
              </w:rPr>
              <w:t>Skladnost načina izvedbe projektov s projektnimi tveganji</w:t>
            </w:r>
          </w:p>
        </w:tc>
        <w:tc>
          <w:tcPr>
            <w:tcW w:w="3689" w:type="dxa"/>
            <w:shd w:val="clear" w:color="auto" w:fill="auto"/>
          </w:tcPr>
          <w:p w14:paraId="7FD60C18" w14:textId="156947B7"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ocenjevanja predlogov projektov glede na merila za izbor projektov (način izvedbe, projektna tveganja)</w:t>
            </w:r>
          </w:p>
        </w:tc>
      </w:tr>
      <w:tr w:rsidR="00B27574" w:rsidRPr="008401DD" w14:paraId="6267CCB0" w14:textId="77777777" w:rsidTr="0078042C">
        <w:trPr>
          <w:trHeight w:val="300"/>
        </w:trPr>
        <w:tc>
          <w:tcPr>
            <w:tcW w:w="1644" w:type="dxa"/>
            <w:vMerge/>
            <w:shd w:val="clear" w:color="auto" w:fill="auto"/>
            <w:vAlign w:val="center"/>
          </w:tcPr>
          <w:p w14:paraId="393774B1" w14:textId="7592FDAC"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1F848EA2" w14:textId="210F2A20"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3B6098A5" w14:textId="5D91E370" w:rsidR="00B27574" w:rsidRPr="008401DD" w:rsidRDefault="00B27574" w:rsidP="00960E68">
            <w:pPr>
              <w:spacing w:line="276" w:lineRule="auto"/>
              <w:rPr>
                <w:rFonts w:cs="Arial"/>
                <w:szCs w:val="20"/>
              </w:rPr>
            </w:pPr>
            <w:r w:rsidRPr="008401DD">
              <w:rPr>
                <w:rFonts w:cs="Arial"/>
                <w:b/>
                <w:color w:val="000000" w:themeColor="text1"/>
                <w:szCs w:val="20"/>
              </w:rPr>
              <w:t>K1.3.4</w:t>
            </w:r>
            <w:r w:rsidRPr="008401DD">
              <w:rPr>
                <w:rFonts w:cs="Arial"/>
                <w:color w:val="000000" w:themeColor="text1"/>
                <w:szCs w:val="20"/>
              </w:rPr>
              <w:t xml:space="preserve">.: </w:t>
            </w:r>
            <w:r w:rsidRPr="008401DD">
              <w:rPr>
                <w:rFonts w:cs="Arial"/>
                <w:szCs w:val="20"/>
              </w:rPr>
              <w:t xml:space="preserve">Ustreznost načrtovanja projektnih aktivnosti, </w:t>
            </w:r>
            <w:proofErr w:type="spellStart"/>
            <w:r w:rsidRPr="008401DD">
              <w:rPr>
                <w:rFonts w:cs="Arial"/>
                <w:szCs w:val="20"/>
              </w:rPr>
              <w:t>časovnice</w:t>
            </w:r>
            <w:proofErr w:type="spellEnd"/>
            <w:r w:rsidRPr="008401DD">
              <w:rPr>
                <w:rFonts w:cs="Arial"/>
                <w:szCs w:val="20"/>
              </w:rPr>
              <w:t xml:space="preserve"> in odgovornosti izvajalca in deležnikov</w:t>
            </w:r>
          </w:p>
        </w:tc>
        <w:tc>
          <w:tcPr>
            <w:tcW w:w="3689" w:type="dxa"/>
            <w:shd w:val="clear" w:color="auto" w:fill="auto"/>
          </w:tcPr>
          <w:p w14:paraId="23B80415" w14:textId="5999A500"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ocenjevanja predlogov projektov glede na merila za izbor projektov (</w:t>
            </w:r>
            <w:proofErr w:type="spellStart"/>
            <w:r w:rsidRPr="008401DD">
              <w:t>časovnica</w:t>
            </w:r>
            <w:proofErr w:type="spellEnd"/>
            <w:r w:rsidRPr="008401DD">
              <w:t>, aktivnosti)</w:t>
            </w:r>
          </w:p>
          <w:p w14:paraId="03CCC9D6" w14:textId="7D289CD0"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rPr>
                <w:rFonts w:cs="Arial"/>
                <w:szCs w:val="20"/>
              </w:rPr>
              <w:t xml:space="preserve">Intervju z izvajalci o ustreznosti načrta aktivnosti in </w:t>
            </w:r>
            <w:proofErr w:type="spellStart"/>
            <w:r w:rsidRPr="008401DD">
              <w:rPr>
                <w:rFonts w:cs="Arial"/>
                <w:szCs w:val="20"/>
              </w:rPr>
              <w:t>časovnice</w:t>
            </w:r>
            <w:proofErr w:type="spellEnd"/>
          </w:p>
        </w:tc>
      </w:tr>
      <w:tr w:rsidR="00B27574" w:rsidRPr="008401DD" w14:paraId="266C413F" w14:textId="77777777" w:rsidTr="0078042C">
        <w:trPr>
          <w:trHeight w:val="300"/>
        </w:trPr>
        <w:tc>
          <w:tcPr>
            <w:tcW w:w="1644" w:type="dxa"/>
            <w:vMerge/>
            <w:shd w:val="clear" w:color="auto" w:fill="auto"/>
            <w:vAlign w:val="center"/>
          </w:tcPr>
          <w:p w14:paraId="53F9BF6E" w14:textId="38D6F1BE"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2F31BF52" w14:textId="53443183"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228576E5" w14:textId="528758D8" w:rsidR="00B27574" w:rsidRPr="008401DD" w:rsidRDefault="00B27574" w:rsidP="00960E68">
            <w:pPr>
              <w:spacing w:line="276" w:lineRule="auto"/>
              <w:rPr>
                <w:rFonts w:cs="Arial"/>
                <w:szCs w:val="20"/>
              </w:rPr>
            </w:pPr>
            <w:r w:rsidRPr="008401DD">
              <w:rPr>
                <w:rFonts w:cs="Arial"/>
                <w:b/>
                <w:color w:val="000000" w:themeColor="text1"/>
                <w:szCs w:val="20"/>
              </w:rPr>
              <w:t>K1.3.5</w:t>
            </w:r>
            <w:r w:rsidRPr="008401DD">
              <w:rPr>
                <w:rFonts w:cs="Arial"/>
                <w:color w:val="000000" w:themeColor="text1"/>
                <w:szCs w:val="20"/>
              </w:rPr>
              <w:t xml:space="preserve">.: </w:t>
            </w:r>
            <w:r w:rsidRPr="008401DD">
              <w:rPr>
                <w:rFonts w:cs="Arial"/>
                <w:szCs w:val="20"/>
              </w:rPr>
              <w:t>Ustreznost zasnove projektne skupine glede na načrtovane projektne aktivnosti</w:t>
            </w:r>
          </w:p>
        </w:tc>
        <w:tc>
          <w:tcPr>
            <w:tcW w:w="3689" w:type="dxa"/>
            <w:shd w:val="clear" w:color="auto" w:fill="auto"/>
          </w:tcPr>
          <w:p w14:paraId="752EFB51" w14:textId="6E3703ED"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 xml:space="preserve">Intervju s CMSR glede ocenjevanja predlogov projektov glede na merila za izbor projektov (zasnova projekta, kako so bile načrtovane projektne aktivnosti) in analiza posredovane zadevne dokumentacije </w:t>
            </w:r>
          </w:p>
        </w:tc>
      </w:tr>
      <w:tr w:rsidR="00B27574" w:rsidRPr="008401DD" w14:paraId="5E98A456" w14:textId="77777777" w:rsidTr="0078042C">
        <w:trPr>
          <w:trHeight w:val="300"/>
        </w:trPr>
        <w:tc>
          <w:tcPr>
            <w:tcW w:w="1644" w:type="dxa"/>
            <w:vMerge/>
            <w:shd w:val="clear" w:color="auto" w:fill="auto"/>
            <w:vAlign w:val="center"/>
          </w:tcPr>
          <w:p w14:paraId="5DDF8B4F" w14:textId="487D3339"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63F0512E" w14:textId="5DC6CA94"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156738BE" w14:textId="412C3CE2" w:rsidR="00B27574" w:rsidRPr="008401DD" w:rsidRDefault="00B27574" w:rsidP="00960E68">
            <w:pPr>
              <w:spacing w:line="276" w:lineRule="auto"/>
              <w:rPr>
                <w:rFonts w:cs="Arial"/>
                <w:szCs w:val="20"/>
              </w:rPr>
            </w:pPr>
            <w:r w:rsidRPr="008401DD">
              <w:rPr>
                <w:rFonts w:cs="Arial"/>
                <w:b/>
                <w:color w:val="000000" w:themeColor="text1"/>
                <w:szCs w:val="20"/>
              </w:rPr>
              <w:t>K1.3.6</w:t>
            </w:r>
            <w:r w:rsidRPr="008401DD">
              <w:rPr>
                <w:rFonts w:cs="Arial"/>
                <w:color w:val="000000" w:themeColor="text1"/>
                <w:szCs w:val="20"/>
              </w:rPr>
              <w:t xml:space="preserve">.: </w:t>
            </w:r>
            <w:r w:rsidRPr="008401DD">
              <w:rPr>
                <w:rFonts w:cs="Arial"/>
                <w:szCs w:val="20"/>
              </w:rPr>
              <w:t>Ustreznost načrtovanja projektnega proračuna in njegova skladnost s predvidenimi projektnimi aktivnostmi</w:t>
            </w:r>
          </w:p>
        </w:tc>
        <w:tc>
          <w:tcPr>
            <w:tcW w:w="3689" w:type="dxa"/>
            <w:shd w:val="clear" w:color="auto" w:fill="auto"/>
          </w:tcPr>
          <w:p w14:paraId="7C17C629" w14:textId="5357F237"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 xml:space="preserve">Intervju z županom in drugimi odgovornimi iz občine </w:t>
            </w:r>
            <w:proofErr w:type="spellStart"/>
            <w:r w:rsidRPr="008401DD">
              <w:t>Probištip</w:t>
            </w:r>
            <w:proofErr w:type="spellEnd"/>
            <w:r w:rsidRPr="008401DD">
              <w:t xml:space="preserve"> glede načrtovanja proračunov (ali sta bila pripravljena na podlagi strokovnih ocen, kdo jih je pripravil...)</w:t>
            </w:r>
          </w:p>
          <w:p w14:paraId="22A8A992" w14:textId="77777777"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pregleda projektnih proračunov</w:t>
            </w:r>
          </w:p>
          <w:p w14:paraId="33F87B22" w14:textId="24400DC9"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financerjema (MF in MZZ) glede projektnega proračuna</w:t>
            </w:r>
          </w:p>
        </w:tc>
      </w:tr>
      <w:tr w:rsidR="00B27574" w:rsidRPr="008401DD" w14:paraId="34691981" w14:textId="77777777" w:rsidTr="0078042C">
        <w:trPr>
          <w:trHeight w:val="300"/>
        </w:trPr>
        <w:tc>
          <w:tcPr>
            <w:tcW w:w="1644" w:type="dxa"/>
            <w:vMerge/>
            <w:shd w:val="clear" w:color="auto" w:fill="auto"/>
            <w:vAlign w:val="center"/>
          </w:tcPr>
          <w:p w14:paraId="25C68EF0" w14:textId="2F70F0E0"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4D665066" w14:textId="3A6F31E8"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69273045" w14:textId="5F61970E" w:rsidR="00B27574" w:rsidRPr="008401DD" w:rsidRDefault="00B27574" w:rsidP="00960E68">
            <w:pPr>
              <w:spacing w:line="276" w:lineRule="auto"/>
              <w:rPr>
                <w:rFonts w:cs="Arial"/>
                <w:szCs w:val="20"/>
              </w:rPr>
            </w:pPr>
            <w:r w:rsidRPr="008401DD">
              <w:rPr>
                <w:rFonts w:cs="Arial"/>
                <w:b/>
                <w:color w:val="000000" w:themeColor="text1"/>
                <w:szCs w:val="20"/>
              </w:rPr>
              <w:t>K1.3.7</w:t>
            </w:r>
            <w:r w:rsidRPr="008401DD">
              <w:rPr>
                <w:rFonts w:cs="Arial"/>
                <w:color w:val="000000" w:themeColor="text1"/>
                <w:szCs w:val="20"/>
              </w:rPr>
              <w:t xml:space="preserve">.: </w:t>
            </w:r>
            <w:r w:rsidRPr="008401DD">
              <w:rPr>
                <w:rFonts w:cs="Arial"/>
                <w:szCs w:val="20"/>
              </w:rPr>
              <w:t>Obstoj ukrepov za zagotavljanje lastništva nad rezultati projektov in trajnosti rezultatov</w:t>
            </w:r>
          </w:p>
        </w:tc>
        <w:tc>
          <w:tcPr>
            <w:tcW w:w="3689" w:type="dxa"/>
            <w:shd w:val="clear" w:color="auto" w:fill="auto"/>
          </w:tcPr>
          <w:p w14:paraId="1F73B164" w14:textId="1B57EEF1"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 xml:space="preserve">Intervju z županom občine </w:t>
            </w:r>
            <w:proofErr w:type="spellStart"/>
            <w:r w:rsidRPr="008401DD">
              <w:t>Probištip</w:t>
            </w:r>
            <w:proofErr w:type="spellEnd"/>
            <w:r w:rsidRPr="008401DD">
              <w:t xml:space="preserve"> glede lastništva nad rezultati projektov in trajnosti rezultatov v času načrtovanja in izvedbe </w:t>
            </w:r>
          </w:p>
        </w:tc>
      </w:tr>
      <w:tr w:rsidR="00B27574" w:rsidRPr="008401DD" w14:paraId="0E1470B0" w14:textId="77777777" w:rsidTr="0078042C">
        <w:trPr>
          <w:trHeight w:val="300"/>
        </w:trPr>
        <w:tc>
          <w:tcPr>
            <w:tcW w:w="1644" w:type="dxa"/>
            <w:vMerge/>
            <w:shd w:val="clear" w:color="auto" w:fill="auto"/>
            <w:vAlign w:val="center"/>
          </w:tcPr>
          <w:p w14:paraId="35DB785D" w14:textId="33C9C8C5"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3FA56080" w14:textId="72308DFB" w:rsidR="00B27574" w:rsidRPr="008401DD" w:rsidRDefault="00B27574" w:rsidP="00960E68">
            <w:pPr>
              <w:spacing w:line="276" w:lineRule="auto"/>
              <w:jc w:val="both"/>
              <w:rPr>
                <w:rFonts w:cs="Arial"/>
                <w:i/>
                <w:color w:val="67C18C"/>
              </w:rPr>
            </w:pPr>
          </w:p>
        </w:tc>
        <w:tc>
          <w:tcPr>
            <w:tcW w:w="4532" w:type="dxa"/>
            <w:shd w:val="clear" w:color="auto" w:fill="auto"/>
            <w:vAlign w:val="center"/>
          </w:tcPr>
          <w:p w14:paraId="4673EABD" w14:textId="2568E6E6" w:rsidR="00B27574" w:rsidRPr="008401DD" w:rsidRDefault="00B27574" w:rsidP="00960E68">
            <w:pPr>
              <w:spacing w:line="276" w:lineRule="auto"/>
              <w:rPr>
                <w:rFonts w:cs="Arial"/>
                <w:szCs w:val="20"/>
              </w:rPr>
            </w:pPr>
            <w:r w:rsidRPr="008401DD">
              <w:rPr>
                <w:rFonts w:cs="Arial"/>
                <w:b/>
                <w:color w:val="000000" w:themeColor="text1"/>
                <w:szCs w:val="20"/>
              </w:rPr>
              <w:t>K1.3.8</w:t>
            </w:r>
            <w:r w:rsidRPr="008401DD">
              <w:rPr>
                <w:rFonts w:cs="Arial"/>
                <w:color w:val="000000" w:themeColor="text1"/>
                <w:szCs w:val="20"/>
              </w:rPr>
              <w:t xml:space="preserve">.: </w:t>
            </w:r>
            <w:r w:rsidRPr="008401DD">
              <w:rPr>
                <w:rFonts w:cs="Arial"/>
                <w:szCs w:val="20"/>
              </w:rPr>
              <w:t>Ustreznost matrike tveganj in ukrepov za zmanjšanje tveganj</w:t>
            </w:r>
          </w:p>
        </w:tc>
        <w:tc>
          <w:tcPr>
            <w:tcW w:w="3689" w:type="dxa"/>
            <w:shd w:val="clear" w:color="auto" w:fill="auto"/>
          </w:tcPr>
          <w:p w14:paraId="3E573BDC" w14:textId="177660BB"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 xml:space="preserve">Intervju z županom in drugimi odgovornimi z občine </w:t>
            </w:r>
            <w:proofErr w:type="spellStart"/>
            <w:r w:rsidRPr="008401DD">
              <w:t>Probištip</w:t>
            </w:r>
            <w:proofErr w:type="spellEnd"/>
            <w:r w:rsidRPr="008401DD">
              <w:t xml:space="preserve"> glede prepoznanih tveganj in načrtov naslavljanja le-teh</w:t>
            </w:r>
          </w:p>
          <w:p w14:paraId="71182814" w14:textId="77777777"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lastRenderedPageBreak/>
              <w:t>Intervju s CMSR glede prepoznanih tveganj in načrtov naslavljanja le-teh</w:t>
            </w:r>
          </w:p>
          <w:p w14:paraId="68011F23" w14:textId="55321691"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Pregled projektne dokumentacije (ali je bila napravljena matrica tveganj, načrt upravljanja tveganj, sprejeti ukrepi za naslavljanje tveganj...)</w:t>
            </w:r>
          </w:p>
        </w:tc>
      </w:tr>
      <w:tr w:rsidR="00B27574" w:rsidRPr="008401DD" w14:paraId="63495746" w14:textId="77777777" w:rsidTr="0078042C">
        <w:trPr>
          <w:trHeight w:val="300"/>
        </w:trPr>
        <w:tc>
          <w:tcPr>
            <w:tcW w:w="1644" w:type="dxa"/>
            <w:vMerge/>
            <w:shd w:val="clear" w:color="auto" w:fill="auto"/>
            <w:vAlign w:val="center"/>
          </w:tcPr>
          <w:p w14:paraId="493C2071" w14:textId="438E40B8"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22B56B24" w14:textId="77777777" w:rsidR="00B27574" w:rsidRPr="008401DD" w:rsidRDefault="00B27574" w:rsidP="00960E68">
            <w:pPr>
              <w:rPr>
                <w:rFonts w:cs="Arial"/>
                <w:i/>
                <w:color w:val="67C18C"/>
              </w:rPr>
            </w:pPr>
            <w:r w:rsidRPr="008401DD">
              <w:rPr>
                <w:rFonts w:cs="Arial"/>
                <w:i/>
                <w:color w:val="67C18C"/>
              </w:rPr>
              <w:t>1.4. Ali in kako sta projekta zasledovala pristop temelječ na človekovih pravicah ter prispevala k doseganju enakosti spolov in varovanju okolja?</w:t>
            </w:r>
          </w:p>
        </w:tc>
        <w:tc>
          <w:tcPr>
            <w:tcW w:w="4532" w:type="dxa"/>
            <w:shd w:val="clear" w:color="auto" w:fill="auto"/>
            <w:vAlign w:val="center"/>
          </w:tcPr>
          <w:p w14:paraId="4487CE23" w14:textId="788667D3" w:rsidR="00B27574" w:rsidRPr="008401DD" w:rsidRDefault="00B27574" w:rsidP="00960E68">
            <w:pPr>
              <w:spacing w:line="276" w:lineRule="auto"/>
              <w:rPr>
                <w:rFonts w:cs="Arial"/>
                <w:color w:val="000000"/>
                <w:szCs w:val="20"/>
              </w:rPr>
            </w:pPr>
            <w:r w:rsidRPr="008401DD">
              <w:rPr>
                <w:rFonts w:cs="Arial"/>
                <w:b/>
                <w:color w:val="000000" w:themeColor="text1"/>
                <w:szCs w:val="20"/>
              </w:rPr>
              <w:t xml:space="preserve">K1.4.1.: </w:t>
            </w:r>
            <w:r w:rsidRPr="008401DD">
              <w:rPr>
                <w:rFonts w:cs="Arial"/>
                <w:color w:val="000000"/>
                <w:szCs w:val="20"/>
              </w:rPr>
              <w:t>Prispevek projektov k enakosti spolov (ustreznost utemeljitev v projektni dokumentaciji)</w:t>
            </w:r>
          </w:p>
        </w:tc>
        <w:tc>
          <w:tcPr>
            <w:tcW w:w="3689" w:type="dxa"/>
            <w:shd w:val="clear" w:color="auto" w:fill="auto"/>
          </w:tcPr>
          <w:p w14:paraId="2F026936" w14:textId="77777777" w:rsidR="00B27574" w:rsidRPr="008401DD" w:rsidRDefault="00B27574" w:rsidP="00960E68">
            <w:pPr>
              <w:pStyle w:val="ListParagraph"/>
              <w:numPr>
                <w:ilvl w:val="0"/>
                <w:numId w:val="11"/>
              </w:numPr>
              <w:spacing w:line="276" w:lineRule="auto"/>
              <w:rPr>
                <w:rFonts w:cs="Arial"/>
                <w:szCs w:val="20"/>
              </w:rPr>
            </w:pPr>
            <w:r w:rsidRPr="008401DD">
              <w:t>Pregled projektne dokumentacije</w:t>
            </w:r>
          </w:p>
          <w:p w14:paraId="28FBE9E9" w14:textId="4213446C" w:rsidR="00B27574" w:rsidRPr="008401DD" w:rsidRDefault="00B27574" w:rsidP="00960E68">
            <w:pPr>
              <w:pStyle w:val="ListParagraph"/>
              <w:numPr>
                <w:ilvl w:val="0"/>
                <w:numId w:val="11"/>
              </w:numPr>
              <w:spacing w:line="276" w:lineRule="auto"/>
              <w:rPr>
                <w:rFonts w:cs="Arial"/>
                <w:color w:val="7F7F7F" w:themeColor="text1" w:themeTint="80"/>
                <w:szCs w:val="20"/>
              </w:rPr>
            </w:pPr>
            <w:r w:rsidRPr="008401DD">
              <w:t>Intervju s CMSR glede ocenjevanja projektnih nalog po merilih za izbor projektov</w:t>
            </w:r>
          </w:p>
        </w:tc>
      </w:tr>
      <w:tr w:rsidR="00B27574" w:rsidRPr="008401DD" w14:paraId="689ACE1A" w14:textId="77777777" w:rsidTr="0078042C">
        <w:trPr>
          <w:trHeight w:val="300"/>
        </w:trPr>
        <w:tc>
          <w:tcPr>
            <w:tcW w:w="1644" w:type="dxa"/>
            <w:vMerge/>
            <w:shd w:val="clear" w:color="auto" w:fill="auto"/>
            <w:vAlign w:val="center"/>
          </w:tcPr>
          <w:p w14:paraId="015643A4" w14:textId="1EF15861"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656DA3F9" w14:textId="77777777" w:rsidR="00B27574" w:rsidRPr="008401DD" w:rsidRDefault="00B27574" w:rsidP="00960E68">
            <w:pPr>
              <w:rPr>
                <w:rFonts w:cs="Arial"/>
                <w:i/>
                <w:color w:val="67C18C"/>
              </w:rPr>
            </w:pPr>
          </w:p>
        </w:tc>
        <w:tc>
          <w:tcPr>
            <w:tcW w:w="4532" w:type="dxa"/>
            <w:shd w:val="clear" w:color="auto" w:fill="auto"/>
            <w:vAlign w:val="center"/>
          </w:tcPr>
          <w:p w14:paraId="3A38668B" w14:textId="367F640F" w:rsidR="00B27574" w:rsidRPr="008401DD" w:rsidRDefault="00B27574" w:rsidP="00960E68">
            <w:pPr>
              <w:spacing w:line="276" w:lineRule="auto"/>
              <w:rPr>
                <w:rFonts w:cs="Arial"/>
                <w:color w:val="000000"/>
                <w:szCs w:val="20"/>
              </w:rPr>
            </w:pPr>
            <w:r w:rsidRPr="008401DD">
              <w:rPr>
                <w:rFonts w:cs="Arial"/>
                <w:b/>
                <w:color w:val="000000" w:themeColor="text1"/>
                <w:szCs w:val="20"/>
              </w:rPr>
              <w:t xml:space="preserve">K1.4.2.: </w:t>
            </w:r>
            <w:r w:rsidRPr="008401DD">
              <w:rPr>
                <w:rFonts w:cs="Arial"/>
                <w:color w:val="000000"/>
                <w:szCs w:val="20"/>
              </w:rPr>
              <w:t>Prispevek projektov k varovanju okolja (ustreznost utemeljitev v tehnični dokumentaciji)</w:t>
            </w:r>
          </w:p>
        </w:tc>
        <w:tc>
          <w:tcPr>
            <w:tcW w:w="3689" w:type="dxa"/>
            <w:shd w:val="clear" w:color="auto" w:fill="auto"/>
          </w:tcPr>
          <w:p w14:paraId="4751A3C8" w14:textId="77777777" w:rsidR="00B27574" w:rsidRPr="008401DD" w:rsidRDefault="00B27574" w:rsidP="00960E68">
            <w:pPr>
              <w:pStyle w:val="ListParagraph"/>
              <w:numPr>
                <w:ilvl w:val="0"/>
                <w:numId w:val="11"/>
              </w:numPr>
              <w:spacing w:line="276" w:lineRule="auto"/>
              <w:rPr>
                <w:rFonts w:cs="Arial"/>
                <w:szCs w:val="20"/>
              </w:rPr>
            </w:pPr>
            <w:r w:rsidRPr="008401DD">
              <w:t>Pregled projektne dokumentacije</w:t>
            </w:r>
          </w:p>
          <w:p w14:paraId="20C2B4B2" w14:textId="1BD418DA" w:rsidR="00B27574" w:rsidRPr="008401DD" w:rsidRDefault="00B27574" w:rsidP="00960E68">
            <w:pPr>
              <w:pStyle w:val="ListParagraph"/>
              <w:numPr>
                <w:ilvl w:val="0"/>
                <w:numId w:val="11"/>
              </w:numPr>
              <w:spacing w:line="276" w:lineRule="auto"/>
              <w:rPr>
                <w:rFonts w:cs="Arial"/>
                <w:szCs w:val="20"/>
              </w:rPr>
            </w:pPr>
            <w:r w:rsidRPr="008401DD">
              <w:t>Intervju s CMSR glede ocenjevanja projektnih nalog po merilih za izbor projektov</w:t>
            </w:r>
          </w:p>
        </w:tc>
      </w:tr>
      <w:tr w:rsidR="00B27574" w:rsidRPr="008401DD" w14:paraId="7B2CF6F9" w14:textId="77777777" w:rsidTr="0078042C">
        <w:trPr>
          <w:trHeight w:val="300"/>
        </w:trPr>
        <w:tc>
          <w:tcPr>
            <w:tcW w:w="1644" w:type="dxa"/>
            <w:vMerge/>
            <w:shd w:val="clear" w:color="auto" w:fill="auto"/>
            <w:vAlign w:val="center"/>
          </w:tcPr>
          <w:p w14:paraId="32DEBC99" w14:textId="31625DFB"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vAlign w:val="center"/>
          </w:tcPr>
          <w:p w14:paraId="25F5FF91" w14:textId="77777777" w:rsidR="00B27574" w:rsidRPr="008401DD" w:rsidRDefault="00B27574" w:rsidP="00960E68">
            <w:pPr>
              <w:rPr>
                <w:rFonts w:cs="Arial"/>
                <w:i/>
                <w:color w:val="67C18C"/>
              </w:rPr>
            </w:pPr>
          </w:p>
        </w:tc>
        <w:tc>
          <w:tcPr>
            <w:tcW w:w="4532" w:type="dxa"/>
            <w:shd w:val="clear" w:color="auto" w:fill="auto"/>
            <w:vAlign w:val="center"/>
          </w:tcPr>
          <w:p w14:paraId="695A2A2D" w14:textId="2B480FF4" w:rsidR="00B27574" w:rsidRPr="008401DD" w:rsidRDefault="00B27574" w:rsidP="00960E68">
            <w:pPr>
              <w:spacing w:line="276" w:lineRule="auto"/>
              <w:rPr>
                <w:rFonts w:cs="Arial"/>
                <w:b/>
                <w:color w:val="000000" w:themeColor="text1"/>
                <w:szCs w:val="20"/>
              </w:rPr>
            </w:pPr>
            <w:r w:rsidRPr="008401DD">
              <w:rPr>
                <w:rFonts w:cs="Arial"/>
                <w:b/>
                <w:color w:val="000000" w:themeColor="text1"/>
                <w:szCs w:val="20"/>
              </w:rPr>
              <w:t xml:space="preserve">K1.4.3.: </w:t>
            </w:r>
            <w:r w:rsidRPr="008401DD">
              <w:rPr>
                <w:rFonts w:cs="Arial"/>
                <w:color w:val="000000"/>
                <w:szCs w:val="20"/>
              </w:rPr>
              <w:t>Upoštevanje pristopa, ki temelji na človekovih pravicah (če je primerno)</w:t>
            </w:r>
          </w:p>
        </w:tc>
        <w:tc>
          <w:tcPr>
            <w:tcW w:w="3689" w:type="dxa"/>
            <w:shd w:val="clear" w:color="auto" w:fill="auto"/>
          </w:tcPr>
          <w:p w14:paraId="662F5DE0" w14:textId="77777777" w:rsidR="00B27574" w:rsidRPr="008401DD" w:rsidRDefault="00B27574" w:rsidP="00960E68">
            <w:pPr>
              <w:pStyle w:val="ListParagraph"/>
              <w:numPr>
                <w:ilvl w:val="0"/>
                <w:numId w:val="11"/>
              </w:numPr>
              <w:spacing w:line="276" w:lineRule="auto"/>
              <w:rPr>
                <w:rFonts w:cs="Arial"/>
                <w:szCs w:val="20"/>
              </w:rPr>
            </w:pPr>
            <w:r w:rsidRPr="008401DD">
              <w:t>Pregled projektne dokumentacije</w:t>
            </w:r>
          </w:p>
          <w:p w14:paraId="4310EBA5" w14:textId="5641C64D" w:rsidR="00B27574" w:rsidRPr="008401DD" w:rsidRDefault="00B27574" w:rsidP="00960E68">
            <w:pPr>
              <w:pStyle w:val="ListParagraph"/>
              <w:numPr>
                <w:ilvl w:val="0"/>
                <w:numId w:val="11"/>
              </w:numPr>
              <w:spacing w:line="276" w:lineRule="auto"/>
              <w:rPr>
                <w:rFonts w:cs="Arial"/>
                <w:szCs w:val="20"/>
              </w:rPr>
            </w:pPr>
            <w:r w:rsidRPr="008401DD">
              <w:t>Intervju s CMSR glede ocenjevanja projektnih nalog po merilih za izbor projektov</w:t>
            </w:r>
          </w:p>
        </w:tc>
      </w:tr>
      <w:tr w:rsidR="00B27574" w:rsidRPr="008401DD" w14:paraId="27030A69" w14:textId="77777777" w:rsidTr="0071177B">
        <w:trPr>
          <w:trHeight w:val="699"/>
        </w:trPr>
        <w:tc>
          <w:tcPr>
            <w:tcW w:w="1644" w:type="dxa"/>
            <w:vMerge w:val="restart"/>
            <w:shd w:val="clear" w:color="auto" w:fill="FFFFFF" w:themeFill="background1"/>
            <w:vAlign w:val="center"/>
            <w:hideMark/>
          </w:tcPr>
          <w:p w14:paraId="2E15368A" w14:textId="77777777" w:rsidR="00B27574" w:rsidRPr="008401DD" w:rsidRDefault="00B27574" w:rsidP="00960E68">
            <w:pPr>
              <w:spacing w:line="276" w:lineRule="auto"/>
              <w:jc w:val="center"/>
              <w:rPr>
                <w:rFonts w:eastAsia="Times New Roman" w:cs="Arial"/>
                <w:b/>
                <w:bCs/>
                <w:color w:val="FFFFFF" w:themeColor="background1"/>
                <w:szCs w:val="20"/>
              </w:rPr>
            </w:pPr>
            <w:r w:rsidRPr="008401DD">
              <w:rPr>
                <w:rFonts w:cs="Arial"/>
                <w:b/>
                <w:color w:val="1B75BC"/>
              </w:rPr>
              <w:t>2. Uspešnost</w:t>
            </w:r>
          </w:p>
          <w:p w14:paraId="0FA60B26" w14:textId="7A2B3FD1" w:rsidR="00B27574" w:rsidRPr="008401DD" w:rsidRDefault="00B27574" w:rsidP="00960E68">
            <w:pPr>
              <w:spacing w:line="276" w:lineRule="auto"/>
              <w:jc w:val="both"/>
              <w:rPr>
                <w:rFonts w:eastAsia="Times New Roman" w:cs="Arial"/>
                <w:b/>
                <w:bCs/>
                <w:color w:val="FFFFFF" w:themeColor="background1"/>
                <w:szCs w:val="20"/>
              </w:rPr>
            </w:pPr>
          </w:p>
        </w:tc>
        <w:tc>
          <w:tcPr>
            <w:tcW w:w="3175" w:type="dxa"/>
            <w:shd w:val="clear" w:color="auto" w:fill="F2F2F2" w:themeFill="background1" w:themeFillShade="F2"/>
            <w:vAlign w:val="center"/>
          </w:tcPr>
          <w:p w14:paraId="700667CD" w14:textId="77777777" w:rsidR="00B27574" w:rsidRPr="008401DD" w:rsidRDefault="00B27574" w:rsidP="00960E68">
            <w:pPr>
              <w:spacing w:line="276" w:lineRule="auto"/>
              <w:jc w:val="center"/>
              <w:rPr>
                <w:rFonts w:cs="Arial"/>
                <w:i/>
                <w:color w:val="67C18C"/>
                <w:szCs w:val="20"/>
              </w:rPr>
            </w:pPr>
            <w:r w:rsidRPr="008401DD">
              <w:rPr>
                <w:rFonts w:cs="Arial"/>
                <w:i/>
                <w:color w:val="1B75BC"/>
              </w:rPr>
              <w:t>2. V kolikšni meri je projekt dosegel cilje in rezultate?</w:t>
            </w:r>
          </w:p>
        </w:tc>
        <w:tc>
          <w:tcPr>
            <w:tcW w:w="4532" w:type="dxa"/>
            <w:shd w:val="clear" w:color="auto" w:fill="F2F2F2" w:themeFill="background1" w:themeFillShade="F2"/>
            <w:vAlign w:val="center"/>
          </w:tcPr>
          <w:p w14:paraId="40C909C0" w14:textId="77777777" w:rsidR="00B27574" w:rsidRPr="008401DD" w:rsidRDefault="00B27574" w:rsidP="00960E68">
            <w:pPr>
              <w:spacing w:line="276" w:lineRule="auto"/>
              <w:jc w:val="center"/>
              <w:rPr>
                <w:rFonts w:cs="Arial"/>
                <w:color w:val="000000"/>
                <w:szCs w:val="20"/>
              </w:rPr>
            </w:pPr>
            <w:r w:rsidRPr="008401DD">
              <w:rPr>
                <w:rFonts w:cs="Arial"/>
                <w:color w:val="000000"/>
                <w:szCs w:val="20"/>
              </w:rPr>
              <w:t xml:space="preserve">Povzetek odgovorov na </w:t>
            </w:r>
            <w:proofErr w:type="spellStart"/>
            <w:r w:rsidRPr="008401DD">
              <w:rPr>
                <w:rFonts w:cs="Arial"/>
                <w:color w:val="000000"/>
                <w:szCs w:val="20"/>
              </w:rPr>
              <w:t>evalvacijska</w:t>
            </w:r>
            <w:proofErr w:type="spellEnd"/>
            <w:r w:rsidRPr="008401DD">
              <w:rPr>
                <w:rFonts w:cs="Arial"/>
                <w:color w:val="000000"/>
                <w:szCs w:val="20"/>
              </w:rPr>
              <w:t xml:space="preserve"> vprašanja 2.1-2.3.</w:t>
            </w:r>
          </w:p>
        </w:tc>
        <w:tc>
          <w:tcPr>
            <w:tcW w:w="3689" w:type="dxa"/>
            <w:shd w:val="clear" w:color="auto" w:fill="F2F2F2" w:themeFill="background1" w:themeFillShade="F2"/>
            <w:vAlign w:val="center"/>
          </w:tcPr>
          <w:p w14:paraId="7B87E256" w14:textId="77777777" w:rsidR="00B27574" w:rsidRPr="008401DD" w:rsidRDefault="00B27574" w:rsidP="00960E68">
            <w:pPr>
              <w:spacing w:line="276" w:lineRule="auto"/>
              <w:jc w:val="center"/>
              <w:rPr>
                <w:rFonts w:cs="Arial"/>
                <w:color w:val="000000"/>
                <w:szCs w:val="20"/>
              </w:rPr>
            </w:pPr>
            <w:r w:rsidRPr="008401DD">
              <w:rPr>
                <w:rFonts w:cs="Arial"/>
                <w:color w:val="000000"/>
              </w:rPr>
              <w:t>Vse metode, navedene pri vprašanjih 2.1-2.3.</w:t>
            </w:r>
          </w:p>
        </w:tc>
      </w:tr>
      <w:tr w:rsidR="00B27574" w:rsidRPr="008401DD" w14:paraId="2AD39AA9" w14:textId="77777777" w:rsidTr="00FB5E66">
        <w:trPr>
          <w:trHeight w:val="699"/>
        </w:trPr>
        <w:tc>
          <w:tcPr>
            <w:tcW w:w="1644" w:type="dxa"/>
            <w:vMerge/>
            <w:shd w:val="clear" w:color="auto" w:fill="FFFFFF" w:themeFill="background1"/>
            <w:vAlign w:val="center"/>
          </w:tcPr>
          <w:p w14:paraId="3AB319B7" w14:textId="60130068" w:rsidR="00B27574" w:rsidRPr="008401DD" w:rsidRDefault="00B27574" w:rsidP="00960E68">
            <w:pPr>
              <w:spacing w:line="276" w:lineRule="auto"/>
              <w:jc w:val="both"/>
              <w:rPr>
                <w:rFonts w:cs="Arial"/>
                <w:b/>
                <w:color w:val="1B75BC"/>
              </w:rPr>
            </w:pPr>
          </w:p>
        </w:tc>
        <w:tc>
          <w:tcPr>
            <w:tcW w:w="3175" w:type="dxa"/>
            <w:vMerge w:val="restart"/>
            <w:shd w:val="clear" w:color="auto" w:fill="auto"/>
            <w:vAlign w:val="center"/>
          </w:tcPr>
          <w:p w14:paraId="03EE4478" w14:textId="20008F54" w:rsidR="00B27574" w:rsidRPr="008401DD" w:rsidRDefault="00B27574" w:rsidP="00960E68">
            <w:pPr>
              <w:spacing w:line="276" w:lineRule="auto"/>
              <w:rPr>
                <w:rFonts w:cs="Arial"/>
                <w:i/>
                <w:color w:val="67C18C"/>
              </w:rPr>
            </w:pPr>
            <w:r w:rsidRPr="008401DD">
              <w:rPr>
                <w:rFonts w:cs="Arial"/>
                <w:i/>
                <w:color w:val="67C18C"/>
              </w:rPr>
              <w:t>2.1. V kolikšni meri so učinki in rezultati projektov pripomogli k uresničevanju zastavljenih ciljev?</w:t>
            </w:r>
          </w:p>
        </w:tc>
        <w:tc>
          <w:tcPr>
            <w:tcW w:w="4532" w:type="dxa"/>
            <w:shd w:val="clear" w:color="auto" w:fill="auto"/>
            <w:vAlign w:val="center"/>
          </w:tcPr>
          <w:p w14:paraId="3FAFA19B" w14:textId="1F75175A" w:rsidR="00B27574" w:rsidRPr="008401DD" w:rsidRDefault="00B27574" w:rsidP="00960E68">
            <w:pPr>
              <w:spacing w:line="276" w:lineRule="auto"/>
              <w:rPr>
                <w:rFonts w:cs="Arial"/>
              </w:rPr>
            </w:pPr>
            <w:r w:rsidRPr="008401DD">
              <w:rPr>
                <w:rFonts w:cs="Arial"/>
                <w:b/>
              </w:rPr>
              <w:t>K2.1.1.:</w:t>
            </w:r>
            <w:r w:rsidRPr="008401DD">
              <w:rPr>
                <w:rFonts w:cs="Arial"/>
              </w:rPr>
              <w:t xml:space="preserve"> Stopnja prispevka izvedenih projektov k doseganju ciljev projektov</w:t>
            </w:r>
          </w:p>
          <w:p w14:paraId="5E2DA424" w14:textId="150D91A6" w:rsidR="00B27574" w:rsidRPr="008401DD" w:rsidRDefault="00B27574" w:rsidP="00960E68">
            <w:pPr>
              <w:spacing w:line="276" w:lineRule="auto"/>
              <w:rPr>
                <w:rFonts w:cs="Arial"/>
              </w:rPr>
            </w:pPr>
          </w:p>
        </w:tc>
        <w:tc>
          <w:tcPr>
            <w:tcW w:w="3689" w:type="dxa"/>
            <w:shd w:val="clear" w:color="auto" w:fill="auto"/>
          </w:tcPr>
          <w:p w14:paraId="39C8E8C8" w14:textId="2F0FF973" w:rsidR="00B27574" w:rsidRPr="008401DD" w:rsidRDefault="00B27574" w:rsidP="00960E68">
            <w:pPr>
              <w:pStyle w:val="ListParagraph"/>
              <w:numPr>
                <w:ilvl w:val="0"/>
                <w:numId w:val="11"/>
              </w:numPr>
              <w:spacing w:line="276" w:lineRule="auto"/>
              <w:rPr>
                <w:rFonts w:cs="Arial"/>
                <w:szCs w:val="20"/>
              </w:rPr>
            </w:pPr>
            <w:r w:rsidRPr="008401DD">
              <w:t>Pregled projektne dokumentacije</w:t>
            </w:r>
          </w:p>
          <w:p w14:paraId="17FEF397" w14:textId="68691F9D"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rPr>
                <w:rFonts w:cs="Arial"/>
                <w:szCs w:val="20"/>
              </w:rPr>
              <w:t>Intervju s CMSR o doseganju zastavljenih ciljev</w:t>
            </w:r>
          </w:p>
        </w:tc>
      </w:tr>
      <w:tr w:rsidR="00B27574" w:rsidRPr="008401DD" w14:paraId="5047F4A8" w14:textId="77777777" w:rsidTr="0071177B">
        <w:trPr>
          <w:trHeight w:val="699"/>
        </w:trPr>
        <w:tc>
          <w:tcPr>
            <w:tcW w:w="1644" w:type="dxa"/>
            <w:vMerge/>
            <w:shd w:val="clear" w:color="auto" w:fill="FFFFFF" w:themeFill="background1"/>
            <w:vAlign w:val="center"/>
          </w:tcPr>
          <w:p w14:paraId="6B85857D" w14:textId="604BDF6B" w:rsidR="00B27574" w:rsidRPr="008401DD" w:rsidRDefault="00B27574" w:rsidP="00960E68">
            <w:pPr>
              <w:spacing w:line="276" w:lineRule="auto"/>
              <w:jc w:val="both"/>
              <w:rPr>
                <w:rFonts w:cs="Arial"/>
                <w:b/>
                <w:color w:val="1B75BC"/>
              </w:rPr>
            </w:pPr>
          </w:p>
        </w:tc>
        <w:tc>
          <w:tcPr>
            <w:tcW w:w="3175" w:type="dxa"/>
            <w:vMerge/>
            <w:shd w:val="clear" w:color="auto" w:fill="auto"/>
          </w:tcPr>
          <w:p w14:paraId="7C5EE9EB" w14:textId="395C88B1" w:rsidR="00B27574" w:rsidRPr="008401DD" w:rsidRDefault="00B27574" w:rsidP="00960E68">
            <w:pPr>
              <w:spacing w:line="276" w:lineRule="auto"/>
              <w:rPr>
                <w:rFonts w:cs="Arial"/>
                <w:i/>
                <w:color w:val="67C18C"/>
              </w:rPr>
            </w:pPr>
          </w:p>
        </w:tc>
        <w:tc>
          <w:tcPr>
            <w:tcW w:w="4532" w:type="dxa"/>
            <w:shd w:val="clear" w:color="auto" w:fill="auto"/>
            <w:vAlign w:val="center"/>
          </w:tcPr>
          <w:p w14:paraId="6040D095" w14:textId="20A574AE" w:rsidR="00B27574" w:rsidRPr="008401DD" w:rsidRDefault="00B27574" w:rsidP="00960E68">
            <w:pPr>
              <w:spacing w:line="276" w:lineRule="auto"/>
              <w:rPr>
                <w:rFonts w:cs="Arial"/>
              </w:rPr>
            </w:pPr>
            <w:r w:rsidRPr="008401DD">
              <w:rPr>
                <w:rFonts w:cs="Arial"/>
                <w:b/>
              </w:rPr>
              <w:t>K2.1.2.:</w:t>
            </w:r>
            <w:r w:rsidRPr="008401DD">
              <w:rPr>
                <w:rFonts w:cs="Arial"/>
              </w:rPr>
              <w:t xml:space="preserve"> Povečanje št. in % gospodinjstev (končnih prejemnikov), ki jim je bil omogočen dostop do pitne vode</w:t>
            </w:r>
          </w:p>
        </w:tc>
        <w:tc>
          <w:tcPr>
            <w:tcW w:w="3689" w:type="dxa"/>
            <w:shd w:val="clear" w:color="auto" w:fill="auto"/>
          </w:tcPr>
          <w:p w14:paraId="3047AC08" w14:textId="33699CDB"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z županom in drugimi odgovornimi z občine </w:t>
            </w:r>
            <w:proofErr w:type="spellStart"/>
            <w:r w:rsidRPr="008401DD">
              <w:t>Probištip</w:t>
            </w:r>
            <w:proofErr w:type="spellEnd"/>
            <w:r w:rsidRPr="008401DD">
              <w:t xml:space="preserve"> glede končnih prejemnikov oz. gospodinjstev, ki imajo korist od obeh projektov</w:t>
            </w:r>
          </w:p>
          <w:p w14:paraId="318ED9D8" w14:textId="3088A2EC"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Pregled končnih poročil o projektih</w:t>
            </w:r>
          </w:p>
        </w:tc>
      </w:tr>
      <w:tr w:rsidR="00B27574" w:rsidRPr="008401DD" w14:paraId="3E5C92A4" w14:textId="77777777" w:rsidTr="0071177B">
        <w:trPr>
          <w:trHeight w:val="699"/>
        </w:trPr>
        <w:tc>
          <w:tcPr>
            <w:tcW w:w="1644" w:type="dxa"/>
            <w:vMerge/>
            <w:shd w:val="clear" w:color="auto" w:fill="FFFFFF" w:themeFill="background1"/>
            <w:vAlign w:val="center"/>
          </w:tcPr>
          <w:p w14:paraId="0B81E110" w14:textId="0E50DFFF" w:rsidR="00B27574" w:rsidRPr="008401DD" w:rsidRDefault="00B27574" w:rsidP="00960E68">
            <w:pPr>
              <w:spacing w:line="276" w:lineRule="auto"/>
              <w:jc w:val="both"/>
              <w:rPr>
                <w:rFonts w:cs="Arial"/>
                <w:b/>
                <w:color w:val="1B75BC"/>
              </w:rPr>
            </w:pPr>
          </w:p>
        </w:tc>
        <w:tc>
          <w:tcPr>
            <w:tcW w:w="3175" w:type="dxa"/>
            <w:vMerge/>
            <w:shd w:val="clear" w:color="auto" w:fill="auto"/>
          </w:tcPr>
          <w:p w14:paraId="10A3DEFC" w14:textId="69A5F641" w:rsidR="00B27574" w:rsidRPr="008401DD" w:rsidRDefault="00B27574" w:rsidP="00960E68">
            <w:pPr>
              <w:spacing w:line="276" w:lineRule="auto"/>
              <w:rPr>
                <w:rFonts w:cs="Arial"/>
                <w:i/>
                <w:color w:val="67C18C"/>
              </w:rPr>
            </w:pPr>
          </w:p>
        </w:tc>
        <w:tc>
          <w:tcPr>
            <w:tcW w:w="4532" w:type="dxa"/>
            <w:shd w:val="clear" w:color="auto" w:fill="auto"/>
            <w:vAlign w:val="center"/>
          </w:tcPr>
          <w:p w14:paraId="79AE178D" w14:textId="7577E66E" w:rsidR="00B27574" w:rsidRPr="008401DD" w:rsidRDefault="00B27574" w:rsidP="00960E68">
            <w:pPr>
              <w:spacing w:line="276" w:lineRule="auto"/>
              <w:rPr>
                <w:rFonts w:cs="Arial"/>
              </w:rPr>
            </w:pPr>
            <w:r w:rsidRPr="008401DD">
              <w:rPr>
                <w:rFonts w:cs="Arial"/>
                <w:b/>
              </w:rPr>
              <w:t>K2.1.3.:</w:t>
            </w:r>
            <w:r w:rsidRPr="008401DD">
              <w:rPr>
                <w:rFonts w:cs="Arial"/>
              </w:rPr>
              <w:t xml:space="preserve"> Vzpostavitev in delovanje sistemov za spremljanje kvalitete pitne vode</w:t>
            </w:r>
          </w:p>
        </w:tc>
        <w:tc>
          <w:tcPr>
            <w:tcW w:w="3689" w:type="dxa"/>
            <w:shd w:val="clear" w:color="auto" w:fill="auto"/>
          </w:tcPr>
          <w:p w14:paraId="754B6636" w14:textId="75B35CDD"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z županom občine </w:t>
            </w:r>
            <w:proofErr w:type="spellStart"/>
            <w:r w:rsidRPr="008401DD">
              <w:t>Probištip</w:t>
            </w:r>
            <w:proofErr w:type="spellEnd"/>
            <w:r w:rsidRPr="008401DD">
              <w:t xml:space="preserve"> glede sistemov spremljanja kvalitete pitne vode</w:t>
            </w:r>
          </w:p>
          <w:p w14:paraId="26CA6A4B" w14:textId="21DDC6E1"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s komunalnim podjetjem Nikola </w:t>
            </w:r>
            <w:proofErr w:type="spellStart"/>
            <w:r w:rsidRPr="008401DD">
              <w:t>Karev</w:t>
            </w:r>
            <w:proofErr w:type="spellEnd"/>
            <w:r w:rsidRPr="008401DD">
              <w:t xml:space="preserve"> glede spremljanja kvalitete pitne vode</w:t>
            </w:r>
          </w:p>
        </w:tc>
      </w:tr>
      <w:tr w:rsidR="00B27574" w:rsidRPr="008401DD" w14:paraId="1B87B59C" w14:textId="77777777" w:rsidTr="0071177B">
        <w:trPr>
          <w:trHeight w:val="699"/>
        </w:trPr>
        <w:tc>
          <w:tcPr>
            <w:tcW w:w="1644" w:type="dxa"/>
            <w:vMerge/>
            <w:shd w:val="clear" w:color="auto" w:fill="FFFFFF" w:themeFill="background1"/>
            <w:vAlign w:val="center"/>
          </w:tcPr>
          <w:p w14:paraId="4E6D40C3" w14:textId="6D4C8865" w:rsidR="00B27574" w:rsidRPr="008401DD" w:rsidRDefault="00B27574" w:rsidP="00960E68">
            <w:pPr>
              <w:spacing w:line="276" w:lineRule="auto"/>
              <w:jc w:val="both"/>
              <w:rPr>
                <w:rFonts w:cs="Arial"/>
                <w:b/>
                <w:color w:val="1B75BC"/>
              </w:rPr>
            </w:pPr>
          </w:p>
        </w:tc>
        <w:tc>
          <w:tcPr>
            <w:tcW w:w="3175" w:type="dxa"/>
            <w:vMerge/>
            <w:shd w:val="clear" w:color="auto" w:fill="auto"/>
          </w:tcPr>
          <w:p w14:paraId="505A632A" w14:textId="43156E68" w:rsidR="00B27574" w:rsidRPr="008401DD" w:rsidRDefault="00B27574" w:rsidP="00960E68">
            <w:pPr>
              <w:spacing w:line="276" w:lineRule="auto"/>
              <w:rPr>
                <w:rFonts w:cs="Arial"/>
                <w:i/>
                <w:color w:val="67C18C"/>
              </w:rPr>
            </w:pPr>
          </w:p>
        </w:tc>
        <w:tc>
          <w:tcPr>
            <w:tcW w:w="4532" w:type="dxa"/>
            <w:shd w:val="clear" w:color="auto" w:fill="auto"/>
            <w:vAlign w:val="center"/>
          </w:tcPr>
          <w:p w14:paraId="369B126F" w14:textId="79BAF02F" w:rsidR="00B27574" w:rsidRPr="008401DD" w:rsidRDefault="00B27574" w:rsidP="00960E68">
            <w:pPr>
              <w:spacing w:line="276" w:lineRule="auto"/>
              <w:rPr>
                <w:rFonts w:cs="Arial"/>
              </w:rPr>
            </w:pPr>
            <w:r w:rsidRPr="008401DD">
              <w:rPr>
                <w:rFonts w:cs="Arial"/>
                <w:b/>
              </w:rPr>
              <w:t>K2.1.4.:</w:t>
            </w:r>
            <w:r w:rsidRPr="008401DD">
              <w:rPr>
                <w:rFonts w:cs="Arial"/>
              </w:rPr>
              <w:t xml:space="preserve"> Izboljšanje kakovosti pitne vode (rezultati monitoringa, če obstajajo na ravni občine)</w:t>
            </w:r>
          </w:p>
        </w:tc>
        <w:tc>
          <w:tcPr>
            <w:tcW w:w="3689" w:type="dxa"/>
            <w:shd w:val="clear" w:color="auto" w:fill="auto"/>
          </w:tcPr>
          <w:p w14:paraId="7550CDCB" w14:textId="7CFE8C48"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z županom občine </w:t>
            </w:r>
            <w:proofErr w:type="spellStart"/>
            <w:r w:rsidRPr="008401DD">
              <w:t>Probištip</w:t>
            </w:r>
            <w:proofErr w:type="spellEnd"/>
            <w:r w:rsidRPr="008401DD">
              <w:t xml:space="preserve"> glede sistemov spremljanja kvalitete pitne vode</w:t>
            </w:r>
          </w:p>
          <w:p w14:paraId="4B31378E" w14:textId="77777777"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s komunalnim podjetjem Nikola </w:t>
            </w:r>
            <w:proofErr w:type="spellStart"/>
            <w:r w:rsidRPr="008401DD">
              <w:t>Karev</w:t>
            </w:r>
            <w:proofErr w:type="spellEnd"/>
            <w:r w:rsidRPr="008401DD">
              <w:t xml:space="preserve"> glede spremljanja kvalitete pitne vode</w:t>
            </w:r>
          </w:p>
          <w:p w14:paraId="761EED6F" w14:textId="484F9062"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Analize monitoringa</w:t>
            </w:r>
          </w:p>
        </w:tc>
      </w:tr>
      <w:tr w:rsidR="00B27574" w:rsidRPr="008401DD" w14:paraId="7BFA9A98" w14:textId="77777777" w:rsidTr="0071177B">
        <w:trPr>
          <w:trHeight w:val="699"/>
        </w:trPr>
        <w:tc>
          <w:tcPr>
            <w:tcW w:w="1644" w:type="dxa"/>
            <w:vMerge/>
            <w:shd w:val="clear" w:color="auto" w:fill="FFFFFF" w:themeFill="background1"/>
            <w:vAlign w:val="center"/>
          </w:tcPr>
          <w:p w14:paraId="38C10026" w14:textId="3F331B64" w:rsidR="00B27574" w:rsidRPr="008401DD" w:rsidRDefault="00B27574" w:rsidP="00960E68">
            <w:pPr>
              <w:spacing w:line="276" w:lineRule="auto"/>
              <w:jc w:val="both"/>
              <w:rPr>
                <w:rFonts w:cs="Arial"/>
                <w:b/>
                <w:color w:val="1B75BC"/>
              </w:rPr>
            </w:pPr>
          </w:p>
        </w:tc>
        <w:tc>
          <w:tcPr>
            <w:tcW w:w="3175" w:type="dxa"/>
            <w:vMerge/>
            <w:shd w:val="clear" w:color="auto" w:fill="auto"/>
          </w:tcPr>
          <w:p w14:paraId="5F2F905D" w14:textId="294AE143" w:rsidR="00B27574" w:rsidRPr="008401DD" w:rsidRDefault="00B27574" w:rsidP="00960E68">
            <w:pPr>
              <w:spacing w:line="276" w:lineRule="auto"/>
              <w:rPr>
                <w:rFonts w:cs="Arial"/>
                <w:i/>
                <w:color w:val="67C18C"/>
              </w:rPr>
            </w:pPr>
          </w:p>
        </w:tc>
        <w:tc>
          <w:tcPr>
            <w:tcW w:w="4532" w:type="dxa"/>
            <w:shd w:val="clear" w:color="auto" w:fill="auto"/>
            <w:vAlign w:val="center"/>
          </w:tcPr>
          <w:p w14:paraId="3EC22277" w14:textId="4C58AC0D" w:rsidR="00B27574" w:rsidRPr="008401DD" w:rsidRDefault="00B27574" w:rsidP="00960E68">
            <w:pPr>
              <w:spacing w:line="276" w:lineRule="auto"/>
              <w:rPr>
                <w:rFonts w:cs="Arial"/>
              </w:rPr>
            </w:pPr>
            <w:r w:rsidRPr="008401DD">
              <w:rPr>
                <w:rFonts w:cs="Arial"/>
                <w:b/>
              </w:rPr>
              <w:t>K2.1.5.:</w:t>
            </w:r>
            <w:r w:rsidRPr="008401DD">
              <w:rPr>
                <w:rFonts w:cs="Arial"/>
              </w:rPr>
              <w:t xml:space="preserve"> Izboljšanje sanitarnih in zdravstvenih razmer v občini </w:t>
            </w:r>
            <w:proofErr w:type="spellStart"/>
            <w:r w:rsidRPr="008401DD">
              <w:rPr>
                <w:rFonts w:cs="Arial"/>
              </w:rPr>
              <w:t>Probištip</w:t>
            </w:r>
            <w:proofErr w:type="spellEnd"/>
            <w:r w:rsidRPr="008401DD">
              <w:rPr>
                <w:rFonts w:cs="Arial"/>
              </w:rPr>
              <w:t xml:space="preserve"> (če obstajajo statistični podatki na ravni občin)</w:t>
            </w:r>
          </w:p>
        </w:tc>
        <w:tc>
          <w:tcPr>
            <w:tcW w:w="3689" w:type="dxa"/>
            <w:shd w:val="clear" w:color="auto" w:fill="auto"/>
          </w:tcPr>
          <w:p w14:paraId="38B1118A" w14:textId="61CF66AB" w:rsidR="00B27574" w:rsidRPr="008401DD" w:rsidRDefault="00B27574" w:rsidP="00960E68">
            <w:pPr>
              <w:pStyle w:val="ListParagraph"/>
              <w:numPr>
                <w:ilvl w:val="0"/>
                <w:numId w:val="11"/>
              </w:numPr>
              <w:spacing w:line="276" w:lineRule="auto"/>
              <w:rPr>
                <w:rFonts w:cs="Arial"/>
                <w:color w:val="7F7F7F" w:themeColor="text1" w:themeTint="80"/>
                <w:sz w:val="18"/>
              </w:rPr>
            </w:pPr>
            <w:r w:rsidRPr="008401DD">
              <w:t xml:space="preserve">Intervju z županom občine </w:t>
            </w:r>
            <w:proofErr w:type="spellStart"/>
            <w:r w:rsidRPr="008401DD">
              <w:t>Probištip</w:t>
            </w:r>
            <w:proofErr w:type="spellEnd"/>
            <w:r w:rsidRPr="008401DD">
              <w:t xml:space="preserve"> glede sanitarnih in zdravstvenih razmer v občini</w:t>
            </w:r>
          </w:p>
        </w:tc>
      </w:tr>
      <w:tr w:rsidR="00B27574" w:rsidRPr="008401DD" w14:paraId="4E2E1212" w14:textId="77777777" w:rsidTr="0078042C">
        <w:trPr>
          <w:trHeight w:val="1029"/>
        </w:trPr>
        <w:tc>
          <w:tcPr>
            <w:tcW w:w="1644" w:type="dxa"/>
            <w:vMerge/>
            <w:shd w:val="clear" w:color="auto" w:fill="FFFFFF" w:themeFill="background1"/>
            <w:vAlign w:val="center"/>
          </w:tcPr>
          <w:p w14:paraId="12E0FEB8" w14:textId="2D788EB6"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0A54305B" w14:textId="77777777" w:rsidR="00B27574" w:rsidRPr="008401DD" w:rsidRDefault="00B27574" w:rsidP="00960E68">
            <w:pPr>
              <w:spacing w:line="276" w:lineRule="auto"/>
              <w:rPr>
                <w:rFonts w:cs="Arial"/>
                <w:i/>
                <w:color w:val="67C18C"/>
                <w:szCs w:val="20"/>
              </w:rPr>
            </w:pPr>
            <w:r w:rsidRPr="008401DD">
              <w:rPr>
                <w:rFonts w:cs="Arial"/>
                <w:i/>
                <w:color w:val="67C18C"/>
                <w:szCs w:val="20"/>
              </w:rPr>
              <w:t>2.2. Ali sta projekta dosegla vse predvidene končne prejemnike?</w:t>
            </w:r>
          </w:p>
          <w:p w14:paraId="5ACFD7FE" w14:textId="518F77A9" w:rsidR="00B27574" w:rsidRPr="008401DD" w:rsidRDefault="00B27574" w:rsidP="00960E68">
            <w:pPr>
              <w:spacing w:line="276" w:lineRule="auto"/>
              <w:rPr>
                <w:rFonts w:cs="Arial"/>
                <w:i/>
                <w:color w:val="67C18C"/>
                <w:szCs w:val="20"/>
              </w:rPr>
            </w:pPr>
          </w:p>
          <w:p w14:paraId="729E094E" w14:textId="2C123532" w:rsidR="00B27574" w:rsidRPr="008401DD" w:rsidRDefault="00B27574" w:rsidP="00960E68">
            <w:pPr>
              <w:spacing w:line="276" w:lineRule="auto"/>
              <w:rPr>
                <w:rFonts w:cs="Arial"/>
                <w:i/>
                <w:color w:val="67C18C"/>
                <w:szCs w:val="20"/>
              </w:rPr>
            </w:pPr>
          </w:p>
          <w:p w14:paraId="5C988A98" w14:textId="0EECC36F"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0682D48B" w14:textId="57B6EFF5" w:rsidR="00B27574" w:rsidRPr="008401DD" w:rsidRDefault="00B27574" w:rsidP="00960E68">
            <w:pPr>
              <w:spacing w:line="276" w:lineRule="auto"/>
              <w:rPr>
                <w:rFonts w:cs="Arial"/>
                <w:color w:val="000000"/>
                <w:szCs w:val="20"/>
              </w:rPr>
            </w:pPr>
            <w:r w:rsidRPr="008401DD">
              <w:rPr>
                <w:rFonts w:cs="Arial"/>
                <w:b/>
                <w:color w:val="000000"/>
                <w:szCs w:val="20"/>
              </w:rPr>
              <w:t>K2.2.1.:</w:t>
            </w:r>
            <w:r w:rsidRPr="008401DD">
              <w:rPr>
                <w:rFonts w:cs="Arial"/>
                <w:color w:val="000000"/>
                <w:szCs w:val="20"/>
              </w:rPr>
              <w:t xml:space="preserve"> Načrtovano število končnih prejemnikov koristi projektov</w:t>
            </w:r>
          </w:p>
        </w:tc>
        <w:tc>
          <w:tcPr>
            <w:tcW w:w="3689" w:type="dxa"/>
            <w:shd w:val="clear" w:color="auto" w:fill="auto"/>
            <w:vAlign w:val="center"/>
          </w:tcPr>
          <w:p w14:paraId="5BCDF92A" w14:textId="39AFFA5D" w:rsidR="00B27574" w:rsidRPr="008401DD" w:rsidRDefault="00B27574" w:rsidP="00960E68">
            <w:pPr>
              <w:pStyle w:val="ListParagraph"/>
              <w:numPr>
                <w:ilvl w:val="0"/>
                <w:numId w:val="11"/>
              </w:numPr>
              <w:spacing w:line="276" w:lineRule="auto"/>
            </w:pPr>
            <w:r w:rsidRPr="008401DD">
              <w:t xml:space="preserve">Pregled projektne dokumentacije (projektna naloga) </w:t>
            </w:r>
          </w:p>
          <w:p w14:paraId="2175FEC4" w14:textId="6CA294B2" w:rsidR="00B27574" w:rsidRPr="008401DD" w:rsidRDefault="00B27574" w:rsidP="00960E68">
            <w:pPr>
              <w:pStyle w:val="ListParagraph"/>
              <w:numPr>
                <w:ilvl w:val="0"/>
                <w:numId w:val="11"/>
              </w:numPr>
              <w:spacing w:line="276" w:lineRule="auto"/>
            </w:pPr>
            <w:r w:rsidRPr="008401DD">
              <w:t xml:space="preserve">Intervju z županom občine </w:t>
            </w:r>
            <w:proofErr w:type="spellStart"/>
            <w:r w:rsidRPr="008401DD">
              <w:t>Probištip</w:t>
            </w:r>
            <w:proofErr w:type="spellEnd"/>
            <w:r w:rsidRPr="008401DD">
              <w:t xml:space="preserve"> glede načrtovanega števila končnih prejemnikov koristi projektov</w:t>
            </w:r>
          </w:p>
          <w:p w14:paraId="64208228" w14:textId="342F6F85" w:rsidR="00B27574" w:rsidRPr="008401DD" w:rsidRDefault="00B27574" w:rsidP="00960E68">
            <w:pPr>
              <w:pStyle w:val="ListParagraph"/>
              <w:numPr>
                <w:ilvl w:val="0"/>
                <w:numId w:val="11"/>
              </w:numPr>
              <w:spacing w:line="276" w:lineRule="auto"/>
            </w:pPr>
            <w:r w:rsidRPr="008401DD">
              <w:t xml:space="preserve">Dostopna statistika o številu prebivalcev občine </w:t>
            </w:r>
          </w:p>
        </w:tc>
      </w:tr>
      <w:tr w:rsidR="00B27574" w:rsidRPr="008401DD" w14:paraId="4DAC7A02" w14:textId="77777777" w:rsidTr="00322055">
        <w:trPr>
          <w:trHeight w:val="558"/>
        </w:trPr>
        <w:tc>
          <w:tcPr>
            <w:tcW w:w="1644" w:type="dxa"/>
            <w:vMerge/>
            <w:shd w:val="clear" w:color="auto" w:fill="FFFFFF" w:themeFill="background1"/>
            <w:vAlign w:val="center"/>
          </w:tcPr>
          <w:p w14:paraId="4CF7F0D9" w14:textId="0C1848C1"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5EDF8AA0" w14:textId="53F11212"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40D5F524" w14:textId="227D4330" w:rsidR="00B27574" w:rsidRPr="008401DD" w:rsidRDefault="00B27574" w:rsidP="00960E68">
            <w:pPr>
              <w:spacing w:line="276" w:lineRule="auto"/>
              <w:rPr>
                <w:rFonts w:cs="Arial"/>
                <w:color w:val="000000"/>
                <w:szCs w:val="20"/>
              </w:rPr>
            </w:pPr>
            <w:r w:rsidRPr="008401DD">
              <w:rPr>
                <w:rFonts w:cs="Arial"/>
                <w:b/>
                <w:color w:val="000000"/>
                <w:szCs w:val="20"/>
              </w:rPr>
              <w:t>K2.2.2.:</w:t>
            </w:r>
            <w:r w:rsidRPr="008401DD">
              <w:rPr>
                <w:rFonts w:cs="Arial"/>
                <w:color w:val="000000"/>
                <w:szCs w:val="20"/>
              </w:rPr>
              <w:t xml:space="preserve"> Doseženo število končnih prejemnikov koristi projektov</w:t>
            </w:r>
          </w:p>
        </w:tc>
        <w:tc>
          <w:tcPr>
            <w:tcW w:w="3689" w:type="dxa"/>
            <w:shd w:val="clear" w:color="auto" w:fill="auto"/>
            <w:vAlign w:val="center"/>
          </w:tcPr>
          <w:p w14:paraId="6FACA0A1" w14:textId="30D63B93" w:rsidR="00B27574" w:rsidRPr="008401DD" w:rsidRDefault="00B27574" w:rsidP="00960E68">
            <w:pPr>
              <w:pStyle w:val="ListParagraph"/>
              <w:numPr>
                <w:ilvl w:val="0"/>
                <w:numId w:val="11"/>
              </w:numPr>
              <w:spacing w:line="276" w:lineRule="auto"/>
            </w:pPr>
            <w:r w:rsidRPr="008401DD">
              <w:t xml:space="preserve">Pregled projektne dokumentacije (končno poročilo o projektih) </w:t>
            </w:r>
          </w:p>
          <w:p w14:paraId="68F1DB0D" w14:textId="1AD608BA"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 xml:space="preserve">Intervju z županom občine </w:t>
            </w:r>
            <w:proofErr w:type="spellStart"/>
            <w:r w:rsidRPr="008401DD">
              <w:t>Probištip</w:t>
            </w:r>
            <w:proofErr w:type="spellEnd"/>
            <w:r w:rsidRPr="008401DD">
              <w:t xml:space="preserve"> glede števila končnih prejemnikov koristi projektov</w:t>
            </w:r>
          </w:p>
          <w:p w14:paraId="2686EFD6" w14:textId="77777777"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Intervju s CMSR glede doseženega števila končnih prejemnikov (skladnost z načrti)</w:t>
            </w:r>
          </w:p>
          <w:p w14:paraId="6B2A37D3" w14:textId="20197F05"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lastRenderedPageBreak/>
              <w:t>Pregled statistike števila uporabnikov prebivalcev občine skozi leta</w:t>
            </w:r>
          </w:p>
        </w:tc>
      </w:tr>
      <w:tr w:rsidR="00B27574" w:rsidRPr="008401DD" w14:paraId="4AEE88C0" w14:textId="77777777" w:rsidTr="0078042C">
        <w:trPr>
          <w:trHeight w:val="1218"/>
        </w:trPr>
        <w:tc>
          <w:tcPr>
            <w:tcW w:w="1644" w:type="dxa"/>
            <w:vMerge/>
            <w:shd w:val="clear" w:color="auto" w:fill="FFFFFF" w:themeFill="background1"/>
            <w:vAlign w:val="center"/>
          </w:tcPr>
          <w:p w14:paraId="27C49BD8" w14:textId="1A28652A"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3C9B8788" w14:textId="566BD2C2"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35AB52FC" w14:textId="41602D7B" w:rsidR="00B27574" w:rsidRPr="008401DD" w:rsidRDefault="00B27574" w:rsidP="00960E68">
            <w:pPr>
              <w:spacing w:line="276" w:lineRule="auto"/>
              <w:rPr>
                <w:rFonts w:cs="Arial"/>
                <w:color w:val="000000"/>
                <w:szCs w:val="20"/>
              </w:rPr>
            </w:pPr>
            <w:r w:rsidRPr="008401DD">
              <w:rPr>
                <w:rFonts w:cs="Arial"/>
                <w:b/>
                <w:color w:val="000000"/>
                <w:szCs w:val="20"/>
              </w:rPr>
              <w:t>K2.2.3.:</w:t>
            </w:r>
            <w:r w:rsidRPr="008401DD">
              <w:rPr>
                <w:rFonts w:cs="Arial"/>
                <w:color w:val="000000"/>
                <w:szCs w:val="20"/>
              </w:rPr>
              <w:t xml:space="preserve"> Delež doseganja načrtovanega števila končnih prejemnikov koristi projektov</w:t>
            </w:r>
          </w:p>
        </w:tc>
        <w:tc>
          <w:tcPr>
            <w:tcW w:w="3689" w:type="dxa"/>
            <w:shd w:val="clear" w:color="auto" w:fill="auto"/>
            <w:vAlign w:val="center"/>
          </w:tcPr>
          <w:p w14:paraId="492FC500" w14:textId="77777777" w:rsidR="00B27574" w:rsidRPr="008401DD" w:rsidRDefault="00B27574" w:rsidP="00960E68">
            <w:pPr>
              <w:pStyle w:val="ListParagraph"/>
              <w:numPr>
                <w:ilvl w:val="0"/>
                <w:numId w:val="11"/>
              </w:numPr>
              <w:spacing w:line="276" w:lineRule="auto"/>
            </w:pPr>
            <w:r w:rsidRPr="008401DD">
              <w:t xml:space="preserve">Pregled projektne dokumentacije (končno poročilo o projektih) </w:t>
            </w:r>
          </w:p>
          <w:p w14:paraId="48A56405" w14:textId="0D2AA62E"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 xml:space="preserve">Intervju z županom občine </w:t>
            </w:r>
            <w:proofErr w:type="spellStart"/>
            <w:r w:rsidRPr="008401DD">
              <w:t>Probištip</w:t>
            </w:r>
            <w:proofErr w:type="spellEnd"/>
            <w:r w:rsidRPr="008401DD">
              <w:t xml:space="preserve"> glede števila končnih prejemnikov koristi projektov</w:t>
            </w:r>
          </w:p>
          <w:p w14:paraId="089B5A94" w14:textId="19729080"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Intervju s CMSR glede doseženega števila končnih prejemnikov (skladnost z načrti)</w:t>
            </w:r>
          </w:p>
        </w:tc>
      </w:tr>
      <w:tr w:rsidR="00B27574" w:rsidRPr="008401DD" w14:paraId="5F2A5565" w14:textId="77777777" w:rsidTr="0071177B">
        <w:trPr>
          <w:trHeight w:val="1218"/>
        </w:trPr>
        <w:tc>
          <w:tcPr>
            <w:tcW w:w="1644" w:type="dxa"/>
            <w:vMerge/>
            <w:shd w:val="clear" w:color="auto" w:fill="FFFFFF" w:themeFill="background1"/>
            <w:vAlign w:val="center"/>
          </w:tcPr>
          <w:p w14:paraId="0A053FA4" w14:textId="5B4766B3"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066732C0" w14:textId="54209D25" w:rsidR="00B27574" w:rsidRPr="008401DD" w:rsidRDefault="00B27574" w:rsidP="00960E68">
            <w:pPr>
              <w:spacing w:line="276" w:lineRule="auto"/>
              <w:rPr>
                <w:rFonts w:cs="Arial"/>
                <w:i/>
                <w:color w:val="67C18C"/>
                <w:szCs w:val="20"/>
              </w:rPr>
            </w:pPr>
          </w:p>
        </w:tc>
        <w:tc>
          <w:tcPr>
            <w:tcW w:w="4532" w:type="dxa"/>
            <w:shd w:val="clear" w:color="auto" w:fill="auto"/>
          </w:tcPr>
          <w:p w14:paraId="40129DC2" w14:textId="02F0E15F" w:rsidR="00B27574" w:rsidRPr="008401DD" w:rsidRDefault="00B27574" w:rsidP="00960E68">
            <w:pPr>
              <w:spacing w:line="276" w:lineRule="auto"/>
              <w:rPr>
                <w:rFonts w:cs="Arial"/>
                <w:color w:val="000000"/>
                <w:szCs w:val="20"/>
              </w:rPr>
            </w:pPr>
            <w:r w:rsidRPr="008401DD">
              <w:rPr>
                <w:rFonts w:cs="Arial"/>
                <w:b/>
                <w:color w:val="000000"/>
                <w:szCs w:val="20"/>
              </w:rPr>
              <w:t>K2.2.4.:</w:t>
            </w:r>
            <w:r w:rsidRPr="008401DD">
              <w:rPr>
                <w:rFonts w:cs="Arial"/>
                <w:color w:val="000000"/>
                <w:szCs w:val="20"/>
              </w:rPr>
              <w:t xml:space="preserve"> Delež vseh prebivalcev občine oz. gospodinjstev, ki imajo korist od zgrajene vodne infrastrukture</w:t>
            </w:r>
          </w:p>
        </w:tc>
        <w:tc>
          <w:tcPr>
            <w:tcW w:w="3689" w:type="dxa"/>
            <w:shd w:val="clear" w:color="auto" w:fill="auto"/>
            <w:vAlign w:val="center"/>
          </w:tcPr>
          <w:p w14:paraId="3FC6EDF6" w14:textId="77777777" w:rsidR="00B27574" w:rsidRPr="008401DD" w:rsidRDefault="00B27574" w:rsidP="00960E68">
            <w:pPr>
              <w:pStyle w:val="ListParagraph"/>
              <w:numPr>
                <w:ilvl w:val="0"/>
                <w:numId w:val="11"/>
              </w:numPr>
              <w:spacing w:line="276" w:lineRule="auto"/>
            </w:pPr>
            <w:r w:rsidRPr="008401DD">
              <w:t xml:space="preserve">Pregled projektne dokumentacije (končno poročilo o projektih) </w:t>
            </w:r>
          </w:p>
          <w:p w14:paraId="253AE32F" w14:textId="3835F180"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 xml:space="preserve">Intervju z županom občine </w:t>
            </w:r>
            <w:proofErr w:type="spellStart"/>
            <w:r w:rsidRPr="008401DD">
              <w:t>Probištip</w:t>
            </w:r>
            <w:proofErr w:type="spellEnd"/>
            <w:r w:rsidRPr="008401DD">
              <w:t xml:space="preserve"> glede števila končnih prejemnikov koristi projektov</w:t>
            </w:r>
          </w:p>
        </w:tc>
      </w:tr>
      <w:tr w:rsidR="00B27574" w:rsidRPr="008401DD" w14:paraId="7B17E2FA" w14:textId="77777777" w:rsidTr="00181082">
        <w:trPr>
          <w:trHeight w:val="1218"/>
        </w:trPr>
        <w:tc>
          <w:tcPr>
            <w:tcW w:w="1644" w:type="dxa"/>
            <w:vMerge/>
            <w:shd w:val="clear" w:color="auto" w:fill="FFFFFF" w:themeFill="background1"/>
            <w:vAlign w:val="center"/>
          </w:tcPr>
          <w:p w14:paraId="587818B3" w14:textId="2DCA13DF"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125874E7" w14:textId="29929628" w:rsidR="00B27574" w:rsidRPr="008401DD" w:rsidRDefault="00B27574" w:rsidP="00960E68">
            <w:pPr>
              <w:spacing w:line="276" w:lineRule="auto"/>
              <w:rPr>
                <w:i/>
                <w:color w:val="67C18C"/>
              </w:rPr>
            </w:pPr>
            <w:r w:rsidRPr="008401DD">
              <w:rPr>
                <w:rFonts w:cs="Arial"/>
                <w:i/>
                <w:color w:val="67C18C"/>
                <w:szCs w:val="20"/>
              </w:rPr>
              <w:t>2.3. Ali sta imela projekta kakšne negativne posledice pri končnih prejemnikih ali v njihovem okolju</w:t>
            </w:r>
            <w:r w:rsidRPr="008401DD">
              <w:rPr>
                <w:i/>
                <w:color w:val="67C18C"/>
              </w:rPr>
              <w:t>?</w:t>
            </w:r>
          </w:p>
          <w:p w14:paraId="66898EA4" w14:textId="77777777"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104802E9" w14:textId="00FADBEA" w:rsidR="00B27574" w:rsidRPr="008401DD" w:rsidRDefault="00B27574" w:rsidP="00960E68">
            <w:pPr>
              <w:spacing w:line="276" w:lineRule="auto"/>
              <w:rPr>
                <w:rFonts w:cs="Arial"/>
                <w:color w:val="000000"/>
                <w:szCs w:val="20"/>
              </w:rPr>
            </w:pPr>
            <w:r w:rsidRPr="008401DD">
              <w:rPr>
                <w:rFonts w:cs="Arial"/>
                <w:b/>
                <w:color w:val="000000"/>
                <w:szCs w:val="20"/>
              </w:rPr>
              <w:t>K2.3.1.:</w:t>
            </w:r>
            <w:r w:rsidRPr="008401DD">
              <w:rPr>
                <w:rFonts w:cs="Arial"/>
                <w:color w:val="000000"/>
                <w:szCs w:val="20"/>
              </w:rPr>
              <w:t xml:space="preserve"> Morebitni negativni vplivi projektov na prebivalce (na območju vzpostavljene infrastrukture ali širše)</w:t>
            </w:r>
          </w:p>
        </w:tc>
        <w:tc>
          <w:tcPr>
            <w:tcW w:w="3689" w:type="dxa"/>
            <w:shd w:val="clear" w:color="auto" w:fill="auto"/>
            <w:vAlign w:val="center"/>
          </w:tcPr>
          <w:p w14:paraId="795B4963" w14:textId="2A903D88" w:rsidR="00B27574" w:rsidRPr="008401DD" w:rsidRDefault="00B27574" w:rsidP="00960E68">
            <w:pPr>
              <w:pStyle w:val="ListParagraph"/>
              <w:numPr>
                <w:ilvl w:val="0"/>
                <w:numId w:val="11"/>
              </w:numPr>
              <w:spacing w:line="276" w:lineRule="auto"/>
            </w:pPr>
            <w:r w:rsidRPr="008401DD">
              <w:t>Pregled projektne dokumentacije (analiza vplivov na okolje, projektna naloga)</w:t>
            </w:r>
          </w:p>
          <w:p w14:paraId="35A44C82" w14:textId="087E9D96"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 xml:space="preserve">Intervju z županom občine </w:t>
            </w:r>
            <w:proofErr w:type="spellStart"/>
            <w:r w:rsidRPr="008401DD">
              <w:t>Probištip</w:t>
            </w:r>
            <w:proofErr w:type="spellEnd"/>
            <w:r w:rsidRPr="008401DD">
              <w:t xml:space="preserve"> glede vplivov projektov na prebivalce</w:t>
            </w:r>
          </w:p>
        </w:tc>
      </w:tr>
      <w:tr w:rsidR="00B27574" w:rsidRPr="008401DD" w14:paraId="705BFA4F" w14:textId="77777777" w:rsidTr="00322055">
        <w:trPr>
          <w:trHeight w:val="274"/>
        </w:trPr>
        <w:tc>
          <w:tcPr>
            <w:tcW w:w="1644" w:type="dxa"/>
            <w:vMerge/>
            <w:shd w:val="clear" w:color="auto" w:fill="FFFFFF" w:themeFill="background1"/>
            <w:vAlign w:val="center"/>
          </w:tcPr>
          <w:p w14:paraId="00E98242" w14:textId="13C00308"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1936CFBB" w14:textId="77777777"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5E8CDC43" w14:textId="6B4BF4BC" w:rsidR="00B27574" w:rsidRPr="008401DD" w:rsidRDefault="00B27574" w:rsidP="00960E68">
            <w:pPr>
              <w:spacing w:line="276" w:lineRule="auto"/>
              <w:rPr>
                <w:rFonts w:cs="Arial"/>
                <w:color w:val="000000"/>
                <w:szCs w:val="20"/>
              </w:rPr>
            </w:pPr>
            <w:r w:rsidRPr="008401DD">
              <w:rPr>
                <w:rFonts w:cs="Arial"/>
                <w:b/>
                <w:color w:val="000000"/>
                <w:szCs w:val="20"/>
              </w:rPr>
              <w:t>K2.3.2.:</w:t>
            </w:r>
            <w:r w:rsidRPr="008401DD">
              <w:rPr>
                <w:rFonts w:cs="Arial"/>
                <w:color w:val="000000"/>
                <w:szCs w:val="20"/>
              </w:rPr>
              <w:t xml:space="preserve"> Vpliv projektov na okolje (npr. hrup, energetska učinkovitost ali izzivi povezani z blatom čistilne naprave)</w:t>
            </w:r>
          </w:p>
          <w:p w14:paraId="66CC03C9" w14:textId="77777777" w:rsidR="00B27574" w:rsidRPr="008401DD" w:rsidRDefault="00B27574" w:rsidP="00960E68">
            <w:pPr>
              <w:spacing w:line="276" w:lineRule="auto"/>
            </w:pPr>
          </w:p>
        </w:tc>
        <w:tc>
          <w:tcPr>
            <w:tcW w:w="3689" w:type="dxa"/>
            <w:shd w:val="clear" w:color="auto" w:fill="auto"/>
            <w:vAlign w:val="center"/>
          </w:tcPr>
          <w:p w14:paraId="5A0CD9D0" w14:textId="2FB5555C" w:rsidR="00B27574" w:rsidRPr="008401DD" w:rsidRDefault="00B27574" w:rsidP="00960E68">
            <w:pPr>
              <w:pStyle w:val="ListParagraph"/>
              <w:numPr>
                <w:ilvl w:val="0"/>
                <w:numId w:val="11"/>
              </w:numPr>
              <w:spacing w:line="276" w:lineRule="auto"/>
            </w:pPr>
            <w:r w:rsidRPr="008401DD">
              <w:t xml:space="preserve">Pregled projektne dokumentacije (analiza vplivov na okolje, projektna naloga) </w:t>
            </w:r>
          </w:p>
          <w:p w14:paraId="502FA8B3" w14:textId="7C702E0C"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 xml:space="preserve">Intervju z županom občine </w:t>
            </w:r>
            <w:proofErr w:type="spellStart"/>
            <w:r w:rsidRPr="008401DD">
              <w:t>Probištip</w:t>
            </w:r>
            <w:proofErr w:type="spellEnd"/>
            <w:r w:rsidRPr="008401DD">
              <w:t xml:space="preserve"> glede morebitnih (pričakovanih in realnih) vplivov na okolje</w:t>
            </w:r>
          </w:p>
          <w:p w14:paraId="3BBA2CF8" w14:textId="5376F5FF"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Če bo izvedljivo, intervjuji z občani, ki živijo v bližini čistilne naprave, glede morebitnih opaženih pozitivnih ali negativnih vplivov na bivalno okolje</w:t>
            </w:r>
          </w:p>
        </w:tc>
      </w:tr>
      <w:tr w:rsidR="00B27574" w:rsidRPr="008401DD" w14:paraId="6D9C1BBD" w14:textId="77777777" w:rsidTr="0071177B">
        <w:trPr>
          <w:trHeight w:val="300"/>
        </w:trPr>
        <w:tc>
          <w:tcPr>
            <w:tcW w:w="1644" w:type="dxa"/>
            <w:vMerge w:val="restart"/>
            <w:shd w:val="clear" w:color="auto" w:fill="FFFFFF" w:themeFill="background1"/>
            <w:vAlign w:val="center"/>
            <w:hideMark/>
          </w:tcPr>
          <w:p w14:paraId="5E6B8329" w14:textId="77777777" w:rsidR="00B27574" w:rsidRPr="008401DD" w:rsidRDefault="00B27574" w:rsidP="00960E68">
            <w:pPr>
              <w:spacing w:line="276" w:lineRule="auto"/>
              <w:jc w:val="center"/>
              <w:rPr>
                <w:rFonts w:eastAsia="Times New Roman" w:cs="Arial"/>
                <w:b/>
                <w:bCs/>
                <w:color w:val="FFFFFF" w:themeColor="background1"/>
                <w:szCs w:val="20"/>
              </w:rPr>
            </w:pPr>
            <w:r w:rsidRPr="008401DD">
              <w:rPr>
                <w:rFonts w:cs="Arial"/>
                <w:b/>
                <w:color w:val="1B75BC"/>
              </w:rPr>
              <w:lastRenderedPageBreak/>
              <w:t>3. Učinkovitost</w:t>
            </w:r>
          </w:p>
        </w:tc>
        <w:tc>
          <w:tcPr>
            <w:tcW w:w="3175" w:type="dxa"/>
            <w:shd w:val="clear" w:color="auto" w:fill="F2F2F2" w:themeFill="background1" w:themeFillShade="F2"/>
            <w:vAlign w:val="center"/>
          </w:tcPr>
          <w:p w14:paraId="5D939CED" w14:textId="77777777" w:rsidR="00B27574" w:rsidRPr="008401DD" w:rsidRDefault="00B27574" w:rsidP="00960E68">
            <w:pPr>
              <w:spacing w:line="276" w:lineRule="auto"/>
              <w:rPr>
                <w:rFonts w:cs="Arial"/>
                <w:i/>
                <w:color w:val="1B75BC"/>
              </w:rPr>
            </w:pPr>
            <w:r w:rsidRPr="008401DD">
              <w:rPr>
                <w:rFonts w:cs="Arial"/>
                <w:i/>
                <w:color w:val="1B75BC"/>
              </w:rPr>
              <w:t>3. V kolikšni meri projekt dosega cilje in rezultate na gospodaren in časovno ustrezen način?</w:t>
            </w:r>
          </w:p>
        </w:tc>
        <w:tc>
          <w:tcPr>
            <w:tcW w:w="4532" w:type="dxa"/>
            <w:shd w:val="clear" w:color="auto" w:fill="F2F2F2" w:themeFill="background1" w:themeFillShade="F2"/>
            <w:vAlign w:val="center"/>
          </w:tcPr>
          <w:p w14:paraId="02F8128F" w14:textId="77777777" w:rsidR="00B27574" w:rsidRPr="008401DD" w:rsidRDefault="00B27574" w:rsidP="00960E68">
            <w:pPr>
              <w:spacing w:line="276" w:lineRule="auto"/>
              <w:rPr>
                <w:rFonts w:cs="Arial"/>
                <w:color w:val="000000"/>
                <w:szCs w:val="20"/>
              </w:rPr>
            </w:pPr>
            <w:r w:rsidRPr="008401DD">
              <w:rPr>
                <w:rFonts w:cs="Arial"/>
                <w:color w:val="000000"/>
                <w:szCs w:val="20"/>
              </w:rPr>
              <w:t xml:space="preserve">Povzetek odgovorov na </w:t>
            </w:r>
            <w:proofErr w:type="spellStart"/>
            <w:r w:rsidRPr="008401DD">
              <w:rPr>
                <w:rFonts w:cs="Arial"/>
                <w:color w:val="000000"/>
                <w:szCs w:val="20"/>
              </w:rPr>
              <w:t>evalvacijska</w:t>
            </w:r>
            <w:proofErr w:type="spellEnd"/>
            <w:r w:rsidRPr="008401DD">
              <w:rPr>
                <w:rFonts w:cs="Arial"/>
                <w:color w:val="000000"/>
                <w:szCs w:val="20"/>
              </w:rPr>
              <w:t xml:space="preserve"> vprašanja 3.1-3.5 </w:t>
            </w:r>
          </w:p>
        </w:tc>
        <w:tc>
          <w:tcPr>
            <w:tcW w:w="3689" w:type="dxa"/>
            <w:shd w:val="clear" w:color="auto" w:fill="F2F2F2" w:themeFill="background1" w:themeFillShade="F2"/>
            <w:vAlign w:val="center"/>
          </w:tcPr>
          <w:p w14:paraId="01EC9EFE" w14:textId="77777777" w:rsidR="00B27574" w:rsidRPr="008401DD" w:rsidRDefault="00B27574" w:rsidP="00960E68">
            <w:pPr>
              <w:spacing w:line="276" w:lineRule="auto"/>
              <w:rPr>
                <w:rFonts w:cs="Arial"/>
                <w:color w:val="000000"/>
                <w:szCs w:val="20"/>
              </w:rPr>
            </w:pPr>
            <w:r w:rsidRPr="008401DD">
              <w:rPr>
                <w:rFonts w:cs="Arial"/>
                <w:color w:val="000000"/>
              </w:rPr>
              <w:t xml:space="preserve">Vse metode, navedene pri vprašanjih 3.1-3.5. </w:t>
            </w:r>
          </w:p>
        </w:tc>
      </w:tr>
      <w:tr w:rsidR="00B27574" w:rsidRPr="008401DD" w14:paraId="5E902AD8" w14:textId="77777777" w:rsidTr="005244A7">
        <w:trPr>
          <w:trHeight w:val="300"/>
        </w:trPr>
        <w:tc>
          <w:tcPr>
            <w:tcW w:w="1644" w:type="dxa"/>
            <w:vMerge/>
            <w:shd w:val="clear" w:color="auto" w:fill="FFFFFF" w:themeFill="background1"/>
            <w:vAlign w:val="center"/>
          </w:tcPr>
          <w:p w14:paraId="18E10B9B" w14:textId="77777777" w:rsidR="00B27574" w:rsidRPr="008401DD" w:rsidRDefault="00B27574" w:rsidP="00960E68">
            <w:pPr>
              <w:spacing w:line="276" w:lineRule="auto"/>
              <w:jc w:val="both"/>
              <w:rPr>
                <w:rFonts w:cs="Arial"/>
                <w:b/>
                <w:color w:val="1B75BC"/>
              </w:rPr>
            </w:pPr>
          </w:p>
        </w:tc>
        <w:tc>
          <w:tcPr>
            <w:tcW w:w="3175" w:type="dxa"/>
            <w:vMerge w:val="restart"/>
            <w:shd w:val="clear" w:color="auto" w:fill="auto"/>
            <w:vAlign w:val="center"/>
          </w:tcPr>
          <w:p w14:paraId="0C870584" w14:textId="3BA38A96" w:rsidR="00B27574" w:rsidRPr="008401DD" w:rsidRDefault="00B27574" w:rsidP="00960E68">
            <w:pPr>
              <w:spacing w:line="276" w:lineRule="auto"/>
              <w:rPr>
                <w:rFonts w:cs="Arial"/>
                <w:i/>
                <w:color w:val="67C18C"/>
              </w:rPr>
            </w:pPr>
            <w:r w:rsidRPr="008401DD">
              <w:rPr>
                <w:rFonts w:cs="Arial"/>
                <w:i/>
                <w:color w:val="67C18C"/>
              </w:rPr>
              <w:t xml:space="preserve">3.1. Kako je bil voden postopek načrtovanja, izbora in priprave projektov, zlasti ocenjevanje in </w:t>
            </w:r>
            <w:proofErr w:type="spellStart"/>
            <w:r w:rsidRPr="008401DD">
              <w:rPr>
                <w:rFonts w:cs="Arial"/>
                <w:i/>
                <w:color w:val="67C18C"/>
              </w:rPr>
              <w:t>rangiranje</w:t>
            </w:r>
            <w:proofErr w:type="spellEnd"/>
            <w:r w:rsidRPr="008401DD">
              <w:rPr>
                <w:rFonts w:cs="Arial"/>
                <w:i/>
                <w:color w:val="67C18C"/>
              </w:rPr>
              <w:t>, merila, kakovost projektne dokumentacije (splošni opis problematike, namen, cilji, pričakovanih rezultati, kvantificirani kazalniki, aktivnosti, proračun)? Ali je zagotovljena jasna revizijska sled (tj. kdo je ocenjeval, katera dokumentacija je podlaga za ocenjevanje, zakaj je dodeljeno določeno število točk itd.)?</w:t>
            </w:r>
          </w:p>
        </w:tc>
        <w:tc>
          <w:tcPr>
            <w:tcW w:w="4532" w:type="dxa"/>
            <w:shd w:val="clear" w:color="auto" w:fill="auto"/>
            <w:vAlign w:val="center"/>
          </w:tcPr>
          <w:p w14:paraId="04B61D91" w14:textId="0AE5E400" w:rsidR="00B27574" w:rsidRPr="008401DD" w:rsidRDefault="00B27574" w:rsidP="00960E68">
            <w:pPr>
              <w:spacing w:line="276" w:lineRule="auto"/>
              <w:rPr>
                <w:rFonts w:cs="Arial"/>
                <w:color w:val="000000" w:themeColor="text1"/>
                <w:szCs w:val="20"/>
              </w:rPr>
            </w:pPr>
            <w:r w:rsidRPr="008401DD">
              <w:rPr>
                <w:rFonts w:cs="Arial"/>
                <w:b/>
                <w:color w:val="000000"/>
                <w:szCs w:val="20"/>
              </w:rPr>
              <w:t>K3.3.1.:</w:t>
            </w:r>
            <w:r w:rsidRPr="008401DD">
              <w:rPr>
                <w:rFonts w:cs="Arial"/>
                <w:color w:val="000000"/>
                <w:szCs w:val="20"/>
              </w:rPr>
              <w:t xml:space="preserve"> </w:t>
            </w:r>
            <w:r w:rsidRPr="008401DD">
              <w:rPr>
                <w:rFonts w:cs="Arial"/>
                <w:color w:val="000000" w:themeColor="text1"/>
                <w:szCs w:val="20"/>
              </w:rPr>
              <w:t>Preglednost postopkov za načrtovanje, izbiro in pripravo projektov</w:t>
            </w:r>
          </w:p>
        </w:tc>
        <w:tc>
          <w:tcPr>
            <w:tcW w:w="3689" w:type="dxa"/>
            <w:shd w:val="clear" w:color="auto" w:fill="auto"/>
          </w:tcPr>
          <w:p w14:paraId="53F12295" w14:textId="4C41B7A5" w:rsidR="00B27574" w:rsidRPr="008401DD" w:rsidRDefault="00B27574" w:rsidP="00960E68">
            <w:pPr>
              <w:pStyle w:val="ListParagraph"/>
              <w:numPr>
                <w:ilvl w:val="0"/>
                <w:numId w:val="11"/>
              </w:numPr>
              <w:spacing w:line="276" w:lineRule="auto"/>
            </w:pPr>
            <w:r w:rsidRPr="008401DD">
              <w:t xml:space="preserve">Pregled projektne dokumentacije </w:t>
            </w:r>
          </w:p>
          <w:p w14:paraId="59990636" w14:textId="2E559390" w:rsidR="00B27574" w:rsidRPr="008401DD" w:rsidRDefault="00B27574" w:rsidP="00960E68">
            <w:pPr>
              <w:pStyle w:val="ListParagraph"/>
              <w:numPr>
                <w:ilvl w:val="0"/>
                <w:numId w:val="11"/>
              </w:numPr>
              <w:spacing w:line="276" w:lineRule="auto"/>
            </w:pPr>
            <w:r w:rsidRPr="008401DD">
              <w:t>Intervju z MZZ glede postopkov načrtovanja in izbire projektov</w:t>
            </w:r>
          </w:p>
        </w:tc>
      </w:tr>
      <w:tr w:rsidR="00B27574" w:rsidRPr="008401DD" w14:paraId="3339F76D" w14:textId="77777777" w:rsidTr="005244A7">
        <w:trPr>
          <w:trHeight w:val="300"/>
        </w:trPr>
        <w:tc>
          <w:tcPr>
            <w:tcW w:w="1644" w:type="dxa"/>
            <w:vMerge/>
            <w:shd w:val="clear" w:color="auto" w:fill="FFFFFF" w:themeFill="background1"/>
            <w:vAlign w:val="center"/>
          </w:tcPr>
          <w:p w14:paraId="0AC4F345" w14:textId="77777777" w:rsidR="00B27574" w:rsidRPr="008401DD" w:rsidRDefault="00B27574" w:rsidP="00960E68">
            <w:pPr>
              <w:spacing w:line="276" w:lineRule="auto"/>
              <w:jc w:val="both"/>
              <w:rPr>
                <w:rFonts w:cs="Arial"/>
                <w:b/>
                <w:color w:val="1B75BC"/>
              </w:rPr>
            </w:pPr>
          </w:p>
        </w:tc>
        <w:tc>
          <w:tcPr>
            <w:tcW w:w="3175" w:type="dxa"/>
            <w:vMerge/>
            <w:shd w:val="clear" w:color="auto" w:fill="auto"/>
          </w:tcPr>
          <w:p w14:paraId="40B54448" w14:textId="43C1F13F" w:rsidR="00B27574" w:rsidRPr="008401DD" w:rsidRDefault="00B27574" w:rsidP="00960E68">
            <w:pPr>
              <w:spacing w:line="276" w:lineRule="auto"/>
              <w:rPr>
                <w:rFonts w:cs="Arial"/>
                <w:i/>
                <w:color w:val="67C18C"/>
              </w:rPr>
            </w:pPr>
          </w:p>
        </w:tc>
        <w:tc>
          <w:tcPr>
            <w:tcW w:w="4532" w:type="dxa"/>
            <w:shd w:val="clear" w:color="auto" w:fill="auto"/>
            <w:vAlign w:val="center"/>
          </w:tcPr>
          <w:p w14:paraId="05094A10" w14:textId="3244BE6F" w:rsidR="00B27574" w:rsidRPr="008401DD" w:rsidRDefault="00B27574" w:rsidP="00960E68">
            <w:pPr>
              <w:spacing w:line="276" w:lineRule="auto"/>
              <w:rPr>
                <w:rFonts w:cs="Arial"/>
                <w:color w:val="000000" w:themeColor="text1"/>
                <w:szCs w:val="20"/>
              </w:rPr>
            </w:pPr>
            <w:r w:rsidRPr="008401DD">
              <w:rPr>
                <w:rFonts w:cs="Arial"/>
                <w:b/>
                <w:color w:val="000000"/>
                <w:szCs w:val="20"/>
              </w:rPr>
              <w:t>K3.3.2.:</w:t>
            </w:r>
            <w:r w:rsidRPr="008401DD">
              <w:rPr>
                <w:rFonts w:cs="Arial"/>
                <w:color w:val="000000"/>
                <w:szCs w:val="20"/>
              </w:rPr>
              <w:t xml:space="preserve"> </w:t>
            </w:r>
            <w:r w:rsidRPr="008401DD">
              <w:rPr>
                <w:rFonts w:cs="Arial"/>
                <w:color w:val="000000" w:themeColor="text1"/>
                <w:szCs w:val="20"/>
              </w:rPr>
              <w:t>Ustreznost postopkov za načrtovanje, izbiro in pripravo projektov</w:t>
            </w:r>
          </w:p>
        </w:tc>
        <w:tc>
          <w:tcPr>
            <w:tcW w:w="3689" w:type="dxa"/>
            <w:shd w:val="clear" w:color="auto" w:fill="auto"/>
          </w:tcPr>
          <w:p w14:paraId="47997CA9" w14:textId="77777777" w:rsidR="00B27574" w:rsidRPr="008401DD" w:rsidRDefault="00B27574" w:rsidP="00960E68">
            <w:pPr>
              <w:pStyle w:val="ListParagraph"/>
              <w:numPr>
                <w:ilvl w:val="0"/>
                <w:numId w:val="11"/>
              </w:numPr>
              <w:spacing w:line="276" w:lineRule="auto"/>
            </w:pPr>
            <w:r w:rsidRPr="008401DD">
              <w:t xml:space="preserve">Pregled projektne dokumentacije </w:t>
            </w:r>
          </w:p>
          <w:p w14:paraId="506AFB5D" w14:textId="5CFA10A8" w:rsidR="00B27574" w:rsidRPr="008401DD" w:rsidRDefault="00B27574" w:rsidP="00960E68">
            <w:pPr>
              <w:pStyle w:val="ListParagraph"/>
              <w:numPr>
                <w:ilvl w:val="0"/>
                <w:numId w:val="11"/>
              </w:numPr>
              <w:spacing w:line="276" w:lineRule="auto"/>
            </w:pPr>
            <w:r w:rsidRPr="008401DD">
              <w:t>Intervju z MZZ glede postopkov načrtovanja in izbire projektov</w:t>
            </w:r>
          </w:p>
        </w:tc>
      </w:tr>
      <w:tr w:rsidR="00B27574" w:rsidRPr="008401DD" w14:paraId="13B49113" w14:textId="77777777" w:rsidTr="005244A7">
        <w:trPr>
          <w:trHeight w:val="300"/>
        </w:trPr>
        <w:tc>
          <w:tcPr>
            <w:tcW w:w="1644" w:type="dxa"/>
            <w:vMerge/>
            <w:shd w:val="clear" w:color="auto" w:fill="FFFFFF" w:themeFill="background1"/>
            <w:vAlign w:val="center"/>
          </w:tcPr>
          <w:p w14:paraId="6903513D" w14:textId="77777777" w:rsidR="00B27574" w:rsidRPr="008401DD" w:rsidRDefault="00B27574" w:rsidP="00960E68">
            <w:pPr>
              <w:spacing w:line="276" w:lineRule="auto"/>
              <w:jc w:val="both"/>
              <w:rPr>
                <w:rFonts w:cs="Arial"/>
                <w:b/>
                <w:color w:val="1B75BC"/>
              </w:rPr>
            </w:pPr>
          </w:p>
        </w:tc>
        <w:tc>
          <w:tcPr>
            <w:tcW w:w="3175" w:type="dxa"/>
            <w:vMerge/>
            <w:shd w:val="clear" w:color="auto" w:fill="auto"/>
          </w:tcPr>
          <w:p w14:paraId="3F5087FF" w14:textId="3240E068" w:rsidR="00B27574" w:rsidRPr="008401DD" w:rsidRDefault="00B27574" w:rsidP="00960E68">
            <w:pPr>
              <w:spacing w:line="276" w:lineRule="auto"/>
              <w:rPr>
                <w:rFonts w:cs="Arial"/>
                <w:i/>
                <w:color w:val="67C18C"/>
              </w:rPr>
            </w:pPr>
          </w:p>
        </w:tc>
        <w:tc>
          <w:tcPr>
            <w:tcW w:w="4532" w:type="dxa"/>
            <w:shd w:val="clear" w:color="auto" w:fill="auto"/>
            <w:vAlign w:val="center"/>
          </w:tcPr>
          <w:p w14:paraId="0F7E1EA0" w14:textId="7019C4BC" w:rsidR="00B27574" w:rsidRPr="008401DD" w:rsidRDefault="00B27574" w:rsidP="00960E68">
            <w:pPr>
              <w:spacing w:line="276" w:lineRule="auto"/>
              <w:rPr>
                <w:rFonts w:cs="Arial"/>
                <w:color w:val="000000" w:themeColor="text1"/>
                <w:szCs w:val="20"/>
              </w:rPr>
            </w:pPr>
            <w:r w:rsidRPr="008401DD">
              <w:rPr>
                <w:rFonts w:cs="Arial"/>
                <w:b/>
                <w:color w:val="000000"/>
                <w:szCs w:val="20"/>
              </w:rPr>
              <w:t>K3.3.3.:</w:t>
            </w:r>
            <w:r w:rsidRPr="008401DD">
              <w:rPr>
                <w:rFonts w:cs="Arial"/>
                <w:color w:val="000000"/>
                <w:szCs w:val="20"/>
              </w:rPr>
              <w:t xml:space="preserve"> </w:t>
            </w:r>
            <w:r w:rsidRPr="008401DD">
              <w:rPr>
                <w:rFonts w:cs="Arial"/>
                <w:color w:val="000000" w:themeColor="text1"/>
                <w:szCs w:val="20"/>
              </w:rPr>
              <w:t>Skladnost postopkov za načrtovanje, izbiro in pripravo projektov s smernicami</w:t>
            </w:r>
          </w:p>
        </w:tc>
        <w:tc>
          <w:tcPr>
            <w:tcW w:w="3689" w:type="dxa"/>
            <w:shd w:val="clear" w:color="auto" w:fill="auto"/>
          </w:tcPr>
          <w:p w14:paraId="0E9EF71B" w14:textId="77777777" w:rsidR="00B27574" w:rsidRPr="008401DD" w:rsidRDefault="00B27574" w:rsidP="00960E68">
            <w:pPr>
              <w:pStyle w:val="ListParagraph"/>
              <w:numPr>
                <w:ilvl w:val="0"/>
                <w:numId w:val="11"/>
              </w:numPr>
              <w:spacing w:line="276" w:lineRule="auto"/>
            </w:pPr>
            <w:r w:rsidRPr="008401DD">
              <w:t xml:space="preserve">Pregled projektne dokumentacije </w:t>
            </w:r>
          </w:p>
          <w:p w14:paraId="7469A38F" w14:textId="2C4B69A2" w:rsidR="00B27574" w:rsidRPr="008401DD" w:rsidRDefault="00B27574" w:rsidP="00960E68">
            <w:pPr>
              <w:pStyle w:val="ListParagraph"/>
              <w:numPr>
                <w:ilvl w:val="0"/>
                <w:numId w:val="11"/>
              </w:numPr>
              <w:spacing w:line="276" w:lineRule="auto"/>
            </w:pPr>
            <w:r w:rsidRPr="008401DD">
              <w:t>Intervju z MZZ glede postopkov načrtovanja in izbire projektov</w:t>
            </w:r>
          </w:p>
        </w:tc>
      </w:tr>
      <w:tr w:rsidR="00B27574" w:rsidRPr="008401DD" w14:paraId="64337358" w14:textId="77777777" w:rsidTr="005244A7">
        <w:trPr>
          <w:trHeight w:val="300"/>
        </w:trPr>
        <w:tc>
          <w:tcPr>
            <w:tcW w:w="1644" w:type="dxa"/>
            <w:vMerge/>
            <w:shd w:val="clear" w:color="auto" w:fill="FFFFFF" w:themeFill="background1"/>
            <w:vAlign w:val="center"/>
          </w:tcPr>
          <w:p w14:paraId="087D50CE" w14:textId="77777777" w:rsidR="00B27574" w:rsidRPr="008401DD" w:rsidRDefault="00B27574" w:rsidP="00960E68">
            <w:pPr>
              <w:spacing w:line="276" w:lineRule="auto"/>
              <w:jc w:val="both"/>
              <w:rPr>
                <w:rFonts w:cs="Arial"/>
                <w:b/>
                <w:color w:val="1B75BC"/>
              </w:rPr>
            </w:pPr>
          </w:p>
        </w:tc>
        <w:tc>
          <w:tcPr>
            <w:tcW w:w="3175" w:type="dxa"/>
            <w:vMerge/>
            <w:shd w:val="clear" w:color="auto" w:fill="auto"/>
          </w:tcPr>
          <w:p w14:paraId="4A91ACBA" w14:textId="00CBD01D" w:rsidR="00B27574" w:rsidRPr="008401DD" w:rsidRDefault="00B27574" w:rsidP="00960E68">
            <w:pPr>
              <w:spacing w:line="276" w:lineRule="auto"/>
              <w:rPr>
                <w:rFonts w:cs="Arial"/>
                <w:i/>
                <w:color w:val="67C18C"/>
              </w:rPr>
            </w:pPr>
          </w:p>
        </w:tc>
        <w:tc>
          <w:tcPr>
            <w:tcW w:w="4532" w:type="dxa"/>
            <w:shd w:val="clear" w:color="auto" w:fill="auto"/>
            <w:vAlign w:val="center"/>
          </w:tcPr>
          <w:p w14:paraId="519C36C2" w14:textId="5C0453C6" w:rsidR="00B27574" w:rsidRPr="008401DD" w:rsidRDefault="00B27574" w:rsidP="00960E68">
            <w:pPr>
              <w:spacing w:line="276" w:lineRule="auto"/>
              <w:rPr>
                <w:rFonts w:cs="Arial"/>
                <w:color w:val="000000" w:themeColor="text1"/>
                <w:szCs w:val="20"/>
              </w:rPr>
            </w:pPr>
            <w:r w:rsidRPr="008401DD">
              <w:rPr>
                <w:rFonts w:cs="Arial"/>
                <w:b/>
                <w:color w:val="000000"/>
                <w:szCs w:val="20"/>
              </w:rPr>
              <w:t>K3.3.4.:</w:t>
            </w:r>
            <w:r w:rsidRPr="008401DD">
              <w:rPr>
                <w:rFonts w:cs="Arial"/>
                <w:color w:val="000000"/>
                <w:szCs w:val="20"/>
              </w:rPr>
              <w:t xml:space="preserve"> </w:t>
            </w:r>
            <w:r w:rsidRPr="008401DD">
              <w:rPr>
                <w:rFonts w:cs="Arial"/>
                <w:color w:val="000000" w:themeColor="text1"/>
                <w:szCs w:val="20"/>
              </w:rPr>
              <w:t>Ustreznost/utemeljenost ocenjevanja projektov in ustreznost dokumentacije postopka izbire (revizijska sled)</w:t>
            </w:r>
          </w:p>
        </w:tc>
        <w:tc>
          <w:tcPr>
            <w:tcW w:w="3689" w:type="dxa"/>
            <w:shd w:val="clear" w:color="auto" w:fill="auto"/>
          </w:tcPr>
          <w:p w14:paraId="6A1D0912" w14:textId="77777777" w:rsidR="00B27574" w:rsidRPr="008401DD" w:rsidRDefault="00B27574" w:rsidP="00960E68">
            <w:pPr>
              <w:pStyle w:val="ListParagraph"/>
              <w:numPr>
                <w:ilvl w:val="0"/>
                <w:numId w:val="11"/>
              </w:numPr>
              <w:spacing w:line="276" w:lineRule="auto"/>
            </w:pPr>
            <w:r w:rsidRPr="008401DD">
              <w:t xml:space="preserve">Pregled projektne dokumentacije </w:t>
            </w:r>
          </w:p>
          <w:p w14:paraId="70ED8C7C" w14:textId="5C641067" w:rsidR="00B27574" w:rsidRPr="008401DD" w:rsidRDefault="00B27574" w:rsidP="00960E68">
            <w:pPr>
              <w:pStyle w:val="ListParagraph"/>
              <w:numPr>
                <w:ilvl w:val="0"/>
                <w:numId w:val="11"/>
              </w:numPr>
              <w:spacing w:line="276" w:lineRule="auto"/>
            </w:pPr>
            <w:r w:rsidRPr="008401DD">
              <w:t>Intervju s CMSR glede pristopa k ocenjevanju projektov</w:t>
            </w:r>
          </w:p>
        </w:tc>
      </w:tr>
      <w:tr w:rsidR="00B27574" w:rsidRPr="008401DD" w14:paraId="68BCE9AF" w14:textId="77777777" w:rsidTr="005244A7">
        <w:trPr>
          <w:trHeight w:val="300"/>
        </w:trPr>
        <w:tc>
          <w:tcPr>
            <w:tcW w:w="1644" w:type="dxa"/>
            <w:vMerge/>
            <w:shd w:val="clear" w:color="auto" w:fill="FFFFFF" w:themeFill="background1"/>
            <w:vAlign w:val="center"/>
          </w:tcPr>
          <w:p w14:paraId="731106FB" w14:textId="77777777" w:rsidR="00B27574" w:rsidRPr="008401DD" w:rsidRDefault="00B27574" w:rsidP="00960E68">
            <w:pPr>
              <w:spacing w:line="276" w:lineRule="auto"/>
              <w:jc w:val="both"/>
              <w:rPr>
                <w:rFonts w:cs="Arial"/>
                <w:b/>
                <w:color w:val="1B75BC"/>
              </w:rPr>
            </w:pPr>
          </w:p>
        </w:tc>
        <w:tc>
          <w:tcPr>
            <w:tcW w:w="3175" w:type="dxa"/>
            <w:vMerge/>
            <w:shd w:val="clear" w:color="auto" w:fill="auto"/>
          </w:tcPr>
          <w:p w14:paraId="6F45BAE6" w14:textId="0F4D4A28" w:rsidR="00B27574" w:rsidRPr="008401DD" w:rsidRDefault="00B27574" w:rsidP="00960E68">
            <w:pPr>
              <w:spacing w:line="276" w:lineRule="auto"/>
              <w:rPr>
                <w:rFonts w:cs="Arial"/>
                <w:i/>
                <w:color w:val="67C18C"/>
              </w:rPr>
            </w:pPr>
          </w:p>
        </w:tc>
        <w:tc>
          <w:tcPr>
            <w:tcW w:w="4532" w:type="dxa"/>
            <w:shd w:val="clear" w:color="auto" w:fill="auto"/>
            <w:vAlign w:val="center"/>
          </w:tcPr>
          <w:p w14:paraId="61200329" w14:textId="197F592A" w:rsidR="00B27574" w:rsidRPr="008401DD" w:rsidRDefault="00B27574" w:rsidP="00960E68">
            <w:pPr>
              <w:spacing w:line="276" w:lineRule="auto"/>
              <w:rPr>
                <w:rFonts w:cs="Arial"/>
                <w:color w:val="000000" w:themeColor="text1"/>
                <w:szCs w:val="20"/>
              </w:rPr>
            </w:pPr>
            <w:r w:rsidRPr="008401DD">
              <w:rPr>
                <w:rFonts w:cs="Arial"/>
                <w:b/>
                <w:color w:val="000000"/>
                <w:szCs w:val="20"/>
              </w:rPr>
              <w:t>K3.3.5.:</w:t>
            </w:r>
            <w:r w:rsidRPr="008401DD">
              <w:rPr>
                <w:rFonts w:cs="Arial"/>
                <w:color w:val="000000"/>
                <w:szCs w:val="20"/>
              </w:rPr>
              <w:t xml:space="preserve"> </w:t>
            </w:r>
            <w:r w:rsidRPr="008401DD">
              <w:rPr>
                <w:rFonts w:cs="Arial"/>
                <w:color w:val="000000" w:themeColor="text1"/>
                <w:szCs w:val="20"/>
              </w:rPr>
              <w:t>Razlogi in postopek opredelitve stopnje sofinanciranja projektov</w:t>
            </w:r>
          </w:p>
        </w:tc>
        <w:tc>
          <w:tcPr>
            <w:tcW w:w="3689" w:type="dxa"/>
            <w:shd w:val="clear" w:color="auto" w:fill="auto"/>
          </w:tcPr>
          <w:p w14:paraId="6C658E4D" w14:textId="4220C420" w:rsidR="00B27574" w:rsidRPr="008401DD" w:rsidRDefault="00B27574" w:rsidP="00960E68">
            <w:pPr>
              <w:pStyle w:val="ListParagraph"/>
              <w:numPr>
                <w:ilvl w:val="0"/>
                <w:numId w:val="11"/>
              </w:numPr>
              <w:spacing w:line="276" w:lineRule="auto"/>
            </w:pPr>
            <w:r w:rsidRPr="008401DD">
              <w:t xml:space="preserve">Pregled projektne dokumentacije </w:t>
            </w:r>
          </w:p>
          <w:p w14:paraId="2426349B" w14:textId="7AD194AD" w:rsidR="00B27574" w:rsidRPr="008401DD" w:rsidRDefault="00B27574" w:rsidP="00960E68">
            <w:pPr>
              <w:pStyle w:val="ListParagraph"/>
              <w:numPr>
                <w:ilvl w:val="0"/>
                <w:numId w:val="11"/>
              </w:numPr>
              <w:spacing w:line="276" w:lineRule="auto"/>
            </w:pPr>
            <w:r w:rsidRPr="008401DD">
              <w:t>Intervju s financerjema projektov (MF in MZZ) glede stopnje sofinanciranja projektov in odločitvi za financiranje obeh projektov</w:t>
            </w:r>
          </w:p>
        </w:tc>
      </w:tr>
      <w:tr w:rsidR="00B27574" w:rsidRPr="008401DD" w14:paraId="29904227" w14:textId="77777777" w:rsidTr="005244A7">
        <w:trPr>
          <w:trHeight w:val="300"/>
        </w:trPr>
        <w:tc>
          <w:tcPr>
            <w:tcW w:w="1644" w:type="dxa"/>
            <w:vMerge/>
            <w:shd w:val="clear" w:color="auto" w:fill="FFFFFF" w:themeFill="background1"/>
            <w:vAlign w:val="center"/>
          </w:tcPr>
          <w:p w14:paraId="5BC88984" w14:textId="77777777" w:rsidR="00B27574" w:rsidRPr="008401DD" w:rsidRDefault="00B27574" w:rsidP="00960E68">
            <w:pPr>
              <w:spacing w:line="276" w:lineRule="auto"/>
              <w:jc w:val="both"/>
              <w:rPr>
                <w:rFonts w:cs="Arial"/>
                <w:b/>
                <w:color w:val="1B75BC"/>
              </w:rPr>
            </w:pPr>
          </w:p>
        </w:tc>
        <w:tc>
          <w:tcPr>
            <w:tcW w:w="3175" w:type="dxa"/>
            <w:vMerge w:val="restart"/>
            <w:shd w:val="clear" w:color="auto" w:fill="auto"/>
            <w:vAlign w:val="center"/>
          </w:tcPr>
          <w:p w14:paraId="71C96FDE" w14:textId="77777777" w:rsidR="00B27574" w:rsidRPr="008401DD" w:rsidRDefault="00B27574" w:rsidP="00960E68">
            <w:pPr>
              <w:spacing w:line="276" w:lineRule="auto"/>
              <w:rPr>
                <w:rFonts w:cs="Arial"/>
                <w:i/>
                <w:color w:val="67C18C"/>
              </w:rPr>
            </w:pPr>
            <w:r w:rsidRPr="008401DD">
              <w:rPr>
                <w:rFonts w:cs="Arial"/>
                <w:i/>
                <w:color w:val="67C18C"/>
              </w:rPr>
              <w:t>3.2. Kako je bil voden in dokumentiran postopek javnega naročanja?</w:t>
            </w:r>
          </w:p>
          <w:p w14:paraId="57D5862B" w14:textId="4CA08EB7" w:rsidR="00B27574" w:rsidRPr="008401DD" w:rsidRDefault="00B27574" w:rsidP="00960E68">
            <w:pPr>
              <w:spacing w:line="276" w:lineRule="auto"/>
              <w:rPr>
                <w:rFonts w:cs="Arial"/>
                <w:i/>
                <w:color w:val="67C18C"/>
              </w:rPr>
            </w:pPr>
          </w:p>
          <w:p w14:paraId="3588F677" w14:textId="2EA6B5FE" w:rsidR="00B27574" w:rsidRPr="008401DD" w:rsidRDefault="00B27574" w:rsidP="00960E68">
            <w:pPr>
              <w:spacing w:line="276" w:lineRule="auto"/>
              <w:rPr>
                <w:rFonts w:cs="Arial"/>
                <w:i/>
                <w:color w:val="67C18C"/>
              </w:rPr>
            </w:pPr>
          </w:p>
          <w:p w14:paraId="6263FAB6" w14:textId="22584047" w:rsidR="00B27574" w:rsidRPr="008401DD" w:rsidRDefault="00B27574" w:rsidP="00960E68">
            <w:pPr>
              <w:spacing w:line="276" w:lineRule="auto"/>
              <w:rPr>
                <w:rFonts w:cs="Arial"/>
                <w:i/>
                <w:color w:val="67C18C"/>
              </w:rPr>
            </w:pPr>
          </w:p>
          <w:p w14:paraId="3750801E" w14:textId="612D4FB8" w:rsidR="00B27574" w:rsidRPr="008401DD" w:rsidRDefault="00B27574" w:rsidP="00960E68">
            <w:pPr>
              <w:spacing w:line="276" w:lineRule="auto"/>
              <w:rPr>
                <w:rFonts w:cs="Arial"/>
                <w:i/>
                <w:color w:val="67C18C"/>
              </w:rPr>
            </w:pPr>
          </w:p>
        </w:tc>
        <w:tc>
          <w:tcPr>
            <w:tcW w:w="4532" w:type="dxa"/>
            <w:shd w:val="clear" w:color="auto" w:fill="auto"/>
            <w:vAlign w:val="center"/>
          </w:tcPr>
          <w:p w14:paraId="6145F04E" w14:textId="6E029B3A" w:rsidR="00B27574" w:rsidRPr="008401DD" w:rsidRDefault="00B27574" w:rsidP="00960E68">
            <w:pPr>
              <w:spacing w:line="276" w:lineRule="auto"/>
              <w:rPr>
                <w:rFonts w:cs="Arial"/>
                <w:color w:val="000000"/>
              </w:rPr>
            </w:pPr>
            <w:r w:rsidRPr="008401DD">
              <w:rPr>
                <w:rFonts w:cs="Arial"/>
                <w:b/>
                <w:color w:val="000000"/>
                <w:szCs w:val="20"/>
              </w:rPr>
              <w:t>K3.2.1.:</w:t>
            </w:r>
            <w:r w:rsidRPr="008401DD">
              <w:rPr>
                <w:rFonts w:cs="Arial"/>
                <w:color w:val="000000"/>
                <w:szCs w:val="20"/>
              </w:rPr>
              <w:t xml:space="preserve"> Način vodenja priprave razpisne dokumentacije za nabavo opreme (oba projekta) z namenom zagotavljanja transparentnosti in konkurenčnosti postopka na domačem trgu (npr. preko vpletenosti strokovnjakov za področje vodne infrastrukture in čistilnih naprav v pripravo razpisa in ocenjevanje prejetih ponudb)</w:t>
            </w:r>
          </w:p>
        </w:tc>
        <w:tc>
          <w:tcPr>
            <w:tcW w:w="3689" w:type="dxa"/>
            <w:shd w:val="clear" w:color="auto" w:fill="auto"/>
          </w:tcPr>
          <w:p w14:paraId="31BE4D4E" w14:textId="77777777" w:rsidR="00B27574" w:rsidRPr="008401DD" w:rsidRDefault="00B27574" w:rsidP="00960E68">
            <w:pPr>
              <w:pStyle w:val="ListParagraph"/>
              <w:numPr>
                <w:ilvl w:val="0"/>
                <w:numId w:val="11"/>
              </w:numPr>
              <w:spacing w:line="276" w:lineRule="auto"/>
              <w:rPr>
                <w:rFonts w:cs="Arial"/>
                <w:color w:val="000000"/>
              </w:rPr>
            </w:pPr>
            <w:r w:rsidRPr="008401DD">
              <w:t>Pregled dokumentacije o postopku JN za izbor izvajalcev</w:t>
            </w:r>
          </w:p>
          <w:p w14:paraId="5320BA19" w14:textId="234A05A2" w:rsidR="00B27574" w:rsidRPr="008401DD" w:rsidRDefault="00B27574" w:rsidP="00960E68">
            <w:pPr>
              <w:pStyle w:val="ListParagraph"/>
              <w:numPr>
                <w:ilvl w:val="0"/>
                <w:numId w:val="11"/>
              </w:numPr>
              <w:spacing w:line="276" w:lineRule="auto"/>
              <w:rPr>
                <w:rFonts w:cs="Arial"/>
                <w:color w:val="000000"/>
              </w:rPr>
            </w:pPr>
            <w:r w:rsidRPr="008401DD">
              <w:t>Intervju z CMSR glede vpletenosti strokovnjakov ali drugih deležnikov v pripravo razpisne dokumentacije za JN za izbor izvajalca projektov</w:t>
            </w:r>
          </w:p>
        </w:tc>
      </w:tr>
      <w:tr w:rsidR="00B27574" w:rsidRPr="008401DD" w14:paraId="0D9CE9C4" w14:textId="77777777" w:rsidTr="005244A7">
        <w:trPr>
          <w:trHeight w:val="300"/>
        </w:trPr>
        <w:tc>
          <w:tcPr>
            <w:tcW w:w="1644" w:type="dxa"/>
            <w:vMerge/>
            <w:shd w:val="clear" w:color="auto" w:fill="FFFFFF" w:themeFill="background1"/>
            <w:vAlign w:val="center"/>
          </w:tcPr>
          <w:p w14:paraId="76C0B995" w14:textId="77777777"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5A9C8C1A" w14:textId="28F984CE" w:rsidR="00B27574" w:rsidRPr="008401DD" w:rsidRDefault="00B27574" w:rsidP="00960E68">
            <w:pPr>
              <w:spacing w:line="276" w:lineRule="auto"/>
              <w:rPr>
                <w:rFonts w:cs="Arial"/>
                <w:i/>
                <w:color w:val="67C18C"/>
              </w:rPr>
            </w:pPr>
          </w:p>
        </w:tc>
        <w:tc>
          <w:tcPr>
            <w:tcW w:w="4532" w:type="dxa"/>
            <w:shd w:val="clear" w:color="auto" w:fill="auto"/>
            <w:vAlign w:val="center"/>
          </w:tcPr>
          <w:p w14:paraId="42B7AEC4" w14:textId="53829725" w:rsidR="00B27574" w:rsidRPr="008401DD" w:rsidRDefault="00B27574" w:rsidP="00960E68">
            <w:pPr>
              <w:spacing w:line="276" w:lineRule="auto"/>
              <w:rPr>
                <w:rFonts w:cs="Arial"/>
                <w:color w:val="000000"/>
                <w:szCs w:val="20"/>
              </w:rPr>
            </w:pPr>
            <w:r w:rsidRPr="008401DD">
              <w:rPr>
                <w:rFonts w:cs="Arial"/>
                <w:b/>
                <w:color w:val="000000"/>
                <w:szCs w:val="20"/>
              </w:rPr>
              <w:t>K3.2.2.:</w:t>
            </w:r>
            <w:r w:rsidRPr="008401DD">
              <w:rPr>
                <w:rFonts w:cs="Arial"/>
                <w:color w:val="000000"/>
                <w:szCs w:val="20"/>
              </w:rPr>
              <w:t xml:space="preserve"> </w:t>
            </w:r>
            <w:r w:rsidRPr="008401DD">
              <w:rPr>
                <w:rFonts w:cs="Arial"/>
                <w:color w:val="000000"/>
              </w:rPr>
              <w:t>Preglednost postopkov javnega naročanja in ustrezna dokumentiranost postopka (revizijska skled)</w:t>
            </w:r>
          </w:p>
        </w:tc>
        <w:tc>
          <w:tcPr>
            <w:tcW w:w="3689" w:type="dxa"/>
            <w:shd w:val="clear" w:color="auto" w:fill="auto"/>
          </w:tcPr>
          <w:p w14:paraId="2D1C02A8" w14:textId="7F01BCD8" w:rsidR="00B27574" w:rsidRPr="008401DD" w:rsidRDefault="00B27574" w:rsidP="00960E68">
            <w:pPr>
              <w:pStyle w:val="ListParagraph"/>
              <w:numPr>
                <w:ilvl w:val="0"/>
                <w:numId w:val="11"/>
              </w:numPr>
              <w:spacing w:line="276" w:lineRule="auto"/>
              <w:rPr>
                <w:rFonts w:cs="Arial"/>
                <w:color w:val="000000"/>
              </w:rPr>
            </w:pPr>
            <w:r w:rsidRPr="008401DD">
              <w:t>Pregled dokumentacije o postopku JN za izbor izvajalcev</w:t>
            </w:r>
          </w:p>
          <w:p w14:paraId="1BB86F92" w14:textId="5541A642" w:rsidR="00B27574" w:rsidRPr="008401DD" w:rsidRDefault="00B27574" w:rsidP="00960E68">
            <w:pPr>
              <w:pStyle w:val="ListParagraph"/>
              <w:numPr>
                <w:ilvl w:val="0"/>
                <w:numId w:val="11"/>
              </w:numPr>
              <w:spacing w:line="276" w:lineRule="auto"/>
              <w:rPr>
                <w:rFonts w:cs="Arial"/>
                <w:color w:val="000000"/>
              </w:rPr>
            </w:pPr>
            <w:r w:rsidRPr="008401DD">
              <w:rPr>
                <w:rFonts w:cs="Arial"/>
                <w:color w:val="000000"/>
              </w:rPr>
              <w:t>Intervju s CMSR glede postopka JN (če bo na podlagi pregleda dokumentacije ocenjeno, da je potrebno)</w:t>
            </w:r>
          </w:p>
        </w:tc>
      </w:tr>
      <w:tr w:rsidR="00B27574" w:rsidRPr="008401DD" w14:paraId="63A2D50D" w14:textId="77777777" w:rsidTr="005244A7">
        <w:trPr>
          <w:trHeight w:val="300"/>
        </w:trPr>
        <w:tc>
          <w:tcPr>
            <w:tcW w:w="1644" w:type="dxa"/>
            <w:vMerge/>
            <w:shd w:val="clear" w:color="auto" w:fill="FFFFFF" w:themeFill="background1"/>
            <w:vAlign w:val="center"/>
          </w:tcPr>
          <w:p w14:paraId="0DEF4E81" w14:textId="77777777"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30A367DB" w14:textId="2B0B7ACC" w:rsidR="00B27574" w:rsidRPr="008401DD" w:rsidRDefault="00B27574" w:rsidP="00960E68">
            <w:pPr>
              <w:spacing w:line="276" w:lineRule="auto"/>
              <w:rPr>
                <w:rFonts w:cs="Arial"/>
                <w:i/>
                <w:color w:val="67C18C"/>
              </w:rPr>
            </w:pPr>
          </w:p>
        </w:tc>
        <w:tc>
          <w:tcPr>
            <w:tcW w:w="4532" w:type="dxa"/>
            <w:shd w:val="clear" w:color="auto" w:fill="auto"/>
            <w:vAlign w:val="center"/>
          </w:tcPr>
          <w:p w14:paraId="07D410DB" w14:textId="552604DA" w:rsidR="00B27574" w:rsidRPr="008401DD" w:rsidRDefault="00B27574" w:rsidP="00960E68">
            <w:pPr>
              <w:spacing w:line="276" w:lineRule="auto"/>
              <w:rPr>
                <w:rFonts w:cs="Arial"/>
                <w:color w:val="000000"/>
                <w:szCs w:val="20"/>
              </w:rPr>
            </w:pPr>
            <w:r w:rsidRPr="008401DD">
              <w:rPr>
                <w:rFonts w:cs="Arial"/>
                <w:b/>
                <w:color w:val="000000"/>
                <w:szCs w:val="20"/>
              </w:rPr>
              <w:t>K3.2.3.:</w:t>
            </w:r>
            <w:r w:rsidRPr="008401DD">
              <w:rPr>
                <w:rFonts w:cs="Arial"/>
                <w:color w:val="000000"/>
                <w:szCs w:val="20"/>
              </w:rPr>
              <w:t xml:space="preserve"> </w:t>
            </w:r>
            <w:r w:rsidRPr="008401DD">
              <w:rPr>
                <w:rFonts w:cs="Arial"/>
                <w:color w:val="000000"/>
              </w:rPr>
              <w:t>Število prejetih ponudb</w:t>
            </w:r>
          </w:p>
        </w:tc>
        <w:tc>
          <w:tcPr>
            <w:tcW w:w="3689" w:type="dxa"/>
            <w:shd w:val="clear" w:color="auto" w:fill="auto"/>
          </w:tcPr>
          <w:p w14:paraId="6D97624B" w14:textId="007DF5AF" w:rsidR="00B27574" w:rsidRPr="008401DD" w:rsidRDefault="00B27574" w:rsidP="00960E68">
            <w:pPr>
              <w:pStyle w:val="ListParagraph"/>
              <w:numPr>
                <w:ilvl w:val="0"/>
                <w:numId w:val="11"/>
              </w:numPr>
              <w:spacing w:line="276" w:lineRule="auto"/>
              <w:rPr>
                <w:rFonts w:cs="Arial"/>
                <w:color w:val="000000"/>
              </w:rPr>
            </w:pPr>
            <w:r w:rsidRPr="008401DD">
              <w:t>Pregled dokumentacije o postopku JN za izbor izvajalcev</w:t>
            </w:r>
          </w:p>
        </w:tc>
      </w:tr>
      <w:tr w:rsidR="00B27574" w:rsidRPr="008401DD" w14:paraId="62E97AC8" w14:textId="77777777" w:rsidTr="005244A7">
        <w:trPr>
          <w:trHeight w:val="300"/>
        </w:trPr>
        <w:tc>
          <w:tcPr>
            <w:tcW w:w="1644" w:type="dxa"/>
            <w:vMerge/>
            <w:shd w:val="clear" w:color="auto" w:fill="FFFFFF" w:themeFill="background1"/>
            <w:vAlign w:val="center"/>
          </w:tcPr>
          <w:p w14:paraId="0AD9B282" w14:textId="77777777"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5CA1DFF8" w14:textId="1C83B28C" w:rsidR="00B27574" w:rsidRPr="008401DD" w:rsidRDefault="00B27574" w:rsidP="00960E68">
            <w:pPr>
              <w:spacing w:line="276" w:lineRule="auto"/>
              <w:rPr>
                <w:rFonts w:cs="Arial"/>
                <w:i/>
                <w:color w:val="67C18C"/>
              </w:rPr>
            </w:pPr>
          </w:p>
        </w:tc>
        <w:tc>
          <w:tcPr>
            <w:tcW w:w="4532" w:type="dxa"/>
            <w:shd w:val="clear" w:color="auto" w:fill="auto"/>
            <w:vAlign w:val="center"/>
          </w:tcPr>
          <w:p w14:paraId="491A1685" w14:textId="1D41C59A" w:rsidR="00B27574" w:rsidRPr="008401DD" w:rsidRDefault="00B27574" w:rsidP="00960E68">
            <w:pPr>
              <w:spacing w:line="276" w:lineRule="auto"/>
              <w:rPr>
                <w:rFonts w:cs="Arial"/>
                <w:color w:val="000000"/>
                <w:szCs w:val="20"/>
              </w:rPr>
            </w:pPr>
            <w:r w:rsidRPr="008401DD">
              <w:rPr>
                <w:rFonts w:cs="Arial"/>
                <w:b/>
                <w:color w:val="000000"/>
                <w:szCs w:val="20"/>
              </w:rPr>
              <w:t>K3.2.4.:</w:t>
            </w:r>
            <w:r w:rsidRPr="008401DD">
              <w:rPr>
                <w:rFonts w:cs="Arial"/>
                <w:color w:val="000000"/>
                <w:szCs w:val="20"/>
              </w:rPr>
              <w:t xml:space="preserve"> </w:t>
            </w:r>
            <w:r w:rsidRPr="008401DD">
              <w:rPr>
                <w:rFonts w:cs="Arial"/>
                <w:color w:val="000000"/>
              </w:rPr>
              <w:t>Razlika med izbrano in najvišjo ponudbeno ceno</w:t>
            </w:r>
          </w:p>
        </w:tc>
        <w:tc>
          <w:tcPr>
            <w:tcW w:w="3689" w:type="dxa"/>
            <w:shd w:val="clear" w:color="auto" w:fill="auto"/>
          </w:tcPr>
          <w:p w14:paraId="08DEB59A" w14:textId="7EE3EA8B" w:rsidR="00B27574" w:rsidRPr="008401DD" w:rsidRDefault="00B27574" w:rsidP="00960E68">
            <w:pPr>
              <w:pStyle w:val="ListParagraph"/>
              <w:numPr>
                <w:ilvl w:val="0"/>
                <w:numId w:val="11"/>
              </w:numPr>
              <w:spacing w:line="276" w:lineRule="auto"/>
              <w:rPr>
                <w:rFonts w:cs="Arial"/>
                <w:color w:val="000000"/>
              </w:rPr>
            </w:pPr>
            <w:r w:rsidRPr="008401DD">
              <w:t>Pregled dokumentacije o postopku JN za izbor izvajalcev</w:t>
            </w:r>
          </w:p>
        </w:tc>
      </w:tr>
      <w:tr w:rsidR="00B27574" w:rsidRPr="008401DD" w14:paraId="7F00D98F" w14:textId="77777777" w:rsidTr="005244A7">
        <w:trPr>
          <w:trHeight w:val="300"/>
        </w:trPr>
        <w:tc>
          <w:tcPr>
            <w:tcW w:w="1644" w:type="dxa"/>
            <w:vMerge/>
            <w:shd w:val="clear" w:color="auto" w:fill="FFFFFF" w:themeFill="background1"/>
            <w:vAlign w:val="center"/>
          </w:tcPr>
          <w:p w14:paraId="51A5AD4A" w14:textId="77777777" w:rsidR="00B27574" w:rsidRPr="008401DD" w:rsidRDefault="00B27574" w:rsidP="00960E68">
            <w:pPr>
              <w:spacing w:line="276" w:lineRule="auto"/>
              <w:jc w:val="both"/>
              <w:rPr>
                <w:rFonts w:cs="Arial"/>
                <w:b/>
                <w:color w:val="1B75BC"/>
              </w:rPr>
            </w:pPr>
          </w:p>
        </w:tc>
        <w:tc>
          <w:tcPr>
            <w:tcW w:w="3175" w:type="dxa"/>
            <w:vMerge/>
            <w:shd w:val="clear" w:color="auto" w:fill="auto"/>
            <w:vAlign w:val="center"/>
          </w:tcPr>
          <w:p w14:paraId="5BF5E359" w14:textId="37B2935E" w:rsidR="00B27574" w:rsidRPr="008401DD" w:rsidRDefault="00B27574" w:rsidP="00960E68">
            <w:pPr>
              <w:spacing w:line="276" w:lineRule="auto"/>
              <w:rPr>
                <w:rFonts w:cs="Arial"/>
                <w:i/>
                <w:color w:val="67C18C"/>
              </w:rPr>
            </w:pPr>
          </w:p>
        </w:tc>
        <w:tc>
          <w:tcPr>
            <w:tcW w:w="4532" w:type="dxa"/>
            <w:shd w:val="clear" w:color="auto" w:fill="auto"/>
            <w:vAlign w:val="center"/>
          </w:tcPr>
          <w:p w14:paraId="031FA3A7" w14:textId="08CDFA31" w:rsidR="00B27574" w:rsidRPr="008401DD" w:rsidRDefault="00B27574" w:rsidP="00960E68">
            <w:pPr>
              <w:spacing w:line="276" w:lineRule="auto"/>
              <w:rPr>
                <w:rFonts w:cs="Arial"/>
                <w:color w:val="000000"/>
                <w:szCs w:val="20"/>
              </w:rPr>
            </w:pPr>
            <w:r w:rsidRPr="008401DD">
              <w:rPr>
                <w:rFonts w:cs="Arial"/>
                <w:b/>
                <w:color w:val="000000"/>
                <w:szCs w:val="20"/>
              </w:rPr>
              <w:t>K3.2.5.:</w:t>
            </w:r>
            <w:r w:rsidRPr="008401DD">
              <w:rPr>
                <w:rFonts w:cs="Arial"/>
                <w:color w:val="000000"/>
                <w:szCs w:val="20"/>
              </w:rPr>
              <w:t xml:space="preserve"> </w:t>
            </w:r>
            <w:r w:rsidRPr="008401DD">
              <w:rPr>
                <w:rFonts w:cs="Arial"/>
                <w:color w:val="000000"/>
              </w:rPr>
              <w:t>Razlika v kakovosti med izbrano in najboljšo ponudbo (če je primerno)</w:t>
            </w:r>
          </w:p>
        </w:tc>
        <w:tc>
          <w:tcPr>
            <w:tcW w:w="3689" w:type="dxa"/>
            <w:shd w:val="clear" w:color="auto" w:fill="auto"/>
          </w:tcPr>
          <w:p w14:paraId="6FD5FABB" w14:textId="0BBA47F6" w:rsidR="00B27574" w:rsidRPr="008401DD" w:rsidRDefault="00B27574" w:rsidP="00960E68">
            <w:pPr>
              <w:pStyle w:val="ListParagraph"/>
              <w:numPr>
                <w:ilvl w:val="0"/>
                <w:numId w:val="11"/>
              </w:numPr>
              <w:spacing w:line="276" w:lineRule="auto"/>
              <w:rPr>
                <w:rFonts w:cs="Arial"/>
                <w:color w:val="000000"/>
              </w:rPr>
            </w:pPr>
            <w:r w:rsidRPr="008401DD">
              <w:t>Pregled dokumentacije o postopku JN za izbor izvajalcev</w:t>
            </w:r>
          </w:p>
        </w:tc>
      </w:tr>
      <w:tr w:rsidR="00B27574" w:rsidRPr="008401DD" w14:paraId="4583A92D" w14:textId="77777777" w:rsidTr="005244A7">
        <w:trPr>
          <w:trHeight w:val="300"/>
        </w:trPr>
        <w:tc>
          <w:tcPr>
            <w:tcW w:w="1644" w:type="dxa"/>
            <w:vMerge/>
            <w:shd w:val="clear" w:color="auto" w:fill="FFFFFF" w:themeFill="background1"/>
            <w:vAlign w:val="center"/>
          </w:tcPr>
          <w:p w14:paraId="1E468951"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tcPr>
          <w:p w14:paraId="130EB648" w14:textId="24E0FE76" w:rsidR="00B27574" w:rsidRPr="008401DD" w:rsidRDefault="00B27574" w:rsidP="00960E68">
            <w:pPr>
              <w:spacing w:line="276" w:lineRule="auto"/>
              <w:rPr>
                <w:rFonts w:cs="Arial"/>
                <w:i/>
                <w:color w:val="67C18C"/>
                <w:szCs w:val="20"/>
              </w:rPr>
            </w:pPr>
            <w:r w:rsidRPr="008401DD">
              <w:rPr>
                <w:rFonts w:cs="Arial"/>
                <w:i/>
                <w:color w:val="67C18C"/>
                <w:szCs w:val="20"/>
              </w:rPr>
              <w:t>3.3. Kako so bili vodene in dokumentirane posamezne faze izvajanja projekta (donatorske pogodbe, komercialne pogodbe, nadzor izvedbe, upravljanje sprememb, ipd.)?</w:t>
            </w:r>
          </w:p>
        </w:tc>
        <w:tc>
          <w:tcPr>
            <w:tcW w:w="4532" w:type="dxa"/>
            <w:shd w:val="clear" w:color="auto" w:fill="auto"/>
            <w:vAlign w:val="center"/>
          </w:tcPr>
          <w:p w14:paraId="0A9119C3" w14:textId="39306DB3" w:rsidR="00B27574" w:rsidRPr="008401DD" w:rsidRDefault="00B27574" w:rsidP="00960E68">
            <w:pPr>
              <w:spacing w:line="276" w:lineRule="auto"/>
              <w:rPr>
                <w:rFonts w:cs="Arial"/>
                <w:color w:val="000000"/>
                <w:szCs w:val="20"/>
              </w:rPr>
            </w:pPr>
            <w:r w:rsidRPr="008401DD">
              <w:rPr>
                <w:rFonts w:cs="Arial"/>
                <w:b/>
                <w:color w:val="000000"/>
                <w:szCs w:val="20"/>
              </w:rPr>
              <w:t>K3.3.1.:</w:t>
            </w:r>
            <w:r w:rsidRPr="008401DD">
              <w:rPr>
                <w:rFonts w:cs="Arial"/>
                <w:color w:val="000000"/>
                <w:szCs w:val="20"/>
              </w:rPr>
              <w:t xml:space="preserve"> Celovitost revizijske sledi izvajanja projekta skladno z načrtom izvajanja projektov</w:t>
            </w:r>
          </w:p>
        </w:tc>
        <w:tc>
          <w:tcPr>
            <w:tcW w:w="3689" w:type="dxa"/>
            <w:shd w:val="clear" w:color="auto" w:fill="auto"/>
            <w:vAlign w:val="center"/>
          </w:tcPr>
          <w:p w14:paraId="7B96067B" w14:textId="02DC5770"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tc>
      </w:tr>
      <w:tr w:rsidR="00B27574" w:rsidRPr="008401DD" w14:paraId="3C976DEA" w14:textId="77777777" w:rsidTr="005244A7">
        <w:trPr>
          <w:trHeight w:val="300"/>
        </w:trPr>
        <w:tc>
          <w:tcPr>
            <w:tcW w:w="1644" w:type="dxa"/>
            <w:vMerge/>
            <w:shd w:val="clear" w:color="auto" w:fill="FFFFFF" w:themeFill="background1"/>
            <w:vAlign w:val="center"/>
          </w:tcPr>
          <w:p w14:paraId="3AE0091F"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3FCACF1E" w14:textId="08D6B995" w:rsidR="00B27574" w:rsidRPr="008401DD" w:rsidRDefault="00B27574" w:rsidP="00960E68">
            <w:pPr>
              <w:spacing w:line="276" w:lineRule="auto"/>
              <w:rPr>
                <w:rFonts w:cs="Arial"/>
                <w:i/>
                <w:color w:val="67C18C"/>
                <w:szCs w:val="20"/>
              </w:rPr>
            </w:pPr>
          </w:p>
        </w:tc>
        <w:tc>
          <w:tcPr>
            <w:tcW w:w="4532" w:type="dxa"/>
            <w:shd w:val="clear" w:color="auto" w:fill="auto"/>
            <w:vAlign w:val="center"/>
          </w:tcPr>
          <w:p w14:paraId="6278781B" w14:textId="46CF2D94" w:rsidR="00B27574" w:rsidRPr="008401DD" w:rsidRDefault="00B27574" w:rsidP="00960E68">
            <w:pPr>
              <w:spacing w:line="276" w:lineRule="auto"/>
              <w:rPr>
                <w:rFonts w:cs="Arial"/>
                <w:color w:val="000000"/>
                <w:szCs w:val="20"/>
              </w:rPr>
            </w:pPr>
            <w:r w:rsidRPr="008401DD">
              <w:rPr>
                <w:rFonts w:cs="Arial"/>
                <w:b/>
                <w:color w:val="000000"/>
                <w:szCs w:val="20"/>
              </w:rPr>
              <w:t>K3.3.2.:</w:t>
            </w:r>
            <w:r w:rsidRPr="008401DD">
              <w:rPr>
                <w:rFonts w:cs="Arial"/>
                <w:color w:val="000000"/>
                <w:szCs w:val="20"/>
              </w:rPr>
              <w:t xml:space="preserve"> Časovna skladnost dokumentacije z načrtom izvajanja projekta</w:t>
            </w:r>
          </w:p>
        </w:tc>
        <w:tc>
          <w:tcPr>
            <w:tcW w:w="3689" w:type="dxa"/>
            <w:shd w:val="clear" w:color="auto" w:fill="auto"/>
            <w:vAlign w:val="center"/>
          </w:tcPr>
          <w:p w14:paraId="1BE3B0CF"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p w14:paraId="0FF9B355"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Intervju z izvajalci projektov glede poteka dela in skladnosti z načrtom</w:t>
            </w:r>
          </w:p>
          <w:p w14:paraId="42A48537" w14:textId="7EEBD2F8" w:rsidR="00B27574" w:rsidRPr="008401DD" w:rsidRDefault="00B27574" w:rsidP="00960E68">
            <w:pPr>
              <w:pStyle w:val="ListParagraph"/>
              <w:numPr>
                <w:ilvl w:val="0"/>
                <w:numId w:val="11"/>
              </w:numPr>
              <w:spacing w:line="276" w:lineRule="auto"/>
              <w:rPr>
                <w:rFonts w:cs="Arial"/>
                <w:color w:val="000000" w:themeColor="text1"/>
              </w:rPr>
            </w:pPr>
            <w:r w:rsidRPr="008401DD">
              <w:t xml:space="preserve">Intervju z vodjo projekta (CMSR) </w:t>
            </w:r>
          </w:p>
        </w:tc>
      </w:tr>
      <w:tr w:rsidR="00B27574" w:rsidRPr="008401DD" w14:paraId="4677CE2D" w14:textId="77777777" w:rsidTr="0098464A">
        <w:trPr>
          <w:trHeight w:val="300"/>
        </w:trPr>
        <w:tc>
          <w:tcPr>
            <w:tcW w:w="1644" w:type="dxa"/>
            <w:vMerge/>
            <w:shd w:val="clear" w:color="auto" w:fill="FFFFFF" w:themeFill="background1"/>
            <w:vAlign w:val="center"/>
          </w:tcPr>
          <w:p w14:paraId="66FDED00"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tcPr>
          <w:p w14:paraId="367A080B" w14:textId="5CBCB6F9" w:rsidR="00B27574" w:rsidRPr="008401DD" w:rsidRDefault="00B27574" w:rsidP="00960E68">
            <w:pPr>
              <w:spacing w:line="276" w:lineRule="auto"/>
              <w:rPr>
                <w:rFonts w:cs="Arial"/>
                <w:i/>
                <w:color w:val="67C18C"/>
                <w:szCs w:val="20"/>
              </w:rPr>
            </w:pPr>
            <w:r w:rsidRPr="008401DD">
              <w:rPr>
                <w:rFonts w:cs="Arial"/>
                <w:i/>
                <w:color w:val="67C18C"/>
                <w:szCs w:val="20"/>
              </w:rPr>
              <w:t>3.4. Ali so bile izvedene aktivnosti ustrezne in izvedene na način, da so prispevale k doseganju posameznega rezultata na najboljši možni način – s finančnega vidika, časovnega vidika z vidika kakovosti itd.?</w:t>
            </w:r>
          </w:p>
          <w:p w14:paraId="41A8FBB1" w14:textId="25A197CD" w:rsidR="00B27574" w:rsidRPr="008401DD" w:rsidRDefault="00B27574" w:rsidP="00960E68">
            <w:pPr>
              <w:spacing w:line="276" w:lineRule="auto"/>
              <w:rPr>
                <w:rFonts w:cs="Arial"/>
                <w:i/>
                <w:color w:val="67C18C"/>
                <w:szCs w:val="20"/>
              </w:rPr>
            </w:pPr>
          </w:p>
          <w:p w14:paraId="0ACC9643" w14:textId="6B368538" w:rsidR="00B27574" w:rsidRPr="008401DD" w:rsidRDefault="00B27574" w:rsidP="00960E68">
            <w:pPr>
              <w:spacing w:line="276" w:lineRule="auto"/>
              <w:rPr>
                <w:rFonts w:cs="Arial"/>
                <w:i/>
                <w:color w:val="67C18C"/>
                <w:szCs w:val="20"/>
              </w:rPr>
            </w:pPr>
          </w:p>
          <w:p w14:paraId="65AD3D76" w14:textId="08C791F1" w:rsidR="00B27574" w:rsidRPr="008401DD" w:rsidRDefault="00B27574" w:rsidP="00960E68">
            <w:pPr>
              <w:spacing w:line="276" w:lineRule="auto"/>
              <w:rPr>
                <w:rFonts w:cs="Arial"/>
                <w:i/>
                <w:color w:val="67C18C"/>
                <w:szCs w:val="20"/>
              </w:rPr>
            </w:pPr>
          </w:p>
          <w:p w14:paraId="421BCFC1" w14:textId="7FDAD26D" w:rsidR="00B27574" w:rsidRPr="008401DD" w:rsidRDefault="00B27574" w:rsidP="00960E68">
            <w:pPr>
              <w:spacing w:line="276" w:lineRule="auto"/>
              <w:rPr>
                <w:rFonts w:cs="Arial"/>
                <w:i/>
                <w:color w:val="67C18C"/>
                <w:szCs w:val="20"/>
              </w:rPr>
            </w:pPr>
          </w:p>
          <w:p w14:paraId="3FFDEA91" w14:textId="49FCBC91" w:rsidR="00B27574" w:rsidRPr="008401DD" w:rsidRDefault="00B27574" w:rsidP="00960E68">
            <w:pPr>
              <w:spacing w:line="276" w:lineRule="auto"/>
              <w:rPr>
                <w:rFonts w:cs="Arial"/>
                <w:i/>
                <w:color w:val="67C18C"/>
                <w:szCs w:val="20"/>
              </w:rPr>
            </w:pPr>
          </w:p>
          <w:p w14:paraId="02936F2F" w14:textId="3BD73443" w:rsidR="00B27574" w:rsidRPr="008401DD" w:rsidRDefault="00B27574" w:rsidP="00960E68">
            <w:pPr>
              <w:spacing w:line="276" w:lineRule="auto"/>
              <w:rPr>
                <w:rFonts w:cs="Arial"/>
                <w:i/>
                <w:color w:val="67C18C"/>
                <w:szCs w:val="20"/>
              </w:rPr>
            </w:pPr>
          </w:p>
        </w:tc>
        <w:tc>
          <w:tcPr>
            <w:tcW w:w="4532" w:type="dxa"/>
            <w:shd w:val="clear" w:color="auto" w:fill="auto"/>
          </w:tcPr>
          <w:p w14:paraId="6CF534B4" w14:textId="2386F535" w:rsidR="00B27574" w:rsidRPr="008401DD" w:rsidRDefault="00B27574" w:rsidP="00960E68">
            <w:pPr>
              <w:spacing w:line="276" w:lineRule="auto"/>
              <w:rPr>
                <w:rFonts w:cs="Arial"/>
                <w:color w:val="000000"/>
                <w:szCs w:val="20"/>
              </w:rPr>
            </w:pPr>
            <w:r w:rsidRPr="008401DD">
              <w:rPr>
                <w:rFonts w:cs="Arial"/>
                <w:b/>
                <w:color w:val="000000"/>
                <w:szCs w:val="20"/>
              </w:rPr>
              <w:t>K3.4.1.:</w:t>
            </w:r>
            <w:r w:rsidRPr="008401DD">
              <w:rPr>
                <w:rFonts w:cs="Arial"/>
                <w:color w:val="000000"/>
                <w:szCs w:val="20"/>
              </w:rPr>
              <w:t xml:space="preserve"> Stroški projektov po komponentah</w:t>
            </w:r>
          </w:p>
        </w:tc>
        <w:tc>
          <w:tcPr>
            <w:tcW w:w="3689" w:type="dxa"/>
            <w:shd w:val="clear" w:color="auto" w:fill="auto"/>
            <w:vAlign w:val="center"/>
          </w:tcPr>
          <w:p w14:paraId="15F3D67A" w14:textId="40B37F65"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tc>
      </w:tr>
      <w:tr w:rsidR="00B27574" w:rsidRPr="008401DD" w14:paraId="14CCF94D" w14:textId="77777777" w:rsidTr="0071177B">
        <w:trPr>
          <w:trHeight w:val="300"/>
        </w:trPr>
        <w:tc>
          <w:tcPr>
            <w:tcW w:w="1644" w:type="dxa"/>
            <w:vMerge/>
            <w:shd w:val="clear" w:color="auto" w:fill="FFFFFF" w:themeFill="background1"/>
            <w:vAlign w:val="center"/>
          </w:tcPr>
          <w:p w14:paraId="504D7D2C"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47C7D4C1" w14:textId="113FC8B3" w:rsidR="00B27574" w:rsidRPr="008401DD" w:rsidRDefault="00B27574" w:rsidP="00960E68">
            <w:pPr>
              <w:spacing w:line="276" w:lineRule="auto"/>
              <w:rPr>
                <w:rFonts w:cs="Arial"/>
                <w:i/>
                <w:color w:val="67C18C"/>
                <w:szCs w:val="20"/>
              </w:rPr>
            </w:pPr>
          </w:p>
        </w:tc>
        <w:tc>
          <w:tcPr>
            <w:tcW w:w="4532" w:type="dxa"/>
            <w:shd w:val="clear" w:color="auto" w:fill="auto"/>
          </w:tcPr>
          <w:p w14:paraId="5839CCCC" w14:textId="2AAD13CE" w:rsidR="00B27574" w:rsidRPr="008401DD" w:rsidRDefault="00B27574" w:rsidP="00960E68">
            <w:pPr>
              <w:spacing w:line="276" w:lineRule="auto"/>
              <w:rPr>
                <w:rFonts w:cs="Arial"/>
                <w:color w:val="000000"/>
                <w:szCs w:val="20"/>
              </w:rPr>
            </w:pPr>
            <w:r w:rsidRPr="008401DD">
              <w:rPr>
                <w:rFonts w:cs="Arial"/>
                <w:b/>
                <w:color w:val="000000"/>
                <w:szCs w:val="20"/>
              </w:rPr>
              <w:t>K3.4.2.:</w:t>
            </w:r>
            <w:r w:rsidRPr="008401DD">
              <w:rPr>
                <w:rFonts w:cs="Arial"/>
                <w:color w:val="000000"/>
                <w:szCs w:val="20"/>
              </w:rPr>
              <w:t xml:space="preserve"> Delež izdatkov za vodenje projektov </w:t>
            </w:r>
          </w:p>
        </w:tc>
        <w:tc>
          <w:tcPr>
            <w:tcW w:w="3689" w:type="dxa"/>
            <w:shd w:val="clear" w:color="auto" w:fill="auto"/>
            <w:vAlign w:val="center"/>
          </w:tcPr>
          <w:p w14:paraId="7ECF02EB"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p w14:paraId="3C72A266" w14:textId="18CA2346" w:rsidR="00B27574" w:rsidRPr="008401DD" w:rsidRDefault="00B27574" w:rsidP="00960E68">
            <w:pPr>
              <w:pStyle w:val="ListParagraph"/>
              <w:numPr>
                <w:ilvl w:val="0"/>
                <w:numId w:val="11"/>
              </w:numPr>
              <w:spacing w:line="276" w:lineRule="auto"/>
              <w:rPr>
                <w:rFonts w:cs="Arial"/>
                <w:color w:val="000000" w:themeColor="text1"/>
              </w:rPr>
            </w:pPr>
            <w:r w:rsidRPr="008401DD">
              <w:t>Intervju s CMSR glede finančne zasnove vodenja projekta</w:t>
            </w:r>
          </w:p>
        </w:tc>
      </w:tr>
      <w:tr w:rsidR="00B27574" w:rsidRPr="008401DD" w14:paraId="06EA8841" w14:textId="77777777" w:rsidTr="0071177B">
        <w:trPr>
          <w:trHeight w:val="300"/>
        </w:trPr>
        <w:tc>
          <w:tcPr>
            <w:tcW w:w="1644" w:type="dxa"/>
            <w:vMerge/>
            <w:shd w:val="clear" w:color="auto" w:fill="FFFFFF" w:themeFill="background1"/>
            <w:vAlign w:val="center"/>
          </w:tcPr>
          <w:p w14:paraId="50EA9D17"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53996202" w14:textId="62FEA864" w:rsidR="00B27574" w:rsidRPr="008401DD" w:rsidRDefault="00B27574" w:rsidP="00960E68">
            <w:pPr>
              <w:spacing w:line="276" w:lineRule="auto"/>
              <w:rPr>
                <w:rFonts w:cs="Arial"/>
                <w:i/>
                <w:color w:val="67C18C"/>
                <w:szCs w:val="20"/>
              </w:rPr>
            </w:pPr>
          </w:p>
        </w:tc>
        <w:tc>
          <w:tcPr>
            <w:tcW w:w="4532" w:type="dxa"/>
            <w:shd w:val="clear" w:color="auto" w:fill="auto"/>
          </w:tcPr>
          <w:p w14:paraId="3E51BAB9" w14:textId="58105C28" w:rsidR="00B27574" w:rsidRPr="008401DD" w:rsidRDefault="00B27574" w:rsidP="00960E68">
            <w:pPr>
              <w:spacing w:line="276" w:lineRule="auto"/>
              <w:rPr>
                <w:rFonts w:cs="Arial"/>
                <w:color w:val="000000"/>
                <w:szCs w:val="20"/>
              </w:rPr>
            </w:pPr>
            <w:r w:rsidRPr="008401DD">
              <w:rPr>
                <w:rFonts w:cs="Arial"/>
                <w:b/>
                <w:color w:val="000000"/>
                <w:szCs w:val="20"/>
              </w:rPr>
              <w:t>K3.4.3.:</w:t>
            </w:r>
            <w:r w:rsidRPr="008401DD">
              <w:rPr>
                <w:rFonts w:cs="Arial"/>
                <w:color w:val="000000"/>
                <w:szCs w:val="20"/>
              </w:rPr>
              <w:t xml:space="preserve"> Odstopanja od </w:t>
            </w:r>
            <w:proofErr w:type="spellStart"/>
            <w:r w:rsidRPr="008401DD">
              <w:rPr>
                <w:rFonts w:cs="Arial"/>
                <w:color w:val="000000"/>
                <w:szCs w:val="20"/>
              </w:rPr>
              <w:t>časovnic</w:t>
            </w:r>
            <w:proofErr w:type="spellEnd"/>
            <w:r w:rsidRPr="008401DD">
              <w:rPr>
                <w:rFonts w:cs="Arial"/>
                <w:color w:val="000000"/>
                <w:szCs w:val="20"/>
              </w:rPr>
              <w:t xml:space="preserve"> načrtov</w:t>
            </w:r>
          </w:p>
        </w:tc>
        <w:tc>
          <w:tcPr>
            <w:tcW w:w="3689" w:type="dxa"/>
            <w:shd w:val="clear" w:color="auto" w:fill="auto"/>
            <w:vAlign w:val="center"/>
          </w:tcPr>
          <w:p w14:paraId="4181594A"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p w14:paraId="589BC2F7"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Intervju z izvajalci projektov glede poteka dela in skladnosti z načrtom</w:t>
            </w:r>
          </w:p>
          <w:p w14:paraId="6075166F" w14:textId="0DCB19C6" w:rsidR="00B27574" w:rsidRPr="008401DD" w:rsidRDefault="00B27574" w:rsidP="00960E68">
            <w:pPr>
              <w:pStyle w:val="ListParagraph"/>
              <w:numPr>
                <w:ilvl w:val="0"/>
                <w:numId w:val="11"/>
              </w:numPr>
              <w:spacing w:line="276" w:lineRule="auto"/>
              <w:rPr>
                <w:rFonts w:cs="Arial"/>
                <w:color w:val="000000" w:themeColor="text1"/>
              </w:rPr>
            </w:pPr>
            <w:r w:rsidRPr="008401DD">
              <w:t xml:space="preserve">Intervju z vodjo projekta (CMSR) </w:t>
            </w:r>
          </w:p>
        </w:tc>
      </w:tr>
      <w:tr w:rsidR="00B27574" w:rsidRPr="008401DD" w14:paraId="2DE75A82" w14:textId="77777777" w:rsidTr="0071177B">
        <w:trPr>
          <w:trHeight w:val="300"/>
        </w:trPr>
        <w:tc>
          <w:tcPr>
            <w:tcW w:w="1644" w:type="dxa"/>
            <w:vMerge/>
            <w:shd w:val="clear" w:color="auto" w:fill="FFFFFF" w:themeFill="background1"/>
            <w:vAlign w:val="center"/>
          </w:tcPr>
          <w:p w14:paraId="44EDE184"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74F16981" w14:textId="1BD80BEB" w:rsidR="00B27574" w:rsidRPr="008401DD" w:rsidRDefault="00B27574" w:rsidP="00960E68">
            <w:pPr>
              <w:spacing w:line="276" w:lineRule="auto"/>
              <w:rPr>
                <w:rFonts w:cs="Arial"/>
                <w:i/>
                <w:color w:val="67C18C"/>
                <w:szCs w:val="20"/>
              </w:rPr>
            </w:pPr>
          </w:p>
        </w:tc>
        <w:tc>
          <w:tcPr>
            <w:tcW w:w="4532" w:type="dxa"/>
            <w:shd w:val="clear" w:color="auto" w:fill="auto"/>
          </w:tcPr>
          <w:p w14:paraId="6C6970EC" w14:textId="6E8A2C36" w:rsidR="00B27574" w:rsidRPr="008401DD" w:rsidRDefault="00B27574" w:rsidP="00960E68">
            <w:pPr>
              <w:spacing w:line="276" w:lineRule="auto"/>
              <w:rPr>
                <w:rFonts w:cs="Arial"/>
                <w:color w:val="000000"/>
                <w:szCs w:val="20"/>
              </w:rPr>
            </w:pPr>
            <w:r w:rsidRPr="008401DD">
              <w:rPr>
                <w:rFonts w:cs="Arial"/>
                <w:b/>
                <w:color w:val="000000"/>
                <w:szCs w:val="20"/>
              </w:rPr>
              <w:t>K3.4.4.:</w:t>
            </w:r>
            <w:r w:rsidRPr="008401DD">
              <w:rPr>
                <w:rFonts w:cs="Arial"/>
                <w:color w:val="000000"/>
                <w:szCs w:val="20"/>
              </w:rPr>
              <w:t xml:space="preserve"> Odstopanja od proračuna projektov</w:t>
            </w:r>
          </w:p>
        </w:tc>
        <w:tc>
          <w:tcPr>
            <w:tcW w:w="3689" w:type="dxa"/>
            <w:shd w:val="clear" w:color="auto" w:fill="auto"/>
            <w:vAlign w:val="center"/>
          </w:tcPr>
          <w:p w14:paraId="79BF88BA" w14:textId="77777777" w:rsidR="00B27574" w:rsidRPr="008401DD" w:rsidRDefault="00B27574" w:rsidP="00960E68">
            <w:pPr>
              <w:pStyle w:val="ListParagraph"/>
              <w:numPr>
                <w:ilvl w:val="0"/>
                <w:numId w:val="11"/>
              </w:numPr>
              <w:spacing w:line="276" w:lineRule="auto"/>
              <w:rPr>
                <w:rFonts w:cs="Arial"/>
                <w:color w:val="000000" w:themeColor="text1"/>
              </w:rPr>
            </w:pPr>
            <w:r w:rsidRPr="008401DD">
              <w:t xml:space="preserve">Intervju z vodjo projekta (CMSR) </w:t>
            </w:r>
          </w:p>
          <w:p w14:paraId="241DFFB4" w14:textId="31FD6AAB" w:rsidR="00B27574" w:rsidRPr="008401DD" w:rsidRDefault="00B27574" w:rsidP="00960E68">
            <w:pPr>
              <w:pStyle w:val="ListParagraph"/>
              <w:numPr>
                <w:ilvl w:val="0"/>
                <w:numId w:val="11"/>
              </w:numPr>
              <w:spacing w:line="276" w:lineRule="auto"/>
              <w:rPr>
                <w:rFonts w:cs="Arial"/>
                <w:color w:val="000000" w:themeColor="text1"/>
              </w:rPr>
            </w:pPr>
            <w:r w:rsidRPr="008401DD">
              <w:t>Pregled projektne dokumentacije</w:t>
            </w:r>
          </w:p>
        </w:tc>
      </w:tr>
      <w:tr w:rsidR="00B27574" w:rsidRPr="008401DD" w14:paraId="51FBE6C2" w14:textId="77777777" w:rsidTr="0071177B">
        <w:trPr>
          <w:trHeight w:val="300"/>
        </w:trPr>
        <w:tc>
          <w:tcPr>
            <w:tcW w:w="1644" w:type="dxa"/>
            <w:vMerge/>
            <w:shd w:val="clear" w:color="auto" w:fill="FFFFFF" w:themeFill="background1"/>
            <w:vAlign w:val="center"/>
          </w:tcPr>
          <w:p w14:paraId="1434991C"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40E288A9" w14:textId="3D20B4D5" w:rsidR="00B27574" w:rsidRPr="008401DD" w:rsidRDefault="00B27574" w:rsidP="00960E68">
            <w:pPr>
              <w:spacing w:line="276" w:lineRule="auto"/>
              <w:rPr>
                <w:rFonts w:cs="Arial"/>
                <w:i/>
                <w:color w:val="67C18C"/>
                <w:szCs w:val="20"/>
              </w:rPr>
            </w:pPr>
          </w:p>
        </w:tc>
        <w:tc>
          <w:tcPr>
            <w:tcW w:w="4532" w:type="dxa"/>
            <w:shd w:val="clear" w:color="auto" w:fill="auto"/>
          </w:tcPr>
          <w:p w14:paraId="4DA18BCB" w14:textId="32E06C3D" w:rsidR="00B27574" w:rsidRPr="008401DD" w:rsidRDefault="00B27574" w:rsidP="00960E68">
            <w:pPr>
              <w:spacing w:line="276" w:lineRule="auto"/>
              <w:rPr>
                <w:rFonts w:cs="Arial"/>
                <w:color w:val="000000"/>
                <w:szCs w:val="20"/>
              </w:rPr>
            </w:pPr>
            <w:r w:rsidRPr="008401DD">
              <w:rPr>
                <w:rFonts w:cs="Arial"/>
                <w:b/>
                <w:color w:val="000000"/>
                <w:szCs w:val="20"/>
              </w:rPr>
              <w:t>K3.4.5.:</w:t>
            </w:r>
            <w:r w:rsidRPr="008401DD">
              <w:rPr>
                <w:rFonts w:cs="Arial"/>
                <w:color w:val="000000"/>
                <w:szCs w:val="20"/>
              </w:rPr>
              <w:t xml:space="preserve"> Stopnja zadovoljstva države prejemnice s kakovostjo izvedbe</w:t>
            </w:r>
          </w:p>
        </w:tc>
        <w:tc>
          <w:tcPr>
            <w:tcW w:w="3689" w:type="dxa"/>
            <w:shd w:val="clear" w:color="auto" w:fill="auto"/>
            <w:vAlign w:val="center"/>
          </w:tcPr>
          <w:p w14:paraId="72E50517" w14:textId="1E131A27" w:rsidR="00B27574" w:rsidRPr="008401DD" w:rsidRDefault="00B27574" w:rsidP="00960E68">
            <w:pPr>
              <w:pStyle w:val="ListParagraph"/>
              <w:numPr>
                <w:ilvl w:val="0"/>
                <w:numId w:val="11"/>
              </w:numPr>
              <w:spacing w:line="276" w:lineRule="auto"/>
              <w:rPr>
                <w:rFonts w:cs="Arial"/>
                <w:color w:val="000000" w:themeColor="text1"/>
              </w:rPr>
            </w:pPr>
            <w:r w:rsidRPr="008401DD">
              <w:rPr>
                <w:rFonts w:cs="Arial"/>
                <w:color w:val="000000" w:themeColor="text1"/>
              </w:rPr>
              <w:t>Intervju z bivšim veleposlanikom v Skopju o tem kako je bil projekt sprejet, kakšni so bili odzivi na strani predstavnikov Severne Makedonije</w:t>
            </w:r>
          </w:p>
          <w:p w14:paraId="497CC0C3" w14:textId="52942417" w:rsidR="00B27574" w:rsidRPr="008401DD" w:rsidRDefault="00B27574" w:rsidP="00960E68">
            <w:pPr>
              <w:pStyle w:val="ListParagraph"/>
              <w:numPr>
                <w:ilvl w:val="0"/>
                <w:numId w:val="11"/>
              </w:numPr>
              <w:spacing w:line="276" w:lineRule="auto"/>
              <w:rPr>
                <w:rFonts w:cs="Arial"/>
                <w:color w:val="000000" w:themeColor="text1"/>
              </w:rPr>
            </w:pPr>
            <w:r w:rsidRPr="008401DD">
              <w:rPr>
                <w:rFonts w:cs="Arial"/>
                <w:color w:val="000000" w:themeColor="text1"/>
              </w:rPr>
              <w:t xml:space="preserve">Intervju z županom </w:t>
            </w:r>
            <w:r w:rsidRPr="008401DD">
              <w:t xml:space="preserve">občine </w:t>
            </w:r>
            <w:proofErr w:type="spellStart"/>
            <w:r w:rsidRPr="008401DD">
              <w:rPr>
                <w:rFonts w:cs="Arial"/>
                <w:color w:val="000000" w:themeColor="text1"/>
              </w:rPr>
              <w:t>Probištip</w:t>
            </w:r>
            <w:proofErr w:type="spellEnd"/>
            <w:r w:rsidRPr="008401DD">
              <w:rPr>
                <w:rFonts w:cs="Arial"/>
                <w:color w:val="000000" w:themeColor="text1"/>
              </w:rPr>
              <w:t xml:space="preserve"> o zadovoljstvu s kakovostjo izvedbe</w:t>
            </w:r>
          </w:p>
        </w:tc>
      </w:tr>
      <w:tr w:rsidR="00B27574" w:rsidRPr="008401DD" w14:paraId="0602002B" w14:textId="77777777" w:rsidTr="0071177B">
        <w:trPr>
          <w:trHeight w:val="300"/>
        </w:trPr>
        <w:tc>
          <w:tcPr>
            <w:tcW w:w="1644" w:type="dxa"/>
            <w:vMerge/>
            <w:shd w:val="clear" w:color="auto" w:fill="FFFFFF" w:themeFill="background1"/>
            <w:vAlign w:val="center"/>
          </w:tcPr>
          <w:p w14:paraId="44C89824"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5E81866D" w14:textId="4A236B9C" w:rsidR="00B27574" w:rsidRPr="008401DD" w:rsidRDefault="00B27574" w:rsidP="00960E68">
            <w:pPr>
              <w:spacing w:line="276" w:lineRule="auto"/>
              <w:rPr>
                <w:rFonts w:cs="Arial"/>
                <w:i/>
                <w:color w:val="67C18C"/>
                <w:szCs w:val="20"/>
              </w:rPr>
            </w:pPr>
          </w:p>
        </w:tc>
        <w:tc>
          <w:tcPr>
            <w:tcW w:w="4532" w:type="dxa"/>
            <w:shd w:val="clear" w:color="auto" w:fill="auto"/>
          </w:tcPr>
          <w:p w14:paraId="2A0EEC46" w14:textId="2C1A32A7" w:rsidR="00B27574" w:rsidRPr="008401DD" w:rsidRDefault="00B27574" w:rsidP="00960E68">
            <w:pPr>
              <w:spacing w:line="276" w:lineRule="auto"/>
              <w:rPr>
                <w:rFonts w:cs="Arial"/>
                <w:color w:val="000000"/>
                <w:szCs w:val="20"/>
              </w:rPr>
            </w:pPr>
            <w:r w:rsidRPr="008401DD">
              <w:rPr>
                <w:rFonts w:cs="Arial"/>
                <w:b/>
                <w:color w:val="000000"/>
                <w:szCs w:val="20"/>
              </w:rPr>
              <w:t>K3.4.6.:</w:t>
            </w:r>
            <w:r w:rsidRPr="008401DD">
              <w:rPr>
                <w:rFonts w:cs="Arial"/>
                <w:color w:val="000000"/>
                <w:szCs w:val="20"/>
              </w:rPr>
              <w:t xml:space="preserve"> Stopnja zadovoljstva države prejemnice z učinkovitostjo izvedbe</w:t>
            </w:r>
          </w:p>
        </w:tc>
        <w:tc>
          <w:tcPr>
            <w:tcW w:w="3689" w:type="dxa"/>
            <w:shd w:val="clear" w:color="auto" w:fill="auto"/>
            <w:vAlign w:val="center"/>
          </w:tcPr>
          <w:p w14:paraId="3C7693D7" w14:textId="7F101546" w:rsidR="00B27574" w:rsidRPr="008401DD" w:rsidRDefault="00B27574" w:rsidP="00960E68">
            <w:pPr>
              <w:pStyle w:val="ListParagraph"/>
              <w:numPr>
                <w:ilvl w:val="0"/>
                <w:numId w:val="11"/>
              </w:numPr>
              <w:spacing w:line="276" w:lineRule="auto"/>
              <w:rPr>
                <w:rFonts w:cs="Arial"/>
                <w:color w:val="000000" w:themeColor="text1"/>
              </w:rPr>
            </w:pPr>
            <w:r w:rsidRPr="008401DD">
              <w:rPr>
                <w:rFonts w:cs="Arial"/>
                <w:color w:val="000000" w:themeColor="text1"/>
              </w:rPr>
              <w:t>Intervju z bivšim veleposlanikom v Skopju o tem kako je bil projekt sprejet, kakšni so bili odzivi na strani predstavnikov Severne Makedonije</w:t>
            </w:r>
          </w:p>
          <w:p w14:paraId="198B09C1" w14:textId="183978B3" w:rsidR="00B27574" w:rsidRPr="008401DD" w:rsidRDefault="00B27574" w:rsidP="00960E68">
            <w:pPr>
              <w:pStyle w:val="ListParagraph"/>
              <w:numPr>
                <w:ilvl w:val="0"/>
                <w:numId w:val="11"/>
              </w:numPr>
              <w:spacing w:line="276" w:lineRule="auto"/>
              <w:rPr>
                <w:rFonts w:cs="Arial"/>
                <w:color w:val="000000" w:themeColor="text1"/>
              </w:rPr>
            </w:pPr>
            <w:r w:rsidRPr="008401DD">
              <w:rPr>
                <w:rFonts w:cs="Arial"/>
                <w:color w:val="000000" w:themeColor="text1"/>
              </w:rPr>
              <w:t xml:space="preserve">Intervju z županom </w:t>
            </w:r>
            <w:r w:rsidRPr="008401DD">
              <w:t xml:space="preserve">občine </w:t>
            </w:r>
            <w:proofErr w:type="spellStart"/>
            <w:r w:rsidRPr="008401DD">
              <w:rPr>
                <w:rFonts w:cs="Arial"/>
                <w:color w:val="000000" w:themeColor="text1"/>
              </w:rPr>
              <w:t>Probištip</w:t>
            </w:r>
            <w:proofErr w:type="spellEnd"/>
            <w:r w:rsidRPr="008401DD">
              <w:rPr>
                <w:rFonts w:cs="Arial"/>
                <w:color w:val="000000" w:themeColor="text1"/>
              </w:rPr>
              <w:t xml:space="preserve"> o zadovoljstvu s učinkovitostjo izvedbe</w:t>
            </w:r>
          </w:p>
        </w:tc>
      </w:tr>
      <w:tr w:rsidR="00B27574" w:rsidRPr="008401DD" w14:paraId="64741272" w14:textId="77777777" w:rsidTr="0071177B">
        <w:trPr>
          <w:trHeight w:val="300"/>
        </w:trPr>
        <w:tc>
          <w:tcPr>
            <w:tcW w:w="1644" w:type="dxa"/>
            <w:vMerge/>
            <w:shd w:val="clear" w:color="auto" w:fill="FFFFFF" w:themeFill="background1"/>
            <w:vAlign w:val="center"/>
          </w:tcPr>
          <w:p w14:paraId="5E127196"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049C7C02" w14:textId="5696A6E1" w:rsidR="00B27574" w:rsidRPr="008401DD" w:rsidRDefault="00B27574" w:rsidP="00960E68">
            <w:pPr>
              <w:spacing w:line="276" w:lineRule="auto"/>
              <w:rPr>
                <w:rFonts w:cs="Arial"/>
                <w:i/>
                <w:color w:val="67C18C"/>
                <w:szCs w:val="20"/>
              </w:rPr>
            </w:pPr>
          </w:p>
        </w:tc>
        <w:tc>
          <w:tcPr>
            <w:tcW w:w="4532" w:type="dxa"/>
            <w:shd w:val="clear" w:color="auto" w:fill="auto"/>
          </w:tcPr>
          <w:p w14:paraId="672FF2FD" w14:textId="26E69AAA" w:rsidR="00B27574" w:rsidRPr="008401DD" w:rsidRDefault="00B27574" w:rsidP="00960E68">
            <w:pPr>
              <w:spacing w:line="276" w:lineRule="auto"/>
              <w:rPr>
                <w:rFonts w:cs="Arial"/>
                <w:color w:val="000000"/>
                <w:szCs w:val="20"/>
              </w:rPr>
            </w:pPr>
            <w:r w:rsidRPr="008401DD">
              <w:rPr>
                <w:rFonts w:cs="Arial"/>
                <w:b/>
                <w:color w:val="000000"/>
                <w:szCs w:val="20"/>
              </w:rPr>
              <w:t>K3.4.7.:</w:t>
            </w:r>
            <w:r w:rsidRPr="008401DD">
              <w:rPr>
                <w:rFonts w:cs="Arial"/>
                <w:color w:val="000000"/>
                <w:szCs w:val="20"/>
              </w:rPr>
              <w:t xml:space="preserve"> Pogostost okvar na nameščeni opremi</w:t>
            </w:r>
          </w:p>
          <w:p w14:paraId="024E1D84" w14:textId="77777777" w:rsidR="00B27574" w:rsidRPr="008401DD" w:rsidRDefault="00B27574" w:rsidP="00960E68">
            <w:pPr>
              <w:spacing w:line="276" w:lineRule="auto"/>
              <w:rPr>
                <w:rFonts w:cs="Arial"/>
                <w:color w:val="000000"/>
                <w:szCs w:val="20"/>
              </w:rPr>
            </w:pPr>
          </w:p>
        </w:tc>
        <w:tc>
          <w:tcPr>
            <w:tcW w:w="3689" w:type="dxa"/>
            <w:shd w:val="clear" w:color="auto" w:fill="auto"/>
            <w:vAlign w:val="center"/>
          </w:tcPr>
          <w:p w14:paraId="09CEFAB1" w14:textId="25DA28C7" w:rsidR="00B27574" w:rsidRPr="008401DD" w:rsidRDefault="00B27574" w:rsidP="00960E68">
            <w:pPr>
              <w:pStyle w:val="ListParagraph"/>
              <w:numPr>
                <w:ilvl w:val="0"/>
                <w:numId w:val="11"/>
              </w:numPr>
              <w:spacing w:line="276" w:lineRule="auto"/>
              <w:rPr>
                <w:rFonts w:cs="Arial"/>
                <w:color w:val="000000" w:themeColor="text1"/>
              </w:rPr>
            </w:pPr>
            <w:r w:rsidRPr="008401DD">
              <w:t xml:space="preserve">Intervju z upravljalci objekta (komunalno podjetje Nikola </w:t>
            </w:r>
            <w:proofErr w:type="spellStart"/>
            <w:r w:rsidRPr="008401DD">
              <w:t>Karev</w:t>
            </w:r>
            <w:proofErr w:type="spellEnd"/>
            <w:r w:rsidRPr="008401DD">
              <w:t>) o pogostosti okvar in kakovosti opravljenega dela oz. sistema</w:t>
            </w:r>
          </w:p>
        </w:tc>
      </w:tr>
      <w:tr w:rsidR="00B27574" w:rsidRPr="008401DD" w14:paraId="6D60F1BE" w14:textId="77777777" w:rsidTr="00347AAA">
        <w:trPr>
          <w:trHeight w:val="300"/>
        </w:trPr>
        <w:tc>
          <w:tcPr>
            <w:tcW w:w="1644" w:type="dxa"/>
            <w:vMerge/>
            <w:shd w:val="clear" w:color="auto" w:fill="FFFFFF" w:themeFill="background1"/>
            <w:vAlign w:val="center"/>
          </w:tcPr>
          <w:p w14:paraId="7D2D759A" w14:textId="77777777" w:rsidR="00B27574" w:rsidRPr="008401DD" w:rsidRDefault="00B27574" w:rsidP="00960E68">
            <w:pPr>
              <w:spacing w:line="276" w:lineRule="auto"/>
              <w:jc w:val="both"/>
              <w:rPr>
                <w:rFonts w:eastAsia="Times New Roman" w:cs="Arial"/>
                <w:b/>
                <w:bCs/>
                <w:color w:val="FFFFFF" w:themeColor="background1"/>
                <w:szCs w:val="20"/>
              </w:rPr>
            </w:pPr>
          </w:p>
        </w:tc>
        <w:tc>
          <w:tcPr>
            <w:tcW w:w="3175" w:type="dxa"/>
            <w:shd w:val="clear" w:color="auto" w:fill="auto"/>
          </w:tcPr>
          <w:p w14:paraId="73E473CF" w14:textId="7B72FF84" w:rsidR="00B27574" w:rsidRPr="008401DD" w:rsidRDefault="00B27574" w:rsidP="00960E68">
            <w:pPr>
              <w:spacing w:line="276" w:lineRule="auto"/>
              <w:rPr>
                <w:i/>
                <w:color w:val="67C18C"/>
              </w:rPr>
            </w:pPr>
            <w:r w:rsidRPr="008401DD">
              <w:rPr>
                <w:rFonts w:cs="Arial"/>
                <w:i/>
                <w:color w:val="67C18C"/>
                <w:szCs w:val="20"/>
              </w:rPr>
              <w:t xml:space="preserve">3.5. V kolikšni meri sta projekta upoštevala načelo lastništva prejemnika pomoči in ali ga je aktivno vključeval v izvedbo projektov? </w:t>
            </w:r>
          </w:p>
        </w:tc>
        <w:tc>
          <w:tcPr>
            <w:tcW w:w="4532" w:type="dxa"/>
            <w:shd w:val="clear" w:color="auto" w:fill="auto"/>
          </w:tcPr>
          <w:p w14:paraId="1E3BC67C" w14:textId="4928F96E" w:rsidR="00B27574" w:rsidRPr="008401DD" w:rsidRDefault="00B27574" w:rsidP="00960E68">
            <w:pPr>
              <w:spacing w:line="276" w:lineRule="auto"/>
              <w:rPr>
                <w:rFonts w:cs="Arial"/>
                <w:color w:val="000000"/>
                <w:szCs w:val="20"/>
              </w:rPr>
            </w:pPr>
            <w:r w:rsidRPr="008401DD">
              <w:rPr>
                <w:rFonts w:cs="Arial"/>
                <w:b/>
                <w:color w:val="000000"/>
                <w:szCs w:val="20"/>
              </w:rPr>
              <w:t>K3.5.1.:</w:t>
            </w:r>
            <w:r w:rsidRPr="008401DD">
              <w:rPr>
                <w:rFonts w:cs="Arial"/>
                <w:color w:val="000000"/>
                <w:szCs w:val="20"/>
              </w:rPr>
              <w:t xml:space="preserve"> Stopnja vključenosti države prejemnice v izvedbo projekta glede na projektni načrt</w:t>
            </w:r>
          </w:p>
          <w:p w14:paraId="763A474E" w14:textId="77777777" w:rsidR="00B27574" w:rsidRPr="008401DD" w:rsidRDefault="00B27574" w:rsidP="00960E68">
            <w:pPr>
              <w:spacing w:line="276" w:lineRule="auto"/>
              <w:ind w:left="360"/>
              <w:rPr>
                <w:rFonts w:cs="Arial"/>
                <w:color w:val="000000"/>
                <w:szCs w:val="20"/>
              </w:rPr>
            </w:pPr>
          </w:p>
        </w:tc>
        <w:tc>
          <w:tcPr>
            <w:tcW w:w="3689" w:type="dxa"/>
            <w:shd w:val="clear" w:color="auto" w:fill="auto"/>
          </w:tcPr>
          <w:p w14:paraId="34CE6762" w14:textId="4698B482" w:rsidR="00B27574" w:rsidRPr="008401DD" w:rsidRDefault="00B27574" w:rsidP="00960E68">
            <w:pPr>
              <w:pStyle w:val="ListParagraph"/>
              <w:numPr>
                <w:ilvl w:val="0"/>
                <w:numId w:val="11"/>
              </w:numPr>
              <w:spacing w:line="276" w:lineRule="auto"/>
              <w:rPr>
                <w:rFonts w:cs="Arial"/>
                <w:color w:val="000000" w:themeColor="text1"/>
              </w:rPr>
            </w:pPr>
            <w:r w:rsidRPr="008401DD">
              <w:t>Intervju z vodjo projekta (CMSR) glede vključenosti organov/predstavnikov države prejemnice v izvedbo projekta</w:t>
            </w:r>
          </w:p>
        </w:tc>
      </w:tr>
      <w:tr w:rsidR="00B27574" w:rsidRPr="008401DD" w14:paraId="01A67565" w14:textId="77777777" w:rsidTr="0071177B">
        <w:trPr>
          <w:trHeight w:val="300"/>
        </w:trPr>
        <w:tc>
          <w:tcPr>
            <w:tcW w:w="1644" w:type="dxa"/>
            <w:vMerge w:val="restart"/>
            <w:shd w:val="clear" w:color="auto" w:fill="FFFFFF" w:themeFill="background1"/>
            <w:vAlign w:val="center"/>
            <w:hideMark/>
          </w:tcPr>
          <w:p w14:paraId="308B9919" w14:textId="77777777" w:rsidR="00B27574" w:rsidRPr="008401DD" w:rsidRDefault="00B27574" w:rsidP="00960E68">
            <w:pPr>
              <w:spacing w:line="276" w:lineRule="auto"/>
              <w:jc w:val="center"/>
              <w:rPr>
                <w:rFonts w:eastAsia="Times New Roman" w:cs="Arial"/>
                <w:b/>
                <w:bCs/>
                <w:color w:val="FFFFFF" w:themeColor="background1"/>
                <w:szCs w:val="20"/>
              </w:rPr>
            </w:pPr>
            <w:r w:rsidRPr="008401DD">
              <w:rPr>
                <w:rFonts w:cs="Arial"/>
                <w:b/>
                <w:color w:val="1B75BC"/>
              </w:rPr>
              <w:t>4. Vpliv</w:t>
            </w:r>
          </w:p>
          <w:p w14:paraId="767D2D05" w14:textId="40F92C7F" w:rsidR="00B27574" w:rsidRPr="008401DD" w:rsidRDefault="00B27574" w:rsidP="00960E68">
            <w:pPr>
              <w:spacing w:line="276" w:lineRule="auto"/>
              <w:jc w:val="both"/>
              <w:rPr>
                <w:rFonts w:eastAsia="Times New Roman" w:cs="Arial"/>
                <w:b/>
                <w:bCs/>
                <w:color w:val="FFFFFF" w:themeColor="background1"/>
                <w:szCs w:val="20"/>
              </w:rPr>
            </w:pPr>
          </w:p>
          <w:p w14:paraId="3B26E961" w14:textId="32995FB3" w:rsidR="00B27574" w:rsidRPr="008401DD" w:rsidRDefault="00B27574" w:rsidP="00960E68">
            <w:pPr>
              <w:spacing w:line="276" w:lineRule="auto"/>
              <w:jc w:val="both"/>
              <w:rPr>
                <w:rFonts w:eastAsia="Times New Roman" w:cs="Arial"/>
                <w:b/>
                <w:bCs/>
                <w:color w:val="FFFFFF" w:themeColor="background1"/>
                <w:szCs w:val="20"/>
              </w:rPr>
            </w:pPr>
          </w:p>
        </w:tc>
        <w:tc>
          <w:tcPr>
            <w:tcW w:w="3175" w:type="dxa"/>
            <w:shd w:val="clear" w:color="auto" w:fill="F2F2F2" w:themeFill="background1" w:themeFillShade="F2"/>
            <w:vAlign w:val="center"/>
          </w:tcPr>
          <w:p w14:paraId="5ED402AE" w14:textId="77777777" w:rsidR="00B27574" w:rsidRPr="008401DD" w:rsidRDefault="00B27574" w:rsidP="00960E68">
            <w:pPr>
              <w:spacing w:line="276" w:lineRule="auto"/>
              <w:rPr>
                <w:rFonts w:cs="Arial"/>
                <w:i/>
                <w:color w:val="67C18C"/>
                <w:szCs w:val="20"/>
              </w:rPr>
            </w:pPr>
            <w:r w:rsidRPr="008401DD">
              <w:rPr>
                <w:rFonts w:cs="Arial"/>
                <w:i/>
                <w:color w:val="1B75BC"/>
              </w:rPr>
              <w:t>4. V kolikšni meri projekt ustvarja ali se pričakuje, da bo ustvaril znatne pozitivne ali negativne, namerne ali nenamerne učinke za same prejemnike in širšo družbo?</w:t>
            </w:r>
          </w:p>
        </w:tc>
        <w:tc>
          <w:tcPr>
            <w:tcW w:w="4532" w:type="dxa"/>
            <w:shd w:val="clear" w:color="auto" w:fill="F2F2F2" w:themeFill="background1" w:themeFillShade="F2"/>
            <w:vAlign w:val="center"/>
          </w:tcPr>
          <w:p w14:paraId="0677C241" w14:textId="77777777" w:rsidR="00B27574" w:rsidRPr="008401DD" w:rsidRDefault="00B27574" w:rsidP="00960E68">
            <w:pPr>
              <w:spacing w:line="276" w:lineRule="auto"/>
              <w:rPr>
                <w:rFonts w:cs="Arial"/>
                <w:color w:val="000000"/>
                <w:szCs w:val="20"/>
              </w:rPr>
            </w:pPr>
            <w:r w:rsidRPr="008401DD">
              <w:rPr>
                <w:rFonts w:cs="Arial"/>
                <w:color w:val="000000"/>
                <w:szCs w:val="20"/>
              </w:rPr>
              <w:t xml:space="preserve">Povzetek odgovorov na </w:t>
            </w:r>
            <w:proofErr w:type="spellStart"/>
            <w:r w:rsidRPr="008401DD">
              <w:rPr>
                <w:rFonts w:cs="Arial"/>
                <w:color w:val="000000"/>
                <w:szCs w:val="20"/>
              </w:rPr>
              <w:t>evalvacijska</w:t>
            </w:r>
            <w:proofErr w:type="spellEnd"/>
            <w:r w:rsidRPr="008401DD">
              <w:rPr>
                <w:rFonts w:cs="Arial"/>
                <w:color w:val="000000"/>
                <w:szCs w:val="20"/>
              </w:rPr>
              <w:t xml:space="preserve"> vprašanja 4.1-4.2 </w:t>
            </w:r>
          </w:p>
        </w:tc>
        <w:tc>
          <w:tcPr>
            <w:tcW w:w="3689" w:type="dxa"/>
            <w:shd w:val="clear" w:color="auto" w:fill="F2F2F2" w:themeFill="background1" w:themeFillShade="F2"/>
            <w:vAlign w:val="center"/>
          </w:tcPr>
          <w:p w14:paraId="3B63E073" w14:textId="77777777" w:rsidR="00B27574" w:rsidRPr="008401DD" w:rsidRDefault="00B27574" w:rsidP="00960E68">
            <w:pPr>
              <w:spacing w:line="276" w:lineRule="auto"/>
              <w:rPr>
                <w:rFonts w:cs="Arial"/>
                <w:color w:val="000000"/>
                <w:szCs w:val="20"/>
              </w:rPr>
            </w:pPr>
            <w:r w:rsidRPr="008401DD">
              <w:rPr>
                <w:rFonts w:cs="Arial"/>
                <w:color w:val="000000"/>
              </w:rPr>
              <w:t xml:space="preserve">Vse metode, navedene pri vprašanjih 4.1-4.2 </w:t>
            </w:r>
          </w:p>
        </w:tc>
      </w:tr>
      <w:tr w:rsidR="00B27574" w:rsidRPr="008401DD" w14:paraId="1F18933D" w14:textId="77777777" w:rsidTr="00347AAA">
        <w:trPr>
          <w:trHeight w:val="300"/>
        </w:trPr>
        <w:tc>
          <w:tcPr>
            <w:tcW w:w="1644" w:type="dxa"/>
            <w:vMerge/>
            <w:shd w:val="clear" w:color="auto" w:fill="FFFFFF" w:themeFill="background1"/>
            <w:vAlign w:val="center"/>
          </w:tcPr>
          <w:p w14:paraId="69F26075" w14:textId="121BB65A" w:rsidR="00B27574" w:rsidRPr="008401DD" w:rsidRDefault="00B27574" w:rsidP="00960E68">
            <w:pPr>
              <w:spacing w:line="276" w:lineRule="auto"/>
              <w:jc w:val="both"/>
              <w:rPr>
                <w:rFonts w:cs="Arial"/>
                <w:b/>
                <w:color w:val="1B75BC"/>
              </w:rPr>
            </w:pPr>
          </w:p>
        </w:tc>
        <w:tc>
          <w:tcPr>
            <w:tcW w:w="3175" w:type="dxa"/>
            <w:vMerge w:val="restart"/>
            <w:shd w:val="clear" w:color="auto" w:fill="auto"/>
          </w:tcPr>
          <w:p w14:paraId="7EA0FBBD" w14:textId="77777777" w:rsidR="00B27574" w:rsidRPr="008401DD" w:rsidRDefault="00B27574" w:rsidP="00960E68">
            <w:pPr>
              <w:spacing w:line="276" w:lineRule="auto"/>
              <w:rPr>
                <w:rFonts w:cs="Arial"/>
                <w:i/>
                <w:color w:val="67C18C"/>
              </w:rPr>
            </w:pPr>
            <w:r w:rsidRPr="008401DD">
              <w:rPr>
                <w:rFonts w:cs="Arial"/>
                <w:i/>
                <w:color w:val="67C18C"/>
              </w:rPr>
              <w:t>4.1. Ali ima projekt potencialni dolgoročni vpliv na končne prejemnike in širše družbeno okolje?</w:t>
            </w:r>
          </w:p>
          <w:p w14:paraId="126B4E43" w14:textId="7E9139A9" w:rsidR="00B27574" w:rsidRPr="008401DD" w:rsidRDefault="00B27574" w:rsidP="00960E68">
            <w:pPr>
              <w:spacing w:line="276" w:lineRule="auto"/>
              <w:rPr>
                <w:rFonts w:cs="Arial"/>
                <w:i/>
                <w:color w:val="67C18C"/>
              </w:rPr>
            </w:pPr>
          </w:p>
        </w:tc>
        <w:tc>
          <w:tcPr>
            <w:tcW w:w="4532" w:type="dxa"/>
            <w:shd w:val="clear" w:color="auto" w:fill="auto"/>
            <w:vAlign w:val="center"/>
          </w:tcPr>
          <w:p w14:paraId="33222CCC" w14:textId="7A239EE1" w:rsidR="00B27574" w:rsidRPr="008401DD" w:rsidRDefault="00B27574" w:rsidP="00960E68">
            <w:pPr>
              <w:spacing w:line="276" w:lineRule="auto"/>
              <w:rPr>
                <w:rFonts w:cs="Arial"/>
                <w:color w:val="000000" w:themeColor="text1"/>
                <w:szCs w:val="20"/>
              </w:rPr>
            </w:pPr>
            <w:r w:rsidRPr="008401DD">
              <w:rPr>
                <w:rFonts w:cs="Arial"/>
                <w:b/>
                <w:color w:val="000000"/>
                <w:szCs w:val="20"/>
              </w:rPr>
              <w:t>K4.1.1.:</w:t>
            </w:r>
            <w:r w:rsidRPr="008401DD">
              <w:rPr>
                <w:rFonts w:cs="Arial"/>
                <w:color w:val="000000"/>
                <w:szCs w:val="20"/>
              </w:rPr>
              <w:t xml:space="preserve"> </w:t>
            </w:r>
            <w:r w:rsidRPr="008401DD">
              <w:rPr>
                <w:rFonts w:cs="Arial"/>
                <w:color w:val="000000" w:themeColor="text1"/>
                <w:szCs w:val="20"/>
              </w:rPr>
              <w:t xml:space="preserve">Načini izboljšanja kakovosti življenja in bivanja prebivalcev </w:t>
            </w:r>
            <w:r w:rsidRPr="008401DD">
              <w:t>občine</w:t>
            </w:r>
            <w:r w:rsidRPr="008401DD">
              <w:rPr>
                <w:rFonts w:cs="Arial"/>
                <w:color w:val="000000" w:themeColor="text1"/>
                <w:szCs w:val="20"/>
              </w:rPr>
              <w:t xml:space="preserve"> </w:t>
            </w:r>
            <w:proofErr w:type="spellStart"/>
            <w:r w:rsidRPr="008401DD">
              <w:rPr>
                <w:rFonts w:cs="Arial"/>
                <w:color w:val="000000" w:themeColor="text1"/>
                <w:szCs w:val="20"/>
              </w:rPr>
              <w:t>Probištip</w:t>
            </w:r>
            <w:proofErr w:type="spellEnd"/>
          </w:p>
        </w:tc>
        <w:tc>
          <w:tcPr>
            <w:tcW w:w="3689" w:type="dxa"/>
            <w:shd w:val="clear" w:color="auto" w:fill="auto"/>
          </w:tcPr>
          <w:p w14:paraId="411D60D5" w14:textId="43930F2E"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 xml:space="preserve">Intervju z županom </w:t>
            </w:r>
            <w:r w:rsidRPr="008401DD">
              <w:t>občine</w:t>
            </w:r>
            <w:r w:rsidRPr="008401DD">
              <w:rPr>
                <w:rFonts w:cs="Arial"/>
                <w:color w:val="000000" w:themeColor="text1"/>
              </w:rPr>
              <w:t xml:space="preserve"> </w:t>
            </w:r>
            <w:proofErr w:type="spellStart"/>
            <w:r w:rsidRPr="008401DD">
              <w:rPr>
                <w:rFonts w:cs="Arial"/>
                <w:color w:val="000000" w:themeColor="text1"/>
              </w:rPr>
              <w:t>Probištip</w:t>
            </w:r>
            <w:proofErr w:type="spellEnd"/>
            <w:r w:rsidRPr="008401DD">
              <w:rPr>
                <w:rFonts w:cs="Arial"/>
                <w:color w:val="000000" w:themeColor="text1"/>
              </w:rPr>
              <w:t xml:space="preserve"> o vplivih projektov na prebivalstvo</w:t>
            </w:r>
          </w:p>
        </w:tc>
      </w:tr>
      <w:tr w:rsidR="00B27574" w:rsidRPr="008401DD" w14:paraId="18B4BB47" w14:textId="77777777" w:rsidTr="00347AAA">
        <w:trPr>
          <w:trHeight w:val="300"/>
        </w:trPr>
        <w:tc>
          <w:tcPr>
            <w:tcW w:w="1644" w:type="dxa"/>
            <w:vMerge/>
            <w:shd w:val="clear" w:color="auto" w:fill="FFFFFF" w:themeFill="background1"/>
            <w:vAlign w:val="center"/>
          </w:tcPr>
          <w:p w14:paraId="3ED7717F" w14:textId="3F1781A6" w:rsidR="00B27574" w:rsidRPr="008401DD" w:rsidRDefault="00B27574" w:rsidP="00960E68">
            <w:pPr>
              <w:spacing w:line="276" w:lineRule="auto"/>
              <w:jc w:val="both"/>
              <w:rPr>
                <w:rFonts w:cs="Arial"/>
                <w:b/>
                <w:color w:val="1B75BC"/>
              </w:rPr>
            </w:pPr>
          </w:p>
        </w:tc>
        <w:tc>
          <w:tcPr>
            <w:tcW w:w="3175" w:type="dxa"/>
            <w:vMerge/>
            <w:shd w:val="clear" w:color="auto" w:fill="auto"/>
          </w:tcPr>
          <w:p w14:paraId="6A29D918" w14:textId="2711A669" w:rsidR="00B27574" w:rsidRPr="008401DD" w:rsidRDefault="00B27574" w:rsidP="00960E68">
            <w:pPr>
              <w:spacing w:line="276" w:lineRule="auto"/>
              <w:rPr>
                <w:rFonts w:cs="Arial"/>
                <w:i/>
                <w:color w:val="67C18C"/>
              </w:rPr>
            </w:pPr>
          </w:p>
        </w:tc>
        <w:tc>
          <w:tcPr>
            <w:tcW w:w="4532" w:type="dxa"/>
            <w:shd w:val="clear" w:color="auto" w:fill="auto"/>
            <w:vAlign w:val="center"/>
          </w:tcPr>
          <w:p w14:paraId="627A6441" w14:textId="31173F61" w:rsidR="00B27574" w:rsidRPr="008401DD" w:rsidRDefault="00B27574" w:rsidP="00960E68">
            <w:pPr>
              <w:spacing w:line="276" w:lineRule="auto"/>
              <w:rPr>
                <w:rFonts w:cs="Arial"/>
                <w:color w:val="000000" w:themeColor="text1"/>
                <w:szCs w:val="20"/>
              </w:rPr>
            </w:pPr>
            <w:r w:rsidRPr="008401DD">
              <w:rPr>
                <w:rFonts w:cs="Arial"/>
                <w:b/>
                <w:color w:val="000000"/>
                <w:szCs w:val="20"/>
              </w:rPr>
              <w:t>K4.1.2.:</w:t>
            </w:r>
            <w:r w:rsidRPr="008401DD">
              <w:rPr>
                <w:rFonts w:cs="Arial"/>
                <w:color w:val="000000"/>
                <w:szCs w:val="20"/>
              </w:rPr>
              <w:t xml:space="preserve"> </w:t>
            </w:r>
            <w:r w:rsidRPr="008401DD">
              <w:rPr>
                <w:rFonts w:cs="Arial"/>
                <w:color w:val="000000" w:themeColor="text1"/>
                <w:szCs w:val="20"/>
              </w:rPr>
              <w:t>Prepoznani pozitivni vplivi projektov na stanje infrastrukture v občini in izboljšanje zmogljivosti občine oz. občinskih podjetij</w:t>
            </w:r>
          </w:p>
        </w:tc>
        <w:tc>
          <w:tcPr>
            <w:tcW w:w="3689" w:type="dxa"/>
            <w:shd w:val="clear" w:color="auto" w:fill="auto"/>
          </w:tcPr>
          <w:p w14:paraId="0C64F918" w14:textId="63E7354B"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 xml:space="preserve">Intervju z županom </w:t>
            </w:r>
            <w:r w:rsidRPr="008401DD">
              <w:t>občine</w:t>
            </w:r>
            <w:r w:rsidRPr="008401DD">
              <w:rPr>
                <w:rFonts w:cs="Arial"/>
                <w:color w:val="000000" w:themeColor="text1"/>
              </w:rPr>
              <w:t xml:space="preserve"> </w:t>
            </w:r>
            <w:proofErr w:type="spellStart"/>
            <w:r w:rsidRPr="008401DD">
              <w:rPr>
                <w:rFonts w:cs="Arial"/>
                <w:color w:val="000000" w:themeColor="text1"/>
              </w:rPr>
              <w:t>Probištip</w:t>
            </w:r>
            <w:proofErr w:type="spellEnd"/>
            <w:r w:rsidRPr="008401DD">
              <w:rPr>
                <w:rFonts w:cs="Arial"/>
                <w:color w:val="000000" w:themeColor="text1"/>
              </w:rPr>
              <w:t xml:space="preserve"> o vplivih projektov na prebivalstvo</w:t>
            </w:r>
          </w:p>
        </w:tc>
      </w:tr>
      <w:tr w:rsidR="00B27574" w:rsidRPr="008401DD" w14:paraId="29527D2A" w14:textId="77777777" w:rsidTr="00347AAA">
        <w:trPr>
          <w:trHeight w:val="300"/>
        </w:trPr>
        <w:tc>
          <w:tcPr>
            <w:tcW w:w="1644" w:type="dxa"/>
            <w:vMerge/>
            <w:shd w:val="clear" w:color="auto" w:fill="FFFFFF" w:themeFill="background1"/>
            <w:vAlign w:val="center"/>
          </w:tcPr>
          <w:p w14:paraId="0CD5460F" w14:textId="5CBEF01A"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tcPr>
          <w:p w14:paraId="6CED5815" w14:textId="3B8E3230" w:rsidR="00B27574" w:rsidRPr="008401DD" w:rsidRDefault="00B27574" w:rsidP="00960E68">
            <w:pPr>
              <w:spacing w:line="276" w:lineRule="auto"/>
              <w:rPr>
                <w:rFonts w:cs="Arial"/>
                <w:i/>
                <w:color w:val="67C18C"/>
                <w:szCs w:val="20"/>
              </w:rPr>
            </w:pPr>
            <w:r w:rsidRPr="008401DD">
              <w:rPr>
                <w:rFonts w:cs="Arial"/>
                <w:i/>
                <w:color w:val="67C18C"/>
              </w:rPr>
              <w:t>4.2. Kakšni so morebitni negativni vplivi projektov oz. tveganja, ki bi se v prihodnosti uresničila?</w:t>
            </w:r>
          </w:p>
        </w:tc>
        <w:tc>
          <w:tcPr>
            <w:tcW w:w="4532" w:type="dxa"/>
            <w:shd w:val="clear" w:color="auto" w:fill="auto"/>
            <w:vAlign w:val="center"/>
          </w:tcPr>
          <w:p w14:paraId="4E1C85A5" w14:textId="3476AF12" w:rsidR="00B27574" w:rsidRPr="008401DD" w:rsidRDefault="00B27574" w:rsidP="00960E68">
            <w:pPr>
              <w:spacing w:line="276" w:lineRule="auto"/>
              <w:rPr>
                <w:rFonts w:cs="Arial"/>
                <w:color w:val="000000" w:themeColor="text1"/>
                <w:szCs w:val="20"/>
              </w:rPr>
            </w:pPr>
            <w:r w:rsidRPr="008401DD">
              <w:rPr>
                <w:rFonts w:cs="Arial"/>
                <w:b/>
                <w:color w:val="000000"/>
                <w:szCs w:val="20"/>
              </w:rPr>
              <w:t>K4.2.1.:</w:t>
            </w:r>
            <w:r w:rsidRPr="008401DD">
              <w:rPr>
                <w:rFonts w:cs="Arial"/>
                <w:color w:val="000000"/>
                <w:szCs w:val="20"/>
              </w:rPr>
              <w:t xml:space="preserve"> </w:t>
            </w:r>
            <w:r w:rsidRPr="008401DD">
              <w:rPr>
                <w:rFonts w:cs="Arial"/>
                <w:color w:val="000000" w:themeColor="text1"/>
                <w:szCs w:val="20"/>
              </w:rPr>
              <w:t>Prepoznana materializacija identificiranih tveganj projektov in ustreznost izvedbe ukrepov za zmanjšanje tveganj</w:t>
            </w:r>
          </w:p>
        </w:tc>
        <w:tc>
          <w:tcPr>
            <w:tcW w:w="3689" w:type="dxa"/>
            <w:shd w:val="clear" w:color="auto" w:fill="auto"/>
          </w:tcPr>
          <w:p w14:paraId="31F6584F" w14:textId="77777777"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Pregled projektne dokumentacije</w:t>
            </w:r>
          </w:p>
          <w:p w14:paraId="7AEB35AF" w14:textId="48270C92"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 xml:space="preserve">Intervju z županom </w:t>
            </w:r>
            <w:r w:rsidRPr="008401DD">
              <w:t>občine</w:t>
            </w:r>
            <w:r w:rsidRPr="008401DD">
              <w:rPr>
                <w:rFonts w:cs="Arial"/>
                <w:color w:val="000000" w:themeColor="text1"/>
              </w:rPr>
              <w:t xml:space="preserve"> </w:t>
            </w:r>
            <w:proofErr w:type="spellStart"/>
            <w:r w:rsidRPr="008401DD">
              <w:rPr>
                <w:rFonts w:cs="Arial"/>
                <w:color w:val="000000" w:themeColor="text1"/>
              </w:rPr>
              <w:t>Probištip</w:t>
            </w:r>
            <w:proofErr w:type="spellEnd"/>
            <w:r w:rsidRPr="008401DD">
              <w:rPr>
                <w:rFonts w:cs="Arial"/>
                <w:color w:val="000000" w:themeColor="text1"/>
              </w:rPr>
              <w:t xml:space="preserve"> o morebitnih negativnih vplivih projektov</w:t>
            </w:r>
          </w:p>
          <w:p w14:paraId="373FE575" w14:textId="2CAE5EDC"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lastRenderedPageBreak/>
              <w:t>Intervju s CMSR o morebitnih negativnih vplivih projektov</w:t>
            </w:r>
          </w:p>
        </w:tc>
      </w:tr>
      <w:tr w:rsidR="00B27574" w:rsidRPr="008401DD" w14:paraId="11DABEF5" w14:textId="77777777" w:rsidTr="00347AAA">
        <w:trPr>
          <w:trHeight w:val="300"/>
        </w:trPr>
        <w:tc>
          <w:tcPr>
            <w:tcW w:w="1644" w:type="dxa"/>
            <w:vMerge/>
            <w:shd w:val="clear" w:color="auto" w:fill="FFFFFF" w:themeFill="background1"/>
            <w:vAlign w:val="center"/>
          </w:tcPr>
          <w:p w14:paraId="5E2568DE" w14:textId="39A422A1"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5C35080E" w14:textId="77777777" w:rsidR="00B27574" w:rsidRPr="008401DD" w:rsidRDefault="00B27574" w:rsidP="00960E68">
            <w:pPr>
              <w:spacing w:line="276" w:lineRule="auto"/>
              <w:rPr>
                <w:rFonts w:cs="Arial"/>
                <w:i/>
                <w:color w:val="67C18C"/>
              </w:rPr>
            </w:pPr>
          </w:p>
        </w:tc>
        <w:tc>
          <w:tcPr>
            <w:tcW w:w="4532" w:type="dxa"/>
            <w:shd w:val="clear" w:color="auto" w:fill="auto"/>
            <w:vAlign w:val="center"/>
          </w:tcPr>
          <w:p w14:paraId="7982E124" w14:textId="0E0BFA7B" w:rsidR="00B27574" w:rsidRPr="008401DD" w:rsidRDefault="00B27574" w:rsidP="00960E68">
            <w:pPr>
              <w:spacing w:line="276" w:lineRule="auto"/>
              <w:rPr>
                <w:rFonts w:cs="Arial"/>
                <w:color w:val="000000" w:themeColor="text1"/>
                <w:szCs w:val="20"/>
              </w:rPr>
            </w:pPr>
            <w:r w:rsidRPr="008401DD">
              <w:rPr>
                <w:rFonts w:cs="Arial"/>
                <w:b/>
                <w:color w:val="000000"/>
                <w:szCs w:val="20"/>
              </w:rPr>
              <w:t>K4.2.2.:</w:t>
            </w:r>
            <w:r w:rsidRPr="008401DD">
              <w:rPr>
                <w:rFonts w:cs="Arial"/>
                <w:color w:val="000000"/>
                <w:szCs w:val="20"/>
              </w:rPr>
              <w:t xml:space="preserve"> </w:t>
            </w:r>
            <w:r w:rsidRPr="008401DD">
              <w:rPr>
                <w:rFonts w:cs="Arial"/>
                <w:color w:val="000000" w:themeColor="text1"/>
                <w:szCs w:val="20"/>
              </w:rPr>
              <w:t>Verjetnost materializacije identificiranih tveganj v prihodnosti</w:t>
            </w:r>
          </w:p>
        </w:tc>
        <w:tc>
          <w:tcPr>
            <w:tcW w:w="3689" w:type="dxa"/>
            <w:shd w:val="clear" w:color="auto" w:fill="auto"/>
          </w:tcPr>
          <w:p w14:paraId="20790956" w14:textId="77777777"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Pregled projektne dokumentacije</w:t>
            </w:r>
          </w:p>
          <w:p w14:paraId="77C0721F" w14:textId="7C94FD99"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 xml:space="preserve">Intervju z županom </w:t>
            </w:r>
            <w:r w:rsidRPr="008401DD">
              <w:t xml:space="preserve">občine </w:t>
            </w:r>
            <w:proofErr w:type="spellStart"/>
            <w:r w:rsidRPr="008401DD">
              <w:rPr>
                <w:rFonts w:cs="Arial"/>
                <w:color w:val="000000" w:themeColor="text1"/>
              </w:rPr>
              <w:t>Probištip</w:t>
            </w:r>
            <w:proofErr w:type="spellEnd"/>
            <w:r w:rsidRPr="008401DD">
              <w:rPr>
                <w:rFonts w:cs="Arial"/>
                <w:color w:val="000000" w:themeColor="text1"/>
              </w:rPr>
              <w:t xml:space="preserve"> o morebitnih negativnih vplivih projektov</w:t>
            </w:r>
          </w:p>
          <w:p w14:paraId="2D041D09" w14:textId="145553A1"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Intervju s CMSR o morebitnih negativnih vplivih projektov in naslavljanju le-teh</w:t>
            </w:r>
          </w:p>
        </w:tc>
      </w:tr>
      <w:tr w:rsidR="00B27574" w:rsidRPr="008401DD" w14:paraId="18441A0F" w14:textId="77777777" w:rsidTr="00347AAA">
        <w:trPr>
          <w:trHeight w:val="300"/>
        </w:trPr>
        <w:tc>
          <w:tcPr>
            <w:tcW w:w="1644" w:type="dxa"/>
            <w:vMerge/>
            <w:shd w:val="clear" w:color="auto" w:fill="FFFFFF" w:themeFill="background1"/>
            <w:vAlign w:val="center"/>
          </w:tcPr>
          <w:p w14:paraId="2FDE31DC" w14:textId="60A72FD5"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7A2BA367" w14:textId="77777777" w:rsidR="00B27574" w:rsidRPr="008401DD" w:rsidRDefault="00B27574" w:rsidP="00960E68">
            <w:pPr>
              <w:spacing w:line="276" w:lineRule="auto"/>
              <w:rPr>
                <w:rFonts w:cs="Arial"/>
                <w:i/>
                <w:color w:val="67C18C"/>
              </w:rPr>
            </w:pPr>
          </w:p>
        </w:tc>
        <w:tc>
          <w:tcPr>
            <w:tcW w:w="4532" w:type="dxa"/>
            <w:shd w:val="clear" w:color="auto" w:fill="auto"/>
            <w:vAlign w:val="center"/>
          </w:tcPr>
          <w:p w14:paraId="7728A87E" w14:textId="5D49A44A" w:rsidR="00B27574" w:rsidRPr="008401DD" w:rsidRDefault="00B27574" w:rsidP="00960E68">
            <w:pPr>
              <w:spacing w:line="276" w:lineRule="auto"/>
              <w:rPr>
                <w:rFonts w:cs="Arial"/>
                <w:color w:val="000000" w:themeColor="text1"/>
                <w:szCs w:val="20"/>
              </w:rPr>
            </w:pPr>
            <w:r w:rsidRPr="008401DD">
              <w:rPr>
                <w:rFonts w:cs="Arial"/>
                <w:b/>
                <w:color w:val="000000"/>
                <w:szCs w:val="20"/>
              </w:rPr>
              <w:t>K4.2.3.:</w:t>
            </w:r>
            <w:r w:rsidRPr="008401DD">
              <w:rPr>
                <w:rFonts w:cs="Arial"/>
                <w:color w:val="000000"/>
                <w:szCs w:val="20"/>
              </w:rPr>
              <w:t xml:space="preserve"> </w:t>
            </w:r>
            <w:r w:rsidRPr="008401DD">
              <w:rPr>
                <w:rFonts w:cs="Arial"/>
                <w:color w:val="000000" w:themeColor="text1"/>
                <w:szCs w:val="20"/>
              </w:rPr>
              <w:t>Obstoj okoliščin, ki bi lahko zmanjšale pozitivne vplive projektov ali povzročile negativne vplive v prihodnosti (npr. odsotnost sredstev za vzdrževanje instalirane opreme)</w:t>
            </w:r>
          </w:p>
        </w:tc>
        <w:tc>
          <w:tcPr>
            <w:tcW w:w="3689" w:type="dxa"/>
            <w:shd w:val="clear" w:color="auto" w:fill="auto"/>
          </w:tcPr>
          <w:p w14:paraId="69DFA9CE" w14:textId="77777777"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t>Pregled projektne dokumentacije</w:t>
            </w:r>
          </w:p>
          <w:p w14:paraId="2F68F6F3" w14:textId="6D308206"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 xml:space="preserve">Intervju z županom </w:t>
            </w:r>
            <w:r w:rsidRPr="008401DD">
              <w:t xml:space="preserve">občine </w:t>
            </w:r>
            <w:proofErr w:type="spellStart"/>
            <w:r w:rsidRPr="008401DD">
              <w:rPr>
                <w:rFonts w:cs="Arial"/>
                <w:color w:val="000000" w:themeColor="text1"/>
              </w:rPr>
              <w:t>Probištip</w:t>
            </w:r>
            <w:proofErr w:type="spellEnd"/>
            <w:r w:rsidRPr="008401DD">
              <w:rPr>
                <w:rFonts w:cs="Arial"/>
                <w:color w:val="000000" w:themeColor="text1"/>
              </w:rPr>
              <w:t xml:space="preserve"> o morebitnih negativnih vplivih projektov</w:t>
            </w:r>
          </w:p>
          <w:p w14:paraId="6DD4D033" w14:textId="2875F93E" w:rsidR="00B27574" w:rsidRPr="008401DD" w:rsidRDefault="00B27574" w:rsidP="00960E68">
            <w:pPr>
              <w:pStyle w:val="ListParagraph"/>
              <w:numPr>
                <w:ilvl w:val="0"/>
                <w:numId w:val="11"/>
              </w:numPr>
              <w:spacing w:line="276" w:lineRule="auto"/>
              <w:rPr>
                <w:rFonts w:cs="Arial"/>
                <w:color w:val="000000" w:themeColor="text1"/>
                <w:sz w:val="18"/>
                <w:szCs w:val="20"/>
              </w:rPr>
            </w:pPr>
            <w:r w:rsidRPr="008401DD">
              <w:rPr>
                <w:rFonts w:cs="Arial"/>
                <w:color w:val="000000" w:themeColor="text1"/>
              </w:rPr>
              <w:t>Intervju s CMSR o morebitnih negativnih vplivih projektov in naslavljanju le-teh</w:t>
            </w:r>
          </w:p>
        </w:tc>
      </w:tr>
      <w:tr w:rsidR="00B27574" w:rsidRPr="008401DD" w14:paraId="0A95A12C" w14:textId="77777777" w:rsidTr="0071177B">
        <w:trPr>
          <w:trHeight w:val="300"/>
        </w:trPr>
        <w:tc>
          <w:tcPr>
            <w:tcW w:w="1644" w:type="dxa"/>
            <w:vMerge w:val="restart"/>
            <w:shd w:val="clear" w:color="auto" w:fill="FFFFFF" w:themeFill="background1"/>
            <w:vAlign w:val="center"/>
            <w:hideMark/>
          </w:tcPr>
          <w:p w14:paraId="63A2F613" w14:textId="77777777" w:rsidR="00B27574" w:rsidRPr="008401DD" w:rsidRDefault="00B27574" w:rsidP="00960E68">
            <w:pPr>
              <w:spacing w:line="276" w:lineRule="auto"/>
              <w:jc w:val="center"/>
              <w:rPr>
                <w:rFonts w:eastAsia="Times New Roman" w:cs="Arial"/>
                <w:b/>
                <w:bCs/>
                <w:color w:val="FFFFFF" w:themeColor="background1"/>
                <w:szCs w:val="20"/>
              </w:rPr>
            </w:pPr>
            <w:r w:rsidRPr="008401DD">
              <w:rPr>
                <w:rFonts w:cs="Arial"/>
                <w:b/>
                <w:color w:val="1B75BC"/>
              </w:rPr>
              <w:t>5. Trajnost</w:t>
            </w:r>
          </w:p>
          <w:p w14:paraId="7DC73228" w14:textId="025972FF" w:rsidR="00B27574" w:rsidRPr="008401DD" w:rsidRDefault="00B27574" w:rsidP="00960E68">
            <w:pPr>
              <w:spacing w:line="276" w:lineRule="auto"/>
              <w:jc w:val="both"/>
              <w:rPr>
                <w:rFonts w:eastAsia="Times New Roman" w:cs="Arial"/>
                <w:b/>
                <w:bCs/>
                <w:color w:val="FFFFFF" w:themeColor="background1"/>
                <w:szCs w:val="20"/>
              </w:rPr>
            </w:pPr>
          </w:p>
          <w:p w14:paraId="5C988EEB" w14:textId="2491A451" w:rsidR="00B27574" w:rsidRPr="008401DD" w:rsidRDefault="00B27574" w:rsidP="00960E68">
            <w:pPr>
              <w:spacing w:line="276" w:lineRule="auto"/>
              <w:jc w:val="both"/>
              <w:rPr>
                <w:rFonts w:eastAsia="Times New Roman" w:cs="Arial"/>
                <w:b/>
                <w:bCs/>
                <w:color w:val="FFFFFF" w:themeColor="background1"/>
                <w:szCs w:val="20"/>
              </w:rPr>
            </w:pPr>
          </w:p>
        </w:tc>
        <w:tc>
          <w:tcPr>
            <w:tcW w:w="3175" w:type="dxa"/>
            <w:shd w:val="clear" w:color="auto" w:fill="F2F2F2" w:themeFill="background1" w:themeFillShade="F2"/>
            <w:vAlign w:val="center"/>
          </w:tcPr>
          <w:p w14:paraId="63AFC554" w14:textId="77777777" w:rsidR="00B27574" w:rsidRPr="008401DD" w:rsidRDefault="00B27574" w:rsidP="00960E68">
            <w:pPr>
              <w:spacing w:line="276" w:lineRule="auto"/>
              <w:rPr>
                <w:rFonts w:cs="Arial"/>
                <w:i/>
                <w:color w:val="67C18C"/>
                <w:szCs w:val="20"/>
              </w:rPr>
            </w:pPr>
            <w:r w:rsidRPr="008401DD">
              <w:rPr>
                <w:rFonts w:cs="Arial"/>
                <w:i/>
                <w:color w:val="1B75BC"/>
              </w:rPr>
              <w:t>5. V kolikšni meri se neto koristi projektov nadaljujejo po zaključku projektnih aktivnosti mednarodnega razvojnega sodelovanja.</w:t>
            </w:r>
            <w:r w:rsidRPr="008401DD">
              <w:rPr>
                <w:rFonts w:cs="Arial"/>
                <w:i/>
                <w:color w:val="FF0000"/>
              </w:rPr>
              <w:t xml:space="preserve"> </w:t>
            </w:r>
          </w:p>
        </w:tc>
        <w:tc>
          <w:tcPr>
            <w:tcW w:w="4532" w:type="dxa"/>
            <w:shd w:val="clear" w:color="auto" w:fill="F2F2F2" w:themeFill="background1" w:themeFillShade="F2"/>
            <w:vAlign w:val="center"/>
          </w:tcPr>
          <w:p w14:paraId="6932204C" w14:textId="77777777" w:rsidR="00B27574" w:rsidRPr="008401DD" w:rsidRDefault="00B27574" w:rsidP="00960E68">
            <w:pPr>
              <w:spacing w:line="276" w:lineRule="auto"/>
              <w:rPr>
                <w:rFonts w:cs="Arial"/>
                <w:color w:val="000000"/>
                <w:szCs w:val="20"/>
              </w:rPr>
            </w:pPr>
            <w:r w:rsidRPr="008401DD">
              <w:rPr>
                <w:rFonts w:cs="Arial"/>
                <w:color w:val="000000"/>
                <w:szCs w:val="20"/>
              </w:rPr>
              <w:t xml:space="preserve">Povzetek odgovorov na </w:t>
            </w:r>
            <w:proofErr w:type="spellStart"/>
            <w:r w:rsidRPr="008401DD">
              <w:rPr>
                <w:rFonts w:cs="Arial"/>
                <w:color w:val="000000"/>
                <w:szCs w:val="20"/>
              </w:rPr>
              <w:t>evalvacijska</w:t>
            </w:r>
            <w:proofErr w:type="spellEnd"/>
            <w:r w:rsidRPr="008401DD">
              <w:rPr>
                <w:rFonts w:cs="Arial"/>
                <w:color w:val="000000"/>
                <w:szCs w:val="20"/>
              </w:rPr>
              <w:t xml:space="preserve"> vprašanja 5.1-5.2 </w:t>
            </w:r>
          </w:p>
        </w:tc>
        <w:tc>
          <w:tcPr>
            <w:tcW w:w="3689" w:type="dxa"/>
            <w:shd w:val="clear" w:color="auto" w:fill="F2F2F2" w:themeFill="background1" w:themeFillShade="F2"/>
            <w:vAlign w:val="center"/>
          </w:tcPr>
          <w:p w14:paraId="430DFC52" w14:textId="77777777" w:rsidR="00B27574" w:rsidRPr="008401DD" w:rsidRDefault="00B27574" w:rsidP="00960E68">
            <w:pPr>
              <w:spacing w:line="276" w:lineRule="auto"/>
              <w:rPr>
                <w:rFonts w:cs="Arial"/>
                <w:color w:val="000000"/>
                <w:szCs w:val="20"/>
              </w:rPr>
            </w:pPr>
            <w:r w:rsidRPr="008401DD">
              <w:rPr>
                <w:rFonts w:cs="Arial"/>
                <w:color w:val="000000"/>
              </w:rPr>
              <w:t xml:space="preserve">Vse metode, navedene pri vprašanjih </w:t>
            </w:r>
            <w:r w:rsidRPr="008401DD">
              <w:rPr>
                <w:rFonts w:cs="Arial"/>
                <w:color w:val="000000"/>
                <w:szCs w:val="20"/>
              </w:rPr>
              <w:t>5.1-5.2</w:t>
            </w:r>
          </w:p>
        </w:tc>
      </w:tr>
      <w:tr w:rsidR="00B27574" w:rsidRPr="008401DD" w14:paraId="6C18E674" w14:textId="77777777" w:rsidTr="00D74A1D">
        <w:trPr>
          <w:trHeight w:val="557"/>
        </w:trPr>
        <w:tc>
          <w:tcPr>
            <w:tcW w:w="1644" w:type="dxa"/>
            <w:vMerge/>
            <w:shd w:val="clear" w:color="auto" w:fill="FFFFFF" w:themeFill="background1"/>
            <w:vAlign w:val="center"/>
          </w:tcPr>
          <w:p w14:paraId="2954BE1F" w14:textId="209346B5"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tcPr>
          <w:p w14:paraId="330E7A63" w14:textId="4365FF1D" w:rsidR="00B27574" w:rsidRPr="008401DD" w:rsidRDefault="00B27574" w:rsidP="00960E68">
            <w:pPr>
              <w:spacing w:line="276" w:lineRule="auto"/>
              <w:rPr>
                <w:rFonts w:cs="Arial"/>
                <w:i/>
                <w:color w:val="67C18C"/>
                <w:szCs w:val="20"/>
              </w:rPr>
            </w:pPr>
            <w:r w:rsidRPr="008401DD">
              <w:rPr>
                <w:rFonts w:cs="Arial"/>
                <w:i/>
                <w:color w:val="67C18C"/>
              </w:rPr>
              <w:t>5.1. Ali se je uporabilo mehko pogojevanje za zagotavljanje lokalnega lastništva rezultatov (npr. zaveze glede financiranja stroškov vzdrževanja) pa tudi samo doseganje načrtovanih rezultatov?</w:t>
            </w:r>
          </w:p>
        </w:tc>
        <w:tc>
          <w:tcPr>
            <w:tcW w:w="4532" w:type="dxa"/>
            <w:shd w:val="clear" w:color="auto" w:fill="auto"/>
            <w:vAlign w:val="center"/>
          </w:tcPr>
          <w:p w14:paraId="5B9019EC" w14:textId="04097338" w:rsidR="00B27574" w:rsidRPr="008401DD" w:rsidRDefault="00B27574" w:rsidP="00960E68">
            <w:pPr>
              <w:spacing w:line="276" w:lineRule="auto"/>
              <w:rPr>
                <w:rFonts w:cs="Arial"/>
                <w:szCs w:val="20"/>
              </w:rPr>
            </w:pPr>
            <w:r w:rsidRPr="008401DD">
              <w:rPr>
                <w:rFonts w:cs="Arial"/>
                <w:b/>
                <w:color w:val="000000"/>
                <w:szCs w:val="20"/>
              </w:rPr>
              <w:t>K5.1.1.:</w:t>
            </w:r>
            <w:r w:rsidRPr="008401DD">
              <w:rPr>
                <w:rFonts w:cs="Arial"/>
                <w:color w:val="000000"/>
                <w:szCs w:val="20"/>
              </w:rPr>
              <w:t xml:space="preserve"> </w:t>
            </w:r>
            <w:r w:rsidRPr="008401DD">
              <w:rPr>
                <w:rFonts w:cs="Arial"/>
                <w:szCs w:val="20"/>
              </w:rPr>
              <w:t>Doslednost izvajanja zavez države prejemnice v smislu lastništva nad rezultati in trajnosti (glede na projektno dokumentacijo)</w:t>
            </w:r>
          </w:p>
        </w:tc>
        <w:tc>
          <w:tcPr>
            <w:tcW w:w="3689" w:type="dxa"/>
            <w:shd w:val="clear" w:color="auto" w:fill="auto"/>
          </w:tcPr>
          <w:p w14:paraId="13242129" w14:textId="74172F3F" w:rsidR="00B27574" w:rsidRPr="008401DD" w:rsidRDefault="00B27574" w:rsidP="00960E68">
            <w:pPr>
              <w:pStyle w:val="ListParagraph"/>
              <w:numPr>
                <w:ilvl w:val="0"/>
                <w:numId w:val="11"/>
              </w:numPr>
              <w:spacing w:line="276" w:lineRule="auto"/>
              <w:rPr>
                <w:rFonts w:cs="Arial"/>
                <w:color w:val="000000" w:themeColor="text1"/>
              </w:rPr>
            </w:pPr>
            <w:r w:rsidRPr="008401DD">
              <w:rPr>
                <w:rFonts w:cs="Arial"/>
                <w:color w:val="000000" w:themeColor="text1"/>
              </w:rPr>
              <w:t>Pregled relevantne dokumentacije (pogodbe o zavezah)</w:t>
            </w:r>
          </w:p>
        </w:tc>
      </w:tr>
      <w:tr w:rsidR="00B27574" w:rsidRPr="008401DD" w14:paraId="484048BB" w14:textId="77777777" w:rsidTr="00322055">
        <w:trPr>
          <w:trHeight w:val="67"/>
        </w:trPr>
        <w:tc>
          <w:tcPr>
            <w:tcW w:w="1644" w:type="dxa"/>
            <w:vMerge/>
            <w:shd w:val="clear" w:color="auto" w:fill="FFFFFF" w:themeFill="background1"/>
            <w:vAlign w:val="center"/>
          </w:tcPr>
          <w:p w14:paraId="597CC3BA" w14:textId="436F96D6"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226D9D60" w14:textId="6CBCBD9F" w:rsidR="00B27574" w:rsidRPr="008401DD" w:rsidRDefault="00B27574" w:rsidP="00960E68">
            <w:pPr>
              <w:spacing w:line="276" w:lineRule="auto"/>
              <w:rPr>
                <w:rFonts w:cs="Arial"/>
                <w:i/>
                <w:color w:val="67C18C"/>
              </w:rPr>
            </w:pPr>
          </w:p>
        </w:tc>
        <w:tc>
          <w:tcPr>
            <w:tcW w:w="4532" w:type="dxa"/>
            <w:shd w:val="clear" w:color="auto" w:fill="auto"/>
            <w:vAlign w:val="center"/>
          </w:tcPr>
          <w:p w14:paraId="623B2771" w14:textId="03E8831B" w:rsidR="00B27574" w:rsidRPr="008401DD" w:rsidRDefault="00B27574" w:rsidP="00960E68">
            <w:pPr>
              <w:spacing w:line="276" w:lineRule="auto"/>
              <w:rPr>
                <w:rFonts w:cs="Arial"/>
                <w:color w:val="000000" w:themeColor="text1"/>
              </w:rPr>
            </w:pPr>
            <w:r w:rsidRPr="008401DD">
              <w:rPr>
                <w:rFonts w:cs="Arial"/>
                <w:b/>
                <w:color w:val="000000"/>
                <w:szCs w:val="20"/>
              </w:rPr>
              <w:t>K5.1.2.:</w:t>
            </w:r>
            <w:r w:rsidRPr="008401DD">
              <w:rPr>
                <w:rFonts w:cs="Arial"/>
                <w:color w:val="000000"/>
                <w:szCs w:val="20"/>
              </w:rPr>
              <w:t xml:space="preserve"> </w:t>
            </w:r>
            <w:r w:rsidRPr="008401DD">
              <w:rPr>
                <w:rFonts w:cs="Arial"/>
                <w:color w:val="000000" w:themeColor="text1"/>
              </w:rPr>
              <w:t>Uspešnost vzpostavljenih mehanizmov za zagotovitev trajnosti rezultatov</w:t>
            </w:r>
          </w:p>
        </w:tc>
        <w:tc>
          <w:tcPr>
            <w:tcW w:w="3689" w:type="dxa"/>
            <w:shd w:val="clear" w:color="auto" w:fill="auto"/>
          </w:tcPr>
          <w:p w14:paraId="12650367" w14:textId="308B4FBA" w:rsidR="00B27574" w:rsidRPr="008401DD" w:rsidRDefault="00B27574" w:rsidP="00960E68">
            <w:pPr>
              <w:pStyle w:val="ListParagraph"/>
              <w:numPr>
                <w:ilvl w:val="0"/>
                <w:numId w:val="11"/>
              </w:numPr>
              <w:spacing w:line="276" w:lineRule="auto"/>
              <w:rPr>
                <w:rFonts w:cs="Arial"/>
                <w:color w:val="000000" w:themeColor="text1"/>
              </w:rPr>
            </w:pPr>
            <w:r w:rsidRPr="008401DD">
              <w:t>Intervju s CMSR glede zagotavljanja trajnosti rezultatov</w:t>
            </w:r>
          </w:p>
        </w:tc>
      </w:tr>
      <w:tr w:rsidR="00B27574" w:rsidRPr="008401DD" w14:paraId="1CACCC5F" w14:textId="77777777" w:rsidTr="0071177B">
        <w:trPr>
          <w:trHeight w:val="983"/>
        </w:trPr>
        <w:tc>
          <w:tcPr>
            <w:tcW w:w="1644" w:type="dxa"/>
            <w:vMerge/>
            <w:shd w:val="clear" w:color="auto" w:fill="FFFFFF" w:themeFill="background1"/>
            <w:vAlign w:val="center"/>
          </w:tcPr>
          <w:p w14:paraId="124DD1B3" w14:textId="2C7547F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val="restart"/>
            <w:shd w:val="clear" w:color="auto" w:fill="auto"/>
          </w:tcPr>
          <w:p w14:paraId="74292A25" w14:textId="77777777" w:rsidR="00B27574" w:rsidRPr="008401DD" w:rsidRDefault="00B27574" w:rsidP="00960E68">
            <w:pPr>
              <w:spacing w:line="276" w:lineRule="auto"/>
              <w:rPr>
                <w:rFonts w:cs="Arial"/>
                <w:i/>
                <w:color w:val="67C18C"/>
              </w:rPr>
            </w:pPr>
            <w:r w:rsidRPr="008401DD">
              <w:rPr>
                <w:rFonts w:cs="Arial"/>
                <w:i/>
                <w:color w:val="67C18C"/>
              </w:rPr>
              <w:t xml:space="preserve">5.2. V kolikšni meri je prejemnik pomoči sposoben in pripravljen vzdrževati pozitivne vplive </w:t>
            </w:r>
            <w:r w:rsidRPr="008401DD">
              <w:rPr>
                <w:rFonts w:cs="Arial"/>
                <w:i/>
                <w:color w:val="67C18C"/>
              </w:rPr>
              <w:lastRenderedPageBreak/>
              <w:t>projekta brez podpore na dolgi rok?</w:t>
            </w:r>
          </w:p>
          <w:p w14:paraId="6A42C15A" w14:textId="6F2C09FA" w:rsidR="00B27574" w:rsidRPr="008401DD" w:rsidRDefault="00B27574" w:rsidP="00960E68">
            <w:pPr>
              <w:spacing w:line="276" w:lineRule="auto"/>
              <w:rPr>
                <w:rFonts w:cs="Arial"/>
                <w:i/>
                <w:color w:val="67C18C"/>
              </w:rPr>
            </w:pPr>
          </w:p>
          <w:p w14:paraId="4E7286AF" w14:textId="293B9E13" w:rsidR="00B27574" w:rsidRPr="008401DD" w:rsidRDefault="00B27574" w:rsidP="00960E68">
            <w:pPr>
              <w:spacing w:line="276" w:lineRule="auto"/>
              <w:rPr>
                <w:rFonts w:cs="Arial"/>
                <w:i/>
                <w:color w:val="67C18C"/>
              </w:rPr>
            </w:pPr>
          </w:p>
        </w:tc>
        <w:tc>
          <w:tcPr>
            <w:tcW w:w="4532" w:type="dxa"/>
            <w:shd w:val="clear" w:color="auto" w:fill="auto"/>
            <w:vAlign w:val="center"/>
          </w:tcPr>
          <w:p w14:paraId="1425624E" w14:textId="632C076F" w:rsidR="00B27574" w:rsidRPr="008401DD" w:rsidRDefault="00B27574" w:rsidP="00960E68">
            <w:pPr>
              <w:spacing w:line="276" w:lineRule="auto"/>
              <w:rPr>
                <w:rFonts w:cs="Arial"/>
                <w:color w:val="000000" w:themeColor="text1"/>
              </w:rPr>
            </w:pPr>
            <w:r w:rsidRPr="008401DD">
              <w:rPr>
                <w:rFonts w:cs="Arial"/>
                <w:b/>
                <w:color w:val="000000"/>
                <w:szCs w:val="20"/>
              </w:rPr>
              <w:lastRenderedPageBreak/>
              <w:t>K5.2.1.:</w:t>
            </w:r>
            <w:r w:rsidRPr="008401DD">
              <w:rPr>
                <w:rFonts w:cs="Arial"/>
                <w:color w:val="000000"/>
                <w:szCs w:val="20"/>
              </w:rPr>
              <w:t xml:space="preserve"> </w:t>
            </w:r>
            <w:r w:rsidRPr="008401DD">
              <w:rPr>
                <w:rFonts w:cs="Arial"/>
                <w:color w:val="000000" w:themeColor="text1"/>
              </w:rPr>
              <w:t>Preveritev zavez države prejemnice za zagotavljanje lastništva nad rezultati in trajnosti v prihodnje (v smislu financiranja in kadrov)</w:t>
            </w:r>
          </w:p>
        </w:tc>
        <w:tc>
          <w:tcPr>
            <w:tcW w:w="3689" w:type="dxa"/>
            <w:shd w:val="clear" w:color="auto" w:fill="auto"/>
          </w:tcPr>
          <w:p w14:paraId="79390CCB" w14:textId="292CD1BA" w:rsidR="00B27574" w:rsidRPr="008401DD" w:rsidRDefault="00B27574" w:rsidP="00960E68">
            <w:pPr>
              <w:pStyle w:val="ListParagraph"/>
              <w:numPr>
                <w:ilvl w:val="0"/>
                <w:numId w:val="11"/>
              </w:numPr>
              <w:spacing w:line="276" w:lineRule="auto"/>
              <w:rPr>
                <w:rFonts w:cs="Arial"/>
                <w:color w:val="000000" w:themeColor="text1"/>
              </w:rPr>
            </w:pPr>
            <w:r w:rsidRPr="008401DD">
              <w:t>Pregled relevantne dokumentacije</w:t>
            </w:r>
          </w:p>
        </w:tc>
      </w:tr>
      <w:tr w:rsidR="00B27574" w:rsidRPr="008401DD" w14:paraId="18444633" w14:textId="77777777" w:rsidTr="0071177B">
        <w:trPr>
          <w:trHeight w:val="983"/>
        </w:trPr>
        <w:tc>
          <w:tcPr>
            <w:tcW w:w="1644" w:type="dxa"/>
            <w:vMerge/>
            <w:shd w:val="clear" w:color="auto" w:fill="FFFFFF" w:themeFill="background1"/>
            <w:vAlign w:val="center"/>
          </w:tcPr>
          <w:p w14:paraId="50B8AB4B" w14:textId="234FB337"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57903A94" w14:textId="72165A66" w:rsidR="00B27574" w:rsidRPr="008401DD" w:rsidRDefault="00B27574" w:rsidP="00960E68">
            <w:pPr>
              <w:spacing w:line="276" w:lineRule="auto"/>
              <w:rPr>
                <w:rFonts w:cs="Arial"/>
                <w:i/>
                <w:color w:val="67C18C"/>
              </w:rPr>
            </w:pPr>
          </w:p>
        </w:tc>
        <w:tc>
          <w:tcPr>
            <w:tcW w:w="4532" w:type="dxa"/>
            <w:shd w:val="clear" w:color="auto" w:fill="auto"/>
            <w:vAlign w:val="center"/>
          </w:tcPr>
          <w:p w14:paraId="532433E7" w14:textId="6CF367AB" w:rsidR="00B27574" w:rsidRPr="008401DD" w:rsidRDefault="00B27574" w:rsidP="00960E68">
            <w:pPr>
              <w:spacing w:line="276" w:lineRule="auto"/>
              <w:rPr>
                <w:rFonts w:cs="Arial"/>
                <w:color w:val="000000" w:themeColor="text1"/>
              </w:rPr>
            </w:pPr>
            <w:r w:rsidRPr="008401DD">
              <w:rPr>
                <w:rFonts w:cs="Arial"/>
                <w:b/>
                <w:color w:val="000000"/>
                <w:szCs w:val="20"/>
              </w:rPr>
              <w:t>K5.2.2.:</w:t>
            </w:r>
            <w:r w:rsidRPr="008401DD">
              <w:rPr>
                <w:rFonts w:cs="Arial"/>
                <w:color w:val="000000"/>
                <w:szCs w:val="20"/>
              </w:rPr>
              <w:t xml:space="preserve"> </w:t>
            </w:r>
            <w:r w:rsidRPr="008401DD">
              <w:rPr>
                <w:rFonts w:cs="Arial"/>
                <w:color w:val="000000" w:themeColor="text1"/>
              </w:rPr>
              <w:t xml:space="preserve">Ocena deležnikov glede sposobnosti javnega komunalnega podjetja »Nikola </w:t>
            </w:r>
            <w:proofErr w:type="spellStart"/>
            <w:r w:rsidRPr="008401DD">
              <w:rPr>
                <w:rFonts w:cs="Arial"/>
                <w:color w:val="000000" w:themeColor="text1"/>
              </w:rPr>
              <w:t>Karev</w:t>
            </w:r>
            <w:proofErr w:type="spellEnd"/>
            <w:r w:rsidRPr="008401DD">
              <w:rPr>
                <w:rFonts w:cs="Arial"/>
                <w:color w:val="000000" w:themeColor="text1"/>
              </w:rPr>
              <w:t>« za ohranitev doseženih izboljšav na področju varovanja okolja</w:t>
            </w:r>
          </w:p>
        </w:tc>
        <w:tc>
          <w:tcPr>
            <w:tcW w:w="3689" w:type="dxa"/>
            <w:shd w:val="clear" w:color="auto" w:fill="auto"/>
          </w:tcPr>
          <w:p w14:paraId="2EE81397" w14:textId="51C9405B" w:rsidR="00B27574" w:rsidRPr="008401DD" w:rsidRDefault="00B27574" w:rsidP="00960E68">
            <w:pPr>
              <w:pStyle w:val="ListParagraph"/>
              <w:numPr>
                <w:ilvl w:val="0"/>
                <w:numId w:val="11"/>
              </w:numPr>
              <w:spacing w:line="276" w:lineRule="auto"/>
              <w:rPr>
                <w:rFonts w:cs="Arial"/>
                <w:color w:val="000000" w:themeColor="text1"/>
              </w:rPr>
            </w:pPr>
            <w:r w:rsidRPr="008401DD">
              <w:t>Intervju s CMSR glede možnosti ohranitev doseženih izboljšav</w:t>
            </w:r>
          </w:p>
        </w:tc>
      </w:tr>
      <w:tr w:rsidR="00B27574" w:rsidRPr="008401DD" w14:paraId="782145D9" w14:textId="77777777" w:rsidTr="00322055">
        <w:trPr>
          <w:trHeight w:val="67"/>
        </w:trPr>
        <w:tc>
          <w:tcPr>
            <w:tcW w:w="1644" w:type="dxa"/>
            <w:vMerge/>
            <w:shd w:val="clear" w:color="auto" w:fill="FFFFFF" w:themeFill="background1"/>
            <w:vAlign w:val="center"/>
          </w:tcPr>
          <w:p w14:paraId="263DCCB1" w14:textId="41875684" w:rsidR="00B27574" w:rsidRPr="008401DD" w:rsidRDefault="00B27574" w:rsidP="00960E68">
            <w:pPr>
              <w:spacing w:line="276" w:lineRule="auto"/>
              <w:jc w:val="both"/>
              <w:rPr>
                <w:rFonts w:eastAsia="Times New Roman" w:cs="Arial"/>
                <w:b/>
                <w:bCs/>
                <w:color w:val="FFFFFF" w:themeColor="background1"/>
                <w:szCs w:val="20"/>
              </w:rPr>
            </w:pPr>
          </w:p>
        </w:tc>
        <w:tc>
          <w:tcPr>
            <w:tcW w:w="3175" w:type="dxa"/>
            <w:vMerge/>
            <w:shd w:val="clear" w:color="auto" w:fill="auto"/>
          </w:tcPr>
          <w:p w14:paraId="2BE27553" w14:textId="290F4A47" w:rsidR="00B27574" w:rsidRPr="008401DD" w:rsidRDefault="00B27574" w:rsidP="00960E68">
            <w:pPr>
              <w:spacing w:line="276" w:lineRule="auto"/>
              <w:rPr>
                <w:rFonts w:cs="Arial"/>
                <w:i/>
                <w:color w:val="67C18C"/>
              </w:rPr>
            </w:pPr>
          </w:p>
        </w:tc>
        <w:tc>
          <w:tcPr>
            <w:tcW w:w="4532" w:type="dxa"/>
            <w:shd w:val="clear" w:color="auto" w:fill="auto"/>
            <w:vAlign w:val="center"/>
          </w:tcPr>
          <w:p w14:paraId="29BBAE85" w14:textId="49BACFE7" w:rsidR="00B27574" w:rsidRPr="008401DD" w:rsidRDefault="00B27574" w:rsidP="00960E68">
            <w:pPr>
              <w:spacing w:line="276" w:lineRule="auto"/>
              <w:rPr>
                <w:rFonts w:cs="Arial"/>
                <w:color w:val="000000" w:themeColor="text1"/>
              </w:rPr>
            </w:pPr>
            <w:r w:rsidRPr="008401DD">
              <w:rPr>
                <w:rFonts w:cs="Arial"/>
                <w:b/>
                <w:color w:val="000000"/>
                <w:szCs w:val="20"/>
              </w:rPr>
              <w:t>K5.2.3.:</w:t>
            </w:r>
            <w:r w:rsidRPr="008401DD">
              <w:rPr>
                <w:rFonts w:cs="Arial"/>
                <w:color w:val="000000"/>
                <w:szCs w:val="20"/>
              </w:rPr>
              <w:t xml:space="preserve"> </w:t>
            </w:r>
            <w:r w:rsidRPr="008401DD">
              <w:rPr>
                <w:rFonts w:cs="Arial"/>
                <w:color w:val="000000" w:themeColor="text1"/>
              </w:rPr>
              <w:t>Obstoj drugih dejavnikov, ki krepijo ali zavirajo trajnost</w:t>
            </w:r>
          </w:p>
        </w:tc>
        <w:tc>
          <w:tcPr>
            <w:tcW w:w="3689" w:type="dxa"/>
            <w:shd w:val="clear" w:color="auto" w:fill="auto"/>
          </w:tcPr>
          <w:p w14:paraId="2022F517" w14:textId="034057B9" w:rsidR="00B27574" w:rsidRPr="008401DD" w:rsidRDefault="00B27574" w:rsidP="00960E68">
            <w:pPr>
              <w:pStyle w:val="ListParagraph"/>
              <w:numPr>
                <w:ilvl w:val="0"/>
                <w:numId w:val="11"/>
              </w:numPr>
              <w:spacing w:line="276" w:lineRule="auto"/>
              <w:rPr>
                <w:rFonts w:cs="Arial"/>
                <w:color w:val="000000" w:themeColor="text1"/>
              </w:rPr>
            </w:pPr>
            <w:r w:rsidRPr="008401DD">
              <w:t>Intervju s CMSR glede trajnosti</w:t>
            </w:r>
          </w:p>
        </w:tc>
      </w:tr>
    </w:tbl>
    <w:p w14:paraId="2C291F78" w14:textId="77777777" w:rsidR="00BF2F38" w:rsidRPr="008401DD" w:rsidRDefault="00BF2F38" w:rsidP="00960E68">
      <w:pPr>
        <w:spacing w:line="276" w:lineRule="auto"/>
        <w:jc w:val="both"/>
        <w:rPr>
          <w:rFonts w:cs="Arial"/>
        </w:rPr>
      </w:pPr>
    </w:p>
    <w:p w14:paraId="40A918F5" w14:textId="77777777" w:rsidR="00F6725D" w:rsidRPr="008401DD" w:rsidRDefault="00F6725D" w:rsidP="00960E68">
      <w:pPr>
        <w:rPr>
          <w:rFonts w:eastAsiaTheme="majorEastAsia" w:cs="Arial"/>
          <w:b/>
          <w:color w:val="9ACA3C"/>
          <w:sz w:val="28"/>
          <w:szCs w:val="28"/>
        </w:rPr>
      </w:pPr>
      <w:r w:rsidRPr="008401DD">
        <w:br w:type="page"/>
      </w:r>
    </w:p>
    <w:p w14:paraId="322F4B18" w14:textId="77777777" w:rsidR="00F6725D" w:rsidRPr="008401DD" w:rsidRDefault="00F6725D" w:rsidP="00960E68">
      <w:pPr>
        <w:pStyle w:val="Heading2"/>
        <w:spacing w:before="0" w:after="0"/>
      </w:pPr>
      <w:bookmarkStart w:id="94" w:name="_Toc52394929"/>
      <w:bookmarkStart w:id="95" w:name="_Toc56088903"/>
      <w:bookmarkStart w:id="96" w:name="_Toc56112197"/>
      <w:bookmarkStart w:id="97" w:name="_Toc57377174"/>
      <w:r w:rsidRPr="008401DD">
        <w:lastRenderedPageBreak/>
        <w:t>Načrt dela</w:t>
      </w:r>
      <w:bookmarkEnd w:id="94"/>
      <w:bookmarkEnd w:id="95"/>
      <w:bookmarkEnd w:id="96"/>
      <w:bookmarkEnd w:id="97"/>
    </w:p>
    <w:p w14:paraId="5B609442" w14:textId="77777777" w:rsidR="00D20AC0" w:rsidRPr="008401DD" w:rsidRDefault="00D20AC0" w:rsidP="00960E68"/>
    <w:tbl>
      <w:tblPr>
        <w:tblStyle w:val="TableGrid"/>
        <w:tblW w:w="13014" w:type="dxa"/>
        <w:tblLook w:val="04A0" w:firstRow="1" w:lastRow="0" w:firstColumn="1" w:lastColumn="0" w:noHBand="0" w:noVBand="1"/>
      </w:tblPr>
      <w:tblGrid>
        <w:gridCol w:w="2468"/>
        <w:gridCol w:w="958"/>
        <w:gridCol w:w="959"/>
        <w:gridCol w:w="959"/>
        <w:gridCol w:w="958"/>
        <w:gridCol w:w="959"/>
        <w:gridCol w:w="959"/>
        <w:gridCol w:w="959"/>
        <w:gridCol w:w="958"/>
        <w:gridCol w:w="959"/>
        <w:gridCol w:w="959"/>
        <w:gridCol w:w="959"/>
      </w:tblGrid>
      <w:tr w:rsidR="00D20AC0" w:rsidRPr="008401DD" w14:paraId="03DE09B8" w14:textId="77777777" w:rsidTr="00FB529F">
        <w:trPr>
          <w:trHeight w:val="288"/>
        </w:trPr>
        <w:tc>
          <w:tcPr>
            <w:tcW w:w="2468" w:type="dxa"/>
            <w:shd w:val="clear" w:color="auto" w:fill="67C18C"/>
            <w:vAlign w:val="center"/>
          </w:tcPr>
          <w:p w14:paraId="23249F31" w14:textId="77777777" w:rsidR="000F758C" w:rsidRPr="008401DD" w:rsidRDefault="000F758C" w:rsidP="00960E68">
            <w:pPr>
              <w:spacing w:line="276" w:lineRule="auto"/>
              <w:jc w:val="center"/>
              <w:rPr>
                <w:b/>
                <w:color w:val="FFFFFF" w:themeColor="background1"/>
                <w:szCs w:val="20"/>
              </w:rPr>
            </w:pPr>
            <w:r w:rsidRPr="008401DD">
              <w:rPr>
                <w:b/>
                <w:color w:val="FFFFFF" w:themeColor="background1"/>
                <w:szCs w:val="20"/>
              </w:rPr>
              <w:t>Aktivnost / Teden (T)</w:t>
            </w:r>
          </w:p>
        </w:tc>
        <w:tc>
          <w:tcPr>
            <w:tcW w:w="958" w:type="dxa"/>
            <w:shd w:val="clear" w:color="auto" w:fill="67C18C"/>
          </w:tcPr>
          <w:p w14:paraId="4EFBCDE7"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T1</w:t>
            </w:r>
          </w:p>
          <w:p w14:paraId="2D16EC1D"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(14.9.-20.9.)</w:t>
            </w:r>
          </w:p>
        </w:tc>
        <w:tc>
          <w:tcPr>
            <w:tcW w:w="959" w:type="dxa"/>
            <w:shd w:val="clear" w:color="auto" w:fill="67C18C"/>
          </w:tcPr>
          <w:p w14:paraId="636CDC2A"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T2</w:t>
            </w:r>
          </w:p>
          <w:p w14:paraId="624729F9"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(21.9.-27.9.)</w:t>
            </w:r>
          </w:p>
        </w:tc>
        <w:tc>
          <w:tcPr>
            <w:tcW w:w="959" w:type="dxa"/>
            <w:shd w:val="clear" w:color="auto" w:fill="67C18C"/>
          </w:tcPr>
          <w:p w14:paraId="5F2212D1"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T3</w:t>
            </w:r>
          </w:p>
          <w:p w14:paraId="3938C234"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(28.9.-4.10.)</w:t>
            </w:r>
          </w:p>
        </w:tc>
        <w:tc>
          <w:tcPr>
            <w:tcW w:w="958" w:type="dxa"/>
            <w:shd w:val="clear" w:color="auto" w:fill="67C18C"/>
          </w:tcPr>
          <w:p w14:paraId="517F1C68"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T4</w:t>
            </w:r>
          </w:p>
          <w:p w14:paraId="1471A19E"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(5.10.-11.10.)</w:t>
            </w:r>
          </w:p>
        </w:tc>
        <w:tc>
          <w:tcPr>
            <w:tcW w:w="959" w:type="dxa"/>
            <w:shd w:val="clear" w:color="auto" w:fill="67C18C"/>
          </w:tcPr>
          <w:p w14:paraId="6651EA16"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T5</w:t>
            </w:r>
          </w:p>
          <w:p w14:paraId="6F8E36F7"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(12.10.-18.10.)</w:t>
            </w:r>
          </w:p>
        </w:tc>
        <w:tc>
          <w:tcPr>
            <w:tcW w:w="959" w:type="dxa"/>
            <w:shd w:val="clear" w:color="auto" w:fill="67C18C"/>
          </w:tcPr>
          <w:p w14:paraId="3DDF8DED"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T6</w:t>
            </w:r>
          </w:p>
          <w:p w14:paraId="4454A207"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(19.10.-25.10.)</w:t>
            </w:r>
          </w:p>
        </w:tc>
        <w:tc>
          <w:tcPr>
            <w:tcW w:w="959" w:type="dxa"/>
            <w:shd w:val="clear" w:color="auto" w:fill="67C18C"/>
          </w:tcPr>
          <w:p w14:paraId="7DD8B3B7"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T7</w:t>
            </w:r>
          </w:p>
          <w:p w14:paraId="7D737720"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(26.10.-1.11.)</w:t>
            </w:r>
          </w:p>
        </w:tc>
        <w:tc>
          <w:tcPr>
            <w:tcW w:w="958" w:type="dxa"/>
            <w:shd w:val="clear" w:color="auto" w:fill="67C18C"/>
          </w:tcPr>
          <w:p w14:paraId="51AE0C5F"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T8</w:t>
            </w:r>
          </w:p>
          <w:p w14:paraId="1D1D7B32"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(2.11.-8.11.)</w:t>
            </w:r>
          </w:p>
        </w:tc>
        <w:tc>
          <w:tcPr>
            <w:tcW w:w="959" w:type="dxa"/>
            <w:shd w:val="clear" w:color="auto" w:fill="67C18C"/>
          </w:tcPr>
          <w:p w14:paraId="0F0BE91C"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T9</w:t>
            </w:r>
          </w:p>
          <w:p w14:paraId="56FA96A3"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(9.11.-15.11.)</w:t>
            </w:r>
          </w:p>
        </w:tc>
        <w:tc>
          <w:tcPr>
            <w:tcW w:w="959" w:type="dxa"/>
            <w:shd w:val="clear" w:color="auto" w:fill="67C18C"/>
          </w:tcPr>
          <w:p w14:paraId="6671BF48"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T10</w:t>
            </w:r>
          </w:p>
          <w:p w14:paraId="34C425B8"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(16.11.-22.11.)</w:t>
            </w:r>
          </w:p>
        </w:tc>
        <w:tc>
          <w:tcPr>
            <w:tcW w:w="959" w:type="dxa"/>
            <w:shd w:val="clear" w:color="auto" w:fill="67C18C"/>
          </w:tcPr>
          <w:p w14:paraId="63E7C148" w14:textId="77777777" w:rsidR="000F758C" w:rsidRPr="008401DD" w:rsidRDefault="000F758C" w:rsidP="00960E68">
            <w:pPr>
              <w:spacing w:line="276" w:lineRule="auto"/>
              <w:jc w:val="both"/>
              <w:rPr>
                <w:b/>
                <w:color w:val="FFFFFF" w:themeColor="background1"/>
                <w:szCs w:val="20"/>
              </w:rPr>
            </w:pPr>
            <w:r w:rsidRPr="008401DD">
              <w:rPr>
                <w:b/>
                <w:color w:val="FFFFFF" w:themeColor="background1"/>
                <w:szCs w:val="20"/>
              </w:rPr>
              <w:t>T11</w:t>
            </w:r>
          </w:p>
          <w:p w14:paraId="4CEEE543" w14:textId="77777777" w:rsidR="000F758C" w:rsidRPr="008401DD" w:rsidRDefault="000F758C" w:rsidP="00960E68">
            <w:pPr>
              <w:spacing w:line="276" w:lineRule="auto"/>
              <w:jc w:val="both"/>
              <w:rPr>
                <w:color w:val="FFFFFF" w:themeColor="background1"/>
                <w:szCs w:val="20"/>
              </w:rPr>
            </w:pPr>
            <w:r w:rsidRPr="008401DD">
              <w:rPr>
                <w:color w:val="FFFFFF" w:themeColor="background1"/>
                <w:szCs w:val="20"/>
              </w:rPr>
              <w:t>(23.11.-29.11.)</w:t>
            </w:r>
          </w:p>
        </w:tc>
      </w:tr>
      <w:tr w:rsidR="00D20AC0" w:rsidRPr="008401DD" w14:paraId="5C6DA640" w14:textId="77777777" w:rsidTr="000F758C">
        <w:trPr>
          <w:trHeight w:val="288"/>
        </w:trPr>
        <w:tc>
          <w:tcPr>
            <w:tcW w:w="2468" w:type="dxa"/>
          </w:tcPr>
          <w:p w14:paraId="78278B2B" w14:textId="77777777" w:rsidR="000F758C" w:rsidRPr="008401DD" w:rsidRDefault="000F758C" w:rsidP="00B85B43">
            <w:pPr>
              <w:spacing w:line="276" w:lineRule="auto"/>
              <w:rPr>
                <w:color w:val="67C18C"/>
              </w:rPr>
            </w:pPr>
            <w:r w:rsidRPr="008401DD">
              <w:rPr>
                <w:color w:val="67C18C"/>
              </w:rPr>
              <w:t>Uvodni sestanek</w:t>
            </w:r>
          </w:p>
        </w:tc>
        <w:tc>
          <w:tcPr>
            <w:tcW w:w="958" w:type="dxa"/>
            <w:shd w:val="clear" w:color="auto" w:fill="C9C9C9" w:themeFill="accent3" w:themeFillTint="99"/>
          </w:tcPr>
          <w:p w14:paraId="2012DAB9" w14:textId="77777777" w:rsidR="000F758C" w:rsidRPr="008401DD" w:rsidRDefault="000F758C" w:rsidP="00960E68">
            <w:pPr>
              <w:spacing w:line="276" w:lineRule="auto"/>
              <w:jc w:val="both"/>
            </w:pPr>
          </w:p>
        </w:tc>
        <w:tc>
          <w:tcPr>
            <w:tcW w:w="959" w:type="dxa"/>
          </w:tcPr>
          <w:p w14:paraId="0E5DA67B" w14:textId="77777777" w:rsidR="000F758C" w:rsidRPr="008401DD" w:rsidRDefault="000F758C" w:rsidP="00960E68">
            <w:pPr>
              <w:spacing w:line="276" w:lineRule="auto"/>
              <w:jc w:val="both"/>
            </w:pPr>
          </w:p>
        </w:tc>
        <w:tc>
          <w:tcPr>
            <w:tcW w:w="959" w:type="dxa"/>
          </w:tcPr>
          <w:p w14:paraId="39C863CC" w14:textId="77777777" w:rsidR="000F758C" w:rsidRPr="008401DD" w:rsidRDefault="000F758C" w:rsidP="00960E68">
            <w:pPr>
              <w:spacing w:line="276" w:lineRule="auto"/>
              <w:jc w:val="both"/>
            </w:pPr>
          </w:p>
        </w:tc>
        <w:tc>
          <w:tcPr>
            <w:tcW w:w="958" w:type="dxa"/>
          </w:tcPr>
          <w:p w14:paraId="57A95BE7" w14:textId="77777777" w:rsidR="000F758C" w:rsidRPr="008401DD" w:rsidRDefault="000F758C" w:rsidP="00960E68">
            <w:pPr>
              <w:spacing w:line="276" w:lineRule="auto"/>
              <w:jc w:val="both"/>
            </w:pPr>
          </w:p>
        </w:tc>
        <w:tc>
          <w:tcPr>
            <w:tcW w:w="959" w:type="dxa"/>
          </w:tcPr>
          <w:p w14:paraId="1737A21C" w14:textId="77777777" w:rsidR="000F758C" w:rsidRPr="008401DD" w:rsidRDefault="000F758C" w:rsidP="00960E68">
            <w:pPr>
              <w:spacing w:line="276" w:lineRule="auto"/>
              <w:jc w:val="both"/>
            </w:pPr>
          </w:p>
        </w:tc>
        <w:tc>
          <w:tcPr>
            <w:tcW w:w="959" w:type="dxa"/>
          </w:tcPr>
          <w:p w14:paraId="4C52C2F2" w14:textId="77777777" w:rsidR="000F758C" w:rsidRPr="008401DD" w:rsidRDefault="000F758C" w:rsidP="00960E68">
            <w:pPr>
              <w:spacing w:line="276" w:lineRule="auto"/>
              <w:jc w:val="both"/>
            </w:pPr>
          </w:p>
        </w:tc>
        <w:tc>
          <w:tcPr>
            <w:tcW w:w="959" w:type="dxa"/>
          </w:tcPr>
          <w:p w14:paraId="1E0D8F4A" w14:textId="77777777" w:rsidR="000F758C" w:rsidRPr="008401DD" w:rsidRDefault="000F758C" w:rsidP="00960E68">
            <w:pPr>
              <w:spacing w:line="276" w:lineRule="auto"/>
              <w:jc w:val="both"/>
            </w:pPr>
          </w:p>
        </w:tc>
        <w:tc>
          <w:tcPr>
            <w:tcW w:w="958" w:type="dxa"/>
          </w:tcPr>
          <w:p w14:paraId="093EC767" w14:textId="77777777" w:rsidR="000F758C" w:rsidRPr="008401DD" w:rsidRDefault="000F758C" w:rsidP="00960E68">
            <w:pPr>
              <w:spacing w:line="276" w:lineRule="auto"/>
              <w:jc w:val="both"/>
            </w:pPr>
          </w:p>
        </w:tc>
        <w:tc>
          <w:tcPr>
            <w:tcW w:w="959" w:type="dxa"/>
          </w:tcPr>
          <w:p w14:paraId="487472C4" w14:textId="77777777" w:rsidR="000F758C" w:rsidRPr="008401DD" w:rsidRDefault="000F758C" w:rsidP="00960E68">
            <w:pPr>
              <w:spacing w:line="276" w:lineRule="auto"/>
              <w:jc w:val="both"/>
            </w:pPr>
          </w:p>
        </w:tc>
        <w:tc>
          <w:tcPr>
            <w:tcW w:w="959" w:type="dxa"/>
          </w:tcPr>
          <w:p w14:paraId="36639375" w14:textId="77777777" w:rsidR="000F758C" w:rsidRPr="008401DD" w:rsidRDefault="000F758C" w:rsidP="00960E68">
            <w:pPr>
              <w:spacing w:line="276" w:lineRule="auto"/>
              <w:jc w:val="both"/>
            </w:pPr>
          </w:p>
        </w:tc>
        <w:tc>
          <w:tcPr>
            <w:tcW w:w="959" w:type="dxa"/>
          </w:tcPr>
          <w:p w14:paraId="251CC992" w14:textId="77777777" w:rsidR="000F758C" w:rsidRPr="008401DD" w:rsidRDefault="000F758C" w:rsidP="00960E68">
            <w:pPr>
              <w:spacing w:line="276" w:lineRule="auto"/>
              <w:jc w:val="both"/>
            </w:pPr>
          </w:p>
        </w:tc>
      </w:tr>
      <w:tr w:rsidR="00D20AC0" w:rsidRPr="008401DD" w14:paraId="542E604F" w14:textId="77777777" w:rsidTr="000F758C">
        <w:trPr>
          <w:trHeight w:val="288"/>
        </w:trPr>
        <w:tc>
          <w:tcPr>
            <w:tcW w:w="2468" w:type="dxa"/>
          </w:tcPr>
          <w:p w14:paraId="758FD8A3" w14:textId="77777777" w:rsidR="000F758C" w:rsidRPr="008401DD" w:rsidRDefault="000F758C" w:rsidP="00B85B43">
            <w:pPr>
              <w:spacing w:line="276" w:lineRule="auto"/>
              <w:rPr>
                <w:color w:val="67C18C"/>
              </w:rPr>
            </w:pPr>
            <w:r w:rsidRPr="008401DD">
              <w:rPr>
                <w:color w:val="67C18C"/>
              </w:rPr>
              <w:t>Pregled projektne dokumentacije in strateških dokumentov</w:t>
            </w:r>
          </w:p>
        </w:tc>
        <w:tc>
          <w:tcPr>
            <w:tcW w:w="958" w:type="dxa"/>
            <w:shd w:val="clear" w:color="auto" w:fill="C9C9C9" w:themeFill="accent3" w:themeFillTint="99"/>
          </w:tcPr>
          <w:p w14:paraId="2A76DAEE" w14:textId="77777777" w:rsidR="000F758C" w:rsidRPr="008401DD" w:rsidRDefault="000F758C" w:rsidP="00960E68">
            <w:pPr>
              <w:spacing w:line="276" w:lineRule="auto"/>
              <w:jc w:val="both"/>
            </w:pPr>
          </w:p>
        </w:tc>
        <w:tc>
          <w:tcPr>
            <w:tcW w:w="959" w:type="dxa"/>
            <w:shd w:val="clear" w:color="auto" w:fill="C9C9C9" w:themeFill="accent3" w:themeFillTint="99"/>
          </w:tcPr>
          <w:p w14:paraId="2CB99DBA" w14:textId="77777777" w:rsidR="000F758C" w:rsidRPr="008401DD" w:rsidRDefault="000F758C" w:rsidP="00960E68">
            <w:pPr>
              <w:spacing w:line="276" w:lineRule="auto"/>
              <w:jc w:val="both"/>
            </w:pPr>
          </w:p>
        </w:tc>
        <w:tc>
          <w:tcPr>
            <w:tcW w:w="959" w:type="dxa"/>
          </w:tcPr>
          <w:p w14:paraId="67E4A410" w14:textId="77777777" w:rsidR="000F758C" w:rsidRPr="008401DD" w:rsidRDefault="000F758C" w:rsidP="00960E68">
            <w:pPr>
              <w:spacing w:line="276" w:lineRule="auto"/>
              <w:jc w:val="both"/>
            </w:pPr>
          </w:p>
        </w:tc>
        <w:tc>
          <w:tcPr>
            <w:tcW w:w="958" w:type="dxa"/>
          </w:tcPr>
          <w:p w14:paraId="4976DC31" w14:textId="77777777" w:rsidR="000F758C" w:rsidRPr="008401DD" w:rsidRDefault="000F758C" w:rsidP="00960E68">
            <w:pPr>
              <w:spacing w:line="276" w:lineRule="auto"/>
              <w:jc w:val="both"/>
            </w:pPr>
          </w:p>
        </w:tc>
        <w:tc>
          <w:tcPr>
            <w:tcW w:w="959" w:type="dxa"/>
          </w:tcPr>
          <w:p w14:paraId="6FEA3098" w14:textId="77777777" w:rsidR="000F758C" w:rsidRPr="008401DD" w:rsidRDefault="000F758C" w:rsidP="00960E68">
            <w:pPr>
              <w:spacing w:line="276" w:lineRule="auto"/>
              <w:jc w:val="both"/>
            </w:pPr>
          </w:p>
        </w:tc>
        <w:tc>
          <w:tcPr>
            <w:tcW w:w="959" w:type="dxa"/>
          </w:tcPr>
          <w:p w14:paraId="06572D89" w14:textId="77777777" w:rsidR="000F758C" w:rsidRPr="008401DD" w:rsidRDefault="000F758C" w:rsidP="00960E68">
            <w:pPr>
              <w:spacing w:line="276" w:lineRule="auto"/>
              <w:jc w:val="both"/>
            </w:pPr>
          </w:p>
        </w:tc>
        <w:tc>
          <w:tcPr>
            <w:tcW w:w="959" w:type="dxa"/>
          </w:tcPr>
          <w:p w14:paraId="597A8D0D" w14:textId="77777777" w:rsidR="000F758C" w:rsidRPr="008401DD" w:rsidRDefault="000F758C" w:rsidP="00960E68">
            <w:pPr>
              <w:spacing w:line="276" w:lineRule="auto"/>
              <w:jc w:val="both"/>
            </w:pPr>
          </w:p>
        </w:tc>
        <w:tc>
          <w:tcPr>
            <w:tcW w:w="958" w:type="dxa"/>
          </w:tcPr>
          <w:p w14:paraId="4D8212F9" w14:textId="77777777" w:rsidR="000F758C" w:rsidRPr="008401DD" w:rsidRDefault="000F758C" w:rsidP="00960E68">
            <w:pPr>
              <w:spacing w:line="276" w:lineRule="auto"/>
              <w:jc w:val="both"/>
            </w:pPr>
          </w:p>
        </w:tc>
        <w:tc>
          <w:tcPr>
            <w:tcW w:w="959" w:type="dxa"/>
          </w:tcPr>
          <w:p w14:paraId="121EBFD7" w14:textId="77777777" w:rsidR="000F758C" w:rsidRPr="008401DD" w:rsidRDefault="000F758C" w:rsidP="00960E68">
            <w:pPr>
              <w:spacing w:line="276" w:lineRule="auto"/>
              <w:jc w:val="both"/>
            </w:pPr>
          </w:p>
        </w:tc>
        <w:tc>
          <w:tcPr>
            <w:tcW w:w="959" w:type="dxa"/>
          </w:tcPr>
          <w:p w14:paraId="40B2455E" w14:textId="77777777" w:rsidR="000F758C" w:rsidRPr="008401DD" w:rsidRDefault="000F758C" w:rsidP="00960E68">
            <w:pPr>
              <w:spacing w:line="276" w:lineRule="auto"/>
              <w:jc w:val="both"/>
            </w:pPr>
          </w:p>
        </w:tc>
        <w:tc>
          <w:tcPr>
            <w:tcW w:w="959" w:type="dxa"/>
          </w:tcPr>
          <w:p w14:paraId="121BEBB6" w14:textId="77777777" w:rsidR="000F758C" w:rsidRPr="008401DD" w:rsidRDefault="000F758C" w:rsidP="00960E68">
            <w:pPr>
              <w:spacing w:line="276" w:lineRule="auto"/>
              <w:jc w:val="both"/>
            </w:pPr>
          </w:p>
        </w:tc>
      </w:tr>
      <w:tr w:rsidR="00D20AC0" w:rsidRPr="008401DD" w14:paraId="5EBC98B3" w14:textId="77777777" w:rsidTr="000F758C">
        <w:trPr>
          <w:trHeight w:val="288"/>
        </w:trPr>
        <w:tc>
          <w:tcPr>
            <w:tcW w:w="2468" w:type="dxa"/>
          </w:tcPr>
          <w:p w14:paraId="1231A393" w14:textId="77777777" w:rsidR="000F758C" w:rsidRPr="008401DD" w:rsidRDefault="000F758C" w:rsidP="00B85B43">
            <w:pPr>
              <w:spacing w:line="276" w:lineRule="auto"/>
              <w:rPr>
                <w:color w:val="67C18C"/>
              </w:rPr>
            </w:pPr>
            <w:r w:rsidRPr="008401DD">
              <w:rPr>
                <w:color w:val="67C18C"/>
              </w:rPr>
              <w:t>Priprava začetnega poročila</w:t>
            </w:r>
          </w:p>
        </w:tc>
        <w:tc>
          <w:tcPr>
            <w:tcW w:w="958" w:type="dxa"/>
          </w:tcPr>
          <w:p w14:paraId="155CEEF5" w14:textId="77777777" w:rsidR="000F758C" w:rsidRPr="008401DD" w:rsidRDefault="000F758C" w:rsidP="00960E68">
            <w:pPr>
              <w:spacing w:line="276" w:lineRule="auto"/>
              <w:jc w:val="both"/>
            </w:pPr>
          </w:p>
        </w:tc>
        <w:tc>
          <w:tcPr>
            <w:tcW w:w="959" w:type="dxa"/>
          </w:tcPr>
          <w:p w14:paraId="2947FB75" w14:textId="77777777" w:rsidR="000F758C" w:rsidRPr="008401DD" w:rsidRDefault="000F758C" w:rsidP="00960E68">
            <w:pPr>
              <w:spacing w:line="276" w:lineRule="auto"/>
              <w:jc w:val="both"/>
            </w:pPr>
          </w:p>
        </w:tc>
        <w:tc>
          <w:tcPr>
            <w:tcW w:w="959" w:type="dxa"/>
            <w:shd w:val="clear" w:color="auto" w:fill="C9C9C9" w:themeFill="accent3" w:themeFillTint="99"/>
          </w:tcPr>
          <w:p w14:paraId="498671CC" w14:textId="77777777" w:rsidR="000F758C" w:rsidRPr="008401DD" w:rsidRDefault="000F758C" w:rsidP="00960E68">
            <w:pPr>
              <w:spacing w:line="276" w:lineRule="auto"/>
              <w:jc w:val="both"/>
            </w:pPr>
          </w:p>
        </w:tc>
        <w:tc>
          <w:tcPr>
            <w:tcW w:w="958" w:type="dxa"/>
          </w:tcPr>
          <w:p w14:paraId="45C88516" w14:textId="77777777" w:rsidR="000F758C" w:rsidRPr="008401DD" w:rsidRDefault="000F758C" w:rsidP="00960E68">
            <w:pPr>
              <w:spacing w:line="276" w:lineRule="auto"/>
              <w:jc w:val="both"/>
            </w:pPr>
          </w:p>
        </w:tc>
        <w:tc>
          <w:tcPr>
            <w:tcW w:w="959" w:type="dxa"/>
          </w:tcPr>
          <w:p w14:paraId="38A67F00" w14:textId="77777777" w:rsidR="000F758C" w:rsidRPr="008401DD" w:rsidRDefault="000F758C" w:rsidP="00960E68">
            <w:pPr>
              <w:spacing w:line="276" w:lineRule="auto"/>
              <w:jc w:val="both"/>
            </w:pPr>
          </w:p>
        </w:tc>
        <w:tc>
          <w:tcPr>
            <w:tcW w:w="959" w:type="dxa"/>
          </w:tcPr>
          <w:p w14:paraId="6662ECF4" w14:textId="77777777" w:rsidR="000F758C" w:rsidRPr="008401DD" w:rsidRDefault="000F758C" w:rsidP="00960E68">
            <w:pPr>
              <w:spacing w:line="276" w:lineRule="auto"/>
              <w:jc w:val="both"/>
            </w:pPr>
          </w:p>
        </w:tc>
        <w:tc>
          <w:tcPr>
            <w:tcW w:w="959" w:type="dxa"/>
          </w:tcPr>
          <w:p w14:paraId="7C293131" w14:textId="77777777" w:rsidR="000F758C" w:rsidRPr="008401DD" w:rsidRDefault="000F758C" w:rsidP="00960E68">
            <w:pPr>
              <w:spacing w:line="276" w:lineRule="auto"/>
              <w:jc w:val="both"/>
            </w:pPr>
          </w:p>
        </w:tc>
        <w:tc>
          <w:tcPr>
            <w:tcW w:w="958" w:type="dxa"/>
          </w:tcPr>
          <w:p w14:paraId="53511BDC" w14:textId="77777777" w:rsidR="000F758C" w:rsidRPr="008401DD" w:rsidRDefault="000F758C" w:rsidP="00960E68">
            <w:pPr>
              <w:spacing w:line="276" w:lineRule="auto"/>
              <w:jc w:val="both"/>
            </w:pPr>
          </w:p>
        </w:tc>
        <w:tc>
          <w:tcPr>
            <w:tcW w:w="959" w:type="dxa"/>
          </w:tcPr>
          <w:p w14:paraId="69A6B8E3" w14:textId="77777777" w:rsidR="000F758C" w:rsidRPr="008401DD" w:rsidRDefault="000F758C" w:rsidP="00960E68">
            <w:pPr>
              <w:spacing w:line="276" w:lineRule="auto"/>
              <w:jc w:val="both"/>
            </w:pPr>
          </w:p>
        </w:tc>
        <w:tc>
          <w:tcPr>
            <w:tcW w:w="959" w:type="dxa"/>
          </w:tcPr>
          <w:p w14:paraId="3C0FC0DF" w14:textId="77777777" w:rsidR="000F758C" w:rsidRPr="008401DD" w:rsidRDefault="000F758C" w:rsidP="00960E68">
            <w:pPr>
              <w:spacing w:line="276" w:lineRule="auto"/>
              <w:jc w:val="both"/>
            </w:pPr>
          </w:p>
        </w:tc>
        <w:tc>
          <w:tcPr>
            <w:tcW w:w="959" w:type="dxa"/>
          </w:tcPr>
          <w:p w14:paraId="4366EDC6" w14:textId="77777777" w:rsidR="000F758C" w:rsidRPr="008401DD" w:rsidRDefault="000F758C" w:rsidP="00960E68">
            <w:pPr>
              <w:spacing w:line="276" w:lineRule="auto"/>
              <w:jc w:val="both"/>
            </w:pPr>
          </w:p>
        </w:tc>
      </w:tr>
      <w:tr w:rsidR="00D20AC0" w:rsidRPr="008401DD" w14:paraId="6C62B5D3" w14:textId="77777777" w:rsidTr="000F758C">
        <w:trPr>
          <w:trHeight w:val="288"/>
        </w:trPr>
        <w:tc>
          <w:tcPr>
            <w:tcW w:w="2468" w:type="dxa"/>
          </w:tcPr>
          <w:p w14:paraId="043AE7B8" w14:textId="77777777" w:rsidR="000F758C" w:rsidRPr="008401DD" w:rsidRDefault="000F758C" w:rsidP="00B85B43">
            <w:pPr>
              <w:spacing w:line="276" w:lineRule="auto"/>
              <w:rPr>
                <w:color w:val="67C18C"/>
              </w:rPr>
            </w:pPr>
            <w:r w:rsidRPr="008401DD">
              <w:rPr>
                <w:color w:val="67C18C"/>
              </w:rPr>
              <w:t>Uskladitev metodologije in načrta dela z MZZ</w:t>
            </w:r>
          </w:p>
        </w:tc>
        <w:tc>
          <w:tcPr>
            <w:tcW w:w="958" w:type="dxa"/>
          </w:tcPr>
          <w:p w14:paraId="62D82567" w14:textId="77777777" w:rsidR="000F758C" w:rsidRPr="008401DD" w:rsidRDefault="000F758C" w:rsidP="00960E68">
            <w:pPr>
              <w:spacing w:line="276" w:lineRule="auto"/>
              <w:jc w:val="both"/>
            </w:pPr>
          </w:p>
        </w:tc>
        <w:tc>
          <w:tcPr>
            <w:tcW w:w="959" w:type="dxa"/>
          </w:tcPr>
          <w:p w14:paraId="191FDD07" w14:textId="77777777" w:rsidR="000F758C" w:rsidRPr="008401DD" w:rsidRDefault="000F758C" w:rsidP="00960E68">
            <w:pPr>
              <w:spacing w:line="276" w:lineRule="auto"/>
              <w:jc w:val="both"/>
            </w:pPr>
          </w:p>
        </w:tc>
        <w:tc>
          <w:tcPr>
            <w:tcW w:w="959" w:type="dxa"/>
          </w:tcPr>
          <w:p w14:paraId="766F0BA3" w14:textId="77777777" w:rsidR="000F758C" w:rsidRPr="008401DD" w:rsidRDefault="000F758C" w:rsidP="00960E68">
            <w:pPr>
              <w:spacing w:line="276" w:lineRule="auto"/>
              <w:jc w:val="both"/>
            </w:pPr>
          </w:p>
        </w:tc>
        <w:tc>
          <w:tcPr>
            <w:tcW w:w="958" w:type="dxa"/>
            <w:shd w:val="clear" w:color="auto" w:fill="C9C9C9" w:themeFill="accent3" w:themeFillTint="99"/>
          </w:tcPr>
          <w:p w14:paraId="1D1E71F7" w14:textId="77777777" w:rsidR="000F758C" w:rsidRPr="008401DD" w:rsidRDefault="000F758C" w:rsidP="00960E68">
            <w:pPr>
              <w:spacing w:line="276" w:lineRule="auto"/>
              <w:jc w:val="both"/>
            </w:pPr>
          </w:p>
        </w:tc>
        <w:tc>
          <w:tcPr>
            <w:tcW w:w="959" w:type="dxa"/>
          </w:tcPr>
          <w:p w14:paraId="3406CD0C" w14:textId="77777777" w:rsidR="000F758C" w:rsidRPr="008401DD" w:rsidRDefault="000F758C" w:rsidP="00960E68">
            <w:pPr>
              <w:spacing w:line="276" w:lineRule="auto"/>
              <w:jc w:val="both"/>
            </w:pPr>
          </w:p>
        </w:tc>
        <w:tc>
          <w:tcPr>
            <w:tcW w:w="959" w:type="dxa"/>
          </w:tcPr>
          <w:p w14:paraId="03F527AB" w14:textId="77777777" w:rsidR="000F758C" w:rsidRPr="008401DD" w:rsidRDefault="000F758C" w:rsidP="00960E68">
            <w:pPr>
              <w:spacing w:line="276" w:lineRule="auto"/>
              <w:jc w:val="both"/>
            </w:pPr>
          </w:p>
        </w:tc>
        <w:tc>
          <w:tcPr>
            <w:tcW w:w="959" w:type="dxa"/>
          </w:tcPr>
          <w:p w14:paraId="6EFF8A95" w14:textId="77777777" w:rsidR="000F758C" w:rsidRPr="008401DD" w:rsidRDefault="000F758C" w:rsidP="00960E68">
            <w:pPr>
              <w:spacing w:line="276" w:lineRule="auto"/>
              <w:jc w:val="both"/>
            </w:pPr>
          </w:p>
        </w:tc>
        <w:tc>
          <w:tcPr>
            <w:tcW w:w="958" w:type="dxa"/>
          </w:tcPr>
          <w:p w14:paraId="5C74708F" w14:textId="77777777" w:rsidR="000F758C" w:rsidRPr="008401DD" w:rsidRDefault="000F758C" w:rsidP="00960E68">
            <w:pPr>
              <w:spacing w:line="276" w:lineRule="auto"/>
              <w:jc w:val="both"/>
            </w:pPr>
          </w:p>
        </w:tc>
        <w:tc>
          <w:tcPr>
            <w:tcW w:w="959" w:type="dxa"/>
          </w:tcPr>
          <w:p w14:paraId="7A0F16A8" w14:textId="77777777" w:rsidR="000F758C" w:rsidRPr="008401DD" w:rsidRDefault="000F758C" w:rsidP="00960E68">
            <w:pPr>
              <w:spacing w:line="276" w:lineRule="auto"/>
              <w:jc w:val="both"/>
            </w:pPr>
          </w:p>
        </w:tc>
        <w:tc>
          <w:tcPr>
            <w:tcW w:w="959" w:type="dxa"/>
          </w:tcPr>
          <w:p w14:paraId="2FE51CC6" w14:textId="77777777" w:rsidR="000F758C" w:rsidRPr="008401DD" w:rsidRDefault="000F758C" w:rsidP="00960E68">
            <w:pPr>
              <w:spacing w:line="276" w:lineRule="auto"/>
              <w:jc w:val="both"/>
            </w:pPr>
          </w:p>
        </w:tc>
        <w:tc>
          <w:tcPr>
            <w:tcW w:w="959" w:type="dxa"/>
          </w:tcPr>
          <w:p w14:paraId="038DA795" w14:textId="77777777" w:rsidR="000F758C" w:rsidRPr="008401DD" w:rsidRDefault="000F758C" w:rsidP="00960E68">
            <w:pPr>
              <w:spacing w:line="276" w:lineRule="auto"/>
              <w:jc w:val="both"/>
            </w:pPr>
          </w:p>
        </w:tc>
      </w:tr>
      <w:tr w:rsidR="00D20AC0" w:rsidRPr="008401DD" w14:paraId="2996E3F0" w14:textId="77777777" w:rsidTr="000F758C">
        <w:trPr>
          <w:trHeight w:val="288"/>
        </w:trPr>
        <w:tc>
          <w:tcPr>
            <w:tcW w:w="2468" w:type="dxa"/>
          </w:tcPr>
          <w:p w14:paraId="21E6506C" w14:textId="77777777" w:rsidR="000F758C" w:rsidRPr="008401DD" w:rsidRDefault="000F758C" w:rsidP="00B85B43">
            <w:pPr>
              <w:spacing w:line="276" w:lineRule="auto"/>
              <w:rPr>
                <w:color w:val="67C18C"/>
              </w:rPr>
            </w:pPr>
            <w:r w:rsidRPr="008401DD">
              <w:rPr>
                <w:color w:val="67C18C"/>
              </w:rPr>
              <w:t>Terensko delo</w:t>
            </w:r>
          </w:p>
        </w:tc>
        <w:tc>
          <w:tcPr>
            <w:tcW w:w="958" w:type="dxa"/>
          </w:tcPr>
          <w:p w14:paraId="1BA800F3" w14:textId="77777777" w:rsidR="000F758C" w:rsidRPr="008401DD" w:rsidRDefault="000F758C" w:rsidP="00960E68">
            <w:pPr>
              <w:spacing w:line="276" w:lineRule="auto"/>
              <w:jc w:val="both"/>
            </w:pPr>
          </w:p>
        </w:tc>
        <w:tc>
          <w:tcPr>
            <w:tcW w:w="959" w:type="dxa"/>
          </w:tcPr>
          <w:p w14:paraId="17392938" w14:textId="77777777" w:rsidR="000F758C" w:rsidRPr="008401DD" w:rsidRDefault="000F758C" w:rsidP="00960E68">
            <w:pPr>
              <w:spacing w:line="276" w:lineRule="auto"/>
              <w:jc w:val="both"/>
            </w:pPr>
          </w:p>
        </w:tc>
        <w:tc>
          <w:tcPr>
            <w:tcW w:w="959" w:type="dxa"/>
          </w:tcPr>
          <w:p w14:paraId="06EF1301" w14:textId="77777777" w:rsidR="000F758C" w:rsidRPr="008401DD" w:rsidRDefault="000F758C" w:rsidP="00960E68">
            <w:pPr>
              <w:spacing w:line="276" w:lineRule="auto"/>
              <w:jc w:val="both"/>
            </w:pPr>
          </w:p>
        </w:tc>
        <w:tc>
          <w:tcPr>
            <w:tcW w:w="958" w:type="dxa"/>
            <w:shd w:val="clear" w:color="auto" w:fill="C9C9C9" w:themeFill="accent3" w:themeFillTint="99"/>
          </w:tcPr>
          <w:p w14:paraId="1CB8AFAF" w14:textId="77777777" w:rsidR="000F758C" w:rsidRPr="008401DD" w:rsidRDefault="000F758C" w:rsidP="00960E68">
            <w:pPr>
              <w:spacing w:line="276" w:lineRule="auto"/>
              <w:jc w:val="both"/>
            </w:pPr>
          </w:p>
        </w:tc>
        <w:tc>
          <w:tcPr>
            <w:tcW w:w="959" w:type="dxa"/>
            <w:shd w:val="clear" w:color="auto" w:fill="C9C9C9" w:themeFill="accent3" w:themeFillTint="99"/>
          </w:tcPr>
          <w:p w14:paraId="74388764" w14:textId="77777777" w:rsidR="000F758C" w:rsidRPr="008401DD" w:rsidRDefault="000F758C" w:rsidP="00960E68">
            <w:pPr>
              <w:spacing w:line="276" w:lineRule="auto"/>
              <w:jc w:val="both"/>
            </w:pPr>
          </w:p>
        </w:tc>
        <w:tc>
          <w:tcPr>
            <w:tcW w:w="959" w:type="dxa"/>
          </w:tcPr>
          <w:p w14:paraId="37AEF7B9" w14:textId="77777777" w:rsidR="000F758C" w:rsidRPr="008401DD" w:rsidRDefault="000F758C" w:rsidP="00960E68">
            <w:pPr>
              <w:spacing w:line="276" w:lineRule="auto"/>
              <w:jc w:val="both"/>
            </w:pPr>
          </w:p>
        </w:tc>
        <w:tc>
          <w:tcPr>
            <w:tcW w:w="959" w:type="dxa"/>
          </w:tcPr>
          <w:p w14:paraId="4E62395E" w14:textId="77777777" w:rsidR="000F758C" w:rsidRPr="008401DD" w:rsidRDefault="000F758C" w:rsidP="00960E68">
            <w:pPr>
              <w:spacing w:line="276" w:lineRule="auto"/>
              <w:jc w:val="both"/>
            </w:pPr>
          </w:p>
        </w:tc>
        <w:tc>
          <w:tcPr>
            <w:tcW w:w="958" w:type="dxa"/>
          </w:tcPr>
          <w:p w14:paraId="293F97BA" w14:textId="77777777" w:rsidR="000F758C" w:rsidRPr="008401DD" w:rsidRDefault="000F758C" w:rsidP="00960E68">
            <w:pPr>
              <w:spacing w:line="276" w:lineRule="auto"/>
              <w:jc w:val="both"/>
            </w:pPr>
          </w:p>
        </w:tc>
        <w:tc>
          <w:tcPr>
            <w:tcW w:w="959" w:type="dxa"/>
          </w:tcPr>
          <w:p w14:paraId="07AC867A" w14:textId="77777777" w:rsidR="000F758C" w:rsidRPr="008401DD" w:rsidRDefault="000F758C" w:rsidP="00960E68">
            <w:pPr>
              <w:spacing w:line="276" w:lineRule="auto"/>
              <w:jc w:val="both"/>
            </w:pPr>
          </w:p>
        </w:tc>
        <w:tc>
          <w:tcPr>
            <w:tcW w:w="959" w:type="dxa"/>
          </w:tcPr>
          <w:p w14:paraId="00AFA9E0" w14:textId="77777777" w:rsidR="000F758C" w:rsidRPr="008401DD" w:rsidRDefault="000F758C" w:rsidP="00960E68">
            <w:pPr>
              <w:spacing w:line="276" w:lineRule="auto"/>
              <w:jc w:val="both"/>
            </w:pPr>
          </w:p>
        </w:tc>
        <w:tc>
          <w:tcPr>
            <w:tcW w:w="959" w:type="dxa"/>
          </w:tcPr>
          <w:p w14:paraId="6E14A8A6" w14:textId="77777777" w:rsidR="000F758C" w:rsidRPr="008401DD" w:rsidRDefault="000F758C" w:rsidP="00960E68">
            <w:pPr>
              <w:spacing w:line="276" w:lineRule="auto"/>
              <w:jc w:val="both"/>
            </w:pPr>
          </w:p>
        </w:tc>
      </w:tr>
      <w:tr w:rsidR="00D20AC0" w:rsidRPr="008401DD" w14:paraId="317F54B8" w14:textId="77777777" w:rsidTr="000F758C">
        <w:trPr>
          <w:trHeight w:val="274"/>
        </w:trPr>
        <w:tc>
          <w:tcPr>
            <w:tcW w:w="2468" w:type="dxa"/>
          </w:tcPr>
          <w:p w14:paraId="1CB34854" w14:textId="77777777" w:rsidR="000F758C" w:rsidRPr="008401DD" w:rsidRDefault="000F758C" w:rsidP="00B85B43">
            <w:pPr>
              <w:spacing w:line="276" w:lineRule="auto"/>
              <w:rPr>
                <w:color w:val="67C18C"/>
              </w:rPr>
            </w:pPr>
            <w:r w:rsidRPr="008401DD">
              <w:rPr>
                <w:color w:val="67C18C"/>
              </w:rPr>
              <w:t>Izvedba intervjujev z deležniki v Severni Makedoniji</w:t>
            </w:r>
          </w:p>
        </w:tc>
        <w:tc>
          <w:tcPr>
            <w:tcW w:w="958" w:type="dxa"/>
          </w:tcPr>
          <w:p w14:paraId="24EA85B3" w14:textId="77777777" w:rsidR="000F758C" w:rsidRPr="008401DD" w:rsidRDefault="000F758C" w:rsidP="00960E68">
            <w:pPr>
              <w:spacing w:line="276" w:lineRule="auto"/>
              <w:jc w:val="both"/>
            </w:pPr>
          </w:p>
        </w:tc>
        <w:tc>
          <w:tcPr>
            <w:tcW w:w="959" w:type="dxa"/>
          </w:tcPr>
          <w:p w14:paraId="5417ECEF" w14:textId="77777777" w:rsidR="000F758C" w:rsidRPr="008401DD" w:rsidRDefault="000F758C" w:rsidP="00960E68">
            <w:pPr>
              <w:spacing w:line="276" w:lineRule="auto"/>
              <w:jc w:val="both"/>
            </w:pPr>
          </w:p>
        </w:tc>
        <w:tc>
          <w:tcPr>
            <w:tcW w:w="959" w:type="dxa"/>
          </w:tcPr>
          <w:p w14:paraId="34E95C8D" w14:textId="77777777" w:rsidR="000F758C" w:rsidRPr="008401DD" w:rsidRDefault="000F758C" w:rsidP="00960E68">
            <w:pPr>
              <w:spacing w:line="276" w:lineRule="auto"/>
              <w:jc w:val="both"/>
            </w:pPr>
          </w:p>
        </w:tc>
        <w:tc>
          <w:tcPr>
            <w:tcW w:w="958" w:type="dxa"/>
            <w:shd w:val="clear" w:color="auto" w:fill="C9C9C9" w:themeFill="accent3" w:themeFillTint="99"/>
          </w:tcPr>
          <w:p w14:paraId="77904AE3" w14:textId="77777777" w:rsidR="000F758C" w:rsidRPr="008401DD" w:rsidRDefault="000F758C" w:rsidP="00960E68">
            <w:pPr>
              <w:spacing w:line="276" w:lineRule="auto"/>
              <w:jc w:val="both"/>
            </w:pPr>
          </w:p>
        </w:tc>
        <w:tc>
          <w:tcPr>
            <w:tcW w:w="959" w:type="dxa"/>
            <w:shd w:val="clear" w:color="auto" w:fill="C9C9C9" w:themeFill="accent3" w:themeFillTint="99"/>
          </w:tcPr>
          <w:p w14:paraId="7595D31C" w14:textId="77777777" w:rsidR="000F758C" w:rsidRPr="008401DD" w:rsidRDefault="000F758C" w:rsidP="00960E68">
            <w:pPr>
              <w:spacing w:line="276" w:lineRule="auto"/>
              <w:jc w:val="both"/>
            </w:pPr>
          </w:p>
        </w:tc>
        <w:tc>
          <w:tcPr>
            <w:tcW w:w="959" w:type="dxa"/>
          </w:tcPr>
          <w:p w14:paraId="0FD0C1B3" w14:textId="77777777" w:rsidR="000F758C" w:rsidRPr="008401DD" w:rsidRDefault="000F758C" w:rsidP="00960E68">
            <w:pPr>
              <w:spacing w:line="276" w:lineRule="auto"/>
              <w:jc w:val="both"/>
            </w:pPr>
          </w:p>
        </w:tc>
        <w:tc>
          <w:tcPr>
            <w:tcW w:w="959" w:type="dxa"/>
          </w:tcPr>
          <w:p w14:paraId="56A3B27D" w14:textId="77777777" w:rsidR="000F758C" w:rsidRPr="008401DD" w:rsidRDefault="000F758C" w:rsidP="00960E68">
            <w:pPr>
              <w:spacing w:line="276" w:lineRule="auto"/>
              <w:jc w:val="both"/>
            </w:pPr>
          </w:p>
        </w:tc>
        <w:tc>
          <w:tcPr>
            <w:tcW w:w="958" w:type="dxa"/>
          </w:tcPr>
          <w:p w14:paraId="610343AB" w14:textId="77777777" w:rsidR="000F758C" w:rsidRPr="008401DD" w:rsidRDefault="000F758C" w:rsidP="00960E68">
            <w:pPr>
              <w:spacing w:line="276" w:lineRule="auto"/>
              <w:jc w:val="both"/>
            </w:pPr>
          </w:p>
        </w:tc>
        <w:tc>
          <w:tcPr>
            <w:tcW w:w="959" w:type="dxa"/>
          </w:tcPr>
          <w:p w14:paraId="5547E44A" w14:textId="77777777" w:rsidR="000F758C" w:rsidRPr="008401DD" w:rsidRDefault="000F758C" w:rsidP="00960E68">
            <w:pPr>
              <w:spacing w:line="276" w:lineRule="auto"/>
              <w:jc w:val="both"/>
            </w:pPr>
          </w:p>
        </w:tc>
        <w:tc>
          <w:tcPr>
            <w:tcW w:w="959" w:type="dxa"/>
          </w:tcPr>
          <w:p w14:paraId="420DDDAC" w14:textId="77777777" w:rsidR="000F758C" w:rsidRPr="008401DD" w:rsidRDefault="000F758C" w:rsidP="00960E68">
            <w:pPr>
              <w:spacing w:line="276" w:lineRule="auto"/>
              <w:jc w:val="both"/>
            </w:pPr>
          </w:p>
        </w:tc>
        <w:tc>
          <w:tcPr>
            <w:tcW w:w="959" w:type="dxa"/>
          </w:tcPr>
          <w:p w14:paraId="28FDF3D1" w14:textId="77777777" w:rsidR="000F758C" w:rsidRPr="008401DD" w:rsidRDefault="000F758C" w:rsidP="00960E68">
            <w:pPr>
              <w:spacing w:line="276" w:lineRule="auto"/>
              <w:jc w:val="both"/>
            </w:pPr>
          </w:p>
        </w:tc>
      </w:tr>
      <w:tr w:rsidR="00665FEA" w:rsidRPr="008401DD" w14:paraId="56C0EC80" w14:textId="77777777" w:rsidTr="000F758C">
        <w:trPr>
          <w:trHeight w:val="274"/>
        </w:trPr>
        <w:tc>
          <w:tcPr>
            <w:tcW w:w="2468" w:type="dxa"/>
          </w:tcPr>
          <w:p w14:paraId="06761367" w14:textId="7E37FF67" w:rsidR="00665FEA" w:rsidRPr="008401DD" w:rsidRDefault="00665FEA" w:rsidP="00B85B43">
            <w:pPr>
              <w:spacing w:line="276" w:lineRule="auto"/>
              <w:rPr>
                <w:color w:val="67C18C"/>
              </w:rPr>
            </w:pPr>
            <w:r w:rsidRPr="008401DD">
              <w:rPr>
                <w:color w:val="67C18C"/>
              </w:rPr>
              <w:t>Izvedba intervjujev z MZZ in ostalimi deležniki v Sloveniji</w:t>
            </w:r>
          </w:p>
        </w:tc>
        <w:tc>
          <w:tcPr>
            <w:tcW w:w="958" w:type="dxa"/>
          </w:tcPr>
          <w:p w14:paraId="7AD314FB" w14:textId="77777777" w:rsidR="00665FEA" w:rsidRPr="008401DD" w:rsidRDefault="00665FEA" w:rsidP="00960E68">
            <w:pPr>
              <w:spacing w:line="276" w:lineRule="auto"/>
              <w:jc w:val="both"/>
            </w:pPr>
          </w:p>
        </w:tc>
        <w:tc>
          <w:tcPr>
            <w:tcW w:w="959" w:type="dxa"/>
          </w:tcPr>
          <w:p w14:paraId="0ED8D4BA" w14:textId="77777777" w:rsidR="00665FEA" w:rsidRPr="008401DD" w:rsidRDefault="00665FEA" w:rsidP="00960E68">
            <w:pPr>
              <w:spacing w:line="276" w:lineRule="auto"/>
              <w:jc w:val="both"/>
            </w:pPr>
          </w:p>
        </w:tc>
        <w:tc>
          <w:tcPr>
            <w:tcW w:w="959" w:type="dxa"/>
          </w:tcPr>
          <w:p w14:paraId="2F659AA5" w14:textId="77777777" w:rsidR="00665FEA" w:rsidRPr="008401DD" w:rsidRDefault="00665FEA" w:rsidP="00960E68">
            <w:pPr>
              <w:spacing w:line="276" w:lineRule="auto"/>
              <w:jc w:val="both"/>
            </w:pPr>
          </w:p>
        </w:tc>
        <w:tc>
          <w:tcPr>
            <w:tcW w:w="958" w:type="dxa"/>
            <w:shd w:val="clear" w:color="auto" w:fill="C9C9C9" w:themeFill="accent3" w:themeFillTint="99"/>
          </w:tcPr>
          <w:p w14:paraId="67EA72D2" w14:textId="77777777" w:rsidR="00665FEA" w:rsidRPr="008401DD" w:rsidRDefault="00665FEA" w:rsidP="00960E68">
            <w:pPr>
              <w:spacing w:line="276" w:lineRule="auto"/>
              <w:jc w:val="both"/>
            </w:pPr>
          </w:p>
        </w:tc>
        <w:tc>
          <w:tcPr>
            <w:tcW w:w="959" w:type="dxa"/>
            <w:shd w:val="clear" w:color="auto" w:fill="C9C9C9" w:themeFill="accent3" w:themeFillTint="99"/>
          </w:tcPr>
          <w:p w14:paraId="2843DC0D" w14:textId="77777777" w:rsidR="00665FEA" w:rsidRPr="008401DD" w:rsidRDefault="00665FEA" w:rsidP="00960E68">
            <w:pPr>
              <w:spacing w:line="276" w:lineRule="auto"/>
              <w:jc w:val="both"/>
            </w:pPr>
          </w:p>
        </w:tc>
        <w:tc>
          <w:tcPr>
            <w:tcW w:w="959" w:type="dxa"/>
          </w:tcPr>
          <w:p w14:paraId="4E5D9891" w14:textId="77777777" w:rsidR="00665FEA" w:rsidRPr="008401DD" w:rsidRDefault="00665FEA" w:rsidP="00960E68">
            <w:pPr>
              <w:spacing w:line="276" w:lineRule="auto"/>
              <w:jc w:val="both"/>
            </w:pPr>
          </w:p>
        </w:tc>
        <w:tc>
          <w:tcPr>
            <w:tcW w:w="959" w:type="dxa"/>
          </w:tcPr>
          <w:p w14:paraId="77B2D534" w14:textId="77777777" w:rsidR="00665FEA" w:rsidRPr="008401DD" w:rsidRDefault="00665FEA" w:rsidP="00960E68">
            <w:pPr>
              <w:spacing w:line="276" w:lineRule="auto"/>
              <w:jc w:val="both"/>
            </w:pPr>
          </w:p>
        </w:tc>
        <w:tc>
          <w:tcPr>
            <w:tcW w:w="958" w:type="dxa"/>
          </w:tcPr>
          <w:p w14:paraId="22AA26A0" w14:textId="77777777" w:rsidR="00665FEA" w:rsidRPr="008401DD" w:rsidRDefault="00665FEA" w:rsidP="00960E68">
            <w:pPr>
              <w:spacing w:line="276" w:lineRule="auto"/>
              <w:jc w:val="both"/>
            </w:pPr>
          </w:p>
        </w:tc>
        <w:tc>
          <w:tcPr>
            <w:tcW w:w="959" w:type="dxa"/>
          </w:tcPr>
          <w:p w14:paraId="74988FFA" w14:textId="77777777" w:rsidR="00665FEA" w:rsidRPr="008401DD" w:rsidRDefault="00665FEA" w:rsidP="00960E68">
            <w:pPr>
              <w:spacing w:line="276" w:lineRule="auto"/>
              <w:jc w:val="both"/>
            </w:pPr>
          </w:p>
        </w:tc>
        <w:tc>
          <w:tcPr>
            <w:tcW w:w="959" w:type="dxa"/>
          </w:tcPr>
          <w:p w14:paraId="1BD87171" w14:textId="77777777" w:rsidR="00665FEA" w:rsidRPr="008401DD" w:rsidRDefault="00665FEA" w:rsidP="00960E68">
            <w:pPr>
              <w:spacing w:line="276" w:lineRule="auto"/>
              <w:jc w:val="both"/>
            </w:pPr>
          </w:p>
        </w:tc>
        <w:tc>
          <w:tcPr>
            <w:tcW w:w="959" w:type="dxa"/>
          </w:tcPr>
          <w:p w14:paraId="5984CD32" w14:textId="77777777" w:rsidR="00665FEA" w:rsidRPr="008401DD" w:rsidRDefault="00665FEA" w:rsidP="00960E68">
            <w:pPr>
              <w:spacing w:line="276" w:lineRule="auto"/>
              <w:jc w:val="both"/>
            </w:pPr>
          </w:p>
        </w:tc>
      </w:tr>
      <w:tr w:rsidR="00D20AC0" w:rsidRPr="008401DD" w14:paraId="1A7B629D" w14:textId="77777777" w:rsidTr="000F758C">
        <w:trPr>
          <w:trHeight w:val="288"/>
        </w:trPr>
        <w:tc>
          <w:tcPr>
            <w:tcW w:w="2468" w:type="dxa"/>
          </w:tcPr>
          <w:p w14:paraId="7CE1EEBB" w14:textId="77777777" w:rsidR="000F758C" w:rsidRPr="008401DD" w:rsidRDefault="000F758C" w:rsidP="00B85B43">
            <w:pPr>
              <w:spacing w:line="276" w:lineRule="auto"/>
              <w:rPr>
                <w:color w:val="67C18C"/>
              </w:rPr>
            </w:pPr>
            <w:r w:rsidRPr="008401DD">
              <w:rPr>
                <w:color w:val="67C18C"/>
              </w:rPr>
              <w:t>Predstavitev ugotovitev s terena</w:t>
            </w:r>
          </w:p>
        </w:tc>
        <w:tc>
          <w:tcPr>
            <w:tcW w:w="958" w:type="dxa"/>
          </w:tcPr>
          <w:p w14:paraId="02907E9D" w14:textId="77777777" w:rsidR="000F758C" w:rsidRPr="008401DD" w:rsidRDefault="000F758C" w:rsidP="00960E68">
            <w:pPr>
              <w:spacing w:line="276" w:lineRule="auto"/>
              <w:jc w:val="both"/>
            </w:pPr>
          </w:p>
        </w:tc>
        <w:tc>
          <w:tcPr>
            <w:tcW w:w="959" w:type="dxa"/>
          </w:tcPr>
          <w:p w14:paraId="7C55F81E" w14:textId="77777777" w:rsidR="000F758C" w:rsidRPr="008401DD" w:rsidRDefault="000F758C" w:rsidP="00960E68">
            <w:pPr>
              <w:spacing w:line="276" w:lineRule="auto"/>
              <w:jc w:val="both"/>
            </w:pPr>
          </w:p>
        </w:tc>
        <w:tc>
          <w:tcPr>
            <w:tcW w:w="959" w:type="dxa"/>
          </w:tcPr>
          <w:p w14:paraId="091C81C1" w14:textId="77777777" w:rsidR="000F758C" w:rsidRPr="008401DD" w:rsidRDefault="000F758C" w:rsidP="00960E68">
            <w:pPr>
              <w:spacing w:line="276" w:lineRule="auto"/>
              <w:jc w:val="both"/>
            </w:pPr>
          </w:p>
        </w:tc>
        <w:tc>
          <w:tcPr>
            <w:tcW w:w="958" w:type="dxa"/>
          </w:tcPr>
          <w:p w14:paraId="25AA6E0E" w14:textId="77777777" w:rsidR="000F758C" w:rsidRPr="008401DD" w:rsidRDefault="000F758C" w:rsidP="00960E68">
            <w:pPr>
              <w:spacing w:line="276" w:lineRule="auto"/>
              <w:jc w:val="both"/>
            </w:pPr>
          </w:p>
        </w:tc>
        <w:tc>
          <w:tcPr>
            <w:tcW w:w="959" w:type="dxa"/>
          </w:tcPr>
          <w:p w14:paraId="164CD79F" w14:textId="77777777" w:rsidR="000F758C" w:rsidRPr="008401DD" w:rsidRDefault="000F758C" w:rsidP="00960E68">
            <w:pPr>
              <w:spacing w:line="276" w:lineRule="auto"/>
              <w:jc w:val="both"/>
            </w:pPr>
          </w:p>
        </w:tc>
        <w:tc>
          <w:tcPr>
            <w:tcW w:w="959" w:type="dxa"/>
            <w:shd w:val="clear" w:color="auto" w:fill="C9C9C9" w:themeFill="accent3" w:themeFillTint="99"/>
          </w:tcPr>
          <w:p w14:paraId="1CF89BA5" w14:textId="77777777" w:rsidR="000F758C" w:rsidRPr="008401DD" w:rsidRDefault="000F758C" w:rsidP="00960E68">
            <w:pPr>
              <w:spacing w:line="276" w:lineRule="auto"/>
              <w:jc w:val="both"/>
            </w:pPr>
          </w:p>
        </w:tc>
        <w:tc>
          <w:tcPr>
            <w:tcW w:w="959" w:type="dxa"/>
          </w:tcPr>
          <w:p w14:paraId="0877DB37" w14:textId="77777777" w:rsidR="000F758C" w:rsidRPr="008401DD" w:rsidRDefault="000F758C" w:rsidP="00960E68">
            <w:pPr>
              <w:spacing w:line="276" w:lineRule="auto"/>
              <w:jc w:val="both"/>
            </w:pPr>
          </w:p>
        </w:tc>
        <w:tc>
          <w:tcPr>
            <w:tcW w:w="958" w:type="dxa"/>
          </w:tcPr>
          <w:p w14:paraId="79219163" w14:textId="77777777" w:rsidR="000F758C" w:rsidRPr="008401DD" w:rsidRDefault="000F758C" w:rsidP="00960E68">
            <w:pPr>
              <w:spacing w:line="276" w:lineRule="auto"/>
              <w:jc w:val="both"/>
            </w:pPr>
          </w:p>
        </w:tc>
        <w:tc>
          <w:tcPr>
            <w:tcW w:w="959" w:type="dxa"/>
          </w:tcPr>
          <w:p w14:paraId="17D37CF3" w14:textId="77777777" w:rsidR="000F758C" w:rsidRPr="008401DD" w:rsidRDefault="000F758C" w:rsidP="00960E68">
            <w:pPr>
              <w:spacing w:line="276" w:lineRule="auto"/>
              <w:jc w:val="both"/>
            </w:pPr>
          </w:p>
        </w:tc>
        <w:tc>
          <w:tcPr>
            <w:tcW w:w="959" w:type="dxa"/>
          </w:tcPr>
          <w:p w14:paraId="276D4507" w14:textId="77777777" w:rsidR="000F758C" w:rsidRPr="008401DD" w:rsidRDefault="000F758C" w:rsidP="00960E68">
            <w:pPr>
              <w:spacing w:line="276" w:lineRule="auto"/>
              <w:jc w:val="both"/>
            </w:pPr>
          </w:p>
        </w:tc>
        <w:tc>
          <w:tcPr>
            <w:tcW w:w="959" w:type="dxa"/>
          </w:tcPr>
          <w:p w14:paraId="25FDF3B6" w14:textId="77777777" w:rsidR="000F758C" w:rsidRPr="008401DD" w:rsidRDefault="000F758C" w:rsidP="00960E68">
            <w:pPr>
              <w:spacing w:line="276" w:lineRule="auto"/>
              <w:jc w:val="both"/>
            </w:pPr>
          </w:p>
        </w:tc>
      </w:tr>
      <w:tr w:rsidR="00D20AC0" w:rsidRPr="008401DD" w14:paraId="08D0E42D" w14:textId="77777777" w:rsidTr="000F758C">
        <w:trPr>
          <w:trHeight w:val="288"/>
        </w:trPr>
        <w:tc>
          <w:tcPr>
            <w:tcW w:w="2468" w:type="dxa"/>
          </w:tcPr>
          <w:p w14:paraId="1793BBF5" w14:textId="77777777" w:rsidR="000F758C" w:rsidRPr="008401DD" w:rsidRDefault="000F758C" w:rsidP="00B85B43">
            <w:pPr>
              <w:spacing w:line="276" w:lineRule="auto"/>
              <w:rPr>
                <w:color w:val="67C18C"/>
              </w:rPr>
            </w:pPr>
            <w:r w:rsidRPr="008401DD">
              <w:rPr>
                <w:color w:val="67C18C"/>
              </w:rPr>
              <w:t>Priprava osnutka končnega poročila</w:t>
            </w:r>
          </w:p>
        </w:tc>
        <w:tc>
          <w:tcPr>
            <w:tcW w:w="958" w:type="dxa"/>
          </w:tcPr>
          <w:p w14:paraId="199E6339" w14:textId="77777777" w:rsidR="000F758C" w:rsidRPr="008401DD" w:rsidRDefault="000F758C" w:rsidP="00960E68">
            <w:pPr>
              <w:spacing w:line="276" w:lineRule="auto"/>
              <w:jc w:val="both"/>
            </w:pPr>
          </w:p>
        </w:tc>
        <w:tc>
          <w:tcPr>
            <w:tcW w:w="959" w:type="dxa"/>
          </w:tcPr>
          <w:p w14:paraId="6C51448A" w14:textId="77777777" w:rsidR="000F758C" w:rsidRPr="008401DD" w:rsidRDefault="000F758C" w:rsidP="00960E68">
            <w:pPr>
              <w:spacing w:line="276" w:lineRule="auto"/>
              <w:jc w:val="both"/>
            </w:pPr>
          </w:p>
        </w:tc>
        <w:tc>
          <w:tcPr>
            <w:tcW w:w="959" w:type="dxa"/>
          </w:tcPr>
          <w:p w14:paraId="04BF633D" w14:textId="77777777" w:rsidR="000F758C" w:rsidRPr="008401DD" w:rsidRDefault="000F758C" w:rsidP="00960E68">
            <w:pPr>
              <w:spacing w:line="276" w:lineRule="auto"/>
              <w:jc w:val="both"/>
            </w:pPr>
          </w:p>
        </w:tc>
        <w:tc>
          <w:tcPr>
            <w:tcW w:w="958" w:type="dxa"/>
          </w:tcPr>
          <w:p w14:paraId="3D4ECD70" w14:textId="77777777" w:rsidR="000F758C" w:rsidRPr="008401DD" w:rsidRDefault="000F758C" w:rsidP="00960E68">
            <w:pPr>
              <w:spacing w:line="276" w:lineRule="auto"/>
              <w:jc w:val="both"/>
            </w:pPr>
          </w:p>
        </w:tc>
        <w:tc>
          <w:tcPr>
            <w:tcW w:w="959" w:type="dxa"/>
          </w:tcPr>
          <w:p w14:paraId="132C16F5" w14:textId="77777777" w:rsidR="000F758C" w:rsidRPr="008401DD" w:rsidRDefault="000F758C" w:rsidP="00960E68">
            <w:pPr>
              <w:spacing w:line="276" w:lineRule="auto"/>
              <w:jc w:val="both"/>
            </w:pPr>
          </w:p>
        </w:tc>
        <w:tc>
          <w:tcPr>
            <w:tcW w:w="959" w:type="dxa"/>
            <w:shd w:val="clear" w:color="auto" w:fill="C9C9C9" w:themeFill="accent3" w:themeFillTint="99"/>
          </w:tcPr>
          <w:p w14:paraId="1D79839B" w14:textId="77777777" w:rsidR="000F758C" w:rsidRPr="008401DD" w:rsidRDefault="000F758C" w:rsidP="00960E68">
            <w:pPr>
              <w:spacing w:line="276" w:lineRule="auto"/>
              <w:jc w:val="both"/>
            </w:pPr>
          </w:p>
        </w:tc>
        <w:tc>
          <w:tcPr>
            <w:tcW w:w="959" w:type="dxa"/>
            <w:shd w:val="clear" w:color="auto" w:fill="C9C9C9" w:themeFill="accent3" w:themeFillTint="99"/>
          </w:tcPr>
          <w:p w14:paraId="59BA998A" w14:textId="77777777" w:rsidR="000F758C" w:rsidRPr="008401DD" w:rsidRDefault="000F758C" w:rsidP="00960E68">
            <w:pPr>
              <w:spacing w:line="276" w:lineRule="auto"/>
              <w:jc w:val="both"/>
            </w:pPr>
          </w:p>
        </w:tc>
        <w:tc>
          <w:tcPr>
            <w:tcW w:w="958" w:type="dxa"/>
          </w:tcPr>
          <w:p w14:paraId="66A120DE" w14:textId="77777777" w:rsidR="000F758C" w:rsidRPr="008401DD" w:rsidRDefault="000F758C" w:rsidP="00960E68">
            <w:pPr>
              <w:spacing w:line="276" w:lineRule="auto"/>
              <w:jc w:val="both"/>
            </w:pPr>
          </w:p>
        </w:tc>
        <w:tc>
          <w:tcPr>
            <w:tcW w:w="959" w:type="dxa"/>
          </w:tcPr>
          <w:p w14:paraId="4E76C767" w14:textId="77777777" w:rsidR="000F758C" w:rsidRPr="008401DD" w:rsidRDefault="000F758C" w:rsidP="00960E68">
            <w:pPr>
              <w:spacing w:line="276" w:lineRule="auto"/>
              <w:jc w:val="both"/>
            </w:pPr>
          </w:p>
        </w:tc>
        <w:tc>
          <w:tcPr>
            <w:tcW w:w="959" w:type="dxa"/>
          </w:tcPr>
          <w:p w14:paraId="3DCCA3B1" w14:textId="77777777" w:rsidR="000F758C" w:rsidRPr="008401DD" w:rsidRDefault="000F758C" w:rsidP="00960E68">
            <w:pPr>
              <w:spacing w:line="276" w:lineRule="auto"/>
              <w:jc w:val="both"/>
            </w:pPr>
          </w:p>
        </w:tc>
        <w:tc>
          <w:tcPr>
            <w:tcW w:w="959" w:type="dxa"/>
          </w:tcPr>
          <w:p w14:paraId="6EB09F01" w14:textId="77777777" w:rsidR="000F758C" w:rsidRPr="008401DD" w:rsidRDefault="000F758C" w:rsidP="00960E68">
            <w:pPr>
              <w:spacing w:line="276" w:lineRule="auto"/>
              <w:jc w:val="both"/>
            </w:pPr>
          </w:p>
        </w:tc>
      </w:tr>
      <w:tr w:rsidR="00D20AC0" w:rsidRPr="008401DD" w14:paraId="3A703924" w14:textId="77777777" w:rsidTr="000F758C">
        <w:trPr>
          <w:trHeight w:val="288"/>
        </w:trPr>
        <w:tc>
          <w:tcPr>
            <w:tcW w:w="2468" w:type="dxa"/>
          </w:tcPr>
          <w:p w14:paraId="50CE3ABC" w14:textId="77777777" w:rsidR="000F758C" w:rsidRPr="008401DD" w:rsidRDefault="000F758C" w:rsidP="00B85B43">
            <w:pPr>
              <w:spacing w:line="276" w:lineRule="auto"/>
              <w:rPr>
                <w:color w:val="67C18C"/>
              </w:rPr>
            </w:pPr>
            <w:r w:rsidRPr="008401DD">
              <w:rPr>
                <w:color w:val="67C18C"/>
              </w:rPr>
              <w:t>Uskladitev z MZZ</w:t>
            </w:r>
          </w:p>
        </w:tc>
        <w:tc>
          <w:tcPr>
            <w:tcW w:w="958" w:type="dxa"/>
          </w:tcPr>
          <w:p w14:paraId="12B01478" w14:textId="77777777" w:rsidR="000F758C" w:rsidRPr="008401DD" w:rsidRDefault="000F758C" w:rsidP="00960E68">
            <w:pPr>
              <w:spacing w:line="276" w:lineRule="auto"/>
              <w:jc w:val="both"/>
            </w:pPr>
          </w:p>
        </w:tc>
        <w:tc>
          <w:tcPr>
            <w:tcW w:w="959" w:type="dxa"/>
          </w:tcPr>
          <w:p w14:paraId="080DEEBA" w14:textId="77777777" w:rsidR="000F758C" w:rsidRPr="008401DD" w:rsidRDefault="000F758C" w:rsidP="00960E68">
            <w:pPr>
              <w:spacing w:line="276" w:lineRule="auto"/>
              <w:jc w:val="both"/>
            </w:pPr>
          </w:p>
        </w:tc>
        <w:tc>
          <w:tcPr>
            <w:tcW w:w="959" w:type="dxa"/>
          </w:tcPr>
          <w:p w14:paraId="198C12B7" w14:textId="77777777" w:rsidR="000F758C" w:rsidRPr="008401DD" w:rsidRDefault="000F758C" w:rsidP="00960E68">
            <w:pPr>
              <w:spacing w:line="276" w:lineRule="auto"/>
              <w:jc w:val="both"/>
            </w:pPr>
          </w:p>
        </w:tc>
        <w:tc>
          <w:tcPr>
            <w:tcW w:w="958" w:type="dxa"/>
          </w:tcPr>
          <w:p w14:paraId="2DB6B25A" w14:textId="77777777" w:rsidR="000F758C" w:rsidRPr="008401DD" w:rsidRDefault="000F758C" w:rsidP="00960E68">
            <w:pPr>
              <w:spacing w:line="276" w:lineRule="auto"/>
              <w:jc w:val="both"/>
            </w:pPr>
          </w:p>
        </w:tc>
        <w:tc>
          <w:tcPr>
            <w:tcW w:w="959" w:type="dxa"/>
          </w:tcPr>
          <w:p w14:paraId="54E4DF31" w14:textId="77777777" w:rsidR="000F758C" w:rsidRPr="008401DD" w:rsidRDefault="000F758C" w:rsidP="00960E68">
            <w:pPr>
              <w:spacing w:line="276" w:lineRule="auto"/>
              <w:jc w:val="both"/>
            </w:pPr>
          </w:p>
        </w:tc>
        <w:tc>
          <w:tcPr>
            <w:tcW w:w="959" w:type="dxa"/>
          </w:tcPr>
          <w:p w14:paraId="6B5332FD" w14:textId="77777777" w:rsidR="000F758C" w:rsidRPr="008401DD" w:rsidRDefault="000F758C" w:rsidP="00960E68">
            <w:pPr>
              <w:spacing w:line="276" w:lineRule="auto"/>
              <w:jc w:val="both"/>
            </w:pPr>
          </w:p>
        </w:tc>
        <w:tc>
          <w:tcPr>
            <w:tcW w:w="959" w:type="dxa"/>
            <w:shd w:val="clear" w:color="auto" w:fill="C9C9C9" w:themeFill="accent3" w:themeFillTint="99"/>
          </w:tcPr>
          <w:p w14:paraId="71D80C18" w14:textId="77777777" w:rsidR="000F758C" w:rsidRPr="008401DD" w:rsidRDefault="000F758C" w:rsidP="00960E68">
            <w:pPr>
              <w:spacing w:line="276" w:lineRule="auto"/>
              <w:jc w:val="both"/>
            </w:pPr>
          </w:p>
        </w:tc>
        <w:tc>
          <w:tcPr>
            <w:tcW w:w="958" w:type="dxa"/>
            <w:shd w:val="clear" w:color="auto" w:fill="C9C9C9" w:themeFill="accent3" w:themeFillTint="99"/>
          </w:tcPr>
          <w:p w14:paraId="0854DC0C" w14:textId="77777777" w:rsidR="000F758C" w:rsidRPr="008401DD" w:rsidRDefault="000F758C" w:rsidP="00960E68">
            <w:pPr>
              <w:spacing w:line="276" w:lineRule="auto"/>
              <w:jc w:val="both"/>
            </w:pPr>
          </w:p>
        </w:tc>
        <w:tc>
          <w:tcPr>
            <w:tcW w:w="959" w:type="dxa"/>
            <w:shd w:val="clear" w:color="auto" w:fill="C9C9C9" w:themeFill="accent3" w:themeFillTint="99"/>
          </w:tcPr>
          <w:p w14:paraId="3A8A7E6B" w14:textId="77777777" w:rsidR="000F758C" w:rsidRPr="008401DD" w:rsidRDefault="000F758C" w:rsidP="00960E68">
            <w:pPr>
              <w:spacing w:line="276" w:lineRule="auto"/>
              <w:jc w:val="both"/>
            </w:pPr>
          </w:p>
        </w:tc>
        <w:tc>
          <w:tcPr>
            <w:tcW w:w="959" w:type="dxa"/>
          </w:tcPr>
          <w:p w14:paraId="6E20A257" w14:textId="77777777" w:rsidR="000F758C" w:rsidRPr="008401DD" w:rsidRDefault="000F758C" w:rsidP="00960E68">
            <w:pPr>
              <w:spacing w:line="276" w:lineRule="auto"/>
              <w:jc w:val="both"/>
            </w:pPr>
          </w:p>
        </w:tc>
        <w:tc>
          <w:tcPr>
            <w:tcW w:w="959" w:type="dxa"/>
          </w:tcPr>
          <w:p w14:paraId="7500CAC7" w14:textId="77777777" w:rsidR="000F758C" w:rsidRPr="008401DD" w:rsidRDefault="000F758C" w:rsidP="00960E68">
            <w:pPr>
              <w:spacing w:line="276" w:lineRule="auto"/>
              <w:jc w:val="both"/>
            </w:pPr>
          </w:p>
        </w:tc>
      </w:tr>
      <w:tr w:rsidR="00D20AC0" w:rsidRPr="008401DD" w14:paraId="68323CA7" w14:textId="77777777" w:rsidTr="000F758C">
        <w:trPr>
          <w:trHeight w:val="288"/>
        </w:trPr>
        <w:tc>
          <w:tcPr>
            <w:tcW w:w="2468" w:type="dxa"/>
          </w:tcPr>
          <w:p w14:paraId="7E4CF5DD" w14:textId="77777777" w:rsidR="000F758C" w:rsidRPr="008401DD" w:rsidRDefault="000F758C" w:rsidP="00B85B43">
            <w:pPr>
              <w:spacing w:line="276" w:lineRule="auto"/>
              <w:rPr>
                <w:color w:val="67C18C"/>
              </w:rPr>
            </w:pPr>
            <w:r w:rsidRPr="008401DD">
              <w:rPr>
                <w:color w:val="67C18C"/>
              </w:rPr>
              <w:t>Priprava končnega poročila</w:t>
            </w:r>
          </w:p>
        </w:tc>
        <w:tc>
          <w:tcPr>
            <w:tcW w:w="958" w:type="dxa"/>
          </w:tcPr>
          <w:p w14:paraId="69810CAE" w14:textId="77777777" w:rsidR="000F758C" w:rsidRPr="008401DD" w:rsidRDefault="000F758C" w:rsidP="00960E68">
            <w:pPr>
              <w:spacing w:line="276" w:lineRule="auto"/>
              <w:jc w:val="both"/>
            </w:pPr>
          </w:p>
        </w:tc>
        <w:tc>
          <w:tcPr>
            <w:tcW w:w="959" w:type="dxa"/>
          </w:tcPr>
          <w:p w14:paraId="16D0508C" w14:textId="77777777" w:rsidR="000F758C" w:rsidRPr="008401DD" w:rsidRDefault="000F758C" w:rsidP="00960E68">
            <w:pPr>
              <w:spacing w:line="276" w:lineRule="auto"/>
              <w:jc w:val="both"/>
            </w:pPr>
          </w:p>
        </w:tc>
        <w:tc>
          <w:tcPr>
            <w:tcW w:w="959" w:type="dxa"/>
          </w:tcPr>
          <w:p w14:paraId="50AEBC76" w14:textId="77777777" w:rsidR="000F758C" w:rsidRPr="008401DD" w:rsidRDefault="000F758C" w:rsidP="00960E68">
            <w:pPr>
              <w:spacing w:line="276" w:lineRule="auto"/>
              <w:jc w:val="both"/>
            </w:pPr>
          </w:p>
        </w:tc>
        <w:tc>
          <w:tcPr>
            <w:tcW w:w="958" w:type="dxa"/>
          </w:tcPr>
          <w:p w14:paraId="5A80DE25" w14:textId="77777777" w:rsidR="000F758C" w:rsidRPr="008401DD" w:rsidRDefault="000F758C" w:rsidP="00960E68">
            <w:pPr>
              <w:spacing w:line="276" w:lineRule="auto"/>
              <w:jc w:val="both"/>
            </w:pPr>
          </w:p>
        </w:tc>
        <w:tc>
          <w:tcPr>
            <w:tcW w:w="959" w:type="dxa"/>
          </w:tcPr>
          <w:p w14:paraId="1CD72522" w14:textId="77777777" w:rsidR="000F758C" w:rsidRPr="008401DD" w:rsidRDefault="000F758C" w:rsidP="00960E68">
            <w:pPr>
              <w:spacing w:line="276" w:lineRule="auto"/>
              <w:jc w:val="both"/>
            </w:pPr>
          </w:p>
        </w:tc>
        <w:tc>
          <w:tcPr>
            <w:tcW w:w="959" w:type="dxa"/>
          </w:tcPr>
          <w:p w14:paraId="04B84E37" w14:textId="77777777" w:rsidR="000F758C" w:rsidRPr="008401DD" w:rsidRDefault="000F758C" w:rsidP="00960E68">
            <w:pPr>
              <w:spacing w:line="276" w:lineRule="auto"/>
              <w:jc w:val="both"/>
            </w:pPr>
          </w:p>
        </w:tc>
        <w:tc>
          <w:tcPr>
            <w:tcW w:w="959" w:type="dxa"/>
          </w:tcPr>
          <w:p w14:paraId="2D9D44AF" w14:textId="77777777" w:rsidR="000F758C" w:rsidRPr="008401DD" w:rsidRDefault="000F758C" w:rsidP="00960E68">
            <w:pPr>
              <w:spacing w:line="276" w:lineRule="auto"/>
              <w:jc w:val="both"/>
            </w:pPr>
          </w:p>
        </w:tc>
        <w:tc>
          <w:tcPr>
            <w:tcW w:w="958" w:type="dxa"/>
          </w:tcPr>
          <w:p w14:paraId="0560C9F7" w14:textId="77777777" w:rsidR="000F758C" w:rsidRPr="008401DD" w:rsidRDefault="000F758C" w:rsidP="00960E68">
            <w:pPr>
              <w:spacing w:line="276" w:lineRule="auto"/>
              <w:jc w:val="both"/>
            </w:pPr>
          </w:p>
        </w:tc>
        <w:tc>
          <w:tcPr>
            <w:tcW w:w="959" w:type="dxa"/>
            <w:shd w:val="clear" w:color="auto" w:fill="C9C9C9" w:themeFill="accent3" w:themeFillTint="99"/>
          </w:tcPr>
          <w:p w14:paraId="6D30BAC8" w14:textId="77777777" w:rsidR="000F758C" w:rsidRPr="008401DD" w:rsidRDefault="000F758C" w:rsidP="00960E68">
            <w:pPr>
              <w:spacing w:line="276" w:lineRule="auto"/>
              <w:jc w:val="both"/>
            </w:pPr>
          </w:p>
        </w:tc>
        <w:tc>
          <w:tcPr>
            <w:tcW w:w="959" w:type="dxa"/>
          </w:tcPr>
          <w:p w14:paraId="017A7163" w14:textId="77777777" w:rsidR="000F758C" w:rsidRPr="008401DD" w:rsidRDefault="000F758C" w:rsidP="00960E68">
            <w:pPr>
              <w:spacing w:line="276" w:lineRule="auto"/>
              <w:jc w:val="both"/>
            </w:pPr>
          </w:p>
        </w:tc>
        <w:tc>
          <w:tcPr>
            <w:tcW w:w="959" w:type="dxa"/>
          </w:tcPr>
          <w:p w14:paraId="515C97A4" w14:textId="77777777" w:rsidR="000F758C" w:rsidRPr="008401DD" w:rsidRDefault="000F758C" w:rsidP="00960E68">
            <w:pPr>
              <w:spacing w:line="276" w:lineRule="auto"/>
              <w:jc w:val="both"/>
            </w:pPr>
          </w:p>
        </w:tc>
      </w:tr>
      <w:tr w:rsidR="00D20AC0" w:rsidRPr="008401DD" w14:paraId="115E8A67" w14:textId="77777777" w:rsidTr="000F758C">
        <w:trPr>
          <w:trHeight w:val="288"/>
        </w:trPr>
        <w:tc>
          <w:tcPr>
            <w:tcW w:w="2468" w:type="dxa"/>
          </w:tcPr>
          <w:p w14:paraId="6A4DC24F" w14:textId="77777777" w:rsidR="000F758C" w:rsidRPr="008401DD" w:rsidRDefault="000F758C" w:rsidP="00B85B43">
            <w:pPr>
              <w:spacing w:line="276" w:lineRule="auto"/>
              <w:rPr>
                <w:color w:val="67C18C"/>
              </w:rPr>
            </w:pPr>
            <w:r w:rsidRPr="008401DD">
              <w:rPr>
                <w:color w:val="67C18C"/>
              </w:rPr>
              <w:t>Predstavitev rezultatov vrednotenja</w:t>
            </w:r>
          </w:p>
        </w:tc>
        <w:tc>
          <w:tcPr>
            <w:tcW w:w="958" w:type="dxa"/>
          </w:tcPr>
          <w:p w14:paraId="44244344" w14:textId="77777777" w:rsidR="000F758C" w:rsidRPr="008401DD" w:rsidRDefault="000F758C" w:rsidP="00960E68">
            <w:pPr>
              <w:spacing w:line="276" w:lineRule="auto"/>
              <w:jc w:val="both"/>
            </w:pPr>
          </w:p>
        </w:tc>
        <w:tc>
          <w:tcPr>
            <w:tcW w:w="959" w:type="dxa"/>
          </w:tcPr>
          <w:p w14:paraId="3E355721" w14:textId="77777777" w:rsidR="000F758C" w:rsidRPr="008401DD" w:rsidRDefault="000F758C" w:rsidP="00960E68">
            <w:pPr>
              <w:spacing w:line="276" w:lineRule="auto"/>
              <w:jc w:val="both"/>
            </w:pPr>
          </w:p>
        </w:tc>
        <w:tc>
          <w:tcPr>
            <w:tcW w:w="959" w:type="dxa"/>
          </w:tcPr>
          <w:p w14:paraId="1F5C5526" w14:textId="77777777" w:rsidR="000F758C" w:rsidRPr="008401DD" w:rsidRDefault="000F758C" w:rsidP="00960E68">
            <w:pPr>
              <w:spacing w:line="276" w:lineRule="auto"/>
              <w:jc w:val="both"/>
            </w:pPr>
          </w:p>
        </w:tc>
        <w:tc>
          <w:tcPr>
            <w:tcW w:w="958" w:type="dxa"/>
          </w:tcPr>
          <w:p w14:paraId="343B4336" w14:textId="77777777" w:rsidR="000F758C" w:rsidRPr="008401DD" w:rsidRDefault="000F758C" w:rsidP="00960E68">
            <w:pPr>
              <w:spacing w:line="276" w:lineRule="auto"/>
              <w:jc w:val="both"/>
            </w:pPr>
          </w:p>
        </w:tc>
        <w:tc>
          <w:tcPr>
            <w:tcW w:w="959" w:type="dxa"/>
          </w:tcPr>
          <w:p w14:paraId="608E2F21" w14:textId="77777777" w:rsidR="000F758C" w:rsidRPr="008401DD" w:rsidRDefault="000F758C" w:rsidP="00960E68">
            <w:pPr>
              <w:spacing w:line="276" w:lineRule="auto"/>
              <w:jc w:val="both"/>
            </w:pPr>
          </w:p>
        </w:tc>
        <w:tc>
          <w:tcPr>
            <w:tcW w:w="959" w:type="dxa"/>
          </w:tcPr>
          <w:p w14:paraId="49B2EDE3" w14:textId="77777777" w:rsidR="000F758C" w:rsidRPr="008401DD" w:rsidRDefault="000F758C" w:rsidP="00960E68">
            <w:pPr>
              <w:spacing w:line="276" w:lineRule="auto"/>
              <w:jc w:val="both"/>
            </w:pPr>
          </w:p>
        </w:tc>
        <w:tc>
          <w:tcPr>
            <w:tcW w:w="959" w:type="dxa"/>
          </w:tcPr>
          <w:p w14:paraId="705D02B1" w14:textId="77777777" w:rsidR="000F758C" w:rsidRPr="008401DD" w:rsidRDefault="000F758C" w:rsidP="00960E68">
            <w:pPr>
              <w:spacing w:line="276" w:lineRule="auto"/>
              <w:jc w:val="both"/>
            </w:pPr>
          </w:p>
        </w:tc>
        <w:tc>
          <w:tcPr>
            <w:tcW w:w="958" w:type="dxa"/>
          </w:tcPr>
          <w:p w14:paraId="3B3D295A" w14:textId="77777777" w:rsidR="000F758C" w:rsidRPr="008401DD" w:rsidRDefault="000F758C" w:rsidP="00960E68">
            <w:pPr>
              <w:spacing w:line="276" w:lineRule="auto"/>
              <w:jc w:val="both"/>
            </w:pPr>
          </w:p>
        </w:tc>
        <w:tc>
          <w:tcPr>
            <w:tcW w:w="959" w:type="dxa"/>
          </w:tcPr>
          <w:p w14:paraId="34682EA6" w14:textId="77777777" w:rsidR="000F758C" w:rsidRPr="008401DD" w:rsidRDefault="000F758C" w:rsidP="00960E68">
            <w:pPr>
              <w:spacing w:line="276" w:lineRule="auto"/>
              <w:jc w:val="both"/>
            </w:pPr>
          </w:p>
        </w:tc>
        <w:tc>
          <w:tcPr>
            <w:tcW w:w="959" w:type="dxa"/>
            <w:shd w:val="clear" w:color="auto" w:fill="C9C9C9" w:themeFill="accent3" w:themeFillTint="99"/>
          </w:tcPr>
          <w:p w14:paraId="1BD25EB0" w14:textId="77777777" w:rsidR="000F758C" w:rsidRPr="008401DD" w:rsidRDefault="000F758C" w:rsidP="00960E68">
            <w:pPr>
              <w:spacing w:line="276" w:lineRule="auto"/>
              <w:jc w:val="both"/>
            </w:pPr>
          </w:p>
        </w:tc>
        <w:tc>
          <w:tcPr>
            <w:tcW w:w="959" w:type="dxa"/>
            <w:shd w:val="clear" w:color="auto" w:fill="C9C9C9" w:themeFill="accent3" w:themeFillTint="99"/>
          </w:tcPr>
          <w:p w14:paraId="70874B3E" w14:textId="77777777" w:rsidR="000F758C" w:rsidRPr="008401DD" w:rsidRDefault="000F758C" w:rsidP="00960E68">
            <w:pPr>
              <w:spacing w:line="276" w:lineRule="auto"/>
              <w:jc w:val="both"/>
            </w:pPr>
          </w:p>
        </w:tc>
      </w:tr>
    </w:tbl>
    <w:p w14:paraId="72F05513" w14:textId="77777777" w:rsidR="00D20AC0" w:rsidRPr="008401DD" w:rsidRDefault="00D20AC0" w:rsidP="00960E68">
      <w:pPr>
        <w:spacing w:line="276" w:lineRule="auto"/>
        <w:jc w:val="both"/>
      </w:pPr>
    </w:p>
    <w:p w14:paraId="08FCBAEF" w14:textId="77777777" w:rsidR="00D20AC0" w:rsidRPr="008401DD" w:rsidRDefault="00D20AC0" w:rsidP="00960E68"/>
    <w:p w14:paraId="629C0E35" w14:textId="77777777" w:rsidR="00D20AC0" w:rsidRPr="008401DD" w:rsidRDefault="00D20AC0" w:rsidP="00960E68">
      <w:pPr>
        <w:sectPr w:rsidR="00D20AC0" w:rsidRPr="008401DD" w:rsidSect="00E15039">
          <w:pgSz w:w="15840" w:h="12240" w:orient="landscape"/>
          <w:pgMar w:top="1440" w:right="1440" w:bottom="1440" w:left="1440" w:header="708" w:footer="708" w:gutter="0"/>
          <w:cols w:space="708"/>
          <w:docGrid w:linePitch="360"/>
        </w:sectPr>
      </w:pPr>
    </w:p>
    <w:p w14:paraId="17D9E79D" w14:textId="50E78A60" w:rsidR="000D32DC" w:rsidRPr="008401DD" w:rsidRDefault="00E66CE4" w:rsidP="006F317B">
      <w:pPr>
        <w:pStyle w:val="Heading3"/>
      </w:pPr>
      <w:bookmarkStart w:id="98" w:name="_Toc52394930"/>
      <w:bookmarkStart w:id="99" w:name="_Toc56088904"/>
      <w:bookmarkStart w:id="100" w:name="_Toc56112198"/>
      <w:bookmarkStart w:id="101" w:name="_Toc57377175"/>
      <w:bookmarkStart w:id="102" w:name="_Toc481764237"/>
      <w:bookmarkStart w:id="103" w:name="_Toc505379043"/>
      <w:r w:rsidRPr="008401DD">
        <w:lastRenderedPageBreak/>
        <w:t>Opravljeno</w:t>
      </w:r>
      <w:r w:rsidR="00B27574" w:rsidRPr="008401DD">
        <w:t xml:space="preserve"> </w:t>
      </w:r>
      <w:r w:rsidR="000D32DC" w:rsidRPr="008401DD">
        <w:t>terensk</w:t>
      </w:r>
      <w:r w:rsidRPr="008401DD">
        <w:t>o</w:t>
      </w:r>
      <w:r w:rsidR="000D32DC" w:rsidRPr="008401DD">
        <w:t xml:space="preserve"> del</w:t>
      </w:r>
      <w:r w:rsidR="00B27574" w:rsidRPr="008401DD">
        <w:t>o</w:t>
      </w:r>
      <w:bookmarkEnd w:id="98"/>
      <w:bookmarkEnd w:id="99"/>
      <w:bookmarkEnd w:id="100"/>
      <w:bookmarkEnd w:id="101"/>
      <w:r w:rsidR="000D32DC" w:rsidRPr="008401DD">
        <w:t xml:space="preserve"> </w:t>
      </w:r>
    </w:p>
    <w:p w14:paraId="1D973C24" w14:textId="77777777" w:rsidR="000D32DC" w:rsidRPr="008401DD" w:rsidRDefault="000D32DC" w:rsidP="00960E68"/>
    <w:tbl>
      <w:tblPr>
        <w:tblStyle w:val="TableGrid"/>
        <w:tblW w:w="9498" w:type="dxa"/>
        <w:tblInd w:w="-5" w:type="dxa"/>
        <w:tblLook w:val="04A0" w:firstRow="1" w:lastRow="0" w:firstColumn="1" w:lastColumn="0" w:noHBand="0" w:noVBand="1"/>
      </w:tblPr>
      <w:tblGrid>
        <w:gridCol w:w="2410"/>
        <w:gridCol w:w="2268"/>
        <w:gridCol w:w="4820"/>
      </w:tblGrid>
      <w:tr w:rsidR="00A01DF7" w:rsidRPr="008401DD" w14:paraId="6C82D11A" w14:textId="77777777" w:rsidTr="00A01DF7">
        <w:tc>
          <w:tcPr>
            <w:tcW w:w="2410" w:type="dxa"/>
            <w:shd w:val="clear" w:color="auto" w:fill="67C18C"/>
          </w:tcPr>
          <w:p w14:paraId="4DEAFD34" w14:textId="14E5D18A" w:rsidR="00A01DF7" w:rsidRPr="008401DD" w:rsidRDefault="00A01DF7" w:rsidP="00960E68">
            <w:pPr>
              <w:rPr>
                <w:color w:val="FFFFFF" w:themeColor="background1"/>
              </w:rPr>
            </w:pPr>
            <w:bookmarkStart w:id="104" w:name="_Toc52394931"/>
            <w:r w:rsidRPr="008401DD">
              <w:rPr>
                <w:b/>
                <w:color w:val="FFFFFF" w:themeColor="background1"/>
              </w:rPr>
              <w:t>Deležnik</w:t>
            </w:r>
            <w:bookmarkEnd w:id="104"/>
          </w:p>
        </w:tc>
        <w:tc>
          <w:tcPr>
            <w:tcW w:w="2268" w:type="dxa"/>
            <w:shd w:val="clear" w:color="auto" w:fill="67C18C"/>
          </w:tcPr>
          <w:p w14:paraId="4B00A2B6" w14:textId="77777777" w:rsidR="00A01DF7" w:rsidRPr="008401DD" w:rsidRDefault="00A01DF7" w:rsidP="00960E68">
            <w:pPr>
              <w:rPr>
                <w:color w:val="FFFFFF" w:themeColor="background1"/>
              </w:rPr>
            </w:pPr>
            <w:bookmarkStart w:id="105" w:name="_Toc52394932"/>
            <w:r w:rsidRPr="008401DD">
              <w:rPr>
                <w:b/>
                <w:color w:val="FFFFFF" w:themeColor="background1"/>
              </w:rPr>
              <w:t>Datum</w:t>
            </w:r>
            <w:bookmarkEnd w:id="105"/>
            <w:r w:rsidRPr="008401DD">
              <w:rPr>
                <w:b/>
                <w:color w:val="FFFFFF" w:themeColor="background1"/>
              </w:rPr>
              <w:t xml:space="preserve"> </w:t>
            </w:r>
          </w:p>
        </w:tc>
        <w:tc>
          <w:tcPr>
            <w:tcW w:w="4820" w:type="dxa"/>
            <w:shd w:val="clear" w:color="auto" w:fill="67C18C"/>
          </w:tcPr>
          <w:p w14:paraId="726EEC64" w14:textId="2283803F" w:rsidR="00A01DF7" w:rsidRPr="008401DD" w:rsidRDefault="00A01DF7" w:rsidP="00960E68">
            <w:pPr>
              <w:rPr>
                <w:color w:val="FFFFFF" w:themeColor="background1"/>
              </w:rPr>
            </w:pPr>
            <w:bookmarkStart w:id="106" w:name="_Toc52394933"/>
            <w:r w:rsidRPr="008401DD">
              <w:rPr>
                <w:b/>
                <w:color w:val="FFFFFF" w:themeColor="background1"/>
              </w:rPr>
              <w:t>Intervju</w:t>
            </w:r>
            <w:r w:rsidR="00FB73BB">
              <w:rPr>
                <w:b/>
                <w:color w:val="FFFFFF" w:themeColor="background1"/>
              </w:rPr>
              <w:t>v</w:t>
            </w:r>
            <w:r w:rsidRPr="008401DD">
              <w:rPr>
                <w:b/>
                <w:color w:val="FFFFFF" w:themeColor="background1"/>
              </w:rPr>
              <w:t>anec</w:t>
            </w:r>
            <w:bookmarkEnd w:id="106"/>
          </w:p>
        </w:tc>
      </w:tr>
      <w:tr w:rsidR="00983865" w:rsidRPr="008401DD" w14:paraId="1A678A06" w14:textId="77777777" w:rsidTr="00983865">
        <w:tc>
          <w:tcPr>
            <w:tcW w:w="2410" w:type="dxa"/>
            <w:shd w:val="clear" w:color="auto" w:fill="auto"/>
            <w:vAlign w:val="center"/>
          </w:tcPr>
          <w:p w14:paraId="30B1CF99" w14:textId="43F2AF3D" w:rsidR="00983865" w:rsidRPr="008401DD" w:rsidRDefault="00983865" w:rsidP="00960E68">
            <w:pPr>
              <w:rPr>
                <w:b/>
                <w:color w:val="FFFFFF" w:themeColor="background1"/>
              </w:rPr>
            </w:pPr>
            <w:r w:rsidRPr="008401DD">
              <w:t xml:space="preserve">Fortuna </w:t>
            </w:r>
            <w:proofErr w:type="spellStart"/>
            <w:r w:rsidRPr="008401DD">
              <w:t>inženering</w:t>
            </w:r>
            <w:proofErr w:type="spellEnd"/>
            <w:r w:rsidRPr="008401DD">
              <w:t xml:space="preserve"> </w:t>
            </w:r>
            <w:proofErr w:type="spellStart"/>
            <w:r w:rsidRPr="008401DD">
              <w:t>d.o.o</w:t>
            </w:r>
            <w:proofErr w:type="spellEnd"/>
            <w:r w:rsidRPr="008401DD">
              <w:t>. Skopje</w:t>
            </w:r>
          </w:p>
        </w:tc>
        <w:tc>
          <w:tcPr>
            <w:tcW w:w="2268" w:type="dxa"/>
            <w:shd w:val="clear" w:color="auto" w:fill="auto"/>
          </w:tcPr>
          <w:p w14:paraId="3075F404" w14:textId="50399857" w:rsidR="00983865" w:rsidRPr="008401DD" w:rsidRDefault="00983865" w:rsidP="00960E68">
            <w:pPr>
              <w:rPr>
                <w:b/>
                <w:color w:val="FFFFFF" w:themeColor="background1"/>
              </w:rPr>
            </w:pPr>
            <w:r w:rsidRPr="008401DD">
              <w:t>6.10.2020</w:t>
            </w:r>
          </w:p>
        </w:tc>
        <w:tc>
          <w:tcPr>
            <w:tcW w:w="4820" w:type="dxa"/>
            <w:shd w:val="clear" w:color="auto" w:fill="auto"/>
          </w:tcPr>
          <w:p w14:paraId="381F0DF7" w14:textId="4C9631FF" w:rsidR="00983865" w:rsidRPr="008401DD" w:rsidRDefault="00983865" w:rsidP="00960E68">
            <w:pPr>
              <w:rPr>
                <w:b/>
                <w:color w:val="FFFFFF" w:themeColor="background1"/>
              </w:rPr>
            </w:pPr>
            <w:r w:rsidRPr="008401DD">
              <w:t>Zoran Ilić, direktor podjetja</w:t>
            </w:r>
          </w:p>
        </w:tc>
      </w:tr>
      <w:tr w:rsidR="00983865" w:rsidRPr="008401DD" w14:paraId="5844B338" w14:textId="77777777" w:rsidTr="00A01DF7">
        <w:tc>
          <w:tcPr>
            <w:tcW w:w="2410" w:type="dxa"/>
            <w:vAlign w:val="center"/>
          </w:tcPr>
          <w:p w14:paraId="719CB08D" w14:textId="2D3F014C" w:rsidR="00983865" w:rsidRPr="008401DD" w:rsidRDefault="00983865" w:rsidP="00960E68">
            <w:r w:rsidRPr="008401DD">
              <w:t xml:space="preserve">Komunalno podjetje »Nikola </w:t>
            </w:r>
            <w:proofErr w:type="spellStart"/>
            <w:r w:rsidRPr="008401DD">
              <w:t>Karev</w:t>
            </w:r>
            <w:proofErr w:type="spellEnd"/>
            <w:r w:rsidRPr="008401DD">
              <w:t xml:space="preserve">« v občini </w:t>
            </w:r>
            <w:proofErr w:type="spellStart"/>
            <w:r w:rsidRPr="008401DD">
              <w:t>Probištip</w:t>
            </w:r>
            <w:proofErr w:type="spellEnd"/>
          </w:p>
        </w:tc>
        <w:tc>
          <w:tcPr>
            <w:tcW w:w="2268" w:type="dxa"/>
          </w:tcPr>
          <w:p w14:paraId="232E16D2" w14:textId="539F1573" w:rsidR="00983865" w:rsidRPr="008401DD" w:rsidRDefault="00983865" w:rsidP="00960E68">
            <w:r w:rsidRPr="008401DD">
              <w:t>7.10.2020</w:t>
            </w:r>
          </w:p>
        </w:tc>
        <w:tc>
          <w:tcPr>
            <w:tcW w:w="4820" w:type="dxa"/>
          </w:tcPr>
          <w:p w14:paraId="3A2E4B09" w14:textId="34365EF0" w:rsidR="00983865" w:rsidRPr="008401DD" w:rsidRDefault="00983865" w:rsidP="00960E68">
            <w:r w:rsidRPr="008401DD">
              <w:t xml:space="preserve">Nenad </w:t>
            </w:r>
            <w:proofErr w:type="spellStart"/>
            <w:r w:rsidRPr="008401DD">
              <w:t>Pavičevič</w:t>
            </w:r>
            <w:proofErr w:type="spellEnd"/>
            <w:r w:rsidRPr="008401DD">
              <w:t>, direktor</w:t>
            </w:r>
          </w:p>
        </w:tc>
      </w:tr>
      <w:tr w:rsidR="00983865" w:rsidRPr="008401DD" w14:paraId="4789BB32" w14:textId="77777777" w:rsidTr="00A01DF7">
        <w:tc>
          <w:tcPr>
            <w:tcW w:w="2410" w:type="dxa"/>
            <w:vAlign w:val="center"/>
          </w:tcPr>
          <w:p w14:paraId="10505AD6" w14:textId="7751EC74" w:rsidR="00983865" w:rsidRPr="008401DD" w:rsidRDefault="00983865" w:rsidP="00960E68">
            <w:r w:rsidRPr="008401DD">
              <w:t xml:space="preserve">Občina </w:t>
            </w:r>
            <w:proofErr w:type="spellStart"/>
            <w:r w:rsidRPr="008401DD">
              <w:t>Probištip</w:t>
            </w:r>
            <w:proofErr w:type="spellEnd"/>
          </w:p>
        </w:tc>
        <w:tc>
          <w:tcPr>
            <w:tcW w:w="2268" w:type="dxa"/>
          </w:tcPr>
          <w:p w14:paraId="75B98C45" w14:textId="1CE919ED" w:rsidR="00983865" w:rsidRPr="008401DD" w:rsidRDefault="00983865" w:rsidP="00960E68">
            <w:r w:rsidRPr="008401DD">
              <w:t>7.10.2020</w:t>
            </w:r>
          </w:p>
        </w:tc>
        <w:tc>
          <w:tcPr>
            <w:tcW w:w="4820" w:type="dxa"/>
          </w:tcPr>
          <w:p w14:paraId="6A472CAC" w14:textId="7E1D7022" w:rsidR="00983865" w:rsidRPr="008401DD" w:rsidRDefault="00983865" w:rsidP="00960E68">
            <w:r w:rsidRPr="008401DD">
              <w:t xml:space="preserve">Dragan </w:t>
            </w:r>
            <w:proofErr w:type="spellStart"/>
            <w:r w:rsidRPr="008401DD">
              <w:t>Anastasov</w:t>
            </w:r>
            <w:proofErr w:type="spellEnd"/>
            <w:r w:rsidRPr="008401DD">
              <w:t xml:space="preserve">, župan Občine </w:t>
            </w:r>
            <w:proofErr w:type="spellStart"/>
            <w:r w:rsidRPr="008401DD">
              <w:t>Probištip</w:t>
            </w:r>
            <w:proofErr w:type="spellEnd"/>
          </w:p>
        </w:tc>
      </w:tr>
      <w:tr w:rsidR="00983865" w:rsidRPr="008401DD" w14:paraId="789126B3" w14:textId="77777777" w:rsidTr="00A01DF7">
        <w:tc>
          <w:tcPr>
            <w:tcW w:w="2410" w:type="dxa"/>
            <w:vAlign w:val="center"/>
          </w:tcPr>
          <w:p w14:paraId="07001418" w14:textId="5153E531" w:rsidR="00983865" w:rsidRPr="008401DD" w:rsidRDefault="00983865" w:rsidP="00960E68">
            <w:proofErr w:type="spellStart"/>
            <w:r w:rsidRPr="008401DD">
              <w:t>Hidrosistem</w:t>
            </w:r>
            <w:proofErr w:type="spellEnd"/>
            <w:r w:rsidRPr="008401DD">
              <w:t xml:space="preserve"> </w:t>
            </w:r>
            <w:proofErr w:type="spellStart"/>
            <w:r w:rsidRPr="008401DD">
              <w:t>Zletovica</w:t>
            </w:r>
            <w:proofErr w:type="spellEnd"/>
          </w:p>
        </w:tc>
        <w:tc>
          <w:tcPr>
            <w:tcW w:w="2268" w:type="dxa"/>
          </w:tcPr>
          <w:p w14:paraId="290F91FF" w14:textId="1A8C5C6D" w:rsidR="00983865" w:rsidRPr="008401DD" w:rsidRDefault="00983865" w:rsidP="00960E68">
            <w:r w:rsidRPr="008401DD">
              <w:t>8.10.2020</w:t>
            </w:r>
          </w:p>
        </w:tc>
        <w:tc>
          <w:tcPr>
            <w:tcW w:w="4820" w:type="dxa"/>
          </w:tcPr>
          <w:p w14:paraId="5560AB1C" w14:textId="15C27573" w:rsidR="00983865" w:rsidRPr="008401DD" w:rsidRDefault="00983865" w:rsidP="00960E68">
            <w:r w:rsidRPr="008401DD">
              <w:t xml:space="preserve">Mile </w:t>
            </w:r>
            <w:proofErr w:type="spellStart"/>
            <w:r w:rsidRPr="008401DD">
              <w:t>Ilevski</w:t>
            </w:r>
            <w:proofErr w:type="spellEnd"/>
            <w:r w:rsidRPr="008401DD">
              <w:t>, direktor podjetja</w:t>
            </w:r>
          </w:p>
        </w:tc>
      </w:tr>
      <w:tr w:rsidR="00983865" w:rsidRPr="008401DD" w14:paraId="3AED4C6F" w14:textId="77777777" w:rsidTr="00A01DF7">
        <w:tc>
          <w:tcPr>
            <w:tcW w:w="2410" w:type="dxa"/>
            <w:vAlign w:val="center"/>
          </w:tcPr>
          <w:p w14:paraId="7A92F6EC" w14:textId="2DE1AC81" w:rsidR="00983865" w:rsidRPr="008401DD" w:rsidRDefault="00983865" w:rsidP="00960E68">
            <w:r w:rsidRPr="008401DD">
              <w:t>Veleposlaništvo Republike Slovenije v Severni Makedoniji</w:t>
            </w:r>
          </w:p>
        </w:tc>
        <w:tc>
          <w:tcPr>
            <w:tcW w:w="2268" w:type="dxa"/>
          </w:tcPr>
          <w:p w14:paraId="7317BC75" w14:textId="45A399FE" w:rsidR="00983865" w:rsidRPr="008401DD" w:rsidRDefault="00983865" w:rsidP="00960E68">
            <w:r w:rsidRPr="008401DD">
              <w:t>9.10.2020</w:t>
            </w:r>
          </w:p>
        </w:tc>
        <w:tc>
          <w:tcPr>
            <w:tcW w:w="4820" w:type="dxa"/>
          </w:tcPr>
          <w:p w14:paraId="277D06C7" w14:textId="77777777" w:rsidR="00983865" w:rsidRDefault="00983865" w:rsidP="00960E68">
            <w:r w:rsidRPr="008401DD">
              <w:t>Milan Predan, veleposlanik RS v Skopju</w:t>
            </w:r>
          </w:p>
          <w:p w14:paraId="70A5D71A" w14:textId="4937BD71" w:rsidR="00CC27BA" w:rsidRPr="008401DD" w:rsidRDefault="00CC27BA" w:rsidP="00960E68">
            <w:proofErr w:type="spellStart"/>
            <w:r>
              <w:t>Gjyle</w:t>
            </w:r>
            <w:proofErr w:type="spellEnd"/>
            <w:r>
              <w:t xml:space="preserve"> </w:t>
            </w:r>
            <w:proofErr w:type="spellStart"/>
            <w:r>
              <w:t>Vishaj</w:t>
            </w:r>
            <w:proofErr w:type="spellEnd"/>
            <w:r>
              <w:t xml:space="preserve">, ekonomska svetovalka </w:t>
            </w:r>
          </w:p>
        </w:tc>
      </w:tr>
      <w:tr w:rsidR="00983865" w:rsidRPr="008401DD" w14:paraId="6F57C5BF" w14:textId="77777777" w:rsidTr="00A01DF7">
        <w:tc>
          <w:tcPr>
            <w:tcW w:w="2410" w:type="dxa"/>
            <w:vAlign w:val="center"/>
          </w:tcPr>
          <w:p w14:paraId="354DCF5A" w14:textId="022E4A97" w:rsidR="00983865" w:rsidRPr="008401DD" w:rsidRDefault="00983865" w:rsidP="00960E68">
            <w:r w:rsidRPr="008401DD">
              <w:t>CMSR</w:t>
            </w:r>
          </w:p>
        </w:tc>
        <w:tc>
          <w:tcPr>
            <w:tcW w:w="2268" w:type="dxa"/>
          </w:tcPr>
          <w:p w14:paraId="05187F0C" w14:textId="44F03249" w:rsidR="00983865" w:rsidRPr="008401DD" w:rsidRDefault="00983865" w:rsidP="00960E68">
            <w:r w:rsidRPr="008401DD">
              <w:t>13.10.2020</w:t>
            </w:r>
          </w:p>
        </w:tc>
        <w:tc>
          <w:tcPr>
            <w:tcW w:w="4820" w:type="dxa"/>
          </w:tcPr>
          <w:p w14:paraId="17CEB08D" w14:textId="66673307" w:rsidR="00983865" w:rsidRPr="008401DD" w:rsidRDefault="00D74408" w:rsidP="00960E68">
            <w:r>
              <w:t>Klemen Potisek</w:t>
            </w:r>
            <w:r w:rsidR="00983865" w:rsidRPr="008401DD">
              <w:t>, direktor; Mojca Kopše vodja oddelka MRS</w:t>
            </w:r>
          </w:p>
        </w:tc>
      </w:tr>
      <w:tr w:rsidR="00983865" w:rsidRPr="008401DD" w14:paraId="4CF1497F" w14:textId="77777777" w:rsidTr="00A01DF7">
        <w:tc>
          <w:tcPr>
            <w:tcW w:w="2410" w:type="dxa"/>
            <w:vAlign w:val="center"/>
          </w:tcPr>
          <w:p w14:paraId="617C68DD" w14:textId="77777777" w:rsidR="00983865" w:rsidRPr="008401DD" w:rsidRDefault="00983865" w:rsidP="00960E68">
            <w:r w:rsidRPr="008401DD">
              <w:t>Iskra Sistemi- M DOOEL Skopje</w:t>
            </w:r>
          </w:p>
        </w:tc>
        <w:tc>
          <w:tcPr>
            <w:tcW w:w="2268" w:type="dxa"/>
          </w:tcPr>
          <w:p w14:paraId="7CCFCAFC" w14:textId="5F1A6302" w:rsidR="00983865" w:rsidRPr="008401DD" w:rsidRDefault="00983865" w:rsidP="00960E68">
            <w:r w:rsidRPr="008401DD">
              <w:t>15.10.2020</w:t>
            </w:r>
          </w:p>
        </w:tc>
        <w:tc>
          <w:tcPr>
            <w:tcW w:w="4820" w:type="dxa"/>
          </w:tcPr>
          <w:p w14:paraId="4AAB2A8B" w14:textId="77777777" w:rsidR="00983865" w:rsidRPr="008401DD" w:rsidRDefault="00983865" w:rsidP="00960E68">
            <w:proofErr w:type="spellStart"/>
            <w:r w:rsidRPr="008401DD">
              <w:t>Ilco</w:t>
            </w:r>
            <w:proofErr w:type="spellEnd"/>
            <w:r w:rsidRPr="008401DD">
              <w:t xml:space="preserve"> </w:t>
            </w:r>
            <w:proofErr w:type="spellStart"/>
            <w:r w:rsidRPr="008401DD">
              <w:t>Merdzanovski</w:t>
            </w:r>
            <w:proofErr w:type="spellEnd"/>
            <w:r w:rsidRPr="008401DD">
              <w:t>, izvršni direktor</w:t>
            </w:r>
          </w:p>
        </w:tc>
      </w:tr>
      <w:tr w:rsidR="00983865" w:rsidRPr="008401DD" w14:paraId="0DCDF48C" w14:textId="77777777" w:rsidTr="00A01DF7">
        <w:tc>
          <w:tcPr>
            <w:tcW w:w="2410" w:type="dxa"/>
            <w:vAlign w:val="center"/>
          </w:tcPr>
          <w:p w14:paraId="0D90A229" w14:textId="5DB47052" w:rsidR="00983865" w:rsidRPr="008401DD" w:rsidRDefault="00983865" w:rsidP="00960E68">
            <w:r w:rsidRPr="008401DD">
              <w:t xml:space="preserve">Ministrstvo za zunanje zadeve </w:t>
            </w:r>
          </w:p>
        </w:tc>
        <w:tc>
          <w:tcPr>
            <w:tcW w:w="2268" w:type="dxa"/>
          </w:tcPr>
          <w:p w14:paraId="00A9C7A7" w14:textId="6DA22732" w:rsidR="00983865" w:rsidRPr="008401DD" w:rsidRDefault="00983865" w:rsidP="00960E68">
            <w:r w:rsidRPr="008401DD">
              <w:t>15.10.2020</w:t>
            </w:r>
          </w:p>
        </w:tc>
        <w:tc>
          <w:tcPr>
            <w:tcW w:w="4820" w:type="dxa"/>
          </w:tcPr>
          <w:p w14:paraId="0C5D1375" w14:textId="06C11DDF" w:rsidR="00983865" w:rsidRPr="008401DD" w:rsidRDefault="00983865" w:rsidP="00960E68">
            <w:r w:rsidRPr="008401DD">
              <w:t>Nataša Adlešič Barba,</w:t>
            </w:r>
            <w:r w:rsidR="00B144C8">
              <w:t xml:space="preserve"> </w:t>
            </w:r>
            <w:r w:rsidRPr="008401DD">
              <w:t>vodja sektorja za razvojno sodelovanje in humanitarno pomoč; Vesna Čuber, sekretarka, Sektor za razvojno sodelovanja in humanitarno pomoč</w:t>
            </w:r>
          </w:p>
        </w:tc>
      </w:tr>
      <w:tr w:rsidR="00983865" w:rsidRPr="008401DD" w14:paraId="6B8EEF5B" w14:textId="77777777" w:rsidTr="00A01DF7">
        <w:tc>
          <w:tcPr>
            <w:tcW w:w="2410" w:type="dxa"/>
            <w:vAlign w:val="center"/>
          </w:tcPr>
          <w:p w14:paraId="65825D23" w14:textId="6E45E5C2" w:rsidR="00983865" w:rsidRPr="008401DD" w:rsidRDefault="00983865" w:rsidP="00960E68">
            <w:r w:rsidRPr="008401DD">
              <w:t xml:space="preserve">Ministrstvo za zunanje zadeve </w:t>
            </w:r>
          </w:p>
        </w:tc>
        <w:tc>
          <w:tcPr>
            <w:tcW w:w="2268" w:type="dxa"/>
          </w:tcPr>
          <w:p w14:paraId="553BE287" w14:textId="6C53C100" w:rsidR="00983865" w:rsidRPr="008401DD" w:rsidRDefault="00983865" w:rsidP="00960E68">
            <w:r w:rsidRPr="008401DD">
              <w:t>15.10.2020</w:t>
            </w:r>
          </w:p>
        </w:tc>
        <w:tc>
          <w:tcPr>
            <w:tcW w:w="4820" w:type="dxa"/>
          </w:tcPr>
          <w:p w14:paraId="756E400A" w14:textId="729C5F74" w:rsidR="00983865" w:rsidRPr="008401DD" w:rsidRDefault="00983865" w:rsidP="00960E68">
            <w:r w:rsidRPr="008401DD">
              <w:t>Milan Jazbec, bivši veleposlanik RS v Skopju</w:t>
            </w:r>
          </w:p>
        </w:tc>
      </w:tr>
      <w:tr w:rsidR="00983865" w:rsidRPr="008401DD" w14:paraId="45CB3A40" w14:textId="77777777" w:rsidTr="00A01DF7">
        <w:tc>
          <w:tcPr>
            <w:tcW w:w="2410" w:type="dxa"/>
            <w:vAlign w:val="center"/>
          </w:tcPr>
          <w:p w14:paraId="5E85974A" w14:textId="0A8C39DE" w:rsidR="00983865" w:rsidRPr="008401DD" w:rsidRDefault="00983865" w:rsidP="00960E68">
            <w:r w:rsidRPr="008401DD">
              <w:t xml:space="preserve">Ministrstvo za finance </w:t>
            </w:r>
          </w:p>
        </w:tc>
        <w:tc>
          <w:tcPr>
            <w:tcW w:w="2268" w:type="dxa"/>
          </w:tcPr>
          <w:p w14:paraId="4609E7D2" w14:textId="3BCBA899" w:rsidR="00983865" w:rsidRPr="008401DD" w:rsidRDefault="00983865" w:rsidP="00960E68">
            <w:r w:rsidRPr="008401DD">
              <w:t>15.10.2020</w:t>
            </w:r>
          </w:p>
        </w:tc>
        <w:tc>
          <w:tcPr>
            <w:tcW w:w="4820" w:type="dxa"/>
          </w:tcPr>
          <w:p w14:paraId="050F3963" w14:textId="4E8D0803" w:rsidR="00983865" w:rsidRPr="008401DD" w:rsidRDefault="00983865" w:rsidP="00960E68">
            <w:r w:rsidRPr="008401DD">
              <w:t xml:space="preserve">Andrej Kavčič, in Barbara Knapič </w:t>
            </w:r>
            <w:proofErr w:type="spellStart"/>
            <w:r w:rsidRPr="008401DD">
              <w:t>Navarrete</w:t>
            </w:r>
            <w:proofErr w:type="spellEnd"/>
            <w:r w:rsidRPr="008401DD">
              <w:t>, Direktorat za finančni sistem</w:t>
            </w:r>
          </w:p>
        </w:tc>
      </w:tr>
    </w:tbl>
    <w:p w14:paraId="196F744E" w14:textId="77777777" w:rsidR="000D32DC" w:rsidRPr="008401DD" w:rsidRDefault="000D32DC" w:rsidP="00960E68"/>
    <w:p w14:paraId="63CD887C" w14:textId="77777777" w:rsidR="000D32DC" w:rsidRPr="008401DD" w:rsidRDefault="000D32DC" w:rsidP="00960E68">
      <w:pPr>
        <w:rPr>
          <w:rFonts w:eastAsiaTheme="majorEastAsia" w:cs="Arial"/>
          <w:b/>
          <w:color w:val="1B75BC"/>
          <w:sz w:val="36"/>
          <w:szCs w:val="32"/>
        </w:rPr>
      </w:pPr>
      <w:r w:rsidRPr="008401DD">
        <w:br w:type="page"/>
      </w:r>
    </w:p>
    <w:p w14:paraId="5EF9E712" w14:textId="225D3D0E" w:rsidR="00E15039" w:rsidRPr="008401DD" w:rsidRDefault="00E15039" w:rsidP="00960E68">
      <w:pPr>
        <w:pStyle w:val="Heading1"/>
      </w:pPr>
      <w:bookmarkStart w:id="107" w:name="_Toc52394934"/>
      <w:bookmarkStart w:id="108" w:name="_Toc56088905"/>
      <w:bookmarkStart w:id="109" w:name="_Toc56112199"/>
      <w:bookmarkStart w:id="110" w:name="_Toc57377176"/>
      <w:r w:rsidRPr="008401DD">
        <w:lastRenderedPageBreak/>
        <w:t xml:space="preserve">Ugotovitve in </w:t>
      </w:r>
      <w:r w:rsidR="005616FD" w:rsidRPr="008401DD">
        <w:t>zaključki</w:t>
      </w:r>
      <w:r w:rsidRPr="008401DD">
        <w:t xml:space="preserve"> (odgovori na </w:t>
      </w:r>
      <w:proofErr w:type="spellStart"/>
      <w:r w:rsidRPr="008401DD">
        <w:t>evalvacijska</w:t>
      </w:r>
      <w:proofErr w:type="spellEnd"/>
      <w:r w:rsidRPr="008401DD">
        <w:t xml:space="preserve"> vprašanja)</w:t>
      </w:r>
      <w:bookmarkEnd w:id="102"/>
      <w:bookmarkEnd w:id="103"/>
      <w:bookmarkEnd w:id="107"/>
      <w:bookmarkEnd w:id="108"/>
      <w:bookmarkEnd w:id="109"/>
      <w:bookmarkEnd w:id="110"/>
    </w:p>
    <w:p w14:paraId="6DFC0166" w14:textId="77777777" w:rsidR="00A465B8" w:rsidRPr="008401DD" w:rsidRDefault="00A465B8" w:rsidP="00960E68"/>
    <w:p w14:paraId="0178A4AB" w14:textId="3B9FB20A" w:rsidR="00A465B8" w:rsidRDefault="00A465B8" w:rsidP="00960E68">
      <w:pPr>
        <w:pStyle w:val="Heading2"/>
        <w:spacing w:before="0" w:after="0"/>
      </w:pPr>
      <w:bookmarkStart w:id="111" w:name="_Toc484188709"/>
      <w:bookmarkStart w:id="112" w:name="_Toc56088906"/>
      <w:bookmarkStart w:id="113" w:name="_Toc56112200"/>
      <w:bookmarkStart w:id="114" w:name="_Toc57377177"/>
      <w:r w:rsidRPr="008401DD">
        <w:t xml:space="preserve">Odgovori na </w:t>
      </w:r>
      <w:proofErr w:type="spellStart"/>
      <w:r w:rsidRPr="008401DD">
        <w:t>evalvacijska</w:t>
      </w:r>
      <w:proofErr w:type="spellEnd"/>
      <w:r w:rsidRPr="008401DD">
        <w:t xml:space="preserve"> vprašanja</w:t>
      </w:r>
      <w:bookmarkEnd w:id="111"/>
      <w:bookmarkEnd w:id="112"/>
      <w:bookmarkEnd w:id="113"/>
      <w:bookmarkEnd w:id="114"/>
    </w:p>
    <w:p w14:paraId="787E069E" w14:textId="77777777" w:rsidR="00B85B43" w:rsidRPr="00B85B43" w:rsidRDefault="00B85B43" w:rsidP="00B85B43"/>
    <w:p w14:paraId="0C51D611" w14:textId="479B6A86" w:rsidR="00A465B8" w:rsidRPr="008401DD" w:rsidRDefault="00A465B8" w:rsidP="006F317B">
      <w:pPr>
        <w:pStyle w:val="Heading3"/>
      </w:pPr>
      <w:bookmarkStart w:id="115" w:name="_Toc56088907"/>
      <w:bookmarkStart w:id="116" w:name="_Toc56112201"/>
      <w:bookmarkStart w:id="117" w:name="_Toc57377178"/>
      <w:r w:rsidRPr="008401DD">
        <w:t>Ustreznost</w:t>
      </w:r>
      <w:bookmarkEnd w:id="115"/>
      <w:bookmarkEnd w:id="116"/>
      <w:bookmarkEnd w:id="117"/>
    </w:p>
    <w:p w14:paraId="3A8E0885" w14:textId="77777777" w:rsidR="00A465B8" w:rsidRPr="008401DD" w:rsidRDefault="00A465B8" w:rsidP="00960E68">
      <w:pPr>
        <w:spacing w:line="240" w:lineRule="auto"/>
        <w:jc w:val="both"/>
        <w:rPr>
          <w:rFonts w:cs="Arial"/>
        </w:rPr>
      </w:pPr>
    </w:p>
    <w:p w14:paraId="75E99A16" w14:textId="57A6E376" w:rsidR="00A465B8" w:rsidRPr="008401DD" w:rsidRDefault="00A465B8" w:rsidP="00960E68">
      <w:pPr>
        <w:shd w:val="clear" w:color="auto" w:fill="67C18C"/>
        <w:rPr>
          <w:color w:val="FFFFFF" w:themeColor="background1"/>
        </w:rPr>
      </w:pPr>
      <w:r w:rsidRPr="008401DD">
        <w:rPr>
          <w:color w:val="FFFFFF" w:themeColor="background1"/>
        </w:rPr>
        <w:t>V kolikšni meri se cilj in zasnova projekta odzivata na potrebe prejemnikov?</w:t>
      </w:r>
    </w:p>
    <w:p w14:paraId="1DC93654" w14:textId="77777777" w:rsidR="00A465B8" w:rsidRPr="008401DD" w:rsidRDefault="00A465B8" w:rsidP="00960E68">
      <w:pPr>
        <w:spacing w:line="240" w:lineRule="auto"/>
        <w:jc w:val="both"/>
        <w:rPr>
          <w:rFonts w:cs="Arial"/>
          <w:b/>
          <w:color w:val="67C18C"/>
        </w:rPr>
      </w:pPr>
    </w:p>
    <w:p w14:paraId="4B360391" w14:textId="08983699" w:rsidR="00A465B8" w:rsidRPr="008401DD" w:rsidRDefault="00A465B8"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1.1:</w:t>
      </w:r>
      <w:r w:rsidRPr="008401DD">
        <w:rPr>
          <w:rFonts w:cs="Arial"/>
          <w:color w:val="67C18C"/>
        </w:rPr>
        <w:t xml:space="preserve"> </w:t>
      </w:r>
      <w:r w:rsidRPr="008401DD">
        <w:rPr>
          <w:rFonts w:cs="Arial"/>
          <w:i/>
          <w:color w:val="67C18C"/>
        </w:rPr>
        <w:t xml:space="preserve">Ali so bile za projekt opravljene ustrezne predhodne analize in študije (npr. študiji </w:t>
      </w:r>
      <w:r w:rsidRPr="009D0D52">
        <w:rPr>
          <w:rFonts w:cs="Arial"/>
          <w:i/>
          <w:color w:val="67C18C"/>
        </w:rPr>
        <w:t>izvedljivosti</w:t>
      </w:r>
      <w:r w:rsidRPr="008401DD">
        <w:rPr>
          <w:rFonts w:cs="Arial"/>
          <w:i/>
          <w:color w:val="67C18C"/>
        </w:rPr>
        <w:t>, analizi stroškov in koristi, študiji vplivov na okolje, idejni rešitvi, projektu za pridobitev gradbenega dovoljenja, ipd.) in ali je bila na njihovi podlagi sprejeta odločitev o izboru projekta?</w:t>
      </w:r>
    </w:p>
    <w:p w14:paraId="5A9798BF" w14:textId="77777777" w:rsidR="00B85B43" w:rsidRDefault="00B85B43" w:rsidP="00960E68">
      <w:pPr>
        <w:jc w:val="both"/>
      </w:pPr>
    </w:p>
    <w:p w14:paraId="7312446C" w14:textId="1EC6DF11" w:rsidR="00BE3E09" w:rsidRPr="008401DD" w:rsidRDefault="00BE3E09" w:rsidP="00960E68">
      <w:pPr>
        <w:jc w:val="both"/>
      </w:pPr>
      <w:r w:rsidRPr="008401DD">
        <w:t>Investicijsko dokumentacijo in projektno nalogo v celoti pripravlja potencialni prejemnik</w:t>
      </w:r>
      <w:r w:rsidR="006C5401" w:rsidRPr="008401DD">
        <w:t xml:space="preserve"> sredstev, kar pomeni, da je priprava ustreznih predhodnih analiz</w:t>
      </w:r>
      <w:r w:rsidRPr="008401DD">
        <w:t xml:space="preserve"> </w:t>
      </w:r>
      <w:r w:rsidR="006C5401" w:rsidRPr="008401DD">
        <w:t xml:space="preserve">oz. študij naloga prejemnika sredstev, vendar le-te niso pogoj za oddajo </w:t>
      </w:r>
      <w:r w:rsidR="00041313" w:rsidRPr="008401DD">
        <w:t>prijave</w:t>
      </w:r>
      <w:r w:rsidR="006C5401" w:rsidRPr="008401DD">
        <w:t xml:space="preserve"> projekta, CMSR pa ne</w:t>
      </w:r>
      <w:r w:rsidR="008510C5" w:rsidRPr="008401DD">
        <w:t xml:space="preserve"> preverja</w:t>
      </w:r>
      <w:r w:rsidR="00983CC9" w:rsidRPr="008401DD">
        <w:t>,</w:t>
      </w:r>
      <w:r w:rsidR="008510C5" w:rsidRPr="008401DD">
        <w:t xml:space="preserve"> ali so bile študije oz. </w:t>
      </w:r>
      <w:r w:rsidR="006C5401" w:rsidRPr="008401DD">
        <w:t>analize opravljene</w:t>
      </w:r>
      <w:r w:rsidR="00D80B1D" w:rsidRPr="008401DD">
        <w:t xml:space="preserve">, saj opravljene študije in analize </w:t>
      </w:r>
      <w:r w:rsidR="003855C0" w:rsidRPr="008401DD">
        <w:t>trenutno</w:t>
      </w:r>
      <w:r w:rsidR="00D80B1D" w:rsidRPr="008401DD">
        <w:t xml:space="preserve"> niso zahtevane za uvrstitev projektnega predloga v prog</w:t>
      </w:r>
      <w:r w:rsidR="00716D99" w:rsidRPr="008401DD">
        <w:t>ram MRS,</w:t>
      </w:r>
      <w:r w:rsidR="00D80B1D" w:rsidRPr="008401DD">
        <w:t xml:space="preserve"> priprava strokovnih podlag v državi prejemnici </w:t>
      </w:r>
      <w:r w:rsidR="003855C0" w:rsidRPr="008401DD">
        <w:t>pa je praviloma naloga lokalnega investitorja in posledično temelji na lokalnem pravnem redu</w:t>
      </w:r>
      <w:r w:rsidR="00D80B1D" w:rsidRPr="008401DD">
        <w:t>.</w:t>
      </w:r>
      <w:r w:rsidR="006C5401" w:rsidRPr="008401DD">
        <w:t xml:space="preserve"> </w:t>
      </w:r>
      <w:r w:rsidR="00337A0E">
        <w:t>CMSR in ostali deležniki tako ne razpolagajo s celotno investicijsko dokumentacijo, ampak le s projektno zasnovo.</w:t>
      </w:r>
    </w:p>
    <w:p w14:paraId="098EF5C9" w14:textId="77777777" w:rsidR="00983CC9" w:rsidRPr="008401DD" w:rsidRDefault="00983CC9" w:rsidP="00960E68">
      <w:pPr>
        <w:jc w:val="both"/>
      </w:pPr>
    </w:p>
    <w:p w14:paraId="6D52A538" w14:textId="78966497" w:rsidR="00810DB3" w:rsidRPr="008401DD" w:rsidRDefault="00B27574" w:rsidP="00960E68">
      <w:pPr>
        <w:jc w:val="both"/>
      </w:pPr>
      <w:r w:rsidRPr="008401DD">
        <w:t>Gradbeno dovoljenje v obdobju izbire in izvedbe obeh projektov ni bilo obvezen del prijave</w:t>
      </w:r>
      <w:r w:rsidR="00EE0970" w:rsidRPr="008401DD">
        <w:t xml:space="preserve"> ali izbire</w:t>
      </w:r>
      <w:r w:rsidRPr="008401DD">
        <w:t xml:space="preserve"> projektov.</w:t>
      </w:r>
      <w:r w:rsidR="00B144C8">
        <w:t xml:space="preserve"> </w:t>
      </w:r>
      <w:r w:rsidR="004D62F8" w:rsidRPr="008401DD">
        <w:t xml:space="preserve">Kot </w:t>
      </w:r>
      <w:r w:rsidR="008510C5" w:rsidRPr="008401DD">
        <w:t>obvezna priloga projekta, brez katere je projekt ocenjen kot nezrel za izvedbo</w:t>
      </w:r>
      <w:r w:rsidR="004D62F8" w:rsidRPr="008401DD">
        <w:t xml:space="preserve">, </w:t>
      </w:r>
      <w:r w:rsidR="0078021B" w:rsidRPr="008401DD">
        <w:t xml:space="preserve">CMSR </w:t>
      </w:r>
      <w:r w:rsidR="00EE0970" w:rsidRPr="008401DD">
        <w:t xml:space="preserve">gradbeno dovoljenje </w:t>
      </w:r>
      <w:r w:rsidR="004D62F8" w:rsidRPr="008401DD">
        <w:t>preverja šele od leta 2019 naprej</w:t>
      </w:r>
      <w:r w:rsidR="008510C5" w:rsidRPr="008401DD">
        <w:t xml:space="preserve">. </w:t>
      </w:r>
      <w:r w:rsidR="00983CC9" w:rsidRPr="008401DD">
        <w:t>Slednje ocenjujemo kot dobro prakso, ki jo je smiselno sistematično uporabljati pri infrastrukturnih projektih tudi v prihodnje.</w:t>
      </w:r>
    </w:p>
    <w:p w14:paraId="50F5175E" w14:textId="77777777" w:rsidR="0037534E" w:rsidRPr="008401DD" w:rsidRDefault="0037534E" w:rsidP="00960E68">
      <w:pPr>
        <w:jc w:val="both"/>
      </w:pPr>
    </w:p>
    <w:p w14:paraId="4AF42661" w14:textId="6EDFE527" w:rsidR="00983CC9" w:rsidRPr="008401DD" w:rsidRDefault="00810DB3" w:rsidP="00960E68">
      <w:pPr>
        <w:jc w:val="both"/>
      </w:pPr>
      <w:r w:rsidRPr="008401DD">
        <w:t xml:space="preserve">V primeru obeh projektov, ki sta predmet vrednotenja, je bila projektna </w:t>
      </w:r>
      <w:r w:rsidR="00E66CE4" w:rsidRPr="008401DD">
        <w:t xml:space="preserve">zasnova </w:t>
      </w:r>
      <w:r w:rsidRPr="008401DD">
        <w:t xml:space="preserve">in investicijska dokumentacija pripravljena s strani </w:t>
      </w:r>
      <w:r w:rsidR="003D6B5B" w:rsidRPr="008401DD">
        <w:t xml:space="preserve">občine </w:t>
      </w:r>
      <w:proofErr w:type="spellStart"/>
      <w:r w:rsidRPr="008401DD">
        <w:t>Probištip</w:t>
      </w:r>
      <w:proofErr w:type="spellEnd"/>
      <w:r w:rsidRPr="008401DD">
        <w:t>. Občina pri pripravi dokumentacije ni izvedla nikakršnih predhodnih analiz ali študij</w:t>
      </w:r>
      <w:r w:rsidR="00733A52" w:rsidRPr="008401DD">
        <w:t xml:space="preserve">, CMSR, nacionalni koordinator ali financer pa te dokumentacije niso zahtevali, zato ugotavljamo, da je bila odločitev o izboru projekta sprejeta izključno na podlagi projektne naloge oz. investicijske dokumentacije, ki jo je pripravila občina, </w:t>
      </w:r>
      <w:r w:rsidR="00983CC9" w:rsidRPr="008401DD">
        <w:t>brez ustrezne</w:t>
      </w:r>
      <w:r w:rsidR="00733A52" w:rsidRPr="008401DD">
        <w:t xml:space="preserve"> utemeljitve v ustreznih analizah in študijah. </w:t>
      </w:r>
      <w:r w:rsidR="00C63DC0" w:rsidRPr="008401DD">
        <w:t xml:space="preserve">Občina </w:t>
      </w:r>
      <w:proofErr w:type="spellStart"/>
      <w:r w:rsidR="00C63DC0" w:rsidRPr="008401DD">
        <w:t>Probištip</w:t>
      </w:r>
      <w:proofErr w:type="spellEnd"/>
      <w:r w:rsidR="00C63DC0" w:rsidRPr="008401DD">
        <w:t xml:space="preserve"> je pri pripravi projektnih nalog za oba projekta sodelovala z zunanjimi strokovnjaki s področja izgradnje vodne </w:t>
      </w:r>
      <w:r w:rsidR="008C254C" w:rsidRPr="008401DD">
        <w:t>infrastrukture</w:t>
      </w:r>
      <w:r w:rsidR="00C63DC0" w:rsidRPr="008401DD">
        <w:t>, ki so občini pomagali pri pripravi tehničnih specifikacij in oceni finančne vrednosti projektov. CMSR se pri pregledu projektne naloge (tehničnih in finančnih postavk)</w:t>
      </w:r>
      <w:r w:rsidR="00D83D63">
        <w:t xml:space="preserve"> v preteklosti</w:t>
      </w:r>
      <w:r w:rsidR="00C63DC0" w:rsidRPr="008401DD">
        <w:t xml:space="preserve"> ni posvetoval z zunanjimi strokovnjaki z namenom preverbe točnosti postavk, saj </w:t>
      </w:r>
      <w:r w:rsidR="00983CC9" w:rsidRPr="008401DD">
        <w:t>tega</w:t>
      </w:r>
      <w:r w:rsidR="00C63DC0" w:rsidRPr="008401DD">
        <w:t xml:space="preserve"> zaradi pomanjkanja </w:t>
      </w:r>
      <w:r w:rsidR="00D80B1D" w:rsidRPr="008401DD">
        <w:t xml:space="preserve">finančnih </w:t>
      </w:r>
      <w:r w:rsidR="00983CC9" w:rsidRPr="008401DD">
        <w:t>virov načeloma ne more izvajati.</w:t>
      </w:r>
    </w:p>
    <w:p w14:paraId="7200F90B" w14:textId="77777777" w:rsidR="00983CC9" w:rsidRPr="008401DD" w:rsidRDefault="00983CC9" w:rsidP="00960E68">
      <w:pPr>
        <w:jc w:val="both"/>
      </w:pPr>
    </w:p>
    <w:p w14:paraId="7BE19029" w14:textId="28173843" w:rsidR="004D62F8" w:rsidRPr="008401DD" w:rsidRDefault="00FD4864" w:rsidP="00960E68">
      <w:pPr>
        <w:jc w:val="both"/>
      </w:pPr>
      <w:r w:rsidRPr="008401DD">
        <w:t>Dejstvo, da se resničnost</w:t>
      </w:r>
      <w:r w:rsidR="00983CC9" w:rsidRPr="008401DD">
        <w:t>i</w:t>
      </w:r>
      <w:r w:rsidRPr="008401DD">
        <w:t xml:space="preserve"> finančnih postavk </w:t>
      </w:r>
      <w:r w:rsidR="00983CC9" w:rsidRPr="008401DD">
        <w:t xml:space="preserve">v projektni dokumentaciji </w:t>
      </w:r>
      <w:r w:rsidRPr="008401DD">
        <w:t>(</w:t>
      </w:r>
      <w:r w:rsidR="00983CC9" w:rsidRPr="008401DD">
        <w:t xml:space="preserve">stroškovne postavke zlasti </w:t>
      </w:r>
      <w:r w:rsidR="00EF076C" w:rsidRPr="008401DD">
        <w:t xml:space="preserve">predvidena </w:t>
      </w:r>
      <w:r w:rsidR="00983CC9" w:rsidRPr="008401DD">
        <w:t>cena</w:t>
      </w:r>
      <w:r w:rsidRPr="008401DD">
        <w:t xml:space="preserve"> opreme) </w:t>
      </w:r>
      <w:r w:rsidR="00286D6E" w:rsidRPr="008401DD">
        <w:t>v investicijski dokumentaciji ne pregleduje,</w:t>
      </w:r>
      <w:r w:rsidRPr="008401DD">
        <w:t xml:space="preserve"> povečuje </w:t>
      </w:r>
      <w:r w:rsidR="00983CC9" w:rsidRPr="008401DD">
        <w:t xml:space="preserve">tveganje neracionalne </w:t>
      </w:r>
      <w:r w:rsidR="008C254C" w:rsidRPr="008401DD">
        <w:t>porabe</w:t>
      </w:r>
      <w:r w:rsidR="00983CC9" w:rsidRPr="008401DD">
        <w:t xml:space="preserve"> javnih sredstev in tudi</w:t>
      </w:r>
      <w:r w:rsidRPr="008401DD">
        <w:t xml:space="preserve"> korupcijska tveganj</w:t>
      </w:r>
      <w:r w:rsidR="00286D6E" w:rsidRPr="008401DD">
        <w:t>a. Mnenje CMSR je, da je blaženje korupcijskih tveganj delno zagotovljeno s tem, da vlagatelj z lastnimi sredstvi jamči za korektno in realno oceno stroškov projekta</w:t>
      </w:r>
      <w:r w:rsidR="00451118" w:rsidRPr="008401DD">
        <w:t>. P</w:t>
      </w:r>
      <w:r w:rsidR="00983CC9" w:rsidRPr="008401DD">
        <w:t>o</w:t>
      </w:r>
      <w:r w:rsidR="00286D6E" w:rsidRPr="008401DD">
        <w:t xml:space="preserve"> mnenju </w:t>
      </w:r>
      <w:proofErr w:type="spellStart"/>
      <w:r w:rsidR="00983CC9" w:rsidRPr="008401DD">
        <w:t>evalvatorja</w:t>
      </w:r>
      <w:proofErr w:type="spellEnd"/>
      <w:r w:rsidR="00451118" w:rsidRPr="008401DD">
        <w:t xml:space="preserve"> to</w:t>
      </w:r>
      <w:r w:rsidR="00983CC9" w:rsidRPr="008401DD">
        <w:t xml:space="preserve"> </w:t>
      </w:r>
      <w:r w:rsidR="00286D6E" w:rsidRPr="008401DD">
        <w:t xml:space="preserve">ni </w:t>
      </w:r>
      <w:r w:rsidR="00F76B31" w:rsidRPr="008401DD">
        <w:t xml:space="preserve">zadosten mehanizem </w:t>
      </w:r>
      <w:r w:rsidR="00983CC9" w:rsidRPr="008401DD">
        <w:t>blažitve teh tveganj, saj tekom izbora projekta ni zagotovil glede neodvisnosti in strokovnosti pripravljavca investicijske dokumentacije</w:t>
      </w:r>
      <w:r w:rsidR="00F76B31" w:rsidRPr="008401DD">
        <w:t>.</w:t>
      </w:r>
      <w:r w:rsidR="00091B6E" w:rsidRPr="008401DD">
        <w:t xml:space="preserve"> </w:t>
      </w:r>
    </w:p>
    <w:p w14:paraId="54DBD8B9" w14:textId="77777777" w:rsidR="0093002D" w:rsidRPr="008401DD" w:rsidRDefault="0093002D" w:rsidP="00960E68">
      <w:pPr>
        <w:jc w:val="both"/>
      </w:pPr>
    </w:p>
    <w:p w14:paraId="2081CFDD" w14:textId="1F1F479D" w:rsidR="00D34AAB" w:rsidRPr="008401DD" w:rsidRDefault="00D34AAB" w:rsidP="00960E68">
      <w:pPr>
        <w:jc w:val="both"/>
      </w:pPr>
      <w:r w:rsidRPr="008401DD">
        <w:t xml:space="preserve">CMSR v procesu ocenjevanja projektne vloge preverja skladnost projekta s sprejetimi strateškimi dokumenti v državi prejemnici. Oba projekta sta bila skladna z zakonom o MRS, uveljavljenem v letu 2007 in Resolucijo MRS, uveljavljeno v letu 2008. </w:t>
      </w:r>
    </w:p>
    <w:p w14:paraId="5130C4C5" w14:textId="792304E9" w:rsidR="00D556CB" w:rsidRPr="008401DD" w:rsidRDefault="00D556CB" w:rsidP="00960E68">
      <w:pPr>
        <w:jc w:val="both"/>
      </w:pPr>
    </w:p>
    <w:p w14:paraId="4F8064B1" w14:textId="3E9EA495" w:rsidR="00D556CB" w:rsidRPr="008401DD" w:rsidRDefault="00D556CB" w:rsidP="00960E68">
      <w:pPr>
        <w:jc w:val="both"/>
      </w:pPr>
      <w:r w:rsidRPr="008401DD">
        <w:t xml:space="preserve">Občina </w:t>
      </w:r>
      <w:proofErr w:type="spellStart"/>
      <w:r w:rsidRPr="008401DD">
        <w:t>Probištip</w:t>
      </w:r>
      <w:proofErr w:type="spellEnd"/>
      <w:r w:rsidRPr="008401DD">
        <w:t xml:space="preserve"> je imela ob zadnjem popisu prebivalstva v letu 2006 dobrih 16.000 prebivalcev. Novejših podatkov o številu prebivalcev ni na voljo, zato ocene o spremembi števila prebivalcev ne moremo podati. </w:t>
      </w:r>
      <w:r w:rsidRPr="008401DD">
        <w:lastRenderedPageBreak/>
        <w:t>Na uradni spletni strani Državnega zavoda za statistiko Severne Makedonije na ra</w:t>
      </w:r>
      <w:r w:rsidR="006060D6" w:rsidRPr="008401DD">
        <w:t>vni o</w:t>
      </w:r>
      <w:r w:rsidRPr="008401DD">
        <w:t xml:space="preserve">bčin ni dostopih podatkov o BDP na prebivalca, stopnji brezposelnosti ali </w:t>
      </w:r>
      <w:r w:rsidR="00EF076C" w:rsidRPr="008401DD">
        <w:t xml:space="preserve">stopnji </w:t>
      </w:r>
      <w:r w:rsidRPr="008401DD">
        <w:t xml:space="preserve">razpoložljivega dohodka. </w:t>
      </w:r>
      <w:r w:rsidR="006060D6" w:rsidRPr="008401DD">
        <w:t xml:space="preserve">Po pogovoru z županom občine </w:t>
      </w:r>
      <w:proofErr w:type="spellStart"/>
      <w:r w:rsidR="006060D6" w:rsidRPr="008401DD">
        <w:t>Probištip</w:t>
      </w:r>
      <w:proofErr w:type="spellEnd"/>
      <w:r w:rsidR="006060D6" w:rsidRPr="008401DD">
        <w:t xml:space="preserve"> ugotavljamo, da se občina sooča z odseljevanjem predvsem mlajšega, izobraženega prebivalstva, </w:t>
      </w:r>
      <w:r w:rsidR="008C254C" w:rsidRPr="008401DD">
        <w:t>brezposelnost</w:t>
      </w:r>
      <w:r w:rsidR="006060D6" w:rsidRPr="008401DD">
        <w:t xml:space="preserve"> v občini pa ocenjuje kot nizko. </w:t>
      </w:r>
    </w:p>
    <w:p w14:paraId="4A9E6996" w14:textId="45735549" w:rsidR="00041313" w:rsidRPr="008401DD" w:rsidRDefault="00041313" w:rsidP="00960E68">
      <w:pPr>
        <w:jc w:val="both"/>
      </w:pPr>
    </w:p>
    <w:p w14:paraId="5BA1695C" w14:textId="29EA2C3A" w:rsidR="00D34AAB" w:rsidRPr="008401DD" w:rsidRDefault="00D34AAB"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796E02" w:rsidRPr="008401DD">
        <w:rPr>
          <w:i/>
          <w:u w:val="single"/>
        </w:rPr>
        <w:t xml:space="preserve"> 1</w:t>
      </w:r>
      <w:r w:rsidR="00252460" w:rsidRPr="008401DD">
        <w:rPr>
          <w:i/>
          <w:u w:val="single"/>
        </w:rPr>
        <w:t>.1</w:t>
      </w:r>
      <w:r w:rsidRPr="008401DD">
        <w:rPr>
          <w:i/>
        </w:rPr>
        <w:t>: V primeru projektov, ki zadevajo investicije v infrastrukturo in opremo, naj CMSR s podpisom pogodbe o financiranju z državo prejemnico zagotovi ustrezno investicijsko dokumentacijo in pripadajoče študije, ki so predvidene za izvajanje istovrstnih investicij v</w:t>
      </w:r>
      <w:r w:rsidR="00233CCD" w:rsidRPr="008401DD">
        <w:rPr>
          <w:i/>
        </w:rPr>
        <w:t xml:space="preserve"> državi prejemnici sredstev.</w:t>
      </w:r>
      <w:r w:rsidRPr="008401DD">
        <w:rPr>
          <w:i/>
        </w:rPr>
        <w:t xml:space="preserve"> </w:t>
      </w:r>
      <w:r w:rsidR="00F74166" w:rsidRPr="00161A81">
        <w:rPr>
          <w:i/>
        </w:rPr>
        <w:t>Pri tem je smiselno vzpostaviti minimalne standarde glede vsebine in obsega investicijske dokumentacije</w:t>
      </w:r>
      <w:r w:rsidR="00334FB8" w:rsidRPr="00161A81">
        <w:rPr>
          <w:i/>
        </w:rPr>
        <w:t xml:space="preserve"> kot ex-</w:t>
      </w:r>
      <w:proofErr w:type="spellStart"/>
      <w:r w:rsidR="00334FB8" w:rsidRPr="00161A81">
        <w:rPr>
          <w:i/>
        </w:rPr>
        <w:t>ante</w:t>
      </w:r>
      <w:proofErr w:type="spellEnd"/>
      <w:r w:rsidR="00334FB8" w:rsidRPr="00161A81">
        <w:rPr>
          <w:i/>
        </w:rPr>
        <w:t xml:space="preserve"> pogoje za sofinanciranje projektov, skladno z Uredbo</w:t>
      </w:r>
      <w:r w:rsidRPr="00161A81" w:rsidDel="00233CCD">
        <w:rPr>
          <w:i/>
        </w:rPr>
        <w:t xml:space="preserve"> o enotni metodologiji za pripravo in obravnavo investicijske dokumentacije na področju javnih financ (12. člen, 3. </w:t>
      </w:r>
      <w:r w:rsidRPr="00161A81">
        <w:rPr>
          <w:i/>
        </w:rPr>
        <w:t>odstavek</w:t>
      </w:r>
      <w:r w:rsidR="00334FB8" w:rsidRPr="00161A81">
        <w:rPr>
          <w:i/>
        </w:rPr>
        <w:t>, ki se nanaša na predinvesticijsko zasnovo</w:t>
      </w:r>
      <w:r w:rsidRPr="00161A81">
        <w:rPr>
          <w:i/>
        </w:rPr>
        <w:t>)</w:t>
      </w:r>
      <w:r w:rsidR="00334FB8" w:rsidRPr="00161A81">
        <w:rPr>
          <w:i/>
        </w:rPr>
        <w:t xml:space="preserve">. </w:t>
      </w:r>
      <w:r w:rsidRPr="008401DD">
        <w:rPr>
          <w:i/>
        </w:rPr>
        <w:t xml:space="preserve">Na ta način se zagotovi ustrezen premislek glede ustreznosti tehnično-tehnološke rešitve, ocene stroškov, ustreznosti variant, lokacije in drugih vidikov izvedbe projekta. </w:t>
      </w:r>
      <w:r w:rsidR="00B27574" w:rsidRPr="008401DD">
        <w:rPr>
          <w:i/>
        </w:rPr>
        <w:t>Glede na to, da to dokumentacijo praviloma pripravlja država prejemnica</w:t>
      </w:r>
      <w:r w:rsidRPr="008401DD">
        <w:rPr>
          <w:i/>
        </w:rPr>
        <w:t>, naj CMSR</w:t>
      </w:r>
      <w:r w:rsidR="00233CCD" w:rsidRPr="008401DD">
        <w:rPr>
          <w:i/>
        </w:rPr>
        <w:t xml:space="preserve"> ob oddaji vloge za sofinanciranje s sredstvi RS,</w:t>
      </w:r>
      <w:r w:rsidRPr="008401DD" w:rsidDel="00233CCD">
        <w:rPr>
          <w:i/>
        </w:rPr>
        <w:t xml:space="preserve"> </w:t>
      </w:r>
      <w:r w:rsidRPr="008401DD">
        <w:rPr>
          <w:i/>
        </w:rPr>
        <w:t xml:space="preserve">jasno predstavi </w:t>
      </w:r>
      <w:r w:rsidRPr="00161A81">
        <w:rPr>
          <w:i/>
        </w:rPr>
        <w:t>minimalne standarde</w:t>
      </w:r>
      <w:r w:rsidR="00962DD6" w:rsidRPr="00161A81">
        <w:rPr>
          <w:i/>
        </w:rPr>
        <w:t xml:space="preserve"> oz. ex-</w:t>
      </w:r>
      <w:proofErr w:type="spellStart"/>
      <w:r w:rsidR="00962DD6" w:rsidRPr="00161A81">
        <w:rPr>
          <w:i/>
        </w:rPr>
        <w:t>ante</w:t>
      </w:r>
      <w:proofErr w:type="spellEnd"/>
      <w:r w:rsidR="00962DD6" w:rsidRPr="00161A81">
        <w:rPr>
          <w:i/>
        </w:rPr>
        <w:t xml:space="preserve"> pogoje</w:t>
      </w:r>
      <w:r w:rsidRPr="008401DD">
        <w:rPr>
          <w:i/>
        </w:rPr>
        <w:t xml:space="preserve">, ki morajo biti vzpostavljeni kot osnova za financiranje oz. izbor izvajalca del oz. dobavitelja. Na tej osnovi </w:t>
      </w:r>
      <w:r w:rsidR="003855C0" w:rsidRPr="008401DD">
        <w:rPr>
          <w:i/>
        </w:rPr>
        <w:t>naj bo</w:t>
      </w:r>
      <w:r w:rsidRPr="008401DD">
        <w:rPr>
          <w:i/>
        </w:rPr>
        <w:t xml:space="preserve"> </w:t>
      </w:r>
      <w:r w:rsidRPr="00161A81">
        <w:rPr>
          <w:i/>
        </w:rPr>
        <w:t xml:space="preserve">pred </w:t>
      </w:r>
      <w:r w:rsidR="00962DD6" w:rsidRPr="00161A81">
        <w:rPr>
          <w:i/>
        </w:rPr>
        <w:t>sprejetjem odločitve za financiranje</w:t>
      </w:r>
      <w:r w:rsidRPr="008401DD">
        <w:rPr>
          <w:i/>
        </w:rPr>
        <w:t xml:space="preserve"> pripravljena celovita investicijska dokumentacija (v angleškem jeziku, da bo lahko naknadno podvržena internemu ali eksternemu nadzoru oz. pregledu).</w:t>
      </w:r>
    </w:p>
    <w:p w14:paraId="5B5A3258" w14:textId="77777777" w:rsidR="00AC57E5" w:rsidRPr="008401DD" w:rsidRDefault="00AC57E5" w:rsidP="00B8121B">
      <w:pPr>
        <w:pBdr>
          <w:top w:val="single" w:sz="4" w:space="1" w:color="auto"/>
          <w:left w:val="single" w:sz="4" w:space="4" w:color="auto"/>
          <w:bottom w:val="single" w:sz="4" w:space="1" w:color="auto"/>
          <w:right w:val="single" w:sz="4" w:space="4" w:color="auto"/>
        </w:pBdr>
        <w:shd w:val="clear" w:color="auto" w:fill="D0ECDB"/>
        <w:jc w:val="both"/>
        <w:rPr>
          <w:i/>
        </w:rPr>
      </w:pPr>
    </w:p>
    <w:p w14:paraId="52910FB7" w14:textId="17AF6352" w:rsidR="00AC57E5" w:rsidRPr="008401DD" w:rsidRDefault="00AC57E5"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Za potrebe transparentnosti naj CMSR</w:t>
      </w:r>
      <w:r w:rsidR="00C42C4F" w:rsidRPr="008401DD">
        <w:rPr>
          <w:i/>
        </w:rPr>
        <w:t>,</w:t>
      </w:r>
      <w:r w:rsidRPr="008401DD">
        <w:rPr>
          <w:i/>
        </w:rPr>
        <w:t xml:space="preserve"> upoštevajoč dobre prakse in zahteve slovenskega pravnega reda</w:t>
      </w:r>
      <w:r w:rsidR="00C42C4F" w:rsidRPr="008401DD">
        <w:rPr>
          <w:i/>
        </w:rPr>
        <w:t>,</w:t>
      </w:r>
      <w:r w:rsidRPr="008401DD">
        <w:rPr>
          <w:i/>
        </w:rPr>
        <w:t xml:space="preserve"> pripravi minimalni nabor zahtev glede </w:t>
      </w:r>
      <w:r w:rsidR="008C254C" w:rsidRPr="008401DD">
        <w:rPr>
          <w:i/>
        </w:rPr>
        <w:t>predhodnih</w:t>
      </w:r>
      <w:r w:rsidRPr="008401DD">
        <w:rPr>
          <w:i/>
        </w:rPr>
        <w:t xml:space="preserve"> analiz in študij, ki so podlaga za financiranje (npr. mejne vrednosti projektov in pripadajoče študije, npr. študija stroškov in koristi za projekte, </w:t>
      </w:r>
      <w:r w:rsidR="008C254C" w:rsidRPr="008401DD">
        <w:rPr>
          <w:i/>
        </w:rPr>
        <w:t>katerih</w:t>
      </w:r>
      <w:r w:rsidRPr="008401DD">
        <w:rPr>
          <w:i/>
        </w:rPr>
        <w:t xml:space="preserve"> skupni upravičeni stroški ne </w:t>
      </w:r>
      <w:r w:rsidR="008C254C" w:rsidRPr="008401DD">
        <w:rPr>
          <w:i/>
        </w:rPr>
        <w:t>gled</w:t>
      </w:r>
      <w:r w:rsidRPr="008401DD">
        <w:rPr>
          <w:i/>
        </w:rPr>
        <w:t>e</w:t>
      </w:r>
      <w:r w:rsidR="008C254C" w:rsidRPr="008401DD">
        <w:rPr>
          <w:i/>
        </w:rPr>
        <w:t xml:space="preserve"> </w:t>
      </w:r>
      <w:r w:rsidRPr="008401DD">
        <w:rPr>
          <w:rFonts w:eastAsiaTheme="minorEastAsia"/>
          <w:i/>
          <w:szCs w:val="20"/>
        </w:rPr>
        <w:t>na vir financiranja presegajo 2 milijon</w:t>
      </w:r>
      <w:r w:rsidR="004A1805" w:rsidRPr="008401DD">
        <w:rPr>
          <w:rFonts w:eastAsiaTheme="minorEastAsia"/>
          <w:i/>
          <w:szCs w:val="20"/>
        </w:rPr>
        <w:t>ov</w:t>
      </w:r>
      <w:r w:rsidRPr="008401DD">
        <w:rPr>
          <w:rFonts w:eastAsiaTheme="minorEastAsia"/>
          <w:i/>
          <w:szCs w:val="20"/>
        </w:rPr>
        <w:t xml:space="preserve"> EUR</w:t>
      </w:r>
      <w:r w:rsidR="009C09AF" w:rsidRPr="008401DD">
        <w:rPr>
          <w:rFonts w:eastAsiaTheme="minorEastAsia"/>
          <w:i/>
          <w:szCs w:val="20"/>
        </w:rPr>
        <w:t xml:space="preserve">, študija izvedljivosti za vse tehnično-tehnološke vidike projektov na področju vodne ali </w:t>
      </w:r>
      <w:proofErr w:type="spellStart"/>
      <w:r w:rsidR="009C09AF" w:rsidRPr="008401DD">
        <w:rPr>
          <w:rFonts w:eastAsiaTheme="minorEastAsia"/>
          <w:i/>
          <w:szCs w:val="20"/>
        </w:rPr>
        <w:t>okoljske</w:t>
      </w:r>
      <w:proofErr w:type="spellEnd"/>
      <w:r w:rsidR="009C09AF" w:rsidRPr="008401DD">
        <w:rPr>
          <w:rFonts w:eastAsiaTheme="minorEastAsia"/>
          <w:i/>
          <w:szCs w:val="20"/>
        </w:rPr>
        <w:t xml:space="preserve"> infrastrukture ipd.</w:t>
      </w:r>
      <w:r w:rsidRPr="008401DD">
        <w:rPr>
          <w:rFonts w:eastAsiaTheme="minorEastAsia"/>
          <w:i/>
          <w:szCs w:val="20"/>
        </w:rPr>
        <w:t>). Te zahteve naj se državi prejemnici oz. partnerjem v državi prejemn</w:t>
      </w:r>
      <w:r w:rsidRPr="008401DD">
        <w:rPr>
          <w:i/>
        </w:rPr>
        <w:t>ici jasno predstavijo tekom pogovorov za umestitev projektov v program CMSR.</w:t>
      </w:r>
      <w:r w:rsidR="00CA1971" w:rsidRPr="008401DD">
        <w:rPr>
          <w:i/>
        </w:rPr>
        <w:t xml:space="preserve"> Omenjena zahteva naj se upošteva tudi v specifičnih merilih za ocenjevanje projektov</w:t>
      </w:r>
      <w:r w:rsidR="004618D9" w:rsidRPr="008401DD">
        <w:rPr>
          <w:i/>
        </w:rPr>
        <w:t>, ki jih pripravlja CMSR.</w:t>
      </w:r>
    </w:p>
    <w:p w14:paraId="55F7968D" w14:textId="66E36B83" w:rsidR="00C63DC0" w:rsidRPr="008401DD" w:rsidRDefault="00C63DC0" w:rsidP="00960E68">
      <w:pPr>
        <w:jc w:val="both"/>
        <w:rPr>
          <w:i/>
        </w:rPr>
      </w:pPr>
    </w:p>
    <w:p w14:paraId="54E6CFB6" w14:textId="3E8207BF" w:rsidR="00D95A7C" w:rsidRPr="008401DD" w:rsidRDefault="00D95A7C"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796E02" w:rsidRPr="008401DD">
        <w:rPr>
          <w:i/>
          <w:u w:val="single"/>
        </w:rPr>
        <w:t xml:space="preserve"> </w:t>
      </w:r>
      <w:r w:rsidR="00252460" w:rsidRPr="008401DD">
        <w:rPr>
          <w:i/>
          <w:u w:val="single"/>
        </w:rPr>
        <w:t>1.</w:t>
      </w:r>
      <w:r w:rsidR="00796E02" w:rsidRPr="008401DD">
        <w:rPr>
          <w:i/>
          <w:u w:val="single"/>
        </w:rPr>
        <w:t>2</w:t>
      </w:r>
      <w:r w:rsidR="00252460" w:rsidRPr="008401DD">
        <w:rPr>
          <w:i/>
          <w:u w:val="single"/>
        </w:rPr>
        <w:t>.</w:t>
      </w:r>
      <w:r w:rsidRPr="008401DD">
        <w:rPr>
          <w:i/>
        </w:rPr>
        <w:t xml:space="preserve">: Da bi se zagotovila zadovoljiva raven kakovosti investicijske dokumentacije naj CMSR angažira zunanje strokovnjake, ki naj pripravijo </w:t>
      </w:r>
      <w:r w:rsidR="0001516D" w:rsidRPr="008401DD">
        <w:rPr>
          <w:i/>
        </w:rPr>
        <w:t xml:space="preserve">neodvisno </w:t>
      </w:r>
      <w:r w:rsidRPr="008401DD">
        <w:rPr>
          <w:i/>
        </w:rPr>
        <w:t>mnenje glede investicijske dokumentacije. Na ta način se lahko zagotavljajo minimalni standardi kakovosti, ob enem pa se lahko določene postavke dokumentacije prevrednotijo v luči zasledovanja načela »vrednosti za denar«.</w:t>
      </w:r>
      <w:r w:rsidR="00962DD6" w:rsidRPr="008401DD">
        <w:rPr>
          <w:i/>
        </w:rPr>
        <w:t xml:space="preserve"> </w:t>
      </w:r>
      <w:r w:rsidR="0001516D" w:rsidRPr="008401DD">
        <w:rPr>
          <w:i/>
        </w:rPr>
        <w:t>Angažma</w:t>
      </w:r>
      <w:r w:rsidR="00233CCD" w:rsidRPr="008401DD">
        <w:rPr>
          <w:i/>
        </w:rPr>
        <w:t xml:space="preserve"> zunanjih strokovnjakov naj bo smiselno vezan na velikost projekta. </w:t>
      </w:r>
    </w:p>
    <w:p w14:paraId="5ADCF0DF" w14:textId="77777777" w:rsidR="00066A28" w:rsidRPr="008401DD" w:rsidRDefault="00066A28" w:rsidP="00B8121B">
      <w:pPr>
        <w:pBdr>
          <w:top w:val="single" w:sz="4" w:space="1" w:color="auto"/>
          <w:left w:val="single" w:sz="4" w:space="4" w:color="auto"/>
          <w:bottom w:val="single" w:sz="4" w:space="1" w:color="auto"/>
          <w:right w:val="single" w:sz="4" w:space="4" w:color="auto"/>
        </w:pBdr>
        <w:shd w:val="clear" w:color="auto" w:fill="D0ECDB"/>
        <w:jc w:val="both"/>
        <w:rPr>
          <w:i/>
        </w:rPr>
      </w:pPr>
    </w:p>
    <w:p w14:paraId="129051E8" w14:textId="1D7004C1" w:rsidR="00066A28" w:rsidRPr="008401DD" w:rsidRDefault="00066A28"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Glede na to, da partnerske institucije v državi prejemnici niso na enaki ravni zmogljivosti za pripravo </w:t>
      </w:r>
      <w:r w:rsidR="008C254C" w:rsidRPr="008401DD">
        <w:rPr>
          <w:i/>
        </w:rPr>
        <w:t>ustrezne</w:t>
      </w:r>
      <w:r w:rsidRPr="008401DD">
        <w:rPr>
          <w:i/>
        </w:rPr>
        <w:t xml:space="preserve"> investicijske dokumentacije, naj </w:t>
      </w:r>
      <w:r w:rsidR="006A0012" w:rsidRPr="008401DD">
        <w:rPr>
          <w:i/>
        </w:rPr>
        <w:t xml:space="preserve">CMSR </w:t>
      </w:r>
      <w:r w:rsidRPr="008401DD">
        <w:rPr>
          <w:i/>
        </w:rPr>
        <w:t xml:space="preserve">že v fazi </w:t>
      </w:r>
      <w:r w:rsidR="006A0012" w:rsidRPr="008401DD">
        <w:rPr>
          <w:i/>
        </w:rPr>
        <w:t xml:space="preserve">priprave </w:t>
      </w:r>
      <w:r w:rsidR="004A1805" w:rsidRPr="008401DD">
        <w:rPr>
          <w:i/>
        </w:rPr>
        <w:t>projektne zasnove predvidi</w:t>
      </w:r>
      <w:r w:rsidRPr="008401DD">
        <w:rPr>
          <w:i/>
        </w:rPr>
        <w:t xml:space="preserve"> tudi </w:t>
      </w:r>
      <w:r w:rsidR="00962DD6" w:rsidRPr="008401DD">
        <w:rPr>
          <w:i/>
        </w:rPr>
        <w:t xml:space="preserve">morebitne </w:t>
      </w:r>
      <w:r w:rsidRPr="008401DD">
        <w:rPr>
          <w:i/>
        </w:rPr>
        <w:t xml:space="preserve">stroške za </w:t>
      </w:r>
      <w:r w:rsidR="008C254C" w:rsidRPr="008401DD">
        <w:rPr>
          <w:i/>
        </w:rPr>
        <w:t>zagotavljanje</w:t>
      </w:r>
      <w:r w:rsidRPr="008401DD">
        <w:rPr>
          <w:i/>
        </w:rPr>
        <w:t xml:space="preserve"> podpore teh strokovnjakov pri sami pripravi investicijske dokumentacije</w:t>
      </w:r>
      <w:r w:rsidR="003855C0" w:rsidRPr="008401DD">
        <w:rPr>
          <w:i/>
        </w:rPr>
        <w:t xml:space="preserve"> v okviru ločenega (a povezanega) projekta</w:t>
      </w:r>
      <w:r w:rsidRPr="008401DD">
        <w:rPr>
          <w:i/>
        </w:rPr>
        <w:t>. Stroški naj bodo vključeni v celoten projektni stroškovni načrt kot tehnična pomoč državi prejemnici oz. partnerski instituciji.</w:t>
      </w:r>
    </w:p>
    <w:p w14:paraId="73D0955E" w14:textId="77777777" w:rsidR="00066A28" w:rsidRPr="008401DD" w:rsidRDefault="00066A28" w:rsidP="00960E68">
      <w:pPr>
        <w:jc w:val="both"/>
        <w:rPr>
          <w:i/>
        </w:rPr>
      </w:pPr>
    </w:p>
    <w:p w14:paraId="27237568" w14:textId="7BE5E8BF" w:rsidR="00066A28" w:rsidRPr="008401DD" w:rsidRDefault="0FDE258A"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iCs/>
          <w:u w:val="single"/>
        </w:rPr>
        <w:t>Priporočilo</w:t>
      </w:r>
      <w:r w:rsidR="00796E02" w:rsidRPr="008401DD">
        <w:rPr>
          <w:i/>
          <w:iCs/>
          <w:u w:val="single"/>
        </w:rPr>
        <w:t xml:space="preserve"> </w:t>
      </w:r>
      <w:r w:rsidR="00252460" w:rsidRPr="008401DD">
        <w:rPr>
          <w:i/>
          <w:iCs/>
          <w:u w:val="single"/>
        </w:rPr>
        <w:t>1.</w:t>
      </w:r>
      <w:r w:rsidR="00796E02" w:rsidRPr="008401DD">
        <w:rPr>
          <w:i/>
          <w:iCs/>
          <w:u w:val="single"/>
        </w:rPr>
        <w:t>3</w:t>
      </w:r>
      <w:r w:rsidR="00252460" w:rsidRPr="008401DD">
        <w:rPr>
          <w:i/>
          <w:iCs/>
          <w:u w:val="single"/>
        </w:rPr>
        <w:t>.</w:t>
      </w:r>
      <w:r w:rsidRPr="008401DD">
        <w:rPr>
          <w:i/>
          <w:iCs/>
          <w:u w:val="single"/>
        </w:rPr>
        <w:t>:</w:t>
      </w:r>
      <w:r w:rsidRPr="008401DD">
        <w:rPr>
          <w:i/>
          <w:iCs/>
        </w:rPr>
        <w:t xml:space="preserve"> </w:t>
      </w:r>
      <w:r w:rsidR="00066A28" w:rsidRPr="008401DD">
        <w:rPr>
          <w:i/>
        </w:rPr>
        <w:t xml:space="preserve">Dodatne naloge </w:t>
      </w:r>
      <w:r w:rsidR="0CDEFD2A" w:rsidRPr="008401DD">
        <w:rPr>
          <w:i/>
          <w:iCs/>
        </w:rPr>
        <w:t>na področju zagotavljanja kakovosti projektne dokumentacije</w:t>
      </w:r>
      <w:r w:rsidR="00066A28" w:rsidRPr="008401DD">
        <w:rPr>
          <w:i/>
          <w:iCs/>
        </w:rPr>
        <w:t xml:space="preserve"> terjajo</w:t>
      </w:r>
      <w:r w:rsidR="00066A28" w:rsidRPr="008401DD">
        <w:rPr>
          <w:i/>
        </w:rPr>
        <w:t xml:space="preserve"> ustrezno financiranje, zato naj se preveri ustreznost opravnine, ki jo CMSR prejema za potrebe izvajanje nalog na področju implementacije projektov MRS. </w:t>
      </w:r>
      <w:r w:rsidR="00066A28" w:rsidRPr="008401DD">
        <w:rPr>
          <w:i/>
          <w:iCs/>
        </w:rPr>
        <w:t>V koliko</w:t>
      </w:r>
      <w:r w:rsidR="68657AFA" w:rsidRPr="008401DD">
        <w:rPr>
          <w:i/>
          <w:iCs/>
        </w:rPr>
        <w:t>r</w:t>
      </w:r>
      <w:r w:rsidR="00066A28" w:rsidRPr="008401DD">
        <w:rPr>
          <w:i/>
        </w:rPr>
        <w:t xml:space="preserve"> višina opravnine ne omogoča financiranja dodatnih nalog, tj. vzpostavitve »funkcije kakovosti« v fazi načrtovanja projektov, naj se višina opravnine ustrezno prilagodi kompleksnosti in vrednosti projektov (tj. morebitna višja opravnina za tehnološko ali izvedbeno kompleksnejše projekte).</w:t>
      </w:r>
      <w:r w:rsidR="0DAD9DDF" w:rsidRPr="008401DD">
        <w:rPr>
          <w:i/>
          <w:iCs/>
        </w:rPr>
        <w:t xml:space="preserve"> Ocena ustreznosti opravnine naj upošteva tudi ostala priporočila iz te evalvacije</w:t>
      </w:r>
      <w:r w:rsidR="4E41EE5D" w:rsidRPr="008401DD">
        <w:rPr>
          <w:i/>
          <w:iCs/>
        </w:rPr>
        <w:t>, zato naj temelji na oceni realnih trenutnih delovnih obremenitev CMSR pri izvajanju in nadzoru projektov, ki naj jim prip</w:t>
      </w:r>
      <w:r w:rsidR="43DD4AE4" w:rsidRPr="008401DD">
        <w:rPr>
          <w:i/>
          <w:iCs/>
        </w:rPr>
        <w:t xml:space="preserve">iše </w:t>
      </w:r>
      <w:r w:rsidR="4E41EE5D" w:rsidRPr="008401DD">
        <w:rPr>
          <w:i/>
          <w:iCs/>
        </w:rPr>
        <w:t>predvidene obremenitve</w:t>
      </w:r>
      <w:r w:rsidR="0986344C" w:rsidRPr="008401DD">
        <w:rPr>
          <w:i/>
          <w:iCs/>
        </w:rPr>
        <w:t xml:space="preserve"> z upoštevanjem </w:t>
      </w:r>
      <w:proofErr w:type="spellStart"/>
      <w:r w:rsidR="0986344C" w:rsidRPr="008401DD">
        <w:rPr>
          <w:i/>
          <w:iCs/>
        </w:rPr>
        <w:t>evalvacijskih</w:t>
      </w:r>
      <w:proofErr w:type="spellEnd"/>
      <w:r w:rsidR="0986344C" w:rsidRPr="008401DD">
        <w:rPr>
          <w:i/>
          <w:iCs/>
        </w:rPr>
        <w:t xml:space="preserve"> priporočil.</w:t>
      </w:r>
    </w:p>
    <w:p w14:paraId="465265CA" w14:textId="77777777" w:rsidR="00FD4864" w:rsidRPr="008401DD" w:rsidRDefault="00FD4864" w:rsidP="00960E68">
      <w:pPr>
        <w:jc w:val="both"/>
        <w:rPr>
          <w:i/>
        </w:rPr>
      </w:pPr>
    </w:p>
    <w:p w14:paraId="1ADD2053" w14:textId="11843E6F" w:rsidR="003269A8" w:rsidRDefault="00FD4864"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796E02" w:rsidRPr="008401DD">
        <w:rPr>
          <w:i/>
          <w:u w:val="single"/>
        </w:rPr>
        <w:t xml:space="preserve"> </w:t>
      </w:r>
      <w:r w:rsidR="00252460" w:rsidRPr="008401DD">
        <w:rPr>
          <w:i/>
          <w:u w:val="single"/>
        </w:rPr>
        <w:t>1.</w:t>
      </w:r>
      <w:r w:rsidR="00796E02" w:rsidRPr="008401DD">
        <w:rPr>
          <w:i/>
          <w:u w:val="single"/>
        </w:rPr>
        <w:t>4</w:t>
      </w:r>
      <w:r w:rsidR="00252460" w:rsidRPr="008401DD">
        <w:rPr>
          <w:i/>
          <w:u w:val="single"/>
        </w:rPr>
        <w:t>.</w:t>
      </w:r>
      <w:r w:rsidRPr="008401DD">
        <w:rPr>
          <w:i/>
        </w:rPr>
        <w:t xml:space="preserve">: </w:t>
      </w:r>
      <w:r w:rsidR="004618D9" w:rsidRPr="008401DD">
        <w:rPr>
          <w:i/>
        </w:rPr>
        <w:t>CMSR</w:t>
      </w:r>
      <w:r w:rsidR="003269A8" w:rsidRPr="008401DD">
        <w:rPr>
          <w:i/>
        </w:rPr>
        <w:t xml:space="preserve"> naj pripravi nabor ukrepov oz.</w:t>
      </w:r>
      <w:r w:rsidRPr="008401DD">
        <w:rPr>
          <w:i/>
        </w:rPr>
        <w:t xml:space="preserve"> mehanizmo</w:t>
      </w:r>
      <w:r w:rsidR="003269A8" w:rsidRPr="008401DD">
        <w:rPr>
          <w:i/>
        </w:rPr>
        <w:t xml:space="preserve">v za blažitev korupcijskih tveganj </w:t>
      </w:r>
      <w:r w:rsidR="00B244C1" w:rsidRPr="008401DD">
        <w:rPr>
          <w:i/>
        </w:rPr>
        <w:t>pr</w:t>
      </w:r>
      <w:r w:rsidR="008C254C" w:rsidRPr="008401DD">
        <w:rPr>
          <w:i/>
        </w:rPr>
        <w:t>i</w:t>
      </w:r>
      <w:r w:rsidR="00B244C1" w:rsidRPr="008401DD">
        <w:rPr>
          <w:i/>
        </w:rPr>
        <w:t xml:space="preserve"> izvajanju </w:t>
      </w:r>
      <w:r w:rsidR="008C254C" w:rsidRPr="008401DD">
        <w:rPr>
          <w:i/>
        </w:rPr>
        <w:t>infrastrukturnih</w:t>
      </w:r>
      <w:r w:rsidR="003269A8" w:rsidRPr="008401DD">
        <w:rPr>
          <w:i/>
        </w:rPr>
        <w:t xml:space="preserve"> projektov. Med nujnimi ukrepi naj upošteva:</w:t>
      </w:r>
    </w:p>
    <w:p w14:paraId="75944D37" w14:textId="77777777" w:rsidR="00F9676E" w:rsidRDefault="00F9676E" w:rsidP="00F9676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F9676E">
        <w:rPr>
          <w:i/>
        </w:rPr>
        <w:lastRenderedPageBreak/>
        <w:t>Izdelavo celovite matrice tveganj projekta kot pogoja za potrditev projekta in podpisa donatorske pogodbe in, skladno z oceno, opredelitev potreb po nadzoru;</w:t>
      </w:r>
    </w:p>
    <w:p w14:paraId="7F50DD45" w14:textId="77777777" w:rsidR="00F9676E" w:rsidRDefault="00F9676E" w:rsidP="00F9676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F9676E">
        <w:rPr>
          <w:i/>
        </w:rPr>
        <w:t>angažiranje zunanjih strokovnjakov za pregled (ali pripravo) investicijske dokumentacije skladno s priporočilom 1.2. in, če je primerno glede na oceno tveganj, tudi tehnični nadzor;</w:t>
      </w:r>
    </w:p>
    <w:p w14:paraId="195BD5A9" w14:textId="29B9605E" w:rsidR="00F9676E" w:rsidRPr="00F9676E" w:rsidRDefault="00F9676E" w:rsidP="00F9676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F9676E">
        <w:rPr>
          <w:i/>
        </w:rPr>
        <w:t xml:space="preserve">vzpostavitev kontrolnih mehanizmov s strani CMSR, npr. pogostost obiskov na terenu, minimalni standardi glede vsebine poročil o napredku in uvedbo kontrolnih list za kontrolo upravičenosti izdatkov (gledati tudi </w:t>
      </w:r>
      <w:r w:rsidR="005437D9">
        <w:rPr>
          <w:i/>
        </w:rPr>
        <w:t>priporočili</w:t>
      </w:r>
      <w:r w:rsidRPr="00F9676E">
        <w:rPr>
          <w:i/>
        </w:rPr>
        <w:t xml:space="preserve"> 1.</w:t>
      </w:r>
      <w:r w:rsidR="005437D9">
        <w:rPr>
          <w:i/>
        </w:rPr>
        <w:t>7.</w:t>
      </w:r>
      <w:r w:rsidRPr="00F9676E">
        <w:rPr>
          <w:i/>
        </w:rPr>
        <w:t xml:space="preserve"> in 2.1</w:t>
      </w:r>
      <w:r w:rsidR="005437D9">
        <w:rPr>
          <w:i/>
        </w:rPr>
        <w:t>.</w:t>
      </w:r>
      <w:r w:rsidRPr="00F9676E">
        <w:rPr>
          <w:i/>
        </w:rPr>
        <w:t>).</w:t>
      </w:r>
    </w:p>
    <w:p w14:paraId="2B00F910" w14:textId="77777777" w:rsidR="00DD4E75" w:rsidRPr="008401DD" w:rsidRDefault="00DD4E75" w:rsidP="00960E68">
      <w:pPr>
        <w:spacing w:line="240" w:lineRule="auto"/>
        <w:jc w:val="both"/>
        <w:rPr>
          <w:rFonts w:cs="Arial"/>
          <w:i/>
          <w:color w:val="67C18C"/>
        </w:rPr>
      </w:pPr>
    </w:p>
    <w:p w14:paraId="1866E3AD" w14:textId="1CAFC94E" w:rsidR="00A465B8" w:rsidRPr="008401DD" w:rsidRDefault="00A465B8"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1.2:</w:t>
      </w:r>
      <w:r w:rsidRPr="008401DD">
        <w:rPr>
          <w:rFonts w:cs="Arial"/>
          <w:color w:val="67C18C"/>
        </w:rPr>
        <w:t xml:space="preserve"> </w:t>
      </w:r>
      <w:r w:rsidRPr="008401DD">
        <w:rPr>
          <w:rFonts w:cs="Arial"/>
          <w:i/>
          <w:color w:val="67C18C"/>
        </w:rPr>
        <w:t xml:space="preserve">Ali so bile upoštevane variante in alternative izvedbe projektov z upoštevanjem vseh dimenzij trajnostnega razvoja: ekonomska, družbena in </w:t>
      </w:r>
      <w:proofErr w:type="spellStart"/>
      <w:r w:rsidRPr="008401DD">
        <w:rPr>
          <w:rFonts w:cs="Arial"/>
          <w:i/>
          <w:color w:val="67C18C"/>
        </w:rPr>
        <w:t>okoljska</w:t>
      </w:r>
      <w:proofErr w:type="spellEnd"/>
      <w:r w:rsidRPr="008401DD">
        <w:rPr>
          <w:rFonts w:cs="Arial"/>
          <w:i/>
          <w:color w:val="67C18C"/>
        </w:rPr>
        <w:t xml:space="preserve"> (npr. alternativne tehnologije, lokacije, sinergije z drugimi projekti, ipd.)?</w:t>
      </w:r>
    </w:p>
    <w:p w14:paraId="72CB922E" w14:textId="77777777" w:rsidR="00B85B43" w:rsidRDefault="00B85B43" w:rsidP="00960E68">
      <w:pPr>
        <w:jc w:val="both"/>
      </w:pPr>
    </w:p>
    <w:p w14:paraId="2963B72F" w14:textId="54DE64BD" w:rsidR="00F57941" w:rsidRPr="008401DD" w:rsidRDefault="005B0518" w:rsidP="00960E68">
      <w:pPr>
        <w:jc w:val="both"/>
      </w:pPr>
      <w:r w:rsidRPr="008401DD">
        <w:t>Iz dokumentacije, ki</w:t>
      </w:r>
      <w:r w:rsidR="005F7031" w:rsidRPr="008401DD">
        <w:t xml:space="preserve"> </w:t>
      </w:r>
      <w:r w:rsidRPr="008401DD">
        <w:t xml:space="preserve">je </w:t>
      </w:r>
      <w:r w:rsidR="009E4F77" w:rsidRPr="008401DD">
        <w:t xml:space="preserve">bila </w:t>
      </w:r>
      <w:proofErr w:type="spellStart"/>
      <w:r w:rsidR="009E4F77" w:rsidRPr="008401DD">
        <w:t>evalvatorju</w:t>
      </w:r>
      <w:proofErr w:type="spellEnd"/>
      <w:r w:rsidR="009E4F77" w:rsidRPr="008401DD">
        <w:t xml:space="preserve"> </w:t>
      </w:r>
      <w:r w:rsidRPr="008401DD">
        <w:t>na voljo</w:t>
      </w:r>
      <w:r w:rsidR="009E4F77" w:rsidRPr="008401DD">
        <w:t>,</w:t>
      </w:r>
      <w:r w:rsidRPr="008401DD">
        <w:t xml:space="preserve"> in </w:t>
      </w:r>
      <w:r w:rsidR="009E4F77" w:rsidRPr="008401DD">
        <w:t>na podlagi</w:t>
      </w:r>
      <w:r w:rsidRPr="008401DD">
        <w:t xml:space="preserve"> izvedenih intervjujev ugotavljamo, da </w:t>
      </w:r>
      <w:r w:rsidR="00F57941" w:rsidRPr="008401DD">
        <w:t>je lokalni partner, tj. obči</w:t>
      </w:r>
      <w:r w:rsidR="00B244C1" w:rsidRPr="008401DD">
        <w:t>n</w:t>
      </w:r>
      <w:r w:rsidR="00F57941" w:rsidRPr="008401DD">
        <w:t xml:space="preserve">a </w:t>
      </w:r>
      <w:proofErr w:type="spellStart"/>
      <w:r w:rsidR="00F57941" w:rsidRPr="008401DD">
        <w:t>Probištip</w:t>
      </w:r>
      <w:proofErr w:type="spellEnd"/>
      <w:r w:rsidR="00F57941" w:rsidRPr="008401DD">
        <w:t xml:space="preserve">, v okviru priprave projektne </w:t>
      </w:r>
      <w:r w:rsidR="00C54EFD" w:rsidRPr="008401DD">
        <w:t>dokumentacije</w:t>
      </w:r>
      <w:r w:rsidR="00F57941" w:rsidRPr="008401DD">
        <w:t xml:space="preserve"> za prvi projekt obravnavala variante oz. različne tehnično-tehnološke rešitve. Iz razpoložljive dokumentacije ni razvidno, kakšne alternative so</w:t>
      </w:r>
      <w:r w:rsidRPr="008401DD">
        <w:t xml:space="preserve"> bile </w:t>
      </w:r>
      <w:r w:rsidR="00F57941" w:rsidRPr="008401DD">
        <w:t xml:space="preserve">obravnavane in </w:t>
      </w:r>
      <w:r w:rsidRPr="008401DD">
        <w:t xml:space="preserve">na </w:t>
      </w:r>
      <w:r w:rsidR="002F1D9E" w:rsidRPr="008401DD">
        <w:t>kateri pod</w:t>
      </w:r>
      <w:r w:rsidR="00F57941" w:rsidRPr="008401DD">
        <w:t>l</w:t>
      </w:r>
      <w:r w:rsidR="002F1D9E" w:rsidRPr="008401DD">
        <w:t>a</w:t>
      </w:r>
      <w:r w:rsidR="00F57941" w:rsidRPr="008401DD">
        <w:t>gi je bila izbrana rešitev čistilne napra</w:t>
      </w:r>
      <w:r w:rsidR="00B244C1" w:rsidRPr="008401DD">
        <w:t xml:space="preserve">ve z </w:t>
      </w:r>
      <w:proofErr w:type="spellStart"/>
      <w:r w:rsidR="00B244C1" w:rsidRPr="008401DD">
        <w:t>mi</w:t>
      </w:r>
      <w:r w:rsidR="00F57941" w:rsidRPr="008401DD">
        <w:t>krofiltracijo</w:t>
      </w:r>
      <w:proofErr w:type="spellEnd"/>
      <w:r w:rsidR="00F57941" w:rsidRPr="008401DD">
        <w:t>.</w:t>
      </w:r>
    </w:p>
    <w:p w14:paraId="6E2A69AB" w14:textId="77777777" w:rsidR="00F57941" w:rsidRPr="008401DD" w:rsidRDefault="00F57941" w:rsidP="00960E68"/>
    <w:p w14:paraId="5FA2B732" w14:textId="69082906" w:rsidR="00E02764" w:rsidRPr="008401DD" w:rsidRDefault="00F57941" w:rsidP="00960E68">
      <w:pPr>
        <w:jc w:val="both"/>
      </w:pPr>
      <w:r w:rsidRPr="008401DD">
        <w:t>Za drugi projekt</w:t>
      </w:r>
      <w:r w:rsidR="005B0518" w:rsidRPr="008401DD">
        <w:t xml:space="preserve"> ni bilo </w:t>
      </w:r>
      <w:r w:rsidRPr="008401DD">
        <w:t xml:space="preserve">mogoče ugotoviti, ali so </w:t>
      </w:r>
      <w:r w:rsidR="00B244C1" w:rsidRPr="008401DD">
        <w:t>b</w:t>
      </w:r>
      <w:r w:rsidRPr="008401DD">
        <w:t>ile obravnavane različne variante oz. alternative.</w:t>
      </w:r>
    </w:p>
    <w:p w14:paraId="2AC939F8" w14:textId="77777777" w:rsidR="0072479A" w:rsidRPr="008401DD" w:rsidRDefault="0072479A" w:rsidP="00960E68"/>
    <w:p w14:paraId="2DA410A2" w14:textId="77777777" w:rsidR="00962DD6" w:rsidRPr="008401DD" w:rsidRDefault="009B67C4" w:rsidP="00960E68">
      <w:pPr>
        <w:jc w:val="both"/>
      </w:pPr>
      <w:r w:rsidRPr="008401DD">
        <w:t>Skladnost projekta z načeli trajnostnega razvoja CMSR preverja pri ocenjevanju projektnih nalog, kot del meril za ocenjevanje in sicer po segmentih »vplivi na okolje«, »finančna trajnost« in »socialna trajnost«. Merila niso v celoti zadovoljiva, saj bi bilo smiselno preverjati tudi skladnost z vsemi sedemnajstimi cilji trajnostnega razvoja.</w:t>
      </w:r>
    </w:p>
    <w:p w14:paraId="65BB1083" w14:textId="75652AEA" w:rsidR="009B67C4" w:rsidRPr="008401DD" w:rsidRDefault="009B67C4" w:rsidP="00960E68">
      <w:pPr>
        <w:jc w:val="both"/>
      </w:pPr>
    </w:p>
    <w:p w14:paraId="15B9E813" w14:textId="483AE892" w:rsidR="006D7E69" w:rsidRPr="008401DD" w:rsidRDefault="006D7E69" w:rsidP="00960E68">
      <w:pPr>
        <w:jc w:val="both"/>
      </w:pPr>
      <w:r w:rsidRPr="008401DD">
        <w:t xml:space="preserve">Ugotavljamo, da oba projekta zasledujeta 2 od 17 ciljev trajnostnega razvoja in sicer Cilj 3: »Zdravje in dobro počutje« ter cilj 6: »Čista voda in sanitarna ureditev«. </w:t>
      </w:r>
    </w:p>
    <w:p w14:paraId="134B8191" w14:textId="77777777" w:rsidR="00145108" w:rsidRPr="008401DD" w:rsidRDefault="00145108" w:rsidP="00960E68"/>
    <w:p w14:paraId="6D9C5926" w14:textId="1506B8E6" w:rsidR="00145108" w:rsidRPr="008401DD" w:rsidRDefault="00145108" w:rsidP="00960E68">
      <w:pPr>
        <w:rPr>
          <w:b/>
        </w:rPr>
      </w:pPr>
      <w:r w:rsidRPr="008401DD">
        <w:rPr>
          <w:b/>
        </w:rPr>
        <w:t xml:space="preserve">Prvi projekt: </w:t>
      </w:r>
    </w:p>
    <w:p w14:paraId="793BCFFC" w14:textId="77777777" w:rsidR="00B85B43" w:rsidRDefault="00B85B43" w:rsidP="00960E68"/>
    <w:p w14:paraId="40E2B307" w14:textId="14C2336E" w:rsidR="00145108" w:rsidRPr="008401DD" w:rsidRDefault="00145108" w:rsidP="00960E68">
      <w:r w:rsidRPr="008401DD">
        <w:t xml:space="preserve">V merilih, ki so veljala v času izbora prvega projekta (tj. </w:t>
      </w:r>
      <w:r w:rsidR="005B1F24" w:rsidRPr="008401DD">
        <w:t>2012), se je preverjalo,</w:t>
      </w:r>
      <w:r w:rsidRPr="008401DD">
        <w:t xml:space="preserve"> ali projekt zagotavlja:</w:t>
      </w:r>
    </w:p>
    <w:p w14:paraId="7039F0CD" w14:textId="2C1B2922" w:rsidR="00145108" w:rsidRPr="008401DD" w:rsidRDefault="00145108" w:rsidP="00960E68">
      <w:pPr>
        <w:pStyle w:val="ListParagraph"/>
        <w:numPr>
          <w:ilvl w:val="0"/>
          <w:numId w:val="1"/>
        </w:numPr>
      </w:pPr>
      <w:proofErr w:type="spellStart"/>
      <w:r w:rsidRPr="008401DD">
        <w:t>okoljsko</w:t>
      </w:r>
      <w:proofErr w:type="spellEnd"/>
      <w:r w:rsidRPr="008401DD">
        <w:t xml:space="preserve"> trajnost:</w:t>
      </w:r>
    </w:p>
    <w:p w14:paraId="2905BED7" w14:textId="2C4DDB22" w:rsidR="00145108" w:rsidRPr="008401DD" w:rsidRDefault="00145108" w:rsidP="00960E68">
      <w:pPr>
        <w:pStyle w:val="ListParagraph"/>
        <w:numPr>
          <w:ilvl w:val="1"/>
          <w:numId w:val="1"/>
        </w:numPr>
      </w:pPr>
      <w:r w:rsidRPr="008401DD">
        <w:t>zmanjšuje porabo neobnovljivih virov energije</w:t>
      </w:r>
      <w:r w:rsidR="00451118" w:rsidRPr="008401DD">
        <w:t>;</w:t>
      </w:r>
    </w:p>
    <w:p w14:paraId="5BDFC613" w14:textId="41DC69BD" w:rsidR="00145108" w:rsidRPr="008401DD" w:rsidRDefault="00145108" w:rsidP="00960E68">
      <w:pPr>
        <w:pStyle w:val="ListParagraph"/>
        <w:numPr>
          <w:ilvl w:val="1"/>
          <w:numId w:val="1"/>
        </w:numPr>
      </w:pPr>
      <w:r w:rsidRPr="008401DD">
        <w:t>zmanjšuje po</w:t>
      </w:r>
      <w:r w:rsidR="00865F61" w:rsidRPr="008401DD">
        <w:t>r</w:t>
      </w:r>
      <w:r w:rsidRPr="008401DD">
        <w:t>abo energije</w:t>
      </w:r>
      <w:r w:rsidR="00451118" w:rsidRPr="008401DD">
        <w:t>;</w:t>
      </w:r>
    </w:p>
    <w:p w14:paraId="76A1556D" w14:textId="3FD14EF4" w:rsidR="00145108" w:rsidRPr="008401DD" w:rsidRDefault="00145108" w:rsidP="00960E68">
      <w:pPr>
        <w:pStyle w:val="ListParagraph"/>
        <w:numPr>
          <w:ilvl w:val="1"/>
          <w:numId w:val="1"/>
        </w:numPr>
      </w:pPr>
      <w:r w:rsidRPr="008401DD">
        <w:t>zmanjšuje onesnaževanje</w:t>
      </w:r>
      <w:r w:rsidR="00451118" w:rsidRPr="008401DD">
        <w:t>;</w:t>
      </w:r>
    </w:p>
    <w:p w14:paraId="4B6ECBBE" w14:textId="5BCEB191" w:rsidR="00145108" w:rsidRPr="008401DD" w:rsidRDefault="00145108" w:rsidP="00960E68">
      <w:pPr>
        <w:pStyle w:val="ListParagraph"/>
        <w:numPr>
          <w:ilvl w:val="1"/>
          <w:numId w:val="1"/>
        </w:numPr>
      </w:pPr>
      <w:r w:rsidRPr="008401DD">
        <w:t>zmanjšuje količino odpadkov</w:t>
      </w:r>
      <w:r w:rsidR="00451118" w:rsidRPr="008401DD">
        <w:t>;</w:t>
      </w:r>
    </w:p>
    <w:p w14:paraId="105C7782" w14:textId="1F4151F4" w:rsidR="00145108" w:rsidRPr="008401DD" w:rsidRDefault="00145108" w:rsidP="00960E68">
      <w:pPr>
        <w:pStyle w:val="ListParagraph"/>
        <w:numPr>
          <w:ilvl w:val="0"/>
          <w:numId w:val="1"/>
        </w:numPr>
      </w:pPr>
      <w:r w:rsidRPr="008401DD">
        <w:t>ekonomsko trajnost</w:t>
      </w:r>
      <w:r w:rsidR="00451118" w:rsidRPr="008401DD">
        <w:t>:</w:t>
      </w:r>
    </w:p>
    <w:p w14:paraId="77F34172" w14:textId="237EFA18" w:rsidR="00145108" w:rsidRPr="008401DD" w:rsidRDefault="00145108" w:rsidP="00960E68">
      <w:pPr>
        <w:pStyle w:val="ListParagraph"/>
        <w:numPr>
          <w:ilvl w:val="1"/>
          <w:numId w:val="1"/>
        </w:numPr>
        <w:jc w:val="both"/>
      </w:pPr>
      <w:r w:rsidRPr="008401DD">
        <w:t>prihodki projekta bodo zadostni za vzdrževanje projekta</w:t>
      </w:r>
      <w:r w:rsidR="00865F61" w:rsidRPr="008401DD">
        <w:t xml:space="preserve"> v prihodnjem srednjeročnem obdo</w:t>
      </w:r>
      <w:r w:rsidRPr="008401DD">
        <w:t>bju oziroma država je z zakonskim ali podzakonskim aktom zagotovila njegovo vzdrževanje</w:t>
      </w:r>
      <w:r w:rsidR="00451118" w:rsidRPr="008401DD">
        <w:t>;</w:t>
      </w:r>
    </w:p>
    <w:p w14:paraId="01805A38" w14:textId="716985AF" w:rsidR="0093002D" w:rsidRPr="008401DD" w:rsidRDefault="00145108" w:rsidP="00960E68">
      <w:pPr>
        <w:pStyle w:val="ListParagraph"/>
        <w:numPr>
          <w:ilvl w:val="0"/>
          <w:numId w:val="1"/>
        </w:numPr>
      </w:pPr>
      <w:r w:rsidRPr="008401DD">
        <w:t>socialno trajnost</w:t>
      </w:r>
      <w:r w:rsidR="00451118" w:rsidRPr="008401DD">
        <w:t>:</w:t>
      </w:r>
    </w:p>
    <w:p w14:paraId="41870570" w14:textId="594D2C34" w:rsidR="00145108" w:rsidRPr="008401DD" w:rsidRDefault="00145108" w:rsidP="00960E68">
      <w:pPr>
        <w:pStyle w:val="ListParagraph"/>
        <w:numPr>
          <w:ilvl w:val="1"/>
          <w:numId w:val="1"/>
        </w:numPr>
      </w:pPr>
      <w:r w:rsidRPr="008401DD">
        <w:t>omogoča boljši dostop do zadovoljevanja osnovnih življenjskih potreb</w:t>
      </w:r>
      <w:r w:rsidR="00451118" w:rsidRPr="008401DD">
        <w:t>;</w:t>
      </w:r>
    </w:p>
    <w:p w14:paraId="533378E5" w14:textId="783A787E" w:rsidR="00145108" w:rsidRPr="008401DD" w:rsidRDefault="00145108" w:rsidP="00960E68">
      <w:pPr>
        <w:pStyle w:val="ListParagraph"/>
        <w:numPr>
          <w:ilvl w:val="1"/>
          <w:numId w:val="1"/>
        </w:numPr>
        <w:ind w:left="1434" w:hanging="357"/>
      </w:pPr>
      <w:r w:rsidRPr="008401DD">
        <w:t>omogoča boljši d</w:t>
      </w:r>
      <w:r w:rsidR="58DFAE37" w:rsidRPr="008401DD">
        <w:t>ostop</w:t>
      </w:r>
      <w:r w:rsidRPr="008401DD">
        <w:t xml:space="preserve"> do zdravstva in izobraževanja</w:t>
      </w:r>
      <w:r w:rsidR="00451118" w:rsidRPr="008401DD">
        <w:t>.</w:t>
      </w:r>
    </w:p>
    <w:p w14:paraId="13AF9E01" w14:textId="77777777" w:rsidR="006B0F9E" w:rsidRPr="008401DD" w:rsidRDefault="006B0F9E" w:rsidP="00960E68">
      <w:pPr>
        <w:jc w:val="both"/>
      </w:pPr>
    </w:p>
    <w:p w14:paraId="7753CA3B" w14:textId="62312D9C" w:rsidR="00E02764" w:rsidRPr="008401DD" w:rsidRDefault="00145108" w:rsidP="00960E68">
      <w:pPr>
        <w:jc w:val="both"/>
      </w:pPr>
      <w:r w:rsidRPr="008401DD">
        <w:t xml:space="preserve">Projekt je glede na merilo trajnosti dobil 8 točk od 20, kar pomeni, da </w:t>
      </w:r>
      <w:r w:rsidR="00C6716C" w:rsidRPr="008401DD">
        <w:t>j</w:t>
      </w:r>
      <w:r w:rsidRPr="008401DD">
        <w:t>e projekt zasledoval nače</w:t>
      </w:r>
      <w:r w:rsidR="00C6716C" w:rsidRPr="008401DD">
        <w:t>l</w:t>
      </w:r>
      <w:r w:rsidRPr="008401DD">
        <w:t xml:space="preserve">a trajnostnega razvoja v manjši meri. </w:t>
      </w:r>
    </w:p>
    <w:p w14:paraId="08CDDD9C" w14:textId="77777777" w:rsidR="00145108" w:rsidRPr="008401DD" w:rsidRDefault="00145108" w:rsidP="00960E68"/>
    <w:p w14:paraId="19777063" w14:textId="1C0EA0E4" w:rsidR="00145108" w:rsidRPr="008401DD" w:rsidRDefault="00145108" w:rsidP="00960E68">
      <w:pPr>
        <w:rPr>
          <w:b/>
        </w:rPr>
      </w:pPr>
      <w:r w:rsidRPr="008401DD">
        <w:rPr>
          <w:b/>
        </w:rPr>
        <w:t xml:space="preserve">Drugi projekt: </w:t>
      </w:r>
    </w:p>
    <w:p w14:paraId="791B71C7" w14:textId="77777777" w:rsidR="00B85B43" w:rsidRDefault="00B85B43" w:rsidP="00960E68"/>
    <w:p w14:paraId="161F4AD4" w14:textId="15585757" w:rsidR="00145108" w:rsidRPr="008401DD" w:rsidRDefault="00145108" w:rsidP="00960E68">
      <w:r w:rsidRPr="008401DD">
        <w:t xml:space="preserve">V </w:t>
      </w:r>
      <w:r w:rsidR="00815648" w:rsidRPr="008401DD">
        <w:t xml:space="preserve">prenovljenih </w:t>
      </w:r>
      <w:r w:rsidRPr="008401DD">
        <w:t xml:space="preserve">merilih, ki </w:t>
      </w:r>
      <w:r w:rsidR="00815648" w:rsidRPr="008401DD">
        <w:t>veljajo od leta 2015 naprej,</w:t>
      </w:r>
      <w:r w:rsidR="00C6716C" w:rsidRPr="008401DD">
        <w:t xml:space="preserve"> se </w:t>
      </w:r>
      <w:r w:rsidR="005B1F24" w:rsidRPr="008401DD">
        <w:t>je preverjalo</w:t>
      </w:r>
      <w:r w:rsidRPr="008401DD">
        <w:t>:</w:t>
      </w:r>
    </w:p>
    <w:p w14:paraId="022E4C5D" w14:textId="366A1679" w:rsidR="00145108" w:rsidRPr="008401DD" w:rsidRDefault="005B1F24" w:rsidP="00960E68">
      <w:pPr>
        <w:pStyle w:val="ListParagraph"/>
        <w:numPr>
          <w:ilvl w:val="0"/>
          <w:numId w:val="18"/>
        </w:numPr>
        <w:jc w:val="both"/>
      </w:pPr>
      <w:r w:rsidRPr="008401DD">
        <w:t>Vplive</w:t>
      </w:r>
      <w:r w:rsidR="00815648" w:rsidRPr="008401DD">
        <w:t xml:space="preserve"> na okolje:</w:t>
      </w:r>
    </w:p>
    <w:p w14:paraId="446BFDDC" w14:textId="27F1CF04" w:rsidR="00815648" w:rsidRPr="008401DD" w:rsidRDefault="00451118" w:rsidP="00960E68">
      <w:pPr>
        <w:pStyle w:val="ListParagraph"/>
        <w:numPr>
          <w:ilvl w:val="1"/>
          <w:numId w:val="18"/>
        </w:numPr>
        <w:jc w:val="both"/>
      </w:pPr>
      <w:r w:rsidRPr="008401DD">
        <w:t xml:space="preserve">ohranja </w:t>
      </w:r>
      <w:r w:rsidR="00815648" w:rsidRPr="008401DD">
        <w:t>naravo in trajnostno rabo naravnih danosti območja</w:t>
      </w:r>
      <w:r w:rsidRPr="008401DD">
        <w:t>;</w:t>
      </w:r>
    </w:p>
    <w:p w14:paraId="56A474C1" w14:textId="029F89F9" w:rsidR="00815648" w:rsidRPr="008401DD" w:rsidRDefault="00451118" w:rsidP="00960E68">
      <w:pPr>
        <w:pStyle w:val="ListParagraph"/>
        <w:numPr>
          <w:ilvl w:val="1"/>
          <w:numId w:val="18"/>
        </w:numPr>
        <w:jc w:val="both"/>
      </w:pPr>
      <w:r w:rsidRPr="008401DD">
        <w:t xml:space="preserve">povečuje </w:t>
      </w:r>
      <w:r w:rsidR="00815648" w:rsidRPr="008401DD">
        <w:t>uporabo</w:t>
      </w:r>
      <w:r w:rsidR="005757D8" w:rsidRPr="008401DD">
        <w:t xml:space="preserve"> </w:t>
      </w:r>
      <w:r w:rsidR="00815648" w:rsidRPr="008401DD">
        <w:t>obnovljivih virov energije oz. zmanjšuje porabo fosilnih goriv</w:t>
      </w:r>
      <w:r w:rsidRPr="008401DD">
        <w:t>;</w:t>
      </w:r>
    </w:p>
    <w:p w14:paraId="2830C746" w14:textId="3D7CCDCE" w:rsidR="00815648" w:rsidRPr="008401DD" w:rsidRDefault="00451118" w:rsidP="00960E68">
      <w:pPr>
        <w:pStyle w:val="ListParagraph"/>
        <w:numPr>
          <w:ilvl w:val="1"/>
          <w:numId w:val="18"/>
        </w:numPr>
        <w:jc w:val="both"/>
      </w:pPr>
      <w:r w:rsidRPr="008401DD">
        <w:t xml:space="preserve">zmanjšuje </w:t>
      </w:r>
      <w:r w:rsidR="00815648" w:rsidRPr="008401DD">
        <w:t>porabo energije</w:t>
      </w:r>
      <w:r w:rsidRPr="008401DD">
        <w:t>;</w:t>
      </w:r>
    </w:p>
    <w:p w14:paraId="12AEB4D3" w14:textId="77F02217" w:rsidR="00815648" w:rsidRPr="008401DD" w:rsidRDefault="00451118" w:rsidP="00960E68">
      <w:pPr>
        <w:pStyle w:val="ListParagraph"/>
        <w:numPr>
          <w:ilvl w:val="1"/>
          <w:numId w:val="18"/>
        </w:numPr>
        <w:jc w:val="both"/>
      </w:pPr>
      <w:r w:rsidRPr="008401DD">
        <w:lastRenderedPageBreak/>
        <w:t xml:space="preserve">zmanjšuje </w:t>
      </w:r>
      <w:r w:rsidR="00815648" w:rsidRPr="008401DD">
        <w:t>onesnaženost okolja in količino odpadkov</w:t>
      </w:r>
      <w:r w:rsidRPr="008401DD">
        <w:t>;</w:t>
      </w:r>
    </w:p>
    <w:p w14:paraId="1DA45D19" w14:textId="5258BD6C" w:rsidR="00815648" w:rsidRPr="008401DD" w:rsidRDefault="00451118" w:rsidP="00960E68">
      <w:pPr>
        <w:pStyle w:val="ListParagraph"/>
        <w:numPr>
          <w:ilvl w:val="1"/>
          <w:numId w:val="18"/>
        </w:numPr>
        <w:jc w:val="both"/>
      </w:pPr>
      <w:r w:rsidRPr="008401DD">
        <w:t xml:space="preserve">zmanjšuje </w:t>
      </w:r>
      <w:r w:rsidR="00815648" w:rsidRPr="008401DD">
        <w:t>škodljive emisije</w:t>
      </w:r>
      <w:r w:rsidRPr="008401DD">
        <w:t>;</w:t>
      </w:r>
    </w:p>
    <w:p w14:paraId="0FB29703" w14:textId="1A404B1B" w:rsidR="00815648" w:rsidRPr="008401DD" w:rsidRDefault="00815648" w:rsidP="00960E68">
      <w:pPr>
        <w:pStyle w:val="ListParagraph"/>
        <w:numPr>
          <w:ilvl w:val="0"/>
          <w:numId w:val="18"/>
        </w:numPr>
        <w:jc w:val="both"/>
      </w:pPr>
      <w:r w:rsidRPr="008401DD">
        <w:t>Finančn</w:t>
      </w:r>
      <w:r w:rsidR="005B1F24" w:rsidRPr="008401DD">
        <w:t>o</w:t>
      </w:r>
      <w:r w:rsidRPr="008401DD">
        <w:t xml:space="preserve"> trajnost:</w:t>
      </w:r>
    </w:p>
    <w:p w14:paraId="3E1E422E" w14:textId="3167B5D2" w:rsidR="00815648" w:rsidRPr="008401DD" w:rsidRDefault="00451118" w:rsidP="00960E68">
      <w:pPr>
        <w:pStyle w:val="ListParagraph"/>
        <w:numPr>
          <w:ilvl w:val="1"/>
          <w:numId w:val="18"/>
        </w:numPr>
        <w:jc w:val="both"/>
      </w:pPr>
      <w:r w:rsidRPr="008401DD">
        <w:t xml:space="preserve">predvideni </w:t>
      </w:r>
      <w:r w:rsidR="00815648" w:rsidRPr="008401DD">
        <w:t xml:space="preserve">prihodki projekta zadostujejo za vzdrževanje projekta v srednjeročnem obdobju oz. je država zagotovila vzdrževanje projekta </w:t>
      </w:r>
      <w:r w:rsidRPr="008401DD">
        <w:t>;</w:t>
      </w:r>
    </w:p>
    <w:p w14:paraId="1B4E62FA" w14:textId="32C8C2A0" w:rsidR="00815648" w:rsidRPr="008401DD" w:rsidRDefault="00815648" w:rsidP="00960E68">
      <w:pPr>
        <w:pStyle w:val="ListParagraph"/>
        <w:numPr>
          <w:ilvl w:val="0"/>
          <w:numId w:val="18"/>
        </w:numPr>
        <w:jc w:val="both"/>
      </w:pPr>
      <w:r w:rsidRPr="008401DD">
        <w:t>Socialn</w:t>
      </w:r>
      <w:r w:rsidR="005B1F24" w:rsidRPr="008401DD">
        <w:t>o</w:t>
      </w:r>
      <w:r w:rsidRPr="008401DD">
        <w:t xml:space="preserve"> trajnost:</w:t>
      </w:r>
    </w:p>
    <w:p w14:paraId="032844DB" w14:textId="72B70E1B" w:rsidR="00815648" w:rsidRPr="008401DD" w:rsidRDefault="00451118" w:rsidP="00960E68">
      <w:pPr>
        <w:pStyle w:val="ListParagraph"/>
        <w:numPr>
          <w:ilvl w:val="1"/>
          <w:numId w:val="18"/>
        </w:numPr>
        <w:jc w:val="both"/>
      </w:pPr>
      <w:r w:rsidRPr="008401DD">
        <w:t xml:space="preserve">omogoča </w:t>
      </w:r>
      <w:r w:rsidR="00815648" w:rsidRPr="008401DD">
        <w:t>izboljšanje življenjsk</w:t>
      </w:r>
      <w:r w:rsidR="00C6716C" w:rsidRPr="008401DD">
        <w:t>i</w:t>
      </w:r>
      <w:r w:rsidR="00815648" w:rsidRPr="008401DD">
        <w:t>h pogojev</w:t>
      </w:r>
      <w:r w:rsidRPr="008401DD">
        <w:t>;</w:t>
      </w:r>
    </w:p>
    <w:p w14:paraId="2B2FBDCD" w14:textId="73A51352" w:rsidR="00815648" w:rsidRPr="008401DD" w:rsidRDefault="00451118" w:rsidP="00960E68">
      <w:pPr>
        <w:pStyle w:val="ListParagraph"/>
        <w:numPr>
          <w:ilvl w:val="1"/>
          <w:numId w:val="18"/>
        </w:numPr>
        <w:jc w:val="both"/>
      </w:pPr>
      <w:r w:rsidRPr="008401DD">
        <w:t xml:space="preserve">omogoča </w:t>
      </w:r>
      <w:r w:rsidR="00C6716C" w:rsidRPr="008401DD">
        <w:t>boljši dostop do zdravstva ali izobraževanja</w:t>
      </w:r>
      <w:r w:rsidRPr="008401DD">
        <w:t>;</w:t>
      </w:r>
    </w:p>
    <w:p w14:paraId="073F67CC" w14:textId="1EE33830" w:rsidR="00C6716C" w:rsidRPr="008401DD" w:rsidRDefault="00451118" w:rsidP="00960E68">
      <w:pPr>
        <w:pStyle w:val="ListParagraph"/>
        <w:numPr>
          <w:ilvl w:val="1"/>
          <w:numId w:val="18"/>
        </w:numPr>
        <w:ind w:left="1434" w:hanging="357"/>
        <w:jc w:val="both"/>
      </w:pPr>
      <w:r w:rsidRPr="008401DD">
        <w:t xml:space="preserve">prispeva </w:t>
      </w:r>
      <w:r w:rsidR="00C6716C" w:rsidRPr="008401DD">
        <w:t>k izboljšanju življenjskih pogojev za ženske, otroke ali marginalizirane skupine</w:t>
      </w:r>
      <w:r w:rsidRPr="008401DD">
        <w:t>.</w:t>
      </w:r>
    </w:p>
    <w:p w14:paraId="144DC5C2" w14:textId="77777777" w:rsidR="006B0F9E" w:rsidRPr="008401DD" w:rsidRDefault="006B0F9E" w:rsidP="00960E68">
      <w:pPr>
        <w:jc w:val="both"/>
      </w:pPr>
    </w:p>
    <w:p w14:paraId="4EC63BC9" w14:textId="04538CD0" w:rsidR="00C6716C" w:rsidRPr="008401DD" w:rsidRDefault="00C6716C" w:rsidP="00960E68">
      <w:pPr>
        <w:jc w:val="both"/>
      </w:pPr>
      <w:r w:rsidRPr="008401DD">
        <w:t xml:space="preserve">Projekt je glede na merilo trajnosti prejel 13 točk od 25, kar pomeni, da je </w:t>
      </w:r>
      <w:r w:rsidR="000124D7" w:rsidRPr="008401DD">
        <w:t xml:space="preserve">v zmernem obsegu </w:t>
      </w:r>
      <w:r w:rsidRPr="008401DD">
        <w:t>zasledoval načela trajnostnega razvoja</w:t>
      </w:r>
      <w:r w:rsidR="000124D7" w:rsidRPr="008401DD">
        <w:t>.</w:t>
      </w:r>
    </w:p>
    <w:p w14:paraId="2B23A7E1" w14:textId="77777777" w:rsidR="00145108" w:rsidRPr="008401DD" w:rsidRDefault="00145108" w:rsidP="00960E68">
      <w:pPr>
        <w:jc w:val="both"/>
      </w:pPr>
    </w:p>
    <w:p w14:paraId="13F72352" w14:textId="2F4E1FAE" w:rsidR="00E02764" w:rsidRPr="008401DD" w:rsidRDefault="00E02764" w:rsidP="00960E68">
      <w:pPr>
        <w:jc w:val="both"/>
      </w:pPr>
      <w:r w:rsidRPr="008401DD">
        <w:t>Leta 2003 je Japonska banka za mednarodno sodelovanje (JBIC) Severni Makedoniji odobrila posojilo v višini 9,6 milijarde JPY (71,7 milijona EUR). Posojilo je bilo namenjeno gradnji hidro sistema „</w:t>
      </w:r>
      <w:proofErr w:type="spellStart"/>
      <w:r w:rsidRPr="008401DD">
        <w:t>Zletovica</w:t>
      </w:r>
      <w:proofErr w:type="spellEnd"/>
      <w:r w:rsidRPr="008401DD">
        <w:t xml:space="preserve">“, zlasti jezu </w:t>
      </w:r>
      <w:proofErr w:type="spellStart"/>
      <w:r w:rsidRPr="008401DD">
        <w:t>Kneževo</w:t>
      </w:r>
      <w:proofErr w:type="spellEnd"/>
      <w:r w:rsidRPr="008401DD">
        <w:t xml:space="preserve"> s pripadajočimi objekti in vodovodi (I faza projekta). Ta faza projekta je bila uspešno realizirana in jez </w:t>
      </w:r>
      <w:proofErr w:type="spellStart"/>
      <w:r w:rsidRPr="008401DD">
        <w:t>Kneževo</w:t>
      </w:r>
      <w:proofErr w:type="spellEnd"/>
      <w:r w:rsidRPr="008401DD">
        <w:t xml:space="preserve"> je pričel z obratovanjem 26. </w:t>
      </w:r>
      <w:r w:rsidR="00091B6E" w:rsidRPr="008401DD">
        <w:t xml:space="preserve">1. </w:t>
      </w:r>
      <w:r w:rsidRPr="008401DD">
        <w:t>2013. II. in III. faza projekta sta še v pripravi in bosta obsegali izgradnjo sistema za namakanje in izgradnjo šestih hidroelektrarn.</w:t>
      </w:r>
    </w:p>
    <w:p w14:paraId="228D3961" w14:textId="77777777" w:rsidR="00F22CD7" w:rsidRPr="008401DD" w:rsidRDefault="00F22CD7" w:rsidP="00960E68">
      <w:pPr>
        <w:jc w:val="both"/>
      </w:pPr>
    </w:p>
    <w:p w14:paraId="3AA04A2C" w14:textId="63221DEA" w:rsidR="00E02764" w:rsidRPr="008401DD" w:rsidRDefault="00E02764" w:rsidP="00960E68">
      <w:pPr>
        <w:jc w:val="both"/>
      </w:pPr>
      <w:r w:rsidRPr="008401DD">
        <w:t xml:space="preserve">Glede na vsebino obeh projektov, ki sta predmet vrednotenja ugotavljamo, da </w:t>
      </w:r>
      <w:r w:rsidR="005B1F24" w:rsidRPr="008401DD">
        <w:t>so b</w:t>
      </w:r>
      <w:r w:rsidR="00514A7E" w:rsidRPr="008401DD">
        <w:t>i</w:t>
      </w:r>
      <w:r w:rsidR="005B1F24" w:rsidRPr="008401DD">
        <w:t>le vzpostavljene pomembne sinergije</w:t>
      </w:r>
      <w:r w:rsidRPr="008401DD">
        <w:t xml:space="preserve"> s projektom, ki ga je </w:t>
      </w:r>
      <w:r w:rsidR="005F7031" w:rsidRPr="008401DD">
        <w:t xml:space="preserve">podprla </w:t>
      </w:r>
      <w:r w:rsidRPr="008401DD">
        <w:t>JBIC (I. faza)</w:t>
      </w:r>
      <w:r w:rsidR="005B1F24" w:rsidRPr="008401DD">
        <w:t>, saj</w:t>
      </w:r>
      <w:r w:rsidRPr="008401DD">
        <w:t xml:space="preserve"> dopolnjujeta celoten načrt izgradnje HS </w:t>
      </w:r>
      <w:proofErr w:type="spellStart"/>
      <w:r w:rsidRPr="008401DD">
        <w:t>Zletovice</w:t>
      </w:r>
      <w:proofErr w:type="spellEnd"/>
      <w:r w:rsidRPr="008401DD">
        <w:t xml:space="preserve">, ki je še v pripravi (II. In III. faza). </w:t>
      </w:r>
    </w:p>
    <w:p w14:paraId="45C28E16" w14:textId="77777777" w:rsidR="00694AE0" w:rsidRPr="008401DD" w:rsidRDefault="00694AE0" w:rsidP="00960E68"/>
    <w:p w14:paraId="783EB99D" w14:textId="3C9DDE0E" w:rsidR="009E4F77" w:rsidRPr="008401DD" w:rsidRDefault="009E4F77"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096DB9" w:rsidRPr="008401DD">
        <w:rPr>
          <w:i/>
          <w:u w:val="single"/>
        </w:rPr>
        <w:t xml:space="preserve"> 1.5.</w:t>
      </w:r>
      <w:r w:rsidRPr="008401DD">
        <w:rPr>
          <w:i/>
          <w:u w:val="single"/>
        </w:rPr>
        <w:t>:</w:t>
      </w:r>
      <w:r w:rsidR="00FA05CD" w:rsidRPr="008401DD">
        <w:rPr>
          <w:i/>
        </w:rPr>
        <w:t xml:space="preserve"> Gledati</w:t>
      </w:r>
      <w:r w:rsidRPr="008401DD">
        <w:rPr>
          <w:i/>
        </w:rPr>
        <w:t xml:space="preserve"> priporočil</w:t>
      </w:r>
      <w:r w:rsidR="009D0D52">
        <w:rPr>
          <w:i/>
        </w:rPr>
        <w:t>i 1.1. in 1.2</w:t>
      </w:r>
      <w:r w:rsidRPr="008401DD">
        <w:rPr>
          <w:i/>
        </w:rPr>
        <w:t xml:space="preserve">., </w:t>
      </w:r>
      <w:r w:rsidR="00F57941" w:rsidRPr="008401DD">
        <w:rPr>
          <w:i/>
        </w:rPr>
        <w:t>ki vključuje</w:t>
      </w:r>
      <w:r w:rsidR="009463D0">
        <w:rPr>
          <w:i/>
        </w:rPr>
        <w:t>ta</w:t>
      </w:r>
      <w:r w:rsidR="00F57941" w:rsidRPr="008401DD">
        <w:rPr>
          <w:i/>
        </w:rPr>
        <w:t xml:space="preserve"> napotek glede sodelovanja CMSR pri pripravi oz. pregledu investicijske dokumentacije, </w:t>
      </w:r>
      <w:r w:rsidR="009D0D52">
        <w:rPr>
          <w:i/>
        </w:rPr>
        <w:t>kar</w:t>
      </w:r>
      <w:r w:rsidR="009D0D52" w:rsidRPr="008401DD">
        <w:rPr>
          <w:i/>
        </w:rPr>
        <w:t xml:space="preserve"> </w:t>
      </w:r>
      <w:r w:rsidR="00F57941" w:rsidRPr="008401DD">
        <w:rPr>
          <w:i/>
        </w:rPr>
        <w:t>vključuje tudi analizo variant.</w:t>
      </w:r>
    </w:p>
    <w:p w14:paraId="1ED2950B" w14:textId="21C1ED73" w:rsidR="00711C2A" w:rsidRPr="008401DD" w:rsidRDefault="00711C2A" w:rsidP="00960E68">
      <w:pPr>
        <w:jc w:val="both"/>
        <w:rPr>
          <w:i/>
        </w:rPr>
      </w:pPr>
    </w:p>
    <w:p w14:paraId="27BF08DB" w14:textId="217B647B" w:rsidR="00711C2A" w:rsidRPr="008401DD" w:rsidRDefault="00711C2A"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096DB9" w:rsidRPr="008401DD">
        <w:rPr>
          <w:i/>
          <w:u w:val="single"/>
        </w:rPr>
        <w:t xml:space="preserve"> 1.6.</w:t>
      </w:r>
      <w:r w:rsidRPr="008401DD">
        <w:rPr>
          <w:i/>
          <w:u w:val="single"/>
        </w:rPr>
        <w:t>:</w:t>
      </w:r>
      <w:r w:rsidR="00FA05CD" w:rsidRPr="008401DD">
        <w:rPr>
          <w:i/>
        </w:rPr>
        <w:t xml:space="preserve"> Gledati </w:t>
      </w:r>
      <w:r w:rsidRPr="008401DD">
        <w:rPr>
          <w:i/>
        </w:rPr>
        <w:t>pripor</w:t>
      </w:r>
      <w:r w:rsidR="00514A7E" w:rsidRPr="008401DD">
        <w:rPr>
          <w:i/>
        </w:rPr>
        <w:t>očilo</w:t>
      </w:r>
      <w:r w:rsidRPr="008401DD">
        <w:rPr>
          <w:i/>
        </w:rPr>
        <w:t xml:space="preserve"> </w:t>
      </w:r>
      <w:r w:rsidR="009D0D52">
        <w:rPr>
          <w:i/>
        </w:rPr>
        <w:t xml:space="preserve">3.1. </w:t>
      </w:r>
      <w:r w:rsidRPr="008401DD">
        <w:rPr>
          <w:i/>
        </w:rPr>
        <w:t xml:space="preserve">glede </w:t>
      </w:r>
      <w:r w:rsidR="009D0D52">
        <w:rPr>
          <w:i/>
        </w:rPr>
        <w:t>zagotavljanja revizijske sledi pri ocenjevanju projektov.</w:t>
      </w:r>
    </w:p>
    <w:p w14:paraId="01C2090D" w14:textId="77777777" w:rsidR="00F22CD7" w:rsidRPr="008401DD" w:rsidRDefault="00F22CD7" w:rsidP="00960E68">
      <w:pPr>
        <w:rPr>
          <w:i/>
        </w:rPr>
      </w:pPr>
    </w:p>
    <w:p w14:paraId="07CD5A8F" w14:textId="09A9C5CE" w:rsidR="00A465B8" w:rsidRPr="008401DD" w:rsidRDefault="00A465B8"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1.3:</w:t>
      </w:r>
      <w:r w:rsidRPr="008401DD">
        <w:rPr>
          <w:rFonts w:cs="Arial"/>
          <w:color w:val="67C18C"/>
        </w:rPr>
        <w:t xml:space="preserve"> </w:t>
      </w:r>
      <w:r w:rsidRPr="008401DD">
        <w:rPr>
          <w:rFonts w:cs="Arial"/>
          <w:i/>
          <w:color w:val="67C18C"/>
        </w:rPr>
        <w:t>Ali je v fazi načrtovanja, izbora in priprave projektov CMSR na smiseln način upošteval obseg projekta, projektne cilje in način izvedbe glede na identificirane potrebe ter projektna tveganja?</w:t>
      </w:r>
    </w:p>
    <w:p w14:paraId="730ADDB0" w14:textId="77777777" w:rsidR="00B85B43" w:rsidRDefault="00B85B43" w:rsidP="00960E68">
      <w:pPr>
        <w:jc w:val="both"/>
      </w:pPr>
    </w:p>
    <w:p w14:paraId="7F9B9441" w14:textId="2D6767EE" w:rsidR="00F22CD7" w:rsidRPr="008401DD" w:rsidRDefault="00F924EE" w:rsidP="00960E68">
      <w:pPr>
        <w:jc w:val="both"/>
      </w:pPr>
      <w:r w:rsidRPr="008401DD">
        <w:t>Strategija mednarodnega razvojnega sodelovanja in humanitarne pomoči Republike Slovenije do leta 2030 je bila sprejeta 10.</w:t>
      </w:r>
      <w:r w:rsidR="00091B6E" w:rsidRPr="008401DD">
        <w:t xml:space="preserve"> </w:t>
      </w:r>
      <w:r w:rsidRPr="008401DD">
        <w:t>12.</w:t>
      </w:r>
      <w:r w:rsidR="00091B6E" w:rsidRPr="008401DD">
        <w:t xml:space="preserve"> </w:t>
      </w:r>
      <w:r w:rsidRPr="008401DD">
        <w:t xml:space="preserve">2018, ko </w:t>
      </w:r>
      <w:r w:rsidR="00BF7243" w:rsidRPr="008401DD">
        <w:t>je</w:t>
      </w:r>
      <w:r w:rsidRPr="008401DD">
        <w:t xml:space="preserve"> bil prvi projekt že zaključen, drugi pa je bil že v fazi izvajanja, zato primerjanje skladnosti </w:t>
      </w:r>
      <w:r w:rsidR="00BF7243" w:rsidRPr="008401DD">
        <w:t xml:space="preserve">ciljev in načrtovanih rezultatov projekta s Strategijo </w:t>
      </w:r>
      <w:r w:rsidRPr="008401DD">
        <w:t xml:space="preserve">ni relevantno. </w:t>
      </w:r>
    </w:p>
    <w:p w14:paraId="18D77055" w14:textId="604F8FCF" w:rsidR="00BF7243" w:rsidRPr="008401DD" w:rsidRDefault="00BF7243" w:rsidP="00960E68">
      <w:pPr>
        <w:jc w:val="both"/>
      </w:pPr>
    </w:p>
    <w:p w14:paraId="611A7427" w14:textId="2EE293B1" w:rsidR="00BF7243" w:rsidRPr="008401DD" w:rsidRDefault="00BF7243" w:rsidP="00960E68">
      <w:pPr>
        <w:jc w:val="both"/>
      </w:pPr>
      <w:r w:rsidRPr="008401DD">
        <w:t xml:space="preserve">Pri </w:t>
      </w:r>
      <w:r w:rsidRPr="008401DD">
        <w:rPr>
          <w:b/>
        </w:rPr>
        <w:t>prvem projektu</w:t>
      </w:r>
      <w:r w:rsidRPr="008401DD">
        <w:t xml:space="preserve">, ki je bil izveden v obdobju 2012-2013 lahko preverjamo skladnost z Resolucijo o mednarodnem razvojnem sodelovanju </w:t>
      </w:r>
      <w:r w:rsidR="00627CD3" w:rsidRPr="008401DD">
        <w:t>RS</w:t>
      </w:r>
      <w:r w:rsidRPr="008401DD">
        <w:t xml:space="preserve"> obdobje do leta 2015, v kateri so kot glavni cilji opredeljeni:</w:t>
      </w:r>
    </w:p>
    <w:p w14:paraId="43C78B7A" w14:textId="58A7D3E5" w:rsidR="00BF7243" w:rsidRPr="008401DD" w:rsidRDefault="006330C0" w:rsidP="00960E68">
      <w:pPr>
        <w:pStyle w:val="ListParagraph"/>
        <w:numPr>
          <w:ilvl w:val="0"/>
          <w:numId w:val="24"/>
        </w:numPr>
        <w:jc w:val="both"/>
      </w:pPr>
      <w:r w:rsidRPr="008401DD">
        <w:t>z</w:t>
      </w:r>
      <w:r w:rsidR="00BF7243" w:rsidRPr="008401DD">
        <w:t>manjševanje revščine s spodbujanjem gospodarskega in družbenega razvoja</w:t>
      </w:r>
      <w:r w:rsidRPr="008401DD">
        <w:t>,</w:t>
      </w:r>
    </w:p>
    <w:p w14:paraId="593E8DD4" w14:textId="24D7D8AC" w:rsidR="00BF7243" w:rsidRPr="008401DD" w:rsidRDefault="006330C0" w:rsidP="00960E68">
      <w:pPr>
        <w:pStyle w:val="ListParagraph"/>
        <w:numPr>
          <w:ilvl w:val="0"/>
          <w:numId w:val="24"/>
        </w:numPr>
        <w:jc w:val="both"/>
      </w:pPr>
      <w:r w:rsidRPr="008401DD">
        <w:t>z</w:t>
      </w:r>
      <w:r w:rsidR="00BF7243" w:rsidRPr="008401DD">
        <w:t>agotavljanje miru in varnosti, boj proti aidsu in drugim boleznim, ki pestijo manj razvite države</w:t>
      </w:r>
      <w:r w:rsidRPr="008401DD">
        <w:t>,</w:t>
      </w:r>
    </w:p>
    <w:p w14:paraId="4FD3D4EF" w14:textId="40A00416" w:rsidR="00BF7243" w:rsidRPr="008401DD" w:rsidRDefault="006330C0" w:rsidP="00960E68">
      <w:pPr>
        <w:pStyle w:val="ListParagraph"/>
        <w:numPr>
          <w:ilvl w:val="0"/>
          <w:numId w:val="24"/>
        </w:numPr>
        <w:jc w:val="both"/>
      </w:pPr>
      <w:r w:rsidRPr="008401DD">
        <w:t>z</w:t>
      </w:r>
      <w:r w:rsidR="00BF7243" w:rsidRPr="008401DD">
        <w:t>agotavljanje izobraževanja za vse, trajnostnega razvoja in dobrega vladanja</w:t>
      </w:r>
      <w:r w:rsidRPr="008401DD">
        <w:t>,</w:t>
      </w:r>
    </w:p>
    <w:p w14:paraId="0F466A34" w14:textId="73D66E9E" w:rsidR="00BF7243" w:rsidRPr="008401DD" w:rsidRDefault="006330C0" w:rsidP="00960E68">
      <w:pPr>
        <w:pStyle w:val="ListParagraph"/>
        <w:numPr>
          <w:ilvl w:val="0"/>
          <w:numId w:val="24"/>
        </w:numPr>
        <w:jc w:val="both"/>
      </w:pPr>
      <w:r w:rsidRPr="008401DD">
        <w:t>k</w:t>
      </w:r>
      <w:r w:rsidR="00BF7243" w:rsidRPr="008401DD">
        <w:t>repitev dvostranskega in večstranskega sodelovanja s prednostnimi državami</w:t>
      </w:r>
      <w:r w:rsidR="001B12AD" w:rsidRPr="008401DD">
        <w:t>.</w:t>
      </w:r>
    </w:p>
    <w:p w14:paraId="29D4D881" w14:textId="3773612C" w:rsidR="00BF7243" w:rsidRPr="008401DD" w:rsidRDefault="00BF7243" w:rsidP="00960E68">
      <w:pPr>
        <w:jc w:val="both"/>
      </w:pPr>
    </w:p>
    <w:p w14:paraId="526F6657" w14:textId="0F5C99D4" w:rsidR="009B67C4" w:rsidRPr="008401DD" w:rsidRDefault="009B67C4" w:rsidP="00960E68">
      <w:pPr>
        <w:jc w:val="both"/>
      </w:pPr>
      <w:r w:rsidRPr="008401DD">
        <w:t>Glede na cilje opredeljene v projektni nalogi ugotavljamo, da projekt sledi cilju krepitve dvostranskega in večstranskega sodelovanja s prednostnimi državami,</w:t>
      </w:r>
      <w:r w:rsidR="00037378" w:rsidRPr="008401DD">
        <w:t xml:space="preserve"> prav tako ima potencialen vpliv na spodbujanje gospodarskega</w:t>
      </w:r>
      <w:r w:rsidR="00B144C8">
        <w:t xml:space="preserve"> </w:t>
      </w:r>
      <w:r w:rsidR="00037378" w:rsidRPr="008401DD">
        <w:t>in družbenega razvoja,</w:t>
      </w:r>
      <w:r w:rsidRPr="008401DD">
        <w:t xml:space="preserve"> medtem ko skladnosti z ostalimi cilji ne prepoznavamo.</w:t>
      </w:r>
    </w:p>
    <w:p w14:paraId="690D945B" w14:textId="60B8C65A" w:rsidR="006330C0" w:rsidRPr="008401DD" w:rsidRDefault="006330C0" w:rsidP="00960E68">
      <w:pPr>
        <w:jc w:val="both"/>
      </w:pPr>
    </w:p>
    <w:p w14:paraId="1D98422D" w14:textId="4548C68A" w:rsidR="006330C0" w:rsidRPr="008401DD" w:rsidRDefault="006330C0" w:rsidP="00960E68">
      <w:pPr>
        <w:jc w:val="both"/>
      </w:pPr>
      <w:r w:rsidRPr="008401DD">
        <w:t xml:space="preserve">Pri </w:t>
      </w:r>
      <w:r w:rsidRPr="008401DD">
        <w:rPr>
          <w:b/>
        </w:rPr>
        <w:t>drugem projektu</w:t>
      </w:r>
      <w:r w:rsidRPr="008401DD">
        <w:t xml:space="preserve">, ki je bil izveden v obdobju 2018-2019 lahko preverjamo skladnost z Resolucijo o mednarodnem razvojnem sodelovanju </w:t>
      </w:r>
      <w:r w:rsidR="00627CD3" w:rsidRPr="008401DD">
        <w:t>RS</w:t>
      </w:r>
      <w:r w:rsidRPr="008401DD">
        <w:t>, ki je bila sprejeta 26.</w:t>
      </w:r>
      <w:r w:rsidR="00091B6E" w:rsidRPr="008401DD">
        <w:t xml:space="preserve"> </w:t>
      </w:r>
      <w:r w:rsidRPr="008401DD">
        <w:t>9.</w:t>
      </w:r>
      <w:r w:rsidR="00091B6E" w:rsidRPr="008401DD">
        <w:t xml:space="preserve"> </w:t>
      </w:r>
      <w:r w:rsidRPr="008401DD">
        <w:t xml:space="preserve">2017. Glavni cilji opredeljeni v Resoluciji so bili: </w:t>
      </w:r>
    </w:p>
    <w:p w14:paraId="5441EC69" w14:textId="7573BE40" w:rsidR="006330C0" w:rsidRPr="008401DD" w:rsidRDefault="006330C0" w:rsidP="00960E68">
      <w:pPr>
        <w:pStyle w:val="ListParagraph"/>
        <w:numPr>
          <w:ilvl w:val="0"/>
          <w:numId w:val="23"/>
        </w:numPr>
        <w:jc w:val="both"/>
      </w:pPr>
      <w:r w:rsidRPr="008401DD">
        <w:t xml:space="preserve">prispevati k odpravi revščine, </w:t>
      </w:r>
    </w:p>
    <w:p w14:paraId="78AA3735" w14:textId="7D92B4F2" w:rsidR="006330C0" w:rsidRPr="008401DD" w:rsidRDefault="006330C0" w:rsidP="00960E68">
      <w:pPr>
        <w:pStyle w:val="ListParagraph"/>
        <w:numPr>
          <w:ilvl w:val="0"/>
          <w:numId w:val="23"/>
        </w:numPr>
        <w:jc w:val="both"/>
      </w:pPr>
      <w:r w:rsidRPr="008401DD">
        <w:lastRenderedPageBreak/>
        <w:t xml:space="preserve">zmanjševanje neenakosti ter </w:t>
      </w:r>
    </w:p>
    <w:p w14:paraId="1F77E4AF" w14:textId="14AFE3F7" w:rsidR="006330C0" w:rsidRPr="008401DD" w:rsidRDefault="006330C0" w:rsidP="00960E68">
      <w:pPr>
        <w:pStyle w:val="ListParagraph"/>
        <w:numPr>
          <w:ilvl w:val="0"/>
          <w:numId w:val="23"/>
        </w:numPr>
        <w:jc w:val="both"/>
      </w:pPr>
      <w:r w:rsidRPr="008401DD">
        <w:t xml:space="preserve">doseganje trajnostnega razvoja v partnerskih državah. </w:t>
      </w:r>
    </w:p>
    <w:p w14:paraId="3AC9389F" w14:textId="77777777" w:rsidR="006330C0" w:rsidRPr="008401DD" w:rsidRDefault="006330C0" w:rsidP="00960E68">
      <w:pPr>
        <w:jc w:val="both"/>
      </w:pPr>
    </w:p>
    <w:p w14:paraId="5B9D5167" w14:textId="18B2D229" w:rsidR="006330C0" w:rsidRPr="008401DD" w:rsidRDefault="006330C0" w:rsidP="00960E68">
      <w:pPr>
        <w:jc w:val="both"/>
      </w:pPr>
      <w:r w:rsidRPr="008401DD">
        <w:t xml:space="preserve">Glede na cilje opredeljene v projektni nalogi ugotavljamo, da projekt sledi cilju doseganja trajnostnega razvoja, medtem ko skladnosti z ostalima ciljema ne prepoznavamo. </w:t>
      </w:r>
    </w:p>
    <w:p w14:paraId="1F352751" w14:textId="77777777" w:rsidR="00CA3556" w:rsidRPr="008401DD" w:rsidRDefault="00CA3556" w:rsidP="00960E68">
      <w:pPr>
        <w:jc w:val="both"/>
      </w:pPr>
    </w:p>
    <w:p w14:paraId="6EFF9168" w14:textId="0D631714" w:rsidR="00CA3556" w:rsidRPr="008401DD" w:rsidRDefault="00CA3556" w:rsidP="00960E68">
      <w:pPr>
        <w:jc w:val="both"/>
      </w:pPr>
      <w:r w:rsidRPr="008401DD">
        <w:t>Projektna skupina</w:t>
      </w:r>
      <w:r w:rsidR="000A1F52" w:rsidRPr="008401DD">
        <w:t xml:space="preserve"> obeh projektov</w:t>
      </w:r>
      <w:r w:rsidRPr="008401DD">
        <w:t xml:space="preserve"> je obsegala izvajalce projekta ter občino </w:t>
      </w:r>
      <w:proofErr w:type="spellStart"/>
      <w:r w:rsidRPr="008401DD">
        <w:t>Probištip</w:t>
      </w:r>
      <w:proofErr w:type="spellEnd"/>
      <w:r w:rsidRPr="008401DD">
        <w:t xml:space="preserve"> kot vodjo projekta na lokalni ravni, prav tako pa je bilo v izvedbo vključeno komunalno podjetje Nikola </w:t>
      </w:r>
      <w:proofErr w:type="spellStart"/>
      <w:r w:rsidRPr="008401DD">
        <w:t>Karev</w:t>
      </w:r>
      <w:proofErr w:type="spellEnd"/>
      <w:r w:rsidRPr="008401DD">
        <w:t xml:space="preserve">, ki je prevzelo upravljanje objektov vodne infrastrukture, zgrajenih/revitaliziranih v sklopu obeh projektov. </w:t>
      </w:r>
      <w:r w:rsidR="00ED1658" w:rsidRPr="008401DD">
        <w:t>V</w:t>
      </w:r>
      <w:r w:rsidR="00091B6E" w:rsidRPr="008401DD">
        <w:t xml:space="preserve"> </w:t>
      </w:r>
      <w:r w:rsidRPr="008401DD">
        <w:t xml:space="preserve">samo pripravo projekta in delno tudi med izvedbo, pa je bilo vključeno tudi veleposlaništvo RS v Skopju, katerega vloga je bila predvsem vzdrževanje proaktivne komunikacije z </w:t>
      </w:r>
      <w:r w:rsidR="00091B6E" w:rsidRPr="008401DD">
        <w:t>m</w:t>
      </w:r>
      <w:r w:rsidRPr="008401DD">
        <w:t xml:space="preserve">akedonsko vlado in </w:t>
      </w:r>
      <w:r w:rsidR="00091B6E" w:rsidRPr="008401DD">
        <w:t>s</w:t>
      </w:r>
      <w:r w:rsidRPr="008401DD">
        <w:t xml:space="preserve">lovenskimi deležniki ter sodelovanje pri prepoznavanju potreb lokalnega prebivalstva. </w:t>
      </w:r>
    </w:p>
    <w:p w14:paraId="559BC760" w14:textId="7D966B2A" w:rsidR="0389AD61" w:rsidRPr="008401DD" w:rsidRDefault="0389AD61" w:rsidP="00960E68">
      <w:pPr>
        <w:jc w:val="both"/>
      </w:pPr>
    </w:p>
    <w:p w14:paraId="6E47A438" w14:textId="2F2080C2" w:rsidR="00ED1658" w:rsidRPr="008401DD" w:rsidRDefault="00ED1658" w:rsidP="00960E68">
      <w:pPr>
        <w:jc w:val="both"/>
        <w:rPr>
          <w:rFonts w:cs="Arial"/>
          <w:color w:val="000000"/>
          <w:szCs w:val="20"/>
        </w:rPr>
      </w:pPr>
      <w:r w:rsidRPr="008401DD">
        <w:t xml:space="preserve">CMSR je največ vključen pri </w:t>
      </w:r>
      <w:r w:rsidR="003C12B3" w:rsidRPr="008401DD">
        <w:t>obravnavi projektnega predloga</w:t>
      </w:r>
      <w:r w:rsidRPr="008401DD">
        <w:t xml:space="preserve">, ter pri pripravi predloga programa CMSR za izvajanje MRS. </w:t>
      </w:r>
      <w:r w:rsidR="00D95A7C" w:rsidRPr="008401DD">
        <w:rPr>
          <w:rFonts w:cs="Arial"/>
          <w:color w:val="000000"/>
          <w:szCs w:val="20"/>
        </w:rPr>
        <w:t>CMSR lahko izvede</w:t>
      </w:r>
      <w:r w:rsidRPr="008401DD">
        <w:rPr>
          <w:rFonts w:cs="Arial"/>
          <w:color w:val="000000"/>
          <w:szCs w:val="20"/>
        </w:rPr>
        <w:t xml:space="preserve"> tudi postopek izbire izvajalcev ter sklene </w:t>
      </w:r>
      <w:proofErr w:type="spellStart"/>
      <w:r w:rsidRPr="008401DD">
        <w:rPr>
          <w:rFonts w:cs="Arial"/>
          <w:color w:val="000000"/>
          <w:szCs w:val="20"/>
        </w:rPr>
        <w:t>donacijsko</w:t>
      </w:r>
      <w:proofErr w:type="spellEnd"/>
      <w:r w:rsidRPr="008401DD">
        <w:rPr>
          <w:rFonts w:cs="Arial"/>
          <w:color w:val="000000"/>
          <w:szCs w:val="20"/>
        </w:rPr>
        <w:t xml:space="preserve"> pogodbo s prejemnikom sredstev, ki jih RS namenja sofinanciranju projekta. </w:t>
      </w:r>
      <w:r w:rsidR="00716D99" w:rsidRPr="008401DD">
        <w:rPr>
          <w:rFonts w:cs="Arial"/>
          <w:color w:val="000000"/>
          <w:szCs w:val="20"/>
        </w:rPr>
        <w:t xml:space="preserve">Vsebinski in tehnični nadzor vrši zunanji </w:t>
      </w:r>
      <w:r w:rsidR="006B6858" w:rsidRPr="008401DD">
        <w:rPr>
          <w:rFonts w:cs="Arial"/>
          <w:color w:val="000000"/>
          <w:szCs w:val="20"/>
        </w:rPr>
        <w:t xml:space="preserve">strokovni </w:t>
      </w:r>
      <w:r w:rsidR="00716D99" w:rsidRPr="008401DD">
        <w:rPr>
          <w:rFonts w:cs="Arial"/>
          <w:color w:val="000000"/>
          <w:szCs w:val="20"/>
        </w:rPr>
        <w:t>izvajalec, ki ga financira prejemnik sredstev</w:t>
      </w:r>
      <w:r w:rsidR="006B6858" w:rsidRPr="008401DD">
        <w:rPr>
          <w:rFonts w:cs="Arial"/>
          <w:color w:val="000000"/>
          <w:szCs w:val="20"/>
        </w:rPr>
        <w:t xml:space="preserve"> iz lastnih virov sredstev</w:t>
      </w:r>
      <w:r w:rsidR="00716D99" w:rsidRPr="008401DD">
        <w:rPr>
          <w:rFonts w:cs="Arial"/>
          <w:color w:val="000000"/>
          <w:szCs w:val="20"/>
        </w:rPr>
        <w:t xml:space="preserve">. Zunanji izvajalec potrjuje (tudi pripravlja) vmesna in končna poročila, ter potrjuje izdane fakture. CMSR se pri </w:t>
      </w:r>
      <w:r w:rsidR="00DC322C">
        <w:rPr>
          <w:rFonts w:cs="Arial"/>
          <w:color w:val="000000"/>
          <w:szCs w:val="20"/>
        </w:rPr>
        <w:t>izvajanju</w:t>
      </w:r>
      <w:r w:rsidR="00DC322C" w:rsidRPr="008401DD">
        <w:rPr>
          <w:rFonts w:cs="Arial"/>
          <w:color w:val="000000"/>
          <w:szCs w:val="20"/>
        </w:rPr>
        <w:t xml:space="preserve"> </w:t>
      </w:r>
      <w:r w:rsidR="00716D99" w:rsidRPr="008401DD">
        <w:rPr>
          <w:rFonts w:cs="Arial"/>
          <w:color w:val="000000"/>
          <w:szCs w:val="20"/>
        </w:rPr>
        <w:t xml:space="preserve">nadzora nad projektom naslanja predvsem na ugotovitve in potrdila zunanjega izvajalca, delno pa nadzor </w:t>
      </w:r>
      <w:r w:rsidR="00DC322C">
        <w:rPr>
          <w:rFonts w:cs="Arial"/>
          <w:color w:val="000000"/>
          <w:szCs w:val="20"/>
        </w:rPr>
        <w:t>izvaja</w:t>
      </w:r>
      <w:r w:rsidR="00716D99" w:rsidRPr="008401DD">
        <w:rPr>
          <w:rFonts w:cs="Arial"/>
          <w:color w:val="000000"/>
          <w:szCs w:val="20"/>
        </w:rPr>
        <w:t xml:space="preserve"> tudi z obiskom na terenu in komunikacijo </w:t>
      </w:r>
      <w:r w:rsidR="00DC322C">
        <w:rPr>
          <w:rFonts w:cs="Arial"/>
          <w:color w:val="000000"/>
          <w:szCs w:val="20"/>
        </w:rPr>
        <w:t>s</w:t>
      </w:r>
      <w:r w:rsidR="00716D99" w:rsidRPr="008401DD">
        <w:rPr>
          <w:rFonts w:cs="Arial"/>
          <w:color w:val="000000"/>
          <w:szCs w:val="20"/>
        </w:rPr>
        <w:t xml:space="preserve"> </w:t>
      </w:r>
      <w:r w:rsidR="006B6858" w:rsidRPr="008401DD">
        <w:rPr>
          <w:rFonts w:cs="Arial"/>
          <w:color w:val="000000"/>
          <w:szCs w:val="20"/>
        </w:rPr>
        <w:t>prejemnikom sredstev</w:t>
      </w:r>
      <w:r w:rsidR="00716D99" w:rsidRPr="008401DD">
        <w:rPr>
          <w:rFonts w:cs="Arial"/>
          <w:color w:val="000000"/>
          <w:szCs w:val="20"/>
        </w:rPr>
        <w:t xml:space="preserve">. </w:t>
      </w:r>
      <w:r w:rsidRPr="008401DD">
        <w:rPr>
          <w:rFonts w:cs="Arial"/>
          <w:color w:val="000000"/>
          <w:szCs w:val="20"/>
        </w:rPr>
        <w:t xml:space="preserve">Med izvajanjem prvega projekta so bili predstavniki CMSR na terenu dvakrat, pri drugem projektu pa je bil na terenu prisoten samo direktor CMSR, ki je občino </w:t>
      </w:r>
      <w:proofErr w:type="spellStart"/>
      <w:r w:rsidRPr="008401DD">
        <w:rPr>
          <w:rFonts w:cs="Arial"/>
          <w:color w:val="000000"/>
          <w:szCs w:val="20"/>
        </w:rPr>
        <w:t>Probištip</w:t>
      </w:r>
      <w:proofErr w:type="spellEnd"/>
      <w:r w:rsidRPr="008401DD">
        <w:rPr>
          <w:rFonts w:cs="Arial"/>
          <w:color w:val="000000"/>
          <w:szCs w:val="20"/>
        </w:rPr>
        <w:t xml:space="preserve"> obiskal enkrat in sicer ob koncu projekta. </w:t>
      </w:r>
    </w:p>
    <w:p w14:paraId="662D811A" w14:textId="77777777" w:rsidR="003C12B3" w:rsidRPr="008401DD" w:rsidRDefault="003C12B3" w:rsidP="00960E68">
      <w:pPr>
        <w:jc w:val="both"/>
      </w:pPr>
    </w:p>
    <w:p w14:paraId="70D097C8" w14:textId="3A858299" w:rsidR="003855C0" w:rsidRPr="008401DD" w:rsidRDefault="003C12B3"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Priporočilo</w:t>
      </w:r>
      <w:r w:rsidR="00096DB9" w:rsidRPr="008401DD">
        <w:rPr>
          <w:rFonts w:cs="Arial"/>
          <w:i/>
          <w:szCs w:val="20"/>
          <w:u w:val="single"/>
        </w:rPr>
        <w:t xml:space="preserve"> 1.7</w:t>
      </w:r>
      <w:r w:rsidR="0025675D" w:rsidRPr="008401DD">
        <w:rPr>
          <w:rFonts w:cs="Arial"/>
          <w:i/>
          <w:szCs w:val="20"/>
          <w:u w:val="single"/>
        </w:rPr>
        <w:t>.</w:t>
      </w:r>
      <w:r w:rsidRPr="008401DD">
        <w:rPr>
          <w:rFonts w:cs="Arial"/>
          <w:i/>
          <w:szCs w:val="20"/>
          <w:u w:val="single"/>
        </w:rPr>
        <w:t>:</w:t>
      </w:r>
      <w:r w:rsidRPr="008401DD">
        <w:rPr>
          <w:rFonts w:cs="Arial"/>
          <w:i/>
          <w:szCs w:val="20"/>
        </w:rPr>
        <w:t xml:space="preserve"> Potrebna je okrepitev vloge CMSR na področju upravljanja projektov (ne le administriranja, ampak tudi terenski obiski, podpora pri pripravi projektne dokumentacije, spremljanje in nadzor, vprašanje likvidnosti</w:t>
      </w:r>
      <w:r w:rsidR="00406941" w:rsidRPr="008401DD">
        <w:rPr>
          <w:rFonts w:cs="Arial"/>
          <w:i/>
          <w:szCs w:val="20"/>
        </w:rPr>
        <w:t xml:space="preserve"> </w:t>
      </w:r>
      <w:r w:rsidR="00406941" w:rsidRPr="00161A81">
        <w:rPr>
          <w:rFonts w:cs="Arial"/>
          <w:i/>
          <w:szCs w:val="20"/>
        </w:rPr>
        <w:t xml:space="preserve">za zagotavljanje </w:t>
      </w:r>
      <w:proofErr w:type="spellStart"/>
      <w:r w:rsidR="00406941" w:rsidRPr="00161A81">
        <w:rPr>
          <w:rFonts w:cs="Arial"/>
          <w:i/>
          <w:szCs w:val="20"/>
        </w:rPr>
        <w:t>donacijskih</w:t>
      </w:r>
      <w:proofErr w:type="spellEnd"/>
      <w:r w:rsidR="00406941" w:rsidRPr="00161A81">
        <w:rPr>
          <w:rFonts w:cs="Arial"/>
          <w:i/>
          <w:szCs w:val="20"/>
        </w:rPr>
        <w:t xml:space="preserve"> sredstev</w:t>
      </w:r>
      <w:r w:rsidRPr="008401DD">
        <w:rPr>
          <w:rFonts w:cs="Arial"/>
          <w:i/>
          <w:szCs w:val="20"/>
        </w:rPr>
        <w:t>).</w:t>
      </w:r>
    </w:p>
    <w:p w14:paraId="3A925CBF" w14:textId="77777777" w:rsidR="003855C0" w:rsidRPr="008401DD" w:rsidRDefault="003855C0"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p>
    <w:p w14:paraId="38C376BE" w14:textId="5DF1EE38" w:rsidR="00E677B0" w:rsidRPr="008401DD" w:rsidRDefault="003855C0"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rPr>
        <w:t>Glede na to, da pretiran nadzor</w:t>
      </w:r>
      <w:r w:rsidR="00567CCA" w:rsidRPr="008401DD">
        <w:rPr>
          <w:rFonts w:cs="Arial"/>
          <w:i/>
          <w:szCs w:val="20"/>
        </w:rPr>
        <w:t xml:space="preserve"> </w:t>
      </w:r>
      <w:r w:rsidRPr="008401DD">
        <w:rPr>
          <w:rFonts w:cs="Arial"/>
          <w:i/>
          <w:szCs w:val="20"/>
        </w:rPr>
        <w:t>lahko spodkopava lokalno lastništvo in povečuje transakcijske stroške v državi prejemnici,</w:t>
      </w:r>
      <w:r w:rsidR="00567CCA" w:rsidRPr="008401DD">
        <w:rPr>
          <w:rFonts w:cs="Arial"/>
          <w:i/>
          <w:szCs w:val="20"/>
        </w:rPr>
        <w:t xml:space="preserve"> </w:t>
      </w:r>
      <w:r w:rsidR="00567CCA" w:rsidRPr="00161A81">
        <w:rPr>
          <w:rFonts w:cs="Arial"/>
          <w:i/>
          <w:szCs w:val="20"/>
        </w:rPr>
        <w:t>je potrebn</w:t>
      </w:r>
      <w:r w:rsidR="00567CCA" w:rsidRPr="008401DD">
        <w:rPr>
          <w:rFonts w:cs="Arial"/>
          <w:i/>
          <w:szCs w:val="20"/>
        </w:rPr>
        <w:t xml:space="preserve">o zagotoviti </w:t>
      </w:r>
      <w:r w:rsidRPr="008401DD">
        <w:rPr>
          <w:rFonts w:cs="Arial"/>
          <w:i/>
          <w:szCs w:val="20"/>
        </w:rPr>
        <w:t xml:space="preserve">takšen </w:t>
      </w:r>
      <w:r w:rsidR="00567CCA" w:rsidRPr="008401DD">
        <w:rPr>
          <w:rFonts w:cs="Arial"/>
          <w:i/>
          <w:szCs w:val="20"/>
        </w:rPr>
        <w:t xml:space="preserve">obseg nadzora, ki </w:t>
      </w:r>
      <w:r w:rsidRPr="008401DD">
        <w:rPr>
          <w:rFonts w:cs="Arial"/>
          <w:i/>
          <w:szCs w:val="20"/>
        </w:rPr>
        <w:t>j</w:t>
      </w:r>
      <w:r w:rsidR="00567CCA" w:rsidRPr="00161A81">
        <w:rPr>
          <w:rFonts w:cs="Arial"/>
          <w:i/>
          <w:szCs w:val="20"/>
        </w:rPr>
        <w:t>e skladen z oceno tveganja</w:t>
      </w:r>
      <w:r w:rsidR="00406941" w:rsidRPr="00161A81">
        <w:rPr>
          <w:rFonts w:cs="Arial"/>
          <w:i/>
          <w:szCs w:val="20"/>
        </w:rPr>
        <w:t xml:space="preserve"> samega projekta</w:t>
      </w:r>
      <w:r w:rsidR="00567CCA" w:rsidRPr="00161A81">
        <w:rPr>
          <w:rFonts w:cs="Arial"/>
          <w:i/>
          <w:szCs w:val="20"/>
        </w:rPr>
        <w:t xml:space="preserve"> in zmogljivost</w:t>
      </w:r>
      <w:r w:rsidR="00406941" w:rsidRPr="00161A81">
        <w:rPr>
          <w:rFonts w:cs="Arial"/>
          <w:i/>
          <w:szCs w:val="20"/>
        </w:rPr>
        <w:t>mi lokalnega deležnika</w:t>
      </w:r>
      <w:r w:rsidR="00567CCA" w:rsidRPr="00161A81">
        <w:rPr>
          <w:rFonts w:cs="Arial"/>
          <w:i/>
          <w:szCs w:val="20"/>
        </w:rPr>
        <w:t xml:space="preserve"> (npr. preverjanj</w:t>
      </w:r>
      <w:r w:rsidRPr="008401DD">
        <w:rPr>
          <w:rFonts w:cs="Arial"/>
          <w:i/>
          <w:szCs w:val="20"/>
        </w:rPr>
        <w:t>e</w:t>
      </w:r>
      <w:r w:rsidR="00567CCA" w:rsidRPr="008401DD">
        <w:rPr>
          <w:rFonts w:cs="Arial"/>
          <w:i/>
          <w:szCs w:val="20"/>
        </w:rPr>
        <w:t xml:space="preserve"> skladnosti situacije s pogodbo in dokazili o nastalih izdatkih</w:t>
      </w:r>
      <w:r w:rsidR="00406941" w:rsidRPr="008401DD">
        <w:rPr>
          <w:rFonts w:cs="Arial"/>
          <w:i/>
          <w:szCs w:val="20"/>
        </w:rPr>
        <w:t xml:space="preserve"> v primeru manjših tveganj, ali nadzor na terenu v primeru večjih tveganj ali </w:t>
      </w:r>
      <w:r w:rsidR="0001516D" w:rsidRPr="008401DD">
        <w:rPr>
          <w:rFonts w:cs="Arial"/>
          <w:i/>
          <w:szCs w:val="20"/>
        </w:rPr>
        <w:t>pomanjkljivih</w:t>
      </w:r>
      <w:r w:rsidR="00406941" w:rsidRPr="008401DD">
        <w:rPr>
          <w:rFonts w:cs="Arial"/>
          <w:i/>
          <w:szCs w:val="20"/>
        </w:rPr>
        <w:t xml:space="preserve"> </w:t>
      </w:r>
      <w:r w:rsidR="0001516D" w:rsidRPr="008401DD">
        <w:rPr>
          <w:rFonts w:cs="Arial"/>
          <w:i/>
          <w:szCs w:val="20"/>
        </w:rPr>
        <w:t>zmogljivosti</w:t>
      </w:r>
      <w:r w:rsidR="00406941" w:rsidRPr="008401DD">
        <w:rPr>
          <w:rFonts w:cs="Arial"/>
          <w:i/>
          <w:szCs w:val="20"/>
        </w:rPr>
        <w:t xml:space="preserve"> lokalnega deležnika za izvajanje zanesljivega nadzora</w:t>
      </w:r>
      <w:r w:rsidRPr="008401DD">
        <w:rPr>
          <w:rFonts w:cs="Arial"/>
          <w:i/>
          <w:szCs w:val="20"/>
        </w:rPr>
        <w:t>)</w:t>
      </w:r>
      <w:r w:rsidR="00406941" w:rsidRPr="008401DD">
        <w:rPr>
          <w:rFonts w:cs="Arial"/>
          <w:i/>
          <w:szCs w:val="20"/>
        </w:rPr>
        <w:t>.</w:t>
      </w:r>
      <w:r w:rsidR="003C12B3" w:rsidRPr="008401DD">
        <w:rPr>
          <w:rFonts w:cs="Arial"/>
          <w:i/>
          <w:szCs w:val="20"/>
        </w:rPr>
        <w:t xml:space="preserve"> Na ta način bi se lažje preverjala skladnosti izvedenih del s pogodbo in prejetimi zahtevki</w:t>
      </w:r>
      <w:r w:rsidR="003C12B3" w:rsidRPr="008401DD">
        <w:t xml:space="preserve"> </w:t>
      </w:r>
      <w:r w:rsidR="003C12B3" w:rsidRPr="008401DD">
        <w:rPr>
          <w:rFonts w:cs="Arial"/>
          <w:i/>
          <w:szCs w:val="20"/>
        </w:rPr>
        <w:t>ter zagotovil finančno-administrativni nadzor, ki se trenutno ne vrši efektivno.</w:t>
      </w:r>
    </w:p>
    <w:p w14:paraId="676A18BB" w14:textId="77777777" w:rsidR="00E677B0" w:rsidRPr="008401DD" w:rsidRDefault="00E677B0"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p>
    <w:p w14:paraId="01C8EA86" w14:textId="1B90286A" w:rsidR="00E677B0" w:rsidRPr="008401DD" w:rsidRDefault="00E677B0"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rPr>
        <w:t xml:space="preserve">Za potrebe tovrstnega nadzora naj CMSR </w:t>
      </w:r>
      <w:r w:rsidR="005366E1" w:rsidRPr="008401DD">
        <w:rPr>
          <w:rFonts w:cs="Arial"/>
          <w:i/>
          <w:szCs w:val="20"/>
        </w:rPr>
        <w:t>vzpostavi</w:t>
      </w:r>
      <w:r w:rsidRPr="008401DD">
        <w:rPr>
          <w:rFonts w:cs="Arial"/>
          <w:i/>
          <w:szCs w:val="20"/>
        </w:rPr>
        <w:t xml:space="preserve"> zados</w:t>
      </w:r>
      <w:r w:rsidR="005366E1" w:rsidRPr="008401DD">
        <w:rPr>
          <w:rFonts w:cs="Arial"/>
          <w:i/>
          <w:szCs w:val="20"/>
        </w:rPr>
        <w:t>t</w:t>
      </w:r>
      <w:r w:rsidRPr="008401DD">
        <w:rPr>
          <w:rFonts w:cs="Arial"/>
          <w:i/>
          <w:szCs w:val="20"/>
        </w:rPr>
        <w:t>no revizijsko sled. Pri pregledu zahtevkov za izplačilo naj uvede sistem kontrolnih listov, s katerimi se preverja upravičenost stroškov glede na pogoje iz javnega naročila, projektne in investicijske dokumentacije. CMSR naj posebno pozornost posveti morebitnemu povečanju pogodbene vrednosti ali spremembam pri izvedbi glede na investicijsko dokumentacijo. Dodatno naj CMSR okrepi prisotnost na terenu in preverja izvajanje preko obdobnih kontrol na kraju samem (po potrebi za projekte nad določeno vrednostjo).</w:t>
      </w:r>
    </w:p>
    <w:p w14:paraId="52FA5629" w14:textId="77777777" w:rsidR="00E677B0" w:rsidRPr="008401DD" w:rsidRDefault="00E677B0"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p>
    <w:p w14:paraId="31F895EF" w14:textId="77777777" w:rsidR="007E77AE" w:rsidRDefault="003C12B3"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rPr>
        <w:t>Financiranje upravljanja projekta bi se potencialno lahko zagotovilo kot obvezen delež celotnih sredstev projekta</w:t>
      </w:r>
      <w:r w:rsidR="009D0D52">
        <w:rPr>
          <w:rFonts w:cs="Arial"/>
          <w:i/>
          <w:szCs w:val="20"/>
        </w:rPr>
        <w:t>, kar pa je odvisno od analize ustreznosti</w:t>
      </w:r>
      <w:r w:rsidR="00E11CFE" w:rsidRPr="00644F47">
        <w:rPr>
          <w:rFonts w:cs="Arial"/>
          <w:i/>
          <w:szCs w:val="20"/>
        </w:rPr>
        <w:t xml:space="preserve"> </w:t>
      </w:r>
      <w:r w:rsidR="00E11CFE" w:rsidRPr="002A5F90">
        <w:rPr>
          <w:rFonts w:cs="Arial"/>
          <w:i/>
          <w:szCs w:val="20"/>
        </w:rPr>
        <w:t>višin</w:t>
      </w:r>
      <w:r w:rsidR="009D0D52">
        <w:rPr>
          <w:rFonts w:cs="Arial"/>
          <w:i/>
          <w:szCs w:val="20"/>
        </w:rPr>
        <w:t>e</w:t>
      </w:r>
      <w:r w:rsidR="00E11CFE" w:rsidRPr="002A5F90">
        <w:rPr>
          <w:rFonts w:cs="Arial"/>
          <w:i/>
          <w:szCs w:val="20"/>
        </w:rPr>
        <w:t xml:space="preserve"> opravnine CMSR.</w:t>
      </w:r>
      <w:r w:rsidR="00E11CFE">
        <w:rPr>
          <w:rFonts w:cs="Arial"/>
          <w:i/>
          <w:szCs w:val="20"/>
        </w:rPr>
        <w:t xml:space="preserve"> Smiselnost take rešitve bi bilo potrebno preučiti</w:t>
      </w:r>
      <w:r w:rsidR="009D0D52">
        <w:rPr>
          <w:rFonts w:cs="Arial"/>
          <w:i/>
          <w:szCs w:val="20"/>
        </w:rPr>
        <w:t xml:space="preserve"> z vidika razpoložljivih sredstev, velikosti in kompleksnosti projektov ter števila načrtovanih projektov, ki se bodo v prihodnje izvajali v okviru programa CMSR.</w:t>
      </w:r>
    </w:p>
    <w:p w14:paraId="6016DC95" w14:textId="77777777" w:rsidR="007E77AE" w:rsidRDefault="007E77AE"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p>
    <w:p w14:paraId="169DC57B" w14:textId="22518E84" w:rsidR="003C12B3" w:rsidRPr="008401DD" w:rsidRDefault="007E77AE"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Pr>
          <w:rFonts w:cs="Arial"/>
          <w:i/>
          <w:szCs w:val="20"/>
        </w:rPr>
        <w:t>Gledati</w:t>
      </w:r>
      <w:r w:rsidR="009D0D52">
        <w:rPr>
          <w:rFonts w:cs="Arial"/>
          <w:i/>
          <w:szCs w:val="20"/>
        </w:rPr>
        <w:t xml:space="preserve"> tudi priporočilo 1.3. v zvezi z določanjem višine opravnine CMSR. </w:t>
      </w:r>
    </w:p>
    <w:p w14:paraId="3DADADD7" w14:textId="77777777" w:rsidR="003C12B3" w:rsidRPr="008401DD" w:rsidRDefault="003C12B3" w:rsidP="00960E68">
      <w:pPr>
        <w:jc w:val="both"/>
      </w:pPr>
    </w:p>
    <w:p w14:paraId="4AF2E6C0" w14:textId="77777777" w:rsidR="003C12B3" w:rsidRPr="008401DD" w:rsidRDefault="003C12B3" w:rsidP="00960E68">
      <w:pPr>
        <w:jc w:val="both"/>
      </w:pPr>
      <w:r w:rsidRPr="008401DD">
        <w:rPr>
          <w:b/>
        </w:rPr>
        <w:t>Identificirane potrebe</w:t>
      </w:r>
      <w:r w:rsidRPr="008401DD">
        <w:t xml:space="preserve"> so bile v vseh fazah projekta </w:t>
      </w:r>
      <w:r w:rsidRPr="008401DD">
        <w:rPr>
          <w:b/>
        </w:rPr>
        <w:t>smiselno upoštevane</w:t>
      </w:r>
      <w:r w:rsidRPr="008401DD">
        <w:t xml:space="preserve">, medtem ko </w:t>
      </w:r>
      <w:r w:rsidRPr="008401DD">
        <w:rPr>
          <w:b/>
        </w:rPr>
        <w:t>projektna</w:t>
      </w:r>
      <w:r w:rsidRPr="008401DD">
        <w:t xml:space="preserve"> </w:t>
      </w:r>
      <w:r w:rsidRPr="008401DD">
        <w:rPr>
          <w:b/>
        </w:rPr>
        <w:t>tveganja niso bila ustrezno opredeljena</w:t>
      </w:r>
      <w:r w:rsidRPr="008401DD">
        <w:t xml:space="preserve">, načrt za upravljanje tveganj pa ni bil pripravljen. </w:t>
      </w:r>
    </w:p>
    <w:p w14:paraId="0FBB3CEB" w14:textId="705C2403" w:rsidR="001443FA" w:rsidRPr="008401DD" w:rsidRDefault="001443FA" w:rsidP="00960E68">
      <w:pPr>
        <w:jc w:val="both"/>
      </w:pPr>
    </w:p>
    <w:p w14:paraId="6A76BF32" w14:textId="4CDD6FA5" w:rsidR="00286D6E" w:rsidRPr="008401DD" w:rsidRDefault="001443FA" w:rsidP="00960E68">
      <w:pPr>
        <w:jc w:val="both"/>
      </w:pPr>
      <w:r w:rsidRPr="008401DD">
        <w:lastRenderedPageBreak/>
        <w:t>Ukrepi za zagotavljanje lastništva nad rezultati projektov in trajnosti rezultatov niso bili sprejeti, saj v</w:t>
      </w:r>
      <w:r w:rsidR="00607D2F" w:rsidRPr="008401DD">
        <w:t xml:space="preserve"> </w:t>
      </w:r>
      <w:proofErr w:type="spellStart"/>
      <w:r w:rsidR="00607D2F" w:rsidRPr="008401DD">
        <w:t>donacijskih</w:t>
      </w:r>
      <w:proofErr w:type="spellEnd"/>
      <w:r w:rsidR="00607D2F" w:rsidRPr="008401DD">
        <w:t xml:space="preserve"> pogodbah zaveze glede financiranja stroškov vzdrževanja in ohranjanje doseženih rezultatov niso vključene</w:t>
      </w:r>
      <w:r w:rsidR="00607D2F" w:rsidRPr="008401DD">
        <w:rPr>
          <w:rFonts w:cs="Arial"/>
          <w:szCs w:val="20"/>
        </w:rPr>
        <w:t xml:space="preserve"> (gledati </w:t>
      </w:r>
      <w:proofErr w:type="spellStart"/>
      <w:r w:rsidR="00607D2F" w:rsidRPr="008401DD">
        <w:rPr>
          <w:rFonts w:cs="Arial"/>
          <w:szCs w:val="20"/>
        </w:rPr>
        <w:t>evalvacijska</w:t>
      </w:r>
      <w:proofErr w:type="spellEnd"/>
      <w:r w:rsidR="00607D2F" w:rsidRPr="008401DD">
        <w:rPr>
          <w:rFonts w:cs="Arial"/>
          <w:szCs w:val="20"/>
        </w:rPr>
        <w:t xml:space="preserve"> vprašanja 5.1. in 5.2.)</w:t>
      </w:r>
      <w:r w:rsidRPr="008401DD">
        <w:rPr>
          <w:rFonts w:cs="Arial"/>
          <w:szCs w:val="20"/>
        </w:rPr>
        <w:t>.</w:t>
      </w:r>
    </w:p>
    <w:p w14:paraId="7F7B171A" w14:textId="7B4162E9" w:rsidR="00286D6E" w:rsidRDefault="00286D6E" w:rsidP="00960E68">
      <w:pPr>
        <w:jc w:val="both"/>
      </w:pPr>
    </w:p>
    <w:p w14:paraId="0723AE04" w14:textId="6C57CDB2" w:rsidR="00894B89" w:rsidRPr="008401DD" w:rsidRDefault="00894B89" w:rsidP="00960E68">
      <w:pPr>
        <w:rPr>
          <w:b/>
        </w:rPr>
      </w:pPr>
      <w:r w:rsidRPr="008401DD">
        <w:rPr>
          <w:b/>
        </w:rPr>
        <w:t xml:space="preserve">Prvi projekt: </w:t>
      </w:r>
    </w:p>
    <w:p w14:paraId="249A1F69" w14:textId="77777777" w:rsidR="00B85B43" w:rsidRDefault="00B85B43" w:rsidP="00960E68">
      <w:pPr>
        <w:jc w:val="both"/>
      </w:pPr>
    </w:p>
    <w:p w14:paraId="16EE3AFD" w14:textId="395FA06C" w:rsidR="003B06DB" w:rsidRPr="008401DD" w:rsidRDefault="003B06DB" w:rsidP="00960E68">
      <w:pPr>
        <w:jc w:val="both"/>
      </w:pPr>
      <w:r w:rsidRPr="008401DD">
        <w:t xml:space="preserve">Zaloga pitne vode v občini </w:t>
      </w:r>
      <w:proofErr w:type="spellStart"/>
      <w:r w:rsidRPr="008401DD">
        <w:t>Probištip</w:t>
      </w:r>
      <w:proofErr w:type="spellEnd"/>
      <w:r w:rsidRPr="008401DD">
        <w:t xml:space="preserve"> je bila zagotovljena preko sistema vodnjakov v vasi </w:t>
      </w:r>
      <w:proofErr w:type="spellStart"/>
      <w:r w:rsidRPr="008401DD">
        <w:t>Ratavica</w:t>
      </w:r>
      <w:proofErr w:type="spellEnd"/>
      <w:r w:rsidRPr="008401DD">
        <w:t>.</w:t>
      </w:r>
      <w:r w:rsidR="00CA3556" w:rsidRPr="008401DD">
        <w:t xml:space="preserve"> </w:t>
      </w:r>
      <w:r w:rsidRPr="008401DD">
        <w:t xml:space="preserve">Voda iz vodnjakov se je zbirala v zbirnih rezervoarjih. Voda je v </w:t>
      </w:r>
      <w:proofErr w:type="spellStart"/>
      <w:r w:rsidRPr="008401DD">
        <w:t>Probištip</w:t>
      </w:r>
      <w:proofErr w:type="spellEnd"/>
      <w:r w:rsidRPr="008401DD">
        <w:t xml:space="preserve"> prišla delno preko cevovodov, delno pa preko odprtega rečnega toka</w:t>
      </w:r>
      <w:r w:rsidR="004C6C92" w:rsidRPr="008401DD">
        <w:t xml:space="preserve">. Voda, ki so jo zajemali iz reke </w:t>
      </w:r>
      <w:proofErr w:type="spellStart"/>
      <w:r w:rsidR="004C6C92" w:rsidRPr="008401DD">
        <w:t>Zletovice</w:t>
      </w:r>
      <w:proofErr w:type="spellEnd"/>
      <w:r w:rsidR="004C6C92" w:rsidRPr="008401DD">
        <w:t>, ni ustrezala normativom za pitno vodo, kar je predvsem posledica dolgotrajnega škodljivega delovanja industrije.</w:t>
      </w:r>
      <w:r w:rsidR="008D2F13" w:rsidRPr="008401DD">
        <w:t xml:space="preserve"> Prav tako so se v sušnih obdobjih soočali s pomanjkanjem vode, zato v nekaterih naseljih niso imeli dostopa do pitne vode tudi po več tednov. </w:t>
      </w:r>
      <w:r w:rsidR="004C6C92" w:rsidRPr="008401DD">
        <w:t>Da bi prebivalcem lahko zagotovili ustrezno količino kvalitetne pitne vode, je bilo potrebno zgraditi čistilno napravo za pripravo pitne vode, ki bo skupaj z že zgrajeno novo infrastrukturo predstavljala vir trajnostne oskrbe prebivalstva s kvalitetno pitno vodo.</w:t>
      </w:r>
    </w:p>
    <w:p w14:paraId="3C081B01" w14:textId="639D4979" w:rsidR="0389AD61" w:rsidRPr="008401DD" w:rsidRDefault="0389AD61" w:rsidP="00960E68">
      <w:pPr>
        <w:jc w:val="both"/>
      </w:pPr>
    </w:p>
    <w:p w14:paraId="2D59767B" w14:textId="455AD4E5" w:rsidR="00687F18" w:rsidRPr="008401DD" w:rsidRDefault="00894B89" w:rsidP="00960E68">
      <w:pPr>
        <w:jc w:val="both"/>
      </w:pPr>
      <w:r w:rsidRPr="008401DD">
        <w:t xml:space="preserve">Identificirane potrebe, kot so zapisane v uradni vlogi za donacijo, </w:t>
      </w:r>
      <w:r w:rsidR="00687F18" w:rsidRPr="008401DD">
        <w:t xml:space="preserve">so zagotovitev ustrezne količine </w:t>
      </w:r>
      <w:r w:rsidR="00F22CD7" w:rsidRPr="008401DD">
        <w:t xml:space="preserve">kakovostne </w:t>
      </w:r>
      <w:r w:rsidR="00687F18" w:rsidRPr="008401DD">
        <w:t>pitne vode in</w:t>
      </w:r>
      <w:r w:rsidR="00687F18" w:rsidRPr="008401DD">
        <w:rPr>
          <w:rFonts w:eastAsiaTheme="minorEastAsia"/>
          <w:szCs w:val="20"/>
        </w:rPr>
        <w:t xml:space="preserve"> </w:t>
      </w:r>
      <w:r w:rsidR="00F22CD7" w:rsidRPr="008401DD">
        <w:rPr>
          <w:rFonts w:eastAsiaTheme="minorEastAsia"/>
          <w:szCs w:val="20"/>
        </w:rPr>
        <w:t xml:space="preserve">na ta način </w:t>
      </w:r>
      <w:r w:rsidR="00687F18" w:rsidRPr="008401DD">
        <w:rPr>
          <w:rFonts w:eastAsiaTheme="minorEastAsia"/>
          <w:szCs w:val="20"/>
        </w:rPr>
        <w:t xml:space="preserve">z </w:t>
      </w:r>
      <w:r w:rsidR="00F22CD7" w:rsidRPr="008401DD">
        <w:rPr>
          <w:rFonts w:eastAsiaTheme="minorEastAsia"/>
          <w:szCs w:val="20"/>
        </w:rPr>
        <w:t>izgradnjo</w:t>
      </w:r>
      <w:r w:rsidR="00687F18" w:rsidRPr="008401DD">
        <w:rPr>
          <w:rFonts w:eastAsiaTheme="minorEastAsia"/>
          <w:szCs w:val="20"/>
        </w:rPr>
        <w:t xml:space="preserve"> čistilne naprave zagotoviti vir trajnostne oskrbe prebivalstva s </w:t>
      </w:r>
      <w:r w:rsidR="00F22CD7" w:rsidRPr="008401DD">
        <w:rPr>
          <w:rFonts w:eastAsiaTheme="minorEastAsia"/>
          <w:szCs w:val="20"/>
        </w:rPr>
        <w:t>kakovostno</w:t>
      </w:r>
      <w:r w:rsidR="00687F18" w:rsidRPr="008401DD">
        <w:rPr>
          <w:rFonts w:eastAsiaTheme="minorEastAsia"/>
          <w:szCs w:val="20"/>
        </w:rPr>
        <w:t xml:space="preserve"> pitno vodo. </w:t>
      </w:r>
    </w:p>
    <w:p w14:paraId="68F0AC63" w14:textId="4EA69211" w:rsidR="006330C0" w:rsidRPr="008401DD" w:rsidRDefault="006330C0" w:rsidP="00960E68">
      <w:pPr>
        <w:jc w:val="both"/>
      </w:pPr>
    </w:p>
    <w:p w14:paraId="203EE1D0" w14:textId="24B407A4" w:rsidR="00514A7E" w:rsidRPr="008401DD" w:rsidRDefault="00514A7E" w:rsidP="00960E68">
      <w:pPr>
        <w:jc w:val="both"/>
      </w:pPr>
      <w:r w:rsidRPr="008401DD">
        <w:t xml:space="preserve">Skladnost načina izvedbe z identificiranimi potrebami </w:t>
      </w:r>
      <w:r w:rsidR="00C54EFD" w:rsidRPr="008401DD">
        <w:t>ocenjujemo</w:t>
      </w:r>
      <w:r w:rsidRPr="008401DD">
        <w:t xml:space="preserve"> kot ustrezno, saj projekt v celoti in uspešno naslavlja potrebe po zagotovitvi zadostne količine pitne vode. </w:t>
      </w:r>
    </w:p>
    <w:p w14:paraId="13DB54DD" w14:textId="77777777" w:rsidR="009D340E" w:rsidRPr="008401DD" w:rsidRDefault="009D340E" w:rsidP="00960E68">
      <w:pPr>
        <w:jc w:val="both"/>
      </w:pPr>
    </w:p>
    <w:p w14:paraId="64D850C8" w14:textId="77777777" w:rsidR="00687F18" w:rsidRPr="008401DD" w:rsidRDefault="00687F18" w:rsidP="00960E68">
      <w:pPr>
        <w:jc w:val="both"/>
      </w:pPr>
      <w:r w:rsidRPr="008401DD">
        <w:t xml:space="preserve">Identificirana projektna tveganja so bila: </w:t>
      </w:r>
    </w:p>
    <w:p w14:paraId="3CBFBD5E" w14:textId="6B9FBBBF" w:rsidR="00687F18" w:rsidRPr="008401DD" w:rsidRDefault="00687F18" w:rsidP="00960E68">
      <w:pPr>
        <w:pStyle w:val="ListParagraph"/>
        <w:numPr>
          <w:ilvl w:val="0"/>
          <w:numId w:val="19"/>
        </w:numPr>
        <w:jc w:val="both"/>
      </w:pPr>
      <w:r w:rsidRPr="008401DD">
        <w:t xml:space="preserve">nezmožnost sofinanciranja s strani občine </w:t>
      </w:r>
      <w:proofErr w:type="spellStart"/>
      <w:r w:rsidRPr="008401DD">
        <w:t>Probištip</w:t>
      </w:r>
      <w:proofErr w:type="spellEnd"/>
      <w:r w:rsidRPr="008401DD">
        <w:t xml:space="preserve"> in Vlade Republike Severne Makedonije in možnost neuspešne pridobitve kredita s strani JICA,</w:t>
      </w:r>
    </w:p>
    <w:p w14:paraId="63E50255" w14:textId="210A52BD" w:rsidR="00687F18" w:rsidRPr="008401DD" w:rsidRDefault="00687F18" w:rsidP="00960E68">
      <w:pPr>
        <w:pStyle w:val="ListParagraph"/>
        <w:numPr>
          <w:ilvl w:val="0"/>
          <w:numId w:val="19"/>
        </w:numPr>
        <w:jc w:val="both"/>
      </w:pPr>
      <w:r w:rsidRPr="008401DD">
        <w:t>zamude pri izvedbi projekta,</w:t>
      </w:r>
    </w:p>
    <w:p w14:paraId="2BF9F26C" w14:textId="6BA50F10" w:rsidR="00687F18" w:rsidRPr="008401DD" w:rsidRDefault="00687F18" w:rsidP="00960E68">
      <w:pPr>
        <w:pStyle w:val="ListParagraph"/>
        <w:numPr>
          <w:ilvl w:val="0"/>
          <w:numId w:val="19"/>
        </w:numPr>
        <w:ind w:left="714" w:hanging="357"/>
        <w:jc w:val="both"/>
      </w:pPr>
      <w:r w:rsidRPr="008401DD">
        <w:t>slaba usposobljenost občine za vzdrževanje in optimalno izkoriščanje dobrin realiziranega projekta, kar lahko ogrozi trajnost zagotavljanja rezultatov projekta.</w:t>
      </w:r>
    </w:p>
    <w:p w14:paraId="53CFF9C6" w14:textId="757CDD86" w:rsidR="00E82891" w:rsidRPr="008401DD" w:rsidRDefault="00E82891" w:rsidP="00960E68">
      <w:pPr>
        <w:jc w:val="both"/>
      </w:pPr>
    </w:p>
    <w:p w14:paraId="575928FA" w14:textId="6BF066F1" w:rsidR="00C01680" w:rsidRPr="008401DD" w:rsidRDefault="00C01680" w:rsidP="00960E68">
      <w:pPr>
        <w:jc w:val="both"/>
      </w:pPr>
      <w:r w:rsidRPr="008401DD">
        <w:t xml:space="preserve">Vlada Republike Severne Makedonije se je v </w:t>
      </w:r>
      <w:proofErr w:type="spellStart"/>
      <w:r w:rsidRPr="008401DD">
        <w:t>donacijski</w:t>
      </w:r>
      <w:proofErr w:type="spellEnd"/>
      <w:r w:rsidRPr="008401DD">
        <w:t xml:space="preserve"> pogodbi zavezala, da je iz lastnih virov ter kredita JICA, zagotovila vire sofinanciranja v višini 920.000 EUR, kar naslavlja tveganje nezmožnost sofinanciranja.</w:t>
      </w:r>
    </w:p>
    <w:p w14:paraId="2DC21E88" w14:textId="77777777" w:rsidR="00C01680" w:rsidRPr="008401DD" w:rsidRDefault="00C01680" w:rsidP="00960E68">
      <w:pPr>
        <w:jc w:val="both"/>
      </w:pPr>
    </w:p>
    <w:p w14:paraId="47EB3B37" w14:textId="046B348A" w:rsidR="003C12B3" w:rsidRPr="008401DD" w:rsidRDefault="003C12B3" w:rsidP="00960E68">
      <w:pPr>
        <w:jc w:val="both"/>
      </w:pPr>
      <w:r w:rsidRPr="008401DD">
        <w:t xml:space="preserve">Tveganje zamud pri izvedbi ni bilo naslovljeno, saj odstopanja od </w:t>
      </w:r>
      <w:proofErr w:type="spellStart"/>
      <w:r w:rsidRPr="008401DD">
        <w:t>časovnice</w:t>
      </w:r>
      <w:proofErr w:type="spellEnd"/>
      <w:r w:rsidRPr="008401DD">
        <w:t xml:space="preserve"> in morebitne sankcije v komercialni niso predvidene. Tveganje se ni materializiralo, saj pri izvedbi ni prihajalo do pomembnih zamud. </w:t>
      </w:r>
    </w:p>
    <w:p w14:paraId="3C6BFFB4" w14:textId="77777777" w:rsidR="00C01680" w:rsidRPr="008401DD" w:rsidRDefault="00C01680" w:rsidP="00960E68">
      <w:pPr>
        <w:jc w:val="both"/>
      </w:pPr>
    </w:p>
    <w:p w14:paraId="524B5F74" w14:textId="0AC52CCC" w:rsidR="00E82891" w:rsidRPr="008401DD" w:rsidRDefault="00E82891" w:rsidP="00960E68">
      <w:pPr>
        <w:jc w:val="both"/>
      </w:pPr>
      <w:r w:rsidRPr="008401DD">
        <w:t>Tveganje</w:t>
      </w:r>
      <w:r w:rsidR="00F22CD7" w:rsidRPr="008401DD">
        <w:t>,</w:t>
      </w:r>
      <w:r w:rsidRPr="008401DD">
        <w:t xml:space="preserve"> da trajnost rezulta</w:t>
      </w:r>
      <w:r w:rsidR="00585AB4" w:rsidRPr="008401DD">
        <w:t>tov projekta ne bo zagotovljena zaradi slabe usposobljenosti občine za vzdrževanje in optimalno izkoriščanje dobrin realiziranega projekta</w:t>
      </w:r>
      <w:r w:rsidR="00653B3F" w:rsidRPr="008401DD">
        <w:t>,</w:t>
      </w:r>
      <w:r w:rsidRPr="008401DD">
        <w:t xml:space="preserve"> </w:t>
      </w:r>
      <w:r w:rsidR="00514A7E" w:rsidRPr="008401DD">
        <w:t>je bilo naslovljeno, saj je prišlo do prenosa znanja med izvajalci in upravljalci objekta</w:t>
      </w:r>
      <w:r w:rsidR="00585AB4" w:rsidRPr="008401DD">
        <w:t>.</w:t>
      </w:r>
      <w:r w:rsidR="00091B6E" w:rsidRPr="008401DD">
        <w:t xml:space="preserve"> </w:t>
      </w:r>
    </w:p>
    <w:p w14:paraId="31E1DC9D" w14:textId="77777777" w:rsidR="00583A15" w:rsidRPr="008401DD" w:rsidRDefault="00583A15" w:rsidP="00960E68">
      <w:pPr>
        <w:jc w:val="both"/>
      </w:pPr>
    </w:p>
    <w:p w14:paraId="7E7E6EB3" w14:textId="42D1CD3B" w:rsidR="00E82891" w:rsidRPr="008401DD" w:rsidRDefault="00E82891" w:rsidP="00960E68">
      <w:pPr>
        <w:jc w:val="both"/>
      </w:pPr>
      <w:r w:rsidRPr="008401DD">
        <w:t>Načrt za ustrezno naslavljanje tveganj ni bil pripravljen</w:t>
      </w:r>
      <w:r w:rsidR="000B54FD" w:rsidRPr="008401DD">
        <w:t>, prav tako ni bila izvedena analiza tveganj</w:t>
      </w:r>
      <w:r w:rsidRPr="008401DD">
        <w:t>.</w:t>
      </w:r>
      <w:r w:rsidR="00091B6E" w:rsidRPr="008401DD">
        <w:t xml:space="preserve"> </w:t>
      </w:r>
      <w:r w:rsidR="000B54FD" w:rsidRPr="008401DD">
        <w:t xml:space="preserve">Potencialna tveganja so bila prepoznana v opisu projekta, ki je bil del programa CMSR za izvajanje MRS v letih 2012-2013, medtem ko </w:t>
      </w:r>
      <w:r w:rsidR="00C54EFD" w:rsidRPr="008401DD">
        <w:t>pripravljavec</w:t>
      </w:r>
      <w:r w:rsidR="000B54FD" w:rsidRPr="008401DD">
        <w:t xml:space="preserve"> </w:t>
      </w:r>
      <w:r w:rsidR="009878B5" w:rsidRPr="008401DD">
        <w:t>projektne zasnove</w:t>
      </w:r>
      <w:r w:rsidR="000B54FD" w:rsidRPr="008401DD">
        <w:t xml:space="preserve"> (tj. občina </w:t>
      </w:r>
      <w:proofErr w:type="spellStart"/>
      <w:r w:rsidR="000B54FD" w:rsidRPr="008401DD">
        <w:t>Probištip</w:t>
      </w:r>
      <w:proofErr w:type="spellEnd"/>
      <w:r w:rsidR="000B54FD" w:rsidRPr="008401DD">
        <w:t xml:space="preserve">) v uradni vlogi za donacijo ne omenja projektnih tveganj. </w:t>
      </w:r>
    </w:p>
    <w:p w14:paraId="2AF8D658" w14:textId="44AC92B1" w:rsidR="00BC6CB7" w:rsidRPr="008401DD" w:rsidRDefault="00BC6CB7" w:rsidP="00960E68">
      <w:pPr>
        <w:rPr>
          <w:i/>
        </w:rPr>
      </w:pPr>
    </w:p>
    <w:p w14:paraId="09F0BD01" w14:textId="64A6A4AC" w:rsidR="00BC6CB7" w:rsidRPr="008401DD" w:rsidRDefault="00BC6CB7" w:rsidP="00960E68">
      <w:pPr>
        <w:rPr>
          <w:b/>
        </w:rPr>
      </w:pPr>
      <w:r w:rsidRPr="008401DD">
        <w:rPr>
          <w:b/>
        </w:rPr>
        <w:t>Drugi projekt:</w:t>
      </w:r>
    </w:p>
    <w:p w14:paraId="28B4FD2E" w14:textId="77777777" w:rsidR="00B85B43" w:rsidRDefault="00B85B43" w:rsidP="00960E68">
      <w:pPr>
        <w:jc w:val="both"/>
      </w:pPr>
    </w:p>
    <w:p w14:paraId="3EA5AD5E" w14:textId="05910D39" w:rsidR="00BC6CB7" w:rsidRPr="008401DD" w:rsidRDefault="00117C61" w:rsidP="00960E68">
      <w:pPr>
        <w:jc w:val="both"/>
      </w:pPr>
      <w:r w:rsidRPr="008401DD">
        <w:t xml:space="preserve">V projektni </w:t>
      </w:r>
      <w:r w:rsidR="00E66CE4" w:rsidRPr="008401DD">
        <w:t xml:space="preserve">zasnovi </w:t>
      </w:r>
      <w:r w:rsidRPr="008401DD">
        <w:t xml:space="preserve">sta bili identificirani potreba po zadostni količini pitne vode in potreba po stalnem/ neprekinjenem dovajanju pitne vode v gospodinjstva, kar bi dosegli z revitalizacijo in avtomatizacijo obstoječih vodooskrbnih objektov (črpalk) </w:t>
      </w:r>
      <w:proofErr w:type="spellStart"/>
      <w:r w:rsidRPr="008401DD">
        <w:t>Ratavica</w:t>
      </w:r>
      <w:proofErr w:type="spellEnd"/>
      <w:r w:rsidRPr="008401DD">
        <w:t xml:space="preserve">, </w:t>
      </w:r>
      <w:proofErr w:type="spellStart"/>
      <w:r w:rsidRPr="008401DD">
        <w:t>Dobrevo</w:t>
      </w:r>
      <w:proofErr w:type="spellEnd"/>
      <w:r w:rsidRPr="008401DD">
        <w:t xml:space="preserve"> in </w:t>
      </w:r>
      <w:proofErr w:type="spellStart"/>
      <w:r w:rsidRPr="008401DD">
        <w:t>Zletovo</w:t>
      </w:r>
      <w:proofErr w:type="spellEnd"/>
      <w:r w:rsidRPr="008401DD">
        <w:t xml:space="preserve">. </w:t>
      </w:r>
    </w:p>
    <w:p w14:paraId="231C2095" w14:textId="68ECB5C7" w:rsidR="713BF908" w:rsidRPr="008401DD" w:rsidRDefault="713BF908" w:rsidP="00960E68">
      <w:pPr>
        <w:jc w:val="both"/>
      </w:pPr>
    </w:p>
    <w:p w14:paraId="3B2CAD09" w14:textId="60C348BC" w:rsidR="007C2B8C" w:rsidRPr="008401DD" w:rsidRDefault="008D26DC" w:rsidP="00960E68">
      <w:pPr>
        <w:jc w:val="both"/>
      </w:pPr>
      <w:r w:rsidRPr="008401DD">
        <w:lastRenderedPageBreak/>
        <w:t xml:space="preserve">Pred izgradnjo postaje za prečiščevanje pitne vode </w:t>
      </w:r>
      <w:proofErr w:type="spellStart"/>
      <w:r w:rsidRPr="008401DD">
        <w:t>Probištip</w:t>
      </w:r>
      <w:proofErr w:type="spellEnd"/>
      <w:r w:rsidRPr="008401DD">
        <w:t xml:space="preserve"> – </w:t>
      </w:r>
      <w:proofErr w:type="spellStart"/>
      <w:r w:rsidRPr="008401DD">
        <w:t>Ultrafiltracija</w:t>
      </w:r>
      <w:proofErr w:type="spellEnd"/>
      <w:r w:rsidRPr="008401DD">
        <w:t xml:space="preserve">, so se mesto </w:t>
      </w:r>
      <w:proofErr w:type="spellStart"/>
      <w:r w:rsidRPr="008401DD">
        <w:t>Probištip</w:t>
      </w:r>
      <w:proofErr w:type="spellEnd"/>
      <w:r w:rsidR="00091B6E" w:rsidRPr="008401DD">
        <w:t xml:space="preserve"> </w:t>
      </w:r>
      <w:r w:rsidRPr="008401DD">
        <w:t xml:space="preserve">in sosednje vasi oskrbovale s pitno vodo iz črpalne postaje </w:t>
      </w:r>
      <w:proofErr w:type="spellStart"/>
      <w:r w:rsidRPr="008401DD">
        <w:t>Ratavica</w:t>
      </w:r>
      <w:proofErr w:type="spellEnd"/>
      <w:r w:rsidR="00091B6E" w:rsidRPr="008401DD">
        <w:t xml:space="preserve"> </w:t>
      </w:r>
      <w:r w:rsidRPr="008401DD">
        <w:t xml:space="preserve">oz. sistema vodnjakov. Z izgradnjo </w:t>
      </w:r>
      <w:proofErr w:type="spellStart"/>
      <w:r w:rsidRPr="008401DD">
        <w:t>Hidrosistema</w:t>
      </w:r>
      <w:proofErr w:type="spellEnd"/>
      <w:r w:rsidRPr="008401DD">
        <w:t xml:space="preserve"> </w:t>
      </w:r>
      <w:proofErr w:type="spellStart"/>
      <w:r w:rsidRPr="008401DD">
        <w:t>Zletovica</w:t>
      </w:r>
      <w:proofErr w:type="spellEnd"/>
      <w:r w:rsidRPr="008401DD">
        <w:t xml:space="preserve"> in </w:t>
      </w:r>
      <w:r w:rsidR="004376B4" w:rsidRPr="008401DD">
        <w:t>filtrirne postaje</w:t>
      </w:r>
      <w:r w:rsidRPr="008401DD">
        <w:t xml:space="preserve"> </w:t>
      </w:r>
      <w:proofErr w:type="spellStart"/>
      <w:r w:rsidRPr="008401DD">
        <w:t>Probištip</w:t>
      </w:r>
      <w:proofErr w:type="spellEnd"/>
      <w:r w:rsidRPr="008401DD">
        <w:t xml:space="preserve"> so mesto </w:t>
      </w:r>
      <w:proofErr w:type="spellStart"/>
      <w:r w:rsidRPr="008401DD">
        <w:t>Probištip</w:t>
      </w:r>
      <w:proofErr w:type="spellEnd"/>
      <w:r w:rsidRPr="008401DD">
        <w:t xml:space="preserve"> in sosednje vasi pridobili kakovostno pitno vodo. S povečanjem porabe pitne vode in prekinitev dobave </w:t>
      </w:r>
      <w:r w:rsidR="009878B5" w:rsidRPr="008401DD">
        <w:t xml:space="preserve">nefiltrirane </w:t>
      </w:r>
      <w:r w:rsidRPr="008401DD">
        <w:t xml:space="preserve">vode iz </w:t>
      </w:r>
      <w:proofErr w:type="spellStart"/>
      <w:r w:rsidRPr="008401DD">
        <w:t>Hidrosistema</w:t>
      </w:r>
      <w:proofErr w:type="spellEnd"/>
      <w:r w:rsidRPr="008401DD">
        <w:t xml:space="preserve"> </w:t>
      </w:r>
      <w:proofErr w:type="spellStart"/>
      <w:r w:rsidRPr="008401DD">
        <w:t>Zletovica</w:t>
      </w:r>
      <w:proofErr w:type="spellEnd"/>
      <w:r w:rsidRPr="008401DD">
        <w:t>, zaradi zelo povečane motnosti vode</w:t>
      </w:r>
      <w:r w:rsidR="004376B4" w:rsidRPr="008401DD">
        <w:t xml:space="preserve"> je</w:t>
      </w:r>
      <w:r w:rsidRPr="008401DD">
        <w:t xml:space="preserve"> nastala potreba po aktiviranju črpalne postaje </w:t>
      </w:r>
      <w:proofErr w:type="spellStart"/>
      <w:r w:rsidRPr="008401DD">
        <w:t>Ratavica</w:t>
      </w:r>
      <w:proofErr w:type="spellEnd"/>
      <w:r w:rsidRPr="008401DD">
        <w:t xml:space="preserve"> kot pomožnega sistema za surovo vodo v </w:t>
      </w:r>
      <w:r w:rsidR="004376B4" w:rsidRPr="008401DD">
        <w:t>filtrirni postaji</w:t>
      </w:r>
      <w:r w:rsidRPr="008401DD">
        <w:t xml:space="preserve"> </w:t>
      </w:r>
      <w:proofErr w:type="spellStart"/>
      <w:r w:rsidRPr="008401DD">
        <w:t>Probištip</w:t>
      </w:r>
      <w:proofErr w:type="spellEnd"/>
      <w:r w:rsidRPr="008401DD">
        <w:t xml:space="preserve">. </w:t>
      </w:r>
    </w:p>
    <w:p w14:paraId="35E65AA1" w14:textId="68155533" w:rsidR="713BF908" w:rsidRPr="008401DD" w:rsidRDefault="713BF908" w:rsidP="00960E68">
      <w:pPr>
        <w:jc w:val="both"/>
      </w:pPr>
    </w:p>
    <w:p w14:paraId="49A67EEA" w14:textId="231D5883" w:rsidR="008D26DC" w:rsidRPr="008401DD" w:rsidRDefault="008D26DC" w:rsidP="00960E68">
      <w:pPr>
        <w:jc w:val="both"/>
      </w:pPr>
      <w:r w:rsidRPr="008401DD">
        <w:t xml:space="preserve">Zaradi dotrajanosti obstoječih črpalk je pogosto prihajalo do prekinitev oskrbe z vodo in proizvodnje kakovostne pitne vode, kar je povzročilo potrebo po rehabilitaciji in avtomatizaciji obstoječe črpalne postaje </w:t>
      </w:r>
      <w:proofErr w:type="spellStart"/>
      <w:r w:rsidRPr="008401DD">
        <w:t>Zletovo</w:t>
      </w:r>
      <w:proofErr w:type="spellEnd"/>
      <w:r w:rsidR="007C2B8C" w:rsidRPr="008401DD">
        <w:t xml:space="preserve"> in črpalne postaje </w:t>
      </w:r>
      <w:proofErr w:type="spellStart"/>
      <w:r w:rsidR="007C2B8C" w:rsidRPr="008401DD">
        <w:t>Dobrevo</w:t>
      </w:r>
      <w:proofErr w:type="spellEnd"/>
      <w:r w:rsidR="007C2B8C" w:rsidRPr="008401DD">
        <w:t xml:space="preserve">. </w:t>
      </w:r>
    </w:p>
    <w:p w14:paraId="499463A6" w14:textId="23E8EF88" w:rsidR="713BF908" w:rsidRPr="008401DD" w:rsidRDefault="713BF908" w:rsidP="00960E68">
      <w:pPr>
        <w:jc w:val="both"/>
      </w:pPr>
    </w:p>
    <w:p w14:paraId="37D9680A" w14:textId="2C99A09E" w:rsidR="00514A7E" w:rsidRPr="008401DD" w:rsidRDefault="00514A7E" w:rsidP="00960E68">
      <w:pPr>
        <w:jc w:val="both"/>
      </w:pPr>
      <w:r w:rsidRPr="008401DD">
        <w:t>Skladnost načina izvedb</w:t>
      </w:r>
      <w:r w:rsidR="00CA3556" w:rsidRPr="008401DD">
        <w:t>e z identificiranimi potrebami o</w:t>
      </w:r>
      <w:r w:rsidRPr="008401DD">
        <w:t xml:space="preserve">cenjujemo kot ustrezno, saj projekt v celoti in uspešno naslavlja potrebe po zagotovitvi zadostne količine pitne vode. </w:t>
      </w:r>
    </w:p>
    <w:p w14:paraId="770D0C5D" w14:textId="131C9315" w:rsidR="00117C61" w:rsidRPr="008401DD" w:rsidRDefault="00117C61" w:rsidP="00960E68">
      <w:pPr>
        <w:jc w:val="both"/>
      </w:pPr>
    </w:p>
    <w:p w14:paraId="4A435994" w14:textId="3747D0EF" w:rsidR="00117C61" w:rsidRPr="008401DD" w:rsidRDefault="00843D63" w:rsidP="00960E68">
      <w:pPr>
        <w:jc w:val="both"/>
      </w:pPr>
      <w:r w:rsidRPr="008401DD">
        <w:t xml:space="preserve">Projektna tveganja pri drugem projektu niso bila vključena v projektni </w:t>
      </w:r>
      <w:r w:rsidR="00E66CE4" w:rsidRPr="008401DD">
        <w:t>zasnovi,</w:t>
      </w:r>
      <w:r w:rsidRPr="008401DD">
        <w:t xml:space="preserve"> prav tako pa niso bila </w:t>
      </w:r>
      <w:r w:rsidR="00D95A7C" w:rsidRPr="008401DD">
        <w:t>v</w:t>
      </w:r>
      <w:r w:rsidRPr="008401DD">
        <w:t>klj</w:t>
      </w:r>
      <w:r w:rsidR="00514A7E" w:rsidRPr="008401DD">
        <w:t xml:space="preserve">učena v fazah izvedbe projekta, zato skladnosti načina izvedbe s projektni tveganji ne moremo oceniti. </w:t>
      </w:r>
    </w:p>
    <w:p w14:paraId="044C7F16" w14:textId="77777777" w:rsidR="00117C61" w:rsidRPr="008401DD" w:rsidRDefault="00117C61" w:rsidP="00960E68">
      <w:pPr>
        <w:jc w:val="both"/>
      </w:pPr>
    </w:p>
    <w:p w14:paraId="4ADDDF3B" w14:textId="6077B6D7" w:rsidR="00117C61" w:rsidRPr="008401DD" w:rsidRDefault="00843D63" w:rsidP="00B8121B">
      <w:pPr>
        <w:pBdr>
          <w:top w:val="single" w:sz="4" w:space="1" w:color="auto"/>
          <w:left w:val="single" w:sz="4" w:space="4" w:color="auto"/>
          <w:bottom w:val="single" w:sz="4" w:space="1" w:color="auto"/>
          <w:right w:val="single" w:sz="4" w:space="4" w:color="auto"/>
        </w:pBdr>
        <w:shd w:val="clear" w:color="auto" w:fill="D0ECDB"/>
        <w:rPr>
          <w:i/>
        </w:rPr>
      </w:pPr>
      <w:r w:rsidRPr="008401DD">
        <w:rPr>
          <w:i/>
          <w:u w:val="single"/>
        </w:rPr>
        <w:t>Priporočilo</w:t>
      </w:r>
      <w:r w:rsidR="00096DB9" w:rsidRPr="008401DD">
        <w:rPr>
          <w:i/>
          <w:u w:val="single"/>
        </w:rPr>
        <w:t xml:space="preserve"> 1.8.</w:t>
      </w:r>
      <w:r w:rsidRPr="008401DD">
        <w:rPr>
          <w:i/>
          <w:u w:val="single"/>
        </w:rPr>
        <w:t>:</w:t>
      </w:r>
      <w:r w:rsidRPr="008401DD">
        <w:rPr>
          <w:i/>
        </w:rPr>
        <w:t xml:space="preserve"> </w:t>
      </w:r>
      <w:r w:rsidR="00FA05CD" w:rsidRPr="008401DD">
        <w:rPr>
          <w:i/>
        </w:rPr>
        <w:t xml:space="preserve">Gledati </w:t>
      </w:r>
      <w:r w:rsidR="00F22CD7" w:rsidRPr="008401DD">
        <w:rPr>
          <w:i/>
        </w:rPr>
        <w:t>priporočilo</w:t>
      </w:r>
      <w:r w:rsidR="009463D0">
        <w:rPr>
          <w:i/>
        </w:rPr>
        <w:t xml:space="preserve"> 1.4. </w:t>
      </w:r>
      <w:r w:rsidR="00F22CD7" w:rsidRPr="008401DD">
        <w:rPr>
          <w:i/>
        </w:rPr>
        <w:t xml:space="preserve">glede priprave </w:t>
      </w:r>
      <w:r w:rsidR="00FD1AD8" w:rsidRPr="008401DD">
        <w:rPr>
          <w:i/>
        </w:rPr>
        <w:t>matrice</w:t>
      </w:r>
      <w:r w:rsidR="009463D0">
        <w:rPr>
          <w:i/>
        </w:rPr>
        <w:t xml:space="preserve"> tveganj</w:t>
      </w:r>
      <w:r w:rsidR="00F22CD7" w:rsidRPr="008401DD">
        <w:rPr>
          <w:i/>
        </w:rPr>
        <w:t>.</w:t>
      </w:r>
    </w:p>
    <w:p w14:paraId="580056D5" w14:textId="0A5F8B14" w:rsidR="00A465B8" w:rsidRPr="008401DD" w:rsidRDefault="00A465B8" w:rsidP="00960E68">
      <w:pPr>
        <w:spacing w:line="240" w:lineRule="auto"/>
        <w:jc w:val="both"/>
        <w:rPr>
          <w:rFonts w:cs="Arial"/>
          <w:i/>
          <w:color w:val="67C18C"/>
        </w:rPr>
      </w:pPr>
    </w:p>
    <w:p w14:paraId="1EB72ABA" w14:textId="2BBBDC0D" w:rsidR="00A465B8" w:rsidRPr="008401DD" w:rsidRDefault="00A465B8"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1.4:</w:t>
      </w:r>
      <w:r w:rsidRPr="008401DD">
        <w:rPr>
          <w:rFonts w:cs="Arial"/>
          <w:color w:val="67C18C"/>
        </w:rPr>
        <w:t xml:space="preserve"> </w:t>
      </w:r>
      <w:r w:rsidRPr="008401DD">
        <w:rPr>
          <w:rFonts w:cs="Arial"/>
          <w:i/>
          <w:color w:val="67C18C"/>
        </w:rPr>
        <w:t>Ali in kako sta projekta zasledovala pristop temelječ na človekovih pravicah ter prispevala k doseganju enakosti spolov in varovanju okolja?</w:t>
      </w:r>
    </w:p>
    <w:p w14:paraId="5A8E9AA6" w14:textId="77777777" w:rsidR="00B85B43" w:rsidRDefault="00B85B43" w:rsidP="00960E68">
      <w:pPr>
        <w:spacing w:line="240" w:lineRule="auto"/>
        <w:jc w:val="both"/>
        <w:rPr>
          <w:rFonts w:cs="Arial"/>
        </w:rPr>
      </w:pPr>
    </w:p>
    <w:p w14:paraId="35A458BA" w14:textId="01CE1880" w:rsidR="00C127E6" w:rsidRPr="008401DD" w:rsidRDefault="00C127E6" w:rsidP="00960E68">
      <w:pPr>
        <w:spacing w:line="240" w:lineRule="auto"/>
        <w:jc w:val="both"/>
      </w:pPr>
      <w:r w:rsidRPr="008401DD">
        <w:rPr>
          <w:rFonts w:cs="Arial"/>
        </w:rPr>
        <w:t>M</w:t>
      </w:r>
      <w:r w:rsidRPr="008401DD">
        <w:rPr>
          <w:rFonts w:eastAsiaTheme="minorEastAsia"/>
          <w:szCs w:val="20"/>
        </w:rPr>
        <w:t>erila za ocenjevanje projektov, ki jih</w:t>
      </w:r>
      <w:r w:rsidR="00810DB3" w:rsidRPr="008401DD">
        <w:rPr>
          <w:rFonts w:eastAsiaTheme="minorEastAsia"/>
          <w:szCs w:val="20"/>
        </w:rPr>
        <w:t xml:space="preserve"> od leta 2015</w:t>
      </w:r>
      <w:r w:rsidRPr="008401DD">
        <w:rPr>
          <w:rFonts w:eastAsiaTheme="minorEastAsia"/>
          <w:szCs w:val="20"/>
        </w:rPr>
        <w:t xml:space="preserve"> uporablja CMSR, vključujejo tudi varstvo okolja (skupaj merilo prinaša 13 od 100 točk), in sicer se preverja vpliv projektov na ohranjanje narave in trajnostno rabo naravnih danosti območja, povečanje uporabe obnovljivih virov energije oz. zmanjšanje porabe fosilnih virov energije, zmanjšanje porabe energije, onesnaženosti okolja, količine odpadkov in škodljivih emisij. Poleg tega merila CMSR vključujejo tudi prispevek projekta k izboljšanju življenjskih pogojev, kar obsega tako zaposlenost, stopnjo revščine, človekove pravice in enake možnosti, stopnjo kriminalitete ter razpoložljivost in kakovost bivalnih kapacitet.</w:t>
      </w:r>
    </w:p>
    <w:p w14:paraId="3F628462" w14:textId="77777777" w:rsidR="00EF0EE0" w:rsidRPr="008401DD" w:rsidRDefault="00EF0EE0" w:rsidP="00960E68">
      <w:pPr>
        <w:spacing w:line="240" w:lineRule="auto"/>
        <w:jc w:val="both"/>
      </w:pPr>
    </w:p>
    <w:p w14:paraId="60F5A7C7" w14:textId="4AABD36C" w:rsidR="008D0A85" w:rsidRPr="008401DD" w:rsidRDefault="008D0A85" w:rsidP="00960E68">
      <w:pPr>
        <w:jc w:val="both"/>
      </w:pPr>
      <w:r w:rsidRPr="008401DD">
        <w:rPr>
          <w:rFonts w:eastAsiaTheme="minorEastAsia"/>
          <w:szCs w:val="20"/>
        </w:rPr>
        <w:t>Oba projekta sta</w:t>
      </w:r>
      <w:r w:rsidR="008D2F13" w:rsidRPr="008401DD">
        <w:rPr>
          <w:rFonts w:eastAsiaTheme="minorEastAsia"/>
          <w:szCs w:val="20"/>
        </w:rPr>
        <w:t xml:space="preserve"> uspešno naslovila prepoznane potrebe</w:t>
      </w:r>
      <w:r w:rsidR="00BF63E5" w:rsidRPr="008401DD">
        <w:rPr>
          <w:rFonts w:eastAsiaTheme="minorEastAsia"/>
          <w:szCs w:val="20"/>
        </w:rPr>
        <w:t xml:space="preserve"> (gledati</w:t>
      </w:r>
      <w:r w:rsidR="008D2F13" w:rsidRPr="008401DD">
        <w:rPr>
          <w:rFonts w:eastAsiaTheme="minorEastAsia"/>
          <w:szCs w:val="20"/>
        </w:rPr>
        <w:t xml:space="preserve"> </w:t>
      </w:r>
      <w:proofErr w:type="spellStart"/>
      <w:r w:rsidR="008D2F13" w:rsidRPr="008401DD">
        <w:rPr>
          <w:rFonts w:eastAsiaTheme="minorEastAsia"/>
          <w:szCs w:val="20"/>
        </w:rPr>
        <w:t>evalvacijsko</w:t>
      </w:r>
      <w:proofErr w:type="spellEnd"/>
      <w:r w:rsidR="008D2F13" w:rsidRPr="008401DD">
        <w:rPr>
          <w:rFonts w:eastAsiaTheme="minorEastAsia"/>
          <w:szCs w:val="20"/>
        </w:rPr>
        <w:t xml:space="preserve"> vprašanje 1.3.), saj sta</w:t>
      </w:r>
      <w:r w:rsidRPr="008401DD">
        <w:rPr>
          <w:rFonts w:eastAsiaTheme="minorEastAsia"/>
          <w:szCs w:val="20"/>
        </w:rPr>
        <w:t xml:space="preserve"> </w:t>
      </w:r>
      <w:r w:rsidR="00EA0EA6" w:rsidRPr="008401DD">
        <w:rPr>
          <w:rFonts w:eastAsiaTheme="minorEastAsia"/>
          <w:szCs w:val="20"/>
        </w:rPr>
        <w:t>izboljšala k</w:t>
      </w:r>
      <w:r w:rsidR="7CE57703" w:rsidRPr="008401DD">
        <w:rPr>
          <w:rFonts w:eastAsiaTheme="minorEastAsia"/>
          <w:szCs w:val="20"/>
        </w:rPr>
        <w:t>akovost</w:t>
      </w:r>
      <w:r w:rsidR="00EA0EA6" w:rsidRPr="008401DD">
        <w:rPr>
          <w:rFonts w:eastAsiaTheme="minorEastAsia"/>
          <w:szCs w:val="20"/>
        </w:rPr>
        <w:t xml:space="preserve"> vode, prav tako pa ne prihaja več do pomanjkanja</w:t>
      </w:r>
      <w:r w:rsidR="00A73D79" w:rsidRPr="008401DD">
        <w:rPr>
          <w:rFonts w:eastAsiaTheme="minorEastAsia"/>
          <w:szCs w:val="20"/>
        </w:rPr>
        <w:t xml:space="preserve"> vode</w:t>
      </w:r>
      <w:r w:rsidR="00EA0EA6" w:rsidRPr="008401DD">
        <w:rPr>
          <w:rFonts w:eastAsiaTheme="minorEastAsia"/>
          <w:szCs w:val="20"/>
        </w:rPr>
        <w:t xml:space="preserve"> med sušnimi obdobji, zato ugotavljamo, da sta projekta ustrezno </w:t>
      </w:r>
      <w:r w:rsidRPr="008401DD">
        <w:rPr>
          <w:rFonts w:eastAsiaTheme="minorEastAsia"/>
          <w:szCs w:val="20"/>
        </w:rPr>
        <w:t xml:space="preserve">naslavljala potrebo prebivalcev po čisti in pitni vodi, kar zasleduje človekovo pravico do zdravja, pravico do zdravega </w:t>
      </w:r>
      <w:r w:rsidR="000E371A" w:rsidRPr="008401DD">
        <w:rPr>
          <w:rFonts w:eastAsiaTheme="minorEastAsia"/>
          <w:szCs w:val="20"/>
        </w:rPr>
        <w:t>življenjskega</w:t>
      </w:r>
      <w:r w:rsidRPr="008401DD">
        <w:rPr>
          <w:rFonts w:eastAsiaTheme="minorEastAsia"/>
          <w:szCs w:val="20"/>
        </w:rPr>
        <w:t xml:space="preserve"> okolja ter pravico do vode in drugih naravnih virov.</w:t>
      </w:r>
      <w:r w:rsidR="00091B6E" w:rsidRPr="008401DD">
        <w:rPr>
          <w:rFonts w:eastAsiaTheme="minorEastAsia"/>
          <w:szCs w:val="20"/>
        </w:rPr>
        <w:t xml:space="preserve"> </w:t>
      </w:r>
      <w:r w:rsidR="00A73D79" w:rsidRPr="008401DD">
        <w:rPr>
          <w:rFonts w:eastAsiaTheme="minorEastAsia"/>
          <w:szCs w:val="20"/>
        </w:rPr>
        <w:t xml:space="preserve">Projekta sta delno prispevala k varovanju okolja, saj je z </w:t>
      </w:r>
      <w:r w:rsidR="000E371A" w:rsidRPr="008401DD">
        <w:rPr>
          <w:rFonts w:eastAsiaTheme="minorEastAsia"/>
          <w:szCs w:val="20"/>
        </w:rPr>
        <w:t>izgradnjo</w:t>
      </w:r>
      <w:r w:rsidR="00A73D79" w:rsidRPr="008401DD">
        <w:rPr>
          <w:rFonts w:eastAsiaTheme="minorEastAsia"/>
          <w:szCs w:val="20"/>
        </w:rPr>
        <w:t xml:space="preserve"> čistilne naprave zagotovljena trajnostna raba naravnih danosti območja (vode iz reke), prav tako </w:t>
      </w:r>
      <w:r w:rsidR="0037534E" w:rsidRPr="008401DD">
        <w:rPr>
          <w:rFonts w:eastAsiaTheme="minorEastAsia"/>
          <w:szCs w:val="20"/>
        </w:rPr>
        <w:t xml:space="preserve">je bilo predvideno, da se </w:t>
      </w:r>
      <w:r w:rsidR="00A73D79" w:rsidRPr="008401DD">
        <w:rPr>
          <w:rFonts w:eastAsiaTheme="minorEastAsia"/>
          <w:szCs w:val="20"/>
        </w:rPr>
        <w:t>zaradi revitalizacije vodooskrbnih objektov in uporabe novejših, k</w:t>
      </w:r>
      <w:r w:rsidR="12908C62" w:rsidRPr="008401DD">
        <w:rPr>
          <w:rFonts w:eastAsiaTheme="minorEastAsia"/>
          <w:szCs w:val="20"/>
        </w:rPr>
        <w:t>akovostnejših</w:t>
      </w:r>
      <w:r w:rsidR="00A73D79" w:rsidRPr="008401DD">
        <w:rPr>
          <w:rFonts w:eastAsiaTheme="minorEastAsia"/>
          <w:szCs w:val="20"/>
        </w:rPr>
        <w:t xml:space="preserve"> naprav in sistemov za </w:t>
      </w:r>
      <w:r w:rsidR="009D0D52" w:rsidRPr="008401DD">
        <w:rPr>
          <w:rFonts w:eastAsiaTheme="minorEastAsia"/>
          <w:szCs w:val="20"/>
        </w:rPr>
        <w:t>filtriranj</w:t>
      </w:r>
      <w:r w:rsidR="009D0D52">
        <w:rPr>
          <w:rFonts w:eastAsiaTheme="minorEastAsia"/>
          <w:szCs w:val="20"/>
        </w:rPr>
        <w:t>e</w:t>
      </w:r>
      <w:r w:rsidR="00A73D79" w:rsidRPr="008401DD">
        <w:rPr>
          <w:rFonts w:eastAsiaTheme="minorEastAsia"/>
          <w:szCs w:val="20"/>
        </w:rPr>
        <w:t xml:space="preserve"> </w:t>
      </w:r>
      <w:r w:rsidR="0037534E" w:rsidRPr="008401DD">
        <w:rPr>
          <w:rFonts w:eastAsiaTheme="minorEastAsia"/>
          <w:szCs w:val="20"/>
        </w:rPr>
        <w:t xml:space="preserve">in </w:t>
      </w:r>
      <w:r w:rsidR="000E371A" w:rsidRPr="008401DD">
        <w:rPr>
          <w:rFonts w:eastAsiaTheme="minorEastAsia"/>
          <w:szCs w:val="20"/>
        </w:rPr>
        <w:t>distribucijo</w:t>
      </w:r>
      <w:r w:rsidR="0037534E" w:rsidRPr="008401DD">
        <w:rPr>
          <w:rFonts w:eastAsiaTheme="minorEastAsia"/>
          <w:szCs w:val="20"/>
        </w:rPr>
        <w:t xml:space="preserve"> vode, zmanjša </w:t>
      </w:r>
      <w:r w:rsidR="00A73D79" w:rsidRPr="008401DD">
        <w:rPr>
          <w:rFonts w:eastAsiaTheme="minorEastAsia"/>
          <w:szCs w:val="20"/>
        </w:rPr>
        <w:t xml:space="preserve">poraba energije, ki jo za svoje delovanje potrebuje upravitelj objektov, tj. Javno komunalno podjetje »Nikola </w:t>
      </w:r>
      <w:proofErr w:type="spellStart"/>
      <w:r w:rsidR="00A73D79" w:rsidRPr="008401DD">
        <w:rPr>
          <w:rFonts w:eastAsiaTheme="minorEastAsia"/>
          <w:szCs w:val="20"/>
        </w:rPr>
        <w:t>Kar</w:t>
      </w:r>
      <w:r w:rsidR="008D2F13" w:rsidRPr="008401DD">
        <w:rPr>
          <w:rFonts w:eastAsiaTheme="minorEastAsia"/>
          <w:szCs w:val="20"/>
        </w:rPr>
        <w:t>ev</w:t>
      </w:r>
      <w:proofErr w:type="spellEnd"/>
      <w:r w:rsidR="008D2F13" w:rsidRPr="008401DD">
        <w:t>«, čeprav v končnem poročilu ni razvidno ali je bilo to tudi doseženo.</w:t>
      </w:r>
      <w:r w:rsidR="00091B6E" w:rsidRPr="008401DD">
        <w:t xml:space="preserve"> </w:t>
      </w:r>
    </w:p>
    <w:p w14:paraId="7FA64EBF" w14:textId="1E933009" w:rsidR="008D2F13" w:rsidRPr="008401DD" w:rsidRDefault="008D2F13" w:rsidP="00960E68">
      <w:pPr>
        <w:jc w:val="both"/>
      </w:pPr>
    </w:p>
    <w:p w14:paraId="0E89C730" w14:textId="7611B5B4" w:rsidR="003C12B3" w:rsidRPr="008401DD" w:rsidRDefault="003C12B3" w:rsidP="00960E68">
      <w:pPr>
        <w:jc w:val="both"/>
      </w:pPr>
      <w:r w:rsidRPr="008401DD">
        <w:t>V oceni projektih zasnov je glede na merila za ocenjevanje projektov MRS, na področju varovanja okolja prvi projekt prejel 6 točk od 12, nikjer pa ni razvidno kako in zakaj je bilo dodeljeno takšno število točk. Drugi projekt je glede na merilo »vplivi na okolje« dobil 5 točk od skupno 12, prav tako pa ni podana razlaga ali utemeljitev glede dodeljenega</w:t>
      </w:r>
      <w:r w:rsidR="00D95A7C" w:rsidRPr="008401DD">
        <w:t xml:space="preserve"> števila</w:t>
      </w:r>
      <w:r w:rsidRPr="008401DD">
        <w:t xml:space="preserve"> točk. </w:t>
      </w:r>
    </w:p>
    <w:p w14:paraId="56AB39F4" w14:textId="77777777" w:rsidR="003C12B3" w:rsidRPr="008401DD" w:rsidRDefault="003C12B3" w:rsidP="00960E68">
      <w:pPr>
        <w:jc w:val="both"/>
      </w:pPr>
    </w:p>
    <w:p w14:paraId="01DB245B" w14:textId="77777777" w:rsidR="003C12B3" w:rsidRPr="008401DD" w:rsidRDefault="003C12B3" w:rsidP="00960E68">
      <w:pPr>
        <w:jc w:val="both"/>
      </w:pPr>
      <w:r w:rsidRPr="008401DD">
        <w:t xml:space="preserve">Ocenjevanje projektov z vidika prispevanja k varovanju okolja tako ocenjujejo kot pomanjkljivo, saj ni podanih utemeljitev, kako projekta vplivata na okolje oz. njunih prispevkov k varovanju le-tega. </w:t>
      </w:r>
    </w:p>
    <w:p w14:paraId="37575C95" w14:textId="77777777" w:rsidR="00EA0EA6" w:rsidRPr="008401DD" w:rsidRDefault="00EA0EA6" w:rsidP="00960E68">
      <w:pPr>
        <w:jc w:val="both"/>
      </w:pPr>
    </w:p>
    <w:p w14:paraId="41BBA374" w14:textId="4DA3170E" w:rsidR="008D0A85" w:rsidRPr="008401DD" w:rsidRDefault="008D0A85" w:rsidP="00960E68">
      <w:pPr>
        <w:jc w:val="both"/>
      </w:pPr>
      <w:r w:rsidRPr="008401DD">
        <w:t xml:space="preserve">Glede na vsebino obeh projektov ugotavljamo, da </w:t>
      </w:r>
      <w:r w:rsidR="006A7623" w:rsidRPr="008401DD">
        <w:t>preverjanje prispevka</w:t>
      </w:r>
      <w:r w:rsidR="004E3760" w:rsidRPr="008401DD">
        <w:t xml:space="preserve"> k enakosti </w:t>
      </w:r>
      <w:r w:rsidR="006A7623" w:rsidRPr="008401DD">
        <w:t>spolov ni relevantno</w:t>
      </w:r>
      <w:r w:rsidR="004E3760" w:rsidRPr="008401DD">
        <w:t>.</w:t>
      </w:r>
    </w:p>
    <w:p w14:paraId="69B84078" w14:textId="722AAC3E" w:rsidR="008D0A85" w:rsidRPr="008401DD" w:rsidRDefault="008D0A85" w:rsidP="00960E68">
      <w:pPr>
        <w:jc w:val="both"/>
      </w:pPr>
    </w:p>
    <w:p w14:paraId="7ECE3FE2" w14:textId="16B2A961" w:rsidR="008D0A85" w:rsidRPr="008401DD" w:rsidRDefault="33118C5D"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Priporočilo</w:t>
      </w:r>
      <w:r w:rsidR="00096DB9" w:rsidRPr="00B8121B">
        <w:rPr>
          <w:i/>
        </w:rPr>
        <w:t xml:space="preserve"> 1.9.</w:t>
      </w:r>
      <w:r w:rsidRPr="00B8121B">
        <w:rPr>
          <w:i/>
        </w:rPr>
        <w:t>:</w:t>
      </w:r>
      <w:r w:rsidR="004E3760" w:rsidRPr="009D0D52">
        <w:rPr>
          <w:i/>
        </w:rPr>
        <w:t xml:space="preserve"> </w:t>
      </w:r>
      <w:r w:rsidR="007E77AE">
        <w:rPr>
          <w:i/>
        </w:rPr>
        <w:t>Gledati</w:t>
      </w:r>
      <w:r w:rsidR="489D6366" w:rsidRPr="008401DD">
        <w:rPr>
          <w:i/>
        </w:rPr>
        <w:t xml:space="preserve"> priporočilo</w:t>
      </w:r>
      <w:r w:rsidR="00F9676E">
        <w:rPr>
          <w:i/>
        </w:rPr>
        <w:t xml:space="preserve"> 3.1.</w:t>
      </w:r>
      <w:r w:rsidR="489D6366" w:rsidRPr="008401DD">
        <w:rPr>
          <w:i/>
        </w:rPr>
        <w:t xml:space="preserve"> glede </w:t>
      </w:r>
      <w:r w:rsidR="00F9676E">
        <w:rPr>
          <w:i/>
        </w:rPr>
        <w:t>ocenjevanja projektnih predlogov</w:t>
      </w:r>
      <w:r w:rsidR="489D6366" w:rsidRPr="008401DD">
        <w:rPr>
          <w:i/>
          <w:iCs/>
        </w:rPr>
        <w:t>.</w:t>
      </w:r>
    </w:p>
    <w:p w14:paraId="5BCCFDC8" w14:textId="1891E7AD" w:rsidR="00A418B4" w:rsidRPr="008401DD" w:rsidRDefault="00A418B4" w:rsidP="006F317B">
      <w:pPr>
        <w:pStyle w:val="Heading3"/>
      </w:pPr>
      <w:bookmarkStart w:id="118" w:name="_Toc56088908"/>
      <w:bookmarkStart w:id="119" w:name="_Toc56112202"/>
      <w:bookmarkStart w:id="120" w:name="_Toc57377179"/>
      <w:r w:rsidRPr="008401DD">
        <w:lastRenderedPageBreak/>
        <w:t>Uspešnost</w:t>
      </w:r>
      <w:bookmarkEnd w:id="118"/>
      <w:bookmarkEnd w:id="119"/>
      <w:bookmarkEnd w:id="120"/>
    </w:p>
    <w:p w14:paraId="6230C90E" w14:textId="77777777" w:rsidR="00A418B4" w:rsidRPr="008401DD" w:rsidRDefault="00A418B4" w:rsidP="00960E68">
      <w:pPr>
        <w:spacing w:line="240" w:lineRule="auto"/>
        <w:jc w:val="both"/>
        <w:rPr>
          <w:rFonts w:cs="Arial"/>
        </w:rPr>
      </w:pPr>
    </w:p>
    <w:p w14:paraId="77AC252F" w14:textId="66755F68" w:rsidR="00A465B8" w:rsidRPr="008401DD" w:rsidRDefault="00A418B4" w:rsidP="00960E68">
      <w:pPr>
        <w:shd w:val="clear" w:color="auto" w:fill="67C18C"/>
        <w:spacing w:line="240" w:lineRule="auto"/>
        <w:jc w:val="both"/>
        <w:rPr>
          <w:rFonts w:cs="Arial"/>
          <w:i/>
        </w:rPr>
      </w:pPr>
      <w:r w:rsidRPr="008401DD">
        <w:rPr>
          <w:rFonts w:eastAsiaTheme="majorEastAsia" w:cs="Arial"/>
          <w:b/>
          <w:iCs/>
          <w:color w:val="FFFFFF" w:themeColor="background1"/>
        </w:rPr>
        <w:t>V kolikšni meri je projekt dosegel cilje in rezultate?</w:t>
      </w:r>
    </w:p>
    <w:p w14:paraId="34227834" w14:textId="47409830" w:rsidR="00E15039" w:rsidRPr="008401DD" w:rsidRDefault="00E15039" w:rsidP="00960E68">
      <w:pPr>
        <w:spacing w:line="276" w:lineRule="auto"/>
        <w:jc w:val="both"/>
        <w:rPr>
          <w:rFonts w:cs="Arial"/>
          <w:b/>
        </w:rPr>
      </w:pPr>
    </w:p>
    <w:p w14:paraId="141B4D52" w14:textId="5F67E6B2" w:rsidR="00A418B4" w:rsidRPr="008401DD" w:rsidRDefault="00A418B4"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2.1:</w:t>
      </w:r>
      <w:r w:rsidRPr="008401DD">
        <w:rPr>
          <w:rFonts w:cs="Arial"/>
          <w:color w:val="67C18C"/>
        </w:rPr>
        <w:t xml:space="preserve"> </w:t>
      </w:r>
      <w:r w:rsidRPr="008401DD">
        <w:rPr>
          <w:rFonts w:cs="Arial"/>
          <w:i/>
          <w:color w:val="67C18C"/>
        </w:rPr>
        <w:t>V kolikšni meri so učinki in rezultati projektov pripomogli k uresničevanju zastavljenih ciljev?</w:t>
      </w:r>
    </w:p>
    <w:p w14:paraId="29AA59A6" w14:textId="77777777" w:rsidR="00B85B43" w:rsidRDefault="00B85B43" w:rsidP="00960E68">
      <w:pPr>
        <w:spacing w:line="276" w:lineRule="auto"/>
        <w:jc w:val="both"/>
        <w:rPr>
          <w:rFonts w:cs="Arial"/>
        </w:rPr>
      </w:pPr>
    </w:p>
    <w:p w14:paraId="300A2630" w14:textId="7305340A" w:rsidR="006658D0" w:rsidRPr="008401DD" w:rsidRDefault="008764C1" w:rsidP="00960E68">
      <w:pPr>
        <w:spacing w:line="276" w:lineRule="auto"/>
        <w:jc w:val="both"/>
        <w:rPr>
          <w:rFonts w:cs="Arial"/>
        </w:rPr>
      </w:pPr>
      <w:r w:rsidRPr="008401DD">
        <w:rPr>
          <w:rFonts w:cs="Arial"/>
        </w:rPr>
        <w:t xml:space="preserve">Cilj </w:t>
      </w:r>
      <w:r w:rsidR="00CB3930" w:rsidRPr="008401DD">
        <w:rPr>
          <w:rFonts w:cs="Arial"/>
        </w:rPr>
        <w:t xml:space="preserve">prvega </w:t>
      </w:r>
      <w:r w:rsidRPr="008401DD">
        <w:rPr>
          <w:rFonts w:cs="Arial"/>
        </w:rPr>
        <w:t xml:space="preserve">projekta je bil izgradnja čistilne naprave, ki bo zadovoljevala potrebe po pitni vodi (tako v smislu </w:t>
      </w:r>
      <w:r w:rsidR="00D44C5B" w:rsidRPr="008401DD">
        <w:rPr>
          <w:rFonts w:cs="Arial"/>
        </w:rPr>
        <w:t>kakovosti</w:t>
      </w:r>
      <w:r w:rsidRPr="008401DD">
        <w:rPr>
          <w:rFonts w:cs="Arial"/>
        </w:rPr>
        <w:t xml:space="preserve"> </w:t>
      </w:r>
      <w:r w:rsidR="00D44C5B" w:rsidRPr="008401DD">
        <w:rPr>
          <w:rFonts w:cs="Arial"/>
        </w:rPr>
        <w:t>kot tudi</w:t>
      </w:r>
      <w:r w:rsidRPr="008401DD">
        <w:rPr>
          <w:rFonts w:cs="Arial"/>
        </w:rPr>
        <w:t xml:space="preserve"> količine pitne vode)</w:t>
      </w:r>
    </w:p>
    <w:p w14:paraId="2B471AD3" w14:textId="59517FF1" w:rsidR="008764C1" w:rsidRPr="008401DD" w:rsidRDefault="008764C1" w:rsidP="00960E68">
      <w:pPr>
        <w:spacing w:line="276" w:lineRule="auto"/>
        <w:jc w:val="both"/>
        <w:rPr>
          <w:rFonts w:cs="Arial"/>
        </w:rPr>
      </w:pPr>
      <w:r w:rsidRPr="008401DD">
        <w:rPr>
          <w:rFonts w:cs="Arial"/>
        </w:rPr>
        <w:t>Cilj</w:t>
      </w:r>
      <w:r w:rsidR="00CB3930" w:rsidRPr="008401DD">
        <w:rPr>
          <w:rFonts w:cs="Arial"/>
        </w:rPr>
        <w:t xml:space="preserve">i drugega </w:t>
      </w:r>
      <w:r w:rsidRPr="008401DD">
        <w:rPr>
          <w:rFonts w:cs="Arial"/>
        </w:rPr>
        <w:t>projekta</w:t>
      </w:r>
      <w:r w:rsidR="00CB3930" w:rsidRPr="008401DD">
        <w:rPr>
          <w:rFonts w:cs="Arial"/>
        </w:rPr>
        <w:t xml:space="preserve"> so</w:t>
      </w:r>
      <w:r w:rsidRPr="008401DD">
        <w:rPr>
          <w:rFonts w:cs="Arial"/>
        </w:rPr>
        <w:t xml:space="preserve"> bil</w:t>
      </w:r>
      <w:r w:rsidR="00CB3930" w:rsidRPr="008401DD">
        <w:rPr>
          <w:rFonts w:cs="Arial"/>
        </w:rPr>
        <w:t>i</w:t>
      </w:r>
      <w:r w:rsidRPr="008401DD">
        <w:rPr>
          <w:rFonts w:cs="Arial"/>
        </w:rPr>
        <w:t xml:space="preserve"> opredeljen</w:t>
      </w:r>
      <w:r w:rsidR="00CB3930" w:rsidRPr="008401DD">
        <w:rPr>
          <w:rFonts w:cs="Arial"/>
        </w:rPr>
        <w:t>i</w:t>
      </w:r>
      <w:r w:rsidRPr="008401DD">
        <w:rPr>
          <w:rFonts w:cs="Arial"/>
        </w:rPr>
        <w:t xml:space="preserve"> </w:t>
      </w:r>
      <w:r w:rsidR="0006139E" w:rsidRPr="008401DD">
        <w:rPr>
          <w:rFonts w:cs="Arial"/>
        </w:rPr>
        <w:t>večplastno</w:t>
      </w:r>
      <w:r w:rsidRPr="008401DD">
        <w:rPr>
          <w:rFonts w:cs="Arial"/>
        </w:rPr>
        <w:t xml:space="preserve">: </w:t>
      </w:r>
    </w:p>
    <w:p w14:paraId="4114DDF7" w14:textId="08B0DD50" w:rsidR="008764C1" w:rsidRPr="008401DD" w:rsidRDefault="008764C1" w:rsidP="00960E68">
      <w:pPr>
        <w:pStyle w:val="ListParagraph"/>
        <w:numPr>
          <w:ilvl w:val="0"/>
          <w:numId w:val="13"/>
        </w:numPr>
        <w:spacing w:line="276" w:lineRule="auto"/>
        <w:jc w:val="both"/>
        <w:rPr>
          <w:rFonts w:cs="Arial"/>
        </w:rPr>
      </w:pPr>
      <w:r w:rsidRPr="008401DD">
        <w:rPr>
          <w:rFonts w:cs="Arial"/>
        </w:rPr>
        <w:t>omogočanje trajne rabe voda in zagotavljanje ustrezne pitne vode</w:t>
      </w:r>
      <w:r w:rsidR="009F2A1D" w:rsidRPr="008401DD">
        <w:rPr>
          <w:rFonts w:cs="Arial"/>
        </w:rPr>
        <w:t>;</w:t>
      </w:r>
      <w:r w:rsidRPr="008401DD">
        <w:rPr>
          <w:rFonts w:cs="Arial"/>
        </w:rPr>
        <w:t xml:space="preserve"> </w:t>
      </w:r>
    </w:p>
    <w:p w14:paraId="58942D29" w14:textId="0426FBF1" w:rsidR="008764C1" w:rsidRPr="008401DD" w:rsidRDefault="008764C1" w:rsidP="00960E68">
      <w:pPr>
        <w:pStyle w:val="ListParagraph"/>
        <w:numPr>
          <w:ilvl w:val="0"/>
          <w:numId w:val="13"/>
        </w:numPr>
        <w:spacing w:line="276" w:lineRule="auto"/>
        <w:jc w:val="both"/>
        <w:rPr>
          <w:rFonts w:cs="Arial"/>
        </w:rPr>
      </w:pPr>
      <w:r w:rsidRPr="008401DD">
        <w:rPr>
          <w:rFonts w:cs="Arial"/>
        </w:rPr>
        <w:t>spodbujanje družbenega in gospodarskega razvoja v degradiranem okolju</w:t>
      </w:r>
      <w:r w:rsidR="009F2A1D" w:rsidRPr="008401DD">
        <w:rPr>
          <w:rFonts w:cs="Arial"/>
        </w:rPr>
        <w:t>;</w:t>
      </w:r>
    </w:p>
    <w:p w14:paraId="758B604C" w14:textId="669BF0AA" w:rsidR="008764C1" w:rsidRPr="008401DD" w:rsidRDefault="0006139E" w:rsidP="00960E68">
      <w:pPr>
        <w:pStyle w:val="ListParagraph"/>
        <w:numPr>
          <w:ilvl w:val="0"/>
          <w:numId w:val="13"/>
        </w:numPr>
        <w:spacing w:line="276" w:lineRule="auto"/>
        <w:jc w:val="both"/>
        <w:rPr>
          <w:rFonts w:cs="Arial"/>
        </w:rPr>
      </w:pPr>
      <w:r w:rsidRPr="008401DD">
        <w:rPr>
          <w:rFonts w:cs="Arial"/>
        </w:rPr>
        <w:t>povečane zmogljivosti čiščenja</w:t>
      </w:r>
      <w:r w:rsidR="008764C1" w:rsidRPr="008401DD">
        <w:rPr>
          <w:rFonts w:cs="Arial"/>
        </w:rPr>
        <w:t xml:space="preserve"> vode (dodatna membrana)</w:t>
      </w:r>
      <w:r w:rsidR="009F2A1D" w:rsidRPr="008401DD">
        <w:rPr>
          <w:rFonts w:cs="Arial"/>
        </w:rPr>
        <w:t>.</w:t>
      </w:r>
    </w:p>
    <w:p w14:paraId="19B9471E" w14:textId="77777777" w:rsidR="00D924E9" w:rsidRPr="008401DD" w:rsidRDefault="00D924E9" w:rsidP="00960E68">
      <w:pPr>
        <w:jc w:val="both"/>
        <w:rPr>
          <w:rFonts w:cs="Arial"/>
          <w:b/>
        </w:rPr>
      </w:pPr>
    </w:p>
    <w:p w14:paraId="60BE5694" w14:textId="2FA93E93" w:rsidR="00743496" w:rsidRPr="008401DD" w:rsidRDefault="00743496" w:rsidP="00960E68">
      <w:pPr>
        <w:jc w:val="both"/>
        <w:rPr>
          <w:rFonts w:cs="Arial"/>
        </w:rPr>
      </w:pPr>
      <w:r w:rsidRPr="008401DD">
        <w:rPr>
          <w:rFonts w:cs="Arial"/>
        </w:rPr>
        <w:t>Za doseganje čim večje učinkovitosti projektov MRS je potreben jasen programski okvir z opredeljenimi »SMART« cilji</w:t>
      </w:r>
      <w:r w:rsidRPr="008401DD">
        <w:rPr>
          <w:rStyle w:val="FootnoteReference"/>
          <w:rFonts w:cs="Arial"/>
        </w:rPr>
        <w:footnoteReference w:id="25"/>
      </w:r>
      <w:r w:rsidRPr="008401DD">
        <w:rPr>
          <w:rFonts w:cs="Arial"/>
        </w:rPr>
        <w:t xml:space="preserve"> in njihovimi (pričakovanimi) rezultati in kazalniki uspešnosti. Na podlagi teh ciljev se lahko zagotovi ustrezen sistem spremljanja in poročanja, kar je prav tako ključno za učinkovitost pomoči. Ugotavljamo, da sta trenutni sistem upravljanja in sistem spremljanja in poročanja pomanjkljiva, saj sam programski okvir ne predvideva jasno opredeljenih operativnih ciljev, </w:t>
      </w:r>
      <w:r w:rsidR="008F2405" w:rsidRPr="008401DD">
        <w:rPr>
          <w:rFonts w:cs="Arial"/>
        </w:rPr>
        <w:t>predvsem pa za cilje niso opredeljeni merljivi</w:t>
      </w:r>
      <w:r w:rsidRPr="008401DD">
        <w:rPr>
          <w:rFonts w:cs="Arial"/>
        </w:rPr>
        <w:t xml:space="preserve"> kazalnik</w:t>
      </w:r>
      <w:r w:rsidR="008F2405" w:rsidRPr="008401DD">
        <w:rPr>
          <w:rFonts w:cs="Arial"/>
        </w:rPr>
        <w:t>i</w:t>
      </w:r>
      <w:r w:rsidRPr="008401DD">
        <w:rPr>
          <w:rFonts w:cs="Arial"/>
        </w:rPr>
        <w:t xml:space="preserve">, na podlagi katerih </w:t>
      </w:r>
      <w:r w:rsidR="008F2405" w:rsidRPr="008401DD">
        <w:rPr>
          <w:rFonts w:cs="Arial"/>
        </w:rPr>
        <w:t xml:space="preserve">bi </w:t>
      </w:r>
      <w:proofErr w:type="spellStart"/>
      <w:r w:rsidRPr="008401DD">
        <w:rPr>
          <w:rFonts w:cs="Arial"/>
        </w:rPr>
        <w:t>evalvator</w:t>
      </w:r>
      <w:proofErr w:type="spellEnd"/>
      <w:r w:rsidRPr="008401DD">
        <w:rPr>
          <w:rFonts w:cs="Arial"/>
        </w:rPr>
        <w:t xml:space="preserve"> lahko sklepa</w:t>
      </w:r>
      <w:r w:rsidR="008F2405" w:rsidRPr="008401DD">
        <w:rPr>
          <w:rFonts w:cs="Arial"/>
        </w:rPr>
        <w:t>l</w:t>
      </w:r>
      <w:r w:rsidRPr="008401DD">
        <w:rPr>
          <w:rFonts w:cs="Arial"/>
        </w:rPr>
        <w:t xml:space="preserve"> o napredku programa glede na zastavljene cilje.</w:t>
      </w:r>
    </w:p>
    <w:p w14:paraId="25515A72" w14:textId="42452629" w:rsidR="00BF63E5" w:rsidRPr="008401DD" w:rsidRDefault="00BF63E5" w:rsidP="00960E68">
      <w:pPr>
        <w:jc w:val="both"/>
        <w:rPr>
          <w:rFonts w:cs="Arial"/>
        </w:rPr>
      </w:pPr>
    </w:p>
    <w:p w14:paraId="71D5C28A" w14:textId="48A7FC01" w:rsidR="00BF63E5" w:rsidRPr="008401DD" w:rsidRDefault="00BF63E5" w:rsidP="00960E68">
      <w:pPr>
        <w:jc w:val="both"/>
        <w:rPr>
          <w:rFonts w:cs="Arial"/>
        </w:rPr>
      </w:pPr>
      <w:r w:rsidRPr="008401DD">
        <w:rPr>
          <w:rFonts w:cs="Arial"/>
        </w:rPr>
        <w:t xml:space="preserve">Podatkov o </w:t>
      </w:r>
      <w:r w:rsidR="008F2405" w:rsidRPr="008401DD">
        <w:rPr>
          <w:rFonts w:cs="Arial"/>
        </w:rPr>
        <w:t>kakovosti</w:t>
      </w:r>
      <w:r w:rsidRPr="008401DD">
        <w:rPr>
          <w:rFonts w:cs="Arial"/>
        </w:rPr>
        <w:t xml:space="preserve"> vode oz. rezultatih monitoringa nismo prejeli, smo pa glede na izvedene intervjuje ugotovili, da </w:t>
      </w:r>
      <w:r w:rsidR="00773AE7" w:rsidRPr="008401DD">
        <w:rPr>
          <w:rFonts w:cs="Arial"/>
        </w:rPr>
        <w:t xml:space="preserve">se je </w:t>
      </w:r>
      <w:r w:rsidR="008F2405" w:rsidRPr="008401DD">
        <w:rPr>
          <w:rFonts w:cs="Arial"/>
        </w:rPr>
        <w:t>kakovost</w:t>
      </w:r>
      <w:r w:rsidR="00773AE7" w:rsidRPr="008401DD">
        <w:rPr>
          <w:rFonts w:cs="Arial"/>
        </w:rPr>
        <w:t xml:space="preserve"> vode znatno izboljšala, prav tako </w:t>
      </w:r>
      <w:r w:rsidRPr="008401DD">
        <w:rPr>
          <w:rFonts w:cs="Arial"/>
        </w:rPr>
        <w:t xml:space="preserve">so bili vzpostavljeni sistemi za spremljanje </w:t>
      </w:r>
      <w:r w:rsidR="008F2405" w:rsidRPr="008401DD">
        <w:rPr>
          <w:rFonts w:cs="Arial"/>
        </w:rPr>
        <w:t>kakovosti</w:t>
      </w:r>
      <w:r w:rsidRPr="008401DD">
        <w:rPr>
          <w:rFonts w:cs="Arial"/>
        </w:rPr>
        <w:t xml:space="preserve"> vode</w:t>
      </w:r>
      <w:r w:rsidR="008F2405" w:rsidRPr="008401DD">
        <w:rPr>
          <w:rFonts w:cs="Arial"/>
        </w:rPr>
        <w:t>. Za</w:t>
      </w:r>
      <w:r w:rsidRPr="008401DD">
        <w:rPr>
          <w:rFonts w:cs="Arial"/>
        </w:rPr>
        <w:t xml:space="preserve"> monitoring </w:t>
      </w:r>
      <w:r w:rsidR="008F2405" w:rsidRPr="008401DD">
        <w:rPr>
          <w:rFonts w:cs="Arial"/>
        </w:rPr>
        <w:t>je zadolžen</w:t>
      </w:r>
      <w:r w:rsidRPr="008401DD">
        <w:rPr>
          <w:rFonts w:cs="Arial"/>
        </w:rPr>
        <w:t xml:space="preserve"> </w:t>
      </w:r>
      <w:r w:rsidR="00773AE7" w:rsidRPr="008401DD">
        <w:rPr>
          <w:rFonts w:cs="Arial"/>
        </w:rPr>
        <w:t>C</w:t>
      </w:r>
      <w:r w:rsidR="009B3F96" w:rsidRPr="008401DD">
        <w:rPr>
          <w:rFonts w:cs="Arial"/>
        </w:rPr>
        <w:t>enter za javno zdravje</w:t>
      </w:r>
      <w:r w:rsidR="00773AE7" w:rsidRPr="008401DD">
        <w:rPr>
          <w:rFonts w:cs="Arial"/>
        </w:rPr>
        <w:t xml:space="preserve"> </w:t>
      </w:r>
      <w:proofErr w:type="spellStart"/>
      <w:r w:rsidR="00773AE7" w:rsidRPr="008401DD">
        <w:rPr>
          <w:rFonts w:cs="Arial"/>
        </w:rPr>
        <w:t>Štip</w:t>
      </w:r>
      <w:proofErr w:type="spellEnd"/>
      <w:r w:rsidR="00773AE7" w:rsidRPr="008401DD">
        <w:rPr>
          <w:rFonts w:cs="Arial"/>
        </w:rPr>
        <w:t xml:space="preserve">, ki na tedenski </w:t>
      </w:r>
      <w:r w:rsidR="008F2405" w:rsidRPr="008401DD">
        <w:rPr>
          <w:rFonts w:cs="Arial"/>
        </w:rPr>
        <w:t>ravni</w:t>
      </w:r>
      <w:r w:rsidR="00773AE7" w:rsidRPr="008401DD">
        <w:rPr>
          <w:rFonts w:cs="Arial"/>
        </w:rPr>
        <w:t xml:space="preserve"> izvaja fizikalno-kemijsko analizo vode, mikrobiološko analizo ter analizo prisotnosti klora v pitni vodi. Nadzor nad kvaliteto vode opravljajo tudi v komunalnem podjetju Nikola </w:t>
      </w:r>
      <w:proofErr w:type="spellStart"/>
      <w:r w:rsidR="00773AE7" w:rsidRPr="008401DD">
        <w:rPr>
          <w:rFonts w:cs="Arial"/>
        </w:rPr>
        <w:t>Karev</w:t>
      </w:r>
      <w:proofErr w:type="spellEnd"/>
      <w:r w:rsidR="00B06ED9" w:rsidRPr="008401DD">
        <w:rPr>
          <w:rFonts w:cs="Arial"/>
        </w:rPr>
        <w:t>.</w:t>
      </w:r>
      <w:r w:rsidR="00CB3930" w:rsidRPr="008401DD">
        <w:rPr>
          <w:rFonts w:cs="Arial"/>
        </w:rPr>
        <w:t xml:space="preserve"> </w:t>
      </w:r>
      <w:r w:rsidR="006D4B9B" w:rsidRPr="008401DD">
        <w:rPr>
          <w:rFonts w:cs="Arial"/>
        </w:rPr>
        <w:t>Čeprav merlj</w:t>
      </w:r>
      <w:r w:rsidR="00823DB9" w:rsidRPr="008401DD">
        <w:rPr>
          <w:rFonts w:cs="Arial"/>
        </w:rPr>
        <w:t>i</w:t>
      </w:r>
      <w:r w:rsidR="006D4B9B" w:rsidRPr="008401DD">
        <w:rPr>
          <w:rFonts w:cs="Arial"/>
        </w:rPr>
        <w:t>vi kazalniki ciljev niso opredeljeni, na podlagi ugotovitev vseeno lahko sklepamo</w:t>
      </w:r>
      <w:r w:rsidR="00CB3930" w:rsidRPr="008401DD">
        <w:rPr>
          <w:rFonts w:cs="Arial"/>
        </w:rPr>
        <w:t xml:space="preserve">, da je </w:t>
      </w:r>
      <w:r w:rsidR="006D4B9B" w:rsidRPr="008401DD">
        <w:rPr>
          <w:rFonts w:cs="Arial"/>
        </w:rPr>
        <w:t xml:space="preserve">bila </w:t>
      </w:r>
      <w:r w:rsidR="00CB3930" w:rsidRPr="008401DD">
        <w:rPr>
          <w:rFonts w:cs="Arial"/>
        </w:rPr>
        <w:t xml:space="preserve">stopnja prispevka projektov k doseganju ciljev visoka. </w:t>
      </w:r>
      <w:r w:rsidR="00823DB9" w:rsidRPr="008401DD">
        <w:rPr>
          <w:rFonts w:cs="Arial"/>
        </w:rPr>
        <w:t xml:space="preserve">Dostop do pitne vode je bil omogočen cca. 13.000 prebivalcem občine </w:t>
      </w:r>
      <w:proofErr w:type="spellStart"/>
      <w:r w:rsidR="00823DB9" w:rsidRPr="008401DD">
        <w:rPr>
          <w:rFonts w:cs="Arial"/>
        </w:rPr>
        <w:t>Probištip</w:t>
      </w:r>
      <w:proofErr w:type="spellEnd"/>
      <w:r w:rsidR="00823DB9" w:rsidRPr="008401DD">
        <w:rPr>
          <w:rFonts w:cs="Arial"/>
        </w:rPr>
        <w:t xml:space="preserve"> (gledati </w:t>
      </w:r>
      <w:proofErr w:type="spellStart"/>
      <w:r w:rsidR="00823DB9" w:rsidRPr="008401DD">
        <w:rPr>
          <w:rFonts w:cs="Arial"/>
        </w:rPr>
        <w:t>evalvacijsko</w:t>
      </w:r>
      <w:proofErr w:type="spellEnd"/>
      <w:r w:rsidR="00823DB9" w:rsidRPr="008401DD">
        <w:rPr>
          <w:rFonts w:cs="Arial"/>
        </w:rPr>
        <w:t xml:space="preserve"> vprašanje 2.2.).</w:t>
      </w:r>
    </w:p>
    <w:p w14:paraId="50EAAACF" w14:textId="77777777" w:rsidR="008F2405" w:rsidRPr="008401DD" w:rsidRDefault="008F2405" w:rsidP="00960E68">
      <w:pPr>
        <w:jc w:val="both"/>
        <w:rPr>
          <w:rFonts w:cs="Arial"/>
        </w:rPr>
      </w:pPr>
    </w:p>
    <w:p w14:paraId="5CC36754" w14:textId="16C691A1" w:rsidR="00773AE7" w:rsidRPr="008401DD" w:rsidRDefault="00803F3A" w:rsidP="00960E68">
      <w:pPr>
        <w:jc w:val="both"/>
        <w:rPr>
          <w:rFonts w:cs="Arial"/>
        </w:rPr>
      </w:pPr>
      <w:r w:rsidRPr="008401DD">
        <w:rPr>
          <w:rFonts w:cs="Arial"/>
        </w:rPr>
        <w:t>Statistični podatki</w:t>
      </w:r>
      <w:r w:rsidR="00773AE7" w:rsidRPr="008401DD">
        <w:rPr>
          <w:rFonts w:cs="Arial"/>
        </w:rPr>
        <w:t xml:space="preserve"> o izboljšanju sanitarnih in zdravstvenih razmer v občini niso na voljo</w:t>
      </w:r>
      <w:r w:rsidRPr="008401DD">
        <w:rPr>
          <w:rFonts w:cs="Arial"/>
        </w:rPr>
        <w:t xml:space="preserve">, lahko pa glede na pogovor z županom občine ugotovimo, da so </w:t>
      </w:r>
      <w:r w:rsidR="008F2405" w:rsidRPr="008401DD">
        <w:rPr>
          <w:rFonts w:cs="Arial"/>
        </w:rPr>
        <w:t xml:space="preserve">se </w:t>
      </w:r>
      <w:r w:rsidRPr="008401DD">
        <w:rPr>
          <w:rFonts w:cs="Arial"/>
        </w:rPr>
        <w:t xml:space="preserve">razmere </w:t>
      </w:r>
      <w:r w:rsidR="008F2405" w:rsidRPr="008401DD">
        <w:rPr>
          <w:rFonts w:cs="Arial"/>
        </w:rPr>
        <w:t>dejansko</w:t>
      </w:r>
      <w:r w:rsidRPr="008401DD">
        <w:rPr>
          <w:rFonts w:cs="Arial"/>
        </w:rPr>
        <w:t xml:space="preserve"> izboljšale</w:t>
      </w:r>
      <w:r w:rsidR="00773AE7" w:rsidRPr="008401DD">
        <w:rPr>
          <w:rFonts w:cs="Arial"/>
        </w:rPr>
        <w:t xml:space="preserve">. </w:t>
      </w:r>
    </w:p>
    <w:p w14:paraId="010C4BC1" w14:textId="77777777" w:rsidR="00743496" w:rsidRPr="008401DD" w:rsidRDefault="00743496" w:rsidP="00960E68">
      <w:pPr>
        <w:jc w:val="both"/>
      </w:pPr>
    </w:p>
    <w:p w14:paraId="2E521FAB" w14:textId="56E0A4D2" w:rsidR="00AF0DB0" w:rsidRPr="008401DD" w:rsidRDefault="00743496"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Priporočilo</w:t>
      </w:r>
      <w:r w:rsidR="00554EDB" w:rsidRPr="008401DD">
        <w:rPr>
          <w:rFonts w:cs="Arial"/>
          <w:i/>
          <w:szCs w:val="20"/>
          <w:u w:val="single"/>
        </w:rPr>
        <w:t xml:space="preserve"> 2.1.</w:t>
      </w:r>
      <w:r w:rsidRPr="008401DD">
        <w:rPr>
          <w:rFonts w:cs="Arial"/>
          <w:i/>
          <w:szCs w:val="20"/>
        </w:rPr>
        <w:t xml:space="preserve">: </w:t>
      </w:r>
      <w:r w:rsidR="008F2405" w:rsidRPr="008401DD">
        <w:rPr>
          <w:rFonts w:cs="Arial"/>
          <w:i/>
          <w:szCs w:val="20"/>
        </w:rPr>
        <w:t>Pomemben izziv evalvacije je bilo zagotavljanje zanesljivih, merljivih podatkov o doseženih učinkih</w:t>
      </w:r>
      <w:r w:rsidR="00AF0DB0" w:rsidRPr="008401DD">
        <w:rPr>
          <w:rFonts w:cs="Arial"/>
          <w:i/>
          <w:szCs w:val="20"/>
        </w:rPr>
        <w:t>,</w:t>
      </w:r>
      <w:r w:rsidR="008F2405" w:rsidRPr="008401DD">
        <w:rPr>
          <w:rFonts w:cs="Arial"/>
          <w:i/>
          <w:szCs w:val="20"/>
        </w:rPr>
        <w:t xml:space="preserve"> rezultatih </w:t>
      </w:r>
      <w:r w:rsidR="00AF0DB0" w:rsidRPr="008401DD">
        <w:rPr>
          <w:rFonts w:cs="Arial"/>
          <w:i/>
          <w:szCs w:val="20"/>
        </w:rPr>
        <w:t xml:space="preserve">in vplivih </w:t>
      </w:r>
      <w:r w:rsidR="008F2405" w:rsidRPr="008401DD">
        <w:rPr>
          <w:rFonts w:cs="Arial"/>
          <w:i/>
          <w:szCs w:val="20"/>
        </w:rPr>
        <w:t xml:space="preserve">projektov. </w:t>
      </w:r>
      <w:r w:rsidR="00DF39A3" w:rsidRPr="008401DD">
        <w:rPr>
          <w:rFonts w:cs="Arial"/>
          <w:i/>
          <w:szCs w:val="20"/>
        </w:rPr>
        <w:t>Priporočamo</w:t>
      </w:r>
      <w:r w:rsidR="008F2405" w:rsidRPr="008401DD">
        <w:rPr>
          <w:rFonts w:cs="Arial"/>
          <w:i/>
          <w:szCs w:val="20"/>
        </w:rPr>
        <w:t xml:space="preserve"> v</w:t>
      </w:r>
      <w:r w:rsidRPr="008401DD">
        <w:rPr>
          <w:rFonts w:cs="Arial"/>
          <w:i/>
          <w:szCs w:val="20"/>
        </w:rPr>
        <w:t xml:space="preserve">zpostavitev mehanizmov za spremljanje projektov </w:t>
      </w:r>
      <w:r w:rsidR="008F2405" w:rsidRPr="008401DD">
        <w:rPr>
          <w:rFonts w:cs="Arial"/>
          <w:i/>
          <w:szCs w:val="20"/>
        </w:rPr>
        <w:t>v fazi samega načrtovanja projekta</w:t>
      </w:r>
      <w:r w:rsidR="00DF39A3" w:rsidRPr="008401DD">
        <w:rPr>
          <w:rFonts w:cs="Arial"/>
          <w:i/>
          <w:szCs w:val="20"/>
        </w:rPr>
        <w:t>, skladno z načeli stroke in dobrega projektnega upravljanja</w:t>
      </w:r>
      <w:r w:rsidR="008F2405" w:rsidRPr="008401DD">
        <w:rPr>
          <w:rFonts w:cs="Arial"/>
          <w:i/>
          <w:szCs w:val="20"/>
        </w:rPr>
        <w:t xml:space="preserve">. </w:t>
      </w:r>
      <w:r w:rsidR="00890D08" w:rsidRPr="008401DD">
        <w:rPr>
          <w:rFonts w:cs="Arial"/>
          <w:i/>
          <w:szCs w:val="20"/>
        </w:rPr>
        <w:t>Pri tem je ključno zlasti (i) oblikovanje merljivih, jasno zastavljenih ciljev, zasnova sistema za spremljanje, ki temelji na robustnih kaza</w:t>
      </w:r>
      <w:r w:rsidR="00F35FA0" w:rsidRPr="008401DD">
        <w:rPr>
          <w:rFonts w:cs="Arial"/>
          <w:i/>
          <w:szCs w:val="20"/>
        </w:rPr>
        <w:t>l</w:t>
      </w:r>
      <w:r w:rsidR="00890D08" w:rsidRPr="008401DD">
        <w:rPr>
          <w:rFonts w:cs="Arial"/>
          <w:i/>
          <w:szCs w:val="20"/>
        </w:rPr>
        <w:t xml:space="preserve">nikih in (iii) identifikacija odgovornosti za spremljanje doseganja ciljev in kazalnikov ter, če je primerno, virov podatkov. </w:t>
      </w:r>
      <w:r w:rsidR="008F2405" w:rsidRPr="008401DD">
        <w:rPr>
          <w:rFonts w:cs="Arial"/>
          <w:i/>
          <w:szCs w:val="20"/>
        </w:rPr>
        <w:t xml:space="preserve">V primeru infrastrukturnih projektov naj okvir za spremljanje učinkov in rezultatov temelji </w:t>
      </w:r>
      <w:r w:rsidR="00AF0DB0" w:rsidRPr="008401DD">
        <w:rPr>
          <w:rFonts w:cs="Arial"/>
          <w:i/>
          <w:szCs w:val="20"/>
        </w:rPr>
        <w:t xml:space="preserve">na investicijski dokumentaciji, ki mora v okviru tehnično-tehnološke rešitve jasno predvideti merljive cilje. V primeru obravnavanih projektov bi tovrstni </w:t>
      </w:r>
      <w:r w:rsidR="00890D08" w:rsidRPr="008401DD">
        <w:rPr>
          <w:rFonts w:cs="Arial"/>
          <w:i/>
          <w:szCs w:val="20"/>
        </w:rPr>
        <w:t xml:space="preserve">cilji in </w:t>
      </w:r>
      <w:r w:rsidR="00AF0DB0" w:rsidRPr="008401DD">
        <w:rPr>
          <w:rFonts w:cs="Arial"/>
          <w:i/>
          <w:szCs w:val="20"/>
        </w:rPr>
        <w:t xml:space="preserve">kazalniki </w:t>
      </w:r>
      <w:r w:rsidR="00890D08" w:rsidRPr="008401DD">
        <w:rPr>
          <w:rFonts w:cs="Arial"/>
          <w:i/>
          <w:szCs w:val="20"/>
        </w:rPr>
        <w:t xml:space="preserve">lahko </w:t>
      </w:r>
      <w:r w:rsidR="00AF0DB0" w:rsidRPr="008401DD">
        <w:rPr>
          <w:rFonts w:cs="Arial"/>
          <w:i/>
          <w:szCs w:val="20"/>
        </w:rPr>
        <w:t>obsegati vsaj:</w:t>
      </w:r>
    </w:p>
    <w:p w14:paraId="5EC912B5" w14:textId="7F70B902" w:rsidR="00F9676E" w:rsidRPr="00B02C16" w:rsidRDefault="00F9676E" w:rsidP="00B02C16">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02C16">
        <w:rPr>
          <w:i/>
        </w:rPr>
        <w:t xml:space="preserve">Povečane koristi prejemnikov oz. uporabnikov v smislu izboljšanih higienskih, sanitarnih razmer in izboljšane kakovosti življenja (npr. število prebivalcev, ki imajo neposredne koristi od projektov; povečanje št. in % gospodinjstev (končnih prejemnikov), ki jim je bil omogočen dostop do pitne vode; zmanjšanje izgub v vodooskrbnem sistemu); </w:t>
      </w:r>
    </w:p>
    <w:p w14:paraId="62DFA5D5" w14:textId="2D277982" w:rsidR="00F9676E" w:rsidRPr="00B02C16" w:rsidRDefault="00F9676E" w:rsidP="00B02C16">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02C16">
        <w:rPr>
          <w:i/>
        </w:rPr>
        <w:t>Povečane zmogljivosti instalirane infrastrukture (npr. % povečanja zmogljivosti čistilne infrastrukture v l/s; letna oskrba s pitno in industrijsko vodo v m</w:t>
      </w:r>
      <w:r w:rsidRPr="00E90856">
        <w:rPr>
          <w:i/>
          <w:vertAlign w:val="superscript"/>
        </w:rPr>
        <w:t>3</w:t>
      </w:r>
      <w:r w:rsidRPr="00B02C16">
        <w:rPr>
          <w:i/>
        </w:rPr>
        <w:t>; izboljšanje kakovosti pitne vode na podlagi rezultatov monitoringa);</w:t>
      </w:r>
    </w:p>
    <w:p w14:paraId="38E9D4CA" w14:textId="2ABA5A97" w:rsidR="00F9676E" w:rsidRPr="00B02C16" w:rsidRDefault="00F9676E" w:rsidP="00B02C16">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02C16">
        <w:rPr>
          <w:i/>
        </w:rPr>
        <w:lastRenderedPageBreak/>
        <w:t>Visoka kakovost nameščene infrastrukture (npr. število okvar);</w:t>
      </w:r>
    </w:p>
    <w:p w14:paraId="7180363D" w14:textId="351A51D9" w:rsidR="00AF0DB0" w:rsidRPr="00B02C16" w:rsidRDefault="00F9676E"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02C16">
        <w:rPr>
          <w:i/>
        </w:rPr>
        <w:t>Zagotovljena trajnost projekta po izteku financiranja (npr. investicije v zamenjavo komponent oz. investicijska vlaganja; izvajanje ukrepov za podaljšanje življenjske dobe infrastrukture oz. posameznih komponent).</w:t>
      </w:r>
    </w:p>
    <w:p w14:paraId="3C5682B8" w14:textId="77777777" w:rsidR="00F9676E" w:rsidRPr="008401DD" w:rsidRDefault="00F9676E" w:rsidP="00F9676E">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p>
    <w:p w14:paraId="278387AC" w14:textId="2453C310" w:rsidR="00E11CFE" w:rsidRPr="008401DD" w:rsidRDefault="00E11CFE"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rPr>
        <w:t xml:space="preserve">Pomemben vidik spremljanja je tudi določitev odgovornosti za spremljanje in poročanje. Glede na zmogljivosti CMSR je najbolj smotrna ureditev ta, da za samo spremljanje kazalnikov zagotovi poročanje s strani relevantnega lokalnega deležnika (v tem primeru občina </w:t>
      </w:r>
      <w:proofErr w:type="spellStart"/>
      <w:r w:rsidRPr="008401DD">
        <w:rPr>
          <w:rFonts w:cs="Arial"/>
          <w:i/>
          <w:szCs w:val="20"/>
        </w:rPr>
        <w:t>Probištip</w:t>
      </w:r>
      <w:proofErr w:type="spellEnd"/>
      <w:r w:rsidRPr="008401DD">
        <w:rPr>
          <w:rFonts w:cs="Arial"/>
          <w:i/>
          <w:szCs w:val="20"/>
        </w:rPr>
        <w:t xml:space="preserve"> ali komunalno podjetje), ki v rednih intervalih poroča CMSR. Tekom projekta se tako spremljajo kazalniki učinkov in rezultatov, nekaj let po zaključku pa se preveri še doseganje predvidenih vrednosti kazalnikov vplivov.</w:t>
      </w:r>
    </w:p>
    <w:p w14:paraId="656186CD" w14:textId="77777777" w:rsidR="0044105F" w:rsidRPr="008401DD" w:rsidRDefault="0044105F" w:rsidP="00960E68">
      <w:pPr>
        <w:rPr>
          <w:i/>
          <w:color w:val="FF0000"/>
        </w:rPr>
      </w:pPr>
    </w:p>
    <w:p w14:paraId="70BBA281" w14:textId="22CA3C84" w:rsidR="008B15B5" w:rsidRPr="008401DD" w:rsidRDefault="00A418B4"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2.2:</w:t>
      </w:r>
      <w:r w:rsidRPr="008401DD">
        <w:rPr>
          <w:rFonts w:cs="Arial"/>
          <w:color w:val="67C18C"/>
        </w:rPr>
        <w:t xml:space="preserve"> </w:t>
      </w:r>
      <w:r w:rsidRPr="008401DD">
        <w:rPr>
          <w:rFonts w:cs="Arial"/>
          <w:i/>
          <w:color w:val="67C18C"/>
          <w:szCs w:val="20"/>
        </w:rPr>
        <w:t>Ali sta projekta dosegla vse predvidene končne prejemnike?</w:t>
      </w:r>
    </w:p>
    <w:p w14:paraId="01524A4D" w14:textId="77777777" w:rsidR="00B85B43" w:rsidRDefault="00B85B43" w:rsidP="00960E68">
      <w:pPr>
        <w:spacing w:line="276" w:lineRule="auto"/>
        <w:jc w:val="both"/>
        <w:rPr>
          <w:rFonts w:cs="Arial"/>
        </w:rPr>
      </w:pPr>
    </w:p>
    <w:p w14:paraId="037B97D5" w14:textId="7830C068" w:rsidR="003C12B3" w:rsidRPr="008401DD" w:rsidRDefault="003C12B3" w:rsidP="00960E68">
      <w:pPr>
        <w:spacing w:line="276" w:lineRule="auto"/>
        <w:jc w:val="both"/>
        <w:rPr>
          <w:rFonts w:cs="Arial"/>
        </w:rPr>
      </w:pPr>
      <w:r w:rsidRPr="008401DD">
        <w:rPr>
          <w:rFonts w:cs="Arial"/>
        </w:rPr>
        <w:t xml:space="preserve">Predvideni končni prejemniki, ki imajo zaradi obeh projektov neposredno korist, torej dostop do pitne vode, so prebivalci mesta </w:t>
      </w:r>
      <w:proofErr w:type="spellStart"/>
      <w:r w:rsidRPr="008401DD">
        <w:rPr>
          <w:rFonts w:cs="Arial"/>
        </w:rPr>
        <w:t>Probištip</w:t>
      </w:r>
      <w:proofErr w:type="spellEnd"/>
      <w:r w:rsidRPr="008401DD">
        <w:rPr>
          <w:rFonts w:cs="Arial"/>
        </w:rPr>
        <w:t xml:space="preserve"> in vasi </w:t>
      </w:r>
      <w:proofErr w:type="spellStart"/>
      <w:r w:rsidRPr="008401DD">
        <w:rPr>
          <w:rFonts w:cs="Arial"/>
        </w:rPr>
        <w:t>Mrčino</w:t>
      </w:r>
      <w:proofErr w:type="spellEnd"/>
      <w:r w:rsidRPr="008401DD">
        <w:rPr>
          <w:rFonts w:cs="Arial"/>
        </w:rPr>
        <w:t xml:space="preserve">, </w:t>
      </w:r>
      <w:proofErr w:type="spellStart"/>
      <w:r w:rsidRPr="008401DD">
        <w:rPr>
          <w:rFonts w:cs="Arial"/>
        </w:rPr>
        <w:t>Dobrevo</w:t>
      </w:r>
      <w:proofErr w:type="spellEnd"/>
      <w:r w:rsidRPr="008401DD">
        <w:rPr>
          <w:rFonts w:cs="Arial"/>
        </w:rPr>
        <w:t xml:space="preserve">, </w:t>
      </w:r>
      <w:proofErr w:type="spellStart"/>
      <w:r w:rsidRPr="008401DD">
        <w:rPr>
          <w:rFonts w:cs="Arial"/>
        </w:rPr>
        <w:t>Zletovo</w:t>
      </w:r>
      <w:proofErr w:type="spellEnd"/>
      <w:r w:rsidRPr="008401DD">
        <w:rPr>
          <w:rFonts w:cs="Arial"/>
        </w:rPr>
        <w:t xml:space="preserve"> in </w:t>
      </w:r>
      <w:proofErr w:type="spellStart"/>
      <w:r w:rsidRPr="008401DD">
        <w:rPr>
          <w:rFonts w:cs="Arial"/>
        </w:rPr>
        <w:t>Ratavica</w:t>
      </w:r>
      <w:proofErr w:type="spellEnd"/>
      <w:r w:rsidRPr="008401DD">
        <w:rPr>
          <w:rFonts w:cs="Arial"/>
        </w:rPr>
        <w:t>, ter podjetja iz omenjenega območja, ki za svoje delo potrebujejo ustrezno</w:t>
      </w:r>
      <w:r w:rsidR="006B6858" w:rsidRPr="008401DD">
        <w:rPr>
          <w:rFonts w:cs="Arial"/>
        </w:rPr>
        <w:t xml:space="preserve"> čisto</w:t>
      </w:r>
      <w:r w:rsidRPr="008401DD">
        <w:rPr>
          <w:rFonts w:cs="Arial"/>
        </w:rPr>
        <w:t xml:space="preserve"> tehnično vodo. Število končnih prejemnikov koristi v projektnih zasnovah ni bilo številčno opredeljeno (gledati tudi prejšnje </w:t>
      </w:r>
      <w:proofErr w:type="spellStart"/>
      <w:r w:rsidRPr="008401DD">
        <w:rPr>
          <w:rFonts w:cs="Arial"/>
        </w:rPr>
        <w:t>evalvacijsko</w:t>
      </w:r>
      <w:proofErr w:type="spellEnd"/>
      <w:r w:rsidRPr="008401DD">
        <w:rPr>
          <w:rFonts w:cs="Arial"/>
        </w:rPr>
        <w:t xml:space="preserve"> vprašanje), lahko pa sklepamo, da je po podatkih o številu prebivalcev občine </w:t>
      </w:r>
      <w:proofErr w:type="spellStart"/>
      <w:r w:rsidRPr="008401DD">
        <w:rPr>
          <w:rFonts w:cs="Arial"/>
        </w:rPr>
        <w:t>Probištip</w:t>
      </w:r>
      <w:proofErr w:type="spellEnd"/>
      <w:r w:rsidRPr="008401DD">
        <w:rPr>
          <w:rFonts w:cs="Arial"/>
        </w:rPr>
        <w:t xml:space="preserve"> iz leta 2006 ta številka okoli 16.000. Ocena končnih prejemnikov vode po končanih obeh projektih znaša okoli 5.000 priključkov, kar predstavlja okoli 13.000 uporabnikov, zato lahko sklepamo, da sta projekta dosegla vse predvidene končne prejemnike.</w:t>
      </w:r>
    </w:p>
    <w:p w14:paraId="463C77BE" w14:textId="46F7FEFB" w:rsidR="00395FDA" w:rsidRPr="008401DD" w:rsidRDefault="00395FDA" w:rsidP="00960E68">
      <w:pPr>
        <w:spacing w:line="276" w:lineRule="auto"/>
        <w:jc w:val="both"/>
        <w:rPr>
          <w:rFonts w:cs="Arial"/>
        </w:rPr>
      </w:pPr>
    </w:p>
    <w:p w14:paraId="3C224A7C" w14:textId="511EDB6C" w:rsidR="00A418B4" w:rsidRPr="008401DD" w:rsidRDefault="00A418B4" w:rsidP="00960E68">
      <w:pPr>
        <w:spacing w:line="276" w:lineRule="auto"/>
        <w:jc w:val="both"/>
        <w:rPr>
          <w:i/>
          <w:color w:val="67C18C"/>
        </w:rPr>
      </w:pPr>
      <w:proofErr w:type="spellStart"/>
      <w:r w:rsidRPr="008401DD">
        <w:rPr>
          <w:rFonts w:cs="Arial"/>
          <w:b/>
          <w:color w:val="67C18C"/>
        </w:rPr>
        <w:t>Evalvacijsko</w:t>
      </w:r>
      <w:proofErr w:type="spellEnd"/>
      <w:r w:rsidRPr="008401DD">
        <w:rPr>
          <w:rFonts w:cs="Arial"/>
          <w:b/>
          <w:color w:val="67C18C"/>
        </w:rPr>
        <w:t xml:space="preserve"> vprašanje 2.3:</w:t>
      </w:r>
      <w:r w:rsidRPr="008401DD">
        <w:rPr>
          <w:rFonts w:cs="Arial"/>
          <w:color w:val="67C18C"/>
        </w:rPr>
        <w:t xml:space="preserve"> </w:t>
      </w:r>
      <w:r w:rsidRPr="008401DD">
        <w:rPr>
          <w:rFonts w:cs="Arial"/>
          <w:i/>
          <w:color w:val="67C18C"/>
          <w:szCs w:val="20"/>
        </w:rPr>
        <w:t>Ali sta imela projekta kakšne negativne posledice pri končnih prejemnikih ali v njihovem okolju</w:t>
      </w:r>
      <w:r w:rsidRPr="008401DD">
        <w:rPr>
          <w:i/>
          <w:color w:val="67C18C"/>
        </w:rPr>
        <w:t>?</w:t>
      </w:r>
    </w:p>
    <w:p w14:paraId="792DDDA2" w14:textId="77777777" w:rsidR="00B85B43" w:rsidRDefault="00B85B43" w:rsidP="00960E68">
      <w:pPr>
        <w:spacing w:line="276" w:lineRule="auto"/>
        <w:jc w:val="both"/>
        <w:rPr>
          <w:rFonts w:cs="Arial"/>
        </w:rPr>
      </w:pPr>
    </w:p>
    <w:p w14:paraId="0E846B29" w14:textId="039B558E" w:rsidR="005757D8" w:rsidRPr="008401DD" w:rsidRDefault="00E5148F" w:rsidP="00960E68">
      <w:pPr>
        <w:spacing w:line="276" w:lineRule="auto"/>
        <w:jc w:val="both"/>
        <w:rPr>
          <w:rFonts w:cs="Arial"/>
        </w:rPr>
      </w:pPr>
      <w:r w:rsidRPr="008401DD">
        <w:rPr>
          <w:rFonts w:cs="Arial"/>
        </w:rPr>
        <w:t xml:space="preserve">Oba projekta sta bila v Severni Makedoniji in občini </w:t>
      </w:r>
      <w:proofErr w:type="spellStart"/>
      <w:r w:rsidRPr="008401DD">
        <w:rPr>
          <w:rFonts w:cs="Arial"/>
        </w:rPr>
        <w:t>Probištip</w:t>
      </w:r>
      <w:proofErr w:type="spellEnd"/>
      <w:r w:rsidRPr="008401DD">
        <w:rPr>
          <w:rFonts w:cs="Arial"/>
        </w:rPr>
        <w:t xml:space="preserve"> sp</w:t>
      </w:r>
      <w:r w:rsidR="003C6C45" w:rsidRPr="008401DD">
        <w:rPr>
          <w:rFonts w:cs="Arial"/>
        </w:rPr>
        <w:t>r</w:t>
      </w:r>
      <w:r w:rsidRPr="008401DD">
        <w:rPr>
          <w:rFonts w:cs="Arial"/>
        </w:rPr>
        <w:t xml:space="preserve">ejeta zelo pozitivno, tako s strani prebivalcev območja, kot tudi predstavnikov države. </w:t>
      </w:r>
      <w:r w:rsidR="00C8298A" w:rsidRPr="008401DD">
        <w:rPr>
          <w:rFonts w:cs="Arial"/>
        </w:rPr>
        <w:t xml:space="preserve">Negativnih </w:t>
      </w:r>
      <w:r w:rsidR="00C93A82" w:rsidRPr="008401DD">
        <w:rPr>
          <w:rFonts w:cs="Arial"/>
        </w:rPr>
        <w:t>posledic projektov ne ugotavljamo.</w:t>
      </w:r>
    </w:p>
    <w:p w14:paraId="2370F13E" w14:textId="77777777" w:rsidR="00B06ED9" w:rsidRPr="008401DD" w:rsidRDefault="00B06ED9" w:rsidP="00960E68">
      <w:pPr>
        <w:spacing w:line="276" w:lineRule="auto"/>
        <w:jc w:val="both"/>
        <w:rPr>
          <w:rFonts w:cs="Arial"/>
        </w:rPr>
      </w:pPr>
    </w:p>
    <w:p w14:paraId="34665504" w14:textId="0B4250B0" w:rsidR="00A418B4" w:rsidRPr="008401DD" w:rsidRDefault="00A418B4" w:rsidP="006F317B">
      <w:pPr>
        <w:pStyle w:val="Heading3"/>
      </w:pPr>
      <w:bookmarkStart w:id="121" w:name="_Toc56088909"/>
      <w:bookmarkStart w:id="122" w:name="_Toc56112203"/>
      <w:bookmarkStart w:id="123" w:name="_Toc57377180"/>
      <w:r w:rsidRPr="008401DD">
        <w:t>Učinkovitost</w:t>
      </w:r>
      <w:bookmarkEnd w:id="121"/>
      <w:bookmarkEnd w:id="122"/>
      <w:bookmarkEnd w:id="123"/>
    </w:p>
    <w:p w14:paraId="51E3FC5F" w14:textId="77777777" w:rsidR="00A418B4" w:rsidRPr="008401DD" w:rsidRDefault="00A418B4" w:rsidP="00960E68">
      <w:pPr>
        <w:spacing w:line="276" w:lineRule="auto"/>
        <w:jc w:val="both"/>
        <w:rPr>
          <w:rFonts w:cs="Arial"/>
          <w:b/>
        </w:rPr>
      </w:pPr>
    </w:p>
    <w:p w14:paraId="782A360E" w14:textId="77777777" w:rsidR="00A418B4" w:rsidRPr="008401DD" w:rsidRDefault="00A418B4" w:rsidP="00960E68">
      <w:pPr>
        <w:shd w:val="clear" w:color="auto" w:fill="67C18C"/>
        <w:spacing w:line="240" w:lineRule="auto"/>
        <w:jc w:val="both"/>
        <w:rPr>
          <w:rFonts w:eastAsiaTheme="majorEastAsia" w:cs="Arial"/>
          <w:b/>
          <w:iCs/>
          <w:color w:val="FFFFFF" w:themeColor="background1"/>
        </w:rPr>
      </w:pPr>
      <w:bookmarkStart w:id="124" w:name="_Toc52394935"/>
      <w:r w:rsidRPr="008401DD">
        <w:rPr>
          <w:rFonts w:eastAsiaTheme="majorEastAsia" w:cs="Arial"/>
          <w:b/>
          <w:iCs/>
          <w:color w:val="FFFFFF" w:themeColor="background1"/>
        </w:rPr>
        <w:t>V kolikšni meri projekt dosega cilje in rezultate na gospodaren in časovno ustrezen način?</w:t>
      </w:r>
    </w:p>
    <w:p w14:paraId="7730E576" w14:textId="77777777" w:rsidR="00A418B4" w:rsidRPr="008401DD" w:rsidRDefault="00A418B4" w:rsidP="00960E68">
      <w:pPr>
        <w:spacing w:line="240" w:lineRule="auto"/>
        <w:jc w:val="both"/>
        <w:rPr>
          <w:rFonts w:cs="Arial"/>
          <w:i/>
          <w:color w:val="67C18C"/>
        </w:rPr>
      </w:pPr>
    </w:p>
    <w:p w14:paraId="48B7CC7D" w14:textId="6B5E8CD2" w:rsidR="008F6AA0" w:rsidRPr="008401DD" w:rsidRDefault="00A418B4"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3.1:</w:t>
      </w:r>
      <w:r w:rsidRPr="008401DD">
        <w:rPr>
          <w:rFonts w:cs="Arial"/>
          <w:color w:val="67C18C"/>
        </w:rPr>
        <w:t xml:space="preserve"> </w:t>
      </w:r>
      <w:r w:rsidRPr="008401DD">
        <w:rPr>
          <w:rFonts w:cs="Arial"/>
          <w:i/>
          <w:color w:val="67C18C"/>
        </w:rPr>
        <w:t xml:space="preserve">Kako je bil voden postopek načrtovanja, izbora in priprave projektov, zlasti ocenjevanje in </w:t>
      </w:r>
      <w:proofErr w:type="spellStart"/>
      <w:r w:rsidRPr="008401DD">
        <w:rPr>
          <w:rFonts w:cs="Arial"/>
          <w:i/>
          <w:color w:val="67C18C"/>
        </w:rPr>
        <w:t>rangiranje</w:t>
      </w:r>
      <w:proofErr w:type="spellEnd"/>
      <w:r w:rsidRPr="008401DD">
        <w:rPr>
          <w:rFonts w:cs="Arial"/>
          <w:i/>
          <w:color w:val="67C18C"/>
        </w:rPr>
        <w:t>, merila, kakovost projektne dokumentacije (splošni opis problematike, namen, cilji, pričakovanih rezultati, kvantificirani kazalniki, aktivnosti, proračun)? Ali je zagotovljena jasna revizijska sled (tj. kdo je ocenjeval, katera dokumentacija je podlaga za ocenjevanje, zakaj je dodeljeno določeno število točk itd.)?</w:t>
      </w:r>
      <w:r w:rsidR="007279A8" w:rsidRPr="008401DD">
        <w:t xml:space="preserve"> </w:t>
      </w:r>
    </w:p>
    <w:p w14:paraId="4C2480F9" w14:textId="77777777" w:rsidR="00B85B43" w:rsidRDefault="00B85B43" w:rsidP="00960E68">
      <w:pPr>
        <w:spacing w:line="240" w:lineRule="auto"/>
        <w:jc w:val="both"/>
        <w:rPr>
          <w:rFonts w:cs="Arial"/>
          <w:b/>
          <w:szCs w:val="20"/>
        </w:rPr>
      </w:pPr>
    </w:p>
    <w:p w14:paraId="3CF87AD9" w14:textId="55EAB87A" w:rsidR="003C12B3" w:rsidRPr="008401DD" w:rsidRDefault="00D95A7C" w:rsidP="00960E68">
      <w:pPr>
        <w:spacing w:line="240" w:lineRule="auto"/>
        <w:jc w:val="both"/>
        <w:rPr>
          <w:rFonts w:cs="Arial"/>
          <w:szCs w:val="20"/>
        </w:rPr>
      </w:pPr>
      <w:r w:rsidRPr="008401DD">
        <w:rPr>
          <w:rFonts w:cs="Arial"/>
          <w:b/>
          <w:szCs w:val="20"/>
        </w:rPr>
        <w:t xml:space="preserve">Sistem izbora projektov obstaja, </w:t>
      </w:r>
      <w:r w:rsidRPr="008401DD">
        <w:rPr>
          <w:rFonts w:cs="Arial"/>
          <w:szCs w:val="20"/>
        </w:rPr>
        <w:t>a je</w:t>
      </w:r>
      <w:r w:rsidRPr="008401DD">
        <w:rPr>
          <w:rFonts w:cs="Arial"/>
          <w:b/>
          <w:szCs w:val="20"/>
        </w:rPr>
        <w:t xml:space="preserve"> </w:t>
      </w:r>
      <w:r w:rsidR="00EE2324" w:rsidRPr="008401DD">
        <w:rPr>
          <w:rFonts w:cs="Arial"/>
          <w:b/>
          <w:szCs w:val="20"/>
        </w:rPr>
        <w:t xml:space="preserve">nejasen in v določenih vidikih </w:t>
      </w:r>
      <w:proofErr w:type="spellStart"/>
      <w:r w:rsidR="00EE2324" w:rsidRPr="008401DD">
        <w:rPr>
          <w:rFonts w:cs="Arial"/>
          <w:b/>
          <w:szCs w:val="20"/>
        </w:rPr>
        <w:t>netransparenten</w:t>
      </w:r>
      <w:proofErr w:type="spellEnd"/>
      <w:r w:rsidR="00EE2324" w:rsidRPr="008401DD">
        <w:rPr>
          <w:rFonts w:cs="Arial"/>
          <w:b/>
          <w:szCs w:val="20"/>
        </w:rPr>
        <w:t>.</w:t>
      </w:r>
    </w:p>
    <w:p w14:paraId="238DBE3C" w14:textId="77777777" w:rsidR="003C12B3" w:rsidRPr="008401DD" w:rsidRDefault="003C12B3" w:rsidP="00960E68">
      <w:pPr>
        <w:spacing w:line="240" w:lineRule="auto"/>
        <w:jc w:val="both"/>
        <w:rPr>
          <w:rFonts w:cs="Arial"/>
          <w:szCs w:val="20"/>
        </w:rPr>
      </w:pPr>
    </w:p>
    <w:p w14:paraId="0FC7D0C0" w14:textId="24282329" w:rsidR="003C12B3" w:rsidRPr="008401DD" w:rsidRDefault="003C12B3" w:rsidP="00960E68">
      <w:pPr>
        <w:spacing w:line="240" w:lineRule="auto"/>
        <w:jc w:val="both"/>
        <w:rPr>
          <w:rFonts w:cs="Arial"/>
          <w:szCs w:val="20"/>
        </w:rPr>
      </w:pPr>
      <w:r w:rsidRPr="008401DD">
        <w:rPr>
          <w:rFonts w:cs="Arial"/>
          <w:szCs w:val="20"/>
        </w:rPr>
        <w:t>Skladno z ugotovitvami glede programskega načrtovanja se projekti opredeljujejo »od spodaj navzgor«, tj. z odzivanjem na lokalne potrebe, ki jih sporočijo posamezni izvajalci MRS v sodelovanju s partnerji iz Severne Makedonije. CMSR še pred potrjevanjem programa (in projektov) izvaja neformalno posvetovanje s pristojnimi resorji, občinami, pa tudi slovenskim veleposlaništvom v Skopju. V okviru teh posvetovanj se oblikuje seznam okvirnih predlogov projektov. Projektne predloge prejete s strani predlagateljev</w:t>
      </w:r>
      <w:r w:rsidRPr="008401DD">
        <w:rPr>
          <w:rStyle w:val="FootnoteReference"/>
          <w:rFonts w:cs="Arial"/>
          <w:szCs w:val="20"/>
        </w:rPr>
        <w:footnoteReference w:id="26"/>
      </w:r>
      <w:r w:rsidRPr="008401DD">
        <w:rPr>
          <w:rFonts w:cs="Arial"/>
          <w:szCs w:val="20"/>
        </w:rPr>
        <w:t xml:space="preserve"> CMSR nato ocenjuje na podlagi neobjavljenih internih meril, pri čemer ohranja stalno komunikacijo s pripravljavci in dopušča veliko mero fleksibilnosti pri </w:t>
      </w:r>
      <w:r w:rsidR="00EE2324" w:rsidRPr="008401DD">
        <w:rPr>
          <w:rFonts w:cs="Arial"/>
          <w:szCs w:val="20"/>
        </w:rPr>
        <w:t>pripravi vlog, pred prejemom končne vloge</w:t>
      </w:r>
      <w:r w:rsidRPr="008401DD">
        <w:rPr>
          <w:rFonts w:cs="Arial"/>
          <w:szCs w:val="20"/>
        </w:rPr>
        <w:t>. Ocenjevalni obrazci so sicer poenoteni, a podlage za odločanje niso transparentne, prav tako tudi ni zagotovljena j</w:t>
      </w:r>
      <w:r w:rsidRPr="008401DD">
        <w:t xml:space="preserve">asna revizijska sled, saj na obrazcu za ocenjevanje ni navedeno ime ocenjevalca, datum ocenjevanja, ni navedena </w:t>
      </w:r>
      <w:r w:rsidRPr="008401DD">
        <w:lastRenderedPageBreak/>
        <w:t xml:space="preserve">podlaga za odločanje, niti ni navedenih utemeljitev za dodeljeno število točk glede na postavke. </w:t>
      </w:r>
      <w:r w:rsidRPr="008401DD">
        <w:rPr>
          <w:rFonts w:cs="Arial"/>
          <w:szCs w:val="20"/>
        </w:rPr>
        <w:t>Na podlagi ocen CMSR pripravi predlog program</w:t>
      </w:r>
      <w:r w:rsidR="00EE2324" w:rsidRPr="008401DD">
        <w:rPr>
          <w:rFonts w:cs="Arial"/>
          <w:szCs w:val="20"/>
        </w:rPr>
        <w:t>a</w:t>
      </w:r>
      <w:r w:rsidRPr="008401DD">
        <w:rPr>
          <w:rFonts w:cs="Arial"/>
          <w:szCs w:val="20"/>
        </w:rPr>
        <w:t xml:space="preserve"> </w:t>
      </w:r>
      <w:r w:rsidR="00D34AAB" w:rsidRPr="008401DD">
        <w:rPr>
          <w:rFonts w:cs="Arial"/>
          <w:szCs w:val="20"/>
        </w:rPr>
        <w:t>za izvajanje MRS za določeno obdobje,</w:t>
      </w:r>
      <w:r w:rsidRPr="008401DD">
        <w:rPr>
          <w:rFonts w:cs="Arial"/>
          <w:szCs w:val="20"/>
        </w:rPr>
        <w:t xml:space="preserve"> le-tega pa potrjuje </w:t>
      </w:r>
      <w:r w:rsidR="00D95A7C" w:rsidRPr="008401DD">
        <w:rPr>
          <w:rFonts w:cs="Arial"/>
          <w:szCs w:val="20"/>
        </w:rPr>
        <w:t>S</w:t>
      </w:r>
      <w:r w:rsidRPr="008401DD">
        <w:rPr>
          <w:rFonts w:cs="Arial"/>
          <w:szCs w:val="20"/>
        </w:rPr>
        <w:t xml:space="preserve">vet </w:t>
      </w:r>
      <w:r w:rsidR="00D95A7C" w:rsidRPr="008401DD">
        <w:rPr>
          <w:rFonts w:cs="Arial"/>
          <w:szCs w:val="20"/>
        </w:rPr>
        <w:t>C</w:t>
      </w:r>
      <w:r w:rsidRPr="008401DD">
        <w:rPr>
          <w:rFonts w:cs="Arial"/>
          <w:szCs w:val="20"/>
        </w:rPr>
        <w:t>entra</w:t>
      </w:r>
      <w:r w:rsidR="00EE2324" w:rsidRPr="008401DD">
        <w:t xml:space="preserve">. </w:t>
      </w:r>
      <w:r w:rsidR="00EE2324" w:rsidRPr="008401DD">
        <w:rPr>
          <w:rFonts w:cs="Arial"/>
          <w:szCs w:val="20"/>
        </w:rPr>
        <w:t>Svet po pregledu predloga programa in dodatnih informacijah presodi ali so posamezni projekti dovolj zreli za potrditev</w:t>
      </w:r>
      <w:r w:rsidRPr="008401DD">
        <w:rPr>
          <w:rFonts w:cs="Arial"/>
          <w:szCs w:val="20"/>
        </w:rPr>
        <w:t>.</w:t>
      </w:r>
      <w:r w:rsidRPr="008401DD">
        <w:t xml:space="preserve"> </w:t>
      </w:r>
      <w:r w:rsidRPr="008401DD">
        <w:rPr>
          <w:rFonts w:cs="Arial"/>
          <w:szCs w:val="20"/>
        </w:rPr>
        <w:t>Za odločanje ima svet centra na razpolago skupno število točk</w:t>
      </w:r>
      <w:r w:rsidR="00EE2324" w:rsidRPr="008401DD">
        <w:rPr>
          <w:rFonts w:cs="Arial"/>
          <w:szCs w:val="20"/>
        </w:rPr>
        <w:t>, razdeljeno po posameznih kriterijih</w:t>
      </w:r>
      <w:r w:rsidRPr="008401DD">
        <w:rPr>
          <w:rFonts w:cs="Arial"/>
          <w:szCs w:val="20"/>
        </w:rPr>
        <w:t>, dodeljenih s strani CMSR,</w:t>
      </w:r>
      <w:r w:rsidR="00EE2324" w:rsidRPr="008401DD">
        <w:rPr>
          <w:rFonts w:cs="Arial"/>
          <w:szCs w:val="20"/>
        </w:rPr>
        <w:t xml:space="preserve"> vendar pa dodeljeno število točk ni argumentirano.</w:t>
      </w:r>
      <w:r w:rsidRPr="008401DD">
        <w:rPr>
          <w:rFonts w:cs="Arial"/>
          <w:szCs w:val="20"/>
        </w:rPr>
        <w:t xml:space="preserve"> </w:t>
      </w:r>
    </w:p>
    <w:p w14:paraId="232C6D53" w14:textId="77777777" w:rsidR="008F7B20" w:rsidRPr="008401DD" w:rsidRDefault="008F7B20" w:rsidP="00960E68">
      <w:pPr>
        <w:spacing w:line="240" w:lineRule="auto"/>
        <w:jc w:val="both"/>
        <w:rPr>
          <w:rFonts w:cs="Arial"/>
          <w:szCs w:val="20"/>
        </w:rPr>
      </w:pPr>
    </w:p>
    <w:p w14:paraId="2E9F5062" w14:textId="77777777" w:rsidR="008F7B20" w:rsidRPr="008401DD" w:rsidRDefault="008F7B20" w:rsidP="00960E68">
      <w:pPr>
        <w:jc w:val="both"/>
      </w:pPr>
      <w:r w:rsidRPr="008401DD">
        <w:rPr>
          <w:b/>
        </w:rPr>
        <w:t>Prvi projekt</w:t>
      </w:r>
      <w:r w:rsidRPr="008401DD">
        <w:t>: Prvi projekt je bil ocenjen glede na pravilnik CMSR za ocenjevanje projektov uradne razvojne pomoči, ki je bil v veljavi od leta 2010. Glede na merila je prejel 61 točk od 100, prag za uvrstitev v program financiranja pa ni opredeljen.</w:t>
      </w:r>
    </w:p>
    <w:p w14:paraId="2EEEE4BC" w14:textId="2C1B8827" w:rsidR="13194490" w:rsidRPr="008401DD" w:rsidRDefault="13194490" w:rsidP="00960E68">
      <w:pPr>
        <w:jc w:val="both"/>
      </w:pPr>
    </w:p>
    <w:p w14:paraId="30DB93F9" w14:textId="0213AAA0" w:rsidR="008F7B20" w:rsidRDefault="008F7B20" w:rsidP="00960E68">
      <w:pPr>
        <w:jc w:val="both"/>
      </w:pPr>
      <w:r w:rsidRPr="008401DD">
        <w:t xml:space="preserve">Glede na to, da pri pripravi projekta občina </w:t>
      </w:r>
      <w:proofErr w:type="spellStart"/>
      <w:r w:rsidRPr="008401DD">
        <w:t>Probištip</w:t>
      </w:r>
      <w:proofErr w:type="spellEnd"/>
      <w:r w:rsidRPr="008401DD">
        <w:t xml:space="preserve"> ni izvedla dodatnih analiz ali študij, ki bi podkrepile zasnovo projekta, lahko sklepamo, da je CMSR projekt ocenil </w:t>
      </w:r>
      <w:r w:rsidR="007E7B0A" w:rsidRPr="008401DD">
        <w:t xml:space="preserve">zgolj </w:t>
      </w:r>
      <w:r w:rsidRPr="008401DD">
        <w:t xml:space="preserve">glede na </w:t>
      </w:r>
      <w:r w:rsidR="00E2232B" w:rsidRPr="008401DD">
        <w:t>projektno zasnovo.</w:t>
      </w:r>
      <w:r w:rsidR="00FD09D1">
        <w:t xml:space="preserve"> Projektna zasnova </w:t>
      </w:r>
      <w:r w:rsidR="00D83D63">
        <w:t xml:space="preserve">je bila </w:t>
      </w:r>
      <w:r w:rsidR="00FD09D1">
        <w:t>pripravljena v obliki kratkega (1-</w:t>
      </w:r>
      <w:r w:rsidR="00D83D63">
        <w:t>stranskega</w:t>
      </w:r>
      <w:r w:rsidR="00FD09D1">
        <w:t>) opisa projekta, pri čemer je bil format v preteklosti dogovorjen z MZZ.</w:t>
      </w:r>
    </w:p>
    <w:p w14:paraId="359E3CEA" w14:textId="77777777" w:rsidR="00FD09D1" w:rsidRPr="008401DD" w:rsidRDefault="00FD09D1" w:rsidP="00960E68">
      <w:pPr>
        <w:jc w:val="both"/>
      </w:pPr>
    </w:p>
    <w:p w14:paraId="72C87F29" w14:textId="478D104F" w:rsidR="008F7B20" w:rsidRPr="008401DD" w:rsidRDefault="008F7B20" w:rsidP="00960E68">
      <w:pPr>
        <w:jc w:val="both"/>
      </w:pPr>
      <w:r w:rsidRPr="008401DD">
        <w:t xml:space="preserve">V pravilniku za ocenjevanje projektov ni navedenega minimalnega števila točk, potrebnih za uvrstitev projekta v program financiranja, zato smiselnosti uvrstitve projekta v program ne moremo komentirati. </w:t>
      </w:r>
    </w:p>
    <w:p w14:paraId="09B791C6" w14:textId="3BDF18BD" w:rsidR="00022218" w:rsidRPr="008401DD" w:rsidRDefault="00022218" w:rsidP="00960E68">
      <w:pPr>
        <w:jc w:val="both"/>
      </w:pPr>
    </w:p>
    <w:p w14:paraId="37BC3C2F" w14:textId="77777777" w:rsidR="005E715F" w:rsidRPr="008401DD" w:rsidRDefault="00022218" w:rsidP="00960E68">
      <w:pPr>
        <w:jc w:val="both"/>
      </w:pPr>
      <w:r w:rsidRPr="008401DD">
        <w:t xml:space="preserve">Glede na to, da je bil prvi projekt naknadno umeščen v širši projekt HE </w:t>
      </w:r>
      <w:proofErr w:type="spellStart"/>
      <w:r w:rsidRPr="008401DD">
        <w:t>Zletovica</w:t>
      </w:r>
      <w:proofErr w:type="spellEnd"/>
      <w:r w:rsidRPr="008401DD">
        <w:t xml:space="preserve"> (kot aneks k pogodbi iz leta 2009) ni mogoče zanesljivo oceniti, kakšna je bila dejanska teža in vpliv slovenske podpore v okviru MRS v razmerju do drugih donatorjev, ki so sodelovali v tej infrastrukturni investiciji</w:t>
      </w:r>
      <w:r w:rsidR="005E715F" w:rsidRPr="008401DD">
        <w:t>. Z vidika CMSR je bil namreč projekt voden kot samostojna celota, z vidika države prejemnice pa kot eden od dodatnih projektov v okviru širše investicije.</w:t>
      </w:r>
    </w:p>
    <w:p w14:paraId="2B5A5677" w14:textId="77777777" w:rsidR="005E715F" w:rsidRPr="008401DD" w:rsidRDefault="005E715F" w:rsidP="00960E68">
      <w:pPr>
        <w:jc w:val="both"/>
      </w:pPr>
    </w:p>
    <w:p w14:paraId="78C4E672" w14:textId="62661E44" w:rsidR="00022218" w:rsidRPr="008401DD" w:rsidRDefault="00022218" w:rsidP="00960E68">
      <w:pPr>
        <w:jc w:val="both"/>
      </w:pPr>
      <w:r w:rsidRPr="008401DD">
        <w:t xml:space="preserve">Projekt </w:t>
      </w:r>
      <w:r w:rsidR="005E715F" w:rsidRPr="008401DD">
        <w:t xml:space="preserve">je že v fazi ocenjevanja in izbora zagotavljal vključenost </w:t>
      </w:r>
      <w:r w:rsidR="0001516D" w:rsidRPr="008401DD">
        <w:t>slovenskega</w:t>
      </w:r>
      <w:r w:rsidR="005E715F" w:rsidRPr="008401DD">
        <w:t xml:space="preserve"> podjetja v izvedbo posla, kar je spodbudno. Po drugi strani pa je bil izvajalec že vključen kot dobavitelj in izvajalec v okviru širšega infrastrukturnega projekta HE </w:t>
      </w:r>
      <w:proofErr w:type="spellStart"/>
      <w:r w:rsidR="005E715F" w:rsidRPr="008401DD">
        <w:t>Zletovica</w:t>
      </w:r>
      <w:proofErr w:type="spellEnd"/>
      <w:r w:rsidR="005E715F" w:rsidRPr="008401DD">
        <w:t>, zato</w:t>
      </w:r>
      <w:r w:rsidRPr="008401DD">
        <w:t xml:space="preserve"> </w:t>
      </w:r>
      <w:r w:rsidR="005E715F" w:rsidRPr="008401DD">
        <w:t xml:space="preserve">je zelo verjetno, da bi omenjeni posel na podlagi aneksa dobil ne glede na vir financiranja (torej tudi brez </w:t>
      </w:r>
      <w:r w:rsidR="009D0908" w:rsidRPr="008401DD">
        <w:t>financ</w:t>
      </w:r>
      <w:r w:rsidR="005E44C2" w:rsidRPr="008401DD">
        <w:t>i</w:t>
      </w:r>
      <w:r w:rsidR="009D0908" w:rsidRPr="008401DD">
        <w:t>ranja</w:t>
      </w:r>
      <w:r w:rsidR="005E715F" w:rsidRPr="008401DD">
        <w:t xml:space="preserve"> RS).</w:t>
      </w:r>
    </w:p>
    <w:p w14:paraId="2DB7A402" w14:textId="77777777" w:rsidR="008F7B20" w:rsidRPr="008401DD" w:rsidRDefault="008F7B20" w:rsidP="00960E68">
      <w:pPr>
        <w:jc w:val="both"/>
      </w:pPr>
    </w:p>
    <w:p w14:paraId="59B32A87" w14:textId="77777777" w:rsidR="003C12B3" w:rsidRPr="008401DD" w:rsidRDefault="003C12B3" w:rsidP="00960E68">
      <w:pPr>
        <w:jc w:val="both"/>
      </w:pPr>
      <w:r w:rsidRPr="008401DD">
        <w:rPr>
          <w:b/>
        </w:rPr>
        <w:t>Drugi projekt</w:t>
      </w:r>
      <w:r w:rsidRPr="008401DD">
        <w:t xml:space="preserve">: Drugi projekt je bil ocenjen glede na merila za ocenjevanje projektov uradne razvojne pomoči CMSR, ki je bil sprejet v letu 2015. Prag za uvrstitev projekta v program financiranja CMSR, ki ga potrdi Svet Centra, je vsaj 65 odstotkov točk (65 točk od 100). Glede na merila je projekt prejel 70 točk od 100. Tudi pri pripravi dokumentacije za drugi projekt, dodatne študije ali analize niso bile opravljene. </w:t>
      </w:r>
    </w:p>
    <w:p w14:paraId="497361AC" w14:textId="77777777" w:rsidR="003C12B3" w:rsidRPr="008401DD" w:rsidRDefault="003C12B3" w:rsidP="00960E68">
      <w:pPr>
        <w:spacing w:line="240" w:lineRule="auto"/>
        <w:jc w:val="both"/>
        <w:rPr>
          <w:rFonts w:cs="Arial"/>
          <w:szCs w:val="20"/>
        </w:rPr>
      </w:pPr>
    </w:p>
    <w:p w14:paraId="6A76DB26" w14:textId="5D71AB92" w:rsidR="003C12B3" w:rsidRPr="008401DD" w:rsidRDefault="003C12B3" w:rsidP="00960E68">
      <w:pPr>
        <w:spacing w:line="240" w:lineRule="auto"/>
        <w:jc w:val="both"/>
        <w:rPr>
          <w:rFonts w:cs="Arial"/>
          <w:szCs w:val="20"/>
        </w:rPr>
      </w:pPr>
      <w:r w:rsidRPr="008401DD">
        <w:rPr>
          <w:rFonts w:cs="Arial"/>
          <w:szCs w:val="20"/>
        </w:rPr>
        <w:t xml:space="preserve">Na podlagi ocen CMSR pripravi predlog projektov, </w:t>
      </w:r>
      <w:r w:rsidR="00D95A7C" w:rsidRPr="008401DD">
        <w:rPr>
          <w:rFonts w:cs="Arial"/>
          <w:szCs w:val="20"/>
        </w:rPr>
        <w:t>ki so zreli za uvrst</w:t>
      </w:r>
      <w:r w:rsidR="000C3EC9" w:rsidRPr="008401DD">
        <w:rPr>
          <w:rFonts w:cs="Arial"/>
          <w:szCs w:val="20"/>
        </w:rPr>
        <w:t>itev</w:t>
      </w:r>
      <w:r w:rsidR="00D95A7C" w:rsidRPr="008401DD">
        <w:rPr>
          <w:rFonts w:cs="Arial"/>
          <w:szCs w:val="20"/>
        </w:rPr>
        <w:t xml:space="preserve"> v program CMSR za izvajanje CMSR </w:t>
      </w:r>
      <w:r w:rsidRPr="008401DD">
        <w:rPr>
          <w:rFonts w:cs="Arial"/>
          <w:szCs w:val="20"/>
        </w:rPr>
        <w:t xml:space="preserve">v določenem obdobju izvajanja, le-tega pa potrjuje Svet Centra. </w:t>
      </w:r>
      <w:r w:rsidR="00D95A7C" w:rsidRPr="008401DD">
        <w:rPr>
          <w:rFonts w:cs="Arial"/>
          <w:szCs w:val="20"/>
        </w:rPr>
        <w:t>Financerji MRS nato sprejmejo odločitev, katere projekte bodo sofinancirali,</w:t>
      </w:r>
      <w:r w:rsidR="000C3EC9" w:rsidRPr="008401DD">
        <w:t xml:space="preserve"> </w:t>
      </w:r>
      <w:r w:rsidR="000C3EC9" w:rsidRPr="008401DD">
        <w:rPr>
          <w:rFonts w:cs="Arial"/>
          <w:szCs w:val="20"/>
        </w:rPr>
        <w:t xml:space="preserve">v soglasju z nacionalnim koordinatorjem. Nato </w:t>
      </w:r>
      <w:r w:rsidR="00D95A7C" w:rsidRPr="008401DD">
        <w:rPr>
          <w:rFonts w:cs="Arial"/>
          <w:szCs w:val="20"/>
        </w:rPr>
        <w:t>pripravijo vladno gradivo</w:t>
      </w:r>
      <w:r w:rsidR="000C3EC9" w:rsidRPr="008401DD">
        <w:rPr>
          <w:rFonts w:cs="Arial"/>
          <w:szCs w:val="20"/>
        </w:rPr>
        <w:t xml:space="preserve">, za katerega </w:t>
      </w:r>
      <w:r w:rsidR="00D95A7C" w:rsidRPr="008401DD">
        <w:rPr>
          <w:rFonts w:cs="Arial"/>
          <w:szCs w:val="20"/>
        </w:rPr>
        <w:t>pridobijo</w:t>
      </w:r>
      <w:r w:rsidR="000C3EC9" w:rsidRPr="008401DD">
        <w:rPr>
          <w:rFonts w:cs="Arial"/>
          <w:szCs w:val="20"/>
        </w:rPr>
        <w:t xml:space="preserve"> tudi</w:t>
      </w:r>
      <w:r w:rsidR="00D95A7C" w:rsidRPr="008401DD">
        <w:rPr>
          <w:rFonts w:cs="Arial"/>
          <w:szCs w:val="20"/>
        </w:rPr>
        <w:t xml:space="preserve"> soglasje nacionalnega koordinatorja. Nacionalni koordinator in financerji MRS se pri potrditvi projektov naslanjajo na presojo CMSR</w:t>
      </w:r>
      <w:r w:rsidR="00EE2324" w:rsidRPr="008401DD">
        <w:rPr>
          <w:rFonts w:cs="Arial"/>
          <w:szCs w:val="20"/>
        </w:rPr>
        <w:t xml:space="preserve"> in mnenje DKP-jev</w:t>
      </w:r>
      <w:r w:rsidR="00D95A7C" w:rsidRPr="008401DD">
        <w:rPr>
          <w:rFonts w:cs="Arial"/>
          <w:szCs w:val="20"/>
        </w:rPr>
        <w:t>.</w:t>
      </w:r>
    </w:p>
    <w:p w14:paraId="0E543653" w14:textId="58F566F7" w:rsidR="008F6AA0" w:rsidRPr="008401DD" w:rsidRDefault="008F6AA0" w:rsidP="00960E68">
      <w:pPr>
        <w:spacing w:line="240" w:lineRule="auto"/>
        <w:jc w:val="both"/>
        <w:rPr>
          <w:rFonts w:cs="Arial"/>
          <w:szCs w:val="20"/>
        </w:rPr>
      </w:pPr>
    </w:p>
    <w:p w14:paraId="36D69638" w14:textId="4DA989B4" w:rsidR="00D34AAB" w:rsidRPr="008401DD" w:rsidRDefault="00D34AAB" w:rsidP="00960E68">
      <w:pPr>
        <w:spacing w:line="240" w:lineRule="auto"/>
        <w:jc w:val="both"/>
        <w:rPr>
          <w:rFonts w:cs="Arial"/>
          <w:szCs w:val="20"/>
        </w:rPr>
      </w:pPr>
      <w:r w:rsidRPr="008401DD">
        <w:rPr>
          <w:rFonts w:cs="Arial"/>
          <w:szCs w:val="20"/>
        </w:rPr>
        <w:t>Proces prijave projektnih zasnov je predviden</w:t>
      </w:r>
      <w:r w:rsidR="00FD09D1">
        <w:rPr>
          <w:rFonts w:cs="Arial"/>
          <w:szCs w:val="20"/>
        </w:rPr>
        <w:t xml:space="preserve"> in</w:t>
      </w:r>
      <w:r w:rsidRPr="008401DD">
        <w:rPr>
          <w:rFonts w:cs="Arial"/>
          <w:szCs w:val="20"/>
        </w:rPr>
        <w:t xml:space="preserve"> poteka preko obrazcev, ki jih objavi MZZ</w:t>
      </w:r>
      <w:r w:rsidRPr="008401DD">
        <w:t xml:space="preserve"> kot del </w:t>
      </w:r>
      <w:r w:rsidRPr="008401DD">
        <w:rPr>
          <w:rFonts w:cs="Arial"/>
          <w:szCs w:val="20"/>
        </w:rPr>
        <w:t>javnega razpisa za izvajanje mednarodnih razvojnih in humanitarnih projektov v določenem obdobju,</w:t>
      </w:r>
      <w:r w:rsidR="00CF507A" w:rsidRPr="008401DD">
        <w:rPr>
          <w:rFonts w:cs="Arial"/>
          <w:szCs w:val="20"/>
        </w:rPr>
        <w:t xml:space="preserve"> </w:t>
      </w:r>
      <w:r w:rsidRPr="008401DD">
        <w:rPr>
          <w:rFonts w:cs="Arial"/>
          <w:szCs w:val="20"/>
        </w:rPr>
        <w:t>vendar pa CMSR do sedaj projektov ni pripravljal glede na omenjene obrazce. Tovrstna aktivnost je predvidena v okviru novega postopkovnika, ki pa še ni v veljavi. Pri pripravi zasnov projektov trenutno prijavitelju ni potrebno navesti podatkov kot so: analiza tveganj in ukrepi za obvladovanje tveganj, ocena zrelosti projekta (obstoj predhodnih analiz in študij, stanje investicijske dokumentacije, ipd.)</w:t>
      </w:r>
    </w:p>
    <w:p w14:paraId="614DA7BA" w14:textId="77777777" w:rsidR="00D34AAB" w:rsidRPr="008401DD" w:rsidRDefault="00D34AAB" w:rsidP="00960E68">
      <w:pPr>
        <w:spacing w:line="240" w:lineRule="auto"/>
        <w:jc w:val="both"/>
        <w:rPr>
          <w:rFonts w:cs="Arial"/>
          <w:szCs w:val="20"/>
        </w:rPr>
      </w:pPr>
    </w:p>
    <w:p w14:paraId="7B286C0C" w14:textId="77777777" w:rsidR="00D34AAB" w:rsidRPr="008401DD" w:rsidRDefault="00D34AAB" w:rsidP="00960E68">
      <w:pPr>
        <w:spacing w:line="240" w:lineRule="auto"/>
        <w:jc w:val="both"/>
        <w:rPr>
          <w:rFonts w:cs="Arial"/>
          <w:szCs w:val="20"/>
        </w:rPr>
      </w:pPr>
      <w:r w:rsidRPr="008401DD">
        <w:rPr>
          <w:rFonts w:cs="Arial"/>
          <w:szCs w:val="20"/>
        </w:rPr>
        <w:t>Za stopnje sofinanciranja ni jasnih pravil in kriterijev. Za Črno Goro in Severno Makedonijo, ki sta programski državi je primerna stopnja sofinanciranja do 50 %, medtem ko je pri projektih v ostalih državah ta stopnja nižja ali višja.</w:t>
      </w:r>
    </w:p>
    <w:p w14:paraId="58C614A0" w14:textId="77777777" w:rsidR="00D34AAB" w:rsidRPr="008401DD" w:rsidRDefault="00D34AAB" w:rsidP="00960E68">
      <w:pPr>
        <w:spacing w:line="240" w:lineRule="auto"/>
        <w:jc w:val="both"/>
        <w:rPr>
          <w:rFonts w:cs="Arial"/>
          <w:szCs w:val="20"/>
        </w:rPr>
      </w:pPr>
    </w:p>
    <w:p w14:paraId="4212192A" w14:textId="1272AC64" w:rsidR="00D34AAB" w:rsidRPr="008401DD" w:rsidRDefault="00D34AAB" w:rsidP="00B8121B">
      <w:p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8401DD">
        <w:rPr>
          <w:rFonts w:cs="Arial"/>
          <w:i/>
          <w:u w:val="single"/>
        </w:rPr>
        <w:t>Priporočilo</w:t>
      </w:r>
      <w:r w:rsidR="00F35FA0" w:rsidRPr="008401DD">
        <w:rPr>
          <w:rFonts w:cs="Arial"/>
          <w:i/>
          <w:u w:val="single"/>
        </w:rPr>
        <w:t xml:space="preserve"> 3.1.</w:t>
      </w:r>
      <w:r w:rsidRPr="008401DD">
        <w:rPr>
          <w:rFonts w:cs="Arial"/>
          <w:i/>
        </w:rPr>
        <w:t xml:space="preserve">: Zagotovljena naj bo jasna revizijska sled procesa priprave in potrjevanja projekta (tj. kdo je ocenjeval, katera dokumentacija je podlagana za ocenjevanje, utemeljitev dodeljenega števila točk po </w:t>
      </w:r>
      <w:r w:rsidRPr="008401DD">
        <w:rPr>
          <w:rFonts w:cs="Arial"/>
          <w:i/>
        </w:rPr>
        <w:lastRenderedPageBreak/>
        <w:t>posameznih kriterijih za ocenjevanje itd.). Iz ocenjevalnega lista naj bo razvidno, če so bile potrebne kakšne dopolnitve projektne dokumentacije in ustreznost teh dopolnitev oz. pojasnil. Ocenjevalni listi naj omogočajo primerjavo različnih projektnih predlogov in razlogov za njihovo (ne)uvrstitev v ožji izbor. Priporočilo terja jasno opredelitev dokumentov in njihove vsebine, ki mora biti podlaga za sprejemanje odločitev za financiranje.</w:t>
      </w:r>
      <w:r w:rsidRPr="008401DD">
        <w:rPr>
          <w:rFonts w:cs="Arial"/>
          <w:i/>
          <w:iCs/>
        </w:rPr>
        <w:t xml:space="preserve"> </w:t>
      </w:r>
    </w:p>
    <w:p w14:paraId="0893A6EB" w14:textId="77777777" w:rsidR="000E2740" w:rsidRPr="008401DD" w:rsidRDefault="000E2740" w:rsidP="00960E68">
      <w:pPr>
        <w:jc w:val="both"/>
        <w:rPr>
          <w:i/>
        </w:rPr>
      </w:pPr>
    </w:p>
    <w:p w14:paraId="45C210D5" w14:textId="1A9B3A9E" w:rsidR="003A57C9" w:rsidRPr="008401DD" w:rsidRDefault="000E2740" w:rsidP="00B8121B">
      <w:pPr>
        <w:pBdr>
          <w:top w:val="single" w:sz="4" w:space="1" w:color="auto"/>
          <w:left w:val="single" w:sz="4" w:space="4" w:color="auto"/>
          <w:bottom w:val="single" w:sz="4" w:space="1" w:color="auto"/>
          <w:right w:val="single" w:sz="4" w:space="4" w:color="auto"/>
        </w:pBdr>
        <w:shd w:val="clear" w:color="auto" w:fill="D0ECDB"/>
        <w:jc w:val="both"/>
        <w:rPr>
          <w:rFonts w:cs="Arial"/>
          <w:i/>
          <w:szCs w:val="20"/>
        </w:rPr>
      </w:pPr>
      <w:r w:rsidRPr="008401DD">
        <w:rPr>
          <w:rFonts w:cs="Arial"/>
          <w:i/>
          <w:szCs w:val="20"/>
          <w:u w:val="single"/>
        </w:rPr>
        <w:t>Priporočilo</w:t>
      </w:r>
      <w:r w:rsidR="00F35FA0" w:rsidRPr="008401DD">
        <w:rPr>
          <w:rFonts w:cs="Arial"/>
          <w:i/>
          <w:szCs w:val="20"/>
          <w:u w:val="single"/>
        </w:rPr>
        <w:t xml:space="preserve"> 3.2.</w:t>
      </w:r>
      <w:r w:rsidRPr="008401DD">
        <w:rPr>
          <w:rFonts w:cs="Arial"/>
          <w:i/>
          <w:szCs w:val="20"/>
        </w:rPr>
        <w:t xml:space="preserve">: </w:t>
      </w:r>
      <w:r w:rsidR="009F7D12" w:rsidRPr="008401DD">
        <w:rPr>
          <w:rFonts w:cs="Arial"/>
          <w:i/>
          <w:szCs w:val="20"/>
        </w:rPr>
        <w:t>C</w:t>
      </w:r>
      <w:r w:rsidRPr="008401DD">
        <w:rPr>
          <w:rFonts w:cs="Arial"/>
          <w:i/>
          <w:szCs w:val="20"/>
        </w:rPr>
        <w:t>eloten proces prijave projektnih predlogov naj poteka z uporabo enotnih</w:t>
      </w:r>
      <w:r w:rsidR="005757D8" w:rsidRPr="008401DD">
        <w:rPr>
          <w:rFonts w:cs="Arial"/>
          <w:i/>
          <w:szCs w:val="20"/>
        </w:rPr>
        <w:t>, standardiziranih projektnih</w:t>
      </w:r>
      <w:r w:rsidRPr="008401DD">
        <w:rPr>
          <w:rFonts w:cs="Arial"/>
          <w:i/>
          <w:szCs w:val="20"/>
        </w:rPr>
        <w:t xml:space="preserve"> obrazcev, ki vključujejo vse ključne vidike projektov</w:t>
      </w:r>
      <w:r w:rsidR="005D6E50" w:rsidRPr="008401DD">
        <w:rPr>
          <w:rFonts w:cs="Arial"/>
          <w:i/>
          <w:szCs w:val="20"/>
        </w:rPr>
        <w:t>. Uporablja naj se enoten obrazec tako za javne razpise, ki se vodijo v okviru MZZ, kot tudi druge projekte (vključno z vlaganj</w:t>
      </w:r>
      <w:r w:rsidR="005735F3" w:rsidRPr="008401DD">
        <w:rPr>
          <w:rFonts w:cs="Arial"/>
          <w:i/>
          <w:szCs w:val="20"/>
        </w:rPr>
        <w:t>i</w:t>
      </w:r>
      <w:r w:rsidR="005D6E50" w:rsidRPr="008401DD">
        <w:rPr>
          <w:rFonts w:cs="Arial"/>
          <w:i/>
          <w:szCs w:val="20"/>
        </w:rPr>
        <w:t xml:space="preserve"> v infrastrukturo v okviru projektov CMSR). V nadaljevanju podajamo popis možnih kategorij projekta s pripisom, katere kategorije so v obrazcih MZZ že ustrezno upoštevane</w:t>
      </w:r>
      <w:r w:rsidR="005757D8" w:rsidRPr="008401DD">
        <w:rPr>
          <w:rFonts w:cs="Arial"/>
          <w:i/>
          <w:szCs w:val="20"/>
        </w:rPr>
        <w:t>:</w:t>
      </w:r>
    </w:p>
    <w:p w14:paraId="6D80A7C9" w14:textId="3112AD8D" w:rsidR="005757D8" w:rsidRPr="00C05E1C" w:rsidRDefault="00B04E2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Naslov projekta</w:t>
      </w:r>
      <w:r w:rsidR="00C74C43" w:rsidRPr="00C05E1C">
        <w:rPr>
          <w:i/>
        </w:rPr>
        <w:t xml:space="preserve"> (upoštevano)</w:t>
      </w:r>
      <w:r w:rsidR="005C113C" w:rsidRPr="00C05E1C">
        <w:rPr>
          <w:i/>
        </w:rPr>
        <w:t>;</w:t>
      </w:r>
    </w:p>
    <w:p w14:paraId="64B94681" w14:textId="39F8C176" w:rsidR="00B04E23" w:rsidRPr="003A14A9" w:rsidRDefault="00B04E2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712AC">
        <w:rPr>
          <w:i/>
        </w:rPr>
        <w:t>Lokacija izvajanja (občina, skupnost)</w:t>
      </w:r>
      <w:r w:rsidR="005C113C" w:rsidRPr="003A14A9">
        <w:rPr>
          <w:i/>
        </w:rPr>
        <w:t>;</w:t>
      </w:r>
    </w:p>
    <w:p w14:paraId="3D33C316" w14:textId="7F0CDE71" w:rsidR="00B04E23" w:rsidRPr="00B8121B" w:rsidRDefault="00B04E2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3A14A9">
        <w:rPr>
          <w:i/>
        </w:rPr>
        <w:t>Nosilec p</w:t>
      </w:r>
      <w:r w:rsidRPr="00B8121B">
        <w:rPr>
          <w:i/>
        </w:rPr>
        <w:t>rojekta in morebitni projektni partnerji, ter njihova vloga v projektu</w:t>
      </w:r>
      <w:r w:rsidR="00C74C43" w:rsidRPr="00B8121B">
        <w:rPr>
          <w:i/>
        </w:rPr>
        <w:t xml:space="preserve"> (upoštevano)</w:t>
      </w:r>
      <w:r w:rsidR="005C113C" w:rsidRPr="00B8121B">
        <w:rPr>
          <w:i/>
        </w:rPr>
        <w:t>;</w:t>
      </w:r>
    </w:p>
    <w:p w14:paraId="07592015" w14:textId="0ACEEBF3" w:rsidR="00B04E23"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Kratka predstavitev projekta in obrazložitev, na kakšen način projekt naslavlja razvojne potrebe v državi prejemnici</w:t>
      </w:r>
      <w:r w:rsidR="00C74C43" w:rsidRPr="00B8121B">
        <w:rPr>
          <w:i/>
        </w:rPr>
        <w:t xml:space="preserve"> in končne prejemnike oz. ciljne skupine (upoštevano)</w:t>
      </w:r>
      <w:r w:rsidRPr="00B8121B">
        <w:rPr>
          <w:i/>
        </w:rPr>
        <w:t>;</w:t>
      </w:r>
    </w:p>
    <w:p w14:paraId="3AED14A9" w14:textId="77777777" w:rsidR="00C74C43" w:rsidRPr="00B8121B" w:rsidRDefault="00C74C4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Cilji projekta in projektni kazalniki (učinka, rezultata in vpliva), z opredeljenimi izhodiščnimi in ciljnimi vrednostmi (upoštevano);</w:t>
      </w:r>
    </w:p>
    <w:p w14:paraId="0C5C62F2" w14:textId="7C14A411" w:rsidR="005C113C" w:rsidRPr="00C05E1C"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 xml:space="preserve">Obrazložitev upravičenosti projekta z vidika zakonodajnega okvira, ki ureja </w:t>
      </w:r>
      <w:r w:rsidR="00DC322C" w:rsidRPr="00B8121B">
        <w:rPr>
          <w:i/>
        </w:rPr>
        <w:t>MRS</w:t>
      </w:r>
      <w:r w:rsidR="00D34AAB" w:rsidRPr="00C05E1C">
        <w:rPr>
          <w:i/>
        </w:rPr>
        <w:t>;</w:t>
      </w:r>
    </w:p>
    <w:p w14:paraId="29E6C791" w14:textId="4B4C19D0"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712AC">
        <w:rPr>
          <w:i/>
        </w:rPr>
        <w:t>V primeru vlaganj v osnovna sreds</w:t>
      </w:r>
      <w:r w:rsidRPr="003A14A9">
        <w:rPr>
          <w:i/>
        </w:rPr>
        <w:t>tva ali infrastrukturo, informacije glede mikrolokacije in/ali možnih tehnologij</w:t>
      </w:r>
      <w:r w:rsidR="004112E0" w:rsidRPr="003A14A9">
        <w:rPr>
          <w:i/>
        </w:rPr>
        <w:t>;</w:t>
      </w:r>
    </w:p>
    <w:p w14:paraId="78B30824" w14:textId="2D3F8C52" w:rsidR="00C74C43" w:rsidRPr="00B8121B" w:rsidRDefault="00C74C4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Prispevek projekta k ciljem trajnostnega razvoja (upoštevano);</w:t>
      </w:r>
    </w:p>
    <w:p w14:paraId="5D2F53D3" w14:textId="2E378AF5"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Strateška skladnost projekta (z vidika zakonskega in strateškega okvira MRS RS in strateškega okvira države prejemnice)</w:t>
      </w:r>
      <w:r w:rsidR="004112E0" w:rsidRPr="00B8121B">
        <w:rPr>
          <w:i/>
        </w:rPr>
        <w:t>;</w:t>
      </w:r>
    </w:p>
    <w:p w14:paraId="281DC0EB" w14:textId="77777777" w:rsidR="00C74C43" w:rsidRPr="00B8121B" w:rsidRDefault="00C74C4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Prispevek projekta k horizontalnim temam (pristop temelječ na človekovih pravicah, enakost spolov, varovanje okolja, odprava revščine) (upoštevano);</w:t>
      </w:r>
    </w:p>
    <w:p w14:paraId="2A0BD3D0" w14:textId="73248DC6"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Ocena zrelosti projekta (obstoj predhodnih analiz in študij, stanje investicijske dokumentacije, če gre za</w:t>
      </w:r>
      <w:r w:rsidR="00091B6E" w:rsidRPr="00B8121B">
        <w:rPr>
          <w:i/>
        </w:rPr>
        <w:t xml:space="preserve"> </w:t>
      </w:r>
      <w:r w:rsidRPr="00B8121B">
        <w:rPr>
          <w:i/>
        </w:rPr>
        <w:t xml:space="preserve">vlaganja v opremo ali infrastrukturo, informacije glede umeščanja v prostor, statusa pridobivanja dovoljenj, zagotavljanja sofinanciranja s strani partnerske institucije oz. države prejemnice, obstoj </w:t>
      </w:r>
      <w:proofErr w:type="spellStart"/>
      <w:r w:rsidRPr="00B8121B">
        <w:rPr>
          <w:i/>
        </w:rPr>
        <w:t>konzorcijskih</w:t>
      </w:r>
      <w:proofErr w:type="spellEnd"/>
      <w:r w:rsidRPr="00B8121B">
        <w:rPr>
          <w:i/>
        </w:rPr>
        <w:t xml:space="preserve"> sporazumov z ostalimi projektnimi partnerji ipd.)</w:t>
      </w:r>
      <w:r w:rsidR="004112E0" w:rsidRPr="00B8121B">
        <w:rPr>
          <w:i/>
        </w:rPr>
        <w:t>;</w:t>
      </w:r>
    </w:p>
    <w:p w14:paraId="30ECB37C" w14:textId="102D74C5"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Časovni načrt izvedbe projekta, upoštevajoč oceno zrelosti</w:t>
      </w:r>
      <w:r w:rsidR="00C74C43" w:rsidRPr="00B8121B">
        <w:rPr>
          <w:i/>
        </w:rPr>
        <w:t xml:space="preserve"> (upoštevano)</w:t>
      </w:r>
      <w:r w:rsidRPr="00B8121B">
        <w:rPr>
          <w:i/>
        </w:rPr>
        <w:t>;</w:t>
      </w:r>
    </w:p>
    <w:p w14:paraId="3C723903" w14:textId="6304A344"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Analiza tveganj in ukrepi za obvladovanje tveganj;</w:t>
      </w:r>
    </w:p>
    <w:p w14:paraId="06115D01" w14:textId="7C6F22AD" w:rsidR="00C74C43" w:rsidRPr="00B8121B" w:rsidRDefault="00C74C43"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Vidljivost projekta in javno komuniciranje (upoštevano);</w:t>
      </w:r>
    </w:p>
    <w:p w14:paraId="15DA9FE4" w14:textId="028BAA8C"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Ocena stroškov, prihodkov in investicijske vrednosti projekta</w:t>
      </w:r>
      <w:r w:rsidR="00E2232B" w:rsidRPr="00B8121B">
        <w:rPr>
          <w:i/>
        </w:rPr>
        <w:t xml:space="preserve"> (upoštevano)</w:t>
      </w:r>
      <w:r w:rsidRPr="00B8121B">
        <w:rPr>
          <w:i/>
        </w:rPr>
        <w:t>;</w:t>
      </w:r>
    </w:p>
    <w:p w14:paraId="037F3F30" w14:textId="5BCC41DD"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Viri financiranja in finančna konstrukcija projekta, upoštevajoč časovni načrt izvedbe (skladnost denarnih tokov z dinamiko financiranja)</w:t>
      </w:r>
      <w:r w:rsidR="00E2232B" w:rsidRPr="00B8121B">
        <w:rPr>
          <w:i/>
        </w:rPr>
        <w:t xml:space="preserve"> (upoštevano)</w:t>
      </w:r>
      <w:r w:rsidRPr="00B8121B">
        <w:rPr>
          <w:i/>
        </w:rPr>
        <w:t>;</w:t>
      </w:r>
    </w:p>
    <w:p w14:paraId="6B043D31" w14:textId="2904EEBB"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B8121B">
        <w:rPr>
          <w:i/>
        </w:rPr>
        <w:t>Utemeljitev potrebe glede opredeljene stopnje sofinanciranja iz sredstev MRS;</w:t>
      </w:r>
    </w:p>
    <w:p w14:paraId="503CB592" w14:textId="1924A339"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Okvir upravljanja projektov (vodja, projektna skupina po področjih, spremljanje in poročanje, zagotavljanje kakovosti, nadzor)</w:t>
      </w:r>
      <w:r w:rsidR="00E2232B" w:rsidRPr="00B8121B">
        <w:rPr>
          <w:i/>
        </w:rPr>
        <w:t xml:space="preserve"> (delno </w:t>
      </w:r>
      <w:r w:rsidR="004112E0" w:rsidRPr="00B8121B">
        <w:rPr>
          <w:i/>
        </w:rPr>
        <w:t>upoštevano)</w:t>
      </w:r>
      <w:r w:rsidRPr="00B8121B">
        <w:rPr>
          <w:i/>
        </w:rPr>
        <w:t>;</w:t>
      </w:r>
    </w:p>
    <w:p w14:paraId="26F73450" w14:textId="4E4B351E" w:rsidR="005C113C" w:rsidRPr="00B8121B" w:rsidRDefault="005C113C"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Zmogljivosti projektne skupine (reference, izkušnje itd.)</w:t>
      </w:r>
      <w:r w:rsidR="00C74C43" w:rsidRPr="00C05E1C">
        <w:rPr>
          <w:i/>
        </w:rPr>
        <w:t xml:space="preserve"> (upoštevano)</w:t>
      </w:r>
      <w:r w:rsidRPr="00C05E1C">
        <w:rPr>
          <w:i/>
        </w:rPr>
        <w:t>.</w:t>
      </w:r>
    </w:p>
    <w:p w14:paraId="5B4CED10" w14:textId="77777777" w:rsidR="003A57C9" w:rsidRPr="008401DD" w:rsidRDefault="003A57C9" w:rsidP="00960E68">
      <w:pPr>
        <w:rPr>
          <w:rFonts w:cs="Arial"/>
          <w:i/>
        </w:rPr>
      </w:pPr>
    </w:p>
    <w:p w14:paraId="7263823B" w14:textId="4A700205" w:rsidR="00D34AAB" w:rsidRPr="008401DD" w:rsidRDefault="00D34AAB" w:rsidP="00B8121B">
      <w:p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8401DD">
        <w:rPr>
          <w:i/>
          <w:u w:val="single"/>
        </w:rPr>
        <w:t>Priporočilo</w:t>
      </w:r>
      <w:r w:rsidR="00F35FA0" w:rsidRPr="008401DD">
        <w:rPr>
          <w:i/>
          <w:u w:val="single"/>
        </w:rPr>
        <w:t xml:space="preserve"> 3.3.</w:t>
      </w:r>
      <w:r w:rsidRPr="008401DD">
        <w:rPr>
          <w:i/>
          <w:u w:val="single"/>
        </w:rPr>
        <w:t>:</w:t>
      </w:r>
      <w:r w:rsidRPr="008401DD">
        <w:rPr>
          <w:rFonts w:cs="Arial"/>
          <w:i/>
        </w:rPr>
        <w:t xml:space="preserve"> Proces potrjevanja projektov je popisan in formaliziran v okviru postopka odločanja o izboru projektov CMSR, a ostaja relativno kompleksen</w:t>
      </w:r>
      <w:r w:rsidR="000C3EC9" w:rsidRPr="008401DD">
        <w:rPr>
          <w:rFonts w:cs="Arial"/>
          <w:i/>
        </w:rPr>
        <w:t xml:space="preserve"> in se še ne uporablja</w:t>
      </w:r>
      <w:r w:rsidRPr="008401DD">
        <w:rPr>
          <w:rFonts w:cs="Arial"/>
          <w:i/>
        </w:rPr>
        <w:t xml:space="preserve">. Predlagamo </w:t>
      </w:r>
      <w:r w:rsidRPr="008401DD">
        <w:rPr>
          <w:i/>
        </w:rPr>
        <w:t xml:space="preserve">poenostavitev procesa izbora projektov (RACI matrica, ki opredeljuje odgovornosti posameznih deležnikov v posameznih fazah, in sam proces prehajanja odgovornosti za odločanje med deležniki). </w:t>
      </w:r>
      <w:r w:rsidRPr="008401DD">
        <w:rPr>
          <w:rFonts w:cs="Arial"/>
          <w:i/>
        </w:rPr>
        <w:t>Posamezne faze procesa priprave in izbora projektov naj bodo torej jasno opredeljene, z upoštevanjem optimalnega procesa odločanja (trenuten proces predstavlja preslikavo zatečenega stanja). Med možnimi izboljšavami lahko najdemo:</w:t>
      </w:r>
    </w:p>
    <w:p w14:paraId="6E880173" w14:textId="77777777" w:rsidR="00D34AAB" w:rsidRPr="00B8121B" w:rsidRDefault="00D34AAB"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 xml:space="preserve">Razdelitev nalog med deležnike v procesu na podlagi njihovih zmogljivosti in najboljših praks (CMSR, DKP in financerji so lahko bolj vključeni v fazi priprave zasnov projektov oziroma predlogov projektov, zaradi poznavanja vsebin, situacije na terenu itd.; MF (oz. drugi resorji) naj v vlogi financerja preverja </w:t>
      </w:r>
      <w:r w:rsidRPr="00C05E1C">
        <w:rPr>
          <w:i/>
        </w:rPr>
        <w:lastRenderedPageBreak/>
        <w:t>skladnost finančne konstrukcije in likvidnosti projekta; MZZ naj preverja kakovost projektov in strateško skladnost, pa tudi potencial za u</w:t>
      </w:r>
      <w:r w:rsidRPr="00B712AC">
        <w:rPr>
          <w:i/>
        </w:rPr>
        <w:t>stvarjanje sinergij znotraj širšega konteksta MRS in zunanjepolitičnih ambicij Slovenije ipd.);</w:t>
      </w:r>
    </w:p>
    <w:p w14:paraId="72AC87E5" w14:textId="278F8EA5" w:rsidR="00D34AAB" w:rsidRPr="00B8121B" w:rsidRDefault="00D34AAB"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 xml:space="preserve">Zmanjša naj se število iteracij vključevanja deležnikov oz. organov, ki sprejemajo odločitve (tj. deležniki naj se v proces vključujejo le enkrat, ko je to najbolj smotrno), npr.: ocenjevanje </w:t>
      </w:r>
      <w:r w:rsidR="006B6858" w:rsidRPr="00C05E1C">
        <w:rPr>
          <w:i/>
        </w:rPr>
        <w:t xml:space="preserve">ustreznosti </w:t>
      </w:r>
      <w:r w:rsidRPr="00C05E1C">
        <w:rPr>
          <w:i/>
        </w:rPr>
        <w:t>projektov se lahko izvaja le enkrat i</w:t>
      </w:r>
      <w:r w:rsidR="00D95A7C" w:rsidRPr="00C05E1C">
        <w:rPr>
          <w:i/>
        </w:rPr>
        <w:t>n</w:t>
      </w:r>
      <w:r w:rsidRPr="00C05E1C">
        <w:rPr>
          <w:i/>
        </w:rPr>
        <w:t xml:space="preserve"> central</w:t>
      </w:r>
      <w:r w:rsidR="000C3EC9" w:rsidRPr="00C05E1C">
        <w:rPr>
          <w:i/>
        </w:rPr>
        <w:t>i</w:t>
      </w:r>
      <w:r w:rsidRPr="00C05E1C">
        <w:rPr>
          <w:i/>
        </w:rPr>
        <w:t>zirano (npr. MZZ, ki naj pregleda dovolj zrele zasnove ali predloge projektov);</w:t>
      </w:r>
    </w:p>
    <w:p w14:paraId="5FE6446A" w14:textId="496022BD" w:rsidR="00D34AAB" w:rsidRPr="00B8121B" w:rsidRDefault="00D34AAB"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C05E1C">
        <w:rPr>
          <w:i/>
        </w:rPr>
        <w:t>Vloga veleposlaništva v Severni Makedoniji (oz. relevantni državi prejemnici), zlasti na začetku tega procesa je sicer opredeljena, lahko pa se nadgradi v smeri povezovanja nacionalne in lokalne ravni (usklajevane potreb na terenu z znanjem, tehnologijami in rešitvami, ki jih Slovenija lahko ponudi)</w:t>
      </w:r>
      <w:r w:rsidR="00205898">
        <w:rPr>
          <w:i/>
        </w:rPr>
        <w:t>.</w:t>
      </w:r>
    </w:p>
    <w:p w14:paraId="3C40D825" w14:textId="77777777" w:rsidR="006B0F9E" w:rsidRPr="008401DD" w:rsidRDefault="006B0F9E" w:rsidP="00B8121B">
      <w:pPr>
        <w:pBdr>
          <w:top w:val="single" w:sz="4" w:space="1" w:color="auto"/>
          <w:left w:val="single" w:sz="4" w:space="4" w:color="auto"/>
          <w:bottom w:val="single" w:sz="4" w:space="1" w:color="auto"/>
          <w:right w:val="single" w:sz="4" w:space="4" w:color="auto"/>
        </w:pBdr>
        <w:shd w:val="clear" w:color="auto" w:fill="D0ECDB"/>
        <w:jc w:val="both"/>
        <w:rPr>
          <w:i/>
        </w:rPr>
      </w:pPr>
    </w:p>
    <w:p w14:paraId="1FDB89D3" w14:textId="1955FA6D" w:rsidR="00D34AAB" w:rsidRPr="008401DD" w:rsidRDefault="00D34AAB"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Priporočilo se nanaša tudi na naslednje priporočilo sistemske ureditve delovanja sistema MRS v RS, zato je njegova izvedba </w:t>
      </w:r>
      <w:r w:rsidR="006B0F9E" w:rsidRPr="008401DD">
        <w:rPr>
          <w:i/>
        </w:rPr>
        <w:t>odvisna</w:t>
      </w:r>
      <w:r w:rsidRPr="008401DD">
        <w:rPr>
          <w:i/>
        </w:rPr>
        <w:t xml:space="preserve"> tudi od morebitnih sprememb v strukturi in postopkih odločanja znotraj tega sistema.</w:t>
      </w:r>
    </w:p>
    <w:p w14:paraId="5A3DBC35" w14:textId="77777777" w:rsidR="00320835" w:rsidRPr="008401DD" w:rsidRDefault="00320835" w:rsidP="00960E68">
      <w:pPr>
        <w:jc w:val="both"/>
        <w:rPr>
          <w:i/>
        </w:rPr>
      </w:pPr>
    </w:p>
    <w:p w14:paraId="03205A2A" w14:textId="08217B7D" w:rsidR="00FF73FB" w:rsidRPr="008401DD" w:rsidRDefault="00B21665"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F35FA0" w:rsidRPr="008401DD">
        <w:rPr>
          <w:i/>
          <w:u w:val="single"/>
        </w:rPr>
        <w:t xml:space="preserve"> 3.4.</w:t>
      </w:r>
      <w:r w:rsidRPr="008401DD">
        <w:rPr>
          <w:i/>
          <w:u w:val="single"/>
        </w:rPr>
        <w:t>:</w:t>
      </w:r>
      <w:r w:rsidRPr="008401DD">
        <w:rPr>
          <w:i/>
        </w:rPr>
        <w:t xml:space="preserve"> </w:t>
      </w:r>
      <w:r w:rsidR="000F2F71" w:rsidRPr="008401DD">
        <w:rPr>
          <w:i/>
        </w:rPr>
        <w:t>Kompleksnost procesa zbiranja projektnih idej in potrjevanja projektov odpira tudi vprašanje delovanja celotnega sistema MRS v RS.</w:t>
      </w:r>
      <w:r w:rsidR="004467D8" w:rsidRPr="008401DD">
        <w:rPr>
          <w:i/>
        </w:rPr>
        <w:t xml:space="preserve"> S krepitvij</w:t>
      </w:r>
      <w:r w:rsidR="00D95A7C" w:rsidRPr="008401DD">
        <w:rPr>
          <w:i/>
        </w:rPr>
        <w:t>o</w:t>
      </w:r>
      <w:r w:rsidR="004467D8" w:rsidRPr="008401DD">
        <w:rPr>
          <w:i/>
        </w:rPr>
        <w:t xml:space="preserve"> vloge nacionalnega koordinatorja od leta 2019 in formalizacijo postopka odločanja o izboru projektov CMSR se je sicer začel proces konsolidirat</w:t>
      </w:r>
      <w:r w:rsidR="00FF73FB" w:rsidRPr="008401DD">
        <w:rPr>
          <w:i/>
        </w:rPr>
        <w:t>i (npr. z uvedbo koordinacijskih sestankov skupine financerjev)</w:t>
      </w:r>
      <w:r w:rsidR="004467D8" w:rsidRPr="008401DD">
        <w:rPr>
          <w:i/>
        </w:rPr>
        <w:t xml:space="preserve">, a gre za novo ureditev, </w:t>
      </w:r>
      <w:r w:rsidR="00D95A7C" w:rsidRPr="008401DD">
        <w:rPr>
          <w:i/>
        </w:rPr>
        <w:t>ki je v okviru projektov ni bilo mogoče vrednotiti,</w:t>
      </w:r>
      <w:r w:rsidR="004467D8" w:rsidRPr="008401DD">
        <w:rPr>
          <w:i/>
        </w:rPr>
        <w:t xml:space="preserve"> zato bo za dejansko oceno </w:t>
      </w:r>
      <w:r w:rsidR="00FF73FB" w:rsidRPr="008401DD">
        <w:rPr>
          <w:i/>
        </w:rPr>
        <w:t xml:space="preserve">ustreznosti sistemske ureditve </w:t>
      </w:r>
      <w:r w:rsidR="004467D8" w:rsidRPr="008401DD">
        <w:rPr>
          <w:i/>
        </w:rPr>
        <w:t xml:space="preserve">potrebno počakati. </w:t>
      </w:r>
      <w:r w:rsidR="00FF73FB" w:rsidRPr="008401DD">
        <w:rPr>
          <w:i/>
        </w:rPr>
        <w:t xml:space="preserve">V vsakem primeru naj sistem MRS </w:t>
      </w:r>
      <w:r w:rsidR="007148A5" w:rsidRPr="008401DD">
        <w:rPr>
          <w:i/>
        </w:rPr>
        <w:t>v</w:t>
      </w:r>
      <w:r w:rsidR="00FF73FB" w:rsidRPr="008401DD">
        <w:rPr>
          <w:i/>
        </w:rPr>
        <w:t xml:space="preserve"> bodoče zagotavlja</w:t>
      </w:r>
      <w:r w:rsidR="000F2F71" w:rsidRPr="008401DD">
        <w:rPr>
          <w:i/>
        </w:rPr>
        <w:t xml:space="preserve"> koherentno delovanje deležnikov in strateški pristop pri </w:t>
      </w:r>
      <w:proofErr w:type="spellStart"/>
      <w:r w:rsidR="000F2F71" w:rsidRPr="008401DD">
        <w:rPr>
          <w:i/>
        </w:rPr>
        <w:t>pozicioniranju</w:t>
      </w:r>
      <w:proofErr w:type="spellEnd"/>
      <w:r w:rsidR="000F2F71" w:rsidRPr="008401DD">
        <w:rPr>
          <w:i/>
        </w:rPr>
        <w:t xml:space="preserve"> Slovenije kot donatorske države navzven. </w:t>
      </w:r>
      <w:r w:rsidR="004467D8" w:rsidRPr="008401DD">
        <w:rPr>
          <w:i/>
        </w:rPr>
        <w:t>P</w:t>
      </w:r>
      <w:r w:rsidR="000F2F71" w:rsidRPr="008401DD">
        <w:rPr>
          <w:i/>
        </w:rPr>
        <w:t>otrebno zagotoviti optimalno p</w:t>
      </w:r>
      <w:r w:rsidRPr="008401DD">
        <w:rPr>
          <w:i/>
        </w:rPr>
        <w:t xml:space="preserve">ovezovanje deležnikov na nacionalni ravni in poenostavitev procesov </w:t>
      </w:r>
      <w:r w:rsidR="000F2F71" w:rsidRPr="008401DD">
        <w:rPr>
          <w:i/>
        </w:rPr>
        <w:t>(ne le izbora projektov, ampak tudi strateškega načrtovanja, upravljanja partnerstev na nacionalni in nadnacionalni ravni, financiranja, komuniciranja ter spremljanja in nadzora).</w:t>
      </w:r>
    </w:p>
    <w:p w14:paraId="6C0AEBB4" w14:textId="77777777" w:rsidR="00FF73FB" w:rsidRPr="008401DD" w:rsidRDefault="00FF73FB" w:rsidP="00B8121B">
      <w:pPr>
        <w:pBdr>
          <w:top w:val="single" w:sz="4" w:space="1" w:color="auto"/>
          <w:left w:val="single" w:sz="4" w:space="4" w:color="auto"/>
          <w:bottom w:val="single" w:sz="4" w:space="1" w:color="auto"/>
          <w:right w:val="single" w:sz="4" w:space="4" w:color="auto"/>
        </w:pBdr>
        <w:shd w:val="clear" w:color="auto" w:fill="D0ECDB"/>
        <w:jc w:val="both"/>
        <w:rPr>
          <w:i/>
        </w:rPr>
      </w:pPr>
    </w:p>
    <w:p w14:paraId="46EDF6B9" w14:textId="40DDFCEC" w:rsidR="000F2F71" w:rsidRPr="008401DD" w:rsidRDefault="00FF73FB"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Za dosego teh ciljev je potrebno zagotoviti kontinuiran in profesionaliziran pristop na strateški in operativni ravni. Prva je že vzpostavljena preko </w:t>
      </w:r>
      <w:r w:rsidR="007148A5" w:rsidRPr="008401DD">
        <w:rPr>
          <w:i/>
        </w:rPr>
        <w:t>S</w:t>
      </w:r>
      <w:r w:rsidRPr="008401DD">
        <w:rPr>
          <w:i/>
        </w:rPr>
        <w:t>trokovnega sveta in Stalne koordinacijske skupine in terja reden in dosleden angaž</w:t>
      </w:r>
      <w:r w:rsidR="00D95A7C" w:rsidRPr="008401DD">
        <w:rPr>
          <w:i/>
        </w:rPr>
        <w:t>m</w:t>
      </w:r>
      <w:r w:rsidRPr="008401DD">
        <w:rPr>
          <w:i/>
        </w:rPr>
        <w:t xml:space="preserve">a vpetih deležnikov. Na operativni ravni pa je </w:t>
      </w:r>
      <w:r w:rsidR="007148A5" w:rsidRPr="008401DD">
        <w:rPr>
          <w:i/>
        </w:rPr>
        <w:t>s</w:t>
      </w:r>
      <w:r w:rsidRPr="008401DD">
        <w:rPr>
          <w:i/>
        </w:rPr>
        <w:t xml:space="preserve">motrno vlogo nacionalnega koordinatorja po preteku določenega obdobja (npr. do konca 2022) oceniti in razmisliti glede </w:t>
      </w:r>
      <w:r w:rsidR="00B85B43" w:rsidRPr="008401DD">
        <w:rPr>
          <w:i/>
        </w:rPr>
        <w:t>nadaljnjih</w:t>
      </w:r>
      <w:r w:rsidRPr="008401DD">
        <w:rPr>
          <w:i/>
        </w:rPr>
        <w:t xml:space="preserve"> korakov za integracijo sistema MRS. </w:t>
      </w:r>
      <w:r w:rsidR="000F2F71" w:rsidRPr="008401DD">
        <w:rPr>
          <w:i/>
        </w:rPr>
        <w:t xml:space="preserve">Možnih rešitev za integracijo sistema </w:t>
      </w:r>
      <w:r w:rsidR="00D36793" w:rsidRPr="008401DD">
        <w:rPr>
          <w:i/>
        </w:rPr>
        <w:t>(z vključevanjem obstoječih zmogljivosti)</w:t>
      </w:r>
      <w:r w:rsidR="000F2F71" w:rsidRPr="008401DD">
        <w:rPr>
          <w:i/>
        </w:rPr>
        <w:t xml:space="preserve"> je več, med drugim </w:t>
      </w:r>
      <w:r w:rsidR="00D34AAB" w:rsidRPr="008401DD">
        <w:rPr>
          <w:i/>
        </w:rPr>
        <w:t xml:space="preserve">vzpostavitev </w:t>
      </w:r>
      <w:r w:rsidR="00852F61" w:rsidRPr="008401DD">
        <w:rPr>
          <w:i/>
        </w:rPr>
        <w:t>agencije za razvojno sodelovanje, centralizacij</w:t>
      </w:r>
      <w:r w:rsidR="00D25CAB" w:rsidRPr="008401DD">
        <w:rPr>
          <w:i/>
        </w:rPr>
        <w:t>a</w:t>
      </w:r>
      <w:r w:rsidR="00852F61" w:rsidRPr="008401DD">
        <w:rPr>
          <w:i/>
        </w:rPr>
        <w:t xml:space="preserve"> funkcij in proračunskega načrtovanja v okviru </w:t>
      </w:r>
      <w:r w:rsidR="00C05E1C">
        <w:rPr>
          <w:i/>
        </w:rPr>
        <w:t>MZZ</w:t>
      </w:r>
      <w:r w:rsidR="000F2F71" w:rsidRPr="008401DD">
        <w:rPr>
          <w:i/>
        </w:rPr>
        <w:t xml:space="preserve"> (tj. </w:t>
      </w:r>
      <w:r w:rsidRPr="008401DD">
        <w:rPr>
          <w:i/>
        </w:rPr>
        <w:t xml:space="preserve">dodatna </w:t>
      </w:r>
      <w:r w:rsidR="000F2F71" w:rsidRPr="008401DD">
        <w:rPr>
          <w:i/>
        </w:rPr>
        <w:t>krepitev vloge nacionalnega koordinatorja), izboljšan</w:t>
      </w:r>
      <w:r w:rsidRPr="008401DD">
        <w:rPr>
          <w:i/>
        </w:rPr>
        <w:t>a</w:t>
      </w:r>
      <w:r w:rsidR="000F2F71" w:rsidRPr="008401DD">
        <w:rPr>
          <w:i/>
        </w:rPr>
        <w:t xml:space="preserve"> koordinacij</w:t>
      </w:r>
      <w:r w:rsidRPr="008401DD">
        <w:rPr>
          <w:i/>
        </w:rPr>
        <w:t>a</w:t>
      </w:r>
      <w:r w:rsidR="000F2F71" w:rsidRPr="008401DD">
        <w:rPr>
          <w:i/>
        </w:rPr>
        <w:t xml:space="preserve"> med MRS, gospodarsko diplomacijo in ekosistemom za internacionalizacijo slovenskega gospodarstva ipd. MZZ oz. nacionalni koordinator naj </w:t>
      </w:r>
      <w:r w:rsidRPr="008401DD">
        <w:rPr>
          <w:i/>
        </w:rPr>
        <w:t xml:space="preserve">zato do omenjenega leta </w:t>
      </w:r>
      <w:r w:rsidR="000F2F71" w:rsidRPr="008401DD">
        <w:rPr>
          <w:i/>
        </w:rPr>
        <w:t>pripravi enostavno študijo stroškov in koristi različnih variant, v kateri naj za obravnavane variante odgovo</w:t>
      </w:r>
      <w:r w:rsidR="004D64F6" w:rsidRPr="008401DD">
        <w:rPr>
          <w:i/>
        </w:rPr>
        <w:t>ri na nekaj temeljnih vprašanj:</w:t>
      </w:r>
    </w:p>
    <w:p w14:paraId="7C5816EB" w14:textId="3FCEFA27" w:rsidR="00804262" w:rsidRPr="008401DD" w:rsidRDefault="00804262"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Kako </w:t>
      </w:r>
      <w:proofErr w:type="spellStart"/>
      <w:r w:rsidRPr="008401DD">
        <w:rPr>
          <w:i/>
        </w:rPr>
        <w:t>maksimizirati</w:t>
      </w:r>
      <w:proofErr w:type="spellEnd"/>
      <w:r w:rsidRPr="008401DD">
        <w:rPr>
          <w:i/>
        </w:rPr>
        <w:t xml:space="preserve"> usklajenost potreb in projektov ter dolgoročnega vpliva MRS v državni prejemnici (pristop od spodaj navzgor in identifikacija potreb</w:t>
      </w:r>
      <w:r w:rsidR="0023497A" w:rsidRPr="008401DD">
        <w:rPr>
          <w:i/>
        </w:rPr>
        <w:t xml:space="preserve"> v državi prejemnici</w:t>
      </w:r>
      <w:r w:rsidRPr="008401DD">
        <w:rPr>
          <w:i/>
        </w:rPr>
        <w:t>)?</w:t>
      </w:r>
    </w:p>
    <w:p w14:paraId="3407E2D3" w14:textId="36CB601C" w:rsidR="000F2F71" w:rsidRPr="008401DD" w:rsidRDefault="000F2F71"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Kako izboljšati položaj in vlogo slovenskih </w:t>
      </w:r>
      <w:r w:rsidR="00804262" w:rsidRPr="008401DD">
        <w:rPr>
          <w:i/>
        </w:rPr>
        <w:t xml:space="preserve">organizacij </w:t>
      </w:r>
      <w:r w:rsidRPr="008401DD">
        <w:rPr>
          <w:i/>
        </w:rPr>
        <w:t xml:space="preserve">podjetij, vključno z vključevanjem </w:t>
      </w:r>
      <w:r w:rsidR="00804262" w:rsidRPr="008401DD">
        <w:rPr>
          <w:i/>
        </w:rPr>
        <w:t>teh</w:t>
      </w:r>
      <w:r w:rsidRPr="008401DD">
        <w:rPr>
          <w:i/>
        </w:rPr>
        <w:t xml:space="preserve"> v sam proces priprave, izbora in izvajanja projektov MRS</w:t>
      </w:r>
      <w:r w:rsidR="00804262" w:rsidRPr="008401DD">
        <w:rPr>
          <w:i/>
        </w:rPr>
        <w:t xml:space="preserve">, </w:t>
      </w:r>
      <w:r w:rsidRPr="008401DD">
        <w:rPr>
          <w:i/>
        </w:rPr>
        <w:t>tudi v vlogi financerjev</w:t>
      </w:r>
      <w:r w:rsidR="00804262" w:rsidRPr="008401DD">
        <w:rPr>
          <w:i/>
        </w:rPr>
        <w:t xml:space="preserve"> (pristop od zgoraj navzdol z usklajevanjem </w:t>
      </w:r>
      <w:r w:rsidR="008B1BA6" w:rsidRPr="008401DD">
        <w:rPr>
          <w:i/>
        </w:rPr>
        <w:t xml:space="preserve">nacionalnih </w:t>
      </w:r>
      <w:r w:rsidR="00804262" w:rsidRPr="008401DD">
        <w:rPr>
          <w:i/>
        </w:rPr>
        <w:t>strateških in gospodarskih interesov</w:t>
      </w:r>
      <w:r w:rsidRPr="008401DD">
        <w:rPr>
          <w:i/>
        </w:rPr>
        <w:t>)?</w:t>
      </w:r>
    </w:p>
    <w:p w14:paraId="0AAF54DA" w14:textId="4556D62D" w:rsidR="005E715F" w:rsidRPr="008401DD" w:rsidRDefault="005E715F"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Kako projekte MRS zasnovati na način, da ti podpirajo tudi prvi vstop na trg v smislu izvoza domačega znanja, izdelkov in rešitev?</w:t>
      </w:r>
    </w:p>
    <w:p w14:paraId="0028F172" w14:textId="5910B388" w:rsidR="000F2F71" w:rsidRPr="008401DD" w:rsidRDefault="000F2F71"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 xml:space="preserve">Kako zagotavljati </w:t>
      </w:r>
      <w:r w:rsidR="00CF626B" w:rsidRPr="008401DD">
        <w:rPr>
          <w:i/>
        </w:rPr>
        <w:t xml:space="preserve">optimalen proces proračunskega načrtovanja MRS; </w:t>
      </w:r>
      <w:r w:rsidRPr="008401DD">
        <w:rPr>
          <w:i/>
        </w:rPr>
        <w:t>optimalno porabo proračunskih sredstev in učinkovit nadzor nad porabo proračunskih sredstev za namene financiranja projektov MRS?</w:t>
      </w:r>
    </w:p>
    <w:p w14:paraId="5B13EA4F" w14:textId="0CF0EF97" w:rsidR="000F2F71" w:rsidRPr="008401DD" w:rsidRDefault="000F2F71"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Kako zagotoviti optimizacijo poslovanja in ekonomije obsega?</w:t>
      </w:r>
    </w:p>
    <w:p w14:paraId="12242E9A" w14:textId="2071D15B" w:rsidR="000F2F71" w:rsidRPr="008401DD" w:rsidRDefault="000F2F71"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Kako izboljšati vidnost in prepoznavnost Slovenije kot donatorske države v državah prejemnicah?</w:t>
      </w:r>
    </w:p>
    <w:p w14:paraId="49794A0E" w14:textId="33109AFE" w:rsidR="000F2F71" w:rsidRPr="008401DD" w:rsidRDefault="000F2F71"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t>Kako najbolje izkoristiti obstoječe institucionalne zmogljivosti in človeške vire, vključno z znanjem, izkušnjami in stiki v državah prejemnicah</w:t>
      </w:r>
      <w:r w:rsidR="006952B8" w:rsidRPr="008401DD">
        <w:rPr>
          <w:i/>
        </w:rPr>
        <w:t>, ob upoštevanju optimalne statusne oblike prihodnje ureditve(npr. agencija, organ v sestavi, ustanova, javni zavod ali zasebni zavod ipd.)</w:t>
      </w:r>
      <w:r w:rsidRPr="008401DD">
        <w:rPr>
          <w:i/>
        </w:rPr>
        <w:t>?</w:t>
      </w:r>
    </w:p>
    <w:p w14:paraId="1F16E09C" w14:textId="6945FCC5" w:rsidR="006952B8" w:rsidRPr="008401DD" w:rsidRDefault="006952B8" w:rsidP="00B8121B">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0ECDB"/>
        <w:jc w:val="both"/>
        <w:rPr>
          <w:i/>
        </w:rPr>
      </w:pPr>
      <w:r w:rsidRPr="008401DD">
        <w:rPr>
          <w:i/>
        </w:rPr>
        <w:lastRenderedPageBreak/>
        <w:t xml:space="preserve">Kakšni so </w:t>
      </w:r>
      <w:r w:rsidR="0001516D" w:rsidRPr="008401DD">
        <w:rPr>
          <w:i/>
        </w:rPr>
        <w:t>finančni</w:t>
      </w:r>
      <w:r w:rsidRPr="008401DD">
        <w:rPr>
          <w:i/>
        </w:rPr>
        <w:t xml:space="preserve"> stroški, povezani z različnimi variantami integracije sistema MRS, in kakšne potencialne prihranke posamezna rešitev prinaša?</w:t>
      </w:r>
    </w:p>
    <w:p w14:paraId="716760B2" w14:textId="77777777" w:rsidR="006B0F9E" w:rsidRPr="008401DD" w:rsidRDefault="006B0F9E" w:rsidP="00960E68">
      <w:pPr>
        <w:rPr>
          <w:rFonts w:cs="Arial"/>
          <w:i/>
          <w:szCs w:val="20"/>
        </w:rPr>
      </w:pPr>
    </w:p>
    <w:p w14:paraId="44959CB0" w14:textId="0156734F" w:rsidR="00A418B4" w:rsidRPr="008401DD" w:rsidRDefault="00A418B4"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3.2:</w:t>
      </w:r>
      <w:r w:rsidRPr="008401DD">
        <w:rPr>
          <w:rFonts w:cs="Arial"/>
          <w:color w:val="67C18C"/>
        </w:rPr>
        <w:t xml:space="preserve"> </w:t>
      </w:r>
      <w:r w:rsidRPr="008401DD">
        <w:rPr>
          <w:rFonts w:cs="Arial"/>
          <w:i/>
          <w:color w:val="67C18C"/>
        </w:rPr>
        <w:t>Kako je bil voden in dokumentiran postopek javnega naročanja?</w:t>
      </w:r>
    </w:p>
    <w:p w14:paraId="5F6D8C3A" w14:textId="77777777" w:rsidR="00B85B43" w:rsidRDefault="00B85B43" w:rsidP="00960E68">
      <w:pPr>
        <w:jc w:val="both"/>
        <w:rPr>
          <w:b/>
        </w:rPr>
      </w:pPr>
    </w:p>
    <w:p w14:paraId="0379F963" w14:textId="3CE95BA5" w:rsidR="007279A8" w:rsidRPr="008401DD" w:rsidRDefault="007279A8" w:rsidP="00960E68">
      <w:pPr>
        <w:jc w:val="both"/>
      </w:pPr>
      <w:r w:rsidRPr="008401DD">
        <w:rPr>
          <w:b/>
        </w:rPr>
        <w:t>Prvi projekt</w:t>
      </w:r>
      <w:r w:rsidRPr="008401DD">
        <w:t xml:space="preserve">: Za prvi projekt je vlagatelj prošnje za donacijo sam izbral izvajalca v skladu </w:t>
      </w:r>
      <w:r w:rsidR="003B0287" w:rsidRPr="008401DD">
        <w:t>z veljavnim</w:t>
      </w:r>
      <w:r w:rsidRPr="008401DD">
        <w:t xml:space="preserve"> pravnim redom</w:t>
      </w:r>
      <w:r w:rsidR="003B0287" w:rsidRPr="008401DD">
        <w:t xml:space="preserve"> v Severni Makedoniji</w:t>
      </w:r>
      <w:r w:rsidRPr="008401DD">
        <w:t>. Podatkov o izvedbi javnega naročila za izbor izvajalca v Severni Makedoniji nimamo, zato ocene o ustreznosti postopka j</w:t>
      </w:r>
      <w:r w:rsidR="000F47CE" w:rsidRPr="008401DD">
        <w:t>a</w:t>
      </w:r>
      <w:r w:rsidRPr="008401DD">
        <w:t xml:space="preserve">vnega naročila ne moremo podati. </w:t>
      </w:r>
      <w:r w:rsidR="00000DCC" w:rsidRPr="008401DD">
        <w:t>Na javnem naroči</w:t>
      </w:r>
      <w:r w:rsidR="00B21665" w:rsidRPr="008401DD">
        <w:t>l</w:t>
      </w:r>
      <w:r w:rsidR="00000DCC" w:rsidRPr="008401DD">
        <w:t>u je bil izbr</w:t>
      </w:r>
      <w:r w:rsidR="00C01680" w:rsidRPr="008401DD">
        <w:t>an</w:t>
      </w:r>
      <w:r w:rsidR="00B21665" w:rsidRPr="008401DD">
        <w:t>o slovensko podjetje</w:t>
      </w:r>
      <w:r w:rsidR="00C01680" w:rsidRPr="008401DD">
        <w:t xml:space="preserve"> Iskra sistemi </w:t>
      </w:r>
      <w:proofErr w:type="spellStart"/>
      <w:r w:rsidR="00C01680" w:rsidRPr="008401DD">
        <w:t>d.d</w:t>
      </w:r>
      <w:proofErr w:type="spellEnd"/>
      <w:r w:rsidR="00000DCC" w:rsidRPr="008401DD">
        <w:t>.</w:t>
      </w:r>
    </w:p>
    <w:p w14:paraId="7D76A670" w14:textId="6285B495" w:rsidR="007279A8" w:rsidRPr="008401DD" w:rsidRDefault="007279A8" w:rsidP="00960E68">
      <w:pPr>
        <w:jc w:val="both"/>
      </w:pPr>
    </w:p>
    <w:p w14:paraId="3E6DB689" w14:textId="73DC444D" w:rsidR="007279A8" w:rsidRPr="008401DD" w:rsidRDefault="007279A8" w:rsidP="00960E68">
      <w:pPr>
        <w:jc w:val="both"/>
      </w:pPr>
      <w:r w:rsidRPr="008401DD">
        <w:rPr>
          <w:b/>
        </w:rPr>
        <w:t>Drugi projekt</w:t>
      </w:r>
      <w:r w:rsidRPr="008401DD">
        <w:t>:</w:t>
      </w:r>
      <w:r w:rsidR="009F0792" w:rsidRPr="008401DD">
        <w:t xml:space="preserve"> </w:t>
      </w:r>
      <w:r w:rsidR="00E67788" w:rsidRPr="008401DD">
        <w:t xml:space="preserve">Postopek javnega naročanja je vodil CMSR v imenu občine </w:t>
      </w:r>
      <w:proofErr w:type="spellStart"/>
      <w:r w:rsidR="00E67788" w:rsidRPr="008401DD">
        <w:t>Probištip</w:t>
      </w:r>
      <w:proofErr w:type="spellEnd"/>
      <w:r w:rsidR="00E67788" w:rsidRPr="008401DD">
        <w:t xml:space="preserve">, javno naročilo pa je bilo izvedeno po odprtem postopku v skladu z zakonom o javnem naročanju RS, kot pravna podlaga pa se je uporabila tudi makedonska zakonodaja v skladu z Zakonom o graditvi objektov Severne Makedonije. </w:t>
      </w:r>
    </w:p>
    <w:p w14:paraId="09A4AC6B" w14:textId="7F02F9C2" w:rsidR="000F47CE" w:rsidRPr="008401DD" w:rsidRDefault="00E67788" w:rsidP="00960E68">
      <w:pPr>
        <w:jc w:val="both"/>
      </w:pPr>
      <w:r w:rsidRPr="008401DD">
        <w:t xml:space="preserve">Pogoji za sodelovanje glede tehnične in strokovne sposobnosti </w:t>
      </w:r>
      <w:r w:rsidR="00774F1E" w:rsidRPr="008401DD">
        <w:t xml:space="preserve">so vključevali: </w:t>
      </w:r>
    </w:p>
    <w:p w14:paraId="652D8CDA" w14:textId="643521DA" w:rsidR="00774F1E" w:rsidRPr="008401DD" w:rsidRDefault="00774F1E" w:rsidP="00960E68">
      <w:pPr>
        <w:pStyle w:val="ListParagraph"/>
        <w:numPr>
          <w:ilvl w:val="0"/>
          <w:numId w:val="20"/>
        </w:numPr>
        <w:jc w:val="both"/>
      </w:pPr>
      <w:r w:rsidRPr="008401DD">
        <w:t xml:space="preserve">najmanj en projekt s projektiranjem, izvedbo in namestitvijo čistilne postaje za pitno vodo s tehnologijo </w:t>
      </w:r>
      <w:proofErr w:type="spellStart"/>
      <w:r w:rsidRPr="008401DD">
        <w:t>ultrafiltracije</w:t>
      </w:r>
      <w:proofErr w:type="spellEnd"/>
      <w:r w:rsidRPr="008401DD">
        <w:t xml:space="preserve"> za proizvodnjo min. 75 l/s pitne vode v </w:t>
      </w:r>
      <w:r w:rsidR="00627CD3" w:rsidRPr="008401DD">
        <w:t>Severni</w:t>
      </w:r>
      <w:r w:rsidRPr="008401DD">
        <w:t xml:space="preserve"> Makedoniji, v vrednosti, večji od 1.200.000 EUR ter </w:t>
      </w:r>
    </w:p>
    <w:p w14:paraId="45F51415" w14:textId="656086FA" w:rsidR="00774F1E" w:rsidRPr="008401DD" w:rsidRDefault="00774F1E" w:rsidP="00960E68">
      <w:pPr>
        <w:pStyle w:val="ListParagraph"/>
        <w:numPr>
          <w:ilvl w:val="0"/>
          <w:numId w:val="20"/>
        </w:numPr>
        <w:jc w:val="both"/>
      </w:pPr>
      <w:r w:rsidRPr="008401DD">
        <w:t xml:space="preserve">najmanj en projekt s projektiranjem in namestitvijo opreme za črpalne postaje za distribucijo pitne vode v </w:t>
      </w:r>
      <w:r w:rsidR="00627CD3" w:rsidRPr="008401DD">
        <w:t xml:space="preserve">Severni </w:t>
      </w:r>
      <w:r w:rsidRPr="008401DD">
        <w:t xml:space="preserve">Makedoniji, v vrednosti več kot 100.000 EUR. </w:t>
      </w:r>
    </w:p>
    <w:p w14:paraId="03B90128" w14:textId="77777777" w:rsidR="00774F1E" w:rsidRPr="008401DD" w:rsidRDefault="00774F1E" w:rsidP="00960E68">
      <w:pPr>
        <w:jc w:val="both"/>
      </w:pPr>
    </w:p>
    <w:p w14:paraId="30348296" w14:textId="205A4B2B" w:rsidR="00774F1E" w:rsidRPr="008401DD" w:rsidRDefault="00774F1E" w:rsidP="00960E68">
      <w:pPr>
        <w:jc w:val="both"/>
      </w:pPr>
      <w:r w:rsidRPr="008401DD">
        <w:t>Kadrovski pogoji so od ponudnika zahtevali:</w:t>
      </w:r>
    </w:p>
    <w:p w14:paraId="383EDCA7" w14:textId="43271C68" w:rsidR="00774F1E" w:rsidRPr="008401DD" w:rsidRDefault="00774F1E" w:rsidP="00960E68">
      <w:pPr>
        <w:pStyle w:val="ListParagraph"/>
        <w:numPr>
          <w:ilvl w:val="0"/>
          <w:numId w:val="21"/>
        </w:numPr>
        <w:jc w:val="both"/>
      </w:pPr>
      <w:r w:rsidRPr="008401DD">
        <w:t xml:space="preserve">najmanj 4 (štiri) tehnične osebe za izvajanje predmetnih del v skladu z Zakonom o graditvi objektov v </w:t>
      </w:r>
      <w:r w:rsidR="00627CD3" w:rsidRPr="008401DD">
        <w:t xml:space="preserve">Severni </w:t>
      </w:r>
      <w:r w:rsidRPr="008401DD">
        <w:t xml:space="preserve">Makedoniji, in sicer: </w:t>
      </w:r>
    </w:p>
    <w:p w14:paraId="5EA3BE58" w14:textId="29BE7B29" w:rsidR="00774F1E" w:rsidRPr="008401DD" w:rsidRDefault="00774F1E" w:rsidP="00960E68">
      <w:pPr>
        <w:pStyle w:val="ListParagraph"/>
        <w:numPr>
          <w:ilvl w:val="1"/>
          <w:numId w:val="21"/>
        </w:numPr>
        <w:jc w:val="both"/>
      </w:pPr>
      <w:r w:rsidRPr="008401DD">
        <w:t xml:space="preserve">1 inženir elektrotehnike s pooblastilom "A" za opravljanje del v skladu z ZGO v </w:t>
      </w:r>
      <w:r w:rsidR="00627CD3" w:rsidRPr="008401DD">
        <w:t xml:space="preserve">Severni </w:t>
      </w:r>
      <w:r w:rsidRPr="008401DD">
        <w:t>Makedoniji</w:t>
      </w:r>
      <w:r w:rsidR="005735F3" w:rsidRPr="008401DD">
        <w:t>;</w:t>
      </w:r>
    </w:p>
    <w:p w14:paraId="4ACA2157" w14:textId="6CAE3329" w:rsidR="00774F1E" w:rsidRPr="008401DD" w:rsidRDefault="00774F1E" w:rsidP="00960E68">
      <w:pPr>
        <w:pStyle w:val="ListParagraph"/>
        <w:numPr>
          <w:ilvl w:val="1"/>
          <w:numId w:val="21"/>
        </w:numPr>
        <w:jc w:val="both"/>
      </w:pPr>
      <w:r w:rsidRPr="008401DD">
        <w:t xml:space="preserve">1 inženir elektrotehnike s pooblastilom "A" za projektiranje v skladu z ZGO v </w:t>
      </w:r>
      <w:r w:rsidR="00627CD3" w:rsidRPr="008401DD">
        <w:t xml:space="preserve">Severni </w:t>
      </w:r>
      <w:r w:rsidRPr="008401DD">
        <w:t>Makedoniji</w:t>
      </w:r>
      <w:r w:rsidR="005735F3" w:rsidRPr="008401DD">
        <w:t>;</w:t>
      </w:r>
    </w:p>
    <w:p w14:paraId="476DEB9C" w14:textId="42863425" w:rsidR="00774F1E" w:rsidRPr="008401DD" w:rsidRDefault="00774F1E" w:rsidP="00960E68">
      <w:pPr>
        <w:pStyle w:val="ListParagraph"/>
        <w:numPr>
          <w:ilvl w:val="1"/>
          <w:numId w:val="21"/>
        </w:numPr>
        <w:jc w:val="both"/>
      </w:pPr>
      <w:r w:rsidRPr="008401DD">
        <w:t xml:space="preserve">1 inženir hidrotehnike s pooblastilom "B" za opravljanje del v skladu z ZGO v </w:t>
      </w:r>
      <w:r w:rsidR="00627CD3" w:rsidRPr="008401DD">
        <w:t xml:space="preserve">Severni </w:t>
      </w:r>
      <w:r w:rsidRPr="008401DD">
        <w:t>Makedoniji</w:t>
      </w:r>
      <w:r w:rsidR="005735F3" w:rsidRPr="008401DD">
        <w:t>;</w:t>
      </w:r>
    </w:p>
    <w:p w14:paraId="5EF493D1" w14:textId="468A2C35" w:rsidR="00774F1E" w:rsidRPr="008401DD" w:rsidRDefault="00774F1E" w:rsidP="00960E68">
      <w:pPr>
        <w:pStyle w:val="ListParagraph"/>
        <w:numPr>
          <w:ilvl w:val="1"/>
          <w:numId w:val="21"/>
        </w:numPr>
        <w:jc w:val="both"/>
      </w:pPr>
      <w:r w:rsidRPr="008401DD">
        <w:t xml:space="preserve">1 inženir hidrotehnike s pooblastilom "B" za projektiranje v skladu z ZGO v </w:t>
      </w:r>
      <w:r w:rsidR="00627CD3" w:rsidRPr="008401DD">
        <w:t xml:space="preserve">Severni </w:t>
      </w:r>
      <w:r w:rsidRPr="008401DD">
        <w:t>Makedoniji</w:t>
      </w:r>
      <w:r w:rsidR="005735F3" w:rsidRPr="008401DD">
        <w:t>.</w:t>
      </w:r>
    </w:p>
    <w:p w14:paraId="2368AB18" w14:textId="77777777" w:rsidR="00774F1E" w:rsidRPr="008401DD" w:rsidRDefault="00774F1E" w:rsidP="00960E68">
      <w:pPr>
        <w:jc w:val="both"/>
      </w:pPr>
    </w:p>
    <w:p w14:paraId="3B0A4E4E" w14:textId="3DCED807" w:rsidR="00A418B4" w:rsidRPr="008401DD" w:rsidRDefault="00774F1E" w:rsidP="00960E68">
      <w:pPr>
        <w:jc w:val="both"/>
      </w:pPr>
      <w:r w:rsidRPr="008401DD">
        <w:t xml:space="preserve">Edina prejeta ponudba je bila ponudba Iskra sistemi- M DOOEL Skopje in Fortuna inženiring </w:t>
      </w:r>
      <w:proofErr w:type="spellStart"/>
      <w:r w:rsidRPr="008401DD">
        <w:t>d.o.o</w:t>
      </w:r>
      <w:proofErr w:type="spellEnd"/>
      <w:r w:rsidRPr="008401DD">
        <w:t xml:space="preserve">. Skopje, ki sta v ponudbi nastopila kot partnerja. </w:t>
      </w:r>
      <w:r w:rsidR="00000DCC" w:rsidRPr="008401DD">
        <w:t>Kot njun podizvajalec je bilo n</w:t>
      </w:r>
      <w:r w:rsidR="00EA3161" w:rsidRPr="008401DD">
        <w:t>a</w:t>
      </w:r>
      <w:r w:rsidR="00000DCC" w:rsidRPr="008401DD">
        <w:t>ved</w:t>
      </w:r>
      <w:r w:rsidR="00EA3161" w:rsidRPr="008401DD">
        <w:t>e</w:t>
      </w:r>
      <w:r w:rsidR="00000DCC" w:rsidRPr="008401DD">
        <w:t xml:space="preserve">no podjetje Kolektor </w:t>
      </w:r>
      <w:proofErr w:type="spellStart"/>
      <w:r w:rsidR="00000DCC" w:rsidRPr="008401DD">
        <w:t>Strix</w:t>
      </w:r>
      <w:proofErr w:type="spellEnd"/>
      <w:r w:rsidR="00000DCC" w:rsidRPr="008401DD">
        <w:t xml:space="preserve"> </w:t>
      </w:r>
      <w:proofErr w:type="spellStart"/>
      <w:r w:rsidR="00000DCC" w:rsidRPr="008401DD">
        <w:t>d.o.o</w:t>
      </w:r>
      <w:proofErr w:type="spellEnd"/>
      <w:r w:rsidR="00000DCC" w:rsidRPr="008401DD">
        <w:t xml:space="preserve">. </w:t>
      </w:r>
    </w:p>
    <w:p w14:paraId="51CFCD44" w14:textId="77777777" w:rsidR="00042AAB" w:rsidRPr="008401DD" w:rsidRDefault="00042AAB" w:rsidP="00960E68">
      <w:pPr>
        <w:jc w:val="both"/>
      </w:pPr>
    </w:p>
    <w:p w14:paraId="0A2B3C92" w14:textId="24AB114B" w:rsidR="00042AAB" w:rsidRPr="008401DD" w:rsidRDefault="00042AAB" w:rsidP="00960E68">
      <w:pPr>
        <w:jc w:val="both"/>
      </w:pPr>
      <w:r w:rsidRPr="008401DD">
        <w:t xml:space="preserve">Postopek javnega naročila za izbor izvajalca sicer ocenjujemo kot pregleden in zagotavlja ustrezno revizijsko sled. </w:t>
      </w:r>
      <w:r w:rsidR="003B0287" w:rsidRPr="008401DD">
        <w:t>Kot dobro prakso ocenjujemo pristop, da se izbor izvajalca izvaja s strani CMSR skladno z določbami slovenskega pravnega reda na področju javnega naročanja.</w:t>
      </w:r>
    </w:p>
    <w:p w14:paraId="3A076948" w14:textId="5B845C4F" w:rsidR="00774F1E" w:rsidRPr="008401DD" w:rsidRDefault="00774F1E" w:rsidP="00960E68"/>
    <w:p w14:paraId="160388C5" w14:textId="4B273A98" w:rsidR="004B2376" w:rsidRPr="008401DD" w:rsidRDefault="00A418B4" w:rsidP="00960E68">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3.3:</w:t>
      </w:r>
      <w:r w:rsidRPr="008401DD">
        <w:rPr>
          <w:rFonts w:cs="Arial"/>
          <w:color w:val="67C18C"/>
        </w:rPr>
        <w:t xml:space="preserve"> </w:t>
      </w:r>
      <w:r w:rsidRPr="008401DD">
        <w:rPr>
          <w:rFonts w:cs="Arial"/>
          <w:i/>
          <w:color w:val="67C18C"/>
          <w:szCs w:val="20"/>
        </w:rPr>
        <w:t>Kako so bil</w:t>
      </w:r>
      <w:r w:rsidR="00D95A7C" w:rsidRPr="008401DD">
        <w:rPr>
          <w:rFonts w:cs="Arial"/>
          <w:i/>
          <w:color w:val="67C18C"/>
          <w:szCs w:val="20"/>
        </w:rPr>
        <w:t>e</w:t>
      </w:r>
      <w:r w:rsidRPr="008401DD">
        <w:rPr>
          <w:rFonts w:cs="Arial"/>
          <w:i/>
          <w:color w:val="67C18C"/>
          <w:szCs w:val="20"/>
        </w:rPr>
        <w:t xml:space="preserve"> vodene in dokumentirane posamezne faze izvajanja projekta (donatorske pogodbe, komercialne pogodbe, nadzor izvedbe, upravljanje sprememb, ipd.)?</w:t>
      </w:r>
    </w:p>
    <w:p w14:paraId="7D4533EC" w14:textId="77777777" w:rsidR="00B85B43" w:rsidRDefault="00B85B43" w:rsidP="00960E68">
      <w:pPr>
        <w:jc w:val="both"/>
        <w:rPr>
          <w:b/>
        </w:rPr>
      </w:pPr>
    </w:p>
    <w:p w14:paraId="04112AC6" w14:textId="5EF086C9" w:rsidR="00B85B43" w:rsidRDefault="00B85B43" w:rsidP="00960E68">
      <w:pPr>
        <w:jc w:val="both"/>
        <w:rPr>
          <w:b/>
        </w:rPr>
      </w:pPr>
      <w:r>
        <w:rPr>
          <w:b/>
        </w:rPr>
        <w:t>Prvi projekt:</w:t>
      </w:r>
    </w:p>
    <w:p w14:paraId="4C6FB22C" w14:textId="77777777" w:rsidR="00B85B43" w:rsidRDefault="00B85B43" w:rsidP="00960E68">
      <w:pPr>
        <w:jc w:val="both"/>
        <w:rPr>
          <w:b/>
        </w:rPr>
      </w:pPr>
    </w:p>
    <w:p w14:paraId="3A379E3E" w14:textId="1B087676" w:rsidR="00EF7E19" w:rsidRDefault="007A0327" w:rsidP="00960E68">
      <w:pPr>
        <w:jc w:val="both"/>
        <w:rPr>
          <w:rFonts w:cs="Arial"/>
          <w:szCs w:val="20"/>
        </w:rPr>
      </w:pPr>
      <w:r w:rsidRPr="008401DD">
        <w:rPr>
          <w:rFonts w:cs="Arial"/>
          <w:szCs w:val="20"/>
        </w:rPr>
        <w:t xml:space="preserve">Projekta izgradnje čistile naprave za pitno vodo v </w:t>
      </w:r>
      <w:r w:rsidR="003D6B5B" w:rsidRPr="008401DD">
        <w:rPr>
          <w:rFonts w:cs="Arial"/>
          <w:szCs w:val="20"/>
        </w:rPr>
        <w:t>o</w:t>
      </w:r>
      <w:r w:rsidRPr="008401DD">
        <w:rPr>
          <w:rFonts w:cs="Arial"/>
          <w:szCs w:val="20"/>
        </w:rPr>
        <w:t xml:space="preserve">bčini </w:t>
      </w:r>
      <w:proofErr w:type="spellStart"/>
      <w:r w:rsidRPr="008401DD">
        <w:rPr>
          <w:rFonts w:cs="Arial"/>
          <w:szCs w:val="20"/>
        </w:rPr>
        <w:t>Probištip</w:t>
      </w:r>
      <w:proofErr w:type="spellEnd"/>
      <w:r w:rsidRPr="008401DD">
        <w:rPr>
          <w:rFonts w:cs="Arial"/>
          <w:szCs w:val="20"/>
        </w:rPr>
        <w:t xml:space="preserve"> prvotno ni bilo na seznamu potrjenih projektov v pogodbi o financiranju med MZZ in CMSR. Projekt je bil dodan naknadno z drugim aneksom, ki je bil podpisan</w:t>
      </w:r>
      <w:r w:rsidR="00B21665" w:rsidRPr="008401DD">
        <w:rPr>
          <w:rFonts w:cs="Arial"/>
          <w:szCs w:val="20"/>
        </w:rPr>
        <w:t xml:space="preserve"> 4.</w:t>
      </w:r>
      <w:r w:rsidR="00EA3161" w:rsidRPr="008401DD">
        <w:rPr>
          <w:rFonts w:cs="Arial"/>
          <w:szCs w:val="20"/>
        </w:rPr>
        <w:t xml:space="preserve"> </w:t>
      </w:r>
      <w:r w:rsidR="00B21665" w:rsidRPr="008401DD">
        <w:rPr>
          <w:rFonts w:cs="Arial"/>
          <w:szCs w:val="20"/>
        </w:rPr>
        <w:t>6.</w:t>
      </w:r>
      <w:r w:rsidR="00EA3161" w:rsidRPr="008401DD">
        <w:rPr>
          <w:rFonts w:cs="Arial"/>
          <w:szCs w:val="20"/>
        </w:rPr>
        <w:t xml:space="preserve"> </w:t>
      </w:r>
      <w:r w:rsidR="00B21665" w:rsidRPr="008401DD">
        <w:rPr>
          <w:rFonts w:cs="Arial"/>
          <w:szCs w:val="20"/>
        </w:rPr>
        <w:t xml:space="preserve">2012 in sicer kot nadomestilo za projekt, ki je bil izločen iz prvotnega seznama projektov. </w:t>
      </w:r>
    </w:p>
    <w:p w14:paraId="2EB54630" w14:textId="77777777" w:rsidR="008C70F3" w:rsidRPr="008401DD" w:rsidRDefault="008C70F3" w:rsidP="00960E68">
      <w:pPr>
        <w:jc w:val="both"/>
        <w:rPr>
          <w:rFonts w:cs="Arial"/>
          <w:szCs w:val="20"/>
        </w:rPr>
      </w:pPr>
    </w:p>
    <w:p w14:paraId="24FF05D4" w14:textId="633D1201" w:rsidR="007A0327" w:rsidRPr="008401DD" w:rsidRDefault="007A0327" w:rsidP="00960E68">
      <w:pPr>
        <w:jc w:val="both"/>
        <w:rPr>
          <w:rFonts w:cs="Arial"/>
          <w:szCs w:val="20"/>
        </w:rPr>
      </w:pPr>
      <w:proofErr w:type="spellStart"/>
      <w:r w:rsidRPr="008401DD">
        <w:rPr>
          <w:rFonts w:cs="Arial"/>
          <w:szCs w:val="20"/>
        </w:rPr>
        <w:t>Donacijska</w:t>
      </w:r>
      <w:proofErr w:type="spellEnd"/>
      <w:r w:rsidRPr="008401DD">
        <w:rPr>
          <w:rFonts w:cs="Arial"/>
          <w:szCs w:val="20"/>
        </w:rPr>
        <w:t xml:space="preserve"> pogodba med Severno Makedonijo in CMSR je bila podpisana 14.</w:t>
      </w:r>
      <w:r w:rsidR="00EA3161" w:rsidRPr="008401DD">
        <w:rPr>
          <w:rFonts w:cs="Arial"/>
          <w:szCs w:val="20"/>
        </w:rPr>
        <w:t xml:space="preserve"> </w:t>
      </w:r>
      <w:r w:rsidRPr="008401DD">
        <w:rPr>
          <w:rFonts w:cs="Arial"/>
          <w:szCs w:val="20"/>
        </w:rPr>
        <w:t>6.</w:t>
      </w:r>
      <w:r w:rsidR="00EA3161" w:rsidRPr="008401DD">
        <w:rPr>
          <w:rFonts w:cs="Arial"/>
          <w:szCs w:val="20"/>
        </w:rPr>
        <w:t xml:space="preserve"> </w:t>
      </w:r>
      <w:r w:rsidRPr="008401DD">
        <w:rPr>
          <w:rFonts w:cs="Arial"/>
          <w:szCs w:val="20"/>
        </w:rPr>
        <w:t>2012, v njej pa je opred</w:t>
      </w:r>
      <w:r w:rsidR="00C01680" w:rsidRPr="008401DD">
        <w:rPr>
          <w:rFonts w:cs="Arial"/>
          <w:szCs w:val="20"/>
        </w:rPr>
        <w:t>e</w:t>
      </w:r>
      <w:r w:rsidRPr="008401DD">
        <w:rPr>
          <w:rFonts w:cs="Arial"/>
          <w:szCs w:val="20"/>
        </w:rPr>
        <w:t xml:space="preserve">ljena višina </w:t>
      </w:r>
      <w:r w:rsidR="00C01680" w:rsidRPr="008401DD">
        <w:rPr>
          <w:rFonts w:cs="Arial"/>
          <w:szCs w:val="20"/>
        </w:rPr>
        <w:t>nepovratnih sredstev, ki jih RS namenja sofinanciranju projekta, v višini 480.000 EUR.</w:t>
      </w:r>
    </w:p>
    <w:p w14:paraId="3A23F7BE" w14:textId="79B07249" w:rsidR="00C01680" w:rsidRPr="008401DD" w:rsidRDefault="00C01680" w:rsidP="00960E68">
      <w:pPr>
        <w:jc w:val="both"/>
        <w:rPr>
          <w:rFonts w:cs="Arial"/>
          <w:szCs w:val="20"/>
        </w:rPr>
      </w:pPr>
    </w:p>
    <w:p w14:paraId="00FFFD94" w14:textId="3C60752E" w:rsidR="008870FB" w:rsidRPr="008401DD" w:rsidRDefault="00C01680" w:rsidP="00960E68">
      <w:pPr>
        <w:jc w:val="both"/>
        <w:rPr>
          <w:rFonts w:cs="Arial"/>
          <w:szCs w:val="20"/>
        </w:rPr>
      </w:pPr>
      <w:r w:rsidRPr="008401DD">
        <w:rPr>
          <w:rFonts w:cs="Arial"/>
          <w:szCs w:val="20"/>
        </w:rPr>
        <w:lastRenderedPageBreak/>
        <w:t xml:space="preserve">Komercialna pogodba, sklenjena med Ministrstvom Severne Makedonije za kmetijstvo, gozdarstvo in vodno ekonomijo, javnim podjetjem HS </w:t>
      </w:r>
      <w:proofErr w:type="spellStart"/>
      <w:r w:rsidRPr="008401DD">
        <w:rPr>
          <w:rFonts w:cs="Arial"/>
          <w:szCs w:val="20"/>
        </w:rPr>
        <w:t>Zletovica</w:t>
      </w:r>
      <w:proofErr w:type="spellEnd"/>
      <w:r w:rsidRPr="008401DD">
        <w:rPr>
          <w:rFonts w:cs="Arial"/>
          <w:szCs w:val="20"/>
        </w:rPr>
        <w:t xml:space="preserve">, občino </w:t>
      </w:r>
      <w:proofErr w:type="spellStart"/>
      <w:r w:rsidRPr="008401DD">
        <w:rPr>
          <w:rFonts w:cs="Arial"/>
          <w:szCs w:val="20"/>
        </w:rPr>
        <w:t>Probištip</w:t>
      </w:r>
      <w:proofErr w:type="spellEnd"/>
      <w:r w:rsidRPr="008401DD">
        <w:rPr>
          <w:rFonts w:cs="Arial"/>
          <w:szCs w:val="20"/>
        </w:rPr>
        <w:t xml:space="preserve">, javnim komunalnim podjetjem »Nikola </w:t>
      </w:r>
      <w:proofErr w:type="spellStart"/>
      <w:r w:rsidRPr="008401DD">
        <w:rPr>
          <w:rFonts w:cs="Arial"/>
          <w:szCs w:val="20"/>
        </w:rPr>
        <w:t>Karev</w:t>
      </w:r>
      <w:proofErr w:type="spellEnd"/>
      <w:r w:rsidRPr="008401DD">
        <w:rPr>
          <w:rFonts w:cs="Arial"/>
          <w:szCs w:val="20"/>
        </w:rPr>
        <w:t>« in Isk</w:t>
      </w:r>
      <w:r w:rsidR="007E77AE">
        <w:rPr>
          <w:rFonts w:cs="Arial"/>
          <w:szCs w:val="20"/>
        </w:rPr>
        <w:t>r</w:t>
      </w:r>
      <w:r w:rsidRPr="008401DD">
        <w:rPr>
          <w:rFonts w:cs="Arial"/>
          <w:szCs w:val="20"/>
        </w:rPr>
        <w:t xml:space="preserve">a sistemi </w:t>
      </w:r>
      <w:proofErr w:type="spellStart"/>
      <w:r w:rsidRPr="008401DD">
        <w:rPr>
          <w:rFonts w:cs="Arial"/>
          <w:szCs w:val="20"/>
        </w:rPr>
        <w:t>d.d</w:t>
      </w:r>
      <w:proofErr w:type="spellEnd"/>
      <w:r w:rsidRPr="008401DD">
        <w:rPr>
          <w:rFonts w:cs="Arial"/>
          <w:szCs w:val="20"/>
        </w:rPr>
        <w:t>. je bila sklenjena 9.</w:t>
      </w:r>
      <w:r w:rsidR="00EA3161" w:rsidRPr="008401DD">
        <w:rPr>
          <w:rFonts w:cs="Arial"/>
          <w:szCs w:val="20"/>
        </w:rPr>
        <w:t xml:space="preserve"> </w:t>
      </w:r>
      <w:r w:rsidRPr="008401DD">
        <w:rPr>
          <w:rFonts w:cs="Arial"/>
          <w:szCs w:val="20"/>
        </w:rPr>
        <w:t>5</w:t>
      </w:r>
      <w:r w:rsidR="00EA3161" w:rsidRPr="008401DD">
        <w:rPr>
          <w:rFonts w:cs="Arial"/>
          <w:szCs w:val="20"/>
        </w:rPr>
        <w:t>.</w:t>
      </w:r>
      <w:r w:rsidRPr="008401DD">
        <w:rPr>
          <w:rFonts w:cs="Arial"/>
          <w:szCs w:val="20"/>
        </w:rPr>
        <w:t xml:space="preserve"> 2012, sklicuje pa </w:t>
      </w:r>
      <w:r w:rsidR="007A0F91" w:rsidRPr="008401DD">
        <w:rPr>
          <w:rFonts w:cs="Arial"/>
          <w:szCs w:val="20"/>
        </w:rPr>
        <w:t>se na pogodbo</w:t>
      </w:r>
      <w:r w:rsidRPr="008401DD">
        <w:rPr>
          <w:rFonts w:cs="Arial"/>
          <w:szCs w:val="20"/>
        </w:rPr>
        <w:t xml:space="preserve">, ki je bila podpisana med Ministrstvom Severne Makedonije za kmetijstvo, gozdarstvo in vodno ekonomijo, javnim podjetjem HS </w:t>
      </w:r>
      <w:proofErr w:type="spellStart"/>
      <w:r w:rsidRPr="008401DD">
        <w:rPr>
          <w:rFonts w:cs="Arial"/>
          <w:szCs w:val="20"/>
        </w:rPr>
        <w:t>Zletovica</w:t>
      </w:r>
      <w:proofErr w:type="spellEnd"/>
      <w:r w:rsidRPr="008401DD">
        <w:rPr>
          <w:rFonts w:cs="Arial"/>
          <w:szCs w:val="20"/>
        </w:rPr>
        <w:t xml:space="preserve"> in Iskra sistemi </w:t>
      </w:r>
      <w:proofErr w:type="spellStart"/>
      <w:r w:rsidRPr="008401DD">
        <w:rPr>
          <w:rFonts w:cs="Arial"/>
          <w:szCs w:val="20"/>
        </w:rPr>
        <w:t>d.d</w:t>
      </w:r>
      <w:proofErr w:type="spellEnd"/>
      <w:r w:rsidRPr="008401DD">
        <w:rPr>
          <w:rFonts w:cs="Arial"/>
          <w:szCs w:val="20"/>
        </w:rPr>
        <w:t>.,</w:t>
      </w:r>
      <w:r w:rsidR="007A0F91" w:rsidRPr="008401DD">
        <w:rPr>
          <w:rFonts w:cs="Arial"/>
          <w:szCs w:val="20"/>
        </w:rPr>
        <w:t xml:space="preserve"> dne</w:t>
      </w:r>
      <w:r w:rsidRPr="008401DD">
        <w:rPr>
          <w:rFonts w:cs="Arial"/>
          <w:szCs w:val="20"/>
        </w:rPr>
        <w:t xml:space="preserve"> 13.</w:t>
      </w:r>
      <w:r w:rsidR="00EA3161" w:rsidRPr="008401DD">
        <w:rPr>
          <w:rFonts w:cs="Arial"/>
          <w:szCs w:val="20"/>
        </w:rPr>
        <w:t xml:space="preserve"> </w:t>
      </w:r>
      <w:r w:rsidRPr="008401DD">
        <w:rPr>
          <w:rFonts w:cs="Arial"/>
          <w:szCs w:val="20"/>
        </w:rPr>
        <w:t>3.</w:t>
      </w:r>
      <w:r w:rsidR="00EA3161" w:rsidRPr="008401DD">
        <w:rPr>
          <w:rFonts w:cs="Arial"/>
          <w:szCs w:val="20"/>
        </w:rPr>
        <w:t xml:space="preserve"> </w:t>
      </w:r>
      <w:r w:rsidRPr="008401DD">
        <w:rPr>
          <w:rFonts w:cs="Arial"/>
          <w:szCs w:val="20"/>
        </w:rPr>
        <w:t>2009</w:t>
      </w:r>
      <w:r w:rsidR="007A0F91" w:rsidRPr="008401DD">
        <w:rPr>
          <w:rFonts w:cs="Arial"/>
          <w:szCs w:val="20"/>
        </w:rPr>
        <w:t xml:space="preserve"> in se nanaša na</w:t>
      </w:r>
      <w:r w:rsidRPr="008401DD">
        <w:rPr>
          <w:rFonts w:cs="Arial"/>
          <w:szCs w:val="20"/>
        </w:rPr>
        <w:t xml:space="preserve"> </w:t>
      </w:r>
      <w:r w:rsidR="007A0F91" w:rsidRPr="008401DD">
        <w:rPr>
          <w:rFonts w:cs="Arial"/>
          <w:szCs w:val="20"/>
        </w:rPr>
        <w:t xml:space="preserve">projekt izboljšanja rabe vode v porečju </w:t>
      </w:r>
      <w:proofErr w:type="spellStart"/>
      <w:r w:rsidR="007A0F91" w:rsidRPr="008401DD">
        <w:rPr>
          <w:rFonts w:cs="Arial"/>
          <w:szCs w:val="20"/>
        </w:rPr>
        <w:t>Zlatovice</w:t>
      </w:r>
      <w:proofErr w:type="spellEnd"/>
      <w:r w:rsidR="007A0F91" w:rsidRPr="008401DD">
        <w:rPr>
          <w:rFonts w:cs="Arial"/>
          <w:szCs w:val="20"/>
        </w:rPr>
        <w:t>. Originalne pogodbe podpisane v letu 2009 nismo prejeli, zato z njeno vsebino nismo seznanjeni, kot razlog za podpis komercialne pogodbe, ki velja kot aneks originalni pogodbi</w:t>
      </w:r>
      <w:r w:rsidR="00151C75" w:rsidRPr="008401DD">
        <w:rPr>
          <w:rFonts w:cs="Arial"/>
          <w:szCs w:val="20"/>
        </w:rPr>
        <w:t>,</w:t>
      </w:r>
      <w:r w:rsidR="007A0F91" w:rsidRPr="008401DD">
        <w:rPr>
          <w:rFonts w:cs="Arial"/>
          <w:szCs w:val="20"/>
        </w:rPr>
        <w:t xml:space="preserve"> pa je v komercialni pogodbi naveden »namen jasnega razumevanja stanja«. </w:t>
      </w:r>
    </w:p>
    <w:p w14:paraId="3AB17314" w14:textId="77777777" w:rsidR="001011FA" w:rsidRPr="008401DD" w:rsidRDefault="001011FA" w:rsidP="00960E68">
      <w:pPr>
        <w:jc w:val="both"/>
        <w:rPr>
          <w:rFonts w:cs="Arial"/>
          <w:szCs w:val="20"/>
        </w:rPr>
      </w:pPr>
    </w:p>
    <w:p w14:paraId="6F628E47" w14:textId="3AFFBCA6" w:rsidR="008870FB" w:rsidRPr="008401DD" w:rsidRDefault="008870FB" w:rsidP="00960E68">
      <w:pPr>
        <w:jc w:val="both"/>
        <w:rPr>
          <w:rFonts w:cs="Arial"/>
          <w:szCs w:val="20"/>
        </w:rPr>
      </w:pPr>
      <w:r w:rsidRPr="008401DD">
        <w:rPr>
          <w:rFonts w:cs="Arial"/>
          <w:szCs w:val="20"/>
        </w:rPr>
        <w:t>S</w:t>
      </w:r>
      <w:r w:rsidR="00DB78DD" w:rsidRPr="008401DD">
        <w:rPr>
          <w:rFonts w:cs="Arial"/>
          <w:szCs w:val="20"/>
        </w:rPr>
        <w:t xml:space="preserve">everna Makedonija (občina </w:t>
      </w:r>
      <w:proofErr w:type="spellStart"/>
      <w:r w:rsidR="00DB78DD" w:rsidRPr="008401DD">
        <w:rPr>
          <w:rFonts w:cs="Arial"/>
          <w:szCs w:val="20"/>
        </w:rPr>
        <w:t>Probištip</w:t>
      </w:r>
      <w:proofErr w:type="spellEnd"/>
      <w:r w:rsidR="00DB78DD" w:rsidRPr="008401DD">
        <w:rPr>
          <w:rFonts w:cs="Arial"/>
          <w:szCs w:val="20"/>
        </w:rPr>
        <w:t xml:space="preserve"> kot prejemnik)</w:t>
      </w:r>
      <w:r w:rsidRPr="008401DD">
        <w:rPr>
          <w:rFonts w:cs="Arial"/>
          <w:szCs w:val="20"/>
        </w:rPr>
        <w:t xml:space="preserve"> se je kot prejemnica sredstev v </w:t>
      </w:r>
      <w:proofErr w:type="spellStart"/>
      <w:r w:rsidRPr="008401DD">
        <w:rPr>
          <w:rFonts w:cs="Arial"/>
          <w:szCs w:val="20"/>
        </w:rPr>
        <w:t>donacijski</w:t>
      </w:r>
      <w:proofErr w:type="spellEnd"/>
      <w:r w:rsidRPr="008401DD">
        <w:rPr>
          <w:rFonts w:cs="Arial"/>
          <w:szCs w:val="20"/>
        </w:rPr>
        <w:t xml:space="preserve"> pogodbi zavezala, da bo za CMSR pripravila vmesno poročilo in letno poročilo</w:t>
      </w:r>
      <w:r w:rsidR="00DB78DD" w:rsidRPr="008401DD">
        <w:rPr>
          <w:rFonts w:cs="Arial"/>
          <w:szCs w:val="20"/>
        </w:rPr>
        <w:t>, po izreku vsakih šestih mesecev trajanja projekta</w:t>
      </w:r>
      <w:r w:rsidRPr="008401DD">
        <w:rPr>
          <w:rFonts w:cs="Arial"/>
          <w:szCs w:val="20"/>
        </w:rPr>
        <w:t xml:space="preserve">, po </w:t>
      </w:r>
      <w:r w:rsidR="00DB78DD" w:rsidRPr="008401DD">
        <w:rPr>
          <w:rFonts w:cs="Arial"/>
          <w:szCs w:val="20"/>
        </w:rPr>
        <w:t>koncu projekta pa tudi končno poročilo.</w:t>
      </w:r>
      <w:r w:rsidR="000A2716" w:rsidRPr="008401DD">
        <w:rPr>
          <w:rFonts w:cs="Arial"/>
          <w:szCs w:val="20"/>
        </w:rPr>
        <w:t xml:space="preserve"> Vmesna poročila sicer so bila posredovana, vendar pa so nejasna in ne vključujejo informacij o tem ali projekt dosega zastavljene cilje in rezultate, ter ali sledi </w:t>
      </w:r>
      <w:proofErr w:type="spellStart"/>
      <w:r w:rsidR="000A2716" w:rsidRPr="008401DD">
        <w:rPr>
          <w:rFonts w:cs="Arial"/>
          <w:szCs w:val="20"/>
        </w:rPr>
        <w:t>časovnici</w:t>
      </w:r>
      <w:proofErr w:type="spellEnd"/>
      <w:r w:rsidR="000A2716" w:rsidRPr="008401DD">
        <w:rPr>
          <w:rFonts w:cs="Arial"/>
          <w:szCs w:val="20"/>
        </w:rPr>
        <w:t xml:space="preserve">. </w:t>
      </w:r>
      <w:r w:rsidR="009C3B15" w:rsidRPr="008401DD">
        <w:rPr>
          <w:rFonts w:cs="Arial"/>
          <w:szCs w:val="20"/>
        </w:rPr>
        <w:t xml:space="preserve">Končno poročilo je zgolj enostranski dokument, v katerem občina </w:t>
      </w:r>
      <w:proofErr w:type="spellStart"/>
      <w:r w:rsidR="009C3B15" w:rsidRPr="008401DD">
        <w:rPr>
          <w:rFonts w:cs="Arial"/>
          <w:szCs w:val="20"/>
        </w:rPr>
        <w:t>Probištip</w:t>
      </w:r>
      <w:proofErr w:type="spellEnd"/>
      <w:r w:rsidR="009C3B15" w:rsidRPr="008401DD">
        <w:rPr>
          <w:rFonts w:cs="Arial"/>
          <w:szCs w:val="20"/>
        </w:rPr>
        <w:t xml:space="preserve"> podaja zagotovilo, da so bila vsa dela na projektu izvedena v skladu z določbami pogodbe, zahtevanimi tehničnimi specifikacijami in osnovnega projekta, ne povzema pa vsebine projekta in poteka implementacije, niti ne opredeljuje ali so bil</w:t>
      </w:r>
      <w:r w:rsidR="00D95A7C" w:rsidRPr="008401DD">
        <w:rPr>
          <w:rFonts w:cs="Arial"/>
          <w:szCs w:val="20"/>
        </w:rPr>
        <w:t>e</w:t>
      </w:r>
      <w:r w:rsidR="009C3B15" w:rsidRPr="008401DD">
        <w:rPr>
          <w:rFonts w:cs="Arial"/>
          <w:szCs w:val="20"/>
        </w:rPr>
        <w:t xml:space="preserve"> identificirane potrebe naslovljene ter predvideni cilji, učinki in rezultati doseženi. Poročilo zato ocenjujemo kot nezadovoljivo.</w:t>
      </w:r>
    </w:p>
    <w:p w14:paraId="4B80B240" w14:textId="77777777" w:rsidR="00151C75" w:rsidRPr="008401DD" w:rsidRDefault="00151C75" w:rsidP="00960E68">
      <w:pPr>
        <w:jc w:val="both"/>
        <w:rPr>
          <w:rFonts w:cs="Arial"/>
          <w:szCs w:val="20"/>
        </w:rPr>
      </w:pPr>
    </w:p>
    <w:p w14:paraId="75DA3B27" w14:textId="3BD37CC9" w:rsidR="001011FA" w:rsidRDefault="009C3B15" w:rsidP="00960E68">
      <w:pPr>
        <w:spacing w:line="240" w:lineRule="auto"/>
        <w:jc w:val="both"/>
        <w:rPr>
          <w:rFonts w:cs="Arial"/>
          <w:szCs w:val="20"/>
        </w:rPr>
      </w:pPr>
      <w:r w:rsidRPr="008401DD">
        <w:rPr>
          <w:rFonts w:cs="Arial"/>
          <w:szCs w:val="20"/>
        </w:rPr>
        <w:t>CMSR mora financerju prav tako zagotoviti vmesna in končno poročilo o izvajanju projekta, kot del poročanja o izvajanju programa MRS v</w:t>
      </w:r>
      <w:r w:rsidR="008E1849" w:rsidRPr="008401DD">
        <w:rPr>
          <w:rFonts w:cs="Arial"/>
          <w:szCs w:val="20"/>
        </w:rPr>
        <w:t xml:space="preserve"> </w:t>
      </w:r>
      <w:r w:rsidRPr="008401DD">
        <w:rPr>
          <w:rFonts w:cs="Arial"/>
          <w:szCs w:val="20"/>
        </w:rPr>
        <w:t xml:space="preserve">obdobju 2011-2012. </w:t>
      </w:r>
      <w:r w:rsidR="00CD0860" w:rsidRPr="008401DD">
        <w:rPr>
          <w:rFonts w:cs="Arial"/>
          <w:szCs w:val="20"/>
        </w:rPr>
        <w:t>Vmesn</w:t>
      </w:r>
      <w:r w:rsidR="00FD6EA0" w:rsidRPr="008401DD">
        <w:rPr>
          <w:rFonts w:cs="Arial"/>
          <w:szCs w:val="20"/>
        </w:rPr>
        <w:t xml:space="preserve">o poročilo je bilo na MZZ posredovano kot del vmesnih poročil vseh projektov, ki so se izvajali v tistem obdobju, vsebuje pa kratek opis trenutnega stanja projekta. Poročilo je sicer zelo skromno in ne vsebuje detajlnejšega opisa skladnosti projekta s </w:t>
      </w:r>
      <w:proofErr w:type="spellStart"/>
      <w:r w:rsidR="00FD6EA0" w:rsidRPr="008401DD">
        <w:rPr>
          <w:rFonts w:cs="Arial"/>
          <w:szCs w:val="20"/>
        </w:rPr>
        <w:t>časovnico</w:t>
      </w:r>
      <w:proofErr w:type="spellEnd"/>
      <w:r w:rsidR="00FD6EA0" w:rsidRPr="008401DD">
        <w:rPr>
          <w:rFonts w:cs="Arial"/>
          <w:szCs w:val="20"/>
        </w:rPr>
        <w:t xml:space="preserve">. </w:t>
      </w:r>
      <w:r w:rsidR="001011FA" w:rsidRPr="008401DD">
        <w:rPr>
          <w:rFonts w:cs="Arial"/>
          <w:szCs w:val="20"/>
        </w:rPr>
        <w:t>V letnem poročilu CMSR o izvajanju projektov MRS je projekt omenjen, ni</w:t>
      </w:r>
      <w:r w:rsidR="004C69AE" w:rsidRPr="008401DD">
        <w:rPr>
          <w:rFonts w:cs="Arial"/>
          <w:szCs w:val="20"/>
        </w:rPr>
        <w:t xml:space="preserve"> pa</w:t>
      </w:r>
      <w:r w:rsidR="001011FA" w:rsidRPr="008401DD">
        <w:rPr>
          <w:rFonts w:cs="Arial"/>
          <w:szCs w:val="20"/>
        </w:rPr>
        <w:t xml:space="preserve"> opredeljeno, ali so bili načrtovani cilji, rezultati in učinki doseženi. </w:t>
      </w:r>
      <w:r w:rsidR="009300E1" w:rsidRPr="008401DD">
        <w:rPr>
          <w:rFonts w:cs="Arial"/>
          <w:szCs w:val="20"/>
        </w:rPr>
        <w:t>Po pogovoru s CMSR ugotavljamo, da CMSR doseženi</w:t>
      </w:r>
      <w:r w:rsidR="008219D2" w:rsidRPr="008401DD">
        <w:rPr>
          <w:rFonts w:cs="Arial"/>
          <w:szCs w:val="20"/>
        </w:rPr>
        <w:t>h</w:t>
      </w:r>
      <w:r w:rsidR="009300E1" w:rsidRPr="008401DD">
        <w:rPr>
          <w:rFonts w:cs="Arial"/>
          <w:szCs w:val="20"/>
        </w:rPr>
        <w:t xml:space="preserve"> učinkov pro</w:t>
      </w:r>
      <w:r w:rsidR="002E7919">
        <w:rPr>
          <w:rFonts w:cs="Arial"/>
          <w:szCs w:val="20"/>
        </w:rPr>
        <w:t>jektov ne preverja.</w:t>
      </w:r>
    </w:p>
    <w:p w14:paraId="3B66EE15" w14:textId="77777777" w:rsidR="002E7919" w:rsidRPr="008401DD" w:rsidRDefault="002E7919" w:rsidP="00960E68">
      <w:pPr>
        <w:spacing w:line="240" w:lineRule="auto"/>
        <w:jc w:val="both"/>
        <w:rPr>
          <w:rFonts w:cs="Arial"/>
          <w:szCs w:val="20"/>
        </w:rPr>
      </w:pPr>
    </w:p>
    <w:p w14:paraId="1739ABE9" w14:textId="6E919C7E" w:rsidR="002D1256" w:rsidRPr="008401DD" w:rsidRDefault="002D1256" w:rsidP="00960E68">
      <w:pPr>
        <w:jc w:val="both"/>
      </w:pPr>
      <w:r w:rsidRPr="008401DD">
        <w:t>G</w:t>
      </w:r>
      <w:r w:rsidR="000355DB" w:rsidRPr="008401DD">
        <w:t xml:space="preserve">lede na izvedene intervjuje ugotavljamo, da je bil projekt izveden pravočasno in v skladu s </w:t>
      </w:r>
      <w:proofErr w:type="spellStart"/>
      <w:r w:rsidR="000355DB" w:rsidRPr="008401DD">
        <w:t>časovnico</w:t>
      </w:r>
      <w:proofErr w:type="spellEnd"/>
      <w:r w:rsidR="000355DB" w:rsidRPr="008401DD">
        <w:t>, vendar pa glede na vsebino vmesnega in končnega poročila, tega zaradi zelo osnovnega opisa poteka projekta, ni mogoče natančno določiti.</w:t>
      </w:r>
      <w:r w:rsidR="00091B6E" w:rsidRPr="008401DD">
        <w:t xml:space="preserve"> </w:t>
      </w:r>
    </w:p>
    <w:p w14:paraId="6CF55D9B" w14:textId="77777777" w:rsidR="002D1256" w:rsidRPr="008401DD" w:rsidRDefault="002D1256" w:rsidP="00960E68">
      <w:pPr>
        <w:spacing w:line="240" w:lineRule="auto"/>
        <w:jc w:val="both"/>
        <w:rPr>
          <w:rFonts w:cs="Arial"/>
          <w:szCs w:val="20"/>
        </w:rPr>
      </w:pPr>
    </w:p>
    <w:p w14:paraId="077EF70E" w14:textId="77777777" w:rsidR="00B85B43" w:rsidRDefault="00B85B43" w:rsidP="00960E68">
      <w:pPr>
        <w:jc w:val="both"/>
        <w:rPr>
          <w:b/>
        </w:rPr>
      </w:pPr>
      <w:r>
        <w:rPr>
          <w:b/>
        </w:rPr>
        <w:t>Drugi projekt:</w:t>
      </w:r>
    </w:p>
    <w:p w14:paraId="4880058C" w14:textId="77777777" w:rsidR="00B85B43" w:rsidRDefault="00B85B43" w:rsidP="00960E68">
      <w:pPr>
        <w:jc w:val="both"/>
        <w:rPr>
          <w:b/>
        </w:rPr>
      </w:pPr>
    </w:p>
    <w:p w14:paraId="2CA85EAD" w14:textId="30948CEC" w:rsidR="007C22A6" w:rsidRPr="008401DD" w:rsidRDefault="001011FA" w:rsidP="00960E68">
      <w:pPr>
        <w:jc w:val="both"/>
      </w:pPr>
      <w:r w:rsidRPr="008401DD">
        <w:t>Pogodba o sofinanciranju programa CMSR, ki se nanaša na MRS</w:t>
      </w:r>
      <w:r w:rsidR="00D95A7C" w:rsidRPr="008401DD">
        <w:t>, za leti 2018 in 2019</w:t>
      </w:r>
      <w:r w:rsidRPr="008401DD">
        <w:t xml:space="preserve"> sklenjena med MF in CMSR 26.</w:t>
      </w:r>
      <w:r w:rsidR="00EA3161" w:rsidRPr="008401DD">
        <w:t xml:space="preserve"> </w:t>
      </w:r>
      <w:r w:rsidRPr="008401DD">
        <w:t>7.</w:t>
      </w:r>
      <w:r w:rsidR="00EA3161" w:rsidRPr="008401DD">
        <w:t xml:space="preserve"> </w:t>
      </w:r>
      <w:r w:rsidRPr="008401DD">
        <w:t>2018</w:t>
      </w:r>
      <w:r w:rsidRPr="008401DD">
        <w:rPr>
          <w:b/>
        </w:rPr>
        <w:t xml:space="preserve"> </w:t>
      </w:r>
      <w:r w:rsidRPr="008401DD">
        <w:t xml:space="preserve">je na seznamu projektov vključevala tudi Revitalizacijo in avtomatizacijo obstoječih vodooskrbnih objektov v občini </w:t>
      </w:r>
      <w:proofErr w:type="spellStart"/>
      <w:r w:rsidRPr="008401DD">
        <w:t>Probištip</w:t>
      </w:r>
      <w:proofErr w:type="spellEnd"/>
      <w:r w:rsidRPr="008401DD">
        <w:t>.</w:t>
      </w:r>
      <w:r w:rsidRPr="008401DD">
        <w:rPr>
          <w:b/>
        </w:rPr>
        <w:t xml:space="preserve"> </w:t>
      </w:r>
      <w:r w:rsidR="008B234F" w:rsidRPr="008401DD">
        <w:t>V pogodbi je bil</w:t>
      </w:r>
      <w:r w:rsidR="00EE0970" w:rsidRPr="008401DD">
        <w:t>o</w:t>
      </w:r>
      <w:r w:rsidR="008B234F" w:rsidRPr="008401DD">
        <w:t xml:space="preserve"> predvideno sofinanciranje projekta s strani</w:t>
      </w:r>
      <w:r w:rsidR="00091B6E" w:rsidRPr="008401DD">
        <w:t xml:space="preserve"> </w:t>
      </w:r>
      <w:r w:rsidR="008B234F" w:rsidRPr="008401DD">
        <w:t>RS v višini 398.200 EUR</w:t>
      </w:r>
      <w:r w:rsidR="00D95A7C" w:rsidRPr="008401DD">
        <w:t xml:space="preserve"> v letih 2018 in 2019</w:t>
      </w:r>
      <w:r w:rsidR="008B234F" w:rsidRPr="008401DD">
        <w:t>.</w:t>
      </w:r>
      <w:r w:rsidR="008B234F" w:rsidRPr="008401DD">
        <w:rPr>
          <w:b/>
        </w:rPr>
        <w:t xml:space="preserve"> </w:t>
      </w:r>
      <w:r w:rsidR="00CD0860" w:rsidRPr="008401DD">
        <w:t>S prvim an</w:t>
      </w:r>
      <w:r w:rsidR="008B234F" w:rsidRPr="008401DD">
        <w:t>e</w:t>
      </w:r>
      <w:r w:rsidR="00CD0860" w:rsidRPr="008401DD">
        <w:t>k</w:t>
      </w:r>
      <w:r w:rsidR="008B234F" w:rsidRPr="008401DD">
        <w:t>som, podpisanim 16.</w:t>
      </w:r>
      <w:r w:rsidR="00EA3161" w:rsidRPr="008401DD">
        <w:t xml:space="preserve"> </w:t>
      </w:r>
      <w:r w:rsidR="008B234F" w:rsidRPr="008401DD">
        <w:t>11.</w:t>
      </w:r>
      <w:r w:rsidR="00EA3161" w:rsidRPr="008401DD">
        <w:t xml:space="preserve"> </w:t>
      </w:r>
      <w:r w:rsidR="008B234F" w:rsidRPr="008401DD">
        <w:t xml:space="preserve">2018 se </w:t>
      </w:r>
      <w:r w:rsidR="00627A6F" w:rsidRPr="008401DD">
        <w:t xml:space="preserve">je </w:t>
      </w:r>
      <w:r w:rsidR="008B234F" w:rsidRPr="008401DD">
        <w:t>predvidena višina sofinanciranja RS spremenila na 393.046 EUR, z drugim aneksom, podpisanim 24.</w:t>
      </w:r>
      <w:r w:rsidR="00EA3161" w:rsidRPr="008401DD">
        <w:t xml:space="preserve"> </w:t>
      </w:r>
      <w:r w:rsidR="008B234F" w:rsidRPr="008401DD">
        <w:t>7.</w:t>
      </w:r>
      <w:r w:rsidR="00EA3161" w:rsidRPr="008401DD">
        <w:t xml:space="preserve"> </w:t>
      </w:r>
      <w:r w:rsidR="008B234F" w:rsidRPr="008401DD">
        <w:t>2019 pa se je višina sofinanciranja zopet spremenila in sicer se je povišala na 599.800 EUR.</w:t>
      </w:r>
      <w:r w:rsidR="00C87EC1" w:rsidRPr="008401DD">
        <w:t xml:space="preserve"> Do spremembe je prišlo zaradi sprememb dinamike v izvajanju projekta. Prvotno je bilo načrtovano, da se bo projekt izvajal v letih 2018 – 2020 in da se bo zaključil šele v letu 2020</w:t>
      </w:r>
      <w:r w:rsidR="00D34AAB" w:rsidRPr="008401DD">
        <w:t>, ve</w:t>
      </w:r>
      <w:r w:rsidR="00C87EC1" w:rsidRPr="008401DD">
        <w:t>n</w:t>
      </w:r>
      <w:r w:rsidR="00D34AAB" w:rsidRPr="008401DD">
        <w:t>d</w:t>
      </w:r>
      <w:r w:rsidR="00C87EC1" w:rsidRPr="008401DD">
        <w:t xml:space="preserve">ar pa je bil projekt zaključen predčasno (že v letu 2019), kar pomeni, da so se sredstva v višini 206.754 EUR, ki so bila prvotno predvidena za leto 2020, </w:t>
      </w:r>
      <w:r w:rsidR="00EE0970" w:rsidRPr="008401DD">
        <w:t>izplačana v letu 2019</w:t>
      </w:r>
      <w:r w:rsidR="000C3EC9" w:rsidRPr="008401DD">
        <w:t>, saj se nekateri drugi projekti, katerih sofinanciranje je bilo predvideno po tej pogodbi, niso izvajali v skladu s predvideno dinamiko ali pa se sploh niso začeli izvajati in bi sicer pravice porabe v letu 2019 ostale neizkoriščene.</w:t>
      </w:r>
      <w:r w:rsidR="007148A5" w:rsidRPr="008401DD">
        <w:t xml:space="preserve"> </w:t>
      </w:r>
      <w:r w:rsidR="00EF7E19" w:rsidRPr="008401DD">
        <w:t>Skladno s pogodbo je CMSR pripravil dve vmesni poročili o izvajanju projektov MRS ter končni poročili za le</w:t>
      </w:r>
      <w:r w:rsidR="00CB1FD1" w:rsidRPr="008401DD">
        <w:t xml:space="preserve">ti 2018 in 2019, kjer je omenjena </w:t>
      </w:r>
      <w:r w:rsidR="00EF7E19" w:rsidRPr="008401DD">
        <w:t xml:space="preserve">izvedba projekta revitalizacije in avtomatizacije obstoječih vodooskrbnih objektov v občini </w:t>
      </w:r>
      <w:proofErr w:type="spellStart"/>
      <w:r w:rsidR="00EF7E19" w:rsidRPr="008401DD">
        <w:t>Probištip</w:t>
      </w:r>
      <w:proofErr w:type="spellEnd"/>
      <w:r w:rsidR="00EF7E19" w:rsidRPr="008401DD">
        <w:t>.</w:t>
      </w:r>
      <w:r w:rsidR="008E1849" w:rsidRPr="008401DD">
        <w:t xml:space="preserve"> </w:t>
      </w:r>
      <w:r w:rsidR="004112E0" w:rsidRPr="008401DD">
        <w:t xml:space="preserve">Vmesno poročilo je bilo na MF posredovano kot del vmesnih poročil vseh projektov, ki so se izvajali v tistem obdobju, vsebuje pa kratek opis trenutnega stanja projekta. Poročilo je sicer zelo skromno in ne vsebuje </w:t>
      </w:r>
      <w:r w:rsidR="007148A5" w:rsidRPr="008401DD">
        <w:t>podrobnejšega</w:t>
      </w:r>
      <w:r w:rsidR="004112E0" w:rsidRPr="008401DD">
        <w:t xml:space="preserve"> opisa skladnosti projekta s </w:t>
      </w:r>
      <w:proofErr w:type="spellStart"/>
      <w:r w:rsidR="004112E0" w:rsidRPr="008401DD">
        <w:t>časovnico</w:t>
      </w:r>
      <w:proofErr w:type="spellEnd"/>
      <w:r w:rsidR="004112E0" w:rsidRPr="008401DD">
        <w:t>. V letnem poročilu CMSR o izvajanju projektov MRS je projekt omenjen, ni pa opredeljeno, ali so bili načrtovani cilji, rezultati in učinki doseženi. Po pogovoru s CMSR ugotavljamo, da CMSR doseženih učinkov projektov ne preverja.</w:t>
      </w:r>
    </w:p>
    <w:p w14:paraId="4FA3AA0B" w14:textId="2D0021A1" w:rsidR="002D1256" w:rsidRPr="008401DD" w:rsidRDefault="002D1256" w:rsidP="00960E68">
      <w:pPr>
        <w:jc w:val="both"/>
        <w:rPr>
          <w:b/>
        </w:rPr>
      </w:pPr>
    </w:p>
    <w:p w14:paraId="485828B0" w14:textId="03B683FA" w:rsidR="003209CF" w:rsidRPr="008401DD" w:rsidRDefault="003209CF" w:rsidP="00960E68">
      <w:pPr>
        <w:jc w:val="both"/>
      </w:pPr>
      <w:r w:rsidRPr="008401DD">
        <w:t>Komercialna pogodba</w:t>
      </w:r>
      <w:r w:rsidRPr="008401DD">
        <w:rPr>
          <w:b/>
        </w:rPr>
        <w:t xml:space="preserve"> </w:t>
      </w:r>
      <w:r w:rsidRPr="008401DD">
        <w:t xml:space="preserve">med občino </w:t>
      </w:r>
      <w:proofErr w:type="spellStart"/>
      <w:r w:rsidRPr="008401DD">
        <w:t>Probištip</w:t>
      </w:r>
      <w:proofErr w:type="spellEnd"/>
      <w:r w:rsidRPr="008401DD">
        <w:t xml:space="preserve"> in izvajalcema Iskra sistemi – M DOOEL Skopje in Fortuna inženiring </w:t>
      </w:r>
      <w:proofErr w:type="spellStart"/>
      <w:r w:rsidRPr="008401DD">
        <w:t>d.o.o</w:t>
      </w:r>
      <w:proofErr w:type="spellEnd"/>
      <w:r w:rsidRPr="008401DD">
        <w:t>. Skopje je bila podpisana 25.</w:t>
      </w:r>
      <w:r w:rsidR="00EA3161" w:rsidRPr="008401DD">
        <w:t xml:space="preserve"> </w:t>
      </w:r>
      <w:r w:rsidRPr="008401DD">
        <w:t>9.</w:t>
      </w:r>
      <w:r w:rsidR="00EA3161" w:rsidRPr="008401DD">
        <w:t xml:space="preserve"> </w:t>
      </w:r>
      <w:r w:rsidRPr="008401DD">
        <w:t xml:space="preserve">2018. </w:t>
      </w:r>
    </w:p>
    <w:p w14:paraId="2DA3C48F" w14:textId="1B975443" w:rsidR="1E58B54F" w:rsidRPr="008401DD" w:rsidRDefault="1E58B54F" w:rsidP="00960E68">
      <w:pPr>
        <w:jc w:val="both"/>
      </w:pPr>
    </w:p>
    <w:p w14:paraId="3198262B" w14:textId="1F3CCCCB" w:rsidR="003209CF" w:rsidRPr="008401DD" w:rsidRDefault="003209CF" w:rsidP="00960E68">
      <w:pPr>
        <w:jc w:val="both"/>
        <w:rPr>
          <w:rFonts w:cs="Arial"/>
        </w:rPr>
      </w:pPr>
      <w:proofErr w:type="spellStart"/>
      <w:r w:rsidRPr="008401DD">
        <w:t>Donacijska</w:t>
      </w:r>
      <w:proofErr w:type="spellEnd"/>
      <w:r w:rsidRPr="008401DD">
        <w:t xml:space="preserve"> pogodba med občino </w:t>
      </w:r>
      <w:proofErr w:type="spellStart"/>
      <w:r w:rsidRPr="008401DD">
        <w:t>Probištip</w:t>
      </w:r>
      <w:proofErr w:type="spellEnd"/>
      <w:r w:rsidRPr="008401DD">
        <w:t xml:space="preserve"> in CMSR je bila podpisana 27.</w:t>
      </w:r>
      <w:r w:rsidR="00EA3161" w:rsidRPr="008401DD">
        <w:t xml:space="preserve"> </w:t>
      </w:r>
      <w:r w:rsidRPr="008401DD">
        <w:t>7.</w:t>
      </w:r>
      <w:r w:rsidR="00EA3161" w:rsidRPr="008401DD">
        <w:t xml:space="preserve"> </w:t>
      </w:r>
      <w:r w:rsidRPr="008401DD">
        <w:t>2018</w:t>
      </w:r>
      <w:r w:rsidR="00627A6F" w:rsidRPr="008401DD">
        <w:t xml:space="preserve"> in predvideva slovensko sofinanciranje projekta v vrednosti 599.800 EUR. </w:t>
      </w:r>
      <w:r w:rsidR="00627A6F" w:rsidRPr="008401DD">
        <w:rPr>
          <w:rFonts w:cs="Arial"/>
        </w:rPr>
        <w:t xml:space="preserve">Severna Makedonija (občina </w:t>
      </w:r>
      <w:proofErr w:type="spellStart"/>
      <w:r w:rsidR="00627A6F" w:rsidRPr="008401DD">
        <w:rPr>
          <w:rFonts w:cs="Arial"/>
        </w:rPr>
        <w:t>Probištip</w:t>
      </w:r>
      <w:proofErr w:type="spellEnd"/>
      <w:r w:rsidR="00627A6F" w:rsidRPr="008401DD">
        <w:rPr>
          <w:rFonts w:cs="Arial"/>
        </w:rPr>
        <w:t xml:space="preserve"> kot prejemnik) se je kot prejemnica sredstev v </w:t>
      </w:r>
      <w:proofErr w:type="spellStart"/>
      <w:r w:rsidR="00627A6F" w:rsidRPr="008401DD">
        <w:rPr>
          <w:rFonts w:cs="Arial"/>
        </w:rPr>
        <w:t>donacijski</w:t>
      </w:r>
      <w:proofErr w:type="spellEnd"/>
      <w:r w:rsidR="00627A6F" w:rsidRPr="008401DD">
        <w:rPr>
          <w:rFonts w:cs="Arial"/>
        </w:rPr>
        <w:t xml:space="preserve"> pogodbi zavezala, da bo za CMSR pripravila vmesno poročilo in letno poročilo, po izreku vsakih šestih mesecev trajanja projekta, po koncu projekta pa tudi končno poročilo</w:t>
      </w:r>
      <w:r w:rsidR="00EE0970" w:rsidRPr="008401DD">
        <w:rPr>
          <w:rFonts w:cs="Arial"/>
        </w:rPr>
        <w:t xml:space="preserve">. </w:t>
      </w:r>
      <w:r w:rsidR="009C3B15" w:rsidRPr="008401DD">
        <w:rPr>
          <w:rFonts w:cs="Arial"/>
        </w:rPr>
        <w:t xml:space="preserve">Vmesnih poročil nismo prejeli, </w:t>
      </w:r>
      <w:r w:rsidR="009C3B15" w:rsidRPr="008401DD">
        <w:t>k</w:t>
      </w:r>
      <w:r w:rsidR="00627A6F" w:rsidRPr="008401DD">
        <w:t xml:space="preserve">ončno poročilo </w:t>
      </w:r>
      <w:r w:rsidR="009C3B15" w:rsidRPr="008401DD">
        <w:t xml:space="preserve">pa </w:t>
      </w:r>
      <w:r w:rsidR="00627A6F" w:rsidRPr="008401DD">
        <w:t xml:space="preserve">je pripravilo podjetje </w:t>
      </w:r>
      <w:proofErr w:type="spellStart"/>
      <w:r w:rsidR="00627A6F" w:rsidRPr="008401DD">
        <w:t>Atrium</w:t>
      </w:r>
      <w:proofErr w:type="spellEnd"/>
      <w:r w:rsidR="00627A6F" w:rsidRPr="008401DD">
        <w:t xml:space="preserve"> studio iz Severne Makedonije, </w:t>
      </w:r>
      <w:r w:rsidR="009C3B15" w:rsidRPr="008401DD">
        <w:t xml:space="preserve">ki je </w:t>
      </w:r>
      <w:r w:rsidR="00DC322C">
        <w:t>izvajalo</w:t>
      </w:r>
      <w:r w:rsidR="00DC322C" w:rsidRPr="008401DD">
        <w:t xml:space="preserve"> </w:t>
      </w:r>
      <w:r w:rsidR="009C3B15" w:rsidRPr="008401DD">
        <w:t xml:space="preserve">nadzor projekta, </w:t>
      </w:r>
      <w:r w:rsidR="00627A6F" w:rsidRPr="008401DD">
        <w:t>ki je v svojem poročilu ugotovilo, da je bil projekt izveden v skladu z zahte</w:t>
      </w:r>
      <w:r w:rsidR="00EF7E19" w:rsidRPr="008401DD">
        <w:t xml:space="preserve">vami in specifikacijami. </w:t>
      </w:r>
    </w:p>
    <w:p w14:paraId="14F2ADD7" w14:textId="77777777" w:rsidR="000355DB" w:rsidRPr="008401DD" w:rsidRDefault="000355DB" w:rsidP="00960E68">
      <w:pPr>
        <w:jc w:val="both"/>
      </w:pPr>
    </w:p>
    <w:p w14:paraId="01E9E3CC" w14:textId="4A59AB33" w:rsidR="000355DB" w:rsidRPr="008401DD" w:rsidRDefault="000355DB" w:rsidP="00960E68">
      <w:pPr>
        <w:jc w:val="both"/>
      </w:pPr>
      <w:r w:rsidRPr="008401DD">
        <w:t xml:space="preserve">Tako kot pri prvem projektu ugotavljamo, da je bil projekt izveden pravočasno in v skladu s </w:t>
      </w:r>
      <w:proofErr w:type="spellStart"/>
      <w:r w:rsidRPr="008401DD">
        <w:t>časovnico</w:t>
      </w:r>
      <w:proofErr w:type="spellEnd"/>
      <w:r w:rsidRPr="008401DD">
        <w:t>, vendar pa glede na vsebino končnega poročila, tega zaradi zelo osnovnega opisa poteka projekta, ni mogoče natančno določiti.</w:t>
      </w:r>
      <w:r w:rsidR="00091B6E" w:rsidRPr="008401DD">
        <w:t xml:space="preserve"> </w:t>
      </w:r>
    </w:p>
    <w:p w14:paraId="311B6789" w14:textId="32AE83D9" w:rsidR="00151C75" w:rsidRPr="008401DD" w:rsidRDefault="00151C75" w:rsidP="00960E68">
      <w:pPr>
        <w:jc w:val="both"/>
      </w:pPr>
    </w:p>
    <w:p w14:paraId="7A108E78" w14:textId="7A89402A" w:rsidR="00151C75" w:rsidRPr="008401DD" w:rsidRDefault="00151C75"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096DB9" w:rsidRPr="008401DD">
        <w:rPr>
          <w:i/>
          <w:u w:val="single"/>
        </w:rPr>
        <w:t xml:space="preserve"> 3.5.</w:t>
      </w:r>
      <w:r w:rsidRPr="008401DD">
        <w:rPr>
          <w:i/>
          <w:u w:val="single"/>
        </w:rPr>
        <w:t>:</w:t>
      </w:r>
      <w:r w:rsidR="00FA05CD" w:rsidRPr="008401DD">
        <w:rPr>
          <w:i/>
        </w:rPr>
        <w:t xml:space="preserve"> Gledati</w:t>
      </w:r>
      <w:r w:rsidRPr="008401DD">
        <w:rPr>
          <w:i/>
        </w:rPr>
        <w:t xml:space="preserve"> priporočilo </w:t>
      </w:r>
      <w:r w:rsidR="00DA05D4">
        <w:rPr>
          <w:i/>
        </w:rPr>
        <w:t xml:space="preserve">2.1. </w:t>
      </w:r>
      <w:r w:rsidRPr="008401DD">
        <w:rPr>
          <w:i/>
        </w:rPr>
        <w:t>glede kazalnikov.</w:t>
      </w:r>
    </w:p>
    <w:p w14:paraId="25F01CC8" w14:textId="77777777" w:rsidR="006737B9" w:rsidRPr="008401DD" w:rsidRDefault="006737B9" w:rsidP="00960E68">
      <w:pPr>
        <w:jc w:val="both"/>
        <w:rPr>
          <w:i/>
        </w:rPr>
      </w:pPr>
    </w:p>
    <w:p w14:paraId="1AE25583" w14:textId="4500BA9D" w:rsidR="006737B9" w:rsidRPr="008401DD" w:rsidRDefault="006737B9" w:rsidP="00B8121B">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096DB9" w:rsidRPr="008401DD">
        <w:rPr>
          <w:i/>
          <w:u w:val="single"/>
        </w:rPr>
        <w:t xml:space="preserve"> 3.6.</w:t>
      </w:r>
      <w:r w:rsidRPr="008401DD">
        <w:rPr>
          <w:i/>
          <w:u w:val="single"/>
        </w:rPr>
        <w:t>:</w:t>
      </w:r>
      <w:r w:rsidRPr="008401DD">
        <w:rPr>
          <w:i/>
        </w:rPr>
        <w:t xml:space="preserve"> Zagotovijo naj se minimalni standardi glede poročanja (tj. vsebina vmesnih in končnih poročil) iz katerih je jasno razviden napredek projekta ter skladnost s projektno </w:t>
      </w:r>
      <w:proofErr w:type="spellStart"/>
      <w:r w:rsidRPr="008401DD">
        <w:rPr>
          <w:i/>
        </w:rPr>
        <w:t>časovnico</w:t>
      </w:r>
      <w:proofErr w:type="spellEnd"/>
      <w:r w:rsidRPr="008401DD">
        <w:rPr>
          <w:i/>
        </w:rPr>
        <w:t xml:space="preserve"> in finančnim načrtom. </w:t>
      </w:r>
      <w:r w:rsidR="00104E0B" w:rsidRPr="008401DD">
        <w:rPr>
          <w:i/>
        </w:rPr>
        <w:t>Poročila naj vključujejo tudi oceno stanja z vidika morebitnih odstopanj (v časovnem ali finančnem smislu), pregled projektnih tveganj in ukrepov za blažitev ter nadaljnjih korakov za prihodnje poročevalsko obdobje.</w:t>
      </w:r>
    </w:p>
    <w:p w14:paraId="4F4DB66E" w14:textId="77777777" w:rsidR="001011FA" w:rsidRPr="008401DD" w:rsidRDefault="001011FA" w:rsidP="00960E68">
      <w:pPr>
        <w:jc w:val="both"/>
        <w:rPr>
          <w:b/>
        </w:rPr>
      </w:pPr>
    </w:p>
    <w:p w14:paraId="1296103B" w14:textId="73F23911" w:rsidR="00A418B4" w:rsidRPr="008401DD" w:rsidRDefault="00A418B4" w:rsidP="00960E68">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3.4:</w:t>
      </w:r>
      <w:r w:rsidRPr="008401DD">
        <w:rPr>
          <w:rFonts w:cs="Arial"/>
          <w:color w:val="67C18C"/>
        </w:rPr>
        <w:t xml:space="preserve"> </w:t>
      </w:r>
      <w:r w:rsidRPr="008401DD">
        <w:rPr>
          <w:rFonts w:cs="Arial"/>
          <w:i/>
          <w:color w:val="67C18C"/>
          <w:szCs w:val="20"/>
        </w:rPr>
        <w:t>Ali so bile izvedene aktivnosti ustrezne in izvedene na način, da so prispevale k doseganju posameznega rezultata na najboljši možni način – s finančnega vidika, časovnega vidika</w:t>
      </w:r>
      <w:r w:rsidR="00EE0970" w:rsidRPr="008401DD">
        <w:rPr>
          <w:rFonts w:cs="Arial"/>
          <w:i/>
          <w:color w:val="67C18C"/>
          <w:szCs w:val="20"/>
        </w:rPr>
        <w:t>,</w:t>
      </w:r>
      <w:r w:rsidRPr="008401DD">
        <w:rPr>
          <w:rFonts w:cs="Arial"/>
          <w:i/>
          <w:color w:val="67C18C"/>
          <w:szCs w:val="20"/>
        </w:rPr>
        <w:t xml:space="preserve"> z vidika kakovosti itd</w:t>
      </w:r>
      <w:r w:rsidR="00151C75" w:rsidRPr="008401DD">
        <w:rPr>
          <w:rFonts w:cs="Arial"/>
          <w:i/>
          <w:color w:val="67C18C"/>
          <w:szCs w:val="20"/>
        </w:rPr>
        <w:t>.</w:t>
      </w:r>
      <w:r w:rsidRPr="008401DD">
        <w:rPr>
          <w:rFonts w:cs="Arial"/>
          <w:i/>
          <w:color w:val="67C18C"/>
          <w:szCs w:val="20"/>
        </w:rPr>
        <w:t>?</w:t>
      </w:r>
    </w:p>
    <w:p w14:paraId="46B9AD9D" w14:textId="77777777" w:rsidR="00B85B43" w:rsidRDefault="00B85B43" w:rsidP="00960E68">
      <w:pPr>
        <w:spacing w:line="240" w:lineRule="auto"/>
        <w:jc w:val="both"/>
      </w:pPr>
    </w:p>
    <w:p w14:paraId="01687A25" w14:textId="0E5AA6B2" w:rsidR="004C69AE" w:rsidRPr="008401DD" w:rsidRDefault="00967FC7" w:rsidP="00960E68">
      <w:pPr>
        <w:spacing w:line="240" w:lineRule="auto"/>
        <w:jc w:val="both"/>
      </w:pPr>
      <w:r w:rsidRPr="008401DD">
        <w:t>Izvajanje projektov je bilo v splošnem učinkovito, brez večjih težav ali odstopanj</w:t>
      </w:r>
      <w:r w:rsidR="7C76DEAF" w:rsidRPr="008401DD">
        <w:t xml:space="preserve"> pri </w:t>
      </w:r>
      <w:proofErr w:type="spellStart"/>
      <w:r w:rsidR="7C76DEAF" w:rsidRPr="008401DD">
        <w:t>časovnici</w:t>
      </w:r>
      <w:proofErr w:type="spellEnd"/>
      <w:r w:rsidRPr="008401DD">
        <w:t>, ki bi ogrozile izvajanje projektnih aktivnosti.</w:t>
      </w:r>
      <w:r w:rsidR="004C69AE" w:rsidRPr="008401DD">
        <w:t xml:space="preserve"> Skladno z izvedenimi intervjuji ugotavljamo, da sta bila projekta dobro zasnovana, tako s finančnega kot časovnega vidika, saj ni prišlo do odstopanj od časovnih ali finančnih načrtov, uporabljeno opremo in opravljeno delo vseh izvajalcev pa </w:t>
      </w:r>
      <w:r w:rsidR="00151C75" w:rsidRPr="008401DD">
        <w:t>intervjuvanci</w:t>
      </w:r>
      <w:r w:rsidR="004C69AE" w:rsidRPr="008401DD">
        <w:t xml:space="preserve"> ocenjujejo kot ustrezno in zelo kvalitetno. </w:t>
      </w:r>
      <w:r w:rsidR="4A481A13" w:rsidRPr="008401DD">
        <w:t>Do okvar opreme ne prihaja</w:t>
      </w:r>
      <w:r w:rsidR="305F1C4E" w:rsidRPr="008401DD">
        <w:t xml:space="preserve">, lokalni deležniki pa so vsi poročali, da je </w:t>
      </w:r>
      <w:r w:rsidR="009E5C68" w:rsidRPr="008401DD">
        <w:t xml:space="preserve">vgrajena </w:t>
      </w:r>
      <w:r w:rsidR="305F1C4E" w:rsidRPr="008401DD">
        <w:t>vrhunska oprema</w:t>
      </w:r>
      <w:r w:rsidR="4A481A13" w:rsidRPr="008401DD">
        <w:t xml:space="preserve">. </w:t>
      </w:r>
    </w:p>
    <w:p w14:paraId="163B02FF" w14:textId="77777777" w:rsidR="00B85B43" w:rsidRDefault="00B85B43" w:rsidP="00960E68">
      <w:pPr>
        <w:spacing w:line="240" w:lineRule="auto"/>
        <w:jc w:val="both"/>
        <w:rPr>
          <w:b/>
          <w:bCs/>
        </w:rPr>
      </w:pPr>
    </w:p>
    <w:p w14:paraId="294E4859" w14:textId="3C9E0BE4" w:rsidR="00175E40" w:rsidRPr="008401DD" w:rsidRDefault="5AF0FBC9" w:rsidP="00960E68">
      <w:pPr>
        <w:spacing w:line="240" w:lineRule="auto"/>
        <w:jc w:val="both"/>
      </w:pPr>
      <w:r w:rsidRPr="008401DD">
        <w:rPr>
          <w:b/>
          <w:bCs/>
        </w:rPr>
        <w:t>Struktura stroškov prvega projekta</w:t>
      </w:r>
      <w:r w:rsidR="00175E40" w:rsidRPr="008401DD">
        <w:t xml:space="preserve">: </w:t>
      </w:r>
    </w:p>
    <w:p w14:paraId="25D42629" w14:textId="77777777" w:rsidR="00B85B43" w:rsidRDefault="00B85B43" w:rsidP="00960E68">
      <w:pPr>
        <w:spacing w:line="240" w:lineRule="auto"/>
        <w:jc w:val="both"/>
      </w:pPr>
    </w:p>
    <w:p w14:paraId="775744E3" w14:textId="40F2015E" w:rsidR="00DE3153" w:rsidRDefault="00A47E25" w:rsidP="00960E68">
      <w:pPr>
        <w:spacing w:line="240" w:lineRule="auto"/>
        <w:jc w:val="both"/>
      </w:pPr>
      <w:r w:rsidRPr="008401DD">
        <w:t xml:space="preserve">Prvi projekt je v celoti izvedlo slovensko podjetje Iskra sistemi </w:t>
      </w:r>
      <w:proofErr w:type="spellStart"/>
      <w:r w:rsidRPr="008401DD">
        <w:t>d.d</w:t>
      </w:r>
      <w:proofErr w:type="spellEnd"/>
      <w:r w:rsidRPr="008401DD">
        <w:t>. Podatkov o uporabi zmogljivost drugih subjektov (podizvajalcih ali partnerjih) ni</w:t>
      </w:r>
      <w:r w:rsidR="00B06ED9" w:rsidRPr="008401DD">
        <w:t>smo prejeli, lahko pa iz zahtevkov za plačilo vidimo, da je sodelovalo s svojo podružnico v Severni Makedoniji, podjetjem Iskra sistemi M-DOOEL.</w:t>
      </w:r>
    </w:p>
    <w:p w14:paraId="1F2B45B9" w14:textId="77777777" w:rsidR="00B85B43" w:rsidRPr="008401DD" w:rsidRDefault="00B85B43" w:rsidP="00960E68">
      <w:pPr>
        <w:spacing w:line="240" w:lineRule="auto"/>
        <w:jc w:val="both"/>
      </w:pPr>
    </w:p>
    <w:p w14:paraId="33A931C4" w14:textId="36C820DF" w:rsidR="00845DF6" w:rsidRDefault="00845DF6" w:rsidP="00960E68">
      <w:pPr>
        <w:spacing w:line="240" w:lineRule="auto"/>
        <w:jc w:val="both"/>
      </w:pPr>
      <w:r w:rsidRPr="008401DD">
        <w:t>Glede na vrsto stroška, je bil največji del celotnih sredstev projekta (80,1</w:t>
      </w:r>
      <w:r w:rsidR="00682EDF" w:rsidRPr="008401DD">
        <w:t xml:space="preserve"> </w:t>
      </w:r>
      <w:r w:rsidRPr="008401DD">
        <w:t xml:space="preserve">%) porabljen za nakup opreme za izgradnjo čistilne naprave (tabela 8). Stroški vodenja projekta s strani izvajalca niso opredeljeni. </w:t>
      </w:r>
      <w:r w:rsidR="00151C75" w:rsidRPr="008401DD">
        <w:t>Iz pregledanih računov oz. specifikacij ni razvidno, kakšno je poreklo tega blaga, zato ni mogoče oceniti, kakšen delež tega zneska se nanaša na slovensko znanje</w:t>
      </w:r>
      <w:r w:rsidR="00B8263A" w:rsidRPr="008401DD">
        <w:t>, tehnologije</w:t>
      </w:r>
      <w:r w:rsidR="00151C75" w:rsidRPr="008401DD">
        <w:t xml:space="preserve"> in/ali izdelke</w:t>
      </w:r>
      <w:r w:rsidR="00B8263A" w:rsidRPr="008401DD">
        <w:t xml:space="preserve"> (kar pa je upoštevano kot merilo pri ocenjevanju projektov).</w:t>
      </w:r>
    </w:p>
    <w:p w14:paraId="36A1D198" w14:textId="77777777" w:rsidR="00B85B43" w:rsidRPr="008401DD" w:rsidRDefault="00B85B43" w:rsidP="00960E68">
      <w:pPr>
        <w:spacing w:line="240" w:lineRule="auto"/>
        <w:jc w:val="both"/>
      </w:pPr>
    </w:p>
    <w:p w14:paraId="0EE81A5C" w14:textId="1AAD7506" w:rsidR="00D1779B" w:rsidRDefault="00D1779B" w:rsidP="00960E68">
      <w:pPr>
        <w:spacing w:line="240" w:lineRule="auto"/>
        <w:jc w:val="both"/>
      </w:pPr>
      <w:r w:rsidRPr="008401DD">
        <w:t>Poleg tega iz prejetih zahtevkov za plačilo</w:t>
      </w:r>
      <w:r w:rsidR="1C8A062F" w:rsidRPr="008401DD">
        <w:t xml:space="preserve"> izvajalca</w:t>
      </w:r>
      <w:r w:rsidRPr="008401DD">
        <w:t xml:space="preserve"> ni razvidno, kateri delež le-teh se nanaša na obravnavani projekt, saj skupaj zadevajo širši projekt investicije v HE </w:t>
      </w:r>
      <w:proofErr w:type="spellStart"/>
      <w:r w:rsidRPr="008401DD">
        <w:t>Zletovica</w:t>
      </w:r>
      <w:proofErr w:type="spellEnd"/>
      <w:r w:rsidRPr="008401DD">
        <w:t xml:space="preserve"> na podlagi </w:t>
      </w:r>
      <w:r w:rsidR="0095048C" w:rsidRPr="008401DD">
        <w:t xml:space="preserve">osnovne </w:t>
      </w:r>
      <w:r w:rsidRPr="008401DD">
        <w:t xml:space="preserve">pogodbe iz leta 2009. Sklepamo lahko, da se </w:t>
      </w:r>
      <w:proofErr w:type="spellStart"/>
      <w:r w:rsidRPr="008401DD">
        <w:t>donacijska</w:t>
      </w:r>
      <w:proofErr w:type="spellEnd"/>
      <w:r w:rsidRPr="008401DD">
        <w:t xml:space="preserve"> pogodba nanaša le na del teh zahtevkov, pri čemer pa iz pogovorov z deležniki ali dokumentacije ni bilo razvidno, da gre pri prvem projektu</w:t>
      </w:r>
      <w:r w:rsidR="0095048C" w:rsidRPr="008401DD">
        <w:t xml:space="preserve"> iz leta 2012</w:t>
      </w:r>
      <w:r w:rsidRPr="008401DD">
        <w:t xml:space="preserve"> za aneks k obstoj</w:t>
      </w:r>
      <w:r w:rsidR="0095048C" w:rsidRPr="008401DD">
        <w:t xml:space="preserve">ečemu. </w:t>
      </w:r>
      <w:r w:rsidR="00D34AAB" w:rsidRPr="008401DD">
        <w:t>Prejeta dokumentacija ne omogoča zanesljive in jasne preverbe stroškovnih postavk projekta in skladnosti le-teh s projektnim predlogom in investicijsko dokumentacijo.</w:t>
      </w:r>
    </w:p>
    <w:p w14:paraId="0B6F145D" w14:textId="77777777" w:rsidR="00B85B43" w:rsidRPr="008401DD" w:rsidRDefault="00B85B43" w:rsidP="00960E68">
      <w:pPr>
        <w:spacing w:line="240" w:lineRule="auto"/>
        <w:jc w:val="both"/>
      </w:pPr>
    </w:p>
    <w:p w14:paraId="15BE3A07" w14:textId="4418427E" w:rsidR="00175E40" w:rsidRDefault="00BC1C2D" w:rsidP="00960E68">
      <w:pPr>
        <w:spacing w:line="240" w:lineRule="auto"/>
        <w:jc w:val="both"/>
      </w:pPr>
      <w:r w:rsidRPr="008401DD">
        <w:t>Končna vrednost projekta</w:t>
      </w:r>
      <w:r w:rsidR="00DA16E4" w:rsidRPr="008401DD">
        <w:t xml:space="preserve"> je presegala predvideno pogodbeno vrednost</w:t>
      </w:r>
      <w:r w:rsidR="00E2232B" w:rsidRPr="008401DD">
        <w:t xml:space="preserve">, </w:t>
      </w:r>
      <w:r w:rsidR="003D6B5B" w:rsidRPr="008401DD">
        <w:t>ker je investitor, o</w:t>
      </w:r>
      <w:r w:rsidR="00E2232B" w:rsidRPr="008401DD">
        <w:t xml:space="preserve">bčina </w:t>
      </w:r>
      <w:proofErr w:type="spellStart"/>
      <w:r w:rsidR="00E2232B" w:rsidRPr="008401DD">
        <w:t>Probištip</w:t>
      </w:r>
      <w:proofErr w:type="spellEnd"/>
      <w:r w:rsidR="00E2232B" w:rsidRPr="008401DD">
        <w:t>, naročila še postavitev filtra za odpadne vode iz filtrirne postaje</w:t>
      </w:r>
      <w:r w:rsidR="00EE0970" w:rsidRPr="008401DD">
        <w:t>, z</w:t>
      </w:r>
      <w:r w:rsidR="00DA16E4" w:rsidRPr="008401DD">
        <w:t xml:space="preserve">ato je bil sklenjen aneks k pogodbi v višini 39.000 EUR. </w:t>
      </w:r>
      <w:r w:rsidR="00E2232B" w:rsidRPr="008401DD">
        <w:t>Sredstva za dodatna dela in</w:t>
      </w:r>
      <w:r w:rsidR="003D6B5B" w:rsidRPr="008401DD">
        <w:t xml:space="preserve"> opremo je v celoti zagotovila o</w:t>
      </w:r>
      <w:r w:rsidR="00E2232B" w:rsidRPr="008401DD">
        <w:t xml:space="preserve">bčina </w:t>
      </w:r>
      <w:proofErr w:type="spellStart"/>
      <w:r w:rsidR="00E2232B" w:rsidRPr="008401DD">
        <w:t>Probištip</w:t>
      </w:r>
      <w:proofErr w:type="spellEnd"/>
      <w:r w:rsidR="00E2232B" w:rsidRPr="008401DD">
        <w:t>.</w:t>
      </w:r>
      <w:r w:rsidR="00E2232B" w:rsidRPr="008401DD" w:rsidDel="00E2232B">
        <w:t xml:space="preserve"> </w:t>
      </w:r>
    </w:p>
    <w:p w14:paraId="71BBADF8" w14:textId="77777777" w:rsidR="00B85B43" w:rsidRPr="008401DD" w:rsidRDefault="00B85B43" w:rsidP="00960E68">
      <w:pPr>
        <w:spacing w:line="240" w:lineRule="auto"/>
        <w:jc w:val="both"/>
      </w:pPr>
    </w:p>
    <w:p w14:paraId="730C38A4" w14:textId="63360146" w:rsidR="00845DF6" w:rsidRPr="008401DD" w:rsidRDefault="00845DF6" w:rsidP="00161A81">
      <w:pPr>
        <w:pStyle w:val="Caption"/>
        <w:keepNext/>
        <w:spacing w:after="0"/>
      </w:pPr>
      <w:bookmarkStart w:id="125" w:name="_Toc56779399"/>
      <w:r w:rsidRPr="008401DD">
        <w:t xml:space="preserve">Tabela </w:t>
      </w:r>
      <w:r w:rsidRPr="008401DD">
        <w:fldChar w:fldCharType="begin"/>
      </w:r>
      <w:r w:rsidRPr="008401DD">
        <w:instrText xml:space="preserve"> SEQ Tabela \* ARABIC </w:instrText>
      </w:r>
      <w:r w:rsidRPr="008401DD">
        <w:fldChar w:fldCharType="separate"/>
      </w:r>
      <w:r w:rsidR="00F67E80">
        <w:rPr>
          <w:noProof/>
        </w:rPr>
        <w:t>6</w:t>
      </w:r>
      <w:r w:rsidRPr="008401DD">
        <w:fldChar w:fldCharType="end"/>
      </w:r>
      <w:r w:rsidRPr="008401DD">
        <w:t xml:space="preserve"> Razdelitev celotne vrednosti projekta glede na vrste stroškov</w:t>
      </w:r>
      <w:bookmarkEnd w:id="125"/>
    </w:p>
    <w:tbl>
      <w:tblPr>
        <w:tblStyle w:val="TableGrid"/>
        <w:tblW w:w="0" w:type="auto"/>
        <w:tblLook w:val="04A0" w:firstRow="1" w:lastRow="0" w:firstColumn="1" w:lastColumn="0" w:noHBand="0" w:noVBand="1"/>
      </w:tblPr>
      <w:tblGrid>
        <w:gridCol w:w="4106"/>
        <w:gridCol w:w="2552"/>
        <w:gridCol w:w="2692"/>
      </w:tblGrid>
      <w:tr w:rsidR="00175E40" w:rsidRPr="008401DD" w14:paraId="21000DE7" w14:textId="77777777" w:rsidTr="000603C2">
        <w:tc>
          <w:tcPr>
            <w:tcW w:w="4106" w:type="dxa"/>
            <w:tcBorders>
              <w:bottom w:val="single" w:sz="4" w:space="0" w:color="auto"/>
            </w:tcBorders>
            <w:shd w:val="clear" w:color="auto" w:fill="67C18C"/>
          </w:tcPr>
          <w:p w14:paraId="1E40FF4A" w14:textId="77777777" w:rsidR="00175E40" w:rsidRPr="008401DD" w:rsidRDefault="00175E40" w:rsidP="00960E68">
            <w:pPr>
              <w:spacing w:line="276" w:lineRule="auto"/>
              <w:jc w:val="both"/>
              <w:rPr>
                <w:b/>
                <w:color w:val="FFFFFF" w:themeColor="background1"/>
                <w:szCs w:val="20"/>
              </w:rPr>
            </w:pPr>
            <w:r w:rsidRPr="008401DD">
              <w:rPr>
                <w:b/>
                <w:color w:val="FFFFFF" w:themeColor="background1"/>
                <w:szCs w:val="20"/>
              </w:rPr>
              <w:t>Vrsta stroška</w:t>
            </w:r>
          </w:p>
        </w:tc>
        <w:tc>
          <w:tcPr>
            <w:tcW w:w="2552" w:type="dxa"/>
            <w:tcBorders>
              <w:bottom w:val="single" w:sz="4" w:space="0" w:color="auto"/>
            </w:tcBorders>
            <w:shd w:val="clear" w:color="auto" w:fill="67C18C"/>
          </w:tcPr>
          <w:p w14:paraId="3E8E80B1" w14:textId="77777777" w:rsidR="00175E40" w:rsidRPr="008401DD" w:rsidRDefault="00175E40" w:rsidP="00960E68">
            <w:pPr>
              <w:spacing w:line="276" w:lineRule="auto"/>
              <w:jc w:val="both"/>
              <w:rPr>
                <w:b/>
                <w:color w:val="FFFFFF" w:themeColor="background1"/>
                <w:szCs w:val="20"/>
              </w:rPr>
            </w:pPr>
            <w:r w:rsidRPr="008401DD">
              <w:rPr>
                <w:b/>
                <w:color w:val="FFFFFF" w:themeColor="background1"/>
                <w:szCs w:val="20"/>
              </w:rPr>
              <w:t>Znesek stroška</w:t>
            </w:r>
          </w:p>
        </w:tc>
        <w:tc>
          <w:tcPr>
            <w:tcW w:w="2692" w:type="dxa"/>
            <w:tcBorders>
              <w:bottom w:val="single" w:sz="4" w:space="0" w:color="auto"/>
            </w:tcBorders>
            <w:shd w:val="clear" w:color="auto" w:fill="67C18C"/>
          </w:tcPr>
          <w:p w14:paraId="7BEBD2B9" w14:textId="77777777" w:rsidR="00175E40" w:rsidRPr="008401DD" w:rsidRDefault="00175E40" w:rsidP="00960E68">
            <w:pPr>
              <w:spacing w:line="276" w:lineRule="auto"/>
              <w:jc w:val="both"/>
              <w:rPr>
                <w:b/>
                <w:color w:val="FFFFFF" w:themeColor="background1"/>
                <w:szCs w:val="20"/>
              </w:rPr>
            </w:pPr>
            <w:r w:rsidRPr="008401DD">
              <w:rPr>
                <w:b/>
                <w:color w:val="FFFFFF" w:themeColor="background1"/>
                <w:szCs w:val="20"/>
              </w:rPr>
              <w:t>Delež skupne cene JN</w:t>
            </w:r>
          </w:p>
        </w:tc>
      </w:tr>
      <w:tr w:rsidR="00175E40" w:rsidRPr="008401DD" w14:paraId="2F986E49" w14:textId="77777777" w:rsidTr="000603C2">
        <w:tc>
          <w:tcPr>
            <w:tcW w:w="4106" w:type="dxa"/>
            <w:tcBorders>
              <w:top w:val="single" w:sz="4" w:space="0" w:color="auto"/>
            </w:tcBorders>
          </w:tcPr>
          <w:p w14:paraId="1A2212CA" w14:textId="1B26D76C" w:rsidR="00175E40" w:rsidRPr="008401DD" w:rsidRDefault="00845DF6" w:rsidP="00960E68">
            <w:pPr>
              <w:jc w:val="both"/>
              <w:rPr>
                <w:rFonts w:cs="Arial"/>
                <w:szCs w:val="20"/>
              </w:rPr>
            </w:pPr>
            <w:r w:rsidRPr="008401DD">
              <w:rPr>
                <w:rFonts w:cs="Arial"/>
                <w:szCs w:val="20"/>
              </w:rPr>
              <w:t>Pripravljalna dela</w:t>
            </w:r>
          </w:p>
        </w:tc>
        <w:tc>
          <w:tcPr>
            <w:tcW w:w="2552" w:type="dxa"/>
            <w:tcBorders>
              <w:top w:val="single" w:sz="4" w:space="0" w:color="auto"/>
            </w:tcBorders>
          </w:tcPr>
          <w:p w14:paraId="283787E1" w14:textId="13B7358F" w:rsidR="00175E40" w:rsidRPr="008401DD" w:rsidRDefault="00845DF6" w:rsidP="00960E68">
            <w:pPr>
              <w:jc w:val="right"/>
              <w:rPr>
                <w:rFonts w:cs="Arial"/>
                <w:szCs w:val="20"/>
              </w:rPr>
            </w:pPr>
            <w:r w:rsidRPr="008401DD">
              <w:rPr>
                <w:rFonts w:cs="Arial"/>
                <w:szCs w:val="20"/>
              </w:rPr>
              <w:t>10.000</w:t>
            </w:r>
            <w:r w:rsidR="00175E40" w:rsidRPr="008401DD">
              <w:rPr>
                <w:rFonts w:cs="Arial"/>
                <w:szCs w:val="20"/>
              </w:rPr>
              <w:t xml:space="preserve"> EUR</w:t>
            </w:r>
          </w:p>
        </w:tc>
        <w:tc>
          <w:tcPr>
            <w:tcW w:w="2692" w:type="dxa"/>
            <w:tcBorders>
              <w:top w:val="single" w:sz="4" w:space="0" w:color="auto"/>
            </w:tcBorders>
          </w:tcPr>
          <w:p w14:paraId="75649AED" w14:textId="6705E7B8" w:rsidR="00175E40" w:rsidRPr="008401DD" w:rsidRDefault="00845DF6" w:rsidP="00960E68">
            <w:pPr>
              <w:jc w:val="both"/>
              <w:rPr>
                <w:rFonts w:cs="Arial"/>
                <w:szCs w:val="20"/>
              </w:rPr>
            </w:pPr>
            <w:r w:rsidRPr="008401DD">
              <w:rPr>
                <w:rFonts w:cs="Arial"/>
                <w:szCs w:val="20"/>
              </w:rPr>
              <w:t xml:space="preserve">0,7 </w:t>
            </w:r>
            <w:r w:rsidR="00175E40" w:rsidRPr="008401DD">
              <w:rPr>
                <w:rFonts w:cs="Arial"/>
                <w:szCs w:val="20"/>
              </w:rPr>
              <w:t>%</w:t>
            </w:r>
          </w:p>
        </w:tc>
      </w:tr>
      <w:tr w:rsidR="00175E40" w:rsidRPr="008401DD" w14:paraId="364BDA28" w14:textId="77777777" w:rsidTr="000603C2">
        <w:tc>
          <w:tcPr>
            <w:tcW w:w="4106" w:type="dxa"/>
          </w:tcPr>
          <w:p w14:paraId="05CBA77C" w14:textId="2A4B84CD" w:rsidR="00175E40" w:rsidRPr="008401DD" w:rsidRDefault="00845DF6" w:rsidP="00960E68">
            <w:pPr>
              <w:jc w:val="both"/>
              <w:rPr>
                <w:rFonts w:cs="Arial"/>
                <w:szCs w:val="20"/>
              </w:rPr>
            </w:pPr>
            <w:r w:rsidRPr="008401DD">
              <w:rPr>
                <w:rFonts w:cs="Arial"/>
                <w:szCs w:val="20"/>
              </w:rPr>
              <w:t>Stroški opreme za izgradnjo čistilne naprave</w:t>
            </w:r>
          </w:p>
        </w:tc>
        <w:tc>
          <w:tcPr>
            <w:tcW w:w="2552" w:type="dxa"/>
          </w:tcPr>
          <w:p w14:paraId="70E50607" w14:textId="29D074CF" w:rsidR="00175E40" w:rsidRPr="008401DD" w:rsidRDefault="00845DF6" w:rsidP="00960E68">
            <w:pPr>
              <w:jc w:val="right"/>
              <w:rPr>
                <w:rFonts w:cs="Arial"/>
                <w:szCs w:val="20"/>
              </w:rPr>
            </w:pPr>
            <w:r w:rsidRPr="008401DD">
              <w:rPr>
                <w:rFonts w:cs="Arial"/>
                <w:szCs w:val="20"/>
              </w:rPr>
              <w:t>1.121.499</w:t>
            </w:r>
            <w:r w:rsidR="00175E40" w:rsidRPr="008401DD">
              <w:rPr>
                <w:rFonts w:cs="Arial"/>
                <w:szCs w:val="20"/>
              </w:rPr>
              <w:t xml:space="preserve"> EUR</w:t>
            </w:r>
          </w:p>
        </w:tc>
        <w:tc>
          <w:tcPr>
            <w:tcW w:w="2692" w:type="dxa"/>
          </w:tcPr>
          <w:p w14:paraId="1D252D69" w14:textId="03935799" w:rsidR="00175E40" w:rsidRPr="008401DD" w:rsidRDefault="00845DF6" w:rsidP="00960E68">
            <w:pPr>
              <w:jc w:val="both"/>
              <w:rPr>
                <w:rFonts w:cs="Arial"/>
                <w:szCs w:val="20"/>
              </w:rPr>
            </w:pPr>
            <w:r w:rsidRPr="008401DD">
              <w:rPr>
                <w:rFonts w:cs="Arial"/>
                <w:szCs w:val="20"/>
              </w:rPr>
              <w:t xml:space="preserve">80,1 </w:t>
            </w:r>
            <w:r w:rsidR="00175E40" w:rsidRPr="008401DD">
              <w:rPr>
                <w:rFonts w:cs="Arial"/>
                <w:szCs w:val="20"/>
              </w:rPr>
              <w:t>%</w:t>
            </w:r>
          </w:p>
        </w:tc>
      </w:tr>
      <w:tr w:rsidR="00175E40" w:rsidRPr="008401DD" w14:paraId="4C4FEDDA" w14:textId="77777777" w:rsidTr="000603C2">
        <w:tc>
          <w:tcPr>
            <w:tcW w:w="4106" w:type="dxa"/>
          </w:tcPr>
          <w:p w14:paraId="16FCEF2D" w14:textId="13193411" w:rsidR="00175E40" w:rsidRPr="008401DD" w:rsidRDefault="00845DF6" w:rsidP="00960E68">
            <w:pPr>
              <w:jc w:val="both"/>
              <w:rPr>
                <w:rFonts w:cs="Arial"/>
                <w:szCs w:val="20"/>
              </w:rPr>
            </w:pPr>
            <w:r w:rsidRPr="008401DD">
              <w:rPr>
                <w:rFonts w:cs="Arial"/>
                <w:szCs w:val="20"/>
              </w:rPr>
              <w:t>Stroški dela</w:t>
            </w:r>
          </w:p>
        </w:tc>
        <w:tc>
          <w:tcPr>
            <w:tcW w:w="2552" w:type="dxa"/>
          </w:tcPr>
          <w:p w14:paraId="00703F22" w14:textId="2AD17DC1" w:rsidR="00175E40" w:rsidRPr="008401DD" w:rsidRDefault="00845DF6" w:rsidP="00960E68">
            <w:pPr>
              <w:jc w:val="right"/>
              <w:rPr>
                <w:rFonts w:cs="Arial"/>
                <w:szCs w:val="20"/>
              </w:rPr>
            </w:pPr>
            <w:r w:rsidRPr="008401DD">
              <w:rPr>
                <w:rFonts w:cs="Arial"/>
                <w:szCs w:val="20"/>
              </w:rPr>
              <w:t>206.000</w:t>
            </w:r>
            <w:r w:rsidR="00175E40" w:rsidRPr="008401DD">
              <w:rPr>
                <w:rFonts w:cs="Arial"/>
                <w:szCs w:val="20"/>
              </w:rPr>
              <w:t xml:space="preserve"> EUR</w:t>
            </w:r>
          </w:p>
        </w:tc>
        <w:tc>
          <w:tcPr>
            <w:tcW w:w="2692" w:type="dxa"/>
          </w:tcPr>
          <w:p w14:paraId="6D32AE27" w14:textId="1A359A03" w:rsidR="00175E40" w:rsidRPr="008401DD" w:rsidRDefault="00845DF6" w:rsidP="00960E68">
            <w:pPr>
              <w:jc w:val="both"/>
              <w:rPr>
                <w:rFonts w:cs="Arial"/>
                <w:szCs w:val="20"/>
              </w:rPr>
            </w:pPr>
            <w:r w:rsidRPr="008401DD">
              <w:rPr>
                <w:rFonts w:cs="Arial"/>
                <w:szCs w:val="20"/>
              </w:rPr>
              <w:t xml:space="preserve">14,7 </w:t>
            </w:r>
            <w:r w:rsidR="00175E40" w:rsidRPr="008401DD">
              <w:rPr>
                <w:rFonts w:cs="Arial"/>
                <w:szCs w:val="20"/>
              </w:rPr>
              <w:t>%</w:t>
            </w:r>
          </w:p>
        </w:tc>
      </w:tr>
      <w:tr w:rsidR="00845DF6" w:rsidRPr="008401DD" w14:paraId="73B7A077" w14:textId="77777777" w:rsidTr="000603C2">
        <w:tc>
          <w:tcPr>
            <w:tcW w:w="4106" w:type="dxa"/>
          </w:tcPr>
          <w:p w14:paraId="305DB719" w14:textId="4AC02B23" w:rsidR="00845DF6" w:rsidRPr="008401DD" w:rsidRDefault="00845DF6" w:rsidP="00960E68">
            <w:pPr>
              <w:jc w:val="both"/>
              <w:rPr>
                <w:rFonts w:cs="Arial"/>
                <w:szCs w:val="20"/>
              </w:rPr>
            </w:pPr>
            <w:r w:rsidRPr="008401DD">
              <w:rPr>
                <w:rFonts w:cs="Arial"/>
                <w:szCs w:val="20"/>
              </w:rPr>
              <w:t>Dizel in kabel za povezavo na transformator</w:t>
            </w:r>
          </w:p>
        </w:tc>
        <w:tc>
          <w:tcPr>
            <w:tcW w:w="2552" w:type="dxa"/>
          </w:tcPr>
          <w:p w14:paraId="1645F641" w14:textId="2E7C9A7F" w:rsidR="00845DF6" w:rsidRPr="008401DD" w:rsidRDefault="00845DF6" w:rsidP="00960E68">
            <w:pPr>
              <w:jc w:val="right"/>
              <w:rPr>
                <w:rFonts w:cs="Arial"/>
                <w:szCs w:val="20"/>
              </w:rPr>
            </w:pPr>
            <w:r w:rsidRPr="008401DD">
              <w:rPr>
                <w:rFonts w:cs="Arial"/>
                <w:szCs w:val="20"/>
              </w:rPr>
              <w:t>62.500 EUR</w:t>
            </w:r>
          </w:p>
        </w:tc>
        <w:tc>
          <w:tcPr>
            <w:tcW w:w="2692" w:type="dxa"/>
          </w:tcPr>
          <w:p w14:paraId="1504C99F" w14:textId="2AB1B48C" w:rsidR="00845DF6" w:rsidRPr="008401DD" w:rsidRDefault="00845DF6" w:rsidP="00960E68">
            <w:pPr>
              <w:jc w:val="both"/>
              <w:rPr>
                <w:rFonts w:cs="Arial"/>
                <w:szCs w:val="20"/>
              </w:rPr>
            </w:pPr>
            <w:r w:rsidRPr="008401DD">
              <w:rPr>
                <w:rFonts w:cs="Arial"/>
                <w:szCs w:val="20"/>
              </w:rPr>
              <w:t>4,5 %</w:t>
            </w:r>
          </w:p>
        </w:tc>
      </w:tr>
      <w:tr w:rsidR="00175E40" w:rsidRPr="008401DD" w14:paraId="495FB49E" w14:textId="77777777" w:rsidTr="000603C2">
        <w:tc>
          <w:tcPr>
            <w:tcW w:w="4106" w:type="dxa"/>
            <w:shd w:val="clear" w:color="auto" w:fill="E7E6E6" w:themeFill="background2"/>
          </w:tcPr>
          <w:p w14:paraId="3164A7ED" w14:textId="77777777" w:rsidR="00175E40" w:rsidRPr="008401DD" w:rsidRDefault="00175E40" w:rsidP="00960E68">
            <w:pPr>
              <w:jc w:val="both"/>
              <w:rPr>
                <w:rFonts w:cs="Arial"/>
                <w:b/>
                <w:szCs w:val="20"/>
              </w:rPr>
            </w:pPr>
            <w:r w:rsidRPr="008401DD">
              <w:rPr>
                <w:rFonts w:cs="Arial"/>
                <w:b/>
                <w:szCs w:val="20"/>
              </w:rPr>
              <w:t>Skupna cena JN</w:t>
            </w:r>
          </w:p>
        </w:tc>
        <w:tc>
          <w:tcPr>
            <w:tcW w:w="2552" w:type="dxa"/>
            <w:shd w:val="clear" w:color="auto" w:fill="E7E6E6" w:themeFill="background2"/>
          </w:tcPr>
          <w:p w14:paraId="7D8AFFDE" w14:textId="4F37C750" w:rsidR="00175E40" w:rsidRPr="008401DD" w:rsidRDefault="00175E40" w:rsidP="00960E68">
            <w:pPr>
              <w:jc w:val="right"/>
              <w:rPr>
                <w:rFonts w:cs="Arial"/>
                <w:b/>
                <w:szCs w:val="20"/>
              </w:rPr>
            </w:pPr>
            <w:r w:rsidRPr="008401DD">
              <w:rPr>
                <w:rFonts w:cs="Arial"/>
                <w:b/>
                <w:szCs w:val="20"/>
              </w:rPr>
              <w:t>1.</w:t>
            </w:r>
            <w:r w:rsidR="00845DF6" w:rsidRPr="008401DD">
              <w:rPr>
                <w:rFonts w:cs="Arial"/>
                <w:b/>
                <w:szCs w:val="20"/>
              </w:rPr>
              <w:t>400.0</w:t>
            </w:r>
            <w:r w:rsidRPr="008401DD">
              <w:rPr>
                <w:rFonts w:cs="Arial"/>
                <w:b/>
                <w:szCs w:val="20"/>
              </w:rPr>
              <w:t>00 EUR</w:t>
            </w:r>
          </w:p>
        </w:tc>
        <w:tc>
          <w:tcPr>
            <w:tcW w:w="2692" w:type="dxa"/>
            <w:shd w:val="clear" w:color="auto" w:fill="E7E6E6" w:themeFill="background2"/>
          </w:tcPr>
          <w:p w14:paraId="5886E082" w14:textId="048D5225" w:rsidR="00175E40" w:rsidRPr="008401DD" w:rsidRDefault="00175E40" w:rsidP="00960E68">
            <w:pPr>
              <w:jc w:val="both"/>
              <w:rPr>
                <w:rFonts w:cs="Arial"/>
                <w:b/>
                <w:szCs w:val="20"/>
              </w:rPr>
            </w:pPr>
            <w:r w:rsidRPr="008401DD">
              <w:rPr>
                <w:rFonts w:cs="Arial"/>
                <w:b/>
                <w:szCs w:val="20"/>
              </w:rPr>
              <w:t>100</w:t>
            </w:r>
            <w:r w:rsidR="00845DF6" w:rsidRPr="008401DD">
              <w:rPr>
                <w:rFonts w:cs="Arial"/>
                <w:b/>
                <w:szCs w:val="20"/>
              </w:rPr>
              <w:t xml:space="preserve"> </w:t>
            </w:r>
            <w:r w:rsidRPr="008401DD">
              <w:rPr>
                <w:rFonts w:cs="Arial"/>
                <w:b/>
                <w:szCs w:val="20"/>
              </w:rPr>
              <w:t>%</w:t>
            </w:r>
          </w:p>
        </w:tc>
      </w:tr>
      <w:tr w:rsidR="00BC1C2D" w:rsidRPr="008401DD" w14:paraId="0A819530" w14:textId="77777777" w:rsidTr="00BC1C2D">
        <w:tc>
          <w:tcPr>
            <w:tcW w:w="4106" w:type="dxa"/>
            <w:shd w:val="clear" w:color="auto" w:fill="auto"/>
          </w:tcPr>
          <w:p w14:paraId="47B88AC2" w14:textId="6E94E797" w:rsidR="00BC1C2D" w:rsidRPr="008401DD" w:rsidRDefault="00BC1C2D" w:rsidP="00960E68">
            <w:pPr>
              <w:jc w:val="both"/>
              <w:rPr>
                <w:rFonts w:cs="Arial"/>
                <w:b/>
                <w:szCs w:val="20"/>
              </w:rPr>
            </w:pPr>
            <w:r w:rsidRPr="008401DD">
              <w:rPr>
                <w:rFonts w:cs="Arial"/>
                <w:b/>
                <w:szCs w:val="20"/>
              </w:rPr>
              <w:t>Aneks</w:t>
            </w:r>
          </w:p>
        </w:tc>
        <w:tc>
          <w:tcPr>
            <w:tcW w:w="2552" w:type="dxa"/>
            <w:shd w:val="clear" w:color="auto" w:fill="auto"/>
          </w:tcPr>
          <w:p w14:paraId="0DB0022E" w14:textId="6BFCE1B3" w:rsidR="00BC1C2D" w:rsidRPr="008401DD" w:rsidRDefault="00BC1C2D" w:rsidP="00960E68">
            <w:pPr>
              <w:jc w:val="right"/>
              <w:rPr>
                <w:rFonts w:cs="Arial"/>
                <w:b/>
                <w:szCs w:val="20"/>
              </w:rPr>
            </w:pPr>
            <w:r w:rsidRPr="008401DD">
              <w:rPr>
                <w:rFonts w:cs="Arial"/>
                <w:b/>
                <w:szCs w:val="20"/>
              </w:rPr>
              <w:t>39.000 EUR</w:t>
            </w:r>
          </w:p>
        </w:tc>
        <w:tc>
          <w:tcPr>
            <w:tcW w:w="2692" w:type="dxa"/>
            <w:shd w:val="clear" w:color="auto" w:fill="auto"/>
          </w:tcPr>
          <w:p w14:paraId="3450600D" w14:textId="404C271F" w:rsidR="00BC1C2D" w:rsidRPr="008401DD" w:rsidRDefault="00BC1C2D" w:rsidP="00960E68">
            <w:pPr>
              <w:jc w:val="both"/>
              <w:rPr>
                <w:rFonts w:cs="Arial"/>
                <w:b/>
                <w:szCs w:val="20"/>
              </w:rPr>
            </w:pPr>
            <w:r w:rsidRPr="008401DD">
              <w:rPr>
                <w:rFonts w:cs="Arial"/>
                <w:b/>
                <w:szCs w:val="20"/>
              </w:rPr>
              <w:t>/</w:t>
            </w:r>
          </w:p>
        </w:tc>
      </w:tr>
      <w:tr w:rsidR="00BC1C2D" w:rsidRPr="008401DD" w14:paraId="0E250ED8" w14:textId="77777777" w:rsidTr="00BC1C2D">
        <w:tc>
          <w:tcPr>
            <w:tcW w:w="4106" w:type="dxa"/>
            <w:shd w:val="clear" w:color="auto" w:fill="auto"/>
          </w:tcPr>
          <w:p w14:paraId="0F9C7350" w14:textId="30CF523B" w:rsidR="00BC1C2D" w:rsidRPr="008401DD" w:rsidRDefault="00BC1C2D" w:rsidP="00960E68">
            <w:pPr>
              <w:jc w:val="both"/>
              <w:rPr>
                <w:rFonts w:cs="Arial"/>
                <w:b/>
                <w:szCs w:val="20"/>
              </w:rPr>
            </w:pPr>
            <w:r w:rsidRPr="008401DD">
              <w:rPr>
                <w:rFonts w:cs="Arial"/>
                <w:b/>
                <w:szCs w:val="20"/>
              </w:rPr>
              <w:t>Končna cena</w:t>
            </w:r>
          </w:p>
        </w:tc>
        <w:tc>
          <w:tcPr>
            <w:tcW w:w="2552" w:type="dxa"/>
            <w:shd w:val="clear" w:color="auto" w:fill="auto"/>
          </w:tcPr>
          <w:p w14:paraId="00008375" w14:textId="76C1C725" w:rsidR="00BC1C2D" w:rsidRPr="008401DD" w:rsidRDefault="00BC1C2D" w:rsidP="00960E68">
            <w:pPr>
              <w:jc w:val="right"/>
              <w:rPr>
                <w:rFonts w:cs="Arial"/>
                <w:b/>
                <w:szCs w:val="20"/>
              </w:rPr>
            </w:pPr>
            <w:r w:rsidRPr="008401DD">
              <w:rPr>
                <w:rFonts w:cs="Arial"/>
                <w:b/>
                <w:szCs w:val="20"/>
              </w:rPr>
              <w:t>1.439.000 EUR</w:t>
            </w:r>
          </w:p>
        </w:tc>
        <w:tc>
          <w:tcPr>
            <w:tcW w:w="2692" w:type="dxa"/>
            <w:shd w:val="clear" w:color="auto" w:fill="auto"/>
          </w:tcPr>
          <w:p w14:paraId="2EBFC63E" w14:textId="36628179" w:rsidR="00BC1C2D" w:rsidRPr="008401DD" w:rsidRDefault="00BC1C2D" w:rsidP="00960E68">
            <w:pPr>
              <w:jc w:val="both"/>
              <w:rPr>
                <w:rFonts w:cs="Arial"/>
                <w:b/>
                <w:szCs w:val="20"/>
              </w:rPr>
            </w:pPr>
            <w:r w:rsidRPr="008401DD">
              <w:rPr>
                <w:rFonts w:cs="Arial"/>
                <w:b/>
                <w:szCs w:val="20"/>
              </w:rPr>
              <w:t>/</w:t>
            </w:r>
          </w:p>
        </w:tc>
      </w:tr>
    </w:tbl>
    <w:p w14:paraId="3719EDA8" w14:textId="77777777" w:rsidR="00175E40" w:rsidRPr="008401DD" w:rsidRDefault="00175E40" w:rsidP="00960E68">
      <w:pPr>
        <w:spacing w:line="240" w:lineRule="auto"/>
        <w:jc w:val="both"/>
      </w:pPr>
    </w:p>
    <w:p w14:paraId="74763B2C" w14:textId="51688FBD" w:rsidR="00175E40" w:rsidRPr="008401DD" w:rsidRDefault="0C933DB7" w:rsidP="00960E68">
      <w:pPr>
        <w:spacing w:line="240" w:lineRule="auto"/>
        <w:jc w:val="both"/>
        <w:rPr>
          <w:b/>
        </w:rPr>
      </w:pPr>
      <w:r w:rsidRPr="008401DD">
        <w:rPr>
          <w:b/>
          <w:bCs/>
        </w:rPr>
        <w:t>Struktura stroškov drugega projekta</w:t>
      </w:r>
      <w:r w:rsidR="00175E40" w:rsidRPr="008401DD">
        <w:rPr>
          <w:b/>
          <w:bCs/>
        </w:rPr>
        <w:t>:</w:t>
      </w:r>
    </w:p>
    <w:p w14:paraId="59208BBC" w14:textId="77777777" w:rsidR="00B85B43" w:rsidRDefault="00B85B43" w:rsidP="00960E68">
      <w:pPr>
        <w:spacing w:line="240" w:lineRule="auto"/>
        <w:jc w:val="both"/>
      </w:pPr>
    </w:p>
    <w:p w14:paraId="1B7BC38E" w14:textId="686B1EA5" w:rsidR="00A47E25" w:rsidRDefault="00A47E25" w:rsidP="00960E68">
      <w:pPr>
        <w:spacing w:line="240" w:lineRule="auto"/>
        <w:jc w:val="both"/>
      </w:pPr>
      <w:r w:rsidRPr="008401DD">
        <w:t xml:space="preserve">Pri drugem projektu je bil poleg obeh izvajalcev, ki sta nastopila kot projektna partnerja, v projekt vključen tudi podizvajalec – slovensko podjetje Kolektor </w:t>
      </w:r>
      <w:proofErr w:type="spellStart"/>
      <w:r w:rsidRPr="008401DD">
        <w:t>Strix</w:t>
      </w:r>
      <w:proofErr w:type="spellEnd"/>
      <w:r w:rsidRPr="008401DD">
        <w:t xml:space="preserve"> </w:t>
      </w:r>
      <w:proofErr w:type="spellStart"/>
      <w:r w:rsidRPr="008401DD">
        <w:t>d.o.o</w:t>
      </w:r>
      <w:proofErr w:type="spellEnd"/>
      <w:r w:rsidRPr="008401DD">
        <w:t xml:space="preserve">., katerega delež v projektu je znašal 203.932 EUR. </w:t>
      </w:r>
    </w:p>
    <w:p w14:paraId="70838B76" w14:textId="77777777" w:rsidR="00B85B43" w:rsidRPr="008401DD" w:rsidRDefault="00B85B43" w:rsidP="00960E68">
      <w:pPr>
        <w:spacing w:line="240" w:lineRule="auto"/>
        <w:jc w:val="both"/>
      </w:pPr>
    </w:p>
    <w:p w14:paraId="7295BB7B" w14:textId="73D6CCC8" w:rsidR="00856702" w:rsidRPr="008401DD" w:rsidRDefault="00856702" w:rsidP="00960E68">
      <w:pPr>
        <w:pStyle w:val="Caption"/>
        <w:keepNext/>
        <w:spacing w:after="0"/>
      </w:pPr>
      <w:bookmarkStart w:id="126" w:name="_Toc56779400"/>
      <w:r w:rsidRPr="008401DD">
        <w:t xml:space="preserve">Tabela </w:t>
      </w:r>
      <w:r w:rsidRPr="008401DD">
        <w:fldChar w:fldCharType="begin"/>
      </w:r>
      <w:r w:rsidRPr="008401DD">
        <w:instrText xml:space="preserve"> SEQ Tabela \* ARABIC </w:instrText>
      </w:r>
      <w:r w:rsidRPr="008401DD">
        <w:fldChar w:fldCharType="separate"/>
      </w:r>
      <w:r w:rsidR="00F67E80">
        <w:rPr>
          <w:noProof/>
        </w:rPr>
        <w:t>7</w:t>
      </w:r>
      <w:r w:rsidRPr="008401DD">
        <w:fldChar w:fldCharType="end"/>
      </w:r>
      <w:r w:rsidRPr="008401DD">
        <w:t xml:space="preserve"> Razdelitev celotne vrednosti projekta glede na izvajalce</w:t>
      </w:r>
      <w:bookmarkEnd w:id="126"/>
    </w:p>
    <w:tbl>
      <w:tblPr>
        <w:tblStyle w:val="TableGrid"/>
        <w:tblW w:w="0" w:type="auto"/>
        <w:tblLook w:val="04A0" w:firstRow="1" w:lastRow="0" w:firstColumn="1" w:lastColumn="0" w:noHBand="0" w:noVBand="1"/>
      </w:tblPr>
      <w:tblGrid>
        <w:gridCol w:w="3116"/>
        <w:gridCol w:w="3117"/>
        <w:gridCol w:w="3117"/>
      </w:tblGrid>
      <w:tr w:rsidR="00046E17" w:rsidRPr="008401DD" w14:paraId="7565978C" w14:textId="77777777" w:rsidTr="00DE3153">
        <w:tc>
          <w:tcPr>
            <w:tcW w:w="3116" w:type="dxa"/>
            <w:tcBorders>
              <w:bottom w:val="single" w:sz="4" w:space="0" w:color="auto"/>
            </w:tcBorders>
            <w:shd w:val="clear" w:color="auto" w:fill="67C18C"/>
          </w:tcPr>
          <w:p w14:paraId="0A211A35" w14:textId="3682B7E3" w:rsidR="00046E17" w:rsidRPr="008401DD" w:rsidRDefault="00DE3153" w:rsidP="00960E68">
            <w:pPr>
              <w:spacing w:line="276" w:lineRule="auto"/>
              <w:jc w:val="both"/>
              <w:rPr>
                <w:b/>
                <w:color w:val="FFFFFF" w:themeColor="background1"/>
                <w:szCs w:val="20"/>
              </w:rPr>
            </w:pPr>
            <w:r w:rsidRPr="008401DD">
              <w:rPr>
                <w:b/>
                <w:color w:val="FFFFFF" w:themeColor="background1"/>
                <w:szCs w:val="20"/>
              </w:rPr>
              <w:t>Izvajalec</w:t>
            </w:r>
          </w:p>
        </w:tc>
        <w:tc>
          <w:tcPr>
            <w:tcW w:w="3117" w:type="dxa"/>
            <w:tcBorders>
              <w:bottom w:val="single" w:sz="4" w:space="0" w:color="auto"/>
            </w:tcBorders>
            <w:shd w:val="clear" w:color="auto" w:fill="67C18C"/>
          </w:tcPr>
          <w:p w14:paraId="32F727F7" w14:textId="4DA14E27" w:rsidR="00046E17" w:rsidRPr="008401DD" w:rsidRDefault="00DE3153" w:rsidP="00960E68">
            <w:pPr>
              <w:spacing w:line="276" w:lineRule="auto"/>
              <w:jc w:val="both"/>
              <w:rPr>
                <w:b/>
                <w:color w:val="FFFFFF" w:themeColor="background1"/>
                <w:szCs w:val="20"/>
              </w:rPr>
            </w:pPr>
            <w:r w:rsidRPr="008401DD">
              <w:rPr>
                <w:b/>
                <w:color w:val="FFFFFF" w:themeColor="background1"/>
                <w:szCs w:val="20"/>
              </w:rPr>
              <w:t>Znesek JN</w:t>
            </w:r>
          </w:p>
        </w:tc>
        <w:tc>
          <w:tcPr>
            <w:tcW w:w="3117" w:type="dxa"/>
            <w:tcBorders>
              <w:bottom w:val="single" w:sz="4" w:space="0" w:color="auto"/>
            </w:tcBorders>
            <w:shd w:val="clear" w:color="auto" w:fill="67C18C"/>
          </w:tcPr>
          <w:p w14:paraId="4EC4F7DC" w14:textId="1F75E7CA" w:rsidR="00046E17" w:rsidRPr="008401DD" w:rsidRDefault="00046E17" w:rsidP="00960E68">
            <w:pPr>
              <w:spacing w:line="276" w:lineRule="auto"/>
              <w:jc w:val="both"/>
              <w:rPr>
                <w:b/>
                <w:color w:val="FFFFFF" w:themeColor="background1"/>
                <w:szCs w:val="20"/>
              </w:rPr>
            </w:pPr>
            <w:r w:rsidRPr="008401DD">
              <w:rPr>
                <w:b/>
                <w:color w:val="FFFFFF" w:themeColor="background1"/>
                <w:szCs w:val="20"/>
              </w:rPr>
              <w:t>Delež skupne cene JN</w:t>
            </w:r>
          </w:p>
        </w:tc>
      </w:tr>
      <w:tr w:rsidR="00046E17" w:rsidRPr="008401DD" w14:paraId="2CC4A7D1" w14:textId="77777777" w:rsidTr="00DE3153">
        <w:tc>
          <w:tcPr>
            <w:tcW w:w="3116" w:type="dxa"/>
            <w:tcBorders>
              <w:top w:val="single" w:sz="4" w:space="0" w:color="auto"/>
            </w:tcBorders>
          </w:tcPr>
          <w:p w14:paraId="5573D3E3" w14:textId="30AD904A" w:rsidR="00046E17" w:rsidRPr="008401DD" w:rsidRDefault="00046E17" w:rsidP="00960E68">
            <w:pPr>
              <w:jc w:val="both"/>
              <w:rPr>
                <w:rFonts w:cs="Arial"/>
                <w:szCs w:val="20"/>
              </w:rPr>
            </w:pPr>
            <w:r w:rsidRPr="008401DD">
              <w:rPr>
                <w:rFonts w:cs="Arial"/>
                <w:szCs w:val="20"/>
              </w:rPr>
              <w:t>Iskra sistemi M-DOOEL</w:t>
            </w:r>
          </w:p>
        </w:tc>
        <w:tc>
          <w:tcPr>
            <w:tcW w:w="3117" w:type="dxa"/>
            <w:tcBorders>
              <w:top w:val="single" w:sz="4" w:space="0" w:color="auto"/>
            </w:tcBorders>
          </w:tcPr>
          <w:p w14:paraId="57949962" w14:textId="32A03C51" w:rsidR="00046E17" w:rsidRPr="008401DD" w:rsidRDefault="00046E17" w:rsidP="00960E68">
            <w:pPr>
              <w:jc w:val="right"/>
              <w:rPr>
                <w:rFonts w:cs="Arial"/>
                <w:szCs w:val="20"/>
              </w:rPr>
            </w:pPr>
            <w:r w:rsidRPr="008401DD">
              <w:rPr>
                <w:rFonts w:cs="Arial"/>
                <w:szCs w:val="20"/>
              </w:rPr>
              <w:t>959.680 EUR</w:t>
            </w:r>
          </w:p>
        </w:tc>
        <w:tc>
          <w:tcPr>
            <w:tcW w:w="3117" w:type="dxa"/>
            <w:tcBorders>
              <w:top w:val="single" w:sz="4" w:space="0" w:color="auto"/>
            </w:tcBorders>
          </w:tcPr>
          <w:p w14:paraId="7ACD3058" w14:textId="6CC15C02" w:rsidR="00046E17" w:rsidRPr="008401DD" w:rsidRDefault="00046E17" w:rsidP="00960E68">
            <w:pPr>
              <w:jc w:val="both"/>
              <w:rPr>
                <w:rFonts w:cs="Arial"/>
                <w:szCs w:val="20"/>
              </w:rPr>
            </w:pPr>
            <w:r w:rsidRPr="008401DD">
              <w:rPr>
                <w:rFonts w:cs="Arial"/>
                <w:szCs w:val="20"/>
              </w:rPr>
              <w:t>80</w:t>
            </w:r>
            <w:r w:rsidR="00845DF6" w:rsidRPr="008401DD">
              <w:rPr>
                <w:rFonts w:cs="Arial"/>
                <w:szCs w:val="20"/>
              </w:rPr>
              <w:t xml:space="preserve"> </w:t>
            </w:r>
            <w:r w:rsidRPr="008401DD">
              <w:rPr>
                <w:rFonts w:cs="Arial"/>
                <w:szCs w:val="20"/>
              </w:rPr>
              <w:t>%</w:t>
            </w:r>
          </w:p>
        </w:tc>
      </w:tr>
      <w:tr w:rsidR="00DE3153" w:rsidRPr="008401DD" w14:paraId="11E2BC18" w14:textId="77777777" w:rsidTr="00046E17">
        <w:tc>
          <w:tcPr>
            <w:tcW w:w="3116" w:type="dxa"/>
          </w:tcPr>
          <w:p w14:paraId="33147C32" w14:textId="2BCBF23A" w:rsidR="00DE3153" w:rsidRPr="008401DD" w:rsidRDefault="00DE3153" w:rsidP="00960E68">
            <w:pPr>
              <w:jc w:val="both"/>
              <w:rPr>
                <w:rFonts w:cs="Arial"/>
                <w:szCs w:val="20"/>
              </w:rPr>
            </w:pPr>
            <w:r w:rsidRPr="008401DD">
              <w:rPr>
                <w:rFonts w:cs="Arial"/>
                <w:szCs w:val="20"/>
              </w:rPr>
              <w:t xml:space="preserve">Fortuna inženiring </w:t>
            </w:r>
            <w:proofErr w:type="spellStart"/>
            <w:r w:rsidRPr="008401DD">
              <w:rPr>
                <w:rFonts w:cs="Arial"/>
                <w:szCs w:val="20"/>
              </w:rPr>
              <w:t>d.o.o</w:t>
            </w:r>
            <w:proofErr w:type="spellEnd"/>
            <w:r w:rsidRPr="008401DD">
              <w:rPr>
                <w:rFonts w:cs="Arial"/>
                <w:szCs w:val="20"/>
              </w:rPr>
              <w:t>.</w:t>
            </w:r>
            <w:r w:rsidR="009B3F96" w:rsidRPr="008401DD">
              <w:rPr>
                <w:rFonts w:cs="Arial"/>
                <w:szCs w:val="20"/>
              </w:rPr>
              <w:t xml:space="preserve"> </w:t>
            </w:r>
          </w:p>
        </w:tc>
        <w:tc>
          <w:tcPr>
            <w:tcW w:w="3117" w:type="dxa"/>
          </w:tcPr>
          <w:p w14:paraId="33ED5551" w14:textId="73D98243" w:rsidR="00DE3153" w:rsidRPr="008401DD" w:rsidRDefault="00DE3153" w:rsidP="00960E68">
            <w:pPr>
              <w:jc w:val="right"/>
              <w:rPr>
                <w:rFonts w:cs="Arial"/>
                <w:szCs w:val="20"/>
              </w:rPr>
            </w:pPr>
            <w:r w:rsidRPr="008401DD">
              <w:rPr>
                <w:rFonts w:cs="Arial"/>
                <w:szCs w:val="20"/>
              </w:rPr>
              <w:t>239.920 EUR</w:t>
            </w:r>
          </w:p>
        </w:tc>
        <w:tc>
          <w:tcPr>
            <w:tcW w:w="3117" w:type="dxa"/>
          </w:tcPr>
          <w:p w14:paraId="32EEE562" w14:textId="34429061" w:rsidR="00DE3153" w:rsidRPr="008401DD" w:rsidRDefault="00DE3153" w:rsidP="00960E68">
            <w:pPr>
              <w:jc w:val="both"/>
              <w:rPr>
                <w:rFonts w:cs="Arial"/>
                <w:szCs w:val="20"/>
              </w:rPr>
            </w:pPr>
            <w:r w:rsidRPr="008401DD">
              <w:rPr>
                <w:rFonts w:cs="Arial"/>
                <w:szCs w:val="20"/>
              </w:rPr>
              <w:t>20</w:t>
            </w:r>
            <w:r w:rsidR="00845DF6" w:rsidRPr="008401DD">
              <w:rPr>
                <w:rFonts w:cs="Arial"/>
                <w:szCs w:val="20"/>
              </w:rPr>
              <w:t xml:space="preserve"> </w:t>
            </w:r>
            <w:r w:rsidRPr="008401DD">
              <w:rPr>
                <w:rFonts w:cs="Arial"/>
                <w:szCs w:val="20"/>
              </w:rPr>
              <w:t>%</w:t>
            </w:r>
          </w:p>
        </w:tc>
      </w:tr>
      <w:tr w:rsidR="009B3F96" w:rsidRPr="008401DD" w14:paraId="5F59D3A0" w14:textId="77777777" w:rsidTr="00046E17">
        <w:tc>
          <w:tcPr>
            <w:tcW w:w="3116" w:type="dxa"/>
          </w:tcPr>
          <w:p w14:paraId="758CA173" w14:textId="508481D2" w:rsidR="009B3F96" w:rsidRPr="008401DD" w:rsidRDefault="009B3F96" w:rsidP="00960E68">
            <w:pPr>
              <w:jc w:val="both"/>
              <w:rPr>
                <w:rFonts w:cs="Arial"/>
                <w:szCs w:val="20"/>
              </w:rPr>
            </w:pPr>
            <w:r w:rsidRPr="008401DD">
              <w:rPr>
                <w:rFonts w:cs="Arial"/>
                <w:szCs w:val="20"/>
              </w:rPr>
              <w:t xml:space="preserve">Kolektor </w:t>
            </w:r>
            <w:proofErr w:type="spellStart"/>
            <w:r w:rsidRPr="008401DD">
              <w:rPr>
                <w:rFonts w:cs="Arial"/>
                <w:szCs w:val="20"/>
              </w:rPr>
              <w:t>Strix</w:t>
            </w:r>
            <w:proofErr w:type="spellEnd"/>
            <w:r w:rsidRPr="008401DD">
              <w:rPr>
                <w:rFonts w:cs="Arial"/>
                <w:szCs w:val="20"/>
              </w:rPr>
              <w:t xml:space="preserve"> </w:t>
            </w:r>
            <w:proofErr w:type="spellStart"/>
            <w:r w:rsidRPr="008401DD">
              <w:rPr>
                <w:rFonts w:cs="Arial"/>
                <w:szCs w:val="20"/>
              </w:rPr>
              <w:t>d.o.o</w:t>
            </w:r>
            <w:proofErr w:type="spellEnd"/>
            <w:r w:rsidRPr="008401DD">
              <w:rPr>
                <w:rFonts w:cs="Arial"/>
                <w:szCs w:val="20"/>
              </w:rPr>
              <w:t>. (podizvajalec)</w:t>
            </w:r>
          </w:p>
        </w:tc>
        <w:tc>
          <w:tcPr>
            <w:tcW w:w="3117" w:type="dxa"/>
          </w:tcPr>
          <w:p w14:paraId="2F1AAC18" w14:textId="18EB06AD" w:rsidR="009B3F96" w:rsidRPr="008401DD" w:rsidRDefault="009B3F96" w:rsidP="00960E68">
            <w:pPr>
              <w:jc w:val="right"/>
              <w:rPr>
                <w:rFonts w:cs="Arial"/>
                <w:szCs w:val="20"/>
              </w:rPr>
            </w:pPr>
            <w:r w:rsidRPr="008401DD">
              <w:rPr>
                <w:rFonts w:cs="Arial"/>
                <w:szCs w:val="20"/>
              </w:rPr>
              <w:t>203.932 EUR</w:t>
            </w:r>
          </w:p>
        </w:tc>
        <w:tc>
          <w:tcPr>
            <w:tcW w:w="3117" w:type="dxa"/>
          </w:tcPr>
          <w:p w14:paraId="2D48DD2D" w14:textId="693C1798" w:rsidR="009B3F96" w:rsidRPr="008401DD" w:rsidRDefault="009B3F96" w:rsidP="00960E68">
            <w:pPr>
              <w:jc w:val="both"/>
              <w:rPr>
                <w:rFonts w:cs="Arial"/>
                <w:szCs w:val="20"/>
              </w:rPr>
            </w:pPr>
            <w:r w:rsidRPr="008401DD">
              <w:rPr>
                <w:rFonts w:cs="Arial"/>
                <w:szCs w:val="20"/>
              </w:rPr>
              <w:t>17</w:t>
            </w:r>
            <w:r w:rsidR="00845DF6" w:rsidRPr="008401DD">
              <w:rPr>
                <w:rFonts w:cs="Arial"/>
                <w:szCs w:val="20"/>
              </w:rPr>
              <w:t xml:space="preserve"> </w:t>
            </w:r>
            <w:r w:rsidRPr="008401DD">
              <w:rPr>
                <w:rFonts w:cs="Arial"/>
                <w:szCs w:val="20"/>
              </w:rPr>
              <w:t xml:space="preserve">% (vzeto od deleža podjetja Iskra sistemi) </w:t>
            </w:r>
          </w:p>
        </w:tc>
      </w:tr>
      <w:tr w:rsidR="009B3F96" w:rsidRPr="008401DD" w14:paraId="224DD90B" w14:textId="77777777" w:rsidTr="00DE3153">
        <w:tc>
          <w:tcPr>
            <w:tcW w:w="3116" w:type="dxa"/>
            <w:shd w:val="clear" w:color="auto" w:fill="E7E6E6" w:themeFill="background2"/>
          </w:tcPr>
          <w:p w14:paraId="2B591D84" w14:textId="7858E6CC" w:rsidR="009B3F96" w:rsidRPr="008401DD" w:rsidRDefault="009B3F96" w:rsidP="00960E68">
            <w:pPr>
              <w:jc w:val="both"/>
              <w:rPr>
                <w:rFonts w:cs="Arial"/>
                <w:b/>
                <w:szCs w:val="20"/>
              </w:rPr>
            </w:pPr>
            <w:r w:rsidRPr="008401DD">
              <w:rPr>
                <w:rFonts w:cs="Arial"/>
                <w:b/>
                <w:szCs w:val="20"/>
              </w:rPr>
              <w:t>Skupna cena JN</w:t>
            </w:r>
          </w:p>
        </w:tc>
        <w:tc>
          <w:tcPr>
            <w:tcW w:w="3117" w:type="dxa"/>
            <w:shd w:val="clear" w:color="auto" w:fill="E7E6E6" w:themeFill="background2"/>
          </w:tcPr>
          <w:p w14:paraId="14CE2AF2" w14:textId="4567FF97" w:rsidR="009B3F96" w:rsidRPr="008401DD" w:rsidRDefault="009B3F96" w:rsidP="00960E68">
            <w:pPr>
              <w:jc w:val="right"/>
              <w:rPr>
                <w:rFonts w:cs="Arial"/>
                <w:b/>
                <w:szCs w:val="20"/>
              </w:rPr>
            </w:pPr>
            <w:r w:rsidRPr="008401DD">
              <w:rPr>
                <w:rFonts w:cs="Arial"/>
                <w:b/>
                <w:szCs w:val="20"/>
              </w:rPr>
              <w:t>1.199.600 EUR</w:t>
            </w:r>
          </w:p>
        </w:tc>
        <w:tc>
          <w:tcPr>
            <w:tcW w:w="3117" w:type="dxa"/>
            <w:shd w:val="clear" w:color="auto" w:fill="E7E6E6" w:themeFill="background2"/>
          </w:tcPr>
          <w:p w14:paraId="44523F29" w14:textId="49BB4DC9" w:rsidR="009B3F96" w:rsidRPr="008401DD" w:rsidRDefault="009B3F96" w:rsidP="00960E68">
            <w:pPr>
              <w:jc w:val="both"/>
              <w:rPr>
                <w:rFonts w:cs="Arial"/>
                <w:b/>
                <w:szCs w:val="20"/>
              </w:rPr>
            </w:pPr>
            <w:r w:rsidRPr="008401DD">
              <w:rPr>
                <w:rFonts w:cs="Arial"/>
                <w:b/>
                <w:szCs w:val="20"/>
              </w:rPr>
              <w:t>100</w:t>
            </w:r>
            <w:r w:rsidR="00845DF6" w:rsidRPr="008401DD">
              <w:rPr>
                <w:rFonts w:cs="Arial"/>
                <w:b/>
                <w:szCs w:val="20"/>
              </w:rPr>
              <w:t xml:space="preserve"> </w:t>
            </w:r>
            <w:r w:rsidRPr="008401DD">
              <w:rPr>
                <w:rFonts w:cs="Arial"/>
                <w:b/>
                <w:szCs w:val="20"/>
              </w:rPr>
              <w:t>%</w:t>
            </w:r>
          </w:p>
        </w:tc>
      </w:tr>
    </w:tbl>
    <w:p w14:paraId="51E1F2D1" w14:textId="698D7F4F" w:rsidR="00292C19" w:rsidRPr="008401DD" w:rsidRDefault="00292C19" w:rsidP="00960E68">
      <w:pPr>
        <w:spacing w:line="240" w:lineRule="auto"/>
        <w:jc w:val="both"/>
        <w:rPr>
          <w:rFonts w:cs="Arial"/>
          <w:i/>
          <w:color w:val="67C18C"/>
          <w:szCs w:val="20"/>
        </w:rPr>
      </w:pPr>
    </w:p>
    <w:p w14:paraId="079D4612" w14:textId="38933E0B" w:rsidR="003F628B" w:rsidRDefault="00480E20" w:rsidP="00960E68">
      <w:pPr>
        <w:spacing w:line="240" w:lineRule="auto"/>
        <w:jc w:val="both"/>
      </w:pPr>
      <w:r w:rsidRPr="008401DD">
        <w:t xml:space="preserve">Ker je podjetje Iskra sistemi M-DOOEL v lasti slovenskega podjetja Iskra </w:t>
      </w:r>
      <w:proofErr w:type="spellStart"/>
      <w:r w:rsidRPr="008401DD">
        <w:t>d.d</w:t>
      </w:r>
      <w:proofErr w:type="spellEnd"/>
      <w:r w:rsidRPr="008401DD">
        <w:t>., lahko ugotovimo, da so slovenska podjetja prejela 80</w:t>
      </w:r>
      <w:r w:rsidR="00071F8E" w:rsidRPr="008401DD">
        <w:t xml:space="preserve"> </w:t>
      </w:r>
      <w:r w:rsidRPr="008401DD">
        <w:t xml:space="preserve">% celotnih sredstev, </w:t>
      </w:r>
      <w:r w:rsidR="00FD47BC" w:rsidRPr="008401DD">
        <w:t>tujim</w:t>
      </w:r>
      <w:r w:rsidR="00856702" w:rsidRPr="008401DD">
        <w:t xml:space="preserve"> podjetjem pa je prip</w:t>
      </w:r>
      <w:r w:rsidRPr="008401DD">
        <w:t>adlo 20</w:t>
      </w:r>
      <w:r w:rsidR="00071F8E" w:rsidRPr="008401DD">
        <w:t xml:space="preserve"> </w:t>
      </w:r>
      <w:r w:rsidRPr="008401DD">
        <w:t xml:space="preserve">% sredstev. </w:t>
      </w:r>
    </w:p>
    <w:p w14:paraId="03BFF50E" w14:textId="77777777" w:rsidR="00B85B43" w:rsidRPr="008401DD" w:rsidRDefault="00B85B43" w:rsidP="00960E68">
      <w:pPr>
        <w:spacing w:line="240" w:lineRule="auto"/>
        <w:jc w:val="both"/>
      </w:pPr>
    </w:p>
    <w:p w14:paraId="15CB3AF2" w14:textId="0115C879" w:rsidR="00175E40" w:rsidRDefault="00175E40" w:rsidP="00960E68">
      <w:pPr>
        <w:spacing w:line="240" w:lineRule="auto"/>
        <w:jc w:val="both"/>
      </w:pPr>
      <w:r w:rsidRPr="008401DD">
        <w:t>Glede na vrsto stroška, je bil največji del celotnih sredstev projekta (75</w:t>
      </w:r>
      <w:r w:rsidR="00071F8E" w:rsidRPr="008401DD">
        <w:t xml:space="preserve"> </w:t>
      </w:r>
      <w:r w:rsidRPr="008401DD">
        <w:t>%) porabljen za demontažo obstoječe opreme in naprav, dobavo, prevoz in montažo nove opreme (</w:t>
      </w:r>
      <w:r w:rsidR="00845DF6" w:rsidRPr="008401DD">
        <w:t>tabela 8</w:t>
      </w:r>
      <w:r w:rsidRPr="008401DD">
        <w:t xml:space="preserve">). Stroški vodenja projekta s strani izvajalca niso </w:t>
      </w:r>
      <w:r w:rsidR="00B8263A" w:rsidRPr="008401DD">
        <w:t>specificirani, zato predvidevamo, da niso nastali</w:t>
      </w:r>
      <w:r w:rsidRPr="008401DD">
        <w:t xml:space="preserve">. </w:t>
      </w:r>
    </w:p>
    <w:p w14:paraId="3BB88779" w14:textId="77777777" w:rsidR="00B85B43" w:rsidRPr="008401DD" w:rsidRDefault="00B85B43" w:rsidP="00960E68">
      <w:pPr>
        <w:spacing w:line="240" w:lineRule="auto"/>
        <w:jc w:val="both"/>
      </w:pPr>
    </w:p>
    <w:p w14:paraId="47115091" w14:textId="0DD86F9B" w:rsidR="00175E40" w:rsidRPr="008401DD" w:rsidRDefault="00175E40" w:rsidP="00960E68">
      <w:pPr>
        <w:pStyle w:val="Caption"/>
        <w:keepNext/>
        <w:spacing w:after="0"/>
      </w:pPr>
      <w:bookmarkStart w:id="127" w:name="_Toc56779401"/>
      <w:r w:rsidRPr="008401DD">
        <w:t xml:space="preserve">Tabela </w:t>
      </w:r>
      <w:r w:rsidRPr="008401DD">
        <w:fldChar w:fldCharType="begin"/>
      </w:r>
      <w:r w:rsidRPr="008401DD">
        <w:instrText xml:space="preserve"> SEQ Tabela \* ARABIC </w:instrText>
      </w:r>
      <w:r w:rsidRPr="008401DD">
        <w:fldChar w:fldCharType="separate"/>
      </w:r>
      <w:r w:rsidR="00F67E80">
        <w:rPr>
          <w:noProof/>
        </w:rPr>
        <w:t>8</w:t>
      </w:r>
      <w:r w:rsidRPr="008401DD">
        <w:fldChar w:fldCharType="end"/>
      </w:r>
      <w:r w:rsidRPr="008401DD">
        <w:t xml:space="preserve"> Razdelitev celotne vrednosti projekta glede na vrste stroškov</w:t>
      </w:r>
      <w:bookmarkEnd w:id="127"/>
    </w:p>
    <w:tbl>
      <w:tblPr>
        <w:tblStyle w:val="TableGrid"/>
        <w:tblW w:w="0" w:type="auto"/>
        <w:tblLook w:val="04A0" w:firstRow="1" w:lastRow="0" w:firstColumn="1" w:lastColumn="0" w:noHBand="0" w:noVBand="1"/>
      </w:tblPr>
      <w:tblGrid>
        <w:gridCol w:w="4106"/>
        <w:gridCol w:w="2552"/>
        <w:gridCol w:w="2692"/>
      </w:tblGrid>
      <w:tr w:rsidR="003F628B" w:rsidRPr="008401DD" w14:paraId="284A9772" w14:textId="77777777" w:rsidTr="00175E40">
        <w:tc>
          <w:tcPr>
            <w:tcW w:w="4106" w:type="dxa"/>
            <w:tcBorders>
              <w:bottom w:val="single" w:sz="4" w:space="0" w:color="auto"/>
            </w:tcBorders>
            <w:shd w:val="clear" w:color="auto" w:fill="67C18C"/>
          </w:tcPr>
          <w:p w14:paraId="6A063B7D" w14:textId="36DD1DB7" w:rsidR="003F628B" w:rsidRPr="008401DD" w:rsidRDefault="003F628B" w:rsidP="00960E68">
            <w:pPr>
              <w:spacing w:line="276" w:lineRule="auto"/>
              <w:jc w:val="both"/>
              <w:rPr>
                <w:b/>
                <w:color w:val="FFFFFF" w:themeColor="background1"/>
                <w:szCs w:val="20"/>
              </w:rPr>
            </w:pPr>
            <w:r w:rsidRPr="008401DD">
              <w:rPr>
                <w:b/>
                <w:color w:val="FFFFFF" w:themeColor="background1"/>
                <w:szCs w:val="20"/>
              </w:rPr>
              <w:t>Vrsta stroška</w:t>
            </w:r>
          </w:p>
        </w:tc>
        <w:tc>
          <w:tcPr>
            <w:tcW w:w="2552" w:type="dxa"/>
            <w:tcBorders>
              <w:bottom w:val="single" w:sz="4" w:space="0" w:color="auto"/>
            </w:tcBorders>
            <w:shd w:val="clear" w:color="auto" w:fill="67C18C"/>
          </w:tcPr>
          <w:p w14:paraId="0C2511BD" w14:textId="0836EC0C" w:rsidR="003F628B" w:rsidRPr="008401DD" w:rsidRDefault="003F628B" w:rsidP="00960E68">
            <w:pPr>
              <w:spacing w:line="276" w:lineRule="auto"/>
              <w:jc w:val="both"/>
              <w:rPr>
                <w:b/>
                <w:color w:val="FFFFFF" w:themeColor="background1"/>
                <w:szCs w:val="20"/>
              </w:rPr>
            </w:pPr>
            <w:r w:rsidRPr="008401DD">
              <w:rPr>
                <w:b/>
                <w:color w:val="FFFFFF" w:themeColor="background1"/>
                <w:szCs w:val="20"/>
              </w:rPr>
              <w:t>Znesek stroška</w:t>
            </w:r>
          </w:p>
        </w:tc>
        <w:tc>
          <w:tcPr>
            <w:tcW w:w="2692" w:type="dxa"/>
            <w:tcBorders>
              <w:bottom w:val="single" w:sz="4" w:space="0" w:color="auto"/>
            </w:tcBorders>
            <w:shd w:val="clear" w:color="auto" w:fill="67C18C"/>
          </w:tcPr>
          <w:p w14:paraId="052645A6" w14:textId="77777777" w:rsidR="003F628B" w:rsidRPr="008401DD" w:rsidRDefault="003F628B" w:rsidP="00960E68">
            <w:pPr>
              <w:spacing w:line="276" w:lineRule="auto"/>
              <w:jc w:val="both"/>
              <w:rPr>
                <w:b/>
                <w:color w:val="FFFFFF" w:themeColor="background1"/>
                <w:szCs w:val="20"/>
              </w:rPr>
            </w:pPr>
            <w:r w:rsidRPr="008401DD">
              <w:rPr>
                <w:b/>
                <w:color w:val="FFFFFF" w:themeColor="background1"/>
                <w:szCs w:val="20"/>
              </w:rPr>
              <w:t>Delež skupne cene JN</w:t>
            </w:r>
          </w:p>
        </w:tc>
      </w:tr>
      <w:tr w:rsidR="003F628B" w:rsidRPr="008401DD" w14:paraId="2EBB8E4D" w14:textId="77777777" w:rsidTr="00175E40">
        <w:tc>
          <w:tcPr>
            <w:tcW w:w="4106" w:type="dxa"/>
            <w:tcBorders>
              <w:top w:val="single" w:sz="4" w:space="0" w:color="auto"/>
            </w:tcBorders>
          </w:tcPr>
          <w:p w14:paraId="50A0B559" w14:textId="00F99A59" w:rsidR="003F628B" w:rsidRPr="008401DD" w:rsidRDefault="003F628B" w:rsidP="00960E68">
            <w:pPr>
              <w:jc w:val="both"/>
              <w:rPr>
                <w:rFonts w:cs="Arial"/>
                <w:szCs w:val="20"/>
              </w:rPr>
            </w:pPr>
            <w:r w:rsidRPr="008401DD">
              <w:rPr>
                <w:rFonts w:cs="Arial"/>
                <w:szCs w:val="20"/>
              </w:rPr>
              <w:t>Izdelava projektne dokumentacije</w:t>
            </w:r>
          </w:p>
        </w:tc>
        <w:tc>
          <w:tcPr>
            <w:tcW w:w="2552" w:type="dxa"/>
            <w:tcBorders>
              <w:top w:val="single" w:sz="4" w:space="0" w:color="auto"/>
            </w:tcBorders>
          </w:tcPr>
          <w:p w14:paraId="4059F55E" w14:textId="24A9DC2E" w:rsidR="003F628B" w:rsidRPr="008401DD" w:rsidRDefault="00175E40" w:rsidP="00960E68">
            <w:pPr>
              <w:jc w:val="right"/>
              <w:rPr>
                <w:rFonts w:cs="Arial"/>
                <w:szCs w:val="20"/>
              </w:rPr>
            </w:pPr>
            <w:r w:rsidRPr="008401DD">
              <w:rPr>
                <w:rFonts w:cs="Arial"/>
                <w:szCs w:val="20"/>
              </w:rPr>
              <w:t>203.932 EUR</w:t>
            </w:r>
          </w:p>
        </w:tc>
        <w:tc>
          <w:tcPr>
            <w:tcW w:w="2692" w:type="dxa"/>
            <w:tcBorders>
              <w:top w:val="single" w:sz="4" w:space="0" w:color="auto"/>
            </w:tcBorders>
          </w:tcPr>
          <w:p w14:paraId="5626EF6A" w14:textId="4FB99901" w:rsidR="003F628B" w:rsidRPr="008401DD" w:rsidRDefault="00175E40" w:rsidP="00960E68">
            <w:pPr>
              <w:jc w:val="both"/>
              <w:rPr>
                <w:rFonts w:cs="Arial"/>
                <w:szCs w:val="20"/>
              </w:rPr>
            </w:pPr>
            <w:r w:rsidRPr="008401DD">
              <w:rPr>
                <w:rFonts w:cs="Arial"/>
                <w:szCs w:val="20"/>
              </w:rPr>
              <w:t>17</w:t>
            </w:r>
            <w:r w:rsidR="00071F8E" w:rsidRPr="008401DD">
              <w:rPr>
                <w:rFonts w:cs="Arial"/>
                <w:szCs w:val="20"/>
              </w:rPr>
              <w:t xml:space="preserve"> </w:t>
            </w:r>
            <w:r w:rsidRPr="008401DD">
              <w:rPr>
                <w:rFonts w:cs="Arial"/>
                <w:szCs w:val="20"/>
              </w:rPr>
              <w:t>%</w:t>
            </w:r>
          </w:p>
        </w:tc>
      </w:tr>
      <w:tr w:rsidR="003F628B" w:rsidRPr="008401DD" w14:paraId="50F83E10" w14:textId="77777777" w:rsidTr="00175E40">
        <w:tc>
          <w:tcPr>
            <w:tcW w:w="4106" w:type="dxa"/>
          </w:tcPr>
          <w:p w14:paraId="6C4EDCD0" w14:textId="1050A177" w:rsidR="003F628B" w:rsidRPr="008401DD" w:rsidRDefault="003F628B" w:rsidP="00960E68">
            <w:pPr>
              <w:jc w:val="both"/>
              <w:rPr>
                <w:rFonts w:cs="Arial"/>
                <w:szCs w:val="20"/>
              </w:rPr>
            </w:pPr>
            <w:r w:rsidRPr="008401DD">
              <w:rPr>
                <w:rFonts w:cs="Arial"/>
                <w:szCs w:val="20"/>
              </w:rPr>
              <w:t>Demontaža obstoječe opreme in naprav, dobava</w:t>
            </w:r>
            <w:r w:rsidR="00175E40" w:rsidRPr="008401DD">
              <w:rPr>
                <w:rFonts w:cs="Arial"/>
                <w:szCs w:val="20"/>
              </w:rPr>
              <w:t>,</w:t>
            </w:r>
            <w:r w:rsidRPr="008401DD">
              <w:rPr>
                <w:rFonts w:cs="Arial"/>
                <w:szCs w:val="20"/>
              </w:rPr>
              <w:t xml:space="preserve"> prevoz in montaža nove opreme ter naprav</w:t>
            </w:r>
          </w:p>
        </w:tc>
        <w:tc>
          <w:tcPr>
            <w:tcW w:w="2552" w:type="dxa"/>
          </w:tcPr>
          <w:p w14:paraId="287A0449" w14:textId="1A0A67FB" w:rsidR="003F628B" w:rsidRPr="008401DD" w:rsidRDefault="00175E40" w:rsidP="00960E68">
            <w:pPr>
              <w:jc w:val="right"/>
              <w:rPr>
                <w:rFonts w:cs="Arial"/>
                <w:szCs w:val="20"/>
              </w:rPr>
            </w:pPr>
            <w:r w:rsidRPr="008401DD">
              <w:rPr>
                <w:rFonts w:cs="Arial"/>
                <w:szCs w:val="20"/>
              </w:rPr>
              <w:t>899.700 EUR</w:t>
            </w:r>
          </w:p>
        </w:tc>
        <w:tc>
          <w:tcPr>
            <w:tcW w:w="2692" w:type="dxa"/>
          </w:tcPr>
          <w:p w14:paraId="6C032D92" w14:textId="2551CCFC" w:rsidR="003F628B" w:rsidRPr="008401DD" w:rsidRDefault="00175E40" w:rsidP="00960E68">
            <w:pPr>
              <w:jc w:val="both"/>
              <w:rPr>
                <w:rFonts w:cs="Arial"/>
                <w:szCs w:val="20"/>
              </w:rPr>
            </w:pPr>
            <w:r w:rsidRPr="008401DD">
              <w:rPr>
                <w:rFonts w:cs="Arial"/>
                <w:szCs w:val="20"/>
              </w:rPr>
              <w:t>75</w:t>
            </w:r>
            <w:r w:rsidR="00071F8E" w:rsidRPr="008401DD">
              <w:rPr>
                <w:rFonts w:cs="Arial"/>
                <w:szCs w:val="20"/>
              </w:rPr>
              <w:t xml:space="preserve"> </w:t>
            </w:r>
            <w:r w:rsidRPr="008401DD">
              <w:rPr>
                <w:rFonts w:cs="Arial"/>
                <w:szCs w:val="20"/>
              </w:rPr>
              <w:t>%</w:t>
            </w:r>
          </w:p>
        </w:tc>
      </w:tr>
      <w:tr w:rsidR="003F628B" w:rsidRPr="008401DD" w14:paraId="29CE558A" w14:textId="77777777" w:rsidTr="00175E40">
        <w:tc>
          <w:tcPr>
            <w:tcW w:w="4106" w:type="dxa"/>
          </w:tcPr>
          <w:p w14:paraId="5E71C7BF" w14:textId="0B636D3F" w:rsidR="003F628B" w:rsidRPr="008401DD" w:rsidRDefault="003F628B" w:rsidP="00960E68">
            <w:pPr>
              <w:jc w:val="both"/>
              <w:rPr>
                <w:rFonts w:cs="Arial"/>
                <w:szCs w:val="20"/>
              </w:rPr>
            </w:pPr>
            <w:r w:rsidRPr="008401DD">
              <w:rPr>
                <w:rFonts w:cs="Arial"/>
                <w:szCs w:val="20"/>
              </w:rPr>
              <w:t>Preizkušanje, spuščanje v pogon, tehnični prevzem, izobraževanje, izdelava tehnične do</w:t>
            </w:r>
            <w:r w:rsidR="00175E40" w:rsidRPr="008401DD">
              <w:rPr>
                <w:rFonts w:cs="Arial"/>
                <w:szCs w:val="20"/>
              </w:rPr>
              <w:t>k</w:t>
            </w:r>
            <w:r w:rsidRPr="008401DD">
              <w:rPr>
                <w:rFonts w:cs="Arial"/>
                <w:szCs w:val="20"/>
              </w:rPr>
              <w:t>umentacije</w:t>
            </w:r>
          </w:p>
        </w:tc>
        <w:tc>
          <w:tcPr>
            <w:tcW w:w="2552" w:type="dxa"/>
          </w:tcPr>
          <w:p w14:paraId="4E08E5B8" w14:textId="6A6A1C2A" w:rsidR="003F628B" w:rsidRPr="008401DD" w:rsidRDefault="00175E40" w:rsidP="00960E68">
            <w:pPr>
              <w:jc w:val="right"/>
              <w:rPr>
                <w:rFonts w:cs="Arial"/>
                <w:szCs w:val="20"/>
              </w:rPr>
            </w:pPr>
            <w:r w:rsidRPr="008401DD">
              <w:rPr>
                <w:rFonts w:cs="Arial"/>
                <w:szCs w:val="20"/>
              </w:rPr>
              <w:t>95.968 EUR</w:t>
            </w:r>
          </w:p>
        </w:tc>
        <w:tc>
          <w:tcPr>
            <w:tcW w:w="2692" w:type="dxa"/>
          </w:tcPr>
          <w:p w14:paraId="46619CEF" w14:textId="1F88F8AC" w:rsidR="003F628B" w:rsidRPr="008401DD" w:rsidRDefault="00175E40" w:rsidP="00960E68">
            <w:pPr>
              <w:jc w:val="both"/>
              <w:rPr>
                <w:rFonts w:cs="Arial"/>
                <w:szCs w:val="20"/>
              </w:rPr>
            </w:pPr>
            <w:r w:rsidRPr="008401DD">
              <w:rPr>
                <w:rFonts w:cs="Arial"/>
                <w:szCs w:val="20"/>
              </w:rPr>
              <w:t>8</w:t>
            </w:r>
            <w:r w:rsidR="00071F8E" w:rsidRPr="008401DD">
              <w:rPr>
                <w:rFonts w:cs="Arial"/>
                <w:szCs w:val="20"/>
              </w:rPr>
              <w:t xml:space="preserve"> </w:t>
            </w:r>
            <w:r w:rsidRPr="008401DD">
              <w:rPr>
                <w:rFonts w:cs="Arial"/>
                <w:szCs w:val="20"/>
              </w:rPr>
              <w:t>%</w:t>
            </w:r>
          </w:p>
        </w:tc>
      </w:tr>
      <w:tr w:rsidR="003F628B" w:rsidRPr="008401DD" w14:paraId="7D8096B1" w14:textId="77777777" w:rsidTr="00175E40">
        <w:tc>
          <w:tcPr>
            <w:tcW w:w="4106" w:type="dxa"/>
            <w:shd w:val="clear" w:color="auto" w:fill="E7E6E6" w:themeFill="background2"/>
          </w:tcPr>
          <w:p w14:paraId="6BB46B5E" w14:textId="77777777" w:rsidR="003F628B" w:rsidRPr="008401DD" w:rsidRDefault="003F628B" w:rsidP="00960E68">
            <w:pPr>
              <w:jc w:val="both"/>
              <w:rPr>
                <w:rFonts w:cs="Arial"/>
                <w:b/>
                <w:szCs w:val="20"/>
              </w:rPr>
            </w:pPr>
            <w:r w:rsidRPr="008401DD">
              <w:rPr>
                <w:rFonts w:cs="Arial"/>
                <w:b/>
                <w:szCs w:val="20"/>
              </w:rPr>
              <w:t>Skupna cena JN</w:t>
            </w:r>
          </w:p>
        </w:tc>
        <w:tc>
          <w:tcPr>
            <w:tcW w:w="2552" w:type="dxa"/>
            <w:shd w:val="clear" w:color="auto" w:fill="E7E6E6" w:themeFill="background2"/>
          </w:tcPr>
          <w:p w14:paraId="0387E5FF" w14:textId="77777777" w:rsidR="003F628B" w:rsidRPr="008401DD" w:rsidRDefault="003F628B" w:rsidP="00960E68">
            <w:pPr>
              <w:jc w:val="right"/>
              <w:rPr>
                <w:rFonts w:cs="Arial"/>
                <w:b/>
                <w:szCs w:val="20"/>
              </w:rPr>
            </w:pPr>
            <w:r w:rsidRPr="008401DD">
              <w:rPr>
                <w:rFonts w:cs="Arial"/>
                <w:b/>
                <w:szCs w:val="20"/>
              </w:rPr>
              <w:t>1.199.600 EUR</w:t>
            </w:r>
          </w:p>
        </w:tc>
        <w:tc>
          <w:tcPr>
            <w:tcW w:w="2692" w:type="dxa"/>
            <w:shd w:val="clear" w:color="auto" w:fill="E7E6E6" w:themeFill="background2"/>
          </w:tcPr>
          <w:p w14:paraId="0F8F0A08" w14:textId="423AE652" w:rsidR="003F628B" w:rsidRPr="008401DD" w:rsidRDefault="003F628B" w:rsidP="00960E68">
            <w:pPr>
              <w:jc w:val="both"/>
              <w:rPr>
                <w:rFonts w:cs="Arial"/>
                <w:b/>
                <w:szCs w:val="20"/>
              </w:rPr>
            </w:pPr>
            <w:r w:rsidRPr="008401DD">
              <w:rPr>
                <w:rFonts w:cs="Arial"/>
                <w:b/>
                <w:szCs w:val="20"/>
              </w:rPr>
              <w:t>100</w:t>
            </w:r>
            <w:r w:rsidR="00071F8E" w:rsidRPr="008401DD">
              <w:rPr>
                <w:rFonts w:cs="Arial"/>
                <w:b/>
                <w:szCs w:val="20"/>
              </w:rPr>
              <w:t xml:space="preserve"> </w:t>
            </w:r>
            <w:r w:rsidRPr="008401DD">
              <w:rPr>
                <w:rFonts w:cs="Arial"/>
                <w:b/>
                <w:szCs w:val="20"/>
              </w:rPr>
              <w:t>%</w:t>
            </w:r>
          </w:p>
        </w:tc>
      </w:tr>
    </w:tbl>
    <w:p w14:paraId="2E88AE23" w14:textId="41D7016F" w:rsidR="003F628B" w:rsidRPr="008401DD" w:rsidRDefault="003F628B" w:rsidP="00960E68">
      <w:pPr>
        <w:spacing w:line="240" w:lineRule="auto"/>
        <w:jc w:val="both"/>
      </w:pPr>
    </w:p>
    <w:p w14:paraId="30616FDD" w14:textId="684986A0" w:rsidR="00175E40" w:rsidRDefault="00175E40" w:rsidP="00960E68">
      <w:pPr>
        <w:spacing w:line="240" w:lineRule="auto"/>
        <w:jc w:val="both"/>
      </w:pPr>
      <w:r w:rsidRPr="008401DD">
        <w:t>Na podlagi razgovorov, ugotavljamo, da so bili v oba projekta vključeni tudi ostali (lokalni) podizvajalci, ki so opravljali predvsem gradbena dela, vendar podatkov o njih v dokumentaciji ni, prav tako ni opredeljeno kolikšen delež sredstev iz celotnega projekta so prejeli.</w:t>
      </w:r>
    </w:p>
    <w:p w14:paraId="67BE91D9" w14:textId="77777777" w:rsidR="00B85B43" w:rsidRPr="008401DD" w:rsidRDefault="00B85B43" w:rsidP="00960E68">
      <w:pPr>
        <w:spacing w:line="240" w:lineRule="auto"/>
        <w:jc w:val="both"/>
      </w:pPr>
    </w:p>
    <w:p w14:paraId="6D15B97F" w14:textId="078B2130" w:rsidR="00B54F26" w:rsidRPr="008401DD" w:rsidRDefault="00D34AAB" w:rsidP="00960E68">
      <w:pPr>
        <w:spacing w:line="240" w:lineRule="auto"/>
        <w:jc w:val="both"/>
      </w:pPr>
      <w:r w:rsidRPr="008401DD">
        <w:t xml:space="preserve">Iz prejete dokumentacije ni razvidno, na kakšen način je CMSR preverjal ustreznost zahtevkov za plačilo izvajalca (bodisi preko administrativne kontrole ali kontrole na kraju samem). V prejeti dokumentaciji namreč ni dokazil o kontroli upravičenosti zahtevkov. Zahtevki izvajalca za plačilo, ki so bili predloženi, so bili posredovani </w:t>
      </w:r>
      <w:proofErr w:type="spellStart"/>
      <w:r w:rsidRPr="008401DD">
        <w:t>severnomakedonskim</w:t>
      </w:r>
      <w:proofErr w:type="spellEnd"/>
      <w:r w:rsidRPr="008401DD">
        <w:t xml:space="preserve"> partnerjem za celoten znesek del v projektu, pri čemer kontrola s </w:t>
      </w:r>
      <w:r w:rsidRPr="008401DD">
        <w:lastRenderedPageBreak/>
        <w:t>strani CMSR ni izvedena (glede na potrdila in podpis</w:t>
      </w:r>
      <w:r w:rsidR="00EE0970" w:rsidRPr="008401DD">
        <w:t>e</w:t>
      </w:r>
      <w:r w:rsidRPr="008401DD">
        <w:t xml:space="preserve"> na zahtevkih). Transparentnost upravičenih stroškov v prvem projektu je zelo </w:t>
      </w:r>
      <w:r w:rsidR="00B85B43" w:rsidRPr="008401DD">
        <w:t>pomanjkljiva</w:t>
      </w:r>
      <w:r w:rsidRPr="008401DD">
        <w:t xml:space="preserve">, saj so v projektni dokumentaciji na voljo le skupni zahtevki za celoten projekt znotraj komercialne pogodbe iz leta 2009. </w:t>
      </w:r>
      <w:r w:rsidR="00B54F26" w:rsidRPr="008401DD">
        <w:t xml:space="preserve">V primeru infrastrukturnih projektov je za tehnični nadzor odgovoren izvajalec, ki ga najame lokalni deležnik (npr. inženirsko podjetje, odgovorno za nadzor gradbenih del). </w:t>
      </w:r>
      <w:r w:rsidR="00F26463" w:rsidRPr="008401DD">
        <w:t>Upoštevajoč zmogljivosti in vlogo CMSR pri izvajanju projektov MRS se takšna ureditev zdi smiselna.</w:t>
      </w:r>
    </w:p>
    <w:p w14:paraId="24AF2104" w14:textId="13E6B8E3" w:rsidR="00D34AAB" w:rsidRDefault="00D34AAB" w:rsidP="00960E68">
      <w:pPr>
        <w:spacing w:line="240" w:lineRule="auto"/>
        <w:jc w:val="both"/>
      </w:pPr>
      <w:r w:rsidRPr="008401DD">
        <w:t>Upoštevajoč pregledano dokumentacijo pa ni zadosten finančno-administrativni nadzor</w:t>
      </w:r>
      <w:r w:rsidR="009701B8" w:rsidRPr="008401DD">
        <w:t>, kar posledično pomeni, da je močno prisoten poudarek na lokalnem lastništvu in ne toliko na nadzoru izvedbe s strani lokalnih deležnikov</w:t>
      </w:r>
      <w:r w:rsidRPr="008401DD">
        <w:t>. Navedeno predstavlja</w:t>
      </w:r>
      <w:r w:rsidR="00B72C78" w:rsidRPr="008401DD">
        <w:t xml:space="preserve"> </w:t>
      </w:r>
      <w:r w:rsidRPr="008401DD">
        <w:t>prepreko pri preprečevanju korupcijskih tveganj, saj se večji del nadzornih in kontrolnih mehanizmov prenaša na upravičenca in izvajalca.</w:t>
      </w:r>
    </w:p>
    <w:p w14:paraId="62D5C72B" w14:textId="77777777" w:rsidR="00B85B43" w:rsidRPr="008401DD" w:rsidRDefault="00B85B43" w:rsidP="00960E68">
      <w:pPr>
        <w:spacing w:line="240" w:lineRule="auto"/>
        <w:jc w:val="both"/>
      </w:pPr>
    </w:p>
    <w:p w14:paraId="68B0C3DF" w14:textId="7F56F81A" w:rsidR="00175E40" w:rsidRDefault="009701B8" w:rsidP="00960E68">
      <w:pPr>
        <w:spacing w:line="240" w:lineRule="auto"/>
        <w:jc w:val="both"/>
      </w:pPr>
      <w:r w:rsidRPr="008401DD">
        <w:t>Nenazadnje med stroške projekta sodijo tudi stroški upravljanja, ki pa se v primeru projektov CMSR ne financirajo neposredno iz projekta, ampak preko pavša</w:t>
      </w:r>
      <w:r w:rsidR="00326662" w:rsidRPr="008401DD">
        <w:t>l</w:t>
      </w:r>
      <w:r w:rsidRPr="008401DD">
        <w:t xml:space="preserve">nega financiranja v okviru </w:t>
      </w:r>
      <w:proofErr w:type="spellStart"/>
      <w:r w:rsidRPr="008401DD">
        <w:t>t.i</w:t>
      </w:r>
      <w:proofErr w:type="spellEnd"/>
      <w:r w:rsidRPr="008401DD">
        <w:t>. opravnine. Pri slednji</w:t>
      </w:r>
      <w:r w:rsidR="5C71A6E2" w:rsidRPr="008401DD">
        <w:t xml:space="preserve"> gre za stroške</w:t>
      </w:r>
      <w:r w:rsidR="00175E40" w:rsidRPr="008401DD">
        <w:t xml:space="preserve"> </w:t>
      </w:r>
      <w:r w:rsidR="4435E59F" w:rsidRPr="008401DD">
        <w:t>vodenja in nadzora</w:t>
      </w:r>
      <w:r w:rsidR="00175E40" w:rsidRPr="008401DD">
        <w:t xml:space="preserve"> projektov</w:t>
      </w:r>
      <w:r w:rsidR="60183B19" w:rsidRPr="008401DD">
        <w:t>, ki</w:t>
      </w:r>
      <w:r w:rsidR="00175E40" w:rsidRPr="008401DD">
        <w:t xml:space="preserve"> </w:t>
      </w:r>
      <w:r w:rsidR="13C5CDB5" w:rsidRPr="008401DD">
        <w:t>se obračunava</w:t>
      </w:r>
      <w:r w:rsidR="008BB63F" w:rsidRPr="008401DD">
        <w:t>jo</w:t>
      </w:r>
      <w:r w:rsidR="13C5CDB5" w:rsidRPr="008401DD">
        <w:t xml:space="preserve"> v obliki pavšala in </w:t>
      </w:r>
      <w:r w:rsidR="00175E40" w:rsidRPr="008401DD">
        <w:t>znaša</w:t>
      </w:r>
      <w:r w:rsidR="1D9F1C72" w:rsidRPr="008401DD">
        <w:t>jo</w:t>
      </w:r>
      <w:r w:rsidR="00175E40" w:rsidRPr="008401DD">
        <w:t xml:space="preserve"> 9</w:t>
      </w:r>
      <w:r w:rsidR="00071F8E" w:rsidRPr="008401DD">
        <w:t xml:space="preserve"> </w:t>
      </w:r>
      <w:r w:rsidR="00175E40" w:rsidRPr="008401DD">
        <w:t xml:space="preserve">% od celotnih sredstev za izvajanje MRS v </w:t>
      </w:r>
      <w:r w:rsidR="64194C22" w:rsidRPr="008401DD">
        <w:t>posameznem programskem</w:t>
      </w:r>
      <w:r w:rsidR="00175E40" w:rsidRPr="008401DD">
        <w:t xml:space="preserve"> obdobju</w:t>
      </w:r>
      <w:r w:rsidR="2F78C025" w:rsidRPr="008401DD">
        <w:t>. Ta sredstva niso od</w:t>
      </w:r>
      <w:r w:rsidR="00573FA9" w:rsidRPr="008401DD">
        <w:t>v</w:t>
      </w:r>
      <w:r w:rsidR="2F78C025" w:rsidRPr="008401DD">
        <w:t>isna</w:t>
      </w:r>
      <w:r w:rsidR="00175E40" w:rsidRPr="008401DD">
        <w:t xml:space="preserve"> od v</w:t>
      </w:r>
      <w:r w:rsidR="3CD59807" w:rsidRPr="008401DD">
        <w:t>elikosti</w:t>
      </w:r>
      <w:r w:rsidR="00476113" w:rsidRPr="008401DD">
        <w:t xml:space="preserve"> </w:t>
      </w:r>
      <w:r w:rsidR="00AC572D" w:rsidRPr="008401DD">
        <w:t>n</w:t>
      </w:r>
      <w:r w:rsidR="3F4026B6" w:rsidRPr="008401DD">
        <w:t>arave samega</w:t>
      </w:r>
      <w:r w:rsidR="00175E40" w:rsidRPr="008401DD">
        <w:t xml:space="preserve"> projekta</w:t>
      </w:r>
      <w:r w:rsidR="3F4026B6" w:rsidRPr="008401DD">
        <w:t xml:space="preserve">, zato </w:t>
      </w:r>
      <w:r w:rsidR="34955BC8" w:rsidRPr="008401DD">
        <w:t xml:space="preserve">jih </w:t>
      </w:r>
      <w:r w:rsidR="3F4026B6" w:rsidRPr="008401DD">
        <w:t>ni mogoče</w:t>
      </w:r>
      <w:r w:rsidR="04FAA141" w:rsidRPr="008401DD">
        <w:t xml:space="preserve"> neposredno pripisati posameznemu projektu</w:t>
      </w:r>
      <w:r w:rsidR="28742A1C" w:rsidRPr="008401DD">
        <w:t xml:space="preserve">, posledično pa je ni </w:t>
      </w:r>
      <w:r w:rsidR="00AC572D" w:rsidRPr="008401DD">
        <w:t xml:space="preserve">možno </w:t>
      </w:r>
      <w:r w:rsidR="28742A1C" w:rsidRPr="008401DD">
        <w:t>ocenjevati v kontekstu</w:t>
      </w:r>
      <w:r w:rsidR="04FAA141" w:rsidRPr="008401DD">
        <w:t xml:space="preserve"> učinkovitosti</w:t>
      </w:r>
      <w:r w:rsidR="28742A1C" w:rsidRPr="008401DD">
        <w:t xml:space="preserve"> izvedbe projektov</w:t>
      </w:r>
      <w:r w:rsidR="00476113" w:rsidRPr="008401DD">
        <w:t xml:space="preserve">. </w:t>
      </w:r>
    </w:p>
    <w:p w14:paraId="30B98E9D" w14:textId="77777777" w:rsidR="00B85B43" w:rsidRPr="008401DD" w:rsidRDefault="00B85B43" w:rsidP="00960E68">
      <w:pPr>
        <w:spacing w:line="240" w:lineRule="auto"/>
        <w:jc w:val="both"/>
      </w:pPr>
    </w:p>
    <w:p w14:paraId="6542E488" w14:textId="238D58C3" w:rsidR="00151C75" w:rsidRDefault="00151C75"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i/>
          <w:u w:val="single"/>
        </w:rPr>
        <w:t>Priporočilo</w:t>
      </w:r>
      <w:r w:rsidR="00096DB9" w:rsidRPr="008401DD">
        <w:rPr>
          <w:i/>
          <w:u w:val="single"/>
        </w:rPr>
        <w:t xml:space="preserve"> 3.7.</w:t>
      </w:r>
      <w:r w:rsidRPr="008401DD">
        <w:rPr>
          <w:i/>
          <w:u w:val="single"/>
        </w:rPr>
        <w:t>:</w:t>
      </w:r>
      <w:r w:rsidRPr="008401DD">
        <w:rPr>
          <w:i/>
        </w:rPr>
        <w:t xml:space="preserve"> CMSR naj v fazi </w:t>
      </w:r>
      <w:r w:rsidR="005B49C3" w:rsidRPr="008401DD">
        <w:rPr>
          <w:i/>
        </w:rPr>
        <w:t>ocenjevanja projektov zagotovi dovolj informacij glede potencialnega</w:t>
      </w:r>
      <w:r w:rsidRPr="008401DD">
        <w:rPr>
          <w:i/>
        </w:rPr>
        <w:t xml:space="preserve"> delež</w:t>
      </w:r>
      <w:r w:rsidR="005B49C3" w:rsidRPr="008401DD">
        <w:rPr>
          <w:i/>
        </w:rPr>
        <w:t>a</w:t>
      </w:r>
      <w:r w:rsidRPr="008401DD">
        <w:rPr>
          <w:i/>
        </w:rPr>
        <w:t xml:space="preserve"> slovenskega znanja</w:t>
      </w:r>
      <w:r w:rsidR="00B8263A" w:rsidRPr="008401DD">
        <w:rPr>
          <w:i/>
        </w:rPr>
        <w:t>, tehnologij</w:t>
      </w:r>
      <w:r w:rsidRPr="008401DD">
        <w:rPr>
          <w:i/>
        </w:rPr>
        <w:t xml:space="preserve"> in/ali izdelkov v skupni vrednosti </w:t>
      </w:r>
      <w:r w:rsidR="00AE44E5" w:rsidRPr="008401DD">
        <w:rPr>
          <w:i/>
        </w:rPr>
        <w:t>projekta</w:t>
      </w:r>
      <w:r w:rsidRPr="008401DD">
        <w:rPr>
          <w:i/>
        </w:rPr>
        <w:t>.</w:t>
      </w:r>
      <w:r w:rsidR="00D1779B" w:rsidRPr="008401DD">
        <w:rPr>
          <w:i/>
        </w:rPr>
        <w:t xml:space="preserve"> </w:t>
      </w:r>
      <w:r w:rsidR="3DEBF635" w:rsidRPr="008401DD">
        <w:rPr>
          <w:i/>
          <w:iCs/>
        </w:rPr>
        <w:t xml:space="preserve">Iz </w:t>
      </w:r>
      <w:r w:rsidR="00AE44E5" w:rsidRPr="008401DD">
        <w:rPr>
          <w:i/>
          <w:iCs/>
        </w:rPr>
        <w:t>pogodb z izbranimi izvajalci</w:t>
      </w:r>
      <w:r w:rsidR="3DEBF635" w:rsidRPr="008401DD">
        <w:rPr>
          <w:i/>
          <w:iCs/>
        </w:rPr>
        <w:t xml:space="preserve"> naj </w:t>
      </w:r>
      <w:r w:rsidR="00AC572D" w:rsidRPr="008401DD">
        <w:rPr>
          <w:i/>
          <w:iCs/>
        </w:rPr>
        <w:t>b</w:t>
      </w:r>
      <w:r w:rsidR="3DEBF635" w:rsidRPr="008401DD">
        <w:rPr>
          <w:i/>
          <w:iCs/>
        </w:rPr>
        <w:t xml:space="preserve">o </w:t>
      </w:r>
      <w:r w:rsidR="00AE44E5" w:rsidRPr="008401DD">
        <w:rPr>
          <w:i/>
          <w:iCs/>
        </w:rPr>
        <w:t xml:space="preserve">nato </w:t>
      </w:r>
      <w:r w:rsidR="3DEBF635" w:rsidRPr="008401DD">
        <w:rPr>
          <w:i/>
          <w:iCs/>
        </w:rPr>
        <w:t>jasno razvidno, s katerimi podizvajalci in za katere dele javnega naročila namerava izvajalec izvesti predvidena dela</w:t>
      </w:r>
      <w:r w:rsidR="00AC572D" w:rsidRPr="008401DD">
        <w:rPr>
          <w:i/>
          <w:iCs/>
        </w:rPr>
        <w:t xml:space="preserve"> in</w:t>
      </w:r>
      <w:r w:rsidR="007148A5" w:rsidRPr="008401DD">
        <w:rPr>
          <w:i/>
          <w:iCs/>
        </w:rPr>
        <w:t xml:space="preserve"> </w:t>
      </w:r>
      <w:r w:rsidR="00AC572D" w:rsidRPr="008401DD">
        <w:rPr>
          <w:i/>
          <w:iCs/>
        </w:rPr>
        <w:t>d</w:t>
      </w:r>
      <w:r w:rsidR="3DEBF635" w:rsidRPr="008401DD">
        <w:rPr>
          <w:i/>
          <w:iCs/>
        </w:rPr>
        <w:t>obaviti predvideno opremo.</w:t>
      </w:r>
      <w:r w:rsidR="00AE44E5" w:rsidRPr="008401DD">
        <w:rPr>
          <w:i/>
          <w:iCs/>
        </w:rPr>
        <w:t xml:space="preserve"> Le na ta način je mogoče preverjati, ali so se te napovedi tudi dejansko uresničile. </w:t>
      </w:r>
      <w:r w:rsidR="00D1779B" w:rsidRPr="008401DD">
        <w:rPr>
          <w:i/>
          <w:iCs/>
        </w:rPr>
        <w:t>Teko</w:t>
      </w:r>
      <w:r w:rsidR="06405748" w:rsidRPr="008401DD">
        <w:rPr>
          <w:i/>
          <w:iCs/>
        </w:rPr>
        <w:t>m</w:t>
      </w:r>
      <w:r w:rsidR="00D1779B" w:rsidRPr="008401DD">
        <w:rPr>
          <w:i/>
        </w:rPr>
        <w:t xml:space="preserve"> izvajanja projekta oz. obdelave zahtevkov za plačilo naj tudi preverja, ali se izvajalec (pogodbenik) drži teh </w:t>
      </w:r>
      <w:r w:rsidR="0095048C" w:rsidRPr="008401DD">
        <w:rPr>
          <w:i/>
        </w:rPr>
        <w:t>napovedi</w:t>
      </w:r>
      <w:r w:rsidR="00D1779B" w:rsidRPr="008401DD">
        <w:rPr>
          <w:i/>
        </w:rPr>
        <w:t>.</w:t>
      </w:r>
    </w:p>
    <w:p w14:paraId="0092FF38" w14:textId="77777777" w:rsidR="00B85B43" w:rsidRPr="008401DD" w:rsidRDefault="00B85B43" w:rsidP="00960E68">
      <w:pPr>
        <w:spacing w:line="240" w:lineRule="auto"/>
        <w:jc w:val="both"/>
        <w:rPr>
          <w:i/>
        </w:rPr>
      </w:pPr>
    </w:p>
    <w:p w14:paraId="0BF183DE" w14:textId="3F276349" w:rsidR="00B54F26" w:rsidRPr="008401DD" w:rsidRDefault="00B54F26"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i/>
          <w:u w:val="single"/>
        </w:rPr>
        <w:t>Priporočilo</w:t>
      </w:r>
      <w:r w:rsidR="00096DB9" w:rsidRPr="008401DD">
        <w:rPr>
          <w:i/>
          <w:u w:val="single"/>
        </w:rPr>
        <w:t xml:space="preserve"> 3.8.</w:t>
      </w:r>
      <w:r w:rsidRPr="008401DD">
        <w:rPr>
          <w:i/>
          <w:u w:val="single"/>
        </w:rPr>
        <w:t>:</w:t>
      </w:r>
      <w:r w:rsidRPr="008401DD">
        <w:rPr>
          <w:i/>
        </w:rPr>
        <w:t xml:space="preserve"> Gledati priporočilo </w:t>
      </w:r>
      <w:r w:rsidR="009463D0">
        <w:rPr>
          <w:i/>
        </w:rPr>
        <w:t xml:space="preserve">1.4. </w:t>
      </w:r>
      <w:r w:rsidRPr="008401DD">
        <w:rPr>
          <w:i/>
        </w:rPr>
        <w:t xml:space="preserve">glede </w:t>
      </w:r>
      <w:r w:rsidR="00F26463" w:rsidRPr="008401DD">
        <w:rPr>
          <w:i/>
        </w:rPr>
        <w:t xml:space="preserve">preprečevanja korupcijskih tveganj in priporočilo </w:t>
      </w:r>
      <w:r w:rsidR="009463D0">
        <w:rPr>
          <w:i/>
        </w:rPr>
        <w:t xml:space="preserve">1.7. </w:t>
      </w:r>
      <w:r w:rsidR="00F26463" w:rsidRPr="008401DD">
        <w:rPr>
          <w:i/>
        </w:rPr>
        <w:t xml:space="preserve">glede </w:t>
      </w:r>
      <w:r w:rsidRPr="008401DD">
        <w:rPr>
          <w:i/>
        </w:rPr>
        <w:t>uvedbe kontrolnih list za potrebe admin</w:t>
      </w:r>
      <w:r w:rsidR="009463D0">
        <w:rPr>
          <w:i/>
        </w:rPr>
        <w:t>istrativno-finančnega nadzora.</w:t>
      </w:r>
    </w:p>
    <w:p w14:paraId="03A671F4" w14:textId="6291A793" w:rsidR="0095048C" w:rsidRPr="008401DD" w:rsidRDefault="0095048C" w:rsidP="00960E68">
      <w:pPr>
        <w:spacing w:line="240" w:lineRule="auto"/>
        <w:jc w:val="both"/>
        <w:rPr>
          <w:i/>
        </w:rPr>
      </w:pPr>
    </w:p>
    <w:p w14:paraId="135B5A99" w14:textId="7E6F82D7" w:rsidR="56F78E51" w:rsidRPr="008401DD" w:rsidRDefault="789EEBAC"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i/>
          <w:iCs/>
        </w:rPr>
      </w:pPr>
      <w:r w:rsidRPr="008401DD">
        <w:rPr>
          <w:i/>
          <w:iCs/>
          <w:u w:val="single"/>
        </w:rPr>
        <w:t>Priporočilo</w:t>
      </w:r>
      <w:r w:rsidR="00096DB9" w:rsidRPr="008401DD">
        <w:rPr>
          <w:i/>
          <w:iCs/>
          <w:u w:val="single"/>
        </w:rPr>
        <w:t xml:space="preserve"> 3.9.</w:t>
      </w:r>
      <w:r w:rsidRPr="008401DD">
        <w:rPr>
          <w:i/>
          <w:iCs/>
          <w:u w:val="single"/>
        </w:rPr>
        <w:t>:</w:t>
      </w:r>
      <w:r w:rsidR="00025FD9" w:rsidRPr="008401DD">
        <w:rPr>
          <w:i/>
          <w:iCs/>
        </w:rPr>
        <w:t xml:space="preserve"> Gledati</w:t>
      </w:r>
      <w:r w:rsidRPr="008401DD">
        <w:rPr>
          <w:i/>
          <w:iCs/>
        </w:rPr>
        <w:t xml:space="preserve"> priporočilo </w:t>
      </w:r>
      <w:r w:rsidR="00F9676E">
        <w:rPr>
          <w:i/>
          <w:iCs/>
        </w:rPr>
        <w:t xml:space="preserve">1.3. </w:t>
      </w:r>
      <w:r w:rsidRPr="008401DD">
        <w:rPr>
          <w:i/>
          <w:iCs/>
        </w:rPr>
        <w:t>glede določanja višine opravnine.</w:t>
      </w:r>
    </w:p>
    <w:p w14:paraId="378CBD67" w14:textId="77777777" w:rsidR="003F628B" w:rsidRPr="008401DD" w:rsidRDefault="003F628B" w:rsidP="00960E68">
      <w:pPr>
        <w:spacing w:line="240" w:lineRule="auto"/>
        <w:jc w:val="both"/>
      </w:pPr>
    </w:p>
    <w:p w14:paraId="7A38F26B" w14:textId="70905347" w:rsidR="00A418B4" w:rsidRPr="008401DD" w:rsidRDefault="00A418B4" w:rsidP="00960E68">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3.5:</w:t>
      </w:r>
      <w:r w:rsidRPr="008401DD">
        <w:rPr>
          <w:rFonts w:cs="Arial"/>
          <w:color w:val="67C18C"/>
        </w:rPr>
        <w:t xml:space="preserve"> </w:t>
      </w:r>
      <w:r w:rsidRPr="008401DD">
        <w:rPr>
          <w:rFonts w:cs="Arial"/>
          <w:i/>
          <w:color w:val="67C18C"/>
          <w:szCs w:val="20"/>
        </w:rPr>
        <w:t xml:space="preserve">V kolikšni meri sta projekta upoštevala načelo lastništva prejemnika pomoči in ali ga je aktivno vključeval v izvedbo projektov? </w:t>
      </w:r>
    </w:p>
    <w:p w14:paraId="745EE303" w14:textId="77777777" w:rsidR="00B85B43" w:rsidRDefault="00B85B43" w:rsidP="00960E68">
      <w:pPr>
        <w:jc w:val="both"/>
      </w:pPr>
    </w:p>
    <w:p w14:paraId="1C51342B" w14:textId="5E8A5AF5" w:rsidR="001003C6" w:rsidRPr="008401DD" w:rsidRDefault="00173AE3" w:rsidP="00960E68">
      <w:pPr>
        <w:jc w:val="both"/>
      </w:pPr>
      <w:r w:rsidRPr="008401DD">
        <w:t xml:space="preserve">Glede na izvedene intervjuje ugotavljamo, da je bila občina </w:t>
      </w:r>
      <w:proofErr w:type="spellStart"/>
      <w:r w:rsidRPr="008401DD">
        <w:t>Probištip</w:t>
      </w:r>
      <w:proofErr w:type="spellEnd"/>
      <w:r w:rsidR="00A81399" w:rsidRPr="008401DD">
        <w:t>, kot prejemnik sredstev</w:t>
      </w:r>
      <w:r w:rsidRPr="008401DD">
        <w:t xml:space="preserve"> ves čas </w:t>
      </w:r>
      <w:r w:rsidR="00A81399" w:rsidRPr="008401DD">
        <w:t>priprave in izvedbe</w:t>
      </w:r>
      <w:r w:rsidR="006B11BD" w:rsidRPr="008401DD">
        <w:t xml:space="preserve"> obeh</w:t>
      </w:r>
      <w:r w:rsidR="00A81399" w:rsidRPr="008401DD">
        <w:t xml:space="preserve"> </w:t>
      </w:r>
      <w:r w:rsidR="006B11BD" w:rsidRPr="008401DD">
        <w:t>projektov</w:t>
      </w:r>
      <w:r w:rsidR="00A81399" w:rsidRPr="008401DD">
        <w:t xml:space="preserve"> aktivno vključena. V projekt so bili ves čas vključeni tudi inženirji in vodstvo komunalnega podjetja Nikola </w:t>
      </w:r>
      <w:proofErr w:type="spellStart"/>
      <w:r w:rsidR="00A81399" w:rsidRPr="008401DD">
        <w:t>Karev</w:t>
      </w:r>
      <w:proofErr w:type="spellEnd"/>
      <w:r w:rsidR="00A81399" w:rsidRPr="008401DD">
        <w:t>, ki so po koncu obeh projektov prevzeli upravljanje zgrajenih oz. revitaliziranih vodooskrbnih objektov</w:t>
      </w:r>
      <w:r w:rsidR="007346A5" w:rsidRPr="008401DD">
        <w:t xml:space="preserve"> (gledati tudi </w:t>
      </w:r>
      <w:proofErr w:type="spellStart"/>
      <w:r w:rsidR="007346A5" w:rsidRPr="008401DD">
        <w:t>evalvacijsk</w:t>
      </w:r>
      <w:r w:rsidR="007E77AE">
        <w:t>i</w:t>
      </w:r>
      <w:proofErr w:type="spellEnd"/>
      <w:r w:rsidR="007346A5" w:rsidRPr="008401DD">
        <w:t xml:space="preserve"> vprašanj</w:t>
      </w:r>
      <w:r w:rsidR="007E77AE">
        <w:t>i</w:t>
      </w:r>
      <w:r w:rsidR="007346A5" w:rsidRPr="008401DD">
        <w:t xml:space="preserve"> 5.1. in 5.2.)</w:t>
      </w:r>
      <w:r w:rsidR="00A81399" w:rsidRPr="008401DD">
        <w:t xml:space="preserve">. </w:t>
      </w:r>
    </w:p>
    <w:p w14:paraId="6BD7C06E" w14:textId="4B62272D" w:rsidR="00A418B4" w:rsidRPr="008401DD" w:rsidRDefault="00A418B4" w:rsidP="00960E68">
      <w:pPr>
        <w:spacing w:line="240" w:lineRule="auto"/>
        <w:jc w:val="both"/>
        <w:rPr>
          <w:rFonts w:cs="Arial"/>
          <w:i/>
          <w:color w:val="67C18C"/>
          <w:szCs w:val="20"/>
        </w:rPr>
      </w:pPr>
    </w:p>
    <w:p w14:paraId="63AE7988" w14:textId="14CDD17D" w:rsidR="00A418B4" w:rsidRPr="008401DD" w:rsidRDefault="00A418B4" w:rsidP="006F317B">
      <w:pPr>
        <w:pStyle w:val="Heading3"/>
      </w:pPr>
      <w:bookmarkStart w:id="128" w:name="_Toc56088910"/>
      <w:bookmarkStart w:id="129" w:name="_Toc56112204"/>
      <w:bookmarkStart w:id="130" w:name="_Toc57377181"/>
      <w:r w:rsidRPr="008401DD">
        <w:t>Vpliv</w:t>
      </w:r>
      <w:bookmarkEnd w:id="128"/>
      <w:bookmarkEnd w:id="129"/>
      <w:bookmarkEnd w:id="130"/>
    </w:p>
    <w:p w14:paraId="36EA66FA" w14:textId="77777777" w:rsidR="000D1643" w:rsidRPr="008401DD" w:rsidRDefault="000D1643" w:rsidP="00960E68"/>
    <w:p w14:paraId="16C39D41" w14:textId="01E4989B" w:rsidR="00967FC7" w:rsidRPr="008401DD" w:rsidRDefault="000A15C9" w:rsidP="00960E68">
      <w:pPr>
        <w:shd w:val="clear" w:color="auto" w:fill="67C18C"/>
      </w:pPr>
      <w:r w:rsidRPr="008401DD">
        <w:rPr>
          <w:rFonts w:eastAsiaTheme="majorEastAsia" w:cs="Arial"/>
          <w:b/>
          <w:iCs/>
          <w:color w:val="FFFFFF" w:themeColor="background1"/>
        </w:rPr>
        <w:t>V kolikšni meri projekt ustvarja ali se pričakuje, da bo ustvaril znatne pozitivne ali negativne, namerne ali nenamerne učinke za same prejemnike in širšo družbo?</w:t>
      </w:r>
    </w:p>
    <w:p w14:paraId="075388D6" w14:textId="77777777" w:rsidR="00B85B43" w:rsidRDefault="00B85B43" w:rsidP="00960E68">
      <w:pPr>
        <w:spacing w:line="276" w:lineRule="auto"/>
        <w:jc w:val="both"/>
        <w:rPr>
          <w:rFonts w:cs="Arial"/>
          <w:b/>
          <w:color w:val="67C18C"/>
        </w:rPr>
      </w:pPr>
    </w:p>
    <w:p w14:paraId="28E7E027" w14:textId="51A6CEAC" w:rsidR="000A15C9" w:rsidRPr="008401DD" w:rsidRDefault="000A15C9"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4.1:</w:t>
      </w:r>
      <w:r w:rsidRPr="008401DD">
        <w:rPr>
          <w:rFonts w:cs="Arial"/>
          <w:color w:val="67C18C"/>
        </w:rPr>
        <w:t xml:space="preserve"> </w:t>
      </w:r>
      <w:r w:rsidRPr="008401DD">
        <w:rPr>
          <w:rFonts w:cs="Arial"/>
          <w:i/>
          <w:color w:val="67C18C"/>
        </w:rPr>
        <w:t>Ali ima projekt potencialni dolgoročni vpliv na končne prejemnike in širše družbeno okolje?</w:t>
      </w:r>
    </w:p>
    <w:p w14:paraId="55F95EE8" w14:textId="77777777" w:rsidR="00B85B43" w:rsidRDefault="00B85B43" w:rsidP="00960E68">
      <w:pPr>
        <w:jc w:val="both"/>
      </w:pPr>
    </w:p>
    <w:p w14:paraId="2A622476" w14:textId="6F3B6E0A" w:rsidR="00743496" w:rsidRPr="008401DD" w:rsidRDefault="00172FCD" w:rsidP="00960E68">
      <w:pPr>
        <w:jc w:val="both"/>
      </w:pPr>
      <w:r w:rsidRPr="008401DD">
        <w:t>Oba projekta imata potencialni</w:t>
      </w:r>
      <w:r w:rsidR="0035730C" w:rsidRPr="008401DD">
        <w:t xml:space="preserve"> pozitiven dolgoročni vpliv na končne prejemnike, </w:t>
      </w:r>
      <w:r w:rsidRPr="008401DD">
        <w:t>saj se vodooskrbni objekti, ki so bili zgrajeni/revitalizirani</w:t>
      </w:r>
      <w:r w:rsidR="0035730C" w:rsidRPr="008401DD">
        <w:t>, uporabljajo za daljše obdobje</w:t>
      </w:r>
      <w:r w:rsidRPr="008401DD">
        <w:t>, vgrajena oprema pa ima dolgo življen</w:t>
      </w:r>
      <w:r w:rsidR="005946BB" w:rsidRPr="008401DD">
        <w:t>j</w:t>
      </w:r>
      <w:r w:rsidRPr="008401DD">
        <w:t>sko dobo</w:t>
      </w:r>
      <w:r w:rsidR="0035730C" w:rsidRPr="008401DD">
        <w:t xml:space="preserve">. Kot </w:t>
      </w:r>
      <w:r w:rsidRPr="008401DD">
        <w:t xml:space="preserve">potencialni </w:t>
      </w:r>
      <w:r w:rsidR="0035730C" w:rsidRPr="008401DD">
        <w:t xml:space="preserve">dolgoročni vpliv prepoznavamo izboljšanje kvalitete življenja prebivalcev v občini </w:t>
      </w:r>
      <w:proofErr w:type="spellStart"/>
      <w:r w:rsidR="0035730C" w:rsidRPr="008401DD">
        <w:t>Probištip</w:t>
      </w:r>
      <w:proofErr w:type="spellEnd"/>
      <w:r w:rsidR="0035730C" w:rsidRPr="008401DD">
        <w:t>, saj imajo dostop do k</w:t>
      </w:r>
      <w:r w:rsidR="2857A5B5" w:rsidRPr="008401DD">
        <w:t>akovostne</w:t>
      </w:r>
      <w:r w:rsidR="00F242EE" w:rsidRPr="008401DD">
        <w:t xml:space="preserve"> </w:t>
      </w:r>
      <w:r w:rsidR="0035730C" w:rsidRPr="008401DD">
        <w:t>pitne vode</w:t>
      </w:r>
      <w:r w:rsidRPr="008401DD">
        <w:t>, do</w:t>
      </w:r>
      <w:r w:rsidR="039B3F0D" w:rsidRPr="008401DD">
        <w:t>bava</w:t>
      </w:r>
      <w:r w:rsidRPr="008401DD">
        <w:t xml:space="preserve"> vode pa poteka neprekinjeno</w:t>
      </w:r>
      <w:r w:rsidR="0035730C" w:rsidRPr="008401DD">
        <w:t>. Z zagotovitvijo zadostnih količin tehnične vode za delovanje industrijskih in ostalih podjetij v regiji, se na dolgi rok spodbuja tudi razvoj gospodarstva in privablja morebitn</w:t>
      </w:r>
      <w:r w:rsidR="00743496" w:rsidRPr="008401DD">
        <w:t xml:space="preserve">e tuje ali domače investitorje. </w:t>
      </w:r>
    </w:p>
    <w:p w14:paraId="0786166D" w14:textId="77777777" w:rsidR="007346A5" w:rsidRPr="008401DD" w:rsidRDefault="007346A5" w:rsidP="00960E68">
      <w:pPr>
        <w:jc w:val="both"/>
      </w:pPr>
    </w:p>
    <w:p w14:paraId="1838B732" w14:textId="46C7992C" w:rsidR="007346A5" w:rsidRPr="008401DD" w:rsidRDefault="007346A5" w:rsidP="00B8121B">
      <w:p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8401DD">
        <w:rPr>
          <w:rFonts w:cs="Arial"/>
          <w:i/>
          <w:iCs/>
          <w:u w:val="single"/>
        </w:rPr>
        <w:lastRenderedPageBreak/>
        <w:t>Priporočilo</w:t>
      </w:r>
      <w:r w:rsidR="00F30024" w:rsidRPr="008401DD">
        <w:rPr>
          <w:rFonts w:cs="Arial"/>
          <w:i/>
          <w:iCs/>
          <w:u w:val="single"/>
        </w:rPr>
        <w:t xml:space="preserve"> 4.1.</w:t>
      </w:r>
      <w:r w:rsidRPr="008401DD">
        <w:rPr>
          <w:rFonts w:cs="Arial"/>
          <w:i/>
          <w:iCs/>
        </w:rPr>
        <w:t xml:space="preserve">: </w:t>
      </w:r>
      <w:r w:rsidR="514A69D9" w:rsidRPr="008401DD">
        <w:rPr>
          <w:rFonts w:cs="Arial"/>
          <w:i/>
          <w:iCs/>
        </w:rPr>
        <w:t xml:space="preserve">Glede na to, da se več občin v </w:t>
      </w:r>
      <w:r w:rsidR="008E1849" w:rsidRPr="008401DD">
        <w:rPr>
          <w:rFonts w:cs="Arial"/>
          <w:i/>
          <w:iCs/>
        </w:rPr>
        <w:t xml:space="preserve">Severni </w:t>
      </w:r>
      <w:r w:rsidR="514A69D9" w:rsidRPr="008401DD">
        <w:rPr>
          <w:rFonts w:cs="Arial"/>
          <w:i/>
          <w:iCs/>
        </w:rPr>
        <w:t xml:space="preserve">Makedoniji sooča s podobnimi izzivi zagotavljanja nemotene oskrbe s kakovostno pitno vodo, je smiselno v postopku zbiranja predlogov projektov </w:t>
      </w:r>
      <w:proofErr w:type="spellStart"/>
      <w:r w:rsidR="514A69D9" w:rsidRPr="008401DD">
        <w:rPr>
          <w:rFonts w:cs="Arial"/>
          <w:i/>
          <w:iCs/>
        </w:rPr>
        <w:t>prioritizirati</w:t>
      </w:r>
      <w:proofErr w:type="spellEnd"/>
      <w:r w:rsidR="514A69D9" w:rsidRPr="008401DD">
        <w:rPr>
          <w:rFonts w:cs="Arial"/>
          <w:i/>
          <w:iCs/>
        </w:rPr>
        <w:t xml:space="preserve"> tiste, ki so vsebinsko sorodni in se posledično lahko replicirajo z uporabo obstoječ</w:t>
      </w:r>
      <w:r w:rsidR="5CEC886B" w:rsidRPr="008401DD">
        <w:rPr>
          <w:rFonts w:cs="Arial"/>
          <w:i/>
          <w:iCs/>
        </w:rPr>
        <w:t>ega znanja in izkušenj. Gre denimo za</w:t>
      </w:r>
      <w:r w:rsidR="5E77AB91" w:rsidRPr="008401DD">
        <w:rPr>
          <w:rFonts w:cs="Arial"/>
          <w:i/>
          <w:iCs/>
        </w:rPr>
        <w:t xml:space="preserve"> projekte</w:t>
      </w:r>
      <w:r w:rsidRPr="008401DD">
        <w:rPr>
          <w:rFonts w:cs="Arial"/>
          <w:i/>
          <w:iCs/>
        </w:rPr>
        <w:t xml:space="preserve"> </w:t>
      </w:r>
      <w:r w:rsidRPr="008401DD">
        <w:rPr>
          <w:rFonts w:cs="Arial"/>
          <w:i/>
        </w:rPr>
        <w:t xml:space="preserve">vodne infrastrukture v drugih občinah, ki zajemajo vodo iz HS </w:t>
      </w:r>
      <w:proofErr w:type="spellStart"/>
      <w:r w:rsidRPr="008401DD">
        <w:rPr>
          <w:rFonts w:cs="Arial"/>
          <w:i/>
        </w:rPr>
        <w:t>Zletovica</w:t>
      </w:r>
      <w:proofErr w:type="spellEnd"/>
      <w:r w:rsidRPr="008401DD">
        <w:rPr>
          <w:rFonts w:cs="Arial"/>
          <w:i/>
        </w:rPr>
        <w:t xml:space="preserve"> </w:t>
      </w:r>
      <w:r w:rsidR="566F5F1D" w:rsidRPr="008401DD">
        <w:rPr>
          <w:rFonts w:cs="Arial"/>
          <w:i/>
          <w:iCs/>
        </w:rPr>
        <w:t>(</w:t>
      </w:r>
      <w:proofErr w:type="spellStart"/>
      <w:r w:rsidRPr="008401DD">
        <w:rPr>
          <w:rFonts w:cs="Arial"/>
          <w:i/>
        </w:rPr>
        <w:t>Štip</w:t>
      </w:r>
      <w:proofErr w:type="spellEnd"/>
      <w:r w:rsidRPr="008401DD">
        <w:rPr>
          <w:rFonts w:cs="Arial"/>
          <w:i/>
        </w:rPr>
        <w:t>,</w:t>
      </w:r>
      <w:r w:rsidR="007148A5" w:rsidRPr="008401DD">
        <w:rPr>
          <w:rFonts w:cs="Arial"/>
          <w:i/>
        </w:rPr>
        <w:t xml:space="preserve"> </w:t>
      </w:r>
      <w:proofErr w:type="spellStart"/>
      <w:r w:rsidRPr="008401DD">
        <w:rPr>
          <w:rFonts w:cs="Arial"/>
          <w:i/>
        </w:rPr>
        <w:t>Karvinci</w:t>
      </w:r>
      <w:proofErr w:type="spellEnd"/>
      <w:r w:rsidRPr="008401DD">
        <w:rPr>
          <w:rFonts w:cs="Arial"/>
          <w:i/>
        </w:rPr>
        <w:t xml:space="preserve">, </w:t>
      </w:r>
      <w:proofErr w:type="spellStart"/>
      <w:r w:rsidRPr="008401DD">
        <w:rPr>
          <w:rFonts w:cs="Arial"/>
          <w:i/>
        </w:rPr>
        <w:t>Lozovo</w:t>
      </w:r>
      <w:proofErr w:type="spellEnd"/>
      <w:r w:rsidR="00DA05D4">
        <w:rPr>
          <w:rFonts w:cs="Arial"/>
          <w:i/>
          <w:iCs/>
        </w:rPr>
        <w:t xml:space="preserve"> ipd.</w:t>
      </w:r>
      <w:r w:rsidR="29B557FA" w:rsidRPr="008401DD">
        <w:rPr>
          <w:rFonts w:cs="Arial"/>
          <w:i/>
          <w:iCs/>
        </w:rPr>
        <w:t xml:space="preserve">). Enako načelo naj </w:t>
      </w:r>
      <w:r w:rsidR="00AE44E5" w:rsidRPr="008401DD">
        <w:rPr>
          <w:rFonts w:cs="Arial"/>
          <w:i/>
          <w:iCs/>
        </w:rPr>
        <w:t xml:space="preserve">velja </w:t>
      </w:r>
      <w:r w:rsidR="29B557FA" w:rsidRPr="008401DD">
        <w:rPr>
          <w:rFonts w:cs="Arial"/>
          <w:i/>
          <w:iCs/>
        </w:rPr>
        <w:t>za ostale vrste projektov</w:t>
      </w:r>
      <w:r w:rsidR="00AE44E5" w:rsidRPr="008401DD">
        <w:rPr>
          <w:rFonts w:cs="Arial"/>
          <w:i/>
          <w:iCs/>
        </w:rPr>
        <w:t xml:space="preserve"> (npr. investicije na področju ravnanja z odpadki ali komunalne infrastrukture)</w:t>
      </w:r>
      <w:r w:rsidR="29B557FA" w:rsidRPr="008401DD">
        <w:rPr>
          <w:rFonts w:cs="Arial"/>
          <w:i/>
          <w:iCs/>
        </w:rPr>
        <w:t>. Dodana vrednost projektov se lahko še poveča na način, da se posebna pozornost posveti projektom</w:t>
      </w:r>
      <w:r w:rsidRPr="008401DD">
        <w:rPr>
          <w:rFonts w:cs="Arial"/>
          <w:i/>
          <w:iCs/>
        </w:rPr>
        <w:t xml:space="preserve"> </w:t>
      </w:r>
      <w:r w:rsidRPr="008401DD">
        <w:rPr>
          <w:rFonts w:cs="Arial"/>
          <w:i/>
        </w:rPr>
        <w:t>z regionalno dimenzijo (</w:t>
      </w:r>
      <w:r w:rsidR="3CB74146" w:rsidRPr="008401DD">
        <w:rPr>
          <w:rFonts w:cs="Arial"/>
          <w:i/>
          <w:iCs/>
        </w:rPr>
        <w:t xml:space="preserve">npr. </w:t>
      </w:r>
      <w:r w:rsidR="007148A5" w:rsidRPr="008401DD">
        <w:rPr>
          <w:rFonts w:cs="Arial"/>
          <w:i/>
          <w:iCs/>
        </w:rPr>
        <w:t>r</w:t>
      </w:r>
      <w:r w:rsidR="3CB74146" w:rsidRPr="008401DD">
        <w:rPr>
          <w:rFonts w:cs="Arial"/>
          <w:i/>
          <w:iCs/>
        </w:rPr>
        <w:t>egionalni centri za ravnanje</w:t>
      </w:r>
      <w:r w:rsidRPr="008401DD">
        <w:rPr>
          <w:rFonts w:cs="Arial"/>
          <w:i/>
        </w:rPr>
        <w:t xml:space="preserve"> z odpadki, </w:t>
      </w:r>
      <w:r w:rsidR="26C94C55" w:rsidRPr="008401DD">
        <w:rPr>
          <w:rFonts w:cs="Arial"/>
          <w:i/>
          <w:iCs/>
        </w:rPr>
        <w:t>medobčinska</w:t>
      </w:r>
      <w:r w:rsidRPr="008401DD">
        <w:rPr>
          <w:rFonts w:cs="Arial"/>
          <w:i/>
        </w:rPr>
        <w:t xml:space="preserve"> vodna infrastruktura, ipd.).</w:t>
      </w:r>
    </w:p>
    <w:p w14:paraId="24C4E9E1" w14:textId="7EA36DB6" w:rsidR="000A15C9" w:rsidRPr="008401DD" w:rsidRDefault="000A15C9" w:rsidP="00960E68">
      <w:pPr>
        <w:jc w:val="both"/>
      </w:pPr>
    </w:p>
    <w:p w14:paraId="4BC2A7E0" w14:textId="7F5A6F26" w:rsidR="000A15C9" w:rsidRPr="008401DD" w:rsidRDefault="000A15C9"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4.2:</w:t>
      </w:r>
      <w:r w:rsidRPr="008401DD">
        <w:rPr>
          <w:rFonts w:cs="Arial"/>
          <w:color w:val="67C18C"/>
        </w:rPr>
        <w:t xml:space="preserve"> </w:t>
      </w:r>
      <w:r w:rsidRPr="008401DD">
        <w:rPr>
          <w:rFonts w:cs="Arial"/>
          <w:i/>
          <w:color w:val="67C18C"/>
        </w:rPr>
        <w:t>Kakšni so morebitni negativni vplivi projektov oz. tveganja, ki bi se v prihodnosti uresničila?</w:t>
      </w:r>
    </w:p>
    <w:p w14:paraId="0319CF2D" w14:textId="77777777" w:rsidR="00B85B43" w:rsidRDefault="00B85B43" w:rsidP="00960E68">
      <w:pPr>
        <w:jc w:val="both"/>
      </w:pPr>
    </w:p>
    <w:p w14:paraId="18C09E83" w14:textId="4A38E0ED" w:rsidR="000A15C9" w:rsidRPr="008401DD" w:rsidRDefault="00F264FF" w:rsidP="00960E68">
      <w:pPr>
        <w:jc w:val="both"/>
      </w:pPr>
      <w:r w:rsidRPr="008401DD">
        <w:t>Morebitnih negativnih vplivov, ki bi se lahko uresničili v prihodnosti</w:t>
      </w:r>
      <w:r w:rsidR="00B24F92" w:rsidRPr="008401DD">
        <w:t>,</w:t>
      </w:r>
      <w:r w:rsidRPr="008401DD">
        <w:t xml:space="preserve"> nismo zaznali.</w:t>
      </w:r>
    </w:p>
    <w:p w14:paraId="0C6D9F17" w14:textId="7F5777F8" w:rsidR="1E58B54F" w:rsidRPr="008401DD" w:rsidRDefault="1E58B54F" w:rsidP="00960E68">
      <w:pPr>
        <w:jc w:val="both"/>
      </w:pPr>
    </w:p>
    <w:p w14:paraId="5632F32E" w14:textId="64693D33" w:rsidR="00F264FF" w:rsidRPr="008401DD" w:rsidRDefault="00F264FF" w:rsidP="00960E68">
      <w:pPr>
        <w:jc w:val="both"/>
      </w:pPr>
      <w:r w:rsidRPr="008401DD">
        <w:t>Tveganja, ki bi se lahko uresničila</w:t>
      </w:r>
      <w:r w:rsidR="00EE0970" w:rsidRPr="008401DD">
        <w:t>,</w:t>
      </w:r>
      <w:r w:rsidRPr="008401DD">
        <w:t xml:space="preserve"> so predvsem vezana na zagotavljanje sredstev za vzdrževanje zgrajenih/prenovljenih objektov vodne infrastrukture in </w:t>
      </w:r>
      <w:r w:rsidR="00D924E9" w:rsidRPr="008401DD">
        <w:t xml:space="preserve">posledično </w:t>
      </w:r>
      <w:r w:rsidRPr="008401DD">
        <w:t>sposobnost vzdrževanja doseženih rezultatov na dolgi rok (</w:t>
      </w:r>
      <w:r w:rsidR="007E77AE">
        <w:t>gledati</w:t>
      </w:r>
      <w:r w:rsidRPr="008401DD">
        <w:t xml:space="preserve"> </w:t>
      </w:r>
      <w:proofErr w:type="spellStart"/>
      <w:r w:rsidRPr="008401DD">
        <w:t>evalvacijsko</w:t>
      </w:r>
      <w:proofErr w:type="spellEnd"/>
      <w:r w:rsidRPr="008401DD">
        <w:t xml:space="preserve"> vprašanje 5.2). </w:t>
      </w:r>
    </w:p>
    <w:p w14:paraId="027FE196" w14:textId="521C104D" w:rsidR="00A418B4" w:rsidRPr="008401DD" w:rsidRDefault="00A418B4" w:rsidP="00960E68">
      <w:pPr>
        <w:spacing w:line="240" w:lineRule="auto"/>
        <w:jc w:val="both"/>
        <w:rPr>
          <w:rFonts w:cs="Arial"/>
          <w:i/>
          <w:color w:val="67C18C"/>
          <w:szCs w:val="20"/>
        </w:rPr>
      </w:pPr>
    </w:p>
    <w:p w14:paraId="70D1F99A" w14:textId="5EF9E026" w:rsidR="00F4386E" w:rsidRPr="008401DD" w:rsidRDefault="00F4386E" w:rsidP="006F317B">
      <w:pPr>
        <w:pStyle w:val="Heading3"/>
      </w:pPr>
      <w:bookmarkStart w:id="131" w:name="_Toc56088911"/>
      <w:bookmarkStart w:id="132" w:name="_Toc56112205"/>
      <w:bookmarkStart w:id="133" w:name="_Toc57377182"/>
      <w:r w:rsidRPr="008401DD">
        <w:t>Trajnost</w:t>
      </w:r>
      <w:bookmarkEnd w:id="131"/>
      <w:bookmarkEnd w:id="132"/>
      <w:bookmarkEnd w:id="133"/>
    </w:p>
    <w:p w14:paraId="50D1EEE8" w14:textId="1702F93E" w:rsidR="00A418B4" w:rsidRPr="008401DD" w:rsidRDefault="00A418B4" w:rsidP="00960E68">
      <w:pPr>
        <w:spacing w:line="240" w:lineRule="auto"/>
        <w:jc w:val="both"/>
        <w:rPr>
          <w:rFonts w:cs="Arial"/>
          <w:i/>
          <w:color w:val="67C18C"/>
          <w:szCs w:val="20"/>
        </w:rPr>
      </w:pPr>
    </w:p>
    <w:p w14:paraId="286BBBFA" w14:textId="7F84D971" w:rsidR="00F4386E" w:rsidRPr="008401DD" w:rsidRDefault="00F4386E" w:rsidP="00960E68">
      <w:pPr>
        <w:shd w:val="clear" w:color="auto" w:fill="67C18C"/>
        <w:rPr>
          <w:rFonts w:cs="Arial"/>
          <w:i/>
          <w:color w:val="67C18C"/>
        </w:rPr>
      </w:pPr>
      <w:r w:rsidRPr="008401DD">
        <w:rPr>
          <w:rFonts w:eastAsiaTheme="majorEastAsia" w:cs="Arial"/>
          <w:b/>
          <w:iCs/>
          <w:color w:val="FFFFFF" w:themeColor="background1"/>
        </w:rPr>
        <w:t xml:space="preserve">V kolikšni meri se neto koristi projektov nadaljujejo po zaključku projektnih aktivnosti mednarodnega razvojnega sodelovanja. </w:t>
      </w:r>
      <w:r w:rsidRPr="008401DD">
        <w:rPr>
          <w:rFonts w:cs="Arial"/>
          <w:b/>
          <w:color w:val="67C18C"/>
        </w:rPr>
        <w:t>vprašanje 4.1:</w:t>
      </w:r>
      <w:r w:rsidRPr="008401DD">
        <w:rPr>
          <w:rFonts w:cs="Arial"/>
          <w:color w:val="67C18C"/>
        </w:rPr>
        <w:t xml:space="preserve"> </w:t>
      </w:r>
      <w:r w:rsidRPr="008401DD">
        <w:rPr>
          <w:rFonts w:cs="Arial"/>
          <w:i/>
          <w:color w:val="67C18C"/>
        </w:rPr>
        <w:t xml:space="preserve">Ali ima projekt potencialni </w:t>
      </w:r>
    </w:p>
    <w:p w14:paraId="0E60E284" w14:textId="77777777" w:rsidR="00B85B43" w:rsidRDefault="00B85B43" w:rsidP="00960E68">
      <w:pPr>
        <w:spacing w:line="276" w:lineRule="auto"/>
        <w:rPr>
          <w:rFonts w:cs="Arial"/>
          <w:b/>
          <w:color w:val="67C18C"/>
        </w:rPr>
      </w:pPr>
    </w:p>
    <w:p w14:paraId="48172D60" w14:textId="57EF3213" w:rsidR="00F4386E" w:rsidRPr="008401DD" w:rsidRDefault="00F4386E" w:rsidP="00960E68">
      <w:pPr>
        <w:spacing w:line="276" w:lineRule="auto"/>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5.1:</w:t>
      </w:r>
      <w:r w:rsidRPr="008401DD">
        <w:rPr>
          <w:rFonts w:cs="Arial"/>
          <w:color w:val="67C18C"/>
        </w:rPr>
        <w:t xml:space="preserve"> </w:t>
      </w:r>
      <w:r w:rsidRPr="008401DD">
        <w:rPr>
          <w:rFonts w:cs="Arial"/>
          <w:i/>
          <w:color w:val="67C18C"/>
        </w:rPr>
        <w:t>Ali se je uporabilo mehko pogojevanje za zagotavljanje lokalnega lastništva rezultatov (npr. zaveze glede financiranja stroškov vzdrževanja) pa tudi samo doseganje načrtovanih rezultatov?</w:t>
      </w:r>
    </w:p>
    <w:p w14:paraId="7849BBD6" w14:textId="77777777" w:rsidR="00B85B43" w:rsidRDefault="00B85B43" w:rsidP="00960E68">
      <w:pPr>
        <w:spacing w:line="276" w:lineRule="auto"/>
        <w:jc w:val="both"/>
      </w:pPr>
    </w:p>
    <w:p w14:paraId="218A4257" w14:textId="06F17608" w:rsidR="00B46E24" w:rsidRPr="008401DD" w:rsidRDefault="00B46E24" w:rsidP="00960E68">
      <w:pPr>
        <w:spacing w:line="276" w:lineRule="auto"/>
        <w:jc w:val="both"/>
      </w:pPr>
      <w:r w:rsidRPr="008401DD">
        <w:t xml:space="preserve">V </w:t>
      </w:r>
      <w:proofErr w:type="spellStart"/>
      <w:r w:rsidRPr="008401DD">
        <w:t>donacijskih</w:t>
      </w:r>
      <w:proofErr w:type="spellEnd"/>
      <w:r w:rsidRPr="008401DD">
        <w:t xml:space="preserve"> pogodbah zaveze glede financiranja stroškov vzdrževanja in ohranjanje doseženih rezultatov niso vključene</w:t>
      </w:r>
      <w:r w:rsidR="007346A5" w:rsidRPr="008401DD">
        <w:t xml:space="preserve">, mehanizmi za zagotavljanje trajnosti rezultatov pa </w:t>
      </w:r>
      <w:r w:rsidR="2C3952CA" w:rsidRPr="008401DD">
        <w:t>posledično</w:t>
      </w:r>
      <w:r w:rsidR="007346A5" w:rsidRPr="008401DD">
        <w:t xml:space="preserve"> niso </w:t>
      </w:r>
      <w:r w:rsidR="28E3245C" w:rsidRPr="008401DD">
        <w:t xml:space="preserve">pogodbeno </w:t>
      </w:r>
      <w:r w:rsidR="007346A5" w:rsidRPr="008401DD">
        <w:t>zagotovljeni</w:t>
      </w:r>
      <w:r w:rsidRPr="008401DD">
        <w:t xml:space="preserve">. </w:t>
      </w:r>
      <w:r w:rsidR="00C127E6" w:rsidRPr="008401DD">
        <w:rPr>
          <w:rFonts w:cs="Arial"/>
        </w:rPr>
        <w:t xml:space="preserve">Lokalno lastništvo se </w:t>
      </w:r>
      <w:r w:rsidRPr="008401DD">
        <w:rPr>
          <w:rFonts w:cs="Arial"/>
        </w:rPr>
        <w:t xml:space="preserve">sicer </w:t>
      </w:r>
      <w:r w:rsidR="006D12BB" w:rsidRPr="008401DD">
        <w:rPr>
          <w:rFonts w:cs="Arial"/>
        </w:rPr>
        <w:t>zagotavlja</w:t>
      </w:r>
      <w:r w:rsidR="00C127E6" w:rsidRPr="008401DD">
        <w:rPr>
          <w:rFonts w:cs="Arial"/>
        </w:rPr>
        <w:t xml:space="preserve"> preko sofinanciranja s strani države prejemnice, pri čemer v primeru infrastrukturnih projektov ta stopnja znaša praviloma 50</w:t>
      </w:r>
      <w:r w:rsidR="00B24F92" w:rsidRPr="008401DD">
        <w:rPr>
          <w:rFonts w:cs="Arial"/>
        </w:rPr>
        <w:t xml:space="preserve"> </w:t>
      </w:r>
      <w:r w:rsidR="00C127E6" w:rsidRPr="008401DD">
        <w:rPr>
          <w:rFonts w:cs="Arial"/>
        </w:rPr>
        <w:t>%</w:t>
      </w:r>
      <w:r w:rsidR="10F6BBF3" w:rsidRPr="008401DD">
        <w:rPr>
          <w:rFonts w:cs="Arial"/>
        </w:rPr>
        <w:t>. Stopnja sofinanciranja temelji na n</w:t>
      </w:r>
      <w:r w:rsidR="163AABAD" w:rsidRPr="008401DD">
        <w:rPr>
          <w:rFonts w:cs="Arial"/>
        </w:rPr>
        <w:t>ačelih dogovorih med resorji, pri čemer kriteriji</w:t>
      </w:r>
      <w:r w:rsidR="00C127E6" w:rsidRPr="008401DD">
        <w:rPr>
          <w:rFonts w:cs="Arial"/>
        </w:rPr>
        <w:t xml:space="preserve"> za določitev stopnje</w:t>
      </w:r>
      <w:r w:rsidR="163AABAD" w:rsidRPr="008401DD">
        <w:rPr>
          <w:rFonts w:cs="Arial"/>
        </w:rPr>
        <w:t xml:space="preserve"> v posameznih primerih niso opredeljeni vnaprej</w:t>
      </w:r>
      <w:r w:rsidR="00C127E6" w:rsidRPr="008401DD">
        <w:rPr>
          <w:rFonts w:cs="Arial"/>
        </w:rPr>
        <w:t>.</w:t>
      </w:r>
    </w:p>
    <w:p w14:paraId="1B995538" w14:textId="411A1AFD" w:rsidR="00C127E6" w:rsidRPr="008401DD" w:rsidRDefault="00C127E6" w:rsidP="00960E68">
      <w:pPr>
        <w:spacing w:line="240" w:lineRule="auto"/>
        <w:jc w:val="both"/>
        <w:rPr>
          <w:rFonts w:cs="Arial"/>
        </w:rPr>
      </w:pPr>
      <w:r w:rsidRPr="008401DD">
        <w:rPr>
          <w:rFonts w:cs="Arial"/>
        </w:rPr>
        <w:t xml:space="preserve"> </w:t>
      </w:r>
    </w:p>
    <w:p w14:paraId="284EC88C" w14:textId="218CB838" w:rsidR="003A57C9" w:rsidRPr="008401DD" w:rsidRDefault="00B46E24"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rFonts w:cs="Arial"/>
          <w:i/>
          <w:u w:val="single"/>
        </w:rPr>
        <w:t>Priporočilo</w:t>
      </w:r>
      <w:r w:rsidR="00F30024" w:rsidRPr="008401DD">
        <w:rPr>
          <w:rFonts w:cs="Arial"/>
          <w:i/>
          <w:u w:val="single"/>
        </w:rPr>
        <w:t xml:space="preserve"> 5.1.</w:t>
      </w:r>
      <w:r w:rsidRPr="008401DD">
        <w:rPr>
          <w:rFonts w:cs="Arial"/>
          <w:i/>
        </w:rPr>
        <w:t xml:space="preserve">: </w:t>
      </w:r>
      <w:r w:rsidR="5B26E027" w:rsidRPr="008401DD">
        <w:rPr>
          <w:rFonts w:cs="Arial"/>
          <w:i/>
          <w:iCs/>
        </w:rPr>
        <w:t>Lokalno las</w:t>
      </w:r>
      <w:r w:rsidR="5B26E027" w:rsidRPr="008401DD">
        <w:rPr>
          <w:i/>
          <w:iCs/>
        </w:rPr>
        <w:t>tništvo naj se zagotavlja na sistemski način, da se ukrepi</w:t>
      </w:r>
      <w:r w:rsidR="54CC34CE" w:rsidRPr="008401DD">
        <w:rPr>
          <w:i/>
          <w:iCs/>
        </w:rPr>
        <w:t xml:space="preserve"> za </w:t>
      </w:r>
      <w:r w:rsidR="380E5511" w:rsidRPr="008401DD">
        <w:rPr>
          <w:i/>
          <w:iCs/>
        </w:rPr>
        <w:t>zagotavljan</w:t>
      </w:r>
      <w:r w:rsidR="3E6B7705" w:rsidRPr="008401DD">
        <w:rPr>
          <w:i/>
          <w:iCs/>
        </w:rPr>
        <w:t>je</w:t>
      </w:r>
      <w:r w:rsidR="54CC34CE" w:rsidRPr="008401DD">
        <w:rPr>
          <w:i/>
          <w:iCs/>
        </w:rPr>
        <w:t xml:space="preserve"> lokalnega lastništva</w:t>
      </w:r>
      <w:r w:rsidR="5321C902" w:rsidRPr="008401DD">
        <w:rPr>
          <w:i/>
          <w:iCs/>
        </w:rPr>
        <w:t xml:space="preserve"> predvidijo že v fazi zasnove </w:t>
      </w:r>
      <w:r w:rsidR="0C01B866" w:rsidRPr="008401DD">
        <w:rPr>
          <w:i/>
          <w:iCs/>
        </w:rPr>
        <w:t>projektov</w:t>
      </w:r>
      <w:r w:rsidRPr="008401DD">
        <w:rPr>
          <w:i/>
        </w:rPr>
        <w:t xml:space="preserve">, in sicer kot obvezno </w:t>
      </w:r>
      <w:r w:rsidR="43B8347B" w:rsidRPr="008401DD">
        <w:rPr>
          <w:i/>
          <w:iCs/>
        </w:rPr>
        <w:t xml:space="preserve">opisno </w:t>
      </w:r>
      <w:r w:rsidRPr="008401DD">
        <w:rPr>
          <w:i/>
        </w:rPr>
        <w:t xml:space="preserve">polje v standardiziranih obrazcih projektnih predlogov. </w:t>
      </w:r>
      <w:r w:rsidR="15D67E8F" w:rsidRPr="008401DD">
        <w:rPr>
          <w:i/>
          <w:iCs/>
        </w:rPr>
        <w:t>Upoštevajoč naravo projekta ti ukrepi lahko obsegajo zaveze glede vzdrževanja, prenosa znanja, nadgradnje oz. ustvarjanja sinergij z drugimi projekti ipd.</w:t>
      </w:r>
      <w:r w:rsidR="00091B6E" w:rsidRPr="008401DD">
        <w:rPr>
          <w:i/>
          <w:iCs/>
        </w:rPr>
        <w:t xml:space="preserve"> </w:t>
      </w:r>
      <w:r w:rsidR="7B50D4B1" w:rsidRPr="008401DD">
        <w:rPr>
          <w:i/>
          <w:iCs/>
        </w:rPr>
        <w:t xml:space="preserve">Eno od možnih orodij je vključitev tovrstnih ukrepov v </w:t>
      </w:r>
      <w:proofErr w:type="spellStart"/>
      <w:r w:rsidR="7B50D4B1" w:rsidRPr="008401DD">
        <w:rPr>
          <w:i/>
          <w:iCs/>
        </w:rPr>
        <w:t>donacijske</w:t>
      </w:r>
      <w:proofErr w:type="spellEnd"/>
      <w:r w:rsidR="7B50D4B1" w:rsidRPr="008401DD">
        <w:rPr>
          <w:i/>
          <w:iCs/>
        </w:rPr>
        <w:t xml:space="preserve"> pogodbe kot ukrep mehkega pogojevanja</w:t>
      </w:r>
      <w:r w:rsidR="00091B6E" w:rsidRPr="008401DD">
        <w:rPr>
          <w:i/>
          <w:iCs/>
        </w:rPr>
        <w:t xml:space="preserve"> </w:t>
      </w:r>
      <w:r w:rsidR="7B50D4B1" w:rsidRPr="008401DD">
        <w:rPr>
          <w:i/>
          <w:iCs/>
        </w:rPr>
        <w:t xml:space="preserve">(gre za </w:t>
      </w:r>
      <w:r w:rsidR="00BC20CE" w:rsidRPr="008401DD">
        <w:rPr>
          <w:i/>
        </w:rPr>
        <w:t xml:space="preserve">pogojevanje </w:t>
      </w:r>
      <w:r w:rsidR="2FD6BEA1" w:rsidRPr="008401DD">
        <w:rPr>
          <w:i/>
          <w:iCs/>
        </w:rPr>
        <w:t xml:space="preserve">financiranja </w:t>
      </w:r>
      <w:r w:rsidR="002E4FCB" w:rsidRPr="008401DD">
        <w:rPr>
          <w:i/>
          <w:iCs/>
        </w:rPr>
        <w:t>z določenimi</w:t>
      </w:r>
      <w:r w:rsidR="1EE59F97" w:rsidRPr="008401DD">
        <w:rPr>
          <w:i/>
          <w:iCs/>
        </w:rPr>
        <w:t xml:space="preserve"> </w:t>
      </w:r>
      <w:r w:rsidR="2FD6BEA1" w:rsidRPr="008401DD">
        <w:rPr>
          <w:i/>
          <w:iCs/>
        </w:rPr>
        <w:t>zavezami upravičenca oz. prejemnika sredstev)</w:t>
      </w:r>
      <w:r w:rsidR="7D796827" w:rsidRPr="008401DD">
        <w:rPr>
          <w:i/>
          <w:iCs/>
        </w:rPr>
        <w:t>.</w:t>
      </w:r>
      <w:r w:rsidR="00BC20CE" w:rsidRPr="008401DD">
        <w:rPr>
          <w:i/>
        </w:rPr>
        <w:t xml:space="preserve"> </w:t>
      </w:r>
      <w:r w:rsidR="004B20B7" w:rsidRPr="008401DD">
        <w:rPr>
          <w:i/>
        </w:rPr>
        <w:t xml:space="preserve">Dodatno predlagamo uvrstitev elementa trajnosti (kazalnike za spremljanje trajnosti), skupaj z aktivnostmi, ki bodo to trajnost zagotovile, med merila za izbor in poročanje projektov. </w:t>
      </w:r>
      <w:r w:rsidR="00BC20CE" w:rsidRPr="008401DD">
        <w:rPr>
          <w:i/>
        </w:rPr>
        <w:t>V primeru infrastrukturnih projektov naj se mehko pogojevanje uporablja za zagotavljanje lokalnega lastništva rezultatov (npr. zaveze glede financiranja stroškov vzdrževanja) pa tudi samo doseganje načrtovanih rezultatov.</w:t>
      </w:r>
    </w:p>
    <w:p w14:paraId="3F82C76D" w14:textId="77777777" w:rsidR="00F4386E" w:rsidRPr="008401DD" w:rsidRDefault="00F4386E" w:rsidP="00960E68">
      <w:pPr>
        <w:spacing w:line="276" w:lineRule="auto"/>
        <w:rPr>
          <w:rFonts w:cs="Arial"/>
          <w:i/>
          <w:color w:val="67C18C"/>
        </w:rPr>
      </w:pPr>
    </w:p>
    <w:p w14:paraId="540251CB" w14:textId="7582653D" w:rsidR="00F4386E" w:rsidRPr="008401DD" w:rsidRDefault="00F4386E"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5.2:</w:t>
      </w:r>
      <w:r w:rsidRPr="008401DD">
        <w:rPr>
          <w:rFonts w:cs="Arial"/>
          <w:color w:val="67C18C"/>
        </w:rPr>
        <w:t xml:space="preserve"> </w:t>
      </w:r>
      <w:r w:rsidRPr="008401DD">
        <w:rPr>
          <w:rFonts w:cs="Arial"/>
          <w:i/>
          <w:color w:val="67C18C"/>
        </w:rPr>
        <w:t>V kolikšni meri je prejemnik pomoči sposoben in pripravljen vzdrževati pozitivne vplive projekta brez podpore na dolgi rok?</w:t>
      </w:r>
    </w:p>
    <w:p w14:paraId="54BE95F4" w14:textId="77777777" w:rsidR="00B85B43" w:rsidRDefault="00B85B43" w:rsidP="00960E68">
      <w:pPr>
        <w:spacing w:line="276" w:lineRule="auto"/>
        <w:jc w:val="both"/>
      </w:pPr>
    </w:p>
    <w:p w14:paraId="24DA0852" w14:textId="3E18B402" w:rsidR="003D364C" w:rsidRPr="008401DD" w:rsidRDefault="003D364C" w:rsidP="00960E68">
      <w:pPr>
        <w:spacing w:line="276" w:lineRule="auto"/>
        <w:jc w:val="both"/>
      </w:pPr>
      <w:r w:rsidRPr="008401DD">
        <w:t xml:space="preserve">Glavna vira trajnosti, in s tem zagotavljanja pozitivnih učinkov projekta tudi po prenehanju podpore, sta mehko pogojevanje in </w:t>
      </w:r>
      <w:proofErr w:type="spellStart"/>
      <w:r w:rsidRPr="008401DD">
        <w:t>opolnomočenje</w:t>
      </w:r>
      <w:proofErr w:type="spellEnd"/>
      <w:r w:rsidRPr="008401DD">
        <w:t xml:space="preserve"> prejemnikov koristi. Slednje izvajalci projektov zagotavljajo predvsem preko različnih usposabljanj in izobraževanj.</w:t>
      </w:r>
    </w:p>
    <w:p w14:paraId="6DCA7650" w14:textId="460A21C5" w:rsidR="56BC9E5A" w:rsidRPr="008401DD" w:rsidRDefault="56BC9E5A" w:rsidP="00960E68">
      <w:pPr>
        <w:spacing w:line="276" w:lineRule="auto"/>
        <w:jc w:val="both"/>
      </w:pPr>
    </w:p>
    <w:p w14:paraId="3CDF95A7" w14:textId="5B80C6D9" w:rsidR="003D364C" w:rsidRPr="008401DD" w:rsidRDefault="003D364C" w:rsidP="00960E68">
      <w:pPr>
        <w:spacing w:line="276" w:lineRule="auto"/>
        <w:jc w:val="both"/>
      </w:pPr>
      <w:r w:rsidRPr="008401DD">
        <w:t xml:space="preserve">Izvajalci obeh projektov, Iskra sistemi </w:t>
      </w:r>
      <w:proofErr w:type="spellStart"/>
      <w:r w:rsidRPr="008401DD">
        <w:t>d.d</w:t>
      </w:r>
      <w:proofErr w:type="spellEnd"/>
      <w:r w:rsidRPr="008401DD">
        <w:t>., Iskra sistemi</w:t>
      </w:r>
      <w:r w:rsidR="0DE1990E" w:rsidRPr="008401DD">
        <w:t xml:space="preserve"> </w:t>
      </w:r>
      <w:r w:rsidRPr="008401DD">
        <w:t xml:space="preserve">- M D.O.O.E.L in Fortuna inženiring </w:t>
      </w:r>
      <w:proofErr w:type="spellStart"/>
      <w:r w:rsidRPr="008401DD">
        <w:t>d.o.o</w:t>
      </w:r>
      <w:proofErr w:type="spellEnd"/>
      <w:r w:rsidRPr="008401DD">
        <w:t>., so predali znanje o delovanju in vzdrževanju objektov na inženirje, zaposlene v komunalnem podjetju</w:t>
      </w:r>
      <w:r w:rsidR="4D73ABB4" w:rsidRPr="008401DD">
        <w:t>,</w:t>
      </w:r>
      <w:r w:rsidRPr="008401DD">
        <w:t xml:space="preserve"> in jih s tem usposobili, da so </w:t>
      </w:r>
      <w:r w:rsidR="00132431" w:rsidRPr="008401DD">
        <w:t xml:space="preserve">po zaključku projektov </w:t>
      </w:r>
      <w:r w:rsidRPr="008401DD">
        <w:t>sposobni sam</w:t>
      </w:r>
      <w:r w:rsidR="00132431" w:rsidRPr="008401DD">
        <w:t xml:space="preserve">i voditi in vzdrževati sisteme. </w:t>
      </w:r>
      <w:r w:rsidRPr="008401DD">
        <w:t>Seznanitev naročnika z obratovanjem objekta</w:t>
      </w:r>
      <w:r w:rsidR="065B8584" w:rsidRPr="008401DD">
        <w:t>,</w:t>
      </w:r>
      <w:r w:rsidRPr="008401DD">
        <w:t xml:space="preserve"> uvedba v delo z </w:t>
      </w:r>
      <w:r w:rsidR="049D4353" w:rsidRPr="008401DD">
        <w:t xml:space="preserve">na </w:t>
      </w:r>
      <w:r w:rsidRPr="008401DD">
        <w:t xml:space="preserve">novo vgrajenimi napravami </w:t>
      </w:r>
      <w:r w:rsidR="2D0C49ED" w:rsidRPr="008401DD">
        <w:t>in</w:t>
      </w:r>
      <w:r w:rsidRPr="008401DD">
        <w:t xml:space="preserve"> usposobitev upravljalca objekta za energetsko učinkovito uporabo objekta je </w:t>
      </w:r>
      <w:r w:rsidR="46493B50" w:rsidRPr="008401DD">
        <w:t>bila predvidena</w:t>
      </w:r>
      <w:r w:rsidRPr="008401DD">
        <w:t xml:space="preserve"> v </w:t>
      </w:r>
      <w:r w:rsidR="46493B50" w:rsidRPr="008401DD">
        <w:t xml:space="preserve">sami </w:t>
      </w:r>
      <w:r w:rsidRPr="008401DD">
        <w:t xml:space="preserve">komercialni pogodbi med naročnikom in izvajalcem. </w:t>
      </w:r>
    </w:p>
    <w:p w14:paraId="6000749F" w14:textId="77777777" w:rsidR="003D364C" w:rsidRPr="008401DD" w:rsidRDefault="003D364C" w:rsidP="00960E68">
      <w:pPr>
        <w:spacing w:line="276" w:lineRule="auto"/>
        <w:jc w:val="both"/>
      </w:pPr>
    </w:p>
    <w:p w14:paraId="096F64A2" w14:textId="77777777" w:rsidR="009071F0" w:rsidRDefault="27E8B3F3" w:rsidP="00960E68">
      <w:pPr>
        <w:spacing w:line="276" w:lineRule="auto"/>
        <w:jc w:val="both"/>
        <w:rPr>
          <w:rFonts w:eastAsiaTheme="minorEastAsia"/>
        </w:rPr>
      </w:pPr>
      <w:r w:rsidRPr="008401DD">
        <w:t xml:space="preserve">Iz pogovorov z lokalnimi deležniki, zlasti predstavniki občine </w:t>
      </w:r>
      <w:proofErr w:type="spellStart"/>
      <w:r w:rsidR="23724C7F" w:rsidRPr="008401DD">
        <w:t>Probištip</w:t>
      </w:r>
      <w:proofErr w:type="spellEnd"/>
      <w:r w:rsidR="23724C7F" w:rsidRPr="008401DD">
        <w:t xml:space="preserve"> </w:t>
      </w:r>
      <w:r w:rsidRPr="008401DD">
        <w:t>in komunalnega podje</w:t>
      </w:r>
      <w:r w:rsidR="1BF67095" w:rsidRPr="008401DD">
        <w:t xml:space="preserve">tja </w:t>
      </w:r>
      <w:r w:rsidRPr="008401DD">
        <w:t xml:space="preserve">Nikola </w:t>
      </w:r>
      <w:proofErr w:type="spellStart"/>
      <w:r w:rsidRPr="008401DD">
        <w:t>Karev</w:t>
      </w:r>
      <w:proofErr w:type="spellEnd"/>
      <w:r w:rsidRPr="008401DD">
        <w:t xml:space="preserve"> iz</w:t>
      </w:r>
      <w:r w:rsidR="64823E39" w:rsidRPr="008401DD">
        <w:t>h</w:t>
      </w:r>
      <w:r w:rsidRPr="008401DD">
        <w:t xml:space="preserve">aja, da </w:t>
      </w:r>
      <w:r w:rsidR="00FB1966" w:rsidRPr="008401DD">
        <w:t xml:space="preserve">financiranje </w:t>
      </w:r>
      <w:r w:rsidR="7674224F" w:rsidRPr="008401DD">
        <w:t>vzdrževanja in stroškov dela za omogočanje kontinuiranega obratovanja</w:t>
      </w:r>
      <w:r w:rsidR="00FB1966" w:rsidRPr="008401DD">
        <w:t xml:space="preserve"> objektov vodne infrastrukture</w:t>
      </w:r>
      <w:r w:rsidR="006C7443" w:rsidRPr="008401DD">
        <w:rPr>
          <w:rFonts w:eastAsiaTheme="minorEastAsia"/>
        </w:rPr>
        <w:t>, ki so bili zgrajeni/prenovljeni v sklopu obeh projektov</w:t>
      </w:r>
      <w:r w:rsidR="7B668784" w:rsidRPr="008401DD">
        <w:rPr>
          <w:rFonts w:eastAsiaTheme="minorEastAsia"/>
        </w:rPr>
        <w:t>,</w:t>
      </w:r>
      <w:r w:rsidR="00FB1966" w:rsidRPr="008401DD">
        <w:rPr>
          <w:rFonts w:eastAsiaTheme="minorEastAsia"/>
        </w:rPr>
        <w:t xml:space="preserve"> lahko predstavlja </w:t>
      </w:r>
      <w:r w:rsidR="6662B36A" w:rsidRPr="008401DD">
        <w:rPr>
          <w:rFonts w:eastAsiaTheme="minorEastAsia"/>
        </w:rPr>
        <w:t>izziv</w:t>
      </w:r>
      <w:r w:rsidR="00FB1966" w:rsidRPr="008401DD">
        <w:rPr>
          <w:rFonts w:eastAsiaTheme="minorEastAsia"/>
        </w:rPr>
        <w:t xml:space="preserve">. Nameščena je bila namreč </w:t>
      </w:r>
      <w:r w:rsidR="2ACB07F9" w:rsidRPr="008401DD">
        <w:rPr>
          <w:rFonts w:eastAsiaTheme="minorEastAsia"/>
        </w:rPr>
        <w:t xml:space="preserve">sicer </w:t>
      </w:r>
      <w:r w:rsidR="00FB1966" w:rsidRPr="008401DD">
        <w:rPr>
          <w:rFonts w:eastAsiaTheme="minorEastAsia"/>
        </w:rPr>
        <w:t>vrhunska</w:t>
      </w:r>
      <w:r w:rsidR="006D0C96" w:rsidRPr="008401DD">
        <w:rPr>
          <w:rFonts w:eastAsiaTheme="minorEastAsia"/>
        </w:rPr>
        <w:t xml:space="preserve"> oprema</w:t>
      </w:r>
      <w:r w:rsidR="00EE0970" w:rsidRPr="008401DD">
        <w:rPr>
          <w:rFonts w:eastAsiaTheme="minorEastAsia"/>
        </w:rPr>
        <w:t xml:space="preserve">, </w:t>
      </w:r>
      <w:r w:rsidR="00FB1966" w:rsidRPr="008401DD">
        <w:rPr>
          <w:rFonts w:eastAsiaTheme="minorEastAsia"/>
        </w:rPr>
        <w:t xml:space="preserve">ki </w:t>
      </w:r>
      <w:r w:rsidR="006D0C96" w:rsidRPr="008401DD">
        <w:rPr>
          <w:rFonts w:eastAsiaTheme="minorEastAsia"/>
        </w:rPr>
        <w:t xml:space="preserve">pa </w:t>
      </w:r>
      <w:r w:rsidR="00FB1966" w:rsidRPr="008401DD">
        <w:rPr>
          <w:rFonts w:eastAsiaTheme="minorEastAsia"/>
        </w:rPr>
        <w:t xml:space="preserve">ima </w:t>
      </w:r>
      <w:r w:rsidR="3D02DC0E" w:rsidRPr="008401DD">
        <w:rPr>
          <w:rFonts w:eastAsiaTheme="minorEastAsia"/>
        </w:rPr>
        <w:t>za posledico tu</w:t>
      </w:r>
      <w:r w:rsidR="009543A7" w:rsidRPr="008401DD">
        <w:rPr>
          <w:rFonts w:eastAsiaTheme="minorEastAsia"/>
        </w:rPr>
        <w:t>d</w:t>
      </w:r>
      <w:r w:rsidR="3D02DC0E" w:rsidRPr="008401DD">
        <w:rPr>
          <w:rFonts w:eastAsiaTheme="minorEastAsia"/>
        </w:rPr>
        <w:t>i sorazmerno vi</w:t>
      </w:r>
      <w:r w:rsidR="678BE8AA" w:rsidRPr="008401DD">
        <w:rPr>
          <w:rFonts w:eastAsiaTheme="minorEastAsia"/>
        </w:rPr>
        <w:t>s</w:t>
      </w:r>
      <w:r w:rsidR="3D02DC0E" w:rsidRPr="008401DD">
        <w:rPr>
          <w:rFonts w:eastAsiaTheme="minorEastAsia"/>
        </w:rPr>
        <w:t>oke</w:t>
      </w:r>
      <w:r w:rsidR="00FB1966" w:rsidRPr="008401DD">
        <w:rPr>
          <w:rFonts w:eastAsiaTheme="minorEastAsia"/>
        </w:rPr>
        <w:t xml:space="preserve"> stroške vzdrževanja</w:t>
      </w:r>
      <w:r w:rsidR="006D0C96" w:rsidRPr="008401DD">
        <w:rPr>
          <w:rFonts w:eastAsiaTheme="minorEastAsia"/>
        </w:rPr>
        <w:t xml:space="preserve">, zaradi potencialne nezmožnosti zagotavljanja sredstev za vzdrževanje, pa je morda </w:t>
      </w:r>
      <w:r w:rsidR="007F38B9" w:rsidRPr="008401DD">
        <w:rPr>
          <w:rFonts w:eastAsiaTheme="minorEastAsia"/>
        </w:rPr>
        <w:t>tudi predraga</w:t>
      </w:r>
      <w:r w:rsidR="00FB1966" w:rsidRPr="008401DD">
        <w:rPr>
          <w:rFonts w:eastAsiaTheme="minorEastAsia"/>
        </w:rPr>
        <w:t xml:space="preserve">. S prvim projektom je bilo nameščenih 9 modulov, ki </w:t>
      </w:r>
      <w:r w:rsidR="6A88CF56" w:rsidRPr="008401DD">
        <w:rPr>
          <w:rFonts w:eastAsiaTheme="minorEastAsia"/>
        </w:rPr>
        <w:t>jih je potrebno</w:t>
      </w:r>
      <w:r w:rsidR="00FB1966" w:rsidRPr="008401DD">
        <w:rPr>
          <w:rFonts w:eastAsiaTheme="minorEastAsia"/>
        </w:rPr>
        <w:t xml:space="preserve"> menjati v obdobju 7-10 let. Strošek menjave modulov je ocenjen na 180.000 EUR, </w:t>
      </w:r>
      <w:r w:rsidR="117925E7" w:rsidRPr="008401DD">
        <w:rPr>
          <w:rFonts w:eastAsiaTheme="minorEastAsia"/>
        </w:rPr>
        <w:t>teh sredstev</w:t>
      </w:r>
      <w:r w:rsidR="00FB1966" w:rsidRPr="008401DD">
        <w:rPr>
          <w:rFonts w:eastAsiaTheme="minorEastAsia"/>
        </w:rPr>
        <w:t xml:space="preserve"> pa komunalno podjetje Nikola </w:t>
      </w:r>
      <w:proofErr w:type="spellStart"/>
      <w:r w:rsidR="00FB1966" w:rsidRPr="008401DD">
        <w:rPr>
          <w:rFonts w:eastAsiaTheme="minorEastAsia"/>
        </w:rPr>
        <w:t>Karev</w:t>
      </w:r>
      <w:proofErr w:type="spellEnd"/>
      <w:r w:rsidR="00FB1966" w:rsidRPr="008401DD">
        <w:rPr>
          <w:rFonts w:eastAsiaTheme="minorEastAsia"/>
        </w:rPr>
        <w:t xml:space="preserve"> n</w:t>
      </w:r>
      <w:r w:rsidR="750D4B3D" w:rsidRPr="008401DD">
        <w:rPr>
          <w:rFonts w:eastAsiaTheme="minorEastAsia"/>
        </w:rPr>
        <w:t>e more zagotovi</w:t>
      </w:r>
      <w:r w:rsidR="00FB1966" w:rsidRPr="008401DD">
        <w:rPr>
          <w:rFonts w:eastAsiaTheme="minorEastAsia"/>
        </w:rPr>
        <w:t xml:space="preserve">ti. V primeru menjave modulov oz. ostale opreme bi bili potrebni zunanji viri financiranja, medtem ko stroške obratovanja, </w:t>
      </w:r>
      <w:r w:rsidR="4C3D1F17" w:rsidRPr="008401DD">
        <w:rPr>
          <w:rFonts w:eastAsiaTheme="minorEastAsia"/>
        </w:rPr>
        <w:t>stroške dela</w:t>
      </w:r>
      <w:r w:rsidR="00FB1966" w:rsidRPr="008401DD">
        <w:rPr>
          <w:rFonts w:eastAsiaTheme="minorEastAsia"/>
        </w:rPr>
        <w:t xml:space="preserve"> in osnovnega vzdrževanja še naprej </w:t>
      </w:r>
      <w:r w:rsidR="4A596340" w:rsidRPr="008401DD">
        <w:rPr>
          <w:rFonts w:eastAsiaTheme="minorEastAsia"/>
        </w:rPr>
        <w:t>lahko krije proračun</w:t>
      </w:r>
      <w:r w:rsidR="569A81CF" w:rsidRPr="008401DD">
        <w:rPr>
          <w:rFonts w:eastAsiaTheme="minorEastAsia"/>
        </w:rPr>
        <w:t xml:space="preserve"> k</w:t>
      </w:r>
      <w:r w:rsidR="00FB1966" w:rsidRPr="008401DD">
        <w:rPr>
          <w:rFonts w:eastAsiaTheme="minorEastAsia"/>
        </w:rPr>
        <w:t>omunalnega podjetja.</w:t>
      </w:r>
    </w:p>
    <w:p w14:paraId="11C0AEEA" w14:textId="77777777" w:rsidR="009071F0" w:rsidRDefault="009071F0" w:rsidP="00960E68">
      <w:pPr>
        <w:spacing w:line="276" w:lineRule="auto"/>
        <w:jc w:val="both"/>
        <w:rPr>
          <w:rFonts w:eastAsiaTheme="minorEastAsia"/>
        </w:rPr>
      </w:pPr>
    </w:p>
    <w:p w14:paraId="70D3670A" w14:textId="5233F4C2" w:rsidR="009071F0" w:rsidRDefault="009071F0" w:rsidP="00960E68">
      <w:pPr>
        <w:spacing w:line="276" w:lineRule="auto"/>
        <w:jc w:val="both"/>
        <w:rPr>
          <w:rFonts w:eastAsia="Times New Roman" w:cs="Calibri"/>
          <w:szCs w:val="24"/>
          <w:lang w:eastAsia="sl-SI"/>
        </w:rPr>
      </w:pPr>
      <w:r>
        <w:rPr>
          <w:rFonts w:eastAsia="Times New Roman" w:cs="Calibri"/>
          <w:szCs w:val="24"/>
          <w:lang w:eastAsia="sl-SI"/>
        </w:rPr>
        <w:t>V primeru konkretnih projektov predstavlja del problema trajnosti, ki bi ga bilo v prihodnje potrebno upoštevati v zasnovi projekta in projektni dokumentaciji, tudi način financiranja infrastrukture za oskrbo s pitno vodo, ki mora upoštevati tudi občutljivost prejemnikov pomoči na morebitno povečanje stroškov. Prihodki upravljavcev infrastrukture namreč zaradi regulacije cen in odsotnosti participacije končnih odjemalcev v financiranju infrastrukture (npr. preko sistema omrežnin), ki je posledica nizke kupne moči prebivalstva, ne omogočajo kritja dejanskih celotnih stroškov obratovanja in vzdrževanja.</w:t>
      </w:r>
    </w:p>
    <w:p w14:paraId="37115A7C" w14:textId="77777777" w:rsidR="009071F0" w:rsidRDefault="009071F0" w:rsidP="00960E68">
      <w:pPr>
        <w:spacing w:line="276" w:lineRule="auto"/>
        <w:jc w:val="both"/>
        <w:rPr>
          <w:rFonts w:eastAsiaTheme="minorEastAsia"/>
        </w:rPr>
      </w:pPr>
    </w:p>
    <w:p w14:paraId="71D09CDE" w14:textId="724BFD74" w:rsidR="00FB1966" w:rsidRPr="008401DD" w:rsidRDefault="00FB1966" w:rsidP="00960E68">
      <w:pPr>
        <w:spacing w:line="276" w:lineRule="auto"/>
        <w:jc w:val="both"/>
        <w:rPr>
          <w:rFonts w:eastAsiaTheme="minorEastAsia"/>
        </w:rPr>
      </w:pPr>
      <w:r w:rsidRPr="008401DD">
        <w:rPr>
          <w:rFonts w:eastAsiaTheme="minorEastAsia"/>
        </w:rPr>
        <w:t>N</w:t>
      </w:r>
      <w:r w:rsidR="0C1039E7" w:rsidRPr="008401DD">
        <w:rPr>
          <w:rFonts w:eastAsiaTheme="minorEastAsia"/>
        </w:rPr>
        <w:t>e glede na to lahko n</w:t>
      </w:r>
      <w:r w:rsidRPr="008401DD">
        <w:rPr>
          <w:rFonts w:eastAsiaTheme="minorEastAsia"/>
        </w:rPr>
        <w:t xml:space="preserve">a podlagi informacij o </w:t>
      </w:r>
      <w:r w:rsidR="2A685BA9" w:rsidRPr="008401DD">
        <w:rPr>
          <w:rFonts w:eastAsiaTheme="minorEastAsia"/>
        </w:rPr>
        <w:t xml:space="preserve">zmogljivostih drugih donatorjev </w:t>
      </w:r>
      <w:r w:rsidRPr="008401DD">
        <w:rPr>
          <w:rFonts w:eastAsiaTheme="minorEastAsia"/>
        </w:rPr>
        <w:t xml:space="preserve">v Severni Makedoniji sklepamo, da je </w:t>
      </w:r>
      <w:r w:rsidR="1F8B4B26" w:rsidRPr="008401DD">
        <w:rPr>
          <w:rFonts w:eastAsiaTheme="minorEastAsia"/>
        </w:rPr>
        <w:t xml:space="preserve">v primeru nezmožnosti zagotavljanja </w:t>
      </w:r>
      <w:r w:rsidR="009543A7" w:rsidRPr="008401DD">
        <w:rPr>
          <w:rFonts w:eastAsiaTheme="minorEastAsia"/>
        </w:rPr>
        <w:t xml:space="preserve">lastnih </w:t>
      </w:r>
      <w:r w:rsidR="1F8B4B26" w:rsidRPr="008401DD">
        <w:rPr>
          <w:rFonts w:eastAsiaTheme="minorEastAsia"/>
        </w:rPr>
        <w:t>virov financiranja za investicijsko v</w:t>
      </w:r>
      <w:r w:rsidR="1E06F08C" w:rsidRPr="008401DD">
        <w:rPr>
          <w:rFonts w:eastAsiaTheme="minorEastAsia"/>
        </w:rPr>
        <w:t>zdrževanje vo</w:t>
      </w:r>
      <w:r w:rsidR="1F8B4B26" w:rsidRPr="008401DD">
        <w:rPr>
          <w:rFonts w:eastAsiaTheme="minorEastAsia"/>
        </w:rPr>
        <w:t xml:space="preserve">dne infrastrukture </w:t>
      </w:r>
      <w:r w:rsidRPr="008401DD">
        <w:rPr>
          <w:rFonts w:eastAsiaTheme="minorEastAsia"/>
        </w:rPr>
        <w:t xml:space="preserve">verjetnost </w:t>
      </w:r>
      <w:r w:rsidR="70FC9D45" w:rsidRPr="008401DD">
        <w:rPr>
          <w:rFonts w:eastAsiaTheme="minorEastAsia"/>
        </w:rPr>
        <w:t xml:space="preserve">zagotovitve alternativnega vira </w:t>
      </w:r>
      <w:r w:rsidR="009543A7" w:rsidRPr="008401DD">
        <w:rPr>
          <w:rFonts w:eastAsiaTheme="minorEastAsia"/>
        </w:rPr>
        <w:t xml:space="preserve">sredstev </w:t>
      </w:r>
      <w:r w:rsidRPr="008401DD">
        <w:rPr>
          <w:rFonts w:eastAsiaTheme="minorEastAsia"/>
        </w:rPr>
        <w:t>visoka.</w:t>
      </w:r>
    </w:p>
    <w:p w14:paraId="3BD93919" w14:textId="144C801E" w:rsidR="003D364C" w:rsidRPr="008401DD" w:rsidRDefault="003D364C" w:rsidP="00960E68">
      <w:pPr>
        <w:spacing w:line="240" w:lineRule="auto"/>
        <w:jc w:val="both"/>
        <w:rPr>
          <w:rFonts w:cs="Arial"/>
        </w:rPr>
      </w:pPr>
      <w:r w:rsidRPr="008401DD">
        <w:rPr>
          <w:rFonts w:cs="Arial"/>
        </w:rPr>
        <w:t xml:space="preserve"> </w:t>
      </w:r>
    </w:p>
    <w:p w14:paraId="19AB96E4" w14:textId="68474E7D" w:rsidR="00B85B43" w:rsidRDefault="004650A3"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color w:val="FF0000"/>
          <w:szCs w:val="20"/>
        </w:rPr>
      </w:pPr>
      <w:r w:rsidRPr="008401DD">
        <w:rPr>
          <w:rFonts w:cs="Arial"/>
          <w:i/>
          <w:u w:val="single"/>
        </w:rPr>
        <w:t>Priporočilo</w:t>
      </w:r>
      <w:r w:rsidR="00F30024" w:rsidRPr="008401DD">
        <w:rPr>
          <w:rFonts w:cs="Arial"/>
          <w:i/>
          <w:u w:val="single"/>
        </w:rPr>
        <w:t xml:space="preserve"> 5.2.</w:t>
      </w:r>
      <w:r w:rsidRPr="008401DD">
        <w:rPr>
          <w:rFonts w:cs="Arial"/>
          <w:i/>
        </w:rPr>
        <w:t xml:space="preserve">: </w:t>
      </w:r>
      <w:r w:rsidR="1EB96EFB" w:rsidRPr="008401DD">
        <w:rPr>
          <w:rFonts w:cs="Arial"/>
          <w:i/>
          <w:iCs/>
        </w:rPr>
        <w:t xml:space="preserve">CMSR naj že v zasnovi infrastrukturnih projektov, zlasti pa v okviru </w:t>
      </w:r>
      <w:r w:rsidR="0FA3190E" w:rsidRPr="008401DD">
        <w:rPr>
          <w:rFonts w:cs="Arial"/>
          <w:i/>
          <w:iCs/>
        </w:rPr>
        <w:t xml:space="preserve">izdelave </w:t>
      </w:r>
      <w:r w:rsidR="5584BEFB" w:rsidRPr="008401DD">
        <w:rPr>
          <w:rFonts w:cs="Arial"/>
          <w:i/>
          <w:iCs/>
        </w:rPr>
        <w:t>i</w:t>
      </w:r>
      <w:r w:rsidR="5CBAF206" w:rsidRPr="008401DD">
        <w:rPr>
          <w:rFonts w:cs="Arial"/>
          <w:i/>
          <w:iCs/>
        </w:rPr>
        <w:t>nvesticijske</w:t>
      </w:r>
      <w:r w:rsidR="1EB96EFB" w:rsidRPr="008401DD">
        <w:rPr>
          <w:rFonts w:cs="Arial"/>
          <w:i/>
          <w:iCs/>
        </w:rPr>
        <w:t xml:space="preserve"> dokumentacije </w:t>
      </w:r>
      <w:r w:rsidR="43BF99B7" w:rsidRPr="008401DD">
        <w:rPr>
          <w:rFonts w:cs="Arial"/>
          <w:i/>
          <w:iCs/>
        </w:rPr>
        <w:t>upošteva</w:t>
      </w:r>
      <w:r w:rsidR="1EB96EFB" w:rsidRPr="008401DD">
        <w:rPr>
          <w:rFonts w:cs="Arial"/>
          <w:i/>
          <w:iCs/>
        </w:rPr>
        <w:t xml:space="preserve"> </w:t>
      </w:r>
      <w:r w:rsidR="4FE93DB0" w:rsidRPr="008401DD">
        <w:rPr>
          <w:rFonts w:cs="Arial"/>
          <w:i/>
          <w:iCs/>
        </w:rPr>
        <w:t>z</w:t>
      </w:r>
      <w:r w:rsidR="624DF217" w:rsidRPr="008401DD">
        <w:rPr>
          <w:rFonts w:cs="Arial"/>
          <w:i/>
          <w:iCs/>
        </w:rPr>
        <w:t>mogljivosti</w:t>
      </w:r>
      <w:r w:rsidR="1EB96EFB" w:rsidRPr="008401DD">
        <w:rPr>
          <w:rFonts w:cs="Arial"/>
          <w:i/>
          <w:iCs/>
        </w:rPr>
        <w:t xml:space="preserve"> prejemnika pomoči </w:t>
      </w:r>
      <w:r w:rsidR="4F85DCDE" w:rsidRPr="008401DD">
        <w:rPr>
          <w:rFonts w:cs="Arial"/>
          <w:i/>
          <w:iCs/>
        </w:rPr>
        <w:t>za zagotavljanje</w:t>
      </w:r>
      <w:r w:rsidR="1EB96EFB" w:rsidRPr="008401DD">
        <w:rPr>
          <w:rFonts w:cs="Arial"/>
          <w:i/>
          <w:iCs/>
        </w:rPr>
        <w:t xml:space="preserve"> virov </w:t>
      </w:r>
      <w:r w:rsidR="021C7762" w:rsidRPr="008401DD">
        <w:rPr>
          <w:rFonts w:cs="Arial"/>
          <w:i/>
          <w:iCs/>
        </w:rPr>
        <w:t xml:space="preserve">financiranja </w:t>
      </w:r>
      <w:r w:rsidR="1EB96EFB" w:rsidRPr="008401DD">
        <w:rPr>
          <w:rFonts w:cs="Arial"/>
          <w:i/>
          <w:iCs/>
        </w:rPr>
        <w:t xml:space="preserve">za (investicijsko) vzdrževanje </w:t>
      </w:r>
      <w:r w:rsidR="1750D6E0" w:rsidRPr="008401DD">
        <w:rPr>
          <w:rFonts w:cs="Arial"/>
          <w:i/>
          <w:iCs/>
        </w:rPr>
        <w:t>te infrastrukture</w:t>
      </w:r>
      <w:r w:rsidR="0044105F" w:rsidRPr="008401DD">
        <w:rPr>
          <w:rFonts w:cs="Arial"/>
          <w:i/>
        </w:rPr>
        <w:t xml:space="preserve"> (npr. 3 leta po zaključku)</w:t>
      </w:r>
      <w:r w:rsidRPr="008401DD">
        <w:rPr>
          <w:rFonts w:cs="Arial"/>
          <w:i/>
        </w:rPr>
        <w:t xml:space="preserve">. </w:t>
      </w:r>
      <w:r w:rsidR="497BDEA7" w:rsidRPr="008401DD">
        <w:rPr>
          <w:rFonts w:cs="Arial"/>
          <w:i/>
          <w:iCs/>
        </w:rPr>
        <w:t>To pomeni tudi nujnost razmisleka glede izbora variant v okviru investicijske dokumentacije, ki naj na podlagi ocene stroškov in koristi rezultirajo v rešitvi, ki je optimalna upoštevajoč kontekst izved</w:t>
      </w:r>
      <w:r w:rsidR="21F9EB9B" w:rsidRPr="008401DD">
        <w:rPr>
          <w:rFonts w:cs="Arial"/>
          <w:i/>
          <w:iCs/>
        </w:rPr>
        <w:t>be projekta.</w:t>
      </w:r>
      <w:r w:rsidR="00B85B43">
        <w:rPr>
          <w:rFonts w:cs="Arial"/>
          <w:i/>
          <w:color w:val="FF0000"/>
          <w:szCs w:val="20"/>
        </w:rPr>
        <w:br w:type="page"/>
      </w:r>
    </w:p>
    <w:p w14:paraId="6A6C71D4" w14:textId="129AFB49" w:rsidR="00705F60" w:rsidRDefault="009D0D52" w:rsidP="00960E68">
      <w:pPr>
        <w:pStyle w:val="Heading1"/>
        <w:spacing w:line="276" w:lineRule="auto"/>
      </w:pPr>
      <w:bookmarkStart w:id="134" w:name="_Toc56088912"/>
      <w:bookmarkStart w:id="135" w:name="_Toc56112206"/>
      <w:bookmarkStart w:id="136" w:name="_Toc57377183"/>
      <w:r>
        <w:lastRenderedPageBreak/>
        <w:t>Ključne u</w:t>
      </w:r>
      <w:r w:rsidR="00B01BDD" w:rsidRPr="008401DD">
        <w:t>gotovitve in p</w:t>
      </w:r>
      <w:r w:rsidR="00705F60" w:rsidRPr="008401DD">
        <w:t>riporočila</w:t>
      </w:r>
      <w:bookmarkEnd w:id="124"/>
      <w:bookmarkEnd w:id="134"/>
      <w:bookmarkEnd w:id="135"/>
      <w:bookmarkEnd w:id="136"/>
    </w:p>
    <w:p w14:paraId="60B41F3D" w14:textId="77777777" w:rsidR="00B85B43" w:rsidRPr="00161A81" w:rsidRDefault="00B85B43" w:rsidP="00161A81"/>
    <w:tbl>
      <w:tblPr>
        <w:tblStyle w:val="TableGrid"/>
        <w:tblW w:w="9356" w:type="dxa"/>
        <w:tblInd w:w="-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4678"/>
        <w:gridCol w:w="4678"/>
      </w:tblGrid>
      <w:tr w:rsidR="005723DC" w:rsidRPr="008401DD" w14:paraId="30C7BB85" w14:textId="77777777" w:rsidTr="00905051">
        <w:trPr>
          <w:trHeight w:val="76"/>
        </w:trPr>
        <w:tc>
          <w:tcPr>
            <w:tcW w:w="4678" w:type="dxa"/>
            <w:tcBorders>
              <w:top w:val="single" w:sz="12" w:space="0" w:color="70AD47" w:themeColor="accent6"/>
              <w:bottom w:val="nil"/>
            </w:tcBorders>
            <w:shd w:val="clear" w:color="auto" w:fill="67C18C"/>
            <w:vAlign w:val="center"/>
          </w:tcPr>
          <w:p w14:paraId="3041F463" w14:textId="38F561AF" w:rsidR="005723DC" w:rsidRPr="008401DD" w:rsidRDefault="0025675D" w:rsidP="009D0D52">
            <w:pPr>
              <w:jc w:val="center"/>
              <w:rPr>
                <w:rFonts w:cs="Arial"/>
                <w:b/>
                <w:color w:val="FFFFFF" w:themeColor="background1"/>
                <w:sz w:val="22"/>
                <w:szCs w:val="20"/>
              </w:rPr>
            </w:pPr>
            <w:r w:rsidRPr="008401DD">
              <w:rPr>
                <w:rFonts w:cs="Arial"/>
                <w:b/>
                <w:color w:val="FFFFFF" w:themeColor="background1"/>
                <w:sz w:val="24"/>
                <w:szCs w:val="20"/>
              </w:rPr>
              <w:t>Ugotovitv</w:t>
            </w:r>
            <w:r w:rsidR="009D0D52">
              <w:rPr>
                <w:rFonts w:cs="Arial"/>
                <w:b/>
                <w:color w:val="FFFFFF" w:themeColor="background1"/>
                <w:sz w:val="24"/>
                <w:szCs w:val="20"/>
              </w:rPr>
              <w:t>e</w:t>
            </w:r>
          </w:p>
        </w:tc>
        <w:tc>
          <w:tcPr>
            <w:tcW w:w="4678" w:type="dxa"/>
            <w:tcBorders>
              <w:top w:val="single" w:sz="12" w:space="0" w:color="70AD47" w:themeColor="accent6"/>
              <w:bottom w:val="nil"/>
            </w:tcBorders>
            <w:shd w:val="clear" w:color="auto" w:fill="67C18C"/>
            <w:vAlign w:val="center"/>
          </w:tcPr>
          <w:p w14:paraId="6D49517B" w14:textId="38B15549" w:rsidR="005723DC" w:rsidRPr="008401DD" w:rsidRDefault="005723DC" w:rsidP="00960E68">
            <w:pPr>
              <w:jc w:val="center"/>
              <w:rPr>
                <w:rFonts w:cs="Arial"/>
                <w:b/>
                <w:color w:val="FFFFFF" w:themeColor="background1"/>
                <w:szCs w:val="20"/>
              </w:rPr>
            </w:pPr>
            <w:r w:rsidRPr="008401DD">
              <w:rPr>
                <w:rFonts w:cs="Arial"/>
                <w:b/>
                <w:color w:val="FFFFFF" w:themeColor="background1"/>
                <w:sz w:val="24"/>
                <w:szCs w:val="20"/>
              </w:rPr>
              <w:t>Priporočil</w:t>
            </w:r>
            <w:r w:rsidR="009D0D52">
              <w:rPr>
                <w:rFonts w:cs="Arial"/>
                <w:b/>
                <w:color w:val="FFFFFF" w:themeColor="background1"/>
                <w:sz w:val="24"/>
                <w:szCs w:val="20"/>
              </w:rPr>
              <w:t>a</w:t>
            </w:r>
          </w:p>
        </w:tc>
      </w:tr>
      <w:tr w:rsidR="006E6CEF" w:rsidRPr="008401DD" w14:paraId="4E57C310" w14:textId="77777777" w:rsidTr="00905051">
        <w:trPr>
          <w:trHeight w:val="76"/>
        </w:trPr>
        <w:tc>
          <w:tcPr>
            <w:tcW w:w="9356" w:type="dxa"/>
            <w:gridSpan w:val="2"/>
            <w:tcBorders>
              <w:top w:val="nil"/>
              <w:left w:val="nil"/>
              <w:bottom w:val="nil"/>
              <w:right w:val="nil"/>
            </w:tcBorders>
            <w:shd w:val="clear" w:color="auto" w:fill="1B758C"/>
            <w:vAlign w:val="center"/>
          </w:tcPr>
          <w:p w14:paraId="24543A92" w14:textId="5D84BED6" w:rsidR="006E6CEF" w:rsidRPr="008401DD" w:rsidRDefault="00905051" w:rsidP="00960E68">
            <w:pPr>
              <w:jc w:val="center"/>
              <w:rPr>
                <w:rFonts w:cs="Arial"/>
                <w:b/>
                <w:color w:val="FFFFFF" w:themeColor="background1"/>
                <w:sz w:val="22"/>
                <w:szCs w:val="20"/>
              </w:rP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1: Ustreznost</w:t>
            </w:r>
          </w:p>
        </w:tc>
      </w:tr>
      <w:tr w:rsidR="0025675D" w:rsidRPr="008401DD" w14:paraId="7927C25E" w14:textId="77777777" w:rsidTr="00905051">
        <w:tc>
          <w:tcPr>
            <w:tcW w:w="4678" w:type="dxa"/>
            <w:tcBorders>
              <w:top w:val="nil"/>
            </w:tcBorders>
          </w:tcPr>
          <w:p w14:paraId="20BDC992" w14:textId="3ABD4A17" w:rsidR="0025675D" w:rsidRPr="008401DD" w:rsidRDefault="0025675D" w:rsidP="00161A81">
            <w:pPr>
              <w:rPr>
                <w:rFonts w:cs="Arial"/>
                <w:szCs w:val="20"/>
              </w:rPr>
            </w:pPr>
            <w:r w:rsidRPr="008401DD">
              <w:rPr>
                <w:rFonts w:cs="Arial"/>
                <w:szCs w:val="20"/>
              </w:rPr>
              <w:t xml:space="preserve">V primeru obeh projektov, ki sta predmet vrednotenja, je bila projektna zasnova in investicijska dokumentacija pripravljena s strani občine </w:t>
            </w:r>
            <w:proofErr w:type="spellStart"/>
            <w:r w:rsidRPr="008401DD">
              <w:rPr>
                <w:rFonts w:cs="Arial"/>
                <w:szCs w:val="20"/>
              </w:rPr>
              <w:t>Probištip</w:t>
            </w:r>
            <w:proofErr w:type="spellEnd"/>
            <w:r w:rsidRPr="008401DD">
              <w:rPr>
                <w:rFonts w:cs="Arial"/>
                <w:szCs w:val="20"/>
              </w:rPr>
              <w:t>,</w:t>
            </w:r>
            <w:r w:rsidRPr="008401DD">
              <w:t xml:space="preserve"> </w:t>
            </w:r>
            <w:r w:rsidR="00253F00" w:rsidRPr="008401DD">
              <w:t xml:space="preserve">iz </w:t>
            </w:r>
            <w:r w:rsidR="006B0F9E" w:rsidRPr="008401DD">
              <w:t>dokumentacije</w:t>
            </w:r>
            <w:r w:rsidR="00253F00" w:rsidRPr="008401DD">
              <w:t>, s katero razpolaga CMSR, pa ni razvidno, ali investicija temelji na predhodnih analizah ali študijah.</w:t>
            </w:r>
            <w:r w:rsidR="00536E28">
              <w:t xml:space="preserve"> CMSR in </w:t>
            </w:r>
            <w:r w:rsidRPr="008401DD">
              <w:t xml:space="preserve">nacionalni koordinator </w:t>
            </w:r>
            <w:r w:rsidR="00536E28">
              <w:t>te dokumentacije nista zahtevala</w:t>
            </w:r>
            <w:r w:rsidRPr="008401DD">
              <w:rPr>
                <w:rFonts w:cs="Arial"/>
                <w:szCs w:val="20"/>
              </w:rPr>
              <w:t>, saj priprava ustreznih predhodnih analiz oz. študij ni po</w:t>
            </w:r>
            <w:r w:rsidR="00554EDB" w:rsidRPr="008401DD">
              <w:rPr>
                <w:rFonts w:cs="Arial"/>
                <w:szCs w:val="20"/>
              </w:rPr>
              <w:t>goj za oddajo prijave projekta. Prav tako ni bila izvedena analiza tveganj in načrt za ustrezno naslavljanje le-teh.</w:t>
            </w:r>
          </w:p>
          <w:p w14:paraId="1816FCB6" w14:textId="77777777" w:rsidR="00253F00" w:rsidRPr="008401DD" w:rsidRDefault="00253F00" w:rsidP="00161A81">
            <w:pPr>
              <w:rPr>
                <w:rFonts w:cs="Arial"/>
                <w:szCs w:val="20"/>
              </w:rPr>
            </w:pPr>
          </w:p>
          <w:p w14:paraId="7B71E7AF" w14:textId="0AD014DF" w:rsidR="0025675D" w:rsidRPr="008401DD" w:rsidRDefault="0025675D" w:rsidP="00161A81">
            <w:pPr>
              <w:rPr>
                <w:rFonts w:cs="Arial"/>
                <w:szCs w:val="20"/>
              </w:rPr>
            </w:pPr>
            <w:r w:rsidRPr="008401DD">
              <w:t xml:space="preserve">CMSR se pri pregledu projektne </w:t>
            </w:r>
            <w:r w:rsidR="007903C5" w:rsidRPr="008401DD">
              <w:t xml:space="preserve">zasnove </w:t>
            </w:r>
            <w:r w:rsidRPr="008401DD">
              <w:t xml:space="preserve">(tehničnih in finančnih postavk) ni posvetoval z zunanjimi strokovnjaki z namenom preverbe točnosti </w:t>
            </w:r>
            <w:r w:rsidR="00246B6D">
              <w:t xml:space="preserve">projektnih </w:t>
            </w:r>
            <w:r w:rsidRPr="008401DD">
              <w:t xml:space="preserve">postavk, kar pa povečuje tveganje neracionalne porabe javnih sredstev in tudi korupcijska tveganja. </w:t>
            </w:r>
          </w:p>
        </w:tc>
        <w:tc>
          <w:tcPr>
            <w:tcW w:w="4678" w:type="dxa"/>
            <w:tcBorders>
              <w:top w:val="nil"/>
            </w:tcBorders>
          </w:tcPr>
          <w:p w14:paraId="6748D27D" w14:textId="06219BC7" w:rsidR="0025675D" w:rsidRDefault="0025675D" w:rsidP="00161A81">
            <w:pPr>
              <w:rPr>
                <w:rFonts w:cs="Arial"/>
                <w:szCs w:val="20"/>
              </w:rPr>
            </w:pPr>
            <w:r w:rsidRPr="008401DD">
              <w:rPr>
                <w:rFonts w:cs="Arial"/>
                <w:szCs w:val="20"/>
              </w:rPr>
              <w:t xml:space="preserve">V primeru projektov, ki </w:t>
            </w:r>
            <w:r w:rsidR="00F80A56">
              <w:rPr>
                <w:rFonts w:cs="Arial"/>
                <w:szCs w:val="20"/>
              </w:rPr>
              <w:t>naslavljajo</w:t>
            </w:r>
            <w:r w:rsidRPr="008401DD">
              <w:rPr>
                <w:rFonts w:cs="Arial"/>
                <w:szCs w:val="20"/>
              </w:rPr>
              <w:t xml:space="preserve"> investicije v infrastrukturo in opremo, naj CMSR s podpisom </w:t>
            </w:r>
            <w:proofErr w:type="spellStart"/>
            <w:r w:rsidR="000412DA">
              <w:rPr>
                <w:rFonts w:cs="Arial"/>
                <w:szCs w:val="20"/>
              </w:rPr>
              <w:t>donacijske</w:t>
            </w:r>
            <w:proofErr w:type="spellEnd"/>
            <w:r w:rsidR="000412DA">
              <w:rPr>
                <w:rFonts w:cs="Arial"/>
                <w:szCs w:val="20"/>
              </w:rPr>
              <w:t xml:space="preserve"> </w:t>
            </w:r>
            <w:r w:rsidR="00DC322C" w:rsidRPr="008401DD">
              <w:rPr>
                <w:rFonts w:cs="Arial"/>
                <w:szCs w:val="20"/>
              </w:rPr>
              <w:t xml:space="preserve">pogodbe </w:t>
            </w:r>
            <w:r w:rsidRPr="008401DD">
              <w:rPr>
                <w:rFonts w:cs="Arial"/>
                <w:szCs w:val="20"/>
              </w:rPr>
              <w:t>z državo prejemnico zagotovi ustrezno investicijsko dokumentacijo in pripadajoče študije, ki so predvidene za izvajanje istovrstnih investicij v državi prejemnici sredstev.</w:t>
            </w:r>
          </w:p>
          <w:p w14:paraId="1F1D47E1" w14:textId="77777777" w:rsidR="00B374D4" w:rsidRPr="008401DD" w:rsidRDefault="00B374D4" w:rsidP="00161A81">
            <w:pPr>
              <w:rPr>
                <w:rFonts w:cs="Arial"/>
                <w:szCs w:val="20"/>
              </w:rPr>
            </w:pPr>
          </w:p>
          <w:p w14:paraId="6FBFE0AC" w14:textId="0E34FADB" w:rsidR="0025675D" w:rsidRPr="008401DD" w:rsidRDefault="0025675D" w:rsidP="00161A81">
            <w:pPr>
              <w:rPr>
                <w:rFonts w:cs="Arial"/>
                <w:szCs w:val="20"/>
              </w:rPr>
            </w:pPr>
            <w:r w:rsidRPr="008401DD">
              <w:rPr>
                <w:rFonts w:cs="Arial"/>
                <w:szCs w:val="20"/>
              </w:rPr>
              <w:t>CMSR naj</w:t>
            </w:r>
            <w:r w:rsidR="00B374D4">
              <w:rPr>
                <w:rFonts w:cs="Arial"/>
                <w:szCs w:val="20"/>
              </w:rPr>
              <w:t xml:space="preserve"> v okviru ex-</w:t>
            </w:r>
            <w:proofErr w:type="spellStart"/>
            <w:r w:rsidR="00B374D4">
              <w:rPr>
                <w:rFonts w:cs="Arial"/>
                <w:szCs w:val="20"/>
              </w:rPr>
              <w:t>ante</w:t>
            </w:r>
            <w:proofErr w:type="spellEnd"/>
            <w:r w:rsidR="00B374D4">
              <w:rPr>
                <w:rFonts w:cs="Arial"/>
                <w:szCs w:val="20"/>
              </w:rPr>
              <w:t xml:space="preserve"> pogojev za financiranje</w:t>
            </w:r>
            <w:r w:rsidRPr="008401DD">
              <w:rPr>
                <w:rFonts w:cs="Arial"/>
                <w:szCs w:val="20"/>
              </w:rPr>
              <w:t xml:space="preserve"> pripravi minimalni nabor zahtev glede predhodnih analiz in študij,</w:t>
            </w:r>
            <w:r w:rsidRPr="008401DD">
              <w:t xml:space="preserve"> </w:t>
            </w:r>
            <w:r w:rsidRPr="008401DD">
              <w:rPr>
                <w:rFonts w:cs="Arial"/>
                <w:szCs w:val="20"/>
              </w:rPr>
              <w:t xml:space="preserve">partnerjem v državi prejemnici pa naj se zahteve jasno predstavijo tekom pogovorov za umestitev projektov v program CMSR. Za zagotovitev zadovoljive ravni kakovosti investicijske dokumentacije </w:t>
            </w:r>
            <w:r w:rsidR="000213C7" w:rsidRPr="008401DD">
              <w:rPr>
                <w:rFonts w:cs="Arial"/>
                <w:szCs w:val="20"/>
              </w:rPr>
              <w:t xml:space="preserve">naj se CMSR </w:t>
            </w:r>
            <w:r w:rsidR="00DC322C">
              <w:rPr>
                <w:rFonts w:cs="Arial"/>
                <w:szCs w:val="20"/>
              </w:rPr>
              <w:t>opira na</w:t>
            </w:r>
            <w:r w:rsidR="00DC322C" w:rsidRPr="008401DD">
              <w:rPr>
                <w:rFonts w:cs="Arial"/>
                <w:szCs w:val="20"/>
              </w:rPr>
              <w:t xml:space="preserve"> </w:t>
            </w:r>
            <w:r w:rsidR="000213C7" w:rsidRPr="008401DD">
              <w:rPr>
                <w:rFonts w:cs="Arial"/>
                <w:szCs w:val="20"/>
              </w:rPr>
              <w:t>neodvisn</w:t>
            </w:r>
            <w:r w:rsidR="00DC322C">
              <w:rPr>
                <w:rFonts w:cs="Arial"/>
                <w:szCs w:val="20"/>
              </w:rPr>
              <w:t>a</w:t>
            </w:r>
            <w:r w:rsidR="000213C7" w:rsidRPr="008401DD">
              <w:rPr>
                <w:rFonts w:cs="Arial"/>
                <w:szCs w:val="20"/>
              </w:rPr>
              <w:t xml:space="preserve"> mnenja zunanjih </w:t>
            </w:r>
            <w:r w:rsidR="0001516D" w:rsidRPr="008401DD">
              <w:rPr>
                <w:rFonts w:cs="Arial"/>
                <w:szCs w:val="20"/>
              </w:rPr>
              <w:t>strokovnjakov</w:t>
            </w:r>
            <w:r w:rsidR="00A23CFE" w:rsidRPr="008401DD">
              <w:rPr>
                <w:rFonts w:cs="Arial"/>
                <w:szCs w:val="20"/>
              </w:rPr>
              <w:t xml:space="preserve"> (p</w:t>
            </w:r>
            <w:r w:rsidRPr="008401DD">
              <w:rPr>
                <w:rFonts w:cs="Arial"/>
                <w:szCs w:val="20"/>
              </w:rPr>
              <w:t xml:space="preserve">riporočilo 1.1. in 1.2. v besedilu). </w:t>
            </w:r>
          </w:p>
          <w:p w14:paraId="2F1B0977" w14:textId="77777777" w:rsidR="0025675D" w:rsidRPr="008401DD" w:rsidRDefault="0025675D" w:rsidP="00161A81">
            <w:pPr>
              <w:rPr>
                <w:rFonts w:cs="Arial"/>
                <w:szCs w:val="20"/>
              </w:rPr>
            </w:pPr>
          </w:p>
          <w:p w14:paraId="3B46F21F" w14:textId="0FB988C6" w:rsidR="0025675D" w:rsidRPr="008401DD" w:rsidRDefault="0025675D" w:rsidP="00161A81">
            <w:pPr>
              <w:rPr>
                <w:rFonts w:cs="Arial"/>
                <w:szCs w:val="20"/>
              </w:rPr>
            </w:pPr>
            <w:r w:rsidRPr="008401DD">
              <w:rPr>
                <w:rFonts w:cs="Arial"/>
                <w:szCs w:val="20"/>
              </w:rPr>
              <w:t>Za financiranj</w:t>
            </w:r>
            <w:r w:rsidR="0001516D" w:rsidRPr="008401DD">
              <w:rPr>
                <w:rFonts w:cs="Arial"/>
                <w:szCs w:val="20"/>
              </w:rPr>
              <w:t>e</w:t>
            </w:r>
            <w:r w:rsidRPr="008401DD">
              <w:rPr>
                <w:rFonts w:cs="Arial"/>
                <w:szCs w:val="20"/>
              </w:rPr>
              <w:t xml:space="preserve"> opravljanja dodatnih nalog na področju zagotavljanja kakovosti projektne dokumentacije naj se preveri ustreznost opravnine, ki jo CMSR prejema za potrebe izvajanje nalog na področju implementacije projektov MRS</w:t>
            </w:r>
            <w:r w:rsidR="00A23CFE" w:rsidRPr="008401DD">
              <w:rPr>
                <w:rFonts w:cs="Arial"/>
                <w:szCs w:val="20"/>
              </w:rPr>
              <w:t xml:space="preserve"> (p</w:t>
            </w:r>
            <w:r w:rsidRPr="008401DD">
              <w:rPr>
                <w:rFonts w:cs="Arial"/>
                <w:szCs w:val="20"/>
              </w:rPr>
              <w:t>riporočilo 1.3. v besedilu).</w:t>
            </w:r>
            <w:r w:rsidR="00B144C8">
              <w:rPr>
                <w:rFonts w:cs="Arial"/>
                <w:szCs w:val="20"/>
              </w:rPr>
              <w:t xml:space="preserve"> </w:t>
            </w:r>
          </w:p>
          <w:p w14:paraId="2BC36B93" w14:textId="77777777" w:rsidR="0025675D" w:rsidRPr="008401DD" w:rsidRDefault="0025675D" w:rsidP="00161A81">
            <w:pPr>
              <w:rPr>
                <w:rFonts w:cs="Arial"/>
                <w:szCs w:val="20"/>
              </w:rPr>
            </w:pPr>
          </w:p>
          <w:p w14:paraId="3C359102" w14:textId="0233ECDF" w:rsidR="0001516D" w:rsidRPr="008401DD" w:rsidRDefault="0025675D" w:rsidP="00161A81">
            <w:pPr>
              <w:rPr>
                <w:rFonts w:cs="Arial"/>
                <w:szCs w:val="20"/>
              </w:rPr>
            </w:pPr>
            <w:r w:rsidRPr="008401DD">
              <w:rPr>
                <w:rFonts w:cs="Arial"/>
                <w:szCs w:val="20"/>
              </w:rPr>
              <w:t>CMSR naj pripravi nabor ukrepov oz. mehanizmov za blažitev korupcijskih tveganj pri izvajanju infrastrukturnih projektov (izdelava matrice projektnih tveganj, vključevanje zunanjih strokovnjakov v pregled investicijske dokumentacije, vzpost</w:t>
            </w:r>
            <w:r w:rsidR="00A23CFE" w:rsidRPr="008401DD">
              <w:rPr>
                <w:rFonts w:cs="Arial"/>
                <w:szCs w:val="20"/>
              </w:rPr>
              <w:t>avitev kontrolnih mehanizmov</w:t>
            </w:r>
            <w:r w:rsidR="00256EDA">
              <w:rPr>
                <w:rFonts w:cs="Arial"/>
                <w:szCs w:val="20"/>
              </w:rPr>
              <w:t xml:space="preserve"> itd.</w:t>
            </w:r>
            <w:r w:rsidR="00A23CFE" w:rsidRPr="008401DD">
              <w:rPr>
                <w:rFonts w:cs="Arial"/>
                <w:szCs w:val="20"/>
              </w:rPr>
              <w:t>) (p</w:t>
            </w:r>
            <w:r w:rsidRPr="008401DD">
              <w:rPr>
                <w:rFonts w:cs="Arial"/>
                <w:szCs w:val="20"/>
              </w:rPr>
              <w:t>riporočilo 1.4. v besedilu).</w:t>
            </w:r>
          </w:p>
          <w:p w14:paraId="4064E165" w14:textId="0E703AC8" w:rsidR="0025675D" w:rsidRPr="008401DD" w:rsidRDefault="0025675D" w:rsidP="00161A81">
            <w:pPr>
              <w:rPr>
                <w:rFonts w:cs="Arial"/>
                <w:szCs w:val="20"/>
              </w:rPr>
            </w:pPr>
          </w:p>
        </w:tc>
      </w:tr>
      <w:tr w:rsidR="00554EDB" w:rsidRPr="008401DD" w14:paraId="488BC445" w14:textId="77777777" w:rsidTr="00B01BDD">
        <w:tc>
          <w:tcPr>
            <w:tcW w:w="4678" w:type="dxa"/>
          </w:tcPr>
          <w:p w14:paraId="3ACEF841" w14:textId="04943C0F" w:rsidR="00554EDB" w:rsidRPr="008401DD" w:rsidRDefault="00554EDB" w:rsidP="00161A81">
            <w:pPr>
              <w:rPr>
                <w:rFonts w:cs="Arial"/>
                <w:color w:val="000000"/>
                <w:szCs w:val="20"/>
              </w:rPr>
            </w:pPr>
            <w:r w:rsidRPr="008401DD">
              <w:t xml:space="preserve">CMSR je pri izvedbi in nadzoru projekta </w:t>
            </w:r>
            <w:r w:rsidR="0001516D" w:rsidRPr="008401DD">
              <w:t xml:space="preserve">najbolj </w:t>
            </w:r>
            <w:r w:rsidRPr="008401DD">
              <w:t xml:space="preserve">vključen pri obravnavi projektnega predloga, ter pri pripravi predloga programa CMSR za izvajanje MRS. </w:t>
            </w:r>
            <w:r w:rsidRPr="008401DD">
              <w:rPr>
                <w:rFonts w:cs="Arial"/>
                <w:color w:val="000000"/>
                <w:szCs w:val="20"/>
              </w:rPr>
              <w:t xml:space="preserve">Vsebinski in tehnični nadzor </w:t>
            </w:r>
            <w:r w:rsidR="00DC322C">
              <w:rPr>
                <w:rFonts w:cs="Arial"/>
                <w:color w:val="000000"/>
                <w:szCs w:val="20"/>
              </w:rPr>
              <w:t>izvaja</w:t>
            </w:r>
            <w:r w:rsidR="00DC322C" w:rsidRPr="008401DD">
              <w:rPr>
                <w:rFonts w:cs="Arial"/>
                <w:color w:val="000000"/>
                <w:szCs w:val="20"/>
              </w:rPr>
              <w:t xml:space="preserve"> </w:t>
            </w:r>
            <w:r w:rsidRPr="008401DD">
              <w:rPr>
                <w:rFonts w:cs="Arial"/>
                <w:color w:val="000000"/>
                <w:szCs w:val="20"/>
              </w:rPr>
              <w:t xml:space="preserve">zunanji strokovni izvajalec, ki ga financira prejemnik sredstev iz lastnih virov sredstev. Zunanji izvajalec potrjuje (tudi pripravlja) vmesna in končna poročila, ter potrjuje izdane </w:t>
            </w:r>
            <w:r w:rsidR="00DC322C" w:rsidRPr="008401DD">
              <w:rPr>
                <w:rFonts w:cs="Arial"/>
                <w:color w:val="000000"/>
                <w:szCs w:val="20"/>
              </w:rPr>
              <w:t>fakture</w:t>
            </w:r>
            <w:r w:rsidRPr="008401DD">
              <w:rPr>
                <w:rFonts w:cs="Arial"/>
                <w:color w:val="000000"/>
                <w:szCs w:val="20"/>
              </w:rPr>
              <w:t xml:space="preserve">. CMSR posledično ne </w:t>
            </w:r>
            <w:r w:rsidR="00DC322C">
              <w:rPr>
                <w:rFonts w:cs="Arial"/>
                <w:color w:val="000000"/>
                <w:szCs w:val="20"/>
              </w:rPr>
              <w:t>izvaja</w:t>
            </w:r>
            <w:r w:rsidR="00DC322C" w:rsidRPr="008401DD">
              <w:rPr>
                <w:rFonts w:cs="Arial"/>
                <w:color w:val="000000"/>
                <w:szCs w:val="20"/>
              </w:rPr>
              <w:t xml:space="preserve"> </w:t>
            </w:r>
            <w:r w:rsidRPr="008401DD">
              <w:rPr>
                <w:rFonts w:cs="Arial"/>
                <w:color w:val="000000"/>
                <w:szCs w:val="20"/>
              </w:rPr>
              <w:t>sam celotnega nadzora nad projektom, ampak se naslanja predvsem na ugotovitve in potrdila zunanjega izvajalca</w:t>
            </w:r>
            <w:r w:rsidR="0001516D" w:rsidRPr="008401DD">
              <w:rPr>
                <w:rFonts w:cs="Arial"/>
                <w:color w:val="000000"/>
                <w:szCs w:val="20"/>
              </w:rPr>
              <w:t xml:space="preserve"> in poročila lokalnih deležnikov</w:t>
            </w:r>
            <w:r w:rsidRPr="008401DD">
              <w:rPr>
                <w:rFonts w:cs="Arial"/>
                <w:color w:val="000000"/>
                <w:szCs w:val="20"/>
              </w:rPr>
              <w:t xml:space="preserve">. </w:t>
            </w:r>
          </w:p>
          <w:p w14:paraId="32EB6FC1" w14:textId="465B6217" w:rsidR="00B01BDD" w:rsidRPr="008401DD" w:rsidRDefault="00B01BDD" w:rsidP="00161A81"/>
        </w:tc>
        <w:tc>
          <w:tcPr>
            <w:tcW w:w="4678" w:type="dxa"/>
          </w:tcPr>
          <w:p w14:paraId="0D2B1330" w14:textId="49AE6AE7" w:rsidR="00554EDB" w:rsidRPr="008401DD" w:rsidRDefault="00554EDB" w:rsidP="009463D0">
            <w:r w:rsidRPr="008401DD">
              <w:rPr>
                <w:rFonts w:cs="Arial"/>
                <w:szCs w:val="20"/>
              </w:rPr>
              <w:t>Potrebna je okrepitev vloge CMSR na področju upravljanja projektov (terenski obiski, spremljanje, nadzor</w:t>
            </w:r>
            <w:r w:rsidR="0001516D" w:rsidRPr="008401DD">
              <w:rPr>
                <w:rFonts w:cs="Arial"/>
                <w:szCs w:val="20"/>
              </w:rPr>
              <w:t xml:space="preserve"> itd.</w:t>
            </w:r>
            <w:r w:rsidRPr="008401DD">
              <w:rPr>
                <w:rFonts w:cs="Arial"/>
                <w:szCs w:val="20"/>
              </w:rPr>
              <w:t>), obseg nadzora nad projektom</w:t>
            </w:r>
            <w:r w:rsidRPr="008401DD">
              <w:t xml:space="preserve"> pa naj bo </w:t>
            </w:r>
            <w:r w:rsidRPr="008401DD">
              <w:rPr>
                <w:rFonts w:cs="Arial"/>
                <w:szCs w:val="20"/>
              </w:rPr>
              <w:t>skladen z oceno tveganja samega projekta in zmogljivostmi lokalnega deležnika.</w:t>
            </w:r>
            <w:r w:rsidRPr="008401DD">
              <w:t xml:space="preserve"> </w:t>
            </w:r>
            <w:r w:rsidRPr="008401DD">
              <w:rPr>
                <w:rFonts w:cs="Arial"/>
                <w:szCs w:val="20"/>
              </w:rPr>
              <w:t>Za potrebe tovrstnega nadzora naj CMSR vzpostavi zadostno revizijsko sled preko uvedbe sistema kontrolnih list pri pregledu zahtevkov za izplačilo, s katerimi se preverja upravičenost stroškov glede na pogoje iz javnega naročila, projektne in investicijske dokumentacije</w:t>
            </w:r>
            <w:r w:rsidR="004C47E9" w:rsidRPr="008401DD">
              <w:rPr>
                <w:rFonts w:cs="Arial"/>
                <w:szCs w:val="20"/>
              </w:rPr>
              <w:t xml:space="preserve"> (p</w:t>
            </w:r>
            <w:r w:rsidRPr="008401DD">
              <w:rPr>
                <w:rFonts w:cs="Arial"/>
                <w:szCs w:val="20"/>
              </w:rPr>
              <w:t>riporočilo 1.</w:t>
            </w:r>
            <w:r w:rsidR="009463D0">
              <w:rPr>
                <w:rFonts w:cs="Arial"/>
                <w:szCs w:val="20"/>
              </w:rPr>
              <w:t>7</w:t>
            </w:r>
            <w:r w:rsidRPr="008401DD">
              <w:rPr>
                <w:rFonts w:cs="Arial"/>
                <w:szCs w:val="20"/>
              </w:rPr>
              <w:t>. v besedilu).</w:t>
            </w:r>
          </w:p>
        </w:tc>
      </w:tr>
      <w:tr w:rsidR="00905051" w:rsidRPr="008401DD" w14:paraId="033FDBEB" w14:textId="77777777" w:rsidTr="00905051">
        <w:tc>
          <w:tcPr>
            <w:tcW w:w="9356" w:type="dxa"/>
            <w:gridSpan w:val="2"/>
            <w:shd w:val="clear" w:color="auto" w:fill="1B758C"/>
            <w:vAlign w:val="center"/>
          </w:tcPr>
          <w:p w14:paraId="11A50866" w14:textId="016C5C16" w:rsidR="00905051" w:rsidRPr="008401DD" w:rsidRDefault="00905051" w:rsidP="00960E68">
            <w:pPr>
              <w:jc w:val="cente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2: Uspešnost</w:t>
            </w:r>
          </w:p>
        </w:tc>
      </w:tr>
      <w:tr w:rsidR="00F35FA0" w:rsidRPr="008401DD" w14:paraId="35758258" w14:textId="77777777" w:rsidTr="00B01BDD">
        <w:tc>
          <w:tcPr>
            <w:tcW w:w="4678" w:type="dxa"/>
          </w:tcPr>
          <w:p w14:paraId="04AFD4D8" w14:textId="0A259784" w:rsidR="00F35FA0" w:rsidRPr="008401DD" w:rsidRDefault="00F35FA0" w:rsidP="00161A81">
            <w:pPr>
              <w:rPr>
                <w:rFonts w:cs="Arial"/>
              </w:rPr>
            </w:pPr>
            <w:r w:rsidRPr="008401DD">
              <w:rPr>
                <w:rFonts w:cs="Arial"/>
              </w:rPr>
              <w:t xml:space="preserve">Trenutni sistem upravljanja </w:t>
            </w:r>
            <w:r w:rsidR="0001516D" w:rsidRPr="008401DD">
              <w:rPr>
                <w:rFonts w:cs="Arial"/>
              </w:rPr>
              <w:t xml:space="preserve">ter </w:t>
            </w:r>
            <w:r w:rsidRPr="008401DD">
              <w:rPr>
                <w:rFonts w:cs="Arial"/>
              </w:rPr>
              <w:t xml:space="preserve">sistem spremljanja in poročanja sta pomanjkljiva, saj sam programski okvir ne predvideva jasno opredeljenih operativnih ciljev, predvsem pa za cilje niso opredeljeni </w:t>
            </w:r>
            <w:r w:rsidRPr="008401DD">
              <w:rPr>
                <w:rFonts w:cs="Arial"/>
              </w:rPr>
              <w:lastRenderedPageBreak/>
              <w:t xml:space="preserve">merljivi kazalniki, na podlagi katerih bi </w:t>
            </w:r>
            <w:proofErr w:type="spellStart"/>
            <w:r w:rsidRPr="008401DD">
              <w:rPr>
                <w:rFonts w:cs="Arial"/>
              </w:rPr>
              <w:t>evalvator</w:t>
            </w:r>
            <w:proofErr w:type="spellEnd"/>
            <w:r w:rsidRPr="008401DD">
              <w:rPr>
                <w:rFonts w:cs="Arial"/>
              </w:rPr>
              <w:t xml:space="preserve"> lahko sklepal o napredku programa glede na zastavljene cilje.</w:t>
            </w:r>
          </w:p>
          <w:p w14:paraId="46AB38C1" w14:textId="120C80A4" w:rsidR="00B01BDD" w:rsidRPr="008401DD" w:rsidRDefault="00B01BDD" w:rsidP="00161A81"/>
        </w:tc>
        <w:tc>
          <w:tcPr>
            <w:tcW w:w="4678" w:type="dxa"/>
          </w:tcPr>
          <w:p w14:paraId="5AD4EC2E" w14:textId="4A8EA9BC" w:rsidR="00F35FA0" w:rsidRPr="008401DD" w:rsidRDefault="00F35FA0" w:rsidP="00161A81">
            <w:r w:rsidRPr="008401DD">
              <w:rPr>
                <w:rFonts w:cs="Arial"/>
                <w:szCs w:val="20"/>
              </w:rPr>
              <w:lastRenderedPageBreak/>
              <w:t xml:space="preserve">Priporočamo vzpostavitev mehanizmov za spremljanje projektov v fazi samega načrtovanja projekta, skladno z načeli stroke in dobrega </w:t>
            </w:r>
            <w:r w:rsidRPr="008401DD">
              <w:rPr>
                <w:rFonts w:cs="Arial"/>
                <w:szCs w:val="20"/>
              </w:rPr>
              <w:lastRenderedPageBreak/>
              <w:t>projektnega upravljanja</w:t>
            </w:r>
            <w:r w:rsidR="00A23CFE" w:rsidRPr="008401DD">
              <w:rPr>
                <w:rFonts w:cs="Arial"/>
                <w:szCs w:val="20"/>
              </w:rPr>
              <w:t xml:space="preserve"> (p</w:t>
            </w:r>
            <w:r w:rsidRPr="008401DD">
              <w:rPr>
                <w:rFonts w:cs="Arial"/>
                <w:szCs w:val="20"/>
              </w:rPr>
              <w:t>riporočilo 2.1. v besedilu).</w:t>
            </w:r>
          </w:p>
        </w:tc>
      </w:tr>
      <w:tr w:rsidR="00905051" w:rsidRPr="008401DD" w14:paraId="66CC8D28" w14:textId="77777777" w:rsidTr="00905051">
        <w:tc>
          <w:tcPr>
            <w:tcW w:w="9356" w:type="dxa"/>
            <w:gridSpan w:val="2"/>
            <w:shd w:val="clear" w:color="auto" w:fill="1B758C"/>
          </w:tcPr>
          <w:p w14:paraId="020A78E5" w14:textId="7E170409" w:rsidR="00905051" w:rsidRPr="008401DD" w:rsidRDefault="00905051" w:rsidP="00960E68">
            <w:pPr>
              <w:jc w:val="center"/>
              <w:rPr>
                <w:rFonts w:cs="Arial"/>
              </w:rPr>
            </w:pPr>
            <w:proofErr w:type="spellStart"/>
            <w:r w:rsidRPr="008401DD">
              <w:rPr>
                <w:rFonts w:cs="Arial"/>
                <w:b/>
                <w:color w:val="FFFFFF" w:themeColor="background1"/>
                <w:sz w:val="22"/>
                <w:szCs w:val="20"/>
              </w:rPr>
              <w:lastRenderedPageBreak/>
              <w:t>Evalvacijsko</w:t>
            </w:r>
            <w:proofErr w:type="spellEnd"/>
            <w:r w:rsidRPr="008401DD">
              <w:rPr>
                <w:rFonts w:cs="Arial"/>
                <w:b/>
                <w:color w:val="FFFFFF" w:themeColor="background1"/>
                <w:sz w:val="22"/>
                <w:szCs w:val="20"/>
              </w:rPr>
              <w:t xml:space="preserve"> merilo 3: Učinkovitost</w:t>
            </w:r>
          </w:p>
        </w:tc>
      </w:tr>
      <w:tr w:rsidR="00326662" w:rsidRPr="008401DD" w14:paraId="0B067510" w14:textId="77777777" w:rsidTr="00B01BDD">
        <w:tc>
          <w:tcPr>
            <w:tcW w:w="4678" w:type="dxa"/>
          </w:tcPr>
          <w:p w14:paraId="60FB3D02" w14:textId="5F3247F7" w:rsidR="00326662" w:rsidRPr="008401DD" w:rsidRDefault="00326662" w:rsidP="00161A81">
            <w:r w:rsidRPr="008401DD">
              <w:t xml:space="preserve">Sistem izbora projektov obstaja, a je nejasen in v določenih vidikih </w:t>
            </w:r>
            <w:proofErr w:type="spellStart"/>
            <w:r w:rsidRPr="008401DD">
              <w:t>netransparenten</w:t>
            </w:r>
            <w:proofErr w:type="spellEnd"/>
            <w:r w:rsidRPr="008401DD">
              <w:t xml:space="preserve">. </w:t>
            </w:r>
            <w:r w:rsidRPr="008401DD">
              <w:rPr>
                <w:rFonts w:cs="Arial"/>
                <w:szCs w:val="20"/>
              </w:rPr>
              <w:t>Projektni predlogi prejeti s strani predlagateljev so s strani CMSR ocenjeni na podlagi neobjavljenih internih meril, pri čemer CMSR ohranja stalno komunikacijo s pripravljavci in dopušča veliko mero fleksibilnosti pri pripravi vlog pred prejemom končne vloge. Ocenjevalni obrazci so sicer poenoteni, a podlage za odločanje niso transparentne, prav tako tudi ni zagotovljena j</w:t>
            </w:r>
            <w:r w:rsidRPr="008401DD">
              <w:t>asna revizijska sled, saj na obrazcu za ocenjevanje ni navedeno ime ocenjevalca, datum ocenjevanja, ni navedena podlaga za odločanje, niti ni navedenih utemeljitev za dodeljeno število točk. Ko Svet Centra presoja o zrelosti projektov v okviru programa MRS, se pri pregledu naslanja prav na ocene CMSR.</w:t>
            </w:r>
          </w:p>
          <w:p w14:paraId="21606808" w14:textId="77777777" w:rsidR="00326662" w:rsidRPr="008401DD" w:rsidRDefault="00326662" w:rsidP="00161A81">
            <w:pPr>
              <w:rPr>
                <w:rFonts w:cs="Arial"/>
              </w:rPr>
            </w:pPr>
          </w:p>
          <w:p w14:paraId="4AC6F0CB" w14:textId="77777777" w:rsidR="00326662" w:rsidRPr="008401DD" w:rsidRDefault="00326662" w:rsidP="00161A81">
            <w:pPr>
              <w:rPr>
                <w:rFonts w:cs="Arial"/>
              </w:rPr>
            </w:pPr>
            <w:r w:rsidRPr="008401DD">
              <w:rPr>
                <w:rFonts w:cs="Arial"/>
              </w:rPr>
              <w:t>Proces potrjevanja projektov je popisan in formaliziran v okviru postopka odločanja o izboru projektov CMSR, a ostaja relativno kompleksen in se še ne uporablja.</w:t>
            </w:r>
            <w:r w:rsidRPr="008401DD">
              <w:t xml:space="preserve"> </w:t>
            </w:r>
            <w:r w:rsidRPr="008401DD">
              <w:rPr>
                <w:rFonts w:cs="Arial"/>
              </w:rPr>
              <w:t xml:space="preserve">S krepitvijo vloge nacionalnega koordinatorja od leta 2019 in formalizacijo postopka odločanja o izboru projektov CMSR se je sicer začel proces zbiranja projektnih idej in potrjevanja projektov konsolidirati, vendar je potrebno zagotoviti optimalno povezovanje deležnikov na nacionalni ravni in poenostaviti postopke izbora projektov. </w:t>
            </w:r>
          </w:p>
          <w:p w14:paraId="0759E337" w14:textId="173441A4" w:rsidR="00B01BDD" w:rsidRPr="008401DD" w:rsidRDefault="00B01BDD" w:rsidP="00161A81"/>
        </w:tc>
        <w:tc>
          <w:tcPr>
            <w:tcW w:w="4678" w:type="dxa"/>
          </w:tcPr>
          <w:p w14:paraId="596C26B0" w14:textId="26FFC498" w:rsidR="00326662" w:rsidRPr="008401DD" w:rsidRDefault="00326662" w:rsidP="00161A81">
            <w:pPr>
              <w:rPr>
                <w:rFonts w:cs="Arial"/>
                <w:szCs w:val="20"/>
              </w:rPr>
            </w:pPr>
            <w:r w:rsidRPr="008401DD">
              <w:rPr>
                <w:rFonts w:cs="Arial"/>
                <w:szCs w:val="20"/>
              </w:rPr>
              <w:t>Zagotoviti je potrebno jasno revizijsko sled procesa priprave in potrjevanja projektov. Vsebina dokumentov, ki so podlaga za sprejemanje odločitev o financiranju</w:t>
            </w:r>
            <w:r w:rsidR="00BA7667">
              <w:rPr>
                <w:rFonts w:cs="Arial"/>
                <w:szCs w:val="20"/>
              </w:rPr>
              <w:t>,</w:t>
            </w:r>
            <w:r w:rsidRPr="008401DD">
              <w:rPr>
                <w:rFonts w:cs="Arial"/>
                <w:szCs w:val="20"/>
              </w:rPr>
              <w:t xml:space="preserve"> mora biti jasno opredeljena. Prav tako naj celoten proces prijave projektnih predlogov poteka z uporabo enotnih, standardiziranih projektnih obrazcev, ki vključujejo </w:t>
            </w:r>
            <w:r w:rsidR="00A23CFE" w:rsidRPr="008401DD">
              <w:rPr>
                <w:rFonts w:cs="Arial"/>
                <w:szCs w:val="20"/>
              </w:rPr>
              <w:t>vse ključne vidike projektov. (p</w:t>
            </w:r>
            <w:r w:rsidRPr="008401DD">
              <w:rPr>
                <w:rFonts w:cs="Arial"/>
                <w:szCs w:val="20"/>
              </w:rPr>
              <w:t xml:space="preserve">riporočili 3.1. in 3.2. v besedilu). </w:t>
            </w:r>
          </w:p>
          <w:p w14:paraId="251520F4" w14:textId="77777777" w:rsidR="00326662" w:rsidRPr="008401DD" w:rsidRDefault="00326662" w:rsidP="00161A81">
            <w:pPr>
              <w:rPr>
                <w:rFonts w:cs="Arial"/>
                <w:szCs w:val="20"/>
              </w:rPr>
            </w:pPr>
          </w:p>
          <w:p w14:paraId="369E0383" w14:textId="3DBBFF40" w:rsidR="00326662" w:rsidRPr="008401DD" w:rsidRDefault="00326662" w:rsidP="00161A81">
            <w:pPr>
              <w:rPr>
                <w:rFonts w:cs="Arial"/>
                <w:szCs w:val="20"/>
              </w:rPr>
            </w:pPr>
            <w:r w:rsidRPr="008401DD">
              <w:t xml:space="preserve">Potrebno je poenostaviti proces izbora projektov, posamezne faze procesa priprave in izbora projektov pa morajo biti jasno opredeljene, z upoštevanjem optimalnega procesa odločanja </w:t>
            </w:r>
            <w:r w:rsidR="00A23CFE" w:rsidRPr="008401DD">
              <w:rPr>
                <w:rFonts w:cs="Arial"/>
                <w:szCs w:val="20"/>
              </w:rPr>
              <w:t>(p</w:t>
            </w:r>
            <w:r w:rsidRPr="008401DD">
              <w:rPr>
                <w:rFonts w:cs="Arial"/>
                <w:szCs w:val="20"/>
              </w:rPr>
              <w:t>riporočilo 3.3. v besedilu).</w:t>
            </w:r>
          </w:p>
          <w:p w14:paraId="703C1AD4" w14:textId="77777777" w:rsidR="00956F18" w:rsidRPr="008401DD" w:rsidRDefault="00956F18" w:rsidP="00161A81">
            <w:pPr>
              <w:rPr>
                <w:rFonts w:cs="Arial"/>
                <w:szCs w:val="20"/>
              </w:rPr>
            </w:pPr>
          </w:p>
          <w:p w14:paraId="1E6E5D85" w14:textId="3D25CA58" w:rsidR="00326662" w:rsidRPr="008401DD" w:rsidRDefault="00326662" w:rsidP="00161A81">
            <w:r w:rsidRPr="008401DD">
              <w:t xml:space="preserve">Predlagamo preučitev možnih rešitev za integracijo sistema (npr. vzpostavitev agencije za razvojno sodelovanje, centralizacija funkcij in proračunskega načrtovanja v okviru pristojnega resorja, izboljšana koordinacija med MRS, gospodarsko diplomacijo in ekosistemom za internacionalizacijo slovenskega gospodarstva ipd.) </w:t>
            </w:r>
            <w:r w:rsidR="00A23CFE" w:rsidRPr="008401DD">
              <w:rPr>
                <w:rFonts w:cs="Arial"/>
                <w:szCs w:val="20"/>
              </w:rPr>
              <w:t>(p</w:t>
            </w:r>
            <w:r w:rsidRPr="008401DD">
              <w:rPr>
                <w:rFonts w:cs="Arial"/>
                <w:szCs w:val="20"/>
              </w:rPr>
              <w:t>riporočilo 3.4. v besedilu)</w:t>
            </w:r>
            <w:r w:rsidRPr="008401DD">
              <w:t xml:space="preserve">. </w:t>
            </w:r>
          </w:p>
        </w:tc>
      </w:tr>
      <w:tr w:rsidR="00326662" w:rsidRPr="008401DD" w14:paraId="7313724A" w14:textId="77777777" w:rsidTr="00B01BDD">
        <w:tc>
          <w:tcPr>
            <w:tcW w:w="4678" w:type="dxa"/>
          </w:tcPr>
          <w:p w14:paraId="5509A09C" w14:textId="5BC0CD19" w:rsidR="00326662" w:rsidRPr="008401DD" w:rsidRDefault="00326662" w:rsidP="00161A81">
            <w:pPr>
              <w:rPr>
                <w:rFonts w:cs="Arial"/>
                <w:szCs w:val="20"/>
              </w:rPr>
            </w:pPr>
            <w:r w:rsidRPr="008401DD">
              <w:rPr>
                <w:rFonts w:cs="Arial"/>
                <w:szCs w:val="20"/>
              </w:rPr>
              <w:t>Vmesna ter končna poročila, ki jih je prejemnik sredstev pri obeh projektih posredoval na CMSR</w:t>
            </w:r>
            <w:r w:rsidR="00956F18" w:rsidRPr="008401DD">
              <w:rPr>
                <w:rFonts w:cs="Arial"/>
                <w:szCs w:val="20"/>
              </w:rPr>
              <w:t>,</w:t>
            </w:r>
            <w:r w:rsidRPr="008401DD">
              <w:rPr>
                <w:rFonts w:cs="Arial"/>
                <w:szCs w:val="20"/>
              </w:rPr>
              <w:t xml:space="preserve"> so pomanjkljiva in ne vsebujejo</w:t>
            </w:r>
            <w:r w:rsidR="00B144C8">
              <w:rPr>
                <w:rFonts w:cs="Arial"/>
                <w:szCs w:val="20"/>
              </w:rPr>
              <w:t xml:space="preserve"> </w:t>
            </w:r>
            <w:r w:rsidRPr="008401DD">
              <w:rPr>
                <w:rFonts w:cs="Arial"/>
                <w:szCs w:val="20"/>
              </w:rPr>
              <w:t xml:space="preserve">informacij o tem ali projekt dosega zastavljene cilje in rezultate ter ali sledi </w:t>
            </w:r>
            <w:proofErr w:type="spellStart"/>
            <w:r w:rsidRPr="008401DD">
              <w:rPr>
                <w:rFonts w:cs="Arial"/>
                <w:szCs w:val="20"/>
              </w:rPr>
              <w:t>časovnici</w:t>
            </w:r>
            <w:proofErr w:type="spellEnd"/>
            <w:r w:rsidRPr="008401DD">
              <w:rPr>
                <w:rFonts w:cs="Arial"/>
                <w:szCs w:val="20"/>
              </w:rPr>
              <w:t xml:space="preserve">. </w:t>
            </w:r>
          </w:p>
          <w:p w14:paraId="6AA0BF7B" w14:textId="77777777" w:rsidR="00956F18" w:rsidRPr="008401DD" w:rsidRDefault="00956F18" w:rsidP="00161A81">
            <w:pPr>
              <w:rPr>
                <w:rFonts w:cs="Arial"/>
                <w:szCs w:val="20"/>
              </w:rPr>
            </w:pPr>
          </w:p>
          <w:p w14:paraId="6843B15A" w14:textId="77777777" w:rsidR="00326662" w:rsidRPr="008401DD" w:rsidRDefault="00326662" w:rsidP="00161A81">
            <w:pPr>
              <w:rPr>
                <w:rFonts w:cs="Arial"/>
                <w:szCs w:val="20"/>
              </w:rPr>
            </w:pPr>
            <w:r w:rsidRPr="008401DD">
              <w:rPr>
                <w:rFonts w:cs="Arial"/>
                <w:szCs w:val="20"/>
              </w:rPr>
              <w:t xml:space="preserve">V letnih poročilih, ki jih pripravlja CMSR in jih tudi posreduje financerju, prav tako ni razvidno, ali projekt dosega zastavljene cilje in rezultate, opisi stanja projektov pa so skromni. </w:t>
            </w:r>
          </w:p>
          <w:p w14:paraId="13CA3B3C" w14:textId="42058171" w:rsidR="00B01BDD" w:rsidRPr="008401DD" w:rsidRDefault="00B01BDD" w:rsidP="00161A81">
            <w:pPr>
              <w:rPr>
                <w:rFonts w:cs="Arial"/>
                <w:szCs w:val="20"/>
              </w:rPr>
            </w:pPr>
          </w:p>
        </w:tc>
        <w:tc>
          <w:tcPr>
            <w:tcW w:w="4678" w:type="dxa"/>
          </w:tcPr>
          <w:p w14:paraId="04740C95" w14:textId="29333A82" w:rsidR="00326662" w:rsidRPr="008401DD" w:rsidRDefault="00326662" w:rsidP="00161A81">
            <w:pPr>
              <w:rPr>
                <w:rFonts w:cs="Arial"/>
                <w:szCs w:val="20"/>
              </w:rPr>
            </w:pPr>
            <w:r w:rsidRPr="008401DD">
              <w:t xml:space="preserve">Zagotovijo naj se minimalni standardi glede poročanja iz katerih je jasno razviden napredek projekta ter skladnost s projektno </w:t>
            </w:r>
            <w:proofErr w:type="spellStart"/>
            <w:r w:rsidRPr="008401DD">
              <w:t>časovnico</w:t>
            </w:r>
            <w:proofErr w:type="spellEnd"/>
            <w:r w:rsidRPr="008401DD">
              <w:t xml:space="preserve"> in finančnim načrtom. Poročila naj vključujejo tudi oceno stanja z vidika morebitnih odstopanj, pregled projektnih tveganj in ukrepov za blažitev ter nadaljnjih korakov za prihodnje poročevalsko obdobje </w:t>
            </w:r>
            <w:r w:rsidR="00A23CFE" w:rsidRPr="008401DD">
              <w:rPr>
                <w:rFonts w:cs="Arial"/>
                <w:szCs w:val="20"/>
              </w:rPr>
              <w:t>(p</w:t>
            </w:r>
            <w:r w:rsidRPr="008401DD">
              <w:rPr>
                <w:rFonts w:cs="Arial"/>
                <w:szCs w:val="20"/>
              </w:rPr>
              <w:t>riporočilo 3.6. v besedilu)</w:t>
            </w:r>
            <w:r w:rsidRPr="008401DD">
              <w:t>.</w:t>
            </w:r>
          </w:p>
        </w:tc>
      </w:tr>
      <w:tr w:rsidR="00326662" w:rsidRPr="008401DD" w14:paraId="510A7476" w14:textId="77777777" w:rsidTr="005723DC">
        <w:tc>
          <w:tcPr>
            <w:tcW w:w="4678" w:type="dxa"/>
          </w:tcPr>
          <w:p w14:paraId="59091178" w14:textId="6EB0C249" w:rsidR="00326662" w:rsidRPr="008401DD" w:rsidRDefault="00326662" w:rsidP="00161A81">
            <w:pPr>
              <w:rPr>
                <w:rFonts w:cs="Arial"/>
                <w:szCs w:val="20"/>
              </w:rPr>
            </w:pPr>
            <w:r w:rsidRPr="008401DD">
              <w:rPr>
                <w:rFonts w:cs="Arial"/>
                <w:szCs w:val="20"/>
              </w:rPr>
              <w:t xml:space="preserve">Iz stroškovnega vidika ni mogoče jasno ugotoviti kolikšen del sredstev obeh projektov so prejela </w:t>
            </w:r>
            <w:r w:rsidR="00956F18" w:rsidRPr="008401DD">
              <w:rPr>
                <w:rFonts w:cs="Arial"/>
                <w:szCs w:val="20"/>
              </w:rPr>
              <w:t>s</w:t>
            </w:r>
            <w:r w:rsidRPr="008401DD">
              <w:rPr>
                <w:rFonts w:cs="Arial"/>
                <w:szCs w:val="20"/>
              </w:rPr>
              <w:t xml:space="preserve">lovenska podjetja in koliko tuja. Delež udeležbe lokalnih (in ostalih) podizvajalcev v obeh projektih ni razviden. </w:t>
            </w:r>
          </w:p>
        </w:tc>
        <w:tc>
          <w:tcPr>
            <w:tcW w:w="4678" w:type="dxa"/>
          </w:tcPr>
          <w:p w14:paraId="6CD72772" w14:textId="05126A29" w:rsidR="00B01BDD" w:rsidRPr="008401DD" w:rsidRDefault="00326662" w:rsidP="00161A81">
            <w:r w:rsidRPr="008401DD">
              <w:t>CMSR naj v fazi ocenjevanja projektov zagotovi dovolj informacij glede potencialnega deleža slovenskega znanja, tehnologij in/ali izdelkov v skupni vrednosti projekta. Iz pogodb z izbranimi izvajalci naj bo nato jasno razvidno, s katerimi podizvajalci in za katere dele javnega naročila namerava izvajalec izvesti predvidena dela in</w:t>
            </w:r>
            <w:r w:rsidR="00C657E2">
              <w:t>/ali</w:t>
            </w:r>
            <w:r w:rsidRPr="008401DD">
              <w:t xml:space="preserve"> dobaviti predvideno opremo </w:t>
            </w:r>
            <w:r w:rsidR="00A23CFE" w:rsidRPr="008401DD">
              <w:rPr>
                <w:rFonts w:cs="Arial"/>
                <w:szCs w:val="20"/>
              </w:rPr>
              <w:t>(p</w:t>
            </w:r>
            <w:r w:rsidRPr="008401DD">
              <w:rPr>
                <w:rFonts w:cs="Arial"/>
                <w:szCs w:val="20"/>
              </w:rPr>
              <w:t>riporočilo 3.7. v besedilu)</w:t>
            </w:r>
            <w:r w:rsidRPr="008401DD">
              <w:t>.</w:t>
            </w:r>
          </w:p>
          <w:p w14:paraId="4BEFFEB0" w14:textId="3005E2B6" w:rsidR="00326662" w:rsidRPr="008401DD" w:rsidRDefault="00326662" w:rsidP="00161A81">
            <w:pPr>
              <w:rPr>
                <w:rFonts w:cs="Arial"/>
                <w:szCs w:val="20"/>
              </w:rPr>
            </w:pPr>
          </w:p>
        </w:tc>
      </w:tr>
      <w:tr w:rsidR="00905051" w:rsidRPr="008401DD" w14:paraId="7E6B7537" w14:textId="77777777" w:rsidTr="00805DC7">
        <w:tc>
          <w:tcPr>
            <w:tcW w:w="9356" w:type="dxa"/>
            <w:gridSpan w:val="2"/>
            <w:shd w:val="clear" w:color="auto" w:fill="1B758C"/>
          </w:tcPr>
          <w:p w14:paraId="626CAE66" w14:textId="2C6BD83A" w:rsidR="00905051" w:rsidRPr="008401DD" w:rsidRDefault="00905051" w:rsidP="00960E68">
            <w:pPr>
              <w:jc w:val="center"/>
              <w:rPr>
                <w:rFonts w:cs="Arial"/>
                <w:szCs w:val="20"/>
              </w:rPr>
            </w:pPr>
            <w:proofErr w:type="spellStart"/>
            <w:r w:rsidRPr="008401DD">
              <w:rPr>
                <w:rFonts w:cs="Arial"/>
                <w:b/>
                <w:color w:val="FFFFFF" w:themeColor="background1"/>
                <w:sz w:val="22"/>
                <w:szCs w:val="20"/>
              </w:rPr>
              <w:lastRenderedPageBreak/>
              <w:t>Evalvacijsko</w:t>
            </w:r>
            <w:proofErr w:type="spellEnd"/>
            <w:r w:rsidRPr="008401DD">
              <w:rPr>
                <w:rFonts w:cs="Arial"/>
                <w:b/>
                <w:color w:val="FFFFFF" w:themeColor="background1"/>
                <w:sz w:val="22"/>
                <w:szCs w:val="20"/>
              </w:rPr>
              <w:t xml:space="preserve"> merilo 4: Vpliv</w:t>
            </w:r>
          </w:p>
        </w:tc>
      </w:tr>
      <w:tr w:rsidR="00F30024" w:rsidRPr="008401DD" w14:paraId="4E401A56" w14:textId="77777777" w:rsidTr="005723DC">
        <w:tc>
          <w:tcPr>
            <w:tcW w:w="4678" w:type="dxa"/>
          </w:tcPr>
          <w:p w14:paraId="45E162F5" w14:textId="77777777" w:rsidR="00F30024" w:rsidRPr="008401DD" w:rsidRDefault="00F30024" w:rsidP="00161A81">
            <w:pPr>
              <w:rPr>
                <w:rFonts w:cs="Arial"/>
                <w:szCs w:val="20"/>
              </w:rPr>
            </w:pPr>
            <w:r w:rsidRPr="008401DD">
              <w:rPr>
                <w:rFonts w:cs="Arial"/>
                <w:szCs w:val="20"/>
              </w:rPr>
              <w:t xml:space="preserve">Oba projekta sta naslavljala vsesplošno težavo oskrbe s kvalitetno pitno vodo v Severni Makedoniji, drugi projekt, v okviru katerega se je izvedla revitalizacija in avtomatizacija obstoječih vodooskrbnih objektov pa je vsebinsko dopolnjeval prvi projekt. </w:t>
            </w:r>
          </w:p>
          <w:p w14:paraId="1455C7FF" w14:textId="3210B44B" w:rsidR="00B01BDD" w:rsidRPr="008401DD" w:rsidRDefault="00B01BDD" w:rsidP="00161A81">
            <w:pPr>
              <w:rPr>
                <w:rFonts w:cs="Arial"/>
                <w:szCs w:val="20"/>
              </w:rPr>
            </w:pPr>
          </w:p>
        </w:tc>
        <w:tc>
          <w:tcPr>
            <w:tcW w:w="4678" w:type="dxa"/>
          </w:tcPr>
          <w:p w14:paraId="39E62C59" w14:textId="50436122" w:rsidR="00F30024" w:rsidRPr="008401DD" w:rsidRDefault="00F30024" w:rsidP="00161A81">
            <w:pPr>
              <w:rPr>
                <w:rFonts w:cs="Arial"/>
                <w:szCs w:val="20"/>
              </w:rPr>
            </w:pPr>
            <w:r w:rsidRPr="008401DD">
              <w:rPr>
                <w:rFonts w:cs="Arial"/>
                <w:iCs/>
              </w:rPr>
              <w:t xml:space="preserve">V postopku zbiranja predlogov projektov predlagamo smiselno </w:t>
            </w:r>
            <w:proofErr w:type="spellStart"/>
            <w:r w:rsidRPr="008401DD">
              <w:rPr>
                <w:rFonts w:cs="Arial"/>
                <w:iCs/>
              </w:rPr>
              <w:t>prioritizacijo</w:t>
            </w:r>
            <w:proofErr w:type="spellEnd"/>
            <w:r w:rsidRPr="008401DD">
              <w:rPr>
                <w:rFonts w:cs="Arial"/>
                <w:iCs/>
              </w:rPr>
              <w:t xml:space="preserve"> tistih, ki so vsebinsko sorodni in se posledično lahko replicirajo z uporabo obstoječega znanja in izkušenj </w:t>
            </w:r>
            <w:r w:rsidR="00A23CFE" w:rsidRPr="008401DD">
              <w:rPr>
                <w:rFonts w:cs="Arial"/>
                <w:szCs w:val="20"/>
              </w:rPr>
              <w:t>(p</w:t>
            </w:r>
            <w:r w:rsidRPr="008401DD">
              <w:rPr>
                <w:rFonts w:cs="Arial"/>
                <w:szCs w:val="20"/>
              </w:rPr>
              <w:t>riporočilo 4.1. v besedilu)</w:t>
            </w:r>
            <w:r w:rsidRPr="008401DD">
              <w:rPr>
                <w:rFonts w:cs="Arial"/>
                <w:iCs/>
              </w:rPr>
              <w:t>.</w:t>
            </w:r>
          </w:p>
        </w:tc>
      </w:tr>
      <w:tr w:rsidR="00905051" w:rsidRPr="008401DD" w14:paraId="127823A9" w14:textId="77777777" w:rsidTr="00805DC7">
        <w:tc>
          <w:tcPr>
            <w:tcW w:w="9356" w:type="dxa"/>
            <w:gridSpan w:val="2"/>
            <w:shd w:val="clear" w:color="auto" w:fill="1B758C"/>
          </w:tcPr>
          <w:p w14:paraId="09335CB4" w14:textId="4359A25A" w:rsidR="00905051" w:rsidRPr="008401DD" w:rsidRDefault="00905051" w:rsidP="00960E68">
            <w:pPr>
              <w:jc w:val="center"/>
              <w:rPr>
                <w:rFonts w:cs="Arial"/>
                <w:iCs/>
              </w:rP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5: Trajnost</w:t>
            </w:r>
          </w:p>
        </w:tc>
      </w:tr>
      <w:tr w:rsidR="00A23CFE" w:rsidRPr="008401DD" w14:paraId="078AB977" w14:textId="77777777" w:rsidTr="005723DC">
        <w:tc>
          <w:tcPr>
            <w:tcW w:w="4678" w:type="dxa"/>
          </w:tcPr>
          <w:p w14:paraId="72AA5B58" w14:textId="5DB9CC41" w:rsidR="00A23CFE" w:rsidRPr="008401DD" w:rsidRDefault="00A23CFE" w:rsidP="00161A81">
            <w:pPr>
              <w:rPr>
                <w:rFonts w:cs="Arial"/>
                <w:szCs w:val="20"/>
              </w:rPr>
            </w:pPr>
            <w:r w:rsidRPr="008401DD">
              <w:rPr>
                <w:rFonts w:cs="Arial"/>
                <w:szCs w:val="20"/>
              </w:rPr>
              <w:t xml:space="preserve">V </w:t>
            </w:r>
            <w:proofErr w:type="spellStart"/>
            <w:r w:rsidRPr="008401DD">
              <w:rPr>
                <w:rFonts w:cs="Arial"/>
                <w:szCs w:val="20"/>
              </w:rPr>
              <w:t>donacijskih</w:t>
            </w:r>
            <w:proofErr w:type="spellEnd"/>
            <w:r w:rsidRPr="008401DD">
              <w:rPr>
                <w:rFonts w:cs="Arial"/>
                <w:szCs w:val="20"/>
              </w:rPr>
              <w:t xml:space="preserve"> pogodbah zaveze glede financiranja stroškov vzdrževanja in ohranjanje doseženih rezultatov niso vključene, mehanizmi za zagotavljanje trajnosti rezultatov pa posledično niso pogodbeno zagotovljeni.</w:t>
            </w:r>
          </w:p>
        </w:tc>
        <w:tc>
          <w:tcPr>
            <w:tcW w:w="4678" w:type="dxa"/>
          </w:tcPr>
          <w:p w14:paraId="509E8CF1" w14:textId="0E1A500D" w:rsidR="00B01BDD" w:rsidRPr="008401DD" w:rsidRDefault="00A23CFE" w:rsidP="00161A81">
            <w:pPr>
              <w:rPr>
                <w:rFonts w:cs="Arial"/>
                <w:iCs/>
              </w:rPr>
            </w:pPr>
            <w:r w:rsidRPr="008401DD">
              <w:t>Predlagamo zagotavljanje lokalnega lastništva na sistemski način, in sicer na način, da se ukrepi za zagotavljanje lokalnega lastništva predvidijo že v fazi zasnove projektov, in sicer kot obvezno opisno polje v standardiziranih obrazcih projektnih predlogov. Prav tako predlagamo uvrstitev elementa trajnosti (kazalnike za spremljanje trajnosti), skupaj z aktivnostmi, ki bodo to trajnost zagotovile, med merila za izbor</w:t>
            </w:r>
            <w:r w:rsidR="009F5D32">
              <w:t xml:space="preserve"> projektov</w:t>
            </w:r>
            <w:r w:rsidRPr="008401DD">
              <w:t xml:space="preserve"> in </w:t>
            </w:r>
            <w:r w:rsidR="009F5D32">
              <w:t xml:space="preserve">zahteve za </w:t>
            </w:r>
            <w:r w:rsidRPr="008401DD">
              <w:t xml:space="preserve">poročanje </w:t>
            </w:r>
            <w:r w:rsidRPr="008401DD">
              <w:rPr>
                <w:rFonts w:cs="Arial"/>
                <w:szCs w:val="20"/>
              </w:rPr>
              <w:t>(priporočilo 5.1. v besedilu)</w:t>
            </w:r>
            <w:r w:rsidRPr="008401DD">
              <w:rPr>
                <w:rFonts w:cs="Arial"/>
                <w:iCs/>
              </w:rPr>
              <w:t>.</w:t>
            </w:r>
          </w:p>
          <w:p w14:paraId="0C7F37C2" w14:textId="1C0A424F" w:rsidR="00A23CFE" w:rsidRPr="008401DD" w:rsidRDefault="00A23CFE" w:rsidP="00161A81">
            <w:pPr>
              <w:rPr>
                <w:rFonts w:cs="Arial"/>
                <w:iCs/>
              </w:rPr>
            </w:pPr>
          </w:p>
        </w:tc>
      </w:tr>
      <w:tr w:rsidR="00A23CFE" w:rsidRPr="008401DD" w14:paraId="7716C42B" w14:textId="77777777" w:rsidTr="005723DC">
        <w:tc>
          <w:tcPr>
            <w:tcW w:w="4678" w:type="dxa"/>
          </w:tcPr>
          <w:p w14:paraId="6DE25B25" w14:textId="0E8928A1" w:rsidR="00A23CFE" w:rsidRPr="008401DD" w:rsidRDefault="00A23CFE" w:rsidP="00161A81">
            <w:pPr>
              <w:rPr>
                <w:rFonts w:cs="Arial"/>
                <w:szCs w:val="20"/>
              </w:rPr>
            </w:pPr>
            <w:r w:rsidRPr="008401DD">
              <w:rPr>
                <w:rFonts w:cs="Arial"/>
                <w:szCs w:val="20"/>
              </w:rPr>
              <w:t xml:space="preserve">Oprema, ki je bila nameščena v okviru obeh projektov je sicer vrhunska, ima pa za posledico tudi sorazmerno visoke stroške vzdrževanja, zaradi potencialne nezmožnosti zagotavljanja sredstev za vzdrževanje, pa je morda tudi predraga, kar lahko vodi v </w:t>
            </w:r>
            <w:r w:rsidRPr="008401DD">
              <w:rPr>
                <w:rFonts w:eastAsiaTheme="minorEastAsia"/>
              </w:rPr>
              <w:t>nezmožnosti zagotavljanja lastnih virov financiranja za investicijsko vzdrževanje objektov vodne infrastrukture.</w:t>
            </w:r>
            <w:r w:rsidR="00B144C8">
              <w:rPr>
                <w:rFonts w:eastAsiaTheme="minorEastAsia"/>
              </w:rPr>
              <w:t xml:space="preserve"> </w:t>
            </w:r>
          </w:p>
        </w:tc>
        <w:tc>
          <w:tcPr>
            <w:tcW w:w="4678" w:type="dxa"/>
          </w:tcPr>
          <w:p w14:paraId="1FCF8464" w14:textId="0FE20710" w:rsidR="00A23CFE" w:rsidRPr="008401DD" w:rsidRDefault="00A23CFE" w:rsidP="00161A81">
            <w:pPr>
              <w:rPr>
                <w:rFonts w:cs="Arial"/>
                <w:iCs/>
              </w:rPr>
            </w:pPr>
            <w:r w:rsidRPr="008401DD">
              <w:t xml:space="preserve">CMSR naj že v zasnovi infrastrukturnih projektov, zlasti pa v okviru izdelave investicijske dokumentacije upošteva zmogljivosti prejemnika pomoči za zagotavljanje virov financiranja za (investicijsko) vzdrževanje te infrastrukture </w:t>
            </w:r>
            <w:r w:rsidRPr="008401DD">
              <w:rPr>
                <w:rFonts w:cs="Arial"/>
              </w:rPr>
              <w:t xml:space="preserve">(npr. 3 leta po zaključku) </w:t>
            </w:r>
            <w:r w:rsidRPr="008401DD">
              <w:rPr>
                <w:rFonts w:cs="Arial"/>
                <w:szCs w:val="20"/>
              </w:rPr>
              <w:t>(priporočilo 5.2. v besedilu)</w:t>
            </w:r>
            <w:r w:rsidRPr="008401DD">
              <w:rPr>
                <w:rFonts w:cs="Arial"/>
                <w:iCs/>
              </w:rPr>
              <w:t>.</w:t>
            </w:r>
          </w:p>
        </w:tc>
      </w:tr>
    </w:tbl>
    <w:p w14:paraId="2C4D3520" w14:textId="3FF30140" w:rsidR="00DA3ACF" w:rsidRPr="008401DD" w:rsidRDefault="00DA3ACF" w:rsidP="00960E68">
      <w:bookmarkStart w:id="137" w:name="_Toc56088913"/>
      <w:bookmarkStart w:id="138" w:name="_Toc52394938"/>
    </w:p>
    <w:p w14:paraId="6410A920" w14:textId="77777777" w:rsidR="003351BC" w:rsidRPr="008401DD" w:rsidRDefault="003351BC" w:rsidP="00960E68">
      <w:pPr>
        <w:rPr>
          <w:rFonts w:eastAsiaTheme="majorEastAsia" w:cs="Arial"/>
          <w:b/>
          <w:color w:val="1B75BC"/>
          <w:sz w:val="36"/>
          <w:szCs w:val="32"/>
        </w:rPr>
      </w:pPr>
      <w:r w:rsidRPr="008401DD">
        <w:br w:type="page"/>
      </w:r>
    </w:p>
    <w:p w14:paraId="6883C6D2" w14:textId="6DF82782" w:rsidR="003D59B1" w:rsidRPr="00161A81" w:rsidRDefault="003D59B1" w:rsidP="00960E68">
      <w:pPr>
        <w:pStyle w:val="Heading1"/>
        <w:rPr>
          <w:lang w:val="en-GB"/>
        </w:rPr>
      </w:pPr>
      <w:bookmarkStart w:id="139" w:name="_Toc57377184"/>
      <w:r w:rsidRPr="00161A81">
        <w:rPr>
          <w:lang w:val="en-GB"/>
        </w:rPr>
        <w:lastRenderedPageBreak/>
        <w:t>Findings and recommendations</w:t>
      </w:r>
      <w:bookmarkEnd w:id="139"/>
    </w:p>
    <w:p w14:paraId="3F1EAD45" w14:textId="77777777" w:rsidR="003D59B1" w:rsidRPr="00161A81" w:rsidRDefault="003D59B1" w:rsidP="00960E68">
      <w:pPr>
        <w:rPr>
          <w:lang w:val="en-GB"/>
        </w:rPr>
      </w:pPr>
    </w:p>
    <w:tbl>
      <w:tblPr>
        <w:tblStyle w:val="TableGrid"/>
        <w:tblW w:w="9356" w:type="dxa"/>
        <w:tblInd w:w="-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4678"/>
        <w:gridCol w:w="4678"/>
      </w:tblGrid>
      <w:tr w:rsidR="00DA3ACF" w:rsidRPr="00161A81" w14:paraId="25041038" w14:textId="77777777" w:rsidTr="00A415B0">
        <w:trPr>
          <w:trHeight w:val="76"/>
        </w:trPr>
        <w:tc>
          <w:tcPr>
            <w:tcW w:w="4678" w:type="dxa"/>
            <w:tcBorders>
              <w:top w:val="single" w:sz="12" w:space="0" w:color="70AD47" w:themeColor="accent6"/>
              <w:bottom w:val="nil"/>
            </w:tcBorders>
            <w:shd w:val="clear" w:color="auto" w:fill="67C18C"/>
            <w:vAlign w:val="center"/>
          </w:tcPr>
          <w:p w14:paraId="54A4F85A" w14:textId="144026A3" w:rsidR="00DA3ACF" w:rsidRPr="00161A81" w:rsidRDefault="00DA3ACF" w:rsidP="00960E68">
            <w:pPr>
              <w:jc w:val="center"/>
              <w:rPr>
                <w:rFonts w:cs="Arial"/>
                <w:b/>
                <w:color w:val="FFFFFF" w:themeColor="background1"/>
                <w:sz w:val="22"/>
                <w:szCs w:val="20"/>
                <w:lang w:val="en-GB"/>
              </w:rPr>
            </w:pPr>
            <w:r w:rsidRPr="00161A81">
              <w:rPr>
                <w:rFonts w:cs="Arial"/>
                <w:b/>
                <w:color w:val="FFFFFF" w:themeColor="background1"/>
                <w:sz w:val="24"/>
                <w:szCs w:val="20"/>
                <w:lang w:val="en-GB"/>
              </w:rPr>
              <w:t>Findings</w:t>
            </w:r>
          </w:p>
        </w:tc>
        <w:tc>
          <w:tcPr>
            <w:tcW w:w="4678" w:type="dxa"/>
            <w:tcBorders>
              <w:top w:val="single" w:sz="12" w:space="0" w:color="70AD47" w:themeColor="accent6"/>
              <w:bottom w:val="nil"/>
            </w:tcBorders>
            <w:shd w:val="clear" w:color="auto" w:fill="67C18C"/>
            <w:vAlign w:val="center"/>
          </w:tcPr>
          <w:p w14:paraId="57D86E15" w14:textId="73CED75A" w:rsidR="00DA3ACF" w:rsidRPr="00161A81" w:rsidRDefault="00DA3ACF" w:rsidP="00960E68">
            <w:pPr>
              <w:jc w:val="center"/>
              <w:rPr>
                <w:rFonts w:cs="Arial"/>
                <w:b/>
                <w:color w:val="FFFFFF" w:themeColor="background1"/>
                <w:szCs w:val="20"/>
                <w:lang w:val="en-GB"/>
              </w:rPr>
            </w:pPr>
            <w:r w:rsidRPr="00161A81">
              <w:rPr>
                <w:rFonts w:cs="Arial"/>
                <w:b/>
                <w:color w:val="FFFFFF" w:themeColor="background1"/>
                <w:sz w:val="24"/>
                <w:szCs w:val="20"/>
                <w:lang w:val="en-GB"/>
              </w:rPr>
              <w:t>Recommendations</w:t>
            </w:r>
          </w:p>
        </w:tc>
      </w:tr>
      <w:tr w:rsidR="00DA3ACF" w:rsidRPr="00161A81" w14:paraId="16E38B10" w14:textId="77777777" w:rsidTr="00A415B0">
        <w:trPr>
          <w:trHeight w:val="76"/>
        </w:trPr>
        <w:tc>
          <w:tcPr>
            <w:tcW w:w="9356" w:type="dxa"/>
            <w:gridSpan w:val="2"/>
            <w:tcBorders>
              <w:top w:val="nil"/>
              <w:left w:val="nil"/>
              <w:bottom w:val="nil"/>
              <w:right w:val="nil"/>
            </w:tcBorders>
            <w:shd w:val="clear" w:color="auto" w:fill="1B758C"/>
            <w:vAlign w:val="center"/>
          </w:tcPr>
          <w:p w14:paraId="27EF0019" w14:textId="227DBAFF" w:rsidR="00DA3ACF" w:rsidRPr="00161A81" w:rsidRDefault="00DA3ACF" w:rsidP="00161A81">
            <w:pPr>
              <w:jc w:val="center"/>
              <w:rPr>
                <w:rFonts w:cs="Arial"/>
                <w:b/>
                <w:color w:val="FFFFFF" w:themeColor="background1"/>
                <w:sz w:val="22"/>
                <w:szCs w:val="20"/>
                <w:lang w:val="en-GB"/>
              </w:rPr>
            </w:pPr>
            <w:r w:rsidRPr="00161A81">
              <w:rPr>
                <w:rFonts w:cs="Arial"/>
                <w:b/>
                <w:color w:val="FFFFFF" w:themeColor="background1"/>
                <w:sz w:val="22"/>
                <w:szCs w:val="20"/>
                <w:lang w:val="en-GB"/>
              </w:rPr>
              <w:t xml:space="preserve">Evaluation criteria 1: </w:t>
            </w:r>
            <w:r w:rsidR="00343A17">
              <w:rPr>
                <w:rFonts w:cs="Arial"/>
                <w:b/>
                <w:color w:val="FFFFFF" w:themeColor="background1"/>
                <w:sz w:val="22"/>
                <w:szCs w:val="20"/>
                <w:lang w:val="en-GB"/>
              </w:rPr>
              <w:t>Relevance</w:t>
            </w:r>
          </w:p>
        </w:tc>
      </w:tr>
      <w:tr w:rsidR="00DA3ACF" w:rsidRPr="00161A81" w14:paraId="440A1A51" w14:textId="77777777" w:rsidTr="00A415B0">
        <w:tc>
          <w:tcPr>
            <w:tcW w:w="4678" w:type="dxa"/>
            <w:tcBorders>
              <w:top w:val="nil"/>
            </w:tcBorders>
          </w:tcPr>
          <w:p w14:paraId="0507EE84" w14:textId="00C5D03C" w:rsidR="00DA3ACF" w:rsidRPr="00161A81" w:rsidRDefault="00DA3ACF" w:rsidP="00960E68">
            <w:pPr>
              <w:rPr>
                <w:rFonts w:cs="Arial"/>
                <w:szCs w:val="20"/>
                <w:lang w:val="en-GB"/>
              </w:rPr>
            </w:pPr>
            <w:r w:rsidRPr="00161A81">
              <w:rPr>
                <w:rFonts w:cs="Arial"/>
                <w:szCs w:val="20"/>
                <w:lang w:val="en-GB"/>
              </w:rPr>
              <w:t xml:space="preserve">In the case of both projects subject to evaluation, the project design and investment documentation were prepared by the municipality of </w:t>
            </w:r>
            <w:proofErr w:type="spellStart"/>
            <w:r w:rsidRPr="00161A81">
              <w:rPr>
                <w:rFonts w:cs="Arial"/>
                <w:szCs w:val="20"/>
                <w:lang w:val="en-GB"/>
              </w:rPr>
              <w:t>Probištip</w:t>
            </w:r>
            <w:proofErr w:type="spellEnd"/>
            <w:r w:rsidRPr="00161A81">
              <w:rPr>
                <w:rFonts w:cs="Arial"/>
                <w:szCs w:val="20"/>
                <w:lang w:val="en-GB"/>
              </w:rPr>
              <w:t xml:space="preserve"> and the documentation available to CMSR does not show whether the investment is based on previous </w:t>
            </w:r>
            <w:r w:rsidR="00256EDA" w:rsidRPr="00161A81">
              <w:rPr>
                <w:rFonts w:cs="Arial"/>
                <w:szCs w:val="20"/>
                <w:lang w:val="en-GB"/>
              </w:rPr>
              <w:t>analyses</w:t>
            </w:r>
            <w:r w:rsidRPr="00161A81">
              <w:rPr>
                <w:rFonts w:cs="Arial"/>
                <w:szCs w:val="20"/>
                <w:lang w:val="en-GB"/>
              </w:rPr>
              <w:t xml:space="preserve"> or studies. C</w:t>
            </w:r>
            <w:r w:rsidR="00536E28" w:rsidRPr="00161A81">
              <w:rPr>
                <w:rFonts w:cs="Arial"/>
                <w:szCs w:val="20"/>
                <w:lang w:val="en-GB"/>
              </w:rPr>
              <w:t>MSR and</w:t>
            </w:r>
            <w:r w:rsidRPr="00161A81">
              <w:rPr>
                <w:rFonts w:cs="Arial"/>
                <w:szCs w:val="20"/>
                <w:lang w:val="en-GB"/>
              </w:rPr>
              <w:t xml:space="preserve"> the national coordinator did not request this documentation, as the preparation of appropriate preliminary </w:t>
            </w:r>
            <w:r w:rsidR="00256EDA" w:rsidRPr="00161A81">
              <w:rPr>
                <w:rFonts w:cs="Arial"/>
                <w:szCs w:val="20"/>
                <w:lang w:val="en-GB"/>
              </w:rPr>
              <w:t>analyses</w:t>
            </w:r>
            <w:r w:rsidRPr="00161A81">
              <w:rPr>
                <w:rFonts w:cs="Arial"/>
                <w:szCs w:val="20"/>
                <w:lang w:val="en-GB"/>
              </w:rPr>
              <w:t xml:space="preserve"> or studies is not a condition for submitting a project application. Risk analysis as well as the plan for addressing </w:t>
            </w:r>
            <w:r w:rsidR="00246B6D" w:rsidRPr="00161A81">
              <w:rPr>
                <w:rFonts w:cs="Arial"/>
                <w:szCs w:val="20"/>
                <w:lang w:val="en-GB"/>
              </w:rPr>
              <w:t>project</w:t>
            </w:r>
            <w:r w:rsidRPr="00161A81">
              <w:rPr>
                <w:rFonts w:cs="Arial"/>
                <w:szCs w:val="20"/>
                <w:lang w:val="en-GB"/>
              </w:rPr>
              <w:t xml:space="preserve"> risks was not prepared.</w:t>
            </w:r>
          </w:p>
          <w:p w14:paraId="1C55FDDF" w14:textId="77777777" w:rsidR="00DA3ACF" w:rsidRPr="00161A81" w:rsidRDefault="00DA3ACF" w:rsidP="00960E68">
            <w:pPr>
              <w:rPr>
                <w:rFonts w:cs="Arial"/>
                <w:szCs w:val="20"/>
                <w:lang w:val="en-GB"/>
              </w:rPr>
            </w:pPr>
          </w:p>
          <w:p w14:paraId="5075A2B2" w14:textId="3FD24D1D" w:rsidR="00DA3ACF" w:rsidRPr="00161A81" w:rsidRDefault="00DA3ACF" w:rsidP="00960E68">
            <w:pPr>
              <w:rPr>
                <w:rFonts w:cs="Arial"/>
                <w:szCs w:val="20"/>
                <w:lang w:val="en-GB"/>
              </w:rPr>
            </w:pPr>
            <w:r w:rsidRPr="00161A81">
              <w:rPr>
                <w:rFonts w:cs="Arial"/>
                <w:szCs w:val="20"/>
                <w:lang w:val="en-GB"/>
              </w:rPr>
              <w:t xml:space="preserve">CMSR did not consult external experts when reviewing the project design (technical and financial items) in order to verify the accuracy of </w:t>
            </w:r>
            <w:r w:rsidR="006E6A18" w:rsidRPr="00161A81">
              <w:rPr>
                <w:rFonts w:cs="Arial"/>
                <w:szCs w:val="20"/>
                <w:lang w:val="en-GB"/>
              </w:rPr>
              <w:t>different project</w:t>
            </w:r>
            <w:r w:rsidR="00246B6D" w:rsidRPr="00161A81">
              <w:rPr>
                <w:rFonts w:cs="Arial"/>
                <w:szCs w:val="20"/>
                <w:lang w:val="en-GB"/>
              </w:rPr>
              <w:t xml:space="preserve"> </w:t>
            </w:r>
            <w:r w:rsidRPr="00161A81">
              <w:rPr>
                <w:rFonts w:cs="Arial"/>
                <w:szCs w:val="20"/>
                <w:lang w:val="en-GB"/>
              </w:rPr>
              <w:t>items, which increases the risk of irrational use of public funds as well as the risk of corruption.</w:t>
            </w:r>
          </w:p>
        </w:tc>
        <w:tc>
          <w:tcPr>
            <w:tcW w:w="4678" w:type="dxa"/>
            <w:tcBorders>
              <w:top w:val="nil"/>
            </w:tcBorders>
          </w:tcPr>
          <w:p w14:paraId="556FDA8E" w14:textId="45D0CCA3" w:rsidR="00DA3ACF" w:rsidRDefault="00DA3ACF" w:rsidP="00960E68">
            <w:pPr>
              <w:rPr>
                <w:rFonts w:cs="Arial"/>
                <w:szCs w:val="20"/>
                <w:lang w:val="en-GB"/>
              </w:rPr>
            </w:pPr>
            <w:r w:rsidRPr="00161A81">
              <w:rPr>
                <w:rFonts w:cs="Arial"/>
                <w:szCs w:val="20"/>
                <w:lang w:val="en-GB"/>
              </w:rPr>
              <w:t xml:space="preserve">In the case of projects </w:t>
            </w:r>
            <w:r w:rsidR="00F80A56" w:rsidRPr="00161A81">
              <w:rPr>
                <w:rFonts w:cs="Arial"/>
                <w:szCs w:val="20"/>
                <w:lang w:val="en-GB"/>
              </w:rPr>
              <w:t>addressing</w:t>
            </w:r>
            <w:r w:rsidRPr="00161A81">
              <w:rPr>
                <w:rFonts w:cs="Arial"/>
                <w:szCs w:val="20"/>
                <w:lang w:val="en-GB"/>
              </w:rPr>
              <w:t xml:space="preserve"> investments in infrastructure and equipment, CMSR should</w:t>
            </w:r>
            <w:r w:rsidR="00256EDA">
              <w:rPr>
                <w:rFonts w:cs="Arial"/>
                <w:szCs w:val="20"/>
                <w:lang w:val="en-GB"/>
              </w:rPr>
              <w:t xml:space="preserve"> when</w:t>
            </w:r>
            <w:r w:rsidRPr="00161A81">
              <w:rPr>
                <w:rFonts w:cs="Arial"/>
                <w:szCs w:val="20"/>
                <w:lang w:val="en-GB"/>
              </w:rPr>
              <w:t xml:space="preserve"> signing a </w:t>
            </w:r>
            <w:r w:rsidR="000412DA">
              <w:rPr>
                <w:rFonts w:cs="Arial"/>
                <w:szCs w:val="20"/>
                <w:lang w:val="en-GB"/>
              </w:rPr>
              <w:t xml:space="preserve">donation </w:t>
            </w:r>
            <w:r w:rsidRPr="00161A81">
              <w:rPr>
                <w:rFonts w:cs="Arial"/>
                <w:szCs w:val="20"/>
                <w:lang w:val="en-GB"/>
              </w:rPr>
              <w:t>agreement with the recipient country provide the relevant investment documentation and related studies envisaged for the implementation of similar investments in the recipient country.</w:t>
            </w:r>
          </w:p>
          <w:p w14:paraId="0453271A" w14:textId="77777777" w:rsidR="00256EDA" w:rsidRPr="00161A81" w:rsidRDefault="00256EDA" w:rsidP="00960E68">
            <w:pPr>
              <w:rPr>
                <w:rFonts w:cs="Arial"/>
                <w:szCs w:val="20"/>
                <w:lang w:val="en-GB"/>
              </w:rPr>
            </w:pPr>
          </w:p>
          <w:p w14:paraId="64E9DAB7" w14:textId="65937149" w:rsidR="00DA3ACF" w:rsidRPr="00161A81" w:rsidRDefault="00207C88" w:rsidP="00161A81">
            <w:pPr>
              <w:rPr>
                <w:rFonts w:cs="Arial"/>
                <w:szCs w:val="20"/>
                <w:lang w:val="en-GB"/>
              </w:rPr>
            </w:pPr>
            <w:r>
              <w:rPr>
                <w:rFonts w:cs="Arial"/>
                <w:szCs w:val="20"/>
                <w:lang w:val="en-GB"/>
              </w:rPr>
              <w:t>As a part of ex-ante conditions,</w:t>
            </w:r>
            <w:r w:rsidR="00DA3ACF" w:rsidRPr="00161A81">
              <w:rPr>
                <w:rFonts w:cs="Arial"/>
                <w:szCs w:val="20"/>
                <w:lang w:val="en-GB"/>
              </w:rPr>
              <w:t xml:space="preserve"> CMSR should develop a minimum set of requirements </w:t>
            </w:r>
            <w:r w:rsidR="00256EDA">
              <w:rPr>
                <w:rFonts w:cs="Arial"/>
                <w:szCs w:val="20"/>
                <w:lang w:val="en-GB"/>
              </w:rPr>
              <w:t>in terms of required</w:t>
            </w:r>
            <w:r w:rsidR="00256EDA" w:rsidRPr="00161A81">
              <w:rPr>
                <w:rFonts w:cs="Arial"/>
                <w:szCs w:val="20"/>
                <w:lang w:val="en-GB"/>
              </w:rPr>
              <w:t xml:space="preserve"> </w:t>
            </w:r>
            <w:r w:rsidR="00DA3ACF" w:rsidRPr="00161A81">
              <w:rPr>
                <w:rFonts w:cs="Arial"/>
                <w:szCs w:val="20"/>
                <w:lang w:val="en-GB"/>
              </w:rPr>
              <w:t xml:space="preserve">preliminary </w:t>
            </w:r>
            <w:r w:rsidR="00256EDA" w:rsidRPr="00161A81">
              <w:rPr>
                <w:rFonts w:cs="Arial"/>
                <w:szCs w:val="20"/>
                <w:lang w:val="en-GB"/>
              </w:rPr>
              <w:t>analyses</w:t>
            </w:r>
            <w:r w:rsidR="00DA3ACF" w:rsidRPr="00161A81">
              <w:rPr>
                <w:rFonts w:cs="Arial"/>
                <w:szCs w:val="20"/>
                <w:lang w:val="en-GB"/>
              </w:rPr>
              <w:t xml:space="preserve"> and studies</w:t>
            </w:r>
            <w:r w:rsidR="00256EDA">
              <w:rPr>
                <w:rFonts w:cs="Arial"/>
                <w:szCs w:val="20"/>
                <w:lang w:val="en-GB"/>
              </w:rPr>
              <w:t>. These</w:t>
            </w:r>
            <w:r w:rsidR="00DA3ACF" w:rsidRPr="00161A81">
              <w:rPr>
                <w:rFonts w:cs="Arial"/>
                <w:szCs w:val="20"/>
                <w:lang w:val="en-GB"/>
              </w:rPr>
              <w:t xml:space="preserve"> requirements should be clearly presented to the partners in the recipient country during project discussions. In order to ensure a satisfactory level of quality of investment documentation, CMSR should </w:t>
            </w:r>
            <w:r w:rsidR="00256EDA">
              <w:rPr>
                <w:rFonts w:cs="Arial"/>
                <w:szCs w:val="20"/>
                <w:lang w:val="en-GB"/>
              </w:rPr>
              <w:t>resort to</w:t>
            </w:r>
            <w:r w:rsidR="00DA3ACF" w:rsidRPr="00161A81">
              <w:rPr>
                <w:rFonts w:cs="Arial"/>
                <w:szCs w:val="20"/>
                <w:lang w:val="en-GB"/>
              </w:rPr>
              <w:t xml:space="preserve"> independent opinion</w:t>
            </w:r>
            <w:r w:rsidR="00256EDA">
              <w:rPr>
                <w:rFonts w:cs="Arial"/>
                <w:szCs w:val="20"/>
                <w:lang w:val="en-GB"/>
              </w:rPr>
              <w:t>s</w:t>
            </w:r>
            <w:r w:rsidR="00DA3ACF" w:rsidRPr="00161A81">
              <w:rPr>
                <w:rFonts w:cs="Arial"/>
                <w:szCs w:val="20"/>
                <w:lang w:val="en-GB"/>
              </w:rPr>
              <w:t xml:space="preserve"> of external experts (recommendations 1.1</w:t>
            </w:r>
            <w:r w:rsidR="009463D0">
              <w:rPr>
                <w:rFonts w:cs="Arial"/>
                <w:szCs w:val="20"/>
                <w:lang w:val="en-GB"/>
              </w:rPr>
              <w:t>.</w:t>
            </w:r>
            <w:r w:rsidR="00DA3ACF" w:rsidRPr="00161A81">
              <w:rPr>
                <w:rFonts w:cs="Arial"/>
                <w:szCs w:val="20"/>
                <w:lang w:val="en-GB"/>
              </w:rPr>
              <w:t xml:space="preserve"> and 1.2</w:t>
            </w:r>
            <w:r w:rsidR="009463D0">
              <w:rPr>
                <w:rFonts w:cs="Arial"/>
                <w:szCs w:val="20"/>
                <w:lang w:val="en-GB"/>
              </w:rPr>
              <w:t>.</w:t>
            </w:r>
            <w:r w:rsidR="00DA3ACF" w:rsidRPr="00161A81">
              <w:rPr>
                <w:rFonts w:cs="Arial"/>
                <w:szCs w:val="20"/>
                <w:lang w:val="en-GB"/>
              </w:rPr>
              <w:t xml:space="preserve"> in the text).</w:t>
            </w:r>
          </w:p>
          <w:p w14:paraId="6AFB3511" w14:textId="77777777" w:rsidR="00DA3ACF" w:rsidRPr="00161A81" w:rsidRDefault="00DA3ACF" w:rsidP="00960E68">
            <w:pPr>
              <w:rPr>
                <w:rFonts w:cs="Arial"/>
                <w:szCs w:val="20"/>
                <w:lang w:val="en-GB"/>
              </w:rPr>
            </w:pPr>
          </w:p>
          <w:p w14:paraId="7F1F003F" w14:textId="51DC8259" w:rsidR="00DA3ACF" w:rsidRPr="00161A81" w:rsidRDefault="00DA3ACF" w:rsidP="00161A81">
            <w:pPr>
              <w:rPr>
                <w:rFonts w:cs="Arial"/>
                <w:szCs w:val="20"/>
                <w:lang w:val="en-GB"/>
              </w:rPr>
            </w:pPr>
            <w:r w:rsidRPr="00161A81">
              <w:rPr>
                <w:rFonts w:cs="Arial"/>
                <w:szCs w:val="20"/>
                <w:lang w:val="en-GB"/>
              </w:rPr>
              <w:t xml:space="preserve">In order to finance the performance of additional tasks in the field of quality assurance of project documentation, the adequacy of the </w:t>
            </w:r>
            <w:r w:rsidR="00256EDA">
              <w:rPr>
                <w:rFonts w:cs="Arial"/>
                <w:szCs w:val="20"/>
                <w:lang w:val="en-GB"/>
              </w:rPr>
              <w:t xml:space="preserve">% of </w:t>
            </w:r>
            <w:r w:rsidRPr="00161A81">
              <w:rPr>
                <w:rFonts w:cs="Arial"/>
                <w:szCs w:val="20"/>
                <w:lang w:val="en-GB"/>
              </w:rPr>
              <w:t xml:space="preserve">commission received by the CMSR for the needs of performing </w:t>
            </w:r>
            <w:r w:rsidR="00256EDA">
              <w:rPr>
                <w:rFonts w:cs="Arial"/>
                <w:szCs w:val="20"/>
                <w:lang w:val="en-GB"/>
              </w:rPr>
              <w:t xml:space="preserve">its </w:t>
            </w:r>
            <w:r w:rsidRPr="00161A81">
              <w:rPr>
                <w:rFonts w:cs="Arial"/>
                <w:szCs w:val="20"/>
                <w:lang w:val="en-GB"/>
              </w:rPr>
              <w:t xml:space="preserve">tasks in the </w:t>
            </w:r>
            <w:r w:rsidR="00256EDA">
              <w:rPr>
                <w:rFonts w:cs="Arial"/>
                <w:szCs w:val="20"/>
                <w:lang w:val="en-GB"/>
              </w:rPr>
              <w:t xml:space="preserve">implementation of </w:t>
            </w:r>
            <w:r w:rsidR="00B40D0C" w:rsidRPr="00B40D0C">
              <w:rPr>
                <w:rFonts w:cs="Arial"/>
                <w:szCs w:val="20"/>
                <w:lang w:val="en-GB"/>
              </w:rPr>
              <w:t>Slovenia's Development Cooperation</w:t>
            </w:r>
            <w:r w:rsidR="00B40D0C">
              <w:rPr>
                <w:rFonts w:cs="Arial"/>
                <w:szCs w:val="20"/>
                <w:lang w:val="en-GB"/>
              </w:rPr>
              <w:t xml:space="preserve"> </w:t>
            </w:r>
            <w:r w:rsidR="00256EDA">
              <w:rPr>
                <w:rFonts w:cs="Arial"/>
                <w:szCs w:val="20"/>
                <w:lang w:val="en-GB"/>
              </w:rPr>
              <w:t>projects</w:t>
            </w:r>
            <w:r w:rsidRPr="00161A81">
              <w:rPr>
                <w:rFonts w:cs="Arial"/>
                <w:szCs w:val="20"/>
                <w:lang w:val="en-GB"/>
              </w:rPr>
              <w:t xml:space="preserve"> should be </w:t>
            </w:r>
            <w:r w:rsidR="00256EDA">
              <w:rPr>
                <w:rFonts w:cs="Arial"/>
                <w:szCs w:val="20"/>
                <w:lang w:val="en-GB"/>
              </w:rPr>
              <w:t>re-assessed</w:t>
            </w:r>
            <w:r w:rsidR="00256EDA" w:rsidRPr="00161A81">
              <w:rPr>
                <w:rFonts w:cs="Arial"/>
                <w:szCs w:val="20"/>
                <w:lang w:val="en-GB"/>
              </w:rPr>
              <w:t xml:space="preserve"> </w:t>
            </w:r>
            <w:r w:rsidRPr="00161A81">
              <w:rPr>
                <w:rFonts w:cs="Arial"/>
                <w:szCs w:val="20"/>
                <w:lang w:val="en-GB"/>
              </w:rPr>
              <w:t>(recommendation 1.3</w:t>
            </w:r>
            <w:r w:rsidR="009463D0">
              <w:rPr>
                <w:rFonts w:cs="Arial"/>
                <w:szCs w:val="20"/>
                <w:lang w:val="en-GB"/>
              </w:rPr>
              <w:t>.</w:t>
            </w:r>
            <w:r w:rsidRPr="00161A81">
              <w:rPr>
                <w:rFonts w:cs="Arial"/>
                <w:szCs w:val="20"/>
                <w:lang w:val="en-GB"/>
              </w:rPr>
              <w:t xml:space="preserve"> in the text).</w:t>
            </w:r>
          </w:p>
          <w:p w14:paraId="06E5DF2C" w14:textId="77777777" w:rsidR="00DA3ACF" w:rsidRPr="00161A81" w:rsidRDefault="00DA3ACF" w:rsidP="00960E68">
            <w:pPr>
              <w:rPr>
                <w:rFonts w:cs="Arial"/>
                <w:szCs w:val="20"/>
                <w:lang w:val="en-GB"/>
              </w:rPr>
            </w:pPr>
          </w:p>
          <w:p w14:paraId="762F754F" w14:textId="62F95A86" w:rsidR="00DA3ACF" w:rsidRPr="00161A81" w:rsidRDefault="004C47E9" w:rsidP="00161A81">
            <w:pPr>
              <w:rPr>
                <w:rFonts w:cs="Arial"/>
                <w:szCs w:val="20"/>
                <w:lang w:val="en-GB"/>
              </w:rPr>
            </w:pPr>
            <w:r w:rsidRPr="00161A81">
              <w:rPr>
                <w:rFonts w:cs="Arial"/>
                <w:szCs w:val="20"/>
                <w:lang w:val="en-GB"/>
              </w:rPr>
              <w:t>CMSR should prepare a set of measures or mechanisms for mitigating corruption risks in the implementation of infrastructure projects (preparation of a project risk matrix, involvement of external experts in the review of investment documentation, establishment of control mechanisms</w:t>
            </w:r>
            <w:r w:rsidR="00256EDA">
              <w:rPr>
                <w:rFonts w:cs="Arial"/>
                <w:szCs w:val="20"/>
                <w:lang w:val="en-GB"/>
              </w:rPr>
              <w:t xml:space="preserve"> etc.</w:t>
            </w:r>
            <w:r w:rsidRPr="00161A81">
              <w:rPr>
                <w:rFonts w:cs="Arial"/>
                <w:szCs w:val="20"/>
                <w:lang w:val="en-GB"/>
              </w:rPr>
              <w:t>) (recommendation</w:t>
            </w:r>
            <w:r w:rsidR="00256EDA">
              <w:rPr>
                <w:rFonts w:cs="Arial"/>
                <w:szCs w:val="20"/>
                <w:lang w:val="en-GB"/>
              </w:rPr>
              <w:t>s</w:t>
            </w:r>
            <w:r w:rsidRPr="00161A81">
              <w:rPr>
                <w:rFonts w:cs="Arial"/>
                <w:szCs w:val="20"/>
                <w:lang w:val="en-GB"/>
              </w:rPr>
              <w:t xml:space="preserve"> 1.4. in the text).</w:t>
            </w:r>
          </w:p>
          <w:p w14:paraId="15B4616C" w14:textId="77777777" w:rsidR="00DA3ACF" w:rsidRPr="00161A81" w:rsidRDefault="00DA3ACF" w:rsidP="00161A81">
            <w:pPr>
              <w:rPr>
                <w:rFonts w:cs="Arial"/>
                <w:szCs w:val="20"/>
                <w:lang w:val="en-GB"/>
              </w:rPr>
            </w:pPr>
          </w:p>
        </w:tc>
      </w:tr>
      <w:tr w:rsidR="00DA3ACF" w:rsidRPr="00161A81" w14:paraId="43DDD9B7" w14:textId="77777777" w:rsidTr="00A415B0">
        <w:tc>
          <w:tcPr>
            <w:tcW w:w="4678" w:type="dxa"/>
          </w:tcPr>
          <w:p w14:paraId="1C358C4F" w14:textId="1B19A6F0" w:rsidR="00DA3ACF" w:rsidRPr="00161A81" w:rsidRDefault="004C47E9" w:rsidP="00161A81">
            <w:pPr>
              <w:rPr>
                <w:lang w:val="en-GB"/>
              </w:rPr>
            </w:pPr>
            <w:r w:rsidRPr="00161A81">
              <w:rPr>
                <w:lang w:val="en-GB"/>
              </w:rPr>
              <w:t xml:space="preserve">CMSR is most involved in the implementation and supervision of the project in the </w:t>
            </w:r>
            <w:r w:rsidR="00256EDA">
              <w:rPr>
                <w:lang w:val="en-GB"/>
              </w:rPr>
              <w:t>project proposal stage</w:t>
            </w:r>
            <w:r w:rsidRPr="00161A81">
              <w:rPr>
                <w:lang w:val="en-GB"/>
              </w:rPr>
              <w:t xml:space="preserve"> and in the </w:t>
            </w:r>
            <w:r w:rsidR="00256EDA">
              <w:rPr>
                <w:lang w:val="en-GB"/>
              </w:rPr>
              <w:t xml:space="preserve">phase of </w:t>
            </w:r>
            <w:r w:rsidRPr="00161A81">
              <w:rPr>
                <w:lang w:val="en-GB"/>
              </w:rPr>
              <w:t xml:space="preserve">preparation of CMSR program proposal for the implementation of </w:t>
            </w:r>
            <w:r w:rsidR="00B40D0C" w:rsidRPr="00B40D0C">
              <w:rPr>
                <w:lang w:val="en-GB"/>
              </w:rPr>
              <w:t>Slovenia's Development Cooperation</w:t>
            </w:r>
            <w:r w:rsidR="00B40D0C">
              <w:rPr>
                <w:lang w:val="en-GB"/>
              </w:rPr>
              <w:t xml:space="preserve"> </w:t>
            </w:r>
            <w:r w:rsidR="00256EDA">
              <w:rPr>
                <w:lang w:val="en-GB"/>
              </w:rPr>
              <w:t>projects</w:t>
            </w:r>
            <w:r w:rsidRPr="00161A81">
              <w:rPr>
                <w:lang w:val="en-GB"/>
              </w:rPr>
              <w:t xml:space="preserve">. </w:t>
            </w:r>
            <w:r w:rsidR="00256EDA">
              <w:rPr>
                <w:lang w:val="en-GB"/>
              </w:rPr>
              <w:t xml:space="preserve">The control of the substance of the project and </w:t>
            </w:r>
            <w:proofErr w:type="gramStart"/>
            <w:r w:rsidR="00256EDA">
              <w:rPr>
                <w:lang w:val="en-GB"/>
              </w:rPr>
              <w:t>it’s</w:t>
            </w:r>
            <w:proofErr w:type="gramEnd"/>
            <w:r w:rsidR="00256EDA">
              <w:rPr>
                <w:lang w:val="en-GB"/>
              </w:rPr>
              <w:t xml:space="preserve"> technical aspects</w:t>
            </w:r>
            <w:r w:rsidRPr="00161A81">
              <w:rPr>
                <w:lang w:val="en-GB"/>
              </w:rPr>
              <w:t xml:space="preserve"> is performed by an external professional contractor, financed by the recipient of funds from its own sources. The external contractor confirms (also prepares) interim and final reports, and confirms the issued invoices. As a result, CMSR does not exercise full control over the project itself, but relies mainly on the findings </w:t>
            </w:r>
            <w:r w:rsidRPr="00161A81">
              <w:rPr>
                <w:lang w:val="en-GB"/>
              </w:rPr>
              <w:lastRenderedPageBreak/>
              <w:t xml:space="preserve">and confirmations </w:t>
            </w:r>
            <w:r w:rsidR="00256EDA">
              <w:rPr>
                <w:lang w:val="en-GB"/>
              </w:rPr>
              <w:t>from</w:t>
            </w:r>
            <w:r w:rsidR="00256EDA" w:rsidRPr="00161A81">
              <w:rPr>
                <w:lang w:val="en-GB"/>
              </w:rPr>
              <w:t xml:space="preserve"> </w:t>
            </w:r>
            <w:r w:rsidRPr="00161A81">
              <w:rPr>
                <w:lang w:val="en-GB"/>
              </w:rPr>
              <w:t>the external contractor and the reports of local stakeholders.</w:t>
            </w:r>
          </w:p>
          <w:p w14:paraId="6E2D08A4" w14:textId="6872EE86" w:rsidR="004C47E9" w:rsidRPr="00161A81" w:rsidRDefault="004C47E9" w:rsidP="00960E68">
            <w:pPr>
              <w:rPr>
                <w:lang w:val="en-GB"/>
              </w:rPr>
            </w:pPr>
          </w:p>
        </w:tc>
        <w:tc>
          <w:tcPr>
            <w:tcW w:w="4678" w:type="dxa"/>
          </w:tcPr>
          <w:p w14:paraId="50B17B8E" w14:textId="64FAA57F" w:rsidR="00DA3ACF" w:rsidRPr="00161A81" w:rsidRDefault="004C47E9" w:rsidP="009463D0">
            <w:pPr>
              <w:rPr>
                <w:lang w:val="en-GB"/>
              </w:rPr>
            </w:pPr>
            <w:r w:rsidRPr="00161A81">
              <w:rPr>
                <w:rFonts w:cs="Arial"/>
                <w:szCs w:val="20"/>
                <w:lang w:val="en-GB"/>
              </w:rPr>
              <w:lastRenderedPageBreak/>
              <w:t xml:space="preserve">The role of the CMSR in the field of project management (field visits, monitoring, control, etc.) needs to be strengthened, and the scope of project supervision should be in line with the risk assessment of the project itself </w:t>
            </w:r>
            <w:r w:rsidR="00256EDA">
              <w:rPr>
                <w:rFonts w:cs="Arial"/>
                <w:szCs w:val="20"/>
                <w:lang w:val="en-GB"/>
              </w:rPr>
              <w:t>as well as</w:t>
            </w:r>
            <w:r w:rsidR="00256EDA" w:rsidRPr="00161A81">
              <w:rPr>
                <w:rFonts w:cs="Arial"/>
                <w:szCs w:val="20"/>
                <w:lang w:val="en-GB"/>
              </w:rPr>
              <w:t xml:space="preserve"> </w:t>
            </w:r>
            <w:r w:rsidRPr="00161A81">
              <w:rPr>
                <w:rFonts w:cs="Arial"/>
                <w:szCs w:val="20"/>
                <w:lang w:val="en-GB"/>
              </w:rPr>
              <w:t xml:space="preserve">the </w:t>
            </w:r>
            <w:r w:rsidR="00256EDA">
              <w:rPr>
                <w:rFonts w:cs="Arial"/>
                <w:szCs w:val="20"/>
                <w:lang w:val="en-GB"/>
              </w:rPr>
              <w:t>capacities</w:t>
            </w:r>
            <w:r w:rsidR="00256EDA" w:rsidRPr="00161A81">
              <w:rPr>
                <w:rFonts w:cs="Arial"/>
                <w:szCs w:val="20"/>
                <w:lang w:val="en-GB"/>
              </w:rPr>
              <w:t xml:space="preserve"> </w:t>
            </w:r>
            <w:r w:rsidRPr="00161A81">
              <w:rPr>
                <w:rFonts w:cs="Arial"/>
                <w:szCs w:val="20"/>
                <w:lang w:val="en-GB"/>
              </w:rPr>
              <w:t>of the local stakeholder. For the purposes of such supervision, CMSR should establish a</w:t>
            </w:r>
            <w:r w:rsidR="00256EDA">
              <w:rPr>
                <w:rFonts w:cs="Arial"/>
                <w:szCs w:val="20"/>
                <w:lang w:val="en-GB"/>
              </w:rPr>
              <w:t>n adequate</w:t>
            </w:r>
            <w:r w:rsidRPr="00161A81">
              <w:rPr>
                <w:rFonts w:cs="Arial"/>
                <w:szCs w:val="20"/>
                <w:lang w:val="en-GB"/>
              </w:rPr>
              <w:t xml:space="preserve"> audit trail</w:t>
            </w:r>
            <w:r w:rsidR="00256EDA">
              <w:rPr>
                <w:rFonts w:cs="Arial"/>
                <w:szCs w:val="20"/>
                <w:lang w:val="en-GB"/>
              </w:rPr>
              <w:t xml:space="preserve"> and introduce</w:t>
            </w:r>
            <w:r w:rsidRPr="00161A81">
              <w:rPr>
                <w:rFonts w:cs="Arial"/>
                <w:szCs w:val="20"/>
                <w:lang w:val="en-GB"/>
              </w:rPr>
              <w:t xml:space="preserve"> a system of checklists when reviewing payment claims to verify the eligibility of costs against the terms of the procurement, project and investment documentation (recommendation 1.</w:t>
            </w:r>
            <w:r w:rsidR="009463D0">
              <w:rPr>
                <w:rFonts w:cs="Arial"/>
                <w:szCs w:val="20"/>
                <w:lang w:val="en-GB"/>
              </w:rPr>
              <w:t>7.</w:t>
            </w:r>
            <w:r w:rsidRPr="00161A81">
              <w:rPr>
                <w:rFonts w:cs="Arial"/>
                <w:szCs w:val="20"/>
                <w:lang w:val="en-GB"/>
              </w:rPr>
              <w:t xml:space="preserve"> in the text).</w:t>
            </w:r>
          </w:p>
        </w:tc>
      </w:tr>
      <w:tr w:rsidR="00DA3ACF" w:rsidRPr="00161A81" w14:paraId="6E4BF5E5" w14:textId="77777777" w:rsidTr="00A415B0">
        <w:tc>
          <w:tcPr>
            <w:tcW w:w="9356" w:type="dxa"/>
            <w:gridSpan w:val="2"/>
            <w:shd w:val="clear" w:color="auto" w:fill="1B758C"/>
            <w:vAlign w:val="center"/>
          </w:tcPr>
          <w:p w14:paraId="30F6273C" w14:textId="5AB18E21" w:rsidR="00DA3ACF" w:rsidRPr="00161A81" w:rsidRDefault="00DA3ACF" w:rsidP="00161A81">
            <w:pPr>
              <w:jc w:val="center"/>
              <w:rPr>
                <w:lang w:val="en-GB"/>
              </w:rPr>
            </w:pPr>
            <w:r w:rsidRPr="00161A81">
              <w:rPr>
                <w:rFonts w:cs="Arial"/>
                <w:b/>
                <w:color w:val="FFFFFF" w:themeColor="background1"/>
                <w:sz w:val="22"/>
                <w:szCs w:val="20"/>
                <w:lang w:val="en-GB"/>
              </w:rPr>
              <w:t xml:space="preserve">Evaluation criteria 2: </w:t>
            </w:r>
            <w:r w:rsidR="00343A17">
              <w:rPr>
                <w:rFonts w:cs="Arial"/>
                <w:b/>
                <w:color w:val="FFFFFF" w:themeColor="background1"/>
                <w:sz w:val="22"/>
                <w:szCs w:val="20"/>
                <w:lang w:val="en-GB"/>
              </w:rPr>
              <w:t>Effectiveness</w:t>
            </w:r>
          </w:p>
        </w:tc>
      </w:tr>
      <w:tr w:rsidR="00DA3ACF" w:rsidRPr="00161A81" w14:paraId="4885E5FD" w14:textId="77777777" w:rsidTr="00A415B0">
        <w:tc>
          <w:tcPr>
            <w:tcW w:w="4678" w:type="dxa"/>
          </w:tcPr>
          <w:p w14:paraId="5D301CA9" w14:textId="20770D4F" w:rsidR="00DA3ACF" w:rsidRPr="00161A81" w:rsidRDefault="004C47E9" w:rsidP="00161A81">
            <w:pPr>
              <w:rPr>
                <w:rFonts w:cs="Arial"/>
                <w:lang w:val="en-GB"/>
              </w:rPr>
            </w:pPr>
            <w:r w:rsidRPr="00161A81">
              <w:rPr>
                <w:rFonts w:cs="Arial"/>
                <w:lang w:val="en-GB"/>
              </w:rPr>
              <w:t>The current management</w:t>
            </w:r>
            <w:r w:rsidR="00BA7667">
              <w:rPr>
                <w:rFonts w:cs="Arial"/>
                <w:lang w:val="en-GB"/>
              </w:rPr>
              <w:t xml:space="preserve">, </w:t>
            </w:r>
            <w:r w:rsidRPr="00161A81">
              <w:rPr>
                <w:rFonts w:cs="Arial"/>
                <w:lang w:val="en-GB"/>
              </w:rPr>
              <w:t>monitoring and reporting system</w:t>
            </w:r>
            <w:r w:rsidR="00BA7667">
              <w:rPr>
                <w:rFonts w:cs="Arial"/>
                <w:lang w:val="en-GB"/>
              </w:rPr>
              <w:t>s</w:t>
            </w:r>
            <w:r w:rsidRPr="00161A81">
              <w:rPr>
                <w:rFonts w:cs="Arial"/>
                <w:lang w:val="en-GB"/>
              </w:rPr>
              <w:t xml:space="preserve"> are deficient, as the program framework itself does not provide clearly defined operational objectives</w:t>
            </w:r>
            <w:r w:rsidR="00BA7667">
              <w:rPr>
                <w:rFonts w:cs="Arial"/>
                <w:lang w:val="en-GB"/>
              </w:rPr>
              <w:t>. I</w:t>
            </w:r>
            <w:r w:rsidRPr="00161A81">
              <w:rPr>
                <w:rFonts w:cs="Arial"/>
                <w:lang w:val="en-GB"/>
              </w:rPr>
              <w:t>n particular</w:t>
            </w:r>
            <w:r w:rsidR="00BA7667">
              <w:rPr>
                <w:rFonts w:cs="Arial"/>
                <w:lang w:val="en-GB"/>
              </w:rPr>
              <w:t>,</w:t>
            </w:r>
            <w:r w:rsidRPr="00161A81">
              <w:rPr>
                <w:rFonts w:cs="Arial"/>
                <w:lang w:val="en-GB"/>
              </w:rPr>
              <w:t xml:space="preserve"> no measurable indicators are </w:t>
            </w:r>
            <w:r w:rsidR="00BA7667">
              <w:rPr>
                <w:rFonts w:cs="Arial"/>
                <w:lang w:val="en-GB"/>
              </w:rPr>
              <w:t>set</w:t>
            </w:r>
            <w:r w:rsidR="00BA7667" w:rsidRPr="00161A81">
              <w:rPr>
                <w:rFonts w:cs="Arial"/>
                <w:lang w:val="en-GB"/>
              </w:rPr>
              <w:t xml:space="preserve"> </w:t>
            </w:r>
            <w:r w:rsidR="00BA7667">
              <w:rPr>
                <w:rFonts w:cs="Arial"/>
                <w:lang w:val="en-GB"/>
              </w:rPr>
              <w:t>under the objectives</w:t>
            </w:r>
            <w:r w:rsidRPr="00161A81">
              <w:rPr>
                <w:rFonts w:cs="Arial"/>
                <w:lang w:val="en-GB"/>
              </w:rPr>
              <w:t xml:space="preserve">, </w:t>
            </w:r>
            <w:r w:rsidR="00BA7667">
              <w:rPr>
                <w:rFonts w:cs="Arial"/>
                <w:lang w:val="en-GB"/>
              </w:rPr>
              <w:t>which would allow the</w:t>
            </w:r>
            <w:r w:rsidRPr="00161A81">
              <w:rPr>
                <w:rFonts w:cs="Arial"/>
                <w:lang w:val="en-GB"/>
              </w:rPr>
              <w:t xml:space="preserve"> evaluator </w:t>
            </w:r>
            <w:r w:rsidR="00BA7667">
              <w:rPr>
                <w:rFonts w:cs="Arial"/>
                <w:lang w:val="en-GB"/>
              </w:rPr>
              <w:t>to make conclusions on the progress measured against those objectives</w:t>
            </w:r>
            <w:r w:rsidRPr="00161A81">
              <w:rPr>
                <w:rFonts w:cs="Arial"/>
                <w:lang w:val="en-GB"/>
              </w:rPr>
              <w:t>.</w:t>
            </w:r>
          </w:p>
          <w:p w14:paraId="794FA470" w14:textId="25C3A225" w:rsidR="004C47E9" w:rsidRPr="00161A81" w:rsidRDefault="004C47E9" w:rsidP="00960E68">
            <w:pPr>
              <w:rPr>
                <w:lang w:val="en-GB"/>
              </w:rPr>
            </w:pPr>
          </w:p>
        </w:tc>
        <w:tc>
          <w:tcPr>
            <w:tcW w:w="4678" w:type="dxa"/>
          </w:tcPr>
          <w:p w14:paraId="7F645E63" w14:textId="0E0B671A" w:rsidR="00DA3ACF" w:rsidRPr="00161A81" w:rsidRDefault="004C47E9" w:rsidP="00161A81">
            <w:pPr>
              <w:rPr>
                <w:lang w:val="en-GB"/>
              </w:rPr>
            </w:pPr>
            <w:r w:rsidRPr="00161A81">
              <w:rPr>
                <w:rFonts w:cs="Arial"/>
                <w:szCs w:val="20"/>
                <w:lang w:val="en-GB"/>
              </w:rPr>
              <w:t xml:space="preserve">We recommend the establishment of mechanisms for monitoring projects in the project planning phase itself, in accordance with </w:t>
            </w:r>
            <w:r w:rsidR="00BA7667">
              <w:rPr>
                <w:rFonts w:cs="Arial"/>
                <w:szCs w:val="20"/>
                <w:lang w:val="en-GB"/>
              </w:rPr>
              <w:t>best practices and the</w:t>
            </w:r>
            <w:r w:rsidR="00BA7667" w:rsidRPr="00161A81">
              <w:rPr>
                <w:rFonts w:cs="Arial"/>
                <w:szCs w:val="20"/>
                <w:lang w:val="en-GB"/>
              </w:rPr>
              <w:t xml:space="preserve"> </w:t>
            </w:r>
            <w:r w:rsidRPr="00161A81">
              <w:rPr>
                <w:rFonts w:cs="Arial"/>
                <w:szCs w:val="20"/>
                <w:lang w:val="en-GB"/>
              </w:rPr>
              <w:t xml:space="preserve">principles good project management (recommendation 2.1. </w:t>
            </w:r>
            <w:r w:rsidR="00BA7667">
              <w:rPr>
                <w:rFonts w:cs="Arial"/>
                <w:szCs w:val="20"/>
                <w:lang w:val="en-GB"/>
              </w:rPr>
              <w:t>i</w:t>
            </w:r>
            <w:r w:rsidRPr="00161A81">
              <w:rPr>
                <w:rFonts w:cs="Arial"/>
                <w:szCs w:val="20"/>
                <w:lang w:val="en-GB"/>
              </w:rPr>
              <w:t>n the text).</w:t>
            </w:r>
          </w:p>
        </w:tc>
      </w:tr>
      <w:tr w:rsidR="00DA3ACF" w:rsidRPr="00161A81" w14:paraId="2BE0B9DF" w14:textId="77777777" w:rsidTr="00A415B0">
        <w:tc>
          <w:tcPr>
            <w:tcW w:w="9356" w:type="dxa"/>
            <w:gridSpan w:val="2"/>
            <w:shd w:val="clear" w:color="auto" w:fill="1B758C"/>
          </w:tcPr>
          <w:p w14:paraId="53D4F5A6" w14:textId="33A5CC17" w:rsidR="00DA3ACF" w:rsidRPr="00161A81" w:rsidRDefault="00DA3ACF" w:rsidP="00960E68">
            <w:pPr>
              <w:jc w:val="center"/>
              <w:rPr>
                <w:rFonts w:cs="Arial"/>
                <w:lang w:val="en-GB"/>
              </w:rPr>
            </w:pPr>
            <w:r w:rsidRPr="00161A81">
              <w:rPr>
                <w:rFonts w:cs="Arial"/>
                <w:b/>
                <w:color w:val="FFFFFF" w:themeColor="background1"/>
                <w:sz w:val="22"/>
                <w:szCs w:val="20"/>
                <w:lang w:val="en-GB"/>
              </w:rPr>
              <w:t>Evaluation criteria 3: Efficiency</w:t>
            </w:r>
          </w:p>
        </w:tc>
      </w:tr>
      <w:tr w:rsidR="00DA3ACF" w:rsidRPr="00161A81" w14:paraId="240342E9" w14:textId="77777777" w:rsidTr="00A415B0">
        <w:tc>
          <w:tcPr>
            <w:tcW w:w="4678" w:type="dxa"/>
          </w:tcPr>
          <w:p w14:paraId="3A5FC5C9" w14:textId="5965FA9E" w:rsidR="00DA3ACF" w:rsidRPr="00161A81" w:rsidRDefault="004C47E9" w:rsidP="00161A81">
            <w:pPr>
              <w:rPr>
                <w:lang w:val="en-GB"/>
              </w:rPr>
            </w:pPr>
            <w:r w:rsidRPr="00161A81">
              <w:rPr>
                <w:lang w:val="en-GB"/>
              </w:rPr>
              <w:t xml:space="preserve">The project selection system exists, but </w:t>
            </w:r>
            <w:r w:rsidR="00BA7667">
              <w:rPr>
                <w:lang w:val="en-GB"/>
              </w:rPr>
              <w:t>is somewhat vague</w:t>
            </w:r>
            <w:r w:rsidRPr="00161A81">
              <w:rPr>
                <w:lang w:val="en-GB"/>
              </w:rPr>
              <w:t xml:space="preserve"> and in some respects non-transparent. Project proposals received from applicants are evaluated by CMSR on the basis of unpublished internal criteria</w:t>
            </w:r>
            <w:r w:rsidR="00BA7667">
              <w:rPr>
                <w:lang w:val="en-GB"/>
              </w:rPr>
              <w:t>, however</w:t>
            </w:r>
            <w:r w:rsidRPr="00161A81">
              <w:rPr>
                <w:lang w:val="en-GB"/>
              </w:rPr>
              <w:t xml:space="preserve"> CMSR </w:t>
            </w:r>
            <w:r w:rsidR="00BA7667">
              <w:rPr>
                <w:lang w:val="en-GB"/>
              </w:rPr>
              <w:t>maintains</w:t>
            </w:r>
            <w:r w:rsidR="00BA7667" w:rsidRPr="00161A81">
              <w:rPr>
                <w:lang w:val="en-GB"/>
              </w:rPr>
              <w:t xml:space="preserve"> </w:t>
            </w:r>
            <w:r w:rsidRPr="00161A81">
              <w:rPr>
                <w:lang w:val="en-GB"/>
              </w:rPr>
              <w:t xml:space="preserve">constant communication with the </w:t>
            </w:r>
            <w:r w:rsidR="00BA7667">
              <w:rPr>
                <w:lang w:val="en-GB"/>
              </w:rPr>
              <w:t>project sponsors. This allows</w:t>
            </w:r>
            <w:r w:rsidRPr="00161A81">
              <w:rPr>
                <w:lang w:val="en-GB"/>
              </w:rPr>
              <w:t xml:space="preserve"> a great deal of flexibility in the preparation of applications before final </w:t>
            </w:r>
            <w:r w:rsidR="00BA7667">
              <w:rPr>
                <w:lang w:val="en-GB"/>
              </w:rPr>
              <w:t>proposals are appraised</w:t>
            </w:r>
            <w:r w:rsidRPr="00161A81">
              <w:rPr>
                <w:lang w:val="en-GB"/>
              </w:rPr>
              <w:t xml:space="preserve">. </w:t>
            </w:r>
            <w:r w:rsidR="00BA7667">
              <w:rPr>
                <w:lang w:val="en-GB"/>
              </w:rPr>
              <w:t xml:space="preserve">Project appraisal </w:t>
            </w:r>
            <w:r w:rsidRPr="00161A81">
              <w:rPr>
                <w:lang w:val="en-GB"/>
              </w:rPr>
              <w:t xml:space="preserve">forms are standardized, decision-making </w:t>
            </w:r>
            <w:r w:rsidR="00BA7667">
              <w:rPr>
                <w:lang w:val="en-GB"/>
              </w:rPr>
              <w:t>rules</w:t>
            </w:r>
            <w:r w:rsidR="00BA7667" w:rsidRPr="00161A81">
              <w:rPr>
                <w:lang w:val="en-GB"/>
              </w:rPr>
              <w:t xml:space="preserve"> </w:t>
            </w:r>
            <w:r w:rsidRPr="00161A81">
              <w:rPr>
                <w:lang w:val="en-GB"/>
              </w:rPr>
              <w:t>are not transparent, nor is a clear audit trail provided</w:t>
            </w:r>
            <w:r w:rsidR="00BA7667">
              <w:rPr>
                <w:lang w:val="en-GB"/>
              </w:rPr>
              <w:t xml:space="preserve">. The appraisal forms do not </w:t>
            </w:r>
            <w:r w:rsidRPr="00161A81">
              <w:rPr>
                <w:lang w:val="en-GB"/>
              </w:rPr>
              <w:t xml:space="preserve">state the evaluator's name, evaluation date, decision-making basis or justification for the number of points awarded. When assessing the maturity of </w:t>
            </w:r>
            <w:r w:rsidR="00B40D0C" w:rsidRPr="00B40D0C">
              <w:rPr>
                <w:lang w:val="en-GB"/>
              </w:rPr>
              <w:t>Slovenia's Development Cooperation</w:t>
            </w:r>
            <w:r w:rsidRPr="00161A81">
              <w:rPr>
                <w:lang w:val="en-GB"/>
              </w:rPr>
              <w:t xml:space="preserve"> projects, </w:t>
            </w:r>
            <w:r w:rsidR="00BA7667">
              <w:rPr>
                <w:lang w:val="en-GB"/>
              </w:rPr>
              <w:t>CMSR</w:t>
            </w:r>
            <w:r w:rsidRPr="00161A81">
              <w:rPr>
                <w:lang w:val="en-GB"/>
              </w:rPr>
              <w:t xml:space="preserve"> Council relies on CMSR</w:t>
            </w:r>
            <w:r w:rsidR="00BA7667">
              <w:rPr>
                <w:lang w:val="en-GB"/>
              </w:rPr>
              <w:t>’s</w:t>
            </w:r>
            <w:r w:rsidRPr="00161A81">
              <w:rPr>
                <w:lang w:val="en-GB"/>
              </w:rPr>
              <w:t xml:space="preserve"> </w:t>
            </w:r>
            <w:r w:rsidR="00BA7667">
              <w:rPr>
                <w:lang w:val="en-GB"/>
              </w:rPr>
              <w:t xml:space="preserve">own </w:t>
            </w:r>
            <w:r w:rsidRPr="00161A81">
              <w:rPr>
                <w:lang w:val="en-GB"/>
              </w:rPr>
              <w:t xml:space="preserve">assessments </w:t>
            </w:r>
            <w:r w:rsidR="00BA7667">
              <w:rPr>
                <w:lang w:val="en-GB"/>
              </w:rPr>
              <w:t>from the</w:t>
            </w:r>
            <w:r w:rsidRPr="00161A81">
              <w:rPr>
                <w:lang w:val="en-GB"/>
              </w:rPr>
              <w:t xml:space="preserve"> review.</w:t>
            </w:r>
          </w:p>
          <w:p w14:paraId="1D8A7BF4" w14:textId="77777777" w:rsidR="004C47E9" w:rsidRPr="00161A81" w:rsidRDefault="004C47E9" w:rsidP="00960E68">
            <w:pPr>
              <w:rPr>
                <w:rFonts w:cs="Arial"/>
                <w:lang w:val="en-GB"/>
              </w:rPr>
            </w:pPr>
          </w:p>
          <w:p w14:paraId="356A0F2E" w14:textId="622BC624" w:rsidR="00DA3ACF" w:rsidRPr="00161A81" w:rsidRDefault="004C47E9" w:rsidP="00161A81">
            <w:pPr>
              <w:rPr>
                <w:rFonts w:cs="Arial"/>
                <w:lang w:val="en-GB"/>
              </w:rPr>
            </w:pPr>
            <w:r w:rsidRPr="00161A81">
              <w:rPr>
                <w:rFonts w:cs="Arial"/>
                <w:lang w:val="en-GB"/>
              </w:rPr>
              <w:t xml:space="preserve">The project approval process </w:t>
            </w:r>
            <w:r w:rsidR="00BA7667">
              <w:rPr>
                <w:rFonts w:cs="Arial"/>
                <w:lang w:val="en-GB"/>
              </w:rPr>
              <w:t>has been</w:t>
            </w:r>
            <w:r w:rsidR="00BA7667" w:rsidRPr="00161A81">
              <w:rPr>
                <w:rFonts w:cs="Arial"/>
                <w:lang w:val="en-GB"/>
              </w:rPr>
              <w:t xml:space="preserve"> </w:t>
            </w:r>
            <w:r w:rsidR="00BA7667">
              <w:rPr>
                <w:rFonts w:cs="Arial"/>
                <w:lang w:val="en-GB"/>
              </w:rPr>
              <w:t>mapped</w:t>
            </w:r>
            <w:r w:rsidR="00BA7667" w:rsidRPr="00161A81">
              <w:rPr>
                <w:rFonts w:cs="Arial"/>
                <w:lang w:val="en-GB"/>
              </w:rPr>
              <w:t xml:space="preserve"> </w:t>
            </w:r>
            <w:r w:rsidRPr="00161A81">
              <w:rPr>
                <w:rFonts w:cs="Arial"/>
                <w:lang w:val="en-GB"/>
              </w:rPr>
              <w:t xml:space="preserve">and formalized as part of CMSR project selection decision-making process, </w:t>
            </w:r>
            <w:r w:rsidR="00BA7667">
              <w:rPr>
                <w:rFonts w:cs="Arial"/>
                <w:lang w:val="en-GB"/>
              </w:rPr>
              <w:t>however it</w:t>
            </w:r>
            <w:r w:rsidR="00BA7667" w:rsidRPr="00161A81">
              <w:rPr>
                <w:rFonts w:cs="Arial"/>
                <w:lang w:val="en-GB"/>
              </w:rPr>
              <w:t xml:space="preserve"> </w:t>
            </w:r>
            <w:r w:rsidRPr="00161A81">
              <w:rPr>
                <w:rFonts w:cs="Arial"/>
                <w:lang w:val="en-GB"/>
              </w:rPr>
              <w:t>remains relatively complex and has not been used so far. With the strengthening of the role of the national coordinator from 2019</w:t>
            </w:r>
            <w:r w:rsidR="00BA7667">
              <w:rPr>
                <w:rFonts w:cs="Arial"/>
                <w:lang w:val="en-GB"/>
              </w:rPr>
              <w:t>,</w:t>
            </w:r>
            <w:r w:rsidRPr="00161A81">
              <w:rPr>
                <w:rFonts w:cs="Arial"/>
                <w:lang w:val="en-GB"/>
              </w:rPr>
              <w:t xml:space="preserve"> and the formalization of CMSR project selection decision-making process, the process of </w:t>
            </w:r>
            <w:r w:rsidR="00BA7667">
              <w:rPr>
                <w:rFonts w:cs="Arial"/>
                <w:lang w:val="en-GB"/>
              </w:rPr>
              <w:t>gathering</w:t>
            </w:r>
            <w:r w:rsidR="00BA7667" w:rsidRPr="00161A81">
              <w:rPr>
                <w:rFonts w:cs="Arial"/>
                <w:lang w:val="en-GB"/>
              </w:rPr>
              <w:t xml:space="preserve"> </w:t>
            </w:r>
            <w:r w:rsidRPr="00161A81">
              <w:rPr>
                <w:rFonts w:cs="Arial"/>
                <w:lang w:val="en-GB"/>
              </w:rPr>
              <w:t xml:space="preserve">project ideas and approving projects </w:t>
            </w:r>
            <w:r w:rsidR="00BA7667">
              <w:rPr>
                <w:rFonts w:cs="Arial"/>
                <w:lang w:val="en-GB"/>
              </w:rPr>
              <w:t>started to consolidate. Nevertheless</w:t>
            </w:r>
            <w:r w:rsidRPr="00161A81">
              <w:rPr>
                <w:rFonts w:cs="Arial"/>
                <w:lang w:val="en-GB"/>
              </w:rPr>
              <w:t xml:space="preserve">, </w:t>
            </w:r>
            <w:r w:rsidR="00BA7667">
              <w:rPr>
                <w:rFonts w:cs="Arial"/>
                <w:lang w:val="en-GB"/>
              </w:rPr>
              <w:t>the needs to</w:t>
            </w:r>
            <w:r w:rsidRPr="00161A81">
              <w:rPr>
                <w:rFonts w:cs="Arial"/>
                <w:lang w:val="en-GB"/>
              </w:rPr>
              <w:t xml:space="preserve"> ensure optimal stakeholder </w:t>
            </w:r>
            <w:r w:rsidR="00BA7667">
              <w:rPr>
                <w:rFonts w:cs="Arial"/>
                <w:lang w:val="en-GB"/>
              </w:rPr>
              <w:t>integration</w:t>
            </w:r>
            <w:r w:rsidR="00BA7667" w:rsidRPr="00161A81">
              <w:rPr>
                <w:rFonts w:cs="Arial"/>
                <w:lang w:val="en-GB"/>
              </w:rPr>
              <w:t xml:space="preserve"> </w:t>
            </w:r>
            <w:r w:rsidRPr="00161A81">
              <w:rPr>
                <w:rFonts w:cs="Arial"/>
                <w:lang w:val="en-GB"/>
              </w:rPr>
              <w:t xml:space="preserve">at </w:t>
            </w:r>
            <w:r w:rsidR="00BA7667">
              <w:rPr>
                <w:rFonts w:cs="Arial"/>
                <w:lang w:val="en-GB"/>
              </w:rPr>
              <w:t xml:space="preserve">the </w:t>
            </w:r>
            <w:r w:rsidRPr="00161A81">
              <w:rPr>
                <w:rFonts w:cs="Arial"/>
                <w:lang w:val="en-GB"/>
              </w:rPr>
              <w:t xml:space="preserve">national level and </w:t>
            </w:r>
            <w:r w:rsidR="00BA7667">
              <w:rPr>
                <w:rFonts w:cs="Arial"/>
                <w:lang w:val="en-GB"/>
              </w:rPr>
              <w:t>simplification of</w:t>
            </w:r>
            <w:r w:rsidR="00BA7667" w:rsidRPr="00161A81">
              <w:rPr>
                <w:rFonts w:cs="Arial"/>
                <w:lang w:val="en-GB"/>
              </w:rPr>
              <w:t xml:space="preserve"> </w:t>
            </w:r>
            <w:r w:rsidRPr="00161A81">
              <w:rPr>
                <w:rFonts w:cs="Arial"/>
                <w:lang w:val="en-GB"/>
              </w:rPr>
              <w:t>project selection procedures</w:t>
            </w:r>
            <w:r w:rsidR="00BA7667">
              <w:rPr>
                <w:rFonts w:cs="Arial"/>
                <w:lang w:val="en-GB"/>
              </w:rPr>
              <w:t xml:space="preserve"> remain</w:t>
            </w:r>
            <w:r w:rsidRPr="00161A81">
              <w:rPr>
                <w:rFonts w:cs="Arial"/>
                <w:lang w:val="en-GB"/>
              </w:rPr>
              <w:t>.</w:t>
            </w:r>
          </w:p>
          <w:p w14:paraId="5C8AADA1" w14:textId="3AB463EB" w:rsidR="004C47E9" w:rsidRPr="00161A81" w:rsidRDefault="004C47E9" w:rsidP="00960E68">
            <w:pPr>
              <w:rPr>
                <w:lang w:val="en-GB"/>
              </w:rPr>
            </w:pPr>
          </w:p>
        </w:tc>
        <w:tc>
          <w:tcPr>
            <w:tcW w:w="4678" w:type="dxa"/>
          </w:tcPr>
          <w:p w14:paraId="16AB9C3C" w14:textId="05F4AC1F" w:rsidR="00DA3ACF" w:rsidRPr="00161A81" w:rsidRDefault="004C47E9" w:rsidP="00161A81">
            <w:pPr>
              <w:rPr>
                <w:rFonts w:cs="Arial"/>
                <w:szCs w:val="20"/>
                <w:lang w:val="en-GB"/>
              </w:rPr>
            </w:pPr>
            <w:r w:rsidRPr="00161A81">
              <w:rPr>
                <w:rFonts w:cs="Arial"/>
                <w:szCs w:val="20"/>
                <w:lang w:val="en-GB"/>
              </w:rPr>
              <w:t xml:space="preserve">A clear audit trail of the project preparation and </w:t>
            </w:r>
            <w:r w:rsidR="00BA7667">
              <w:rPr>
                <w:rFonts w:cs="Arial"/>
                <w:szCs w:val="20"/>
                <w:lang w:val="en-GB"/>
              </w:rPr>
              <w:t>approval</w:t>
            </w:r>
            <w:r w:rsidR="00BA7667" w:rsidRPr="00161A81">
              <w:rPr>
                <w:rFonts w:cs="Arial"/>
                <w:szCs w:val="20"/>
                <w:lang w:val="en-GB"/>
              </w:rPr>
              <w:t xml:space="preserve"> </w:t>
            </w:r>
            <w:r w:rsidRPr="00161A81">
              <w:rPr>
                <w:rFonts w:cs="Arial"/>
                <w:szCs w:val="20"/>
                <w:lang w:val="en-GB"/>
              </w:rPr>
              <w:t xml:space="preserve">process needs to be provided. </w:t>
            </w:r>
            <w:r w:rsidR="00BA7667">
              <w:rPr>
                <w:rFonts w:cs="Arial"/>
                <w:szCs w:val="20"/>
                <w:lang w:val="en-GB"/>
              </w:rPr>
              <w:t>The contents</w:t>
            </w:r>
            <w:r w:rsidRPr="00161A81">
              <w:rPr>
                <w:rFonts w:cs="Arial"/>
                <w:szCs w:val="20"/>
                <w:lang w:val="en-GB"/>
              </w:rPr>
              <w:t xml:space="preserve"> of the documents </w:t>
            </w:r>
            <w:r w:rsidR="00BA7667">
              <w:rPr>
                <w:rFonts w:cs="Arial"/>
                <w:szCs w:val="20"/>
                <w:lang w:val="en-GB"/>
              </w:rPr>
              <w:t>on the basis of which</w:t>
            </w:r>
            <w:r w:rsidRPr="00161A81">
              <w:rPr>
                <w:rFonts w:cs="Arial"/>
                <w:szCs w:val="20"/>
                <w:lang w:val="en-GB"/>
              </w:rPr>
              <w:t xml:space="preserve"> financing decisions </w:t>
            </w:r>
            <w:r w:rsidR="00BA7667">
              <w:rPr>
                <w:rFonts w:cs="Arial"/>
                <w:szCs w:val="20"/>
                <w:lang w:val="en-GB"/>
              </w:rPr>
              <w:t xml:space="preserve">are made </w:t>
            </w:r>
            <w:r w:rsidRPr="00161A81">
              <w:rPr>
                <w:rFonts w:cs="Arial"/>
                <w:szCs w:val="20"/>
                <w:lang w:val="en-GB"/>
              </w:rPr>
              <w:t>must be clearly defined. Also, the entire process of submitting project proposals should take place using uniform, standardized project forms that include all key aspects of projects (recommendations 3.1 and 3.2 in the text).</w:t>
            </w:r>
          </w:p>
          <w:p w14:paraId="4C0E83E3" w14:textId="77777777" w:rsidR="004C47E9" w:rsidRPr="00161A81" w:rsidRDefault="004C47E9" w:rsidP="00960E68">
            <w:pPr>
              <w:rPr>
                <w:rFonts w:cs="Arial"/>
                <w:szCs w:val="20"/>
                <w:lang w:val="en-GB"/>
              </w:rPr>
            </w:pPr>
          </w:p>
          <w:p w14:paraId="10F96C22" w14:textId="44C01441" w:rsidR="00DA3ACF" w:rsidRPr="00161A81" w:rsidRDefault="004C47E9" w:rsidP="00161A81">
            <w:pPr>
              <w:rPr>
                <w:lang w:val="en-GB"/>
              </w:rPr>
            </w:pPr>
            <w:r w:rsidRPr="00161A81">
              <w:rPr>
                <w:lang w:val="en-GB"/>
              </w:rPr>
              <w:t>The project selection process needs to be simplified, and the individual phases of the project preparation and selection process need to be clearly defined, taking into account the optimal decision-making process (recommendation 3.3 in the text).</w:t>
            </w:r>
          </w:p>
          <w:p w14:paraId="17D5D948" w14:textId="77777777" w:rsidR="004C47E9" w:rsidRPr="00161A81" w:rsidRDefault="004C47E9" w:rsidP="00960E68">
            <w:pPr>
              <w:rPr>
                <w:rFonts w:cs="Arial"/>
                <w:szCs w:val="20"/>
                <w:lang w:val="en-GB"/>
              </w:rPr>
            </w:pPr>
          </w:p>
          <w:p w14:paraId="4BB619A9" w14:textId="6312ED6B" w:rsidR="00DA3ACF" w:rsidRPr="00161A81" w:rsidRDefault="004C47E9" w:rsidP="00161A81">
            <w:pPr>
              <w:rPr>
                <w:lang w:val="en-GB"/>
              </w:rPr>
            </w:pPr>
            <w:r w:rsidRPr="00161A81">
              <w:rPr>
                <w:lang w:val="en-GB"/>
              </w:rPr>
              <w:t>We propose the examination of possible solutions for system integration (e</w:t>
            </w:r>
            <w:r w:rsidR="00BA7667">
              <w:rPr>
                <w:lang w:val="en-GB"/>
              </w:rPr>
              <w:t>.</w:t>
            </w:r>
            <w:r w:rsidRPr="00161A81">
              <w:rPr>
                <w:lang w:val="en-GB"/>
              </w:rPr>
              <w:t>g</w:t>
            </w:r>
            <w:r w:rsidR="00BA7667">
              <w:rPr>
                <w:lang w:val="en-GB"/>
              </w:rPr>
              <w:t>.</w:t>
            </w:r>
            <w:r w:rsidRPr="00161A81">
              <w:rPr>
                <w:lang w:val="en-GB"/>
              </w:rPr>
              <w:t xml:space="preserve"> establishment of a</w:t>
            </w:r>
            <w:r w:rsidR="00BA7667">
              <w:rPr>
                <w:lang w:val="en-GB"/>
              </w:rPr>
              <w:t>n</w:t>
            </w:r>
            <w:r w:rsidRPr="00161A81">
              <w:rPr>
                <w:lang w:val="en-GB"/>
              </w:rPr>
              <w:t xml:space="preserve"> agency</w:t>
            </w:r>
            <w:r w:rsidR="00BA7667">
              <w:rPr>
                <w:lang w:val="en-GB"/>
              </w:rPr>
              <w:t xml:space="preserve"> for </w:t>
            </w:r>
            <w:r w:rsidR="00B40D0C" w:rsidRPr="00B40D0C">
              <w:rPr>
                <w:lang w:val="en-GB"/>
              </w:rPr>
              <w:t>Slovenia's Development Cooperation</w:t>
            </w:r>
            <w:r w:rsidRPr="00161A81">
              <w:rPr>
                <w:lang w:val="en-GB"/>
              </w:rPr>
              <w:t xml:space="preserve">, centralization of functions and budget planning within the competent department, improved coordination between </w:t>
            </w:r>
            <w:r w:rsidR="00B40D0C" w:rsidRPr="00B40D0C">
              <w:rPr>
                <w:lang w:val="en-GB"/>
              </w:rPr>
              <w:t>Slovenia's Development Cooperation</w:t>
            </w:r>
            <w:r w:rsidR="00C657E2">
              <w:rPr>
                <w:lang w:val="en-GB"/>
              </w:rPr>
              <w:t xml:space="preserve"> activities</w:t>
            </w:r>
            <w:r w:rsidRPr="00161A81">
              <w:rPr>
                <w:lang w:val="en-GB"/>
              </w:rPr>
              <w:t>, economic diplomacy and the ecosystem for internationalization of the Slovenian economy, etc.) (recommendation</w:t>
            </w:r>
            <w:r w:rsidR="00C657E2">
              <w:rPr>
                <w:lang w:val="en-GB"/>
              </w:rPr>
              <w:t>s</w:t>
            </w:r>
            <w:r w:rsidRPr="00161A81">
              <w:rPr>
                <w:lang w:val="en-GB"/>
              </w:rPr>
              <w:t xml:space="preserve"> 3.4 in the text).</w:t>
            </w:r>
          </w:p>
        </w:tc>
      </w:tr>
      <w:tr w:rsidR="00DA3ACF" w:rsidRPr="00161A81" w14:paraId="51226B63" w14:textId="77777777" w:rsidTr="00A415B0">
        <w:tc>
          <w:tcPr>
            <w:tcW w:w="4678" w:type="dxa"/>
          </w:tcPr>
          <w:p w14:paraId="7CF88721" w14:textId="12B0CEF3" w:rsidR="004C47E9" w:rsidRPr="00161A81" w:rsidRDefault="004C47E9" w:rsidP="00960E68">
            <w:pPr>
              <w:rPr>
                <w:rFonts w:cs="Arial"/>
                <w:szCs w:val="20"/>
                <w:lang w:val="en-GB"/>
              </w:rPr>
            </w:pPr>
            <w:r w:rsidRPr="00161A81">
              <w:rPr>
                <w:rFonts w:cs="Arial"/>
                <w:szCs w:val="20"/>
                <w:lang w:val="en-GB"/>
              </w:rPr>
              <w:t xml:space="preserve">The interim and final reports submitted to CMSR by the beneficiary for both projects are </w:t>
            </w:r>
            <w:r w:rsidR="00C657E2">
              <w:rPr>
                <w:rFonts w:cs="Arial"/>
                <w:szCs w:val="20"/>
                <w:lang w:val="en-GB"/>
              </w:rPr>
              <w:t>not adequate</w:t>
            </w:r>
            <w:r w:rsidR="00C657E2" w:rsidRPr="00161A81">
              <w:rPr>
                <w:rFonts w:cs="Arial"/>
                <w:szCs w:val="20"/>
                <w:lang w:val="en-GB"/>
              </w:rPr>
              <w:t xml:space="preserve"> </w:t>
            </w:r>
            <w:r w:rsidRPr="00161A81">
              <w:rPr>
                <w:rFonts w:cs="Arial"/>
                <w:szCs w:val="20"/>
                <w:lang w:val="en-GB"/>
              </w:rPr>
              <w:t xml:space="preserve">and do not contain information on whether the projects achieved the set objectives and results, </w:t>
            </w:r>
            <w:r w:rsidR="00C657E2">
              <w:rPr>
                <w:rFonts w:cs="Arial"/>
                <w:szCs w:val="20"/>
                <w:lang w:val="en-GB"/>
              </w:rPr>
              <w:t>or</w:t>
            </w:r>
            <w:r w:rsidR="00C657E2" w:rsidRPr="00161A81">
              <w:rPr>
                <w:rFonts w:cs="Arial"/>
                <w:szCs w:val="20"/>
                <w:lang w:val="en-GB"/>
              </w:rPr>
              <w:t xml:space="preserve"> </w:t>
            </w:r>
            <w:r w:rsidRPr="00161A81">
              <w:rPr>
                <w:rFonts w:cs="Arial"/>
                <w:szCs w:val="20"/>
                <w:lang w:val="en-GB"/>
              </w:rPr>
              <w:t xml:space="preserve">whether it </w:t>
            </w:r>
            <w:r w:rsidR="00C657E2">
              <w:rPr>
                <w:rFonts w:cs="Arial"/>
                <w:szCs w:val="20"/>
                <w:lang w:val="en-GB"/>
              </w:rPr>
              <w:t>is aligned with</w:t>
            </w:r>
            <w:r w:rsidR="00C657E2" w:rsidRPr="00161A81">
              <w:rPr>
                <w:rFonts w:cs="Arial"/>
                <w:szCs w:val="20"/>
                <w:lang w:val="en-GB"/>
              </w:rPr>
              <w:t xml:space="preserve"> </w:t>
            </w:r>
            <w:r w:rsidRPr="00161A81">
              <w:rPr>
                <w:rFonts w:cs="Arial"/>
                <w:szCs w:val="20"/>
                <w:lang w:val="en-GB"/>
              </w:rPr>
              <w:t xml:space="preserve">the </w:t>
            </w:r>
            <w:r w:rsidR="00C657E2">
              <w:rPr>
                <w:rFonts w:cs="Arial"/>
                <w:szCs w:val="20"/>
                <w:lang w:val="en-GB"/>
              </w:rPr>
              <w:t xml:space="preserve">project </w:t>
            </w:r>
            <w:r w:rsidRPr="00161A81">
              <w:rPr>
                <w:rFonts w:cs="Arial"/>
                <w:szCs w:val="20"/>
                <w:lang w:val="en-GB"/>
              </w:rPr>
              <w:t>timetable.</w:t>
            </w:r>
          </w:p>
          <w:p w14:paraId="6564EC08" w14:textId="77777777" w:rsidR="004C47E9" w:rsidRPr="00161A81" w:rsidRDefault="004C47E9" w:rsidP="00960E68">
            <w:pPr>
              <w:rPr>
                <w:rFonts w:cs="Arial"/>
                <w:szCs w:val="20"/>
                <w:lang w:val="en-GB"/>
              </w:rPr>
            </w:pPr>
          </w:p>
          <w:p w14:paraId="54EEC90A" w14:textId="6A49DB81" w:rsidR="00DA3ACF" w:rsidRPr="00161A81" w:rsidRDefault="004C47E9" w:rsidP="00161A81">
            <w:pPr>
              <w:rPr>
                <w:rFonts w:cs="Arial"/>
                <w:szCs w:val="20"/>
                <w:lang w:val="en-GB"/>
              </w:rPr>
            </w:pPr>
            <w:r w:rsidRPr="00161A81">
              <w:rPr>
                <w:rFonts w:cs="Arial"/>
                <w:szCs w:val="20"/>
                <w:lang w:val="en-GB"/>
              </w:rPr>
              <w:lastRenderedPageBreak/>
              <w:t>The annual reports prepared by CMSR and also forwarded to the financier do not s</w:t>
            </w:r>
            <w:r w:rsidR="003D59B1" w:rsidRPr="00161A81">
              <w:rPr>
                <w:rFonts w:cs="Arial"/>
                <w:szCs w:val="20"/>
                <w:lang w:val="en-GB"/>
              </w:rPr>
              <w:t>how whether the project achieved</w:t>
            </w:r>
            <w:r w:rsidRPr="00161A81">
              <w:rPr>
                <w:rFonts w:cs="Arial"/>
                <w:szCs w:val="20"/>
                <w:lang w:val="en-GB"/>
              </w:rPr>
              <w:t xml:space="preserve"> the set goals and results, </w:t>
            </w:r>
            <w:r w:rsidR="00C657E2">
              <w:rPr>
                <w:rFonts w:cs="Arial"/>
                <w:szCs w:val="20"/>
                <w:lang w:val="en-GB"/>
              </w:rPr>
              <w:t>while</w:t>
            </w:r>
            <w:r w:rsidR="00C657E2" w:rsidRPr="00161A81">
              <w:rPr>
                <w:rFonts w:cs="Arial"/>
                <w:szCs w:val="20"/>
                <w:lang w:val="en-GB"/>
              </w:rPr>
              <w:t xml:space="preserve"> </w:t>
            </w:r>
            <w:r w:rsidRPr="00161A81">
              <w:rPr>
                <w:rFonts w:cs="Arial"/>
                <w:szCs w:val="20"/>
                <w:lang w:val="en-GB"/>
              </w:rPr>
              <w:t xml:space="preserve">the </w:t>
            </w:r>
            <w:r w:rsidR="00C657E2">
              <w:rPr>
                <w:rFonts w:cs="Arial"/>
                <w:szCs w:val="20"/>
                <w:lang w:val="en-GB"/>
              </w:rPr>
              <w:t>provisions in</w:t>
            </w:r>
            <w:r w:rsidRPr="00161A81">
              <w:rPr>
                <w:rFonts w:cs="Arial"/>
                <w:szCs w:val="20"/>
                <w:lang w:val="en-GB"/>
              </w:rPr>
              <w:t xml:space="preserve"> the status </w:t>
            </w:r>
            <w:r w:rsidR="00C657E2">
              <w:rPr>
                <w:rFonts w:cs="Arial"/>
                <w:szCs w:val="20"/>
                <w:lang w:val="en-GB"/>
              </w:rPr>
              <w:t>reports</w:t>
            </w:r>
            <w:r w:rsidRPr="00161A81">
              <w:rPr>
                <w:rFonts w:cs="Arial"/>
                <w:szCs w:val="20"/>
                <w:lang w:val="en-GB"/>
              </w:rPr>
              <w:t xml:space="preserve"> are modest.</w:t>
            </w:r>
          </w:p>
          <w:p w14:paraId="17CB1815" w14:textId="22EC0E56" w:rsidR="004C47E9" w:rsidRPr="00161A81" w:rsidRDefault="004C47E9" w:rsidP="00960E68">
            <w:pPr>
              <w:rPr>
                <w:rFonts w:cs="Arial"/>
                <w:szCs w:val="20"/>
                <w:lang w:val="en-GB"/>
              </w:rPr>
            </w:pPr>
          </w:p>
        </w:tc>
        <w:tc>
          <w:tcPr>
            <w:tcW w:w="4678" w:type="dxa"/>
          </w:tcPr>
          <w:p w14:paraId="65679094" w14:textId="1F944ED2" w:rsidR="00DA3ACF" w:rsidRPr="00161A81" w:rsidRDefault="003D59B1" w:rsidP="00161A81">
            <w:pPr>
              <w:rPr>
                <w:rFonts w:cs="Arial"/>
                <w:szCs w:val="20"/>
                <w:lang w:val="en-GB"/>
              </w:rPr>
            </w:pPr>
            <w:r w:rsidRPr="00161A81">
              <w:rPr>
                <w:lang w:val="en-GB"/>
              </w:rPr>
              <w:lastRenderedPageBreak/>
              <w:t xml:space="preserve">Minimum reporting standards that clearly show the progress of the project and compliance with the project timetable and financial plan should be ensured. The reports should also include an assessment of the situation in light of possible deviations, an overview of </w:t>
            </w:r>
            <w:r w:rsidR="00C657E2">
              <w:rPr>
                <w:lang w:val="en-GB"/>
              </w:rPr>
              <w:t xml:space="preserve">the </w:t>
            </w:r>
            <w:r w:rsidRPr="00161A81">
              <w:rPr>
                <w:lang w:val="en-GB"/>
              </w:rPr>
              <w:t xml:space="preserve">project risks and mitigation measures, along with further steps for </w:t>
            </w:r>
            <w:r w:rsidRPr="00161A81">
              <w:rPr>
                <w:lang w:val="en-GB"/>
              </w:rPr>
              <w:lastRenderedPageBreak/>
              <w:t>the future reporting period (recommendation</w:t>
            </w:r>
            <w:r w:rsidR="00C657E2">
              <w:rPr>
                <w:lang w:val="en-GB"/>
              </w:rPr>
              <w:t>s</w:t>
            </w:r>
            <w:r w:rsidRPr="00161A81">
              <w:rPr>
                <w:lang w:val="en-GB"/>
              </w:rPr>
              <w:t xml:space="preserve"> 3.6 in the text).</w:t>
            </w:r>
          </w:p>
        </w:tc>
      </w:tr>
      <w:tr w:rsidR="00DA3ACF" w:rsidRPr="00161A81" w14:paraId="4D5B4AA8" w14:textId="77777777" w:rsidTr="00A415B0">
        <w:tc>
          <w:tcPr>
            <w:tcW w:w="4678" w:type="dxa"/>
          </w:tcPr>
          <w:p w14:paraId="307E84D7" w14:textId="62F7A7F0" w:rsidR="00DA3ACF" w:rsidRPr="00161A81" w:rsidRDefault="003D59B1" w:rsidP="00960E68">
            <w:pPr>
              <w:rPr>
                <w:rFonts w:cs="Arial"/>
                <w:szCs w:val="20"/>
                <w:lang w:val="en-GB"/>
              </w:rPr>
            </w:pPr>
            <w:r w:rsidRPr="00161A81">
              <w:rPr>
                <w:rFonts w:cs="Arial"/>
                <w:szCs w:val="20"/>
                <w:lang w:val="en-GB"/>
              </w:rPr>
              <w:lastRenderedPageBreak/>
              <w:t>From the cost point of view, it is not possible to clearly determine how much of the funds of both projects were received by Slovenian companies and how much by foreign companies. The share of participation of local (and other) subcontractors in both projects is not evident.</w:t>
            </w:r>
          </w:p>
        </w:tc>
        <w:tc>
          <w:tcPr>
            <w:tcW w:w="4678" w:type="dxa"/>
          </w:tcPr>
          <w:p w14:paraId="00601741" w14:textId="2BFD09B4" w:rsidR="00DA3ACF" w:rsidRPr="00161A81" w:rsidRDefault="003D59B1" w:rsidP="00161A81">
            <w:pPr>
              <w:rPr>
                <w:lang w:val="en-GB"/>
              </w:rPr>
            </w:pPr>
            <w:r w:rsidRPr="00161A81">
              <w:rPr>
                <w:lang w:val="en-GB"/>
              </w:rPr>
              <w:t xml:space="preserve">In the project evaluation phase, CMSR should provide sufficient information regarding the potential share of Slovenian knowledge, technologies and / or products in the total value of the project. The contracts with the selected contractors should clearly show with which subcontractors and for which parts of the </w:t>
            </w:r>
            <w:r w:rsidR="00C657E2">
              <w:rPr>
                <w:lang w:val="en-GB"/>
              </w:rPr>
              <w:t xml:space="preserve">public procurement </w:t>
            </w:r>
            <w:r w:rsidRPr="00161A81">
              <w:rPr>
                <w:lang w:val="en-GB"/>
              </w:rPr>
              <w:t xml:space="preserve">contract the contractor intends to perform the planned works </w:t>
            </w:r>
            <w:r w:rsidR="00C657E2">
              <w:rPr>
                <w:lang w:val="en-GB"/>
              </w:rPr>
              <w:t>and / or</w:t>
            </w:r>
            <w:r w:rsidR="00C657E2" w:rsidRPr="00161A81">
              <w:rPr>
                <w:lang w:val="en-GB"/>
              </w:rPr>
              <w:t xml:space="preserve"> </w:t>
            </w:r>
            <w:r w:rsidRPr="00161A81">
              <w:rPr>
                <w:lang w:val="en-GB"/>
              </w:rPr>
              <w:t>supply the planned equipment (recommendation 3.7 in the text).</w:t>
            </w:r>
          </w:p>
          <w:p w14:paraId="1FBDBF29" w14:textId="180E870F" w:rsidR="003D59B1" w:rsidRPr="00161A81" w:rsidRDefault="003D59B1" w:rsidP="00960E68">
            <w:pPr>
              <w:rPr>
                <w:rFonts w:cs="Arial"/>
                <w:szCs w:val="20"/>
                <w:lang w:val="en-GB"/>
              </w:rPr>
            </w:pPr>
          </w:p>
        </w:tc>
      </w:tr>
      <w:tr w:rsidR="00DA3ACF" w:rsidRPr="00161A81" w14:paraId="7601EB44" w14:textId="77777777" w:rsidTr="00A415B0">
        <w:tc>
          <w:tcPr>
            <w:tcW w:w="9356" w:type="dxa"/>
            <w:gridSpan w:val="2"/>
            <w:shd w:val="clear" w:color="auto" w:fill="1B758C"/>
          </w:tcPr>
          <w:p w14:paraId="424BEE4E" w14:textId="7E090512" w:rsidR="00DA3ACF" w:rsidRPr="00161A81" w:rsidRDefault="00DA3ACF" w:rsidP="00960E68">
            <w:pPr>
              <w:jc w:val="center"/>
              <w:rPr>
                <w:rFonts w:cs="Arial"/>
                <w:szCs w:val="20"/>
                <w:lang w:val="en-GB"/>
              </w:rPr>
            </w:pPr>
            <w:r w:rsidRPr="00161A81">
              <w:rPr>
                <w:rFonts w:cs="Arial"/>
                <w:b/>
                <w:color w:val="FFFFFF" w:themeColor="background1"/>
                <w:sz w:val="22"/>
                <w:szCs w:val="20"/>
                <w:lang w:val="en-GB"/>
              </w:rPr>
              <w:t>Evaluation criteria 4: Impact</w:t>
            </w:r>
          </w:p>
        </w:tc>
      </w:tr>
      <w:tr w:rsidR="00DA3ACF" w:rsidRPr="00161A81" w14:paraId="4F244060" w14:textId="77777777" w:rsidTr="00A415B0">
        <w:tc>
          <w:tcPr>
            <w:tcW w:w="4678" w:type="dxa"/>
          </w:tcPr>
          <w:p w14:paraId="03D21116" w14:textId="2569FB4F" w:rsidR="00DA3ACF" w:rsidRPr="00161A81" w:rsidRDefault="003D59B1" w:rsidP="00161A81">
            <w:pPr>
              <w:rPr>
                <w:rFonts w:cs="Arial"/>
                <w:szCs w:val="20"/>
                <w:lang w:val="en-GB"/>
              </w:rPr>
            </w:pPr>
            <w:r w:rsidRPr="00161A81">
              <w:rPr>
                <w:rFonts w:cs="Arial"/>
                <w:szCs w:val="20"/>
                <w:lang w:val="en-GB"/>
              </w:rPr>
              <w:t xml:space="preserve">Both projects addressed the general problem of quality drinking water supply in Northern Macedonia, while the second project, within which the revitalization and automation of existing water supply facilities was carried out, complemented the </w:t>
            </w:r>
            <w:r w:rsidR="00C657E2">
              <w:rPr>
                <w:rFonts w:cs="Arial"/>
                <w:szCs w:val="20"/>
                <w:lang w:val="en-GB"/>
              </w:rPr>
              <w:t xml:space="preserve">results of the </w:t>
            </w:r>
            <w:r w:rsidRPr="00161A81">
              <w:rPr>
                <w:rFonts w:cs="Arial"/>
                <w:szCs w:val="20"/>
                <w:lang w:val="en-GB"/>
              </w:rPr>
              <w:t>first project.</w:t>
            </w:r>
          </w:p>
          <w:p w14:paraId="4B5D81C9" w14:textId="7CD49E83" w:rsidR="003D59B1" w:rsidRPr="00161A81" w:rsidRDefault="003D59B1" w:rsidP="00960E68">
            <w:pPr>
              <w:rPr>
                <w:rFonts w:cs="Arial"/>
                <w:szCs w:val="20"/>
                <w:lang w:val="en-GB"/>
              </w:rPr>
            </w:pPr>
          </w:p>
        </w:tc>
        <w:tc>
          <w:tcPr>
            <w:tcW w:w="4678" w:type="dxa"/>
          </w:tcPr>
          <w:p w14:paraId="5D48DBC7" w14:textId="7DCF547A" w:rsidR="00DA3ACF" w:rsidRPr="00161A81" w:rsidRDefault="003D59B1" w:rsidP="00161A81">
            <w:pPr>
              <w:rPr>
                <w:rFonts w:cs="Arial"/>
                <w:szCs w:val="20"/>
                <w:lang w:val="en-GB"/>
              </w:rPr>
            </w:pPr>
            <w:r w:rsidRPr="00161A81">
              <w:rPr>
                <w:rFonts w:cs="Arial"/>
                <w:iCs/>
                <w:lang w:val="en-GB"/>
              </w:rPr>
              <w:t xml:space="preserve">In the process of collecting project </w:t>
            </w:r>
            <w:proofErr w:type="gramStart"/>
            <w:r w:rsidRPr="00161A81">
              <w:rPr>
                <w:rFonts w:cs="Arial"/>
                <w:iCs/>
                <w:lang w:val="en-GB"/>
              </w:rPr>
              <w:t>proposals</w:t>
            </w:r>
            <w:proofErr w:type="gramEnd"/>
            <w:r w:rsidRPr="00161A81">
              <w:rPr>
                <w:rFonts w:cs="Arial"/>
                <w:iCs/>
                <w:lang w:val="en-GB"/>
              </w:rPr>
              <w:t xml:space="preserve"> we propose a meaningful prioritization of </w:t>
            </w:r>
            <w:r w:rsidR="00C657E2">
              <w:rPr>
                <w:rFonts w:cs="Arial"/>
                <w:iCs/>
                <w:lang w:val="en-GB"/>
              </w:rPr>
              <w:t xml:space="preserve">similar projects that </w:t>
            </w:r>
            <w:r w:rsidRPr="00161A81">
              <w:rPr>
                <w:rFonts w:cs="Arial"/>
                <w:iCs/>
                <w:lang w:val="en-GB"/>
              </w:rPr>
              <w:t>can be replicated using existing knowledge and experience (recommendation 4.1 in the text).</w:t>
            </w:r>
          </w:p>
        </w:tc>
      </w:tr>
      <w:tr w:rsidR="00DA3ACF" w:rsidRPr="00161A81" w14:paraId="288E08EB" w14:textId="77777777" w:rsidTr="00A415B0">
        <w:tc>
          <w:tcPr>
            <w:tcW w:w="9356" w:type="dxa"/>
            <w:gridSpan w:val="2"/>
            <w:shd w:val="clear" w:color="auto" w:fill="1B758C"/>
          </w:tcPr>
          <w:p w14:paraId="3CC68FF9" w14:textId="2C03B193" w:rsidR="00DA3ACF" w:rsidRPr="00161A81" w:rsidRDefault="00DA3ACF" w:rsidP="00960E68">
            <w:pPr>
              <w:jc w:val="center"/>
              <w:rPr>
                <w:rFonts w:cs="Arial"/>
                <w:iCs/>
                <w:lang w:val="en-GB"/>
              </w:rPr>
            </w:pPr>
            <w:r w:rsidRPr="00161A81">
              <w:rPr>
                <w:rFonts w:cs="Arial"/>
                <w:b/>
                <w:color w:val="FFFFFF" w:themeColor="background1"/>
                <w:sz w:val="22"/>
                <w:szCs w:val="20"/>
                <w:lang w:val="en-GB"/>
              </w:rPr>
              <w:t>Evaluation criteria 5: Sustainability</w:t>
            </w:r>
          </w:p>
        </w:tc>
      </w:tr>
      <w:tr w:rsidR="00DA3ACF" w:rsidRPr="00161A81" w14:paraId="4EC1D93F" w14:textId="77777777" w:rsidTr="00A415B0">
        <w:tc>
          <w:tcPr>
            <w:tcW w:w="4678" w:type="dxa"/>
          </w:tcPr>
          <w:p w14:paraId="6BF8E175" w14:textId="24E774BF" w:rsidR="00DA3ACF" w:rsidRPr="00161A81" w:rsidRDefault="003D59B1" w:rsidP="00161A81">
            <w:pPr>
              <w:rPr>
                <w:rFonts w:cs="Arial"/>
                <w:szCs w:val="20"/>
                <w:lang w:val="en-GB"/>
              </w:rPr>
            </w:pPr>
            <w:r w:rsidRPr="00161A81">
              <w:rPr>
                <w:rFonts w:cs="Arial"/>
                <w:szCs w:val="20"/>
                <w:lang w:val="en-GB"/>
              </w:rPr>
              <w:t xml:space="preserve">Commitments to finance maintenance costs and maintain the results </w:t>
            </w:r>
            <w:r w:rsidR="009F5D32">
              <w:rPr>
                <w:rFonts w:cs="Arial"/>
                <w:szCs w:val="20"/>
                <w:lang w:val="en-GB"/>
              </w:rPr>
              <w:t>in the long run</w:t>
            </w:r>
            <w:r w:rsidR="009F5D32" w:rsidRPr="00161A81">
              <w:rPr>
                <w:rFonts w:cs="Arial"/>
                <w:szCs w:val="20"/>
                <w:lang w:val="en-GB"/>
              </w:rPr>
              <w:t xml:space="preserve"> </w:t>
            </w:r>
            <w:r w:rsidRPr="00161A81">
              <w:rPr>
                <w:rFonts w:cs="Arial"/>
                <w:szCs w:val="20"/>
                <w:lang w:val="en-GB"/>
              </w:rPr>
              <w:t>are not included in donation agreements</w:t>
            </w:r>
            <w:r w:rsidR="009F5D32">
              <w:rPr>
                <w:rFonts w:cs="Arial"/>
                <w:szCs w:val="20"/>
                <w:lang w:val="en-GB"/>
              </w:rPr>
              <w:t xml:space="preserve">. Consequently, there are no sufficient mechanisms in place in the agreement itself </w:t>
            </w:r>
            <w:r w:rsidRPr="00161A81">
              <w:rPr>
                <w:rFonts w:cs="Arial"/>
                <w:szCs w:val="20"/>
                <w:lang w:val="en-GB"/>
              </w:rPr>
              <w:t>to ensure the sustainability of results.</w:t>
            </w:r>
          </w:p>
        </w:tc>
        <w:tc>
          <w:tcPr>
            <w:tcW w:w="4678" w:type="dxa"/>
          </w:tcPr>
          <w:p w14:paraId="041E6E1E" w14:textId="6B6F269A" w:rsidR="00DA3ACF" w:rsidRPr="00161A81" w:rsidRDefault="003D59B1" w:rsidP="00161A81">
            <w:pPr>
              <w:rPr>
                <w:lang w:val="en-GB"/>
              </w:rPr>
            </w:pPr>
            <w:r w:rsidRPr="00161A81">
              <w:rPr>
                <w:lang w:val="en-GB"/>
              </w:rPr>
              <w:t xml:space="preserve">We propose to </w:t>
            </w:r>
            <w:r w:rsidR="009F5D32">
              <w:rPr>
                <w:lang w:val="en-GB"/>
              </w:rPr>
              <w:t>envisage local ownership already in the</w:t>
            </w:r>
            <w:r w:rsidRPr="00161A81">
              <w:rPr>
                <w:lang w:val="en-GB"/>
              </w:rPr>
              <w:t xml:space="preserve"> project design phase, as a mandatory descriptive field in standardized forms of project proposals. We also propose the inclusion of the element of </w:t>
            </w:r>
            <w:r w:rsidR="009F5D32">
              <w:rPr>
                <w:lang w:val="en-GB"/>
              </w:rPr>
              <w:t xml:space="preserve">project </w:t>
            </w:r>
            <w:r w:rsidRPr="00161A81">
              <w:rPr>
                <w:lang w:val="en-GB"/>
              </w:rPr>
              <w:t xml:space="preserve">sustainability (indicators for monitoring sustainability), </w:t>
            </w:r>
            <w:r w:rsidR="009F5D32">
              <w:rPr>
                <w:lang w:val="en-GB"/>
              </w:rPr>
              <w:t xml:space="preserve">as well as the list of </w:t>
            </w:r>
            <w:r w:rsidRPr="00161A81">
              <w:rPr>
                <w:lang w:val="en-GB"/>
              </w:rPr>
              <w:t xml:space="preserve">activities </w:t>
            </w:r>
            <w:r w:rsidR="009F5D32">
              <w:rPr>
                <w:lang w:val="en-GB"/>
              </w:rPr>
              <w:t>to ensure</w:t>
            </w:r>
            <w:r w:rsidRPr="00161A81">
              <w:rPr>
                <w:lang w:val="en-GB"/>
              </w:rPr>
              <w:t xml:space="preserve"> sustainability, among the criteria for project selection and </w:t>
            </w:r>
            <w:r w:rsidR="009F5D32">
              <w:rPr>
                <w:lang w:val="en-GB"/>
              </w:rPr>
              <w:t xml:space="preserve">requirements on project </w:t>
            </w:r>
            <w:r w:rsidRPr="00161A81">
              <w:rPr>
                <w:lang w:val="en-GB"/>
              </w:rPr>
              <w:t xml:space="preserve">reporting (recommendation 5.1. </w:t>
            </w:r>
            <w:r w:rsidR="009F5D32">
              <w:rPr>
                <w:lang w:val="en-GB"/>
              </w:rPr>
              <w:t>i</w:t>
            </w:r>
            <w:r w:rsidRPr="00161A81">
              <w:rPr>
                <w:lang w:val="en-GB"/>
              </w:rPr>
              <w:t>n the text).</w:t>
            </w:r>
          </w:p>
          <w:p w14:paraId="5C65F701" w14:textId="76931876" w:rsidR="003D59B1" w:rsidRPr="00161A81" w:rsidRDefault="003D59B1" w:rsidP="00960E68">
            <w:pPr>
              <w:rPr>
                <w:rFonts w:cs="Arial"/>
                <w:iCs/>
                <w:lang w:val="en-GB"/>
              </w:rPr>
            </w:pPr>
          </w:p>
        </w:tc>
      </w:tr>
      <w:tr w:rsidR="00DA3ACF" w:rsidRPr="00161A81" w14:paraId="209C2514" w14:textId="77777777" w:rsidTr="00A415B0">
        <w:tc>
          <w:tcPr>
            <w:tcW w:w="4678" w:type="dxa"/>
          </w:tcPr>
          <w:p w14:paraId="7DB837B3" w14:textId="720A25CA" w:rsidR="00DA3ACF" w:rsidRPr="00161A81" w:rsidRDefault="003D59B1" w:rsidP="00161A81">
            <w:pPr>
              <w:rPr>
                <w:rFonts w:cs="Arial"/>
                <w:szCs w:val="20"/>
                <w:lang w:val="en-GB"/>
              </w:rPr>
            </w:pPr>
            <w:r w:rsidRPr="00161A81">
              <w:rPr>
                <w:rFonts w:cs="Arial"/>
                <w:szCs w:val="20"/>
                <w:lang w:val="en-GB"/>
              </w:rPr>
              <w:t xml:space="preserve">The equipment installed in both projects is of high quality, </w:t>
            </w:r>
            <w:r w:rsidR="009F5D32">
              <w:rPr>
                <w:rFonts w:cs="Arial"/>
                <w:szCs w:val="20"/>
                <w:lang w:val="en-GB"/>
              </w:rPr>
              <w:t>which on the other hand</w:t>
            </w:r>
            <w:r w:rsidRPr="00161A81">
              <w:rPr>
                <w:rFonts w:cs="Arial"/>
                <w:szCs w:val="20"/>
                <w:lang w:val="en-GB"/>
              </w:rPr>
              <w:t xml:space="preserve"> results in relatively high maintenance costs</w:t>
            </w:r>
            <w:r w:rsidR="009F5D32">
              <w:rPr>
                <w:rFonts w:cs="Arial"/>
                <w:szCs w:val="20"/>
                <w:lang w:val="en-GB"/>
              </w:rPr>
              <w:t xml:space="preserve">. This may </w:t>
            </w:r>
            <w:proofErr w:type="gramStart"/>
            <w:r w:rsidR="009F5D32">
              <w:rPr>
                <w:rFonts w:cs="Arial"/>
                <w:szCs w:val="20"/>
                <w:lang w:val="en-GB"/>
              </w:rPr>
              <w:t>results</w:t>
            </w:r>
            <w:proofErr w:type="gramEnd"/>
            <w:r w:rsidR="009F5D32">
              <w:rPr>
                <w:rFonts w:cs="Arial"/>
                <w:szCs w:val="20"/>
                <w:lang w:val="en-GB"/>
              </w:rPr>
              <w:t xml:space="preserve"> in the local stakeholder’s</w:t>
            </w:r>
            <w:r w:rsidRPr="00161A81">
              <w:rPr>
                <w:rFonts w:cs="Arial"/>
                <w:szCs w:val="20"/>
                <w:lang w:val="en-GB"/>
              </w:rPr>
              <w:t xml:space="preserve"> inability to provide maintenance </w:t>
            </w:r>
            <w:r w:rsidR="009F5D32">
              <w:rPr>
                <w:rFonts w:cs="Arial"/>
                <w:szCs w:val="20"/>
                <w:lang w:val="en-GB"/>
              </w:rPr>
              <w:t>funding</w:t>
            </w:r>
            <w:r w:rsidR="002A0735">
              <w:rPr>
                <w:rFonts w:cs="Arial"/>
                <w:szCs w:val="20"/>
                <w:lang w:val="en-GB"/>
              </w:rPr>
              <w:t xml:space="preserve"> due to high costs of maintenance</w:t>
            </w:r>
            <w:r w:rsidRPr="00161A81">
              <w:rPr>
                <w:rFonts w:cs="Arial"/>
                <w:szCs w:val="20"/>
                <w:lang w:val="en-GB"/>
              </w:rPr>
              <w:t xml:space="preserve">. This may lead to inability </w:t>
            </w:r>
            <w:r w:rsidR="002A0735">
              <w:rPr>
                <w:rFonts w:cs="Arial"/>
                <w:szCs w:val="20"/>
                <w:lang w:val="en-GB"/>
              </w:rPr>
              <w:t xml:space="preserve">of the local stakeholders </w:t>
            </w:r>
            <w:r w:rsidRPr="00161A81">
              <w:rPr>
                <w:rFonts w:cs="Arial"/>
                <w:szCs w:val="20"/>
                <w:lang w:val="en-GB"/>
              </w:rPr>
              <w:t xml:space="preserve">to provide own sources of financing for </w:t>
            </w:r>
            <w:r w:rsidR="002A0735">
              <w:rPr>
                <w:rFonts w:cs="Arial"/>
                <w:szCs w:val="20"/>
                <w:lang w:val="en-GB"/>
              </w:rPr>
              <w:t xml:space="preserve">long-term </w:t>
            </w:r>
            <w:r w:rsidRPr="00161A81">
              <w:rPr>
                <w:rFonts w:cs="Arial"/>
                <w:szCs w:val="20"/>
                <w:lang w:val="en-GB"/>
              </w:rPr>
              <w:t xml:space="preserve">maintenance of water infrastructure </w:t>
            </w:r>
            <w:r w:rsidR="002A0735">
              <w:rPr>
                <w:rFonts w:cs="Arial"/>
                <w:szCs w:val="20"/>
                <w:lang w:val="en-GB"/>
              </w:rPr>
              <w:t>investments</w:t>
            </w:r>
            <w:r w:rsidRPr="00161A81">
              <w:rPr>
                <w:rFonts w:cs="Arial"/>
                <w:szCs w:val="20"/>
                <w:lang w:val="en-GB"/>
              </w:rPr>
              <w:t>.</w:t>
            </w:r>
          </w:p>
        </w:tc>
        <w:tc>
          <w:tcPr>
            <w:tcW w:w="4678" w:type="dxa"/>
          </w:tcPr>
          <w:p w14:paraId="41B3C340" w14:textId="0A58B1CB" w:rsidR="00DA3ACF" w:rsidRPr="00161A81" w:rsidRDefault="003D59B1" w:rsidP="00161A81">
            <w:pPr>
              <w:rPr>
                <w:lang w:val="en-GB"/>
              </w:rPr>
            </w:pPr>
            <w:r w:rsidRPr="00161A81">
              <w:rPr>
                <w:lang w:val="en-GB"/>
              </w:rPr>
              <w:t>CMSR should take into account the capacity of the aid recipient to provide sources of financing for (investment) maintenance of this infrastructure (e</w:t>
            </w:r>
            <w:r w:rsidR="002A0735">
              <w:rPr>
                <w:lang w:val="en-GB"/>
              </w:rPr>
              <w:t>.</w:t>
            </w:r>
            <w:r w:rsidRPr="00161A81">
              <w:rPr>
                <w:lang w:val="en-GB"/>
              </w:rPr>
              <w:t>g</w:t>
            </w:r>
            <w:r w:rsidR="002A0735">
              <w:rPr>
                <w:lang w:val="en-GB"/>
              </w:rPr>
              <w:t>.</w:t>
            </w:r>
            <w:r w:rsidRPr="00161A81">
              <w:rPr>
                <w:lang w:val="en-GB"/>
              </w:rPr>
              <w:t xml:space="preserve"> 3 years after completion) already in the design phase of infrastructure projects, and especially in the </w:t>
            </w:r>
            <w:r w:rsidR="002A0735">
              <w:rPr>
                <w:lang w:val="en-GB"/>
              </w:rPr>
              <w:t xml:space="preserve">stage of </w:t>
            </w:r>
            <w:r w:rsidRPr="00161A81">
              <w:rPr>
                <w:lang w:val="en-GB"/>
              </w:rPr>
              <w:t xml:space="preserve">preparation of investment documentation (recommendation 5.2. </w:t>
            </w:r>
            <w:r w:rsidR="002A0735">
              <w:rPr>
                <w:lang w:val="en-GB"/>
              </w:rPr>
              <w:t>in</w:t>
            </w:r>
            <w:r w:rsidRPr="00161A81">
              <w:rPr>
                <w:lang w:val="en-GB"/>
              </w:rPr>
              <w:t xml:space="preserve"> the text).</w:t>
            </w:r>
          </w:p>
          <w:p w14:paraId="1F3DCADC" w14:textId="3E32E624" w:rsidR="003D59B1" w:rsidRPr="00161A81" w:rsidRDefault="003D59B1" w:rsidP="00960E68">
            <w:pPr>
              <w:rPr>
                <w:rFonts w:cs="Arial"/>
                <w:iCs/>
                <w:lang w:val="en-GB"/>
              </w:rPr>
            </w:pPr>
          </w:p>
        </w:tc>
      </w:tr>
    </w:tbl>
    <w:p w14:paraId="6604D3C3" w14:textId="77777777" w:rsidR="00B85B43" w:rsidRDefault="00B85B43" w:rsidP="00960E68"/>
    <w:p w14:paraId="5BA276A2" w14:textId="0A9B0D85" w:rsidR="00E05074" w:rsidRDefault="00E05074" w:rsidP="00960E68">
      <w:pPr>
        <w:rPr>
          <w:rFonts w:eastAsiaTheme="majorEastAsia" w:cs="Arial"/>
          <w:b/>
          <w:color w:val="1B75BC"/>
          <w:sz w:val="36"/>
          <w:szCs w:val="32"/>
        </w:rPr>
      </w:pPr>
      <w:bookmarkStart w:id="140" w:name="_Toc56112207"/>
    </w:p>
    <w:p w14:paraId="4A7015B6" w14:textId="77777777" w:rsidR="00B85B43" w:rsidRDefault="00B85B43">
      <w:pPr>
        <w:spacing w:after="160"/>
        <w:rPr>
          <w:rFonts w:eastAsiaTheme="majorEastAsia" w:cs="Arial"/>
          <w:b/>
          <w:color w:val="1B75BC"/>
          <w:sz w:val="36"/>
          <w:szCs w:val="32"/>
        </w:rPr>
      </w:pPr>
      <w:r>
        <w:br w:type="page"/>
      </w:r>
    </w:p>
    <w:p w14:paraId="5F78C26A" w14:textId="1BF2BE02" w:rsidR="00E94A33" w:rsidRPr="008401DD" w:rsidRDefault="007B2EEC" w:rsidP="00960E68">
      <w:pPr>
        <w:pStyle w:val="Heading1"/>
      </w:pPr>
      <w:bookmarkStart w:id="141" w:name="_Toc57377185"/>
      <w:r w:rsidRPr="008401DD">
        <w:lastRenderedPageBreak/>
        <w:t>Ključna s</w:t>
      </w:r>
      <w:r w:rsidR="00E94A33" w:rsidRPr="008401DD">
        <w:t>poznanja</w:t>
      </w:r>
      <w:bookmarkEnd w:id="137"/>
      <w:bookmarkEnd w:id="140"/>
      <w:bookmarkEnd w:id="141"/>
      <w:r w:rsidR="00E94A33" w:rsidRPr="008401DD">
        <w:t xml:space="preserve"> </w:t>
      </w:r>
      <w:bookmarkEnd w:id="138"/>
    </w:p>
    <w:p w14:paraId="36C75585" w14:textId="77777777" w:rsidR="005F16F1" w:rsidRPr="008401DD" w:rsidRDefault="005F16F1" w:rsidP="00960E68"/>
    <w:p w14:paraId="0F8D6D0C" w14:textId="0168B638" w:rsidR="00B6778A" w:rsidRPr="008401DD" w:rsidRDefault="007B2EEC" w:rsidP="00960E68">
      <w:pPr>
        <w:jc w:val="both"/>
      </w:pPr>
      <w:bookmarkStart w:id="142" w:name="_Toc52394939"/>
      <w:r w:rsidRPr="008401DD">
        <w:t>V okviru ključnih spoznanj</w:t>
      </w:r>
      <w:r w:rsidR="00B6778A" w:rsidRPr="008401DD">
        <w:t xml:space="preserve"> </w:t>
      </w:r>
      <w:r w:rsidR="00E0157F" w:rsidRPr="008401DD">
        <w:t>poskušamo</w:t>
      </w:r>
      <w:r w:rsidR="00B6778A" w:rsidRPr="008401DD">
        <w:t xml:space="preserve"> </w:t>
      </w:r>
      <w:r w:rsidR="00B6778A" w:rsidRPr="008401DD">
        <w:rPr>
          <w:b/>
        </w:rPr>
        <w:t>osvetliti širše okoliščine izvajanja obeh projektov</w:t>
      </w:r>
      <w:r w:rsidR="00B6778A" w:rsidRPr="008401DD">
        <w:t xml:space="preserve">, ki sicer neposredno niso </w:t>
      </w:r>
      <w:r w:rsidR="00E0157F" w:rsidRPr="008401DD">
        <w:t>bile</w:t>
      </w:r>
      <w:r w:rsidR="00B6778A" w:rsidRPr="008401DD">
        <w:t xml:space="preserve"> predmet evalvacije, je pa mogoče na podlagi rezultatov </w:t>
      </w:r>
      <w:r w:rsidRPr="008401DD">
        <w:t>ugotovitev</w:t>
      </w:r>
      <w:r w:rsidR="00B6778A" w:rsidRPr="008401DD">
        <w:t xml:space="preserve"> podati določene zaključke, ki so </w:t>
      </w:r>
      <w:r w:rsidR="00253F00" w:rsidRPr="008401DD">
        <w:t>uporabni</w:t>
      </w:r>
      <w:r w:rsidR="00B6778A" w:rsidRPr="008401DD">
        <w:t xml:space="preserve"> za naročnika</w:t>
      </w:r>
      <w:r w:rsidR="008245B5">
        <w:t xml:space="preserve"> in CMSR</w:t>
      </w:r>
      <w:r w:rsidR="00B6778A" w:rsidRPr="008401DD">
        <w:t>.</w:t>
      </w:r>
      <w:r w:rsidR="00E0157F" w:rsidRPr="008401DD">
        <w:t xml:space="preserve"> Ključna spoznanja se nanašajo na vlogo in položaj </w:t>
      </w:r>
      <w:r w:rsidR="00786EF4" w:rsidRPr="008401DD">
        <w:t>CMSR kot</w:t>
      </w:r>
      <w:r w:rsidR="00E0157F" w:rsidRPr="008401DD">
        <w:t xml:space="preserve"> izvajalca bilateralnih projektov MRS</w:t>
      </w:r>
      <w:r w:rsidR="00C709FB" w:rsidRPr="008401DD">
        <w:t>, tako v razmerju do ostalih deležnikov znotraj RS (sistemsko okolje) kot tudi v razmerju do lokalnih deležnikov in države prejemnice (donatorsko okolje).</w:t>
      </w:r>
    </w:p>
    <w:p w14:paraId="4793AA49" w14:textId="77777777" w:rsidR="00B6778A" w:rsidRPr="008401DD" w:rsidRDefault="00B6778A" w:rsidP="00960E68">
      <w:pPr>
        <w:jc w:val="both"/>
      </w:pPr>
    </w:p>
    <w:p w14:paraId="4BC90E89" w14:textId="0D57F518" w:rsidR="00B6778A" w:rsidRPr="008401DD" w:rsidRDefault="00C709FB" w:rsidP="00960E68">
      <w:pPr>
        <w:jc w:val="both"/>
      </w:pPr>
      <w:r w:rsidRPr="008401DD">
        <w:t>CMSR</w:t>
      </w:r>
      <w:r w:rsidR="008245B5">
        <w:t xml:space="preserve"> kot edini slovenski izvajalec infrastrukturnih </w:t>
      </w:r>
      <w:r w:rsidR="00B85B43">
        <w:t>projektov</w:t>
      </w:r>
      <w:r w:rsidR="008245B5">
        <w:t xml:space="preserve"> v okviru MRS,</w:t>
      </w:r>
      <w:r w:rsidRPr="008401DD">
        <w:t xml:space="preserve"> je kot vezni člen med donatorico (RS) in državo prejemnico (Severna </w:t>
      </w:r>
      <w:r w:rsidR="00253F00" w:rsidRPr="008401DD">
        <w:t>Makedonija</w:t>
      </w:r>
      <w:r w:rsidRPr="008401DD">
        <w:t xml:space="preserve">) v lokalnem okolju dobro prepoznan, njegova ključna prednost pa je </w:t>
      </w:r>
      <w:r w:rsidRPr="008401DD">
        <w:rPr>
          <w:b/>
        </w:rPr>
        <w:t>fleksibilnost in odzivnost v procesu identificiranja potreb</w:t>
      </w:r>
      <w:r w:rsidRPr="008401DD">
        <w:t xml:space="preserve"> in zbiranja projektnih idej</w:t>
      </w:r>
      <w:r w:rsidR="0016523C" w:rsidRPr="008401DD">
        <w:t xml:space="preserve"> pre</w:t>
      </w:r>
      <w:r w:rsidR="00E86589" w:rsidRPr="008401DD">
        <w:t>k</w:t>
      </w:r>
      <w:r w:rsidR="0016523C" w:rsidRPr="008401DD">
        <w:t>o</w:t>
      </w:r>
      <w:r w:rsidR="00DC322C">
        <w:t xml:space="preserve"> vzpostavljenih kontaktov</w:t>
      </w:r>
      <w:r w:rsidR="0016523C" w:rsidRPr="008401DD">
        <w:t>, obiskov na terenu in načina dela</w:t>
      </w:r>
      <w:r w:rsidRPr="008401DD">
        <w:t xml:space="preserve">. Kljub temu, da oba projekta predstavljata dobro prakso v smislu skladnosti s potrebami in širšim strateškim okvirom, pa je </w:t>
      </w:r>
      <w:r w:rsidR="0016523C" w:rsidRPr="008401DD">
        <w:t>identifikacija</w:t>
      </w:r>
      <w:r w:rsidRPr="008401DD">
        <w:t xml:space="preserve"> izvedljivih </w:t>
      </w:r>
      <w:r w:rsidR="0016523C" w:rsidRPr="008401DD">
        <w:t>projektov</w:t>
      </w:r>
      <w:r w:rsidRPr="008401DD">
        <w:t xml:space="preserve"> veliko večji zalogaj, kot kažejo rezultati evalvacije dveh uspešno </w:t>
      </w:r>
      <w:r w:rsidR="0016523C" w:rsidRPr="008401DD">
        <w:t>zaključenih</w:t>
      </w:r>
      <w:r w:rsidRPr="008401DD">
        <w:t xml:space="preserve"> projektov. Na lokalni ravni</w:t>
      </w:r>
      <w:r w:rsidR="0016523C" w:rsidRPr="008401DD">
        <w:t xml:space="preserve"> se namreč MZZ (in DKP), CMSR in drugi deležniki (predstavniki slovenskega gospodarstva, ostale institucije v okviru MRS in resorji) srečujejo s problematiko zagotavljanja kakovostnih, zrelih projektov, ki so pripravljeni za financiranje, po drugi strani pa tudi z zmogljivostmi (ali pripravljenostjo) lokalnih deležnikov za sofinanciranje. </w:t>
      </w:r>
      <w:r w:rsidR="00132A3A" w:rsidRPr="008401DD">
        <w:t xml:space="preserve">Pomembno je torej, da ima </w:t>
      </w:r>
      <w:r w:rsidR="00132A3A" w:rsidRPr="00161A81">
        <w:rPr>
          <w:b/>
        </w:rPr>
        <w:t>RS na voljo orodja, ki omogočajo hitro in učinko</w:t>
      </w:r>
      <w:r w:rsidR="00367306" w:rsidRPr="00161A81">
        <w:rPr>
          <w:b/>
        </w:rPr>
        <w:t>v</w:t>
      </w:r>
      <w:r w:rsidR="00132A3A" w:rsidRPr="00161A81">
        <w:rPr>
          <w:b/>
        </w:rPr>
        <w:t>ito identifikacijo priložnosti, s katerimi lahko v največji meri zasledujemo interese RS kot države donatorice, ob upoštevanju pravih potreb prejemnikov pomoči</w:t>
      </w:r>
      <w:r w:rsidR="00132A3A" w:rsidRPr="008401DD">
        <w:t>.</w:t>
      </w:r>
    </w:p>
    <w:p w14:paraId="3B42DBA5" w14:textId="353D108C" w:rsidR="0016523C" w:rsidRPr="008401DD" w:rsidRDefault="0016523C" w:rsidP="00960E68">
      <w:pPr>
        <w:jc w:val="both"/>
      </w:pPr>
    </w:p>
    <w:p w14:paraId="02B0969E" w14:textId="0262566A" w:rsidR="0016523C" w:rsidRPr="008401DD" w:rsidRDefault="0016523C" w:rsidP="00960E68">
      <w:pPr>
        <w:jc w:val="both"/>
      </w:pPr>
      <w:r w:rsidRPr="008401DD">
        <w:t xml:space="preserve">CMSR </w:t>
      </w:r>
      <w:r w:rsidR="00132A3A" w:rsidRPr="008401DD">
        <w:t xml:space="preserve">je </w:t>
      </w:r>
      <w:r w:rsidR="00DC322C">
        <w:t>v času</w:t>
      </w:r>
      <w:r w:rsidR="00DC322C" w:rsidRPr="008401DD">
        <w:t xml:space="preserve"> </w:t>
      </w:r>
      <w:r w:rsidR="00132A3A" w:rsidRPr="008401DD">
        <w:t xml:space="preserve">svojega obstoja ustvaril določen obseg </w:t>
      </w:r>
      <w:r w:rsidR="00132A3A" w:rsidRPr="008401DD">
        <w:rPr>
          <w:b/>
        </w:rPr>
        <w:t>organizacijskega znanja in izkušenj, ki so ključni za izvajanje specifičnih vrst</w:t>
      </w:r>
      <w:r w:rsidRPr="008401DD">
        <w:rPr>
          <w:b/>
        </w:rPr>
        <w:t xml:space="preserve"> projektov</w:t>
      </w:r>
      <w:r w:rsidR="00132A3A" w:rsidRPr="008401DD">
        <w:t>. Gre zlasti za projekte</w:t>
      </w:r>
      <w:r w:rsidRPr="008401DD">
        <w:t xml:space="preserve"> na področju vodne infrastrukture in infrastrukture na področju upravljanja odpadkov</w:t>
      </w:r>
      <w:r w:rsidR="00E86589" w:rsidRPr="008401DD">
        <w:t xml:space="preserve">, pa tudi </w:t>
      </w:r>
      <w:r w:rsidR="00132A3A" w:rsidRPr="008401DD">
        <w:t xml:space="preserve">v </w:t>
      </w:r>
      <w:r w:rsidR="00E86589" w:rsidRPr="008401DD">
        <w:t xml:space="preserve">poznavanje donatorskega okolja in ravnanja drugih držav </w:t>
      </w:r>
      <w:proofErr w:type="spellStart"/>
      <w:r w:rsidR="00253F00" w:rsidRPr="008401DD">
        <w:t>donatork</w:t>
      </w:r>
      <w:proofErr w:type="spellEnd"/>
      <w:r w:rsidRPr="008401DD">
        <w:t xml:space="preserve">. S tem </w:t>
      </w:r>
      <w:r w:rsidR="00132A3A" w:rsidRPr="008401DD">
        <w:t>so ustvarjeni predpogoji</w:t>
      </w:r>
      <w:r w:rsidRPr="008401DD">
        <w:t xml:space="preserve"> za izpo</w:t>
      </w:r>
      <w:r w:rsidR="00367306" w:rsidRPr="008401DD">
        <w:t>l</w:t>
      </w:r>
      <w:r w:rsidRPr="008401DD">
        <w:t>njevanje določenih priporočil</w:t>
      </w:r>
      <w:r w:rsidR="00132A3A" w:rsidRPr="008401DD">
        <w:t xml:space="preserve"> evalvacije</w:t>
      </w:r>
      <w:r w:rsidRPr="008401DD">
        <w:t xml:space="preserve">, usmerjenih v iskanje priložnosti za repliciranje projektov in posledično povečano vlogo slovenskega znanja in </w:t>
      </w:r>
      <w:r w:rsidR="00253F00" w:rsidRPr="008401DD">
        <w:t>izkušenj</w:t>
      </w:r>
      <w:r w:rsidRPr="008401DD">
        <w:t xml:space="preserve"> pri tovrstnih investicijah. Ne glede</w:t>
      </w:r>
      <w:r w:rsidR="00B16B60" w:rsidRPr="008401DD">
        <w:t xml:space="preserve"> </w:t>
      </w:r>
      <w:r w:rsidR="00DC322C">
        <w:t xml:space="preserve">na </w:t>
      </w:r>
      <w:r w:rsidR="00B16B60" w:rsidRPr="008401DD">
        <w:t xml:space="preserve">prihodno sistemsko ureditev izvajanja MRS v RS je te izkušnje smiselno </w:t>
      </w:r>
      <w:r w:rsidR="00367306" w:rsidRPr="008401DD">
        <w:t>u</w:t>
      </w:r>
      <w:r w:rsidR="00B16B60" w:rsidRPr="008401DD">
        <w:t>pošt</w:t>
      </w:r>
      <w:r w:rsidR="00367306" w:rsidRPr="008401DD">
        <w:t>e</w:t>
      </w:r>
      <w:r w:rsidR="00B16B60" w:rsidRPr="008401DD">
        <w:t>vati in nadgraditi.</w:t>
      </w:r>
    </w:p>
    <w:p w14:paraId="200959EE" w14:textId="25E42518" w:rsidR="00B6778A" w:rsidRPr="008401DD" w:rsidRDefault="00B6778A" w:rsidP="00960E68">
      <w:pPr>
        <w:jc w:val="both"/>
      </w:pPr>
    </w:p>
    <w:p w14:paraId="3A8F0CC0" w14:textId="367890E4" w:rsidR="002A01E2" w:rsidRPr="008401DD" w:rsidRDefault="00B16B60" w:rsidP="00960E68">
      <w:pPr>
        <w:jc w:val="both"/>
      </w:pPr>
      <w:r w:rsidRPr="008401DD">
        <w:t xml:space="preserve">Z vidika razmerij med CMSR in ostalimi deležniki znotraj sistema izvajanj MRS lahko na sicer omejenem vpogledu v delovanje sistema MRS na podlagi vrednotenja dveh projektov ugotovimo, da CMSR pri </w:t>
      </w:r>
      <w:r w:rsidR="00F81E2E" w:rsidRPr="008401DD">
        <w:t>iz</w:t>
      </w:r>
      <w:r w:rsidRPr="008401DD">
        <w:t>va</w:t>
      </w:r>
      <w:r w:rsidR="00F81E2E" w:rsidRPr="008401DD">
        <w:t>j</w:t>
      </w:r>
      <w:r w:rsidRPr="008401DD">
        <w:t xml:space="preserve">anju bilateralne MRS sodeluje s širokim naborom deležnikov (MZZ, MGRT, MF, v preteklem obdobju tudi </w:t>
      </w:r>
      <w:r w:rsidR="007F6D73" w:rsidRPr="008401DD">
        <w:t>Ministrstvo za okolje in prostor (</w:t>
      </w:r>
      <w:r w:rsidRPr="008401DD">
        <w:t>MOP)</w:t>
      </w:r>
      <w:r w:rsidR="007F6D73" w:rsidRPr="008401DD">
        <w:t>)</w:t>
      </w:r>
      <w:r w:rsidRPr="008401DD">
        <w:t xml:space="preserve">, od katerih se vsak </w:t>
      </w:r>
      <w:r w:rsidR="00132A3A" w:rsidRPr="008401DD">
        <w:t xml:space="preserve">na drugačen način </w:t>
      </w:r>
      <w:r w:rsidRPr="008401DD">
        <w:t>vključuje v izvajanj</w:t>
      </w:r>
      <w:r w:rsidR="00132A3A" w:rsidRPr="008401DD">
        <w:t>e</w:t>
      </w:r>
      <w:r w:rsidRPr="008401DD">
        <w:t xml:space="preserve"> programa centra in projektov. Posledično </w:t>
      </w:r>
      <w:r w:rsidR="00132A3A" w:rsidRPr="008401DD">
        <w:rPr>
          <w:b/>
        </w:rPr>
        <w:t xml:space="preserve">niso ustvarjena enotna pričakovanja glede načina izvajanja </w:t>
      </w:r>
      <w:r w:rsidRPr="008401DD">
        <w:rPr>
          <w:b/>
        </w:rPr>
        <w:t xml:space="preserve">projektov </w:t>
      </w:r>
      <w:r w:rsidR="00132A3A" w:rsidRPr="008401DD">
        <w:rPr>
          <w:b/>
        </w:rPr>
        <w:t>in vloge</w:t>
      </w:r>
      <w:r w:rsidR="002A01E2" w:rsidRPr="008401DD">
        <w:rPr>
          <w:b/>
        </w:rPr>
        <w:t xml:space="preserve"> CMSR </w:t>
      </w:r>
      <w:r w:rsidR="00132A3A" w:rsidRPr="008401DD">
        <w:rPr>
          <w:b/>
        </w:rPr>
        <w:t>v tem procesu</w:t>
      </w:r>
      <w:r w:rsidR="002A01E2" w:rsidRPr="008401DD">
        <w:t xml:space="preserve"> </w:t>
      </w:r>
      <w:r w:rsidR="00F81E2E" w:rsidRPr="008401DD">
        <w:t xml:space="preserve">(npr. standardi glede projektnega vodenja, nadzora projektov, kakovosti ipd.). </w:t>
      </w:r>
      <w:r w:rsidR="002A01E2" w:rsidRPr="008401DD">
        <w:t xml:space="preserve">Trenutno CMSR komunicira z različnimi resorji glede na to, </w:t>
      </w:r>
      <w:r w:rsidR="00132A3A" w:rsidRPr="008401DD">
        <w:t>kateri od resorjev</w:t>
      </w:r>
      <w:r w:rsidR="002A01E2" w:rsidRPr="008401DD">
        <w:t xml:space="preserve"> je skrbnik proračunske postavke iz katere se projekt financira</w:t>
      </w:r>
      <w:r w:rsidR="00132A3A" w:rsidRPr="008401DD">
        <w:t xml:space="preserve">. Z vidika kakovosti izvajanja projektov pa </w:t>
      </w:r>
      <w:r w:rsidR="002A01E2" w:rsidRPr="008401DD">
        <w:t xml:space="preserve">je </w:t>
      </w:r>
      <w:r w:rsidR="00132A3A" w:rsidRPr="008401DD">
        <w:t>bolj pomembno</w:t>
      </w:r>
      <w:r w:rsidR="002A01E2" w:rsidRPr="008401DD">
        <w:t xml:space="preserve">, da se resorji vključujejo glede na </w:t>
      </w:r>
      <w:r w:rsidR="00132A3A" w:rsidRPr="008401DD">
        <w:t xml:space="preserve">primarno </w:t>
      </w:r>
      <w:r w:rsidR="002A01E2" w:rsidRPr="008401DD">
        <w:t xml:space="preserve">področje dela, </w:t>
      </w:r>
      <w:r w:rsidR="00132A3A" w:rsidRPr="008401DD">
        <w:t>na katerem lahko zagotovijo ustrezn</w:t>
      </w:r>
      <w:r w:rsidR="00367306" w:rsidRPr="008401DD">
        <w:t>o</w:t>
      </w:r>
      <w:r w:rsidR="00132A3A" w:rsidRPr="008401DD">
        <w:t xml:space="preserve"> znanje, izkušnje in povezave</w:t>
      </w:r>
      <w:r w:rsidR="002A01E2" w:rsidRPr="008401DD">
        <w:t xml:space="preserve">. Navedeno je zelo očitno v primeru obeh projektov, ki sta bila predmet evalvacije. Projekta zadevata investicijo </w:t>
      </w:r>
      <w:r w:rsidR="00E86589" w:rsidRPr="008401DD">
        <w:t>v infrastrukturo za zagotavljanje pitne</w:t>
      </w:r>
      <w:r w:rsidR="002A01E2" w:rsidRPr="008401DD">
        <w:t xml:space="preserve"> vode</w:t>
      </w:r>
      <w:r w:rsidR="00367306" w:rsidRPr="008401DD">
        <w:t xml:space="preserve">, </w:t>
      </w:r>
      <w:r w:rsidR="002A01E2" w:rsidRPr="008401DD">
        <w:t>financer je MF, medtem ko bi lahko bi</w:t>
      </w:r>
      <w:r w:rsidR="00367306" w:rsidRPr="008401DD">
        <w:t>s</w:t>
      </w:r>
      <w:r w:rsidR="002A01E2" w:rsidRPr="008401DD">
        <w:t xml:space="preserve">tveno večji vsebinski prispevek </w:t>
      </w:r>
      <w:r w:rsidR="00E86589" w:rsidRPr="008401DD">
        <w:t xml:space="preserve">verjetno </w:t>
      </w:r>
      <w:r w:rsidR="002A01E2" w:rsidRPr="008401DD">
        <w:t>prispeval MOP.</w:t>
      </w:r>
    </w:p>
    <w:p w14:paraId="6CF03E4C" w14:textId="5C1BF76D" w:rsidR="002A01E2" w:rsidRPr="008401DD" w:rsidRDefault="002A01E2" w:rsidP="00960E68">
      <w:pPr>
        <w:jc w:val="both"/>
      </w:pPr>
    </w:p>
    <w:p w14:paraId="37EFF1EE" w14:textId="4A5B4F1F" w:rsidR="002A01E2" w:rsidRPr="008401DD" w:rsidRDefault="00132A3A" w:rsidP="00960E68">
      <w:pPr>
        <w:jc w:val="both"/>
      </w:pPr>
      <w:r w:rsidRPr="008401DD">
        <w:rPr>
          <w:b/>
        </w:rPr>
        <w:t>Razpršenost sistema in posledična r</w:t>
      </w:r>
      <w:r w:rsidR="002A01E2" w:rsidRPr="00161A81">
        <w:rPr>
          <w:b/>
        </w:rPr>
        <w:t>azmerja med financerji, nacionalnim koordinatorjem in CMSR</w:t>
      </w:r>
      <w:r w:rsidR="002A01E2" w:rsidRPr="008401DD">
        <w:t xml:space="preserve"> lahko predstavljajo določeno tveganje za učinkovito in uspešno izvedbo projektov v prihodnje, saj </w:t>
      </w:r>
      <w:r w:rsidRPr="008401DD">
        <w:t>je</w:t>
      </w:r>
      <w:r w:rsidR="002A01E2" w:rsidRPr="008401DD">
        <w:t xml:space="preserve"> okolje, v katerem posluje CMSR</w:t>
      </w:r>
      <w:r w:rsidRPr="008401DD">
        <w:t>, relativno nesta</w:t>
      </w:r>
      <w:r w:rsidR="00367306" w:rsidRPr="008401DD">
        <w:t>b</w:t>
      </w:r>
      <w:r w:rsidRPr="008401DD">
        <w:t>ilno</w:t>
      </w:r>
      <w:r w:rsidR="002A01E2" w:rsidRPr="008401DD">
        <w:t xml:space="preserve"> (proračunske postavke za izvajanje projektov so se v preteklosti selile z resorja na resor, določeni resorji pa so se kot </w:t>
      </w:r>
      <w:r w:rsidR="00786EF4" w:rsidRPr="008401DD">
        <w:t>financerji</w:t>
      </w:r>
      <w:r w:rsidR="002A01E2" w:rsidRPr="008401DD">
        <w:t xml:space="preserve"> v celoti umaknili)</w:t>
      </w:r>
      <w:r w:rsidR="00786EF4" w:rsidRPr="008401DD">
        <w:t xml:space="preserve">. Tovrstna ureditev je sicer ustrezna, dokler se vsi deležniki strinjajo glede smeri in načina izvajanja MRS. V primeru neskladij pa lahko pride do zastoja, kar po eni strani povečuje transakcijske stroške, po drugi pa tudi ugled Slovenije kot države donatorice zaradi </w:t>
      </w:r>
      <w:r w:rsidR="00E86589" w:rsidRPr="008401DD">
        <w:t>zaustavitve financiranja in s tem izvedbe (že začetih) projektov</w:t>
      </w:r>
      <w:r w:rsidR="00786EF4" w:rsidRPr="008401DD">
        <w:t>.</w:t>
      </w:r>
      <w:r w:rsidR="00E86589" w:rsidRPr="008401DD">
        <w:t xml:space="preserve"> V primeru</w:t>
      </w:r>
      <w:r w:rsidR="008245B5">
        <w:t xml:space="preserve"> CMSR</w:t>
      </w:r>
      <w:r w:rsidR="00E86589" w:rsidRPr="008401DD">
        <w:t xml:space="preserve"> </w:t>
      </w:r>
      <w:r w:rsidR="008245B5">
        <w:t xml:space="preserve">bi bilo potrebno jasno opredeliti pristojnost in zunanje skrbništvo za zagotavljanje dosledne izvedbe priporočil </w:t>
      </w:r>
      <w:r w:rsidR="00E86589" w:rsidRPr="008401DD">
        <w:t>(te evalvacije ali ugotovitev drugih organov, kot s računsko sodišče ali neodvisne revizije)</w:t>
      </w:r>
      <w:r w:rsidR="00CE2072">
        <w:t xml:space="preserve">, </w:t>
      </w:r>
      <w:r w:rsidR="00CE2072">
        <w:lastRenderedPageBreak/>
        <w:t>ko gre za bilateralne projekte MRS</w:t>
      </w:r>
      <w:r w:rsidR="00E86589" w:rsidRPr="008401DD">
        <w:t>.</w:t>
      </w:r>
      <w:r w:rsidR="000563E1" w:rsidRPr="008401DD">
        <w:t xml:space="preserve"> Le na ta način bo mogoče jasno utemeljiti, kakšno »vrednost za denar« RS kot donatorica ustvarja pri izvajanju infrastrukturnih projektov preko MRS.</w:t>
      </w:r>
    </w:p>
    <w:p w14:paraId="3812BA62" w14:textId="77777777" w:rsidR="002A01E2" w:rsidRPr="008401DD" w:rsidRDefault="002A01E2" w:rsidP="00960E68">
      <w:pPr>
        <w:jc w:val="both"/>
      </w:pPr>
    </w:p>
    <w:p w14:paraId="008E9A42" w14:textId="0EFE3368" w:rsidR="008245B5" w:rsidRDefault="008245B5" w:rsidP="00960E68">
      <w:pPr>
        <w:jc w:val="both"/>
      </w:pPr>
      <w:r>
        <w:t xml:space="preserve">Določen izziv predstavlja tudi </w:t>
      </w:r>
      <w:r w:rsidRPr="00E157E6">
        <w:rPr>
          <w:b/>
        </w:rPr>
        <w:t>statusna oblika CMSR</w:t>
      </w:r>
      <w:r>
        <w:t xml:space="preserve">, kjer je država sicer soustanoviteljica in lastnica, </w:t>
      </w:r>
      <w:r w:rsidR="00CE2072">
        <w:t>ima pa</w:t>
      </w:r>
      <w:r w:rsidR="00C962C9">
        <w:t xml:space="preserve"> le</w:t>
      </w:r>
      <w:r w:rsidR="00CE2072">
        <w:t xml:space="preserve"> </w:t>
      </w:r>
      <w:r w:rsidR="00C962C9">
        <w:t>omejen vpliv</w:t>
      </w:r>
      <w:r>
        <w:t xml:space="preserve"> na samo poslovanje centra</w:t>
      </w:r>
      <w:r w:rsidR="00CE2072">
        <w:t xml:space="preserve"> preko Sveta Centra, v katerem sedijo predstavniki ustanoviteljev in delavcev</w:t>
      </w:r>
      <w:r w:rsidR="00C962C9">
        <w:t>, tudi ko gre za projekte MRS</w:t>
      </w:r>
      <w:r w:rsidR="00CE2072">
        <w:t>. Kolektivno upravljanje</w:t>
      </w:r>
      <w:r>
        <w:t xml:space="preserve"> lahko predstavlja izziv pri uveljavljanju določenih priporočil evalvacije</w:t>
      </w:r>
      <w:r w:rsidR="00060AF3">
        <w:t>, pri čemer gre izključno za izvajanje bilateralnih projektov MRS v celoti financiranih iz javnih sredstev</w:t>
      </w:r>
      <w:r>
        <w:t xml:space="preserve">. CMSR danes deluje kot zavod s pravico javnosti in je v preteklosti projekte na področju MRS izvajal na podlagi pooblastila, od sprejetja </w:t>
      </w:r>
      <w:r w:rsidRPr="00786EF4">
        <w:t xml:space="preserve">ZMRSHP </w:t>
      </w:r>
      <w:r>
        <w:t>pa je bil opredeljen kot i</w:t>
      </w:r>
      <w:r w:rsidRPr="00786EF4">
        <w:t>zvajalec tehnično</w:t>
      </w:r>
      <w:r>
        <w:t>-</w:t>
      </w:r>
      <w:r w:rsidRPr="00786EF4">
        <w:t>operativnega dela bilateralnega mednarodnega razvojnega sodelovanja RS</w:t>
      </w:r>
      <w:r>
        <w:t>. Navedeno pomeni, da mora obstajati določena raven razumevanja in seveda soglasja med soustanovitelji centra glede izvedbe izboljšav (denimo teh, ki so vezane na zgornja priporočila). V okviru sistemskih rešitev (ki so nakazane tudi v enem od priporočil) bo tako nujno potrebno obravnavati tudi statusno obliko CMSR (pa tudi ostalih institucij, vključenih v izvajanje MRS). Treba bo namreč zagotoviti okvir izvajanja, ki po eni strani omogoča odzivnost, fleksibilnost in pragmatičnost, po drugi strani pa zadostne mehanizme nadzora in uveljavljanje standardov</w:t>
      </w:r>
      <w:r w:rsidR="00DC5EF0">
        <w:t xml:space="preserve"> kakovosti</w:t>
      </w:r>
      <w:r w:rsidR="002B5EDA">
        <w:t>, pri čemer pomembno vlogo lahko igra Sveta Centra</w:t>
      </w:r>
      <w:r>
        <w:t>.</w:t>
      </w:r>
    </w:p>
    <w:p w14:paraId="0E80C70C" w14:textId="23FFAEC9" w:rsidR="000563E1" w:rsidRPr="008401DD" w:rsidRDefault="000563E1" w:rsidP="00960E68">
      <w:pPr>
        <w:jc w:val="both"/>
      </w:pPr>
    </w:p>
    <w:p w14:paraId="4851DA8D" w14:textId="3EE85539" w:rsidR="000563E1" w:rsidRPr="008401DD" w:rsidRDefault="000563E1" w:rsidP="00960E68">
      <w:pPr>
        <w:jc w:val="both"/>
      </w:pPr>
      <w:r w:rsidRPr="008401DD">
        <w:t>Kljub temu, da je CMSR v številnih vidikih neposredno odvisen od navodil in us</w:t>
      </w:r>
      <w:r w:rsidR="00367306" w:rsidRPr="008401DD">
        <w:t>m</w:t>
      </w:r>
      <w:r w:rsidRPr="008401DD">
        <w:t xml:space="preserve">eritev drugih deležnikov znotraj sistema MRS, pa bi kot ena osrednjih </w:t>
      </w:r>
      <w:r w:rsidR="00253F00" w:rsidRPr="008401DD">
        <w:t>institucij</w:t>
      </w:r>
      <w:r w:rsidRPr="008401DD">
        <w:t xml:space="preserve"> za izvajanje tovrstnih projektov z večletnimi izkušnjami </w:t>
      </w:r>
      <w:r w:rsidRPr="00161A81">
        <w:rPr>
          <w:b/>
        </w:rPr>
        <w:t xml:space="preserve">lahko in moral </w:t>
      </w:r>
      <w:r w:rsidRPr="008401DD">
        <w:rPr>
          <w:b/>
        </w:rPr>
        <w:t>proa</w:t>
      </w:r>
      <w:r w:rsidR="00367306" w:rsidRPr="008401DD">
        <w:rPr>
          <w:b/>
        </w:rPr>
        <w:t>kti</w:t>
      </w:r>
      <w:r w:rsidRPr="008401DD">
        <w:rPr>
          <w:b/>
        </w:rPr>
        <w:t xml:space="preserve">vno </w:t>
      </w:r>
      <w:r w:rsidRPr="00161A81">
        <w:rPr>
          <w:b/>
        </w:rPr>
        <w:t xml:space="preserve">prevzeti tudi vlogo </w:t>
      </w:r>
      <w:r w:rsidR="002B5EDA">
        <w:rPr>
          <w:b/>
        </w:rPr>
        <w:t>povezovalca</w:t>
      </w:r>
      <w:r w:rsidR="002B5EDA" w:rsidRPr="00161A81">
        <w:rPr>
          <w:b/>
        </w:rPr>
        <w:t xml:space="preserve"> </w:t>
      </w:r>
      <w:r w:rsidRPr="00161A81">
        <w:rPr>
          <w:b/>
        </w:rPr>
        <w:t xml:space="preserve">in </w:t>
      </w:r>
      <w:r w:rsidR="00B374D4">
        <w:rPr>
          <w:b/>
        </w:rPr>
        <w:t>enega od nosilcev</w:t>
      </w:r>
      <w:r w:rsidR="00B374D4" w:rsidRPr="008401DD">
        <w:rPr>
          <w:b/>
        </w:rPr>
        <w:t xml:space="preserve"> </w:t>
      </w:r>
      <w:r w:rsidR="00DC5EF0" w:rsidRPr="008401DD">
        <w:rPr>
          <w:b/>
        </w:rPr>
        <w:t>nenehnih izboljšav</w:t>
      </w:r>
      <w:r w:rsidR="00DC5EF0" w:rsidRPr="006553C6">
        <w:rPr>
          <w:b/>
        </w:rPr>
        <w:t xml:space="preserve"> sistema MRS</w:t>
      </w:r>
      <w:r w:rsidR="00DC5EF0" w:rsidRPr="008401DD">
        <w:t xml:space="preserve"> </w:t>
      </w:r>
      <w:r w:rsidRPr="008401DD">
        <w:t xml:space="preserve">skladno z načeli </w:t>
      </w:r>
      <w:r w:rsidR="00132A3A" w:rsidRPr="008401DD">
        <w:t xml:space="preserve">dobrega </w:t>
      </w:r>
      <w:r w:rsidRPr="008401DD">
        <w:t xml:space="preserve">upravljanja. Tovrstno </w:t>
      </w:r>
      <w:proofErr w:type="spellStart"/>
      <w:r w:rsidRPr="008401DD">
        <w:t>pozicioniranje</w:t>
      </w:r>
      <w:proofErr w:type="spellEnd"/>
      <w:r w:rsidRPr="008401DD">
        <w:t xml:space="preserve"> CMSR ni </w:t>
      </w:r>
      <w:r w:rsidR="008245B5">
        <w:t>toliko</w:t>
      </w:r>
      <w:r w:rsidR="00132A3A" w:rsidRPr="008401DD">
        <w:t xml:space="preserve"> pomembno</w:t>
      </w:r>
      <w:r w:rsidRPr="008401DD">
        <w:t xml:space="preserve"> zaradi dosledne izv</w:t>
      </w:r>
      <w:r w:rsidR="00132A3A" w:rsidRPr="008401DD">
        <w:t>e</w:t>
      </w:r>
      <w:r w:rsidRPr="008401DD">
        <w:t>dbe priporočil te evalvacije</w:t>
      </w:r>
      <w:r w:rsidR="00132A3A" w:rsidRPr="008401DD">
        <w:t>. Bolj pomembno je, da</w:t>
      </w:r>
      <w:r w:rsidRPr="008401DD">
        <w:t xml:space="preserve"> </w:t>
      </w:r>
      <w:r w:rsidR="00132A3A" w:rsidRPr="008401DD">
        <w:t>se</w:t>
      </w:r>
      <w:r w:rsidR="00B144C8">
        <w:t xml:space="preserve"> </w:t>
      </w:r>
      <w:r w:rsidRPr="008401DD">
        <w:t xml:space="preserve">ideje, mnenjsko voditeljstvo in pobude </w:t>
      </w:r>
      <w:r w:rsidR="00132A3A" w:rsidRPr="008401DD">
        <w:t>za izboljšave ustvarjajo</w:t>
      </w:r>
      <w:r w:rsidRPr="008401DD">
        <w:t xml:space="preserve"> tudi znotraj</w:t>
      </w:r>
      <w:r w:rsidR="00132A3A" w:rsidRPr="008401DD">
        <w:t xml:space="preserve"> sistema, na čelu s CMSR</w:t>
      </w:r>
      <w:r w:rsidRPr="008401DD">
        <w:t>. Nenazadnje ima CMSR največ stika z lokalnimi deležniki v državah prejemnicah in posledično najbolje pozna priložnosti in ovire, ki zadevajo izvajanje MRS</w:t>
      </w:r>
      <w:r w:rsidR="00132A3A" w:rsidRPr="008401DD">
        <w:t xml:space="preserve"> RS</w:t>
      </w:r>
      <w:r w:rsidRPr="008401DD">
        <w:t xml:space="preserve">. </w:t>
      </w:r>
    </w:p>
    <w:p w14:paraId="7A1A5310" w14:textId="77777777" w:rsidR="008D2982" w:rsidRPr="008401DD" w:rsidRDefault="008D2982" w:rsidP="00960E68">
      <w:pPr>
        <w:jc w:val="both"/>
      </w:pPr>
    </w:p>
    <w:p w14:paraId="02FC90B8" w14:textId="77777777" w:rsidR="00722913" w:rsidRPr="008401DD" w:rsidRDefault="00722913" w:rsidP="00960E68"/>
    <w:p w14:paraId="2F12581D" w14:textId="18C05DEA" w:rsidR="00722913" w:rsidRPr="000A1AF3" w:rsidRDefault="00722913" w:rsidP="000A1AF3">
      <w:pPr>
        <w:spacing w:after="160"/>
        <w:rPr>
          <w:rFonts w:eastAsiaTheme="majorEastAsia" w:cs="Arial"/>
          <w:b/>
          <w:color w:val="1B75BC"/>
          <w:sz w:val="36"/>
          <w:szCs w:val="32"/>
        </w:rPr>
      </w:pPr>
      <w:r w:rsidRPr="000A1AF3">
        <w:rPr>
          <w:b/>
        </w:rPr>
        <w:br w:type="page"/>
      </w:r>
    </w:p>
    <w:p w14:paraId="18289035" w14:textId="409A095D" w:rsidR="003E6701" w:rsidRPr="008401DD" w:rsidRDefault="003E6701" w:rsidP="00960E68">
      <w:pPr>
        <w:pStyle w:val="Heading1"/>
      </w:pPr>
      <w:bookmarkStart w:id="143" w:name="_Toc56088914"/>
      <w:bookmarkStart w:id="144" w:name="_Toc56112208"/>
      <w:bookmarkStart w:id="145" w:name="_Toc57377186"/>
      <w:r w:rsidRPr="008401DD">
        <w:lastRenderedPageBreak/>
        <w:t>Literatura</w:t>
      </w:r>
      <w:bookmarkEnd w:id="142"/>
      <w:bookmarkEnd w:id="143"/>
      <w:bookmarkEnd w:id="144"/>
      <w:bookmarkEnd w:id="145"/>
    </w:p>
    <w:p w14:paraId="67310044" w14:textId="77777777" w:rsidR="003E6701" w:rsidRPr="008401DD" w:rsidRDefault="003E6701" w:rsidP="00960E68"/>
    <w:p w14:paraId="732EB3F2" w14:textId="15F2CEAA" w:rsidR="00D452AD" w:rsidRPr="008401DD" w:rsidRDefault="00D452AD" w:rsidP="00960E68">
      <w:pPr>
        <w:pStyle w:val="ListParagraph"/>
        <w:numPr>
          <w:ilvl w:val="0"/>
          <w:numId w:val="4"/>
        </w:numPr>
        <w:ind w:left="0" w:firstLine="0"/>
        <w:contextualSpacing w:val="0"/>
        <w:jc w:val="both"/>
        <w:rPr>
          <w:rFonts w:cs="Arial"/>
          <w:szCs w:val="20"/>
        </w:rPr>
      </w:pPr>
      <w:r w:rsidRPr="008401DD">
        <w:rPr>
          <w:rFonts w:cs="Arial"/>
          <w:szCs w:val="20"/>
        </w:rPr>
        <w:t>CMSR – Mednarodno razvojno sodelovanje (</w:t>
      </w:r>
      <w:hyperlink r:id="rId14" w:history="1">
        <w:r w:rsidRPr="008401DD">
          <w:rPr>
            <w:rStyle w:val="Hyperlink"/>
            <w:rFonts w:cs="Arial"/>
            <w:szCs w:val="20"/>
          </w:rPr>
          <w:t>https://www.cmsr.si/sl/mednarodno-razvojno-sodelovanje/</w:t>
        </w:r>
      </w:hyperlink>
      <w:r w:rsidRPr="008401DD">
        <w:rPr>
          <w:rFonts w:cs="Arial"/>
          <w:szCs w:val="20"/>
        </w:rPr>
        <w:t>)</w:t>
      </w:r>
    </w:p>
    <w:p w14:paraId="0175E31B" w14:textId="24C8F2C3" w:rsidR="00D452AD" w:rsidRPr="008401DD" w:rsidRDefault="00D452AD" w:rsidP="00960E68">
      <w:pPr>
        <w:pStyle w:val="ListParagraph"/>
        <w:numPr>
          <w:ilvl w:val="0"/>
          <w:numId w:val="4"/>
        </w:numPr>
        <w:ind w:left="0" w:firstLine="0"/>
        <w:contextualSpacing w:val="0"/>
        <w:jc w:val="both"/>
        <w:rPr>
          <w:rFonts w:cs="Arial"/>
          <w:szCs w:val="20"/>
        </w:rPr>
      </w:pPr>
      <w:r w:rsidRPr="008401DD">
        <w:rPr>
          <w:rFonts w:cs="Arial"/>
          <w:szCs w:val="20"/>
        </w:rPr>
        <w:t xml:space="preserve">EC -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 </w:t>
      </w:r>
      <w:proofErr w:type="spellStart"/>
      <w:r w:rsidRPr="008401DD">
        <w:rPr>
          <w:rFonts w:cs="Arial"/>
          <w:szCs w:val="20"/>
        </w:rPr>
        <w:t>financial</w:t>
      </w:r>
      <w:proofErr w:type="spellEnd"/>
      <w:r w:rsidRPr="008401DD">
        <w:rPr>
          <w:rFonts w:cs="Arial"/>
          <w:szCs w:val="20"/>
        </w:rPr>
        <w:t xml:space="preserve"> </w:t>
      </w:r>
      <w:proofErr w:type="spellStart"/>
      <w:r w:rsidRPr="008401DD">
        <w:rPr>
          <w:rFonts w:cs="Arial"/>
          <w:szCs w:val="20"/>
        </w:rPr>
        <w:t>assistance</w:t>
      </w:r>
      <w:proofErr w:type="spellEnd"/>
      <w:r w:rsidRPr="008401DD">
        <w:rPr>
          <w:rFonts w:cs="Arial"/>
          <w:szCs w:val="20"/>
        </w:rPr>
        <w:t xml:space="preserve"> </w:t>
      </w:r>
      <w:proofErr w:type="spellStart"/>
      <w:r w:rsidRPr="008401DD">
        <w:rPr>
          <w:rFonts w:cs="Arial"/>
          <w:szCs w:val="20"/>
        </w:rPr>
        <w:t>under</w:t>
      </w:r>
      <w:proofErr w:type="spellEnd"/>
      <w:r w:rsidRPr="008401DD">
        <w:rPr>
          <w:rFonts w:cs="Arial"/>
          <w:szCs w:val="20"/>
        </w:rPr>
        <w:t xml:space="preserve"> IPA II (</w:t>
      </w:r>
      <w:hyperlink r:id="rId15" w:history="1">
        <w:r w:rsidRPr="008401DD">
          <w:rPr>
            <w:rStyle w:val="Hyperlink"/>
            <w:rFonts w:cs="Arial"/>
            <w:szCs w:val="20"/>
          </w:rPr>
          <w:t>https://ec.europa.eu/neighbourhood-enlargement/instruments/funding-by-country/north-macedonia_en</w:t>
        </w:r>
      </w:hyperlink>
      <w:r w:rsidRPr="008401DD">
        <w:rPr>
          <w:rFonts w:cs="Arial"/>
          <w:szCs w:val="20"/>
        </w:rPr>
        <w:t>)</w:t>
      </w:r>
    </w:p>
    <w:p w14:paraId="14D375DD" w14:textId="77777777" w:rsidR="004E2144" w:rsidRPr="008401DD" w:rsidRDefault="00436A04"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Federal</w:t>
      </w:r>
      <w:proofErr w:type="spellEnd"/>
      <w:r w:rsidRPr="008401DD">
        <w:rPr>
          <w:rFonts w:cs="Arial"/>
          <w:szCs w:val="20"/>
        </w:rPr>
        <w:t xml:space="preserve"> </w:t>
      </w:r>
      <w:proofErr w:type="spellStart"/>
      <w:r w:rsidRPr="008401DD">
        <w:rPr>
          <w:rFonts w:cs="Arial"/>
          <w:szCs w:val="20"/>
        </w:rPr>
        <w:t>foreign</w:t>
      </w:r>
      <w:proofErr w:type="spellEnd"/>
      <w:r w:rsidRPr="008401DD">
        <w:rPr>
          <w:rFonts w:cs="Arial"/>
          <w:szCs w:val="20"/>
        </w:rPr>
        <w:t xml:space="preserve"> </w:t>
      </w:r>
      <w:proofErr w:type="spellStart"/>
      <w:r w:rsidRPr="008401DD">
        <w:rPr>
          <w:rFonts w:cs="Arial"/>
          <w:szCs w:val="20"/>
        </w:rPr>
        <w:t>office</w:t>
      </w:r>
      <w:proofErr w:type="spellEnd"/>
      <w:r w:rsidRPr="008401DD">
        <w:rPr>
          <w:rFonts w:cs="Arial"/>
          <w:szCs w:val="20"/>
        </w:rPr>
        <w:t xml:space="preserve">, </w:t>
      </w:r>
      <w:proofErr w:type="spellStart"/>
      <w:r w:rsidRPr="008401DD">
        <w:rPr>
          <w:rFonts w:cs="Arial"/>
          <w:szCs w:val="20"/>
        </w:rPr>
        <w:t>Republic</w:t>
      </w:r>
      <w:proofErr w:type="spellEnd"/>
      <w:r w:rsidRPr="008401DD">
        <w:rPr>
          <w:rFonts w:cs="Arial"/>
          <w:szCs w:val="20"/>
        </w:rPr>
        <w:t xml:space="preserve"> </w:t>
      </w:r>
      <w:proofErr w:type="spellStart"/>
      <w:r w:rsidRPr="008401DD">
        <w:rPr>
          <w:rFonts w:cs="Arial"/>
          <w:szCs w:val="20"/>
        </w:rPr>
        <w:t>of</w:t>
      </w:r>
      <w:proofErr w:type="spellEnd"/>
      <w:r w:rsidRPr="008401DD">
        <w:rPr>
          <w:rFonts w:cs="Arial"/>
          <w:szCs w:val="20"/>
        </w:rPr>
        <w:t xml:space="preserve"> </w:t>
      </w:r>
      <w:proofErr w:type="spellStart"/>
      <w:r w:rsidRPr="008401DD">
        <w:rPr>
          <w:rFonts w:cs="Arial"/>
          <w:szCs w:val="20"/>
        </w:rPr>
        <w:t>Germany</w:t>
      </w:r>
      <w:proofErr w:type="spellEnd"/>
      <w:r w:rsidRPr="008401DD">
        <w:rPr>
          <w:rFonts w:cs="Arial"/>
          <w:szCs w:val="20"/>
        </w:rPr>
        <w:t xml:space="preserve"> – </w:t>
      </w:r>
      <w:proofErr w:type="spellStart"/>
      <w:r w:rsidRPr="008401DD">
        <w:rPr>
          <w:rFonts w:cs="Arial"/>
          <w:szCs w:val="20"/>
        </w:rPr>
        <w:t>Germany</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w:t>
      </w:r>
      <w:proofErr w:type="spellStart"/>
      <w:r w:rsidRPr="008401DD">
        <w:rPr>
          <w:rFonts w:cs="Arial"/>
          <w:szCs w:val="20"/>
        </w:rPr>
        <w:t>Bilateral</w:t>
      </w:r>
      <w:proofErr w:type="spellEnd"/>
      <w:r w:rsidRPr="008401DD">
        <w:rPr>
          <w:rFonts w:cs="Arial"/>
          <w:szCs w:val="20"/>
        </w:rPr>
        <w:t xml:space="preserve"> </w:t>
      </w:r>
      <w:proofErr w:type="spellStart"/>
      <w:r w:rsidRPr="008401DD">
        <w:rPr>
          <w:rFonts w:cs="Arial"/>
          <w:szCs w:val="20"/>
        </w:rPr>
        <w:t>relations</w:t>
      </w:r>
      <w:proofErr w:type="spellEnd"/>
      <w:r w:rsidRPr="008401DD">
        <w:rPr>
          <w:rFonts w:cs="Arial"/>
          <w:szCs w:val="20"/>
        </w:rPr>
        <w:t xml:space="preserve"> (</w:t>
      </w:r>
      <w:hyperlink r:id="rId16" w:history="1">
        <w:r w:rsidRPr="008401DD">
          <w:rPr>
            <w:rStyle w:val="Hyperlink"/>
            <w:rFonts w:cs="Arial"/>
            <w:szCs w:val="20"/>
          </w:rPr>
          <w:t>https://www.auswaertiges-amt.de/en/aussenpolitik/bilateral/228106</w:t>
        </w:r>
      </w:hyperlink>
      <w:r w:rsidRPr="008401DD">
        <w:rPr>
          <w:rFonts w:cs="Arial"/>
          <w:szCs w:val="20"/>
        </w:rPr>
        <w:t>)</w:t>
      </w:r>
    </w:p>
    <w:p w14:paraId="54EB26DB" w14:textId="721E8D0E" w:rsidR="00552FD8" w:rsidRPr="008401DD" w:rsidRDefault="004E03B4" w:rsidP="00960E68">
      <w:pPr>
        <w:pStyle w:val="ListParagraph"/>
        <w:numPr>
          <w:ilvl w:val="0"/>
          <w:numId w:val="4"/>
        </w:numPr>
        <w:ind w:left="0" w:firstLine="0"/>
        <w:contextualSpacing w:val="0"/>
        <w:jc w:val="both"/>
        <w:rPr>
          <w:rFonts w:cs="Arial"/>
          <w:szCs w:val="20"/>
        </w:rPr>
      </w:pPr>
      <w:r w:rsidRPr="008401DD">
        <w:rPr>
          <w:rFonts w:cs="Arial"/>
          <w:szCs w:val="20"/>
        </w:rPr>
        <w:t xml:space="preserve">HS </w:t>
      </w:r>
      <w:proofErr w:type="spellStart"/>
      <w:r w:rsidRPr="008401DD">
        <w:rPr>
          <w:rFonts w:cs="Arial"/>
          <w:szCs w:val="20"/>
        </w:rPr>
        <w:t>Zletovica</w:t>
      </w:r>
      <w:proofErr w:type="spellEnd"/>
      <w:r w:rsidRPr="008401DD">
        <w:rPr>
          <w:rFonts w:cs="Arial"/>
          <w:szCs w:val="20"/>
        </w:rPr>
        <w:t xml:space="preserve"> –</w:t>
      </w:r>
      <w:r w:rsidR="004E2144" w:rsidRPr="008401DD">
        <w:rPr>
          <w:rFonts w:cs="Arial"/>
          <w:szCs w:val="20"/>
        </w:rPr>
        <w:t xml:space="preserve"> uradna spletna stran (</w:t>
      </w:r>
      <w:hyperlink r:id="rId17" w:history="1">
        <w:r w:rsidR="004E2144" w:rsidRPr="008401DD">
          <w:rPr>
            <w:rStyle w:val="Hyperlink"/>
            <w:rFonts w:cs="Arial"/>
            <w:szCs w:val="20"/>
          </w:rPr>
          <w:t>http://hszletovica.com.mk/?lang=en</w:t>
        </w:r>
      </w:hyperlink>
      <w:r w:rsidR="004E2144" w:rsidRPr="008401DD">
        <w:rPr>
          <w:rFonts w:cs="Arial"/>
          <w:szCs w:val="20"/>
        </w:rPr>
        <w:t>)</w:t>
      </w:r>
    </w:p>
    <w:p w14:paraId="307C72B1" w14:textId="77777777" w:rsidR="004E03B4" w:rsidRPr="008401DD" w:rsidRDefault="004E03B4" w:rsidP="00960E68">
      <w:pPr>
        <w:pStyle w:val="ListParagraph"/>
        <w:numPr>
          <w:ilvl w:val="0"/>
          <w:numId w:val="4"/>
        </w:numPr>
        <w:ind w:left="0" w:firstLine="0"/>
        <w:contextualSpacing w:val="0"/>
        <w:jc w:val="both"/>
        <w:rPr>
          <w:rFonts w:cs="Arial"/>
          <w:szCs w:val="20"/>
        </w:rPr>
      </w:pPr>
      <w:r w:rsidRPr="008401DD">
        <w:rPr>
          <w:rFonts w:cs="Arial"/>
          <w:szCs w:val="20"/>
        </w:rPr>
        <w:t>JBIC –</w:t>
      </w:r>
      <w:r w:rsidR="00552FD8" w:rsidRPr="008401DD">
        <w:rPr>
          <w:rFonts w:cs="Arial"/>
          <w:szCs w:val="20"/>
        </w:rPr>
        <w:t xml:space="preserve"> JBIC </w:t>
      </w:r>
      <w:proofErr w:type="spellStart"/>
      <w:r w:rsidR="00552FD8" w:rsidRPr="008401DD">
        <w:rPr>
          <w:rFonts w:cs="Arial"/>
          <w:szCs w:val="20"/>
        </w:rPr>
        <w:t>Provides</w:t>
      </w:r>
      <w:proofErr w:type="spellEnd"/>
      <w:r w:rsidR="00552FD8" w:rsidRPr="008401DD">
        <w:rPr>
          <w:rFonts w:cs="Arial"/>
          <w:szCs w:val="20"/>
        </w:rPr>
        <w:t xml:space="preserve"> First ODA </w:t>
      </w:r>
      <w:proofErr w:type="spellStart"/>
      <w:r w:rsidR="00552FD8" w:rsidRPr="008401DD">
        <w:rPr>
          <w:rFonts w:cs="Arial"/>
          <w:szCs w:val="20"/>
        </w:rPr>
        <w:t>Loan</w:t>
      </w:r>
      <w:proofErr w:type="spellEnd"/>
      <w:r w:rsidR="00552FD8" w:rsidRPr="008401DD">
        <w:rPr>
          <w:rFonts w:cs="Arial"/>
          <w:szCs w:val="20"/>
        </w:rPr>
        <w:t xml:space="preserve"> to </w:t>
      </w:r>
      <w:proofErr w:type="spellStart"/>
      <w:r w:rsidR="00552FD8" w:rsidRPr="008401DD">
        <w:rPr>
          <w:rFonts w:cs="Arial"/>
          <w:szCs w:val="20"/>
        </w:rPr>
        <w:t>the</w:t>
      </w:r>
      <w:proofErr w:type="spellEnd"/>
      <w:r w:rsidR="00552FD8" w:rsidRPr="008401DD">
        <w:rPr>
          <w:rFonts w:cs="Arial"/>
          <w:szCs w:val="20"/>
        </w:rPr>
        <w:t xml:space="preserve"> </w:t>
      </w:r>
      <w:proofErr w:type="spellStart"/>
      <w:r w:rsidR="00552FD8" w:rsidRPr="008401DD">
        <w:rPr>
          <w:rFonts w:cs="Arial"/>
          <w:szCs w:val="20"/>
        </w:rPr>
        <w:t>Former</w:t>
      </w:r>
      <w:proofErr w:type="spellEnd"/>
      <w:r w:rsidR="00552FD8" w:rsidRPr="008401DD">
        <w:rPr>
          <w:rFonts w:cs="Arial"/>
          <w:szCs w:val="20"/>
        </w:rPr>
        <w:t xml:space="preserve"> </w:t>
      </w:r>
      <w:proofErr w:type="spellStart"/>
      <w:r w:rsidR="00552FD8" w:rsidRPr="008401DD">
        <w:rPr>
          <w:rFonts w:cs="Arial"/>
          <w:szCs w:val="20"/>
        </w:rPr>
        <w:t>Yugoslav</w:t>
      </w:r>
      <w:proofErr w:type="spellEnd"/>
      <w:r w:rsidR="00552FD8" w:rsidRPr="008401DD">
        <w:rPr>
          <w:rFonts w:cs="Arial"/>
          <w:szCs w:val="20"/>
        </w:rPr>
        <w:t xml:space="preserve"> </w:t>
      </w:r>
      <w:proofErr w:type="spellStart"/>
      <w:r w:rsidR="00552FD8" w:rsidRPr="008401DD">
        <w:rPr>
          <w:rFonts w:cs="Arial"/>
          <w:szCs w:val="20"/>
        </w:rPr>
        <w:t>Republic</w:t>
      </w:r>
      <w:proofErr w:type="spellEnd"/>
      <w:r w:rsidR="00552FD8" w:rsidRPr="008401DD">
        <w:rPr>
          <w:rFonts w:cs="Arial"/>
          <w:szCs w:val="20"/>
        </w:rPr>
        <w:t xml:space="preserve"> </w:t>
      </w:r>
      <w:proofErr w:type="spellStart"/>
      <w:r w:rsidR="00552FD8" w:rsidRPr="008401DD">
        <w:rPr>
          <w:rFonts w:cs="Arial"/>
          <w:szCs w:val="20"/>
        </w:rPr>
        <w:t>of</w:t>
      </w:r>
      <w:proofErr w:type="spellEnd"/>
      <w:r w:rsidR="00552FD8" w:rsidRPr="008401DD">
        <w:rPr>
          <w:rFonts w:cs="Arial"/>
          <w:szCs w:val="20"/>
        </w:rPr>
        <w:t xml:space="preserve"> </w:t>
      </w:r>
      <w:proofErr w:type="spellStart"/>
      <w:r w:rsidR="00552FD8" w:rsidRPr="008401DD">
        <w:rPr>
          <w:rFonts w:cs="Arial"/>
          <w:szCs w:val="20"/>
        </w:rPr>
        <w:t>Macedonia</w:t>
      </w:r>
      <w:proofErr w:type="spellEnd"/>
      <w:r w:rsidR="00552FD8" w:rsidRPr="008401DD">
        <w:rPr>
          <w:rFonts w:cs="Arial"/>
          <w:szCs w:val="20"/>
        </w:rPr>
        <w:t xml:space="preserve"> (</w:t>
      </w:r>
      <w:hyperlink r:id="rId18" w:history="1">
        <w:r w:rsidR="00552FD8" w:rsidRPr="008401DD">
          <w:rPr>
            <w:rStyle w:val="Hyperlink"/>
            <w:rFonts w:cs="Arial"/>
            <w:szCs w:val="20"/>
          </w:rPr>
          <w:t>https://www.jica.go.jp/english/news/jbic_archive/autocontents/english/news/2003/000056/index.html</w:t>
        </w:r>
      </w:hyperlink>
      <w:r w:rsidR="00552FD8" w:rsidRPr="008401DD">
        <w:rPr>
          <w:rFonts w:cs="Arial"/>
          <w:szCs w:val="20"/>
        </w:rPr>
        <w:t>)</w:t>
      </w:r>
    </w:p>
    <w:p w14:paraId="0B362D78" w14:textId="40626055" w:rsidR="004E03B4" w:rsidRPr="008401DD" w:rsidRDefault="004E03B4" w:rsidP="00960E68">
      <w:pPr>
        <w:pStyle w:val="ListParagraph"/>
        <w:numPr>
          <w:ilvl w:val="0"/>
          <w:numId w:val="4"/>
        </w:numPr>
        <w:ind w:left="0" w:firstLine="0"/>
        <w:contextualSpacing w:val="0"/>
        <w:jc w:val="both"/>
        <w:rPr>
          <w:rFonts w:cs="Arial"/>
          <w:szCs w:val="20"/>
        </w:rPr>
      </w:pPr>
      <w:r w:rsidRPr="008401DD">
        <w:rPr>
          <w:rFonts w:cs="Arial"/>
          <w:szCs w:val="20"/>
        </w:rPr>
        <w:t xml:space="preserve">JICA – Ex-Post </w:t>
      </w:r>
      <w:proofErr w:type="spellStart"/>
      <w:r w:rsidRPr="008401DD">
        <w:rPr>
          <w:rFonts w:cs="Arial"/>
          <w:szCs w:val="20"/>
        </w:rPr>
        <w:t>Evaluation</w:t>
      </w:r>
      <w:proofErr w:type="spellEnd"/>
      <w:r w:rsidRPr="008401DD">
        <w:rPr>
          <w:rFonts w:cs="Arial"/>
          <w:szCs w:val="20"/>
        </w:rPr>
        <w:t xml:space="preserve"> </w:t>
      </w:r>
      <w:proofErr w:type="spellStart"/>
      <w:r w:rsidRPr="008401DD">
        <w:rPr>
          <w:rFonts w:cs="Arial"/>
          <w:szCs w:val="20"/>
        </w:rPr>
        <w:t>of</w:t>
      </w:r>
      <w:proofErr w:type="spellEnd"/>
      <w:r w:rsidRPr="008401DD">
        <w:rPr>
          <w:rFonts w:cs="Arial"/>
          <w:szCs w:val="20"/>
        </w:rPr>
        <w:t xml:space="preserve"> </w:t>
      </w:r>
      <w:proofErr w:type="spellStart"/>
      <w:r w:rsidRPr="008401DD">
        <w:rPr>
          <w:rFonts w:cs="Arial"/>
          <w:szCs w:val="20"/>
        </w:rPr>
        <w:t>Japanese</w:t>
      </w:r>
      <w:proofErr w:type="spellEnd"/>
      <w:r w:rsidRPr="008401DD">
        <w:rPr>
          <w:rFonts w:cs="Arial"/>
          <w:szCs w:val="20"/>
        </w:rPr>
        <w:t xml:space="preserve"> ODA </w:t>
      </w:r>
      <w:proofErr w:type="spellStart"/>
      <w:r w:rsidRPr="008401DD">
        <w:rPr>
          <w:rFonts w:cs="Arial"/>
          <w:szCs w:val="20"/>
        </w:rPr>
        <w:t>Loan</w:t>
      </w:r>
      <w:proofErr w:type="spellEnd"/>
      <w:r w:rsidRPr="008401DD">
        <w:rPr>
          <w:rFonts w:cs="Arial"/>
          <w:szCs w:val="20"/>
        </w:rPr>
        <w:t xml:space="preserve"> (</w:t>
      </w:r>
      <w:hyperlink r:id="rId19" w:history="1">
        <w:r w:rsidRPr="008401DD">
          <w:rPr>
            <w:rStyle w:val="Hyperlink"/>
            <w:rFonts w:cs="Arial"/>
            <w:szCs w:val="20"/>
          </w:rPr>
          <w:t>https://www2.jica.go.jp/en/evaluation/pdf/2014_MAC-P1_4.pdf</w:t>
        </w:r>
      </w:hyperlink>
      <w:r w:rsidRPr="008401DD">
        <w:rPr>
          <w:rFonts w:cs="Arial"/>
          <w:szCs w:val="20"/>
        </w:rPr>
        <w:t>)</w:t>
      </w:r>
    </w:p>
    <w:p w14:paraId="0F5D5A7B" w14:textId="77777777" w:rsidR="00783838" w:rsidRPr="008401DD" w:rsidRDefault="00783838"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Macedonia</w:t>
      </w:r>
      <w:proofErr w:type="spellEnd"/>
      <w:r w:rsidRPr="008401DD">
        <w:rPr>
          <w:rFonts w:cs="Arial"/>
          <w:szCs w:val="20"/>
        </w:rPr>
        <w:t xml:space="preserve"> </w:t>
      </w:r>
      <w:proofErr w:type="spellStart"/>
      <w:r w:rsidRPr="008401DD">
        <w:rPr>
          <w:rFonts w:cs="Arial"/>
          <w:szCs w:val="20"/>
        </w:rPr>
        <w:t>timeless</w:t>
      </w:r>
      <w:proofErr w:type="spellEnd"/>
      <w:r w:rsidRPr="008401DD">
        <w:rPr>
          <w:rFonts w:cs="Arial"/>
          <w:szCs w:val="20"/>
        </w:rPr>
        <w:t xml:space="preserve"> – </w:t>
      </w:r>
      <w:proofErr w:type="spellStart"/>
      <w:r w:rsidRPr="008401DD">
        <w:rPr>
          <w:rFonts w:cs="Arial"/>
          <w:szCs w:val="20"/>
        </w:rPr>
        <w:t>Probištip</w:t>
      </w:r>
      <w:proofErr w:type="spellEnd"/>
      <w:r w:rsidRPr="008401DD">
        <w:rPr>
          <w:rFonts w:cs="Arial"/>
          <w:szCs w:val="20"/>
        </w:rPr>
        <w:t xml:space="preserve"> (</w:t>
      </w:r>
      <w:hyperlink r:id="rId20" w:history="1">
        <w:r w:rsidRPr="008401DD">
          <w:rPr>
            <w:rStyle w:val="Hyperlink"/>
            <w:rFonts w:cs="Arial"/>
            <w:szCs w:val="20"/>
          </w:rPr>
          <w:t>https://www.macedonia-timeless.com/sol/mesta_inregije/mesta_slovenian/probitip_slovenian/</w:t>
        </w:r>
      </w:hyperlink>
      <w:r w:rsidRPr="008401DD">
        <w:rPr>
          <w:rFonts w:cs="Arial"/>
          <w:szCs w:val="20"/>
        </w:rPr>
        <w:t>)</w:t>
      </w:r>
    </w:p>
    <w:p w14:paraId="0B64E732" w14:textId="77777777" w:rsidR="00B119D0" w:rsidRPr="008401DD" w:rsidRDefault="00FF14A2" w:rsidP="00960E68">
      <w:pPr>
        <w:pStyle w:val="ListParagraph"/>
        <w:numPr>
          <w:ilvl w:val="0"/>
          <w:numId w:val="4"/>
        </w:numPr>
        <w:ind w:left="0" w:firstLine="0"/>
        <w:contextualSpacing w:val="0"/>
        <w:jc w:val="both"/>
        <w:rPr>
          <w:rFonts w:cs="Arial"/>
          <w:szCs w:val="20"/>
        </w:rPr>
      </w:pPr>
      <w:r w:rsidRPr="008401DD">
        <w:rPr>
          <w:rFonts w:cs="Arial"/>
          <w:szCs w:val="20"/>
        </w:rPr>
        <w:t>MZZ</w:t>
      </w:r>
      <w:r w:rsidR="00B119D0" w:rsidRPr="008401DD">
        <w:rPr>
          <w:rFonts w:cs="Arial"/>
          <w:szCs w:val="20"/>
        </w:rPr>
        <w:t xml:space="preserve"> – Veleposlaništvo Republike Slovenije v Skopju (</w:t>
      </w:r>
      <w:hyperlink r:id="rId21" w:history="1">
        <w:r w:rsidR="00B119D0" w:rsidRPr="008401DD">
          <w:rPr>
            <w:rStyle w:val="Hyperlink"/>
            <w:rFonts w:cs="Arial"/>
            <w:szCs w:val="20"/>
          </w:rPr>
          <w:t>http://www.skopje.veleposlanistvo.si/index.php?id=44</w:t>
        </w:r>
      </w:hyperlink>
      <w:r w:rsidR="00B119D0" w:rsidRPr="008401DD">
        <w:rPr>
          <w:rFonts w:cs="Arial"/>
          <w:szCs w:val="20"/>
        </w:rPr>
        <w:t>)</w:t>
      </w:r>
    </w:p>
    <w:p w14:paraId="390619B8" w14:textId="7B7673D9" w:rsidR="003E6701" w:rsidRPr="008401DD" w:rsidRDefault="003E6701"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OECD.Stat</w:t>
      </w:r>
      <w:proofErr w:type="spellEnd"/>
      <w:r w:rsidRPr="008401DD">
        <w:rPr>
          <w:rFonts w:cs="Arial"/>
          <w:szCs w:val="20"/>
        </w:rPr>
        <w:t xml:space="preserve"> (24.9.2020) – </w:t>
      </w:r>
      <w:proofErr w:type="spellStart"/>
      <w:r w:rsidRPr="008401DD">
        <w:rPr>
          <w:rFonts w:cs="Arial"/>
          <w:szCs w:val="20"/>
        </w:rPr>
        <w:t>Aid</w:t>
      </w:r>
      <w:proofErr w:type="spellEnd"/>
      <w:r w:rsidRPr="008401DD">
        <w:rPr>
          <w:rFonts w:cs="Arial"/>
          <w:szCs w:val="20"/>
        </w:rPr>
        <w:t xml:space="preserve"> (ODA) </w:t>
      </w:r>
      <w:proofErr w:type="spellStart"/>
      <w:r w:rsidRPr="008401DD">
        <w:rPr>
          <w:rFonts w:cs="Arial"/>
          <w:szCs w:val="20"/>
        </w:rPr>
        <w:t>disbursements</w:t>
      </w:r>
      <w:proofErr w:type="spellEnd"/>
      <w:r w:rsidRPr="008401DD">
        <w:rPr>
          <w:rFonts w:cs="Arial"/>
          <w:szCs w:val="20"/>
        </w:rPr>
        <w:t xml:space="preserve"> to </w:t>
      </w:r>
      <w:proofErr w:type="spellStart"/>
      <w:r w:rsidRPr="008401DD">
        <w:rPr>
          <w:rFonts w:cs="Arial"/>
          <w:szCs w:val="20"/>
        </w:rPr>
        <w:t>countries</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regions</w:t>
      </w:r>
      <w:proofErr w:type="spellEnd"/>
      <w:r w:rsidRPr="008401DD">
        <w:rPr>
          <w:rFonts w:cs="Arial"/>
          <w:szCs w:val="20"/>
        </w:rPr>
        <w:t xml:space="preserve"> (</w:t>
      </w:r>
      <w:r w:rsidRPr="008401DD">
        <w:rPr>
          <w:rStyle w:val="Hyperlink"/>
          <w:szCs w:val="20"/>
        </w:rPr>
        <w:t>http://www.oecd.org/dac/financing-sustainable-development/development-finance-data/aid-at-a-glance.htm</w:t>
      </w:r>
      <w:r w:rsidRPr="008401DD">
        <w:rPr>
          <w:rFonts w:cs="Arial"/>
          <w:szCs w:val="20"/>
        </w:rPr>
        <w:t xml:space="preserve">) </w:t>
      </w:r>
    </w:p>
    <w:p w14:paraId="3A15764B" w14:textId="77777777" w:rsidR="00B119D0" w:rsidRPr="008401DD" w:rsidRDefault="003E6701"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OECD.Stat</w:t>
      </w:r>
      <w:proofErr w:type="spellEnd"/>
      <w:r w:rsidRPr="008401DD">
        <w:rPr>
          <w:rFonts w:cs="Arial"/>
          <w:szCs w:val="20"/>
        </w:rPr>
        <w:t xml:space="preserve"> (24.9.2020) - </w:t>
      </w:r>
      <w:proofErr w:type="spellStart"/>
      <w:r w:rsidRPr="008401DD">
        <w:rPr>
          <w:rFonts w:cs="Arial"/>
          <w:szCs w:val="20"/>
        </w:rPr>
        <w:t>Aid</w:t>
      </w:r>
      <w:proofErr w:type="spellEnd"/>
      <w:r w:rsidRPr="008401DD">
        <w:rPr>
          <w:rFonts w:cs="Arial"/>
          <w:szCs w:val="20"/>
        </w:rPr>
        <w:t xml:space="preserve"> (ODA) </w:t>
      </w:r>
      <w:proofErr w:type="spellStart"/>
      <w:r w:rsidRPr="008401DD">
        <w:rPr>
          <w:rFonts w:cs="Arial"/>
          <w:szCs w:val="20"/>
        </w:rPr>
        <w:t>disbursements</w:t>
      </w:r>
      <w:proofErr w:type="spellEnd"/>
      <w:r w:rsidRPr="008401DD">
        <w:rPr>
          <w:rFonts w:cs="Arial"/>
          <w:szCs w:val="20"/>
        </w:rPr>
        <w:t xml:space="preserve"> to </w:t>
      </w:r>
      <w:proofErr w:type="spellStart"/>
      <w:r w:rsidRPr="008401DD">
        <w:rPr>
          <w:rFonts w:cs="Arial"/>
          <w:szCs w:val="20"/>
        </w:rPr>
        <w:t>countries</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regions</w:t>
      </w:r>
      <w:proofErr w:type="spellEnd"/>
      <w:r w:rsidRPr="008401DD">
        <w:rPr>
          <w:rFonts w:cs="Arial"/>
          <w:szCs w:val="20"/>
        </w:rPr>
        <w:t xml:space="preserve"> [DAC2a] (</w:t>
      </w:r>
      <w:hyperlink r:id="rId22" w:history="1">
        <w:r w:rsidRPr="008401DD">
          <w:rPr>
            <w:rStyle w:val="Hyperlink"/>
            <w:rFonts w:cs="Arial"/>
            <w:szCs w:val="20"/>
          </w:rPr>
          <w:t>https://stats.oecd.org/viewhtml.aspx?datasetcode=TABLE2A&amp;lang=en</w:t>
        </w:r>
      </w:hyperlink>
      <w:r w:rsidRPr="008401DD">
        <w:rPr>
          <w:rFonts w:cs="Arial"/>
          <w:szCs w:val="20"/>
        </w:rPr>
        <w:t>)</w:t>
      </w:r>
    </w:p>
    <w:p w14:paraId="6467FBE7" w14:textId="77777777" w:rsidR="00B119D0" w:rsidRPr="008401DD" w:rsidRDefault="00B119D0" w:rsidP="00960E68">
      <w:pPr>
        <w:pStyle w:val="ListParagraph"/>
        <w:numPr>
          <w:ilvl w:val="0"/>
          <w:numId w:val="4"/>
        </w:numPr>
        <w:ind w:left="0" w:firstLine="0"/>
        <w:contextualSpacing w:val="0"/>
        <w:jc w:val="both"/>
        <w:rPr>
          <w:rFonts w:cs="Arial"/>
          <w:szCs w:val="20"/>
        </w:rPr>
      </w:pPr>
      <w:r w:rsidRPr="008401DD">
        <w:rPr>
          <w:rFonts w:cs="Arial"/>
          <w:szCs w:val="20"/>
        </w:rPr>
        <w:t xml:space="preserve">OECD – </w:t>
      </w:r>
      <w:proofErr w:type="spellStart"/>
      <w:r w:rsidRPr="008401DD">
        <w:rPr>
          <w:rFonts w:cs="Arial"/>
          <w:szCs w:val="20"/>
        </w:rPr>
        <w:t>Development</w:t>
      </w:r>
      <w:proofErr w:type="spellEnd"/>
      <w:r w:rsidRPr="008401DD">
        <w:rPr>
          <w:rFonts w:cs="Arial"/>
          <w:szCs w:val="20"/>
        </w:rPr>
        <w:t xml:space="preserve"> </w:t>
      </w:r>
      <w:proofErr w:type="spellStart"/>
      <w:r w:rsidRPr="008401DD">
        <w:rPr>
          <w:rFonts w:cs="Arial"/>
          <w:szCs w:val="20"/>
        </w:rPr>
        <w:t>aid</w:t>
      </w:r>
      <w:proofErr w:type="spellEnd"/>
      <w:r w:rsidRPr="008401DD">
        <w:rPr>
          <w:rFonts w:cs="Arial"/>
          <w:szCs w:val="20"/>
        </w:rPr>
        <w:t xml:space="preserve"> at a </w:t>
      </w:r>
      <w:proofErr w:type="spellStart"/>
      <w:r w:rsidRPr="008401DD">
        <w:rPr>
          <w:rFonts w:cs="Arial"/>
          <w:szCs w:val="20"/>
        </w:rPr>
        <w:t>glance</w:t>
      </w:r>
      <w:proofErr w:type="spellEnd"/>
      <w:r w:rsidRPr="008401DD">
        <w:rPr>
          <w:rFonts w:cs="Arial"/>
          <w:szCs w:val="20"/>
        </w:rPr>
        <w:t xml:space="preserve">, </w:t>
      </w:r>
      <w:proofErr w:type="spellStart"/>
      <w:r w:rsidRPr="008401DD">
        <w:rPr>
          <w:rFonts w:cs="Arial"/>
          <w:szCs w:val="20"/>
        </w:rPr>
        <w:t>Europe</w:t>
      </w:r>
      <w:proofErr w:type="spellEnd"/>
      <w:r w:rsidRPr="008401DD">
        <w:rPr>
          <w:rFonts w:cs="Arial"/>
          <w:szCs w:val="20"/>
        </w:rPr>
        <w:t xml:space="preserve">, 2019 </w:t>
      </w:r>
      <w:proofErr w:type="spellStart"/>
      <w:r w:rsidRPr="008401DD">
        <w:rPr>
          <w:rFonts w:cs="Arial"/>
          <w:szCs w:val="20"/>
        </w:rPr>
        <w:t>edition</w:t>
      </w:r>
      <w:proofErr w:type="spellEnd"/>
      <w:r w:rsidRPr="008401DD">
        <w:rPr>
          <w:rFonts w:cs="Arial"/>
          <w:szCs w:val="20"/>
        </w:rPr>
        <w:t xml:space="preserve"> (</w:t>
      </w:r>
      <w:hyperlink r:id="rId23" w:history="1">
        <w:r w:rsidRPr="008401DD">
          <w:rPr>
            <w:rStyle w:val="Hyperlink"/>
            <w:rFonts w:cs="Arial"/>
            <w:szCs w:val="20"/>
          </w:rPr>
          <w:t>http://www.oecd.org/dac/financing-sustainable-development/development-finance-data/Europe-Development-Aid-at-a-Glance-2019.pdf</w:t>
        </w:r>
      </w:hyperlink>
      <w:r w:rsidRPr="008401DD">
        <w:rPr>
          <w:rFonts w:cs="Arial"/>
          <w:szCs w:val="20"/>
        </w:rPr>
        <w:t>)</w:t>
      </w:r>
    </w:p>
    <w:p w14:paraId="0437B2E6" w14:textId="77777777" w:rsidR="00B95024" w:rsidRPr="008401DD" w:rsidRDefault="00FF14A2" w:rsidP="00960E68">
      <w:pPr>
        <w:pStyle w:val="ListParagraph"/>
        <w:numPr>
          <w:ilvl w:val="0"/>
          <w:numId w:val="4"/>
        </w:numPr>
        <w:ind w:left="0" w:firstLine="0"/>
        <w:contextualSpacing w:val="0"/>
        <w:jc w:val="both"/>
        <w:rPr>
          <w:rFonts w:cs="Arial"/>
          <w:szCs w:val="20"/>
        </w:rPr>
      </w:pPr>
      <w:r w:rsidRPr="008401DD">
        <w:rPr>
          <w:rFonts w:cs="Arial"/>
          <w:szCs w:val="20"/>
        </w:rPr>
        <w:t>SPIRIT Izvozno okno – Severna Makedonija (</w:t>
      </w:r>
      <w:hyperlink r:id="rId24" w:history="1">
        <w:r w:rsidR="00B95024" w:rsidRPr="008401DD">
          <w:rPr>
            <w:rStyle w:val="Hyperlink"/>
            <w:rFonts w:cs="Arial"/>
            <w:szCs w:val="20"/>
          </w:rPr>
          <w:t>https://www.izvoznookno.si/drzave/severna-makedonija/pregled-gospodarskih-gibanj/</w:t>
        </w:r>
      </w:hyperlink>
      <w:r w:rsidRPr="008401DD">
        <w:rPr>
          <w:rFonts w:cs="Arial"/>
          <w:szCs w:val="20"/>
        </w:rPr>
        <w:t>)</w:t>
      </w:r>
    </w:p>
    <w:p w14:paraId="39A36A4F" w14:textId="77777777" w:rsidR="00B457F3" w:rsidRPr="008401DD" w:rsidRDefault="00436A04"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Switzerland</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00B95024" w:rsidRPr="008401DD">
        <w:rPr>
          <w:rFonts w:cs="Arial"/>
          <w:szCs w:val="20"/>
        </w:rPr>
        <w:t xml:space="preserve"> – </w:t>
      </w:r>
      <w:proofErr w:type="spellStart"/>
      <w:r w:rsidR="00B95024" w:rsidRPr="008401DD">
        <w:rPr>
          <w:rFonts w:cs="Arial"/>
          <w:szCs w:val="20"/>
        </w:rPr>
        <w:t>International</w:t>
      </w:r>
      <w:proofErr w:type="spellEnd"/>
      <w:r w:rsidR="00B95024" w:rsidRPr="008401DD">
        <w:rPr>
          <w:rFonts w:cs="Arial"/>
          <w:szCs w:val="20"/>
        </w:rPr>
        <w:t xml:space="preserve"> </w:t>
      </w:r>
      <w:proofErr w:type="spellStart"/>
      <w:r w:rsidR="00B95024" w:rsidRPr="008401DD">
        <w:rPr>
          <w:rFonts w:cs="Arial"/>
          <w:szCs w:val="20"/>
        </w:rPr>
        <w:t>cooperation</w:t>
      </w:r>
      <w:proofErr w:type="spellEnd"/>
      <w:r w:rsidR="00B95024" w:rsidRPr="008401DD">
        <w:rPr>
          <w:rFonts w:cs="Arial"/>
          <w:szCs w:val="20"/>
        </w:rPr>
        <w:t xml:space="preserve"> (</w:t>
      </w:r>
      <w:hyperlink r:id="rId25" w:history="1">
        <w:r w:rsidR="00B95024" w:rsidRPr="008401DD">
          <w:rPr>
            <w:rStyle w:val="Hyperlink"/>
            <w:rFonts w:cs="Arial"/>
            <w:szCs w:val="20"/>
          </w:rPr>
          <w:t>https://www.eda.admin.ch/countries/north-macedonia/en/home/international-cooperation.html</w:t>
        </w:r>
      </w:hyperlink>
      <w:r w:rsidR="00B95024" w:rsidRPr="008401DD">
        <w:rPr>
          <w:rFonts w:cs="Arial"/>
          <w:szCs w:val="20"/>
        </w:rPr>
        <w:t>)</w:t>
      </w:r>
    </w:p>
    <w:p w14:paraId="4744012A" w14:textId="18766FED" w:rsidR="00B457F3" w:rsidRPr="008401DD" w:rsidRDefault="00B457F3"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Swiss</w:t>
      </w:r>
      <w:proofErr w:type="spellEnd"/>
      <w:r w:rsidRPr="008401DD">
        <w:rPr>
          <w:rFonts w:cs="Arial"/>
          <w:szCs w:val="20"/>
        </w:rPr>
        <w:t xml:space="preserve"> </w:t>
      </w:r>
      <w:proofErr w:type="spellStart"/>
      <w:r w:rsidRPr="008401DD">
        <w:rPr>
          <w:rFonts w:cs="Arial"/>
          <w:szCs w:val="20"/>
        </w:rPr>
        <w:t>official</w:t>
      </w:r>
      <w:proofErr w:type="spellEnd"/>
      <w:r w:rsidRPr="008401DD">
        <w:rPr>
          <w:rFonts w:cs="Arial"/>
          <w:szCs w:val="20"/>
        </w:rPr>
        <w:t xml:space="preserve"> </w:t>
      </w:r>
      <w:proofErr w:type="spellStart"/>
      <w:r w:rsidRPr="008401DD">
        <w:rPr>
          <w:rFonts w:cs="Arial"/>
          <w:szCs w:val="20"/>
        </w:rPr>
        <w:t>development</w:t>
      </w:r>
      <w:proofErr w:type="spellEnd"/>
      <w:r w:rsidRPr="008401DD">
        <w:rPr>
          <w:rFonts w:cs="Arial"/>
          <w:szCs w:val="20"/>
        </w:rPr>
        <w:t xml:space="preserve"> </w:t>
      </w:r>
      <w:proofErr w:type="spellStart"/>
      <w:r w:rsidRPr="008401DD">
        <w:rPr>
          <w:rFonts w:cs="Arial"/>
          <w:szCs w:val="20"/>
        </w:rPr>
        <w:t>assistance</w:t>
      </w:r>
      <w:proofErr w:type="spellEnd"/>
      <w:r w:rsidRPr="008401DD">
        <w:rPr>
          <w:rFonts w:cs="Arial"/>
          <w:szCs w:val="20"/>
        </w:rPr>
        <w:t xml:space="preserve"> (</w:t>
      </w:r>
      <w:hyperlink r:id="rId26" w:history="1">
        <w:r w:rsidRPr="008401DD">
          <w:rPr>
            <w:rStyle w:val="Hyperlink"/>
            <w:rFonts w:cs="Arial"/>
            <w:szCs w:val="20"/>
          </w:rPr>
          <w:t>https://www.eda.admin.ch/deza/en/home/activities-projects/figures-statistics/swiss-oda.html</w:t>
        </w:r>
      </w:hyperlink>
      <w:r w:rsidRPr="008401DD">
        <w:rPr>
          <w:rFonts w:cs="Arial"/>
          <w:szCs w:val="20"/>
        </w:rPr>
        <w:t xml:space="preserve">) </w:t>
      </w:r>
    </w:p>
    <w:p w14:paraId="38F0B77B" w14:textId="77777777" w:rsidR="00105C36" w:rsidRPr="008401DD" w:rsidRDefault="003E6701"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United</w:t>
      </w:r>
      <w:proofErr w:type="spellEnd"/>
      <w:r w:rsidRPr="008401DD">
        <w:rPr>
          <w:rFonts w:cs="Arial"/>
          <w:szCs w:val="20"/>
        </w:rPr>
        <w:t xml:space="preserve"> </w:t>
      </w:r>
      <w:proofErr w:type="spellStart"/>
      <w:r w:rsidRPr="008401DD">
        <w:rPr>
          <w:rFonts w:cs="Arial"/>
          <w:szCs w:val="20"/>
        </w:rPr>
        <w:t>Nations</w:t>
      </w:r>
      <w:proofErr w:type="spellEnd"/>
      <w:r w:rsidRPr="008401DD">
        <w:rPr>
          <w:rFonts w:cs="Arial"/>
          <w:szCs w:val="20"/>
        </w:rPr>
        <w:t xml:space="preserve"> (24.9.2020) – </w:t>
      </w:r>
      <w:proofErr w:type="spellStart"/>
      <w:r w:rsidRPr="008401DD">
        <w:rPr>
          <w:rFonts w:cs="Arial"/>
          <w:szCs w:val="20"/>
        </w:rPr>
        <w:t>United</w:t>
      </w:r>
      <w:proofErr w:type="spellEnd"/>
      <w:r w:rsidRPr="008401DD">
        <w:rPr>
          <w:rFonts w:cs="Arial"/>
          <w:szCs w:val="20"/>
        </w:rPr>
        <w:t xml:space="preserve"> </w:t>
      </w:r>
      <w:proofErr w:type="spellStart"/>
      <w:r w:rsidRPr="008401DD">
        <w:rPr>
          <w:rFonts w:cs="Arial"/>
          <w:szCs w:val="20"/>
        </w:rPr>
        <w:t>Nations</w:t>
      </w:r>
      <w:proofErr w:type="spellEnd"/>
      <w:r w:rsidRPr="008401DD">
        <w:rPr>
          <w:rFonts w:cs="Arial"/>
          <w:szCs w:val="20"/>
        </w:rPr>
        <w:t xml:space="preserve"> in </w:t>
      </w:r>
      <w:proofErr w:type="spellStart"/>
      <w:r w:rsidRPr="008401DD">
        <w:rPr>
          <w:rFonts w:cs="Arial"/>
          <w:szCs w:val="20"/>
        </w:rPr>
        <w:t>the</w:t>
      </w:r>
      <w:proofErr w:type="spellEnd"/>
      <w:r w:rsidRPr="008401DD">
        <w:rPr>
          <w:rFonts w:cs="Arial"/>
          <w:szCs w:val="20"/>
        </w:rPr>
        <w:t xml:space="preserve"> </w:t>
      </w:r>
      <w:proofErr w:type="spellStart"/>
      <w:r w:rsidRPr="008401DD">
        <w:rPr>
          <w:rFonts w:cs="Arial"/>
          <w:szCs w:val="20"/>
        </w:rPr>
        <w:t>Republic</w:t>
      </w:r>
      <w:proofErr w:type="spellEnd"/>
      <w:r w:rsidRPr="008401DD">
        <w:rPr>
          <w:rFonts w:cs="Arial"/>
          <w:szCs w:val="20"/>
        </w:rPr>
        <w:t xml:space="preserve"> </w:t>
      </w:r>
      <w:proofErr w:type="spellStart"/>
      <w:r w:rsidRPr="008401DD">
        <w:rPr>
          <w:rFonts w:cs="Arial"/>
          <w:szCs w:val="20"/>
        </w:rPr>
        <w:t>of</w:t>
      </w:r>
      <w:proofErr w:type="spellEnd"/>
      <w:r w:rsidRPr="008401DD">
        <w:rPr>
          <w:rFonts w:cs="Arial"/>
          <w:szCs w:val="20"/>
        </w:rPr>
        <w:t xml:space="preserve">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w:t>
      </w:r>
      <w:hyperlink r:id="rId27" w:history="1">
        <w:r w:rsidRPr="008401DD">
          <w:rPr>
            <w:rStyle w:val="Hyperlink"/>
            <w:rFonts w:cs="Arial"/>
            <w:szCs w:val="20"/>
          </w:rPr>
          <w:t>https://un.mk/</w:t>
        </w:r>
      </w:hyperlink>
      <w:r w:rsidRPr="008401DD">
        <w:rPr>
          <w:rFonts w:cs="Arial"/>
          <w:szCs w:val="20"/>
        </w:rPr>
        <w:t>)</w:t>
      </w:r>
    </w:p>
    <w:p w14:paraId="05BBCE3E" w14:textId="77777777" w:rsidR="00105C36" w:rsidRPr="008401DD" w:rsidRDefault="00105C36" w:rsidP="00960E68">
      <w:pPr>
        <w:pStyle w:val="ListParagraph"/>
        <w:numPr>
          <w:ilvl w:val="0"/>
          <w:numId w:val="4"/>
        </w:numPr>
        <w:ind w:left="0" w:firstLine="0"/>
        <w:contextualSpacing w:val="0"/>
        <w:jc w:val="both"/>
        <w:rPr>
          <w:rFonts w:cs="Arial"/>
          <w:szCs w:val="20"/>
        </w:rPr>
      </w:pPr>
      <w:r w:rsidRPr="008401DD">
        <w:rPr>
          <w:rFonts w:cs="Arial"/>
          <w:szCs w:val="20"/>
        </w:rPr>
        <w:t xml:space="preserve">UNDP – </w:t>
      </w:r>
      <w:proofErr w:type="spellStart"/>
      <w:r w:rsidRPr="008401DD">
        <w:rPr>
          <w:rFonts w:cs="Arial"/>
          <w:szCs w:val="20"/>
        </w:rPr>
        <w:t>Republic</w:t>
      </w:r>
      <w:proofErr w:type="spellEnd"/>
      <w:r w:rsidRPr="008401DD">
        <w:rPr>
          <w:rFonts w:cs="Arial"/>
          <w:szCs w:val="20"/>
        </w:rPr>
        <w:t xml:space="preserve"> </w:t>
      </w:r>
      <w:proofErr w:type="spellStart"/>
      <w:r w:rsidRPr="008401DD">
        <w:rPr>
          <w:rFonts w:cs="Arial"/>
          <w:szCs w:val="20"/>
        </w:rPr>
        <w:t>of</w:t>
      </w:r>
      <w:proofErr w:type="spellEnd"/>
      <w:r w:rsidRPr="008401DD">
        <w:rPr>
          <w:rFonts w:cs="Arial"/>
          <w:szCs w:val="20"/>
        </w:rPr>
        <w:t xml:space="preserve">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w:t>
      </w:r>
      <w:proofErr w:type="spellStart"/>
      <w:r w:rsidRPr="008401DD">
        <w:rPr>
          <w:rFonts w:cs="Arial"/>
          <w:szCs w:val="20"/>
        </w:rPr>
        <w:t>funding</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delivery</w:t>
      </w:r>
      <w:proofErr w:type="spellEnd"/>
      <w:r w:rsidRPr="008401DD">
        <w:rPr>
          <w:rFonts w:cs="Arial"/>
          <w:szCs w:val="20"/>
        </w:rPr>
        <w:t xml:space="preserve"> (</w:t>
      </w:r>
      <w:hyperlink r:id="rId28" w:history="1">
        <w:r w:rsidRPr="008401DD">
          <w:rPr>
            <w:rStyle w:val="Hyperlink"/>
            <w:rFonts w:cs="Arial"/>
            <w:szCs w:val="20"/>
          </w:rPr>
          <w:t>https://www.mk.undp.org/content/north-macedonia/en/home/about-us/funding-and-delivery.html</w:t>
        </w:r>
      </w:hyperlink>
      <w:r w:rsidRPr="008401DD">
        <w:rPr>
          <w:rFonts w:cs="Arial"/>
          <w:szCs w:val="20"/>
        </w:rPr>
        <w:t>)</w:t>
      </w:r>
    </w:p>
    <w:p w14:paraId="10E3CADC" w14:textId="77777777" w:rsidR="00B95024" w:rsidRPr="008401DD" w:rsidRDefault="00B119D0" w:rsidP="00960E68">
      <w:pPr>
        <w:pStyle w:val="ListParagraph"/>
        <w:numPr>
          <w:ilvl w:val="0"/>
          <w:numId w:val="4"/>
        </w:numPr>
        <w:ind w:left="0" w:firstLine="0"/>
        <w:contextualSpacing w:val="0"/>
        <w:jc w:val="both"/>
        <w:rPr>
          <w:rFonts w:cs="Arial"/>
          <w:szCs w:val="20"/>
        </w:rPr>
      </w:pPr>
      <w:r w:rsidRPr="008401DD">
        <w:rPr>
          <w:rFonts w:cs="Arial"/>
          <w:szCs w:val="20"/>
        </w:rPr>
        <w:t>Uradni list</w:t>
      </w:r>
      <w:r w:rsidR="0068734F" w:rsidRPr="008401DD">
        <w:rPr>
          <w:rFonts w:cs="Arial"/>
          <w:szCs w:val="20"/>
        </w:rPr>
        <w:t xml:space="preserve"> </w:t>
      </w:r>
      <w:r w:rsidRPr="008401DD">
        <w:rPr>
          <w:rFonts w:cs="Arial"/>
          <w:szCs w:val="20"/>
        </w:rPr>
        <w:t>- 67. Zakon o ratifikaciji Sporazuma med Vlado Republike Slovenije in Vlado Republike Makedonije o razvojnem sodelovanju (BMKRS), stran 1007. (</w:t>
      </w:r>
      <w:hyperlink r:id="rId29" w:anchor="Cilji" w:history="1">
        <w:r w:rsidRPr="008401DD">
          <w:rPr>
            <w:rStyle w:val="Hyperlink"/>
            <w:rFonts w:cs="Arial"/>
            <w:szCs w:val="20"/>
          </w:rPr>
          <w:t>https://www.uradni-list.si/glasilo-uradni-list-rs/vsebina/2006-02-0067/#Cilji</w:t>
        </w:r>
      </w:hyperlink>
      <w:r w:rsidRPr="008401DD">
        <w:rPr>
          <w:rFonts w:cs="Arial"/>
          <w:szCs w:val="20"/>
        </w:rPr>
        <w:t>)</w:t>
      </w:r>
    </w:p>
    <w:p w14:paraId="50E74B27" w14:textId="77777777" w:rsidR="00B0333E" w:rsidRPr="008401DD" w:rsidRDefault="00B95024" w:rsidP="00960E68">
      <w:pPr>
        <w:pStyle w:val="ListParagraph"/>
        <w:numPr>
          <w:ilvl w:val="0"/>
          <w:numId w:val="4"/>
        </w:numPr>
        <w:ind w:left="0" w:firstLine="0"/>
        <w:contextualSpacing w:val="0"/>
        <w:jc w:val="both"/>
        <w:rPr>
          <w:rFonts w:cs="Arial"/>
          <w:szCs w:val="20"/>
        </w:rPr>
      </w:pPr>
      <w:r w:rsidRPr="008401DD">
        <w:rPr>
          <w:rFonts w:cs="Arial"/>
          <w:szCs w:val="20"/>
        </w:rPr>
        <w:t xml:space="preserve">U.S. </w:t>
      </w:r>
      <w:proofErr w:type="spellStart"/>
      <w:r w:rsidRPr="008401DD">
        <w:rPr>
          <w:rFonts w:cs="Arial"/>
          <w:szCs w:val="20"/>
        </w:rPr>
        <w:t>Department</w:t>
      </w:r>
      <w:proofErr w:type="spellEnd"/>
      <w:r w:rsidRPr="008401DD">
        <w:rPr>
          <w:rFonts w:cs="Arial"/>
          <w:szCs w:val="20"/>
        </w:rPr>
        <w:t xml:space="preserve"> </w:t>
      </w:r>
      <w:proofErr w:type="spellStart"/>
      <w:r w:rsidRPr="008401DD">
        <w:rPr>
          <w:rFonts w:cs="Arial"/>
          <w:szCs w:val="20"/>
        </w:rPr>
        <w:t>of</w:t>
      </w:r>
      <w:proofErr w:type="spellEnd"/>
      <w:r w:rsidRPr="008401DD">
        <w:rPr>
          <w:rFonts w:cs="Arial"/>
          <w:szCs w:val="20"/>
        </w:rPr>
        <w:t xml:space="preserve"> </w:t>
      </w:r>
      <w:proofErr w:type="spellStart"/>
      <w:r w:rsidRPr="008401DD">
        <w:rPr>
          <w:rFonts w:cs="Arial"/>
          <w:szCs w:val="20"/>
        </w:rPr>
        <w:t>State</w:t>
      </w:r>
      <w:proofErr w:type="spellEnd"/>
      <w:r w:rsidRPr="008401DD">
        <w:rPr>
          <w:rFonts w:cs="Arial"/>
          <w:szCs w:val="20"/>
        </w:rPr>
        <w:t xml:space="preserve"> – U.S. </w:t>
      </w:r>
      <w:proofErr w:type="spellStart"/>
      <w:r w:rsidRPr="008401DD">
        <w:rPr>
          <w:rFonts w:cs="Arial"/>
          <w:szCs w:val="20"/>
        </w:rPr>
        <w:t>Relations</w:t>
      </w:r>
      <w:proofErr w:type="spellEnd"/>
      <w:r w:rsidRPr="008401DD">
        <w:rPr>
          <w:rFonts w:cs="Arial"/>
          <w:szCs w:val="20"/>
        </w:rPr>
        <w:t xml:space="preserve"> </w:t>
      </w:r>
      <w:proofErr w:type="spellStart"/>
      <w:r w:rsidRPr="008401DD">
        <w:rPr>
          <w:rFonts w:cs="Arial"/>
          <w:szCs w:val="20"/>
        </w:rPr>
        <w:t>With</w:t>
      </w:r>
      <w:proofErr w:type="spellEnd"/>
      <w:r w:rsidRPr="008401DD">
        <w:rPr>
          <w:rFonts w:cs="Arial"/>
          <w:szCs w:val="20"/>
        </w:rPr>
        <w:t xml:space="preserve">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w:t>
      </w:r>
      <w:hyperlink r:id="rId30" w:history="1">
        <w:r w:rsidRPr="008401DD">
          <w:rPr>
            <w:rStyle w:val="Hyperlink"/>
            <w:rFonts w:cs="Arial"/>
            <w:szCs w:val="20"/>
          </w:rPr>
          <w:t>https://www.state.gov/u-s-relations-with-macedonia/</w:t>
        </w:r>
      </w:hyperlink>
      <w:r w:rsidRPr="008401DD">
        <w:rPr>
          <w:rFonts w:cs="Arial"/>
          <w:szCs w:val="20"/>
        </w:rPr>
        <w:t>)</w:t>
      </w:r>
    </w:p>
    <w:p w14:paraId="7FE43D19" w14:textId="1813F694" w:rsidR="00B0333E" w:rsidRPr="008401DD" w:rsidRDefault="00B0333E" w:rsidP="00960E68">
      <w:pPr>
        <w:pStyle w:val="ListParagraph"/>
        <w:numPr>
          <w:ilvl w:val="0"/>
          <w:numId w:val="4"/>
        </w:numPr>
        <w:ind w:left="0" w:firstLine="0"/>
        <w:contextualSpacing w:val="0"/>
        <w:jc w:val="both"/>
        <w:rPr>
          <w:rFonts w:cs="Arial"/>
          <w:szCs w:val="20"/>
        </w:rPr>
      </w:pPr>
      <w:r w:rsidRPr="008401DD">
        <w:rPr>
          <w:rFonts w:cs="Arial"/>
          <w:szCs w:val="20"/>
        </w:rPr>
        <w:t>Vlada Republike Slovenije – Okvirni program mednarodnega razvojnega sodelovanja in humanitarne pomoči Republike Slovenije v letih 2011 in 2012 (</w:t>
      </w:r>
      <w:hyperlink r:id="rId31" w:history="1">
        <w:r w:rsidRPr="008401DD">
          <w:rPr>
            <w:rStyle w:val="Hyperlink"/>
            <w:rFonts w:cs="Arial"/>
            <w:szCs w:val="20"/>
          </w:rPr>
          <w:t>http://mzz.arhiv-spletisc.gov.si/fileadmin/pageuploads/Zunanja_politika/ZDH/Zakoni_in_dokumenti/Okvirni_program_11-12.pdf</w:t>
        </w:r>
      </w:hyperlink>
    </w:p>
    <w:p w14:paraId="6AAB8A36" w14:textId="77777777" w:rsidR="0068734F" w:rsidRPr="008401DD" w:rsidRDefault="0068734F" w:rsidP="00960E68">
      <w:pPr>
        <w:pStyle w:val="ListParagraph"/>
        <w:numPr>
          <w:ilvl w:val="0"/>
          <w:numId w:val="4"/>
        </w:numPr>
        <w:ind w:left="0" w:firstLine="0"/>
        <w:contextualSpacing w:val="0"/>
        <w:jc w:val="both"/>
        <w:rPr>
          <w:rFonts w:cs="Arial"/>
          <w:szCs w:val="20"/>
        </w:rPr>
      </w:pPr>
      <w:proofErr w:type="spellStart"/>
      <w:r w:rsidRPr="008401DD">
        <w:rPr>
          <w:rFonts w:cs="Arial"/>
          <w:szCs w:val="20"/>
        </w:rPr>
        <w:t>World</w:t>
      </w:r>
      <w:proofErr w:type="spellEnd"/>
      <w:r w:rsidRPr="008401DD">
        <w:rPr>
          <w:rFonts w:cs="Arial"/>
          <w:szCs w:val="20"/>
        </w:rPr>
        <w:t xml:space="preserve"> bank - Net </w:t>
      </w:r>
      <w:proofErr w:type="spellStart"/>
      <w:r w:rsidRPr="008401DD">
        <w:rPr>
          <w:rFonts w:cs="Arial"/>
          <w:szCs w:val="20"/>
        </w:rPr>
        <w:t>official</w:t>
      </w:r>
      <w:proofErr w:type="spellEnd"/>
      <w:r w:rsidRPr="008401DD">
        <w:rPr>
          <w:rFonts w:cs="Arial"/>
          <w:szCs w:val="20"/>
        </w:rPr>
        <w:t xml:space="preserve"> </w:t>
      </w:r>
      <w:proofErr w:type="spellStart"/>
      <w:r w:rsidRPr="008401DD">
        <w:rPr>
          <w:rFonts w:cs="Arial"/>
          <w:szCs w:val="20"/>
        </w:rPr>
        <w:t>development</w:t>
      </w:r>
      <w:proofErr w:type="spellEnd"/>
      <w:r w:rsidRPr="008401DD">
        <w:rPr>
          <w:rFonts w:cs="Arial"/>
          <w:szCs w:val="20"/>
        </w:rPr>
        <w:t xml:space="preserve"> </w:t>
      </w:r>
      <w:proofErr w:type="spellStart"/>
      <w:r w:rsidRPr="008401DD">
        <w:rPr>
          <w:rFonts w:cs="Arial"/>
          <w:szCs w:val="20"/>
        </w:rPr>
        <w:t>assistance</w:t>
      </w:r>
      <w:proofErr w:type="spellEnd"/>
      <w:r w:rsidRPr="008401DD">
        <w:rPr>
          <w:rFonts w:cs="Arial"/>
          <w:szCs w:val="20"/>
        </w:rPr>
        <w:t xml:space="preserve"> </w:t>
      </w:r>
      <w:proofErr w:type="spellStart"/>
      <w:r w:rsidRPr="008401DD">
        <w:rPr>
          <w:rFonts w:cs="Arial"/>
          <w:szCs w:val="20"/>
        </w:rPr>
        <w:t>received</w:t>
      </w:r>
      <w:proofErr w:type="spellEnd"/>
      <w:r w:rsidRPr="008401DD">
        <w:rPr>
          <w:rFonts w:cs="Arial"/>
          <w:szCs w:val="20"/>
        </w:rPr>
        <w:t xml:space="preserve"> (</w:t>
      </w:r>
      <w:proofErr w:type="spellStart"/>
      <w:r w:rsidRPr="008401DD">
        <w:rPr>
          <w:rFonts w:cs="Arial"/>
          <w:szCs w:val="20"/>
        </w:rPr>
        <w:t>current</w:t>
      </w:r>
      <w:proofErr w:type="spellEnd"/>
      <w:r w:rsidRPr="008401DD">
        <w:rPr>
          <w:rFonts w:cs="Arial"/>
          <w:szCs w:val="20"/>
        </w:rPr>
        <w:t xml:space="preserve"> US$) - </w:t>
      </w:r>
      <w:proofErr w:type="spellStart"/>
      <w:r w:rsidRPr="008401DD">
        <w:rPr>
          <w:rFonts w:cs="Arial"/>
          <w:szCs w:val="20"/>
        </w:rPr>
        <w:t>North</w:t>
      </w:r>
      <w:proofErr w:type="spellEnd"/>
      <w:r w:rsidRPr="008401DD">
        <w:rPr>
          <w:rFonts w:cs="Arial"/>
          <w:szCs w:val="20"/>
        </w:rPr>
        <w:t xml:space="preserve"> </w:t>
      </w:r>
      <w:proofErr w:type="spellStart"/>
      <w:r w:rsidRPr="008401DD">
        <w:rPr>
          <w:rFonts w:cs="Arial"/>
          <w:szCs w:val="20"/>
        </w:rPr>
        <w:t>Macedonia</w:t>
      </w:r>
      <w:proofErr w:type="spellEnd"/>
      <w:r w:rsidRPr="008401DD">
        <w:rPr>
          <w:rFonts w:cs="Arial"/>
          <w:szCs w:val="20"/>
        </w:rPr>
        <w:t xml:space="preserve"> (</w:t>
      </w:r>
      <w:hyperlink r:id="rId32" w:history="1">
        <w:r w:rsidRPr="008401DD">
          <w:rPr>
            <w:rStyle w:val="Hyperlink"/>
            <w:rFonts w:cs="Arial"/>
            <w:szCs w:val="20"/>
          </w:rPr>
          <w:t>https://data.worldbank.org/indicator/DT.ODA.ODAT.CD?end=2018&amp;locations=MK&amp;start=1993&amp;view=chart</w:t>
        </w:r>
      </w:hyperlink>
      <w:r w:rsidRPr="008401DD">
        <w:rPr>
          <w:rFonts w:cs="Arial"/>
          <w:szCs w:val="20"/>
        </w:rPr>
        <w:t>)</w:t>
      </w:r>
    </w:p>
    <w:p w14:paraId="51E226DD" w14:textId="77777777" w:rsidR="00B119D0" w:rsidRPr="008401DD" w:rsidRDefault="00B119D0" w:rsidP="00960E68">
      <w:pPr>
        <w:pStyle w:val="ListParagraph"/>
        <w:ind w:left="1004"/>
        <w:contextualSpacing w:val="0"/>
        <w:jc w:val="both"/>
        <w:rPr>
          <w:rFonts w:cs="Arial"/>
          <w:szCs w:val="20"/>
        </w:rPr>
      </w:pPr>
    </w:p>
    <w:p w14:paraId="6BF9BFAE" w14:textId="77777777" w:rsidR="003E6701" w:rsidRPr="008401DD" w:rsidRDefault="003E6701" w:rsidP="00960E68"/>
    <w:p w14:paraId="673B566B" w14:textId="77777777" w:rsidR="006126E9" w:rsidRPr="008401DD" w:rsidRDefault="006126E9" w:rsidP="00960E68">
      <w:pPr>
        <w:spacing w:line="276" w:lineRule="auto"/>
        <w:jc w:val="both"/>
      </w:pPr>
    </w:p>
    <w:p w14:paraId="615884CD" w14:textId="77777777" w:rsidR="000A1AF3" w:rsidRDefault="000A1AF3">
      <w:pPr>
        <w:spacing w:after="160"/>
        <w:rPr>
          <w:rFonts w:eastAsiaTheme="majorEastAsia" w:cs="Arial"/>
          <w:b/>
          <w:color w:val="1B75BC"/>
          <w:sz w:val="36"/>
          <w:szCs w:val="32"/>
        </w:rPr>
      </w:pPr>
      <w:r>
        <w:br w:type="page"/>
      </w:r>
    </w:p>
    <w:p w14:paraId="6A6F2966" w14:textId="12E7CAB7" w:rsidR="007C22DE" w:rsidRPr="008401DD" w:rsidRDefault="000A1AF3" w:rsidP="000A1AF3">
      <w:pPr>
        <w:pStyle w:val="Heading1"/>
      </w:pPr>
      <w:bookmarkStart w:id="146" w:name="_Toc57377187"/>
      <w:r>
        <w:lastRenderedPageBreak/>
        <w:t>Priloge</w:t>
      </w:r>
      <w:bookmarkEnd w:id="146"/>
    </w:p>
    <w:p w14:paraId="4832F154" w14:textId="77777777" w:rsidR="000A1AF3" w:rsidRDefault="000A1AF3" w:rsidP="00960E68"/>
    <w:p w14:paraId="2608439B" w14:textId="301AA248" w:rsidR="000A1AF3" w:rsidRPr="000A1AF3" w:rsidRDefault="000A1AF3" w:rsidP="00BA7EFE">
      <w:pPr>
        <w:pStyle w:val="Title"/>
        <w:jc w:val="both"/>
      </w:pPr>
      <w:bookmarkStart w:id="147" w:name="_Toc57377188"/>
      <w:r>
        <w:t xml:space="preserve">Priloga 1: Izhodišča za evalvacijo in revizijo projektov izgradnje vodne infrastrukture v občini </w:t>
      </w:r>
      <w:proofErr w:type="spellStart"/>
      <w:r>
        <w:t>Probištip</w:t>
      </w:r>
      <w:proofErr w:type="spellEnd"/>
      <w:r>
        <w:t xml:space="preserve"> v Severni Makedoniji v obdobju 2012 do 2019</w:t>
      </w:r>
      <w:bookmarkEnd w:id="147"/>
      <w:r w:rsidRPr="00523A86">
        <w:tab/>
      </w:r>
      <w:r w:rsidRPr="00523A86">
        <w:tab/>
      </w:r>
      <w:r w:rsidRPr="00523A86">
        <w:tab/>
      </w:r>
      <w:r w:rsidRPr="00523A86">
        <w:tab/>
      </w:r>
      <w:r w:rsidRPr="00523A86">
        <w:tab/>
      </w:r>
      <w:r w:rsidRPr="00523A86">
        <w:tab/>
      </w:r>
    </w:p>
    <w:p w14:paraId="26165C3D" w14:textId="77777777" w:rsidR="000A1AF3" w:rsidRDefault="000A1AF3" w:rsidP="00BA7EFE">
      <w:pPr>
        <w:jc w:val="both"/>
      </w:pPr>
    </w:p>
    <w:p w14:paraId="42DD5C36" w14:textId="77777777" w:rsidR="000A1AF3" w:rsidRPr="00523A86" w:rsidRDefault="000A1AF3" w:rsidP="00BA7EFE">
      <w:pPr>
        <w:jc w:val="both"/>
      </w:pPr>
      <w:r w:rsidRPr="00523A86">
        <w:t xml:space="preserve">Datum: </w:t>
      </w:r>
      <w:r>
        <w:t xml:space="preserve">12. avgust 2020 </w:t>
      </w:r>
      <w:r>
        <w:tab/>
      </w:r>
      <w:r>
        <w:tab/>
      </w:r>
      <w:r>
        <w:tab/>
      </w:r>
      <w:r>
        <w:tab/>
      </w:r>
      <w:r>
        <w:tab/>
      </w:r>
      <w:r>
        <w:tab/>
      </w:r>
      <w:r>
        <w:tab/>
      </w:r>
      <w:r>
        <w:tab/>
      </w:r>
      <w:r>
        <w:tab/>
      </w:r>
    </w:p>
    <w:p w14:paraId="60AF0038" w14:textId="77777777" w:rsidR="000A1AF3" w:rsidRPr="00523A86" w:rsidRDefault="000A1AF3" w:rsidP="003E3DB7">
      <w:pPr>
        <w:autoSpaceDE w:val="0"/>
        <w:autoSpaceDN w:val="0"/>
        <w:adjustRightInd w:val="0"/>
        <w:jc w:val="both"/>
        <w:rPr>
          <w:rFonts w:cs="Arial"/>
          <w:b/>
          <w:bCs/>
          <w:szCs w:val="20"/>
          <w:lang w:eastAsia="sl-SI"/>
        </w:rPr>
      </w:pPr>
    </w:p>
    <w:p w14:paraId="34A845D4" w14:textId="77777777" w:rsidR="000A1AF3" w:rsidRPr="0073087E" w:rsidRDefault="000A1AF3" w:rsidP="002C3C68">
      <w:pPr>
        <w:pStyle w:val="Heading2"/>
      </w:pPr>
      <w:bookmarkStart w:id="148" w:name="_Toc57377189"/>
      <w:r w:rsidRPr="0073087E">
        <w:t>Podlaga</w:t>
      </w:r>
      <w:bookmarkEnd w:id="148"/>
      <w:r w:rsidRPr="0073087E">
        <w:t xml:space="preserve"> </w:t>
      </w:r>
    </w:p>
    <w:p w14:paraId="368B958E" w14:textId="77777777" w:rsidR="000A1AF3" w:rsidRDefault="000A1AF3" w:rsidP="003E3DB7">
      <w:pPr>
        <w:jc w:val="both"/>
      </w:pPr>
      <w:r>
        <w:t xml:space="preserve">Center za mednarodno sodelovanje in razvoj (CMSR) je samostojna neprofitna raziskovalna in svetovalna organizacija za področje mednarodnih ekonomskih odnosov. Ustanovitelja sta Republika Slovenija in Slovenska izvozna in razvojna banka (SID banka). CMSR opravlja raziskovalne, svetovalne, informativne, dokumentacijske, promocijske, izobraževalne, publicistične in posredniške dejavnosti na področjih, pomembnih za mednarodno razvojno in gospodarsko sodelovanje. </w:t>
      </w:r>
    </w:p>
    <w:p w14:paraId="23F543A0" w14:textId="77777777" w:rsidR="000A1AF3" w:rsidRDefault="000A1AF3" w:rsidP="003E3DB7">
      <w:pPr>
        <w:jc w:val="both"/>
      </w:pPr>
    </w:p>
    <w:p w14:paraId="13301F34" w14:textId="77777777" w:rsidR="000A1AF3" w:rsidRDefault="000A1AF3" w:rsidP="003E3DB7">
      <w:pPr>
        <w:jc w:val="both"/>
      </w:pPr>
      <w:r>
        <w:t xml:space="preserve">Vlada Republike Slovenije je leta 2007 CMSR podelila javno pooblastilo za izvajanje tehnično-operativnega dela mednarodnega razvojnega sodelovanja. Na podlagi prioritetnih področij in območij mednarodnega razvojnega sodelovanja (MRS) Slovenije, poznavanja slovenskega gospodarstva in zaznanih razvojnih potreb partnerskih držav na področju javne infrastrukture, ki so opredeljene v razvojnih načrtih partnerskih držav na nacionalni ali lokalni ravni, v sofinanciranje predlaga projekte, pri katerih ima slovenski zasebni sektor primerjalne prednosti pred drugimi ponudniki. V preteklosti so njegovi projekti med drugim obravnavali dostop do čiste pitne vode in </w:t>
      </w:r>
      <w:proofErr w:type="spellStart"/>
      <w:r>
        <w:t>okoljsko</w:t>
      </w:r>
      <w:proofErr w:type="spellEnd"/>
      <w:r>
        <w:t xml:space="preserve"> infrastrukturo, varovanje okolja, krepitev zmogljivosti za nujni odziv in infrastrukturo za izobraževalne potrebe. Najpomembnejše partnerice v projektih so države Zahodnega Balkana. </w:t>
      </w:r>
    </w:p>
    <w:p w14:paraId="3829CBB5" w14:textId="77777777" w:rsidR="000A1AF3" w:rsidRDefault="000A1AF3" w:rsidP="003E3DB7">
      <w:pPr>
        <w:jc w:val="both"/>
      </w:pPr>
    </w:p>
    <w:p w14:paraId="3678B2F9" w14:textId="77777777" w:rsidR="000A1AF3" w:rsidRDefault="000A1AF3" w:rsidP="003E3DB7">
      <w:pPr>
        <w:autoSpaceDE w:val="0"/>
        <w:autoSpaceDN w:val="0"/>
        <w:adjustRightInd w:val="0"/>
        <w:jc w:val="both"/>
        <w:rPr>
          <w:bCs/>
        </w:rPr>
      </w:pPr>
      <w:r w:rsidRPr="000726CC">
        <w:rPr>
          <w:lang w:eastAsia="sl-SI"/>
        </w:rPr>
        <w:t xml:space="preserve">Ministrstvo za zunanje zadeve je </w:t>
      </w:r>
      <w:r>
        <w:rPr>
          <w:lang w:eastAsia="sl-SI"/>
        </w:rPr>
        <w:t xml:space="preserve">leta 2012 sofinanciralo </w:t>
      </w:r>
      <w:r w:rsidRPr="00957C40">
        <w:rPr>
          <w:lang w:eastAsia="sl-SI"/>
        </w:rPr>
        <w:t xml:space="preserve">projekt </w:t>
      </w:r>
      <w:r w:rsidRPr="00957C40">
        <w:t xml:space="preserve">Izgradnja čistilne naprave za pitno vodo za Občino </w:t>
      </w:r>
      <w:proofErr w:type="spellStart"/>
      <w:r w:rsidRPr="00957C40">
        <w:t>Probištip</w:t>
      </w:r>
      <w:proofErr w:type="spellEnd"/>
      <w:r>
        <w:t xml:space="preserve"> v sedanji Severni Makedoniji v višini 480.000 EUR. </w:t>
      </w:r>
      <w:r>
        <w:rPr>
          <w:bCs/>
        </w:rPr>
        <w:t xml:space="preserve">V okviru projekta je bila zgrajena čistilna naprava za pripravo pitne vode, </w:t>
      </w:r>
      <w:r w:rsidRPr="00BA57DE">
        <w:rPr>
          <w:bCs/>
        </w:rPr>
        <w:t xml:space="preserve">ki </w:t>
      </w:r>
      <w:r>
        <w:rPr>
          <w:bCs/>
        </w:rPr>
        <w:t>je</w:t>
      </w:r>
      <w:r w:rsidRPr="00BA57DE">
        <w:rPr>
          <w:bCs/>
        </w:rPr>
        <w:t xml:space="preserve"> skupaj z že zgrajeno novo infrastrukturo </w:t>
      </w:r>
      <w:r>
        <w:rPr>
          <w:bCs/>
        </w:rPr>
        <w:t>(vodovod) predstavlja</w:t>
      </w:r>
      <w:r w:rsidRPr="00BA57DE">
        <w:rPr>
          <w:bCs/>
        </w:rPr>
        <w:t xml:space="preserve"> vir trajnostne oskrbe prebivalstva s kvalitetno pitno vodo.</w:t>
      </w:r>
      <w:r>
        <w:rPr>
          <w:bCs/>
        </w:rPr>
        <w:t xml:space="preserve"> Postopek čiščenja vode vključuje </w:t>
      </w:r>
      <w:proofErr w:type="spellStart"/>
      <w:r>
        <w:rPr>
          <w:bCs/>
        </w:rPr>
        <w:t>pre-ozonacijo</w:t>
      </w:r>
      <w:proofErr w:type="spellEnd"/>
      <w:r>
        <w:rPr>
          <w:bCs/>
        </w:rPr>
        <w:t xml:space="preserve">, sesedanje in usedanje, </w:t>
      </w:r>
      <w:proofErr w:type="spellStart"/>
      <w:r>
        <w:rPr>
          <w:bCs/>
        </w:rPr>
        <w:t>ozonacijo</w:t>
      </w:r>
      <w:proofErr w:type="spellEnd"/>
      <w:r>
        <w:rPr>
          <w:bCs/>
        </w:rPr>
        <w:t xml:space="preserve">, filtriranje vode z aktivnim ogljem in obdelavo blata čistilne naprave. Cilji projekta so bili poleg omogočanja trajne rabe voda in zagotavljanja ustrezne pitne vode tudi preprečevanje škodljivih vplivov na zdravje ljudi ter spodbujanje </w:t>
      </w:r>
      <w:r w:rsidRPr="003767E4">
        <w:rPr>
          <w:bCs/>
        </w:rPr>
        <w:t>družbenega in gospodarskega razvoja v degradiranem okolju.</w:t>
      </w:r>
    </w:p>
    <w:p w14:paraId="4F76DA97" w14:textId="77777777" w:rsidR="000A1AF3" w:rsidRDefault="000A1AF3" w:rsidP="003E3DB7">
      <w:pPr>
        <w:autoSpaceDE w:val="0"/>
        <w:autoSpaceDN w:val="0"/>
        <w:adjustRightInd w:val="0"/>
        <w:jc w:val="both"/>
        <w:rPr>
          <w:bCs/>
        </w:rPr>
      </w:pPr>
    </w:p>
    <w:p w14:paraId="1DACAE6C" w14:textId="77777777" w:rsidR="000A1AF3" w:rsidRDefault="000A1AF3" w:rsidP="003E3DB7">
      <w:pPr>
        <w:autoSpaceDE w:val="0"/>
        <w:autoSpaceDN w:val="0"/>
        <w:adjustRightInd w:val="0"/>
        <w:jc w:val="both"/>
        <w:rPr>
          <w:bCs/>
        </w:rPr>
      </w:pPr>
      <w:r>
        <w:rPr>
          <w:bCs/>
        </w:rPr>
        <w:t xml:space="preserve">Ministrstvo za finance je leta 2018 in 2019 </w:t>
      </w:r>
      <w:r>
        <w:rPr>
          <w:lang w:eastAsia="sl-SI"/>
        </w:rPr>
        <w:t xml:space="preserve">sofinanciralo </w:t>
      </w:r>
      <w:r w:rsidRPr="00957C40">
        <w:rPr>
          <w:lang w:eastAsia="sl-SI"/>
        </w:rPr>
        <w:t>projekt</w:t>
      </w:r>
      <w:r>
        <w:rPr>
          <w:lang w:eastAsia="sl-SI"/>
        </w:rPr>
        <w:t xml:space="preserve"> </w:t>
      </w:r>
      <w:r w:rsidRPr="006B7D07">
        <w:rPr>
          <w:lang w:eastAsia="sl-SI"/>
        </w:rPr>
        <w:t xml:space="preserve">Revitalizacija in avtomatizacija obstoječih vodooskrbnih objektov v Občini </w:t>
      </w:r>
      <w:proofErr w:type="spellStart"/>
      <w:r w:rsidRPr="006B7D07">
        <w:rPr>
          <w:lang w:eastAsia="sl-SI"/>
        </w:rPr>
        <w:t>Pro</w:t>
      </w:r>
      <w:r>
        <w:rPr>
          <w:lang w:eastAsia="sl-SI"/>
        </w:rPr>
        <w:t>bi</w:t>
      </w:r>
      <w:r w:rsidRPr="006B7D07">
        <w:rPr>
          <w:lang w:eastAsia="sl-SI"/>
        </w:rPr>
        <w:t>štip</w:t>
      </w:r>
      <w:proofErr w:type="spellEnd"/>
      <w:r>
        <w:rPr>
          <w:lang w:eastAsia="sl-SI"/>
        </w:rPr>
        <w:t xml:space="preserve"> v Severni Makedoniji v višini 599.800 EUR. Zaradi stalnega povečevanja števila gospodinjstev ter rasti industrijske proizvodnje se je povečala poraba pitne vode. Zato je bila izvedena nadgradnja projekta iz leta 2012. Obnovilo se je pet medsebojno povezanih vodooskrbnih objektov v občini </w:t>
      </w:r>
      <w:proofErr w:type="spellStart"/>
      <w:r>
        <w:rPr>
          <w:lang w:eastAsia="sl-SI"/>
        </w:rPr>
        <w:t>Probištip</w:t>
      </w:r>
      <w:proofErr w:type="spellEnd"/>
      <w:r>
        <w:rPr>
          <w:lang w:eastAsia="sl-SI"/>
        </w:rPr>
        <w:t xml:space="preserve">, kar je omogočilo ponovno učinkovito in nemoteno oskrbovanje prebivalcev s pitno vodo. Stare črpalke so se zamenjale z novimi, postavljene so bile nove transformatorske postaje, izvedena je bila avtomatizacija upravljanja črpalk in rehabilitacija obstoječih objektov, dodatno so bile postavljene </w:t>
      </w:r>
      <w:proofErr w:type="spellStart"/>
      <w:r>
        <w:rPr>
          <w:lang w:eastAsia="sl-SI"/>
        </w:rPr>
        <w:t>ultrafiltracijske</w:t>
      </w:r>
      <w:proofErr w:type="spellEnd"/>
      <w:r>
        <w:rPr>
          <w:lang w:eastAsia="sl-SI"/>
        </w:rPr>
        <w:t xml:space="preserve"> membrane za filtriranje. </w:t>
      </w:r>
    </w:p>
    <w:p w14:paraId="04AC175E" w14:textId="77777777" w:rsidR="000A1AF3" w:rsidRDefault="000A1AF3" w:rsidP="003E3DB7">
      <w:pPr>
        <w:autoSpaceDE w:val="0"/>
        <w:autoSpaceDN w:val="0"/>
        <w:adjustRightInd w:val="0"/>
        <w:jc w:val="both"/>
        <w:rPr>
          <w:lang w:eastAsia="sl-SI"/>
        </w:rPr>
      </w:pPr>
    </w:p>
    <w:p w14:paraId="5909121E" w14:textId="77777777" w:rsidR="000A1AF3" w:rsidRDefault="000A1AF3" w:rsidP="003E3DB7">
      <w:pPr>
        <w:autoSpaceDE w:val="0"/>
        <w:autoSpaceDN w:val="0"/>
        <w:adjustRightInd w:val="0"/>
        <w:jc w:val="both"/>
        <w:rPr>
          <w:rFonts w:cs="Arial"/>
          <w:szCs w:val="20"/>
        </w:rPr>
      </w:pPr>
      <w:r>
        <w:rPr>
          <w:lang w:eastAsia="sl-SI"/>
        </w:rPr>
        <w:t xml:space="preserve">Več </w:t>
      </w:r>
      <w:r>
        <w:rPr>
          <w:rFonts w:cs="Arial"/>
          <w:szCs w:val="20"/>
        </w:rPr>
        <w:t xml:space="preserve">priporočil evalvacije slovenskega MRS v Črni gori za obdobje 2013 do 2016 priporoča izvedbo evalvacije in zunanje revizije. </w:t>
      </w:r>
    </w:p>
    <w:p w14:paraId="2A11B3B2" w14:textId="77777777" w:rsidR="00D74408" w:rsidRDefault="00D74408" w:rsidP="003E3DB7">
      <w:pPr>
        <w:autoSpaceDE w:val="0"/>
        <w:autoSpaceDN w:val="0"/>
        <w:adjustRightInd w:val="0"/>
        <w:jc w:val="both"/>
        <w:rPr>
          <w:rFonts w:cs="Arial"/>
          <w:szCs w:val="20"/>
        </w:rPr>
      </w:pPr>
    </w:p>
    <w:p w14:paraId="4C08DFBD" w14:textId="77777777" w:rsidR="000A1AF3" w:rsidRPr="00CD3C60" w:rsidRDefault="000A1AF3" w:rsidP="002C3C68">
      <w:pPr>
        <w:pStyle w:val="Heading2"/>
      </w:pPr>
      <w:bookmarkStart w:id="149" w:name="_Toc57377190"/>
      <w:r w:rsidRPr="00CD3C60">
        <w:lastRenderedPageBreak/>
        <w:t>Utemeljitev, namen in ključni cilji</w:t>
      </w:r>
      <w:bookmarkEnd w:id="149"/>
      <w:r w:rsidRPr="00CD3C60">
        <w:t xml:space="preserve"> </w:t>
      </w:r>
    </w:p>
    <w:p w14:paraId="0B7C4382" w14:textId="77777777" w:rsidR="000A1AF3" w:rsidRDefault="000A1AF3" w:rsidP="003E3DB7">
      <w:pPr>
        <w:jc w:val="both"/>
        <w:rPr>
          <w:lang w:eastAsia="sl-SI"/>
        </w:rPr>
      </w:pPr>
      <w:r>
        <w:rPr>
          <w:lang w:eastAsia="sl-SI"/>
        </w:rPr>
        <w:t>E</w:t>
      </w:r>
      <w:r w:rsidRPr="002B59A6">
        <w:rPr>
          <w:lang w:eastAsia="sl-SI"/>
        </w:rPr>
        <w:t>valvacija</w:t>
      </w:r>
      <w:r>
        <w:rPr>
          <w:lang w:eastAsia="sl-SI"/>
        </w:rPr>
        <w:t xml:space="preserve"> in revizija</w:t>
      </w:r>
      <w:r w:rsidRPr="002B59A6">
        <w:rPr>
          <w:lang w:eastAsia="sl-SI"/>
        </w:rPr>
        <w:t xml:space="preserve"> se opravi</w:t>
      </w:r>
      <w:r>
        <w:rPr>
          <w:lang w:eastAsia="sl-SI"/>
        </w:rPr>
        <w:t>ta</w:t>
      </w:r>
      <w:r w:rsidRPr="002B59A6">
        <w:rPr>
          <w:lang w:eastAsia="sl-SI"/>
        </w:rPr>
        <w:t xml:space="preserve"> za Ministrstvo za zunanje zadeve </w:t>
      </w:r>
      <w:r w:rsidRPr="00523A86">
        <w:rPr>
          <w:lang w:eastAsia="sl-SI"/>
        </w:rPr>
        <w:t>(</w:t>
      </w:r>
      <w:r>
        <w:rPr>
          <w:lang w:eastAsia="sl-SI"/>
        </w:rPr>
        <w:t>ministrstvo) kot koordinatorja MRS za</w:t>
      </w:r>
      <w:r w:rsidRPr="00523A86">
        <w:rPr>
          <w:lang w:eastAsia="sl-SI"/>
        </w:rPr>
        <w:t xml:space="preserve"> priprav</w:t>
      </w:r>
      <w:r>
        <w:rPr>
          <w:lang w:eastAsia="sl-SI"/>
        </w:rPr>
        <w:t>o</w:t>
      </w:r>
      <w:r w:rsidRPr="00523A86">
        <w:rPr>
          <w:lang w:eastAsia="sl-SI"/>
        </w:rPr>
        <w:t xml:space="preserve"> ocen</w:t>
      </w:r>
      <w:r>
        <w:rPr>
          <w:lang w:eastAsia="sl-SI"/>
        </w:rPr>
        <w:t>e</w:t>
      </w:r>
      <w:r w:rsidRPr="00523A86">
        <w:rPr>
          <w:lang w:eastAsia="sl-SI"/>
        </w:rPr>
        <w:t xml:space="preserve"> </w:t>
      </w:r>
      <w:r>
        <w:rPr>
          <w:lang w:eastAsia="sl-SI"/>
        </w:rPr>
        <w:t>vodenja in izvedbe izbranih infrastrukturnih projektov CMSR. Z</w:t>
      </w:r>
      <w:r w:rsidRPr="00523A86">
        <w:rPr>
          <w:lang w:eastAsia="sl-SI"/>
        </w:rPr>
        <w:t xml:space="preserve">agotovila </w:t>
      </w:r>
      <w:r>
        <w:rPr>
          <w:lang w:eastAsia="sl-SI"/>
        </w:rPr>
        <w:t>bo podlage za prihodnje usmeritve financerjev MRS</w:t>
      </w:r>
      <w:r>
        <w:rPr>
          <w:rStyle w:val="FootnoteReference"/>
          <w:lang w:eastAsia="sl-SI"/>
        </w:rPr>
        <w:footnoteReference w:id="27"/>
      </w:r>
      <w:r>
        <w:rPr>
          <w:lang w:eastAsia="sl-SI"/>
        </w:rPr>
        <w:t xml:space="preserve"> za sodelovanje s CMSR na področju MRS, CMSR pa izhodišča za izboljšanje načrtovanja in izvajanja projektov MRS.</w:t>
      </w:r>
    </w:p>
    <w:p w14:paraId="393690A4" w14:textId="77777777" w:rsidR="000A1AF3" w:rsidRPr="00523A86" w:rsidRDefault="000A1AF3" w:rsidP="003E3DB7">
      <w:pPr>
        <w:jc w:val="both"/>
        <w:rPr>
          <w:rFonts w:cs="Arial"/>
          <w:szCs w:val="20"/>
        </w:rPr>
      </w:pPr>
    </w:p>
    <w:p w14:paraId="7D57C92D" w14:textId="77777777" w:rsidR="000A1AF3" w:rsidRPr="00523A86" w:rsidRDefault="000A1AF3" w:rsidP="003E3DB7">
      <w:pPr>
        <w:jc w:val="both"/>
        <w:rPr>
          <w:rFonts w:cs="Arial"/>
          <w:szCs w:val="20"/>
        </w:rPr>
      </w:pPr>
      <w:r w:rsidRPr="00523A86">
        <w:rPr>
          <w:lang w:eastAsia="sl-SI"/>
        </w:rPr>
        <w:t xml:space="preserve">Cilji evalvacije </w:t>
      </w:r>
      <w:r>
        <w:rPr>
          <w:lang w:eastAsia="sl-SI"/>
        </w:rPr>
        <w:t xml:space="preserve">in revizije </w:t>
      </w:r>
      <w:r w:rsidRPr="00523A86">
        <w:rPr>
          <w:lang w:eastAsia="sl-SI"/>
        </w:rPr>
        <w:t>so:</w:t>
      </w:r>
    </w:p>
    <w:p w14:paraId="2BCDCF3E" w14:textId="77777777" w:rsidR="000A1AF3" w:rsidRDefault="000A1AF3" w:rsidP="003E3DB7">
      <w:pPr>
        <w:numPr>
          <w:ilvl w:val="0"/>
          <w:numId w:val="39"/>
        </w:numPr>
        <w:spacing w:line="240" w:lineRule="atLeast"/>
        <w:ind w:left="426" w:hanging="426"/>
        <w:jc w:val="both"/>
        <w:rPr>
          <w:rFonts w:eastAsia="Times New Roman" w:cs="Calibri"/>
          <w:szCs w:val="24"/>
          <w:lang w:eastAsia="sl-SI"/>
        </w:rPr>
      </w:pPr>
      <w:r w:rsidRPr="000E1553">
        <w:rPr>
          <w:rFonts w:eastAsia="Times New Roman" w:cs="Calibri"/>
          <w:szCs w:val="24"/>
          <w:lang w:eastAsia="sl-SI"/>
        </w:rPr>
        <w:t>ocena doseganja cilj</w:t>
      </w:r>
      <w:r>
        <w:rPr>
          <w:rFonts w:eastAsia="Times New Roman" w:cs="Calibri"/>
          <w:szCs w:val="24"/>
          <w:lang w:eastAsia="sl-SI"/>
        </w:rPr>
        <w:t>ev</w:t>
      </w:r>
      <w:r w:rsidRPr="000E1553">
        <w:rPr>
          <w:rFonts w:eastAsia="Times New Roman" w:cs="Calibri"/>
          <w:szCs w:val="24"/>
          <w:lang w:eastAsia="sl-SI"/>
        </w:rPr>
        <w:t xml:space="preserve"> projekt</w:t>
      </w:r>
      <w:r>
        <w:rPr>
          <w:rFonts w:eastAsia="Times New Roman" w:cs="Calibri"/>
          <w:szCs w:val="24"/>
          <w:lang w:eastAsia="sl-SI"/>
        </w:rPr>
        <w:t>ov</w:t>
      </w:r>
      <w:r w:rsidRPr="000E1553">
        <w:rPr>
          <w:rFonts w:eastAsia="Times New Roman" w:cs="Calibri"/>
          <w:szCs w:val="24"/>
          <w:lang w:eastAsia="sl-SI"/>
        </w:rPr>
        <w:t xml:space="preserve"> ter rezultatov, učinkov, vplivov in okoliščin izvedbe projekt</w:t>
      </w:r>
      <w:r>
        <w:rPr>
          <w:rFonts w:eastAsia="Times New Roman" w:cs="Calibri"/>
          <w:szCs w:val="24"/>
          <w:lang w:eastAsia="sl-SI"/>
        </w:rPr>
        <w:t>ov;</w:t>
      </w:r>
    </w:p>
    <w:p w14:paraId="119435CC" w14:textId="51C330F7" w:rsidR="000A1AF3" w:rsidRDefault="000A1AF3" w:rsidP="003E3DB7">
      <w:pPr>
        <w:numPr>
          <w:ilvl w:val="0"/>
          <w:numId w:val="39"/>
        </w:numPr>
        <w:spacing w:line="240" w:lineRule="atLeast"/>
        <w:ind w:left="426" w:hanging="426"/>
        <w:jc w:val="both"/>
        <w:rPr>
          <w:rFonts w:eastAsia="Times New Roman" w:cs="Calibri"/>
          <w:szCs w:val="24"/>
          <w:lang w:eastAsia="sl-SI"/>
        </w:rPr>
      </w:pPr>
      <w:r w:rsidRPr="00305B27">
        <w:rPr>
          <w:rFonts w:eastAsia="Times New Roman" w:cs="Calibri"/>
          <w:szCs w:val="24"/>
          <w:lang w:eastAsia="sl-SI"/>
        </w:rPr>
        <w:t>prip</w:t>
      </w:r>
      <w:r>
        <w:rPr>
          <w:rFonts w:eastAsia="Times New Roman" w:cs="Calibri"/>
          <w:szCs w:val="24"/>
          <w:lang w:eastAsia="sl-SI"/>
        </w:rPr>
        <w:t>rava priporočil za učinkovitejše upravljanje projektnega cikla tj.</w:t>
      </w:r>
      <w:r w:rsidRPr="00305B27">
        <w:rPr>
          <w:rFonts w:eastAsia="Times New Roman" w:cs="Calibri"/>
          <w:szCs w:val="24"/>
          <w:lang w:eastAsia="sl-SI"/>
        </w:rPr>
        <w:t xml:space="preserve"> načrtovanje</w:t>
      </w:r>
      <w:r>
        <w:rPr>
          <w:rFonts w:eastAsia="Times New Roman" w:cs="Calibri"/>
          <w:szCs w:val="24"/>
          <w:lang w:eastAsia="sl-SI"/>
        </w:rPr>
        <w:t xml:space="preserve"> in </w:t>
      </w:r>
      <w:r w:rsidRPr="00305B27">
        <w:rPr>
          <w:rFonts w:eastAsia="Times New Roman" w:cs="Calibri"/>
          <w:szCs w:val="24"/>
          <w:lang w:eastAsia="sl-SI"/>
        </w:rPr>
        <w:t>izb</w:t>
      </w:r>
      <w:r>
        <w:rPr>
          <w:rFonts w:eastAsia="Times New Roman" w:cs="Calibri"/>
          <w:szCs w:val="24"/>
          <w:lang w:eastAsia="sl-SI"/>
        </w:rPr>
        <w:t xml:space="preserve">or, pripravo, </w:t>
      </w:r>
      <w:r w:rsidRPr="00305B27">
        <w:rPr>
          <w:rFonts w:eastAsia="Times New Roman" w:cs="Calibri"/>
          <w:szCs w:val="24"/>
          <w:lang w:eastAsia="sl-SI"/>
        </w:rPr>
        <w:t>izvedbo</w:t>
      </w:r>
      <w:r>
        <w:rPr>
          <w:rFonts w:eastAsia="Times New Roman" w:cs="Calibri"/>
          <w:szCs w:val="24"/>
          <w:lang w:eastAsia="sl-SI"/>
        </w:rPr>
        <w:t xml:space="preserve"> in spremljanje</w:t>
      </w:r>
      <w:r w:rsidRPr="00305B27">
        <w:rPr>
          <w:rFonts w:eastAsia="Times New Roman" w:cs="Calibri"/>
          <w:szCs w:val="24"/>
          <w:lang w:eastAsia="sl-SI"/>
        </w:rPr>
        <w:t xml:space="preserve"> projektov </w:t>
      </w:r>
      <w:r>
        <w:rPr>
          <w:rFonts w:eastAsia="Times New Roman" w:cs="Calibri"/>
          <w:szCs w:val="24"/>
          <w:lang w:eastAsia="sl-SI"/>
        </w:rPr>
        <w:t xml:space="preserve">CMSR </w:t>
      </w:r>
      <w:r w:rsidRPr="00305B27">
        <w:rPr>
          <w:rFonts w:eastAsia="Times New Roman" w:cs="Calibri"/>
          <w:szCs w:val="24"/>
          <w:lang w:eastAsia="sl-SI"/>
        </w:rPr>
        <w:t>v prihodnje.</w:t>
      </w:r>
    </w:p>
    <w:p w14:paraId="483A530A" w14:textId="77777777" w:rsidR="0073087E" w:rsidRPr="00305B27" w:rsidRDefault="0073087E" w:rsidP="003E3DB7">
      <w:pPr>
        <w:spacing w:line="240" w:lineRule="atLeast"/>
        <w:ind w:left="426"/>
        <w:jc w:val="both"/>
        <w:rPr>
          <w:rFonts w:eastAsia="Times New Roman" w:cs="Calibri"/>
          <w:szCs w:val="24"/>
          <w:lang w:eastAsia="sl-SI"/>
        </w:rPr>
      </w:pPr>
    </w:p>
    <w:p w14:paraId="7DE09664" w14:textId="77777777" w:rsidR="000A1AF3" w:rsidRPr="00392A84" w:rsidRDefault="000A1AF3" w:rsidP="002C3C68">
      <w:pPr>
        <w:pStyle w:val="Heading2"/>
      </w:pPr>
      <w:bookmarkStart w:id="150" w:name="_Toc57377191"/>
      <w:r w:rsidRPr="00392A84">
        <w:t>Obseg</w:t>
      </w:r>
      <w:bookmarkEnd w:id="150"/>
      <w:r w:rsidRPr="00392A84">
        <w:t xml:space="preserve"> </w:t>
      </w:r>
    </w:p>
    <w:p w14:paraId="2BF67EE1" w14:textId="77777777" w:rsidR="000A1AF3" w:rsidRDefault="000A1AF3" w:rsidP="003E3DB7">
      <w:pPr>
        <w:jc w:val="both"/>
        <w:rPr>
          <w:rFonts w:cs="Arial"/>
          <w:szCs w:val="20"/>
        </w:rPr>
      </w:pPr>
      <w:r w:rsidRPr="00523A86">
        <w:rPr>
          <w:rFonts w:cs="Arial"/>
          <w:szCs w:val="20"/>
        </w:rPr>
        <w:t xml:space="preserve">Evalvacija </w:t>
      </w:r>
      <w:r>
        <w:rPr>
          <w:rFonts w:cs="Arial"/>
          <w:szCs w:val="20"/>
        </w:rPr>
        <w:t xml:space="preserve">in revizija </w:t>
      </w:r>
      <w:r w:rsidRPr="00523A86">
        <w:rPr>
          <w:rFonts w:cs="Arial"/>
          <w:szCs w:val="20"/>
        </w:rPr>
        <w:t>vključuje</w:t>
      </w:r>
      <w:r>
        <w:rPr>
          <w:rFonts w:cs="Arial"/>
          <w:szCs w:val="20"/>
        </w:rPr>
        <w:t>ta</w:t>
      </w:r>
      <w:r w:rsidRPr="00523A86">
        <w:rPr>
          <w:rFonts w:cs="Arial"/>
          <w:szCs w:val="20"/>
        </w:rPr>
        <w:t xml:space="preserve"> pregled </w:t>
      </w:r>
      <w:r>
        <w:rPr>
          <w:rFonts w:cs="Arial"/>
          <w:szCs w:val="20"/>
        </w:rPr>
        <w:t>celotnega projektnega cikla za dva projekta v Severni Makedoniji:</w:t>
      </w:r>
    </w:p>
    <w:p w14:paraId="2A6E3DA7" w14:textId="77777777" w:rsidR="000A1AF3" w:rsidRDefault="000A1AF3" w:rsidP="003E3DB7">
      <w:pPr>
        <w:numPr>
          <w:ilvl w:val="0"/>
          <w:numId w:val="41"/>
        </w:numPr>
        <w:spacing w:line="240" w:lineRule="auto"/>
        <w:jc w:val="both"/>
        <w:rPr>
          <w:lang w:eastAsia="sl-SI"/>
        </w:rPr>
      </w:pPr>
      <w:r>
        <w:rPr>
          <w:rFonts w:cs="Arial"/>
          <w:szCs w:val="20"/>
        </w:rPr>
        <w:t>I</w:t>
      </w:r>
      <w:r w:rsidRPr="00957C40">
        <w:t xml:space="preserve">zgradnja čistilne naprave za pitno vodo za Občino </w:t>
      </w:r>
      <w:proofErr w:type="spellStart"/>
      <w:r w:rsidRPr="00957C40">
        <w:t>Probištip</w:t>
      </w:r>
      <w:proofErr w:type="spellEnd"/>
      <w:r>
        <w:t>;</w:t>
      </w:r>
    </w:p>
    <w:p w14:paraId="6240072F" w14:textId="641C43A6" w:rsidR="000A1AF3" w:rsidRPr="0073087E" w:rsidRDefault="000A1AF3" w:rsidP="003E3DB7">
      <w:pPr>
        <w:numPr>
          <w:ilvl w:val="0"/>
          <w:numId w:val="41"/>
        </w:numPr>
        <w:spacing w:line="240" w:lineRule="auto"/>
        <w:jc w:val="both"/>
        <w:rPr>
          <w:rFonts w:cs="Arial"/>
          <w:szCs w:val="20"/>
        </w:rPr>
      </w:pPr>
      <w:r>
        <w:rPr>
          <w:lang w:eastAsia="sl-SI"/>
        </w:rPr>
        <w:t>R</w:t>
      </w:r>
      <w:r w:rsidRPr="006B7D07">
        <w:rPr>
          <w:lang w:eastAsia="sl-SI"/>
        </w:rPr>
        <w:t xml:space="preserve">evitalizacija in avtomatizacija obstoječih vodooskrbnih objektov v Občini </w:t>
      </w:r>
      <w:proofErr w:type="spellStart"/>
      <w:r w:rsidRPr="006B7D07">
        <w:rPr>
          <w:lang w:eastAsia="sl-SI"/>
        </w:rPr>
        <w:t>Pro</w:t>
      </w:r>
      <w:r>
        <w:rPr>
          <w:lang w:eastAsia="sl-SI"/>
        </w:rPr>
        <w:t>bi</w:t>
      </w:r>
      <w:r w:rsidRPr="006B7D07">
        <w:rPr>
          <w:lang w:eastAsia="sl-SI"/>
        </w:rPr>
        <w:t>štip</w:t>
      </w:r>
      <w:proofErr w:type="spellEnd"/>
      <w:r>
        <w:rPr>
          <w:lang w:eastAsia="sl-SI"/>
        </w:rPr>
        <w:t>.</w:t>
      </w:r>
    </w:p>
    <w:p w14:paraId="2B5C21C8" w14:textId="77777777" w:rsidR="0073087E" w:rsidRPr="00392A84" w:rsidRDefault="0073087E" w:rsidP="003E3DB7">
      <w:pPr>
        <w:numPr>
          <w:ilvl w:val="0"/>
          <w:numId w:val="41"/>
        </w:numPr>
        <w:spacing w:line="240" w:lineRule="auto"/>
        <w:jc w:val="both"/>
        <w:rPr>
          <w:rFonts w:cs="Arial"/>
          <w:szCs w:val="20"/>
        </w:rPr>
      </w:pPr>
    </w:p>
    <w:p w14:paraId="4D6075E8" w14:textId="77777777" w:rsidR="000A1AF3" w:rsidRPr="003B3A9A" w:rsidRDefault="000A1AF3" w:rsidP="002C3C68">
      <w:pPr>
        <w:pStyle w:val="Heading2"/>
      </w:pPr>
      <w:bookmarkStart w:id="151" w:name="_Toc57377192"/>
      <w:proofErr w:type="spellStart"/>
      <w:r w:rsidRPr="003B3A9A">
        <w:t>Evalvacijska</w:t>
      </w:r>
      <w:proofErr w:type="spellEnd"/>
      <w:r w:rsidRPr="003B3A9A">
        <w:t xml:space="preserve"> merila in </w:t>
      </w:r>
      <w:proofErr w:type="spellStart"/>
      <w:r w:rsidRPr="003B3A9A">
        <w:t>evalvacijska</w:t>
      </w:r>
      <w:proofErr w:type="spellEnd"/>
      <w:r w:rsidRPr="003B3A9A">
        <w:t xml:space="preserve"> </w:t>
      </w:r>
      <w:r>
        <w:t xml:space="preserve">ter revizijska </w:t>
      </w:r>
      <w:r w:rsidRPr="003B3A9A">
        <w:t>vprašanja</w:t>
      </w:r>
      <w:bookmarkEnd w:id="151"/>
    </w:p>
    <w:p w14:paraId="08982B56" w14:textId="77777777" w:rsidR="000A1AF3" w:rsidRPr="00284114" w:rsidRDefault="000A1AF3" w:rsidP="003E3DB7">
      <w:pPr>
        <w:jc w:val="both"/>
        <w:rPr>
          <w:rFonts w:cs="Arial"/>
          <w:szCs w:val="20"/>
        </w:rPr>
      </w:pPr>
      <w:r w:rsidRPr="00284114">
        <w:rPr>
          <w:lang w:eastAsia="sl-SI"/>
        </w:rPr>
        <w:t xml:space="preserve">Evalvacija naj se osredotoči na </w:t>
      </w:r>
      <w:proofErr w:type="spellStart"/>
      <w:r w:rsidRPr="00284114">
        <w:rPr>
          <w:lang w:eastAsia="sl-SI"/>
        </w:rPr>
        <w:t>evalvacijska</w:t>
      </w:r>
      <w:proofErr w:type="spellEnd"/>
      <w:r>
        <w:rPr>
          <w:lang w:eastAsia="sl-SI"/>
        </w:rPr>
        <w:t xml:space="preserve"> in revizijska</w:t>
      </w:r>
      <w:r w:rsidRPr="00284114">
        <w:rPr>
          <w:lang w:eastAsia="sl-SI"/>
        </w:rPr>
        <w:t xml:space="preserve"> vprašanja, ki so navedena v nadaljevanju. Poleg tega lahko </w:t>
      </w:r>
      <w:proofErr w:type="spellStart"/>
      <w:r w:rsidRPr="00284114">
        <w:rPr>
          <w:lang w:eastAsia="sl-SI"/>
        </w:rPr>
        <w:t>evalvator</w:t>
      </w:r>
      <w:proofErr w:type="spellEnd"/>
      <w:r w:rsidRPr="00284114">
        <w:rPr>
          <w:lang w:eastAsia="sl-SI"/>
        </w:rPr>
        <w:t xml:space="preserve"> obravnava tudi druga vprašanja, ki jih oceni kot bistvena za evalvacijo</w:t>
      </w:r>
      <w:r>
        <w:rPr>
          <w:lang w:eastAsia="sl-SI"/>
        </w:rPr>
        <w:t xml:space="preserve"> projektov</w:t>
      </w:r>
      <w:r w:rsidRPr="00284114">
        <w:rPr>
          <w:lang w:eastAsia="sl-SI"/>
        </w:rPr>
        <w:t xml:space="preserve">. </w:t>
      </w:r>
    </w:p>
    <w:p w14:paraId="50C344DA" w14:textId="77777777" w:rsidR="000A1AF3" w:rsidRPr="00284114" w:rsidRDefault="000A1AF3" w:rsidP="003E3DB7">
      <w:pPr>
        <w:jc w:val="both"/>
        <w:rPr>
          <w:rFonts w:cs="Arial"/>
          <w:b/>
          <w:color w:val="808080"/>
          <w:szCs w:val="20"/>
        </w:rPr>
      </w:pPr>
    </w:p>
    <w:p w14:paraId="6E354B64" w14:textId="77777777" w:rsidR="000A1AF3" w:rsidRPr="00284114" w:rsidRDefault="000A1AF3" w:rsidP="003E3DB7">
      <w:pPr>
        <w:jc w:val="both"/>
        <w:rPr>
          <w:b/>
          <w:lang w:eastAsia="sl-SI"/>
        </w:rPr>
      </w:pPr>
      <w:r w:rsidRPr="00284114">
        <w:rPr>
          <w:b/>
          <w:lang w:eastAsia="sl-SI"/>
        </w:rPr>
        <w:t>Ustreznost: ali je projekt primeren okoliščinam?</w:t>
      </w:r>
    </w:p>
    <w:p w14:paraId="0D9A2043" w14:textId="77777777" w:rsidR="000A1AF3" w:rsidRPr="00284114" w:rsidRDefault="000A1AF3" w:rsidP="003E3DB7">
      <w:pPr>
        <w:jc w:val="both"/>
      </w:pPr>
      <w:r w:rsidRPr="00284114">
        <w:t>Presodi se, v kolikšni meri se cilj in zasnova projekta odzivata na potrebe prejemnikov</w:t>
      </w:r>
      <w:r w:rsidRPr="00284114">
        <w:rPr>
          <w:vertAlign w:val="superscript"/>
        </w:rPr>
        <w:footnoteReference w:id="28"/>
      </w:r>
      <w:r>
        <w:t>, pri čemer je potrebno upoštevati tudi morebitno spremembo okoliščin in odziv izvajalca nanje.</w:t>
      </w:r>
    </w:p>
    <w:p w14:paraId="6CD4513A" w14:textId="77777777" w:rsidR="000A1AF3" w:rsidRPr="003F61BE" w:rsidRDefault="000A1AF3" w:rsidP="003E3DB7">
      <w:pPr>
        <w:numPr>
          <w:ilvl w:val="0"/>
          <w:numId w:val="36"/>
        </w:numPr>
        <w:spacing w:line="240" w:lineRule="auto"/>
        <w:ind w:left="357" w:hanging="357"/>
        <w:jc w:val="both"/>
        <w:rPr>
          <w:lang w:eastAsia="sl-SI"/>
        </w:rPr>
      </w:pPr>
      <w:r w:rsidRPr="003F61BE">
        <w:rPr>
          <w:lang w:eastAsia="sl-SI"/>
        </w:rPr>
        <w:t>Ali projekt</w:t>
      </w:r>
      <w:r>
        <w:rPr>
          <w:lang w:eastAsia="sl-SI"/>
        </w:rPr>
        <w:t>a</w:t>
      </w:r>
      <w:r w:rsidRPr="003F61BE">
        <w:rPr>
          <w:lang w:eastAsia="sl-SI"/>
        </w:rPr>
        <w:t xml:space="preserve"> na ustrezen način naslavlja</w:t>
      </w:r>
      <w:r>
        <w:rPr>
          <w:lang w:eastAsia="sl-SI"/>
        </w:rPr>
        <w:t>ta</w:t>
      </w:r>
      <w:r w:rsidRPr="003F61BE">
        <w:rPr>
          <w:lang w:eastAsia="sl-SI"/>
        </w:rPr>
        <w:t xml:space="preserve"> potrebe končnih prejemnikov</w:t>
      </w:r>
      <w:r>
        <w:rPr>
          <w:lang w:eastAsia="sl-SI"/>
        </w:rPr>
        <w:t>? Ali so bili končni prejemniki natančno opredeljeni</w:t>
      </w:r>
      <w:r w:rsidRPr="003F61BE">
        <w:rPr>
          <w:lang w:eastAsia="sl-SI"/>
        </w:rPr>
        <w:t>?</w:t>
      </w:r>
    </w:p>
    <w:p w14:paraId="283D0253" w14:textId="77777777" w:rsidR="000A1AF3" w:rsidRDefault="000A1AF3" w:rsidP="003E3DB7">
      <w:pPr>
        <w:numPr>
          <w:ilvl w:val="0"/>
          <w:numId w:val="36"/>
        </w:numPr>
        <w:spacing w:line="240" w:lineRule="auto"/>
        <w:jc w:val="both"/>
        <w:rPr>
          <w:rFonts w:cs="Arial"/>
          <w:szCs w:val="20"/>
        </w:rPr>
      </w:pPr>
      <w:r>
        <w:rPr>
          <w:rFonts w:cs="Arial"/>
          <w:szCs w:val="20"/>
        </w:rPr>
        <w:t>Ali so bile za projekta opravljene ustrezne predhodne</w:t>
      </w:r>
      <w:r w:rsidRPr="00EF50A1">
        <w:rPr>
          <w:rFonts w:cs="Arial"/>
          <w:szCs w:val="20"/>
        </w:rPr>
        <w:t xml:space="preserve"> analiz</w:t>
      </w:r>
      <w:r>
        <w:rPr>
          <w:rFonts w:cs="Arial"/>
          <w:szCs w:val="20"/>
        </w:rPr>
        <w:t>e</w:t>
      </w:r>
      <w:r w:rsidRPr="00EF50A1">
        <w:rPr>
          <w:rFonts w:cs="Arial"/>
          <w:szCs w:val="20"/>
        </w:rPr>
        <w:t xml:space="preserve"> in študij</w:t>
      </w:r>
      <w:r>
        <w:rPr>
          <w:rFonts w:cs="Arial"/>
          <w:szCs w:val="20"/>
        </w:rPr>
        <w:t>e</w:t>
      </w:r>
      <w:r w:rsidRPr="00EF50A1">
        <w:rPr>
          <w:rFonts w:cs="Arial"/>
          <w:szCs w:val="20"/>
        </w:rPr>
        <w:t xml:space="preserve"> (npr. </w:t>
      </w:r>
      <w:r w:rsidRPr="00F416F7">
        <w:rPr>
          <w:rFonts w:cs="Arial"/>
          <w:szCs w:val="20"/>
        </w:rPr>
        <w:t>študij</w:t>
      </w:r>
      <w:r>
        <w:rPr>
          <w:rFonts w:cs="Arial"/>
          <w:szCs w:val="20"/>
        </w:rPr>
        <w:t>i</w:t>
      </w:r>
      <w:r w:rsidRPr="00F416F7">
        <w:rPr>
          <w:rFonts w:cs="Arial"/>
          <w:szCs w:val="20"/>
        </w:rPr>
        <w:t xml:space="preserve"> izvedljivosti, analiz</w:t>
      </w:r>
      <w:r>
        <w:rPr>
          <w:rFonts w:cs="Arial"/>
          <w:szCs w:val="20"/>
        </w:rPr>
        <w:t>i</w:t>
      </w:r>
      <w:r w:rsidRPr="00F416F7">
        <w:rPr>
          <w:rFonts w:cs="Arial"/>
          <w:szCs w:val="20"/>
        </w:rPr>
        <w:t xml:space="preserve"> stroškov in koristi, študij</w:t>
      </w:r>
      <w:r>
        <w:rPr>
          <w:rFonts w:cs="Arial"/>
          <w:szCs w:val="20"/>
        </w:rPr>
        <w:t>i</w:t>
      </w:r>
      <w:r w:rsidRPr="00F416F7">
        <w:rPr>
          <w:rFonts w:cs="Arial"/>
          <w:szCs w:val="20"/>
        </w:rPr>
        <w:t xml:space="preserve"> vplivov na okolje, idejn</w:t>
      </w:r>
      <w:r>
        <w:rPr>
          <w:rFonts w:cs="Arial"/>
          <w:szCs w:val="20"/>
        </w:rPr>
        <w:t>i rešit</w:t>
      </w:r>
      <w:r w:rsidRPr="00F416F7">
        <w:rPr>
          <w:rFonts w:cs="Arial"/>
          <w:szCs w:val="20"/>
        </w:rPr>
        <w:t>v</w:t>
      </w:r>
      <w:r>
        <w:rPr>
          <w:rFonts w:cs="Arial"/>
          <w:szCs w:val="20"/>
        </w:rPr>
        <w:t xml:space="preserve">i, projekta </w:t>
      </w:r>
      <w:r w:rsidRPr="00F416F7">
        <w:rPr>
          <w:rFonts w:cs="Arial"/>
          <w:szCs w:val="20"/>
        </w:rPr>
        <w:t>za pridobitev gradbenega dovoljenja</w:t>
      </w:r>
      <w:r>
        <w:rPr>
          <w:rFonts w:cs="Arial"/>
          <w:szCs w:val="20"/>
        </w:rPr>
        <w:t xml:space="preserve"> ipd.) in ali je bila na njihovi podlagi sprejeta odločitev o izboru posameznega projekta? </w:t>
      </w:r>
    </w:p>
    <w:p w14:paraId="478F057D" w14:textId="77777777" w:rsidR="000A1AF3" w:rsidRPr="00E849DD" w:rsidRDefault="000A1AF3" w:rsidP="003E3DB7">
      <w:pPr>
        <w:numPr>
          <w:ilvl w:val="0"/>
          <w:numId w:val="36"/>
        </w:numPr>
        <w:spacing w:line="240" w:lineRule="auto"/>
        <w:jc w:val="both"/>
        <w:rPr>
          <w:rFonts w:cs="Arial"/>
          <w:szCs w:val="20"/>
        </w:rPr>
      </w:pPr>
      <w:r w:rsidRPr="00E849DD">
        <w:rPr>
          <w:rFonts w:cs="Arial"/>
          <w:szCs w:val="20"/>
        </w:rPr>
        <w:t xml:space="preserve">Ali so bile upoštevane variante in alternative izvedbe projektov </w:t>
      </w:r>
      <w:r w:rsidRPr="00B07A38">
        <w:rPr>
          <w:lang w:eastAsia="sl-SI"/>
        </w:rPr>
        <w:t>z upoštevanjem vseh dimenzij trajnostnega razvoja</w:t>
      </w:r>
      <w:r>
        <w:rPr>
          <w:lang w:eastAsia="sl-SI"/>
        </w:rPr>
        <w:t>: gospodarska</w:t>
      </w:r>
      <w:r w:rsidRPr="00B07A38">
        <w:rPr>
          <w:lang w:eastAsia="sl-SI"/>
        </w:rPr>
        <w:t xml:space="preserve">, družbena in </w:t>
      </w:r>
      <w:proofErr w:type="spellStart"/>
      <w:r w:rsidRPr="00B07A38">
        <w:rPr>
          <w:lang w:eastAsia="sl-SI"/>
        </w:rPr>
        <w:t>okoljska</w:t>
      </w:r>
      <w:proofErr w:type="spellEnd"/>
      <w:r w:rsidRPr="00E849DD">
        <w:rPr>
          <w:rFonts w:cs="Arial"/>
          <w:szCs w:val="20"/>
        </w:rPr>
        <w:t xml:space="preserve"> (npr. alternativne tehnologije, lokacije, sinergije z drugimi projekti ipd.)? </w:t>
      </w:r>
    </w:p>
    <w:p w14:paraId="54D2765C" w14:textId="77777777" w:rsidR="000A1AF3" w:rsidRPr="003F61BE" w:rsidRDefault="000A1AF3" w:rsidP="003E3DB7">
      <w:pPr>
        <w:numPr>
          <w:ilvl w:val="0"/>
          <w:numId w:val="36"/>
        </w:numPr>
        <w:spacing w:line="240" w:lineRule="auto"/>
        <w:ind w:left="357" w:hanging="357"/>
        <w:jc w:val="both"/>
        <w:rPr>
          <w:rFonts w:cs="Arial"/>
          <w:szCs w:val="20"/>
        </w:rPr>
      </w:pPr>
      <w:r>
        <w:rPr>
          <w:lang w:eastAsia="sl-SI"/>
        </w:rPr>
        <w:t>Ali je v fazi načrtovanja, izbora in priprave projektov CMSR na smiseln način upošteval obseg projekta, projektne cilje in način izvedbe glede na identificirane potrebe ter projektna tveganja?</w:t>
      </w:r>
    </w:p>
    <w:p w14:paraId="29137B1E" w14:textId="77777777" w:rsidR="000A1AF3" w:rsidRPr="0037780D" w:rsidRDefault="000A1AF3" w:rsidP="003E3DB7">
      <w:pPr>
        <w:numPr>
          <w:ilvl w:val="0"/>
          <w:numId w:val="36"/>
        </w:numPr>
        <w:spacing w:line="240" w:lineRule="auto"/>
        <w:ind w:left="357" w:hanging="357"/>
        <w:jc w:val="both"/>
        <w:rPr>
          <w:lang w:eastAsia="sl-SI"/>
        </w:rPr>
      </w:pPr>
      <w:r w:rsidRPr="007258C9">
        <w:rPr>
          <w:lang w:eastAsia="sl-SI"/>
        </w:rPr>
        <w:t xml:space="preserve">Ali in kako </w:t>
      </w:r>
      <w:r>
        <w:rPr>
          <w:lang w:eastAsia="sl-SI"/>
        </w:rPr>
        <w:t xml:space="preserve">sta </w:t>
      </w:r>
      <w:r w:rsidRPr="007258C9">
        <w:rPr>
          <w:lang w:eastAsia="sl-SI"/>
        </w:rPr>
        <w:t>projekt</w:t>
      </w:r>
      <w:r>
        <w:rPr>
          <w:lang w:eastAsia="sl-SI"/>
        </w:rPr>
        <w:t xml:space="preserve">a zasledovala </w:t>
      </w:r>
      <w:r w:rsidRPr="007258C9">
        <w:rPr>
          <w:lang w:eastAsia="sl-SI"/>
        </w:rPr>
        <w:t xml:space="preserve">pristop temelječ na človekovih pravicah </w:t>
      </w:r>
      <w:r>
        <w:rPr>
          <w:lang w:eastAsia="sl-SI"/>
        </w:rPr>
        <w:t>ter</w:t>
      </w:r>
      <w:r w:rsidRPr="007258C9">
        <w:rPr>
          <w:lang w:eastAsia="sl-SI"/>
        </w:rPr>
        <w:t xml:space="preserve"> prispeva</w:t>
      </w:r>
      <w:r>
        <w:rPr>
          <w:lang w:eastAsia="sl-SI"/>
        </w:rPr>
        <w:t>la</w:t>
      </w:r>
      <w:r w:rsidRPr="007258C9">
        <w:rPr>
          <w:lang w:eastAsia="sl-SI"/>
        </w:rPr>
        <w:t xml:space="preserve"> k </w:t>
      </w:r>
      <w:r>
        <w:rPr>
          <w:lang w:eastAsia="sl-SI"/>
        </w:rPr>
        <w:t xml:space="preserve">doseganju </w:t>
      </w:r>
      <w:r w:rsidRPr="007258C9">
        <w:rPr>
          <w:lang w:eastAsia="sl-SI"/>
        </w:rPr>
        <w:t>enakosti spolov in varovanju okolja?</w:t>
      </w:r>
    </w:p>
    <w:p w14:paraId="6B67039D" w14:textId="77777777" w:rsidR="000A1AF3" w:rsidRPr="00284114" w:rsidRDefault="000A1AF3" w:rsidP="003E3DB7">
      <w:pPr>
        <w:jc w:val="both"/>
        <w:rPr>
          <w:lang w:eastAsia="sl-SI"/>
        </w:rPr>
      </w:pPr>
    </w:p>
    <w:p w14:paraId="6A029671" w14:textId="77777777" w:rsidR="000A1AF3" w:rsidRPr="00284114" w:rsidRDefault="000A1AF3" w:rsidP="003E3DB7">
      <w:pPr>
        <w:jc w:val="both"/>
        <w:rPr>
          <w:b/>
          <w:lang w:eastAsia="sl-SI"/>
        </w:rPr>
      </w:pPr>
      <w:r w:rsidRPr="00284114">
        <w:rPr>
          <w:b/>
          <w:lang w:eastAsia="sl-SI"/>
        </w:rPr>
        <w:t xml:space="preserve">Uspešnost: ali je </w:t>
      </w:r>
      <w:r>
        <w:rPr>
          <w:b/>
          <w:lang w:eastAsia="sl-SI"/>
        </w:rPr>
        <w:t>cilj projekta dosežen</w:t>
      </w:r>
      <w:r w:rsidRPr="00284114">
        <w:rPr>
          <w:b/>
          <w:lang w:eastAsia="sl-SI"/>
        </w:rPr>
        <w:t>?</w:t>
      </w:r>
    </w:p>
    <w:p w14:paraId="0052695C" w14:textId="77777777" w:rsidR="000A1AF3" w:rsidRPr="00284114" w:rsidRDefault="000A1AF3" w:rsidP="003E3DB7">
      <w:pPr>
        <w:jc w:val="both"/>
      </w:pPr>
      <w:r w:rsidRPr="00284114">
        <w:t>Presodi se, v k</w:t>
      </w:r>
      <w:r>
        <w:t xml:space="preserve">olikšni meri je projekt dosegel </w:t>
      </w:r>
      <w:r w:rsidRPr="00284114">
        <w:t>cilj</w:t>
      </w:r>
      <w:r>
        <w:t>e</w:t>
      </w:r>
      <w:r w:rsidRPr="00284114">
        <w:t xml:space="preserve"> in rezultate.</w:t>
      </w:r>
      <w:r>
        <w:t xml:space="preserve"> </w:t>
      </w:r>
    </w:p>
    <w:p w14:paraId="74A0AF02" w14:textId="77777777" w:rsidR="000A1AF3" w:rsidRPr="003B3A9A" w:rsidRDefault="000A1AF3" w:rsidP="003E3DB7">
      <w:pPr>
        <w:numPr>
          <w:ilvl w:val="0"/>
          <w:numId w:val="36"/>
        </w:numPr>
        <w:spacing w:line="240" w:lineRule="auto"/>
        <w:ind w:left="357" w:hanging="357"/>
        <w:jc w:val="both"/>
        <w:rPr>
          <w:rFonts w:cs="Arial"/>
          <w:szCs w:val="20"/>
        </w:rPr>
      </w:pPr>
      <w:r w:rsidRPr="003B3A9A">
        <w:rPr>
          <w:lang w:eastAsia="sl-SI"/>
        </w:rPr>
        <w:t xml:space="preserve">V kolikšni meri so </w:t>
      </w:r>
      <w:r>
        <w:rPr>
          <w:lang w:eastAsia="sl-SI"/>
        </w:rPr>
        <w:t>učinki in rezultati projektov</w:t>
      </w:r>
      <w:r w:rsidRPr="003B3A9A">
        <w:rPr>
          <w:lang w:eastAsia="sl-SI"/>
        </w:rPr>
        <w:t xml:space="preserve"> pripomogli k uresničevanju zastavljen</w:t>
      </w:r>
      <w:r>
        <w:rPr>
          <w:lang w:eastAsia="sl-SI"/>
        </w:rPr>
        <w:t>ih</w:t>
      </w:r>
      <w:r w:rsidRPr="003B3A9A">
        <w:rPr>
          <w:lang w:eastAsia="sl-SI"/>
        </w:rPr>
        <w:t xml:space="preserve"> cilj</w:t>
      </w:r>
      <w:r>
        <w:rPr>
          <w:lang w:eastAsia="sl-SI"/>
        </w:rPr>
        <w:t>ev</w:t>
      </w:r>
      <w:r w:rsidRPr="003B3A9A">
        <w:rPr>
          <w:lang w:eastAsia="sl-SI"/>
        </w:rPr>
        <w:t>?</w:t>
      </w:r>
    </w:p>
    <w:p w14:paraId="5366CF98" w14:textId="77777777" w:rsidR="000A1AF3" w:rsidRDefault="000A1AF3" w:rsidP="003E3DB7">
      <w:pPr>
        <w:numPr>
          <w:ilvl w:val="0"/>
          <w:numId w:val="36"/>
        </w:numPr>
        <w:spacing w:line="240" w:lineRule="auto"/>
        <w:ind w:left="357" w:hanging="357"/>
        <w:jc w:val="both"/>
        <w:rPr>
          <w:lang w:eastAsia="sl-SI"/>
        </w:rPr>
      </w:pPr>
      <w:r>
        <w:rPr>
          <w:lang w:eastAsia="sl-SI"/>
        </w:rPr>
        <w:t>Ali sta projekta dosegla vse predvidene končne prejemnike?</w:t>
      </w:r>
    </w:p>
    <w:p w14:paraId="2A36E9CA" w14:textId="77777777" w:rsidR="000A1AF3" w:rsidRDefault="000A1AF3" w:rsidP="003E3DB7">
      <w:pPr>
        <w:numPr>
          <w:ilvl w:val="0"/>
          <w:numId w:val="36"/>
        </w:numPr>
        <w:spacing w:line="240" w:lineRule="auto"/>
        <w:ind w:left="357" w:hanging="357"/>
        <w:jc w:val="both"/>
        <w:rPr>
          <w:rFonts w:cs="Arial"/>
          <w:szCs w:val="20"/>
        </w:rPr>
      </w:pPr>
      <w:r>
        <w:rPr>
          <w:lang w:eastAsia="sl-SI"/>
        </w:rPr>
        <w:t>Ali sta imela projekta kakšne negativne posledice pri končnih prejemnikih ali v njihovem okolju</w:t>
      </w:r>
      <w:r w:rsidRPr="00426ACC">
        <w:rPr>
          <w:rFonts w:cs="Arial"/>
          <w:szCs w:val="20"/>
        </w:rPr>
        <w:t>?</w:t>
      </w:r>
    </w:p>
    <w:p w14:paraId="17B3AF9F" w14:textId="77777777" w:rsidR="000A1AF3" w:rsidRPr="00284114" w:rsidRDefault="000A1AF3" w:rsidP="003E3DB7">
      <w:pPr>
        <w:jc w:val="both"/>
        <w:rPr>
          <w:rFonts w:cs="Arial"/>
          <w:b/>
          <w:szCs w:val="20"/>
          <w:highlight w:val="yellow"/>
        </w:rPr>
      </w:pPr>
    </w:p>
    <w:p w14:paraId="636513F1" w14:textId="77777777" w:rsidR="000A1AF3" w:rsidRPr="00284114" w:rsidRDefault="000A1AF3" w:rsidP="003E3DB7">
      <w:pPr>
        <w:jc w:val="both"/>
        <w:rPr>
          <w:b/>
          <w:lang w:eastAsia="sl-SI"/>
        </w:rPr>
      </w:pPr>
      <w:r w:rsidRPr="00284114">
        <w:rPr>
          <w:b/>
          <w:lang w:eastAsia="sl-SI"/>
        </w:rPr>
        <w:t>Učinkovitost: ali so sredstva ustrezno izkoriščena?</w:t>
      </w:r>
    </w:p>
    <w:p w14:paraId="37BAF2B2" w14:textId="77777777" w:rsidR="000A1AF3" w:rsidRPr="00284114" w:rsidRDefault="000A1AF3" w:rsidP="003E3DB7">
      <w:pPr>
        <w:jc w:val="both"/>
      </w:pPr>
      <w:r w:rsidRPr="00284114">
        <w:t>Presodi se, v kolikšni meri projekt dosega cilj</w:t>
      </w:r>
      <w:r>
        <w:t>e</w:t>
      </w:r>
      <w:r w:rsidRPr="00284114">
        <w:t xml:space="preserve"> in rezultate na gospodaren in časovno ustrezen način.</w:t>
      </w:r>
      <w:r>
        <w:t xml:space="preserve"> Poleg tega se presodi tudi </w:t>
      </w:r>
      <w:r w:rsidRPr="00EF50A1">
        <w:rPr>
          <w:rFonts w:cs="Arial"/>
          <w:szCs w:val="20"/>
        </w:rPr>
        <w:t>postopke izbora projektov CMSR</w:t>
      </w:r>
      <w:r>
        <w:rPr>
          <w:rFonts w:cs="Arial"/>
          <w:szCs w:val="20"/>
        </w:rPr>
        <w:t>.</w:t>
      </w:r>
    </w:p>
    <w:p w14:paraId="19FD70F5" w14:textId="77777777" w:rsidR="000A1AF3" w:rsidRDefault="000A1AF3" w:rsidP="003E3DB7">
      <w:pPr>
        <w:numPr>
          <w:ilvl w:val="0"/>
          <w:numId w:val="36"/>
        </w:numPr>
        <w:spacing w:line="240" w:lineRule="auto"/>
        <w:jc w:val="both"/>
        <w:rPr>
          <w:rFonts w:cs="Arial"/>
          <w:szCs w:val="20"/>
        </w:rPr>
      </w:pPr>
      <w:r w:rsidRPr="00B429CA">
        <w:rPr>
          <w:rFonts w:cs="Arial"/>
          <w:szCs w:val="20"/>
        </w:rPr>
        <w:t>Kako je bil voden postop</w:t>
      </w:r>
      <w:r>
        <w:rPr>
          <w:rFonts w:cs="Arial"/>
          <w:szCs w:val="20"/>
        </w:rPr>
        <w:t xml:space="preserve">ek načrtovanja, </w:t>
      </w:r>
      <w:r w:rsidRPr="00B429CA">
        <w:rPr>
          <w:rFonts w:cs="Arial"/>
          <w:szCs w:val="20"/>
        </w:rPr>
        <w:t xml:space="preserve">izbora </w:t>
      </w:r>
      <w:r>
        <w:rPr>
          <w:rFonts w:cs="Arial"/>
          <w:szCs w:val="20"/>
        </w:rPr>
        <w:t xml:space="preserve">in priprave </w:t>
      </w:r>
      <w:r w:rsidRPr="00B429CA">
        <w:rPr>
          <w:rFonts w:cs="Arial"/>
          <w:szCs w:val="20"/>
        </w:rPr>
        <w:t>projekt</w:t>
      </w:r>
      <w:r>
        <w:rPr>
          <w:rFonts w:cs="Arial"/>
          <w:szCs w:val="20"/>
        </w:rPr>
        <w:t>ov</w:t>
      </w:r>
      <w:r w:rsidRPr="00B429CA">
        <w:rPr>
          <w:rFonts w:cs="Arial"/>
          <w:szCs w:val="20"/>
        </w:rPr>
        <w:t>, zlasti ocenjevanje</w:t>
      </w:r>
      <w:r>
        <w:rPr>
          <w:rFonts w:cs="Arial"/>
          <w:szCs w:val="20"/>
        </w:rPr>
        <w:t xml:space="preserve"> in </w:t>
      </w:r>
      <w:proofErr w:type="spellStart"/>
      <w:r>
        <w:rPr>
          <w:rFonts w:cs="Arial"/>
          <w:szCs w:val="20"/>
        </w:rPr>
        <w:t>rangiranje</w:t>
      </w:r>
      <w:proofErr w:type="spellEnd"/>
      <w:r w:rsidRPr="00B429CA">
        <w:rPr>
          <w:rFonts w:cs="Arial"/>
          <w:szCs w:val="20"/>
        </w:rPr>
        <w:t>, merila, kakovost projektne dokumentacije</w:t>
      </w:r>
      <w:r>
        <w:rPr>
          <w:rFonts w:cs="Arial"/>
          <w:szCs w:val="20"/>
        </w:rPr>
        <w:t xml:space="preserve"> </w:t>
      </w:r>
      <w:r w:rsidRPr="00F416F7">
        <w:rPr>
          <w:rFonts w:cs="Arial"/>
          <w:szCs w:val="20"/>
        </w:rPr>
        <w:t xml:space="preserve">(splošni opis problematike, namen, cilji, pričakovani rezultati, </w:t>
      </w:r>
      <w:r w:rsidRPr="00F416F7">
        <w:rPr>
          <w:rFonts w:cs="Arial"/>
          <w:szCs w:val="20"/>
        </w:rPr>
        <w:lastRenderedPageBreak/>
        <w:t>kvantificirani kazalniki, aktivnosti, proračun)</w:t>
      </w:r>
      <w:r>
        <w:rPr>
          <w:rFonts w:cs="Arial"/>
          <w:szCs w:val="20"/>
        </w:rPr>
        <w:t>?</w:t>
      </w:r>
      <w:r w:rsidRPr="001D11B8">
        <w:rPr>
          <w:rFonts w:cs="Arial"/>
          <w:szCs w:val="20"/>
        </w:rPr>
        <w:t xml:space="preserve"> </w:t>
      </w:r>
      <w:r>
        <w:rPr>
          <w:rFonts w:cs="Arial"/>
          <w:szCs w:val="20"/>
        </w:rPr>
        <w:t>Ali je z</w:t>
      </w:r>
      <w:r w:rsidRPr="00F416F7">
        <w:rPr>
          <w:rFonts w:cs="Arial"/>
          <w:szCs w:val="20"/>
        </w:rPr>
        <w:t>agotovljena jasna revizijska sled (tj. kdo je ocenjeval, katera dokumentacija je podlaga za ocenjevanje, zakaj je dodeljeno določeno število točk itd.)</w:t>
      </w:r>
      <w:r>
        <w:rPr>
          <w:rFonts w:cs="Arial"/>
          <w:szCs w:val="20"/>
        </w:rPr>
        <w:t xml:space="preserve">? </w:t>
      </w:r>
    </w:p>
    <w:p w14:paraId="2AE315C3" w14:textId="77777777" w:rsidR="000A1AF3" w:rsidRDefault="000A1AF3" w:rsidP="003E3DB7">
      <w:pPr>
        <w:numPr>
          <w:ilvl w:val="0"/>
          <w:numId w:val="36"/>
        </w:numPr>
        <w:spacing w:line="240" w:lineRule="auto"/>
        <w:jc w:val="both"/>
        <w:rPr>
          <w:rFonts w:cs="Arial"/>
          <w:szCs w:val="20"/>
        </w:rPr>
      </w:pPr>
      <w:r w:rsidRPr="001D11B8">
        <w:rPr>
          <w:rFonts w:cs="Arial"/>
          <w:szCs w:val="20"/>
        </w:rPr>
        <w:t xml:space="preserve">Kako je bil voden </w:t>
      </w:r>
      <w:r>
        <w:rPr>
          <w:rFonts w:cs="Arial"/>
          <w:szCs w:val="20"/>
        </w:rPr>
        <w:t>in dokumentiran postopek javnega naročanja?</w:t>
      </w:r>
    </w:p>
    <w:p w14:paraId="64C69A80" w14:textId="77777777" w:rsidR="000A1AF3" w:rsidRPr="001D11B8" w:rsidRDefault="000A1AF3" w:rsidP="003E3DB7">
      <w:pPr>
        <w:numPr>
          <w:ilvl w:val="0"/>
          <w:numId w:val="36"/>
        </w:numPr>
        <w:spacing w:line="240" w:lineRule="atLeast"/>
        <w:jc w:val="both"/>
        <w:rPr>
          <w:rFonts w:eastAsia="Times New Roman" w:cs="Calibri"/>
          <w:szCs w:val="24"/>
          <w:lang w:eastAsia="sl-SI"/>
        </w:rPr>
      </w:pPr>
      <w:r w:rsidRPr="001D11B8">
        <w:rPr>
          <w:rFonts w:eastAsia="Times New Roman" w:cs="Calibri"/>
          <w:szCs w:val="24"/>
          <w:lang w:eastAsia="sl-SI"/>
        </w:rPr>
        <w:t>Kako so bil</w:t>
      </w:r>
      <w:r>
        <w:rPr>
          <w:rFonts w:eastAsia="Times New Roman" w:cs="Calibri"/>
          <w:szCs w:val="24"/>
          <w:lang w:eastAsia="sl-SI"/>
        </w:rPr>
        <w:t>e</w:t>
      </w:r>
      <w:r w:rsidRPr="001D11B8">
        <w:rPr>
          <w:rFonts w:eastAsia="Times New Roman" w:cs="Calibri"/>
          <w:szCs w:val="24"/>
          <w:lang w:eastAsia="sl-SI"/>
        </w:rPr>
        <w:t xml:space="preserve"> vodene in dokumentirane posamezne faze izvajanja projekta (donatorsk</w:t>
      </w:r>
      <w:r>
        <w:rPr>
          <w:rFonts w:eastAsia="Times New Roman" w:cs="Calibri"/>
          <w:szCs w:val="24"/>
          <w:lang w:eastAsia="sl-SI"/>
        </w:rPr>
        <w:t>e</w:t>
      </w:r>
      <w:r w:rsidRPr="001D11B8">
        <w:rPr>
          <w:rFonts w:eastAsia="Times New Roman" w:cs="Calibri"/>
          <w:szCs w:val="24"/>
          <w:lang w:eastAsia="sl-SI"/>
        </w:rPr>
        <w:t xml:space="preserve"> pogodb</w:t>
      </w:r>
      <w:r>
        <w:rPr>
          <w:rFonts w:eastAsia="Times New Roman" w:cs="Calibri"/>
          <w:szCs w:val="24"/>
          <w:lang w:eastAsia="sl-SI"/>
        </w:rPr>
        <w:t>e</w:t>
      </w:r>
      <w:r w:rsidRPr="001D11B8">
        <w:rPr>
          <w:rFonts w:eastAsia="Times New Roman" w:cs="Calibri"/>
          <w:szCs w:val="24"/>
          <w:lang w:eastAsia="sl-SI"/>
        </w:rPr>
        <w:t>, komercialn</w:t>
      </w:r>
      <w:r>
        <w:rPr>
          <w:rFonts w:eastAsia="Times New Roman" w:cs="Calibri"/>
          <w:szCs w:val="24"/>
          <w:lang w:eastAsia="sl-SI"/>
        </w:rPr>
        <w:t>e</w:t>
      </w:r>
      <w:r w:rsidRPr="001D11B8">
        <w:rPr>
          <w:rFonts w:eastAsia="Times New Roman" w:cs="Calibri"/>
          <w:szCs w:val="24"/>
          <w:lang w:eastAsia="sl-SI"/>
        </w:rPr>
        <w:t xml:space="preserve"> pogodb</w:t>
      </w:r>
      <w:r>
        <w:rPr>
          <w:rFonts w:eastAsia="Times New Roman" w:cs="Calibri"/>
          <w:szCs w:val="24"/>
          <w:lang w:eastAsia="sl-SI"/>
        </w:rPr>
        <w:t>e</w:t>
      </w:r>
      <w:r w:rsidRPr="001D11B8">
        <w:rPr>
          <w:rFonts w:eastAsia="Times New Roman" w:cs="Calibri"/>
          <w:szCs w:val="24"/>
          <w:lang w:eastAsia="sl-SI"/>
        </w:rPr>
        <w:t>, nadzor izvedbe</w:t>
      </w:r>
      <w:r>
        <w:rPr>
          <w:rFonts w:eastAsia="Times New Roman" w:cs="Calibri"/>
          <w:szCs w:val="24"/>
          <w:lang w:eastAsia="sl-SI"/>
        </w:rPr>
        <w:t>, upravljanje sprememb, ipd.)?</w:t>
      </w:r>
    </w:p>
    <w:p w14:paraId="32221756" w14:textId="77777777" w:rsidR="000A1AF3" w:rsidRPr="00B07A38" w:rsidRDefault="000A1AF3" w:rsidP="003E3DB7">
      <w:pPr>
        <w:numPr>
          <w:ilvl w:val="0"/>
          <w:numId w:val="36"/>
        </w:numPr>
        <w:spacing w:line="240" w:lineRule="auto"/>
        <w:ind w:left="357" w:hanging="357"/>
        <w:jc w:val="both"/>
        <w:rPr>
          <w:lang w:eastAsia="sl-SI"/>
        </w:rPr>
      </w:pPr>
      <w:r w:rsidRPr="004E6412">
        <w:rPr>
          <w:lang w:eastAsia="sl-SI"/>
        </w:rPr>
        <w:t>Ali so bile izvedene aktivnosti ustrezne in izvedene na način, da so prispevale k doseganju posameznega rezultata na najboljši možni način – s finančnega</w:t>
      </w:r>
      <w:r>
        <w:rPr>
          <w:lang w:eastAsia="sl-SI"/>
        </w:rPr>
        <w:t xml:space="preserve"> in </w:t>
      </w:r>
      <w:r w:rsidRPr="004E6412">
        <w:rPr>
          <w:lang w:eastAsia="sl-SI"/>
        </w:rPr>
        <w:t xml:space="preserve">časovnega vidika </w:t>
      </w:r>
      <w:r>
        <w:rPr>
          <w:lang w:eastAsia="sl-SI"/>
        </w:rPr>
        <w:t>ter</w:t>
      </w:r>
      <w:r w:rsidRPr="004E6412">
        <w:rPr>
          <w:lang w:eastAsia="sl-SI"/>
        </w:rPr>
        <w:t xml:space="preserve"> z vidika kakovosti </w:t>
      </w:r>
      <w:proofErr w:type="spellStart"/>
      <w:r w:rsidRPr="004E6412">
        <w:rPr>
          <w:lang w:eastAsia="sl-SI"/>
        </w:rPr>
        <w:t>itd</w:t>
      </w:r>
      <w:proofErr w:type="spellEnd"/>
      <w:r w:rsidRPr="004E6412">
        <w:rPr>
          <w:lang w:eastAsia="sl-SI"/>
        </w:rPr>
        <w:t>?</w:t>
      </w:r>
    </w:p>
    <w:p w14:paraId="60E61B3A" w14:textId="77777777" w:rsidR="000A1AF3" w:rsidRPr="00B07A38" w:rsidRDefault="000A1AF3" w:rsidP="003E3DB7">
      <w:pPr>
        <w:numPr>
          <w:ilvl w:val="0"/>
          <w:numId w:val="36"/>
        </w:numPr>
        <w:spacing w:line="240" w:lineRule="auto"/>
        <w:ind w:left="357" w:hanging="357"/>
        <w:jc w:val="both"/>
        <w:rPr>
          <w:rFonts w:cs="Arial"/>
          <w:szCs w:val="20"/>
        </w:rPr>
      </w:pPr>
      <w:r w:rsidRPr="004E6412">
        <w:rPr>
          <w:lang w:eastAsia="sl-SI"/>
        </w:rPr>
        <w:t xml:space="preserve">V kolikšni meri </w:t>
      </w:r>
      <w:r>
        <w:rPr>
          <w:lang w:eastAsia="sl-SI"/>
        </w:rPr>
        <w:t>je</w:t>
      </w:r>
      <w:r w:rsidRPr="004E6412">
        <w:rPr>
          <w:lang w:eastAsia="sl-SI"/>
        </w:rPr>
        <w:t xml:space="preserve"> </w:t>
      </w:r>
      <w:r>
        <w:rPr>
          <w:lang w:eastAsia="sl-SI"/>
        </w:rPr>
        <w:t xml:space="preserve">bilo pri </w:t>
      </w:r>
      <w:r w:rsidRPr="004E6412">
        <w:rPr>
          <w:lang w:eastAsia="sl-SI"/>
        </w:rPr>
        <w:t>projekt</w:t>
      </w:r>
      <w:r>
        <w:rPr>
          <w:lang w:eastAsia="sl-SI"/>
        </w:rPr>
        <w:t>ih</w:t>
      </w:r>
      <w:r w:rsidRPr="004E6412">
        <w:rPr>
          <w:lang w:eastAsia="sl-SI"/>
        </w:rPr>
        <w:t xml:space="preserve"> upošteva</w:t>
      </w:r>
      <w:r>
        <w:rPr>
          <w:lang w:eastAsia="sl-SI"/>
        </w:rPr>
        <w:t>no</w:t>
      </w:r>
      <w:r w:rsidRPr="004E6412">
        <w:rPr>
          <w:lang w:eastAsia="sl-SI"/>
        </w:rPr>
        <w:t xml:space="preserve"> načelo lastništva </w:t>
      </w:r>
      <w:r w:rsidRPr="00D45EAC">
        <w:rPr>
          <w:lang w:eastAsia="sl-SI"/>
        </w:rPr>
        <w:t>prejemnika pomoči</w:t>
      </w:r>
      <w:r>
        <w:rPr>
          <w:lang w:eastAsia="sl-SI"/>
        </w:rPr>
        <w:t xml:space="preserve"> in ali</w:t>
      </w:r>
      <w:r w:rsidRPr="004E6412">
        <w:rPr>
          <w:lang w:eastAsia="sl-SI"/>
        </w:rPr>
        <w:t xml:space="preserve"> </w:t>
      </w:r>
      <w:r>
        <w:rPr>
          <w:lang w:eastAsia="sl-SI"/>
        </w:rPr>
        <w:t xml:space="preserve">je bil </w:t>
      </w:r>
      <w:r w:rsidRPr="004E6412">
        <w:rPr>
          <w:lang w:eastAsia="sl-SI"/>
        </w:rPr>
        <w:t>aktiv</w:t>
      </w:r>
      <w:r>
        <w:rPr>
          <w:lang w:eastAsia="sl-SI"/>
        </w:rPr>
        <w:t>no vključen v izvedbo projektov</w:t>
      </w:r>
      <w:r w:rsidRPr="004E6412">
        <w:rPr>
          <w:lang w:eastAsia="sl-SI"/>
        </w:rPr>
        <w:t>?</w:t>
      </w:r>
      <w:r>
        <w:rPr>
          <w:lang w:eastAsia="sl-SI"/>
        </w:rPr>
        <w:t xml:space="preserve"> </w:t>
      </w:r>
    </w:p>
    <w:p w14:paraId="76AF69DE" w14:textId="77777777" w:rsidR="000A1AF3" w:rsidRPr="00B07A38" w:rsidRDefault="000A1AF3" w:rsidP="003E3DB7">
      <w:pPr>
        <w:ind w:left="357"/>
        <w:jc w:val="both"/>
        <w:rPr>
          <w:rFonts w:cs="Arial"/>
          <w:szCs w:val="20"/>
        </w:rPr>
      </w:pPr>
    </w:p>
    <w:p w14:paraId="427D55C5" w14:textId="77777777" w:rsidR="000A1AF3" w:rsidRPr="00284114" w:rsidRDefault="000A1AF3" w:rsidP="003E3DB7">
      <w:pPr>
        <w:jc w:val="both"/>
        <w:rPr>
          <w:b/>
          <w:lang w:eastAsia="sl-SI"/>
        </w:rPr>
      </w:pPr>
      <w:r w:rsidRPr="00284114">
        <w:rPr>
          <w:b/>
          <w:lang w:eastAsia="sl-SI"/>
        </w:rPr>
        <w:t>Vpliv: kaj bo projekt spremenil?</w:t>
      </w:r>
    </w:p>
    <w:p w14:paraId="5D50449A" w14:textId="77777777" w:rsidR="000A1AF3" w:rsidRPr="00284114" w:rsidRDefault="000A1AF3" w:rsidP="003E3DB7">
      <w:pPr>
        <w:jc w:val="both"/>
      </w:pPr>
      <w:r w:rsidRPr="00284114">
        <w:t>Presodi se, v kolikšni meri projekt ustvar</w:t>
      </w:r>
      <w:r>
        <w:t>ja</w:t>
      </w:r>
      <w:r w:rsidRPr="00284114">
        <w:t xml:space="preserve"> ali se pričakuje, da bo</w:t>
      </w:r>
      <w:r>
        <w:t xml:space="preserve"> </w:t>
      </w:r>
      <w:r w:rsidRPr="00284114">
        <w:t xml:space="preserve">ustvaril znatne pozitivne ali negativne, namerne ali nenamerne učinke </w:t>
      </w:r>
      <w:r>
        <w:t xml:space="preserve">za prejemnike in širšo družbo. </w:t>
      </w:r>
    </w:p>
    <w:p w14:paraId="6B64A035" w14:textId="77777777" w:rsidR="000A1AF3" w:rsidRDefault="000A1AF3" w:rsidP="003E3DB7">
      <w:pPr>
        <w:numPr>
          <w:ilvl w:val="0"/>
          <w:numId w:val="40"/>
        </w:numPr>
        <w:spacing w:line="240" w:lineRule="auto"/>
        <w:ind w:left="357" w:hanging="357"/>
        <w:jc w:val="both"/>
        <w:rPr>
          <w:lang w:eastAsia="sl-SI"/>
        </w:rPr>
      </w:pPr>
      <w:r>
        <w:rPr>
          <w:lang w:eastAsia="sl-SI"/>
        </w:rPr>
        <w:t>Ali ima projekt potencialni dolgoročni vpliv na končne prejemnike in širše družbeno okolje?</w:t>
      </w:r>
    </w:p>
    <w:p w14:paraId="0E631069" w14:textId="77777777" w:rsidR="000A1AF3" w:rsidRDefault="000A1AF3" w:rsidP="003E3DB7">
      <w:pPr>
        <w:numPr>
          <w:ilvl w:val="0"/>
          <w:numId w:val="40"/>
        </w:numPr>
        <w:spacing w:line="240" w:lineRule="auto"/>
        <w:ind w:left="357" w:hanging="357"/>
        <w:jc w:val="both"/>
        <w:rPr>
          <w:lang w:eastAsia="sl-SI"/>
        </w:rPr>
      </w:pPr>
      <w:r>
        <w:rPr>
          <w:lang w:eastAsia="sl-SI"/>
        </w:rPr>
        <w:t>Ali obstajajo negativni vplivi projektov ali tveganja, ki bi se v prihodnosti lahko uresničila?</w:t>
      </w:r>
    </w:p>
    <w:p w14:paraId="09794911" w14:textId="77777777" w:rsidR="000A1AF3" w:rsidRPr="00284114" w:rsidRDefault="000A1AF3" w:rsidP="003E3DB7">
      <w:pPr>
        <w:jc w:val="both"/>
        <w:rPr>
          <w:rFonts w:cs="Arial"/>
          <w:szCs w:val="20"/>
          <w:highlight w:val="yellow"/>
        </w:rPr>
      </w:pPr>
    </w:p>
    <w:p w14:paraId="0CF4B824" w14:textId="77777777" w:rsidR="000A1AF3" w:rsidRPr="00284114" w:rsidRDefault="000A1AF3" w:rsidP="003E3DB7">
      <w:pPr>
        <w:jc w:val="both"/>
        <w:rPr>
          <w:b/>
          <w:lang w:eastAsia="sl-SI"/>
        </w:rPr>
      </w:pPr>
      <w:r w:rsidRPr="00284114">
        <w:rPr>
          <w:b/>
          <w:lang w:eastAsia="sl-SI"/>
        </w:rPr>
        <w:t>Trajnost: ali bodo koristi trajne?</w:t>
      </w:r>
    </w:p>
    <w:p w14:paraId="234901F0" w14:textId="77777777" w:rsidR="000A1AF3" w:rsidRDefault="000A1AF3" w:rsidP="003E3DB7">
      <w:pPr>
        <w:ind w:right="29"/>
        <w:jc w:val="both"/>
      </w:pPr>
      <w:r>
        <w:t xml:space="preserve">Presodi se, do katere mere se neto koristi projekta nadaljujejo po zaključku projektnih aktivnosti oziroma ali obstaja možnost za to. </w:t>
      </w:r>
    </w:p>
    <w:p w14:paraId="42DC2B41" w14:textId="77777777" w:rsidR="000A1AF3" w:rsidRPr="00F416F7" w:rsidRDefault="000A1AF3" w:rsidP="003E3DB7">
      <w:pPr>
        <w:numPr>
          <w:ilvl w:val="0"/>
          <w:numId w:val="36"/>
        </w:numPr>
        <w:spacing w:line="240" w:lineRule="auto"/>
        <w:jc w:val="both"/>
        <w:rPr>
          <w:rFonts w:cs="Arial"/>
          <w:szCs w:val="20"/>
        </w:rPr>
      </w:pPr>
      <w:r>
        <w:rPr>
          <w:rFonts w:cs="Arial"/>
          <w:szCs w:val="20"/>
        </w:rPr>
        <w:t>Ali se je uporabilo</w:t>
      </w:r>
      <w:r w:rsidRPr="00F416F7">
        <w:rPr>
          <w:rFonts w:cs="Arial"/>
          <w:szCs w:val="20"/>
        </w:rPr>
        <w:t xml:space="preserve"> </w:t>
      </w:r>
      <w:r>
        <w:rPr>
          <w:rFonts w:cs="Arial"/>
          <w:szCs w:val="20"/>
        </w:rPr>
        <w:t xml:space="preserve">mehko pogojevanje </w:t>
      </w:r>
      <w:r w:rsidRPr="00F416F7">
        <w:rPr>
          <w:rFonts w:cs="Arial"/>
          <w:szCs w:val="20"/>
        </w:rPr>
        <w:t xml:space="preserve">za zagotavljanje lokalnega lastništva rezultatov (npr. zaveze glede financiranja stroškov vzdrževanja) </w:t>
      </w:r>
      <w:r>
        <w:rPr>
          <w:rFonts w:cs="Arial"/>
          <w:szCs w:val="20"/>
        </w:rPr>
        <w:t>in</w:t>
      </w:r>
      <w:r w:rsidRPr="00F416F7">
        <w:rPr>
          <w:rFonts w:cs="Arial"/>
          <w:szCs w:val="20"/>
        </w:rPr>
        <w:t xml:space="preserve"> d</w:t>
      </w:r>
      <w:r>
        <w:rPr>
          <w:rFonts w:cs="Arial"/>
          <w:szCs w:val="20"/>
        </w:rPr>
        <w:t>oseganje načrtovanih rezultatov?</w:t>
      </w:r>
    </w:p>
    <w:p w14:paraId="13743901" w14:textId="0068A98C" w:rsidR="000A1AF3" w:rsidRDefault="000A1AF3" w:rsidP="003E3DB7">
      <w:pPr>
        <w:numPr>
          <w:ilvl w:val="0"/>
          <w:numId w:val="36"/>
        </w:numPr>
        <w:spacing w:line="240" w:lineRule="auto"/>
        <w:ind w:left="357" w:hanging="357"/>
        <w:jc w:val="both"/>
        <w:rPr>
          <w:lang w:eastAsia="sl-SI"/>
        </w:rPr>
      </w:pPr>
      <w:r w:rsidRPr="00284114">
        <w:rPr>
          <w:lang w:eastAsia="sl-SI"/>
        </w:rPr>
        <w:t xml:space="preserve">V kolikšni meri </w:t>
      </w:r>
      <w:r w:rsidRPr="00E849DD">
        <w:rPr>
          <w:lang w:eastAsia="sl-SI"/>
        </w:rPr>
        <w:t>je prejemnik pomoči sposoben</w:t>
      </w:r>
      <w:r>
        <w:rPr>
          <w:lang w:eastAsia="sl-SI"/>
        </w:rPr>
        <w:t xml:space="preserve"> </w:t>
      </w:r>
      <w:r w:rsidRPr="00190CCD">
        <w:rPr>
          <w:lang w:eastAsia="sl-SI"/>
        </w:rPr>
        <w:t xml:space="preserve">in pripravljen vzdrževati pozitivne </w:t>
      </w:r>
      <w:r>
        <w:rPr>
          <w:lang w:eastAsia="sl-SI"/>
        </w:rPr>
        <w:t>vplive</w:t>
      </w:r>
      <w:r w:rsidRPr="00190CCD">
        <w:rPr>
          <w:lang w:eastAsia="sl-SI"/>
        </w:rPr>
        <w:t xml:space="preserve"> projekta brez podpore na dolgi rok?</w:t>
      </w:r>
    </w:p>
    <w:p w14:paraId="4A3D1C1A" w14:textId="77777777" w:rsidR="0073087E" w:rsidRPr="00190CCD" w:rsidRDefault="0073087E" w:rsidP="003E3DB7">
      <w:pPr>
        <w:spacing w:line="240" w:lineRule="auto"/>
        <w:ind w:left="357"/>
        <w:jc w:val="both"/>
        <w:rPr>
          <w:lang w:eastAsia="sl-SI"/>
        </w:rPr>
      </w:pPr>
    </w:p>
    <w:p w14:paraId="6CBB8D6A" w14:textId="77777777" w:rsidR="000A1AF3" w:rsidRPr="00CD3C60" w:rsidRDefault="000A1AF3" w:rsidP="002C3C68">
      <w:pPr>
        <w:pStyle w:val="Heading2"/>
      </w:pPr>
      <w:bookmarkStart w:id="152" w:name="_Toc57377193"/>
      <w:r w:rsidRPr="00CD3C60">
        <w:t>Metodologija</w:t>
      </w:r>
      <w:bookmarkEnd w:id="152"/>
    </w:p>
    <w:p w14:paraId="722D023B" w14:textId="5698E923" w:rsidR="000A1AF3" w:rsidRDefault="000A1AF3" w:rsidP="003E3DB7">
      <w:pPr>
        <w:pStyle w:val="NoSpacing"/>
        <w:keepNext/>
        <w:jc w:val="both"/>
        <w:rPr>
          <w:rFonts w:ascii="Arial" w:hAnsi="Arial"/>
          <w:sz w:val="20"/>
          <w:lang w:eastAsia="sl-SI"/>
        </w:rPr>
      </w:pPr>
      <w:r w:rsidRPr="00284114">
        <w:rPr>
          <w:rFonts w:ascii="Arial" w:hAnsi="Arial"/>
          <w:sz w:val="20"/>
          <w:lang w:eastAsia="sl-SI"/>
        </w:rPr>
        <w:t xml:space="preserve">Evalvacija se izvede s kombinacijo proučitve dokumentacije in terenskega dela v </w:t>
      </w:r>
      <w:r>
        <w:rPr>
          <w:rFonts w:ascii="Arial" w:hAnsi="Arial"/>
          <w:sz w:val="20"/>
          <w:lang w:eastAsia="sl-SI"/>
        </w:rPr>
        <w:t>Severni Makedoniji</w:t>
      </w:r>
      <w:r w:rsidRPr="00284114">
        <w:rPr>
          <w:rFonts w:ascii="Arial" w:hAnsi="Arial"/>
          <w:sz w:val="20"/>
          <w:lang w:eastAsia="sl-SI"/>
        </w:rPr>
        <w:t>, vključno z ra</w:t>
      </w:r>
      <w:r w:rsidRPr="00F34412">
        <w:rPr>
          <w:rFonts w:ascii="Arial" w:hAnsi="Arial"/>
          <w:sz w:val="20"/>
          <w:lang w:eastAsia="sl-SI"/>
        </w:rPr>
        <w:t xml:space="preserve">zgovori </w:t>
      </w:r>
      <w:r>
        <w:rPr>
          <w:rFonts w:ascii="Arial" w:hAnsi="Arial"/>
          <w:sz w:val="20"/>
          <w:lang w:eastAsia="sl-SI"/>
        </w:rPr>
        <w:t>z</w:t>
      </w:r>
      <w:r w:rsidRPr="00F34412">
        <w:rPr>
          <w:rFonts w:ascii="Arial" w:hAnsi="Arial"/>
          <w:sz w:val="20"/>
          <w:lang w:eastAsia="sl-SI"/>
        </w:rPr>
        <w:t xml:space="preserve"> Ministrstv</w:t>
      </w:r>
      <w:r>
        <w:rPr>
          <w:rFonts w:ascii="Arial" w:hAnsi="Arial"/>
          <w:sz w:val="20"/>
          <w:lang w:eastAsia="sl-SI"/>
        </w:rPr>
        <w:t>om</w:t>
      </w:r>
      <w:r w:rsidRPr="00F34412">
        <w:rPr>
          <w:rFonts w:ascii="Arial" w:hAnsi="Arial"/>
          <w:sz w:val="20"/>
          <w:lang w:eastAsia="sl-SI"/>
        </w:rPr>
        <w:t xml:space="preserve"> za zunanje zadeve, Ministrstvom za finance, CMSR, izvajalskimi podjetji</w:t>
      </w:r>
      <w:r w:rsidRPr="00F34412">
        <w:rPr>
          <w:rStyle w:val="FootnoteReference"/>
          <w:rFonts w:ascii="Arial" w:hAnsi="Arial"/>
          <w:sz w:val="20"/>
          <w:lang w:eastAsia="sl-SI"/>
        </w:rPr>
        <w:footnoteReference w:id="29"/>
      </w:r>
      <w:r w:rsidRPr="00F34412">
        <w:rPr>
          <w:rFonts w:ascii="Arial" w:hAnsi="Arial"/>
          <w:sz w:val="20"/>
          <w:lang w:eastAsia="sl-SI"/>
        </w:rPr>
        <w:t xml:space="preserve"> ter prejemniki</w:t>
      </w:r>
      <w:r>
        <w:rPr>
          <w:rFonts w:ascii="Arial" w:hAnsi="Arial"/>
          <w:sz w:val="20"/>
          <w:lang w:eastAsia="sl-SI"/>
        </w:rPr>
        <w:t xml:space="preserve"> v Severni Makedoniji</w:t>
      </w:r>
      <w:r w:rsidRPr="00284114">
        <w:rPr>
          <w:rFonts w:ascii="Arial" w:hAnsi="Arial"/>
          <w:sz w:val="20"/>
          <w:lang w:eastAsia="sl-SI"/>
        </w:rPr>
        <w:t xml:space="preserve">. </w:t>
      </w:r>
      <w:proofErr w:type="spellStart"/>
      <w:r>
        <w:rPr>
          <w:rFonts w:ascii="Arial" w:hAnsi="Arial"/>
          <w:sz w:val="20"/>
          <w:lang w:eastAsia="sl-SI"/>
        </w:rPr>
        <w:t>Evalvator</w:t>
      </w:r>
      <w:proofErr w:type="spellEnd"/>
      <w:r>
        <w:rPr>
          <w:rFonts w:ascii="Arial" w:hAnsi="Arial"/>
          <w:sz w:val="20"/>
          <w:lang w:eastAsia="sl-SI"/>
        </w:rPr>
        <w:t xml:space="preserve"> mora preveriti okoliščine izvajanja projekta z uporabo analize javno dostopnih sekundarnih virov, primarne podatke o izvedbi projekta pa </w:t>
      </w:r>
      <w:proofErr w:type="spellStart"/>
      <w:r>
        <w:rPr>
          <w:rFonts w:ascii="Arial" w:hAnsi="Arial"/>
          <w:sz w:val="20"/>
          <w:lang w:eastAsia="sl-SI"/>
        </w:rPr>
        <w:t>evalvatorju</w:t>
      </w:r>
      <w:proofErr w:type="spellEnd"/>
      <w:r>
        <w:rPr>
          <w:rFonts w:ascii="Arial" w:hAnsi="Arial"/>
          <w:sz w:val="20"/>
          <w:lang w:eastAsia="sl-SI"/>
        </w:rPr>
        <w:t xml:space="preserve"> zagotovi izvajalec. </w:t>
      </w:r>
      <w:proofErr w:type="spellStart"/>
      <w:r w:rsidRPr="00284114">
        <w:rPr>
          <w:rFonts w:ascii="Arial" w:hAnsi="Arial"/>
          <w:sz w:val="20"/>
          <w:lang w:eastAsia="sl-SI"/>
        </w:rPr>
        <w:t>Evalvator</w:t>
      </w:r>
      <w:proofErr w:type="spellEnd"/>
      <w:r w:rsidRPr="00284114">
        <w:rPr>
          <w:rFonts w:ascii="Arial" w:hAnsi="Arial"/>
          <w:sz w:val="20"/>
          <w:lang w:eastAsia="sl-SI"/>
        </w:rPr>
        <w:t xml:space="preserve"> v začetnem poročilu </w:t>
      </w:r>
      <w:r>
        <w:rPr>
          <w:rFonts w:ascii="Arial" w:hAnsi="Arial"/>
          <w:sz w:val="20"/>
          <w:lang w:eastAsia="sl-SI"/>
        </w:rPr>
        <w:t>opiše</w:t>
      </w:r>
      <w:r w:rsidRPr="00523A86">
        <w:rPr>
          <w:rFonts w:ascii="Arial" w:hAnsi="Arial"/>
          <w:sz w:val="20"/>
          <w:lang w:eastAsia="sl-SI"/>
        </w:rPr>
        <w:t xml:space="preserve"> metodologijo</w:t>
      </w:r>
      <w:r>
        <w:rPr>
          <w:rFonts w:ascii="Arial" w:hAnsi="Arial"/>
          <w:sz w:val="20"/>
          <w:lang w:eastAsia="sl-SI"/>
        </w:rPr>
        <w:t xml:space="preserve"> po </w:t>
      </w:r>
      <w:proofErr w:type="spellStart"/>
      <w:r>
        <w:rPr>
          <w:rFonts w:ascii="Arial" w:hAnsi="Arial"/>
          <w:sz w:val="20"/>
          <w:lang w:eastAsia="sl-SI"/>
        </w:rPr>
        <w:t>evalvacijskih</w:t>
      </w:r>
      <w:proofErr w:type="spellEnd"/>
      <w:r>
        <w:rPr>
          <w:rFonts w:ascii="Arial" w:hAnsi="Arial"/>
          <w:sz w:val="20"/>
          <w:lang w:eastAsia="sl-SI"/>
        </w:rPr>
        <w:t xml:space="preserve"> vprašanjih, pri čemer opredeli kazalnike (kvantitativne in kvalitativne), opiše načine zbiranja podatkov (npr. intervjuji, fokusne skupine, spletni viri itd.) in metode za obdelavo le-teh.</w:t>
      </w:r>
    </w:p>
    <w:p w14:paraId="4334CE6A" w14:textId="77777777" w:rsidR="0073087E" w:rsidRDefault="0073087E" w:rsidP="003E3DB7">
      <w:pPr>
        <w:pStyle w:val="NoSpacing"/>
        <w:keepNext/>
        <w:jc w:val="both"/>
        <w:rPr>
          <w:rFonts w:ascii="Arial" w:hAnsi="Arial"/>
          <w:sz w:val="20"/>
          <w:lang w:eastAsia="sl-SI"/>
        </w:rPr>
      </w:pPr>
    </w:p>
    <w:p w14:paraId="43BB92D6" w14:textId="77777777" w:rsidR="000A1AF3" w:rsidRPr="00CD3C60" w:rsidRDefault="000A1AF3" w:rsidP="002C3C68">
      <w:pPr>
        <w:pStyle w:val="Heading2"/>
      </w:pPr>
      <w:bookmarkStart w:id="153" w:name="_Toc57377194"/>
      <w:r>
        <w:t>P</w:t>
      </w:r>
      <w:r w:rsidRPr="00CD3C60">
        <w:t xml:space="preserve">ostopek, </w:t>
      </w:r>
      <w:proofErr w:type="spellStart"/>
      <w:r w:rsidRPr="00CD3C60">
        <w:t>časovnica</w:t>
      </w:r>
      <w:proofErr w:type="spellEnd"/>
      <w:r w:rsidRPr="00CD3C60">
        <w:t xml:space="preserve"> in poročanje</w:t>
      </w:r>
      <w:bookmarkEnd w:id="153"/>
    </w:p>
    <w:p w14:paraId="0DFCE9E5" w14:textId="77777777" w:rsidR="000A1AF3" w:rsidRPr="00284114" w:rsidRDefault="000A1AF3" w:rsidP="003E3DB7">
      <w:pPr>
        <w:pStyle w:val="NoSpacing"/>
        <w:jc w:val="both"/>
        <w:rPr>
          <w:rFonts w:ascii="Arial" w:hAnsi="Arial" w:cs="Arial"/>
          <w:sz w:val="20"/>
          <w:szCs w:val="20"/>
        </w:rPr>
      </w:pPr>
      <w:r w:rsidRPr="00284114">
        <w:rPr>
          <w:rFonts w:ascii="Arial" w:hAnsi="Arial"/>
          <w:sz w:val="20"/>
          <w:lang w:eastAsia="sl-SI"/>
        </w:rPr>
        <w:t>Glavni del</w:t>
      </w:r>
      <w:r>
        <w:rPr>
          <w:rFonts w:ascii="Arial" w:hAnsi="Arial"/>
          <w:sz w:val="20"/>
          <w:lang w:eastAsia="sl-SI"/>
        </w:rPr>
        <w:t>i</w:t>
      </w:r>
      <w:r w:rsidRPr="00284114">
        <w:rPr>
          <w:rFonts w:ascii="Arial" w:hAnsi="Arial"/>
          <w:sz w:val="20"/>
          <w:lang w:eastAsia="sl-SI"/>
        </w:rPr>
        <w:t xml:space="preserve"> evalvacije so</w:t>
      </w:r>
      <w:r>
        <w:rPr>
          <w:rFonts w:ascii="Arial" w:hAnsi="Arial"/>
          <w:sz w:val="20"/>
          <w:lang w:eastAsia="sl-SI"/>
        </w:rPr>
        <w:t>:</w:t>
      </w:r>
      <w:r w:rsidRPr="00284114">
        <w:rPr>
          <w:rFonts w:ascii="Arial" w:hAnsi="Arial"/>
          <w:sz w:val="20"/>
          <w:lang w:eastAsia="sl-SI"/>
        </w:rPr>
        <w:t xml:space="preserve"> preučitev dokumentacije, razgovori, komentarji prejeti po elektronski poti, in terensk</w:t>
      </w:r>
      <w:r>
        <w:rPr>
          <w:rFonts w:ascii="Arial" w:hAnsi="Arial"/>
          <w:sz w:val="20"/>
          <w:lang w:eastAsia="sl-SI"/>
        </w:rPr>
        <w:t xml:space="preserve">o </w:t>
      </w:r>
      <w:r w:rsidRPr="00284114">
        <w:rPr>
          <w:rFonts w:ascii="Arial" w:hAnsi="Arial"/>
          <w:sz w:val="20"/>
          <w:lang w:eastAsia="sl-SI"/>
        </w:rPr>
        <w:t>del</w:t>
      </w:r>
      <w:r>
        <w:rPr>
          <w:rFonts w:ascii="Arial" w:hAnsi="Arial"/>
          <w:sz w:val="20"/>
          <w:lang w:eastAsia="sl-SI"/>
        </w:rPr>
        <w:t>o</w:t>
      </w:r>
      <w:r w:rsidRPr="00284114">
        <w:rPr>
          <w:rFonts w:ascii="Arial" w:hAnsi="Arial"/>
          <w:sz w:val="20"/>
          <w:lang w:eastAsia="sl-SI"/>
        </w:rPr>
        <w:t xml:space="preserve"> </w:t>
      </w:r>
      <w:r>
        <w:rPr>
          <w:rFonts w:ascii="Arial" w:hAnsi="Arial"/>
          <w:sz w:val="20"/>
          <w:lang w:eastAsia="sl-SI"/>
        </w:rPr>
        <w:t>v Severni Makedoniji.</w:t>
      </w:r>
      <w:r w:rsidRPr="00284114">
        <w:rPr>
          <w:rFonts w:ascii="Arial" w:hAnsi="Arial"/>
          <w:sz w:val="20"/>
          <w:lang w:eastAsia="sl-SI"/>
        </w:rPr>
        <w:t xml:space="preserve"> Celoten </w:t>
      </w:r>
      <w:proofErr w:type="spellStart"/>
      <w:r w:rsidRPr="00284114">
        <w:rPr>
          <w:rFonts w:ascii="Arial" w:hAnsi="Arial"/>
          <w:sz w:val="20"/>
          <w:lang w:eastAsia="sl-SI"/>
        </w:rPr>
        <w:t>evalvacijski</w:t>
      </w:r>
      <w:proofErr w:type="spellEnd"/>
      <w:r w:rsidRPr="00284114">
        <w:rPr>
          <w:rFonts w:ascii="Arial" w:hAnsi="Arial"/>
          <w:sz w:val="20"/>
          <w:lang w:eastAsia="sl-SI"/>
        </w:rPr>
        <w:t xml:space="preserve"> postopek naj ne bi trajal več kot </w:t>
      </w:r>
      <w:r>
        <w:rPr>
          <w:rFonts w:ascii="Arial" w:hAnsi="Arial"/>
          <w:sz w:val="20"/>
          <w:lang w:eastAsia="sl-SI"/>
        </w:rPr>
        <w:t>3</w:t>
      </w:r>
      <w:r w:rsidRPr="00284114">
        <w:rPr>
          <w:rFonts w:ascii="Arial" w:hAnsi="Arial"/>
          <w:sz w:val="20"/>
          <w:lang w:eastAsia="sl-SI"/>
        </w:rPr>
        <w:t xml:space="preserve"> mesec</w:t>
      </w:r>
      <w:r>
        <w:rPr>
          <w:rFonts w:ascii="Arial" w:hAnsi="Arial"/>
          <w:sz w:val="20"/>
          <w:lang w:eastAsia="sl-SI"/>
        </w:rPr>
        <w:t>e</w:t>
      </w:r>
      <w:r w:rsidRPr="00284114">
        <w:rPr>
          <w:rFonts w:ascii="Arial" w:hAnsi="Arial"/>
          <w:sz w:val="20"/>
          <w:lang w:eastAsia="sl-SI"/>
        </w:rPr>
        <w:t xml:space="preserve"> (vključno s poročanjem). </w:t>
      </w:r>
    </w:p>
    <w:p w14:paraId="3AA5BAFA" w14:textId="77777777" w:rsidR="000A1AF3" w:rsidRPr="00284114" w:rsidRDefault="000A1AF3" w:rsidP="003E3DB7">
      <w:pPr>
        <w:pStyle w:val="NoSpacing"/>
        <w:jc w:val="both"/>
        <w:rPr>
          <w:rFonts w:ascii="Arial" w:hAnsi="Arial" w:cs="Arial"/>
          <w:sz w:val="20"/>
          <w:szCs w:val="20"/>
        </w:rPr>
      </w:pPr>
    </w:p>
    <w:p w14:paraId="0302D8EC" w14:textId="77777777" w:rsidR="000A1AF3" w:rsidRPr="00284114" w:rsidRDefault="000A1AF3" w:rsidP="003E3DB7">
      <w:pPr>
        <w:jc w:val="both"/>
        <w:rPr>
          <w:rFonts w:cs="Arial"/>
          <w:bCs/>
          <w:szCs w:val="20"/>
        </w:rPr>
      </w:pPr>
      <w:r w:rsidRPr="00284114">
        <w:rPr>
          <w:lang w:eastAsia="sl-SI"/>
        </w:rPr>
        <w:t>Evalvacija poteka v treh fazah:</w:t>
      </w:r>
    </w:p>
    <w:p w14:paraId="1F488FE2" w14:textId="77777777" w:rsidR="000A1AF3" w:rsidRPr="00B8275E" w:rsidRDefault="000A1AF3" w:rsidP="003E3DB7">
      <w:pPr>
        <w:pStyle w:val="Default"/>
        <w:numPr>
          <w:ilvl w:val="0"/>
          <w:numId w:val="37"/>
        </w:numPr>
        <w:jc w:val="both"/>
        <w:rPr>
          <w:rFonts w:ascii="Arial" w:hAnsi="Arial" w:cs="Arial"/>
          <w:color w:val="auto"/>
          <w:sz w:val="20"/>
          <w:szCs w:val="20"/>
        </w:rPr>
      </w:pPr>
      <w:r>
        <w:rPr>
          <w:rFonts w:ascii="Arial" w:hAnsi="Arial"/>
          <w:color w:val="auto"/>
          <w:sz w:val="20"/>
          <w:lang w:val="sl-SI"/>
        </w:rPr>
        <w:t>V</w:t>
      </w:r>
      <w:r w:rsidRPr="00B8275E">
        <w:rPr>
          <w:rFonts w:ascii="Arial" w:hAnsi="Arial"/>
          <w:color w:val="auto"/>
          <w:sz w:val="20"/>
          <w:lang w:val="sl-SI"/>
        </w:rPr>
        <w:t xml:space="preserve"> začetni fazi </w:t>
      </w:r>
      <w:r>
        <w:rPr>
          <w:rFonts w:ascii="Arial" w:hAnsi="Arial"/>
          <w:color w:val="auto"/>
          <w:sz w:val="20"/>
          <w:lang w:val="sl-SI"/>
        </w:rPr>
        <w:t>ministrstvo</w:t>
      </w:r>
      <w:r w:rsidRPr="00B8275E">
        <w:rPr>
          <w:rFonts w:ascii="Arial" w:hAnsi="Arial"/>
          <w:color w:val="auto"/>
          <w:sz w:val="20"/>
          <w:lang w:val="sl-SI"/>
        </w:rPr>
        <w:t xml:space="preserve"> skliče uvodni sestanek z </w:t>
      </w:r>
      <w:proofErr w:type="spellStart"/>
      <w:r w:rsidRPr="00B8275E">
        <w:rPr>
          <w:rFonts w:ascii="Arial" w:hAnsi="Arial"/>
          <w:color w:val="auto"/>
          <w:sz w:val="20"/>
          <w:lang w:val="sl-SI"/>
        </w:rPr>
        <w:t>evalvatorjem</w:t>
      </w:r>
      <w:proofErr w:type="spellEnd"/>
      <w:r w:rsidRPr="00B8275E">
        <w:rPr>
          <w:rFonts w:ascii="Arial" w:hAnsi="Arial"/>
          <w:color w:val="auto"/>
          <w:sz w:val="20"/>
          <w:lang w:val="sl-SI"/>
        </w:rPr>
        <w:t xml:space="preserve"> in predloži dokumentacijo</w:t>
      </w:r>
      <w:r>
        <w:rPr>
          <w:rFonts w:ascii="Arial" w:hAnsi="Arial"/>
          <w:color w:val="auto"/>
          <w:sz w:val="20"/>
          <w:lang w:val="sl-SI"/>
        </w:rPr>
        <w:t xml:space="preserve"> (pogodbe z vsemi prilogami, vsa poročila in drugo relevantno dokumentacijo). </w:t>
      </w:r>
      <w:r w:rsidRPr="00B8275E">
        <w:rPr>
          <w:rFonts w:ascii="Arial" w:hAnsi="Arial"/>
          <w:color w:val="auto"/>
          <w:sz w:val="20"/>
          <w:lang w:val="sl-SI"/>
        </w:rPr>
        <w:t xml:space="preserve">Nato </w:t>
      </w:r>
      <w:proofErr w:type="spellStart"/>
      <w:r w:rsidRPr="00B8275E">
        <w:rPr>
          <w:rFonts w:ascii="Arial" w:hAnsi="Arial"/>
          <w:color w:val="auto"/>
          <w:sz w:val="20"/>
          <w:lang w:val="sl-SI"/>
        </w:rPr>
        <w:t>evalvator</w:t>
      </w:r>
      <w:proofErr w:type="spellEnd"/>
      <w:r w:rsidRPr="00B8275E">
        <w:rPr>
          <w:rFonts w:ascii="Arial" w:hAnsi="Arial"/>
          <w:color w:val="auto"/>
          <w:sz w:val="20"/>
          <w:lang w:val="sl-SI"/>
        </w:rPr>
        <w:t xml:space="preserve"> preuči dokumentacijo</w:t>
      </w:r>
      <w:r>
        <w:rPr>
          <w:rFonts w:ascii="Arial" w:hAnsi="Arial"/>
          <w:color w:val="auto"/>
          <w:sz w:val="20"/>
          <w:lang w:val="sl-SI"/>
        </w:rPr>
        <w:t xml:space="preserve"> </w:t>
      </w:r>
      <w:r w:rsidRPr="00B8275E">
        <w:rPr>
          <w:rFonts w:ascii="Arial" w:hAnsi="Arial"/>
          <w:color w:val="auto"/>
          <w:sz w:val="20"/>
          <w:lang w:val="sl-SI"/>
        </w:rPr>
        <w:t>in pripravi začetno poročilo</w:t>
      </w:r>
      <w:r>
        <w:rPr>
          <w:rFonts w:ascii="Arial" w:hAnsi="Arial"/>
          <w:sz w:val="20"/>
          <w:lang w:val="sl-SI" w:eastAsia="sl-SI"/>
        </w:rPr>
        <w:t>.</w:t>
      </w:r>
      <w:r w:rsidRPr="00741078">
        <w:rPr>
          <w:rFonts w:ascii="Arial" w:hAnsi="Arial"/>
          <w:color w:val="auto"/>
          <w:sz w:val="20"/>
          <w:lang w:val="sl-SI" w:eastAsia="sl-SI"/>
        </w:rPr>
        <w:t xml:space="preserve"> </w:t>
      </w:r>
      <w:r w:rsidRPr="003258C1">
        <w:rPr>
          <w:rFonts w:ascii="Arial" w:hAnsi="Arial"/>
          <w:color w:val="auto"/>
          <w:sz w:val="20"/>
          <w:lang w:val="sl-SI" w:eastAsia="sl-SI"/>
        </w:rPr>
        <w:t xml:space="preserve">Rezultati preučitve dokumentacije se vključijo v začetno poročilo kot strnjena analiza </w:t>
      </w:r>
      <w:r>
        <w:rPr>
          <w:rFonts w:ascii="Arial" w:hAnsi="Arial"/>
          <w:color w:val="auto"/>
          <w:sz w:val="20"/>
          <w:lang w:val="sl-SI" w:eastAsia="sl-SI"/>
        </w:rPr>
        <w:t>projekta</w:t>
      </w:r>
      <w:r w:rsidRPr="003258C1">
        <w:rPr>
          <w:rFonts w:ascii="Arial" w:hAnsi="Arial"/>
          <w:color w:val="auto"/>
          <w:sz w:val="20"/>
          <w:lang w:val="sl-SI" w:eastAsia="sl-SI"/>
        </w:rPr>
        <w:t xml:space="preserve"> in drugih dokumentov, </w:t>
      </w:r>
      <w:r>
        <w:rPr>
          <w:rFonts w:ascii="Arial" w:hAnsi="Arial"/>
          <w:color w:val="auto"/>
          <w:sz w:val="20"/>
          <w:lang w:val="sl-SI" w:eastAsia="sl-SI"/>
        </w:rPr>
        <w:t>potrebnih</w:t>
      </w:r>
      <w:r w:rsidRPr="003258C1">
        <w:rPr>
          <w:rFonts w:ascii="Arial" w:hAnsi="Arial"/>
          <w:color w:val="auto"/>
          <w:sz w:val="20"/>
          <w:lang w:val="sl-SI" w:eastAsia="sl-SI"/>
        </w:rPr>
        <w:t xml:space="preserve"> za evalvacijo. Poročilo mora vsebovati načrt terenskega dela, tj. katera vprašanja bodo postavljena na razgovorih, s kom </w:t>
      </w:r>
      <w:r>
        <w:rPr>
          <w:rFonts w:ascii="Arial" w:hAnsi="Arial"/>
          <w:color w:val="auto"/>
          <w:sz w:val="20"/>
          <w:lang w:val="sl-SI" w:eastAsia="sl-SI"/>
        </w:rPr>
        <w:t>v Sloveniji</w:t>
      </w:r>
      <w:r w:rsidRPr="003258C1">
        <w:rPr>
          <w:rFonts w:ascii="Arial" w:hAnsi="Arial"/>
          <w:color w:val="auto"/>
          <w:sz w:val="20"/>
          <w:lang w:val="sl-SI" w:eastAsia="sl-SI"/>
        </w:rPr>
        <w:t xml:space="preserve"> in </w:t>
      </w:r>
      <w:r>
        <w:rPr>
          <w:rFonts w:ascii="Arial" w:hAnsi="Arial"/>
          <w:color w:val="auto"/>
          <w:sz w:val="20"/>
          <w:lang w:val="sl-SI" w:eastAsia="sl-SI"/>
        </w:rPr>
        <w:t>v Severni Makedoniji</w:t>
      </w:r>
      <w:r w:rsidRPr="003258C1">
        <w:rPr>
          <w:rFonts w:ascii="Arial" w:hAnsi="Arial"/>
          <w:color w:val="auto"/>
          <w:sz w:val="20"/>
          <w:lang w:val="sl-SI" w:eastAsia="sl-SI"/>
        </w:rPr>
        <w:t xml:space="preserve"> bo</w:t>
      </w:r>
      <w:r>
        <w:rPr>
          <w:rFonts w:ascii="Arial" w:hAnsi="Arial"/>
          <w:color w:val="auto"/>
          <w:sz w:val="20"/>
          <w:lang w:val="sl-SI" w:eastAsia="sl-SI"/>
        </w:rPr>
        <w:t>do</w:t>
      </w:r>
      <w:r w:rsidRPr="003258C1">
        <w:rPr>
          <w:rFonts w:ascii="Arial" w:hAnsi="Arial"/>
          <w:color w:val="auto"/>
          <w:sz w:val="20"/>
          <w:lang w:val="sl-SI" w:eastAsia="sl-SI"/>
        </w:rPr>
        <w:t xml:space="preserve"> opravljen</w:t>
      </w:r>
      <w:r>
        <w:rPr>
          <w:rFonts w:ascii="Arial" w:hAnsi="Arial"/>
          <w:color w:val="auto"/>
          <w:sz w:val="20"/>
          <w:lang w:val="sl-SI" w:eastAsia="sl-SI"/>
        </w:rPr>
        <w:t>i</w:t>
      </w:r>
      <w:r w:rsidRPr="003258C1">
        <w:rPr>
          <w:rFonts w:ascii="Arial" w:hAnsi="Arial"/>
          <w:color w:val="auto"/>
          <w:sz w:val="20"/>
          <w:lang w:val="sl-SI" w:eastAsia="sl-SI"/>
        </w:rPr>
        <w:t xml:space="preserve"> razgovor</w:t>
      </w:r>
      <w:r>
        <w:rPr>
          <w:rFonts w:ascii="Arial" w:hAnsi="Arial"/>
          <w:color w:val="auto"/>
          <w:sz w:val="20"/>
          <w:lang w:val="sl-SI" w:eastAsia="sl-SI"/>
        </w:rPr>
        <w:t>i</w:t>
      </w:r>
      <w:r w:rsidRPr="003258C1">
        <w:rPr>
          <w:rFonts w:ascii="Arial" w:hAnsi="Arial"/>
          <w:color w:val="auto"/>
          <w:sz w:val="20"/>
          <w:lang w:val="sl-SI" w:eastAsia="sl-SI"/>
        </w:rPr>
        <w:t xml:space="preserve">, okvirna vprašanja za razgovore itd. </w:t>
      </w:r>
      <w:r>
        <w:rPr>
          <w:rFonts w:ascii="Arial" w:hAnsi="Arial"/>
          <w:color w:val="auto"/>
          <w:sz w:val="20"/>
          <w:lang w:val="sl-SI" w:eastAsia="sl-SI"/>
        </w:rPr>
        <w:t>V z</w:t>
      </w:r>
      <w:r w:rsidRPr="003258C1">
        <w:rPr>
          <w:rFonts w:ascii="Arial" w:hAnsi="Arial"/>
          <w:color w:val="auto"/>
          <w:sz w:val="20"/>
          <w:lang w:val="sl-SI" w:eastAsia="sl-SI"/>
        </w:rPr>
        <w:t>ačetn</w:t>
      </w:r>
      <w:r>
        <w:rPr>
          <w:rFonts w:ascii="Arial" w:hAnsi="Arial"/>
          <w:color w:val="auto"/>
          <w:sz w:val="20"/>
          <w:lang w:val="sl-SI" w:eastAsia="sl-SI"/>
        </w:rPr>
        <w:t>em</w:t>
      </w:r>
      <w:r w:rsidRPr="003258C1">
        <w:rPr>
          <w:rFonts w:ascii="Arial" w:hAnsi="Arial"/>
          <w:color w:val="auto"/>
          <w:sz w:val="20"/>
          <w:lang w:val="sl-SI" w:eastAsia="sl-SI"/>
        </w:rPr>
        <w:t xml:space="preserve"> poročil</w:t>
      </w:r>
      <w:r>
        <w:rPr>
          <w:rFonts w:ascii="Arial" w:hAnsi="Arial"/>
          <w:color w:val="auto"/>
          <w:sz w:val="20"/>
          <w:lang w:val="sl-SI" w:eastAsia="sl-SI"/>
        </w:rPr>
        <w:t>u</w:t>
      </w:r>
      <w:r w:rsidRPr="003258C1">
        <w:rPr>
          <w:rFonts w:ascii="Arial" w:hAnsi="Arial"/>
          <w:color w:val="auto"/>
          <w:sz w:val="20"/>
          <w:lang w:val="sl-SI" w:eastAsia="sl-SI"/>
        </w:rPr>
        <w:t xml:space="preserve"> mora </w:t>
      </w:r>
      <w:r>
        <w:rPr>
          <w:rFonts w:ascii="Arial" w:hAnsi="Arial"/>
          <w:color w:val="auto"/>
          <w:sz w:val="20"/>
          <w:lang w:val="sl-SI" w:eastAsia="sl-SI"/>
        </w:rPr>
        <w:t xml:space="preserve">biti </w:t>
      </w:r>
      <w:r w:rsidRPr="003258C1">
        <w:rPr>
          <w:rFonts w:ascii="Arial" w:hAnsi="Arial"/>
          <w:color w:val="auto"/>
          <w:sz w:val="20"/>
          <w:lang w:val="sl-SI" w:eastAsia="sl-SI"/>
        </w:rPr>
        <w:t>natančno opisa</w:t>
      </w:r>
      <w:r>
        <w:rPr>
          <w:rFonts w:ascii="Arial" w:hAnsi="Arial"/>
          <w:color w:val="auto"/>
          <w:sz w:val="20"/>
          <w:lang w:val="sl-SI" w:eastAsia="sl-SI"/>
        </w:rPr>
        <w:t>na</w:t>
      </w:r>
      <w:r w:rsidRPr="003258C1">
        <w:rPr>
          <w:rFonts w:ascii="Arial" w:hAnsi="Arial"/>
          <w:color w:val="auto"/>
          <w:sz w:val="20"/>
          <w:lang w:val="sl-SI" w:eastAsia="sl-SI"/>
        </w:rPr>
        <w:t xml:space="preserve"> metodologij</w:t>
      </w:r>
      <w:r>
        <w:rPr>
          <w:rFonts w:ascii="Arial" w:hAnsi="Arial"/>
          <w:color w:val="auto"/>
          <w:sz w:val="20"/>
          <w:lang w:val="sl-SI" w:eastAsia="sl-SI"/>
        </w:rPr>
        <w:t>a</w:t>
      </w:r>
      <w:r w:rsidRPr="003258C1">
        <w:rPr>
          <w:rFonts w:ascii="Arial" w:hAnsi="Arial"/>
          <w:color w:val="auto"/>
          <w:sz w:val="20"/>
          <w:lang w:val="sl-SI" w:eastAsia="sl-SI"/>
        </w:rPr>
        <w:t xml:space="preserve"> dela, predstav</w:t>
      </w:r>
      <w:r>
        <w:rPr>
          <w:rFonts w:ascii="Arial" w:hAnsi="Arial"/>
          <w:color w:val="auto"/>
          <w:sz w:val="20"/>
          <w:lang w:val="sl-SI" w:eastAsia="sl-SI"/>
        </w:rPr>
        <w:t xml:space="preserve">ljen </w:t>
      </w:r>
      <w:r w:rsidRPr="003258C1">
        <w:rPr>
          <w:rFonts w:ascii="Arial" w:hAnsi="Arial"/>
          <w:color w:val="auto"/>
          <w:sz w:val="20"/>
          <w:lang w:val="sl-SI" w:eastAsia="sl-SI"/>
        </w:rPr>
        <w:t>delovni načrt ter seznam pomembnejših sestankov in razgovorov; poleg tega mora</w:t>
      </w:r>
      <w:r>
        <w:rPr>
          <w:rFonts w:ascii="Arial" w:hAnsi="Arial"/>
          <w:color w:val="auto"/>
          <w:sz w:val="20"/>
          <w:lang w:val="sl-SI" w:eastAsia="sl-SI"/>
        </w:rPr>
        <w:t>jo</w:t>
      </w:r>
      <w:r w:rsidRPr="003258C1">
        <w:rPr>
          <w:rFonts w:ascii="Arial" w:hAnsi="Arial"/>
          <w:color w:val="auto"/>
          <w:sz w:val="20"/>
          <w:lang w:val="sl-SI" w:eastAsia="sl-SI"/>
        </w:rPr>
        <w:t xml:space="preserve"> </w:t>
      </w:r>
      <w:r>
        <w:rPr>
          <w:rFonts w:ascii="Arial" w:hAnsi="Arial"/>
          <w:color w:val="auto"/>
          <w:sz w:val="20"/>
          <w:lang w:val="sl-SI" w:eastAsia="sl-SI"/>
        </w:rPr>
        <w:t xml:space="preserve">biti </w:t>
      </w:r>
      <w:r w:rsidRPr="003258C1">
        <w:rPr>
          <w:rFonts w:ascii="Arial" w:hAnsi="Arial"/>
          <w:color w:val="auto"/>
          <w:sz w:val="20"/>
          <w:lang w:val="sl-SI" w:eastAsia="sl-SI"/>
        </w:rPr>
        <w:t>natančno predstav</w:t>
      </w:r>
      <w:r>
        <w:rPr>
          <w:rFonts w:ascii="Arial" w:hAnsi="Arial"/>
          <w:color w:val="auto"/>
          <w:sz w:val="20"/>
          <w:lang w:val="sl-SI" w:eastAsia="sl-SI"/>
        </w:rPr>
        <w:t>ljena</w:t>
      </w:r>
      <w:r w:rsidRPr="003258C1">
        <w:rPr>
          <w:rFonts w:ascii="Arial" w:hAnsi="Arial"/>
          <w:color w:val="auto"/>
          <w:sz w:val="20"/>
          <w:lang w:val="sl-SI" w:eastAsia="sl-SI"/>
        </w:rPr>
        <w:t xml:space="preserve"> </w:t>
      </w:r>
      <w:proofErr w:type="spellStart"/>
      <w:r w:rsidRPr="003258C1">
        <w:rPr>
          <w:rFonts w:ascii="Arial" w:hAnsi="Arial"/>
          <w:color w:val="auto"/>
          <w:sz w:val="20"/>
          <w:lang w:val="sl-SI" w:eastAsia="sl-SI"/>
        </w:rPr>
        <w:t>evalvacijska</w:t>
      </w:r>
      <w:proofErr w:type="spellEnd"/>
      <w:r w:rsidRPr="003258C1">
        <w:rPr>
          <w:rFonts w:ascii="Arial" w:hAnsi="Arial"/>
          <w:color w:val="auto"/>
          <w:sz w:val="20"/>
          <w:lang w:val="sl-SI" w:eastAsia="sl-SI"/>
        </w:rPr>
        <w:t xml:space="preserve"> vprašanja, ki </w:t>
      </w:r>
      <w:r w:rsidRPr="003258C1">
        <w:rPr>
          <w:rFonts w:ascii="Arial" w:hAnsi="Arial"/>
          <w:color w:val="auto"/>
          <w:sz w:val="20"/>
          <w:lang w:val="sl-SI" w:eastAsia="sl-SI"/>
        </w:rPr>
        <w:lastRenderedPageBreak/>
        <w:t xml:space="preserve">temeljijo na </w:t>
      </w:r>
      <w:proofErr w:type="spellStart"/>
      <w:r w:rsidRPr="003258C1">
        <w:rPr>
          <w:rFonts w:ascii="Arial" w:hAnsi="Arial"/>
          <w:color w:val="auto"/>
          <w:sz w:val="20"/>
          <w:lang w:val="sl-SI" w:eastAsia="sl-SI"/>
        </w:rPr>
        <w:t>evalvacijskih</w:t>
      </w:r>
      <w:proofErr w:type="spellEnd"/>
      <w:r w:rsidRPr="003258C1">
        <w:rPr>
          <w:rFonts w:ascii="Arial" w:hAnsi="Arial"/>
          <w:color w:val="auto"/>
          <w:sz w:val="20"/>
          <w:lang w:val="sl-SI" w:eastAsia="sl-SI"/>
        </w:rPr>
        <w:t xml:space="preserve"> merilih v </w:t>
      </w:r>
      <w:proofErr w:type="spellStart"/>
      <w:r w:rsidRPr="003258C1">
        <w:rPr>
          <w:rFonts w:ascii="Arial" w:hAnsi="Arial"/>
          <w:color w:val="auto"/>
          <w:sz w:val="20"/>
          <w:lang w:val="sl-SI" w:eastAsia="sl-SI"/>
        </w:rPr>
        <w:t>evalvacijski</w:t>
      </w:r>
      <w:proofErr w:type="spellEnd"/>
      <w:r w:rsidRPr="003258C1">
        <w:rPr>
          <w:rFonts w:ascii="Arial" w:hAnsi="Arial"/>
          <w:color w:val="auto"/>
          <w:sz w:val="20"/>
          <w:lang w:val="sl-SI" w:eastAsia="sl-SI"/>
        </w:rPr>
        <w:t xml:space="preserve"> matrici, vsebova</w:t>
      </w:r>
      <w:r>
        <w:rPr>
          <w:rFonts w:ascii="Arial" w:hAnsi="Arial"/>
          <w:color w:val="auto"/>
          <w:sz w:val="20"/>
          <w:lang w:val="sl-SI" w:eastAsia="sl-SI"/>
        </w:rPr>
        <w:t>n</w:t>
      </w:r>
      <w:r w:rsidRPr="003258C1">
        <w:rPr>
          <w:rFonts w:ascii="Arial" w:hAnsi="Arial"/>
          <w:color w:val="auto"/>
          <w:sz w:val="20"/>
          <w:lang w:val="sl-SI" w:eastAsia="sl-SI"/>
        </w:rPr>
        <w:t xml:space="preserve"> načrt poročanja ter predlog</w:t>
      </w:r>
      <w:r>
        <w:rPr>
          <w:rFonts w:ascii="Arial" w:hAnsi="Arial"/>
          <w:color w:val="auto"/>
          <w:sz w:val="20"/>
          <w:lang w:val="sl-SI" w:eastAsia="sl-SI"/>
        </w:rPr>
        <w:t>i</w:t>
      </w:r>
      <w:r w:rsidRPr="003258C1">
        <w:rPr>
          <w:rFonts w:ascii="Arial" w:hAnsi="Arial"/>
          <w:color w:val="auto"/>
          <w:sz w:val="20"/>
          <w:lang w:val="sl-SI" w:eastAsia="sl-SI"/>
        </w:rPr>
        <w:t xml:space="preserve"> vsebine poročil</w:t>
      </w:r>
      <w:r>
        <w:rPr>
          <w:rFonts w:ascii="Arial" w:hAnsi="Arial"/>
          <w:color w:val="auto"/>
          <w:sz w:val="20"/>
          <w:lang w:val="sl-SI" w:eastAsia="sl-SI"/>
        </w:rPr>
        <w:t>a</w:t>
      </w:r>
      <w:r w:rsidRPr="003258C1">
        <w:rPr>
          <w:rFonts w:ascii="Arial" w:hAnsi="Arial"/>
          <w:color w:val="auto"/>
          <w:sz w:val="20"/>
          <w:lang w:val="sl-SI" w:eastAsia="sl-SI"/>
        </w:rPr>
        <w:t xml:space="preserve">. </w:t>
      </w:r>
      <w:r>
        <w:rPr>
          <w:rFonts w:ascii="Arial" w:hAnsi="Arial"/>
          <w:color w:val="auto"/>
          <w:sz w:val="20"/>
          <w:lang w:val="sl-SI" w:eastAsia="sl-SI"/>
        </w:rPr>
        <w:t>V z</w:t>
      </w:r>
      <w:r w:rsidRPr="003258C1">
        <w:rPr>
          <w:rFonts w:ascii="Arial" w:hAnsi="Arial"/>
          <w:color w:val="auto"/>
          <w:sz w:val="20"/>
          <w:lang w:val="sl-SI" w:eastAsia="sl-SI"/>
        </w:rPr>
        <w:t>ačetn</w:t>
      </w:r>
      <w:r>
        <w:rPr>
          <w:rFonts w:ascii="Arial" w:hAnsi="Arial"/>
          <w:color w:val="auto"/>
          <w:sz w:val="20"/>
          <w:lang w:val="sl-SI" w:eastAsia="sl-SI"/>
        </w:rPr>
        <w:t>em</w:t>
      </w:r>
      <w:r w:rsidRPr="003258C1">
        <w:rPr>
          <w:rFonts w:ascii="Arial" w:hAnsi="Arial"/>
          <w:color w:val="auto"/>
          <w:sz w:val="20"/>
          <w:lang w:val="sl-SI" w:eastAsia="sl-SI"/>
        </w:rPr>
        <w:t xml:space="preserve"> poročil</w:t>
      </w:r>
      <w:r>
        <w:rPr>
          <w:rFonts w:ascii="Arial" w:hAnsi="Arial"/>
          <w:color w:val="auto"/>
          <w:sz w:val="20"/>
          <w:lang w:val="sl-SI" w:eastAsia="sl-SI"/>
        </w:rPr>
        <w:t>u</w:t>
      </w:r>
      <w:r w:rsidRPr="003258C1">
        <w:rPr>
          <w:rFonts w:ascii="Arial" w:hAnsi="Arial"/>
          <w:color w:val="auto"/>
          <w:sz w:val="20"/>
          <w:lang w:val="sl-SI" w:eastAsia="sl-SI"/>
        </w:rPr>
        <w:t xml:space="preserve"> mora</w:t>
      </w:r>
      <w:r>
        <w:rPr>
          <w:rFonts w:ascii="Arial" w:hAnsi="Arial"/>
          <w:color w:val="auto"/>
          <w:sz w:val="20"/>
          <w:lang w:val="sl-SI" w:eastAsia="sl-SI"/>
        </w:rPr>
        <w:t>jo biti</w:t>
      </w:r>
      <w:r w:rsidRPr="003258C1">
        <w:rPr>
          <w:rFonts w:ascii="Arial" w:hAnsi="Arial"/>
          <w:color w:val="auto"/>
          <w:sz w:val="20"/>
          <w:lang w:val="sl-SI" w:eastAsia="sl-SI"/>
        </w:rPr>
        <w:t xml:space="preserve"> </w:t>
      </w:r>
      <w:r>
        <w:rPr>
          <w:rFonts w:ascii="Arial" w:hAnsi="Arial"/>
          <w:color w:val="auto"/>
          <w:sz w:val="20"/>
          <w:lang w:val="sl-SI" w:eastAsia="sl-SI"/>
        </w:rPr>
        <w:t xml:space="preserve">opredeljene </w:t>
      </w:r>
      <w:r w:rsidRPr="003258C1">
        <w:rPr>
          <w:rFonts w:ascii="Arial" w:hAnsi="Arial"/>
          <w:color w:val="auto"/>
          <w:sz w:val="20"/>
          <w:lang w:val="sl-SI" w:eastAsia="sl-SI"/>
        </w:rPr>
        <w:t xml:space="preserve">pomanjkljivosti v prejeti dokumentaciji in morebitne druge omejitve. </w:t>
      </w:r>
      <w:r>
        <w:rPr>
          <w:rFonts w:ascii="Arial" w:hAnsi="Arial"/>
          <w:color w:val="auto"/>
          <w:sz w:val="20"/>
          <w:lang w:val="sl-SI" w:eastAsia="sl-SI"/>
        </w:rPr>
        <w:t xml:space="preserve">Začetno poročilo </w:t>
      </w:r>
      <w:r w:rsidRPr="00B8275E">
        <w:rPr>
          <w:rFonts w:ascii="Arial" w:hAnsi="Arial"/>
          <w:color w:val="auto"/>
          <w:sz w:val="20"/>
          <w:lang w:val="sl-SI" w:eastAsia="sl-SI"/>
        </w:rPr>
        <w:t xml:space="preserve">odobri </w:t>
      </w:r>
      <w:r>
        <w:rPr>
          <w:rFonts w:ascii="Arial" w:hAnsi="Arial"/>
          <w:color w:val="auto"/>
          <w:sz w:val="20"/>
          <w:lang w:val="sl-SI" w:eastAsia="sl-SI"/>
        </w:rPr>
        <w:t>ministrstvo.</w:t>
      </w:r>
    </w:p>
    <w:p w14:paraId="3DC482C8" w14:textId="77777777" w:rsidR="000A1AF3" w:rsidRPr="003453C7" w:rsidRDefault="000A1AF3" w:rsidP="003E3DB7">
      <w:pPr>
        <w:numPr>
          <w:ilvl w:val="0"/>
          <w:numId w:val="37"/>
        </w:numPr>
        <w:spacing w:line="240" w:lineRule="auto"/>
        <w:jc w:val="both"/>
        <w:rPr>
          <w:rFonts w:cs="Arial"/>
          <w:bCs/>
          <w:szCs w:val="20"/>
        </w:rPr>
      </w:pPr>
      <w:r>
        <w:rPr>
          <w:lang w:eastAsia="sl-SI"/>
        </w:rPr>
        <w:t>T</w:t>
      </w:r>
      <w:r w:rsidRPr="00523A86">
        <w:rPr>
          <w:lang w:eastAsia="sl-SI"/>
        </w:rPr>
        <w:t xml:space="preserve">erenska faza vključuje </w:t>
      </w:r>
      <w:r>
        <w:rPr>
          <w:lang w:eastAsia="sl-SI"/>
        </w:rPr>
        <w:t>terensko delo</w:t>
      </w:r>
      <w:r w:rsidRPr="00523A86">
        <w:rPr>
          <w:lang w:eastAsia="sl-SI"/>
        </w:rPr>
        <w:t>, zbiranje, pregled in analizo podatkov</w:t>
      </w:r>
      <w:r>
        <w:rPr>
          <w:lang w:eastAsia="sl-SI"/>
        </w:rPr>
        <w:t xml:space="preserve"> ter </w:t>
      </w:r>
      <w:r w:rsidRPr="00523A86">
        <w:rPr>
          <w:lang w:eastAsia="sl-SI"/>
        </w:rPr>
        <w:t xml:space="preserve">poročanje </w:t>
      </w:r>
      <w:proofErr w:type="spellStart"/>
      <w:r>
        <w:rPr>
          <w:lang w:eastAsia="sl-SI"/>
        </w:rPr>
        <w:t>evalvatorja</w:t>
      </w:r>
      <w:proofErr w:type="spellEnd"/>
      <w:r>
        <w:rPr>
          <w:lang w:eastAsia="sl-SI"/>
        </w:rPr>
        <w:t xml:space="preserve"> o ugotovitvah s terena v obliki sestan</w:t>
      </w:r>
      <w:r w:rsidRPr="00523A86">
        <w:rPr>
          <w:lang w:eastAsia="sl-SI"/>
        </w:rPr>
        <w:t>k</w:t>
      </w:r>
      <w:r>
        <w:rPr>
          <w:lang w:eastAsia="sl-SI"/>
        </w:rPr>
        <w:t>a</w:t>
      </w:r>
      <w:r w:rsidRPr="00523A86">
        <w:rPr>
          <w:lang w:eastAsia="sl-SI"/>
        </w:rPr>
        <w:t xml:space="preserve"> </w:t>
      </w:r>
      <w:proofErr w:type="spellStart"/>
      <w:r>
        <w:rPr>
          <w:lang w:eastAsia="sl-SI"/>
        </w:rPr>
        <w:t>evalvatorja</w:t>
      </w:r>
      <w:proofErr w:type="spellEnd"/>
      <w:r>
        <w:rPr>
          <w:lang w:eastAsia="sl-SI"/>
        </w:rPr>
        <w:t xml:space="preserve"> z ministrstvom </w:t>
      </w:r>
      <w:r w:rsidRPr="00523A86">
        <w:rPr>
          <w:lang w:eastAsia="sl-SI"/>
        </w:rPr>
        <w:t>za razpravo o prvih rezultatih evalvacije</w:t>
      </w:r>
      <w:r>
        <w:rPr>
          <w:lang w:eastAsia="sl-SI"/>
        </w:rPr>
        <w:t>. T</w:t>
      </w:r>
      <w:r w:rsidRPr="00523A86">
        <w:rPr>
          <w:lang w:eastAsia="sl-SI"/>
        </w:rPr>
        <w:t xml:space="preserve">erensko delo poteka </w:t>
      </w:r>
      <w:r>
        <w:rPr>
          <w:lang w:eastAsia="sl-SI"/>
        </w:rPr>
        <w:t xml:space="preserve">v Sloveniji pri ključnih deležnikih in v Severni Makedoniji (alternativa: </w:t>
      </w:r>
      <w:proofErr w:type="spellStart"/>
      <w:r>
        <w:rPr>
          <w:lang w:eastAsia="sl-SI"/>
        </w:rPr>
        <w:t>online</w:t>
      </w:r>
      <w:proofErr w:type="spellEnd"/>
      <w:r>
        <w:rPr>
          <w:lang w:eastAsia="sl-SI"/>
        </w:rPr>
        <w:t xml:space="preserve"> intervjuji, če zaradi utemeljenih okoliščin ni možno drugače, za kar je potreben predhoden dogovor z ministrstvom).</w:t>
      </w:r>
    </w:p>
    <w:p w14:paraId="36DA0D8C" w14:textId="77777777" w:rsidR="000A1AF3" w:rsidRPr="00DE271D" w:rsidRDefault="000A1AF3" w:rsidP="003E3DB7">
      <w:pPr>
        <w:numPr>
          <w:ilvl w:val="0"/>
          <w:numId w:val="37"/>
        </w:numPr>
        <w:spacing w:line="240" w:lineRule="auto"/>
        <w:jc w:val="both"/>
        <w:rPr>
          <w:rFonts w:cs="Arial"/>
          <w:bCs/>
          <w:szCs w:val="20"/>
        </w:rPr>
      </w:pPr>
      <w:r>
        <w:rPr>
          <w:lang w:eastAsia="sl-SI"/>
        </w:rPr>
        <w:t>F</w:t>
      </w:r>
      <w:r w:rsidRPr="00523A86">
        <w:rPr>
          <w:lang w:eastAsia="sl-SI"/>
        </w:rPr>
        <w:t>aza poročanja vključuje končno analizo podatkov</w:t>
      </w:r>
      <w:r>
        <w:rPr>
          <w:lang w:eastAsia="sl-SI"/>
        </w:rPr>
        <w:t xml:space="preserve"> ter</w:t>
      </w:r>
      <w:r w:rsidRPr="00523A86">
        <w:rPr>
          <w:lang w:eastAsia="sl-SI"/>
        </w:rPr>
        <w:t xml:space="preserve"> pripravo </w:t>
      </w:r>
      <w:r>
        <w:rPr>
          <w:lang w:eastAsia="sl-SI"/>
        </w:rPr>
        <w:t xml:space="preserve">in predajo </w:t>
      </w:r>
      <w:r w:rsidRPr="00523A86">
        <w:rPr>
          <w:lang w:eastAsia="sl-SI"/>
        </w:rPr>
        <w:t xml:space="preserve">osnutka </w:t>
      </w:r>
      <w:proofErr w:type="spellStart"/>
      <w:r w:rsidRPr="00523A86">
        <w:rPr>
          <w:lang w:eastAsia="sl-SI"/>
        </w:rPr>
        <w:t>evalvacijskega</w:t>
      </w:r>
      <w:proofErr w:type="spellEnd"/>
      <w:r w:rsidRPr="00523A86">
        <w:rPr>
          <w:lang w:eastAsia="sl-SI"/>
        </w:rPr>
        <w:t xml:space="preserve"> poročila</w:t>
      </w:r>
      <w:r>
        <w:rPr>
          <w:lang w:eastAsia="sl-SI"/>
        </w:rPr>
        <w:t xml:space="preserve">. </w:t>
      </w:r>
      <w:r w:rsidRPr="003453C7">
        <w:rPr>
          <w:lang w:eastAsia="sl-SI"/>
        </w:rPr>
        <w:t xml:space="preserve">Osnutek končnega poročila združuje preučitev dokumentacije in ugotovitve s terena. </w:t>
      </w:r>
      <w:r>
        <w:rPr>
          <w:lang w:eastAsia="sl-SI"/>
        </w:rPr>
        <w:t>L</w:t>
      </w:r>
      <w:r w:rsidRPr="003453C7">
        <w:rPr>
          <w:lang w:eastAsia="sl-SI"/>
        </w:rPr>
        <w:t xml:space="preserve">očeno </w:t>
      </w:r>
      <w:r>
        <w:rPr>
          <w:lang w:eastAsia="sl-SI"/>
        </w:rPr>
        <w:t xml:space="preserve">so </w:t>
      </w:r>
      <w:r w:rsidRPr="003453C7">
        <w:rPr>
          <w:lang w:eastAsia="sl-SI"/>
        </w:rPr>
        <w:t>predstavljene ugotovitve, sklepi, priporočila in spoznanja, med njimi pa je vzpostavljeno logično razlikovanje</w:t>
      </w:r>
      <w:r>
        <w:rPr>
          <w:lang w:eastAsia="sl-SI"/>
        </w:rPr>
        <w:t xml:space="preserve">. Ministrstvo </w:t>
      </w:r>
      <w:r w:rsidRPr="003453C7">
        <w:rPr>
          <w:lang w:eastAsia="sl-SI"/>
        </w:rPr>
        <w:t xml:space="preserve">svoje komentarje k osnutku končnega poročila odda </w:t>
      </w:r>
      <w:proofErr w:type="spellStart"/>
      <w:r w:rsidRPr="003453C7">
        <w:rPr>
          <w:lang w:eastAsia="sl-SI"/>
        </w:rPr>
        <w:t>evalvatorju</w:t>
      </w:r>
      <w:proofErr w:type="spellEnd"/>
      <w:r w:rsidRPr="003453C7">
        <w:rPr>
          <w:lang w:eastAsia="sl-SI"/>
        </w:rPr>
        <w:t xml:space="preserve">. Komentarji so namenjeni odpravi nesporazumov in morebitnih napak, ne pa preoblikovanju osnutka. </w:t>
      </w:r>
      <w:proofErr w:type="spellStart"/>
      <w:r>
        <w:rPr>
          <w:lang w:eastAsia="sl-SI"/>
        </w:rPr>
        <w:t>Evalvator</w:t>
      </w:r>
      <w:proofErr w:type="spellEnd"/>
      <w:r>
        <w:rPr>
          <w:lang w:eastAsia="sl-SI"/>
        </w:rPr>
        <w:t xml:space="preserve"> na to pripravi končno poročilo. </w:t>
      </w:r>
      <w:r w:rsidRPr="003453C7">
        <w:rPr>
          <w:lang w:eastAsia="sl-SI"/>
        </w:rPr>
        <w:t xml:space="preserve">Upošteva se sestava poročila, ki je bila določena v začetni fazi. Pripravi se </w:t>
      </w:r>
      <w:r>
        <w:rPr>
          <w:lang w:eastAsia="sl-SI"/>
        </w:rPr>
        <w:t>v</w:t>
      </w:r>
      <w:r w:rsidRPr="003453C7">
        <w:rPr>
          <w:lang w:eastAsia="sl-SI"/>
        </w:rPr>
        <w:t xml:space="preserve"> elektronski obliki in se odda </w:t>
      </w:r>
      <w:r>
        <w:rPr>
          <w:lang w:eastAsia="sl-SI"/>
        </w:rPr>
        <w:t>ministrstvu</w:t>
      </w:r>
      <w:r w:rsidRPr="003453C7">
        <w:rPr>
          <w:lang w:eastAsia="sl-SI"/>
        </w:rPr>
        <w:t xml:space="preserve"> v uradno odobritev.</w:t>
      </w:r>
      <w:r>
        <w:rPr>
          <w:lang w:eastAsia="sl-SI"/>
        </w:rPr>
        <w:t xml:space="preserve"> Povzetek, ugotovitve in priporočila evalvacije morajo biti v slovenskem in angleškem jeziku. Sledi javna predstavitev </w:t>
      </w:r>
      <w:r w:rsidRPr="00523A86">
        <w:rPr>
          <w:lang w:eastAsia="sl-SI"/>
        </w:rPr>
        <w:t xml:space="preserve">končnega </w:t>
      </w:r>
      <w:proofErr w:type="spellStart"/>
      <w:r w:rsidRPr="00523A86">
        <w:rPr>
          <w:lang w:eastAsia="sl-SI"/>
        </w:rPr>
        <w:t>evalvacijskega</w:t>
      </w:r>
      <w:proofErr w:type="spellEnd"/>
      <w:r w:rsidRPr="00523A86">
        <w:rPr>
          <w:lang w:eastAsia="sl-SI"/>
        </w:rPr>
        <w:t xml:space="preserve"> poročila</w:t>
      </w:r>
      <w:r>
        <w:rPr>
          <w:lang w:eastAsia="sl-SI"/>
        </w:rPr>
        <w:t>.</w:t>
      </w:r>
    </w:p>
    <w:p w14:paraId="664673FF" w14:textId="77777777" w:rsidR="000A1AF3" w:rsidRPr="003453C7" w:rsidRDefault="000A1AF3" w:rsidP="003E3DB7">
      <w:pPr>
        <w:ind w:left="360"/>
        <w:jc w:val="both"/>
        <w:rPr>
          <w:rFonts w:cs="Arial"/>
          <w:bCs/>
          <w:szCs w:val="20"/>
        </w:rPr>
      </w:pPr>
    </w:p>
    <w:p w14:paraId="37DCEA0F" w14:textId="77777777" w:rsidR="000A1AF3" w:rsidRPr="00C76818" w:rsidRDefault="000A1AF3" w:rsidP="003E3DB7">
      <w:pPr>
        <w:pStyle w:val="NoSpacing"/>
        <w:jc w:val="both"/>
        <w:rPr>
          <w:rFonts w:ascii="Arial" w:hAnsi="Arial" w:cs="Arial"/>
          <w:sz w:val="20"/>
          <w:szCs w:val="20"/>
        </w:rPr>
      </w:pPr>
      <w:proofErr w:type="spellStart"/>
      <w:r w:rsidRPr="00C76818">
        <w:rPr>
          <w:rFonts w:ascii="Arial" w:hAnsi="Arial"/>
          <w:sz w:val="20"/>
          <w:lang w:eastAsia="sl-SI"/>
        </w:rPr>
        <w:t>Časovnica</w:t>
      </w:r>
      <w:proofErr w:type="spellEnd"/>
      <w:r w:rsidRPr="00C76818">
        <w:rPr>
          <w:rFonts w:ascii="Arial" w:hAnsi="Arial"/>
          <w:sz w:val="20"/>
          <w:lang w:eastAsia="sl-SI"/>
        </w:rPr>
        <w:t xml:space="preserve"> </w:t>
      </w:r>
      <w:proofErr w:type="spellStart"/>
      <w:r w:rsidRPr="00C76818">
        <w:rPr>
          <w:rFonts w:ascii="Arial" w:hAnsi="Arial"/>
          <w:sz w:val="20"/>
          <w:lang w:eastAsia="sl-SI"/>
        </w:rPr>
        <w:t>evalvacijskega</w:t>
      </w:r>
      <w:proofErr w:type="spellEnd"/>
      <w:r w:rsidRPr="00C76818">
        <w:rPr>
          <w:rFonts w:ascii="Arial" w:hAnsi="Arial"/>
          <w:sz w:val="20"/>
          <w:lang w:eastAsia="sl-SI"/>
        </w:rPr>
        <w:t xml:space="preserve"> postopka</w:t>
      </w:r>
      <w:r>
        <w:rPr>
          <w:rFonts w:ascii="Arial" w:hAnsi="Arial"/>
          <w:sz w:val="20"/>
          <w:lang w:eastAsia="sl-SI"/>
        </w:rPr>
        <w:t xml:space="preserve"> (dogovor ministrstvo-</w:t>
      </w:r>
      <w:proofErr w:type="spellStart"/>
      <w:r>
        <w:rPr>
          <w:rFonts w:ascii="Arial" w:hAnsi="Arial"/>
          <w:sz w:val="20"/>
          <w:lang w:eastAsia="sl-SI"/>
        </w:rPr>
        <w:t>Deloitte</w:t>
      </w:r>
      <w:proofErr w:type="spellEnd"/>
      <w:r>
        <w:rPr>
          <w:rFonts w:ascii="Arial" w:hAnsi="Arial"/>
          <w:sz w:val="20"/>
          <w:lang w:eastAsia="sl-SI"/>
        </w:rPr>
        <w:t>)</w:t>
      </w:r>
      <w:r w:rsidRPr="00C76818">
        <w:rPr>
          <w:rFonts w:ascii="Arial" w:hAnsi="Arial"/>
          <w:sz w:val="20"/>
          <w:lang w:eastAsia="sl-SI"/>
        </w:rPr>
        <w:t>:</w:t>
      </w:r>
    </w:p>
    <w:p w14:paraId="310C14EC" w14:textId="77777777" w:rsidR="000A1AF3" w:rsidRPr="006B193F" w:rsidRDefault="000A1AF3" w:rsidP="003E3DB7">
      <w:pPr>
        <w:pStyle w:val="NoSpacing"/>
        <w:numPr>
          <w:ilvl w:val="0"/>
          <w:numId w:val="38"/>
        </w:numPr>
        <w:jc w:val="both"/>
        <w:rPr>
          <w:rFonts w:ascii="Arial" w:hAnsi="Arial" w:cs="Arial"/>
          <w:sz w:val="20"/>
          <w:szCs w:val="20"/>
        </w:rPr>
      </w:pPr>
      <w:r w:rsidRPr="006B193F">
        <w:rPr>
          <w:rFonts w:ascii="Arial" w:hAnsi="Arial"/>
          <w:sz w:val="20"/>
          <w:lang w:eastAsia="sl-SI"/>
        </w:rPr>
        <w:t xml:space="preserve">uvodni sestanek do </w:t>
      </w:r>
      <w:r>
        <w:rPr>
          <w:rFonts w:ascii="Arial" w:hAnsi="Arial"/>
          <w:sz w:val="20"/>
          <w:lang w:eastAsia="sl-SI"/>
        </w:rPr>
        <w:t>11. 9. 2020</w:t>
      </w:r>
      <w:r w:rsidRPr="006B193F">
        <w:rPr>
          <w:rFonts w:ascii="Arial" w:hAnsi="Arial"/>
          <w:sz w:val="20"/>
          <w:lang w:eastAsia="sl-SI"/>
        </w:rPr>
        <w:t>;</w:t>
      </w:r>
    </w:p>
    <w:p w14:paraId="378B628C" w14:textId="77777777" w:rsidR="000A1AF3" w:rsidRPr="003453C7" w:rsidRDefault="000A1AF3" w:rsidP="003E3DB7">
      <w:pPr>
        <w:pStyle w:val="NoSpacing"/>
        <w:numPr>
          <w:ilvl w:val="0"/>
          <w:numId w:val="38"/>
        </w:numPr>
        <w:jc w:val="both"/>
        <w:rPr>
          <w:rFonts w:ascii="Arial" w:hAnsi="Arial" w:cs="Arial"/>
          <w:sz w:val="20"/>
          <w:szCs w:val="20"/>
        </w:rPr>
      </w:pPr>
      <w:r w:rsidRPr="006B193F">
        <w:rPr>
          <w:rFonts w:ascii="Arial" w:hAnsi="Arial"/>
          <w:sz w:val="20"/>
          <w:lang w:eastAsia="sl-SI"/>
        </w:rPr>
        <w:t xml:space="preserve">začetna faza in preučitev dokumentacije </w:t>
      </w:r>
      <w:r>
        <w:rPr>
          <w:rFonts w:ascii="Arial" w:hAnsi="Arial"/>
          <w:sz w:val="20"/>
          <w:lang w:eastAsia="sl-SI"/>
        </w:rPr>
        <w:t xml:space="preserve">ter priprava začetnega poročila </w:t>
      </w:r>
      <w:r w:rsidRPr="006B193F">
        <w:rPr>
          <w:rFonts w:ascii="Arial" w:hAnsi="Arial"/>
          <w:sz w:val="20"/>
          <w:lang w:eastAsia="sl-SI"/>
        </w:rPr>
        <w:t xml:space="preserve">do </w:t>
      </w:r>
      <w:r>
        <w:rPr>
          <w:rFonts w:ascii="Arial" w:hAnsi="Arial"/>
          <w:sz w:val="20"/>
          <w:lang w:eastAsia="sl-SI"/>
        </w:rPr>
        <w:t>30. 9. 2020</w:t>
      </w:r>
      <w:r w:rsidRPr="006B193F">
        <w:rPr>
          <w:rFonts w:ascii="Arial" w:hAnsi="Arial"/>
          <w:sz w:val="20"/>
          <w:lang w:eastAsia="sl-SI"/>
        </w:rPr>
        <w:t>;</w:t>
      </w:r>
    </w:p>
    <w:p w14:paraId="79507344" w14:textId="77777777" w:rsidR="000A1AF3" w:rsidRPr="006B193F" w:rsidRDefault="000A1AF3" w:rsidP="003E3DB7">
      <w:pPr>
        <w:pStyle w:val="NoSpacing"/>
        <w:numPr>
          <w:ilvl w:val="0"/>
          <w:numId w:val="38"/>
        </w:numPr>
        <w:jc w:val="both"/>
        <w:rPr>
          <w:rFonts w:ascii="Arial" w:hAnsi="Arial" w:cs="Arial"/>
          <w:sz w:val="20"/>
          <w:szCs w:val="20"/>
        </w:rPr>
      </w:pPr>
      <w:r>
        <w:rPr>
          <w:rFonts w:ascii="Arial" w:hAnsi="Arial"/>
          <w:sz w:val="20"/>
          <w:lang w:eastAsia="sl-SI"/>
        </w:rPr>
        <w:t>odobritev začetnega poročila v 10 dneh od prejema osnutka poročila</w:t>
      </w:r>
      <w:r w:rsidRPr="003258C1">
        <w:rPr>
          <w:rFonts w:ascii="Arial" w:hAnsi="Arial"/>
          <w:sz w:val="20"/>
          <w:lang w:eastAsia="sl-SI"/>
        </w:rPr>
        <w:t>;</w:t>
      </w:r>
    </w:p>
    <w:p w14:paraId="1E62F2D0" w14:textId="77777777" w:rsidR="000A1AF3" w:rsidRPr="00386964" w:rsidRDefault="000A1AF3" w:rsidP="003E3DB7">
      <w:pPr>
        <w:pStyle w:val="NoSpacing"/>
        <w:numPr>
          <w:ilvl w:val="0"/>
          <w:numId w:val="38"/>
        </w:numPr>
        <w:jc w:val="both"/>
        <w:rPr>
          <w:rFonts w:ascii="Arial" w:hAnsi="Arial" w:cs="Arial"/>
          <w:sz w:val="20"/>
          <w:szCs w:val="20"/>
        </w:rPr>
      </w:pPr>
      <w:r w:rsidRPr="003258C1">
        <w:rPr>
          <w:rFonts w:ascii="Arial" w:hAnsi="Arial"/>
          <w:sz w:val="20"/>
          <w:lang w:eastAsia="sl-SI"/>
        </w:rPr>
        <w:t xml:space="preserve">razgovori in terensko delo </w:t>
      </w:r>
      <w:r w:rsidRPr="006B193F">
        <w:rPr>
          <w:rFonts w:ascii="Arial" w:hAnsi="Arial"/>
          <w:sz w:val="20"/>
          <w:lang w:eastAsia="sl-SI"/>
        </w:rPr>
        <w:t xml:space="preserve">do </w:t>
      </w:r>
      <w:r>
        <w:rPr>
          <w:rFonts w:ascii="Arial" w:hAnsi="Arial"/>
          <w:sz w:val="20"/>
          <w:lang w:eastAsia="sl-SI"/>
        </w:rPr>
        <w:t>16. 10. 2020</w:t>
      </w:r>
      <w:r w:rsidRPr="006B193F">
        <w:rPr>
          <w:rFonts w:ascii="Arial" w:hAnsi="Arial"/>
          <w:sz w:val="20"/>
          <w:lang w:eastAsia="sl-SI"/>
        </w:rPr>
        <w:t>;</w:t>
      </w:r>
    </w:p>
    <w:p w14:paraId="5509D9D2" w14:textId="77777777" w:rsidR="000A1AF3" w:rsidRPr="006B193F" w:rsidRDefault="000A1AF3" w:rsidP="003E3DB7">
      <w:pPr>
        <w:pStyle w:val="NoSpacing"/>
        <w:numPr>
          <w:ilvl w:val="0"/>
          <w:numId w:val="38"/>
        </w:numPr>
        <w:jc w:val="both"/>
        <w:rPr>
          <w:rFonts w:ascii="Arial" w:hAnsi="Arial" w:cs="Arial"/>
          <w:sz w:val="20"/>
          <w:szCs w:val="20"/>
        </w:rPr>
      </w:pPr>
      <w:r w:rsidRPr="00881A9A">
        <w:rPr>
          <w:rFonts w:ascii="Arial" w:hAnsi="Arial" w:cs="Arial"/>
          <w:sz w:val="20"/>
          <w:szCs w:val="20"/>
          <w:lang w:eastAsia="ar-SA"/>
        </w:rPr>
        <w:t>pre</w:t>
      </w:r>
      <w:r>
        <w:rPr>
          <w:rFonts w:ascii="Arial" w:hAnsi="Arial" w:cs="Arial"/>
          <w:sz w:val="20"/>
          <w:szCs w:val="20"/>
          <w:lang w:eastAsia="ar-SA"/>
        </w:rPr>
        <w:t>d</w:t>
      </w:r>
      <w:r w:rsidRPr="00881A9A">
        <w:rPr>
          <w:rFonts w:ascii="Arial" w:hAnsi="Arial" w:cs="Arial"/>
          <w:sz w:val="20"/>
          <w:szCs w:val="20"/>
          <w:lang w:eastAsia="ar-SA"/>
        </w:rPr>
        <w:t xml:space="preserve">stavitev ugotovitev s terena do </w:t>
      </w:r>
      <w:r>
        <w:rPr>
          <w:rFonts w:ascii="Arial" w:hAnsi="Arial" w:cs="Arial"/>
          <w:sz w:val="20"/>
          <w:szCs w:val="20"/>
          <w:lang w:eastAsia="ar-SA"/>
        </w:rPr>
        <w:t>23. 10. 2020;</w:t>
      </w:r>
    </w:p>
    <w:p w14:paraId="75F63955" w14:textId="77777777" w:rsidR="000A1AF3" w:rsidRPr="003453C7" w:rsidRDefault="000A1AF3" w:rsidP="003E3DB7">
      <w:pPr>
        <w:pStyle w:val="NoSpacing"/>
        <w:numPr>
          <w:ilvl w:val="0"/>
          <w:numId w:val="38"/>
        </w:numPr>
        <w:jc w:val="both"/>
        <w:rPr>
          <w:rFonts w:ascii="Arial" w:hAnsi="Arial" w:cs="Arial"/>
          <w:sz w:val="20"/>
          <w:szCs w:val="20"/>
        </w:rPr>
      </w:pPr>
      <w:r>
        <w:rPr>
          <w:rFonts w:ascii="Arial" w:hAnsi="Arial"/>
          <w:sz w:val="20"/>
          <w:lang w:eastAsia="sl-SI"/>
        </w:rPr>
        <w:t xml:space="preserve">priprava osnutka končnega poročila </w:t>
      </w:r>
      <w:r w:rsidRPr="003258C1">
        <w:rPr>
          <w:rFonts w:ascii="Arial" w:hAnsi="Arial"/>
          <w:sz w:val="20"/>
          <w:lang w:eastAsia="sl-SI"/>
        </w:rPr>
        <w:t xml:space="preserve">do </w:t>
      </w:r>
      <w:r>
        <w:rPr>
          <w:rFonts w:ascii="Arial" w:hAnsi="Arial"/>
          <w:sz w:val="20"/>
          <w:lang w:eastAsia="sl-SI"/>
        </w:rPr>
        <w:t xml:space="preserve">30. 10. </w:t>
      </w:r>
      <w:r w:rsidRPr="003258C1">
        <w:rPr>
          <w:rFonts w:ascii="Arial" w:hAnsi="Arial"/>
          <w:sz w:val="20"/>
          <w:lang w:eastAsia="sl-SI"/>
        </w:rPr>
        <w:t>2020;</w:t>
      </w:r>
    </w:p>
    <w:p w14:paraId="02026F3D" w14:textId="77777777" w:rsidR="000A1AF3" w:rsidRPr="003453C7" w:rsidRDefault="000A1AF3" w:rsidP="003E3DB7">
      <w:pPr>
        <w:pStyle w:val="NoSpacing"/>
        <w:numPr>
          <w:ilvl w:val="0"/>
          <w:numId w:val="38"/>
        </w:numPr>
        <w:jc w:val="both"/>
        <w:rPr>
          <w:rFonts w:ascii="Arial" w:hAnsi="Arial" w:cs="Arial"/>
          <w:sz w:val="20"/>
          <w:szCs w:val="20"/>
        </w:rPr>
      </w:pPr>
      <w:r>
        <w:rPr>
          <w:rFonts w:ascii="Arial" w:hAnsi="Arial"/>
          <w:sz w:val="20"/>
          <w:lang w:eastAsia="sl-SI"/>
        </w:rPr>
        <w:t>komentarji na osnutek končnega poročila v 10 dneh od prejema osnutka poročila</w:t>
      </w:r>
      <w:r w:rsidRPr="003258C1">
        <w:rPr>
          <w:rFonts w:ascii="Arial" w:hAnsi="Arial"/>
          <w:sz w:val="20"/>
          <w:lang w:eastAsia="sl-SI"/>
        </w:rPr>
        <w:t>;</w:t>
      </w:r>
    </w:p>
    <w:p w14:paraId="3272264B" w14:textId="77777777" w:rsidR="000A1AF3" w:rsidRPr="003258C1" w:rsidRDefault="000A1AF3" w:rsidP="003E3DB7">
      <w:pPr>
        <w:pStyle w:val="NoSpacing"/>
        <w:numPr>
          <w:ilvl w:val="0"/>
          <w:numId w:val="38"/>
        </w:numPr>
        <w:jc w:val="both"/>
        <w:rPr>
          <w:rFonts w:ascii="Arial" w:hAnsi="Arial" w:cs="Arial"/>
          <w:sz w:val="20"/>
          <w:szCs w:val="20"/>
        </w:rPr>
      </w:pPr>
      <w:r>
        <w:rPr>
          <w:rFonts w:ascii="Arial" w:hAnsi="Arial"/>
          <w:sz w:val="20"/>
          <w:lang w:eastAsia="sl-SI"/>
        </w:rPr>
        <w:t xml:space="preserve">priprava končnega poročila </w:t>
      </w:r>
      <w:r w:rsidRPr="003258C1">
        <w:rPr>
          <w:rFonts w:ascii="Arial" w:hAnsi="Arial"/>
          <w:sz w:val="20"/>
          <w:lang w:eastAsia="sl-SI"/>
        </w:rPr>
        <w:t xml:space="preserve">do </w:t>
      </w:r>
      <w:r>
        <w:rPr>
          <w:rFonts w:ascii="Arial" w:hAnsi="Arial"/>
          <w:sz w:val="20"/>
          <w:lang w:eastAsia="sl-SI"/>
        </w:rPr>
        <w:t>13. 11. 2020</w:t>
      </w:r>
      <w:r w:rsidRPr="003258C1">
        <w:rPr>
          <w:rFonts w:ascii="Arial" w:hAnsi="Arial"/>
          <w:sz w:val="20"/>
          <w:lang w:eastAsia="sl-SI"/>
        </w:rPr>
        <w:t>;</w:t>
      </w:r>
    </w:p>
    <w:p w14:paraId="6033C863" w14:textId="77777777" w:rsidR="000A1AF3" w:rsidRPr="00386964" w:rsidRDefault="000A1AF3" w:rsidP="003E3DB7">
      <w:pPr>
        <w:pStyle w:val="NoSpacing"/>
        <w:numPr>
          <w:ilvl w:val="0"/>
          <w:numId w:val="38"/>
        </w:numPr>
        <w:jc w:val="both"/>
        <w:rPr>
          <w:rFonts w:ascii="Arial" w:hAnsi="Arial" w:cs="Arial"/>
          <w:sz w:val="20"/>
          <w:szCs w:val="20"/>
        </w:rPr>
      </w:pPr>
      <w:r>
        <w:rPr>
          <w:rFonts w:ascii="Arial" w:hAnsi="Arial"/>
          <w:sz w:val="20"/>
          <w:lang w:eastAsia="sl-SI"/>
        </w:rPr>
        <w:t>odobritev končnega poročila v 10 dneh od prejema končnega poročila;</w:t>
      </w:r>
    </w:p>
    <w:p w14:paraId="3D9B7733" w14:textId="6EE68176" w:rsidR="000A1AF3" w:rsidRPr="0073087E" w:rsidRDefault="000A1AF3" w:rsidP="003E3DB7">
      <w:pPr>
        <w:pStyle w:val="NoSpacing"/>
        <w:numPr>
          <w:ilvl w:val="0"/>
          <w:numId w:val="38"/>
        </w:numPr>
        <w:jc w:val="both"/>
        <w:rPr>
          <w:rFonts w:ascii="Arial" w:hAnsi="Arial" w:cs="Arial"/>
          <w:sz w:val="20"/>
          <w:szCs w:val="20"/>
        </w:rPr>
      </w:pPr>
      <w:r w:rsidRPr="006B193F">
        <w:rPr>
          <w:rFonts w:ascii="Arial" w:hAnsi="Arial"/>
          <w:sz w:val="20"/>
          <w:lang w:eastAsia="sl-SI"/>
        </w:rPr>
        <w:t xml:space="preserve">predstavitev rezultatov evalvacije </w:t>
      </w:r>
      <w:r>
        <w:rPr>
          <w:rFonts w:ascii="Arial" w:hAnsi="Arial"/>
          <w:sz w:val="20"/>
          <w:lang w:eastAsia="sl-SI"/>
        </w:rPr>
        <w:t xml:space="preserve">in revizije </w:t>
      </w:r>
      <w:r w:rsidRPr="006B193F">
        <w:rPr>
          <w:rFonts w:ascii="Arial" w:hAnsi="Arial"/>
          <w:sz w:val="20"/>
          <w:lang w:eastAsia="sl-SI"/>
        </w:rPr>
        <w:t xml:space="preserve">do </w:t>
      </w:r>
      <w:r>
        <w:rPr>
          <w:rFonts w:ascii="Arial" w:hAnsi="Arial"/>
          <w:sz w:val="20"/>
          <w:lang w:eastAsia="sl-SI"/>
        </w:rPr>
        <w:t>25. 11. 2020</w:t>
      </w:r>
      <w:r w:rsidRPr="006B193F">
        <w:rPr>
          <w:rFonts w:ascii="Arial" w:hAnsi="Arial"/>
          <w:sz w:val="20"/>
          <w:lang w:eastAsia="sl-SI"/>
        </w:rPr>
        <w:t>.</w:t>
      </w:r>
    </w:p>
    <w:p w14:paraId="1C018002" w14:textId="77777777" w:rsidR="0073087E" w:rsidRPr="006B193F" w:rsidRDefault="0073087E" w:rsidP="003E3DB7">
      <w:pPr>
        <w:pStyle w:val="NoSpacing"/>
        <w:ind w:left="360"/>
        <w:jc w:val="both"/>
        <w:rPr>
          <w:rFonts w:ascii="Arial" w:hAnsi="Arial" w:cs="Arial"/>
          <w:sz w:val="20"/>
          <w:szCs w:val="20"/>
        </w:rPr>
      </w:pPr>
    </w:p>
    <w:p w14:paraId="1038B553" w14:textId="77777777" w:rsidR="000A1AF3" w:rsidRPr="00284114" w:rsidRDefault="000A1AF3" w:rsidP="002C3C68">
      <w:pPr>
        <w:pStyle w:val="Heading2"/>
        <w:rPr>
          <w:lang w:eastAsia="sl-SI"/>
        </w:rPr>
      </w:pPr>
      <w:bookmarkStart w:id="154" w:name="_Toc57377195"/>
      <w:r w:rsidRPr="00284114">
        <w:rPr>
          <w:lang w:eastAsia="sl-SI"/>
        </w:rPr>
        <w:t>Zagotavljanje kakovosti</w:t>
      </w:r>
      <w:bookmarkEnd w:id="154"/>
    </w:p>
    <w:p w14:paraId="6A90E3CD" w14:textId="77777777" w:rsidR="000A1AF3" w:rsidRPr="00D74408" w:rsidRDefault="000A1AF3" w:rsidP="003E3DB7">
      <w:pPr>
        <w:pStyle w:val="Caption"/>
        <w:keepNext/>
        <w:jc w:val="both"/>
        <w:rPr>
          <w:rFonts w:ascii="Helv" w:hAnsi="Helv" w:cs="Helv"/>
          <w:i w:val="0"/>
          <w:iCs w:val="0"/>
          <w:color w:val="000000"/>
          <w:sz w:val="20"/>
          <w:szCs w:val="22"/>
        </w:rPr>
      </w:pPr>
      <w:r w:rsidRPr="00D74408">
        <w:rPr>
          <w:rFonts w:ascii="Helv" w:hAnsi="Helv" w:cs="Helv"/>
          <w:i w:val="0"/>
          <w:iCs w:val="0"/>
          <w:color w:val="000000"/>
          <w:sz w:val="20"/>
          <w:szCs w:val="22"/>
        </w:rPr>
        <w:t xml:space="preserve">Glavni elementi </w:t>
      </w:r>
      <w:proofErr w:type="spellStart"/>
      <w:r w:rsidRPr="00D74408">
        <w:rPr>
          <w:rFonts w:ascii="Helv" w:hAnsi="Helv" w:cs="Helv"/>
          <w:i w:val="0"/>
          <w:iCs w:val="0"/>
          <w:color w:val="000000"/>
          <w:sz w:val="20"/>
          <w:szCs w:val="22"/>
        </w:rPr>
        <w:t>evalvacijskega</w:t>
      </w:r>
      <w:proofErr w:type="spellEnd"/>
      <w:r w:rsidRPr="00D74408">
        <w:rPr>
          <w:rFonts w:ascii="Helv" w:hAnsi="Helv" w:cs="Helv"/>
          <w:i w:val="0"/>
          <w:iCs w:val="0"/>
          <w:color w:val="000000"/>
          <w:sz w:val="20"/>
          <w:szCs w:val="22"/>
        </w:rPr>
        <w:t xml:space="preserve"> poročila so povzetek, uvod, okoliščine, </w:t>
      </w:r>
      <w:proofErr w:type="spellStart"/>
      <w:r w:rsidRPr="00D74408">
        <w:rPr>
          <w:rFonts w:ascii="Helv" w:hAnsi="Helv" w:cs="Helv"/>
          <w:i w:val="0"/>
          <w:iCs w:val="0"/>
          <w:color w:val="000000"/>
          <w:sz w:val="20"/>
          <w:szCs w:val="22"/>
        </w:rPr>
        <w:t>evalvacijski</w:t>
      </w:r>
      <w:proofErr w:type="spellEnd"/>
      <w:r w:rsidRPr="00D74408">
        <w:rPr>
          <w:rFonts w:ascii="Helv" w:hAnsi="Helv" w:cs="Helv"/>
          <w:i w:val="0"/>
          <w:iCs w:val="0"/>
          <w:color w:val="000000"/>
          <w:sz w:val="20"/>
          <w:szCs w:val="22"/>
        </w:rPr>
        <w:t xml:space="preserve"> program, ugotovitve, sklepi, priporočila, spoznanja in priloge (podrobneje v 4. poglavju </w:t>
      </w:r>
      <w:proofErr w:type="spellStart"/>
      <w:r w:rsidRPr="00D74408">
        <w:rPr>
          <w:rFonts w:ascii="Helv" w:hAnsi="Helv" w:cs="Helv"/>
          <w:i w:val="0"/>
          <w:iCs w:val="0"/>
          <w:color w:val="000000"/>
          <w:sz w:val="20"/>
          <w:szCs w:val="22"/>
        </w:rPr>
        <w:t>Evalvacijskih</w:t>
      </w:r>
      <w:proofErr w:type="spellEnd"/>
      <w:r w:rsidRPr="00D74408">
        <w:rPr>
          <w:rFonts w:ascii="Helv" w:hAnsi="Helv" w:cs="Helv"/>
          <w:i w:val="0"/>
          <w:iCs w:val="0"/>
          <w:color w:val="000000"/>
          <w:sz w:val="20"/>
          <w:szCs w:val="22"/>
        </w:rPr>
        <w:t xml:space="preserve"> smernic mednarodnega razvojnega sodelovanja Slovenije). </w:t>
      </w:r>
    </w:p>
    <w:p w14:paraId="53802795" w14:textId="77777777" w:rsidR="000A1AF3" w:rsidRPr="00284114" w:rsidRDefault="000A1AF3" w:rsidP="002C3C68">
      <w:pPr>
        <w:pStyle w:val="Heading2"/>
      </w:pPr>
      <w:bookmarkStart w:id="155" w:name="_Toc57377196"/>
      <w:r w:rsidRPr="00284114">
        <w:t>Zahteva</w:t>
      </w:r>
      <w:r>
        <w:t>n</w:t>
      </w:r>
      <w:r w:rsidRPr="00284114">
        <w:t>o strokovno znanje in izbor</w:t>
      </w:r>
      <w:bookmarkEnd w:id="155"/>
    </w:p>
    <w:p w14:paraId="767B5F7C" w14:textId="3CBE9D4F" w:rsidR="000A1AF3" w:rsidRDefault="000A1AF3" w:rsidP="003E3DB7">
      <w:pPr>
        <w:widowControl w:val="0"/>
        <w:autoSpaceDE w:val="0"/>
        <w:autoSpaceDN w:val="0"/>
        <w:adjustRightInd w:val="0"/>
        <w:jc w:val="both"/>
        <w:rPr>
          <w:rFonts w:ascii="Helv" w:hAnsi="Helv" w:cs="Helv"/>
          <w:color w:val="000000"/>
        </w:rPr>
      </w:pPr>
      <w:r w:rsidRPr="006B7D07">
        <w:rPr>
          <w:rFonts w:ascii="Helv" w:hAnsi="Helv" w:cs="Helv"/>
          <w:color w:val="000000"/>
        </w:rPr>
        <w:t xml:space="preserve">Evalvacijo izpelje strateški partner </w:t>
      </w:r>
      <w:proofErr w:type="spellStart"/>
      <w:r>
        <w:rPr>
          <w:rFonts w:ascii="Helv" w:hAnsi="Helv" w:cs="Helv"/>
          <w:color w:val="000000"/>
        </w:rPr>
        <w:t>Deloitte</w:t>
      </w:r>
      <w:proofErr w:type="spellEnd"/>
      <w:r>
        <w:rPr>
          <w:rFonts w:ascii="Helv" w:hAnsi="Helv" w:cs="Helv"/>
          <w:color w:val="000000"/>
        </w:rPr>
        <w:t xml:space="preserve"> svetovanje </w:t>
      </w:r>
      <w:proofErr w:type="spellStart"/>
      <w:r>
        <w:rPr>
          <w:rFonts w:ascii="Helv" w:hAnsi="Helv" w:cs="Helv"/>
          <w:color w:val="000000"/>
        </w:rPr>
        <w:t>d.o.o</w:t>
      </w:r>
      <w:proofErr w:type="spellEnd"/>
      <w:r>
        <w:rPr>
          <w:rFonts w:ascii="Helv" w:hAnsi="Helv" w:cs="Helv"/>
          <w:color w:val="000000"/>
        </w:rPr>
        <w:t xml:space="preserve">. na podlagi </w:t>
      </w:r>
      <w:r w:rsidRPr="006B7D07">
        <w:rPr>
          <w:rFonts w:ascii="Helv" w:hAnsi="Helv" w:cs="Helv"/>
          <w:color w:val="000000"/>
        </w:rPr>
        <w:t>Sporazuma o strateškem partnerstvu</w:t>
      </w:r>
      <w:r>
        <w:rPr>
          <w:rFonts w:ascii="Helv" w:hAnsi="Helv" w:cs="Helv"/>
          <w:color w:val="000000"/>
        </w:rPr>
        <w:t xml:space="preserve"> št. C</w:t>
      </w:r>
      <w:r w:rsidRPr="006B7D07">
        <w:rPr>
          <w:rFonts w:ascii="Helv" w:hAnsi="Helv" w:cs="Helv"/>
          <w:color w:val="000000"/>
        </w:rPr>
        <w:t>1811-19-110018</w:t>
      </w:r>
      <w:r>
        <w:rPr>
          <w:rFonts w:ascii="Helv" w:hAnsi="Helv" w:cs="Helv"/>
          <w:color w:val="000000"/>
        </w:rPr>
        <w:t>, z dne 15. 11. 2019.</w:t>
      </w:r>
    </w:p>
    <w:p w14:paraId="77A5A12F" w14:textId="77777777" w:rsidR="0073087E" w:rsidRDefault="0073087E" w:rsidP="003E3DB7">
      <w:pPr>
        <w:widowControl w:val="0"/>
        <w:autoSpaceDE w:val="0"/>
        <w:autoSpaceDN w:val="0"/>
        <w:adjustRightInd w:val="0"/>
        <w:jc w:val="both"/>
        <w:rPr>
          <w:rFonts w:ascii="Helv" w:hAnsi="Helv" w:cs="Helv"/>
          <w:color w:val="000000"/>
        </w:rPr>
      </w:pPr>
    </w:p>
    <w:p w14:paraId="760B0883" w14:textId="77777777" w:rsidR="000A1AF3" w:rsidRPr="00284114" w:rsidRDefault="000A1AF3" w:rsidP="002C3C68">
      <w:pPr>
        <w:pStyle w:val="Heading2"/>
      </w:pPr>
      <w:bookmarkStart w:id="156" w:name="_Toc57377197"/>
      <w:r w:rsidRPr="00284114">
        <w:t>Proračun</w:t>
      </w:r>
      <w:bookmarkEnd w:id="156"/>
    </w:p>
    <w:p w14:paraId="20527C28" w14:textId="42BD9351" w:rsidR="000A1AF3" w:rsidRDefault="000A1AF3" w:rsidP="003E3DB7">
      <w:pPr>
        <w:pStyle w:val="NoSpacing"/>
        <w:jc w:val="both"/>
        <w:rPr>
          <w:rFonts w:ascii="Arial" w:hAnsi="Arial" w:cs="Arial"/>
          <w:sz w:val="20"/>
          <w:szCs w:val="20"/>
        </w:rPr>
      </w:pPr>
      <w:r w:rsidRPr="00523A86">
        <w:rPr>
          <w:rFonts w:ascii="Arial" w:hAnsi="Arial" w:cs="Arial"/>
          <w:sz w:val="20"/>
          <w:szCs w:val="20"/>
        </w:rPr>
        <w:t>Za evalvacijo</w:t>
      </w:r>
      <w:r>
        <w:rPr>
          <w:rFonts w:ascii="Arial" w:hAnsi="Arial" w:cs="Arial"/>
          <w:sz w:val="20"/>
          <w:szCs w:val="20"/>
        </w:rPr>
        <w:t xml:space="preserve"> in revizijo s svetovalnimi urami</w:t>
      </w:r>
      <w:r w:rsidRPr="00523A86">
        <w:rPr>
          <w:rFonts w:ascii="Arial" w:hAnsi="Arial" w:cs="Arial"/>
          <w:sz w:val="20"/>
          <w:szCs w:val="20"/>
        </w:rPr>
        <w:t xml:space="preserve"> je namenjenih </w:t>
      </w:r>
      <w:r>
        <w:rPr>
          <w:rFonts w:ascii="Arial" w:hAnsi="Arial" w:cs="Arial"/>
          <w:sz w:val="20"/>
          <w:szCs w:val="20"/>
        </w:rPr>
        <w:t>do</w:t>
      </w:r>
      <w:r w:rsidRPr="00523A86">
        <w:rPr>
          <w:rFonts w:ascii="Arial" w:hAnsi="Arial" w:cs="Arial"/>
          <w:sz w:val="20"/>
          <w:szCs w:val="20"/>
        </w:rPr>
        <w:t xml:space="preserve"> </w:t>
      </w:r>
      <w:r w:rsidRPr="00567AAF">
        <w:rPr>
          <w:rFonts w:ascii="Arial" w:hAnsi="Arial" w:cs="Arial"/>
          <w:sz w:val="20"/>
          <w:szCs w:val="20"/>
        </w:rPr>
        <w:t>30.000 EUR</w:t>
      </w:r>
      <w:r w:rsidRPr="00835CCD">
        <w:rPr>
          <w:rFonts w:ascii="Arial" w:hAnsi="Arial" w:cs="Arial"/>
          <w:sz w:val="20"/>
          <w:szCs w:val="20"/>
        </w:rPr>
        <w:t xml:space="preserve"> z DDV.</w:t>
      </w:r>
    </w:p>
    <w:p w14:paraId="7DC96B9B" w14:textId="77777777" w:rsidR="0073087E" w:rsidRPr="00523A86" w:rsidRDefault="0073087E" w:rsidP="003E3DB7">
      <w:pPr>
        <w:pStyle w:val="NoSpacing"/>
        <w:jc w:val="both"/>
        <w:rPr>
          <w:rFonts w:ascii="Arial" w:hAnsi="Arial" w:cs="Arial"/>
          <w:sz w:val="20"/>
          <w:szCs w:val="20"/>
        </w:rPr>
      </w:pPr>
    </w:p>
    <w:p w14:paraId="1771DA08" w14:textId="77777777" w:rsidR="000A1AF3" w:rsidRPr="00284114" w:rsidRDefault="000A1AF3" w:rsidP="003C2EDD">
      <w:pPr>
        <w:pStyle w:val="Heading2"/>
      </w:pPr>
      <w:bookmarkStart w:id="157" w:name="_Toc57377198"/>
      <w:r w:rsidRPr="00284114">
        <w:t>Mandat</w:t>
      </w:r>
      <w:bookmarkEnd w:id="157"/>
    </w:p>
    <w:p w14:paraId="05C63409" w14:textId="10D0FD30" w:rsidR="000A1AF3" w:rsidRDefault="000A1AF3" w:rsidP="003E3DB7">
      <w:pPr>
        <w:jc w:val="both"/>
      </w:pPr>
      <w:proofErr w:type="spellStart"/>
      <w:r w:rsidRPr="00284114">
        <w:t>Evalvatorji</w:t>
      </w:r>
      <w:proofErr w:type="spellEnd"/>
      <w:r w:rsidRPr="00284114">
        <w:t xml:space="preserve"> morajo o zadevah, ki so pomembne za evalvacijo</w:t>
      </w:r>
      <w:r>
        <w:t xml:space="preserve"> in revizijo,</w:t>
      </w:r>
      <w:r w:rsidRPr="00284114">
        <w:t xml:space="preserve"> razpravljati z ustreznimi osebami in organizacijami</w:t>
      </w:r>
      <w:r w:rsidRPr="002B3BE6">
        <w:t xml:space="preserve">. </w:t>
      </w:r>
      <w:proofErr w:type="spellStart"/>
      <w:r>
        <w:t>Evalvatorji</w:t>
      </w:r>
      <w:proofErr w:type="spellEnd"/>
      <w:r>
        <w:t xml:space="preserve"> n</w:t>
      </w:r>
      <w:r w:rsidRPr="002B3BE6">
        <w:t xml:space="preserve">iso pooblaščeni, da v imenu Vlade Republike Slovenije </w:t>
      </w:r>
      <w:r>
        <w:t xml:space="preserve">ali Ministrstva za zunanje zadeve Republike Slovenije </w:t>
      </w:r>
      <w:r w:rsidRPr="002B3BE6">
        <w:t>sprejmejo kakršnekoli zaveze.</w:t>
      </w:r>
    </w:p>
    <w:p w14:paraId="3C8DCBE4" w14:textId="77777777" w:rsidR="0073087E" w:rsidRPr="00284114" w:rsidRDefault="0073087E" w:rsidP="003E3DB7">
      <w:pPr>
        <w:jc w:val="both"/>
      </w:pPr>
    </w:p>
    <w:p w14:paraId="1FC6E98E" w14:textId="77777777" w:rsidR="000A1AF3" w:rsidRPr="00284114" w:rsidRDefault="000A1AF3" w:rsidP="003C2EDD">
      <w:pPr>
        <w:pStyle w:val="Heading2"/>
      </w:pPr>
      <w:bookmarkStart w:id="158" w:name="_Toc57377199"/>
      <w:r w:rsidRPr="00CD3C60">
        <w:lastRenderedPageBreak/>
        <w:t>Viri</w:t>
      </w:r>
      <w:r w:rsidRPr="00284114">
        <w:t xml:space="preserve"> informacij</w:t>
      </w:r>
      <w:bookmarkEnd w:id="158"/>
    </w:p>
    <w:p w14:paraId="2CFAAD7A" w14:textId="77777777" w:rsidR="000A1AF3" w:rsidRPr="00284114" w:rsidRDefault="000A1AF3" w:rsidP="003E3DB7">
      <w:pPr>
        <w:jc w:val="both"/>
      </w:pPr>
      <w:r w:rsidRPr="00284114">
        <w:t>Zakon, resolucija, strategija in drugi dokumenti o MRS Slovenije</w:t>
      </w:r>
    </w:p>
    <w:p w14:paraId="27DDE056" w14:textId="77777777" w:rsidR="000A1AF3" w:rsidRPr="00284114" w:rsidRDefault="00000000" w:rsidP="003E3DB7">
      <w:pPr>
        <w:jc w:val="both"/>
      </w:pPr>
      <w:hyperlink r:id="rId33" w:history="1">
        <w:r w:rsidR="000A1AF3" w:rsidRPr="00284114">
          <w:rPr>
            <w:rStyle w:val="Hyperlink"/>
          </w:rPr>
          <w:t>https://www.gov.si/teme/nacrtovanje-in-izvajanje-mednarodnega-razvojnega-sodelovanja-in-humanitarne-pomoci-slovenije/</w:t>
        </w:r>
      </w:hyperlink>
    </w:p>
    <w:p w14:paraId="05F413DE" w14:textId="77777777" w:rsidR="000A1AF3" w:rsidRPr="00284114" w:rsidRDefault="000A1AF3" w:rsidP="003E3DB7">
      <w:pPr>
        <w:jc w:val="both"/>
      </w:pPr>
    </w:p>
    <w:p w14:paraId="7FAAF034" w14:textId="77777777" w:rsidR="000A1AF3" w:rsidRPr="00284114" w:rsidRDefault="000A1AF3" w:rsidP="003E3DB7">
      <w:pPr>
        <w:jc w:val="both"/>
      </w:pPr>
      <w:proofErr w:type="spellStart"/>
      <w:r w:rsidRPr="00284114">
        <w:t>Evalvacijska</w:t>
      </w:r>
      <w:proofErr w:type="spellEnd"/>
      <w:r w:rsidRPr="00284114">
        <w:t xml:space="preserve"> politika in </w:t>
      </w:r>
      <w:proofErr w:type="spellStart"/>
      <w:r w:rsidRPr="00284114">
        <w:t>evalvacijske</w:t>
      </w:r>
      <w:proofErr w:type="spellEnd"/>
      <w:r w:rsidRPr="00284114">
        <w:t xml:space="preserve"> smernice za MRS Slovenije</w:t>
      </w:r>
    </w:p>
    <w:p w14:paraId="5BCE02CF" w14:textId="77777777" w:rsidR="000A1AF3" w:rsidRPr="00284114" w:rsidRDefault="00000000" w:rsidP="003E3DB7">
      <w:pPr>
        <w:jc w:val="both"/>
      </w:pPr>
      <w:hyperlink r:id="rId34" w:history="1">
        <w:r w:rsidR="000A1AF3" w:rsidRPr="00284114">
          <w:rPr>
            <w:rStyle w:val="Hyperlink"/>
          </w:rPr>
          <w:t>https://www.gov.si/teme/prednostna-podrocja-in-obmocja-mednarodnega-razvojnega-sodelovanja-slovenije/</w:t>
        </w:r>
      </w:hyperlink>
    </w:p>
    <w:p w14:paraId="094EAC39" w14:textId="77777777" w:rsidR="000A1AF3" w:rsidRPr="00284114" w:rsidRDefault="000A1AF3" w:rsidP="003E3DB7">
      <w:pPr>
        <w:jc w:val="both"/>
      </w:pPr>
    </w:p>
    <w:p w14:paraId="2A31C533" w14:textId="77777777" w:rsidR="000A1AF3" w:rsidRDefault="000A1AF3" w:rsidP="003E3DB7">
      <w:pPr>
        <w:jc w:val="both"/>
        <w:rPr>
          <w:rStyle w:val="Hyperlink"/>
        </w:rPr>
      </w:pPr>
      <w:proofErr w:type="spellStart"/>
      <w:r w:rsidRPr="00284114">
        <w:t>Evalviranje</w:t>
      </w:r>
      <w:proofErr w:type="spellEnd"/>
      <w:r w:rsidRPr="00284114">
        <w:t xml:space="preserve"> mednarodnega razvojnega sodelovanja: povzetek ključnih pravil in standardov, Odbor OECD za razvojno pomoč</w:t>
      </w:r>
      <w:r>
        <w:t xml:space="preserve"> </w:t>
      </w:r>
      <w:hyperlink r:id="rId35" w:history="1">
        <w:r w:rsidRPr="00821747">
          <w:rPr>
            <w:rStyle w:val="Hyperlink"/>
          </w:rPr>
          <w:t>http://www.oecd.org/dac/evaluation/dcdndep/41612905.pdf</w:t>
        </w:r>
      </w:hyperlink>
    </w:p>
    <w:p w14:paraId="5266FBBC" w14:textId="77777777" w:rsidR="000A1AF3" w:rsidRDefault="000A1AF3" w:rsidP="00BA7EFE">
      <w:pPr>
        <w:jc w:val="both"/>
        <w:rPr>
          <w:rStyle w:val="Hyperlink"/>
        </w:rPr>
      </w:pPr>
    </w:p>
    <w:p w14:paraId="53D43CB4" w14:textId="77777777" w:rsidR="000A1AF3" w:rsidRDefault="000A1AF3" w:rsidP="00BA7EFE">
      <w:pPr>
        <w:jc w:val="both"/>
      </w:pPr>
      <w:proofErr w:type="spellStart"/>
      <w:r w:rsidRPr="00284114">
        <w:t>Evalv</w:t>
      </w:r>
      <w:r>
        <w:t>acijska</w:t>
      </w:r>
      <w:proofErr w:type="spellEnd"/>
      <w:r>
        <w:t xml:space="preserve"> merila: prilagojene opredelitve in način uporabe</w:t>
      </w:r>
      <w:r w:rsidRPr="00284114">
        <w:t>, Odbor OECD za razvojno pomoč</w:t>
      </w:r>
      <w:r>
        <w:t xml:space="preserve"> </w:t>
      </w:r>
      <w:hyperlink r:id="rId36" w:history="1">
        <w:r>
          <w:rPr>
            <w:rStyle w:val="Hyperlink"/>
          </w:rPr>
          <w:t>https://www.oecd.org/dac/evaluation/revised-evaluation-criteria-dec-2019.pdf</w:t>
        </w:r>
      </w:hyperlink>
    </w:p>
    <w:p w14:paraId="1029A454" w14:textId="77777777" w:rsidR="000A1AF3" w:rsidRDefault="000A1AF3" w:rsidP="00BA7EFE">
      <w:pPr>
        <w:jc w:val="both"/>
      </w:pPr>
    </w:p>
    <w:p w14:paraId="2891E350" w14:textId="77777777" w:rsidR="000A1AF3" w:rsidRDefault="000A1AF3" w:rsidP="00BA7EFE">
      <w:pPr>
        <w:jc w:val="both"/>
      </w:pPr>
      <w:proofErr w:type="spellStart"/>
      <w:r>
        <w:t>Evalvacijski</w:t>
      </w:r>
      <w:proofErr w:type="spellEnd"/>
      <w:r>
        <w:t xml:space="preserve"> glosar in </w:t>
      </w:r>
      <w:proofErr w:type="spellStart"/>
      <w:r>
        <w:t>evalvacijske</w:t>
      </w:r>
      <w:proofErr w:type="spellEnd"/>
      <w:r>
        <w:t xml:space="preserve"> smernice, </w:t>
      </w:r>
      <w:r w:rsidRPr="00284114">
        <w:t>Odbor OECD za razvojno pomoč</w:t>
      </w:r>
      <w:r>
        <w:t xml:space="preserve"> (v usklajevanju v mednarodni skupnosti, poizvedba na ministrstvu pred začetkom dela)</w:t>
      </w:r>
    </w:p>
    <w:p w14:paraId="7FCA41C2" w14:textId="77777777" w:rsidR="000A1AF3" w:rsidRDefault="000A1AF3" w:rsidP="00BA7EFE">
      <w:pPr>
        <w:jc w:val="both"/>
      </w:pPr>
    </w:p>
    <w:p w14:paraId="0D49BD8B" w14:textId="77777777" w:rsidR="000A1AF3" w:rsidRDefault="000A1AF3" w:rsidP="00BA7EFE">
      <w:pPr>
        <w:jc w:val="both"/>
      </w:pPr>
      <w:r>
        <w:rPr>
          <w:lang w:eastAsia="sl-SI"/>
        </w:rPr>
        <w:t xml:space="preserve">Smernice o enakosti spolov, </w:t>
      </w:r>
      <w:r w:rsidRPr="007258C9">
        <w:rPr>
          <w:lang w:eastAsia="sl-SI"/>
        </w:rPr>
        <w:t>varovanju okolja</w:t>
      </w:r>
      <w:r>
        <w:rPr>
          <w:lang w:eastAsia="sl-SI"/>
        </w:rPr>
        <w:t xml:space="preserve"> in usmeritve glede pristopa </w:t>
      </w:r>
      <w:r w:rsidRPr="007258C9">
        <w:rPr>
          <w:lang w:eastAsia="sl-SI"/>
        </w:rPr>
        <w:t>temelječ</w:t>
      </w:r>
      <w:r>
        <w:rPr>
          <w:lang w:eastAsia="sl-SI"/>
        </w:rPr>
        <w:t>ega</w:t>
      </w:r>
      <w:r w:rsidRPr="007258C9">
        <w:rPr>
          <w:lang w:eastAsia="sl-SI"/>
        </w:rPr>
        <w:t xml:space="preserve"> na človekovih pravicah </w:t>
      </w:r>
      <w:r>
        <w:rPr>
          <w:lang w:eastAsia="sl-SI"/>
        </w:rPr>
        <w:t xml:space="preserve">(dokumenti v pripravi, </w:t>
      </w:r>
      <w:r>
        <w:t>poizvedba na ministrstvu pred začetkom dela).</w:t>
      </w:r>
    </w:p>
    <w:p w14:paraId="459428CA" w14:textId="4AA572D3" w:rsidR="007C22DE" w:rsidRPr="008401DD" w:rsidRDefault="007C22DE" w:rsidP="00BA7EFE">
      <w:pPr>
        <w:jc w:val="both"/>
      </w:pPr>
      <w:r w:rsidRPr="008401DD">
        <w:br w:type="page"/>
      </w:r>
    </w:p>
    <w:p w14:paraId="5FED9516" w14:textId="504291DB" w:rsidR="007B2D7B" w:rsidRPr="008401DD" w:rsidRDefault="007B2D7B" w:rsidP="00960E68">
      <w:pPr>
        <w:spacing w:line="240" w:lineRule="auto"/>
        <w:rPr>
          <w:rFonts w:cs="Arial"/>
          <w:b/>
          <w:color w:val="1B75BC"/>
          <w:sz w:val="36"/>
          <w:szCs w:val="36"/>
        </w:rPr>
      </w:pPr>
      <w:r w:rsidRPr="008401DD">
        <w:rPr>
          <w:rFonts w:cs="Arial"/>
          <w:b/>
          <w:color w:val="1B75BC"/>
          <w:sz w:val="36"/>
          <w:szCs w:val="36"/>
        </w:rPr>
        <w:lastRenderedPageBreak/>
        <w:t>Zavrnitev odgovornosti</w:t>
      </w:r>
    </w:p>
    <w:p w14:paraId="66DF8AED" w14:textId="77777777" w:rsidR="00127520" w:rsidRPr="008401DD" w:rsidRDefault="00127520" w:rsidP="00960E68">
      <w:pPr>
        <w:spacing w:line="276" w:lineRule="auto"/>
        <w:jc w:val="both"/>
        <w:rPr>
          <w:rFonts w:cs="Arial"/>
          <w:szCs w:val="20"/>
        </w:rPr>
      </w:pPr>
    </w:p>
    <w:p w14:paraId="387D66AD" w14:textId="3C4DBD55" w:rsidR="007B2D7B" w:rsidRPr="008401DD" w:rsidRDefault="007B2D7B" w:rsidP="00960E68">
      <w:pPr>
        <w:spacing w:line="276" w:lineRule="auto"/>
        <w:jc w:val="both"/>
        <w:rPr>
          <w:rFonts w:cs="Arial"/>
          <w:szCs w:val="20"/>
        </w:rPr>
      </w:pPr>
      <w:r w:rsidRPr="008401DD">
        <w:rPr>
          <w:rFonts w:cs="Arial"/>
          <w:szCs w:val="20"/>
        </w:rPr>
        <w:t xml:space="preserve">Pričujoče gradivo in informacije v njem so delo družbe </w:t>
      </w:r>
      <w:proofErr w:type="spellStart"/>
      <w:r w:rsidRPr="008401DD">
        <w:rPr>
          <w:rFonts w:cs="Arial"/>
          <w:szCs w:val="20"/>
        </w:rPr>
        <w:t>Deloitte</w:t>
      </w:r>
      <w:proofErr w:type="spellEnd"/>
      <w:r w:rsidRPr="008401DD">
        <w:rPr>
          <w:rFonts w:cs="Arial"/>
          <w:szCs w:val="20"/>
        </w:rPr>
        <w:t xml:space="preserve"> Slovenija in imajo namen posredovati splošne informacije o določeni temi ali temah ter te teme ali tem ne obravnavajo izčrpno. </w:t>
      </w:r>
    </w:p>
    <w:p w14:paraId="0D65408C" w14:textId="77777777" w:rsidR="00535656" w:rsidRPr="008401DD" w:rsidRDefault="00535656" w:rsidP="00960E68">
      <w:pPr>
        <w:spacing w:line="276" w:lineRule="auto"/>
        <w:jc w:val="both"/>
        <w:rPr>
          <w:rFonts w:cs="Arial"/>
          <w:szCs w:val="20"/>
        </w:rPr>
      </w:pPr>
    </w:p>
    <w:p w14:paraId="3DD8D416" w14:textId="17EA2B33" w:rsidR="007B2D7B" w:rsidRPr="008401DD" w:rsidRDefault="007B2D7B" w:rsidP="00960E68">
      <w:pPr>
        <w:spacing w:line="276" w:lineRule="auto"/>
        <w:jc w:val="both"/>
        <w:rPr>
          <w:rFonts w:cs="Arial"/>
          <w:szCs w:val="20"/>
        </w:rPr>
      </w:pPr>
      <w:r w:rsidRPr="008401DD">
        <w:rPr>
          <w:rFonts w:cs="Arial"/>
          <w:szCs w:val="20"/>
        </w:rPr>
        <w:t xml:space="preserve">Skladno s pravkar navedenim informacije v tem gradivu ne predstavljajo računovodskih, davčnih, pravnih, naložbenih ali drugih strokovnih nasvetov ali storitev. Te informacije vam niso podane z namenom, da bi se nanje zanašali kot na edino osnovo pri sprejemanju odločitev, ki lahko vplivajo na vaše poslovanje. Preden sprejmete kakršnokoli odločitev ali ukrep, ki lahko vpliva na vaše osebne finance ali poslovanje, se morate posvetovati z usposobljenim strokovnim svetovalcem. </w:t>
      </w:r>
    </w:p>
    <w:p w14:paraId="0D87F835" w14:textId="77777777" w:rsidR="00535656" w:rsidRPr="008401DD" w:rsidRDefault="00535656" w:rsidP="00960E68">
      <w:pPr>
        <w:spacing w:line="276" w:lineRule="auto"/>
        <w:jc w:val="both"/>
        <w:rPr>
          <w:rFonts w:cs="Arial"/>
          <w:szCs w:val="20"/>
        </w:rPr>
      </w:pPr>
    </w:p>
    <w:p w14:paraId="424D36A5" w14:textId="485DFCA9" w:rsidR="007B2D7B" w:rsidRPr="008401DD" w:rsidRDefault="007B2D7B" w:rsidP="00960E68">
      <w:pPr>
        <w:spacing w:line="276" w:lineRule="auto"/>
        <w:jc w:val="both"/>
        <w:rPr>
          <w:rFonts w:cs="Arial"/>
          <w:szCs w:val="20"/>
        </w:rPr>
      </w:pPr>
      <w:r w:rsidRPr="008401DD">
        <w:rPr>
          <w:rFonts w:cs="Arial"/>
          <w:szCs w:val="20"/>
        </w:rPr>
        <w:t xml:space="preserve">To gradivo in informacije v njem so posredovane v pričujoči obliki, družba </w:t>
      </w:r>
      <w:proofErr w:type="spellStart"/>
      <w:r w:rsidRPr="008401DD">
        <w:rPr>
          <w:rFonts w:cs="Arial"/>
          <w:szCs w:val="20"/>
        </w:rPr>
        <w:t>Deloitte</w:t>
      </w:r>
      <w:proofErr w:type="spellEnd"/>
      <w:r w:rsidRPr="008401DD">
        <w:rPr>
          <w:rFonts w:cs="Arial"/>
          <w:szCs w:val="20"/>
        </w:rPr>
        <w:t xml:space="preserve"> Slovenija pa ne podaja nobenih implicitnih ali eksplicitnih izjav ali jamstev glede tega gradiva ali informacij v njem. Brez omejevanja slednjega družba </w:t>
      </w:r>
      <w:proofErr w:type="spellStart"/>
      <w:r w:rsidRPr="008401DD">
        <w:rPr>
          <w:rFonts w:cs="Arial"/>
          <w:szCs w:val="20"/>
        </w:rPr>
        <w:t>Deloitte</w:t>
      </w:r>
      <w:proofErr w:type="spellEnd"/>
      <w:r w:rsidRPr="008401DD">
        <w:rPr>
          <w:rFonts w:cs="Arial"/>
          <w:szCs w:val="20"/>
        </w:rPr>
        <w:t xml:space="preserve"> Slovenija ne jamči, da so to gradivo ali informacije v njem brez napak ali da izpolnjujejo kakršnakoli specifična merila uspešnosti ali kakovosti. Družba </w:t>
      </w:r>
      <w:proofErr w:type="spellStart"/>
      <w:r w:rsidRPr="008401DD">
        <w:rPr>
          <w:rFonts w:cs="Arial"/>
          <w:szCs w:val="20"/>
        </w:rPr>
        <w:t>Deloitte</w:t>
      </w:r>
      <w:proofErr w:type="spellEnd"/>
      <w:r w:rsidRPr="008401DD">
        <w:rPr>
          <w:rFonts w:cs="Arial"/>
          <w:szCs w:val="20"/>
        </w:rPr>
        <w:t xml:space="preserve"> Slovenija izrecno zavrača vsa implicitna jamstva, vključno, vendar ne omejeno na jamstva o tržnosti, lastništvu, primernosti za določen namen, </w:t>
      </w:r>
      <w:proofErr w:type="spellStart"/>
      <w:r w:rsidRPr="008401DD">
        <w:rPr>
          <w:rFonts w:cs="Arial"/>
          <w:szCs w:val="20"/>
        </w:rPr>
        <w:t>nekršitvi</w:t>
      </w:r>
      <w:proofErr w:type="spellEnd"/>
      <w:r w:rsidRPr="008401DD">
        <w:rPr>
          <w:rFonts w:cs="Arial"/>
          <w:szCs w:val="20"/>
        </w:rPr>
        <w:t>, združljivosti, varnosti in točnosti.</w:t>
      </w:r>
    </w:p>
    <w:p w14:paraId="58B2B4E3" w14:textId="77777777" w:rsidR="00535656" w:rsidRPr="008401DD" w:rsidRDefault="00535656" w:rsidP="00960E68">
      <w:pPr>
        <w:spacing w:line="276" w:lineRule="auto"/>
        <w:jc w:val="both"/>
        <w:rPr>
          <w:rFonts w:cs="Arial"/>
          <w:szCs w:val="20"/>
        </w:rPr>
      </w:pPr>
    </w:p>
    <w:p w14:paraId="27362BF0" w14:textId="16030CAE" w:rsidR="007B2D7B" w:rsidRPr="008401DD" w:rsidRDefault="007B2D7B" w:rsidP="00960E68">
      <w:pPr>
        <w:spacing w:line="276" w:lineRule="auto"/>
        <w:jc w:val="both"/>
        <w:rPr>
          <w:rFonts w:cs="Arial"/>
          <w:szCs w:val="20"/>
        </w:rPr>
      </w:pPr>
      <w:r w:rsidRPr="008401DD">
        <w:rPr>
          <w:rFonts w:cs="Arial"/>
          <w:szCs w:val="20"/>
        </w:rPr>
        <w:t xml:space="preserve">To gradivo in informacije v njem tako uporabljate na lastno odgovornost ter nase prevzemate polno odgovornost in tveganje izgube, ki jo lahko utrpite zaradi uporabe tega gradiva ali informacij v njem. Družba </w:t>
      </w:r>
      <w:proofErr w:type="spellStart"/>
      <w:r w:rsidRPr="008401DD">
        <w:rPr>
          <w:rFonts w:cs="Arial"/>
          <w:szCs w:val="20"/>
        </w:rPr>
        <w:t>Deloitte</w:t>
      </w:r>
      <w:proofErr w:type="spellEnd"/>
      <w:r w:rsidRPr="008401DD">
        <w:rPr>
          <w:rFonts w:cs="Arial"/>
          <w:szCs w:val="20"/>
        </w:rPr>
        <w:t xml:space="preserve"> Slovenija ne bo odgovorna za nobeno posebno, posredno, postransko, posledično ali dodatno odškodnino oz. kakršnokoli drugo škodo, najsi se pojavi zaradi pogodbe, zakona, kazenskega prava (vključno, vendar ne omejeno na malomarnost) ali drugega v povezavi z uporabo tega gradiva ali informacij v njem. </w:t>
      </w:r>
    </w:p>
    <w:p w14:paraId="0E0A2157" w14:textId="77777777" w:rsidR="00535656" w:rsidRPr="008401DD" w:rsidRDefault="00535656" w:rsidP="00960E68">
      <w:pPr>
        <w:spacing w:line="276" w:lineRule="auto"/>
        <w:jc w:val="both"/>
        <w:rPr>
          <w:rFonts w:cs="Arial"/>
          <w:szCs w:val="20"/>
        </w:rPr>
      </w:pPr>
    </w:p>
    <w:p w14:paraId="6440616A" w14:textId="77777777" w:rsidR="007B2D7B" w:rsidRPr="008401DD" w:rsidRDefault="007B2D7B" w:rsidP="00960E68">
      <w:pPr>
        <w:spacing w:line="276" w:lineRule="auto"/>
        <w:jc w:val="both"/>
        <w:rPr>
          <w:rFonts w:cs="Arial"/>
          <w:szCs w:val="20"/>
        </w:rPr>
      </w:pPr>
      <w:r w:rsidRPr="008401DD">
        <w:rPr>
          <w:rFonts w:cs="Arial"/>
          <w:szCs w:val="20"/>
        </w:rPr>
        <w:t>Če karkoli od zgoraj navedenega iz kakršnegakoli razloga ni v celoti izvršljivo, ostalo še vedno ostane v veljavi.</w:t>
      </w:r>
    </w:p>
    <w:p w14:paraId="14E60770" w14:textId="77777777" w:rsidR="007B2D7B" w:rsidRPr="008401DD" w:rsidRDefault="007B2D7B" w:rsidP="007B2D7B">
      <w:pPr>
        <w:spacing w:line="240" w:lineRule="auto"/>
        <w:jc w:val="both"/>
        <w:rPr>
          <w:rFonts w:cs="Arial"/>
          <w:szCs w:val="20"/>
        </w:rPr>
      </w:pPr>
    </w:p>
    <w:p w14:paraId="57B804B1" w14:textId="77777777" w:rsidR="007B2D7B" w:rsidRPr="008401DD" w:rsidRDefault="007B2D7B" w:rsidP="007B2D7B">
      <w:pPr>
        <w:spacing w:line="240" w:lineRule="auto"/>
        <w:jc w:val="both"/>
        <w:rPr>
          <w:rFonts w:cs="Arial"/>
          <w:szCs w:val="20"/>
        </w:rPr>
      </w:pPr>
    </w:p>
    <w:p w14:paraId="4525D8BB" w14:textId="599A0A25" w:rsidR="006126E9" w:rsidRPr="008401DD" w:rsidRDefault="007B2D7B" w:rsidP="00774339">
      <w:pPr>
        <w:spacing w:line="240" w:lineRule="auto"/>
        <w:jc w:val="both"/>
      </w:pPr>
      <w:r w:rsidRPr="008401DD">
        <w:rPr>
          <w:noProof/>
          <w:lang w:eastAsia="sl-SI" w:bidi="ar-SA"/>
        </w:rPr>
        <w:drawing>
          <wp:inline distT="0" distB="0" distL="0" distR="0" wp14:anchorId="3F425F9A" wp14:editId="01F3A28D">
            <wp:extent cx="1633731" cy="305616"/>
            <wp:effectExtent l="0" t="0" r="5080" b="0"/>
            <wp:docPr id="6" name="Picture 5" descr="Delo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eloitte."/>
                    <pic:cNvPicPr/>
                  </pic:nvPicPr>
                  <pic:blipFill>
                    <a:blip r:embed="rId37">
                      <a:extLst>
                        <a:ext uri="{28A0092B-C50C-407E-A947-70E740481C1C}">
                          <a14:useLocalDpi xmlns:a14="http://schemas.microsoft.com/office/drawing/2010/main" val="0"/>
                        </a:ext>
                      </a:extLst>
                    </a:blip>
                    <a:stretch>
                      <a:fillRect/>
                    </a:stretch>
                  </pic:blipFill>
                  <pic:spPr>
                    <a:xfrm>
                      <a:off x="0" y="0"/>
                      <a:ext cx="1633731" cy="305616"/>
                    </a:xfrm>
                    <a:prstGeom prst="rect">
                      <a:avLst/>
                    </a:prstGeom>
                  </pic:spPr>
                </pic:pic>
              </a:graphicData>
            </a:graphic>
          </wp:inline>
        </w:drawing>
      </w:r>
    </w:p>
    <w:sectPr w:rsidR="006126E9" w:rsidRPr="008401DD" w:rsidSect="00E150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4ADA" w14:textId="77777777" w:rsidR="00BB6D7A" w:rsidRDefault="00BB6D7A" w:rsidP="00801CC4">
      <w:pPr>
        <w:spacing w:line="240" w:lineRule="auto"/>
      </w:pPr>
      <w:r>
        <w:separator/>
      </w:r>
    </w:p>
  </w:endnote>
  <w:endnote w:type="continuationSeparator" w:id="0">
    <w:p w14:paraId="4E13F128" w14:textId="77777777" w:rsidR="00BB6D7A" w:rsidRDefault="00BB6D7A" w:rsidP="00801CC4">
      <w:pPr>
        <w:spacing w:line="240" w:lineRule="auto"/>
      </w:pPr>
      <w:r>
        <w:continuationSeparator/>
      </w:r>
    </w:p>
  </w:endnote>
  <w:endnote w:type="continuationNotice" w:id="1">
    <w:p w14:paraId="12ACDE48" w14:textId="77777777" w:rsidR="00BB6D7A" w:rsidRDefault="00BB6D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21410"/>
      <w:docPartObj>
        <w:docPartGallery w:val="Page Numbers (Bottom of Page)"/>
        <w:docPartUnique/>
      </w:docPartObj>
    </w:sdtPr>
    <w:sdtEndPr>
      <w:rPr>
        <w:noProof/>
      </w:rPr>
    </w:sdtEndPr>
    <w:sdtContent>
      <w:p w14:paraId="0DF55DF1" w14:textId="2D20ABC4" w:rsidR="003C2EDD" w:rsidRDefault="003C2EDD">
        <w:pPr>
          <w:pStyle w:val="Footer"/>
          <w:jc w:val="right"/>
        </w:pPr>
        <w:r>
          <w:fldChar w:fldCharType="begin"/>
        </w:r>
        <w:r>
          <w:instrText xml:space="preserve"> PAGE   \* MERGEFORMAT </w:instrText>
        </w:r>
        <w:r>
          <w:fldChar w:fldCharType="separate"/>
        </w:r>
        <w:r w:rsidR="00F67E80">
          <w:rPr>
            <w:noProof/>
          </w:rPr>
          <w:t>20</w:t>
        </w:r>
        <w:r>
          <w:rPr>
            <w:noProof/>
          </w:rPr>
          <w:fldChar w:fldCharType="end"/>
        </w:r>
      </w:p>
    </w:sdtContent>
  </w:sdt>
  <w:p w14:paraId="19218EB7" w14:textId="77777777" w:rsidR="003C2EDD" w:rsidRDefault="003C2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79E3" w14:textId="77777777" w:rsidR="00BB6D7A" w:rsidRDefault="00BB6D7A" w:rsidP="00801CC4">
      <w:pPr>
        <w:spacing w:line="240" w:lineRule="auto"/>
      </w:pPr>
      <w:r>
        <w:separator/>
      </w:r>
    </w:p>
  </w:footnote>
  <w:footnote w:type="continuationSeparator" w:id="0">
    <w:p w14:paraId="66E2E9C8" w14:textId="77777777" w:rsidR="00BB6D7A" w:rsidRDefault="00BB6D7A" w:rsidP="00801CC4">
      <w:pPr>
        <w:spacing w:line="240" w:lineRule="auto"/>
      </w:pPr>
      <w:r>
        <w:continuationSeparator/>
      </w:r>
    </w:p>
  </w:footnote>
  <w:footnote w:type="continuationNotice" w:id="1">
    <w:p w14:paraId="7DAB6AE7" w14:textId="77777777" w:rsidR="00BB6D7A" w:rsidRDefault="00BB6D7A">
      <w:pPr>
        <w:spacing w:line="240" w:lineRule="auto"/>
      </w:pPr>
    </w:p>
  </w:footnote>
  <w:footnote w:id="2">
    <w:p w14:paraId="69EC671E" w14:textId="77777777" w:rsidR="003C2EDD" w:rsidRPr="00467906" w:rsidRDefault="003C2EDD" w:rsidP="007277A5">
      <w:pPr>
        <w:pStyle w:val="FootnoteText"/>
        <w:spacing w:line="276" w:lineRule="auto"/>
        <w:rPr>
          <w:sz w:val="16"/>
          <w:szCs w:val="16"/>
        </w:rPr>
      </w:pPr>
      <w:r w:rsidRPr="00467906">
        <w:rPr>
          <w:rStyle w:val="FootnoteReference"/>
          <w:sz w:val="16"/>
          <w:szCs w:val="16"/>
        </w:rPr>
        <w:footnoteRef/>
      </w:r>
      <w:r w:rsidRPr="00467906">
        <w:rPr>
          <w:sz w:val="16"/>
          <w:szCs w:val="16"/>
        </w:rPr>
        <w:t xml:space="preserve"> </w:t>
      </w:r>
      <w:r>
        <w:rPr>
          <w:rFonts w:cs="Arial"/>
          <w:sz w:val="16"/>
          <w:szCs w:val="16"/>
        </w:rPr>
        <w:t>Uradni list Republike Slovenije, št. 64/2006</w:t>
      </w:r>
    </w:p>
  </w:footnote>
  <w:footnote w:id="3">
    <w:p w14:paraId="2D3CD6B2" w14:textId="77777777" w:rsidR="003C2EDD" w:rsidRPr="00467906" w:rsidRDefault="003C2EDD" w:rsidP="007277A5">
      <w:pPr>
        <w:pStyle w:val="FootnoteText"/>
        <w:spacing w:line="276" w:lineRule="auto"/>
        <w:jc w:val="both"/>
        <w:rPr>
          <w:rFonts w:cs="Arial"/>
          <w:sz w:val="16"/>
          <w:szCs w:val="16"/>
        </w:rPr>
      </w:pPr>
      <w:r w:rsidRPr="00467906">
        <w:rPr>
          <w:rStyle w:val="FootnoteReference"/>
          <w:rFonts w:cs="Arial"/>
          <w:sz w:val="16"/>
          <w:szCs w:val="16"/>
        </w:rPr>
        <w:footnoteRef/>
      </w:r>
      <w:r w:rsidRPr="009B6C3E">
        <w:rPr>
          <w:rFonts w:cs="Arial"/>
          <w:sz w:val="16"/>
          <w:szCs w:val="16"/>
          <w:lang w:val="pt-PT"/>
        </w:rPr>
        <w:t xml:space="preserve"> </w:t>
      </w:r>
      <w:r w:rsidRPr="00C72259">
        <w:rPr>
          <w:rFonts w:cs="Arial"/>
          <w:sz w:val="16"/>
          <w:szCs w:val="16"/>
          <w:lang w:val="pt-PT"/>
        </w:rPr>
        <w:t xml:space="preserve">Vir: OECD 2019- </w:t>
      </w:r>
      <w:proofErr w:type="spellStart"/>
      <w:r w:rsidRPr="00C72259">
        <w:rPr>
          <w:rFonts w:cs="Arial"/>
          <w:sz w:val="16"/>
          <w:szCs w:val="16"/>
          <w:lang w:val="pt-PT"/>
        </w:rPr>
        <w:t>Better</w:t>
      </w:r>
      <w:proofErr w:type="spellEnd"/>
      <w:r w:rsidRPr="00C72259">
        <w:rPr>
          <w:rFonts w:cs="Arial"/>
          <w:sz w:val="16"/>
          <w:szCs w:val="16"/>
          <w:lang w:val="pt-PT"/>
        </w:rPr>
        <w:t xml:space="preserve"> </w:t>
      </w:r>
      <w:proofErr w:type="spellStart"/>
      <w:r w:rsidRPr="00C72259">
        <w:rPr>
          <w:rFonts w:cs="Arial"/>
          <w:sz w:val="16"/>
          <w:szCs w:val="16"/>
          <w:lang w:val="pt-PT"/>
        </w:rPr>
        <w:t>Criteria</w:t>
      </w:r>
      <w:proofErr w:type="spellEnd"/>
      <w:r w:rsidRPr="00C72259">
        <w:rPr>
          <w:rFonts w:cs="Arial"/>
          <w:sz w:val="16"/>
          <w:szCs w:val="16"/>
          <w:lang w:val="pt-PT"/>
        </w:rPr>
        <w:t xml:space="preserve"> for </w:t>
      </w:r>
      <w:proofErr w:type="spellStart"/>
      <w:r w:rsidRPr="00C72259">
        <w:rPr>
          <w:rFonts w:cs="Arial"/>
          <w:sz w:val="16"/>
          <w:szCs w:val="16"/>
          <w:lang w:val="pt-PT"/>
        </w:rPr>
        <w:t>Better</w:t>
      </w:r>
      <w:proofErr w:type="spellEnd"/>
      <w:r w:rsidRPr="00C72259">
        <w:rPr>
          <w:rFonts w:cs="Arial"/>
          <w:sz w:val="16"/>
          <w:szCs w:val="16"/>
          <w:lang w:val="pt-PT"/>
        </w:rPr>
        <w:t xml:space="preserve"> </w:t>
      </w:r>
      <w:proofErr w:type="spellStart"/>
      <w:r w:rsidRPr="00C72259">
        <w:rPr>
          <w:rFonts w:cs="Arial"/>
          <w:sz w:val="16"/>
          <w:szCs w:val="16"/>
          <w:lang w:val="pt-PT"/>
        </w:rPr>
        <w:t>Evaluation</w:t>
      </w:r>
      <w:proofErr w:type="spellEnd"/>
    </w:p>
  </w:footnote>
  <w:footnote w:id="4">
    <w:p w14:paraId="12053A9E" w14:textId="77777777" w:rsidR="003C2EDD" w:rsidRPr="00C03360" w:rsidRDefault="003C2EDD" w:rsidP="00E808DB">
      <w:pPr>
        <w:pStyle w:val="FootnoteText"/>
        <w:spacing w:line="276" w:lineRule="auto"/>
        <w:jc w:val="both"/>
        <w:rPr>
          <w:rFonts w:cs="Arial"/>
          <w:sz w:val="16"/>
          <w:szCs w:val="16"/>
        </w:rPr>
      </w:pPr>
      <w:r w:rsidRPr="00467906">
        <w:rPr>
          <w:rStyle w:val="FootnoteReference"/>
          <w:rFonts w:cs="Arial"/>
          <w:sz w:val="16"/>
          <w:szCs w:val="16"/>
        </w:rPr>
        <w:footnoteRef/>
      </w:r>
      <w:r>
        <w:rPr>
          <w:rFonts w:cs="Arial"/>
          <w:sz w:val="16"/>
          <w:szCs w:val="16"/>
        </w:rPr>
        <w:t xml:space="preserve"> </w:t>
      </w:r>
      <w:r w:rsidRPr="00132A8E">
        <w:rPr>
          <w:rFonts w:cs="Arial"/>
          <w:sz w:val="16"/>
          <w:szCs w:val="16"/>
        </w:rPr>
        <w:t>Gle</w:t>
      </w:r>
      <w:r>
        <w:rPr>
          <w:rFonts w:cs="Arial"/>
          <w:sz w:val="16"/>
          <w:szCs w:val="16"/>
        </w:rPr>
        <w:t>dati</w:t>
      </w:r>
      <w:r w:rsidRPr="00132A8E">
        <w:rPr>
          <w:rFonts w:cs="Arial"/>
          <w:sz w:val="16"/>
          <w:szCs w:val="16"/>
        </w:rPr>
        <w:t xml:space="preserve"> </w:t>
      </w:r>
      <w:r>
        <w:rPr>
          <w:rFonts w:cs="Arial"/>
          <w:sz w:val="16"/>
          <w:szCs w:val="16"/>
        </w:rPr>
        <w:t>izhodišča</w:t>
      </w:r>
      <w:r w:rsidRPr="00132A8E">
        <w:rPr>
          <w:rFonts w:cs="Arial"/>
          <w:sz w:val="16"/>
          <w:szCs w:val="16"/>
        </w:rPr>
        <w:t xml:space="preserve"> za evalvacijo projektov </w:t>
      </w:r>
      <w:r>
        <w:rPr>
          <w:rFonts w:cs="Arial"/>
          <w:sz w:val="16"/>
          <w:szCs w:val="16"/>
        </w:rPr>
        <w:t xml:space="preserve">izgradnje vodne infrastrukture v občini </w:t>
      </w:r>
      <w:proofErr w:type="spellStart"/>
      <w:r>
        <w:rPr>
          <w:rFonts w:cs="Arial"/>
          <w:sz w:val="16"/>
          <w:szCs w:val="16"/>
        </w:rPr>
        <w:t>Probištip</w:t>
      </w:r>
      <w:proofErr w:type="spellEnd"/>
      <w:r>
        <w:rPr>
          <w:rFonts w:cs="Arial"/>
          <w:sz w:val="16"/>
          <w:szCs w:val="16"/>
        </w:rPr>
        <w:t xml:space="preserve"> v Severni Makedoniji v obdobju 2012 do 2019</w:t>
      </w:r>
      <w:r w:rsidRPr="00132A8E">
        <w:rPr>
          <w:rFonts w:cs="Arial"/>
          <w:sz w:val="16"/>
          <w:szCs w:val="16"/>
        </w:rPr>
        <w:t>.</w:t>
      </w:r>
    </w:p>
  </w:footnote>
  <w:footnote w:id="5">
    <w:p w14:paraId="6DA66B9B" w14:textId="77777777" w:rsidR="003C2EDD" w:rsidRPr="00C40D28" w:rsidRDefault="003C2EDD">
      <w:pPr>
        <w:pStyle w:val="FootnoteText"/>
        <w:rPr>
          <w:sz w:val="16"/>
        </w:rPr>
      </w:pPr>
      <w:r w:rsidRPr="00C40D28">
        <w:rPr>
          <w:rStyle w:val="FootnoteReference"/>
          <w:sz w:val="16"/>
        </w:rPr>
        <w:footnoteRef/>
      </w:r>
      <w:r w:rsidRPr="00C40D28">
        <w:rPr>
          <w:sz w:val="16"/>
        </w:rPr>
        <w:t xml:space="preserve"> </w:t>
      </w:r>
      <w:r w:rsidRPr="00C40D28">
        <w:rPr>
          <w:sz w:val="16"/>
        </w:rPr>
        <w:t xml:space="preserve">Uradni list Republike Slovenije št. 70/06 </w:t>
      </w:r>
      <w:r>
        <w:rPr>
          <w:sz w:val="16"/>
        </w:rPr>
        <w:t>in 30/18</w:t>
      </w:r>
    </w:p>
  </w:footnote>
  <w:footnote w:id="6">
    <w:p w14:paraId="187DD561" w14:textId="77777777" w:rsidR="003C2EDD" w:rsidRPr="00C72259" w:rsidRDefault="003C2EDD" w:rsidP="00DC5EF0">
      <w:pPr>
        <w:pStyle w:val="FootnoteText"/>
      </w:pPr>
      <w:r>
        <w:rPr>
          <w:rStyle w:val="FootnoteReference"/>
        </w:rPr>
        <w:footnoteRef/>
      </w:r>
      <w:r>
        <w:t xml:space="preserve"> </w:t>
      </w:r>
      <w:r w:rsidRPr="00C72259">
        <w:rPr>
          <w:sz w:val="16"/>
        </w:rPr>
        <w:t>Vir: CMSR</w:t>
      </w:r>
      <w:r>
        <w:rPr>
          <w:sz w:val="16"/>
        </w:rPr>
        <w:t xml:space="preserve"> </w:t>
      </w:r>
      <w:r w:rsidRPr="00C72259">
        <w:rPr>
          <w:sz w:val="16"/>
        </w:rPr>
        <w:t>- uradna spletna stran</w:t>
      </w:r>
    </w:p>
  </w:footnote>
  <w:footnote w:id="7">
    <w:p w14:paraId="247AF998" w14:textId="77777777" w:rsidR="003C2EDD" w:rsidRPr="00E52AB7" w:rsidRDefault="003C2EDD">
      <w:pPr>
        <w:pStyle w:val="FootnoteText"/>
      </w:pPr>
      <w:r w:rsidRPr="00E52AB7">
        <w:rPr>
          <w:rStyle w:val="FootnoteReference"/>
          <w:sz w:val="16"/>
        </w:rPr>
        <w:footnoteRef/>
      </w:r>
      <w:r w:rsidRPr="00E52AB7">
        <w:rPr>
          <w:sz w:val="16"/>
        </w:rPr>
        <w:t xml:space="preserve"> </w:t>
      </w:r>
      <w:r w:rsidRPr="00E52AB7">
        <w:rPr>
          <w:sz w:val="16"/>
        </w:rPr>
        <w:t>Strategija mednarodnega razvojnega sodelovanja in humanitarne pomoči RS do leta 2030</w:t>
      </w:r>
    </w:p>
  </w:footnote>
  <w:footnote w:id="8">
    <w:p w14:paraId="1CC5FF6F" w14:textId="77777777" w:rsidR="003C2EDD" w:rsidRPr="00AD5BBA" w:rsidRDefault="003C2EDD">
      <w:pPr>
        <w:pStyle w:val="FootnoteText"/>
      </w:pPr>
      <w:r w:rsidRPr="00AD5BBA">
        <w:rPr>
          <w:rStyle w:val="FootnoteReference"/>
          <w:sz w:val="16"/>
        </w:rPr>
        <w:footnoteRef/>
      </w:r>
      <w:r>
        <w:t xml:space="preserve"> </w:t>
      </w:r>
      <w:r w:rsidRPr="00AD5BBA">
        <w:rPr>
          <w:sz w:val="16"/>
        </w:rPr>
        <w:t>Veleposlaništvo Republike Slovenije v Skopju</w:t>
      </w:r>
      <w:r>
        <w:rPr>
          <w:sz w:val="16"/>
        </w:rPr>
        <w:t xml:space="preserve"> </w:t>
      </w:r>
    </w:p>
  </w:footnote>
  <w:footnote w:id="9">
    <w:p w14:paraId="72E4F62D" w14:textId="77777777" w:rsidR="003C2EDD" w:rsidRPr="00F37FCD" w:rsidRDefault="003C2EDD" w:rsidP="00783838">
      <w:pPr>
        <w:pStyle w:val="FootnoteText"/>
        <w:rPr>
          <w:sz w:val="16"/>
          <w:szCs w:val="16"/>
        </w:rPr>
      </w:pPr>
      <w:r w:rsidRPr="00B2763E">
        <w:rPr>
          <w:sz w:val="16"/>
          <w:szCs w:val="16"/>
          <w:vertAlign w:val="superscript"/>
        </w:rPr>
        <w:footnoteRef/>
      </w:r>
      <w:r w:rsidRPr="00F37FCD">
        <w:rPr>
          <w:sz w:val="16"/>
          <w:szCs w:val="16"/>
        </w:rPr>
        <w:t xml:space="preserve"> </w:t>
      </w:r>
      <w:r w:rsidRPr="00F37FCD">
        <w:rPr>
          <w:sz w:val="16"/>
          <w:szCs w:val="16"/>
        </w:rPr>
        <w:t xml:space="preserve">Vir: OECD – Izplačila pomoči (ODA) državam in regijam </w:t>
      </w:r>
    </w:p>
  </w:footnote>
  <w:footnote w:id="10">
    <w:p w14:paraId="54C506AC" w14:textId="77777777" w:rsidR="003C2EDD" w:rsidRPr="00E90856" w:rsidRDefault="003C2EDD" w:rsidP="00783838">
      <w:pPr>
        <w:pStyle w:val="FootnoteText"/>
        <w:jc w:val="both"/>
        <w:rPr>
          <w:rFonts w:cs="Arial"/>
          <w:sz w:val="16"/>
          <w:szCs w:val="16"/>
          <w:lang w:val="en-GB"/>
        </w:rPr>
      </w:pPr>
      <w:r w:rsidRPr="00E90856">
        <w:rPr>
          <w:rStyle w:val="FootnoteReference"/>
          <w:rFonts w:cs="Arial"/>
          <w:sz w:val="16"/>
          <w:szCs w:val="16"/>
          <w:lang w:val="en-GB"/>
        </w:rPr>
        <w:footnoteRef/>
      </w:r>
      <w:r w:rsidRPr="00E90856">
        <w:rPr>
          <w:rFonts w:cs="Arial"/>
          <w:sz w:val="16"/>
          <w:szCs w:val="16"/>
          <w:lang w:val="en-GB"/>
        </w:rPr>
        <w:t xml:space="preserve"> Vir: UN: United nations in the Republic of North Macedonia </w:t>
      </w:r>
    </w:p>
  </w:footnote>
  <w:footnote w:id="11">
    <w:p w14:paraId="259DC4BC" w14:textId="77777777" w:rsidR="003C2EDD" w:rsidRPr="00E90856" w:rsidRDefault="003C2EDD">
      <w:pPr>
        <w:pStyle w:val="FootnoteText"/>
        <w:rPr>
          <w:sz w:val="16"/>
          <w:szCs w:val="16"/>
          <w:lang w:val="en-GB"/>
        </w:rPr>
      </w:pPr>
      <w:r w:rsidRPr="00E90856">
        <w:rPr>
          <w:rStyle w:val="FootnoteReference"/>
          <w:sz w:val="16"/>
          <w:szCs w:val="16"/>
          <w:lang w:val="en-GB"/>
        </w:rPr>
        <w:footnoteRef/>
      </w:r>
      <w:r w:rsidRPr="00E90856">
        <w:rPr>
          <w:sz w:val="16"/>
          <w:szCs w:val="16"/>
          <w:lang w:val="en-GB"/>
        </w:rPr>
        <w:t xml:space="preserve"> Vir: UNDP- Republic of North Macedonia</w:t>
      </w:r>
    </w:p>
  </w:footnote>
  <w:footnote w:id="12">
    <w:p w14:paraId="30912861" w14:textId="77777777" w:rsidR="003C2EDD" w:rsidRPr="00E90856" w:rsidRDefault="003C2EDD" w:rsidP="00E90856">
      <w:pPr>
        <w:pStyle w:val="FootnoteText"/>
        <w:jc w:val="both"/>
        <w:rPr>
          <w:rFonts w:cs="Arial"/>
          <w:sz w:val="16"/>
          <w:szCs w:val="16"/>
          <w:lang w:val="en-GB"/>
        </w:rPr>
      </w:pPr>
      <w:r w:rsidRPr="00E90856">
        <w:rPr>
          <w:rStyle w:val="FootnoteReference"/>
          <w:rFonts w:cs="Arial"/>
          <w:sz w:val="16"/>
          <w:szCs w:val="16"/>
          <w:lang w:val="en-GB"/>
        </w:rPr>
        <w:footnoteRef/>
      </w:r>
      <w:r w:rsidRPr="00E90856">
        <w:rPr>
          <w:rFonts w:cs="Arial"/>
          <w:sz w:val="16"/>
          <w:szCs w:val="16"/>
          <w:lang w:val="en-GB"/>
        </w:rPr>
        <w:t xml:space="preserve"> Vir: </w:t>
      </w:r>
      <w:proofErr w:type="spellStart"/>
      <w:r w:rsidRPr="00E90856">
        <w:rPr>
          <w:rFonts w:cs="Arial"/>
          <w:sz w:val="16"/>
          <w:szCs w:val="16"/>
          <w:lang w:val="en-GB"/>
        </w:rPr>
        <w:t>Evropska</w:t>
      </w:r>
      <w:proofErr w:type="spellEnd"/>
      <w:r w:rsidRPr="00E90856">
        <w:rPr>
          <w:rFonts w:cs="Arial"/>
          <w:sz w:val="16"/>
          <w:szCs w:val="16"/>
          <w:lang w:val="en-GB"/>
        </w:rPr>
        <w:t xml:space="preserve"> </w:t>
      </w:r>
      <w:proofErr w:type="spellStart"/>
      <w:r w:rsidRPr="00E90856">
        <w:rPr>
          <w:rFonts w:cs="Arial"/>
          <w:sz w:val="16"/>
          <w:szCs w:val="16"/>
          <w:lang w:val="en-GB"/>
        </w:rPr>
        <w:t>komisija</w:t>
      </w:r>
      <w:proofErr w:type="spellEnd"/>
      <w:r w:rsidRPr="00E90856">
        <w:rPr>
          <w:rFonts w:cs="Arial"/>
          <w:sz w:val="16"/>
          <w:szCs w:val="16"/>
          <w:lang w:val="en-GB"/>
        </w:rPr>
        <w:t>: North Macedonia - financial assistance under IPA II</w:t>
      </w:r>
    </w:p>
  </w:footnote>
  <w:footnote w:id="13">
    <w:p w14:paraId="4BC6E109" w14:textId="77777777" w:rsidR="003C2EDD" w:rsidRPr="00E90856" w:rsidRDefault="003C2EDD">
      <w:pPr>
        <w:pStyle w:val="FootnoteText"/>
        <w:rPr>
          <w:lang w:val="en-GB"/>
        </w:rPr>
      </w:pPr>
      <w:r w:rsidRPr="00E90856">
        <w:rPr>
          <w:rStyle w:val="FootnoteReference"/>
          <w:sz w:val="16"/>
          <w:lang w:val="en-GB"/>
        </w:rPr>
        <w:footnoteRef/>
      </w:r>
      <w:r w:rsidRPr="00E90856">
        <w:rPr>
          <w:sz w:val="16"/>
          <w:lang w:val="en-GB"/>
        </w:rPr>
        <w:t xml:space="preserve"> Vir: US department of state - US relations with North Macedonia</w:t>
      </w:r>
    </w:p>
  </w:footnote>
  <w:footnote w:id="14">
    <w:p w14:paraId="27B40145" w14:textId="77777777" w:rsidR="003C2EDD" w:rsidRPr="00E90856" w:rsidRDefault="003C2EDD">
      <w:pPr>
        <w:pStyle w:val="FootnoteText"/>
        <w:rPr>
          <w:lang w:val="en-GB"/>
        </w:rPr>
      </w:pPr>
      <w:r w:rsidRPr="00E90856">
        <w:rPr>
          <w:rStyle w:val="FootnoteReference"/>
          <w:sz w:val="16"/>
          <w:lang w:val="en-GB"/>
        </w:rPr>
        <w:footnoteRef/>
      </w:r>
      <w:r w:rsidRPr="00E90856">
        <w:rPr>
          <w:sz w:val="16"/>
          <w:lang w:val="en-GB"/>
        </w:rPr>
        <w:t xml:space="preserve"> Vir: Switzerland and North Macedonia</w:t>
      </w:r>
    </w:p>
  </w:footnote>
  <w:footnote w:id="15">
    <w:p w14:paraId="01AFA262" w14:textId="594EFB86" w:rsidR="003C2EDD" w:rsidRPr="009A3A29" w:rsidRDefault="003C2EDD">
      <w:pPr>
        <w:pStyle w:val="FootnoteText"/>
      </w:pPr>
      <w:r w:rsidRPr="00E90856">
        <w:rPr>
          <w:rStyle w:val="FootnoteReference"/>
          <w:sz w:val="16"/>
          <w:lang w:val="en-GB"/>
        </w:rPr>
        <w:footnoteRef/>
      </w:r>
      <w:r w:rsidRPr="00E90856">
        <w:rPr>
          <w:sz w:val="16"/>
          <w:lang w:val="en-GB"/>
        </w:rPr>
        <w:t xml:space="preserve"> Vir: Swiss official development assistance</w:t>
      </w:r>
    </w:p>
  </w:footnote>
  <w:footnote w:id="16">
    <w:p w14:paraId="3FA1763A" w14:textId="77777777" w:rsidR="003C2EDD" w:rsidRPr="00436A04" w:rsidRDefault="003C2EDD">
      <w:pPr>
        <w:pStyle w:val="FootnoteText"/>
      </w:pPr>
      <w:r w:rsidRPr="00436A04">
        <w:rPr>
          <w:rStyle w:val="FootnoteReference"/>
          <w:sz w:val="16"/>
        </w:rPr>
        <w:footnoteRef/>
      </w:r>
      <w:r w:rsidRPr="00436A04">
        <w:rPr>
          <w:sz w:val="16"/>
        </w:rPr>
        <w:t xml:space="preserve"> </w:t>
      </w:r>
      <w:r w:rsidRPr="00436A04">
        <w:rPr>
          <w:sz w:val="16"/>
        </w:rPr>
        <w:t xml:space="preserve">Vir: </w:t>
      </w:r>
      <w:proofErr w:type="spellStart"/>
      <w:r w:rsidRPr="00436A04">
        <w:rPr>
          <w:sz w:val="16"/>
        </w:rPr>
        <w:t>Federal</w:t>
      </w:r>
      <w:proofErr w:type="spellEnd"/>
      <w:r w:rsidRPr="00436A04">
        <w:rPr>
          <w:sz w:val="16"/>
        </w:rPr>
        <w:t xml:space="preserve"> </w:t>
      </w:r>
      <w:proofErr w:type="spellStart"/>
      <w:r w:rsidRPr="00436A04">
        <w:rPr>
          <w:sz w:val="16"/>
        </w:rPr>
        <w:t>foreign</w:t>
      </w:r>
      <w:proofErr w:type="spellEnd"/>
      <w:r w:rsidRPr="00436A04">
        <w:rPr>
          <w:sz w:val="16"/>
        </w:rPr>
        <w:t xml:space="preserve"> </w:t>
      </w:r>
      <w:proofErr w:type="spellStart"/>
      <w:r w:rsidRPr="00436A04">
        <w:rPr>
          <w:sz w:val="16"/>
        </w:rPr>
        <w:t>office</w:t>
      </w:r>
      <w:proofErr w:type="spellEnd"/>
      <w:r w:rsidRPr="00436A04">
        <w:rPr>
          <w:sz w:val="16"/>
        </w:rPr>
        <w:t xml:space="preserve">, </w:t>
      </w:r>
      <w:proofErr w:type="spellStart"/>
      <w:r w:rsidRPr="00436A04">
        <w:rPr>
          <w:sz w:val="16"/>
        </w:rPr>
        <w:t>Germany</w:t>
      </w:r>
      <w:proofErr w:type="spellEnd"/>
      <w:r w:rsidRPr="00436A04">
        <w:rPr>
          <w:sz w:val="16"/>
        </w:rPr>
        <w:t xml:space="preserve"> </w:t>
      </w:r>
      <w:proofErr w:type="spellStart"/>
      <w:r w:rsidRPr="00436A04">
        <w:rPr>
          <w:sz w:val="16"/>
        </w:rPr>
        <w:t>and</w:t>
      </w:r>
      <w:proofErr w:type="spellEnd"/>
      <w:r w:rsidRPr="00436A04">
        <w:rPr>
          <w:sz w:val="16"/>
        </w:rPr>
        <w:t xml:space="preserve"> </w:t>
      </w:r>
      <w:proofErr w:type="spellStart"/>
      <w:r w:rsidRPr="00436A04">
        <w:rPr>
          <w:sz w:val="16"/>
        </w:rPr>
        <w:t>North</w:t>
      </w:r>
      <w:proofErr w:type="spellEnd"/>
      <w:r w:rsidRPr="00436A04">
        <w:rPr>
          <w:sz w:val="16"/>
        </w:rPr>
        <w:t xml:space="preserve"> </w:t>
      </w:r>
      <w:proofErr w:type="spellStart"/>
      <w:r w:rsidRPr="00436A04">
        <w:rPr>
          <w:sz w:val="16"/>
        </w:rPr>
        <w:t>Macedonia</w:t>
      </w:r>
      <w:proofErr w:type="spellEnd"/>
      <w:r w:rsidRPr="00436A04">
        <w:rPr>
          <w:sz w:val="16"/>
        </w:rPr>
        <w:t xml:space="preserve">: </w:t>
      </w:r>
      <w:proofErr w:type="spellStart"/>
      <w:r w:rsidRPr="00436A04">
        <w:rPr>
          <w:sz w:val="16"/>
        </w:rPr>
        <w:t>Bilateral</w:t>
      </w:r>
      <w:proofErr w:type="spellEnd"/>
      <w:r w:rsidRPr="00436A04">
        <w:rPr>
          <w:sz w:val="16"/>
        </w:rPr>
        <w:t xml:space="preserve"> </w:t>
      </w:r>
      <w:proofErr w:type="spellStart"/>
      <w:r w:rsidRPr="00436A04">
        <w:rPr>
          <w:sz w:val="16"/>
        </w:rPr>
        <w:t>relations</w:t>
      </w:r>
      <w:proofErr w:type="spellEnd"/>
    </w:p>
  </w:footnote>
  <w:footnote w:id="17">
    <w:p w14:paraId="3A89284D" w14:textId="06F45C52" w:rsidR="003C2EDD" w:rsidRPr="00D15ED7" w:rsidRDefault="003C2EDD">
      <w:pPr>
        <w:pStyle w:val="FootnoteText"/>
        <w:rPr>
          <w:sz w:val="16"/>
        </w:rPr>
      </w:pPr>
      <w:r w:rsidRPr="00D15ED7">
        <w:rPr>
          <w:rStyle w:val="FootnoteReference"/>
          <w:sz w:val="16"/>
        </w:rPr>
        <w:footnoteRef/>
      </w:r>
      <w:r w:rsidRPr="00D15ED7">
        <w:rPr>
          <w:sz w:val="16"/>
        </w:rPr>
        <w:t xml:space="preserve"> </w:t>
      </w:r>
      <w:r w:rsidRPr="00D15ED7">
        <w:rPr>
          <w:sz w:val="16"/>
        </w:rPr>
        <w:t>Vir: Letna poročila o izvajanju MRS Republike Slovenije, za leta 2012-2018</w:t>
      </w:r>
    </w:p>
  </w:footnote>
  <w:footnote w:id="18">
    <w:p w14:paraId="304177D2" w14:textId="77777777" w:rsidR="003C2EDD" w:rsidRPr="00783838" w:rsidRDefault="003C2EDD">
      <w:pPr>
        <w:pStyle w:val="FootnoteText"/>
        <w:rPr>
          <w:sz w:val="16"/>
          <w:szCs w:val="16"/>
        </w:rPr>
      </w:pPr>
      <w:r w:rsidRPr="00783838">
        <w:rPr>
          <w:rStyle w:val="FootnoteReference"/>
          <w:sz w:val="16"/>
          <w:szCs w:val="16"/>
        </w:rPr>
        <w:footnoteRef/>
      </w:r>
      <w:r w:rsidRPr="00783838">
        <w:rPr>
          <w:sz w:val="16"/>
          <w:szCs w:val="16"/>
        </w:rPr>
        <w:t xml:space="preserve"> </w:t>
      </w:r>
      <w:r w:rsidRPr="00783838">
        <w:rPr>
          <w:sz w:val="16"/>
          <w:szCs w:val="16"/>
        </w:rPr>
        <w:t xml:space="preserve">Vir: </w:t>
      </w:r>
      <w:proofErr w:type="spellStart"/>
      <w:r w:rsidRPr="00783838">
        <w:rPr>
          <w:sz w:val="16"/>
          <w:szCs w:val="16"/>
        </w:rPr>
        <w:t>Macedonia</w:t>
      </w:r>
      <w:proofErr w:type="spellEnd"/>
      <w:r w:rsidRPr="00783838">
        <w:rPr>
          <w:sz w:val="16"/>
          <w:szCs w:val="16"/>
        </w:rPr>
        <w:t xml:space="preserve"> </w:t>
      </w:r>
      <w:proofErr w:type="spellStart"/>
      <w:r w:rsidRPr="00783838">
        <w:rPr>
          <w:sz w:val="16"/>
          <w:szCs w:val="16"/>
        </w:rPr>
        <w:t>timeless</w:t>
      </w:r>
      <w:proofErr w:type="spellEnd"/>
      <w:r w:rsidRPr="00783838">
        <w:rPr>
          <w:sz w:val="16"/>
          <w:szCs w:val="16"/>
        </w:rPr>
        <w:t xml:space="preserve">- </w:t>
      </w:r>
      <w:proofErr w:type="spellStart"/>
      <w:r w:rsidRPr="00783838">
        <w:rPr>
          <w:sz w:val="16"/>
          <w:szCs w:val="16"/>
        </w:rPr>
        <w:t>Probištip</w:t>
      </w:r>
      <w:proofErr w:type="spellEnd"/>
    </w:p>
  </w:footnote>
  <w:footnote w:id="19">
    <w:p w14:paraId="1AC78744" w14:textId="77777777" w:rsidR="003C2EDD" w:rsidRPr="003E0BD4" w:rsidRDefault="003C2EDD" w:rsidP="00984059">
      <w:pPr>
        <w:pStyle w:val="FootnoteText"/>
        <w:spacing w:beforeLines="20" w:before="48"/>
        <w:jc w:val="both"/>
        <w:rPr>
          <w:rFonts w:cs="Arial"/>
          <w:sz w:val="16"/>
          <w:szCs w:val="16"/>
        </w:rPr>
      </w:pPr>
      <w:r w:rsidRPr="003E0BD4">
        <w:rPr>
          <w:rStyle w:val="FootnoteReference"/>
          <w:rFonts w:cs="Arial"/>
          <w:sz w:val="16"/>
          <w:szCs w:val="16"/>
        </w:rPr>
        <w:footnoteRef/>
      </w:r>
      <w:r w:rsidRPr="003E0BD4">
        <w:rPr>
          <w:rFonts w:cs="Arial"/>
          <w:sz w:val="16"/>
          <w:szCs w:val="16"/>
        </w:rPr>
        <w:t xml:space="preserve"> </w:t>
      </w:r>
      <w:r w:rsidRPr="003E0BD4">
        <w:rPr>
          <w:rFonts w:cs="Arial"/>
          <w:sz w:val="16"/>
          <w:szCs w:val="16"/>
        </w:rPr>
        <w:t xml:space="preserve">Vir: OECD 2010 – </w:t>
      </w:r>
      <w:proofErr w:type="spellStart"/>
      <w:r w:rsidRPr="003E0BD4">
        <w:rPr>
          <w:rFonts w:cs="Arial"/>
          <w:sz w:val="16"/>
          <w:szCs w:val="16"/>
        </w:rPr>
        <w:t>Evaluating</w:t>
      </w:r>
      <w:proofErr w:type="spellEnd"/>
      <w:r w:rsidRPr="003E0BD4">
        <w:rPr>
          <w:rFonts w:cs="Arial"/>
          <w:sz w:val="16"/>
          <w:szCs w:val="16"/>
        </w:rPr>
        <w:t xml:space="preserve"> </w:t>
      </w:r>
      <w:proofErr w:type="spellStart"/>
      <w:r w:rsidRPr="003E0BD4">
        <w:rPr>
          <w:rFonts w:cs="Arial"/>
          <w:sz w:val="16"/>
          <w:szCs w:val="16"/>
        </w:rPr>
        <w:t>Development</w:t>
      </w:r>
      <w:proofErr w:type="spellEnd"/>
      <w:r w:rsidRPr="003E0BD4">
        <w:rPr>
          <w:rFonts w:cs="Arial"/>
          <w:sz w:val="16"/>
          <w:szCs w:val="16"/>
        </w:rPr>
        <w:t xml:space="preserve"> Co-</w:t>
      </w:r>
      <w:proofErr w:type="spellStart"/>
      <w:r w:rsidRPr="003E0BD4">
        <w:rPr>
          <w:rFonts w:cs="Arial"/>
          <w:sz w:val="16"/>
          <w:szCs w:val="16"/>
        </w:rPr>
        <w:t>operation</w:t>
      </w:r>
      <w:proofErr w:type="spellEnd"/>
    </w:p>
  </w:footnote>
  <w:footnote w:id="20">
    <w:p w14:paraId="739CEA28" w14:textId="77777777" w:rsidR="003C2EDD" w:rsidRPr="003E0BD4" w:rsidRDefault="003C2EDD" w:rsidP="00984059">
      <w:pPr>
        <w:pStyle w:val="FootnoteText"/>
        <w:spacing w:beforeLines="20" w:before="48"/>
        <w:jc w:val="both"/>
        <w:rPr>
          <w:rFonts w:cs="Arial"/>
          <w:sz w:val="16"/>
          <w:szCs w:val="16"/>
        </w:rPr>
      </w:pPr>
      <w:r w:rsidRPr="003E0BD4">
        <w:rPr>
          <w:rStyle w:val="FootnoteReference"/>
          <w:rFonts w:cs="Arial"/>
          <w:sz w:val="16"/>
          <w:szCs w:val="16"/>
        </w:rPr>
        <w:footnoteRef/>
      </w:r>
      <w:r w:rsidRPr="003E0BD4">
        <w:rPr>
          <w:rFonts w:cs="Arial"/>
          <w:sz w:val="16"/>
          <w:szCs w:val="16"/>
        </w:rPr>
        <w:t xml:space="preserve"> </w:t>
      </w:r>
      <w:r w:rsidRPr="003E0BD4">
        <w:rPr>
          <w:rFonts w:cs="Arial"/>
          <w:sz w:val="16"/>
          <w:szCs w:val="16"/>
        </w:rPr>
        <w:t xml:space="preserve">Vir: EC 2004 – </w:t>
      </w:r>
      <w:proofErr w:type="spellStart"/>
      <w:r w:rsidRPr="003E0BD4">
        <w:rPr>
          <w:rFonts w:cs="Arial"/>
          <w:sz w:val="16"/>
          <w:szCs w:val="16"/>
        </w:rPr>
        <w:t>Aid</w:t>
      </w:r>
      <w:proofErr w:type="spellEnd"/>
      <w:r w:rsidRPr="003E0BD4">
        <w:rPr>
          <w:rFonts w:cs="Arial"/>
          <w:sz w:val="16"/>
          <w:szCs w:val="16"/>
        </w:rPr>
        <w:t xml:space="preserve"> </w:t>
      </w:r>
      <w:proofErr w:type="spellStart"/>
      <w:r w:rsidRPr="003E0BD4">
        <w:rPr>
          <w:rFonts w:cs="Arial"/>
          <w:sz w:val="16"/>
          <w:szCs w:val="16"/>
        </w:rPr>
        <w:t>Delivery</w:t>
      </w:r>
      <w:proofErr w:type="spellEnd"/>
      <w:r w:rsidRPr="003E0BD4">
        <w:rPr>
          <w:rFonts w:cs="Arial"/>
          <w:sz w:val="16"/>
          <w:szCs w:val="16"/>
        </w:rPr>
        <w:t xml:space="preserve"> </w:t>
      </w:r>
      <w:proofErr w:type="spellStart"/>
      <w:r w:rsidRPr="003E0BD4">
        <w:rPr>
          <w:rFonts w:cs="Arial"/>
          <w:sz w:val="16"/>
          <w:szCs w:val="16"/>
        </w:rPr>
        <w:t>Methods</w:t>
      </w:r>
      <w:proofErr w:type="spellEnd"/>
      <w:r w:rsidRPr="003E0BD4">
        <w:rPr>
          <w:rFonts w:cs="Arial"/>
          <w:sz w:val="16"/>
          <w:szCs w:val="16"/>
        </w:rPr>
        <w:t xml:space="preserve">, Project </w:t>
      </w:r>
      <w:proofErr w:type="spellStart"/>
      <w:r w:rsidRPr="003E0BD4">
        <w:rPr>
          <w:rFonts w:cs="Arial"/>
          <w:sz w:val="16"/>
          <w:szCs w:val="16"/>
        </w:rPr>
        <w:t>Cycle</w:t>
      </w:r>
      <w:proofErr w:type="spellEnd"/>
      <w:r w:rsidRPr="003E0BD4">
        <w:rPr>
          <w:rFonts w:cs="Arial"/>
          <w:sz w:val="16"/>
          <w:szCs w:val="16"/>
        </w:rPr>
        <w:t xml:space="preserve"> Management </w:t>
      </w:r>
      <w:proofErr w:type="spellStart"/>
      <w:r w:rsidRPr="003E0BD4">
        <w:rPr>
          <w:rFonts w:cs="Arial"/>
          <w:sz w:val="16"/>
          <w:szCs w:val="16"/>
        </w:rPr>
        <w:t>Guidelines</w:t>
      </w:r>
      <w:proofErr w:type="spellEnd"/>
      <w:r w:rsidRPr="003E0BD4">
        <w:rPr>
          <w:rFonts w:cs="Arial"/>
          <w:sz w:val="16"/>
          <w:szCs w:val="16"/>
        </w:rPr>
        <w:t xml:space="preserve"> </w:t>
      </w:r>
    </w:p>
  </w:footnote>
  <w:footnote w:id="21">
    <w:p w14:paraId="02F25158" w14:textId="4F3DACBB" w:rsidR="003C2EDD" w:rsidRPr="003E0BD4" w:rsidRDefault="003C2EDD" w:rsidP="0024353C">
      <w:pPr>
        <w:pStyle w:val="FootnoteText"/>
        <w:spacing w:beforeLines="20" w:before="48"/>
        <w:jc w:val="both"/>
        <w:rPr>
          <w:rFonts w:cs="Arial"/>
          <w:sz w:val="16"/>
          <w:szCs w:val="16"/>
        </w:rPr>
      </w:pPr>
      <w:r w:rsidRPr="003E0BD4">
        <w:rPr>
          <w:rStyle w:val="FootnoteReference"/>
          <w:rFonts w:cs="Arial"/>
          <w:sz w:val="16"/>
          <w:szCs w:val="16"/>
        </w:rPr>
        <w:footnoteRef/>
      </w:r>
      <w:r w:rsidRPr="003E0BD4">
        <w:rPr>
          <w:rFonts w:cs="Arial"/>
          <w:sz w:val="16"/>
          <w:szCs w:val="16"/>
        </w:rPr>
        <w:t xml:space="preserve"> </w:t>
      </w:r>
      <w:r w:rsidRPr="003E0BD4">
        <w:rPr>
          <w:rFonts w:cs="Arial"/>
          <w:sz w:val="16"/>
          <w:szCs w:val="16"/>
        </w:rPr>
        <w:t>Vir: Uradni list RS</w:t>
      </w:r>
      <w:r>
        <w:rPr>
          <w:rFonts w:cs="Arial"/>
          <w:sz w:val="16"/>
          <w:szCs w:val="16"/>
        </w:rPr>
        <w:t xml:space="preserve"> </w:t>
      </w:r>
      <w:r w:rsidRPr="003E0BD4">
        <w:rPr>
          <w:rFonts w:cs="Arial"/>
          <w:sz w:val="16"/>
          <w:szCs w:val="16"/>
        </w:rPr>
        <w:t>– Deklaracija o zunanji politiki Republike Slovenije</w:t>
      </w:r>
    </w:p>
  </w:footnote>
  <w:footnote w:id="22">
    <w:p w14:paraId="25275E62" w14:textId="4D817107" w:rsidR="003C2EDD" w:rsidRPr="000B78D8" w:rsidRDefault="003C2EDD" w:rsidP="0024353C">
      <w:pPr>
        <w:pStyle w:val="FootnoteText"/>
        <w:spacing w:beforeLines="20" w:before="48"/>
        <w:jc w:val="both"/>
        <w:rPr>
          <w:rFonts w:cs="Arial"/>
          <w:color w:val="5B9BD5" w:themeColor="accent1"/>
          <w:sz w:val="16"/>
          <w:szCs w:val="16"/>
        </w:rPr>
      </w:pPr>
      <w:r w:rsidRPr="0012785A">
        <w:rPr>
          <w:rStyle w:val="FootnoteReference"/>
          <w:rFonts w:cs="Arial"/>
          <w:sz w:val="16"/>
          <w:szCs w:val="16"/>
        </w:rPr>
        <w:footnoteRef/>
      </w:r>
      <w:r>
        <w:rPr>
          <w:rFonts w:cs="Arial"/>
          <w:sz w:val="16"/>
          <w:szCs w:val="16"/>
        </w:rPr>
        <w:t xml:space="preserve"> </w:t>
      </w:r>
      <w:r>
        <w:rPr>
          <w:rFonts w:cs="Arial"/>
          <w:sz w:val="16"/>
          <w:szCs w:val="16"/>
        </w:rPr>
        <w:t>Vir: MZZ</w:t>
      </w:r>
      <w:r w:rsidRPr="0012785A">
        <w:rPr>
          <w:rFonts w:cs="Arial"/>
          <w:sz w:val="16"/>
          <w:szCs w:val="16"/>
        </w:rPr>
        <w:t xml:space="preserve"> - Slovenija: varna, uspešna in v svetu spoštovana</w:t>
      </w:r>
    </w:p>
  </w:footnote>
  <w:footnote w:id="23">
    <w:p w14:paraId="664DE70C" w14:textId="0C186345" w:rsidR="003C2EDD" w:rsidRPr="003E0BD4" w:rsidRDefault="003C2EDD" w:rsidP="0024353C">
      <w:pPr>
        <w:pStyle w:val="FootnoteText"/>
        <w:spacing w:beforeLines="20" w:before="48"/>
        <w:jc w:val="both"/>
        <w:rPr>
          <w:rFonts w:cs="Arial"/>
          <w:sz w:val="16"/>
          <w:szCs w:val="16"/>
        </w:rPr>
      </w:pPr>
      <w:r w:rsidRPr="003E0BD4">
        <w:rPr>
          <w:rStyle w:val="FootnoteReference"/>
          <w:rFonts w:cs="Arial"/>
          <w:sz w:val="16"/>
          <w:szCs w:val="16"/>
        </w:rPr>
        <w:footnoteRef/>
      </w:r>
      <w:r w:rsidRPr="003E0BD4">
        <w:rPr>
          <w:rFonts w:cs="Arial"/>
          <w:sz w:val="16"/>
          <w:szCs w:val="16"/>
        </w:rPr>
        <w:t xml:space="preserve"> </w:t>
      </w:r>
      <w:r w:rsidRPr="003E0BD4">
        <w:rPr>
          <w:rFonts w:cs="Arial"/>
          <w:sz w:val="16"/>
          <w:szCs w:val="16"/>
        </w:rPr>
        <w:t>Vir: Uradni list RS</w:t>
      </w:r>
      <w:r>
        <w:rPr>
          <w:rFonts w:cs="Arial"/>
          <w:sz w:val="16"/>
          <w:szCs w:val="16"/>
        </w:rPr>
        <w:t xml:space="preserve"> </w:t>
      </w:r>
      <w:r w:rsidRPr="003E0BD4">
        <w:rPr>
          <w:rFonts w:cs="Arial"/>
          <w:sz w:val="16"/>
          <w:szCs w:val="16"/>
        </w:rPr>
        <w:t xml:space="preserve">- </w:t>
      </w:r>
      <w:r w:rsidRPr="0012785A">
        <w:rPr>
          <w:rFonts w:cs="Arial"/>
          <w:sz w:val="16"/>
          <w:szCs w:val="16"/>
        </w:rPr>
        <w:t>Resolucija o mednarodnem razvojnem sodelovanju in humanitarni pomoči Republike Slovenije</w:t>
      </w:r>
    </w:p>
  </w:footnote>
  <w:footnote w:id="24">
    <w:p w14:paraId="048BBC68" w14:textId="77777777" w:rsidR="003C2EDD" w:rsidRPr="00623294" w:rsidRDefault="003C2EDD" w:rsidP="0035039A">
      <w:pPr>
        <w:pStyle w:val="FootnoteText"/>
        <w:jc w:val="both"/>
      </w:pPr>
      <w:r>
        <w:rPr>
          <w:rStyle w:val="FootnoteReference"/>
        </w:rPr>
        <w:footnoteRef/>
      </w:r>
      <w:r>
        <w:t xml:space="preserve"> </w:t>
      </w:r>
      <w:r>
        <w:t>Glej elemente investicijskega programa, ki skladno z Uredbo</w:t>
      </w:r>
      <w:r w:rsidRPr="00623294">
        <w:t xml:space="preserve"> </w:t>
      </w:r>
      <w:r>
        <w:t xml:space="preserve">o </w:t>
      </w:r>
      <w:r w:rsidRPr="00623294">
        <w:t>enotni metodologiji za pripravo in obravnavo investicijske dokumentacije na področju javnih financ</w:t>
      </w:r>
      <w:r>
        <w:t xml:space="preserve"> (</w:t>
      </w:r>
      <w:r w:rsidRPr="00623294">
        <w:t>Uradni list RS, št. 60/06, 54/10 in 27/16)</w:t>
      </w:r>
      <w:r>
        <w:t xml:space="preserve"> veljajo za investicijske projekte </w:t>
      </w:r>
      <w:r w:rsidRPr="00623294">
        <w:t>in druge ukrepe, ki se financirajo po predpisih, ki urejajo javne financ</w:t>
      </w:r>
      <w:r>
        <w:t>e.</w:t>
      </w:r>
    </w:p>
  </w:footnote>
  <w:footnote w:id="25">
    <w:p w14:paraId="000D8D9D" w14:textId="77777777" w:rsidR="003C2EDD" w:rsidRPr="003E0BD4" w:rsidRDefault="003C2EDD" w:rsidP="00743496">
      <w:pPr>
        <w:pStyle w:val="FootnoteText"/>
        <w:spacing w:beforeLines="20" w:before="48"/>
        <w:jc w:val="both"/>
        <w:rPr>
          <w:rFonts w:cs="Arial"/>
          <w:sz w:val="16"/>
          <w:szCs w:val="16"/>
        </w:rPr>
      </w:pPr>
      <w:r w:rsidRPr="003E0BD4">
        <w:rPr>
          <w:rStyle w:val="FootnoteReference"/>
          <w:rFonts w:cs="Arial"/>
          <w:sz w:val="16"/>
          <w:szCs w:val="16"/>
        </w:rPr>
        <w:footnoteRef/>
      </w:r>
      <w:r w:rsidRPr="003E0BD4">
        <w:rPr>
          <w:rFonts w:cs="Arial"/>
          <w:sz w:val="16"/>
          <w:szCs w:val="16"/>
        </w:rPr>
        <w:t xml:space="preserve"> </w:t>
      </w:r>
      <w:r w:rsidRPr="003E0BD4">
        <w:rPr>
          <w:rFonts w:cs="Arial"/>
          <w:sz w:val="16"/>
          <w:szCs w:val="16"/>
        </w:rPr>
        <w:t xml:space="preserve">SMART cilji so specifični, merljivi, dosegljivi, </w:t>
      </w:r>
      <w:r>
        <w:rPr>
          <w:rFonts w:cs="Arial"/>
          <w:sz w:val="16"/>
          <w:szCs w:val="16"/>
        </w:rPr>
        <w:t xml:space="preserve">relevantni in časovno omejeni </w:t>
      </w:r>
    </w:p>
  </w:footnote>
  <w:footnote w:id="26">
    <w:p w14:paraId="5753515F" w14:textId="77777777" w:rsidR="003C2EDD" w:rsidRPr="007E7B0A" w:rsidRDefault="003C2EDD" w:rsidP="003C12B3">
      <w:pPr>
        <w:autoSpaceDE w:val="0"/>
        <w:autoSpaceDN w:val="0"/>
        <w:adjustRightInd w:val="0"/>
        <w:spacing w:line="240" w:lineRule="auto"/>
        <w:jc w:val="both"/>
        <w:rPr>
          <w:rFonts w:cs="Arial"/>
          <w:color w:val="000000"/>
          <w:sz w:val="16"/>
          <w:szCs w:val="16"/>
        </w:rPr>
      </w:pPr>
      <w:r w:rsidRPr="007E7B0A">
        <w:rPr>
          <w:rStyle w:val="FootnoteReference"/>
          <w:sz w:val="16"/>
          <w:szCs w:val="16"/>
        </w:rPr>
        <w:footnoteRef/>
      </w:r>
      <w:r w:rsidRPr="007E7B0A">
        <w:rPr>
          <w:sz w:val="16"/>
          <w:szCs w:val="16"/>
        </w:rPr>
        <w:t xml:space="preserve"> </w:t>
      </w:r>
      <w:r w:rsidRPr="007E7B0A">
        <w:rPr>
          <w:sz w:val="16"/>
          <w:szCs w:val="16"/>
        </w:rPr>
        <w:t xml:space="preserve">Predlagatelji so lahko: </w:t>
      </w:r>
      <w:r w:rsidRPr="007E7B0A">
        <w:rPr>
          <w:rFonts w:cs="Arial"/>
          <w:color w:val="000000"/>
          <w:sz w:val="16"/>
          <w:szCs w:val="16"/>
        </w:rPr>
        <w:t>(i) sektorji MZZ in veleposlaništva RS, (ii) ministrstva in organi v sestavi, (iii) izvajalci negospodarskih javnih služb, (iv) CMSR, (v) podjetja in gospodarska združenja, (vi) nevladne organizacije, (vii) subjekti iz partnerskih držav in (viii) mednarodne institucije.</w:t>
      </w:r>
    </w:p>
    <w:p w14:paraId="32658DB1" w14:textId="77777777" w:rsidR="003C2EDD" w:rsidRDefault="003C2EDD" w:rsidP="003C12B3">
      <w:pPr>
        <w:pStyle w:val="FootnoteText"/>
      </w:pPr>
    </w:p>
  </w:footnote>
  <w:footnote w:id="27">
    <w:p w14:paraId="60F93FF5" w14:textId="77777777" w:rsidR="003C2EDD" w:rsidRPr="00305B27" w:rsidRDefault="003C2EDD" w:rsidP="000A1AF3">
      <w:pPr>
        <w:pStyle w:val="FootnoteText"/>
        <w:rPr>
          <w:rFonts w:cs="Arial"/>
          <w:sz w:val="16"/>
          <w:szCs w:val="16"/>
        </w:rPr>
      </w:pPr>
      <w:r w:rsidRPr="00305B27">
        <w:rPr>
          <w:rStyle w:val="FootnoteReference"/>
          <w:rFonts w:cs="Arial"/>
          <w:sz w:val="16"/>
          <w:szCs w:val="16"/>
        </w:rPr>
        <w:footnoteRef/>
      </w:r>
      <w:r w:rsidRPr="00305B27">
        <w:rPr>
          <w:rFonts w:cs="Arial"/>
          <w:sz w:val="16"/>
          <w:szCs w:val="16"/>
        </w:rPr>
        <w:t xml:space="preserve"> </w:t>
      </w:r>
      <w:r w:rsidRPr="00305B27">
        <w:rPr>
          <w:rFonts w:cs="Arial"/>
          <w:sz w:val="16"/>
          <w:szCs w:val="16"/>
        </w:rPr>
        <w:t>Financer je proračunski uporabnik, ki z izvajalcem sklene pogodbo o financiranju</w:t>
      </w:r>
      <w:r>
        <w:rPr>
          <w:rFonts w:cs="Arial"/>
          <w:sz w:val="16"/>
          <w:szCs w:val="16"/>
        </w:rPr>
        <w:t xml:space="preserve"> </w:t>
      </w:r>
      <w:r w:rsidRPr="00305B27">
        <w:rPr>
          <w:rFonts w:cs="Arial"/>
          <w:sz w:val="16"/>
          <w:szCs w:val="16"/>
        </w:rPr>
        <w:t>(3. člen ZMRSHP)</w:t>
      </w:r>
    </w:p>
  </w:footnote>
  <w:footnote w:id="28">
    <w:p w14:paraId="55177843" w14:textId="77777777" w:rsidR="003C2EDD" w:rsidRDefault="003C2EDD" w:rsidP="000A1AF3">
      <w:pPr>
        <w:pStyle w:val="footnotedescription"/>
        <w:spacing w:line="259" w:lineRule="auto"/>
        <w:jc w:val="both"/>
      </w:pPr>
      <w:r w:rsidRPr="00305B27">
        <w:rPr>
          <w:rStyle w:val="footnotemark"/>
          <w:rFonts w:ascii="Arial" w:hAnsi="Arial" w:cs="Arial"/>
          <w:sz w:val="16"/>
          <w:szCs w:val="16"/>
        </w:rPr>
        <w:footnoteRef/>
      </w:r>
      <w:r w:rsidRPr="00305B27">
        <w:rPr>
          <w:rFonts w:ascii="Arial" w:hAnsi="Arial" w:cs="Arial"/>
          <w:sz w:val="16"/>
          <w:szCs w:val="16"/>
        </w:rPr>
        <w:t xml:space="preserve"> </w:t>
      </w:r>
      <w:r w:rsidRPr="00305B27">
        <w:rPr>
          <w:rFonts w:ascii="Arial" w:hAnsi="Arial" w:cs="Arial"/>
          <w:sz w:val="16"/>
          <w:szCs w:val="16"/>
        </w:rPr>
        <w:t>Prejemniki pomeni »posamezniki, skupine ali organizacije, če so ciljni ali ne, ki imajo neposredne ali posredne koristi od projekta.«</w:t>
      </w:r>
      <w:r>
        <w:t xml:space="preserve"> </w:t>
      </w:r>
    </w:p>
  </w:footnote>
  <w:footnote w:id="29">
    <w:p w14:paraId="006D8F84" w14:textId="77777777" w:rsidR="003C2EDD" w:rsidRPr="00F34412" w:rsidRDefault="003C2EDD" w:rsidP="000A1AF3">
      <w:pPr>
        <w:pStyle w:val="CommentText"/>
      </w:pPr>
      <w:r>
        <w:rPr>
          <w:rStyle w:val="FootnoteReference"/>
        </w:rPr>
        <w:footnoteRef/>
      </w:r>
      <w:r>
        <w:t xml:space="preserve"> </w:t>
      </w:r>
      <w:r w:rsidRPr="00F34412">
        <w:rPr>
          <w:rFonts w:cs="Arial"/>
          <w:sz w:val="16"/>
          <w:szCs w:val="16"/>
        </w:rPr>
        <w:t>Pri prvem p</w:t>
      </w:r>
      <w:r>
        <w:rPr>
          <w:rFonts w:cs="Arial"/>
          <w:sz w:val="16"/>
          <w:szCs w:val="16"/>
        </w:rPr>
        <w:t>r</w:t>
      </w:r>
      <w:r w:rsidRPr="00F34412">
        <w:rPr>
          <w:rFonts w:cs="Arial"/>
          <w:sz w:val="16"/>
          <w:szCs w:val="16"/>
        </w:rPr>
        <w:t xml:space="preserve">ojektu je bil izvajalec </w:t>
      </w:r>
      <w:r w:rsidRPr="00F34412">
        <w:rPr>
          <w:rFonts w:cs="Arial"/>
          <w:color w:val="000000"/>
          <w:sz w:val="16"/>
          <w:szCs w:val="16"/>
          <w:lang w:eastAsia="sl-SI"/>
        </w:rPr>
        <w:t xml:space="preserve">Iskra Sistemi </w:t>
      </w:r>
      <w:proofErr w:type="spellStart"/>
      <w:r w:rsidRPr="00F34412">
        <w:rPr>
          <w:rFonts w:cs="Arial"/>
          <w:color w:val="000000"/>
          <w:sz w:val="16"/>
          <w:szCs w:val="16"/>
          <w:lang w:eastAsia="sl-SI"/>
        </w:rPr>
        <w:t>d.d</w:t>
      </w:r>
      <w:proofErr w:type="spellEnd"/>
      <w:r w:rsidRPr="00F34412">
        <w:rPr>
          <w:rFonts w:cs="Arial"/>
          <w:color w:val="000000"/>
          <w:sz w:val="16"/>
          <w:szCs w:val="16"/>
          <w:lang w:eastAsia="sl-SI"/>
        </w:rPr>
        <w:t>., Ljubljana</w:t>
      </w:r>
      <w:r>
        <w:rPr>
          <w:rFonts w:cs="Arial"/>
          <w:color w:val="000000"/>
          <w:sz w:val="16"/>
          <w:szCs w:val="16"/>
          <w:lang w:eastAsia="sl-SI"/>
        </w:rPr>
        <w:t>, p</w:t>
      </w:r>
      <w:r w:rsidRPr="00F34412">
        <w:rPr>
          <w:rFonts w:cs="Arial"/>
          <w:sz w:val="16"/>
          <w:szCs w:val="16"/>
        </w:rPr>
        <w:t>ri drugem projektu so bili izvajalci:</w:t>
      </w:r>
      <w:r>
        <w:rPr>
          <w:rFonts w:cs="Arial"/>
          <w:sz w:val="16"/>
          <w:szCs w:val="16"/>
        </w:rPr>
        <w:t xml:space="preserve"> </w:t>
      </w:r>
      <w:r w:rsidRPr="00F34412">
        <w:rPr>
          <w:rFonts w:cs="Arial"/>
          <w:sz w:val="16"/>
          <w:szCs w:val="16"/>
        </w:rPr>
        <w:t xml:space="preserve">Iskra Sistemi – M DOOEL Skopje, Fortuna </w:t>
      </w:r>
      <w:proofErr w:type="spellStart"/>
      <w:r w:rsidRPr="00F34412">
        <w:rPr>
          <w:rFonts w:cs="Arial"/>
          <w:sz w:val="16"/>
          <w:szCs w:val="16"/>
        </w:rPr>
        <w:t>Inženering</w:t>
      </w:r>
      <w:proofErr w:type="spellEnd"/>
      <w:r w:rsidRPr="00F34412">
        <w:rPr>
          <w:rFonts w:cs="Arial"/>
          <w:sz w:val="16"/>
          <w:szCs w:val="16"/>
        </w:rPr>
        <w:t xml:space="preserve"> d. o. o. Skopje, Makedonija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1A4"/>
    <w:multiLevelType w:val="hybridMultilevel"/>
    <w:tmpl w:val="1924CC78"/>
    <w:lvl w:ilvl="0" w:tplc="358EE69C">
      <w:start w:val="1000"/>
      <w:numFmt w:val="bullet"/>
      <w:lvlText w:val="-"/>
      <w:lvlJc w:val="left"/>
      <w:pPr>
        <w:ind w:left="360" w:hanging="360"/>
      </w:pPr>
      <w:rPr>
        <w:rFonts w:ascii="Verdana" w:eastAsiaTheme="minorHAnsi" w:hAnsi="Verdan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F5168"/>
    <w:multiLevelType w:val="hybridMultilevel"/>
    <w:tmpl w:val="D1381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B60E96"/>
    <w:multiLevelType w:val="hybridMultilevel"/>
    <w:tmpl w:val="97DC3D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C94297"/>
    <w:multiLevelType w:val="hybridMultilevel"/>
    <w:tmpl w:val="09205BD8"/>
    <w:lvl w:ilvl="0" w:tplc="358EE69C">
      <w:start w:val="1000"/>
      <w:numFmt w:val="bullet"/>
      <w:lvlText w:val="-"/>
      <w:lvlJc w:val="left"/>
      <w:pPr>
        <w:ind w:left="720" w:hanging="360"/>
      </w:pPr>
      <w:rPr>
        <w:rFonts w:ascii="Verdana" w:eastAsiaTheme="minorHAnsi" w:hAnsi="Verdan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A01"/>
    <w:multiLevelType w:val="hybridMultilevel"/>
    <w:tmpl w:val="9A484054"/>
    <w:lvl w:ilvl="0" w:tplc="0409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CC5714"/>
    <w:multiLevelType w:val="hybridMultilevel"/>
    <w:tmpl w:val="E55A2F80"/>
    <w:lvl w:ilvl="0" w:tplc="CC043D9A">
      <w:start w:val="1"/>
      <w:numFmt w:val="bullet"/>
      <w:lvlText w:val="•"/>
      <w:lvlJc w:val="left"/>
      <w:pPr>
        <w:tabs>
          <w:tab w:val="num" w:pos="720"/>
        </w:tabs>
        <w:ind w:left="720" w:hanging="360"/>
      </w:pPr>
      <w:rPr>
        <w:rFonts w:ascii="Arial" w:hAnsi="Arial" w:hint="default"/>
      </w:rPr>
    </w:lvl>
    <w:lvl w:ilvl="1" w:tplc="CA525E4C" w:tentative="1">
      <w:start w:val="1"/>
      <w:numFmt w:val="bullet"/>
      <w:lvlText w:val="•"/>
      <w:lvlJc w:val="left"/>
      <w:pPr>
        <w:tabs>
          <w:tab w:val="num" w:pos="1440"/>
        </w:tabs>
        <w:ind w:left="1440" w:hanging="360"/>
      </w:pPr>
      <w:rPr>
        <w:rFonts w:ascii="Arial" w:hAnsi="Arial" w:hint="default"/>
      </w:rPr>
    </w:lvl>
    <w:lvl w:ilvl="2" w:tplc="1D5832BE" w:tentative="1">
      <w:start w:val="1"/>
      <w:numFmt w:val="bullet"/>
      <w:lvlText w:val="•"/>
      <w:lvlJc w:val="left"/>
      <w:pPr>
        <w:tabs>
          <w:tab w:val="num" w:pos="2160"/>
        </w:tabs>
        <w:ind w:left="2160" w:hanging="360"/>
      </w:pPr>
      <w:rPr>
        <w:rFonts w:ascii="Arial" w:hAnsi="Arial" w:hint="default"/>
      </w:rPr>
    </w:lvl>
    <w:lvl w:ilvl="3" w:tplc="EF1CA858" w:tentative="1">
      <w:start w:val="1"/>
      <w:numFmt w:val="bullet"/>
      <w:lvlText w:val="•"/>
      <w:lvlJc w:val="left"/>
      <w:pPr>
        <w:tabs>
          <w:tab w:val="num" w:pos="2880"/>
        </w:tabs>
        <w:ind w:left="2880" w:hanging="360"/>
      </w:pPr>
      <w:rPr>
        <w:rFonts w:ascii="Arial" w:hAnsi="Arial" w:hint="default"/>
      </w:rPr>
    </w:lvl>
    <w:lvl w:ilvl="4" w:tplc="CAC46CE0" w:tentative="1">
      <w:start w:val="1"/>
      <w:numFmt w:val="bullet"/>
      <w:lvlText w:val="•"/>
      <w:lvlJc w:val="left"/>
      <w:pPr>
        <w:tabs>
          <w:tab w:val="num" w:pos="3600"/>
        </w:tabs>
        <w:ind w:left="3600" w:hanging="360"/>
      </w:pPr>
      <w:rPr>
        <w:rFonts w:ascii="Arial" w:hAnsi="Arial" w:hint="default"/>
      </w:rPr>
    </w:lvl>
    <w:lvl w:ilvl="5" w:tplc="2C6A2CA6" w:tentative="1">
      <w:start w:val="1"/>
      <w:numFmt w:val="bullet"/>
      <w:lvlText w:val="•"/>
      <w:lvlJc w:val="left"/>
      <w:pPr>
        <w:tabs>
          <w:tab w:val="num" w:pos="4320"/>
        </w:tabs>
        <w:ind w:left="4320" w:hanging="360"/>
      </w:pPr>
      <w:rPr>
        <w:rFonts w:ascii="Arial" w:hAnsi="Arial" w:hint="default"/>
      </w:rPr>
    </w:lvl>
    <w:lvl w:ilvl="6" w:tplc="674C39B0" w:tentative="1">
      <w:start w:val="1"/>
      <w:numFmt w:val="bullet"/>
      <w:lvlText w:val="•"/>
      <w:lvlJc w:val="left"/>
      <w:pPr>
        <w:tabs>
          <w:tab w:val="num" w:pos="5040"/>
        </w:tabs>
        <w:ind w:left="5040" w:hanging="360"/>
      </w:pPr>
      <w:rPr>
        <w:rFonts w:ascii="Arial" w:hAnsi="Arial" w:hint="default"/>
      </w:rPr>
    </w:lvl>
    <w:lvl w:ilvl="7" w:tplc="85080394" w:tentative="1">
      <w:start w:val="1"/>
      <w:numFmt w:val="bullet"/>
      <w:lvlText w:val="•"/>
      <w:lvlJc w:val="left"/>
      <w:pPr>
        <w:tabs>
          <w:tab w:val="num" w:pos="5760"/>
        </w:tabs>
        <w:ind w:left="5760" w:hanging="360"/>
      </w:pPr>
      <w:rPr>
        <w:rFonts w:ascii="Arial" w:hAnsi="Arial" w:hint="default"/>
      </w:rPr>
    </w:lvl>
    <w:lvl w:ilvl="8" w:tplc="AC5009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FE338D"/>
    <w:multiLevelType w:val="hybridMultilevel"/>
    <w:tmpl w:val="D35C0184"/>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102F0E"/>
    <w:multiLevelType w:val="hybridMultilevel"/>
    <w:tmpl w:val="ECF658B4"/>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B07173"/>
    <w:multiLevelType w:val="hybridMultilevel"/>
    <w:tmpl w:val="23025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BC59A3"/>
    <w:multiLevelType w:val="hybridMultilevel"/>
    <w:tmpl w:val="F9667340"/>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7A781F"/>
    <w:multiLevelType w:val="hybridMultilevel"/>
    <w:tmpl w:val="1994A248"/>
    <w:lvl w:ilvl="0" w:tplc="5D446E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313E87"/>
    <w:multiLevelType w:val="hybridMultilevel"/>
    <w:tmpl w:val="54F21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2379C5"/>
    <w:multiLevelType w:val="hybridMultilevel"/>
    <w:tmpl w:val="5B40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93186"/>
    <w:multiLevelType w:val="hybridMultilevel"/>
    <w:tmpl w:val="D160F2B6"/>
    <w:lvl w:ilvl="0" w:tplc="358EE69C">
      <w:start w:val="1000"/>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1C218F"/>
    <w:multiLevelType w:val="hybridMultilevel"/>
    <w:tmpl w:val="33BC249E"/>
    <w:lvl w:ilvl="0" w:tplc="3F006B4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3F006B46">
      <w:numFmt w:val="bullet"/>
      <w:lvlText w:val="-"/>
      <w:lvlJc w:val="left"/>
      <w:pPr>
        <w:ind w:left="2160" w:hanging="360"/>
      </w:pPr>
      <w:rPr>
        <w:rFonts w:ascii="Verdana" w:eastAsiaTheme="minorHAnsi" w:hAnsi="Verdan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636E9"/>
    <w:multiLevelType w:val="hybridMultilevel"/>
    <w:tmpl w:val="7CB48DB8"/>
    <w:lvl w:ilvl="0" w:tplc="358EE69C">
      <w:start w:val="1000"/>
      <w:numFmt w:val="bullet"/>
      <w:lvlText w:val="-"/>
      <w:lvlJc w:val="left"/>
      <w:pPr>
        <w:ind w:left="360" w:hanging="36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4A4E64"/>
    <w:multiLevelType w:val="hybridMultilevel"/>
    <w:tmpl w:val="46B4C716"/>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C10D88"/>
    <w:multiLevelType w:val="hybridMultilevel"/>
    <w:tmpl w:val="BB505DA2"/>
    <w:lvl w:ilvl="0" w:tplc="358EE69C">
      <w:start w:val="1000"/>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C605F6"/>
    <w:multiLevelType w:val="hybridMultilevel"/>
    <w:tmpl w:val="C5DC21F0"/>
    <w:lvl w:ilvl="0" w:tplc="358EE69C">
      <w:start w:val="100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725CE4"/>
    <w:multiLevelType w:val="hybridMultilevel"/>
    <w:tmpl w:val="DEDE89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85233F4"/>
    <w:multiLevelType w:val="hybridMultilevel"/>
    <w:tmpl w:val="3D86C914"/>
    <w:lvl w:ilvl="0" w:tplc="34A03D6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F715510"/>
    <w:multiLevelType w:val="hybridMultilevel"/>
    <w:tmpl w:val="331C3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E5535"/>
    <w:multiLevelType w:val="hybridMultilevel"/>
    <w:tmpl w:val="DB143A22"/>
    <w:lvl w:ilvl="0" w:tplc="B5F050FE">
      <w:start w:val="378"/>
      <w:numFmt w:val="bullet"/>
      <w:pStyle w:val="BodyTex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244F1F"/>
    <w:multiLevelType w:val="hybridMultilevel"/>
    <w:tmpl w:val="3C3E66DC"/>
    <w:lvl w:ilvl="0" w:tplc="3F006B46">
      <w:numFmt w:val="bullet"/>
      <w:lvlText w:val="-"/>
      <w:lvlJc w:val="left"/>
      <w:pPr>
        <w:ind w:left="2160" w:hanging="360"/>
      </w:pPr>
      <w:rPr>
        <w:rFonts w:ascii="Verdana" w:eastAsiaTheme="minorHAnsi" w:hAnsi="Verdana"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E46622E"/>
    <w:multiLevelType w:val="hybridMultilevel"/>
    <w:tmpl w:val="CB60C7F0"/>
    <w:lvl w:ilvl="0" w:tplc="AAFCF716">
      <w:start w:val="1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FC27308"/>
    <w:multiLevelType w:val="multilevel"/>
    <w:tmpl w:val="5B2C0DD8"/>
    <w:lvl w:ilvl="0">
      <w:start w:val="1"/>
      <w:numFmt w:val="decimal"/>
      <w:pStyle w:val="Heading1"/>
      <w:lvlText w:val="%1."/>
      <w:lvlJc w:val="left"/>
      <w:pPr>
        <w:ind w:left="720" w:hanging="720"/>
      </w:pPr>
      <w:rPr>
        <w:rFonts w:hint="default"/>
        <w:b/>
        <w:color w:val="1B75BC"/>
      </w:rPr>
    </w:lvl>
    <w:lvl w:ilvl="1">
      <w:start w:val="1"/>
      <w:numFmt w:val="decimal"/>
      <w:pStyle w:val="Heading2"/>
      <w:isLgl/>
      <w:lvlText w:val="%1.%2."/>
      <w:lvlJc w:val="left"/>
      <w:pPr>
        <w:ind w:left="720" w:hanging="720"/>
      </w:pPr>
      <w:rPr>
        <w:specVanish w:val="0"/>
      </w:rPr>
    </w:lvl>
    <w:lvl w:ilvl="2">
      <w:start w:val="1"/>
      <w:numFmt w:val="decimal"/>
      <w:pStyle w:val="Heading3"/>
      <w:isLgl/>
      <w:lvlText w:val="%1.%2.%3."/>
      <w:lvlJc w:val="left"/>
      <w:pPr>
        <w:ind w:left="1080" w:hanging="1080"/>
      </w:pPr>
      <w:rPr>
        <w:specVanish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60B82C7E"/>
    <w:multiLevelType w:val="hybridMultilevel"/>
    <w:tmpl w:val="87BE0160"/>
    <w:lvl w:ilvl="0" w:tplc="689EDB54">
      <w:start w:val="20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53D"/>
    <w:multiLevelType w:val="hybridMultilevel"/>
    <w:tmpl w:val="662C0C6C"/>
    <w:lvl w:ilvl="0" w:tplc="0409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55F4265"/>
    <w:multiLevelType w:val="hybridMultilevel"/>
    <w:tmpl w:val="0FC67CD8"/>
    <w:lvl w:ilvl="0" w:tplc="4D261AC8">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5F1293B"/>
    <w:multiLevelType w:val="hybridMultilevel"/>
    <w:tmpl w:val="D0CA90E8"/>
    <w:lvl w:ilvl="0" w:tplc="3F006B46">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4343"/>
    <w:multiLevelType w:val="hybridMultilevel"/>
    <w:tmpl w:val="65CCA6BE"/>
    <w:lvl w:ilvl="0" w:tplc="7E9244D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94F404E"/>
    <w:multiLevelType w:val="hybridMultilevel"/>
    <w:tmpl w:val="46B8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F07ED"/>
    <w:multiLevelType w:val="hybridMultilevel"/>
    <w:tmpl w:val="1CA08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6A0672"/>
    <w:multiLevelType w:val="hybridMultilevel"/>
    <w:tmpl w:val="3DDCAA4C"/>
    <w:lvl w:ilvl="0" w:tplc="DA42B618">
      <w:start w:val="1"/>
      <w:numFmt w:val="decimal"/>
      <w:suff w:val="space"/>
      <w:lvlText w:val="%1."/>
      <w:lvlJc w:val="left"/>
      <w:pPr>
        <w:ind w:left="720" w:firstLine="284"/>
      </w:pPr>
      <w:rPr>
        <w:rFonts w:ascii="Arial" w:eastAsiaTheme="minorHAnsi" w:hAnsi="Arial"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235587"/>
    <w:multiLevelType w:val="hybridMultilevel"/>
    <w:tmpl w:val="BC8487C0"/>
    <w:lvl w:ilvl="0" w:tplc="689EDB54">
      <w:start w:val="202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4F20A8"/>
    <w:multiLevelType w:val="hybridMultilevel"/>
    <w:tmpl w:val="FCF4A3BC"/>
    <w:lvl w:ilvl="0" w:tplc="689EDB54">
      <w:start w:val="20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A6CB1"/>
    <w:multiLevelType w:val="hybridMultilevel"/>
    <w:tmpl w:val="4634AC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7AB3765"/>
    <w:multiLevelType w:val="hybridMultilevel"/>
    <w:tmpl w:val="D3282FD2"/>
    <w:lvl w:ilvl="0" w:tplc="00B814B8">
      <w:start w:val="1"/>
      <w:numFmt w:val="bullet"/>
      <w:lvlText w:val="•"/>
      <w:lvlJc w:val="left"/>
      <w:pPr>
        <w:tabs>
          <w:tab w:val="num" w:pos="720"/>
        </w:tabs>
        <w:ind w:left="720" w:hanging="360"/>
      </w:pPr>
      <w:rPr>
        <w:rFonts w:ascii="Arial" w:hAnsi="Arial" w:hint="default"/>
      </w:rPr>
    </w:lvl>
    <w:lvl w:ilvl="1" w:tplc="1F600D6E" w:tentative="1">
      <w:start w:val="1"/>
      <w:numFmt w:val="bullet"/>
      <w:lvlText w:val="•"/>
      <w:lvlJc w:val="left"/>
      <w:pPr>
        <w:tabs>
          <w:tab w:val="num" w:pos="1440"/>
        </w:tabs>
        <w:ind w:left="1440" w:hanging="360"/>
      </w:pPr>
      <w:rPr>
        <w:rFonts w:ascii="Arial" w:hAnsi="Arial" w:hint="default"/>
      </w:rPr>
    </w:lvl>
    <w:lvl w:ilvl="2" w:tplc="B2AE2A52" w:tentative="1">
      <w:start w:val="1"/>
      <w:numFmt w:val="bullet"/>
      <w:lvlText w:val="•"/>
      <w:lvlJc w:val="left"/>
      <w:pPr>
        <w:tabs>
          <w:tab w:val="num" w:pos="2160"/>
        </w:tabs>
        <w:ind w:left="2160" w:hanging="360"/>
      </w:pPr>
      <w:rPr>
        <w:rFonts w:ascii="Arial" w:hAnsi="Arial" w:hint="default"/>
      </w:rPr>
    </w:lvl>
    <w:lvl w:ilvl="3" w:tplc="0428F1A4" w:tentative="1">
      <w:start w:val="1"/>
      <w:numFmt w:val="bullet"/>
      <w:lvlText w:val="•"/>
      <w:lvlJc w:val="left"/>
      <w:pPr>
        <w:tabs>
          <w:tab w:val="num" w:pos="2880"/>
        </w:tabs>
        <w:ind w:left="2880" w:hanging="360"/>
      </w:pPr>
      <w:rPr>
        <w:rFonts w:ascii="Arial" w:hAnsi="Arial" w:hint="default"/>
      </w:rPr>
    </w:lvl>
    <w:lvl w:ilvl="4" w:tplc="C6287D12" w:tentative="1">
      <w:start w:val="1"/>
      <w:numFmt w:val="bullet"/>
      <w:lvlText w:val="•"/>
      <w:lvlJc w:val="left"/>
      <w:pPr>
        <w:tabs>
          <w:tab w:val="num" w:pos="3600"/>
        </w:tabs>
        <w:ind w:left="3600" w:hanging="360"/>
      </w:pPr>
      <w:rPr>
        <w:rFonts w:ascii="Arial" w:hAnsi="Arial" w:hint="default"/>
      </w:rPr>
    </w:lvl>
    <w:lvl w:ilvl="5" w:tplc="7D164C0A" w:tentative="1">
      <w:start w:val="1"/>
      <w:numFmt w:val="bullet"/>
      <w:lvlText w:val="•"/>
      <w:lvlJc w:val="left"/>
      <w:pPr>
        <w:tabs>
          <w:tab w:val="num" w:pos="4320"/>
        </w:tabs>
        <w:ind w:left="4320" w:hanging="360"/>
      </w:pPr>
      <w:rPr>
        <w:rFonts w:ascii="Arial" w:hAnsi="Arial" w:hint="default"/>
      </w:rPr>
    </w:lvl>
    <w:lvl w:ilvl="6" w:tplc="7BB2F4F4" w:tentative="1">
      <w:start w:val="1"/>
      <w:numFmt w:val="bullet"/>
      <w:lvlText w:val="•"/>
      <w:lvlJc w:val="left"/>
      <w:pPr>
        <w:tabs>
          <w:tab w:val="num" w:pos="5040"/>
        </w:tabs>
        <w:ind w:left="5040" w:hanging="360"/>
      </w:pPr>
      <w:rPr>
        <w:rFonts w:ascii="Arial" w:hAnsi="Arial" w:hint="default"/>
      </w:rPr>
    </w:lvl>
    <w:lvl w:ilvl="7" w:tplc="C5B2ECFC" w:tentative="1">
      <w:start w:val="1"/>
      <w:numFmt w:val="bullet"/>
      <w:lvlText w:val="•"/>
      <w:lvlJc w:val="left"/>
      <w:pPr>
        <w:tabs>
          <w:tab w:val="num" w:pos="5760"/>
        </w:tabs>
        <w:ind w:left="5760" w:hanging="360"/>
      </w:pPr>
      <w:rPr>
        <w:rFonts w:ascii="Arial" w:hAnsi="Arial" w:hint="default"/>
      </w:rPr>
    </w:lvl>
    <w:lvl w:ilvl="8" w:tplc="39DC370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E947A8"/>
    <w:multiLevelType w:val="hybridMultilevel"/>
    <w:tmpl w:val="C1CC4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864C9"/>
    <w:multiLevelType w:val="hybridMultilevel"/>
    <w:tmpl w:val="7B723FA8"/>
    <w:lvl w:ilvl="0" w:tplc="3F006B4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05C94"/>
    <w:multiLevelType w:val="hybridMultilevel"/>
    <w:tmpl w:val="DFEC17E4"/>
    <w:lvl w:ilvl="0" w:tplc="689EDB54">
      <w:start w:val="2020"/>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19601423">
    <w:abstractNumId w:val="0"/>
  </w:num>
  <w:num w:numId="2" w16cid:durableId="1951281519">
    <w:abstractNumId w:val="3"/>
  </w:num>
  <w:num w:numId="3" w16cid:durableId="4333866">
    <w:abstractNumId w:val="25"/>
  </w:num>
  <w:num w:numId="4" w16cid:durableId="194930372">
    <w:abstractNumId w:val="33"/>
  </w:num>
  <w:num w:numId="5" w16cid:durableId="1272972734">
    <w:abstractNumId w:val="34"/>
  </w:num>
  <w:num w:numId="6" w16cid:durableId="1132673794">
    <w:abstractNumId w:val="2"/>
  </w:num>
  <w:num w:numId="7" w16cid:durableId="1692998375">
    <w:abstractNumId w:val="1"/>
  </w:num>
  <w:num w:numId="8" w16cid:durableId="1611547507">
    <w:abstractNumId w:val="27"/>
  </w:num>
  <w:num w:numId="9" w16cid:durableId="1862350776">
    <w:abstractNumId w:val="4"/>
  </w:num>
  <w:num w:numId="10" w16cid:durableId="973947209">
    <w:abstractNumId w:val="22"/>
  </w:num>
  <w:num w:numId="11" w16cid:durableId="889924239">
    <w:abstractNumId w:val="28"/>
  </w:num>
  <w:num w:numId="12" w16cid:durableId="1488476370">
    <w:abstractNumId w:val="5"/>
  </w:num>
  <w:num w:numId="13" w16cid:durableId="1437097214">
    <w:abstractNumId w:val="10"/>
  </w:num>
  <w:num w:numId="14" w16cid:durableId="1462377388">
    <w:abstractNumId w:val="29"/>
  </w:num>
  <w:num w:numId="15" w16cid:durableId="817114723">
    <w:abstractNumId w:val="14"/>
  </w:num>
  <w:num w:numId="16" w16cid:durableId="402141938">
    <w:abstractNumId w:val="23"/>
  </w:num>
  <w:num w:numId="17" w16cid:durableId="1315766528">
    <w:abstractNumId w:val="39"/>
  </w:num>
  <w:num w:numId="18" w16cid:durableId="1659914940">
    <w:abstractNumId w:val="17"/>
  </w:num>
  <w:num w:numId="19" w16cid:durableId="855776229">
    <w:abstractNumId w:val="18"/>
  </w:num>
  <w:num w:numId="20" w16cid:durableId="580605265">
    <w:abstractNumId w:val="9"/>
  </w:num>
  <w:num w:numId="21" w16cid:durableId="328942944">
    <w:abstractNumId w:val="13"/>
  </w:num>
  <w:num w:numId="22" w16cid:durableId="1002509821">
    <w:abstractNumId w:val="37"/>
  </w:num>
  <w:num w:numId="23" w16cid:durableId="2067557910">
    <w:abstractNumId w:val="7"/>
  </w:num>
  <w:num w:numId="24" w16cid:durableId="2056275700">
    <w:abstractNumId w:val="16"/>
  </w:num>
  <w:num w:numId="25" w16cid:durableId="552934257">
    <w:abstractNumId w:val="6"/>
  </w:num>
  <w:num w:numId="26" w16cid:durableId="2135172882">
    <w:abstractNumId w:val="38"/>
  </w:num>
  <w:num w:numId="27" w16cid:durableId="952638964">
    <w:abstractNumId w:val="25"/>
  </w:num>
  <w:num w:numId="28" w16cid:durableId="380057917">
    <w:abstractNumId w:val="21"/>
  </w:num>
  <w:num w:numId="29" w16cid:durableId="1080325103">
    <w:abstractNumId w:val="11"/>
  </w:num>
  <w:num w:numId="30" w16cid:durableId="571426363">
    <w:abstractNumId w:val="31"/>
  </w:num>
  <w:num w:numId="31" w16cid:durableId="192765998">
    <w:abstractNumId w:val="12"/>
  </w:num>
  <w:num w:numId="32" w16cid:durableId="680396562">
    <w:abstractNumId w:val="15"/>
  </w:num>
  <w:num w:numId="33" w16cid:durableId="640039987">
    <w:abstractNumId w:val="35"/>
  </w:num>
  <w:num w:numId="34" w16cid:durableId="1724601662">
    <w:abstractNumId w:val="26"/>
  </w:num>
  <w:num w:numId="35" w16cid:durableId="27687826">
    <w:abstractNumId w:val="40"/>
  </w:num>
  <w:num w:numId="36" w16cid:durableId="2113015709">
    <w:abstractNumId w:val="19"/>
  </w:num>
  <w:num w:numId="37" w16cid:durableId="1543861772">
    <w:abstractNumId w:val="32"/>
  </w:num>
  <w:num w:numId="38" w16cid:durableId="1363047314">
    <w:abstractNumId w:val="36"/>
  </w:num>
  <w:num w:numId="39" w16cid:durableId="1910768219">
    <w:abstractNumId w:val="30"/>
  </w:num>
  <w:num w:numId="40" w16cid:durableId="2081977574">
    <w:abstractNumId w:val="8"/>
  </w:num>
  <w:num w:numId="41" w16cid:durableId="1783306595">
    <w:abstractNumId w:val="24"/>
  </w:num>
  <w:num w:numId="42" w16cid:durableId="182230539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s-CL" w:vendorID="64" w:dllVersion="6" w:nlCheck="1" w:checkStyle="0"/>
  <w:activeWritingStyle w:appName="MSWord" w:lang="en-GB" w:vendorID="64" w:dllVersion="4096" w:nlCheck="1" w:checkStyle="0"/>
  <w:activeWritingStyle w:appName="MSWord" w:lang="pt-P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C4"/>
    <w:rsid w:val="00000DCC"/>
    <w:rsid w:val="000035A4"/>
    <w:rsid w:val="0000476D"/>
    <w:rsid w:val="0000616F"/>
    <w:rsid w:val="0001009D"/>
    <w:rsid w:val="00010C69"/>
    <w:rsid w:val="000124D7"/>
    <w:rsid w:val="0001367D"/>
    <w:rsid w:val="00015106"/>
    <w:rsid w:val="0001516D"/>
    <w:rsid w:val="00016723"/>
    <w:rsid w:val="00017372"/>
    <w:rsid w:val="000213C7"/>
    <w:rsid w:val="00021E34"/>
    <w:rsid w:val="00022218"/>
    <w:rsid w:val="00025FD9"/>
    <w:rsid w:val="00026AA4"/>
    <w:rsid w:val="000307FB"/>
    <w:rsid w:val="00033675"/>
    <w:rsid w:val="00033B9A"/>
    <w:rsid w:val="000355DB"/>
    <w:rsid w:val="00037378"/>
    <w:rsid w:val="0004074D"/>
    <w:rsid w:val="000412DA"/>
    <w:rsid w:val="00041313"/>
    <w:rsid w:val="00042041"/>
    <w:rsid w:val="00042102"/>
    <w:rsid w:val="00042AAB"/>
    <w:rsid w:val="00043C0F"/>
    <w:rsid w:val="00045BD3"/>
    <w:rsid w:val="00046C43"/>
    <w:rsid w:val="00046E17"/>
    <w:rsid w:val="00047A8C"/>
    <w:rsid w:val="0005117B"/>
    <w:rsid w:val="00052F0A"/>
    <w:rsid w:val="00053CB5"/>
    <w:rsid w:val="00054DD4"/>
    <w:rsid w:val="00055A45"/>
    <w:rsid w:val="000563E1"/>
    <w:rsid w:val="00057C9D"/>
    <w:rsid w:val="00060020"/>
    <w:rsid w:val="000603C2"/>
    <w:rsid w:val="0006085F"/>
    <w:rsid w:val="00060AF3"/>
    <w:rsid w:val="0006139E"/>
    <w:rsid w:val="00062D72"/>
    <w:rsid w:val="00063A5F"/>
    <w:rsid w:val="00066A28"/>
    <w:rsid w:val="0006799F"/>
    <w:rsid w:val="00071674"/>
    <w:rsid w:val="00071F8E"/>
    <w:rsid w:val="00072337"/>
    <w:rsid w:val="00076997"/>
    <w:rsid w:val="00076F24"/>
    <w:rsid w:val="000812B8"/>
    <w:rsid w:val="00081EF2"/>
    <w:rsid w:val="0008273E"/>
    <w:rsid w:val="00082F3A"/>
    <w:rsid w:val="000832A1"/>
    <w:rsid w:val="000837BF"/>
    <w:rsid w:val="00083CBA"/>
    <w:rsid w:val="00085C43"/>
    <w:rsid w:val="00087F97"/>
    <w:rsid w:val="000908B5"/>
    <w:rsid w:val="00091688"/>
    <w:rsid w:val="00091B6E"/>
    <w:rsid w:val="00093897"/>
    <w:rsid w:val="000940C8"/>
    <w:rsid w:val="00094917"/>
    <w:rsid w:val="00095D10"/>
    <w:rsid w:val="000961BC"/>
    <w:rsid w:val="00096DB9"/>
    <w:rsid w:val="00096EB5"/>
    <w:rsid w:val="000A08F9"/>
    <w:rsid w:val="000A15C9"/>
    <w:rsid w:val="000A1AF3"/>
    <w:rsid w:val="000A1F52"/>
    <w:rsid w:val="000A2716"/>
    <w:rsid w:val="000A4485"/>
    <w:rsid w:val="000A53ED"/>
    <w:rsid w:val="000A7092"/>
    <w:rsid w:val="000B0846"/>
    <w:rsid w:val="000B2AB3"/>
    <w:rsid w:val="000B52E3"/>
    <w:rsid w:val="000B54FD"/>
    <w:rsid w:val="000B78D8"/>
    <w:rsid w:val="000C0325"/>
    <w:rsid w:val="000C248B"/>
    <w:rsid w:val="000C2A0F"/>
    <w:rsid w:val="000C30AF"/>
    <w:rsid w:val="000C3EC9"/>
    <w:rsid w:val="000C435D"/>
    <w:rsid w:val="000C46FF"/>
    <w:rsid w:val="000C47C8"/>
    <w:rsid w:val="000C63D0"/>
    <w:rsid w:val="000C73AE"/>
    <w:rsid w:val="000C7F8E"/>
    <w:rsid w:val="000D1643"/>
    <w:rsid w:val="000D2364"/>
    <w:rsid w:val="000D32DC"/>
    <w:rsid w:val="000D3685"/>
    <w:rsid w:val="000D3EFB"/>
    <w:rsid w:val="000D4F6B"/>
    <w:rsid w:val="000D6A88"/>
    <w:rsid w:val="000E2740"/>
    <w:rsid w:val="000E371A"/>
    <w:rsid w:val="000E6F81"/>
    <w:rsid w:val="000F01DB"/>
    <w:rsid w:val="000F0EC2"/>
    <w:rsid w:val="000F2F71"/>
    <w:rsid w:val="000F47CE"/>
    <w:rsid w:val="000F4D36"/>
    <w:rsid w:val="000F4EA8"/>
    <w:rsid w:val="000F633F"/>
    <w:rsid w:val="000F758C"/>
    <w:rsid w:val="001003C6"/>
    <w:rsid w:val="001011FA"/>
    <w:rsid w:val="00101ADC"/>
    <w:rsid w:val="001021AE"/>
    <w:rsid w:val="00102C8C"/>
    <w:rsid w:val="0010318C"/>
    <w:rsid w:val="001032D8"/>
    <w:rsid w:val="00103350"/>
    <w:rsid w:val="00104E0B"/>
    <w:rsid w:val="00105C36"/>
    <w:rsid w:val="001060AB"/>
    <w:rsid w:val="0010645D"/>
    <w:rsid w:val="0010702C"/>
    <w:rsid w:val="001105B5"/>
    <w:rsid w:val="0011072F"/>
    <w:rsid w:val="00110DE1"/>
    <w:rsid w:val="00110E14"/>
    <w:rsid w:val="0011107D"/>
    <w:rsid w:val="00113663"/>
    <w:rsid w:val="0011567D"/>
    <w:rsid w:val="00115994"/>
    <w:rsid w:val="001175A7"/>
    <w:rsid w:val="00117C61"/>
    <w:rsid w:val="00122AA6"/>
    <w:rsid w:val="00123016"/>
    <w:rsid w:val="001231D8"/>
    <w:rsid w:val="00125B40"/>
    <w:rsid w:val="00125E87"/>
    <w:rsid w:val="00127520"/>
    <w:rsid w:val="0012785A"/>
    <w:rsid w:val="001300CE"/>
    <w:rsid w:val="00132431"/>
    <w:rsid w:val="00132A3A"/>
    <w:rsid w:val="00132A8E"/>
    <w:rsid w:val="00141999"/>
    <w:rsid w:val="001423C1"/>
    <w:rsid w:val="001443FA"/>
    <w:rsid w:val="001444F5"/>
    <w:rsid w:val="00145108"/>
    <w:rsid w:val="00146310"/>
    <w:rsid w:val="0014708B"/>
    <w:rsid w:val="0015065E"/>
    <w:rsid w:val="00151C75"/>
    <w:rsid w:val="00154D86"/>
    <w:rsid w:val="00155D9D"/>
    <w:rsid w:val="00161A81"/>
    <w:rsid w:val="00163201"/>
    <w:rsid w:val="00163B72"/>
    <w:rsid w:val="00163CB9"/>
    <w:rsid w:val="00164B93"/>
    <w:rsid w:val="00165110"/>
    <w:rsid w:val="0016523C"/>
    <w:rsid w:val="001668F6"/>
    <w:rsid w:val="0016696E"/>
    <w:rsid w:val="001672B6"/>
    <w:rsid w:val="00170472"/>
    <w:rsid w:val="0017186D"/>
    <w:rsid w:val="00171E8C"/>
    <w:rsid w:val="001722F7"/>
    <w:rsid w:val="0017265B"/>
    <w:rsid w:val="00172E9C"/>
    <w:rsid w:val="00172FCD"/>
    <w:rsid w:val="001730B4"/>
    <w:rsid w:val="00173AE3"/>
    <w:rsid w:val="0017545B"/>
    <w:rsid w:val="00175E40"/>
    <w:rsid w:val="00176EBD"/>
    <w:rsid w:val="00181082"/>
    <w:rsid w:val="001831B5"/>
    <w:rsid w:val="0018396E"/>
    <w:rsid w:val="00184CF2"/>
    <w:rsid w:val="001860F2"/>
    <w:rsid w:val="001862FE"/>
    <w:rsid w:val="0018772D"/>
    <w:rsid w:val="00187C68"/>
    <w:rsid w:val="0019031C"/>
    <w:rsid w:val="0019300F"/>
    <w:rsid w:val="00193621"/>
    <w:rsid w:val="00195709"/>
    <w:rsid w:val="00195DA1"/>
    <w:rsid w:val="001A064F"/>
    <w:rsid w:val="001A1028"/>
    <w:rsid w:val="001A14A2"/>
    <w:rsid w:val="001A15A5"/>
    <w:rsid w:val="001A5CE4"/>
    <w:rsid w:val="001A7209"/>
    <w:rsid w:val="001A72FE"/>
    <w:rsid w:val="001B07E0"/>
    <w:rsid w:val="001B0F54"/>
    <w:rsid w:val="001B12AD"/>
    <w:rsid w:val="001B1991"/>
    <w:rsid w:val="001B2016"/>
    <w:rsid w:val="001B2FEF"/>
    <w:rsid w:val="001B4418"/>
    <w:rsid w:val="001B58D9"/>
    <w:rsid w:val="001C3B62"/>
    <w:rsid w:val="001C72D2"/>
    <w:rsid w:val="001D35A6"/>
    <w:rsid w:val="001D443F"/>
    <w:rsid w:val="001D5690"/>
    <w:rsid w:val="001D6926"/>
    <w:rsid w:val="001D76F4"/>
    <w:rsid w:val="001D7959"/>
    <w:rsid w:val="001E24C0"/>
    <w:rsid w:val="001E3566"/>
    <w:rsid w:val="001E459B"/>
    <w:rsid w:val="001E7F78"/>
    <w:rsid w:val="001F21CC"/>
    <w:rsid w:val="001F3E50"/>
    <w:rsid w:val="00200901"/>
    <w:rsid w:val="00200BFF"/>
    <w:rsid w:val="00200C05"/>
    <w:rsid w:val="002035EE"/>
    <w:rsid w:val="002047FC"/>
    <w:rsid w:val="00205898"/>
    <w:rsid w:val="002061C2"/>
    <w:rsid w:val="002078CF"/>
    <w:rsid w:val="00207C88"/>
    <w:rsid w:val="00210563"/>
    <w:rsid w:val="00213C13"/>
    <w:rsid w:val="00214BD7"/>
    <w:rsid w:val="00221AC2"/>
    <w:rsid w:val="00222655"/>
    <w:rsid w:val="002234FE"/>
    <w:rsid w:val="00224525"/>
    <w:rsid w:val="00224CD5"/>
    <w:rsid w:val="00224F49"/>
    <w:rsid w:val="00225377"/>
    <w:rsid w:val="00226F19"/>
    <w:rsid w:val="00227A21"/>
    <w:rsid w:val="00227B94"/>
    <w:rsid w:val="002329B2"/>
    <w:rsid w:val="00232CAE"/>
    <w:rsid w:val="002330AE"/>
    <w:rsid w:val="0023354B"/>
    <w:rsid w:val="00233C9B"/>
    <w:rsid w:val="00233CCD"/>
    <w:rsid w:val="0023497A"/>
    <w:rsid w:val="00236815"/>
    <w:rsid w:val="00240996"/>
    <w:rsid w:val="002409F5"/>
    <w:rsid w:val="0024353C"/>
    <w:rsid w:val="002437A9"/>
    <w:rsid w:val="00245476"/>
    <w:rsid w:val="00246B6D"/>
    <w:rsid w:val="00247AAF"/>
    <w:rsid w:val="002513A4"/>
    <w:rsid w:val="00252460"/>
    <w:rsid w:val="00253D26"/>
    <w:rsid w:val="00253F00"/>
    <w:rsid w:val="00254019"/>
    <w:rsid w:val="0025675D"/>
    <w:rsid w:val="00256EDA"/>
    <w:rsid w:val="00257E5B"/>
    <w:rsid w:val="00260AA6"/>
    <w:rsid w:val="00265E11"/>
    <w:rsid w:val="00273520"/>
    <w:rsid w:val="00273BD9"/>
    <w:rsid w:val="00274B25"/>
    <w:rsid w:val="00277266"/>
    <w:rsid w:val="00277651"/>
    <w:rsid w:val="002804E4"/>
    <w:rsid w:val="00284802"/>
    <w:rsid w:val="0028665C"/>
    <w:rsid w:val="00286D6E"/>
    <w:rsid w:val="00290209"/>
    <w:rsid w:val="00290862"/>
    <w:rsid w:val="0029274B"/>
    <w:rsid w:val="00292C19"/>
    <w:rsid w:val="0029353F"/>
    <w:rsid w:val="00293EF9"/>
    <w:rsid w:val="00296FCB"/>
    <w:rsid w:val="002A01E2"/>
    <w:rsid w:val="002A0735"/>
    <w:rsid w:val="002A1D36"/>
    <w:rsid w:val="002A27D9"/>
    <w:rsid w:val="002A33AF"/>
    <w:rsid w:val="002B1423"/>
    <w:rsid w:val="002B1FBD"/>
    <w:rsid w:val="002B5EDA"/>
    <w:rsid w:val="002C1D67"/>
    <w:rsid w:val="002C24C4"/>
    <w:rsid w:val="002C3936"/>
    <w:rsid w:val="002C3C68"/>
    <w:rsid w:val="002C43AF"/>
    <w:rsid w:val="002C565E"/>
    <w:rsid w:val="002C6B88"/>
    <w:rsid w:val="002D1256"/>
    <w:rsid w:val="002D349B"/>
    <w:rsid w:val="002D3D09"/>
    <w:rsid w:val="002D3E51"/>
    <w:rsid w:val="002D637B"/>
    <w:rsid w:val="002E1936"/>
    <w:rsid w:val="002E461B"/>
    <w:rsid w:val="002E4FCB"/>
    <w:rsid w:val="002E768E"/>
    <w:rsid w:val="002E7919"/>
    <w:rsid w:val="002F00BD"/>
    <w:rsid w:val="002F06B1"/>
    <w:rsid w:val="002F1D9E"/>
    <w:rsid w:val="002F3F5C"/>
    <w:rsid w:val="002F49B8"/>
    <w:rsid w:val="002F4DD6"/>
    <w:rsid w:val="002F574B"/>
    <w:rsid w:val="0030240F"/>
    <w:rsid w:val="00303ADB"/>
    <w:rsid w:val="0030462B"/>
    <w:rsid w:val="003048BC"/>
    <w:rsid w:val="00305745"/>
    <w:rsid w:val="003067FC"/>
    <w:rsid w:val="003068B6"/>
    <w:rsid w:val="0031000D"/>
    <w:rsid w:val="00311E3C"/>
    <w:rsid w:val="00312427"/>
    <w:rsid w:val="0031511A"/>
    <w:rsid w:val="0031595C"/>
    <w:rsid w:val="00315ABD"/>
    <w:rsid w:val="00316353"/>
    <w:rsid w:val="003175D4"/>
    <w:rsid w:val="00320835"/>
    <w:rsid w:val="003209A0"/>
    <w:rsid w:val="003209CF"/>
    <w:rsid w:val="00322055"/>
    <w:rsid w:val="003223E2"/>
    <w:rsid w:val="00322C11"/>
    <w:rsid w:val="00323A1D"/>
    <w:rsid w:val="00324DED"/>
    <w:rsid w:val="003255A6"/>
    <w:rsid w:val="00326662"/>
    <w:rsid w:val="003269A8"/>
    <w:rsid w:val="00327337"/>
    <w:rsid w:val="0033000B"/>
    <w:rsid w:val="00330E00"/>
    <w:rsid w:val="0033382F"/>
    <w:rsid w:val="0033391B"/>
    <w:rsid w:val="00333C83"/>
    <w:rsid w:val="00334792"/>
    <w:rsid w:val="00334FB8"/>
    <w:rsid w:val="003351BC"/>
    <w:rsid w:val="003352D7"/>
    <w:rsid w:val="00337448"/>
    <w:rsid w:val="00337A0E"/>
    <w:rsid w:val="003400B9"/>
    <w:rsid w:val="00342DF1"/>
    <w:rsid w:val="00342EB6"/>
    <w:rsid w:val="00343A17"/>
    <w:rsid w:val="00344481"/>
    <w:rsid w:val="00345E19"/>
    <w:rsid w:val="00347007"/>
    <w:rsid w:val="00347AAA"/>
    <w:rsid w:val="00347C94"/>
    <w:rsid w:val="0035039A"/>
    <w:rsid w:val="00350E6C"/>
    <w:rsid w:val="003546B2"/>
    <w:rsid w:val="00355797"/>
    <w:rsid w:val="003560AF"/>
    <w:rsid w:val="0035730C"/>
    <w:rsid w:val="003604E6"/>
    <w:rsid w:val="003618BF"/>
    <w:rsid w:val="00362329"/>
    <w:rsid w:val="00363285"/>
    <w:rsid w:val="00363F1A"/>
    <w:rsid w:val="00364321"/>
    <w:rsid w:val="003652F9"/>
    <w:rsid w:val="00367306"/>
    <w:rsid w:val="003709E4"/>
    <w:rsid w:val="0037172A"/>
    <w:rsid w:val="003738DE"/>
    <w:rsid w:val="00374B46"/>
    <w:rsid w:val="0037534E"/>
    <w:rsid w:val="003753C2"/>
    <w:rsid w:val="0038415F"/>
    <w:rsid w:val="003844F0"/>
    <w:rsid w:val="00384CE3"/>
    <w:rsid w:val="003855C0"/>
    <w:rsid w:val="00385657"/>
    <w:rsid w:val="00390AC0"/>
    <w:rsid w:val="00391F27"/>
    <w:rsid w:val="003953C5"/>
    <w:rsid w:val="0039564C"/>
    <w:rsid w:val="00395CA9"/>
    <w:rsid w:val="00395FDA"/>
    <w:rsid w:val="00396CD4"/>
    <w:rsid w:val="00396CEA"/>
    <w:rsid w:val="003A136F"/>
    <w:rsid w:val="003A14A9"/>
    <w:rsid w:val="003A1547"/>
    <w:rsid w:val="003A218C"/>
    <w:rsid w:val="003A3341"/>
    <w:rsid w:val="003A4483"/>
    <w:rsid w:val="003A57C9"/>
    <w:rsid w:val="003A7453"/>
    <w:rsid w:val="003A7B4E"/>
    <w:rsid w:val="003B0287"/>
    <w:rsid w:val="003B06DB"/>
    <w:rsid w:val="003B12B4"/>
    <w:rsid w:val="003B1BF2"/>
    <w:rsid w:val="003B43FA"/>
    <w:rsid w:val="003B75AB"/>
    <w:rsid w:val="003B7E24"/>
    <w:rsid w:val="003B7F78"/>
    <w:rsid w:val="003C033B"/>
    <w:rsid w:val="003C12B3"/>
    <w:rsid w:val="003C2EDD"/>
    <w:rsid w:val="003C3D49"/>
    <w:rsid w:val="003C57ED"/>
    <w:rsid w:val="003C6C45"/>
    <w:rsid w:val="003D1FD8"/>
    <w:rsid w:val="003D364C"/>
    <w:rsid w:val="003D505E"/>
    <w:rsid w:val="003D59B1"/>
    <w:rsid w:val="003D6B5B"/>
    <w:rsid w:val="003D7731"/>
    <w:rsid w:val="003E3DB7"/>
    <w:rsid w:val="003E462E"/>
    <w:rsid w:val="003E4BA9"/>
    <w:rsid w:val="003E6701"/>
    <w:rsid w:val="003F1FA4"/>
    <w:rsid w:val="003F4236"/>
    <w:rsid w:val="003F4AC1"/>
    <w:rsid w:val="003F4D7E"/>
    <w:rsid w:val="003F628B"/>
    <w:rsid w:val="003F673D"/>
    <w:rsid w:val="004013A0"/>
    <w:rsid w:val="00401D32"/>
    <w:rsid w:val="004021A2"/>
    <w:rsid w:val="004027C7"/>
    <w:rsid w:val="0040373E"/>
    <w:rsid w:val="004038D0"/>
    <w:rsid w:val="00403A51"/>
    <w:rsid w:val="00403B4E"/>
    <w:rsid w:val="00404CB8"/>
    <w:rsid w:val="00406941"/>
    <w:rsid w:val="004112E0"/>
    <w:rsid w:val="00413DA7"/>
    <w:rsid w:val="004149C3"/>
    <w:rsid w:val="00424B9F"/>
    <w:rsid w:val="00425447"/>
    <w:rsid w:val="004256C1"/>
    <w:rsid w:val="00426BFD"/>
    <w:rsid w:val="00427F73"/>
    <w:rsid w:val="004318D5"/>
    <w:rsid w:val="00433253"/>
    <w:rsid w:val="004342BE"/>
    <w:rsid w:val="004346BC"/>
    <w:rsid w:val="004359D3"/>
    <w:rsid w:val="00436A04"/>
    <w:rsid w:val="00436F9C"/>
    <w:rsid w:val="004376B4"/>
    <w:rsid w:val="0044105F"/>
    <w:rsid w:val="00441573"/>
    <w:rsid w:val="00442309"/>
    <w:rsid w:val="004432C9"/>
    <w:rsid w:val="00443387"/>
    <w:rsid w:val="004467D8"/>
    <w:rsid w:val="00447792"/>
    <w:rsid w:val="00450CAE"/>
    <w:rsid w:val="00451118"/>
    <w:rsid w:val="004515BB"/>
    <w:rsid w:val="00451CC2"/>
    <w:rsid w:val="004538DF"/>
    <w:rsid w:val="004618D9"/>
    <w:rsid w:val="004650A3"/>
    <w:rsid w:val="00470E99"/>
    <w:rsid w:val="00472320"/>
    <w:rsid w:val="00472E98"/>
    <w:rsid w:val="00473232"/>
    <w:rsid w:val="004753F4"/>
    <w:rsid w:val="004756B4"/>
    <w:rsid w:val="00476113"/>
    <w:rsid w:val="00476A30"/>
    <w:rsid w:val="00480584"/>
    <w:rsid w:val="00480E20"/>
    <w:rsid w:val="00483B02"/>
    <w:rsid w:val="00484987"/>
    <w:rsid w:val="00485DF5"/>
    <w:rsid w:val="00486D3B"/>
    <w:rsid w:val="00486E31"/>
    <w:rsid w:val="00490052"/>
    <w:rsid w:val="00490A16"/>
    <w:rsid w:val="00490FCF"/>
    <w:rsid w:val="004914D4"/>
    <w:rsid w:val="00491E77"/>
    <w:rsid w:val="0049566A"/>
    <w:rsid w:val="00497B61"/>
    <w:rsid w:val="00497F80"/>
    <w:rsid w:val="004A0C56"/>
    <w:rsid w:val="004A1805"/>
    <w:rsid w:val="004A6B72"/>
    <w:rsid w:val="004A6E50"/>
    <w:rsid w:val="004A740B"/>
    <w:rsid w:val="004A760E"/>
    <w:rsid w:val="004B029F"/>
    <w:rsid w:val="004B070F"/>
    <w:rsid w:val="004B2065"/>
    <w:rsid w:val="004B20B7"/>
    <w:rsid w:val="004B2376"/>
    <w:rsid w:val="004B3CFB"/>
    <w:rsid w:val="004B4DBE"/>
    <w:rsid w:val="004B5442"/>
    <w:rsid w:val="004B683E"/>
    <w:rsid w:val="004B696A"/>
    <w:rsid w:val="004C47E9"/>
    <w:rsid w:val="004C4FA3"/>
    <w:rsid w:val="004C6081"/>
    <w:rsid w:val="004C69AE"/>
    <w:rsid w:val="004C6C92"/>
    <w:rsid w:val="004D1254"/>
    <w:rsid w:val="004D15D8"/>
    <w:rsid w:val="004D2DC1"/>
    <w:rsid w:val="004D4F91"/>
    <w:rsid w:val="004D62F8"/>
    <w:rsid w:val="004D64F6"/>
    <w:rsid w:val="004D75E7"/>
    <w:rsid w:val="004D7F9D"/>
    <w:rsid w:val="004D7FAA"/>
    <w:rsid w:val="004E03B4"/>
    <w:rsid w:val="004E07D0"/>
    <w:rsid w:val="004E0DA8"/>
    <w:rsid w:val="004E2144"/>
    <w:rsid w:val="004E2A41"/>
    <w:rsid w:val="004E3760"/>
    <w:rsid w:val="004E5047"/>
    <w:rsid w:val="004E5206"/>
    <w:rsid w:val="004E5E4D"/>
    <w:rsid w:val="004F2547"/>
    <w:rsid w:val="004F2611"/>
    <w:rsid w:val="004F2743"/>
    <w:rsid w:val="004F387E"/>
    <w:rsid w:val="004F7CD8"/>
    <w:rsid w:val="00500B9A"/>
    <w:rsid w:val="005019E5"/>
    <w:rsid w:val="00501DDA"/>
    <w:rsid w:val="005029C9"/>
    <w:rsid w:val="005032AC"/>
    <w:rsid w:val="005047D8"/>
    <w:rsid w:val="00505014"/>
    <w:rsid w:val="005107CF"/>
    <w:rsid w:val="0051341B"/>
    <w:rsid w:val="00513885"/>
    <w:rsid w:val="00514333"/>
    <w:rsid w:val="00514A7E"/>
    <w:rsid w:val="00514E3F"/>
    <w:rsid w:val="00522752"/>
    <w:rsid w:val="00522885"/>
    <w:rsid w:val="005244A7"/>
    <w:rsid w:val="00524572"/>
    <w:rsid w:val="005303A5"/>
    <w:rsid w:val="00530A8D"/>
    <w:rsid w:val="00531BA0"/>
    <w:rsid w:val="00532537"/>
    <w:rsid w:val="00533429"/>
    <w:rsid w:val="00535656"/>
    <w:rsid w:val="005366E1"/>
    <w:rsid w:val="00536E28"/>
    <w:rsid w:val="00540EAD"/>
    <w:rsid w:val="00543438"/>
    <w:rsid w:val="005437D9"/>
    <w:rsid w:val="00544331"/>
    <w:rsid w:val="00552FD8"/>
    <w:rsid w:val="00554EDB"/>
    <w:rsid w:val="005559F8"/>
    <w:rsid w:val="005571C9"/>
    <w:rsid w:val="0056059A"/>
    <w:rsid w:val="005616FD"/>
    <w:rsid w:val="00562044"/>
    <w:rsid w:val="0056391C"/>
    <w:rsid w:val="005643E8"/>
    <w:rsid w:val="00566714"/>
    <w:rsid w:val="00567CCA"/>
    <w:rsid w:val="00567D2E"/>
    <w:rsid w:val="00567E83"/>
    <w:rsid w:val="0057019E"/>
    <w:rsid w:val="00570C05"/>
    <w:rsid w:val="005711A7"/>
    <w:rsid w:val="00572284"/>
    <w:rsid w:val="005723DC"/>
    <w:rsid w:val="00572C86"/>
    <w:rsid w:val="005735F3"/>
    <w:rsid w:val="00573FA9"/>
    <w:rsid w:val="005752A2"/>
    <w:rsid w:val="005756D4"/>
    <w:rsid w:val="005757D8"/>
    <w:rsid w:val="00576A74"/>
    <w:rsid w:val="00583A15"/>
    <w:rsid w:val="00583CF7"/>
    <w:rsid w:val="00585AB4"/>
    <w:rsid w:val="005861AE"/>
    <w:rsid w:val="005868DF"/>
    <w:rsid w:val="005871DC"/>
    <w:rsid w:val="00590498"/>
    <w:rsid w:val="00592F2B"/>
    <w:rsid w:val="0059421F"/>
    <w:rsid w:val="005946BB"/>
    <w:rsid w:val="0059535D"/>
    <w:rsid w:val="00597B5B"/>
    <w:rsid w:val="005A323C"/>
    <w:rsid w:val="005A3F2C"/>
    <w:rsid w:val="005B0518"/>
    <w:rsid w:val="005B08BE"/>
    <w:rsid w:val="005B15A8"/>
    <w:rsid w:val="005B1F24"/>
    <w:rsid w:val="005B2AA0"/>
    <w:rsid w:val="005B3EFC"/>
    <w:rsid w:val="005B49C3"/>
    <w:rsid w:val="005C0C81"/>
    <w:rsid w:val="005C113C"/>
    <w:rsid w:val="005C407E"/>
    <w:rsid w:val="005C475F"/>
    <w:rsid w:val="005D1830"/>
    <w:rsid w:val="005D22D4"/>
    <w:rsid w:val="005D462A"/>
    <w:rsid w:val="005D5D2C"/>
    <w:rsid w:val="005D6E50"/>
    <w:rsid w:val="005E0E8B"/>
    <w:rsid w:val="005E1170"/>
    <w:rsid w:val="005E3A50"/>
    <w:rsid w:val="005E411D"/>
    <w:rsid w:val="005E44C2"/>
    <w:rsid w:val="005E715F"/>
    <w:rsid w:val="005F16F1"/>
    <w:rsid w:val="005F2143"/>
    <w:rsid w:val="005F32DF"/>
    <w:rsid w:val="005F3FE2"/>
    <w:rsid w:val="005F55D6"/>
    <w:rsid w:val="005F5649"/>
    <w:rsid w:val="005F6194"/>
    <w:rsid w:val="005F7031"/>
    <w:rsid w:val="005F79EC"/>
    <w:rsid w:val="006011CD"/>
    <w:rsid w:val="00601AA5"/>
    <w:rsid w:val="00603871"/>
    <w:rsid w:val="00603E98"/>
    <w:rsid w:val="006060D6"/>
    <w:rsid w:val="00606568"/>
    <w:rsid w:val="00607D2F"/>
    <w:rsid w:val="006106C0"/>
    <w:rsid w:val="00610FC6"/>
    <w:rsid w:val="006126E9"/>
    <w:rsid w:val="00614AAE"/>
    <w:rsid w:val="0061564D"/>
    <w:rsid w:val="00615889"/>
    <w:rsid w:val="00615A3A"/>
    <w:rsid w:val="00617F15"/>
    <w:rsid w:val="00620826"/>
    <w:rsid w:val="00621AA5"/>
    <w:rsid w:val="00621B28"/>
    <w:rsid w:val="0062210C"/>
    <w:rsid w:val="00623294"/>
    <w:rsid w:val="00623457"/>
    <w:rsid w:val="006254F8"/>
    <w:rsid w:val="00626D6C"/>
    <w:rsid w:val="00627A6F"/>
    <w:rsid w:val="00627CD3"/>
    <w:rsid w:val="006330C0"/>
    <w:rsid w:val="006331EC"/>
    <w:rsid w:val="00635810"/>
    <w:rsid w:val="00635A66"/>
    <w:rsid w:val="00637F8A"/>
    <w:rsid w:val="00640A68"/>
    <w:rsid w:val="00640E3C"/>
    <w:rsid w:val="0064195C"/>
    <w:rsid w:val="0064310F"/>
    <w:rsid w:val="00643ED3"/>
    <w:rsid w:val="006452C6"/>
    <w:rsid w:val="00647E08"/>
    <w:rsid w:val="00652FBF"/>
    <w:rsid w:val="0065369E"/>
    <w:rsid w:val="00653A97"/>
    <w:rsid w:val="00653B3F"/>
    <w:rsid w:val="00657389"/>
    <w:rsid w:val="00657BD8"/>
    <w:rsid w:val="006617ED"/>
    <w:rsid w:val="0066199D"/>
    <w:rsid w:val="00662857"/>
    <w:rsid w:val="00662B43"/>
    <w:rsid w:val="00662C6F"/>
    <w:rsid w:val="00662CFA"/>
    <w:rsid w:val="00664F22"/>
    <w:rsid w:val="0066570C"/>
    <w:rsid w:val="006658D0"/>
    <w:rsid w:val="00665FEA"/>
    <w:rsid w:val="0066755B"/>
    <w:rsid w:val="00671A38"/>
    <w:rsid w:val="00672DBC"/>
    <w:rsid w:val="006737B9"/>
    <w:rsid w:val="006747DD"/>
    <w:rsid w:val="0067529E"/>
    <w:rsid w:val="00677C69"/>
    <w:rsid w:val="00682EDF"/>
    <w:rsid w:val="0068414C"/>
    <w:rsid w:val="00684331"/>
    <w:rsid w:val="0068734F"/>
    <w:rsid w:val="00687F18"/>
    <w:rsid w:val="006900E6"/>
    <w:rsid w:val="00691258"/>
    <w:rsid w:val="00692235"/>
    <w:rsid w:val="00694AE0"/>
    <w:rsid w:val="006952B8"/>
    <w:rsid w:val="006953A6"/>
    <w:rsid w:val="00696213"/>
    <w:rsid w:val="006965D5"/>
    <w:rsid w:val="006A0012"/>
    <w:rsid w:val="006A3AA5"/>
    <w:rsid w:val="006A5352"/>
    <w:rsid w:val="006A5517"/>
    <w:rsid w:val="006A6928"/>
    <w:rsid w:val="006A7623"/>
    <w:rsid w:val="006B0D84"/>
    <w:rsid w:val="006B0F9E"/>
    <w:rsid w:val="006B11BD"/>
    <w:rsid w:val="006B15C5"/>
    <w:rsid w:val="006B41A0"/>
    <w:rsid w:val="006B43CE"/>
    <w:rsid w:val="006B5D36"/>
    <w:rsid w:val="006B6346"/>
    <w:rsid w:val="006B6858"/>
    <w:rsid w:val="006B6CCB"/>
    <w:rsid w:val="006B6CF2"/>
    <w:rsid w:val="006B7D4D"/>
    <w:rsid w:val="006C0640"/>
    <w:rsid w:val="006C2A13"/>
    <w:rsid w:val="006C36A3"/>
    <w:rsid w:val="006C479D"/>
    <w:rsid w:val="006C5401"/>
    <w:rsid w:val="006C56B2"/>
    <w:rsid w:val="006C7443"/>
    <w:rsid w:val="006C75D2"/>
    <w:rsid w:val="006D0C96"/>
    <w:rsid w:val="006D12BB"/>
    <w:rsid w:val="006D1936"/>
    <w:rsid w:val="006D4826"/>
    <w:rsid w:val="006D4B9B"/>
    <w:rsid w:val="006D65BB"/>
    <w:rsid w:val="006D7E69"/>
    <w:rsid w:val="006E1097"/>
    <w:rsid w:val="006E322D"/>
    <w:rsid w:val="006E4CA5"/>
    <w:rsid w:val="006E6735"/>
    <w:rsid w:val="006E6A18"/>
    <w:rsid w:val="006E6CEF"/>
    <w:rsid w:val="006E752F"/>
    <w:rsid w:val="006F1A58"/>
    <w:rsid w:val="006F2DEE"/>
    <w:rsid w:val="006F317B"/>
    <w:rsid w:val="006F422F"/>
    <w:rsid w:val="006F7643"/>
    <w:rsid w:val="00700561"/>
    <w:rsid w:val="00701E56"/>
    <w:rsid w:val="00702269"/>
    <w:rsid w:val="00704228"/>
    <w:rsid w:val="00705F60"/>
    <w:rsid w:val="00710665"/>
    <w:rsid w:val="0071085E"/>
    <w:rsid w:val="00710E00"/>
    <w:rsid w:val="00711357"/>
    <w:rsid w:val="0071177B"/>
    <w:rsid w:val="00711C2A"/>
    <w:rsid w:val="007148A5"/>
    <w:rsid w:val="00714B02"/>
    <w:rsid w:val="00714CBE"/>
    <w:rsid w:val="00716D99"/>
    <w:rsid w:val="00720A2A"/>
    <w:rsid w:val="00721D41"/>
    <w:rsid w:val="00722053"/>
    <w:rsid w:val="0072243F"/>
    <w:rsid w:val="00722913"/>
    <w:rsid w:val="007242C5"/>
    <w:rsid w:val="0072479A"/>
    <w:rsid w:val="00724D92"/>
    <w:rsid w:val="00725C74"/>
    <w:rsid w:val="007277A5"/>
    <w:rsid w:val="007279A8"/>
    <w:rsid w:val="0073087E"/>
    <w:rsid w:val="00730D18"/>
    <w:rsid w:val="007324AD"/>
    <w:rsid w:val="00733A52"/>
    <w:rsid w:val="007346A5"/>
    <w:rsid w:val="00736CD7"/>
    <w:rsid w:val="00737FF8"/>
    <w:rsid w:val="00742C17"/>
    <w:rsid w:val="00743496"/>
    <w:rsid w:val="00743AEF"/>
    <w:rsid w:val="00744AAB"/>
    <w:rsid w:val="00751771"/>
    <w:rsid w:val="0075270C"/>
    <w:rsid w:val="00755EE7"/>
    <w:rsid w:val="00757005"/>
    <w:rsid w:val="007723D4"/>
    <w:rsid w:val="00773AE7"/>
    <w:rsid w:val="00774339"/>
    <w:rsid w:val="0077444F"/>
    <w:rsid w:val="00774F1E"/>
    <w:rsid w:val="007767AF"/>
    <w:rsid w:val="00776E20"/>
    <w:rsid w:val="0078021B"/>
    <w:rsid w:val="0078042C"/>
    <w:rsid w:val="00780BAD"/>
    <w:rsid w:val="00780C50"/>
    <w:rsid w:val="00780D34"/>
    <w:rsid w:val="00781574"/>
    <w:rsid w:val="00783838"/>
    <w:rsid w:val="0078600E"/>
    <w:rsid w:val="00786EF4"/>
    <w:rsid w:val="007903C5"/>
    <w:rsid w:val="00791AD9"/>
    <w:rsid w:val="00793B80"/>
    <w:rsid w:val="00796E02"/>
    <w:rsid w:val="00796E4C"/>
    <w:rsid w:val="007A0327"/>
    <w:rsid w:val="007A0EDA"/>
    <w:rsid w:val="007A0F91"/>
    <w:rsid w:val="007A16F4"/>
    <w:rsid w:val="007A23F7"/>
    <w:rsid w:val="007A47E9"/>
    <w:rsid w:val="007A6C63"/>
    <w:rsid w:val="007A77BF"/>
    <w:rsid w:val="007B09FF"/>
    <w:rsid w:val="007B139A"/>
    <w:rsid w:val="007B2D7B"/>
    <w:rsid w:val="007B2EEC"/>
    <w:rsid w:val="007B3529"/>
    <w:rsid w:val="007B41BD"/>
    <w:rsid w:val="007B649D"/>
    <w:rsid w:val="007C0E33"/>
    <w:rsid w:val="007C22A6"/>
    <w:rsid w:val="007C22DE"/>
    <w:rsid w:val="007C2B8C"/>
    <w:rsid w:val="007C6E56"/>
    <w:rsid w:val="007C6EF7"/>
    <w:rsid w:val="007C7E60"/>
    <w:rsid w:val="007D1964"/>
    <w:rsid w:val="007D2AD8"/>
    <w:rsid w:val="007D5081"/>
    <w:rsid w:val="007E0953"/>
    <w:rsid w:val="007E120D"/>
    <w:rsid w:val="007E4B0D"/>
    <w:rsid w:val="007E508F"/>
    <w:rsid w:val="007E6782"/>
    <w:rsid w:val="007E77AE"/>
    <w:rsid w:val="007E7B0A"/>
    <w:rsid w:val="007F070C"/>
    <w:rsid w:val="007F2414"/>
    <w:rsid w:val="007F38B9"/>
    <w:rsid w:val="007F4CD9"/>
    <w:rsid w:val="007F684B"/>
    <w:rsid w:val="007F6D73"/>
    <w:rsid w:val="007F768E"/>
    <w:rsid w:val="008016A6"/>
    <w:rsid w:val="00801CC4"/>
    <w:rsid w:val="00803F3A"/>
    <w:rsid w:val="00804262"/>
    <w:rsid w:val="00805794"/>
    <w:rsid w:val="00805DC7"/>
    <w:rsid w:val="00806B94"/>
    <w:rsid w:val="008079DB"/>
    <w:rsid w:val="00810DB3"/>
    <w:rsid w:val="00814291"/>
    <w:rsid w:val="00815648"/>
    <w:rsid w:val="00815DAD"/>
    <w:rsid w:val="008219D2"/>
    <w:rsid w:val="00823DB9"/>
    <w:rsid w:val="008245B5"/>
    <w:rsid w:val="00825248"/>
    <w:rsid w:val="008253D6"/>
    <w:rsid w:val="00826008"/>
    <w:rsid w:val="00826A3B"/>
    <w:rsid w:val="00831487"/>
    <w:rsid w:val="00832AC1"/>
    <w:rsid w:val="00832DDC"/>
    <w:rsid w:val="00834EFA"/>
    <w:rsid w:val="008363D8"/>
    <w:rsid w:val="00836799"/>
    <w:rsid w:val="008377C9"/>
    <w:rsid w:val="008401DD"/>
    <w:rsid w:val="00841624"/>
    <w:rsid w:val="008420E7"/>
    <w:rsid w:val="00843D63"/>
    <w:rsid w:val="008450AE"/>
    <w:rsid w:val="00845B02"/>
    <w:rsid w:val="00845DF6"/>
    <w:rsid w:val="0084622B"/>
    <w:rsid w:val="008510C5"/>
    <w:rsid w:val="008524B4"/>
    <w:rsid w:val="008526E5"/>
    <w:rsid w:val="00852E3E"/>
    <w:rsid w:val="00852F61"/>
    <w:rsid w:val="008537EA"/>
    <w:rsid w:val="00854D5C"/>
    <w:rsid w:val="00856702"/>
    <w:rsid w:val="00861258"/>
    <w:rsid w:val="00862B9F"/>
    <w:rsid w:val="00865555"/>
    <w:rsid w:val="00865F61"/>
    <w:rsid w:val="008663FB"/>
    <w:rsid w:val="00866B39"/>
    <w:rsid w:val="00866D76"/>
    <w:rsid w:val="00867FF5"/>
    <w:rsid w:val="00870D63"/>
    <w:rsid w:val="0087391E"/>
    <w:rsid w:val="008764C1"/>
    <w:rsid w:val="00877095"/>
    <w:rsid w:val="008811AC"/>
    <w:rsid w:val="00881634"/>
    <w:rsid w:val="00883471"/>
    <w:rsid w:val="008842D0"/>
    <w:rsid w:val="00884643"/>
    <w:rsid w:val="008853F8"/>
    <w:rsid w:val="008860EE"/>
    <w:rsid w:val="008861A4"/>
    <w:rsid w:val="008870FB"/>
    <w:rsid w:val="00890860"/>
    <w:rsid w:val="00890D08"/>
    <w:rsid w:val="00893678"/>
    <w:rsid w:val="00894463"/>
    <w:rsid w:val="00894B89"/>
    <w:rsid w:val="00895C8B"/>
    <w:rsid w:val="0089726D"/>
    <w:rsid w:val="008A2597"/>
    <w:rsid w:val="008A38FB"/>
    <w:rsid w:val="008A3F1D"/>
    <w:rsid w:val="008A4DBC"/>
    <w:rsid w:val="008A59E3"/>
    <w:rsid w:val="008A5B32"/>
    <w:rsid w:val="008A5CBC"/>
    <w:rsid w:val="008A6BCE"/>
    <w:rsid w:val="008B15B5"/>
    <w:rsid w:val="008B1BA6"/>
    <w:rsid w:val="008B234F"/>
    <w:rsid w:val="008B2902"/>
    <w:rsid w:val="008B347D"/>
    <w:rsid w:val="008B5153"/>
    <w:rsid w:val="008B719E"/>
    <w:rsid w:val="008B790E"/>
    <w:rsid w:val="008BB63F"/>
    <w:rsid w:val="008C0495"/>
    <w:rsid w:val="008C149C"/>
    <w:rsid w:val="008C254C"/>
    <w:rsid w:val="008C5AAC"/>
    <w:rsid w:val="008C70F3"/>
    <w:rsid w:val="008D0A85"/>
    <w:rsid w:val="008D26DC"/>
    <w:rsid w:val="008D2982"/>
    <w:rsid w:val="008D2F13"/>
    <w:rsid w:val="008E1849"/>
    <w:rsid w:val="008E49A6"/>
    <w:rsid w:val="008F0EB6"/>
    <w:rsid w:val="008F2405"/>
    <w:rsid w:val="008F30A0"/>
    <w:rsid w:val="008F3C6A"/>
    <w:rsid w:val="008F6AA0"/>
    <w:rsid w:val="008F6CA2"/>
    <w:rsid w:val="008F6CD7"/>
    <w:rsid w:val="008F7727"/>
    <w:rsid w:val="008F7B20"/>
    <w:rsid w:val="008F7DFB"/>
    <w:rsid w:val="00901DD0"/>
    <w:rsid w:val="009040A9"/>
    <w:rsid w:val="009048FE"/>
    <w:rsid w:val="00905051"/>
    <w:rsid w:val="00905460"/>
    <w:rsid w:val="009071F0"/>
    <w:rsid w:val="00907544"/>
    <w:rsid w:val="00911278"/>
    <w:rsid w:val="0091191B"/>
    <w:rsid w:val="00912C2B"/>
    <w:rsid w:val="00914CCF"/>
    <w:rsid w:val="009166D8"/>
    <w:rsid w:val="00917237"/>
    <w:rsid w:val="009200F2"/>
    <w:rsid w:val="00920C25"/>
    <w:rsid w:val="00921B0F"/>
    <w:rsid w:val="0092343C"/>
    <w:rsid w:val="00926AFE"/>
    <w:rsid w:val="00927970"/>
    <w:rsid w:val="0093002D"/>
    <w:rsid w:val="009300E1"/>
    <w:rsid w:val="00934740"/>
    <w:rsid w:val="009359DA"/>
    <w:rsid w:val="00935CAE"/>
    <w:rsid w:val="00936845"/>
    <w:rsid w:val="00937891"/>
    <w:rsid w:val="00942461"/>
    <w:rsid w:val="00943535"/>
    <w:rsid w:val="009441EB"/>
    <w:rsid w:val="00944C21"/>
    <w:rsid w:val="00945EC8"/>
    <w:rsid w:val="009463D0"/>
    <w:rsid w:val="0095048C"/>
    <w:rsid w:val="00950549"/>
    <w:rsid w:val="009508EE"/>
    <w:rsid w:val="009534C4"/>
    <w:rsid w:val="009543A7"/>
    <w:rsid w:val="00955492"/>
    <w:rsid w:val="00956F18"/>
    <w:rsid w:val="00960E68"/>
    <w:rsid w:val="00962DD6"/>
    <w:rsid w:val="00965B23"/>
    <w:rsid w:val="00966230"/>
    <w:rsid w:val="00966B6D"/>
    <w:rsid w:val="0096771E"/>
    <w:rsid w:val="00967FC7"/>
    <w:rsid w:val="009701B8"/>
    <w:rsid w:val="00970B21"/>
    <w:rsid w:val="00970F5B"/>
    <w:rsid w:val="00973FB0"/>
    <w:rsid w:val="009743EE"/>
    <w:rsid w:val="00980F7A"/>
    <w:rsid w:val="0098358E"/>
    <w:rsid w:val="009835A9"/>
    <w:rsid w:val="00983610"/>
    <w:rsid w:val="00983865"/>
    <w:rsid w:val="00983CC9"/>
    <w:rsid w:val="00984059"/>
    <w:rsid w:val="0098464A"/>
    <w:rsid w:val="00985B8B"/>
    <w:rsid w:val="009872EE"/>
    <w:rsid w:val="009878B5"/>
    <w:rsid w:val="0099044D"/>
    <w:rsid w:val="0099367F"/>
    <w:rsid w:val="0099534C"/>
    <w:rsid w:val="009953CB"/>
    <w:rsid w:val="00996CF5"/>
    <w:rsid w:val="009A1007"/>
    <w:rsid w:val="009A29B8"/>
    <w:rsid w:val="009A3A29"/>
    <w:rsid w:val="009A3DBE"/>
    <w:rsid w:val="009A4968"/>
    <w:rsid w:val="009A6384"/>
    <w:rsid w:val="009A6903"/>
    <w:rsid w:val="009A7EC7"/>
    <w:rsid w:val="009B3F96"/>
    <w:rsid w:val="009B67C4"/>
    <w:rsid w:val="009B6A31"/>
    <w:rsid w:val="009B6C3E"/>
    <w:rsid w:val="009B6D54"/>
    <w:rsid w:val="009B7314"/>
    <w:rsid w:val="009B7640"/>
    <w:rsid w:val="009C09AF"/>
    <w:rsid w:val="009C2892"/>
    <w:rsid w:val="009C378A"/>
    <w:rsid w:val="009C3B15"/>
    <w:rsid w:val="009C3B97"/>
    <w:rsid w:val="009C3F60"/>
    <w:rsid w:val="009C6323"/>
    <w:rsid w:val="009D0908"/>
    <w:rsid w:val="009D0D52"/>
    <w:rsid w:val="009D3091"/>
    <w:rsid w:val="009D340E"/>
    <w:rsid w:val="009D5886"/>
    <w:rsid w:val="009D5C18"/>
    <w:rsid w:val="009D6854"/>
    <w:rsid w:val="009D6ED5"/>
    <w:rsid w:val="009E4318"/>
    <w:rsid w:val="009E48C2"/>
    <w:rsid w:val="009E4F77"/>
    <w:rsid w:val="009E56AE"/>
    <w:rsid w:val="009E5731"/>
    <w:rsid w:val="009E57DC"/>
    <w:rsid w:val="009E58A3"/>
    <w:rsid w:val="009E5C68"/>
    <w:rsid w:val="009E6C47"/>
    <w:rsid w:val="009F0792"/>
    <w:rsid w:val="009F0859"/>
    <w:rsid w:val="009F19DB"/>
    <w:rsid w:val="009F2A1D"/>
    <w:rsid w:val="009F3998"/>
    <w:rsid w:val="009F420B"/>
    <w:rsid w:val="009F5466"/>
    <w:rsid w:val="009F5D32"/>
    <w:rsid w:val="009F61C3"/>
    <w:rsid w:val="009F7D12"/>
    <w:rsid w:val="00A0003C"/>
    <w:rsid w:val="00A005CA"/>
    <w:rsid w:val="00A00D57"/>
    <w:rsid w:val="00A01834"/>
    <w:rsid w:val="00A01DF7"/>
    <w:rsid w:val="00A02682"/>
    <w:rsid w:val="00A0317C"/>
    <w:rsid w:val="00A03F99"/>
    <w:rsid w:val="00A04221"/>
    <w:rsid w:val="00A1349D"/>
    <w:rsid w:val="00A145FB"/>
    <w:rsid w:val="00A20972"/>
    <w:rsid w:val="00A21299"/>
    <w:rsid w:val="00A22A78"/>
    <w:rsid w:val="00A23CFE"/>
    <w:rsid w:val="00A259A0"/>
    <w:rsid w:val="00A27F1F"/>
    <w:rsid w:val="00A31496"/>
    <w:rsid w:val="00A3192F"/>
    <w:rsid w:val="00A343C6"/>
    <w:rsid w:val="00A345DC"/>
    <w:rsid w:val="00A34B4F"/>
    <w:rsid w:val="00A34FFD"/>
    <w:rsid w:val="00A352AB"/>
    <w:rsid w:val="00A368EA"/>
    <w:rsid w:val="00A3756E"/>
    <w:rsid w:val="00A3781B"/>
    <w:rsid w:val="00A415B0"/>
    <w:rsid w:val="00A418B4"/>
    <w:rsid w:val="00A442EE"/>
    <w:rsid w:val="00A465B8"/>
    <w:rsid w:val="00A47E25"/>
    <w:rsid w:val="00A515AC"/>
    <w:rsid w:val="00A51A85"/>
    <w:rsid w:val="00A54294"/>
    <w:rsid w:val="00A55226"/>
    <w:rsid w:val="00A6020E"/>
    <w:rsid w:val="00A6101A"/>
    <w:rsid w:val="00A615E6"/>
    <w:rsid w:val="00A61DFD"/>
    <w:rsid w:val="00A63715"/>
    <w:rsid w:val="00A65B1E"/>
    <w:rsid w:val="00A663C3"/>
    <w:rsid w:val="00A713C2"/>
    <w:rsid w:val="00A725CF"/>
    <w:rsid w:val="00A73D79"/>
    <w:rsid w:val="00A760D7"/>
    <w:rsid w:val="00A768E0"/>
    <w:rsid w:val="00A7701E"/>
    <w:rsid w:val="00A77314"/>
    <w:rsid w:val="00A81399"/>
    <w:rsid w:val="00A8243D"/>
    <w:rsid w:val="00A864AA"/>
    <w:rsid w:val="00A86AA1"/>
    <w:rsid w:val="00A90119"/>
    <w:rsid w:val="00A91728"/>
    <w:rsid w:val="00A922F3"/>
    <w:rsid w:val="00A957DE"/>
    <w:rsid w:val="00A9689C"/>
    <w:rsid w:val="00AA0C0B"/>
    <w:rsid w:val="00AA2A1C"/>
    <w:rsid w:val="00AA3317"/>
    <w:rsid w:val="00AA45C1"/>
    <w:rsid w:val="00AA4659"/>
    <w:rsid w:val="00AA6929"/>
    <w:rsid w:val="00AA6F4A"/>
    <w:rsid w:val="00AA7417"/>
    <w:rsid w:val="00AA780E"/>
    <w:rsid w:val="00AB0C17"/>
    <w:rsid w:val="00AB1077"/>
    <w:rsid w:val="00AB1B98"/>
    <w:rsid w:val="00AB1BAD"/>
    <w:rsid w:val="00AB5004"/>
    <w:rsid w:val="00AB7881"/>
    <w:rsid w:val="00AB7E97"/>
    <w:rsid w:val="00AC057F"/>
    <w:rsid w:val="00AC05DF"/>
    <w:rsid w:val="00AC572D"/>
    <w:rsid w:val="00AC57E5"/>
    <w:rsid w:val="00AC7BB2"/>
    <w:rsid w:val="00AD1627"/>
    <w:rsid w:val="00AD5BBA"/>
    <w:rsid w:val="00AE1A95"/>
    <w:rsid w:val="00AE2AA9"/>
    <w:rsid w:val="00AE3CF8"/>
    <w:rsid w:val="00AE3ECB"/>
    <w:rsid w:val="00AE44E5"/>
    <w:rsid w:val="00AE47C6"/>
    <w:rsid w:val="00AE4D11"/>
    <w:rsid w:val="00AE6852"/>
    <w:rsid w:val="00AE7C65"/>
    <w:rsid w:val="00AF00E9"/>
    <w:rsid w:val="00AF062A"/>
    <w:rsid w:val="00AF0DB0"/>
    <w:rsid w:val="00AF65AF"/>
    <w:rsid w:val="00B01BDD"/>
    <w:rsid w:val="00B02AEE"/>
    <w:rsid w:val="00B02C16"/>
    <w:rsid w:val="00B0333E"/>
    <w:rsid w:val="00B04E23"/>
    <w:rsid w:val="00B05286"/>
    <w:rsid w:val="00B06ED9"/>
    <w:rsid w:val="00B11580"/>
    <w:rsid w:val="00B119D0"/>
    <w:rsid w:val="00B11E48"/>
    <w:rsid w:val="00B144C8"/>
    <w:rsid w:val="00B16B60"/>
    <w:rsid w:val="00B1786D"/>
    <w:rsid w:val="00B17E7F"/>
    <w:rsid w:val="00B201D3"/>
    <w:rsid w:val="00B209C8"/>
    <w:rsid w:val="00B21665"/>
    <w:rsid w:val="00B244C1"/>
    <w:rsid w:val="00B24F92"/>
    <w:rsid w:val="00B27574"/>
    <w:rsid w:val="00B2763E"/>
    <w:rsid w:val="00B30EB8"/>
    <w:rsid w:val="00B319B9"/>
    <w:rsid w:val="00B31B48"/>
    <w:rsid w:val="00B3216D"/>
    <w:rsid w:val="00B32C95"/>
    <w:rsid w:val="00B36119"/>
    <w:rsid w:val="00B3646F"/>
    <w:rsid w:val="00B374D4"/>
    <w:rsid w:val="00B40D0C"/>
    <w:rsid w:val="00B42D50"/>
    <w:rsid w:val="00B43626"/>
    <w:rsid w:val="00B436E7"/>
    <w:rsid w:val="00B43FA7"/>
    <w:rsid w:val="00B453A7"/>
    <w:rsid w:val="00B454BF"/>
    <w:rsid w:val="00B457F3"/>
    <w:rsid w:val="00B45F3F"/>
    <w:rsid w:val="00B46E24"/>
    <w:rsid w:val="00B474F1"/>
    <w:rsid w:val="00B47C42"/>
    <w:rsid w:val="00B50E53"/>
    <w:rsid w:val="00B54F26"/>
    <w:rsid w:val="00B56F83"/>
    <w:rsid w:val="00B6189D"/>
    <w:rsid w:val="00B61923"/>
    <w:rsid w:val="00B63AC9"/>
    <w:rsid w:val="00B641E5"/>
    <w:rsid w:val="00B64AF1"/>
    <w:rsid w:val="00B65A65"/>
    <w:rsid w:val="00B67120"/>
    <w:rsid w:val="00B6778A"/>
    <w:rsid w:val="00B6788C"/>
    <w:rsid w:val="00B7024A"/>
    <w:rsid w:val="00B712AC"/>
    <w:rsid w:val="00B72776"/>
    <w:rsid w:val="00B72C78"/>
    <w:rsid w:val="00B75BB7"/>
    <w:rsid w:val="00B762FD"/>
    <w:rsid w:val="00B8081E"/>
    <w:rsid w:val="00B8121B"/>
    <w:rsid w:val="00B817F6"/>
    <w:rsid w:val="00B8194E"/>
    <w:rsid w:val="00B8263A"/>
    <w:rsid w:val="00B826E4"/>
    <w:rsid w:val="00B82CF1"/>
    <w:rsid w:val="00B82FB7"/>
    <w:rsid w:val="00B853F1"/>
    <w:rsid w:val="00B85B43"/>
    <w:rsid w:val="00B903CD"/>
    <w:rsid w:val="00B92E9A"/>
    <w:rsid w:val="00B94018"/>
    <w:rsid w:val="00B95024"/>
    <w:rsid w:val="00B96795"/>
    <w:rsid w:val="00B969C3"/>
    <w:rsid w:val="00B97033"/>
    <w:rsid w:val="00BA0EBD"/>
    <w:rsid w:val="00BA15FC"/>
    <w:rsid w:val="00BA1704"/>
    <w:rsid w:val="00BA3152"/>
    <w:rsid w:val="00BA3324"/>
    <w:rsid w:val="00BA5A13"/>
    <w:rsid w:val="00BA685F"/>
    <w:rsid w:val="00BA7667"/>
    <w:rsid w:val="00BA7EFE"/>
    <w:rsid w:val="00BB4152"/>
    <w:rsid w:val="00BB53E6"/>
    <w:rsid w:val="00BB569C"/>
    <w:rsid w:val="00BB5BF7"/>
    <w:rsid w:val="00BB658C"/>
    <w:rsid w:val="00BB6C1C"/>
    <w:rsid w:val="00BB6D7A"/>
    <w:rsid w:val="00BB730D"/>
    <w:rsid w:val="00BB7A53"/>
    <w:rsid w:val="00BC0662"/>
    <w:rsid w:val="00BC1C2D"/>
    <w:rsid w:val="00BC20CE"/>
    <w:rsid w:val="00BC2E72"/>
    <w:rsid w:val="00BC4D7B"/>
    <w:rsid w:val="00BC5089"/>
    <w:rsid w:val="00BC5CE6"/>
    <w:rsid w:val="00BC67E3"/>
    <w:rsid w:val="00BC6CB7"/>
    <w:rsid w:val="00BC6D51"/>
    <w:rsid w:val="00BD0975"/>
    <w:rsid w:val="00BD131B"/>
    <w:rsid w:val="00BD343E"/>
    <w:rsid w:val="00BD35CF"/>
    <w:rsid w:val="00BD3F57"/>
    <w:rsid w:val="00BD46E7"/>
    <w:rsid w:val="00BD5DED"/>
    <w:rsid w:val="00BD7B2A"/>
    <w:rsid w:val="00BE16FA"/>
    <w:rsid w:val="00BE1D19"/>
    <w:rsid w:val="00BE3E09"/>
    <w:rsid w:val="00BE414A"/>
    <w:rsid w:val="00BE565E"/>
    <w:rsid w:val="00BE73FA"/>
    <w:rsid w:val="00BF0A1C"/>
    <w:rsid w:val="00BF0D35"/>
    <w:rsid w:val="00BF2F38"/>
    <w:rsid w:val="00BF63E5"/>
    <w:rsid w:val="00BF7243"/>
    <w:rsid w:val="00C002AC"/>
    <w:rsid w:val="00C01211"/>
    <w:rsid w:val="00C01680"/>
    <w:rsid w:val="00C01D21"/>
    <w:rsid w:val="00C04301"/>
    <w:rsid w:val="00C04F01"/>
    <w:rsid w:val="00C05E1C"/>
    <w:rsid w:val="00C065E5"/>
    <w:rsid w:val="00C0683D"/>
    <w:rsid w:val="00C07489"/>
    <w:rsid w:val="00C1069E"/>
    <w:rsid w:val="00C127E6"/>
    <w:rsid w:val="00C12E89"/>
    <w:rsid w:val="00C14AA2"/>
    <w:rsid w:val="00C15D88"/>
    <w:rsid w:val="00C25CBC"/>
    <w:rsid w:val="00C32F88"/>
    <w:rsid w:val="00C35D7E"/>
    <w:rsid w:val="00C36364"/>
    <w:rsid w:val="00C37EFC"/>
    <w:rsid w:val="00C4009E"/>
    <w:rsid w:val="00C40435"/>
    <w:rsid w:val="00C40D28"/>
    <w:rsid w:val="00C42C4F"/>
    <w:rsid w:val="00C43201"/>
    <w:rsid w:val="00C4639C"/>
    <w:rsid w:val="00C475B9"/>
    <w:rsid w:val="00C515AC"/>
    <w:rsid w:val="00C52144"/>
    <w:rsid w:val="00C52DA1"/>
    <w:rsid w:val="00C53E71"/>
    <w:rsid w:val="00C54EFD"/>
    <w:rsid w:val="00C55A89"/>
    <w:rsid w:val="00C55EB7"/>
    <w:rsid w:val="00C56B72"/>
    <w:rsid w:val="00C613EE"/>
    <w:rsid w:val="00C61580"/>
    <w:rsid w:val="00C62481"/>
    <w:rsid w:val="00C63DC0"/>
    <w:rsid w:val="00C64D66"/>
    <w:rsid w:val="00C657E2"/>
    <w:rsid w:val="00C66EB2"/>
    <w:rsid w:val="00C6716C"/>
    <w:rsid w:val="00C709FB"/>
    <w:rsid w:val="00C72259"/>
    <w:rsid w:val="00C74C43"/>
    <w:rsid w:val="00C77E2B"/>
    <w:rsid w:val="00C816D8"/>
    <w:rsid w:val="00C826A6"/>
    <w:rsid w:val="00C8298A"/>
    <w:rsid w:val="00C8387A"/>
    <w:rsid w:val="00C83989"/>
    <w:rsid w:val="00C848FE"/>
    <w:rsid w:val="00C85935"/>
    <w:rsid w:val="00C859E5"/>
    <w:rsid w:val="00C87EC1"/>
    <w:rsid w:val="00C918A9"/>
    <w:rsid w:val="00C91CFF"/>
    <w:rsid w:val="00C9236C"/>
    <w:rsid w:val="00C9241F"/>
    <w:rsid w:val="00C92CB2"/>
    <w:rsid w:val="00C93A82"/>
    <w:rsid w:val="00C958A3"/>
    <w:rsid w:val="00C962C9"/>
    <w:rsid w:val="00C97254"/>
    <w:rsid w:val="00CA1971"/>
    <w:rsid w:val="00CA3556"/>
    <w:rsid w:val="00CA521D"/>
    <w:rsid w:val="00CA530A"/>
    <w:rsid w:val="00CA65B6"/>
    <w:rsid w:val="00CB166F"/>
    <w:rsid w:val="00CB1FD1"/>
    <w:rsid w:val="00CB2D52"/>
    <w:rsid w:val="00CB3930"/>
    <w:rsid w:val="00CB4F3E"/>
    <w:rsid w:val="00CB64B7"/>
    <w:rsid w:val="00CB7346"/>
    <w:rsid w:val="00CC1335"/>
    <w:rsid w:val="00CC2213"/>
    <w:rsid w:val="00CC27BA"/>
    <w:rsid w:val="00CC2BF3"/>
    <w:rsid w:val="00CC3D60"/>
    <w:rsid w:val="00CC4CBD"/>
    <w:rsid w:val="00CC4E38"/>
    <w:rsid w:val="00CC4E89"/>
    <w:rsid w:val="00CC60F8"/>
    <w:rsid w:val="00CD0860"/>
    <w:rsid w:val="00CD0E05"/>
    <w:rsid w:val="00CD1C3A"/>
    <w:rsid w:val="00CD26FB"/>
    <w:rsid w:val="00CE2072"/>
    <w:rsid w:val="00CE48D7"/>
    <w:rsid w:val="00CE5210"/>
    <w:rsid w:val="00CE67D1"/>
    <w:rsid w:val="00CF2901"/>
    <w:rsid w:val="00CF39C9"/>
    <w:rsid w:val="00CF507A"/>
    <w:rsid w:val="00CF626B"/>
    <w:rsid w:val="00D0034D"/>
    <w:rsid w:val="00D01011"/>
    <w:rsid w:val="00D01ED2"/>
    <w:rsid w:val="00D060CC"/>
    <w:rsid w:val="00D1579F"/>
    <w:rsid w:val="00D15ED7"/>
    <w:rsid w:val="00D15F5E"/>
    <w:rsid w:val="00D173DE"/>
    <w:rsid w:val="00D1771E"/>
    <w:rsid w:val="00D1779B"/>
    <w:rsid w:val="00D17D18"/>
    <w:rsid w:val="00D20AC0"/>
    <w:rsid w:val="00D20FC4"/>
    <w:rsid w:val="00D22181"/>
    <w:rsid w:val="00D23251"/>
    <w:rsid w:val="00D244B1"/>
    <w:rsid w:val="00D25CAB"/>
    <w:rsid w:val="00D260A0"/>
    <w:rsid w:val="00D2617E"/>
    <w:rsid w:val="00D26829"/>
    <w:rsid w:val="00D26870"/>
    <w:rsid w:val="00D31127"/>
    <w:rsid w:val="00D346F1"/>
    <w:rsid w:val="00D34AAB"/>
    <w:rsid w:val="00D36793"/>
    <w:rsid w:val="00D370AB"/>
    <w:rsid w:val="00D40D0A"/>
    <w:rsid w:val="00D41675"/>
    <w:rsid w:val="00D41D10"/>
    <w:rsid w:val="00D41E1F"/>
    <w:rsid w:val="00D432F0"/>
    <w:rsid w:val="00D437B1"/>
    <w:rsid w:val="00D44B68"/>
    <w:rsid w:val="00D44C5B"/>
    <w:rsid w:val="00D452AD"/>
    <w:rsid w:val="00D459C2"/>
    <w:rsid w:val="00D46A1E"/>
    <w:rsid w:val="00D500CF"/>
    <w:rsid w:val="00D516A9"/>
    <w:rsid w:val="00D52204"/>
    <w:rsid w:val="00D53F68"/>
    <w:rsid w:val="00D556CB"/>
    <w:rsid w:val="00D61C14"/>
    <w:rsid w:val="00D62608"/>
    <w:rsid w:val="00D629F8"/>
    <w:rsid w:val="00D655F4"/>
    <w:rsid w:val="00D700AE"/>
    <w:rsid w:val="00D709BC"/>
    <w:rsid w:val="00D71A1F"/>
    <w:rsid w:val="00D731F0"/>
    <w:rsid w:val="00D73626"/>
    <w:rsid w:val="00D74408"/>
    <w:rsid w:val="00D74A1D"/>
    <w:rsid w:val="00D779CF"/>
    <w:rsid w:val="00D80B1D"/>
    <w:rsid w:val="00D81374"/>
    <w:rsid w:val="00D83D63"/>
    <w:rsid w:val="00D84FAC"/>
    <w:rsid w:val="00D85C04"/>
    <w:rsid w:val="00D924E9"/>
    <w:rsid w:val="00D927C3"/>
    <w:rsid w:val="00D92DFE"/>
    <w:rsid w:val="00D9326F"/>
    <w:rsid w:val="00D954CD"/>
    <w:rsid w:val="00D95890"/>
    <w:rsid w:val="00D95A7C"/>
    <w:rsid w:val="00D95B0F"/>
    <w:rsid w:val="00D9700B"/>
    <w:rsid w:val="00D974FA"/>
    <w:rsid w:val="00D97EF5"/>
    <w:rsid w:val="00DA05D4"/>
    <w:rsid w:val="00DA16E4"/>
    <w:rsid w:val="00DA37D2"/>
    <w:rsid w:val="00DA3ACF"/>
    <w:rsid w:val="00DA4C27"/>
    <w:rsid w:val="00DA6BF5"/>
    <w:rsid w:val="00DB1353"/>
    <w:rsid w:val="00DB1C35"/>
    <w:rsid w:val="00DB1DEC"/>
    <w:rsid w:val="00DB2CC8"/>
    <w:rsid w:val="00DB54E1"/>
    <w:rsid w:val="00DB621C"/>
    <w:rsid w:val="00DB78DD"/>
    <w:rsid w:val="00DC322C"/>
    <w:rsid w:val="00DC4BBD"/>
    <w:rsid w:val="00DC5D09"/>
    <w:rsid w:val="00DC5D18"/>
    <w:rsid w:val="00DC5EF0"/>
    <w:rsid w:val="00DC65C3"/>
    <w:rsid w:val="00DC756C"/>
    <w:rsid w:val="00DD178E"/>
    <w:rsid w:val="00DD263A"/>
    <w:rsid w:val="00DD2C1F"/>
    <w:rsid w:val="00DD4E75"/>
    <w:rsid w:val="00DD557E"/>
    <w:rsid w:val="00DD7551"/>
    <w:rsid w:val="00DE0526"/>
    <w:rsid w:val="00DE172D"/>
    <w:rsid w:val="00DE1DF3"/>
    <w:rsid w:val="00DE25D1"/>
    <w:rsid w:val="00DE3153"/>
    <w:rsid w:val="00DE3192"/>
    <w:rsid w:val="00DE429B"/>
    <w:rsid w:val="00DE4ABA"/>
    <w:rsid w:val="00DF2CAE"/>
    <w:rsid w:val="00DF39A3"/>
    <w:rsid w:val="00DF4EC7"/>
    <w:rsid w:val="00DF7286"/>
    <w:rsid w:val="00E00A34"/>
    <w:rsid w:val="00E0157F"/>
    <w:rsid w:val="00E02764"/>
    <w:rsid w:val="00E03054"/>
    <w:rsid w:val="00E04767"/>
    <w:rsid w:val="00E04E31"/>
    <w:rsid w:val="00E05074"/>
    <w:rsid w:val="00E0610F"/>
    <w:rsid w:val="00E102BA"/>
    <w:rsid w:val="00E11CFE"/>
    <w:rsid w:val="00E14F6F"/>
    <w:rsid w:val="00E15039"/>
    <w:rsid w:val="00E156C3"/>
    <w:rsid w:val="00E17B45"/>
    <w:rsid w:val="00E17F35"/>
    <w:rsid w:val="00E2232B"/>
    <w:rsid w:val="00E2459E"/>
    <w:rsid w:val="00E25953"/>
    <w:rsid w:val="00E25B66"/>
    <w:rsid w:val="00E30878"/>
    <w:rsid w:val="00E309BB"/>
    <w:rsid w:val="00E32281"/>
    <w:rsid w:val="00E33342"/>
    <w:rsid w:val="00E344E4"/>
    <w:rsid w:val="00E35A50"/>
    <w:rsid w:val="00E365A5"/>
    <w:rsid w:val="00E36888"/>
    <w:rsid w:val="00E36F48"/>
    <w:rsid w:val="00E428C8"/>
    <w:rsid w:val="00E4294A"/>
    <w:rsid w:val="00E43464"/>
    <w:rsid w:val="00E43BB4"/>
    <w:rsid w:val="00E445E0"/>
    <w:rsid w:val="00E46F33"/>
    <w:rsid w:val="00E47596"/>
    <w:rsid w:val="00E4797E"/>
    <w:rsid w:val="00E50292"/>
    <w:rsid w:val="00E508B4"/>
    <w:rsid w:val="00E50C6C"/>
    <w:rsid w:val="00E511BE"/>
    <w:rsid w:val="00E5148F"/>
    <w:rsid w:val="00E51748"/>
    <w:rsid w:val="00E52AB7"/>
    <w:rsid w:val="00E5566A"/>
    <w:rsid w:val="00E56A27"/>
    <w:rsid w:val="00E60761"/>
    <w:rsid w:val="00E60DA7"/>
    <w:rsid w:val="00E6220C"/>
    <w:rsid w:val="00E625AC"/>
    <w:rsid w:val="00E637C2"/>
    <w:rsid w:val="00E66292"/>
    <w:rsid w:val="00E66CE4"/>
    <w:rsid w:val="00E67788"/>
    <w:rsid w:val="00E677B0"/>
    <w:rsid w:val="00E70172"/>
    <w:rsid w:val="00E7490A"/>
    <w:rsid w:val="00E74F40"/>
    <w:rsid w:val="00E76221"/>
    <w:rsid w:val="00E76C26"/>
    <w:rsid w:val="00E80171"/>
    <w:rsid w:val="00E808DB"/>
    <w:rsid w:val="00E812BE"/>
    <w:rsid w:val="00E81542"/>
    <w:rsid w:val="00E81AB8"/>
    <w:rsid w:val="00E82891"/>
    <w:rsid w:val="00E83C4E"/>
    <w:rsid w:val="00E86589"/>
    <w:rsid w:val="00E87F6D"/>
    <w:rsid w:val="00E90856"/>
    <w:rsid w:val="00E94A33"/>
    <w:rsid w:val="00E95D0E"/>
    <w:rsid w:val="00EA0EA6"/>
    <w:rsid w:val="00EA3161"/>
    <w:rsid w:val="00EA36DD"/>
    <w:rsid w:val="00EB1E5B"/>
    <w:rsid w:val="00EB1ED2"/>
    <w:rsid w:val="00EB31D6"/>
    <w:rsid w:val="00EB4C24"/>
    <w:rsid w:val="00EB5265"/>
    <w:rsid w:val="00EB6680"/>
    <w:rsid w:val="00EC0665"/>
    <w:rsid w:val="00EC126C"/>
    <w:rsid w:val="00EC18B5"/>
    <w:rsid w:val="00EC1B2B"/>
    <w:rsid w:val="00EC3044"/>
    <w:rsid w:val="00EC4274"/>
    <w:rsid w:val="00EC62D4"/>
    <w:rsid w:val="00ED13E0"/>
    <w:rsid w:val="00ED13EA"/>
    <w:rsid w:val="00ED1658"/>
    <w:rsid w:val="00ED4622"/>
    <w:rsid w:val="00ED4A2D"/>
    <w:rsid w:val="00ED5236"/>
    <w:rsid w:val="00ED6605"/>
    <w:rsid w:val="00ED7693"/>
    <w:rsid w:val="00EE0970"/>
    <w:rsid w:val="00EE2324"/>
    <w:rsid w:val="00EE6C61"/>
    <w:rsid w:val="00EE71DE"/>
    <w:rsid w:val="00EE7781"/>
    <w:rsid w:val="00EF076C"/>
    <w:rsid w:val="00EF0EE0"/>
    <w:rsid w:val="00EF2CE3"/>
    <w:rsid w:val="00EF335A"/>
    <w:rsid w:val="00EF4004"/>
    <w:rsid w:val="00EF4D1F"/>
    <w:rsid w:val="00EF5882"/>
    <w:rsid w:val="00EF7C67"/>
    <w:rsid w:val="00EF7E19"/>
    <w:rsid w:val="00F03961"/>
    <w:rsid w:val="00F1198F"/>
    <w:rsid w:val="00F119D3"/>
    <w:rsid w:val="00F1208E"/>
    <w:rsid w:val="00F12DCF"/>
    <w:rsid w:val="00F135E0"/>
    <w:rsid w:val="00F1481C"/>
    <w:rsid w:val="00F1514E"/>
    <w:rsid w:val="00F15908"/>
    <w:rsid w:val="00F15CB0"/>
    <w:rsid w:val="00F161C8"/>
    <w:rsid w:val="00F215F8"/>
    <w:rsid w:val="00F21DAA"/>
    <w:rsid w:val="00F223E6"/>
    <w:rsid w:val="00F22CD7"/>
    <w:rsid w:val="00F23026"/>
    <w:rsid w:val="00F2360A"/>
    <w:rsid w:val="00F23CDD"/>
    <w:rsid w:val="00F242EE"/>
    <w:rsid w:val="00F24AD1"/>
    <w:rsid w:val="00F25E4C"/>
    <w:rsid w:val="00F26463"/>
    <w:rsid w:val="00F264FF"/>
    <w:rsid w:val="00F2682D"/>
    <w:rsid w:val="00F30024"/>
    <w:rsid w:val="00F3299A"/>
    <w:rsid w:val="00F34997"/>
    <w:rsid w:val="00F34CEC"/>
    <w:rsid w:val="00F35D18"/>
    <w:rsid w:val="00F35FA0"/>
    <w:rsid w:val="00F41C2F"/>
    <w:rsid w:val="00F41F64"/>
    <w:rsid w:val="00F4386E"/>
    <w:rsid w:val="00F440BC"/>
    <w:rsid w:val="00F44CCC"/>
    <w:rsid w:val="00F47608"/>
    <w:rsid w:val="00F50204"/>
    <w:rsid w:val="00F52331"/>
    <w:rsid w:val="00F52A43"/>
    <w:rsid w:val="00F5373D"/>
    <w:rsid w:val="00F53B0F"/>
    <w:rsid w:val="00F55899"/>
    <w:rsid w:val="00F55CFC"/>
    <w:rsid w:val="00F5606C"/>
    <w:rsid w:val="00F57941"/>
    <w:rsid w:val="00F60B87"/>
    <w:rsid w:val="00F61F00"/>
    <w:rsid w:val="00F646C8"/>
    <w:rsid w:val="00F64F11"/>
    <w:rsid w:val="00F65973"/>
    <w:rsid w:val="00F66299"/>
    <w:rsid w:val="00F66A68"/>
    <w:rsid w:val="00F66CB9"/>
    <w:rsid w:val="00F6725D"/>
    <w:rsid w:val="00F67E80"/>
    <w:rsid w:val="00F704DB"/>
    <w:rsid w:val="00F7168C"/>
    <w:rsid w:val="00F74166"/>
    <w:rsid w:val="00F75531"/>
    <w:rsid w:val="00F761EA"/>
    <w:rsid w:val="00F76988"/>
    <w:rsid w:val="00F76B31"/>
    <w:rsid w:val="00F77175"/>
    <w:rsid w:val="00F80A56"/>
    <w:rsid w:val="00F81291"/>
    <w:rsid w:val="00F817A2"/>
    <w:rsid w:val="00F81E2E"/>
    <w:rsid w:val="00F8271C"/>
    <w:rsid w:val="00F828CC"/>
    <w:rsid w:val="00F85217"/>
    <w:rsid w:val="00F905BC"/>
    <w:rsid w:val="00F906BE"/>
    <w:rsid w:val="00F92176"/>
    <w:rsid w:val="00F924EE"/>
    <w:rsid w:val="00F92893"/>
    <w:rsid w:val="00F9411B"/>
    <w:rsid w:val="00F94152"/>
    <w:rsid w:val="00F9676E"/>
    <w:rsid w:val="00FA05CD"/>
    <w:rsid w:val="00FA0B29"/>
    <w:rsid w:val="00FA0DE9"/>
    <w:rsid w:val="00FA16E9"/>
    <w:rsid w:val="00FA2B0C"/>
    <w:rsid w:val="00FA4B31"/>
    <w:rsid w:val="00FA55B9"/>
    <w:rsid w:val="00FA5D9D"/>
    <w:rsid w:val="00FA648D"/>
    <w:rsid w:val="00FB14B8"/>
    <w:rsid w:val="00FB1966"/>
    <w:rsid w:val="00FB37F0"/>
    <w:rsid w:val="00FB529F"/>
    <w:rsid w:val="00FB5E66"/>
    <w:rsid w:val="00FB73BB"/>
    <w:rsid w:val="00FC0888"/>
    <w:rsid w:val="00FC0A99"/>
    <w:rsid w:val="00FC2A04"/>
    <w:rsid w:val="00FC2DDA"/>
    <w:rsid w:val="00FC5377"/>
    <w:rsid w:val="00FC606E"/>
    <w:rsid w:val="00FD09D1"/>
    <w:rsid w:val="00FD1AD8"/>
    <w:rsid w:val="00FD20FC"/>
    <w:rsid w:val="00FD25EE"/>
    <w:rsid w:val="00FD26B3"/>
    <w:rsid w:val="00FD2CD0"/>
    <w:rsid w:val="00FD348E"/>
    <w:rsid w:val="00FD47BC"/>
    <w:rsid w:val="00FD4864"/>
    <w:rsid w:val="00FD54C7"/>
    <w:rsid w:val="00FD5CB1"/>
    <w:rsid w:val="00FD6CE3"/>
    <w:rsid w:val="00FD6EA0"/>
    <w:rsid w:val="00FE01CF"/>
    <w:rsid w:val="00FE215C"/>
    <w:rsid w:val="00FE28CB"/>
    <w:rsid w:val="00FE32F7"/>
    <w:rsid w:val="00FF05F0"/>
    <w:rsid w:val="00FF14A2"/>
    <w:rsid w:val="00FF1669"/>
    <w:rsid w:val="00FF199E"/>
    <w:rsid w:val="00FF253A"/>
    <w:rsid w:val="00FF2AD6"/>
    <w:rsid w:val="00FF4D5C"/>
    <w:rsid w:val="00FF59D0"/>
    <w:rsid w:val="00FF5CB8"/>
    <w:rsid w:val="00FF5E44"/>
    <w:rsid w:val="00FF73FB"/>
    <w:rsid w:val="00FF7AF9"/>
    <w:rsid w:val="014E2633"/>
    <w:rsid w:val="021C7762"/>
    <w:rsid w:val="02216B55"/>
    <w:rsid w:val="033F1034"/>
    <w:rsid w:val="0389AD61"/>
    <w:rsid w:val="039B3F0D"/>
    <w:rsid w:val="03A50FC5"/>
    <w:rsid w:val="049D4353"/>
    <w:rsid w:val="04FAA141"/>
    <w:rsid w:val="058B7623"/>
    <w:rsid w:val="06405748"/>
    <w:rsid w:val="065B8584"/>
    <w:rsid w:val="06C715BD"/>
    <w:rsid w:val="07A1E880"/>
    <w:rsid w:val="08226695"/>
    <w:rsid w:val="0844DEBC"/>
    <w:rsid w:val="0986344C"/>
    <w:rsid w:val="09C309BD"/>
    <w:rsid w:val="0A254B85"/>
    <w:rsid w:val="0A3C2B99"/>
    <w:rsid w:val="0A92F39B"/>
    <w:rsid w:val="0AFC6FC8"/>
    <w:rsid w:val="0C01B866"/>
    <w:rsid w:val="0C1039E7"/>
    <w:rsid w:val="0C416A77"/>
    <w:rsid w:val="0C6C470B"/>
    <w:rsid w:val="0C7CD626"/>
    <w:rsid w:val="0C933DB7"/>
    <w:rsid w:val="0CDEFD2A"/>
    <w:rsid w:val="0DAD9DDF"/>
    <w:rsid w:val="0DE1990E"/>
    <w:rsid w:val="0DE77820"/>
    <w:rsid w:val="0F0EAF61"/>
    <w:rsid w:val="0F6289E2"/>
    <w:rsid w:val="0FA3190E"/>
    <w:rsid w:val="0FDE258A"/>
    <w:rsid w:val="10F6BBF3"/>
    <w:rsid w:val="1153360E"/>
    <w:rsid w:val="117925E7"/>
    <w:rsid w:val="119ED610"/>
    <w:rsid w:val="11AD579C"/>
    <w:rsid w:val="1229D2F2"/>
    <w:rsid w:val="12908C62"/>
    <w:rsid w:val="12D940D0"/>
    <w:rsid w:val="13194490"/>
    <w:rsid w:val="133B12D3"/>
    <w:rsid w:val="133B8241"/>
    <w:rsid w:val="1374F41B"/>
    <w:rsid w:val="13C5CDB5"/>
    <w:rsid w:val="143F15B7"/>
    <w:rsid w:val="145B92B5"/>
    <w:rsid w:val="14D35018"/>
    <w:rsid w:val="15658121"/>
    <w:rsid w:val="15D67E8F"/>
    <w:rsid w:val="163AABAD"/>
    <w:rsid w:val="1750D6E0"/>
    <w:rsid w:val="17CC1923"/>
    <w:rsid w:val="18050CC7"/>
    <w:rsid w:val="18843941"/>
    <w:rsid w:val="18872DC8"/>
    <w:rsid w:val="19A8A893"/>
    <w:rsid w:val="19E8B3FE"/>
    <w:rsid w:val="1BDA7048"/>
    <w:rsid w:val="1BE36F31"/>
    <w:rsid w:val="1BF67095"/>
    <w:rsid w:val="1C3EFFEC"/>
    <w:rsid w:val="1C8A062F"/>
    <w:rsid w:val="1D9F1C72"/>
    <w:rsid w:val="1E06F08C"/>
    <w:rsid w:val="1E58B54F"/>
    <w:rsid w:val="1EB96EFB"/>
    <w:rsid w:val="1ED388D2"/>
    <w:rsid w:val="1EE59F97"/>
    <w:rsid w:val="1F8B4B26"/>
    <w:rsid w:val="219F7CB6"/>
    <w:rsid w:val="21F9EB9B"/>
    <w:rsid w:val="227B90D9"/>
    <w:rsid w:val="23724C7F"/>
    <w:rsid w:val="24162C47"/>
    <w:rsid w:val="2436F1C1"/>
    <w:rsid w:val="250ADB23"/>
    <w:rsid w:val="26C94C55"/>
    <w:rsid w:val="26D87F7B"/>
    <w:rsid w:val="27E8B3F3"/>
    <w:rsid w:val="2857A5B5"/>
    <w:rsid w:val="28742A1C"/>
    <w:rsid w:val="28CAC93E"/>
    <w:rsid w:val="28E3245C"/>
    <w:rsid w:val="290DE3D6"/>
    <w:rsid w:val="298FA537"/>
    <w:rsid w:val="29B557FA"/>
    <w:rsid w:val="2A24B3D4"/>
    <w:rsid w:val="2A5F1006"/>
    <w:rsid w:val="2A685BA9"/>
    <w:rsid w:val="2ACB07F9"/>
    <w:rsid w:val="2C1BD7B5"/>
    <w:rsid w:val="2C3952CA"/>
    <w:rsid w:val="2CC3FF02"/>
    <w:rsid w:val="2D0C49ED"/>
    <w:rsid w:val="2E4F75D6"/>
    <w:rsid w:val="2EF9D5B9"/>
    <w:rsid w:val="2F78C025"/>
    <w:rsid w:val="2F8A912D"/>
    <w:rsid w:val="2F9A374A"/>
    <w:rsid w:val="2FD6BEA1"/>
    <w:rsid w:val="305342EF"/>
    <w:rsid w:val="305F1C4E"/>
    <w:rsid w:val="312CA522"/>
    <w:rsid w:val="33118C5D"/>
    <w:rsid w:val="3422DA87"/>
    <w:rsid w:val="346EA7F3"/>
    <w:rsid w:val="348D5E35"/>
    <w:rsid w:val="34955BC8"/>
    <w:rsid w:val="349D5ED1"/>
    <w:rsid w:val="356BB25E"/>
    <w:rsid w:val="362769B6"/>
    <w:rsid w:val="37AFD146"/>
    <w:rsid w:val="380E5511"/>
    <w:rsid w:val="38B6E75B"/>
    <w:rsid w:val="39561B33"/>
    <w:rsid w:val="398EB300"/>
    <w:rsid w:val="3992F8B7"/>
    <w:rsid w:val="3A6AF442"/>
    <w:rsid w:val="3B124C5E"/>
    <w:rsid w:val="3CB74146"/>
    <w:rsid w:val="3CD59807"/>
    <w:rsid w:val="3D02DC0E"/>
    <w:rsid w:val="3D1CDE42"/>
    <w:rsid w:val="3D98998E"/>
    <w:rsid w:val="3DEBF635"/>
    <w:rsid w:val="3E192203"/>
    <w:rsid w:val="3E6B7705"/>
    <w:rsid w:val="3F4026B6"/>
    <w:rsid w:val="3F478004"/>
    <w:rsid w:val="3F50B2F8"/>
    <w:rsid w:val="4182C7CE"/>
    <w:rsid w:val="41DD41FE"/>
    <w:rsid w:val="42D62676"/>
    <w:rsid w:val="42E8820B"/>
    <w:rsid w:val="430E2CBD"/>
    <w:rsid w:val="4386B21E"/>
    <w:rsid w:val="43B8347B"/>
    <w:rsid w:val="43BF99B7"/>
    <w:rsid w:val="43DD4AE4"/>
    <w:rsid w:val="4435E59F"/>
    <w:rsid w:val="451E15B6"/>
    <w:rsid w:val="45493BAD"/>
    <w:rsid w:val="459D2899"/>
    <w:rsid w:val="45EB5321"/>
    <w:rsid w:val="46493B50"/>
    <w:rsid w:val="46646460"/>
    <w:rsid w:val="468C90AA"/>
    <w:rsid w:val="46944C49"/>
    <w:rsid w:val="483869CB"/>
    <w:rsid w:val="489D6366"/>
    <w:rsid w:val="48A440A5"/>
    <w:rsid w:val="49291DF8"/>
    <w:rsid w:val="49361310"/>
    <w:rsid w:val="4954F118"/>
    <w:rsid w:val="497BDEA7"/>
    <w:rsid w:val="497F31DE"/>
    <w:rsid w:val="4A481A13"/>
    <w:rsid w:val="4A596340"/>
    <w:rsid w:val="4B2A24B1"/>
    <w:rsid w:val="4B51ED42"/>
    <w:rsid w:val="4B549442"/>
    <w:rsid w:val="4BC65507"/>
    <w:rsid w:val="4C3D1F17"/>
    <w:rsid w:val="4C691395"/>
    <w:rsid w:val="4D73ABB4"/>
    <w:rsid w:val="4D78BF7F"/>
    <w:rsid w:val="4E2D1EDF"/>
    <w:rsid w:val="4E3132FB"/>
    <w:rsid w:val="4E41EE5D"/>
    <w:rsid w:val="4E8791A9"/>
    <w:rsid w:val="4EEF5B68"/>
    <w:rsid w:val="4F514EBF"/>
    <w:rsid w:val="4F85DCDE"/>
    <w:rsid w:val="4FE93DB0"/>
    <w:rsid w:val="4FF0E4E1"/>
    <w:rsid w:val="5002B0F4"/>
    <w:rsid w:val="50999160"/>
    <w:rsid w:val="50BAD5DC"/>
    <w:rsid w:val="5111BE75"/>
    <w:rsid w:val="5129739C"/>
    <w:rsid w:val="514A69D9"/>
    <w:rsid w:val="51BD9BE7"/>
    <w:rsid w:val="51EC14B7"/>
    <w:rsid w:val="52E4C561"/>
    <w:rsid w:val="5321C902"/>
    <w:rsid w:val="534BBD45"/>
    <w:rsid w:val="535473A5"/>
    <w:rsid w:val="53AA9EA1"/>
    <w:rsid w:val="53B3A912"/>
    <w:rsid w:val="5414B451"/>
    <w:rsid w:val="549AAB5A"/>
    <w:rsid w:val="54AE9622"/>
    <w:rsid w:val="54CC34CE"/>
    <w:rsid w:val="552217DC"/>
    <w:rsid w:val="5584BEFB"/>
    <w:rsid w:val="5604B3E6"/>
    <w:rsid w:val="566F5F1D"/>
    <w:rsid w:val="569A81CF"/>
    <w:rsid w:val="56BC9E5A"/>
    <w:rsid w:val="56F78E51"/>
    <w:rsid w:val="57A942B6"/>
    <w:rsid w:val="57DF7AA3"/>
    <w:rsid w:val="5848FF46"/>
    <w:rsid w:val="58A18DE9"/>
    <w:rsid w:val="58DFAE37"/>
    <w:rsid w:val="58EB6747"/>
    <w:rsid w:val="5926200E"/>
    <w:rsid w:val="59BFB2A6"/>
    <w:rsid w:val="5A60CCEB"/>
    <w:rsid w:val="5AF0FBC9"/>
    <w:rsid w:val="5B26E027"/>
    <w:rsid w:val="5BF3BA88"/>
    <w:rsid w:val="5C397DED"/>
    <w:rsid w:val="5C71A6E2"/>
    <w:rsid w:val="5C945316"/>
    <w:rsid w:val="5CA38BA5"/>
    <w:rsid w:val="5CA671D0"/>
    <w:rsid w:val="5CBAF206"/>
    <w:rsid w:val="5CCA7DE5"/>
    <w:rsid w:val="5CEC886B"/>
    <w:rsid w:val="5D0FEF4D"/>
    <w:rsid w:val="5D5A2D63"/>
    <w:rsid w:val="5DB3E9D4"/>
    <w:rsid w:val="5E77AB91"/>
    <w:rsid w:val="5FAF2A94"/>
    <w:rsid w:val="5FDE20F6"/>
    <w:rsid w:val="60183B19"/>
    <w:rsid w:val="607BA9E5"/>
    <w:rsid w:val="6171955B"/>
    <w:rsid w:val="61875B66"/>
    <w:rsid w:val="61FDCE29"/>
    <w:rsid w:val="624DF217"/>
    <w:rsid w:val="62FC2015"/>
    <w:rsid w:val="63056968"/>
    <w:rsid w:val="633C8A70"/>
    <w:rsid w:val="64194C22"/>
    <w:rsid w:val="64823E39"/>
    <w:rsid w:val="6662B36A"/>
    <w:rsid w:val="66FE7068"/>
    <w:rsid w:val="67057B5F"/>
    <w:rsid w:val="678BE8AA"/>
    <w:rsid w:val="67C006D3"/>
    <w:rsid w:val="6816AA90"/>
    <w:rsid w:val="68657AFA"/>
    <w:rsid w:val="69826529"/>
    <w:rsid w:val="69EDE376"/>
    <w:rsid w:val="6A771596"/>
    <w:rsid w:val="6A88CF56"/>
    <w:rsid w:val="6C8910CF"/>
    <w:rsid w:val="6CA45397"/>
    <w:rsid w:val="6CEFDD74"/>
    <w:rsid w:val="6E2365D1"/>
    <w:rsid w:val="6E9F45AA"/>
    <w:rsid w:val="7073D1EF"/>
    <w:rsid w:val="70FC9D45"/>
    <w:rsid w:val="713BF908"/>
    <w:rsid w:val="714FFCC8"/>
    <w:rsid w:val="730B9B50"/>
    <w:rsid w:val="738E8D16"/>
    <w:rsid w:val="7448824E"/>
    <w:rsid w:val="74BF40F1"/>
    <w:rsid w:val="750D4B3D"/>
    <w:rsid w:val="75BA0B12"/>
    <w:rsid w:val="75D3B32A"/>
    <w:rsid w:val="7674224F"/>
    <w:rsid w:val="76B7115A"/>
    <w:rsid w:val="777C5A7D"/>
    <w:rsid w:val="77B332AA"/>
    <w:rsid w:val="789EEBAC"/>
    <w:rsid w:val="79186A9F"/>
    <w:rsid w:val="7930C8D4"/>
    <w:rsid w:val="7944A275"/>
    <w:rsid w:val="79E560A9"/>
    <w:rsid w:val="7A38C136"/>
    <w:rsid w:val="7B50D4B1"/>
    <w:rsid w:val="7B668784"/>
    <w:rsid w:val="7C11A8E8"/>
    <w:rsid w:val="7C1FD922"/>
    <w:rsid w:val="7C76DEAF"/>
    <w:rsid w:val="7CA1F2A4"/>
    <w:rsid w:val="7CE57703"/>
    <w:rsid w:val="7D1E1871"/>
    <w:rsid w:val="7D5319E8"/>
    <w:rsid w:val="7D796827"/>
    <w:rsid w:val="7D79B39F"/>
    <w:rsid w:val="7DA1873B"/>
    <w:rsid w:val="7DB37F7B"/>
    <w:rsid w:val="7F23A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5B42"/>
  <w15:docId w15:val="{5A632F15-6C12-4913-9797-79438480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76"/>
    <w:pPr>
      <w:spacing w:after="0"/>
    </w:pPr>
    <w:rPr>
      <w:rFonts w:ascii="Arial" w:hAnsi="Arial"/>
      <w:sz w:val="20"/>
      <w:lang w:val="sl-SI" w:eastAsia="en-GB" w:bidi="en-GB"/>
    </w:rPr>
  </w:style>
  <w:style w:type="paragraph" w:styleId="Heading1">
    <w:name w:val="heading 1"/>
    <w:basedOn w:val="Normal"/>
    <w:next w:val="Normal"/>
    <w:link w:val="Heading1Char"/>
    <w:uiPriority w:val="9"/>
    <w:qFormat/>
    <w:rsid w:val="00801CC4"/>
    <w:pPr>
      <w:keepNext/>
      <w:keepLines/>
      <w:numPr>
        <w:numId w:val="3"/>
      </w:numPr>
      <w:spacing w:line="240" w:lineRule="auto"/>
      <w:jc w:val="both"/>
      <w:outlineLvl w:val="0"/>
    </w:pPr>
    <w:rPr>
      <w:rFonts w:eastAsiaTheme="majorEastAsia" w:cs="Arial"/>
      <w:b/>
      <w:color w:val="1B75BC"/>
      <w:sz w:val="36"/>
      <w:szCs w:val="32"/>
    </w:rPr>
  </w:style>
  <w:style w:type="paragraph" w:styleId="Heading2">
    <w:name w:val="heading 2"/>
    <w:basedOn w:val="Normal"/>
    <w:next w:val="Normal"/>
    <w:link w:val="Heading2Char"/>
    <w:uiPriority w:val="9"/>
    <w:unhideWhenUsed/>
    <w:qFormat/>
    <w:rsid w:val="00615A3A"/>
    <w:pPr>
      <w:keepNext/>
      <w:keepLines/>
      <w:numPr>
        <w:ilvl w:val="1"/>
        <w:numId w:val="3"/>
      </w:numPr>
      <w:spacing w:before="120" w:after="120" w:line="240" w:lineRule="auto"/>
      <w:jc w:val="both"/>
      <w:outlineLvl w:val="1"/>
    </w:pPr>
    <w:rPr>
      <w:rFonts w:eastAsiaTheme="majorEastAsia" w:cs="Arial"/>
      <w:b/>
      <w:color w:val="538135" w:themeColor="accent6" w:themeShade="BF"/>
      <w:sz w:val="28"/>
      <w:szCs w:val="28"/>
    </w:rPr>
  </w:style>
  <w:style w:type="paragraph" w:styleId="Heading3">
    <w:name w:val="heading 3"/>
    <w:basedOn w:val="Normal"/>
    <w:next w:val="Normal"/>
    <w:link w:val="Heading3Char"/>
    <w:uiPriority w:val="9"/>
    <w:unhideWhenUsed/>
    <w:qFormat/>
    <w:rsid w:val="006F317B"/>
    <w:pPr>
      <w:keepNext/>
      <w:keepLines/>
      <w:numPr>
        <w:ilvl w:val="2"/>
        <w:numId w:val="3"/>
      </w:numPr>
      <w:spacing w:line="276" w:lineRule="auto"/>
      <w:ind w:left="907" w:hanging="907"/>
      <w:jc w:val="both"/>
      <w:outlineLvl w:val="2"/>
    </w:pPr>
    <w:rPr>
      <w:rFonts w:eastAsiaTheme="majorEastAsia" w:cs="Arial"/>
      <w:b/>
      <w:color w:val="00B0D8"/>
      <w:sz w:val="24"/>
      <w:szCs w:val="24"/>
    </w:rPr>
  </w:style>
  <w:style w:type="paragraph" w:styleId="Heading4">
    <w:name w:val="heading 4"/>
    <w:basedOn w:val="Normal"/>
    <w:next w:val="Normal"/>
    <w:link w:val="Heading4Char"/>
    <w:uiPriority w:val="9"/>
    <w:unhideWhenUsed/>
    <w:qFormat/>
    <w:rsid w:val="00801CC4"/>
    <w:pPr>
      <w:keepNext/>
      <w:keepLines/>
      <w:shd w:val="clear" w:color="auto" w:fill="67C18C"/>
      <w:spacing w:line="240" w:lineRule="auto"/>
      <w:outlineLvl w:val="3"/>
    </w:pPr>
    <w:rPr>
      <w:rFonts w:eastAsiaTheme="majorEastAsia" w:cs="Arial"/>
      <w:b/>
      <w:iCs/>
      <w:color w:val="FFFFFF" w:themeColor="background1"/>
    </w:rPr>
  </w:style>
  <w:style w:type="paragraph" w:styleId="Heading5">
    <w:name w:val="heading 5"/>
    <w:basedOn w:val="Normal"/>
    <w:next w:val="Normal"/>
    <w:link w:val="Heading5Char"/>
    <w:uiPriority w:val="9"/>
    <w:unhideWhenUsed/>
    <w:qFormat/>
    <w:rsid w:val="00801CC4"/>
    <w:pPr>
      <w:keepNext/>
      <w:keepLines/>
      <w:spacing w:before="40"/>
      <w:outlineLvl w:val="4"/>
    </w:pPr>
    <w:rPr>
      <w:rFonts w:eastAsiaTheme="majorEastAsia" w:cstheme="majorBidi"/>
      <w: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C4"/>
    <w:rPr>
      <w:rFonts w:ascii="Arial" w:eastAsiaTheme="majorEastAsia" w:hAnsi="Arial" w:cs="Arial"/>
      <w:b/>
      <w:color w:val="1B75BC"/>
      <w:sz w:val="36"/>
      <w:szCs w:val="32"/>
      <w:lang w:val="sl-SI" w:eastAsia="en-GB" w:bidi="en-GB"/>
    </w:rPr>
  </w:style>
  <w:style w:type="character" w:customStyle="1" w:styleId="Heading2Char">
    <w:name w:val="Heading 2 Char"/>
    <w:basedOn w:val="DefaultParagraphFont"/>
    <w:link w:val="Heading2"/>
    <w:uiPriority w:val="9"/>
    <w:rsid w:val="00615A3A"/>
    <w:rPr>
      <w:rFonts w:ascii="Arial" w:eastAsiaTheme="majorEastAsia" w:hAnsi="Arial" w:cs="Arial"/>
      <w:b/>
      <w:color w:val="538135" w:themeColor="accent6" w:themeShade="BF"/>
      <w:sz w:val="28"/>
      <w:szCs w:val="28"/>
      <w:lang w:val="sl-SI" w:eastAsia="en-GB" w:bidi="en-GB"/>
    </w:rPr>
  </w:style>
  <w:style w:type="character" w:customStyle="1" w:styleId="Heading3Char">
    <w:name w:val="Heading 3 Char"/>
    <w:basedOn w:val="DefaultParagraphFont"/>
    <w:link w:val="Heading3"/>
    <w:uiPriority w:val="9"/>
    <w:rsid w:val="006F317B"/>
    <w:rPr>
      <w:rFonts w:ascii="Arial" w:eastAsiaTheme="majorEastAsia" w:hAnsi="Arial" w:cs="Arial"/>
      <w:b/>
      <w:color w:val="00B0D8"/>
      <w:sz w:val="24"/>
      <w:szCs w:val="24"/>
      <w:lang w:val="sl-SI" w:eastAsia="en-GB" w:bidi="en-GB"/>
    </w:rPr>
  </w:style>
  <w:style w:type="character" w:customStyle="1" w:styleId="Heading4Char">
    <w:name w:val="Heading 4 Char"/>
    <w:basedOn w:val="DefaultParagraphFont"/>
    <w:link w:val="Heading4"/>
    <w:uiPriority w:val="9"/>
    <w:rsid w:val="00801CC4"/>
    <w:rPr>
      <w:rFonts w:ascii="Arial" w:eastAsiaTheme="majorEastAsia" w:hAnsi="Arial" w:cs="Arial"/>
      <w:b/>
      <w:iCs/>
      <w:color w:val="FFFFFF" w:themeColor="background1"/>
      <w:sz w:val="20"/>
      <w:shd w:val="clear" w:color="auto" w:fill="67C18C"/>
      <w:lang w:val="en-GB" w:eastAsia="en-GB" w:bidi="en-GB"/>
    </w:rPr>
  </w:style>
  <w:style w:type="character" w:customStyle="1" w:styleId="Heading5Char">
    <w:name w:val="Heading 5 Char"/>
    <w:basedOn w:val="DefaultParagraphFont"/>
    <w:link w:val="Heading5"/>
    <w:uiPriority w:val="9"/>
    <w:rsid w:val="00801CC4"/>
    <w:rPr>
      <w:rFonts w:ascii="Arial" w:eastAsiaTheme="majorEastAsia" w:hAnsi="Arial" w:cstheme="majorBidi"/>
      <w:i/>
      <w:color w:val="00B0F0"/>
      <w:sz w:val="20"/>
      <w:lang w:val="en-GB" w:eastAsia="en-GB" w:bidi="en-GB"/>
    </w:rPr>
  </w:style>
  <w:style w:type="paragraph" w:styleId="ListParagraph">
    <w:name w:val="List Paragraph"/>
    <w:basedOn w:val="Normal"/>
    <w:uiPriority w:val="34"/>
    <w:qFormat/>
    <w:rsid w:val="00801CC4"/>
    <w:pPr>
      <w:ind w:left="720"/>
      <w:contextualSpacing/>
    </w:pPr>
  </w:style>
  <w:style w:type="character" w:styleId="Hyperlink">
    <w:name w:val="Hyperlink"/>
    <w:basedOn w:val="DefaultParagraphFont"/>
    <w:uiPriority w:val="99"/>
    <w:unhideWhenUsed/>
    <w:rsid w:val="00801CC4"/>
    <w:rPr>
      <w:color w:val="0563C1" w:themeColor="hyperlink"/>
      <w:u w:val="single"/>
    </w:rPr>
  </w:style>
  <w:style w:type="paragraph" w:styleId="Header">
    <w:name w:val="header"/>
    <w:basedOn w:val="Normal"/>
    <w:link w:val="HeaderChar"/>
    <w:uiPriority w:val="99"/>
    <w:unhideWhenUsed/>
    <w:rsid w:val="00801CC4"/>
    <w:pPr>
      <w:tabs>
        <w:tab w:val="center" w:pos="4680"/>
        <w:tab w:val="right" w:pos="9360"/>
      </w:tabs>
      <w:spacing w:line="240" w:lineRule="auto"/>
    </w:pPr>
  </w:style>
  <w:style w:type="character" w:customStyle="1" w:styleId="HeaderChar">
    <w:name w:val="Header Char"/>
    <w:basedOn w:val="DefaultParagraphFont"/>
    <w:link w:val="Header"/>
    <w:uiPriority w:val="99"/>
    <w:rsid w:val="00801CC4"/>
    <w:rPr>
      <w:rFonts w:ascii="Arial" w:hAnsi="Arial"/>
      <w:sz w:val="20"/>
      <w:lang w:val="en-GB" w:eastAsia="en-GB" w:bidi="en-GB"/>
    </w:rPr>
  </w:style>
  <w:style w:type="paragraph" w:styleId="Footer">
    <w:name w:val="footer"/>
    <w:basedOn w:val="Normal"/>
    <w:link w:val="FooterChar"/>
    <w:uiPriority w:val="99"/>
    <w:unhideWhenUsed/>
    <w:rsid w:val="00801CC4"/>
    <w:pPr>
      <w:tabs>
        <w:tab w:val="center" w:pos="4680"/>
        <w:tab w:val="right" w:pos="9360"/>
      </w:tabs>
      <w:spacing w:line="240" w:lineRule="auto"/>
    </w:pPr>
  </w:style>
  <w:style w:type="character" w:customStyle="1" w:styleId="FooterChar">
    <w:name w:val="Footer Char"/>
    <w:basedOn w:val="DefaultParagraphFont"/>
    <w:link w:val="Footer"/>
    <w:uiPriority w:val="99"/>
    <w:rsid w:val="00801CC4"/>
    <w:rPr>
      <w:rFonts w:ascii="Arial" w:hAnsi="Arial"/>
      <w:sz w:val="20"/>
      <w:lang w:val="en-GB" w:eastAsia="en-GB" w:bidi="en-GB"/>
    </w:rPr>
  </w:style>
  <w:style w:type="table" w:styleId="TableGrid">
    <w:name w:val="Table Grid"/>
    <w:basedOn w:val="TableNormal"/>
    <w:uiPriority w:val="39"/>
    <w:rsid w:val="00801CC4"/>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1CC4"/>
    <w:pPr>
      <w:tabs>
        <w:tab w:val="left" w:pos="440"/>
        <w:tab w:val="right" w:leader="dot" w:pos="9356"/>
      </w:tabs>
      <w:spacing w:after="100"/>
    </w:pPr>
    <w:rPr>
      <w:b/>
      <w:noProof/>
    </w:rPr>
  </w:style>
  <w:style w:type="paragraph" w:styleId="TOC2">
    <w:name w:val="toc 2"/>
    <w:basedOn w:val="Normal"/>
    <w:next w:val="Normal"/>
    <w:autoRedefine/>
    <w:uiPriority w:val="39"/>
    <w:unhideWhenUsed/>
    <w:rsid w:val="00801CC4"/>
    <w:pPr>
      <w:spacing w:after="100"/>
      <w:ind w:left="220"/>
    </w:pPr>
  </w:style>
  <w:style w:type="paragraph" w:styleId="FootnoteText">
    <w:name w:val="footnote text"/>
    <w:aliases w:val="single space"/>
    <w:basedOn w:val="Normal"/>
    <w:link w:val="FootnoteTextChar"/>
    <w:uiPriority w:val="99"/>
    <w:unhideWhenUsed/>
    <w:rsid w:val="00801CC4"/>
    <w:pPr>
      <w:spacing w:line="240" w:lineRule="auto"/>
    </w:pPr>
    <w:rPr>
      <w:szCs w:val="20"/>
    </w:rPr>
  </w:style>
  <w:style w:type="character" w:customStyle="1" w:styleId="FootnoteTextChar">
    <w:name w:val="Footnote Text Char"/>
    <w:aliases w:val="single space Char"/>
    <w:basedOn w:val="DefaultParagraphFont"/>
    <w:link w:val="FootnoteText"/>
    <w:uiPriority w:val="99"/>
    <w:rsid w:val="00801CC4"/>
    <w:rPr>
      <w:rFonts w:ascii="Arial" w:hAnsi="Arial"/>
      <w:sz w:val="20"/>
      <w:szCs w:val="20"/>
      <w:lang w:val="en-GB" w:eastAsia="en-GB" w:bidi="en-GB"/>
    </w:rPr>
  </w:style>
  <w:style w:type="character" w:styleId="FootnoteReference">
    <w:name w:val="footnote reference"/>
    <w:aliases w:val="BVI fnr, BVI fnr"/>
    <w:basedOn w:val="DefaultParagraphFont"/>
    <w:unhideWhenUsed/>
    <w:rsid w:val="00801CC4"/>
    <w:rPr>
      <w:vertAlign w:val="superscript"/>
    </w:rPr>
  </w:style>
  <w:style w:type="paragraph" w:styleId="TOC3">
    <w:name w:val="toc 3"/>
    <w:basedOn w:val="Normal"/>
    <w:next w:val="Normal"/>
    <w:autoRedefine/>
    <w:uiPriority w:val="39"/>
    <w:unhideWhenUsed/>
    <w:rsid w:val="00801CC4"/>
    <w:pPr>
      <w:spacing w:after="100"/>
      <w:ind w:left="440"/>
    </w:pPr>
  </w:style>
  <w:style w:type="paragraph" w:styleId="Caption">
    <w:name w:val="caption"/>
    <w:basedOn w:val="Normal"/>
    <w:next w:val="Normal"/>
    <w:unhideWhenUsed/>
    <w:qFormat/>
    <w:rsid w:val="00801C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01CC4"/>
  </w:style>
  <w:style w:type="character" w:styleId="CommentReference">
    <w:name w:val="annotation reference"/>
    <w:basedOn w:val="DefaultParagraphFont"/>
    <w:uiPriority w:val="99"/>
    <w:unhideWhenUsed/>
    <w:rsid w:val="00801CC4"/>
    <w:rPr>
      <w:sz w:val="16"/>
      <w:szCs w:val="16"/>
    </w:rPr>
  </w:style>
  <w:style w:type="paragraph" w:styleId="CommentText">
    <w:name w:val="annotation text"/>
    <w:basedOn w:val="Normal"/>
    <w:link w:val="CommentTextChar"/>
    <w:uiPriority w:val="99"/>
    <w:unhideWhenUsed/>
    <w:rsid w:val="00801CC4"/>
    <w:pPr>
      <w:spacing w:line="240" w:lineRule="auto"/>
    </w:pPr>
    <w:rPr>
      <w:szCs w:val="20"/>
    </w:rPr>
  </w:style>
  <w:style w:type="character" w:customStyle="1" w:styleId="CommentTextChar">
    <w:name w:val="Comment Text Char"/>
    <w:basedOn w:val="DefaultParagraphFont"/>
    <w:link w:val="CommentText"/>
    <w:uiPriority w:val="99"/>
    <w:rsid w:val="00801CC4"/>
    <w:rPr>
      <w:rFonts w:ascii="Arial" w:hAnsi="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01CC4"/>
    <w:rPr>
      <w:b/>
      <w:bCs/>
    </w:rPr>
  </w:style>
  <w:style w:type="character" w:customStyle="1" w:styleId="CommentSubjectChar">
    <w:name w:val="Comment Subject Char"/>
    <w:basedOn w:val="CommentTextChar"/>
    <w:link w:val="CommentSubject"/>
    <w:uiPriority w:val="99"/>
    <w:semiHidden/>
    <w:rsid w:val="00801CC4"/>
    <w:rPr>
      <w:rFonts w:ascii="Arial" w:hAnsi="Arial"/>
      <w:b/>
      <w:bCs/>
      <w:sz w:val="20"/>
      <w:szCs w:val="20"/>
      <w:lang w:val="en-GB" w:eastAsia="en-GB" w:bidi="en-GB"/>
    </w:rPr>
  </w:style>
  <w:style w:type="paragraph" w:styleId="BalloonText">
    <w:name w:val="Balloon Text"/>
    <w:basedOn w:val="Normal"/>
    <w:link w:val="BalloonTextChar"/>
    <w:uiPriority w:val="99"/>
    <w:semiHidden/>
    <w:unhideWhenUsed/>
    <w:rsid w:val="00801C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C4"/>
    <w:rPr>
      <w:rFonts w:ascii="Segoe UI" w:hAnsi="Segoe UI" w:cs="Segoe UI"/>
      <w:sz w:val="18"/>
      <w:szCs w:val="18"/>
      <w:lang w:val="en-GB" w:eastAsia="en-GB" w:bidi="en-GB"/>
    </w:rPr>
  </w:style>
  <w:style w:type="paragraph" w:styleId="TOC4">
    <w:name w:val="toc 4"/>
    <w:basedOn w:val="Normal"/>
    <w:next w:val="Normal"/>
    <w:autoRedefine/>
    <w:uiPriority w:val="39"/>
    <w:unhideWhenUsed/>
    <w:rsid w:val="00801CC4"/>
    <w:pPr>
      <w:spacing w:after="100"/>
      <w:ind w:left="660"/>
    </w:pPr>
  </w:style>
  <w:style w:type="character" w:customStyle="1" w:styleId="apple-converted-space">
    <w:name w:val="apple-converted-space"/>
    <w:basedOn w:val="DefaultParagraphFont"/>
    <w:rsid w:val="00801CC4"/>
  </w:style>
  <w:style w:type="character" w:styleId="FollowedHyperlink">
    <w:name w:val="FollowedHyperlink"/>
    <w:basedOn w:val="DefaultParagraphFont"/>
    <w:uiPriority w:val="99"/>
    <w:semiHidden/>
    <w:unhideWhenUsed/>
    <w:rsid w:val="00801CC4"/>
    <w:rPr>
      <w:color w:val="954F72" w:themeColor="followedHyperlink"/>
      <w:u w:val="single"/>
    </w:rPr>
  </w:style>
  <w:style w:type="paragraph" w:styleId="Revision">
    <w:name w:val="Revision"/>
    <w:hidden/>
    <w:uiPriority w:val="99"/>
    <w:semiHidden/>
    <w:rsid w:val="00801CC4"/>
    <w:pPr>
      <w:spacing w:after="0" w:line="240" w:lineRule="auto"/>
    </w:pPr>
    <w:rPr>
      <w:rFonts w:ascii="Arial" w:hAnsi="Arial"/>
      <w:sz w:val="20"/>
      <w:lang w:val="en-GB" w:eastAsia="en-GB" w:bidi="en-GB"/>
    </w:rPr>
  </w:style>
  <w:style w:type="paragraph" w:customStyle="1" w:styleId="Default">
    <w:name w:val="Default"/>
    <w:rsid w:val="00801CC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nhideWhenUsed/>
    <w:rsid w:val="00801CC4"/>
    <w:pPr>
      <w:spacing w:after="300" w:line="240" w:lineRule="auto"/>
    </w:pPr>
    <w:rPr>
      <w:rFonts w:ascii="Times New Roman" w:eastAsia="Times New Roman" w:hAnsi="Times New Roman" w:cs="Times New Roman"/>
      <w:sz w:val="24"/>
      <w:szCs w:val="24"/>
      <w:lang w:eastAsia="sl-SI" w:bidi="ar-SA"/>
    </w:rPr>
  </w:style>
  <w:style w:type="paragraph" w:styleId="NoSpacing">
    <w:name w:val="No Spacing"/>
    <w:link w:val="NoSpacingChar"/>
    <w:uiPriority w:val="1"/>
    <w:qFormat/>
    <w:rsid w:val="00801CC4"/>
    <w:pPr>
      <w:spacing w:after="0" w:line="240" w:lineRule="auto"/>
    </w:pPr>
    <w:rPr>
      <w:rFonts w:ascii="Calibri" w:eastAsia="Calibri" w:hAnsi="Calibri" w:cs="Times New Roman"/>
      <w:lang w:val="sl-SI"/>
    </w:rPr>
  </w:style>
  <w:style w:type="table" w:styleId="GridTable4-Accent1">
    <w:name w:val="Grid Table 4 Accent 1"/>
    <w:basedOn w:val="TableNormal"/>
    <w:uiPriority w:val="49"/>
    <w:rsid w:val="001064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106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1064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
    <w:name w:val="Grid Table 1 Light"/>
    <w:basedOn w:val="TableNormal"/>
    <w:uiPriority w:val="46"/>
    <w:rsid w:val="001064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autoRedefine/>
    <w:rsid w:val="00E00A34"/>
    <w:pPr>
      <w:numPr>
        <w:numId w:val="10"/>
      </w:numPr>
      <w:spacing w:line="240" w:lineRule="auto"/>
      <w:ind w:right="-28"/>
      <w:jc w:val="both"/>
    </w:pPr>
    <w:rPr>
      <w:rFonts w:eastAsia="Times New Roman" w:cs="Times New Roman"/>
      <w:iCs/>
      <w:sz w:val="24"/>
      <w:szCs w:val="24"/>
      <w:lang w:eastAsia="en-US" w:bidi="ar-SA"/>
    </w:rPr>
  </w:style>
  <w:style w:type="character" w:customStyle="1" w:styleId="BodyTextChar">
    <w:name w:val="Body Text Char"/>
    <w:basedOn w:val="DefaultParagraphFont"/>
    <w:link w:val="BodyText"/>
    <w:rsid w:val="00E00A34"/>
    <w:rPr>
      <w:rFonts w:ascii="Arial" w:eastAsia="Times New Roman" w:hAnsi="Arial" w:cs="Times New Roman"/>
      <w:iCs/>
      <w:sz w:val="24"/>
      <w:szCs w:val="24"/>
      <w:lang w:val="sl-SI"/>
    </w:rPr>
  </w:style>
  <w:style w:type="character" w:customStyle="1" w:styleId="NoSpacingChar">
    <w:name w:val="No Spacing Char"/>
    <w:basedOn w:val="DefaultParagraphFont"/>
    <w:link w:val="NoSpacing"/>
    <w:uiPriority w:val="1"/>
    <w:rsid w:val="00B95024"/>
    <w:rPr>
      <w:rFonts w:ascii="Calibri" w:eastAsia="Calibri" w:hAnsi="Calibri" w:cs="Times New Roman"/>
      <w:lang w:val="sl-SI"/>
    </w:rPr>
  </w:style>
  <w:style w:type="paragraph" w:styleId="Title">
    <w:name w:val="Title"/>
    <w:basedOn w:val="Normal"/>
    <w:next w:val="Normal"/>
    <w:link w:val="TitleChar"/>
    <w:qFormat/>
    <w:rsid w:val="000A1AF3"/>
    <w:pPr>
      <w:spacing w:before="240" w:after="60" w:line="260" w:lineRule="exact"/>
      <w:jc w:val="center"/>
      <w:outlineLvl w:val="0"/>
    </w:pPr>
    <w:rPr>
      <w:rFonts w:eastAsia="Times New Roman" w:cs="Times New Roman"/>
      <w:b/>
      <w:bCs/>
      <w:kern w:val="28"/>
      <w:sz w:val="28"/>
      <w:szCs w:val="32"/>
      <w:lang w:val="x-none" w:eastAsia="x-none" w:bidi="ar-SA"/>
    </w:rPr>
  </w:style>
  <w:style w:type="character" w:customStyle="1" w:styleId="TitleChar">
    <w:name w:val="Title Char"/>
    <w:basedOn w:val="DefaultParagraphFont"/>
    <w:link w:val="Title"/>
    <w:rsid w:val="000A1AF3"/>
    <w:rPr>
      <w:rFonts w:ascii="Arial" w:eastAsia="Times New Roman" w:hAnsi="Arial" w:cs="Times New Roman"/>
      <w:b/>
      <w:bCs/>
      <w:kern w:val="28"/>
      <w:sz w:val="28"/>
      <w:szCs w:val="32"/>
      <w:lang w:val="x-none" w:eastAsia="x-none"/>
    </w:rPr>
  </w:style>
  <w:style w:type="paragraph" w:customStyle="1" w:styleId="footnotedescription">
    <w:name w:val="footnote description"/>
    <w:next w:val="Normal"/>
    <w:link w:val="footnotedescriptionChar"/>
    <w:hidden/>
    <w:rsid w:val="000A1AF3"/>
    <w:pPr>
      <w:spacing w:after="0" w:line="268" w:lineRule="auto"/>
    </w:pPr>
    <w:rPr>
      <w:rFonts w:ascii="Times New Roman" w:eastAsia="Times New Roman" w:hAnsi="Times New Roman" w:cs="Times New Roman"/>
      <w:color w:val="000000"/>
      <w:sz w:val="18"/>
      <w:lang w:val="sl-SI" w:eastAsia="sl-SI"/>
    </w:rPr>
  </w:style>
  <w:style w:type="character" w:customStyle="1" w:styleId="footnotedescriptionChar">
    <w:name w:val="footnote description Char"/>
    <w:link w:val="footnotedescription"/>
    <w:rsid w:val="000A1AF3"/>
    <w:rPr>
      <w:rFonts w:ascii="Times New Roman" w:eastAsia="Times New Roman" w:hAnsi="Times New Roman" w:cs="Times New Roman"/>
      <w:color w:val="000000"/>
      <w:sz w:val="18"/>
      <w:lang w:val="sl-SI" w:eastAsia="sl-SI"/>
    </w:rPr>
  </w:style>
  <w:style w:type="character" w:customStyle="1" w:styleId="footnotemark">
    <w:name w:val="footnote mark"/>
    <w:hidden/>
    <w:rsid w:val="000A1AF3"/>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548">
      <w:bodyDiv w:val="1"/>
      <w:marLeft w:val="0"/>
      <w:marRight w:val="0"/>
      <w:marTop w:val="0"/>
      <w:marBottom w:val="0"/>
      <w:divBdr>
        <w:top w:val="none" w:sz="0" w:space="0" w:color="auto"/>
        <w:left w:val="none" w:sz="0" w:space="0" w:color="auto"/>
        <w:bottom w:val="none" w:sz="0" w:space="0" w:color="auto"/>
        <w:right w:val="none" w:sz="0" w:space="0" w:color="auto"/>
      </w:divBdr>
      <w:divsChild>
        <w:div w:id="168369691">
          <w:marLeft w:val="274"/>
          <w:marRight w:val="0"/>
          <w:marTop w:val="0"/>
          <w:marBottom w:val="60"/>
          <w:divBdr>
            <w:top w:val="none" w:sz="0" w:space="0" w:color="auto"/>
            <w:left w:val="none" w:sz="0" w:space="0" w:color="auto"/>
            <w:bottom w:val="none" w:sz="0" w:space="0" w:color="auto"/>
            <w:right w:val="none" w:sz="0" w:space="0" w:color="auto"/>
          </w:divBdr>
        </w:div>
        <w:div w:id="1207714527">
          <w:marLeft w:val="274"/>
          <w:marRight w:val="0"/>
          <w:marTop w:val="0"/>
          <w:marBottom w:val="60"/>
          <w:divBdr>
            <w:top w:val="none" w:sz="0" w:space="0" w:color="auto"/>
            <w:left w:val="none" w:sz="0" w:space="0" w:color="auto"/>
            <w:bottom w:val="none" w:sz="0" w:space="0" w:color="auto"/>
            <w:right w:val="none" w:sz="0" w:space="0" w:color="auto"/>
          </w:divBdr>
        </w:div>
      </w:divsChild>
    </w:div>
    <w:div w:id="92021840">
      <w:bodyDiv w:val="1"/>
      <w:marLeft w:val="0"/>
      <w:marRight w:val="0"/>
      <w:marTop w:val="0"/>
      <w:marBottom w:val="0"/>
      <w:divBdr>
        <w:top w:val="none" w:sz="0" w:space="0" w:color="auto"/>
        <w:left w:val="none" w:sz="0" w:space="0" w:color="auto"/>
        <w:bottom w:val="none" w:sz="0" w:space="0" w:color="auto"/>
        <w:right w:val="none" w:sz="0" w:space="0" w:color="auto"/>
      </w:divBdr>
    </w:div>
    <w:div w:id="106194212">
      <w:bodyDiv w:val="1"/>
      <w:marLeft w:val="0"/>
      <w:marRight w:val="0"/>
      <w:marTop w:val="0"/>
      <w:marBottom w:val="0"/>
      <w:divBdr>
        <w:top w:val="none" w:sz="0" w:space="0" w:color="auto"/>
        <w:left w:val="none" w:sz="0" w:space="0" w:color="auto"/>
        <w:bottom w:val="none" w:sz="0" w:space="0" w:color="auto"/>
        <w:right w:val="none" w:sz="0" w:space="0" w:color="auto"/>
      </w:divBdr>
    </w:div>
    <w:div w:id="194539014">
      <w:bodyDiv w:val="1"/>
      <w:marLeft w:val="0"/>
      <w:marRight w:val="0"/>
      <w:marTop w:val="0"/>
      <w:marBottom w:val="0"/>
      <w:divBdr>
        <w:top w:val="none" w:sz="0" w:space="0" w:color="auto"/>
        <w:left w:val="none" w:sz="0" w:space="0" w:color="auto"/>
        <w:bottom w:val="none" w:sz="0" w:space="0" w:color="auto"/>
        <w:right w:val="none" w:sz="0" w:space="0" w:color="auto"/>
      </w:divBdr>
      <w:divsChild>
        <w:div w:id="761993695">
          <w:marLeft w:val="274"/>
          <w:marRight w:val="0"/>
          <w:marTop w:val="0"/>
          <w:marBottom w:val="60"/>
          <w:divBdr>
            <w:top w:val="none" w:sz="0" w:space="0" w:color="auto"/>
            <w:left w:val="none" w:sz="0" w:space="0" w:color="auto"/>
            <w:bottom w:val="none" w:sz="0" w:space="0" w:color="auto"/>
            <w:right w:val="none" w:sz="0" w:space="0" w:color="auto"/>
          </w:divBdr>
        </w:div>
      </w:divsChild>
    </w:div>
    <w:div w:id="213663347">
      <w:bodyDiv w:val="1"/>
      <w:marLeft w:val="0"/>
      <w:marRight w:val="0"/>
      <w:marTop w:val="0"/>
      <w:marBottom w:val="0"/>
      <w:divBdr>
        <w:top w:val="none" w:sz="0" w:space="0" w:color="auto"/>
        <w:left w:val="none" w:sz="0" w:space="0" w:color="auto"/>
        <w:bottom w:val="none" w:sz="0" w:space="0" w:color="auto"/>
        <w:right w:val="none" w:sz="0" w:space="0" w:color="auto"/>
      </w:divBdr>
      <w:divsChild>
        <w:div w:id="809130461">
          <w:marLeft w:val="274"/>
          <w:marRight w:val="0"/>
          <w:marTop w:val="0"/>
          <w:marBottom w:val="60"/>
          <w:divBdr>
            <w:top w:val="none" w:sz="0" w:space="0" w:color="auto"/>
            <w:left w:val="none" w:sz="0" w:space="0" w:color="auto"/>
            <w:bottom w:val="none" w:sz="0" w:space="0" w:color="auto"/>
            <w:right w:val="none" w:sz="0" w:space="0" w:color="auto"/>
          </w:divBdr>
        </w:div>
      </w:divsChild>
    </w:div>
    <w:div w:id="266281620">
      <w:bodyDiv w:val="1"/>
      <w:marLeft w:val="0"/>
      <w:marRight w:val="0"/>
      <w:marTop w:val="0"/>
      <w:marBottom w:val="0"/>
      <w:divBdr>
        <w:top w:val="none" w:sz="0" w:space="0" w:color="auto"/>
        <w:left w:val="none" w:sz="0" w:space="0" w:color="auto"/>
        <w:bottom w:val="none" w:sz="0" w:space="0" w:color="auto"/>
        <w:right w:val="none" w:sz="0" w:space="0" w:color="auto"/>
      </w:divBdr>
      <w:divsChild>
        <w:div w:id="656811134">
          <w:marLeft w:val="274"/>
          <w:marRight w:val="0"/>
          <w:marTop w:val="0"/>
          <w:marBottom w:val="60"/>
          <w:divBdr>
            <w:top w:val="none" w:sz="0" w:space="0" w:color="auto"/>
            <w:left w:val="none" w:sz="0" w:space="0" w:color="auto"/>
            <w:bottom w:val="none" w:sz="0" w:space="0" w:color="auto"/>
            <w:right w:val="none" w:sz="0" w:space="0" w:color="auto"/>
          </w:divBdr>
        </w:div>
      </w:divsChild>
    </w:div>
    <w:div w:id="724641895">
      <w:bodyDiv w:val="1"/>
      <w:marLeft w:val="0"/>
      <w:marRight w:val="0"/>
      <w:marTop w:val="0"/>
      <w:marBottom w:val="0"/>
      <w:divBdr>
        <w:top w:val="none" w:sz="0" w:space="0" w:color="auto"/>
        <w:left w:val="none" w:sz="0" w:space="0" w:color="auto"/>
        <w:bottom w:val="none" w:sz="0" w:space="0" w:color="auto"/>
        <w:right w:val="none" w:sz="0" w:space="0" w:color="auto"/>
      </w:divBdr>
    </w:div>
    <w:div w:id="775248552">
      <w:bodyDiv w:val="1"/>
      <w:marLeft w:val="0"/>
      <w:marRight w:val="0"/>
      <w:marTop w:val="0"/>
      <w:marBottom w:val="0"/>
      <w:divBdr>
        <w:top w:val="none" w:sz="0" w:space="0" w:color="auto"/>
        <w:left w:val="none" w:sz="0" w:space="0" w:color="auto"/>
        <w:bottom w:val="none" w:sz="0" w:space="0" w:color="auto"/>
        <w:right w:val="none" w:sz="0" w:space="0" w:color="auto"/>
      </w:divBdr>
      <w:divsChild>
        <w:div w:id="1736585838">
          <w:marLeft w:val="274"/>
          <w:marRight w:val="0"/>
          <w:marTop w:val="0"/>
          <w:marBottom w:val="60"/>
          <w:divBdr>
            <w:top w:val="none" w:sz="0" w:space="0" w:color="auto"/>
            <w:left w:val="none" w:sz="0" w:space="0" w:color="auto"/>
            <w:bottom w:val="none" w:sz="0" w:space="0" w:color="auto"/>
            <w:right w:val="none" w:sz="0" w:space="0" w:color="auto"/>
          </w:divBdr>
        </w:div>
      </w:divsChild>
    </w:div>
    <w:div w:id="1016812807">
      <w:bodyDiv w:val="1"/>
      <w:marLeft w:val="0"/>
      <w:marRight w:val="0"/>
      <w:marTop w:val="0"/>
      <w:marBottom w:val="0"/>
      <w:divBdr>
        <w:top w:val="none" w:sz="0" w:space="0" w:color="auto"/>
        <w:left w:val="none" w:sz="0" w:space="0" w:color="auto"/>
        <w:bottom w:val="none" w:sz="0" w:space="0" w:color="auto"/>
        <w:right w:val="none" w:sz="0" w:space="0" w:color="auto"/>
      </w:divBdr>
    </w:div>
    <w:div w:id="1348632316">
      <w:bodyDiv w:val="1"/>
      <w:marLeft w:val="0"/>
      <w:marRight w:val="0"/>
      <w:marTop w:val="0"/>
      <w:marBottom w:val="0"/>
      <w:divBdr>
        <w:top w:val="none" w:sz="0" w:space="0" w:color="auto"/>
        <w:left w:val="none" w:sz="0" w:space="0" w:color="auto"/>
        <w:bottom w:val="none" w:sz="0" w:space="0" w:color="auto"/>
        <w:right w:val="none" w:sz="0" w:space="0" w:color="auto"/>
      </w:divBdr>
      <w:divsChild>
        <w:div w:id="1684747199">
          <w:marLeft w:val="274"/>
          <w:marRight w:val="0"/>
          <w:marTop w:val="0"/>
          <w:marBottom w:val="60"/>
          <w:divBdr>
            <w:top w:val="none" w:sz="0" w:space="0" w:color="auto"/>
            <w:left w:val="none" w:sz="0" w:space="0" w:color="auto"/>
            <w:bottom w:val="none" w:sz="0" w:space="0" w:color="auto"/>
            <w:right w:val="none" w:sz="0" w:space="0" w:color="auto"/>
          </w:divBdr>
        </w:div>
      </w:divsChild>
    </w:div>
    <w:div w:id="1408303442">
      <w:bodyDiv w:val="1"/>
      <w:marLeft w:val="0"/>
      <w:marRight w:val="0"/>
      <w:marTop w:val="0"/>
      <w:marBottom w:val="0"/>
      <w:divBdr>
        <w:top w:val="none" w:sz="0" w:space="0" w:color="auto"/>
        <w:left w:val="none" w:sz="0" w:space="0" w:color="auto"/>
        <w:bottom w:val="none" w:sz="0" w:space="0" w:color="auto"/>
        <w:right w:val="none" w:sz="0" w:space="0" w:color="auto"/>
      </w:divBdr>
      <w:divsChild>
        <w:div w:id="723917167">
          <w:marLeft w:val="274"/>
          <w:marRight w:val="0"/>
          <w:marTop w:val="0"/>
          <w:marBottom w:val="60"/>
          <w:divBdr>
            <w:top w:val="none" w:sz="0" w:space="0" w:color="auto"/>
            <w:left w:val="none" w:sz="0" w:space="0" w:color="auto"/>
            <w:bottom w:val="none" w:sz="0" w:space="0" w:color="auto"/>
            <w:right w:val="none" w:sz="0" w:space="0" w:color="auto"/>
          </w:divBdr>
        </w:div>
      </w:divsChild>
    </w:div>
    <w:div w:id="1464084079">
      <w:bodyDiv w:val="1"/>
      <w:marLeft w:val="0"/>
      <w:marRight w:val="0"/>
      <w:marTop w:val="0"/>
      <w:marBottom w:val="0"/>
      <w:divBdr>
        <w:top w:val="none" w:sz="0" w:space="0" w:color="auto"/>
        <w:left w:val="none" w:sz="0" w:space="0" w:color="auto"/>
        <w:bottom w:val="none" w:sz="0" w:space="0" w:color="auto"/>
        <w:right w:val="none" w:sz="0" w:space="0" w:color="auto"/>
      </w:divBdr>
      <w:divsChild>
        <w:div w:id="1113744680">
          <w:marLeft w:val="274"/>
          <w:marRight w:val="0"/>
          <w:marTop w:val="0"/>
          <w:marBottom w:val="60"/>
          <w:divBdr>
            <w:top w:val="none" w:sz="0" w:space="0" w:color="auto"/>
            <w:left w:val="none" w:sz="0" w:space="0" w:color="auto"/>
            <w:bottom w:val="none" w:sz="0" w:space="0" w:color="auto"/>
            <w:right w:val="none" w:sz="0" w:space="0" w:color="auto"/>
          </w:divBdr>
        </w:div>
      </w:divsChild>
    </w:div>
    <w:div w:id="1618953663">
      <w:bodyDiv w:val="1"/>
      <w:marLeft w:val="0"/>
      <w:marRight w:val="0"/>
      <w:marTop w:val="0"/>
      <w:marBottom w:val="0"/>
      <w:divBdr>
        <w:top w:val="none" w:sz="0" w:space="0" w:color="auto"/>
        <w:left w:val="none" w:sz="0" w:space="0" w:color="auto"/>
        <w:bottom w:val="none" w:sz="0" w:space="0" w:color="auto"/>
        <w:right w:val="none" w:sz="0" w:space="0" w:color="auto"/>
      </w:divBdr>
    </w:div>
    <w:div w:id="1638560567">
      <w:bodyDiv w:val="1"/>
      <w:marLeft w:val="0"/>
      <w:marRight w:val="0"/>
      <w:marTop w:val="0"/>
      <w:marBottom w:val="0"/>
      <w:divBdr>
        <w:top w:val="none" w:sz="0" w:space="0" w:color="auto"/>
        <w:left w:val="none" w:sz="0" w:space="0" w:color="auto"/>
        <w:bottom w:val="none" w:sz="0" w:space="0" w:color="auto"/>
        <w:right w:val="none" w:sz="0" w:space="0" w:color="auto"/>
      </w:divBdr>
    </w:div>
    <w:div w:id="1670021103">
      <w:bodyDiv w:val="1"/>
      <w:marLeft w:val="0"/>
      <w:marRight w:val="0"/>
      <w:marTop w:val="0"/>
      <w:marBottom w:val="0"/>
      <w:divBdr>
        <w:top w:val="none" w:sz="0" w:space="0" w:color="auto"/>
        <w:left w:val="none" w:sz="0" w:space="0" w:color="auto"/>
        <w:bottom w:val="none" w:sz="0" w:space="0" w:color="auto"/>
        <w:right w:val="none" w:sz="0" w:space="0" w:color="auto"/>
      </w:divBdr>
      <w:divsChild>
        <w:div w:id="1058893644">
          <w:marLeft w:val="274"/>
          <w:marRight w:val="0"/>
          <w:marTop w:val="0"/>
          <w:marBottom w:val="60"/>
          <w:divBdr>
            <w:top w:val="none" w:sz="0" w:space="0" w:color="auto"/>
            <w:left w:val="none" w:sz="0" w:space="0" w:color="auto"/>
            <w:bottom w:val="none" w:sz="0" w:space="0" w:color="auto"/>
            <w:right w:val="none" w:sz="0" w:space="0" w:color="auto"/>
          </w:divBdr>
        </w:div>
      </w:divsChild>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54684460">
      <w:bodyDiv w:val="1"/>
      <w:marLeft w:val="0"/>
      <w:marRight w:val="0"/>
      <w:marTop w:val="0"/>
      <w:marBottom w:val="0"/>
      <w:divBdr>
        <w:top w:val="none" w:sz="0" w:space="0" w:color="auto"/>
        <w:left w:val="none" w:sz="0" w:space="0" w:color="auto"/>
        <w:bottom w:val="none" w:sz="0" w:space="0" w:color="auto"/>
        <w:right w:val="none" w:sz="0" w:space="0" w:color="auto"/>
      </w:divBdr>
    </w:div>
    <w:div w:id="1966345976">
      <w:bodyDiv w:val="1"/>
      <w:marLeft w:val="0"/>
      <w:marRight w:val="0"/>
      <w:marTop w:val="0"/>
      <w:marBottom w:val="0"/>
      <w:divBdr>
        <w:top w:val="none" w:sz="0" w:space="0" w:color="auto"/>
        <w:left w:val="none" w:sz="0" w:space="0" w:color="auto"/>
        <w:bottom w:val="none" w:sz="0" w:space="0" w:color="auto"/>
        <w:right w:val="none" w:sz="0" w:space="0" w:color="auto"/>
      </w:divBdr>
    </w:div>
    <w:div w:id="2071296425">
      <w:bodyDiv w:val="1"/>
      <w:marLeft w:val="0"/>
      <w:marRight w:val="0"/>
      <w:marTop w:val="0"/>
      <w:marBottom w:val="0"/>
      <w:divBdr>
        <w:top w:val="none" w:sz="0" w:space="0" w:color="auto"/>
        <w:left w:val="none" w:sz="0" w:space="0" w:color="auto"/>
        <w:bottom w:val="none" w:sz="0" w:space="0" w:color="auto"/>
        <w:right w:val="none" w:sz="0" w:space="0" w:color="auto"/>
      </w:divBdr>
      <w:divsChild>
        <w:div w:id="1927688475">
          <w:marLeft w:val="274"/>
          <w:marRight w:val="0"/>
          <w:marTop w:val="0"/>
          <w:marBottom w:val="60"/>
          <w:divBdr>
            <w:top w:val="none" w:sz="0" w:space="0" w:color="auto"/>
            <w:left w:val="none" w:sz="0" w:space="0" w:color="auto"/>
            <w:bottom w:val="none" w:sz="0" w:space="0" w:color="auto"/>
            <w:right w:val="none" w:sz="0" w:space="0" w:color="auto"/>
          </w:divBdr>
        </w:div>
      </w:divsChild>
    </w:div>
    <w:div w:id="2110852072">
      <w:bodyDiv w:val="1"/>
      <w:marLeft w:val="0"/>
      <w:marRight w:val="0"/>
      <w:marTop w:val="0"/>
      <w:marBottom w:val="0"/>
      <w:divBdr>
        <w:top w:val="none" w:sz="0" w:space="0" w:color="auto"/>
        <w:left w:val="none" w:sz="0" w:space="0" w:color="auto"/>
        <w:bottom w:val="none" w:sz="0" w:space="0" w:color="auto"/>
        <w:right w:val="none" w:sz="0" w:space="0" w:color="auto"/>
      </w:divBdr>
      <w:divsChild>
        <w:div w:id="1929456413">
          <w:marLeft w:val="274"/>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jica.go.jp/english/news/jbic_archive/autocontents/english/news/2003/000056/index.html" TargetMode="External"/><Relationship Id="rId26" Type="http://schemas.openxmlformats.org/officeDocument/2006/relationships/hyperlink" Target="https://www.eda.admin.ch/deza/en/home/activities-projects/figures-statistics/swiss-oda.html" TargetMode="External"/><Relationship Id="rId39" Type="http://schemas.openxmlformats.org/officeDocument/2006/relationships/theme" Target="theme/theme1.xml"/><Relationship Id="rId21" Type="http://schemas.openxmlformats.org/officeDocument/2006/relationships/hyperlink" Target="http://www.skopje.veleposlanistvo.si/index.php?id=44" TargetMode="External"/><Relationship Id="rId34" Type="http://schemas.openxmlformats.org/officeDocument/2006/relationships/hyperlink" Target="https://www.gov.si/teme/prednostna-podrocja-in-obmocja-mednarodnega-razvojnega-sodelovanja-slovenij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hszletovica.com.mk/?lang=en" TargetMode="External"/><Relationship Id="rId25" Type="http://schemas.openxmlformats.org/officeDocument/2006/relationships/hyperlink" Target="https://www.eda.admin.ch/countries/north-macedonia/en/home/international-cooperation.html" TargetMode="External"/><Relationship Id="rId33" Type="http://schemas.openxmlformats.org/officeDocument/2006/relationships/hyperlink" Target="https://www.gov.si/teme/nacrtovanje-in-izvajanje-mednarodnega-razvojnega-sodelovanja-in-humanitarne-pomoci-slovenij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waertiges-amt.de/en/aussenpolitik/bilateral/228106" TargetMode="External"/><Relationship Id="rId20" Type="http://schemas.openxmlformats.org/officeDocument/2006/relationships/hyperlink" Target="https://www.macedonia-timeless.com/sol/mesta_inregije/mesta_slovenian/probitip_slovenian/" TargetMode="External"/><Relationship Id="rId29" Type="http://schemas.openxmlformats.org/officeDocument/2006/relationships/hyperlink" Target="https://www.uradni-list.si/glasilo-uradni-list-rs/vsebina/2006-02-00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zvoznookno.si/drzave/severna-makedonija/pregled-gospodarskih-gibanj/" TargetMode="External"/><Relationship Id="rId32" Type="http://schemas.openxmlformats.org/officeDocument/2006/relationships/hyperlink" Target="https://data.worldbank.org/indicator/DT.ODA.ODAT.CD?end=2018&amp;locations=MK&amp;start=1993&amp;view=chart" TargetMode="External"/><Relationship Id="rId37"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ec.europa.eu/neighbourhood-enlargement/instruments/funding-by-country/north-macedonia_en" TargetMode="External"/><Relationship Id="rId23" Type="http://schemas.openxmlformats.org/officeDocument/2006/relationships/hyperlink" Target="http://www.oecd.org/dac/financing-sustainable-development/development-finance-data/Europe-Development-Aid-at-a-Glance-2019.pdf" TargetMode="External"/><Relationship Id="rId28" Type="http://schemas.openxmlformats.org/officeDocument/2006/relationships/hyperlink" Target="https://www.mk.undp.org/content/north-macedonia/en/home/about-us/funding-and-delivery.html" TargetMode="External"/><Relationship Id="rId36" Type="http://schemas.openxmlformats.org/officeDocument/2006/relationships/hyperlink" Target="https://www.oecd.org/dac/evaluation/revised-evaluation-criteria-dec-2019.pdf" TargetMode="External"/><Relationship Id="rId10" Type="http://schemas.openxmlformats.org/officeDocument/2006/relationships/endnotes" Target="endnotes.xml"/><Relationship Id="rId19" Type="http://schemas.openxmlformats.org/officeDocument/2006/relationships/hyperlink" Target="https://www2.jica.go.jp/en/evaluation/pdf/2014_MAC-P1_4.pdf" TargetMode="External"/><Relationship Id="rId31" Type="http://schemas.openxmlformats.org/officeDocument/2006/relationships/hyperlink" Target="http://mzz.arhiv-spletisc.gov.si/fileadmin/pageuploads/Zunanja_politika/ZDH/Zakoni_in_dokumenti/Okvirni_program_11-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r.si/sl/mednarodno-razvojno-sodelovanje/" TargetMode="External"/><Relationship Id="rId22" Type="http://schemas.openxmlformats.org/officeDocument/2006/relationships/hyperlink" Target="https://stats.oecd.org/viewhtml.aspx?datasetcode=TABLE2A&amp;lang=en" TargetMode="External"/><Relationship Id="rId27" Type="http://schemas.openxmlformats.org/officeDocument/2006/relationships/hyperlink" Target="https://un.mk/" TargetMode="External"/><Relationship Id="rId30" Type="http://schemas.openxmlformats.org/officeDocument/2006/relationships/hyperlink" Target="https://www.state.gov/u-s-relations-with-macedonia/" TargetMode="External"/><Relationship Id="rId35" Type="http://schemas.openxmlformats.org/officeDocument/2006/relationships/hyperlink" Target="http://www.oecd.org/dac/evaluation/dcdndep/41612905.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BF5E6F7D1C246A821B2624EFB23DD" ma:contentTypeVersion="2" ma:contentTypeDescription="Create a new document." ma:contentTypeScope="" ma:versionID="0752473aa1b119a129022fb561c42d38">
  <xsd:schema xmlns:xsd="http://www.w3.org/2001/XMLSchema" xmlns:xs="http://www.w3.org/2001/XMLSchema" xmlns:p="http://schemas.microsoft.com/office/2006/metadata/properties" xmlns:ns2="0435ff41-b3d7-44eb-9520-c8dc1877de84" targetNamespace="http://schemas.microsoft.com/office/2006/metadata/properties" ma:root="true" ma:fieldsID="e9a9485a51efe5721936bd0b2e92c067" ns2:_="">
    <xsd:import namespace="0435ff41-b3d7-44eb-9520-c8dc1877de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5ff41-b3d7-44eb-9520-c8dc1877d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5061A-2127-4D1C-BBC1-6DA83C2AE0CD}">
  <ds:schemaRefs>
    <ds:schemaRef ds:uri="http://schemas.microsoft.com/sharepoint/v3/contenttype/forms"/>
  </ds:schemaRefs>
</ds:datastoreItem>
</file>

<file path=customXml/itemProps2.xml><?xml version="1.0" encoding="utf-8"?>
<ds:datastoreItem xmlns:ds="http://schemas.openxmlformats.org/officeDocument/2006/customXml" ds:itemID="{B6275BF4-B41A-414E-8DDD-F7323D09C5AD}">
  <ds:schemaRefs>
    <ds:schemaRef ds:uri="http://schemas.openxmlformats.org/officeDocument/2006/bibliography"/>
  </ds:schemaRefs>
</ds:datastoreItem>
</file>

<file path=customXml/itemProps3.xml><?xml version="1.0" encoding="utf-8"?>
<ds:datastoreItem xmlns:ds="http://schemas.openxmlformats.org/officeDocument/2006/customXml" ds:itemID="{360247AD-E5B6-4FEA-B001-1A846E8E86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9C41F5-BBB6-45DA-A009-F008B9C6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5ff41-b3d7-44eb-9520-c8dc1877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72</Pages>
  <Words>26068</Words>
  <Characters>179352</Characters>
  <Application>Microsoft Office Word</Application>
  <DocSecurity>0</DocSecurity>
  <Lines>2599</Lines>
  <Paragraphs>959</Paragraphs>
  <ScaleCrop>false</ScaleCrop>
  <HeadingPairs>
    <vt:vector size="2" baseType="variant">
      <vt:variant>
        <vt:lpstr>Title</vt:lpstr>
      </vt:variant>
      <vt:variant>
        <vt:i4>1</vt:i4>
      </vt:variant>
    </vt:vector>
  </HeadingPairs>
  <TitlesOfParts>
    <vt:vector size="1" baseType="lpstr">
      <vt:lpstr>EVALVACIJA in REVIZIJA projektov izgradnje vodne infrastrukture v občini probištip v severni makedoniji v obdobju 2012-2019</vt:lpstr>
    </vt:vector>
  </TitlesOfParts>
  <Company>Deloitte Touche Tohmatsu Services, Inc.</Company>
  <LinksUpToDate>false</LinksUpToDate>
  <CharactersWithSpaces>204461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EVALVACIJA in REVIZIJA projektov izgradnje vodne infrastrukture v občini probištip v severni makedoniji v obdobju 2012-2019</dc:title>
  <dc:subject>Končno poročilo</dc:subject>
  <dc:creator>Krzic, Ana</dc:creator>
  <cp:lastModifiedBy>mzz</cp:lastModifiedBy>
  <cp:revision>6</cp:revision>
  <cp:lastPrinted>2020-12-09T12:49:00Z</cp:lastPrinted>
  <dcterms:created xsi:type="dcterms:W3CDTF">2020-12-09T12:49:00Z</dcterms:created>
  <dcterms:modified xsi:type="dcterms:W3CDTF">2026-05-05T11:50:00Z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0x0101006BFBF5E6F7D1C246A821B2624EFB23DD</vt:lpwstr>
  </property>
</Properties>
</file>