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25158" w:rsidRPr="009D24D1" w:rsidRDefault="00525158">
      <w:pPr>
        <w:jc w:val="center"/>
        <w:rPr>
          <w:rFonts w:eastAsia="Arial" w:cs="Times New Roman"/>
          <w:b/>
          <w:sz w:val="28"/>
          <w:szCs w:val="28"/>
        </w:rPr>
      </w:pPr>
    </w:p>
    <w:p w14:paraId="566B8E4D" w14:textId="77777777" w:rsidR="00295BB9" w:rsidRPr="009D24D1" w:rsidRDefault="00295BB9">
      <w:pPr>
        <w:jc w:val="center"/>
        <w:rPr>
          <w:rFonts w:eastAsia="Arial" w:cs="Times New Roman"/>
          <w:b/>
          <w:sz w:val="28"/>
          <w:szCs w:val="28"/>
        </w:rPr>
      </w:pPr>
    </w:p>
    <w:p w14:paraId="474D035D" w14:textId="77777777" w:rsidR="00295BB9" w:rsidRPr="009D24D1" w:rsidRDefault="00295BB9">
      <w:pPr>
        <w:jc w:val="center"/>
        <w:rPr>
          <w:rFonts w:eastAsia="Arial" w:cs="Times New Roman"/>
          <w:b/>
          <w:sz w:val="28"/>
          <w:szCs w:val="28"/>
        </w:rPr>
      </w:pPr>
    </w:p>
    <w:p w14:paraId="00000002" w14:textId="77777777" w:rsidR="00525158" w:rsidRPr="009D24D1" w:rsidRDefault="00525158">
      <w:pPr>
        <w:jc w:val="center"/>
        <w:rPr>
          <w:rFonts w:eastAsia="Arial" w:cs="Times New Roman"/>
          <w:b/>
          <w:sz w:val="28"/>
          <w:szCs w:val="28"/>
        </w:rPr>
      </w:pPr>
    </w:p>
    <w:p w14:paraId="00000003" w14:textId="77777777" w:rsidR="00525158" w:rsidRPr="009D24D1" w:rsidRDefault="00525158">
      <w:pPr>
        <w:jc w:val="center"/>
        <w:rPr>
          <w:rFonts w:eastAsia="Arial" w:cs="Times New Roman"/>
          <w:b/>
          <w:sz w:val="28"/>
          <w:szCs w:val="28"/>
        </w:rPr>
      </w:pPr>
    </w:p>
    <w:p w14:paraId="00000004" w14:textId="77777777" w:rsidR="00525158" w:rsidRPr="009D24D1" w:rsidRDefault="00525158">
      <w:pPr>
        <w:jc w:val="center"/>
        <w:rPr>
          <w:rFonts w:eastAsia="Arial" w:cs="Times New Roman"/>
          <w:b/>
          <w:sz w:val="28"/>
          <w:szCs w:val="28"/>
        </w:rPr>
      </w:pPr>
    </w:p>
    <w:p w14:paraId="00000005" w14:textId="77777777" w:rsidR="00525158" w:rsidRPr="009D24D1" w:rsidRDefault="00525158">
      <w:pPr>
        <w:jc w:val="center"/>
        <w:rPr>
          <w:rFonts w:eastAsia="Arial" w:cs="Times New Roman"/>
          <w:b/>
          <w:sz w:val="28"/>
          <w:szCs w:val="28"/>
        </w:rPr>
      </w:pPr>
    </w:p>
    <w:p w14:paraId="00000006" w14:textId="77777777" w:rsidR="00525158" w:rsidRPr="009D24D1" w:rsidRDefault="00525158">
      <w:pPr>
        <w:jc w:val="center"/>
        <w:rPr>
          <w:rFonts w:eastAsia="Arial" w:cs="Times New Roman"/>
          <w:b/>
          <w:sz w:val="28"/>
          <w:szCs w:val="28"/>
        </w:rPr>
      </w:pPr>
    </w:p>
    <w:p w14:paraId="00000007" w14:textId="77777777" w:rsidR="00525158" w:rsidRPr="009D24D1" w:rsidRDefault="00525158">
      <w:pPr>
        <w:jc w:val="center"/>
        <w:rPr>
          <w:rFonts w:eastAsia="Arial" w:cs="Times New Roman"/>
          <w:b/>
          <w:sz w:val="28"/>
          <w:szCs w:val="28"/>
        </w:rPr>
      </w:pPr>
    </w:p>
    <w:p w14:paraId="00000008" w14:textId="77777777" w:rsidR="00525158" w:rsidRPr="009D24D1" w:rsidRDefault="00525158">
      <w:pPr>
        <w:jc w:val="center"/>
        <w:rPr>
          <w:rFonts w:eastAsia="Arial" w:cs="Times New Roman"/>
          <w:b/>
          <w:sz w:val="28"/>
          <w:szCs w:val="28"/>
        </w:rPr>
      </w:pPr>
    </w:p>
    <w:p w14:paraId="7F4D83D9" w14:textId="77777777" w:rsidR="00295BB9" w:rsidRPr="009D24D1" w:rsidRDefault="00295BB9">
      <w:pPr>
        <w:jc w:val="center"/>
        <w:rPr>
          <w:rFonts w:eastAsia="Arial" w:cs="Times New Roman"/>
          <w:b/>
          <w:sz w:val="28"/>
          <w:szCs w:val="28"/>
        </w:rPr>
      </w:pPr>
    </w:p>
    <w:p w14:paraId="00000009" w14:textId="77777777" w:rsidR="00525158" w:rsidRPr="009D24D1" w:rsidRDefault="004D4AEA">
      <w:pPr>
        <w:jc w:val="center"/>
        <w:rPr>
          <w:rFonts w:eastAsia="Arial" w:cs="Times New Roman"/>
          <w:b/>
          <w:sz w:val="36"/>
          <w:szCs w:val="36"/>
        </w:rPr>
      </w:pPr>
      <w:r w:rsidRPr="009D24D1">
        <w:rPr>
          <w:rFonts w:eastAsia="Arial" w:cs="Times New Roman"/>
          <w:b/>
          <w:sz w:val="36"/>
          <w:szCs w:val="36"/>
        </w:rPr>
        <w:t xml:space="preserve">Analiza vključevanja načela skladnosti politik za razvoj in načela skladnosti politik za trajnostni razvoj v ključne politike v Sloveniji </w:t>
      </w:r>
    </w:p>
    <w:p w14:paraId="0000000A" w14:textId="77777777" w:rsidR="00525158" w:rsidRPr="009D24D1" w:rsidRDefault="00525158">
      <w:pPr>
        <w:pBdr>
          <w:top w:val="nil"/>
          <w:left w:val="nil"/>
          <w:bottom w:val="nil"/>
          <w:right w:val="nil"/>
          <w:between w:val="nil"/>
        </w:pBdr>
        <w:shd w:val="clear" w:color="auto" w:fill="FFFFFF"/>
        <w:spacing w:before="280"/>
        <w:jc w:val="center"/>
        <w:rPr>
          <w:rFonts w:eastAsia="Arial" w:cs="Times New Roman"/>
        </w:rPr>
      </w:pPr>
    </w:p>
    <w:p w14:paraId="7AD7BE10" w14:textId="0105C590" w:rsidR="00BA7194" w:rsidRPr="009D24D1" w:rsidRDefault="004D4AEA">
      <w:pPr>
        <w:pBdr>
          <w:top w:val="nil"/>
          <w:left w:val="nil"/>
          <w:bottom w:val="nil"/>
          <w:right w:val="nil"/>
          <w:between w:val="nil"/>
        </w:pBdr>
        <w:shd w:val="clear" w:color="auto" w:fill="FFFFFF"/>
        <w:spacing w:before="280"/>
        <w:jc w:val="center"/>
        <w:rPr>
          <w:rFonts w:eastAsia="Arial" w:cs="Times New Roman"/>
        </w:rPr>
      </w:pPr>
      <w:r w:rsidRPr="009D24D1">
        <w:rPr>
          <w:rFonts w:eastAsia="Arial" w:cs="Times New Roman"/>
        </w:rPr>
        <w:t>dr. Maja Ladić</w:t>
      </w:r>
      <w:r w:rsidR="009D24D1" w:rsidRPr="009D24D1">
        <w:rPr>
          <w:rFonts w:eastAsia="Arial" w:cs="Times New Roman"/>
        </w:rPr>
        <w:t xml:space="preserve">, </w:t>
      </w:r>
      <w:r w:rsidRPr="009D24D1">
        <w:rPr>
          <w:rFonts w:eastAsia="Arial" w:cs="Times New Roman"/>
        </w:rPr>
        <w:t xml:space="preserve">dr. Ana Frank, </w:t>
      </w:r>
      <w:r w:rsidR="00BA7194" w:rsidRPr="009D24D1">
        <w:rPr>
          <w:rFonts w:eastAsia="Arial" w:cs="Times New Roman"/>
        </w:rPr>
        <w:t xml:space="preserve">doc. dr. Jana Arbeiter in zasl. prof. dr. Maja Bučar, </w:t>
      </w:r>
    </w:p>
    <w:p w14:paraId="26BA5916" w14:textId="77777777" w:rsidR="00295BB9" w:rsidRPr="009D24D1" w:rsidRDefault="00295BB9">
      <w:pPr>
        <w:pBdr>
          <w:top w:val="nil"/>
          <w:left w:val="nil"/>
          <w:bottom w:val="nil"/>
          <w:right w:val="nil"/>
          <w:between w:val="nil"/>
        </w:pBdr>
        <w:shd w:val="clear" w:color="auto" w:fill="FFFFFF"/>
        <w:spacing w:before="280"/>
        <w:jc w:val="center"/>
        <w:rPr>
          <w:rFonts w:eastAsia="Arial" w:cs="Times New Roman"/>
        </w:rPr>
      </w:pPr>
    </w:p>
    <w:p w14:paraId="0000000C" w14:textId="5BC81AD6" w:rsidR="00525158" w:rsidRPr="009D24D1" w:rsidRDefault="004D4AEA">
      <w:pPr>
        <w:pBdr>
          <w:top w:val="nil"/>
          <w:left w:val="nil"/>
          <w:bottom w:val="nil"/>
          <w:right w:val="nil"/>
          <w:between w:val="nil"/>
        </w:pBdr>
        <w:shd w:val="clear" w:color="auto" w:fill="FFFFFF"/>
        <w:spacing w:before="280"/>
        <w:jc w:val="center"/>
        <w:rPr>
          <w:rFonts w:eastAsia="Arial" w:cs="Times New Roman"/>
        </w:rPr>
      </w:pPr>
      <w:r w:rsidRPr="009D24D1">
        <w:rPr>
          <w:rFonts w:eastAsia="Arial" w:cs="Times New Roman"/>
        </w:rPr>
        <w:t xml:space="preserve">september 2024 </w:t>
      </w:r>
    </w:p>
    <w:p w14:paraId="0000000D" w14:textId="77777777" w:rsidR="00525158" w:rsidRPr="009D24D1" w:rsidRDefault="00525158">
      <w:pPr>
        <w:pBdr>
          <w:top w:val="nil"/>
          <w:left w:val="nil"/>
          <w:bottom w:val="nil"/>
          <w:right w:val="nil"/>
          <w:between w:val="nil"/>
        </w:pBdr>
        <w:shd w:val="clear" w:color="auto" w:fill="FFFFFF"/>
        <w:spacing w:before="280"/>
        <w:jc w:val="both"/>
        <w:rPr>
          <w:rFonts w:eastAsia="Arial" w:cs="Times New Roman"/>
        </w:rPr>
      </w:pPr>
    </w:p>
    <w:p w14:paraId="0000000E" w14:textId="77777777" w:rsidR="00525158" w:rsidRPr="009D24D1" w:rsidRDefault="00525158">
      <w:pPr>
        <w:pBdr>
          <w:top w:val="nil"/>
          <w:left w:val="nil"/>
          <w:bottom w:val="nil"/>
          <w:right w:val="nil"/>
          <w:between w:val="nil"/>
        </w:pBdr>
        <w:shd w:val="clear" w:color="auto" w:fill="FFFFFF"/>
        <w:spacing w:before="280"/>
        <w:jc w:val="both"/>
        <w:rPr>
          <w:rFonts w:eastAsia="Arial" w:cs="Times New Roman"/>
        </w:rPr>
      </w:pPr>
    </w:p>
    <w:p w14:paraId="0000000F" w14:textId="77777777" w:rsidR="00525158" w:rsidRPr="009D24D1" w:rsidRDefault="00525158">
      <w:pPr>
        <w:pBdr>
          <w:top w:val="nil"/>
          <w:left w:val="nil"/>
          <w:bottom w:val="nil"/>
          <w:right w:val="nil"/>
          <w:between w:val="nil"/>
        </w:pBdr>
        <w:shd w:val="clear" w:color="auto" w:fill="FFFFFF"/>
        <w:spacing w:before="280"/>
        <w:jc w:val="both"/>
        <w:rPr>
          <w:rFonts w:eastAsia="Arial" w:cs="Times New Roman"/>
        </w:rPr>
      </w:pPr>
    </w:p>
    <w:p w14:paraId="00000010" w14:textId="77777777" w:rsidR="00525158" w:rsidRPr="009D24D1" w:rsidRDefault="00525158">
      <w:pPr>
        <w:pBdr>
          <w:top w:val="nil"/>
          <w:left w:val="nil"/>
          <w:bottom w:val="nil"/>
          <w:right w:val="nil"/>
          <w:between w:val="nil"/>
        </w:pBdr>
        <w:shd w:val="clear" w:color="auto" w:fill="FFFFFF"/>
        <w:spacing w:before="280"/>
        <w:jc w:val="both"/>
        <w:rPr>
          <w:rFonts w:eastAsia="Arial" w:cs="Times New Roman"/>
        </w:rPr>
      </w:pPr>
    </w:p>
    <w:p w14:paraId="00000011" w14:textId="77777777" w:rsidR="00525158" w:rsidRPr="009D24D1" w:rsidRDefault="00525158">
      <w:pPr>
        <w:pBdr>
          <w:top w:val="nil"/>
          <w:left w:val="nil"/>
          <w:bottom w:val="nil"/>
          <w:right w:val="nil"/>
          <w:between w:val="nil"/>
        </w:pBdr>
        <w:shd w:val="clear" w:color="auto" w:fill="FFFFFF"/>
        <w:spacing w:before="280"/>
        <w:jc w:val="both"/>
        <w:rPr>
          <w:rFonts w:eastAsia="Arial" w:cs="Times New Roman"/>
        </w:rPr>
      </w:pPr>
    </w:p>
    <w:p w14:paraId="00000012" w14:textId="77777777" w:rsidR="00525158" w:rsidRPr="009D24D1" w:rsidRDefault="00525158">
      <w:pPr>
        <w:pBdr>
          <w:top w:val="nil"/>
          <w:left w:val="nil"/>
          <w:bottom w:val="nil"/>
          <w:right w:val="nil"/>
          <w:between w:val="nil"/>
        </w:pBdr>
        <w:shd w:val="clear" w:color="auto" w:fill="FFFFFF"/>
        <w:spacing w:before="280"/>
        <w:jc w:val="both"/>
        <w:rPr>
          <w:rFonts w:eastAsia="Arial" w:cs="Times New Roman"/>
        </w:rPr>
      </w:pPr>
    </w:p>
    <w:p w14:paraId="00000013" w14:textId="77777777" w:rsidR="00525158" w:rsidRPr="009D24D1" w:rsidRDefault="004D4AEA">
      <w:pPr>
        <w:shd w:val="clear" w:color="auto" w:fill="FFFFFF"/>
        <w:spacing w:before="240" w:after="240"/>
        <w:jc w:val="both"/>
        <w:rPr>
          <w:rFonts w:eastAsia="Arial" w:cs="Times New Roman"/>
          <w:b/>
        </w:rPr>
      </w:pPr>
      <w:r w:rsidRPr="009D24D1">
        <w:rPr>
          <w:rFonts w:eastAsia="Arial" w:cs="Times New Roman"/>
        </w:rPr>
        <w:t xml:space="preserve">Analiza je nastala v okviru ciljnega raziskovalnega projekta V5-2376: </w:t>
      </w:r>
      <w:r w:rsidRPr="009D24D1">
        <w:rPr>
          <w:rFonts w:eastAsia="Arial" w:cs="Times New Roman"/>
          <w:b/>
        </w:rPr>
        <w:t>Skladnost politik za (trajnostni) razvoj – presoja učinkov slovenskih nacionalnih politik na države v razvoju in na trajnostni razvoj RS</w:t>
      </w:r>
    </w:p>
    <w:p w14:paraId="00000014" w14:textId="60493CE7" w:rsidR="00525158" w:rsidRPr="009D24D1" w:rsidRDefault="004D4AEA">
      <w:pPr>
        <w:pBdr>
          <w:top w:val="nil"/>
          <w:left w:val="nil"/>
          <w:bottom w:val="nil"/>
          <w:right w:val="nil"/>
          <w:between w:val="nil"/>
        </w:pBdr>
        <w:shd w:val="clear" w:color="auto" w:fill="FFFFFF"/>
        <w:jc w:val="both"/>
        <w:rPr>
          <w:rFonts w:eastAsia="Arial" w:cs="Times New Roman"/>
        </w:rPr>
      </w:pPr>
      <w:r w:rsidRPr="009D24D1">
        <w:rPr>
          <w:rFonts w:eastAsia="Arial" w:cs="Times New Roman"/>
        </w:rPr>
        <w:t xml:space="preserve">vodja projekta: </w:t>
      </w:r>
      <w:r w:rsidR="004867CB" w:rsidRPr="009D24D1">
        <w:rPr>
          <w:rFonts w:eastAsia="Arial" w:cs="Times New Roman"/>
        </w:rPr>
        <w:t xml:space="preserve">doc. </w:t>
      </w:r>
      <w:r w:rsidRPr="009D24D1">
        <w:rPr>
          <w:rFonts w:eastAsia="Arial" w:cs="Times New Roman"/>
        </w:rPr>
        <w:t>dr. Jana Arbeiter</w:t>
      </w:r>
    </w:p>
    <w:p w14:paraId="00000015" w14:textId="06040ADC" w:rsidR="00525158" w:rsidRPr="009D24D1" w:rsidRDefault="004D4AEA">
      <w:pPr>
        <w:shd w:val="clear" w:color="auto" w:fill="FFFFFF"/>
        <w:jc w:val="both"/>
        <w:rPr>
          <w:rFonts w:eastAsia="Arial" w:cs="Times New Roman"/>
        </w:rPr>
      </w:pPr>
      <w:r w:rsidRPr="009D24D1">
        <w:rPr>
          <w:rFonts w:eastAsia="Arial" w:cs="Times New Roman"/>
        </w:rPr>
        <w:t xml:space="preserve">projektna skupina: </w:t>
      </w:r>
      <w:r w:rsidR="004867CB" w:rsidRPr="009D24D1">
        <w:rPr>
          <w:rFonts w:eastAsia="Arial" w:cs="Times New Roman"/>
        </w:rPr>
        <w:t xml:space="preserve">doc. </w:t>
      </w:r>
      <w:r w:rsidRPr="009D24D1">
        <w:rPr>
          <w:rFonts w:eastAsia="Arial" w:cs="Times New Roman"/>
        </w:rPr>
        <w:t>dr. Jana Arbeiter</w:t>
      </w:r>
      <w:r w:rsidR="009D24D1" w:rsidRPr="009D24D1">
        <w:rPr>
          <w:rFonts w:eastAsia="Arial" w:cs="Times New Roman"/>
        </w:rPr>
        <w:t xml:space="preserve"> (Fakulteta za družbene vede)</w:t>
      </w:r>
      <w:r w:rsidRPr="009D24D1">
        <w:rPr>
          <w:rFonts w:eastAsia="Arial" w:cs="Times New Roman"/>
        </w:rPr>
        <w:t xml:space="preserve">, </w:t>
      </w:r>
      <w:r w:rsidR="004867CB" w:rsidRPr="009D24D1">
        <w:rPr>
          <w:rFonts w:eastAsia="Arial" w:cs="Times New Roman"/>
        </w:rPr>
        <w:t xml:space="preserve">zasl. prof. </w:t>
      </w:r>
      <w:r w:rsidRPr="009D24D1">
        <w:rPr>
          <w:rFonts w:eastAsia="Arial" w:cs="Times New Roman"/>
        </w:rPr>
        <w:t>dr. Maja Bučar</w:t>
      </w:r>
      <w:r w:rsidR="009D24D1" w:rsidRPr="009D24D1">
        <w:rPr>
          <w:rFonts w:eastAsia="Arial" w:cs="Times New Roman"/>
        </w:rPr>
        <w:t xml:space="preserve"> (Fakulteta za družbene vede)</w:t>
      </w:r>
      <w:r w:rsidRPr="009D24D1">
        <w:rPr>
          <w:rFonts w:eastAsia="Arial" w:cs="Times New Roman"/>
        </w:rPr>
        <w:t>, dr. Ana Frank</w:t>
      </w:r>
      <w:r w:rsidR="009D24D1" w:rsidRPr="009D24D1">
        <w:rPr>
          <w:rFonts w:eastAsia="Arial" w:cs="Times New Roman"/>
        </w:rPr>
        <w:t xml:space="preserve"> (Mirovni inštitut)</w:t>
      </w:r>
      <w:r w:rsidRPr="009D24D1">
        <w:rPr>
          <w:rFonts w:eastAsia="Arial" w:cs="Times New Roman"/>
        </w:rPr>
        <w:t>, dr. Maja Ladić</w:t>
      </w:r>
      <w:r w:rsidR="009D24D1" w:rsidRPr="009D24D1">
        <w:rPr>
          <w:rFonts w:eastAsia="Arial" w:cs="Times New Roman"/>
        </w:rPr>
        <w:t xml:space="preserve"> (Mirovni iništitut)</w:t>
      </w:r>
    </w:p>
    <w:p w14:paraId="00000016" w14:textId="77777777" w:rsidR="00525158" w:rsidRPr="009D24D1" w:rsidRDefault="004D4AEA">
      <w:pPr>
        <w:pBdr>
          <w:top w:val="nil"/>
          <w:left w:val="nil"/>
          <w:bottom w:val="nil"/>
          <w:right w:val="nil"/>
          <w:between w:val="nil"/>
        </w:pBdr>
        <w:shd w:val="clear" w:color="auto" w:fill="FFFFFF"/>
        <w:jc w:val="both"/>
        <w:rPr>
          <w:rFonts w:eastAsia="Arial" w:cs="Times New Roman"/>
        </w:rPr>
      </w:pPr>
      <w:r w:rsidRPr="009D24D1">
        <w:rPr>
          <w:rFonts w:eastAsia="Arial" w:cs="Times New Roman"/>
        </w:rPr>
        <w:t>financerji: Javna agencija za znanstvenoraziskovalno in inovacijsko dejavnost Republike slovenije (ARIS) in Ministrstvo za zunanje in evropske zadeve (MZEZ)</w:t>
      </w:r>
    </w:p>
    <w:p w14:paraId="00000017" w14:textId="77777777" w:rsidR="00525158" w:rsidRPr="009D24D1" w:rsidRDefault="004D4AEA">
      <w:pPr>
        <w:pBdr>
          <w:top w:val="nil"/>
          <w:left w:val="nil"/>
          <w:bottom w:val="nil"/>
          <w:right w:val="nil"/>
          <w:between w:val="nil"/>
        </w:pBdr>
        <w:shd w:val="clear" w:color="auto" w:fill="FFFFFF"/>
        <w:jc w:val="both"/>
        <w:rPr>
          <w:rFonts w:eastAsia="Arial" w:cs="Times New Roman"/>
        </w:rPr>
      </w:pPr>
      <w:r w:rsidRPr="009D24D1">
        <w:rPr>
          <w:rFonts w:eastAsia="Arial" w:cs="Times New Roman"/>
        </w:rPr>
        <w:t xml:space="preserve"> </w:t>
      </w:r>
    </w:p>
    <w:sdt>
      <w:sdtPr>
        <w:rPr>
          <w:rFonts w:ascii="Times New Roman" w:eastAsia="Aptos" w:hAnsi="Times New Roman" w:cs="Times New Roman"/>
          <w:color w:val="auto"/>
          <w:sz w:val="24"/>
          <w:szCs w:val="24"/>
        </w:rPr>
        <w:id w:val="1331796964"/>
        <w:docPartObj>
          <w:docPartGallery w:val="Table of Contents"/>
          <w:docPartUnique/>
        </w:docPartObj>
      </w:sdtPr>
      <w:sdtEndPr>
        <w:rPr>
          <w:rFonts w:cs="Aptos"/>
          <w:b/>
          <w:bCs/>
        </w:rPr>
      </w:sdtEndPr>
      <w:sdtContent>
        <w:p w14:paraId="2323A6BF" w14:textId="4EF10652" w:rsidR="0028019D" w:rsidRPr="009D24D1" w:rsidRDefault="0028019D">
          <w:pPr>
            <w:pStyle w:val="TOCHeading"/>
            <w:rPr>
              <w:rFonts w:ascii="Times New Roman" w:hAnsi="Times New Roman" w:cs="Times New Roman"/>
            </w:rPr>
          </w:pPr>
          <w:r w:rsidRPr="009D24D1">
            <w:rPr>
              <w:rFonts w:ascii="Times New Roman" w:hAnsi="Times New Roman" w:cs="Times New Roman"/>
            </w:rPr>
            <w:t>Kazalo</w:t>
          </w:r>
        </w:p>
        <w:p w14:paraId="1CAC6605" w14:textId="77777777" w:rsidR="00D26451" w:rsidRPr="009D24D1" w:rsidRDefault="00D26451" w:rsidP="00D26451">
          <w:pPr>
            <w:rPr>
              <w:rFonts w:cs="Times New Roman"/>
            </w:rPr>
          </w:pPr>
        </w:p>
        <w:p w14:paraId="09298014" w14:textId="4B6167AC" w:rsidR="00BE7730" w:rsidRDefault="0028019D">
          <w:pPr>
            <w:pStyle w:val="TOC1"/>
            <w:tabs>
              <w:tab w:val="left" w:pos="440"/>
              <w:tab w:val="right" w:leader="dot" w:pos="9062"/>
            </w:tabs>
            <w:rPr>
              <w:rFonts w:cstheme="minorBidi"/>
              <w:noProof/>
              <w:kern w:val="2"/>
              <w:sz w:val="24"/>
              <w:szCs w:val="24"/>
              <w:lang w:eastAsia="en-GB"/>
              <w14:ligatures w14:val="standardContextual"/>
            </w:rPr>
          </w:pPr>
          <w:r w:rsidRPr="009D24D1">
            <w:rPr>
              <w:rFonts w:ascii="Times New Roman" w:hAnsi="Times New Roman"/>
            </w:rPr>
            <w:fldChar w:fldCharType="begin"/>
          </w:r>
          <w:r w:rsidRPr="009D24D1">
            <w:rPr>
              <w:rFonts w:ascii="Times New Roman" w:hAnsi="Times New Roman"/>
            </w:rPr>
            <w:instrText xml:space="preserve"> TOC \o "1-4" \h \z \u </w:instrText>
          </w:r>
          <w:r w:rsidRPr="009D24D1">
            <w:rPr>
              <w:rFonts w:ascii="Times New Roman" w:hAnsi="Times New Roman"/>
            </w:rPr>
            <w:fldChar w:fldCharType="separate"/>
          </w:r>
          <w:hyperlink w:anchor="_Toc205412928" w:history="1">
            <w:r w:rsidR="00BE7730" w:rsidRPr="005853B1">
              <w:rPr>
                <w:rStyle w:val="Hyperlink"/>
                <w:rFonts w:ascii="Times New Roman" w:hAnsi="Times New Roman"/>
                <w:b/>
                <w:bCs/>
                <w:noProof/>
              </w:rPr>
              <w:t>1.</w:t>
            </w:r>
            <w:r w:rsidR="00BE7730">
              <w:rPr>
                <w:rFonts w:cstheme="minorBidi"/>
                <w:noProof/>
                <w:kern w:val="2"/>
                <w:sz w:val="24"/>
                <w:szCs w:val="24"/>
                <w:lang w:eastAsia="en-GB"/>
                <w14:ligatures w14:val="standardContextual"/>
              </w:rPr>
              <w:tab/>
            </w:r>
            <w:r w:rsidR="00BE7730" w:rsidRPr="005853B1">
              <w:rPr>
                <w:rStyle w:val="Hyperlink"/>
                <w:rFonts w:ascii="Times New Roman" w:hAnsi="Times New Roman"/>
                <w:b/>
                <w:bCs/>
                <w:noProof/>
              </w:rPr>
              <w:t xml:space="preserve">UVOD V ANALIZO IN MEDNARODNI OKVIR </w:t>
            </w:r>
            <w:r w:rsidR="00BE7730">
              <w:rPr>
                <w:noProof/>
                <w:webHidden/>
              </w:rPr>
              <w:tab/>
            </w:r>
            <w:r w:rsidR="00BE7730">
              <w:rPr>
                <w:noProof/>
                <w:webHidden/>
              </w:rPr>
              <w:fldChar w:fldCharType="begin"/>
            </w:r>
            <w:r w:rsidR="00BE7730">
              <w:rPr>
                <w:noProof/>
                <w:webHidden/>
              </w:rPr>
              <w:instrText xml:space="preserve"> PAGEREF _Toc205412928 \h </w:instrText>
            </w:r>
            <w:r w:rsidR="00BE7730">
              <w:rPr>
                <w:noProof/>
                <w:webHidden/>
              </w:rPr>
            </w:r>
            <w:r w:rsidR="00BE7730">
              <w:rPr>
                <w:noProof/>
                <w:webHidden/>
              </w:rPr>
              <w:fldChar w:fldCharType="separate"/>
            </w:r>
            <w:r w:rsidR="00BE7730">
              <w:rPr>
                <w:noProof/>
                <w:webHidden/>
              </w:rPr>
              <w:t>2</w:t>
            </w:r>
            <w:r w:rsidR="00BE7730">
              <w:rPr>
                <w:noProof/>
                <w:webHidden/>
              </w:rPr>
              <w:fldChar w:fldCharType="end"/>
            </w:r>
          </w:hyperlink>
        </w:p>
        <w:p w14:paraId="18233777" w14:textId="6CFBC04F" w:rsidR="00BE7730" w:rsidRDefault="005800DE">
          <w:pPr>
            <w:pStyle w:val="TOC1"/>
            <w:tabs>
              <w:tab w:val="left" w:pos="440"/>
              <w:tab w:val="right" w:leader="dot" w:pos="9062"/>
            </w:tabs>
            <w:rPr>
              <w:rFonts w:cstheme="minorBidi"/>
              <w:noProof/>
              <w:kern w:val="2"/>
              <w:sz w:val="24"/>
              <w:szCs w:val="24"/>
              <w:lang w:eastAsia="en-GB"/>
              <w14:ligatures w14:val="standardContextual"/>
            </w:rPr>
          </w:pPr>
          <w:hyperlink w:anchor="_Toc205412929" w:history="1">
            <w:r w:rsidR="00BE7730" w:rsidRPr="005853B1">
              <w:rPr>
                <w:rStyle w:val="Hyperlink"/>
                <w:rFonts w:ascii="Times New Roman" w:hAnsi="Times New Roman"/>
                <w:b/>
                <w:bCs/>
                <w:noProof/>
              </w:rPr>
              <w:t>2.</w:t>
            </w:r>
            <w:r w:rsidR="00BE7730">
              <w:rPr>
                <w:rFonts w:cstheme="minorBidi"/>
                <w:noProof/>
                <w:kern w:val="2"/>
                <w:sz w:val="24"/>
                <w:szCs w:val="24"/>
                <w:lang w:eastAsia="en-GB"/>
                <w14:ligatures w14:val="standardContextual"/>
              </w:rPr>
              <w:tab/>
            </w:r>
            <w:r w:rsidR="00BE7730" w:rsidRPr="005853B1">
              <w:rPr>
                <w:rStyle w:val="Hyperlink"/>
                <w:rFonts w:ascii="Times New Roman" w:hAnsi="Times New Roman"/>
                <w:b/>
                <w:bCs/>
                <w:noProof/>
              </w:rPr>
              <w:t>METODOLOGIJA IN PREGLED LITERATURE</w:t>
            </w:r>
            <w:r w:rsidR="00BE7730">
              <w:rPr>
                <w:noProof/>
                <w:webHidden/>
              </w:rPr>
              <w:tab/>
            </w:r>
            <w:r w:rsidR="00BE7730">
              <w:rPr>
                <w:noProof/>
                <w:webHidden/>
              </w:rPr>
              <w:fldChar w:fldCharType="begin"/>
            </w:r>
            <w:r w:rsidR="00BE7730">
              <w:rPr>
                <w:noProof/>
                <w:webHidden/>
              </w:rPr>
              <w:instrText xml:space="preserve"> PAGEREF _Toc205412929 \h </w:instrText>
            </w:r>
            <w:r w:rsidR="00BE7730">
              <w:rPr>
                <w:noProof/>
                <w:webHidden/>
              </w:rPr>
            </w:r>
            <w:r w:rsidR="00BE7730">
              <w:rPr>
                <w:noProof/>
                <w:webHidden/>
              </w:rPr>
              <w:fldChar w:fldCharType="separate"/>
            </w:r>
            <w:r w:rsidR="00BE7730">
              <w:rPr>
                <w:noProof/>
                <w:webHidden/>
              </w:rPr>
              <w:t>5</w:t>
            </w:r>
            <w:r w:rsidR="00BE7730">
              <w:rPr>
                <w:noProof/>
                <w:webHidden/>
              </w:rPr>
              <w:fldChar w:fldCharType="end"/>
            </w:r>
          </w:hyperlink>
        </w:p>
        <w:p w14:paraId="1A138C8D" w14:textId="06ADA70B" w:rsidR="00BE7730" w:rsidRDefault="005800DE">
          <w:pPr>
            <w:pStyle w:val="TOC2"/>
            <w:tabs>
              <w:tab w:val="right" w:leader="dot" w:pos="9062"/>
            </w:tabs>
            <w:rPr>
              <w:rFonts w:cstheme="minorBidi"/>
              <w:noProof/>
              <w:kern w:val="2"/>
              <w:sz w:val="24"/>
              <w:szCs w:val="24"/>
              <w:lang w:eastAsia="en-GB"/>
              <w14:ligatures w14:val="standardContextual"/>
            </w:rPr>
          </w:pPr>
          <w:hyperlink w:anchor="_Toc205412930" w:history="1">
            <w:r w:rsidR="00BE7730" w:rsidRPr="005853B1">
              <w:rPr>
                <w:rStyle w:val="Hyperlink"/>
                <w:rFonts w:ascii="Times New Roman" w:hAnsi="Times New Roman"/>
                <w:b/>
                <w:bCs/>
                <w:noProof/>
              </w:rPr>
              <w:t>2.1 Metodologija analize</w:t>
            </w:r>
            <w:r w:rsidR="00BE7730">
              <w:rPr>
                <w:noProof/>
                <w:webHidden/>
              </w:rPr>
              <w:tab/>
            </w:r>
            <w:r w:rsidR="00BE7730">
              <w:rPr>
                <w:noProof/>
                <w:webHidden/>
              </w:rPr>
              <w:fldChar w:fldCharType="begin"/>
            </w:r>
            <w:r w:rsidR="00BE7730">
              <w:rPr>
                <w:noProof/>
                <w:webHidden/>
              </w:rPr>
              <w:instrText xml:space="preserve"> PAGEREF _Toc205412930 \h </w:instrText>
            </w:r>
            <w:r w:rsidR="00BE7730">
              <w:rPr>
                <w:noProof/>
                <w:webHidden/>
              </w:rPr>
            </w:r>
            <w:r w:rsidR="00BE7730">
              <w:rPr>
                <w:noProof/>
                <w:webHidden/>
              </w:rPr>
              <w:fldChar w:fldCharType="separate"/>
            </w:r>
            <w:r w:rsidR="00BE7730">
              <w:rPr>
                <w:noProof/>
                <w:webHidden/>
              </w:rPr>
              <w:t>5</w:t>
            </w:r>
            <w:r w:rsidR="00BE7730">
              <w:rPr>
                <w:noProof/>
                <w:webHidden/>
              </w:rPr>
              <w:fldChar w:fldCharType="end"/>
            </w:r>
          </w:hyperlink>
        </w:p>
        <w:p w14:paraId="7B03B929" w14:textId="5C9872D1" w:rsidR="00BE7730" w:rsidRDefault="005800DE">
          <w:pPr>
            <w:pStyle w:val="TOC2"/>
            <w:tabs>
              <w:tab w:val="right" w:leader="dot" w:pos="9062"/>
            </w:tabs>
            <w:rPr>
              <w:rFonts w:cstheme="minorBidi"/>
              <w:noProof/>
              <w:kern w:val="2"/>
              <w:sz w:val="24"/>
              <w:szCs w:val="24"/>
              <w:lang w:eastAsia="en-GB"/>
              <w14:ligatures w14:val="standardContextual"/>
            </w:rPr>
          </w:pPr>
          <w:hyperlink w:anchor="_Toc205412931" w:history="1">
            <w:r w:rsidR="00BE7730" w:rsidRPr="005853B1">
              <w:rPr>
                <w:rStyle w:val="Hyperlink"/>
                <w:rFonts w:ascii="Times New Roman" w:hAnsi="Times New Roman"/>
                <w:b/>
                <w:bCs/>
                <w:noProof/>
              </w:rPr>
              <w:t>2.2 Pregled obstoječih raziskav in relevantne literature</w:t>
            </w:r>
            <w:r w:rsidR="00BE7730">
              <w:rPr>
                <w:noProof/>
                <w:webHidden/>
              </w:rPr>
              <w:tab/>
            </w:r>
            <w:r w:rsidR="00BE7730">
              <w:rPr>
                <w:noProof/>
                <w:webHidden/>
              </w:rPr>
              <w:fldChar w:fldCharType="begin"/>
            </w:r>
            <w:r w:rsidR="00BE7730">
              <w:rPr>
                <w:noProof/>
                <w:webHidden/>
              </w:rPr>
              <w:instrText xml:space="preserve"> PAGEREF _Toc205412931 \h </w:instrText>
            </w:r>
            <w:r w:rsidR="00BE7730">
              <w:rPr>
                <w:noProof/>
                <w:webHidden/>
              </w:rPr>
            </w:r>
            <w:r w:rsidR="00BE7730">
              <w:rPr>
                <w:noProof/>
                <w:webHidden/>
              </w:rPr>
              <w:fldChar w:fldCharType="separate"/>
            </w:r>
            <w:r w:rsidR="00BE7730">
              <w:rPr>
                <w:noProof/>
                <w:webHidden/>
              </w:rPr>
              <w:t>5</w:t>
            </w:r>
            <w:r w:rsidR="00BE7730">
              <w:rPr>
                <w:noProof/>
                <w:webHidden/>
              </w:rPr>
              <w:fldChar w:fldCharType="end"/>
            </w:r>
          </w:hyperlink>
        </w:p>
        <w:p w14:paraId="58E36616" w14:textId="02FD006C" w:rsidR="00BE7730" w:rsidRDefault="005800DE">
          <w:pPr>
            <w:pStyle w:val="TOC1"/>
            <w:tabs>
              <w:tab w:val="right" w:leader="dot" w:pos="9062"/>
            </w:tabs>
            <w:rPr>
              <w:rFonts w:cstheme="minorBidi"/>
              <w:noProof/>
              <w:kern w:val="2"/>
              <w:sz w:val="24"/>
              <w:szCs w:val="24"/>
              <w:lang w:eastAsia="en-GB"/>
              <w14:ligatures w14:val="standardContextual"/>
            </w:rPr>
          </w:pPr>
          <w:hyperlink w:anchor="_Toc205412932" w:history="1">
            <w:r w:rsidR="00BE7730" w:rsidRPr="005853B1">
              <w:rPr>
                <w:rStyle w:val="Hyperlink"/>
                <w:rFonts w:ascii="Times New Roman" w:hAnsi="Times New Roman"/>
                <w:b/>
                <w:bCs/>
                <w:noProof/>
              </w:rPr>
              <w:t>3. SKLADNOST POLITIK V SLOVENIJI</w:t>
            </w:r>
            <w:r w:rsidR="00BE7730">
              <w:rPr>
                <w:noProof/>
                <w:webHidden/>
              </w:rPr>
              <w:tab/>
            </w:r>
            <w:r w:rsidR="00BE7730">
              <w:rPr>
                <w:noProof/>
                <w:webHidden/>
              </w:rPr>
              <w:fldChar w:fldCharType="begin"/>
            </w:r>
            <w:r w:rsidR="00BE7730">
              <w:rPr>
                <w:noProof/>
                <w:webHidden/>
              </w:rPr>
              <w:instrText xml:space="preserve"> PAGEREF _Toc205412932 \h </w:instrText>
            </w:r>
            <w:r w:rsidR="00BE7730">
              <w:rPr>
                <w:noProof/>
                <w:webHidden/>
              </w:rPr>
            </w:r>
            <w:r w:rsidR="00BE7730">
              <w:rPr>
                <w:noProof/>
                <w:webHidden/>
              </w:rPr>
              <w:fldChar w:fldCharType="separate"/>
            </w:r>
            <w:r w:rsidR="00BE7730">
              <w:rPr>
                <w:noProof/>
                <w:webHidden/>
              </w:rPr>
              <w:t>10</w:t>
            </w:r>
            <w:r w:rsidR="00BE7730">
              <w:rPr>
                <w:noProof/>
                <w:webHidden/>
              </w:rPr>
              <w:fldChar w:fldCharType="end"/>
            </w:r>
          </w:hyperlink>
        </w:p>
        <w:p w14:paraId="26D02E23" w14:textId="5BF558EC" w:rsidR="00BE7730" w:rsidRDefault="005800DE">
          <w:pPr>
            <w:pStyle w:val="TOC2"/>
            <w:tabs>
              <w:tab w:val="right" w:leader="dot" w:pos="9062"/>
            </w:tabs>
            <w:rPr>
              <w:rFonts w:cstheme="minorBidi"/>
              <w:noProof/>
              <w:kern w:val="2"/>
              <w:sz w:val="24"/>
              <w:szCs w:val="24"/>
              <w:lang w:eastAsia="en-GB"/>
              <w14:ligatures w14:val="standardContextual"/>
            </w:rPr>
          </w:pPr>
          <w:hyperlink w:anchor="_Toc205412933" w:history="1">
            <w:r w:rsidR="00BE7730" w:rsidRPr="005853B1">
              <w:rPr>
                <w:rStyle w:val="Hyperlink"/>
                <w:rFonts w:ascii="Times New Roman" w:hAnsi="Times New Roman"/>
                <w:b/>
                <w:bCs/>
                <w:noProof/>
              </w:rPr>
              <w:t>3.1 Zakonodajni in strateški okvir Slovenije na področju MRS</w:t>
            </w:r>
            <w:r w:rsidR="00BE7730">
              <w:rPr>
                <w:noProof/>
                <w:webHidden/>
              </w:rPr>
              <w:tab/>
            </w:r>
            <w:r w:rsidR="00BE7730">
              <w:rPr>
                <w:noProof/>
                <w:webHidden/>
              </w:rPr>
              <w:fldChar w:fldCharType="begin"/>
            </w:r>
            <w:r w:rsidR="00BE7730">
              <w:rPr>
                <w:noProof/>
                <w:webHidden/>
              </w:rPr>
              <w:instrText xml:space="preserve"> PAGEREF _Toc205412933 \h </w:instrText>
            </w:r>
            <w:r w:rsidR="00BE7730">
              <w:rPr>
                <w:noProof/>
                <w:webHidden/>
              </w:rPr>
            </w:r>
            <w:r w:rsidR="00BE7730">
              <w:rPr>
                <w:noProof/>
                <w:webHidden/>
              </w:rPr>
              <w:fldChar w:fldCharType="separate"/>
            </w:r>
            <w:r w:rsidR="00BE7730">
              <w:rPr>
                <w:noProof/>
                <w:webHidden/>
              </w:rPr>
              <w:t>10</w:t>
            </w:r>
            <w:r w:rsidR="00BE7730">
              <w:rPr>
                <w:noProof/>
                <w:webHidden/>
              </w:rPr>
              <w:fldChar w:fldCharType="end"/>
            </w:r>
          </w:hyperlink>
        </w:p>
        <w:p w14:paraId="1B86CDE2" w14:textId="58354B47" w:rsidR="00BE7730" w:rsidRDefault="005800DE">
          <w:pPr>
            <w:pStyle w:val="TOC2"/>
            <w:tabs>
              <w:tab w:val="right" w:leader="dot" w:pos="9062"/>
            </w:tabs>
            <w:rPr>
              <w:rFonts w:cstheme="minorBidi"/>
              <w:noProof/>
              <w:kern w:val="2"/>
              <w:sz w:val="24"/>
              <w:szCs w:val="24"/>
              <w:lang w:eastAsia="en-GB"/>
              <w14:ligatures w14:val="standardContextual"/>
            </w:rPr>
          </w:pPr>
          <w:hyperlink w:anchor="_Toc205412934" w:history="1">
            <w:r w:rsidR="00BE7730" w:rsidRPr="005853B1">
              <w:rPr>
                <w:rStyle w:val="Hyperlink"/>
                <w:rFonts w:ascii="Times New Roman" w:hAnsi="Times New Roman"/>
                <w:b/>
                <w:bCs/>
                <w:noProof/>
              </w:rPr>
              <w:t>3.2 Ocene vključevanja načela SPR</w:t>
            </w:r>
            <w:r w:rsidR="00BE7730">
              <w:rPr>
                <w:noProof/>
                <w:webHidden/>
              </w:rPr>
              <w:tab/>
            </w:r>
            <w:r w:rsidR="00BE7730">
              <w:rPr>
                <w:noProof/>
                <w:webHidden/>
              </w:rPr>
              <w:fldChar w:fldCharType="begin"/>
            </w:r>
            <w:r w:rsidR="00BE7730">
              <w:rPr>
                <w:noProof/>
                <w:webHidden/>
              </w:rPr>
              <w:instrText xml:space="preserve"> PAGEREF _Toc205412934 \h </w:instrText>
            </w:r>
            <w:r w:rsidR="00BE7730">
              <w:rPr>
                <w:noProof/>
                <w:webHidden/>
              </w:rPr>
            </w:r>
            <w:r w:rsidR="00BE7730">
              <w:rPr>
                <w:noProof/>
                <w:webHidden/>
              </w:rPr>
              <w:fldChar w:fldCharType="separate"/>
            </w:r>
            <w:r w:rsidR="00BE7730">
              <w:rPr>
                <w:noProof/>
                <w:webHidden/>
              </w:rPr>
              <w:t>12</w:t>
            </w:r>
            <w:r w:rsidR="00BE7730">
              <w:rPr>
                <w:noProof/>
                <w:webHidden/>
              </w:rPr>
              <w:fldChar w:fldCharType="end"/>
            </w:r>
          </w:hyperlink>
        </w:p>
        <w:p w14:paraId="1D95106D" w14:textId="30F355DE" w:rsidR="00BE7730" w:rsidRDefault="005800DE">
          <w:pPr>
            <w:pStyle w:val="TOC3"/>
            <w:tabs>
              <w:tab w:val="right" w:leader="dot" w:pos="9062"/>
            </w:tabs>
            <w:rPr>
              <w:rFonts w:cstheme="minorBidi"/>
              <w:noProof/>
              <w:kern w:val="2"/>
              <w:sz w:val="24"/>
              <w:szCs w:val="24"/>
              <w:lang w:eastAsia="en-GB"/>
              <w14:ligatures w14:val="standardContextual"/>
            </w:rPr>
          </w:pPr>
          <w:hyperlink w:anchor="_Toc205412935" w:history="1">
            <w:r w:rsidR="00BE7730" w:rsidRPr="005853B1">
              <w:rPr>
                <w:rStyle w:val="Hyperlink"/>
                <w:b/>
                <w:bCs/>
                <w:i/>
                <w:iCs/>
                <w:noProof/>
              </w:rPr>
              <w:t>OECD DAC</w:t>
            </w:r>
            <w:r w:rsidR="00BE7730">
              <w:rPr>
                <w:noProof/>
                <w:webHidden/>
              </w:rPr>
              <w:tab/>
            </w:r>
            <w:r w:rsidR="00BE7730">
              <w:rPr>
                <w:noProof/>
                <w:webHidden/>
              </w:rPr>
              <w:fldChar w:fldCharType="begin"/>
            </w:r>
            <w:r w:rsidR="00BE7730">
              <w:rPr>
                <w:noProof/>
                <w:webHidden/>
              </w:rPr>
              <w:instrText xml:space="preserve"> PAGEREF _Toc205412935 \h </w:instrText>
            </w:r>
            <w:r w:rsidR="00BE7730">
              <w:rPr>
                <w:noProof/>
                <w:webHidden/>
              </w:rPr>
            </w:r>
            <w:r w:rsidR="00BE7730">
              <w:rPr>
                <w:noProof/>
                <w:webHidden/>
              </w:rPr>
              <w:fldChar w:fldCharType="separate"/>
            </w:r>
            <w:r w:rsidR="00BE7730">
              <w:rPr>
                <w:noProof/>
                <w:webHidden/>
              </w:rPr>
              <w:t>12</w:t>
            </w:r>
            <w:r w:rsidR="00BE7730">
              <w:rPr>
                <w:noProof/>
                <w:webHidden/>
              </w:rPr>
              <w:fldChar w:fldCharType="end"/>
            </w:r>
          </w:hyperlink>
        </w:p>
        <w:p w14:paraId="7AA3D759" w14:textId="1C72B4F2" w:rsidR="00BE7730" w:rsidRDefault="005800DE">
          <w:pPr>
            <w:pStyle w:val="TOC3"/>
            <w:tabs>
              <w:tab w:val="right" w:leader="dot" w:pos="9062"/>
            </w:tabs>
            <w:rPr>
              <w:rFonts w:cstheme="minorBidi"/>
              <w:noProof/>
              <w:kern w:val="2"/>
              <w:sz w:val="24"/>
              <w:szCs w:val="24"/>
              <w:lang w:eastAsia="en-GB"/>
              <w14:ligatures w14:val="standardContextual"/>
            </w:rPr>
          </w:pPr>
          <w:hyperlink w:anchor="_Toc205412936" w:history="1">
            <w:r w:rsidR="00BE7730" w:rsidRPr="005853B1">
              <w:rPr>
                <w:rStyle w:val="Hyperlink"/>
                <w:b/>
                <w:bCs/>
                <w:i/>
                <w:iCs/>
                <w:noProof/>
              </w:rPr>
              <w:t>MZEZ</w:t>
            </w:r>
            <w:r w:rsidR="00BE7730">
              <w:rPr>
                <w:noProof/>
                <w:webHidden/>
              </w:rPr>
              <w:tab/>
            </w:r>
            <w:r w:rsidR="00BE7730">
              <w:rPr>
                <w:noProof/>
                <w:webHidden/>
              </w:rPr>
              <w:fldChar w:fldCharType="begin"/>
            </w:r>
            <w:r w:rsidR="00BE7730">
              <w:rPr>
                <w:noProof/>
                <w:webHidden/>
              </w:rPr>
              <w:instrText xml:space="preserve"> PAGEREF _Toc205412936 \h </w:instrText>
            </w:r>
            <w:r w:rsidR="00BE7730">
              <w:rPr>
                <w:noProof/>
                <w:webHidden/>
              </w:rPr>
            </w:r>
            <w:r w:rsidR="00BE7730">
              <w:rPr>
                <w:noProof/>
                <w:webHidden/>
              </w:rPr>
              <w:fldChar w:fldCharType="separate"/>
            </w:r>
            <w:r w:rsidR="00BE7730">
              <w:rPr>
                <w:noProof/>
                <w:webHidden/>
              </w:rPr>
              <w:t>15</w:t>
            </w:r>
            <w:r w:rsidR="00BE7730">
              <w:rPr>
                <w:noProof/>
                <w:webHidden/>
              </w:rPr>
              <w:fldChar w:fldCharType="end"/>
            </w:r>
          </w:hyperlink>
        </w:p>
        <w:p w14:paraId="7A89628C" w14:textId="77E67F74" w:rsidR="00BE7730" w:rsidRDefault="005800DE">
          <w:pPr>
            <w:pStyle w:val="TOC3"/>
            <w:tabs>
              <w:tab w:val="right" w:leader="dot" w:pos="9062"/>
            </w:tabs>
            <w:rPr>
              <w:rFonts w:cstheme="minorBidi"/>
              <w:noProof/>
              <w:kern w:val="2"/>
              <w:sz w:val="24"/>
              <w:szCs w:val="24"/>
              <w:lang w:eastAsia="en-GB"/>
              <w14:ligatures w14:val="standardContextual"/>
            </w:rPr>
          </w:pPr>
          <w:hyperlink w:anchor="_Toc205412937" w:history="1">
            <w:r w:rsidR="00BE7730" w:rsidRPr="005853B1">
              <w:rPr>
                <w:rStyle w:val="Hyperlink"/>
                <w:b/>
                <w:bCs/>
                <w:i/>
                <w:iCs/>
                <w:noProof/>
              </w:rPr>
              <w:t>OCENE NEKATERIH DRUGIH STROKOVNJAKOV_INJ IN NVO</w:t>
            </w:r>
            <w:r w:rsidR="00BE7730">
              <w:rPr>
                <w:noProof/>
                <w:webHidden/>
              </w:rPr>
              <w:tab/>
            </w:r>
            <w:r w:rsidR="00BE7730">
              <w:rPr>
                <w:noProof/>
                <w:webHidden/>
              </w:rPr>
              <w:fldChar w:fldCharType="begin"/>
            </w:r>
            <w:r w:rsidR="00BE7730">
              <w:rPr>
                <w:noProof/>
                <w:webHidden/>
              </w:rPr>
              <w:instrText xml:space="preserve"> PAGEREF _Toc205412937 \h </w:instrText>
            </w:r>
            <w:r w:rsidR="00BE7730">
              <w:rPr>
                <w:noProof/>
                <w:webHidden/>
              </w:rPr>
            </w:r>
            <w:r w:rsidR="00BE7730">
              <w:rPr>
                <w:noProof/>
                <w:webHidden/>
              </w:rPr>
              <w:fldChar w:fldCharType="separate"/>
            </w:r>
            <w:r w:rsidR="00BE7730">
              <w:rPr>
                <w:noProof/>
                <w:webHidden/>
              </w:rPr>
              <w:t>17</w:t>
            </w:r>
            <w:r w:rsidR="00BE7730">
              <w:rPr>
                <w:noProof/>
                <w:webHidden/>
              </w:rPr>
              <w:fldChar w:fldCharType="end"/>
            </w:r>
          </w:hyperlink>
        </w:p>
        <w:p w14:paraId="03968063" w14:textId="4EBC233A" w:rsidR="00BE7730" w:rsidRDefault="005800DE">
          <w:pPr>
            <w:pStyle w:val="TOC2"/>
            <w:tabs>
              <w:tab w:val="right" w:leader="dot" w:pos="9062"/>
            </w:tabs>
            <w:rPr>
              <w:rFonts w:cstheme="minorBidi"/>
              <w:noProof/>
              <w:kern w:val="2"/>
              <w:sz w:val="24"/>
              <w:szCs w:val="24"/>
              <w:lang w:eastAsia="en-GB"/>
              <w14:ligatures w14:val="standardContextual"/>
            </w:rPr>
          </w:pPr>
          <w:hyperlink w:anchor="_Toc205412938" w:history="1">
            <w:r w:rsidR="00BE7730" w:rsidRPr="005853B1">
              <w:rPr>
                <w:rStyle w:val="Hyperlink"/>
                <w:rFonts w:ascii="Times New Roman" w:hAnsi="Times New Roman"/>
                <w:b/>
                <w:bCs/>
                <w:noProof/>
              </w:rPr>
              <w:t>3.3 Premik od skladnosti politik za razvoj k skladnosti politik za trajnostni razvoj</w:t>
            </w:r>
            <w:r w:rsidR="00BE7730">
              <w:rPr>
                <w:noProof/>
                <w:webHidden/>
              </w:rPr>
              <w:tab/>
            </w:r>
            <w:r w:rsidR="00BE7730">
              <w:rPr>
                <w:noProof/>
                <w:webHidden/>
              </w:rPr>
              <w:fldChar w:fldCharType="begin"/>
            </w:r>
            <w:r w:rsidR="00BE7730">
              <w:rPr>
                <w:noProof/>
                <w:webHidden/>
              </w:rPr>
              <w:instrText xml:space="preserve"> PAGEREF _Toc205412938 \h </w:instrText>
            </w:r>
            <w:r w:rsidR="00BE7730">
              <w:rPr>
                <w:noProof/>
                <w:webHidden/>
              </w:rPr>
            </w:r>
            <w:r w:rsidR="00BE7730">
              <w:rPr>
                <w:noProof/>
                <w:webHidden/>
              </w:rPr>
              <w:fldChar w:fldCharType="separate"/>
            </w:r>
            <w:r w:rsidR="00BE7730">
              <w:rPr>
                <w:noProof/>
                <w:webHidden/>
              </w:rPr>
              <w:t>18</w:t>
            </w:r>
            <w:r w:rsidR="00BE7730">
              <w:rPr>
                <w:noProof/>
                <w:webHidden/>
              </w:rPr>
              <w:fldChar w:fldCharType="end"/>
            </w:r>
          </w:hyperlink>
        </w:p>
        <w:p w14:paraId="3FC7FC41" w14:textId="35826219" w:rsidR="00BE7730" w:rsidRDefault="005800DE">
          <w:pPr>
            <w:pStyle w:val="TOC3"/>
            <w:tabs>
              <w:tab w:val="right" w:leader="dot" w:pos="9062"/>
            </w:tabs>
            <w:rPr>
              <w:rFonts w:cstheme="minorBidi"/>
              <w:noProof/>
              <w:kern w:val="2"/>
              <w:sz w:val="24"/>
              <w:szCs w:val="24"/>
              <w:lang w:eastAsia="en-GB"/>
              <w14:ligatures w14:val="standardContextual"/>
            </w:rPr>
          </w:pPr>
          <w:hyperlink w:anchor="_Toc205412939" w:history="1">
            <w:r w:rsidR="00BE7730" w:rsidRPr="005853B1">
              <w:rPr>
                <w:rStyle w:val="Hyperlink"/>
                <w:b/>
                <w:bCs/>
                <w:i/>
                <w:iCs/>
                <w:noProof/>
              </w:rPr>
              <w:t>Strategija razvoja Slovenije do leta 2030</w:t>
            </w:r>
            <w:r w:rsidR="00BE7730">
              <w:rPr>
                <w:noProof/>
                <w:webHidden/>
              </w:rPr>
              <w:tab/>
            </w:r>
            <w:r w:rsidR="00BE7730">
              <w:rPr>
                <w:noProof/>
                <w:webHidden/>
              </w:rPr>
              <w:fldChar w:fldCharType="begin"/>
            </w:r>
            <w:r w:rsidR="00BE7730">
              <w:rPr>
                <w:noProof/>
                <w:webHidden/>
              </w:rPr>
              <w:instrText xml:space="preserve"> PAGEREF _Toc205412939 \h </w:instrText>
            </w:r>
            <w:r w:rsidR="00BE7730">
              <w:rPr>
                <w:noProof/>
                <w:webHidden/>
              </w:rPr>
            </w:r>
            <w:r w:rsidR="00BE7730">
              <w:rPr>
                <w:noProof/>
                <w:webHidden/>
              </w:rPr>
              <w:fldChar w:fldCharType="separate"/>
            </w:r>
            <w:r w:rsidR="00BE7730">
              <w:rPr>
                <w:noProof/>
                <w:webHidden/>
              </w:rPr>
              <w:t>18</w:t>
            </w:r>
            <w:r w:rsidR="00BE7730">
              <w:rPr>
                <w:noProof/>
                <w:webHidden/>
              </w:rPr>
              <w:fldChar w:fldCharType="end"/>
            </w:r>
          </w:hyperlink>
        </w:p>
        <w:p w14:paraId="76251C7B" w14:textId="1D59626C"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0" w:history="1">
            <w:r w:rsidR="00BE7730" w:rsidRPr="005853B1">
              <w:rPr>
                <w:rStyle w:val="Hyperlink"/>
                <w:rFonts w:eastAsia="Arial" w:cs="Times New Roman"/>
                <w:noProof/>
                <w:highlight w:val="white"/>
              </w:rPr>
              <w:t>Izvajanje in spremljanje Strategije razvoja</w:t>
            </w:r>
            <w:r w:rsidR="00BE7730">
              <w:rPr>
                <w:noProof/>
                <w:webHidden/>
              </w:rPr>
              <w:tab/>
            </w:r>
            <w:r w:rsidR="00BE7730">
              <w:rPr>
                <w:noProof/>
                <w:webHidden/>
              </w:rPr>
              <w:fldChar w:fldCharType="begin"/>
            </w:r>
            <w:r w:rsidR="00BE7730">
              <w:rPr>
                <w:noProof/>
                <w:webHidden/>
              </w:rPr>
              <w:instrText xml:space="preserve"> PAGEREF _Toc205412940 \h </w:instrText>
            </w:r>
            <w:r w:rsidR="00BE7730">
              <w:rPr>
                <w:noProof/>
                <w:webHidden/>
              </w:rPr>
            </w:r>
            <w:r w:rsidR="00BE7730">
              <w:rPr>
                <w:noProof/>
                <w:webHidden/>
              </w:rPr>
              <w:fldChar w:fldCharType="separate"/>
            </w:r>
            <w:r w:rsidR="00BE7730">
              <w:rPr>
                <w:noProof/>
                <w:webHidden/>
              </w:rPr>
              <w:t>20</w:t>
            </w:r>
            <w:r w:rsidR="00BE7730">
              <w:rPr>
                <w:noProof/>
                <w:webHidden/>
              </w:rPr>
              <w:fldChar w:fldCharType="end"/>
            </w:r>
          </w:hyperlink>
        </w:p>
        <w:p w14:paraId="08C296D8" w14:textId="122E97FF"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1" w:history="1">
            <w:r w:rsidR="00BE7730" w:rsidRPr="005853B1">
              <w:rPr>
                <w:rStyle w:val="Hyperlink"/>
                <w:rFonts w:eastAsia="Arial" w:cs="Times New Roman"/>
                <w:noProof/>
              </w:rPr>
              <w:t>Ocene, analize in poročila o izvajanju oz. uresničevanju Strategije razvoja</w:t>
            </w:r>
            <w:r w:rsidR="00BE7730">
              <w:rPr>
                <w:noProof/>
                <w:webHidden/>
              </w:rPr>
              <w:tab/>
            </w:r>
            <w:r w:rsidR="00BE7730">
              <w:rPr>
                <w:noProof/>
                <w:webHidden/>
              </w:rPr>
              <w:fldChar w:fldCharType="begin"/>
            </w:r>
            <w:r w:rsidR="00BE7730">
              <w:rPr>
                <w:noProof/>
                <w:webHidden/>
              </w:rPr>
              <w:instrText xml:space="preserve"> PAGEREF _Toc205412941 \h </w:instrText>
            </w:r>
            <w:r w:rsidR="00BE7730">
              <w:rPr>
                <w:noProof/>
                <w:webHidden/>
              </w:rPr>
            </w:r>
            <w:r w:rsidR="00BE7730">
              <w:rPr>
                <w:noProof/>
                <w:webHidden/>
              </w:rPr>
              <w:fldChar w:fldCharType="separate"/>
            </w:r>
            <w:r w:rsidR="00BE7730">
              <w:rPr>
                <w:noProof/>
                <w:webHidden/>
              </w:rPr>
              <w:t>21</w:t>
            </w:r>
            <w:r w:rsidR="00BE7730">
              <w:rPr>
                <w:noProof/>
                <w:webHidden/>
              </w:rPr>
              <w:fldChar w:fldCharType="end"/>
            </w:r>
          </w:hyperlink>
        </w:p>
        <w:p w14:paraId="2C218F32" w14:textId="7936479C" w:rsidR="00BE7730" w:rsidRDefault="005800DE">
          <w:pPr>
            <w:pStyle w:val="TOC2"/>
            <w:tabs>
              <w:tab w:val="right" w:leader="dot" w:pos="9062"/>
            </w:tabs>
            <w:rPr>
              <w:rFonts w:cstheme="minorBidi"/>
              <w:noProof/>
              <w:kern w:val="2"/>
              <w:sz w:val="24"/>
              <w:szCs w:val="24"/>
              <w:lang w:eastAsia="en-GB"/>
              <w14:ligatures w14:val="standardContextual"/>
            </w:rPr>
          </w:pPr>
          <w:hyperlink w:anchor="_Toc205412942" w:history="1">
            <w:r w:rsidR="00BE7730" w:rsidRPr="005853B1">
              <w:rPr>
                <w:rStyle w:val="Hyperlink"/>
                <w:rFonts w:ascii="Times New Roman" w:hAnsi="Times New Roman"/>
                <w:b/>
                <w:bCs/>
                <w:noProof/>
              </w:rPr>
              <w:t>3.4 Pregled drugih nacionalnih strateških dokumentov s posebnim poudarkom na izbranih prioritetnih področjih</w:t>
            </w:r>
            <w:r w:rsidR="00BE7730">
              <w:rPr>
                <w:noProof/>
                <w:webHidden/>
              </w:rPr>
              <w:tab/>
            </w:r>
            <w:r w:rsidR="00BE7730">
              <w:rPr>
                <w:noProof/>
                <w:webHidden/>
              </w:rPr>
              <w:fldChar w:fldCharType="begin"/>
            </w:r>
            <w:r w:rsidR="00BE7730">
              <w:rPr>
                <w:noProof/>
                <w:webHidden/>
              </w:rPr>
              <w:instrText xml:space="preserve"> PAGEREF _Toc205412942 \h </w:instrText>
            </w:r>
            <w:r w:rsidR="00BE7730">
              <w:rPr>
                <w:noProof/>
                <w:webHidden/>
              </w:rPr>
            </w:r>
            <w:r w:rsidR="00BE7730">
              <w:rPr>
                <w:noProof/>
                <w:webHidden/>
              </w:rPr>
              <w:fldChar w:fldCharType="separate"/>
            </w:r>
            <w:r w:rsidR="00BE7730">
              <w:rPr>
                <w:noProof/>
                <w:webHidden/>
              </w:rPr>
              <w:t>23</w:t>
            </w:r>
            <w:r w:rsidR="00BE7730">
              <w:rPr>
                <w:noProof/>
                <w:webHidden/>
              </w:rPr>
              <w:fldChar w:fldCharType="end"/>
            </w:r>
          </w:hyperlink>
        </w:p>
        <w:p w14:paraId="1E7F49E2" w14:textId="692E0889" w:rsidR="00BE7730" w:rsidRDefault="005800DE">
          <w:pPr>
            <w:pStyle w:val="TOC3"/>
            <w:tabs>
              <w:tab w:val="right" w:leader="dot" w:pos="9062"/>
            </w:tabs>
            <w:rPr>
              <w:rFonts w:cstheme="minorBidi"/>
              <w:noProof/>
              <w:kern w:val="2"/>
              <w:sz w:val="24"/>
              <w:szCs w:val="24"/>
              <w:lang w:eastAsia="en-GB"/>
              <w14:ligatures w14:val="standardContextual"/>
            </w:rPr>
          </w:pPr>
          <w:hyperlink w:anchor="_Toc205412943" w:history="1">
            <w:r w:rsidR="00BE7730" w:rsidRPr="005853B1">
              <w:rPr>
                <w:rStyle w:val="Hyperlink"/>
                <w:rFonts w:eastAsia="Arial"/>
                <w:b/>
                <w:bCs/>
                <w:i/>
                <w:iCs/>
                <w:noProof/>
                <w:highlight w:val="white"/>
              </w:rPr>
              <w:t>Odgovori ministrstev in analiza relevantnih dokumentov, ki so jih izpostavili</w:t>
            </w:r>
            <w:r w:rsidR="00BE7730">
              <w:rPr>
                <w:noProof/>
                <w:webHidden/>
              </w:rPr>
              <w:tab/>
            </w:r>
            <w:r w:rsidR="00BE7730">
              <w:rPr>
                <w:noProof/>
                <w:webHidden/>
              </w:rPr>
              <w:fldChar w:fldCharType="begin"/>
            </w:r>
            <w:r w:rsidR="00BE7730">
              <w:rPr>
                <w:noProof/>
                <w:webHidden/>
              </w:rPr>
              <w:instrText xml:space="preserve"> PAGEREF _Toc205412943 \h </w:instrText>
            </w:r>
            <w:r w:rsidR="00BE7730">
              <w:rPr>
                <w:noProof/>
                <w:webHidden/>
              </w:rPr>
            </w:r>
            <w:r w:rsidR="00BE7730">
              <w:rPr>
                <w:noProof/>
                <w:webHidden/>
              </w:rPr>
              <w:fldChar w:fldCharType="separate"/>
            </w:r>
            <w:r w:rsidR="00BE7730">
              <w:rPr>
                <w:noProof/>
                <w:webHidden/>
              </w:rPr>
              <w:t>24</w:t>
            </w:r>
            <w:r w:rsidR="00BE7730">
              <w:rPr>
                <w:noProof/>
                <w:webHidden/>
              </w:rPr>
              <w:fldChar w:fldCharType="end"/>
            </w:r>
          </w:hyperlink>
        </w:p>
        <w:p w14:paraId="144218FA" w14:textId="768D0B4C"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4" w:history="1">
            <w:r w:rsidR="00BE7730" w:rsidRPr="005853B1">
              <w:rPr>
                <w:rStyle w:val="Hyperlink"/>
                <w:rFonts w:eastAsia="Arial" w:cs="Times New Roman"/>
                <w:noProof/>
              </w:rPr>
              <w:t>Ministrstvo za zunanje in evropske zadeve (MZEZ)</w:t>
            </w:r>
            <w:r w:rsidR="00BE7730">
              <w:rPr>
                <w:noProof/>
                <w:webHidden/>
              </w:rPr>
              <w:tab/>
            </w:r>
            <w:r w:rsidR="00BE7730">
              <w:rPr>
                <w:noProof/>
                <w:webHidden/>
              </w:rPr>
              <w:fldChar w:fldCharType="begin"/>
            </w:r>
            <w:r w:rsidR="00BE7730">
              <w:rPr>
                <w:noProof/>
                <w:webHidden/>
              </w:rPr>
              <w:instrText xml:space="preserve"> PAGEREF _Toc205412944 \h </w:instrText>
            </w:r>
            <w:r w:rsidR="00BE7730">
              <w:rPr>
                <w:noProof/>
                <w:webHidden/>
              </w:rPr>
            </w:r>
            <w:r w:rsidR="00BE7730">
              <w:rPr>
                <w:noProof/>
                <w:webHidden/>
              </w:rPr>
              <w:fldChar w:fldCharType="separate"/>
            </w:r>
            <w:r w:rsidR="00BE7730">
              <w:rPr>
                <w:noProof/>
                <w:webHidden/>
              </w:rPr>
              <w:t>24</w:t>
            </w:r>
            <w:r w:rsidR="00BE7730">
              <w:rPr>
                <w:noProof/>
                <w:webHidden/>
              </w:rPr>
              <w:fldChar w:fldCharType="end"/>
            </w:r>
          </w:hyperlink>
        </w:p>
        <w:p w14:paraId="46C4F94D" w14:textId="5392B997"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5" w:history="1">
            <w:r w:rsidR="00BE7730" w:rsidRPr="005853B1">
              <w:rPr>
                <w:rStyle w:val="Hyperlink"/>
                <w:rFonts w:eastAsia="Arial" w:cs="Times New Roman"/>
                <w:noProof/>
              </w:rPr>
              <w:t>Ministrstvo za kohezijo in regionalni razvoj (MKRR)</w:t>
            </w:r>
            <w:r w:rsidR="00BE7730">
              <w:rPr>
                <w:noProof/>
                <w:webHidden/>
              </w:rPr>
              <w:tab/>
            </w:r>
            <w:r w:rsidR="00BE7730">
              <w:rPr>
                <w:noProof/>
                <w:webHidden/>
              </w:rPr>
              <w:fldChar w:fldCharType="begin"/>
            </w:r>
            <w:r w:rsidR="00BE7730">
              <w:rPr>
                <w:noProof/>
                <w:webHidden/>
              </w:rPr>
              <w:instrText xml:space="preserve"> PAGEREF _Toc205412945 \h </w:instrText>
            </w:r>
            <w:r w:rsidR="00BE7730">
              <w:rPr>
                <w:noProof/>
                <w:webHidden/>
              </w:rPr>
            </w:r>
            <w:r w:rsidR="00BE7730">
              <w:rPr>
                <w:noProof/>
                <w:webHidden/>
              </w:rPr>
              <w:fldChar w:fldCharType="separate"/>
            </w:r>
            <w:r w:rsidR="00BE7730">
              <w:rPr>
                <w:noProof/>
                <w:webHidden/>
              </w:rPr>
              <w:t>24</w:t>
            </w:r>
            <w:r w:rsidR="00BE7730">
              <w:rPr>
                <w:noProof/>
                <w:webHidden/>
              </w:rPr>
              <w:fldChar w:fldCharType="end"/>
            </w:r>
          </w:hyperlink>
        </w:p>
        <w:p w14:paraId="0D9CC795" w14:textId="2B7DD246"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6" w:history="1">
            <w:r w:rsidR="00BE7730" w:rsidRPr="005853B1">
              <w:rPr>
                <w:rStyle w:val="Hyperlink"/>
                <w:rFonts w:eastAsia="Arial" w:cs="Times New Roman"/>
                <w:noProof/>
              </w:rPr>
              <w:t>Ministrstvo za notranje zadeve (MNZ)</w:t>
            </w:r>
            <w:r w:rsidR="00BE7730">
              <w:rPr>
                <w:noProof/>
                <w:webHidden/>
              </w:rPr>
              <w:tab/>
            </w:r>
            <w:r w:rsidR="00BE7730">
              <w:rPr>
                <w:noProof/>
                <w:webHidden/>
              </w:rPr>
              <w:fldChar w:fldCharType="begin"/>
            </w:r>
            <w:r w:rsidR="00BE7730">
              <w:rPr>
                <w:noProof/>
                <w:webHidden/>
              </w:rPr>
              <w:instrText xml:space="preserve"> PAGEREF _Toc205412946 \h </w:instrText>
            </w:r>
            <w:r w:rsidR="00BE7730">
              <w:rPr>
                <w:noProof/>
                <w:webHidden/>
              </w:rPr>
            </w:r>
            <w:r w:rsidR="00BE7730">
              <w:rPr>
                <w:noProof/>
                <w:webHidden/>
              </w:rPr>
              <w:fldChar w:fldCharType="separate"/>
            </w:r>
            <w:r w:rsidR="00BE7730">
              <w:rPr>
                <w:noProof/>
                <w:webHidden/>
              </w:rPr>
              <w:t>25</w:t>
            </w:r>
            <w:r w:rsidR="00BE7730">
              <w:rPr>
                <w:noProof/>
                <w:webHidden/>
              </w:rPr>
              <w:fldChar w:fldCharType="end"/>
            </w:r>
          </w:hyperlink>
        </w:p>
        <w:p w14:paraId="52A152FA" w14:textId="6EBD6B1C"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7" w:history="1">
            <w:r w:rsidR="00BE7730" w:rsidRPr="005853B1">
              <w:rPr>
                <w:rStyle w:val="Hyperlink"/>
                <w:rFonts w:eastAsia="Arial" w:cs="Times New Roman"/>
                <w:noProof/>
              </w:rPr>
              <w:t>Ministrstvo za javno upravo (MJU)</w:t>
            </w:r>
            <w:r w:rsidR="00BE7730">
              <w:rPr>
                <w:noProof/>
                <w:webHidden/>
              </w:rPr>
              <w:tab/>
            </w:r>
            <w:r w:rsidR="00BE7730">
              <w:rPr>
                <w:noProof/>
                <w:webHidden/>
              </w:rPr>
              <w:fldChar w:fldCharType="begin"/>
            </w:r>
            <w:r w:rsidR="00BE7730">
              <w:rPr>
                <w:noProof/>
                <w:webHidden/>
              </w:rPr>
              <w:instrText xml:space="preserve"> PAGEREF _Toc205412947 \h </w:instrText>
            </w:r>
            <w:r w:rsidR="00BE7730">
              <w:rPr>
                <w:noProof/>
                <w:webHidden/>
              </w:rPr>
            </w:r>
            <w:r w:rsidR="00BE7730">
              <w:rPr>
                <w:noProof/>
                <w:webHidden/>
              </w:rPr>
              <w:fldChar w:fldCharType="separate"/>
            </w:r>
            <w:r w:rsidR="00BE7730">
              <w:rPr>
                <w:noProof/>
                <w:webHidden/>
              </w:rPr>
              <w:t>27</w:t>
            </w:r>
            <w:r w:rsidR="00BE7730">
              <w:rPr>
                <w:noProof/>
                <w:webHidden/>
              </w:rPr>
              <w:fldChar w:fldCharType="end"/>
            </w:r>
          </w:hyperlink>
        </w:p>
        <w:p w14:paraId="11F93556" w14:textId="06E57A8A"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8" w:history="1">
            <w:r w:rsidR="00BE7730" w:rsidRPr="005853B1">
              <w:rPr>
                <w:rStyle w:val="Hyperlink"/>
                <w:rFonts w:eastAsia="Arial" w:cs="Times New Roman"/>
                <w:noProof/>
              </w:rPr>
              <w:t>Ministrstvo za finance (MF)</w:t>
            </w:r>
            <w:r w:rsidR="00BE7730">
              <w:rPr>
                <w:noProof/>
                <w:webHidden/>
              </w:rPr>
              <w:tab/>
            </w:r>
            <w:r w:rsidR="00BE7730">
              <w:rPr>
                <w:noProof/>
                <w:webHidden/>
              </w:rPr>
              <w:fldChar w:fldCharType="begin"/>
            </w:r>
            <w:r w:rsidR="00BE7730">
              <w:rPr>
                <w:noProof/>
                <w:webHidden/>
              </w:rPr>
              <w:instrText xml:space="preserve"> PAGEREF _Toc205412948 \h </w:instrText>
            </w:r>
            <w:r w:rsidR="00BE7730">
              <w:rPr>
                <w:noProof/>
                <w:webHidden/>
              </w:rPr>
            </w:r>
            <w:r w:rsidR="00BE7730">
              <w:rPr>
                <w:noProof/>
                <w:webHidden/>
              </w:rPr>
              <w:fldChar w:fldCharType="separate"/>
            </w:r>
            <w:r w:rsidR="00BE7730">
              <w:rPr>
                <w:noProof/>
                <w:webHidden/>
              </w:rPr>
              <w:t>27</w:t>
            </w:r>
            <w:r w:rsidR="00BE7730">
              <w:rPr>
                <w:noProof/>
                <w:webHidden/>
              </w:rPr>
              <w:fldChar w:fldCharType="end"/>
            </w:r>
          </w:hyperlink>
        </w:p>
        <w:p w14:paraId="207FE907" w14:textId="0226CFDF"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49" w:history="1">
            <w:r w:rsidR="00BE7730" w:rsidRPr="005853B1">
              <w:rPr>
                <w:rStyle w:val="Hyperlink"/>
                <w:rFonts w:eastAsia="Arial" w:cs="Times New Roman"/>
                <w:noProof/>
              </w:rPr>
              <w:t>Ministrstvo za gospodarstvo, turizem in šport (MGTŠ)</w:t>
            </w:r>
            <w:r w:rsidR="00BE7730">
              <w:rPr>
                <w:noProof/>
                <w:webHidden/>
              </w:rPr>
              <w:tab/>
            </w:r>
            <w:r w:rsidR="00BE7730">
              <w:rPr>
                <w:noProof/>
                <w:webHidden/>
              </w:rPr>
              <w:fldChar w:fldCharType="begin"/>
            </w:r>
            <w:r w:rsidR="00BE7730">
              <w:rPr>
                <w:noProof/>
                <w:webHidden/>
              </w:rPr>
              <w:instrText xml:space="preserve"> PAGEREF _Toc205412949 \h </w:instrText>
            </w:r>
            <w:r w:rsidR="00BE7730">
              <w:rPr>
                <w:noProof/>
                <w:webHidden/>
              </w:rPr>
            </w:r>
            <w:r w:rsidR="00BE7730">
              <w:rPr>
                <w:noProof/>
                <w:webHidden/>
              </w:rPr>
              <w:fldChar w:fldCharType="separate"/>
            </w:r>
            <w:r w:rsidR="00BE7730">
              <w:rPr>
                <w:noProof/>
                <w:webHidden/>
              </w:rPr>
              <w:t>27</w:t>
            </w:r>
            <w:r w:rsidR="00BE7730">
              <w:rPr>
                <w:noProof/>
                <w:webHidden/>
              </w:rPr>
              <w:fldChar w:fldCharType="end"/>
            </w:r>
          </w:hyperlink>
        </w:p>
        <w:p w14:paraId="661B81A4" w14:textId="26A0B28C"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50" w:history="1">
            <w:r w:rsidR="00BE7730" w:rsidRPr="005853B1">
              <w:rPr>
                <w:rStyle w:val="Hyperlink"/>
                <w:rFonts w:eastAsia="Arial" w:cs="Times New Roman"/>
                <w:noProof/>
              </w:rPr>
              <w:t>Ministrstvo za okolje, podnebje in energijo (MOPE)</w:t>
            </w:r>
            <w:r w:rsidR="00BE7730">
              <w:rPr>
                <w:noProof/>
                <w:webHidden/>
              </w:rPr>
              <w:tab/>
            </w:r>
            <w:r w:rsidR="00BE7730">
              <w:rPr>
                <w:noProof/>
                <w:webHidden/>
              </w:rPr>
              <w:fldChar w:fldCharType="begin"/>
            </w:r>
            <w:r w:rsidR="00BE7730">
              <w:rPr>
                <w:noProof/>
                <w:webHidden/>
              </w:rPr>
              <w:instrText xml:space="preserve"> PAGEREF _Toc205412950 \h </w:instrText>
            </w:r>
            <w:r w:rsidR="00BE7730">
              <w:rPr>
                <w:noProof/>
                <w:webHidden/>
              </w:rPr>
            </w:r>
            <w:r w:rsidR="00BE7730">
              <w:rPr>
                <w:noProof/>
                <w:webHidden/>
              </w:rPr>
              <w:fldChar w:fldCharType="separate"/>
            </w:r>
            <w:r w:rsidR="00BE7730">
              <w:rPr>
                <w:noProof/>
                <w:webHidden/>
              </w:rPr>
              <w:t>29</w:t>
            </w:r>
            <w:r w:rsidR="00BE7730">
              <w:rPr>
                <w:noProof/>
                <w:webHidden/>
              </w:rPr>
              <w:fldChar w:fldCharType="end"/>
            </w:r>
          </w:hyperlink>
        </w:p>
        <w:p w14:paraId="48495116" w14:textId="569C8940"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51" w:history="1">
            <w:r w:rsidR="00BE7730" w:rsidRPr="005853B1">
              <w:rPr>
                <w:rStyle w:val="Hyperlink"/>
                <w:rFonts w:eastAsia="Arial" w:cs="Times New Roman"/>
                <w:noProof/>
              </w:rPr>
              <w:t>Ministrstvo za kmetijstvo, gozdarstvo in prehrano (MKGP)</w:t>
            </w:r>
            <w:r w:rsidR="00BE7730">
              <w:rPr>
                <w:noProof/>
                <w:webHidden/>
              </w:rPr>
              <w:tab/>
            </w:r>
            <w:r w:rsidR="00BE7730">
              <w:rPr>
                <w:noProof/>
                <w:webHidden/>
              </w:rPr>
              <w:fldChar w:fldCharType="begin"/>
            </w:r>
            <w:r w:rsidR="00BE7730">
              <w:rPr>
                <w:noProof/>
                <w:webHidden/>
              </w:rPr>
              <w:instrText xml:space="preserve"> PAGEREF _Toc205412951 \h </w:instrText>
            </w:r>
            <w:r w:rsidR="00BE7730">
              <w:rPr>
                <w:noProof/>
                <w:webHidden/>
              </w:rPr>
            </w:r>
            <w:r w:rsidR="00BE7730">
              <w:rPr>
                <w:noProof/>
                <w:webHidden/>
              </w:rPr>
              <w:fldChar w:fldCharType="separate"/>
            </w:r>
            <w:r w:rsidR="00BE7730">
              <w:rPr>
                <w:noProof/>
                <w:webHidden/>
              </w:rPr>
              <w:t>32</w:t>
            </w:r>
            <w:r w:rsidR="00BE7730">
              <w:rPr>
                <w:noProof/>
                <w:webHidden/>
              </w:rPr>
              <w:fldChar w:fldCharType="end"/>
            </w:r>
          </w:hyperlink>
        </w:p>
        <w:p w14:paraId="3FB89109" w14:textId="6837011A"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52" w:history="1">
            <w:r w:rsidR="00BE7730" w:rsidRPr="005853B1">
              <w:rPr>
                <w:rStyle w:val="Hyperlink"/>
                <w:rFonts w:eastAsia="Arial" w:cs="Times New Roman"/>
                <w:noProof/>
              </w:rPr>
              <w:t>Ministrstvo za solidarno prihodnost (MSP)</w:t>
            </w:r>
            <w:r w:rsidR="00BE7730">
              <w:rPr>
                <w:noProof/>
                <w:webHidden/>
              </w:rPr>
              <w:tab/>
            </w:r>
            <w:r w:rsidR="00BE7730">
              <w:rPr>
                <w:noProof/>
                <w:webHidden/>
              </w:rPr>
              <w:fldChar w:fldCharType="begin"/>
            </w:r>
            <w:r w:rsidR="00BE7730">
              <w:rPr>
                <w:noProof/>
                <w:webHidden/>
              </w:rPr>
              <w:instrText xml:space="preserve"> PAGEREF _Toc205412952 \h </w:instrText>
            </w:r>
            <w:r w:rsidR="00BE7730">
              <w:rPr>
                <w:noProof/>
                <w:webHidden/>
              </w:rPr>
            </w:r>
            <w:r w:rsidR="00BE7730">
              <w:rPr>
                <w:noProof/>
                <w:webHidden/>
              </w:rPr>
              <w:fldChar w:fldCharType="separate"/>
            </w:r>
            <w:r w:rsidR="00BE7730">
              <w:rPr>
                <w:noProof/>
                <w:webHidden/>
              </w:rPr>
              <w:t>34</w:t>
            </w:r>
            <w:r w:rsidR="00BE7730">
              <w:rPr>
                <w:noProof/>
                <w:webHidden/>
              </w:rPr>
              <w:fldChar w:fldCharType="end"/>
            </w:r>
          </w:hyperlink>
        </w:p>
        <w:p w14:paraId="26A0CA28" w14:textId="3ED55803"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53" w:history="1">
            <w:r w:rsidR="00BE7730" w:rsidRPr="005853B1">
              <w:rPr>
                <w:rStyle w:val="Hyperlink"/>
                <w:rFonts w:eastAsia="Arial" w:cs="Times New Roman"/>
                <w:noProof/>
              </w:rPr>
              <w:t>Ministrstvo za delo, družino, socialne zadeve in enake možnosti (MDDSZ)</w:t>
            </w:r>
            <w:r w:rsidR="00BE7730">
              <w:rPr>
                <w:noProof/>
                <w:webHidden/>
              </w:rPr>
              <w:tab/>
            </w:r>
            <w:r w:rsidR="00BE7730">
              <w:rPr>
                <w:noProof/>
                <w:webHidden/>
              </w:rPr>
              <w:fldChar w:fldCharType="begin"/>
            </w:r>
            <w:r w:rsidR="00BE7730">
              <w:rPr>
                <w:noProof/>
                <w:webHidden/>
              </w:rPr>
              <w:instrText xml:space="preserve"> PAGEREF _Toc205412953 \h </w:instrText>
            </w:r>
            <w:r w:rsidR="00BE7730">
              <w:rPr>
                <w:noProof/>
                <w:webHidden/>
              </w:rPr>
            </w:r>
            <w:r w:rsidR="00BE7730">
              <w:rPr>
                <w:noProof/>
                <w:webHidden/>
              </w:rPr>
              <w:fldChar w:fldCharType="separate"/>
            </w:r>
            <w:r w:rsidR="00BE7730">
              <w:rPr>
                <w:noProof/>
                <w:webHidden/>
              </w:rPr>
              <w:t>34</w:t>
            </w:r>
            <w:r w:rsidR="00BE7730">
              <w:rPr>
                <w:noProof/>
                <w:webHidden/>
              </w:rPr>
              <w:fldChar w:fldCharType="end"/>
            </w:r>
          </w:hyperlink>
        </w:p>
        <w:p w14:paraId="017829BE" w14:textId="1CD328C1"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54" w:history="1">
            <w:r w:rsidR="00BE7730" w:rsidRPr="005853B1">
              <w:rPr>
                <w:rStyle w:val="Hyperlink"/>
                <w:rFonts w:eastAsia="Arial" w:cs="Times New Roman"/>
                <w:noProof/>
              </w:rPr>
              <w:t>Ministrstvo za naravne vire in prostor (MNVP)</w:t>
            </w:r>
            <w:r w:rsidR="00BE7730">
              <w:rPr>
                <w:noProof/>
                <w:webHidden/>
              </w:rPr>
              <w:tab/>
            </w:r>
            <w:r w:rsidR="00BE7730">
              <w:rPr>
                <w:noProof/>
                <w:webHidden/>
              </w:rPr>
              <w:fldChar w:fldCharType="begin"/>
            </w:r>
            <w:r w:rsidR="00BE7730">
              <w:rPr>
                <w:noProof/>
                <w:webHidden/>
              </w:rPr>
              <w:instrText xml:space="preserve"> PAGEREF _Toc205412954 \h </w:instrText>
            </w:r>
            <w:r w:rsidR="00BE7730">
              <w:rPr>
                <w:noProof/>
                <w:webHidden/>
              </w:rPr>
            </w:r>
            <w:r w:rsidR="00BE7730">
              <w:rPr>
                <w:noProof/>
                <w:webHidden/>
              </w:rPr>
              <w:fldChar w:fldCharType="separate"/>
            </w:r>
            <w:r w:rsidR="00BE7730">
              <w:rPr>
                <w:noProof/>
                <w:webHidden/>
              </w:rPr>
              <w:t>34</w:t>
            </w:r>
            <w:r w:rsidR="00BE7730">
              <w:rPr>
                <w:noProof/>
                <w:webHidden/>
              </w:rPr>
              <w:fldChar w:fldCharType="end"/>
            </w:r>
          </w:hyperlink>
        </w:p>
        <w:p w14:paraId="79E5FCE4" w14:textId="6FBB7379" w:rsidR="00BE7730" w:rsidRDefault="005800DE">
          <w:pPr>
            <w:pStyle w:val="TOC4"/>
            <w:tabs>
              <w:tab w:val="right" w:leader="dot" w:pos="9062"/>
            </w:tabs>
            <w:rPr>
              <w:rFonts w:asciiTheme="minorHAnsi" w:eastAsiaTheme="minorEastAsia" w:hAnsiTheme="minorHAnsi" w:cstheme="minorBidi"/>
              <w:noProof/>
              <w:kern w:val="2"/>
              <w:lang w:eastAsia="en-GB"/>
              <w14:ligatures w14:val="standardContextual"/>
            </w:rPr>
          </w:pPr>
          <w:hyperlink w:anchor="_Toc205412955" w:history="1">
            <w:r w:rsidR="00BE7730" w:rsidRPr="005853B1">
              <w:rPr>
                <w:rStyle w:val="Hyperlink"/>
                <w:rFonts w:eastAsia="Arial" w:cs="Times New Roman"/>
                <w:noProof/>
              </w:rPr>
              <w:t>Ministrstvo za pravosodje (MP)</w:t>
            </w:r>
            <w:r w:rsidR="00BE7730">
              <w:rPr>
                <w:noProof/>
                <w:webHidden/>
              </w:rPr>
              <w:tab/>
            </w:r>
            <w:r w:rsidR="00BE7730">
              <w:rPr>
                <w:noProof/>
                <w:webHidden/>
              </w:rPr>
              <w:fldChar w:fldCharType="begin"/>
            </w:r>
            <w:r w:rsidR="00BE7730">
              <w:rPr>
                <w:noProof/>
                <w:webHidden/>
              </w:rPr>
              <w:instrText xml:space="preserve"> PAGEREF _Toc205412955 \h </w:instrText>
            </w:r>
            <w:r w:rsidR="00BE7730">
              <w:rPr>
                <w:noProof/>
                <w:webHidden/>
              </w:rPr>
            </w:r>
            <w:r w:rsidR="00BE7730">
              <w:rPr>
                <w:noProof/>
                <w:webHidden/>
              </w:rPr>
              <w:fldChar w:fldCharType="separate"/>
            </w:r>
            <w:r w:rsidR="00BE7730">
              <w:rPr>
                <w:noProof/>
                <w:webHidden/>
              </w:rPr>
              <w:t>35</w:t>
            </w:r>
            <w:r w:rsidR="00BE7730">
              <w:rPr>
                <w:noProof/>
                <w:webHidden/>
              </w:rPr>
              <w:fldChar w:fldCharType="end"/>
            </w:r>
          </w:hyperlink>
        </w:p>
        <w:p w14:paraId="0723B0BE" w14:textId="0A4C1C2A" w:rsidR="00BE7730" w:rsidRDefault="005800DE">
          <w:pPr>
            <w:pStyle w:val="TOC2"/>
            <w:tabs>
              <w:tab w:val="left" w:pos="960"/>
              <w:tab w:val="right" w:leader="dot" w:pos="9062"/>
            </w:tabs>
            <w:rPr>
              <w:rFonts w:cstheme="minorBidi"/>
              <w:noProof/>
              <w:kern w:val="2"/>
              <w:sz w:val="24"/>
              <w:szCs w:val="24"/>
              <w:lang w:eastAsia="en-GB"/>
              <w14:ligatures w14:val="standardContextual"/>
            </w:rPr>
          </w:pPr>
          <w:hyperlink w:anchor="_Toc205412956" w:history="1">
            <w:r w:rsidR="00BE7730" w:rsidRPr="005853B1">
              <w:rPr>
                <w:rStyle w:val="Hyperlink"/>
                <w:rFonts w:ascii="Times New Roman" w:eastAsia="Arial" w:hAnsi="Times New Roman"/>
                <w:b/>
                <w:bCs/>
                <w:noProof/>
              </w:rPr>
              <w:t>3.5</w:t>
            </w:r>
            <w:r w:rsidR="00BE7730">
              <w:rPr>
                <w:rFonts w:cstheme="minorBidi"/>
                <w:noProof/>
                <w:kern w:val="2"/>
                <w:sz w:val="24"/>
                <w:szCs w:val="24"/>
                <w:lang w:eastAsia="en-GB"/>
                <w14:ligatures w14:val="standardContextual"/>
              </w:rPr>
              <w:tab/>
            </w:r>
            <w:r w:rsidR="00BE7730" w:rsidRPr="005853B1">
              <w:rPr>
                <w:rStyle w:val="Hyperlink"/>
                <w:rFonts w:ascii="Times New Roman" w:eastAsia="Arial" w:hAnsi="Times New Roman"/>
                <w:b/>
                <w:bCs/>
                <w:noProof/>
              </w:rPr>
              <w:t>Delni sklep</w:t>
            </w:r>
            <w:r w:rsidR="00BE7730">
              <w:rPr>
                <w:noProof/>
                <w:webHidden/>
              </w:rPr>
              <w:tab/>
            </w:r>
            <w:r w:rsidR="00BE7730">
              <w:rPr>
                <w:noProof/>
                <w:webHidden/>
              </w:rPr>
              <w:fldChar w:fldCharType="begin"/>
            </w:r>
            <w:r w:rsidR="00BE7730">
              <w:rPr>
                <w:noProof/>
                <w:webHidden/>
              </w:rPr>
              <w:instrText xml:space="preserve"> PAGEREF _Toc205412956 \h </w:instrText>
            </w:r>
            <w:r w:rsidR="00BE7730">
              <w:rPr>
                <w:noProof/>
                <w:webHidden/>
              </w:rPr>
            </w:r>
            <w:r w:rsidR="00BE7730">
              <w:rPr>
                <w:noProof/>
                <w:webHidden/>
              </w:rPr>
              <w:fldChar w:fldCharType="separate"/>
            </w:r>
            <w:r w:rsidR="00BE7730">
              <w:rPr>
                <w:noProof/>
                <w:webHidden/>
              </w:rPr>
              <w:t>35</w:t>
            </w:r>
            <w:r w:rsidR="00BE7730">
              <w:rPr>
                <w:noProof/>
                <w:webHidden/>
              </w:rPr>
              <w:fldChar w:fldCharType="end"/>
            </w:r>
          </w:hyperlink>
        </w:p>
        <w:p w14:paraId="7F4015E7" w14:textId="24A706FF" w:rsidR="00BE7730" w:rsidRDefault="005800DE">
          <w:pPr>
            <w:pStyle w:val="TOC1"/>
            <w:tabs>
              <w:tab w:val="right" w:leader="dot" w:pos="9062"/>
            </w:tabs>
            <w:rPr>
              <w:rFonts w:cstheme="minorBidi"/>
              <w:noProof/>
              <w:kern w:val="2"/>
              <w:sz w:val="24"/>
              <w:szCs w:val="24"/>
              <w:lang w:eastAsia="en-GB"/>
              <w14:ligatures w14:val="standardContextual"/>
            </w:rPr>
          </w:pPr>
          <w:hyperlink w:anchor="_Toc205412957" w:history="1">
            <w:r w:rsidR="00BE7730" w:rsidRPr="005853B1">
              <w:rPr>
                <w:rStyle w:val="Hyperlink"/>
                <w:rFonts w:ascii="Times New Roman" w:eastAsia="Arial" w:hAnsi="Times New Roman"/>
                <w:b/>
                <w:bCs/>
                <w:noProof/>
              </w:rPr>
              <w:t>4. SKLEP IN NADALJNJI KORAKI</w:t>
            </w:r>
            <w:r w:rsidR="00BE7730">
              <w:rPr>
                <w:noProof/>
                <w:webHidden/>
              </w:rPr>
              <w:tab/>
            </w:r>
            <w:r w:rsidR="00BE7730">
              <w:rPr>
                <w:noProof/>
                <w:webHidden/>
              </w:rPr>
              <w:fldChar w:fldCharType="begin"/>
            </w:r>
            <w:r w:rsidR="00BE7730">
              <w:rPr>
                <w:noProof/>
                <w:webHidden/>
              </w:rPr>
              <w:instrText xml:space="preserve"> PAGEREF _Toc205412957 \h </w:instrText>
            </w:r>
            <w:r w:rsidR="00BE7730">
              <w:rPr>
                <w:noProof/>
                <w:webHidden/>
              </w:rPr>
            </w:r>
            <w:r w:rsidR="00BE7730">
              <w:rPr>
                <w:noProof/>
                <w:webHidden/>
              </w:rPr>
              <w:fldChar w:fldCharType="separate"/>
            </w:r>
            <w:r w:rsidR="00BE7730">
              <w:rPr>
                <w:noProof/>
                <w:webHidden/>
              </w:rPr>
              <w:t>36</w:t>
            </w:r>
            <w:r w:rsidR="00BE7730">
              <w:rPr>
                <w:noProof/>
                <w:webHidden/>
              </w:rPr>
              <w:fldChar w:fldCharType="end"/>
            </w:r>
          </w:hyperlink>
        </w:p>
        <w:p w14:paraId="29C0C056" w14:textId="5895378D" w:rsidR="0028019D" w:rsidRDefault="0028019D">
          <w:r w:rsidRPr="009D24D1">
            <w:rPr>
              <w:rFonts w:eastAsiaTheme="minorEastAsia" w:cs="Times New Roman"/>
              <w:sz w:val="22"/>
              <w:szCs w:val="22"/>
            </w:rPr>
            <w:fldChar w:fldCharType="end"/>
          </w:r>
        </w:p>
      </w:sdtContent>
    </w:sdt>
    <w:p w14:paraId="00000036" w14:textId="77777777" w:rsidR="00525158" w:rsidRDefault="00525158">
      <w:pPr>
        <w:pBdr>
          <w:top w:val="nil"/>
          <w:left w:val="nil"/>
          <w:bottom w:val="nil"/>
          <w:right w:val="nil"/>
          <w:between w:val="nil"/>
        </w:pBdr>
        <w:shd w:val="clear" w:color="auto" w:fill="FFFFFF"/>
        <w:spacing w:before="280"/>
        <w:jc w:val="both"/>
        <w:rPr>
          <w:rFonts w:ascii="Arial" w:eastAsia="Arial" w:hAnsi="Arial" w:cs="Arial"/>
        </w:rPr>
      </w:pPr>
    </w:p>
    <w:bookmarkStart w:id="0" w:name="_heading=h.x60mf8u14q9e" w:colFirst="0" w:colLast="0" w:displacedByCustomXml="next"/>
    <w:bookmarkEnd w:id="0" w:displacedByCustomXml="next"/>
    <w:bookmarkStart w:id="1" w:name="_Toc205412928" w:displacedByCustomXml="next"/>
    <w:sdt>
      <w:sdtPr>
        <w:rPr>
          <w:rFonts w:ascii="Times New Roman" w:hAnsi="Times New Roman" w:cs="Times New Roman"/>
          <w:b/>
          <w:bCs/>
          <w:sz w:val="28"/>
          <w:szCs w:val="28"/>
        </w:rPr>
        <w:tag w:val="goog_rdk_0"/>
        <w:id w:val="-777020713"/>
      </w:sdtPr>
      <w:sdtEndPr/>
      <w:sdtContent>
        <w:p w14:paraId="0000004E" w14:textId="77777777" w:rsidR="00525158" w:rsidRPr="009D24D1" w:rsidRDefault="004D4AEA" w:rsidP="00342C39">
          <w:pPr>
            <w:pStyle w:val="Heading1"/>
            <w:numPr>
              <w:ilvl w:val="0"/>
              <w:numId w:val="2"/>
            </w:numPr>
            <w:rPr>
              <w:rFonts w:ascii="Times New Roman" w:hAnsi="Times New Roman" w:cs="Times New Roman"/>
              <w:b/>
              <w:bCs/>
              <w:sz w:val="28"/>
              <w:szCs w:val="28"/>
            </w:rPr>
          </w:pPr>
          <w:r w:rsidRPr="009D24D1">
            <w:rPr>
              <w:rFonts w:ascii="Times New Roman" w:hAnsi="Times New Roman" w:cs="Times New Roman"/>
              <w:b/>
              <w:bCs/>
              <w:sz w:val="28"/>
              <w:szCs w:val="28"/>
            </w:rPr>
            <w:t xml:space="preserve">UVOD V ANALIZO IN MEDNARODNI OKVIR </w:t>
          </w:r>
        </w:p>
      </w:sdtContent>
    </w:sdt>
    <w:bookmarkEnd w:id="1" w:displacedByCustomXml="prev"/>
    <w:p w14:paraId="0000004F"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b/>
          <w:highlight w:val="white"/>
        </w:rPr>
        <w:t>Načelo skladnosti politik za razvoj (SPR)</w:t>
      </w:r>
      <w:r w:rsidRPr="009D24D1">
        <w:rPr>
          <w:rFonts w:eastAsia="Arial" w:cs="Times New Roman"/>
          <w:highlight w:val="white"/>
        </w:rPr>
        <w:t xml:space="preserve"> je eno temeljnih usmeritev, kako naj države oblikujejo nacionalne politike na področjih, ki lahko vplivajo na </w:t>
      </w:r>
      <w:r w:rsidRPr="009D24D1">
        <w:rPr>
          <w:rFonts w:eastAsia="Arial" w:cs="Times New Roman"/>
          <w:b/>
          <w:highlight w:val="white"/>
        </w:rPr>
        <w:t>mednarodno razvojno sodelovanje (MRS)</w:t>
      </w:r>
      <w:r w:rsidRPr="009D24D1">
        <w:rPr>
          <w:rFonts w:eastAsia="Arial" w:cs="Times New Roman"/>
          <w:highlight w:val="white"/>
        </w:rPr>
        <w:t>. Načelo SPR, ki se je uveljavilo v kontekstu razprav o učinkovitosti mednarodnih razvojnih politik, zagovarja celovito uskladitev politik s ciljem, da se prepreči (ali vsaj zmanjša) možne negativne posredne ali neposredne učinke na razvoj partnerskih držav - torej tistih držav, v katere se prednostno usmerja MRS. Pomemben cilj SPR pa je tudi doseganje sinergij med različnimi politikami, kar pomeni, da želimo s skladnostjo politik tudi pri oblikovanju rešitev na drugih področjih prispevati k realizaciji ciljev, ki smo si jih zastavili na področju MRS. Prav zagotavljanje skladnosti pa je eden najtežje izvedljivih principov, saj države pogosto razvojne cilje podredijo drugim notranjim ali zunanjim gospodarskim ali političnim interesom.</w:t>
      </w:r>
    </w:p>
    <w:p w14:paraId="00000050"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highlight w:val="white"/>
        </w:rPr>
        <w:t>Evropska unija (EU) kot pomembna donatorica razvojne pomoči in oblikovalka načel za izboljšanje MRS je v svojih dokumentih visoko izpostavila nujnost zagotavljanja SPR. Že v Pogodbi o Evropski uniji iz leta 1992</w:t>
      </w:r>
      <w:r w:rsidRPr="009D24D1">
        <w:rPr>
          <w:rFonts w:eastAsia="Arial" w:cs="Times New Roman"/>
          <w:highlight w:val="white"/>
          <w:vertAlign w:val="superscript"/>
        </w:rPr>
        <w:footnoteReference w:id="1"/>
      </w:r>
      <w:r w:rsidRPr="009D24D1">
        <w:rPr>
          <w:rFonts w:eastAsia="Arial" w:cs="Times New Roman"/>
          <w:highlight w:val="white"/>
        </w:rPr>
        <w:t xml:space="preserve"> je v členu 208 skladnost politik zapisana kot eno od osnovnih načel evropskega MRS, saj piše, da bo EU pri oblikovanju svojih politik upoštevala cilje MRS povsod, kjer imajo lahko le-ti vpliv na države v razvoju</w:t>
      </w:r>
      <w:r w:rsidRPr="009D24D1">
        <w:rPr>
          <w:rFonts w:eastAsia="Arial" w:cs="Times New Roman"/>
          <w:highlight w:val="white"/>
          <w:vertAlign w:val="superscript"/>
        </w:rPr>
        <w:footnoteReference w:id="2"/>
      </w:r>
      <w:r w:rsidRPr="009D24D1">
        <w:rPr>
          <w:rFonts w:eastAsia="Arial" w:cs="Times New Roman"/>
          <w:highlight w:val="white"/>
        </w:rPr>
        <w:t>. Na ravni EU in Organizacije za gospodarsko sodelovanje in razvoj (</w:t>
      </w:r>
      <w:r w:rsidRPr="009D24D1">
        <w:rPr>
          <w:rFonts w:eastAsia="Arial" w:cs="Times New Roman"/>
          <w:i/>
          <w:highlight w:val="white"/>
        </w:rPr>
        <w:t>Organisation for Economic Co-operation and Development</w:t>
      </w:r>
      <w:r w:rsidRPr="009D24D1">
        <w:rPr>
          <w:rFonts w:eastAsia="Arial" w:cs="Times New Roman"/>
          <w:highlight w:val="white"/>
        </w:rPr>
        <w:t xml:space="preserve"> - OECD) se SPR namenja veliko pozornosti tudi v obliki tekočega spremljanja in razvoja metodologije analiziranja skladnosti v posameznih državah. </w:t>
      </w:r>
      <w:r w:rsidRPr="009D24D1">
        <w:rPr>
          <w:rFonts w:eastAsia="Arial" w:cs="Times New Roman"/>
        </w:rPr>
        <w:t xml:space="preserve">OECD predlaga naslednjo opredelitev pojma PCD: </w:t>
      </w:r>
    </w:p>
    <w:p w14:paraId="00000051" w14:textId="77777777" w:rsidR="00525158" w:rsidRPr="009D24D1" w:rsidRDefault="004D4AEA">
      <w:pPr>
        <w:shd w:val="clear" w:color="auto" w:fill="FFFFFF"/>
        <w:spacing w:before="240" w:after="240"/>
        <w:ind w:left="765" w:right="1170"/>
        <w:jc w:val="both"/>
        <w:rPr>
          <w:rFonts w:eastAsia="Arial" w:cs="Times New Roman"/>
          <w:highlight w:val="white"/>
        </w:rPr>
      </w:pPr>
      <w:r w:rsidRPr="009D24D1">
        <w:rPr>
          <w:rFonts w:eastAsia="Arial" w:cs="Times New Roman"/>
          <w:i/>
        </w:rPr>
        <w:t>„Skladnost politike za razvoj pomeni prizadevanje za zagotovitev, da ciljev in rezultatov vladnih razvojnih politik ne slabijo druge politike iste vlade, ki vplivajo na države v razvoju, in da te druge politike po možnosti podpirajo razvojne cilje.”</w:t>
      </w:r>
      <w:r w:rsidRPr="009D24D1">
        <w:rPr>
          <w:rFonts w:eastAsia="Arial" w:cs="Times New Roman"/>
          <w:i/>
          <w:vertAlign w:val="superscript"/>
        </w:rPr>
        <w:footnoteReference w:id="3"/>
      </w:r>
      <w:r w:rsidRPr="009D24D1">
        <w:rPr>
          <w:rFonts w:eastAsia="Arial" w:cs="Times New Roman"/>
          <w:i/>
        </w:rPr>
        <w:t xml:space="preserve"> </w:t>
      </w:r>
    </w:p>
    <w:p w14:paraId="00000052"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 xml:space="preserve">Jasno (pravno) zavezo skladnosti politik, ki je bila z Lizbonsko pogodbo utrjena in razširjena na vse članice EU, je leta 2017 poudarilo tudi novo </w:t>
      </w:r>
      <w:r w:rsidRPr="009D24D1">
        <w:rPr>
          <w:rFonts w:eastAsia="Arial" w:cs="Times New Roman"/>
          <w:b/>
          <w:highlight w:val="white"/>
        </w:rPr>
        <w:t>Evropsko soglasje o razvoju</w:t>
      </w:r>
      <w:r w:rsidRPr="009D24D1">
        <w:rPr>
          <w:rFonts w:eastAsia="Arial" w:cs="Times New Roman"/>
          <w:highlight w:val="white"/>
        </w:rPr>
        <w:t>,</w:t>
      </w:r>
      <w:r w:rsidRPr="009D24D1">
        <w:rPr>
          <w:rFonts w:eastAsia="Arial" w:cs="Times New Roman"/>
          <w:highlight w:val="white"/>
          <w:vertAlign w:val="superscript"/>
        </w:rPr>
        <w:footnoteReference w:id="4"/>
      </w:r>
      <w:r w:rsidRPr="009D24D1">
        <w:rPr>
          <w:rFonts w:eastAsia="Arial" w:cs="Times New Roman"/>
          <w:highlight w:val="white"/>
        </w:rPr>
        <w:t xml:space="preserve"> ki je SPR priznalo kot ključni element vsake nacionalne strategije za doseganje </w:t>
      </w:r>
      <w:r w:rsidRPr="009D24D1">
        <w:rPr>
          <w:rFonts w:eastAsia="Arial" w:cs="Times New Roman"/>
          <w:b/>
          <w:highlight w:val="white"/>
        </w:rPr>
        <w:t>ciljev trajnostnega razvoja (CTR)</w:t>
      </w:r>
      <w:r w:rsidRPr="009D24D1">
        <w:rPr>
          <w:rFonts w:eastAsia="Arial" w:cs="Times New Roman"/>
          <w:highlight w:val="white"/>
        </w:rPr>
        <w:t xml:space="preserve"> v partnerskih državah. Cilji trajnostnega razvoja so bili sprejeti leta 2015 v okviru </w:t>
      </w:r>
      <w:r w:rsidRPr="009D24D1">
        <w:rPr>
          <w:rFonts w:eastAsia="Arial" w:cs="Times New Roman"/>
          <w:b/>
        </w:rPr>
        <w:t>Agende Organizacije združenih narodov za trajnostni razvoj do leta 2030 (</w:t>
      </w:r>
      <w:r w:rsidRPr="009D24D1">
        <w:rPr>
          <w:rFonts w:eastAsia="Arial" w:cs="Times New Roman"/>
          <w:b/>
          <w:highlight w:val="white"/>
        </w:rPr>
        <w:t>Agenda 2030)</w:t>
      </w:r>
      <w:r w:rsidRPr="009D24D1">
        <w:rPr>
          <w:rFonts w:eastAsia="Arial" w:cs="Times New Roman"/>
          <w:highlight w:val="white"/>
        </w:rPr>
        <w:t>.</w:t>
      </w:r>
      <w:r w:rsidRPr="009D24D1">
        <w:rPr>
          <w:rFonts w:eastAsia="Arial" w:cs="Times New Roman"/>
          <w:highlight w:val="white"/>
          <w:vertAlign w:val="superscript"/>
        </w:rPr>
        <w:footnoteReference w:id="5"/>
      </w:r>
      <w:r w:rsidRPr="009D24D1">
        <w:rPr>
          <w:rFonts w:eastAsia="Arial" w:cs="Times New Roman"/>
          <w:highlight w:val="white"/>
        </w:rPr>
        <w:t xml:space="preserve"> Evropsko soglasje o razvoju predvideva, da se bo načelo SPR uporabljalo v vseh politikah in na vseh področjih, ki jih zajema </w:t>
      </w:r>
      <w:r w:rsidRPr="009D24D1">
        <w:rPr>
          <w:rFonts w:eastAsia="Arial" w:cs="Times New Roman"/>
          <w:b/>
          <w:highlight w:val="white"/>
        </w:rPr>
        <w:t>Agenda 2030</w:t>
      </w:r>
      <w:r w:rsidRPr="009D24D1">
        <w:rPr>
          <w:rFonts w:eastAsia="Arial" w:cs="Times New Roman"/>
          <w:highlight w:val="white"/>
        </w:rPr>
        <w:t xml:space="preserve">, hkrati pa še bolj jasno opredeljuje razvojne zaveze: EU in njene države članice bodo uporabile princip SPR in bodo upoštevale </w:t>
      </w:r>
      <w:r w:rsidRPr="009D24D1">
        <w:rPr>
          <w:rFonts w:eastAsia="Arial" w:cs="Times New Roman"/>
          <w:highlight w:val="white"/>
        </w:rPr>
        <w:lastRenderedPageBreak/>
        <w:t>cilje MRS v vseh svojih zunanjih in notranjih politikah, ki jih uresničujejo in imajo verjeten vpliv na države v razvoju. Hkrati je SPR prepoznana kot temeljni del prispevka EU k doseganju CTR (Evropsko soglasje o razvoju 2017, str. 52).</w:t>
      </w:r>
    </w:p>
    <w:p w14:paraId="00000053"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 xml:space="preserve">V </w:t>
      </w:r>
      <w:r w:rsidRPr="009D24D1">
        <w:rPr>
          <w:rFonts w:eastAsia="Arial" w:cs="Times New Roman"/>
          <w:b/>
          <w:highlight w:val="white"/>
        </w:rPr>
        <w:t xml:space="preserve">Agendi 2030 iz </w:t>
      </w:r>
      <w:r w:rsidRPr="009D24D1">
        <w:rPr>
          <w:rFonts w:eastAsia="Arial" w:cs="Times New Roman"/>
          <w:highlight w:val="white"/>
        </w:rPr>
        <w:t xml:space="preserve">leta 2015 je bila sprejeta nova perspektiva razumevanja SPR in sicer </w:t>
      </w:r>
      <w:r w:rsidRPr="009D24D1">
        <w:rPr>
          <w:rFonts w:eastAsia="Arial" w:cs="Times New Roman"/>
        </w:rPr>
        <w:t>uv</w:t>
      </w:r>
      <w:r w:rsidRPr="009D24D1">
        <w:rPr>
          <w:rFonts w:eastAsia="Arial" w:cs="Times New Roman"/>
          <w:highlight w:val="white"/>
        </w:rPr>
        <w:t xml:space="preserve">eden je bil nov koncept </w:t>
      </w:r>
      <w:r w:rsidRPr="009D24D1">
        <w:rPr>
          <w:rFonts w:eastAsia="Arial" w:cs="Times New Roman"/>
          <w:b/>
          <w:highlight w:val="white"/>
        </w:rPr>
        <w:t>skladnosti politik za trajnostni razvoj (SPTR)</w:t>
      </w:r>
      <w:r w:rsidRPr="009D24D1">
        <w:rPr>
          <w:rFonts w:eastAsia="Arial" w:cs="Times New Roman"/>
          <w:highlight w:val="white"/>
        </w:rPr>
        <w:t>, ki je priznal širši pomen skladnosti politik v celotnem svežnju med seboj povezanih politik, zajetih v 17 CTR (Mackie 2020, str. 6).</w:t>
      </w:r>
      <w:r w:rsidRPr="009D24D1">
        <w:rPr>
          <w:rFonts w:eastAsia="Arial" w:cs="Times New Roman"/>
          <w:highlight w:val="white"/>
          <w:vertAlign w:val="superscript"/>
        </w:rPr>
        <w:footnoteReference w:id="6"/>
      </w:r>
      <w:r w:rsidRPr="009D24D1">
        <w:rPr>
          <w:rFonts w:eastAsia="Arial" w:cs="Times New Roman"/>
          <w:highlight w:val="white"/>
        </w:rPr>
        <w:t xml:space="preserve"> Ta sprememba se odraža tudi v </w:t>
      </w:r>
      <w:r w:rsidRPr="009D24D1">
        <w:rPr>
          <w:rFonts w:eastAsia="Arial" w:cs="Times New Roman"/>
        </w:rPr>
        <w:t>dokumentih EU po letu 2015;</w:t>
      </w:r>
      <w:r w:rsidRPr="009D24D1">
        <w:rPr>
          <w:rFonts w:eastAsia="Arial" w:cs="Times New Roman"/>
          <w:highlight w:val="white"/>
        </w:rPr>
        <w:t xml:space="preserve"> posledično je Evropska komisija prilagodila svoj pristop k SPR, da bi se uskladila s spremembo paradigme razvojnega sodelovanja. Tako </w:t>
      </w:r>
      <w:r w:rsidRPr="009D24D1">
        <w:rPr>
          <w:rFonts w:eastAsia="Arial" w:cs="Times New Roman"/>
          <w:b/>
          <w:highlight w:val="white"/>
        </w:rPr>
        <w:t>EU poročilo o skladnosti politik za razvoj iz leta 2019</w:t>
      </w:r>
      <w:r w:rsidRPr="009D24D1">
        <w:rPr>
          <w:rFonts w:eastAsia="Arial" w:cs="Times New Roman"/>
          <w:highlight w:val="white"/>
          <w:vertAlign w:val="superscript"/>
        </w:rPr>
        <w:footnoteReference w:id="7"/>
      </w:r>
      <w:r w:rsidRPr="009D24D1">
        <w:rPr>
          <w:rFonts w:eastAsia="Arial" w:cs="Times New Roman"/>
          <w:highlight w:val="white"/>
        </w:rPr>
        <w:t xml:space="preserve"> navaja, da skladnost politik ni več razumljen kot samostojen princip, vezan na MRS, ampak postaja ključni element v sklopu delovanja EU za uresničevanje Agende 2030 in tam zastavljenih 17 CTR. Prav tako EU ugotavlja, da imajo nekatere politike pomemben vpliv na doseganje ciljev razvojne politike oziroma obratno, da lahko celo izničijo dosežke na nekaterih področjih. Uresničevanje načela SPTR tako predpostavlja sistematično zbiranje informacij o naravi in obsegu teh vplivov, tako da se minimizirajo neskladnosti in, kjer je to možno, zagotovijo sinergije med politikami, ki imajo dokazljiv vpliv na države v razvoju (EU, 2019; Policy Coherence for Development, 2019 EU Report, str. 11)</w:t>
      </w:r>
      <w:r w:rsidRPr="009D24D1">
        <w:rPr>
          <w:rFonts w:eastAsia="Arial" w:cs="Times New Roman"/>
          <w:highlight w:val="white"/>
          <w:vertAlign w:val="superscript"/>
        </w:rPr>
        <w:footnoteReference w:id="8"/>
      </w:r>
      <w:r w:rsidRPr="009D24D1">
        <w:rPr>
          <w:rFonts w:eastAsia="Arial" w:cs="Times New Roman"/>
          <w:highlight w:val="white"/>
        </w:rPr>
        <w:t xml:space="preserve">. </w:t>
      </w:r>
    </w:p>
    <w:p w14:paraId="00000054"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Čeprav sta si izraza SPR in SPTR podobna, gre vendarle za pomembno razliko med njima: SPR je pravna zaveza v Pogodbi o EU, SPTR pa izhaja iz Agende 2030 in Addis Ababa Agende</w:t>
      </w:r>
      <w:r w:rsidRPr="009D24D1">
        <w:rPr>
          <w:rFonts w:eastAsia="Arial" w:cs="Times New Roman"/>
          <w:highlight w:val="white"/>
          <w:vertAlign w:val="superscript"/>
        </w:rPr>
        <w:footnoteReference w:id="9"/>
      </w:r>
      <w:r w:rsidRPr="009D24D1">
        <w:rPr>
          <w:rFonts w:eastAsia="Arial" w:cs="Times New Roman"/>
          <w:highlight w:val="white"/>
        </w:rPr>
        <w:t>. Poudariti je potrebno še eno razliko: CTR so univerzalni, zato morajo v njihovem primeru oblikovalci politik zagotavljati večsmerno skladnost pri zasledovanju številnih ciljev na globalni ravni. SPR pa je bolj fokusirano načelo, ki se nanaša predvsem na interese držav v razvoju (External Evaluation of the European Union’s  Policy Coherence for Development (2009-2016); str. 5).</w:t>
      </w:r>
      <w:r w:rsidRPr="009D24D1">
        <w:rPr>
          <w:rFonts w:eastAsia="Arial" w:cs="Times New Roman"/>
          <w:highlight w:val="white"/>
          <w:vertAlign w:val="superscript"/>
        </w:rPr>
        <w:footnoteReference w:id="10"/>
      </w:r>
    </w:p>
    <w:p w14:paraId="00000055" w14:textId="77777777" w:rsidR="00525158" w:rsidRPr="009D24D1" w:rsidRDefault="004D4AEA">
      <w:pPr>
        <w:shd w:val="clear" w:color="auto" w:fill="FFFFFF"/>
        <w:spacing w:before="240"/>
        <w:jc w:val="both"/>
        <w:rPr>
          <w:rFonts w:eastAsia="Arial" w:cs="Times New Roman"/>
        </w:rPr>
      </w:pPr>
      <w:r w:rsidRPr="009D24D1">
        <w:rPr>
          <w:rFonts w:eastAsia="Arial" w:cs="Times New Roman"/>
        </w:rPr>
        <w:t xml:space="preserve">Pomembna platforma za spodbujanje SPR in SPTR je organizacija OECD, kar se odraža v </w:t>
      </w:r>
      <w:r w:rsidRPr="009D24D1">
        <w:rPr>
          <w:rFonts w:eastAsia="Arial" w:cs="Times New Roman"/>
          <w:b/>
        </w:rPr>
        <w:t>Priporočilu Sveta glede SPTR (OECD 2019)</w:t>
      </w:r>
      <w:r w:rsidRPr="009D24D1">
        <w:rPr>
          <w:rFonts w:eastAsia="Arial" w:cs="Times New Roman"/>
          <w:b/>
          <w:vertAlign w:val="superscript"/>
        </w:rPr>
        <w:footnoteReference w:id="11"/>
      </w:r>
      <w:r w:rsidRPr="009D24D1">
        <w:rPr>
          <w:rFonts w:eastAsia="Arial" w:cs="Times New Roman"/>
        </w:rPr>
        <w:t xml:space="preserve">, kjer so povzeti glavni ukrepi, ki jih lahko vlade izvajajo za spodbujanje SPTR. Priporočilo je tudi skladno z Evropskim soglasjem iz leta </w:t>
      </w:r>
      <w:r w:rsidRPr="009D24D1">
        <w:rPr>
          <w:rFonts w:eastAsia="Arial" w:cs="Times New Roman"/>
        </w:rPr>
        <w:lastRenderedPageBreak/>
        <w:t>2017, kjer piše, da je SPR prispevek k SPTR. Poročila OECD so tudi glavno merilo in vodilo za pregled stanja SPTR v posameznih državah.</w:t>
      </w:r>
      <w:r w:rsidRPr="009D24D1">
        <w:rPr>
          <w:rFonts w:eastAsia="Arial" w:cs="Times New Roman"/>
          <w:vertAlign w:val="superscript"/>
        </w:rPr>
        <w:footnoteReference w:id="12"/>
      </w:r>
      <w:r w:rsidRPr="009D24D1">
        <w:rPr>
          <w:rFonts w:eastAsia="Arial" w:cs="Times New Roman"/>
        </w:rPr>
        <w:t xml:space="preserve"> </w:t>
      </w:r>
    </w:p>
    <w:p w14:paraId="00000056"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rPr>
        <w:t>Koncept SPR in predvsem SPTR je pomemben zato, ker politike EU, ki niso med seboj usklajene in ki niso usmerjene v pomoč t. i. državam v razvoju lahko negativno vplivajo na t. i. države v razvoju. Namreč politike in usklajenost politik EU na področjih kot so trgovina, kmetijstvo, ribištvo, varnost hrane, prevoz in energetika imajo neposreden vpliv na sposobnost držav v razvoju, da ustvarijo domačo gospodarsko rast, ki je temelj trajnega razvoja, napredka in  doseganja razvojnih ciljev. Tudi okoljska politika EU neposredno vpliva na svetovni napredek pri zagotavljanju okoljske trajnosti, saj prek povezav med okoljem in revščino, dostopom do naravnih virov in njihovim upravljanjem, vlogo žensk, zdravstvom, smrtnostjo otrok in obiskovanjem šole vpliva na vse ostale razvojne cilje držav v razvoju. Prav tako migracijske politike EU vplivajo na smeri selitev migrantov in tako vplivajo tudi na stanje plačilne bilance mnogih držav.</w:t>
      </w:r>
      <w:r w:rsidRPr="009D24D1">
        <w:rPr>
          <w:rFonts w:eastAsia="Arial" w:cs="Times New Roman"/>
          <w:vertAlign w:val="superscript"/>
        </w:rPr>
        <w:footnoteReference w:id="13"/>
      </w:r>
      <w:r w:rsidRPr="009D24D1">
        <w:rPr>
          <w:rFonts w:eastAsia="Arial" w:cs="Times New Roman"/>
        </w:rPr>
        <w:t xml:space="preserve"> To so tudi glavna področja katerim bomo namenili pozornost v tem poročilu ter v nadaljevanju ciljnega raziskovalnega projekta.</w:t>
      </w:r>
    </w:p>
    <w:p w14:paraId="00000057"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rPr>
        <w:t xml:space="preserve">V nadaljevanju najprej predstavimo metodologijo dela ter opravimo pregled obstoječe literature na področju SPR in SPTR (2. poglavje). V naslednjem poglavju postavimo SPR in SPTR v kontekst Slovenije s poudarkom na petih področjih: </w:t>
      </w:r>
      <w:r w:rsidRPr="009D24D1">
        <w:rPr>
          <w:rFonts w:eastAsia="Arial" w:cs="Times New Roman"/>
          <w:u w:val="single"/>
        </w:rPr>
        <w:t>podnebne spremembe (okolje)</w:t>
      </w:r>
      <w:r w:rsidRPr="009D24D1">
        <w:rPr>
          <w:rFonts w:eastAsia="Arial" w:cs="Times New Roman"/>
        </w:rPr>
        <w:t xml:space="preserve">, </w:t>
      </w:r>
      <w:r w:rsidRPr="009D24D1">
        <w:rPr>
          <w:rFonts w:eastAsia="Arial" w:cs="Times New Roman"/>
          <w:u w:val="single"/>
        </w:rPr>
        <w:t>prehrana</w:t>
      </w:r>
      <w:r w:rsidRPr="009D24D1">
        <w:rPr>
          <w:rFonts w:eastAsia="Arial" w:cs="Times New Roman"/>
        </w:rPr>
        <w:t xml:space="preserve">, </w:t>
      </w:r>
      <w:r w:rsidRPr="009D24D1">
        <w:rPr>
          <w:rFonts w:eastAsia="Arial" w:cs="Times New Roman"/>
          <w:u w:val="single"/>
        </w:rPr>
        <w:t>migracije</w:t>
      </w:r>
      <w:r w:rsidRPr="009D24D1">
        <w:rPr>
          <w:rFonts w:eastAsia="Arial" w:cs="Times New Roman"/>
        </w:rPr>
        <w:t xml:space="preserve">, </w:t>
      </w:r>
      <w:r w:rsidRPr="009D24D1">
        <w:rPr>
          <w:rFonts w:eastAsia="Arial" w:cs="Times New Roman"/>
          <w:u w:val="single"/>
        </w:rPr>
        <w:t>varnost in razvoj</w:t>
      </w:r>
      <w:r w:rsidRPr="009D24D1">
        <w:rPr>
          <w:rFonts w:eastAsia="Arial" w:cs="Times New Roman"/>
        </w:rPr>
        <w:t xml:space="preserve"> ter </w:t>
      </w:r>
      <w:r w:rsidRPr="009D24D1">
        <w:rPr>
          <w:rFonts w:eastAsia="Arial" w:cs="Times New Roman"/>
          <w:u w:val="single"/>
        </w:rPr>
        <w:t xml:space="preserve">trgovina in finance </w:t>
      </w:r>
      <w:r w:rsidRPr="009D24D1">
        <w:rPr>
          <w:rFonts w:eastAsia="Arial" w:cs="Times New Roman"/>
        </w:rPr>
        <w:t>(3. poglavje).</w:t>
      </w:r>
      <w:r w:rsidRPr="009D24D1">
        <w:rPr>
          <w:rFonts w:eastAsia="Arial" w:cs="Times New Roman"/>
          <w:vertAlign w:val="superscript"/>
        </w:rPr>
        <w:footnoteReference w:id="14"/>
      </w:r>
      <w:r w:rsidRPr="009D24D1">
        <w:rPr>
          <w:rFonts w:eastAsia="Arial" w:cs="Times New Roman"/>
        </w:rPr>
        <w:t xml:space="preserve"> Z analizo izbranih politik, strategij, poročil in drugih dokumentov, ki jih je v zadnjih 15 letih oblikovala država, analiziramo ali se je načelo skladnosti politik uveljavilo pri pripravi strateških dokumentov, ali je načelo SPR ali SPTR zasledovano pri načrtovanju, spremljanju in načinu vrednotenja politik in kako so njihove vsebine povezane z doseganjem CTR (na posamezne</w:t>
      </w:r>
      <w:r w:rsidRPr="009D24D1">
        <w:rPr>
          <w:rFonts w:eastAsia="Arial" w:cs="Times New Roman"/>
          <w:highlight w:val="white"/>
        </w:rPr>
        <w:t xml:space="preserve">m ministrstvu in področju, ki ga le-ta pokriva, ter pri medresorskem usklajevanju). V </w:t>
      </w:r>
      <w:r w:rsidRPr="009D24D1">
        <w:rPr>
          <w:rFonts w:eastAsia="Arial" w:cs="Times New Roman"/>
        </w:rPr>
        <w:t>zaključnem poglavju predstavimo sintezo stanja v Sloveniji in napovemo naslednje korake v okviru ciljnega raziskovalnega projekta (4. poglavje).</w:t>
      </w:r>
    </w:p>
    <w:p w14:paraId="00000058" w14:textId="77777777" w:rsidR="00525158" w:rsidRDefault="00525158">
      <w:pPr>
        <w:shd w:val="clear" w:color="auto" w:fill="FFFFFF"/>
        <w:spacing w:before="240" w:after="240"/>
        <w:jc w:val="both"/>
        <w:rPr>
          <w:rFonts w:eastAsia="Arial" w:cs="Times New Roman"/>
        </w:rPr>
      </w:pPr>
    </w:p>
    <w:p w14:paraId="2ABCFBD9" w14:textId="77777777" w:rsidR="009D24D1" w:rsidRDefault="009D24D1">
      <w:pPr>
        <w:shd w:val="clear" w:color="auto" w:fill="FFFFFF"/>
        <w:spacing w:before="240" w:after="240"/>
        <w:jc w:val="both"/>
        <w:rPr>
          <w:rFonts w:eastAsia="Arial" w:cs="Times New Roman"/>
        </w:rPr>
      </w:pPr>
    </w:p>
    <w:p w14:paraId="580D70AC" w14:textId="77777777" w:rsidR="009D24D1" w:rsidRDefault="009D24D1">
      <w:pPr>
        <w:shd w:val="clear" w:color="auto" w:fill="FFFFFF"/>
        <w:spacing w:before="240" w:after="240"/>
        <w:jc w:val="both"/>
        <w:rPr>
          <w:rFonts w:eastAsia="Arial" w:cs="Times New Roman"/>
        </w:rPr>
      </w:pPr>
    </w:p>
    <w:p w14:paraId="75377152" w14:textId="77777777" w:rsidR="009D24D1" w:rsidRDefault="009D24D1">
      <w:pPr>
        <w:shd w:val="clear" w:color="auto" w:fill="FFFFFF"/>
        <w:spacing w:before="240" w:after="240"/>
        <w:jc w:val="both"/>
        <w:rPr>
          <w:rFonts w:eastAsia="Arial" w:cs="Times New Roman"/>
        </w:rPr>
      </w:pPr>
    </w:p>
    <w:p w14:paraId="44B1EC3E" w14:textId="77777777" w:rsidR="009D24D1" w:rsidRPr="009D24D1" w:rsidRDefault="009D24D1">
      <w:pPr>
        <w:shd w:val="clear" w:color="auto" w:fill="FFFFFF"/>
        <w:spacing w:before="240" w:after="240"/>
        <w:jc w:val="both"/>
        <w:rPr>
          <w:rFonts w:eastAsia="Arial" w:cs="Times New Roman"/>
        </w:rPr>
      </w:pPr>
    </w:p>
    <w:p w14:paraId="00000059" w14:textId="77777777" w:rsidR="00525158" w:rsidRPr="009D24D1" w:rsidRDefault="004D4AEA" w:rsidP="00342C39">
      <w:pPr>
        <w:pStyle w:val="Heading1"/>
        <w:numPr>
          <w:ilvl w:val="0"/>
          <w:numId w:val="2"/>
        </w:numPr>
        <w:rPr>
          <w:rFonts w:ascii="Times New Roman" w:hAnsi="Times New Roman" w:cs="Times New Roman"/>
          <w:b/>
          <w:bCs/>
          <w:sz w:val="28"/>
          <w:szCs w:val="28"/>
        </w:rPr>
      </w:pPr>
      <w:bookmarkStart w:id="2" w:name="_heading=h.tr048whfm1rp" w:colFirst="0" w:colLast="0"/>
      <w:bookmarkStart w:id="3" w:name="_Toc205412929"/>
      <w:bookmarkEnd w:id="2"/>
      <w:r w:rsidRPr="009D24D1">
        <w:rPr>
          <w:rFonts w:ascii="Times New Roman" w:hAnsi="Times New Roman" w:cs="Times New Roman"/>
          <w:b/>
          <w:bCs/>
          <w:sz w:val="28"/>
          <w:szCs w:val="28"/>
        </w:rPr>
        <w:lastRenderedPageBreak/>
        <w:t>METODOLOGIJA IN PREGLED LITERATURE</w:t>
      </w:r>
      <w:bookmarkEnd w:id="3"/>
    </w:p>
    <w:p w14:paraId="0000005A" w14:textId="77777777" w:rsidR="00525158" w:rsidRPr="009D24D1" w:rsidRDefault="00525158">
      <w:pPr>
        <w:shd w:val="clear" w:color="auto" w:fill="FFFFFF"/>
        <w:ind w:left="720"/>
        <w:jc w:val="both"/>
        <w:rPr>
          <w:rFonts w:eastAsia="Arial" w:cs="Times New Roman"/>
          <w:b/>
        </w:rPr>
      </w:pPr>
    </w:p>
    <w:p w14:paraId="0000005B" w14:textId="77777777" w:rsidR="00525158" w:rsidRPr="009D24D1" w:rsidRDefault="004D4AEA" w:rsidP="00342C39">
      <w:pPr>
        <w:pStyle w:val="Heading2"/>
        <w:rPr>
          <w:rFonts w:ascii="Times New Roman" w:hAnsi="Times New Roman" w:cs="Times New Roman"/>
          <w:b/>
          <w:bCs/>
          <w:sz w:val="24"/>
          <w:szCs w:val="24"/>
        </w:rPr>
      </w:pPr>
      <w:bookmarkStart w:id="4" w:name="_heading=h.ylnyi8df3ti7" w:colFirst="0" w:colLast="0"/>
      <w:bookmarkStart w:id="5" w:name="_Toc205412930"/>
      <w:bookmarkEnd w:id="4"/>
      <w:r w:rsidRPr="009D24D1">
        <w:rPr>
          <w:rFonts w:ascii="Times New Roman" w:hAnsi="Times New Roman" w:cs="Times New Roman"/>
          <w:b/>
          <w:bCs/>
          <w:sz w:val="24"/>
          <w:szCs w:val="24"/>
        </w:rPr>
        <w:t>2.1 Metodologija analize</w:t>
      </w:r>
      <w:bookmarkEnd w:id="5"/>
      <w:r w:rsidRPr="009D24D1">
        <w:rPr>
          <w:rFonts w:ascii="Times New Roman" w:hAnsi="Times New Roman" w:cs="Times New Roman"/>
          <w:b/>
          <w:bCs/>
          <w:sz w:val="24"/>
          <w:szCs w:val="24"/>
        </w:rPr>
        <w:t xml:space="preserve"> </w:t>
      </w:r>
    </w:p>
    <w:p w14:paraId="0000005C" w14:textId="77777777" w:rsidR="00525158" w:rsidRPr="009D24D1" w:rsidRDefault="00525158">
      <w:pPr>
        <w:shd w:val="clear" w:color="auto" w:fill="FFFFFF"/>
        <w:jc w:val="both"/>
        <w:rPr>
          <w:rFonts w:eastAsia="Arial" w:cs="Times New Roman"/>
        </w:rPr>
      </w:pPr>
    </w:p>
    <w:p w14:paraId="0000005D" w14:textId="77777777" w:rsidR="00525158" w:rsidRPr="009D24D1" w:rsidRDefault="004D4AEA">
      <w:pPr>
        <w:shd w:val="clear" w:color="auto" w:fill="FFFFFF"/>
        <w:jc w:val="both"/>
        <w:rPr>
          <w:rFonts w:eastAsia="Arial" w:cs="Times New Roman"/>
          <w:highlight w:val="yellow"/>
        </w:rPr>
      </w:pPr>
      <w:r w:rsidRPr="009D24D1">
        <w:rPr>
          <w:rFonts w:eastAsia="Arial" w:cs="Times New Roman"/>
        </w:rPr>
        <w:t>Za pregled izvajanja javnih politik z največjimi učinki na trajnostni razvoj in na države v razvoju ter za analizo stanja SPR oz. SPTR v Sloveniji smo najprej opravili pregled obstoječe literature in raziskav (ki jih je sicer v slovenskem prostoru izjemno malo) ter ključnih dokumentov, ki opredeljujejo SPR oz. SPTR na nacionalni, EU in mednarodni ravni.</w:t>
      </w:r>
    </w:p>
    <w:p w14:paraId="0000005E" w14:textId="77777777" w:rsidR="00525158" w:rsidRPr="009D24D1" w:rsidRDefault="00525158">
      <w:pPr>
        <w:shd w:val="clear" w:color="auto" w:fill="FFFFFF"/>
        <w:jc w:val="both"/>
        <w:rPr>
          <w:rFonts w:eastAsia="Arial" w:cs="Times New Roman"/>
        </w:rPr>
      </w:pPr>
    </w:p>
    <w:p w14:paraId="0000005F" w14:textId="77777777" w:rsidR="00525158" w:rsidRPr="009D24D1" w:rsidRDefault="004D4AEA">
      <w:pPr>
        <w:shd w:val="clear" w:color="auto" w:fill="FFFFFF"/>
        <w:jc w:val="both"/>
        <w:rPr>
          <w:rFonts w:eastAsia="Arial" w:cs="Times New Roman"/>
          <w:highlight w:val="yellow"/>
        </w:rPr>
      </w:pPr>
      <w:r w:rsidRPr="009D24D1">
        <w:rPr>
          <w:rFonts w:eastAsia="Arial" w:cs="Times New Roman"/>
        </w:rPr>
        <w:t xml:space="preserve">Na nacionalni ravni je pomembno predvsem področje MRS in njegov zakonodajni in politični okvir (kar spada pod resor MZEZ) in prenos Agende 2030 in CTR v slovenski kontekst s Strategijo razvoja Slovenije do 2030 (kar spada pod resor Ministrstva za kohezijo in regionalni razvoj). </w:t>
      </w:r>
    </w:p>
    <w:p w14:paraId="00000060" w14:textId="77777777" w:rsidR="00525158" w:rsidRPr="009D24D1" w:rsidRDefault="004D4AEA">
      <w:pPr>
        <w:shd w:val="clear" w:color="auto" w:fill="FFFFFF"/>
        <w:jc w:val="both"/>
        <w:rPr>
          <w:rFonts w:eastAsia="Arial" w:cs="Times New Roman"/>
        </w:rPr>
      </w:pPr>
      <w:r w:rsidRPr="009D24D1">
        <w:rPr>
          <w:rFonts w:eastAsia="Arial" w:cs="Times New Roman"/>
        </w:rPr>
        <w:t xml:space="preserve"> </w:t>
      </w:r>
    </w:p>
    <w:p w14:paraId="00000061" w14:textId="77777777" w:rsidR="00525158" w:rsidRPr="009D24D1" w:rsidRDefault="004D4AEA">
      <w:pPr>
        <w:shd w:val="clear" w:color="auto" w:fill="FFFFFF"/>
        <w:jc w:val="both"/>
        <w:rPr>
          <w:rFonts w:eastAsia="Arial" w:cs="Times New Roman"/>
        </w:rPr>
      </w:pPr>
      <w:r w:rsidRPr="009D24D1">
        <w:rPr>
          <w:rFonts w:eastAsia="Arial" w:cs="Times New Roman"/>
        </w:rPr>
        <w:t>Ker se v praksi skladnost politik uresničuje na podlagi usklajevanj med ministrstvi, smo v naslednjem koraku na področna ministrstva naslovili vprašanja o njihovih ključnih politikah oz. dokumentih, ki vključujejo načelo SPR ali SPTR, in aktivnostih za uresničevanje načela SPR ali SPTR. Zanimalo nas je, kateri resorni dokumenti vključujejo načelo SPR oz. SPTR in kako področna ministrstva skrbijo za to, da se načelo tudi zares izvaja. Nekatera ministrstva se niso odzvala, ostala pa so se odzvala z navedbami ključnih dokumentov in aktivnosti na njihovem področju.</w:t>
      </w:r>
      <w:r w:rsidRPr="009D24D1">
        <w:rPr>
          <w:rFonts w:eastAsia="Arial" w:cs="Times New Roman"/>
          <w:vertAlign w:val="superscript"/>
        </w:rPr>
        <w:footnoteReference w:id="15"/>
      </w:r>
      <w:r w:rsidRPr="009D24D1">
        <w:rPr>
          <w:rFonts w:eastAsia="Arial" w:cs="Times New Roman"/>
        </w:rPr>
        <w:t xml:space="preserve"> Vsako ministrstvo naj bi bilo pri svojem delu primarno zavezano prispevati k uresničevanju CTR s svojega področja, zato smo analizirali tudi v kakšni meri so v strateških dokumentih zastopani ti cilji in kako se to odraža v konkretnem delu ministrstev.  </w:t>
      </w:r>
    </w:p>
    <w:p w14:paraId="00000062" w14:textId="77777777" w:rsidR="00525158" w:rsidRPr="009D24D1" w:rsidRDefault="00525158">
      <w:pPr>
        <w:shd w:val="clear" w:color="auto" w:fill="FFFFFF"/>
        <w:jc w:val="both"/>
        <w:rPr>
          <w:rFonts w:eastAsia="Arial" w:cs="Times New Roman"/>
        </w:rPr>
      </w:pPr>
    </w:p>
    <w:p w14:paraId="00000063" w14:textId="77777777" w:rsidR="00525158" w:rsidRPr="009D24D1" w:rsidRDefault="00525158">
      <w:pPr>
        <w:shd w:val="clear" w:color="auto" w:fill="FFFFFF"/>
        <w:jc w:val="both"/>
        <w:rPr>
          <w:rFonts w:eastAsia="Arial" w:cs="Times New Roman"/>
          <w:b/>
        </w:rPr>
      </w:pPr>
    </w:p>
    <w:p w14:paraId="00000064" w14:textId="77777777" w:rsidR="00525158" w:rsidRPr="009D24D1" w:rsidRDefault="004D4AEA" w:rsidP="00342C39">
      <w:pPr>
        <w:pStyle w:val="Heading2"/>
        <w:rPr>
          <w:rFonts w:ascii="Times New Roman" w:hAnsi="Times New Roman" w:cs="Times New Roman"/>
          <w:b/>
          <w:bCs/>
          <w:sz w:val="24"/>
          <w:szCs w:val="24"/>
        </w:rPr>
      </w:pPr>
      <w:bookmarkStart w:id="6" w:name="_heading=h.iqn9m85zwdy3" w:colFirst="0" w:colLast="0"/>
      <w:bookmarkStart w:id="7" w:name="_Toc205412931"/>
      <w:bookmarkEnd w:id="6"/>
      <w:r w:rsidRPr="009D24D1">
        <w:rPr>
          <w:rFonts w:ascii="Times New Roman" w:hAnsi="Times New Roman" w:cs="Times New Roman"/>
          <w:b/>
          <w:bCs/>
          <w:sz w:val="24"/>
          <w:szCs w:val="24"/>
        </w:rPr>
        <w:t>2.2 Pregled obstoječih raziskav in relevantne literature</w:t>
      </w:r>
      <w:bookmarkEnd w:id="7"/>
      <w:r w:rsidRPr="009D24D1">
        <w:rPr>
          <w:rFonts w:ascii="Times New Roman" w:hAnsi="Times New Roman" w:cs="Times New Roman"/>
          <w:b/>
          <w:bCs/>
          <w:sz w:val="24"/>
          <w:szCs w:val="24"/>
        </w:rPr>
        <w:t xml:space="preserve">  </w:t>
      </w:r>
    </w:p>
    <w:p w14:paraId="00000065" w14:textId="77777777" w:rsidR="00525158" w:rsidRPr="009D24D1" w:rsidRDefault="004D4AEA">
      <w:pPr>
        <w:shd w:val="clear" w:color="auto" w:fill="FFFFFF"/>
        <w:jc w:val="both"/>
        <w:rPr>
          <w:rFonts w:eastAsia="Arial" w:cs="Times New Roman"/>
        </w:rPr>
      </w:pPr>
      <w:r w:rsidRPr="009D24D1">
        <w:rPr>
          <w:rFonts w:eastAsia="Arial" w:cs="Times New Roman"/>
        </w:rPr>
        <w:t> </w:t>
      </w:r>
    </w:p>
    <w:p w14:paraId="00000066"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Načelo SPR je instrument, ki je bil oblikovan s ciljem spodbujanja razvoja prek mednarodnih organizacij in njihovih držav članic in predstavlja politični okvir, ki omogoča prepoznavanje interakcij med različnimi sektorji, ki bodisi spodkopavajo bodisi krepijo cilje razvojnih politik (Koff, Challenger in Portillo, 2020, str. 1</w:t>
      </w:r>
      <w:r w:rsidRPr="009D24D1">
        <w:rPr>
          <w:rFonts w:eastAsia="Arial" w:cs="Times New Roman"/>
          <w:highlight w:val="white"/>
          <w:vertAlign w:val="superscript"/>
        </w:rPr>
        <w:footnoteReference w:id="16"/>
      </w:r>
      <w:r w:rsidRPr="009D24D1">
        <w:rPr>
          <w:rFonts w:eastAsia="Arial" w:cs="Times New Roman"/>
          <w:highlight w:val="white"/>
        </w:rPr>
        <w:t xml:space="preserve">). Prvič je bil definiran v 90. letih 20. stoletja (Grabel, </w:t>
      </w:r>
      <w:r w:rsidRPr="009D24D1">
        <w:rPr>
          <w:rFonts w:eastAsia="Arial" w:cs="Times New Roman"/>
          <w:highlight w:val="white"/>
        </w:rPr>
        <w:lastRenderedPageBreak/>
        <w:t>2007;</w:t>
      </w:r>
      <w:r w:rsidRPr="009D24D1">
        <w:rPr>
          <w:rFonts w:eastAsia="Arial" w:cs="Times New Roman"/>
          <w:highlight w:val="white"/>
          <w:vertAlign w:val="superscript"/>
        </w:rPr>
        <w:footnoteReference w:id="17"/>
      </w:r>
      <w:r w:rsidRPr="009D24D1">
        <w:rPr>
          <w:rFonts w:eastAsia="Arial" w:cs="Times New Roman"/>
          <w:highlight w:val="white"/>
        </w:rPr>
        <w:t xml:space="preserve"> Barder, 2013;</w:t>
      </w:r>
      <w:r w:rsidRPr="009D24D1">
        <w:rPr>
          <w:rFonts w:eastAsia="Arial" w:cs="Times New Roman"/>
          <w:highlight w:val="white"/>
          <w:vertAlign w:val="superscript"/>
        </w:rPr>
        <w:footnoteReference w:id="18"/>
      </w:r>
      <w:r w:rsidRPr="009D24D1">
        <w:rPr>
          <w:rFonts w:eastAsia="Arial" w:cs="Times New Roman"/>
          <w:highlight w:val="white"/>
        </w:rPr>
        <w:t xml:space="preserve"> Mackie et al., 2017</w:t>
      </w:r>
      <w:r w:rsidRPr="009D24D1">
        <w:rPr>
          <w:rFonts w:eastAsia="Arial" w:cs="Times New Roman"/>
          <w:highlight w:val="white"/>
          <w:vertAlign w:val="superscript"/>
        </w:rPr>
        <w:footnoteReference w:id="19"/>
      </w:r>
      <w:r w:rsidRPr="009D24D1">
        <w:rPr>
          <w:rFonts w:eastAsia="Arial" w:cs="Times New Roman"/>
          <w:highlight w:val="white"/>
        </w:rPr>
        <w:t>) kot prizadevanje za zagotovitev, da cilji in rezultati nacionalnih razvojnih politik ne bodo oslabljeni z drugimi nacionalnimi politikami in da bodo le-te podpirale razvojne cilje, kjer bo to le mogoče (OECD, 2005, str. 26</w:t>
      </w:r>
      <w:r w:rsidRPr="009D24D1">
        <w:rPr>
          <w:rFonts w:eastAsia="Arial" w:cs="Times New Roman"/>
          <w:highlight w:val="white"/>
          <w:vertAlign w:val="superscript"/>
        </w:rPr>
        <w:footnoteReference w:id="20"/>
      </w:r>
      <w:r w:rsidRPr="009D24D1">
        <w:rPr>
          <w:rFonts w:eastAsia="Arial" w:cs="Times New Roman"/>
          <w:highlight w:val="white"/>
        </w:rPr>
        <w:t>). Čeprav lahko načelo SPR v tem smislu razumemo kot politično zavezo, ki utemeljuje določanje prednostnih nalog razvojnih programov med drugimi nalogami politik, kot so na primer zunanja politika, kmetijstvo, trgovina, finance ter varnost (Picciotto, 2005</w:t>
      </w:r>
      <w:r w:rsidRPr="009D24D1">
        <w:rPr>
          <w:rFonts w:eastAsia="Arial" w:cs="Times New Roman"/>
          <w:highlight w:val="white"/>
          <w:vertAlign w:val="superscript"/>
        </w:rPr>
        <w:footnoteReference w:id="21"/>
      </w:r>
      <w:r w:rsidRPr="009D24D1">
        <w:rPr>
          <w:rFonts w:eastAsia="Arial" w:cs="Times New Roman"/>
          <w:highlight w:val="white"/>
        </w:rPr>
        <w:t>), pa je SPR tudi pravna zaveza za nekatere države. Medtem, ko je Pogodba o EU (1992) Evropsko skupnost pravno zavezala, da poskuša izboljšati skladnost evropskih politik za spodbujanje razvoja, je Lizbonska pogodba (2009) obveznost zasledovanja SPR razširila na vse države članice EU (de Jong in Vijge, 2021).</w:t>
      </w:r>
      <w:r w:rsidRPr="009D24D1">
        <w:rPr>
          <w:rFonts w:eastAsia="Arial" w:cs="Times New Roman"/>
          <w:highlight w:val="white"/>
          <w:vertAlign w:val="superscript"/>
        </w:rPr>
        <w:footnoteReference w:id="22"/>
      </w:r>
    </w:p>
    <w:p w14:paraId="00000067"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Po sprejetju Agende 2030 leta 2015, se je okvir razumevanja SPR razširil (Nilsson et al., 2018</w:t>
      </w:r>
      <w:r w:rsidRPr="009D24D1">
        <w:rPr>
          <w:rFonts w:eastAsia="Arial" w:cs="Times New Roman"/>
          <w:highlight w:val="white"/>
          <w:vertAlign w:val="superscript"/>
        </w:rPr>
        <w:footnoteReference w:id="23"/>
      </w:r>
      <w:r w:rsidRPr="009D24D1">
        <w:rPr>
          <w:rFonts w:eastAsia="Arial" w:cs="Times New Roman"/>
          <w:highlight w:val="white"/>
        </w:rPr>
        <w:t>). Najnovejša definicija izpostavlja, da je SPR pristop k vključevanju razsežnosti trajnostnega razvoja v domače in mednarodno oblikovanje politik, s ciljem pospešenega celostnega izvajanja Agende 2030 s pospeševanjem sinergij in povečanjem učinkov ekonomskih, družbenih in okoljskih politik; z usklajevanjem ciljev notranje politike z mednarodno priznanimi CTR; z obravnavanjem čezmejnih in dolgoročnih vplivov politik, ki bi lahko vplivale na države v razvoju (OECD, 2019). V okviru Agende 2030 govorimo o SPTR, ki se od SPR razlikuje predvsem v tem, da je slednje pravno zavezujoča norma za EU in države članice, skupaj pa obe krepita institucionalni značaj SPR (Le Blanc, 2015;</w:t>
      </w:r>
      <w:r w:rsidRPr="009D24D1">
        <w:rPr>
          <w:rFonts w:eastAsia="Arial" w:cs="Times New Roman"/>
          <w:highlight w:val="white"/>
          <w:vertAlign w:val="superscript"/>
        </w:rPr>
        <w:footnoteReference w:id="24"/>
      </w:r>
      <w:r w:rsidRPr="009D24D1">
        <w:rPr>
          <w:rFonts w:eastAsia="Arial" w:cs="Times New Roman"/>
          <w:highlight w:val="white"/>
        </w:rPr>
        <w:t xml:space="preserve"> King, 2016;</w:t>
      </w:r>
      <w:r w:rsidRPr="009D24D1">
        <w:rPr>
          <w:rFonts w:eastAsia="Arial" w:cs="Times New Roman"/>
          <w:highlight w:val="white"/>
          <w:vertAlign w:val="superscript"/>
        </w:rPr>
        <w:footnoteReference w:id="25"/>
      </w:r>
      <w:r w:rsidRPr="009D24D1">
        <w:rPr>
          <w:rFonts w:eastAsia="Arial" w:cs="Times New Roman"/>
          <w:highlight w:val="white"/>
        </w:rPr>
        <w:t xml:space="preserve"> Nilsson et al., 2018; Shawoo et al., 2022</w:t>
      </w:r>
      <w:r w:rsidRPr="009D24D1">
        <w:rPr>
          <w:rFonts w:eastAsia="Arial" w:cs="Times New Roman"/>
          <w:highlight w:val="white"/>
          <w:vertAlign w:val="superscript"/>
        </w:rPr>
        <w:footnoteReference w:id="26"/>
      </w:r>
      <w:r w:rsidRPr="009D24D1">
        <w:rPr>
          <w:rFonts w:eastAsia="Arial" w:cs="Times New Roman"/>
          <w:highlight w:val="white"/>
        </w:rPr>
        <w:t>).</w:t>
      </w:r>
    </w:p>
    <w:p w14:paraId="00000068"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V literaturi lahko zasledimo proučevanje skladnosti politik v okviru MRS, horizontalno skladnostjo med različnimi področji politik, vertikalno skladnostjo na različnih ravneh političnega odločanja ter primerjalno analizo SPR med regijami in mednarodnimi nače</w:t>
      </w:r>
      <w:r w:rsidRPr="009D24D1">
        <w:rPr>
          <w:rFonts w:eastAsia="Arial" w:cs="Times New Roman"/>
        </w:rPr>
        <w:t xml:space="preserve">li </w:t>
      </w:r>
      <w:r w:rsidRPr="009D24D1">
        <w:rPr>
          <w:rFonts w:eastAsia="Arial" w:cs="Times New Roman"/>
        </w:rPr>
        <w:lastRenderedPageBreak/>
        <w:t>(T</w:t>
      </w:r>
      <w:r w:rsidRPr="009D24D1">
        <w:rPr>
          <w:rFonts w:eastAsia="Arial" w:cs="Times New Roman"/>
          <w:highlight w:val="white"/>
        </w:rPr>
        <w:t>hede, 2013,</w:t>
      </w:r>
      <w:r w:rsidRPr="009D24D1">
        <w:rPr>
          <w:rFonts w:eastAsia="Arial" w:cs="Times New Roman"/>
          <w:highlight w:val="white"/>
          <w:vertAlign w:val="superscript"/>
        </w:rPr>
        <w:footnoteReference w:id="27"/>
      </w:r>
      <w:r w:rsidRPr="009D24D1">
        <w:rPr>
          <w:rFonts w:eastAsia="Arial" w:cs="Times New Roman"/>
          <w:highlight w:val="white"/>
        </w:rPr>
        <w:t xml:space="preserve"> Furness, 2016</w:t>
      </w:r>
      <w:r w:rsidRPr="009D24D1">
        <w:rPr>
          <w:rFonts w:eastAsia="Arial" w:cs="Times New Roman"/>
          <w:highlight w:val="white"/>
          <w:vertAlign w:val="superscript"/>
        </w:rPr>
        <w:footnoteReference w:id="28"/>
      </w:r>
      <w:r w:rsidRPr="009D24D1">
        <w:rPr>
          <w:rFonts w:eastAsia="Arial" w:cs="Times New Roman"/>
          <w:highlight w:val="white"/>
        </w:rPr>
        <w:t xml:space="preserve">). Kljub naraščajoči pomembnosti SPR, </w:t>
      </w:r>
      <w:r w:rsidRPr="009D24D1">
        <w:rPr>
          <w:rFonts w:eastAsia="Arial" w:cs="Times New Roman"/>
          <w:b/>
          <w:highlight w:val="white"/>
        </w:rPr>
        <w:t xml:space="preserve">pa v literaturi ni moč zaslediti splošno sprejete definicije, ukrepov za izvajanje ali metodologije, kako SPR meriti </w:t>
      </w:r>
      <w:r w:rsidRPr="009D24D1">
        <w:rPr>
          <w:rFonts w:eastAsia="Arial" w:cs="Times New Roman"/>
          <w:highlight w:val="white"/>
        </w:rPr>
        <w:t>(Dubé et al., 2014).</w:t>
      </w:r>
      <w:r w:rsidRPr="009D24D1">
        <w:rPr>
          <w:rFonts w:eastAsia="Arial" w:cs="Times New Roman"/>
          <w:highlight w:val="white"/>
          <w:vertAlign w:val="superscript"/>
        </w:rPr>
        <w:footnoteReference w:id="29"/>
      </w:r>
      <w:r w:rsidRPr="009D24D1">
        <w:rPr>
          <w:rFonts w:eastAsia="Arial" w:cs="Times New Roman"/>
          <w:highlight w:val="white"/>
        </w:rPr>
        <w:t xml:space="preserve"> Medtem ko so EU, OECD in OZN najbolj vidni akterji spodbujanja SPR, je, kot opozarja Le Blanc (2015), njihovo izvajanje omejeno na lastne politike ali politike držav članic, brez smernic za prepoznavanje neskladnosti politik, ki obstajajo v drugih delih sveta. Pogosto mednarodne organizacije in tudi države donatorice pomoči SPR uporabljajo za izboljšanje učinkovitosti svojih lastnih razvojnih programov na račun normativnih sprememb in globalne pravičnosti (Koff in Maganda, 2016;</w:t>
      </w:r>
      <w:r w:rsidRPr="009D24D1">
        <w:rPr>
          <w:rFonts w:eastAsia="Arial" w:cs="Times New Roman"/>
          <w:highlight w:val="white"/>
          <w:vertAlign w:val="superscript"/>
        </w:rPr>
        <w:footnoteReference w:id="30"/>
      </w:r>
      <w:r w:rsidRPr="009D24D1">
        <w:rPr>
          <w:rFonts w:eastAsia="Arial" w:cs="Times New Roman"/>
          <w:highlight w:val="white"/>
        </w:rPr>
        <w:t xml:space="preserve"> Häbel, 2020</w:t>
      </w:r>
      <w:r w:rsidRPr="009D24D1">
        <w:rPr>
          <w:rFonts w:eastAsia="Arial" w:cs="Times New Roman"/>
          <w:highlight w:val="white"/>
          <w:vertAlign w:val="superscript"/>
        </w:rPr>
        <w:footnoteReference w:id="31"/>
      </w:r>
      <w:r w:rsidRPr="009D24D1">
        <w:rPr>
          <w:rFonts w:eastAsia="Arial" w:cs="Times New Roman"/>
          <w:highlight w:val="white"/>
        </w:rPr>
        <w:t>). Hkrati pa zaradi pristranskosti nekaterih držav donatoric razvojne pomoči obstaja možnost, da SPR na enem koncu sveta krepi globalne neenakosti na drugem koncu in še poglablja razlike med državami donatoricami in prejemnicami pomoči (Thede, 2013). Nekateri avtorji pa opozarjajo, da je SPR pogosto razumljena kot politični instrument, ki ne služi  dejanskemu preverjanju skladnosti izvajanja politik in njihovemu vplivu na razvojne politike, temveč spodbujanju institucionalnih reform znotraj držav in mednarodnih organizacij (Carbone in Keijzer, 2016;</w:t>
      </w:r>
      <w:r w:rsidRPr="009D24D1">
        <w:rPr>
          <w:rFonts w:eastAsia="Arial" w:cs="Times New Roman"/>
          <w:highlight w:val="white"/>
          <w:vertAlign w:val="superscript"/>
        </w:rPr>
        <w:footnoteReference w:id="32"/>
      </w:r>
      <w:r w:rsidRPr="009D24D1">
        <w:rPr>
          <w:rFonts w:eastAsia="Arial" w:cs="Times New Roman"/>
          <w:highlight w:val="white"/>
        </w:rPr>
        <w:t xml:space="preserve"> Larsson, 2018</w:t>
      </w:r>
      <w:r w:rsidRPr="009D24D1">
        <w:rPr>
          <w:rFonts w:eastAsia="Arial" w:cs="Times New Roman"/>
          <w:highlight w:val="white"/>
          <w:vertAlign w:val="superscript"/>
        </w:rPr>
        <w:footnoteReference w:id="33"/>
      </w:r>
      <w:r w:rsidRPr="009D24D1">
        <w:rPr>
          <w:rFonts w:eastAsia="Arial" w:cs="Times New Roman"/>
          <w:highlight w:val="white"/>
        </w:rPr>
        <w:t>).</w:t>
      </w:r>
    </w:p>
    <w:p w14:paraId="00000069"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A kljub kritikam, da lahko načelo SPR vpliva na proces demokratičnega odločanja (Carbone in Keijzer, 2016) in da je vpliv na mednarodni razvoj težko merljiv in nejasen (Barder, 2013; Siitonen, 2015</w:t>
      </w:r>
      <w:r w:rsidRPr="009D24D1">
        <w:rPr>
          <w:rFonts w:eastAsia="Arial" w:cs="Times New Roman"/>
          <w:highlight w:val="white"/>
          <w:vertAlign w:val="superscript"/>
        </w:rPr>
        <w:footnoteReference w:id="34"/>
      </w:r>
      <w:r w:rsidRPr="009D24D1">
        <w:rPr>
          <w:rFonts w:eastAsia="Arial" w:cs="Times New Roman"/>
          <w:highlight w:val="white"/>
        </w:rPr>
        <w:t>), pa SPR predstavlja instrument, ki krepi zavedanje o večdimenzionalnih problemih, s katerimi se soočajo različne politike in vzrokih ter posledicah družbenih pojavov, ki vplivajo na razvojna vprašanja (Hydén, 1999;</w:t>
      </w:r>
      <w:r w:rsidRPr="009D24D1">
        <w:rPr>
          <w:rFonts w:eastAsia="Arial" w:cs="Times New Roman"/>
          <w:highlight w:val="white"/>
          <w:vertAlign w:val="superscript"/>
        </w:rPr>
        <w:footnoteReference w:id="35"/>
      </w:r>
      <w:r w:rsidRPr="009D24D1">
        <w:rPr>
          <w:rFonts w:eastAsia="Arial" w:cs="Times New Roman"/>
          <w:highlight w:val="white"/>
        </w:rPr>
        <w:t xml:space="preserve"> Picciotto, 2005; Mendoza, 2007; Brooks, 2014</w:t>
      </w:r>
      <w:r w:rsidRPr="009D24D1">
        <w:rPr>
          <w:rFonts w:eastAsia="Arial" w:cs="Times New Roman"/>
          <w:highlight w:val="white"/>
          <w:vertAlign w:val="superscript"/>
        </w:rPr>
        <w:footnoteReference w:id="36"/>
      </w:r>
      <w:r w:rsidRPr="009D24D1">
        <w:rPr>
          <w:rFonts w:eastAsia="Arial" w:cs="Times New Roman"/>
          <w:highlight w:val="white"/>
        </w:rPr>
        <w:t>).</w:t>
      </w:r>
    </w:p>
    <w:p w14:paraId="0000006A" w14:textId="77777777" w:rsidR="00525158" w:rsidRPr="009D24D1" w:rsidRDefault="004D4AEA">
      <w:pPr>
        <w:shd w:val="clear" w:color="auto" w:fill="FFFFFF"/>
        <w:spacing w:before="240"/>
        <w:jc w:val="both"/>
        <w:rPr>
          <w:rFonts w:eastAsia="Arial" w:cs="Times New Roman"/>
        </w:rPr>
      </w:pPr>
      <w:r w:rsidRPr="009D24D1">
        <w:rPr>
          <w:rFonts w:eastAsia="Arial" w:cs="Times New Roman"/>
        </w:rPr>
        <w:t xml:space="preserve">V Agendi 2030 SPTR koncept vsebuje izraz “trajnostni razvoj”, ki pomeni nekaj drugega kot zgolj “razvoj”, ki ga povezujemo z milenijskimi razvojnimi cilji. “Razvoj” se osredotoča predvsem na socialni razvoj in zmanjševanje revščine, novi izraz pa vsebuje še druge elemente in sicer: okoljski, gospodarski in družbeni. Pri spodbujanju SPTR gre torej za širši koncept in </w:t>
      </w:r>
      <w:r w:rsidRPr="009D24D1">
        <w:rPr>
          <w:rFonts w:eastAsia="Arial" w:cs="Times New Roman"/>
        </w:rPr>
        <w:lastRenderedPageBreak/>
        <w:t xml:space="preserve">angažma, saj se poleg skladnosti politik družbenega razvoja upošteva tudi skladnost z okoljskimi in gospodarskimi politikami, kar lahko torej pojmujemo kot “večsmerno” in ne “enosmerno”, kakor velja za SPR (Mackie et al. 2017, 18). Agenda 2030 torej temelji na celovitem pristopu </w:t>
      </w:r>
      <w:r w:rsidRPr="009D24D1">
        <w:rPr>
          <w:rFonts w:eastAsia="Arial" w:cs="Times New Roman"/>
          <w:bCs/>
        </w:rPr>
        <w:t xml:space="preserve">vertikalne skladnosti med politikami na različnih ravneh (na mednarodni, nacionalni in lokalni ravni) in na medsektorski horizontalni skladnosti </w:t>
      </w:r>
      <w:r w:rsidRPr="009D24D1">
        <w:rPr>
          <w:rFonts w:eastAsia="Arial" w:cs="Times New Roman"/>
        </w:rPr>
        <w:t>(med okoljskim, gospodarskim in družbenim sektorjem) (Mackie 2020, 18).</w:t>
      </w:r>
      <w:r w:rsidRPr="009D24D1">
        <w:rPr>
          <w:rFonts w:eastAsia="Arial" w:cs="Times New Roman"/>
          <w:vertAlign w:val="superscript"/>
        </w:rPr>
        <w:footnoteReference w:id="37"/>
      </w:r>
      <w:r w:rsidRPr="009D24D1">
        <w:rPr>
          <w:rFonts w:eastAsia="Arial" w:cs="Times New Roman"/>
        </w:rPr>
        <w:t xml:space="preserve"> Tudi pri OECD se je opredelitev načela skladnosti politik za razvoj spremenila in ne postavlja več v ospredje zgolj MRS, temveč: </w:t>
      </w:r>
      <w:r w:rsidRPr="009D24D1">
        <w:rPr>
          <w:rFonts w:eastAsia="Arial" w:cs="Times New Roman"/>
          <w:i/>
        </w:rPr>
        <w:t>»Skladnost politik je sistematično promoviranje medsebojno usklajenih policy aktivnosti med državnimi organi in agencijami, da se tako ustvarjajo sinergije za doseganje zastavljenih ciljev.«</w:t>
      </w:r>
      <w:r w:rsidRPr="009D24D1">
        <w:rPr>
          <w:rFonts w:eastAsia="Arial" w:cs="Times New Roman"/>
          <w:i/>
          <w:vertAlign w:val="superscript"/>
        </w:rPr>
        <w:footnoteReference w:id="38"/>
      </w:r>
      <w:r w:rsidRPr="009D24D1">
        <w:rPr>
          <w:rFonts w:eastAsia="Arial" w:cs="Times New Roman"/>
          <w:i/>
        </w:rPr>
        <w:t xml:space="preserve"> </w:t>
      </w:r>
    </w:p>
    <w:p w14:paraId="0000006B" w14:textId="77777777" w:rsidR="00525158" w:rsidRPr="009D24D1" w:rsidRDefault="004D4AEA">
      <w:pPr>
        <w:shd w:val="clear" w:color="auto" w:fill="FFFFFF"/>
        <w:spacing w:before="240"/>
        <w:jc w:val="both"/>
        <w:rPr>
          <w:rFonts w:eastAsia="Arial" w:cs="Times New Roman"/>
        </w:rPr>
      </w:pPr>
      <w:r w:rsidRPr="009D24D1">
        <w:rPr>
          <w:rFonts w:eastAsia="Arial" w:cs="Times New Roman"/>
        </w:rPr>
        <w:t>Vprašanje skladnosti politik je nenazadnje politično vprašanje, saj gre za uveljavljanje interesov mnogih med seboj različnih deležnikov (Mackie 2020, 19). Iskanje rešitev, ki bi zadovoljile vse deležnike v vseh sektorjih, je pogosto težavno. Mehanizmi za doseganje skladnosti politik lahko oblikujejo smernice, da bo sprejemanje odločitev bolj pregledno in demokratično, vendar bodo v končni fazi politične odločevalske institucije morale sprejeti dokončno odločitev. Namreč, če se ne odpravijo neskladja med politikami, postane izvajanje politik manj uspešno in v najslabših primerih lahko privede do poslabšanja razmer, katerih izboljšanju so bile izvorno namenjene te politike. Neskladnost med sektorji namreč spodkopava in izničuje določene namene politik (Mackie 2020, 24).</w:t>
      </w:r>
    </w:p>
    <w:p w14:paraId="0000006C" w14:textId="77777777" w:rsidR="00525158" w:rsidRPr="009D24D1" w:rsidRDefault="004D4AEA">
      <w:pPr>
        <w:shd w:val="clear" w:color="auto" w:fill="FFFFFF"/>
        <w:spacing w:before="240"/>
        <w:jc w:val="both"/>
        <w:rPr>
          <w:rFonts w:eastAsia="Arial" w:cs="Times New Roman"/>
          <w:highlight w:val="white"/>
        </w:rPr>
      </w:pPr>
      <w:r w:rsidRPr="009D24D1">
        <w:rPr>
          <w:rFonts w:eastAsia="Arial" w:cs="Times New Roman"/>
        </w:rPr>
        <w:t>Pri usklajevanju politik je zato pomemben »mainstreaming (vključevanje v prevladujočo usmeritev«) in pristop »celovitega upravljanja« ali »usklajenega delovanja vladnih in drugih javnih služb ('</w:t>
      </w:r>
      <w:r w:rsidRPr="009D24D1">
        <w:rPr>
          <w:rFonts w:eastAsia="Arial" w:cs="Times New Roman"/>
          <w:i/>
        </w:rPr>
        <w:t>whole-of-government'</w:t>
      </w:r>
      <w:r w:rsidRPr="009D24D1">
        <w:rPr>
          <w:rFonts w:eastAsia="Arial" w:cs="Times New Roman"/>
        </w:rPr>
        <w:t xml:space="preserve"> pristop)«, da bi zagotovili tako snovanje politik, ki bi bile skladne z dru</w:t>
      </w:r>
      <w:r w:rsidRPr="009D24D1">
        <w:rPr>
          <w:rFonts w:eastAsia="Arial" w:cs="Times New Roman"/>
          <w:highlight w:val="white"/>
        </w:rPr>
        <w:t>gimi politikami (Mackie 2020, 18). Tudi Ma</w:t>
      </w:r>
      <w:r w:rsidRPr="009D24D1">
        <w:rPr>
          <w:rFonts w:eastAsia="Arial" w:cs="Times New Roman"/>
        </w:rPr>
        <w:t xml:space="preserve">ja Bučar (2024) </w:t>
      </w:r>
      <w:r w:rsidRPr="009D24D1">
        <w:rPr>
          <w:rFonts w:eastAsia="Arial" w:cs="Times New Roman"/>
          <w:highlight w:val="white"/>
        </w:rPr>
        <w:t xml:space="preserve">v svojem članku izpostavlja ključno vlogo politične volje in sodelovanja ter koordinacije na ravni vlade. Namesto strategij in ukrepov znotraj posameznih resorjev, je potreben celovit in koordiniran vladni pristop </w:t>
      </w:r>
      <w:r w:rsidRPr="009D24D1">
        <w:rPr>
          <w:rFonts w:eastAsia="Arial" w:cs="Times New Roman"/>
          <w:i/>
          <w:highlight w:val="white"/>
        </w:rPr>
        <w:t>(whole of the government approach</w:t>
      </w:r>
      <w:r w:rsidRPr="009D24D1">
        <w:rPr>
          <w:rFonts w:eastAsia="Arial" w:cs="Times New Roman"/>
          <w:highlight w:val="white"/>
        </w:rPr>
        <w:t xml:space="preserve">), ki usklajuje nacionalne cilje z mednarodnimi CTR ter omogoča sinergijske učinke na ekonomskem, družbenem in okoljskem področju. </w:t>
      </w:r>
    </w:p>
    <w:p w14:paraId="0000006D" w14:textId="77777777" w:rsidR="00525158" w:rsidRPr="009D24D1" w:rsidRDefault="004D4AEA">
      <w:pPr>
        <w:shd w:val="clear" w:color="auto" w:fill="FFFFFF"/>
        <w:spacing w:before="240"/>
        <w:jc w:val="both"/>
        <w:rPr>
          <w:rFonts w:eastAsia="Arial" w:cs="Times New Roman"/>
        </w:rPr>
      </w:pPr>
      <w:r w:rsidRPr="009D24D1">
        <w:rPr>
          <w:rFonts w:eastAsia="Arial" w:cs="Times New Roman"/>
        </w:rPr>
        <w:t>Predlog doseganja skladnosti politik za sistem trajnostnega razvoja:</w:t>
      </w:r>
    </w:p>
    <w:p w14:paraId="0000006E" w14:textId="3CF0B7E0" w:rsidR="00525158" w:rsidRDefault="00C40297">
      <w:pPr>
        <w:shd w:val="clear" w:color="auto" w:fill="FFFFFF"/>
        <w:spacing w:before="240"/>
        <w:jc w:val="both"/>
        <w:rPr>
          <w:rFonts w:ascii="Arial" w:eastAsia="Arial" w:hAnsi="Arial" w:cs="Arial"/>
        </w:rPr>
      </w:pPr>
      <w:r w:rsidRPr="00C40297">
        <w:rPr>
          <w:rFonts w:ascii="Arial" w:eastAsia="Arial" w:hAnsi="Arial" w:cs="Arial"/>
          <w:noProof/>
        </w:rPr>
        <w:lastRenderedPageBreak/>
        <w:drawing>
          <wp:inline distT="0" distB="0" distL="0" distR="0" wp14:anchorId="79CAF1AD" wp14:editId="07313922">
            <wp:extent cx="5869320" cy="4162425"/>
            <wp:effectExtent l="0" t="0" r="0" b="0"/>
            <wp:docPr id="679853328" name="Slika 1" descr="Slika, ki vsebuje besede besedilo, posnetek zaslona, pisava, men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3328" name="Slika 1" descr="Slika, ki vsebuje besede besedilo, posnetek zaslona, pisava, meni&#10;&#10;Opis je samodejno ustvarjen"/>
                    <pic:cNvPicPr/>
                  </pic:nvPicPr>
                  <pic:blipFill>
                    <a:blip r:embed="rId9"/>
                    <a:stretch>
                      <a:fillRect/>
                    </a:stretch>
                  </pic:blipFill>
                  <pic:spPr>
                    <a:xfrm>
                      <a:off x="0" y="0"/>
                      <a:ext cx="5874249" cy="4165921"/>
                    </a:xfrm>
                    <a:prstGeom prst="rect">
                      <a:avLst/>
                    </a:prstGeom>
                  </pic:spPr>
                </pic:pic>
              </a:graphicData>
            </a:graphic>
          </wp:inline>
        </w:drawing>
      </w:r>
    </w:p>
    <w:p w14:paraId="0000006F" w14:textId="77777777" w:rsidR="00525158" w:rsidRPr="009D24D1" w:rsidRDefault="004D4AEA">
      <w:pPr>
        <w:shd w:val="clear" w:color="auto" w:fill="FFFFFF"/>
        <w:spacing w:before="240"/>
        <w:jc w:val="both"/>
        <w:rPr>
          <w:rFonts w:eastAsia="Arial" w:cs="Times New Roman"/>
        </w:rPr>
      </w:pPr>
      <w:r w:rsidRPr="009D24D1">
        <w:rPr>
          <w:rFonts w:eastAsia="Arial" w:cs="Times New Roman"/>
        </w:rPr>
        <w:t>Vir: Mackie 2020, str. 19.</w:t>
      </w:r>
    </w:p>
    <w:p w14:paraId="00000070" w14:textId="77777777" w:rsidR="00525158" w:rsidRDefault="00525158">
      <w:pPr>
        <w:shd w:val="clear" w:color="auto" w:fill="FFFFFF"/>
        <w:spacing w:before="240"/>
        <w:jc w:val="both"/>
        <w:rPr>
          <w:rFonts w:ascii="Arial" w:eastAsia="Arial" w:hAnsi="Arial" w:cs="Arial"/>
        </w:rPr>
      </w:pPr>
    </w:p>
    <w:p w14:paraId="0D618247" w14:textId="77777777" w:rsidR="009D24D1" w:rsidRDefault="009D24D1">
      <w:pPr>
        <w:shd w:val="clear" w:color="auto" w:fill="FFFFFF"/>
        <w:spacing w:before="240"/>
        <w:jc w:val="both"/>
        <w:rPr>
          <w:rFonts w:ascii="Arial" w:eastAsia="Arial" w:hAnsi="Arial" w:cs="Arial"/>
        </w:rPr>
      </w:pPr>
    </w:p>
    <w:p w14:paraId="64E282CC" w14:textId="77777777" w:rsidR="009D24D1" w:rsidRDefault="009D24D1">
      <w:pPr>
        <w:shd w:val="clear" w:color="auto" w:fill="FFFFFF"/>
        <w:spacing w:before="240"/>
        <w:jc w:val="both"/>
        <w:rPr>
          <w:rFonts w:ascii="Arial" w:eastAsia="Arial" w:hAnsi="Arial" w:cs="Arial"/>
        </w:rPr>
      </w:pPr>
    </w:p>
    <w:p w14:paraId="426A4FC1" w14:textId="77777777" w:rsidR="009D24D1" w:rsidRDefault="009D24D1">
      <w:pPr>
        <w:shd w:val="clear" w:color="auto" w:fill="FFFFFF"/>
        <w:spacing w:before="240"/>
        <w:jc w:val="both"/>
        <w:rPr>
          <w:rFonts w:ascii="Arial" w:eastAsia="Arial" w:hAnsi="Arial" w:cs="Arial"/>
        </w:rPr>
      </w:pPr>
    </w:p>
    <w:p w14:paraId="433AF020" w14:textId="77777777" w:rsidR="009D24D1" w:rsidRDefault="009D24D1">
      <w:pPr>
        <w:shd w:val="clear" w:color="auto" w:fill="FFFFFF"/>
        <w:spacing w:before="240"/>
        <w:jc w:val="both"/>
        <w:rPr>
          <w:rFonts w:ascii="Arial" w:eastAsia="Arial" w:hAnsi="Arial" w:cs="Arial"/>
        </w:rPr>
      </w:pPr>
    </w:p>
    <w:p w14:paraId="6908DEDF" w14:textId="77777777" w:rsidR="009D24D1" w:rsidRDefault="009D24D1">
      <w:pPr>
        <w:shd w:val="clear" w:color="auto" w:fill="FFFFFF"/>
        <w:spacing w:before="240"/>
        <w:jc w:val="both"/>
        <w:rPr>
          <w:rFonts w:ascii="Arial" w:eastAsia="Arial" w:hAnsi="Arial" w:cs="Arial"/>
        </w:rPr>
      </w:pPr>
    </w:p>
    <w:p w14:paraId="4F0A8197" w14:textId="77777777" w:rsidR="009D24D1" w:rsidRDefault="009D24D1">
      <w:pPr>
        <w:shd w:val="clear" w:color="auto" w:fill="FFFFFF"/>
        <w:spacing w:before="240"/>
        <w:jc w:val="both"/>
        <w:rPr>
          <w:rFonts w:ascii="Arial" w:eastAsia="Arial" w:hAnsi="Arial" w:cs="Arial"/>
        </w:rPr>
      </w:pPr>
    </w:p>
    <w:p w14:paraId="6D1B377F" w14:textId="77777777" w:rsidR="009D24D1" w:rsidRDefault="009D24D1">
      <w:pPr>
        <w:shd w:val="clear" w:color="auto" w:fill="FFFFFF"/>
        <w:spacing w:before="240"/>
        <w:jc w:val="both"/>
        <w:rPr>
          <w:rFonts w:ascii="Arial" w:eastAsia="Arial" w:hAnsi="Arial" w:cs="Arial"/>
        </w:rPr>
      </w:pPr>
    </w:p>
    <w:p w14:paraId="3382F08F" w14:textId="77777777" w:rsidR="009D24D1" w:rsidRDefault="009D24D1">
      <w:pPr>
        <w:shd w:val="clear" w:color="auto" w:fill="FFFFFF"/>
        <w:spacing w:before="240"/>
        <w:jc w:val="both"/>
        <w:rPr>
          <w:rFonts w:ascii="Arial" w:eastAsia="Arial" w:hAnsi="Arial" w:cs="Arial"/>
        </w:rPr>
      </w:pPr>
    </w:p>
    <w:p w14:paraId="037E129A" w14:textId="77777777" w:rsidR="009D24D1" w:rsidRDefault="009D24D1">
      <w:pPr>
        <w:shd w:val="clear" w:color="auto" w:fill="FFFFFF"/>
        <w:spacing w:before="240"/>
        <w:jc w:val="both"/>
        <w:rPr>
          <w:rFonts w:ascii="Arial" w:eastAsia="Arial" w:hAnsi="Arial" w:cs="Arial"/>
        </w:rPr>
      </w:pPr>
    </w:p>
    <w:p w14:paraId="3F4F3860" w14:textId="77777777" w:rsidR="009D24D1" w:rsidRDefault="009D24D1">
      <w:pPr>
        <w:shd w:val="clear" w:color="auto" w:fill="FFFFFF"/>
        <w:spacing w:before="240"/>
        <w:jc w:val="both"/>
        <w:rPr>
          <w:rFonts w:ascii="Arial" w:eastAsia="Arial" w:hAnsi="Arial" w:cs="Arial"/>
        </w:rPr>
      </w:pPr>
    </w:p>
    <w:p w14:paraId="00000071" w14:textId="77777777" w:rsidR="00525158" w:rsidRPr="009D24D1" w:rsidRDefault="004D4AEA" w:rsidP="006F430A">
      <w:pPr>
        <w:pStyle w:val="Heading1"/>
        <w:rPr>
          <w:rFonts w:ascii="Times New Roman" w:hAnsi="Times New Roman" w:cs="Times New Roman"/>
          <w:b/>
          <w:bCs/>
          <w:sz w:val="28"/>
          <w:szCs w:val="28"/>
        </w:rPr>
      </w:pPr>
      <w:bookmarkStart w:id="8" w:name="_heading=h.4god2i2ufh1a" w:colFirst="0" w:colLast="0"/>
      <w:bookmarkStart w:id="9" w:name="_Toc205412932"/>
      <w:bookmarkEnd w:id="8"/>
      <w:r w:rsidRPr="009D24D1">
        <w:rPr>
          <w:rFonts w:ascii="Times New Roman" w:hAnsi="Times New Roman" w:cs="Times New Roman"/>
          <w:b/>
          <w:bCs/>
          <w:sz w:val="28"/>
          <w:szCs w:val="28"/>
        </w:rPr>
        <w:lastRenderedPageBreak/>
        <w:t>3. SKLADNOST POLITIK V SLOVENIJI</w:t>
      </w:r>
      <w:bookmarkEnd w:id="9"/>
      <w:r w:rsidRPr="009D24D1">
        <w:rPr>
          <w:rFonts w:ascii="Times New Roman" w:hAnsi="Times New Roman" w:cs="Times New Roman"/>
          <w:b/>
          <w:bCs/>
          <w:sz w:val="28"/>
          <w:szCs w:val="28"/>
        </w:rPr>
        <w:t xml:space="preserve">  </w:t>
      </w:r>
    </w:p>
    <w:p w14:paraId="00000072" w14:textId="77777777" w:rsidR="00525158" w:rsidRPr="009D24D1" w:rsidRDefault="004D4AEA">
      <w:pPr>
        <w:shd w:val="clear" w:color="auto" w:fill="FFFFFF"/>
        <w:spacing w:before="280"/>
        <w:jc w:val="both"/>
        <w:rPr>
          <w:rFonts w:eastAsia="Arial" w:cs="Times New Roman"/>
          <w:highlight w:val="white"/>
        </w:rPr>
      </w:pPr>
      <w:r w:rsidRPr="009D24D1">
        <w:rPr>
          <w:rFonts w:eastAsia="Arial" w:cs="Times New Roman"/>
          <w:highlight w:val="white"/>
        </w:rPr>
        <w:t xml:space="preserve">Slovenija je že ob vstopu v EU leta 2004 in oblikovanju svoje prve strategije za MRS vgradila skladnost politik v svoj sistem razvojne pomoči. Hkrati je bilo že takrat jasno, da bo izvajanje načela SPR zahtevno. Tako so že avtorji predloga </w:t>
      </w:r>
      <w:r w:rsidRPr="009D24D1">
        <w:rPr>
          <w:rFonts w:eastAsia="Arial" w:cs="Times New Roman"/>
          <w:b/>
          <w:highlight w:val="white"/>
        </w:rPr>
        <w:t>Resolucije o mednarodnem razvojnem sodelovanju za obdobje do leta 2015</w:t>
      </w:r>
      <w:r w:rsidRPr="009D24D1">
        <w:rPr>
          <w:rFonts w:eastAsia="Arial" w:cs="Times New Roman"/>
          <w:highlight w:val="white"/>
          <w:vertAlign w:val="superscript"/>
        </w:rPr>
        <w:footnoteReference w:id="39"/>
      </w:r>
      <w:r w:rsidRPr="009D24D1">
        <w:rPr>
          <w:rFonts w:eastAsia="Arial" w:cs="Times New Roman"/>
          <w:highlight w:val="white"/>
        </w:rPr>
        <w:t xml:space="preserve"> izpostavili: </w:t>
      </w:r>
    </w:p>
    <w:p w14:paraId="00000073"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i/>
          <w:highlight w:val="white"/>
        </w:rPr>
        <w:t>“Slovenija pa si mora še posebej prizadevati za skladnost razvojnih ciljev oziroma njihovo upoštevanje pri oblikovanju rešitev na področju drugih politik. Dosedanja praksa ne potrjuje poznavanja načela skladnosti, saj smo pogosto priča, ko pri drugih politikah (npr. trgovinska, kmetijska, migracije) Slovenija zagovarja stališča, ki niso v skladu s cilji mednarodnega razvojnega sodelovanja. /…/ Delno lahko tako obnašanje pojasnimo s slabim poznavanjem vsebin in še nedorečenimi usmeritvami na področju razvojnega sodelovanja, vzrok za to pa je tudi razmeroma skromna politična podpora temu področju. Jasno opredeljeni cilji slovenskega razvojnega sodelovanja ter ustrezno obveščanje znotraj vlade in širše v javnosti so ključnega pomena za ustrezno spoštovanje načela skladnosti politik. Izhodiščni dokaz za zagotavljanje skladnosti politik je prav doseganje učinkovitosti razvojne pomoči: če so politike v neskladju ali si celo s cilji in instrumenti nasprotujejo, lahko pozitiven prispevek razvojne pomoči izničijo.”</w:t>
      </w:r>
      <w:r w:rsidRPr="009D24D1">
        <w:rPr>
          <w:rFonts w:eastAsia="Arial" w:cs="Times New Roman"/>
          <w:highlight w:val="white"/>
        </w:rPr>
        <w:t xml:space="preserve"> (Mrak, Bučar, Kamnar, 2007, str. 57).</w:t>
      </w:r>
      <w:r w:rsidRPr="009D24D1">
        <w:rPr>
          <w:rFonts w:eastAsia="Arial" w:cs="Times New Roman"/>
          <w:highlight w:val="white"/>
          <w:vertAlign w:val="superscript"/>
        </w:rPr>
        <w:footnoteReference w:id="40"/>
      </w:r>
      <w:r w:rsidRPr="009D24D1">
        <w:rPr>
          <w:rFonts w:eastAsia="Arial" w:cs="Times New Roman"/>
          <w:highlight w:val="white"/>
        </w:rPr>
        <w:t xml:space="preserve"> </w:t>
      </w:r>
    </w:p>
    <w:p w14:paraId="00000074" w14:textId="77777777" w:rsidR="00525158" w:rsidRPr="009D24D1" w:rsidRDefault="00525158">
      <w:pPr>
        <w:shd w:val="clear" w:color="auto" w:fill="FFFFFF"/>
        <w:spacing w:before="240" w:after="240"/>
        <w:jc w:val="both"/>
        <w:rPr>
          <w:rFonts w:eastAsia="Arial" w:cs="Times New Roman"/>
          <w:highlight w:val="white"/>
        </w:rPr>
      </w:pPr>
    </w:p>
    <w:p w14:paraId="00000075" w14:textId="77777777" w:rsidR="00525158" w:rsidRPr="009D24D1" w:rsidRDefault="004D4AEA" w:rsidP="006F430A">
      <w:pPr>
        <w:pStyle w:val="Heading2"/>
        <w:rPr>
          <w:rFonts w:ascii="Times New Roman" w:hAnsi="Times New Roman" w:cs="Times New Roman"/>
          <w:b/>
          <w:bCs/>
          <w:sz w:val="24"/>
          <w:szCs w:val="24"/>
        </w:rPr>
      </w:pPr>
      <w:bookmarkStart w:id="10" w:name="_heading=h.nk4bmd81qtfi" w:colFirst="0" w:colLast="0"/>
      <w:bookmarkStart w:id="11" w:name="_Toc205412933"/>
      <w:bookmarkEnd w:id="10"/>
      <w:r w:rsidRPr="009D24D1">
        <w:rPr>
          <w:rFonts w:ascii="Times New Roman" w:hAnsi="Times New Roman" w:cs="Times New Roman"/>
          <w:b/>
          <w:bCs/>
          <w:sz w:val="24"/>
          <w:szCs w:val="24"/>
        </w:rPr>
        <w:t>3.1 Zakonodajni in strateški okvir Slovenije na področju MRS</w:t>
      </w:r>
      <w:bookmarkEnd w:id="11"/>
      <w:r w:rsidRPr="009D24D1">
        <w:rPr>
          <w:rFonts w:ascii="Times New Roman" w:hAnsi="Times New Roman" w:cs="Times New Roman"/>
          <w:b/>
          <w:bCs/>
          <w:sz w:val="24"/>
          <w:szCs w:val="24"/>
        </w:rPr>
        <w:t xml:space="preserve"> </w:t>
      </w:r>
    </w:p>
    <w:p w14:paraId="00000076" w14:textId="77777777" w:rsidR="00525158" w:rsidRPr="009D24D1" w:rsidRDefault="004D4AEA">
      <w:pPr>
        <w:shd w:val="clear" w:color="auto" w:fill="FFFFFF"/>
        <w:spacing w:before="280"/>
        <w:jc w:val="both"/>
        <w:rPr>
          <w:rFonts w:eastAsia="Arial" w:cs="Times New Roman"/>
        </w:rPr>
      </w:pPr>
      <w:r w:rsidRPr="009D24D1">
        <w:rPr>
          <w:rFonts w:eastAsia="Arial" w:cs="Times New Roman"/>
        </w:rPr>
        <w:t>Za podrobnejši pregled stanja na področju vključevanja načela SPR moramo najprej opredeliti zakonodajni in strateški okvir na področju MRS. Ključni nacionalni dokumenti, ki uokvirajajo MRS in so hkrati ključni tudi za SPR, so naslednji:</w:t>
      </w:r>
    </w:p>
    <w:p w14:paraId="00000077" w14:textId="77777777" w:rsidR="00525158" w:rsidRPr="009D24D1" w:rsidRDefault="004D4AEA">
      <w:pPr>
        <w:shd w:val="clear" w:color="auto" w:fill="FFFFFF"/>
        <w:spacing w:before="280"/>
        <w:jc w:val="both"/>
        <w:rPr>
          <w:rFonts w:eastAsia="Arial" w:cs="Times New Roman"/>
        </w:rPr>
      </w:pPr>
      <w:r w:rsidRPr="009D24D1">
        <w:rPr>
          <w:rFonts w:eastAsia="Arial" w:cs="Times New Roman"/>
          <w:b/>
        </w:rPr>
        <w:t>Resolucija o mednarodnem razvojnem sodelovanju in humanitarni pomoči Republike Slovenije</w:t>
      </w:r>
      <w:r w:rsidRPr="009D24D1">
        <w:rPr>
          <w:rFonts w:eastAsia="Arial" w:cs="Times New Roman"/>
          <w:b/>
          <w:vertAlign w:val="superscript"/>
        </w:rPr>
        <w:footnoteReference w:id="41"/>
      </w:r>
      <w:r w:rsidRPr="009D24D1">
        <w:rPr>
          <w:rFonts w:eastAsia="Arial" w:cs="Times New Roman"/>
        </w:rPr>
        <w:t xml:space="preserve"> iz leta 2017 (Resolucija MRS) določa temeljne usmeritve MRS in humanitarne pomoči, cilje, prednostne vsebine, geografska območja ter partnerje. </w:t>
      </w:r>
    </w:p>
    <w:p w14:paraId="00000078" w14:textId="77777777" w:rsidR="00525158" w:rsidRPr="009D24D1" w:rsidRDefault="004D4AEA">
      <w:pPr>
        <w:shd w:val="clear" w:color="auto" w:fill="FFFFFF"/>
        <w:spacing w:before="280"/>
        <w:jc w:val="both"/>
        <w:rPr>
          <w:rFonts w:eastAsia="Arial" w:cs="Times New Roman"/>
        </w:rPr>
      </w:pPr>
      <w:r w:rsidRPr="009D24D1">
        <w:rPr>
          <w:rFonts w:eastAsia="Arial" w:cs="Times New Roman"/>
          <w:b/>
        </w:rPr>
        <w:t>Uredba o izvajanju mednarodnega razvojnega sodelovanja in humanitarne pomoči Republike Slovenije</w:t>
      </w:r>
      <w:r w:rsidRPr="009D24D1">
        <w:rPr>
          <w:rFonts w:eastAsia="Arial" w:cs="Times New Roman"/>
          <w:b/>
          <w:vertAlign w:val="superscript"/>
        </w:rPr>
        <w:footnoteReference w:id="42"/>
      </w:r>
      <w:r w:rsidRPr="009D24D1">
        <w:rPr>
          <w:rFonts w:eastAsia="Arial" w:cs="Times New Roman"/>
        </w:rPr>
        <w:t xml:space="preserve"> iz leta 2018 (Uredba MRS), ki je podrobneje opredelila oblike in načine izvajanja dvostranskega in večstranskega sodelovanja, izvajanje dvostranske tehnične pomoči, metodologijo za ocenjevanje in merila za sofinanciranje programov ali projektov MRS in humanitarne pomoči, način dogovarjanja o programih dela slovenskih ustanov ter prepoveduje financiranje projektov, ki spodbujajo uporabo fosilnih goriv. Zakon MRS in Uredba MRS predvidevata okrepljeno vlogo MZEZ kot nacionalnega koordinatorja za MRS, ki naj bi pripravil štiriletne okvirne programe - trenutno aktualni naj bi bil za obdobje 2024-27, vendar </w:t>
      </w:r>
      <w:r w:rsidRPr="009D24D1">
        <w:rPr>
          <w:rFonts w:eastAsia="Arial" w:cs="Times New Roman"/>
        </w:rPr>
        <w:lastRenderedPageBreak/>
        <w:t>je zadnji štiriletni program, ki ga omenja OECD DAC v svoji oceni iz 2020, in tudi zadnji, ki je objavljen na spletni strani MZEZ, za obdobje 2016–19.</w:t>
      </w:r>
      <w:r w:rsidRPr="009D24D1">
        <w:rPr>
          <w:rFonts w:eastAsia="Arial" w:cs="Times New Roman"/>
          <w:vertAlign w:val="superscript"/>
        </w:rPr>
        <w:footnoteReference w:id="43"/>
      </w:r>
    </w:p>
    <w:p w14:paraId="00000079" w14:textId="77777777" w:rsidR="00525158" w:rsidRPr="009D24D1" w:rsidRDefault="004D4AEA">
      <w:pPr>
        <w:shd w:val="clear" w:color="auto" w:fill="FFFFFF"/>
        <w:spacing w:before="280"/>
        <w:jc w:val="both"/>
        <w:rPr>
          <w:rFonts w:eastAsia="Arial" w:cs="Times New Roman"/>
          <w:b/>
        </w:rPr>
      </w:pPr>
      <w:r w:rsidRPr="009D24D1">
        <w:rPr>
          <w:rFonts w:eastAsia="Arial" w:cs="Times New Roman"/>
          <w:b/>
        </w:rPr>
        <w:t>Zakon o mednarodnem razvojnem sodelovanju in humanitarni pomoči Republike Slovenije</w:t>
      </w:r>
      <w:r w:rsidRPr="009D24D1">
        <w:rPr>
          <w:rFonts w:eastAsia="Arial" w:cs="Times New Roman"/>
          <w:b/>
          <w:vertAlign w:val="superscript"/>
        </w:rPr>
        <w:footnoteReference w:id="44"/>
      </w:r>
      <w:r w:rsidRPr="009D24D1">
        <w:rPr>
          <w:rFonts w:eastAsia="Arial" w:cs="Times New Roman"/>
        </w:rPr>
        <w:t xml:space="preserve"> iz leta 2018 (Zakon MRS) je opredelil je vlogo okvirnega programa za načrtovanje sredstev uradne razvojne pomoči, opredelil vlogo nacionalnega koordinatorja (t.j. Ministrstva za zunanje in evropske zadeve - MZEZ), med izvajalci MRS poudaril tudi zasebni sektor, uvedel strateško partnerstvo s slovenskimi izvajalci in mednarodnimi organizacijami, med oblikami izvajanja navedel neposredno proračunsko podporo ter razširil možnost predplačil za izvajalce projektov (kar je še posebej pomembno za NVO). </w:t>
      </w:r>
    </w:p>
    <w:p w14:paraId="0000007A" w14:textId="77777777" w:rsidR="00525158" w:rsidRPr="009D24D1" w:rsidRDefault="004D4AEA">
      <w:pPr>
        <w:shd w:val="clear" w:color="auto" w:fill="FFFFFF"/>
        <w:spacing w:before="280"/>
        <w:jc w:val="both"/>
        <w:rPr>
          <w:rFonts w:eastAsia="Arial" w:cs="Times New Roman"/>
        </w:rPr>
      </w:pPr>
      <w:r w:rsidRPr="009D24D1">
        <w:rPr>
          <w:rFonts w:eastAsia="Arial" w:cs="Times New Roman"/>
          <w:b/>
        </w:rPr>
        <w:t>Strategija mednarodnega razvojnega sodelovanja in humanitarne pomoči Republike Slovenije do leta 2030</w:t>
      </w:r>
      <w:r w:rsidRPr="009D24D1">
        <w:rPr>
          <w:rFonts w:eastAsia="Arial" w:cs="Times New Roman"/>
          <w:b/>
          <w:vertAlign w:val="superscript"/>
        </w:rPr>
        <w:footnoteReference w:id="45"/>
      </w:r>
      <w:r w:rsidRPr="009D24D1">
        <w:rPr>
          <w:rFonts w:eastAsia="Arial" w:cs="Times New Roman"/>
        </w:rPr>
        <w:t xml:space="preserve"> iz leta 2018 (Strategija MRS) je podrobneje opredelila cilje in strateške usmeritve ter konkretne ukrepe za skladno in učinkovito izvajanje skladnosti politik z</w:t>
      </w:r>
      <w:r w:rsidRPr="009D24D1">
        <w:rPr>
          <w:rFonts w:eastAsia="Arial" w:cs="Times New Roman"/>
          <w:highlight w:val="white"/>
        </w:rPr>
        <w:t>a (trajnostni) ra</w:t>
      </w:r>
      <w:r w:rsidRPr="009D24D1">
        <w:rPr>
          <w:rFonts w:eastAsia="Arial" w:cs="Times New Roman"/>
        </w:rPr>
        <w:t xml:space="preserve">zvoj, vzpostavila okvir za krepitev dvostranskega sodelovanja, določila geografsko in vsebinsko koncentracijo pomoči ter presečne teme MRS in humanitarne pomoči, podrobneje je opredelila humanitarno pomoč in njene cilje ter poudarila vlogo ozaveščanja, globalnega učenja in komuniciranja ter evalvacije, konkretne ukrepe na posameznih področjih delovanja ter merljive kazalnike za merjenje uresničevanja omenjenih ciljev. </w:t>
      </w:r>
      <w:r w:rsidRPr="009D24D1">
        <w:rPr>
          <w:rFonts w:eastAsia="Arial" w:cs="Times New Roman"/>
          <w:highlight w:val="white"/>
        </w:rPr>
        <w:t xml:space="preserve">Načelo SPR je bilo vključeno kot posebno poglavje in Slovenija se je zavezala, da bo </w:t>
      </w:r>
      <w:r w:rsidRPr="009D24D1">
        <w:rPr>
          <w:rFonts w:eastAsia="Arial" w:cs="Times New Roman"/>
          <w:i/>
          <w:highlight w:val="white"/>
        </w:rPr>
        <w:t>“v prihodnje posebno pozornost posvetila upoštevanju načela skladnosti politik za razvoj. Zavzemali se bomo za horizontalno skladnost med različnimi ministrstvi in organi oziroma med politikami mednarodnega razvojnega sodelovanja in humanitarne pomoči ter drugimi politikami države, vertikalno skladnost znotraj vladnih struktur, skladnost med politikami države donatorice in partnerske države ter skladnost delovanja različnih organizacij in usklajenega delovanja z drugimi donatoricami.”</w:t>
      </w:r>
      <w:r w:rsidRPr="009D24D1">
        <w:rPr>
          <w:rFonts w:eastAsia="Arial" w:cs="Times New Roman"/>
          <w:highlight w:val="white"/>
          <w:vertAlign w:val="superscript"/>
        </w:rPr>
        <w:footnoteReference w:id="46"/>
      </w:r>
      <w:r w:rsidRPr="009D24D1">
        <w:rPr>
          <w:rFonts w:eastAsia="Arial" w:cs="Times New Roman"/>
          <w:highlight w:val="white"/>
        </w:rPr>
        <w:t xml:space="preserve"> </w:t>
      </w:r>
    </w:p>
    <w:p w14:paraId="0000007B" w14:textId="77777777" w:rsidR="00525158" w:rsidRPr="009D24D1" w:rsidRDefault="004D4AEA">
      <w:pPr>
        <w:shd w:val="clear" w:color="auto" w:fill="FFFFFF"/>
        <w:spacing w:before="280"/>
        <w:jc w:val="both"/>
        <w:rPr>
          <w:rFonts w:eastAsia="Arial" w:cs="Times New Roman"/>
          <w:highlight w:val="white"/>
        </w:rPr>
      </w:pPr>
      <w:r w:rsidRPr="009D24D1">
        <w:rPr>
          <w:rFonts w:eastAsia="Arial" w:cs="Times New Roman"/>
          <w:highlight w:val="white"/>
        </w:rPr>
        <w:t xml:space="preserve">Dokument načrtuje niz ukrepov, kako izboljšati spremljanje na področju skladnosti politik, ki bi zagotavljalo ne le sledljivost, ampak tudi prepoznavnost tega načela in dolgoročno sistematično poročanje o dogajanju v Sloveniji. Eden od teh ukrepov je </w:t>
      </w:r>
      <w:r w:rsidRPr="009D24D1">
        <w:rPr>
          <w:rFonts w:eastAsia="Arial" w:cs="Times New Roman"/>
          <w:b/>
          <w:highlight w:val="white"/>
        </w:rPr>
        <w:t>vzpostavitev kontaktnih točk na ministrstvih</w:t>
      </w:r>
      <w:r w:rsidRPr="009D24D1">
        <w:rPr>
          <w:rFonts w:eastAsia="Arial" w:cs="Times New Roman"/>
          <w:highlight w:val="white"/>
        </w:rPr>
        <w:t xml:space="preserve">, ki naj bi od leta 2019 spremljale razvoj notranjih politik in opozarjale na možna neskladja različnih politik s politikami MRS. </w:t>
      </w:r>
      <w:r w:rsidRPr="009D24D1">
        <w:rPr>
          <w:rFonts w:eastAsia="Arial" w:cs="Times New Roman"/>
          <w:b/>
          <w:highlight w:val="white"/>
        </w:rPr>
        <w:t>Kontaktne točke</w:t>
      </w:r>
      <w:r w:rsidRPr="009D24D1">
        <w:rPr>
          <w:rFonts w:eastAsia="Arial" w:cs="Times New Roman"/>
          <w:highlight w:val="white"/>
        </w:rPr>
        <w:t xml:space="preserve"> naj bi o svojih ugotovitvah letno poročale </w:t>
      </w:r>
      <w:r w:rsidRPr="009D24D1">
        <w:rPr>
          <w:rFonts w:eastAsia="Arial" w:cs="Times New Roman"/>
          <w:b/>
          <w:highlight w:val="white"/>
        </w:rPr>
        <w:t>Stalni koordinacijski skupini za MRS</w:t>
      </w:r>
      <w:r w:rsidRPr="009D24D1">
        <w:rPr>
          <w:rFonts w:eastAsia="Arial" w:cs="Times New Roman"/>
          <w:highlight w:val="white"/>
        </w:rPr>
        <w:t xml:space="preserve">, nacionalni koordinator (MZEZ) pa naj bi o razpravi obvestil </w:t>
      </w:r>
      <w:r w:rsidRPr="009D24D1">
        <w:rPr>
          <w:rFonts w:eastAsia="Arial" w:cs="Times New Roman"/>
          <w:b/>
          <w:highlight w:val="white"/>
        </w:rPr>
        <w:t>Strokovni svet za MRS</w:t>
      </w:r>
      <w:r w:rsidRPr="009D24D1">
        <w:rPr>
          <w:rFonts w:eastAsia="Arial" w:cs="Times New Roman"/>
          <w:highlight w:val="white"/>
        </w:rPr>
        <w:t xml:space="preserve">. Iz javno dostopnih virov ni možno ugotoviti, ali in kako se to od leta 2019 v praksi izvaja (če sploh se z obzirom na to, da Strokovni svet ni deloval od leta 2019 do maja oz. septembra 2024). </w:t>
      </w:r>
    </w:p>
    <w:p w14:paraId="0000007C" w14:textId="77777777" w:rsidR="00525158" w:rsidRPr="009D24D1" w:rsidRDefault="004D4AEA">
      <w:pPr>
        <w:shd w:val="clear" w:color="auto" w:fill="FFFFFF"/>
        <w:spacing w:before="280"/>
        <w:jc w:val="both"/>
        <w:rPr>
          <w:rFonts w:eastAsia="Arial" w:cs="Times New Roman"/>
          <w:highlight w:val="white"/>
        </w:rPr>
      </w:pPr>
      <w:r w:rsidRPr="009D24D1">
        <w:rPr>
          <w:rFonts w:eastAsia="Arial" w:cs="Times New Roman"/>
          <w:highlight w:val="white"/>
        </w:rPr>
        <w:t xml:space="preserve">Prav tako naj bi </w:t>
      </w:r>
      <w:r w:rsidRPr="009D24D1">
        <w:rPr>
          <w:rFonts w:eastAsia="Arial" w:cs="Times New Roman"/>
          <w:b/>
          <w:highlight w:val="white"/>
        </w:rPr>
        <w:t>pristojni resorji skupaj z MZEZ do leta 2021 pripravili pregled praks</w:t>
      </w:r>
      <w:r w:rsidRPr="009D24D1">
        <w:rPr>
          <w:rFonts w:eastAsia="Arial" w:cs="Times New Roman"/>
          <w:highlight w:val="white"/>
        </w:rPr>
        <w:t xml:space="preserve"> v Sloveniji za prioritetna področja EU: (i) trgovina in finance, (ii) podnebne spremembe, (iii) prehranska varnost, (iv) migracije ter (v) varnost in razvoj. Na osnovi tega pregleda naj bi se oblikovala priporočila vladi. Iz javno dostopnih virov ni možno ugotoviti, ali je bilo to narejeno. </w:t>
      </w:r>
    </w:p>
    <w:p w14:paraId="0000007D" w14:textId="77777777" w:rsidR="00525158" w:rsidRPr="009D24D1" w:rsidRDefault="004D4AEA">
      <w:pPr>
        <w:shd w:val="clear" w:color="auto" w:fill="FFFFFF"/>
        <w:spacing w:before="280"/>
        <w:jc w:val="both"/>
        <w:rPr>
          <w:rFonts w:eastAsia="Arial" w:cs="Times New Roman"/>
          <w:highlight w:val="white"/>
        </w:rPr>
      </w:pPr>
      <w:r w:rsidRPr="009D24D1">
        <w:rPr>
          <w:rFonts w:eastAsia="Arial" w:cs="Times New Roman"/>
          <w:highlight w:val="white"/>
        </w:rPr>
        <w:lastRenderedPageBreak/>
        <w:t>Še en pomemben vidik, vključen v Strategijo MRS (str. 10), je ozaveščanje o SPR. Ozaveščanje naj bi potekalo na Stalni koordinacijski skupini za MRS, med izvajalci MRS in v strokovni javnosti, znotraj resornih ministrstev ter na odborih Državnega zbora in sejah Vlade. Iz javno dostopnih virov ni možno ugotoviti, kako so v praksi od leta 2019 potekale aktivnosti za ozaveščanje o pomenu SPR (z obzirom na to, da Strokovni svet ni deloval od 2019 do septembra 2024).</w:t>
      </w:r>
    </w:p>
    <w:p w14:paraId="0000007E" w14:textId="77777777" w:rsidR="00525158" w:rsidRPr="009D24D1" w:rsidRDefault="004D4AEA">
      <w:pPr>
        <w:shd w:val="clear" w:color="auto" w:fill="FFFFFF"/>
        <w:spacing w:before="280"/>
        <w:jc w:val="both"/>
        <w:rPr>
          <w:rFonts w:eastAsia="Arial" w:cs="Times New Roman"/>
          <w:highlight w:val="white"/>
        </w:rPr>
      </w:pPr>
      <w:r w:rsidRPr="009D24D1">
        <w:rPr>
          <w:rFonts w:eastAsia="Arial" w:cs="Times New Roman"/>
        </w:rPr>
        <w:t xml:space="preserve">Poleg omenjenih dokumentov so bile leta 2023 sprejete tudi posodobljene </w:t>
      </w:r>
      <w:r w:rsidRPr="009D24D1">
        <w:rPr>
          <w:rFonts w:eastAsia="Arial" w:cs="Times New Roman"/>
          <w:b/>
        </w:rPr>
        <w:t>smernice za sodelovanje z nevladnimi organizacijami</w:t>
      </w:r>
      <w:r w:rsidRPr="009D24D1">
        <w:rPr>
          <w:rFonts w:eastAsia="Arial" w:cs="Times New Roman"/>
          <w:b/>
          <w:vertAlign w:val="superscript"/>
        </w:rPr>
        <w:footnoteReference w:id="47"/>
      </w:r>
      <w:r w:rsidRPr="009D24D1">
        <w:rPr>
          <w:rFonts w:eastAsia="Arial" w:cs="Times New Roman"/>
          <w:b/>
        </w:rPr>
        <w:t xml:space="preserve"> </w:t>
      </w:r>
      <w:r w:rsidRPr="009D24D1">
        <w:rPr>
          <w:rFonts w:eastAsia="Arial" w:cs="Times New Roman"/>
        </w:rPr>
        <w:t xml:space="preserve">in </w:t>
      </w:r>
      <w:r w:rsidRPr="009D24D1">
        <w:rPr>
          <w:rFonts w:eastAsia="Arial" w:cs="Times New Roman"/>
          <w:b/>
        </w:rPr>
        <w:t>smernice na področju vključevanja enakosti spolov v MRS in hum</w:t>
      </w:r>
      <w:r w:rsidRPr="009D24D1">
        <w:rPr>
          <w:rFonts w:eastAsia="Arial" w:cs="Times New Roman"/>
          <w:b/>
          <w:highlight w:val="white"/>
        </w:rPr>
        <w:t>anitarno pomoč</w:t>
      </w:r>
      <w:r w:rsidRPr="009D24D1">
        <w:rPr>
          <w:rFonts w:eastAsia="Arial" w:cs="Times New Roman"/>
          <w:highlight w:val="white"/>
        </w:rPr>
        <w:t>.</w:t>
      </w:r>
      <w:r w:rsidRPr="009D24D1">
        <w:rPr>
          <w:rFonts w:eastAsia="Arial" w:cs="Times New Roman"/>
          <w:highlight w:val="white"/>
          <w:vertAlign w:val="superscript"/>
        </w:rPr>
        <w:footnoteReference w:id="48"/>
      </w:r>
      <w:r w:rsidRPr="009D24D1">
        <w:rPr>
          <w:rFonts w:eastAsia="Arial" w:cs="Times New Roman"/>
          <w:highlight w:val="white"/>
        </w:rPr>
        <w:t xml:space="preserve"> V septembru 2024 so bile sprejete tudi </w:t>
      </w:r>
      <w:r w:rsidRPr="009D24D1">
        <w:rPr>
          <w:rFonts w:eastAsia="Arial" w:cs="Times New Roman"/>
          <w:b/>
          <w:highlight w:val="white"/>
        </w:rPr>
        <w:t>Smernice za vključevanje varstva okolja v mednarodno razvojno sodelovanje in humanitarno pomoč,</w:t>
      </w:r>
      <w:r w:rsidRPr="009D24D1">
        <w:rPr>
          <w:rFonts w:eastAsia="Arial" w:cs="Times New Roman"/>
          <w:b/>
          <w:highlight w:val="white"/>
          <w:vertAlign w:val="superscript"/>
        </w:rPr>
        <w:footnoteReference w:id="49"/>
      </w:r>
      <w:r w:rsidRPr="009D24D1">
        <w:rPr>
          <w:rFonts w:eastAsia="Arial" w:cs="Times New Roman"/>
          <w:b/>
          <w:highlight w:val="white"/>
        </w:rPr>
        <w:t xml:space="preserve"> </w:t>
      </w:r>
      <w:r w:rsidRPr="009D24D1">
        <w:rPr>
          <w:rFonts w:eastAsia="Arial" w:cs="Times New Roman"/>
          <w:highlight w:val="white"/>
        </w:rPr>
        <w:t xml:space="preserve">pripravljajo pa se še </w:t>
      </w:r>
      <w:r w:rsidRPr="009D24D1">
        <w:rPr>
          <w:rFonts w:eastAsia="Arial" w:cs="Times New Roman"/>
          <w:b/>
          <w:highlight w:val="white"/>
        </w:rPr>
        <w:t>smernice za sodelovanje z zasebnim sektorjem</w:t>
      </w:r>
      <w:r w:rsidRPr="009D24D1">
        <w:rPr>
          <w:rFonts w:eastAsia="Arial" w:cs="Times New Roman"/>
          <w:highlight w:val="white"/>
        </w:rPr>
        <w:t>.</w:t>
      </w:r>
    </w:p>
    <w:p w14:paraId="74EFE74A" w14:textId="77777777" w:rsidR="009D24D1" w:rsidRDefault="009D24D1" w:rsidP="006F430A">
      <w:pPr>
        <w:pStyle w:val="Heading2"/>
        <w:rPr>
          <w:rFonts w:ascii="Arial" w:hAnsi="Arial" w:cs="Arial"/>
          <w:b/>
          <w:bCs/>
          <w:sz w:val="24"/>
          <w:szCs w:val="24"/>
        </w:rPr>
      </w:pPr>
      <w:bookmarkStart w:id="12" w:name="_heading=h.7zzs7ivt93gw" w:colFirst="0" w:colLast="0"/>
      <w:bookmarkEnd w:id="12"/>
    </w:p>
    <w:p w14:paraId="00000080" w14:textId="3A37421B" w:rsidR="00525158" w:rsidRPr="009D24D1" w:rsidRDefault="004D4AEA" w:rsidP="006F430A">
      <w:pPr>
        <w:pStyle w:val="Heading2"/>
        <w:rPr>
          <w:rFonts w:ascii="Times New Roman" w:hAnsi="Times New Roman" w:cs="Times New Roman"/>
          <w:b/>
          <w:bCs/>
          <w:sz w:val="24"/>
          <w:szCs w:val="24"/>
        </w:rPr>
      </w:pPr>
      <w:bookmarkStart w:id="13" w:name="_Toc205412934"/>
      <w:r w:rsidRPr="009D24D1">
        <w:rPr>
          <w:rFonts w:ascii="Times New Roman" w:hAnsi="Times New Roman" w:cs="Times New Roman"/>
          <w:b/>
          <w:bCs/>
          <w:sz w:val="24"/>
          <w:szCs w:val="24"/>
        </w:rPr>
        <w:t xml:space="preserve">3.2 </w:t>
      </w:r>
      <w:r w:rsidR="00D26451" w:rsidRPr="009D24D1">
        <w:rPr>
          <w:rFonts w:ascii="Times New Roman" w:hAnsi="Times New Roman" w:cs="Times New Roman"/>
          <w:b/>
          <w:bCs/>
          <w:sz w:val="24"/>
          <w:szCs w:val="24"/>
        </w:rPr>
        <w:t>O</w:t>
      </w:r>
      <w:r w:rsidRPr="009D24D1">
        <w:rPr>
          <w:rFonts w:ascii="Times New Roman" w:hAnsi="Times New Roman" w:cs="Times New Roman"/>
          <w:b/>
          <w:bCs/>
          <w:sz w:val="24"/>
          <w:szCs w:val="24"/>
        </w:rPr>
        <w:t>cen</w:t>
      </w:r>
      <w:r w:rsidR="00D26451" w:rsidRPr="009D24D1">
        <w:rPr>
          <w:rFonts w:ascii="Times New Roman" w:hAnsi="Times New Roman" w:cs="Times New Roman"/>
          <w:b/>
          <w:bCs/>
          <w:sz w:val="24"/>
          <w:szCs w:val="24"/>
        </w:rPr>
        <w:t>e vključevanja načela SPR</w:t>
      </w:r>
      <w:bookmarkEnd w:id="13"/>
    </w:p>
    <w:p w14:paraId="16C66323" w14:textId="77777777" w:rsidR="006F430A" w:rsidRPr="009D24D1" w:rsidRDefault="006F430A" w:rsidP="006F430A">
      <w:pPr>
        <w:rPr>
          <w:rFonts w:cs="Times New Roman"/>
        </w:rPr>
      </w:pPr>
    </w:p>
    <w:p w14:paraId="00000081" w14:textId="77777777" w:rsidR="00525158" w:rsidRPr="009D24D1" w:rsidRDefault="004D4AEA" w:rsidP="006F430A">
      <w:pPr>
        <w:pStyle w:val="Heading3"/>
        <w:ind w:left="720"/>
        <w:rPr>
          <w:rFonts w:cs="Times New Roman"/>
          <w:b/>
          <w:bCs/>
          <w:i/>
          <w:iCs/>
          <w:sz w:val="24"/>
          <w:szCs w:val="24"/>
        </w:rPr>
      </w:pPr>
      <w:bookmarkStart w:id="14" w:name="_heading=h.srxg7gv68ifb" w:colFirst="0" w:colLast="0"/>
      <w:bookmarkStart w:id="15" w:name="_Toc205412935"/>
      <w:bookmarkEnd w:id="14"/>
      <w:r w:rsidRPr="009D24D1">
        <w:rPr>
          <w:rFonts w:cs="Times New Roman"/>
          <w:b/>
          <w:bCs/>
          <w:i/>
          <w:iCs/>
          <w:sz w:val="24"/>
          <w:szCs w:val="24"/>
        </w:rPr>
        <w:t>OECD DAC</w:t>
      </w:r>
      <w:bookmarkEnd w:id="15"/>
    </w:p>
    <w:p w14:paraId="00000082"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 xml:space="preserve">Z vstopom med članice Odbora za razvojno pomoč OECD (OECD </w:t>
      </w:r>
      <w:r w:rsidRPr="009D24D1">
        <w:rPr>
          <w:rFonts w:eastAsia="Arial" w:cs="Times New Roman"/>
          <w:i/>
          <w:highlight w:val="white"/>
        </w:rPr>
        <w:t>Development Assistance Committee</w:t>
      </w:r>
      <w:r w:rsidRPr="009D24D1">
        <w:rPr>
          <w:rFonts w:eastAsia="Arial" w:cs="Times New Roman"/>
          <w:highlight w:val="white"/>
        </w:rPr>
        <w:t xml:space="preserve"> - OECD DAC) leta 2013</w:t>
      </w:r>
      <w:r w:rsidRPr="009D24D1">
        <w:rPr>
          <w:rFonts w:eastAsia="Arial" w:cs="Times New Roman"/>
          <w:highlight w:val="white"/>
          <w:vertAlign w:val="superscript"/>
        </w:rPr>
        <w:footnoteReference w:id="50"/>
      </w:r>
      <w:r w:rsidRPr="009D24D1">
        <w:rPr>
          <w:rFonts w:eastAsia="Arial" w:cs="Times New Roman"/>
          <w:highlight w:val="white"/>
        </w:rPr>
        <w:t xml:space="preserve"> je Slovenija svojo zavezo ponovila, a bila kljub temu v prvi oceni o izvajanju MRS s strani skupine ocenjevalcev opozorjena, da je to eno od zelo pomembnih področij in da Slovenija še ne skrbi v zadostni meri za SPR (OECD 2012, str. 16).</w:t>
      </w:r>
      <w:r w:rsidRPr="009D24D1">
        <w:rPr>
          <w:rFonts w:eastAsia="Arial" w:cs="Times New Roman"/>
          <w:highlight w:val="white"/>
          <w:vertAlign w:val="superscript"/>
        </w:rPr>
        <w:footnoteReference w:id="51"/>
      </w:r>
      <w:r w:rsidRPr="009D24D1">
        <w:rPr>
          <w:rFonts w:eastAsia="Arial" w:cs="Times New Roman"/>
          <w:highlight w:val="white"/>
        </w:rPr>
        <w:t xml:space="preserve"> Poročilo ugotavlja, da je za spodbujanje večje skladnosti politik potrebno razviti tri glavne elemente: </w:t>
      </w:r>
      <w:r w:rsidRPr="009D24D1">
        <w:rPr>
          <w:rFonts w:eastAsia="Arial" w:cs="Times New Roman"/>
          <w:bCs/>
          <w:highlight w:val="white"/>
        </w:rPr>
        <w:t>politično zavezo, koordinacijski mehanizem za politike ter sistem spremljanja, analiziranja in poročanja. Zato so Sloveniji eksperti predlagali, da razmisli o lastnem</w:t>
      </w:r>
      <w:r w:rsidRPr="009D24D1">
        <w:rPr>
          <w:rFonts w:eastAsia="Arial" w:cs="Times New Roman"/>
          <w:highlight w:val="white"/>
        </w:rPr>
        <w:t xml:space="preserve"> sistemu za spremljanje, analizo in poročanje o tem, kako razvojno sodelovanje vpliva na t.i. države v razvoju.</w:t>
      </w:r>
    </w:p>
    <w:p w14:paraId="00000083"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 xml:space="preserve">Tudi v </w:t>
      </w:r>
      <w:r w:rsidRPr="009D24D1">
        <w:rPr>
          <w:rFonts w:eastAsia="Arial" w:cs="Times New Roman"/>
          <w:bCs/>
          <w:highlight w:val="white"/>
        </w:rPr>
        <w:t>drugi OECD oceni (OECD 2017)</w:t>
      </w:r>
      <w:r w:rsidRPr="009D24D1">
        <w:rPr>
          <w:rFonts w:eastAsia="Arial" w:cs="Times New Roman"/>
          <w:highlight w:val="white"/>
        </w:rPr>
        <w:t xml:space="preserve"> izvajanja MRS ni zaznati prepričanja, da Slovenija v zadostni meri sledi načelu SPR (OECD 2017)</w:t>
      </w:r>
      <w:r w:rsidRPr="009D24D1">
        <w:rPr>
          <w:rFonts w:eastAsia="Arial" w:cs="Times New Roman"/>
          <w:highlight w:val="white"/>
          <w:vertAlign w:val="superscript"/>
        </w:rPr>
        <w:footnoteReference w:id="52"/>
      </w:r>
      <w:r w:rsidRPr="009D24D1">
        <w:rPr>
          <w:rFonts w:eastAsia="Arial" w:cs="Times New Roman"/>
          <w:highlight w:val="white"/>
        </w:rPr>
        <w:t xml:space="preserve">. Ugotavljali so, da je poznavanje načela izven ozke skupine (na Direktoratu za MRS in humanitarno pomoč) na MZEZ skromno in da na drugih resorjih manjka vsaj volja za sodelovanje v analizi politik z zornega kota zagotavljanja </w:t>
      </w:r>
      <w:r w:rsidRPr="009D24D1">
        <w:rPr>
          <w:rFonts w:eastAsia="Arial" w:cs="Times New Roman"/>
          <w:highlight w:val="white"/>
        </w:rPr>
        <w:lastRenderedPageBreak/>
        <w:t>skladnosti. Tako so pozvali Stalno koordinacijsko skupino, da se aktivneje vključi v zagotavljanje podpore načelu SPR.</w:t>
      </w:r>
    </w:p>
    <w:p w14:paraId="00000084" w14:textId="33642EEA"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bCs/>
          <w:highlight w:val="white"/>
        </w:rPr>
        <w:t>Tretj</w:t>
      </w:r>
      <w:r w:rsidR="00A97C10">
        <w:rPr>
          <w:rFonts w:eastAsia="Arial" w:cs="Times New Roman"/>
          <w:bCs/>
          <w:highlight w:val="white"/>
        </w:rPr>
        <w:t>i</w:t>
      </w:r>
      <w:r w:rsidRPr="009D24D1">
        <w:rPr>
          <w:rFonts w:eastAsia="Arial" w:cs="Times New Roman"/>
          <w:bCs/>
          <w:highlight w:val="white"/>
        </w:rPr>
        <w:t xml:space="preserve"> </w:t>
      </w:r>
      <w:r w:rsidR="00A97C10">
        <w:rPr>
          <w:rFonts w:eastAsia="Arial" w:cs="Times New Roman"/>
          <w:bCs/>
          <w:highlight w:val="white"/>
        </w:rPr>
        <w:t>vmesni pregled</w:t>
      </w:r>
      <w:r w:rsidRPr="009D24D1">
        <w:rPr>
          <w:rFonts w:eastAsia="Arial" w:cs="Times New Roman"/>
          <w:bCs/>
          <w:highlight w:val="white"/>
        </w:rPr>
        <w:t xml:space="preserve"> OECD (OECD 2020)</w:t>
      </w:r>
      <w:r w:rsidRPr="009D24D1">
        <w:rPr>
          <w:rFonts w:eastAsia="Arial" w:cs="Times New Roman"/>
          <w:bCs/>
          <w:highlight w:val="white"/>
          <w:vertAlign w:val="superscript"/>
        </w:rPr>
        <w:footnoteReference w:id="53"/>
      </w:r>
      <w:r w:rsidRPr="009D24D1">
        <w:rPr>
          <w:rFonts w:eastAsia="Arial" w:cs="Times New Roman"/>
          <w:bCs/>
          <w:highlight w:val="white"/>
        </w:rPr>
        <w:t xml:space="preserve"> ugotavlja, da je Slovenija že sprejela ukrepe za izpolnitev 9 od 14 priporočil DAC</w:t>
      </w:r>
      <w:r w:rsidRPr="009D24D1">
        <w:rPr>
          <w:rFonts w:eastAsia="Arial" w:cs="Times New Roman"/>
          <w:highlight w:val="white"/>
        </w:rPr>
        <w:t xml:space="preserve"> iz leta 2017, zlasti tistih, ki se nanašajo na: a) Povečanje učinka dvostranskega sodelovanja Slovenije z osredotočanjem na manj geografskih in tematskih področij; b) Odstranitev pravnih ovir za sodelovanje z drugimi donatorji in akterji; c) Krepitev razumevanja zaposlenih in partnerjev o pomenu enakosti spolov in varstva okolja kot medsektorska vprašanja; d) Povezovanje rezultatov s CTR in večja osredotočenost na učinke in rezultate MRS Slovenije.</w:t>
      </w:r>
    </w:p>
    <w:p w14:paraId="00000085"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Slovenija se je odločila osredotočiti svoje MRS na manjše število tematskih in geografskih prednostnih nalog, predvsem na pravno državo in dobro upravljanje na Zahodnem Balkanu. V novi Strategiji MRS je zmanjšala število držav programskih partneric s štirih na dve, vključila tematske cilje za programsko pomoč državam ter povečala delež bilateralne uradne razvojne pomoči, dodeljene svojim prvim 10 partnerskim državam, s 50 % v letu 2015 na skoraj 70 % v letu 2018. MZEZ je sprejelo ukrepe za financiranje manjšega števila projektov večje vrednosti in je prešlo z enoletnih projektnih ciklov na dvoletne cikle za slovenske javne ustanove ter iz dvoletnih projektnih ciklov v triletne cikle za NVO.</w:t>
      </w:r>
    </w:p>
    <w:p w14:paraId="00000086" w14:textId="25689D41"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 xml:space="preserve">Glede na priporočila </w:t>
      </w:r>
      <w:r>
        <w:rPr>
          <w:rFonts w:eastAsia="Arial" w:cs="Times New Roman"/>
          <w:highlight w:val="white"/>
        </w:rPr>
        <w:t xml:space="preserve">vmesnega pregleda </w:t>
      </w:r>
      <w:r w:rsidRPr="009D24D1">
        <w:rPr>
          <w:rFonts w:eastAsia="Arial" w:cs="Times New Roman"/>
          <w:highlight w:val="white"/>
        </w:rPr>
        <w:t xml:space="preserve">OECD DAC iz leta 2020 se je Slovenija zavezala vzpostaviti kontaktne točke za SPR, ki bodo odgovorne za spremljanje teh morebitnih učinkov na vseh ministrstvih, in spremenjen mandat za Stalno koordinacijsko skupino za MRS, ki zahteva, da skupina spremlja vprašanja usklajenosti politik na ravni celotne vlade. Poleg tega Strategija MRS zahteva, da se do leta 2021 razvije načrt o oblikovanju prednostnih nalog EU za SPR, in da se spremljanje čezmejnih vplivov domačih in vseevropskih politik in predpisov vključi v nacionalni sistem za spremljanje SPTR. Iz javno dostopnih virov ni možno ugotoviti, če je slednje bilo izvedeno. </w:t>
      </w:r>
    </w:p>
    <w:p w14:paraId="00000087" w14:textId="609ECF6E" w:rsidR="00525158" w:rsidRPr="009D24D1" w:rsidRDefault="004D4AEA">
      <w:pPr>
        <w:shd w:val="clear" w:color="auto" w:fill="FFFFFF"/>
        <w:spacing w:before="240" w:after="240"/>
        <w:jc w:val="both"/>
        <w:rPr>
          <w:rFonts w:eastAsia="Arial" w:cs="Times New Roman"/>
        </w:rPr>
      </w:pPr>
      <w:r w:rsidRPr="009D24D1">
        <w:rPr>
          <w:rFonts w:eastAsia="Arial" w:cs="Times New Roman"/>
        </w:rPr>
        <w:t>V skladu z OECD DAC priporočilom, da naj se Slovenija bolj namerno osredotoči na zmanjševanje revščine in določi, kaj to pomeni v partnerskih državah v kontekstu Zahodnega Balkana, Slovenija navaja, da cilja na sektorje in projekte, ki prispevajo k zmanjševanju revščine (npr. projekte, povezane z upravljanjem z (odpadnimi) vodami), ter da cilja na revnejše regije. Vendar OECD ugotavlja, da je odločanje in opredeljevanje prednostnih regij in skupin prepuščeno izvajalskim partnerjem, in da obstaja le omejen dialog z nevladnimi organizacijami o revščini pri dogovarjanju o projektih, brez zahteve po analizi konteksta, osredotočenega na revščino.</w:t>
      </w:r>
      <w:r w:rsidR="00F77CB7">
        <w:rPr>
          <w:rStyle w:val="FootnoteReference"/>
          <w:rFonts w:eastAsia="Arial" w:cs="Times New Roman"/>
        </w:rPr>
        <w:footnoteReference w:id="54"/>
      </w:r>
    </w:p>
    <w:p w14:paraId="00000088" w14:textId="056E3181"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rPr>
        <w:t>Eno izmed priporočil OECD iz leta 2020 je tudi, da se v namene krepitve partnerskega sodelovanja dokončno oblikujejo smernice za sodelovanje z zasebnim sektorjem in da se določi, kako se bodo v naslednjih letih do 2023 izvajale in krepile.</w:t>
      </w:r>
      <w:r w:rsidRPr="009D24D1">
        <w:rPr>
          <w:rFonts w:eastAsia="Arial" w:cs="Times New Roman"/>
          <w:vertAlign w:val="superscript"/>
        </w:rPr>
        <w:footnoteReference w:id="55"/>
      </w:r>
      <w:r w:rsidRPr="009D24D1">
        <w:rPr>
          <w:rFonts w:eastAsia="Arial" w:cs="Times New Roman"/>
        </w:rPr>
        <w:t xml:space="preserve"> OECD je izpostavil tudi vprašanje glede delovanja Strokovnega sveta za razvojno sodelovanje, saj naj bi se le-ta nazadnje sestal februarja 2019. Po več kot petih letih je trenutna ministrica za zunanje in evropske zadeve, Tanja Fajon, dne 10.5.2024 podpisala Sklep o ustanovitvi </w:t>
      </w:r>
      <w:r w:rsidRPr="009D24D1">
        <w:rPr>
          <w:rFonts w:eastAsia="Arial" w:cs="Times New Roman"/>
          <w:b/>
        </w:rPr>
        <w:t>Strokovnega sveta za</w:t>
      </w:r>
      <w:r w:rsidRPr="009D24D1">
        <w:rPr>
          <w:rFonts w:eastAsia="Arial" w:cs="Times New Roman"/>
          <w:b/>
          <w:highlight w:val="white"/>
        </w:rPr>
        <w:t xml:space="preserve"> mednarodno </w:t>
      </w:r>
      <w:r w:rsidRPr="009D24D1">
        <w:rPr>
          <w:rFonts w:eastAsia="Arial" w:cs="Times New Roman"/>
          <w:b/>
          <w:highlight w:val="white"/>
        </w:rPr>
        <w:lastRenderedPageBreak/>
        <w:t>razvojno sodelovanje</w:t>
      </w:r>
      <w:r w:rsidRPr="009D24D1">
        <w:rPr>
          <w:rFonts w:eastAsia="Arial" w:cs="Times New Roman"/>
          <w:highlight w:val="white"/>
        </w:rPr>
        <w:t xml:space="preserve"> in imenovala 17 članov.</w:t>
      </w:r>
      <w:r w:rsidRPr="009D24D1">
        <w:rPr>
          <w:rFonts w:eastAsia="Arial" w:cs="Times New Roman"/>
          <w:highlight w:val="white"/>
          <w:vertAlign w:val="superscript"/>
        </w:rPr>
        <w:footnoteReference w:id="56"/>
      </w:r>
      <w:r w:rsidRPr="009D24D1">
        <w:rPr>
          <w:rFonts w:eastAsia="Arial" w:cs="Times New Roman"/>
          <w:highlight w:val="white"/>
        </w:rPr>
        <w:t xml:space="preserve"> Naloge strokovnega sveta, ki ga vodi ministrica, so: svetovanje o vprašanjih, ki jih na svet naslovi MZEZ; sodelovanje pri pripravi strateških in normativnih dokumentov; spremljanje izvajanja Strategije MRS; priprava mnenja o dejavnostih in stališčih Slovenije na področju MRS. Prva seja novoustanovljenega Strokovnega sveta se je odvila 5. septembra 2024, po razpravi o medsebojnem strokovnem pregledu slovenskih politik in izvajanja slovenske uradne razvojne pomoči s strani OECD DAC, ki je bila 20. junija 2024 v Parizu. </w:t>
      </w:r>
    </w:p>
    <w:p w14:paraId="00000089" w14:textId="3E96E5E5" w:rsidR="00525158" w:rsidRPr="009D24D1" w:rsidRDefault="004D4AEA">
      <w:pPr>
        <w:shd w:val="clear" w:color="auto" w:fill="FFFFFF"/>
        <w:spacing w:before="240" w:after="240"/>
        <w:jc w:val="both"/>
        <w:rPr>
          <w:rFonts w:eastAsia="Arial" w:cs="Times New Roman"/>
        </w:rPr>
      </w:pPr>
      <w:r w:rsidRPr="009D24D1">
        <w:rPr>
          <w:rFonts w:eastAsia="Arial" w:cs="Times New Roman"/>
          <w:highlight w:val="white"/>
        </w:rPr>
        <w:t>Za uveljavitev načela SPR je ključnega pomena razumevanje samega načela in koristi, ki jih lahko država ima, če svojo razvojno politiko usklajuje z drugimi politikami in obratno. Redno in dosledno spremljanje učinkov, ki jih imajo lahko določene notranje politike za t.i. države v razvoju, lahko ne samo prepreči negativno delovanje ampak lahko tak sistematičen nadzor omogoči tudi multiplikacijski pozitivni učinek. Slednje je še posebej pomembno v državi kot je Slovenija, ki težko izpolnjuje svoje zaveze kot članica OECD DAC in EU, saj še</w:t>
      </w:r>
      <w:r w:rsidRPr="009D24D1">
        <w:rPr>
          <w:rFonts w:eastAsia="Arial" w:cs="Times New Roman"/>
          <w:b/>
          <w:highlight w:val="white"/>
        </w:rPr>
        <w:t xml:space="preserve"> </w:t>
      </w:r>
      <w:r w:rsidRPr="009D24D1">
        <w:rPr>
          <w:rFonts w:eastAsia="Arial" w:cs="Times New Roman"/>
          <w:bCs/>
          <w:highlight w:val="white"/>
        </w:rPr>
        <w:t xml:space="preserve">ne izdvaja zadostnih sredstev za MRS. </w:t>
      </w:r>
      <w:r w:rsidRPr="009D24D1">
        <w:rPr>
          <w:rFonts w:eastAsia="Arial" w:cs="Times New Roman"/>
          <w:bCs/>
        </w:rPr>
        <w:t xml:space="preserve">Slovenija ima v skladu z zavezami EU cilj, da bo do leta 2030 za uradno razvojno pomoč namenila 0,33 % bruto nacionalnega dohodka (BND). Leta 2019 je razmerje med uradno razvojno pomočjo in BND Slovenije znašalo 0,16 %, </w:t>
      </w:r>
      <w:r w:rsidRPr="009D24D1">
        <w:rPr>
          <w:rFonts w:eastAsia="Arial" w:cs="Times New Roman"/>
          <w:bCs/>
          <w:highlight w:val="white"/>
        </w:rPr>
        <w:t>v letu 2020 je bilo to 0,17% BND, v letu 2021 0,19% BND, v 2022 se je povišalo na 0,29% BND,</w:t>
      </w:r>
      <w:r w:rsidRPr="009D24D1">
        <w:rPr>
          <w:rFonts w:eastAsia="Arial" w:cs="Times New Roman"/>
          <w:bCs/>
          <w:highlight w:val="white"/>
          <w:vertAlign w:val="superscript"/>
        </w:rPr>
        <w:footnoteReference w:id="57"/>
      </w:r>
      <w:r w:rsidRPr="009D24D1">
        <w:rPr>
          <w:rFonts w:eastAsia="Arial" w:cs="Times New Roman"/>
          <w:bCs/>
          <w:highlight w:val="white"/>
        </w:rPr>
        <w:t xml:space="preserve"> v letu 2023 je bil ta delež 0,24 % BND.</w:t>
      </w:r>
      <w:r w:rsidRPr="009D24D1">
        <w:rPr>
          <w:rFonts w:eastAsia="Arial" w:cs="Times New Roman"/>
          <w:b/>
          <w:highlight w:val="white"/>
          <w:vertAlign w:val="superscript"/>
        </w:rPr>
        <w:footnoteReference w:id="58"/>
      </w:r>
      <w:r w:rsidRPr="009D24D1">
        <w:rPr>
          <w:rFonts w:eastAsia="Arial" w:cs="Times New Roman"/>
          <w:b/>
          <w:highlight w:val="white"/>
          <w:vertAlign w:val="superscript"/>
        </w:rPr>
        <w:footnoteReference w:id="59"/>
      </w:r>
      <w:r w:rsidRPr="009D24D1">
        <w:rPr>
          <w:rFonts w:eastAsia="Arial" w:cs="Times New Roman"/>
          <w:b/>
          <w:highlight w:val="white"/>
          <w:vertAlign w:val="superscript"/>
        </w:rPr>
        <w:footnoteReference w:id="60"/>
      </w:r>
      <w:r w:rsidRPr="009D24D1">
        <w:rPr>
          <w:rFonts w:eastAsia="Arial" w:cs="Times New Roman"/>
          <w:b/>
          <w:highlight w:val="white"/>
        </w:rPr>
        <w:t xml:space="preserve"> </w:t>
      </w:r>
      <w:r w:rsidRPr="009D24D1">
        <w:rPr>
          <w:rFonts w:eastAsia="Arial" w:cs="Times New Roman"/>
        </w:rPr>
        <w:t>Da bi zagotovila, da Slovenija izpolni svoje zaveze kot članica DAC, je OECD Slovenijo pozvala, naj ponovno preuči in sprejme svoj akcijski načrt uradne razvojne pomoči.</w:t>
      </w:r>
    </w:p>
    <w:p w14:paraId="0000008A" w14:textId="13D8D175" w:rsidR="00525158" w:rsidRPr="009D24D1" w:rsidRDefault="004D4AEA">
      <w:pPr>
        <w:shd w:val="clear" w:color="auto" w:fill="FFFFFF"/>
        <w:spacing w:before="240" w:after="240"/>
        <w:jc w:val="both"/>
        <w:rPr>
          <w:rFonts w:eastAsia="Arial" w:cs="Times New Roman"/>
        </w:rPr>
      </w:pPr>
      <w:r w:rsidRPr="009D24D1">
        <w:rPr>
          <w:rFonts w:eastAsia="Arial" w:cs="Times New Roman"/>
        </w:rPr>
        <w:t>V letu 2024</w:t>
      </w:r>
      <w:r w:rsidR="007B1ED6">
        <w:rPr>
          <w:rStyle w:val="FootnoteReference"/>
          <w:rFonts w:eastAsia="Arial" w:cs="Times New Roman"/>
        </w:rPr>
        <w:footnoteReference w:id="61"/>
      </w:r>
      <w:r w:rsidRPr="009D24D1">
        <w:rPr>
          <w:rFonts w:eastAsia="Arial" w:cs="Times New Roman"/>
        </w:rPr>
        <w:t xml:space="preserve"> poteka četrta ocena slovenskega izvajanja MRS s strani OECD DAC, vendar poročilo še ni javno objavljeno. V Parizu </w:t>
      </w:r>
      <w:r w:rsidR="004825BC">
        <w:rPr>
          <w:rFonts w:eastAsia="Arial" w:cs="Times New Roman"/>
        </w:rPr>
        <w:t xml:space="preserve">pa </w:t>
      </w:r>
      <w:r w:rsidRPr="009D24D1">
        <w:rPr>
          <w:rFonts w:eastAsia="Arial" w:cs="Times New Roman"/>
        </w:rPr>
        <w:t xml:space="preserve">je 20.6.2024 potekalo zaključno zasedanje medsebojnega pregleda razvojnega sodelovanja in humanitarne pomoči Republike Slovenije. Ocenjevalci OECD DAC (iz Danske in Švice) so pohvalili ponovno vzpostavitev Direktorata </w:t>
      </w:r>
      <w:r w:rsidRPr="009D24D1">
        <w:rPr>
          <w:rFonts w:eastAsia="Arial" w:cs="Times New Roman"/>
        </w:rPr>
        <w:lastRenderedPageBreak/>
        <w:t xml:space="preserve">za razvojno sodelovanje in humanitarno pomoč (leta 2022) ter opredelitev razvojnega sodelovanja kot ene od prednostnih nalog slovenske zunanje politike, kar vidijo kot priložnost za nadaljnje povečanje obsega in vpliva slovenskega razvojnega sodelovanja. </w:t>
      </w:r>
      <w:r w:rsidRPr="009D24D1">
        <w:rPr>
          <w:rFonts w:eastAsia="Arial" w:cs="Times New Roman"/>
          <w:b/>
        </w:rPr>
        <w:t xml:space="preserve">Glavna priporočila so bila </w:t>
      </w:r>
      <w:r w:rsidR="00910D65">
        <w:rPr>
          <w:rFonts w:eastAsia="Arial" w:cs="Times New Roman"/>
          <w:b/>
        </w:rPr>
        <w:t>osredotočenost na manjše</w:t>
      </w:r>
      <w:r w:rsidRPr="009D24D1">
        <w:rPr>
          <w:rFonts w:eastAsia="Arial" w:cs="Times New Roman"/>
          <w:b/>
        </w:rPr>
        <w:t xml:space="preserve"> števil</w:t>
      </w:r>
      <w:r w:rsidR="00910D65">
        <w:rPr>
          <w:rFonts w:eastAsia="Arial" w:cs="Times New Roman"/>
          <w:b/>
        </w:rPr>
        <w:t>o</w:t>
      </w:r>
      <w:r w:rsidRPr="009D24D1">
        <w:rPr>
          <w:rFonts w:eastAsia="Arial" w:cs="Times New Roman"/>
          <w:b/>
        </w:rPr>
        <w:t xml:space="preserve"> partnerskih držav, v katerih deluje Slovenija in povečanje vrednosti</w:t>
      </w:r>
      <w:r w:rsidR="00910D65">
        <w:rPr>
          <w:rFonts w:eastAsia="Arial" w:cs="Times New Roman"/>
          <w:b/>
        </w:rPr>
        <w:t xml:space="preserve"> projketov na račun njihovega števila</w:t>
      </w:r>
      <w:r w:rsidRPr="009D24D1">
        <w:rPr>
          <w:rFonts w:eastAsia="Arial" w:cs="Times New Roman"/>
          <w:b/>
        </w:rPr>
        <w:t>.</w:t>
      </w:r>
      <w:r w:rsidRPr="009D24D1">
        <w:rPr>
          <w:rFonts w:eastAsia="Arial" w:cs="Times New Roman"/>
          <w:vertAlign w:val="superscript"/>
        </w:rPr>
        <w:footnoteReference w:id="62"/>
      </w:r>
      <w:r w:rsidRPr="009D24D1">
        <w:rPr>
          <w:rFonts w:eastAsia="Arial" w:cs="Times New Roman"/>
        </w:rPr>
        <w:t xml:space="preserve"> </w:t>
      </w:r>
    </w:p>
    <w:p w14:paraId="0000008B" w14:textId="67DFD925" w:rsidR="00525158" w:rsidRPr="009D24D1" w:rsidRDefault="004825BC">
      <w:pPr>
        <w:shd w:val="clear" w:color="auto" w:fill="FFFFFF"/>
        <w:spacing w:before="240" w:after="240"/>
        <w:jc w:val="both"/>
        <w:rPr>
          <w:rFonts w:eastAsia="Arial" w:cs="Times New Roman"/>
        </w:rPr>
      </w:pPr>
      <w:r>
        <w:rPr>
          <w:rFonts w:eastAsia="Arial" w:cs="Times New Roman"/>
        </w:rPr>
        <w:t xml:space="preserve">V širšem smislu pa </w:t>
      </w:r>
      <w:r w:rsidR="004D4AEA" w:rsidRPr="009D24D1">
        <w:rPr>
          <w:rFonts w:eastAsia="Arial" w:cs="Times New Roman"/>
        </w:rPr>
        <w:t xml:space="preserve">OECD DAC Sloveniji daje skupno </w:t>
      </w:r>
      <w:r w:rsidR="004D4AEA" w:rsidRPr="009D24D1">
        <w:rPr>
          <w:rFonts w:eastAsia="Arial" w:cs="Times New Roman"/>
          <w:b/>
          <w:bCs/>
        </w:rPr>
        <w:t>10 priporočil</w:t>
      </w:r>
      <w:r w:rsidR="004D4AEA" w:rsidRPr="009D24D1">
        <w:rPr>
          <w:rFonts w:eastAsia="Arial" w:cs="Times New Roman"/>
        </w:rPr>
        <w:t>: večja osredotočenost tako dvostranskega kot tudi večstranskega razvojnega sodelovanja na izbrana geografska območja in vsebinska področja; Slovenija naj spoštuje mednarodne zaveze in sprejme ter izvaja akcijski načrt za dosego 0,33 % BND za uradno razvojno pomoč do leta 2030; Slovenija naj še naprej krepi medresorsko koordinacijo (s strateško uporabo štiriletnih okvirnih programov), kadrovske kapacitete (predvsem na MZEZ) ter ozaveščanje o rezultatih razvojnega sodelovanja; zagotovi naj večletna financiranja in prehod na manjše število večjih projektov v prioritetnih državah; oceni naj obseg oprostitve šolnin in vpliv le-tega v partnerskih državah; izboljša kakovost razvojnega sodelovanja preko krepitve presečnih tem in evalvacijske kulture; nadgradi naj sodelovanje z nevladnimi organizacijami in zasebnim sektorjem.</w:t>
      </w:r>
      <w:r w:rsidR="004D4AEA" w:rsidRPr="009D24D1">
        <w:rPr>
          <w:rFonts w:eastAsia="Arial" w:cs="Times New Roman"/>
          <w:vertAlign w:val="superscript"/>
        </w:rPr>
        <w:footnoteReference w:id="63"/>
      </w:r>
    </w:p>
    <w:p w14:paraId="0000008C"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highlight w:val="yellow"/>
        </w:rPr>
        <w:t xml:space="preserve"> </w:t>
      </w:r>
    </w:p>
    <w:p w14:paraId="0000008D" w14:textId="77777777" w:rsidR="00525158" w:rsidRPr="009D24D1" w:rsidRDefault="004D4AEA" w:rsidP="006F430A">
      <w:pPr>
        <w:pStyle w:val="Heading3"/>
        <w:rPr>
          <w:rFonts w:cs="Times New Roman"/>
          <w:b/>
          <w:bCs/>
          <w:i/>
          <w:iCs/>
          <w:sz w:val="24"/>
          <w:szCs w:val="24"/>
        </w:rPr>
      </w:pPr>
      <w:bookmarkStart w:id="16" w:name="_heading=h.hrsx3cxc21k9" w:colFirst="0" w:colLast="0"/>
      <w:bookmarkStart w:id="17" w:name="_Toc205412936"/>
      <w:bookmarkEnd w:id="16"/>
      <w:r w:rsidRPr="009D24D1">
        <w:rPr>
          <w:rFonts w:cs="Times New Roman"/>
          <w:b/>
          <w:bCs/>
          <w:i/>
          <w:iCs/>
          <w:sz w:val="24"/>
          <w:szCs w:val="24"/>
        </w:rPr>
        <w:t>MZEZ</w:t>
      </w:r>
      <w:bookmarkEnd w:id="17"/>
    </w:p>
    <w:p w14:paraId="0000008E"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rPr>
        <w:t>Kot odziv na oceno OECD iz leta 2020, Slovenija v svojih dokumentih navaja</w:t>
      </w:r>
      <w:r w:rsidRPr="009D24D1">
        <w:rPr>
          <w:rFonts w:eastAsia="Arial" w:cs="Times New Roman"/>
          <w:vertAlign w:val="superscript"/>
        </w:rPr>
        <w:footnoteReference w:id="64"/>
      </w:r>
      <w:r w:rsidRPr="009D24D1">
        <w:rPr>
          <w:rFonts w:eastAsia="Arial" w:cs="Times New Roman"/>
        </w:rPr>
        <w:t xml:space="preserve">, da želi postaviti ustrezen sistem spremljanja SPR oz. SPTR, ki bo zasledoval spremljanje oblikovanja različnih politik na način, da se zagotovi sinergije oziroma prepreči negativne posledice. Prvi korak k temu je pričujoča analiza obstoječega stanja in priprava ustreznih izhodišč za postavitev takega sistema, kar izhaja tudi iz samoocene MZEZ: </w:t>
      </w:r>
    </w:p>
    <w:p w14:paraId="0000008F"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i/>
        </w:rPr>
        <w:t xml:space="preserve">“Slovenija je dobro uresničevala usklajenost razvojnih politik z drugimi nacionalnimi in zunanjepolitičnimi cilji, določen napredek mora doseči še pri bolj sistematičnemu zagotavljanju uresničevanja koncepta skladnosti politik za razvoj (PCD). Omenjeno je bilo tudi eno izmed priporočil prvega pregleda, pri čemer je Slovenija za njeno uresničevanje tudi vzpostavila nekaj dodatnih aktivnosti: imenovana je bila medresorska skupina kontaktnih točk za uresničevanje načela PCD z nalogo pregleda aktualnih politik in ozaveščanja, ki pa od covid-19 naprej ni zagotavljala rednega srečevanja. Prav tako je leta 2023 ministrstvo v sodelovanju z Agencijo za raziskovalno dejavnost RS podprlo raziskovalni projekt slovenskih strokovnjakov z namenom pregleda uresničevanja načela PCD ter priprave priporočil za prihodnje. Skladnost politik za razvoj sicer v veliki meri že zagotavlja način sprejemanja vladnih odločitev v Republiki Sloveniji, pri katerih imajo vsa ministrstva možnost podajanja </w:t>
      </w:r>
      <w:r w:rsidRPr="009D24D1">
        <w:rPr>
          <w:rFonts w:eastAsia="Arial" w:cs="Times New Roman"/>
          <w:i/>
        </w:rPr>
        <w:lastRenderedPageBreak/>
        <w:t>pripomb in tvornega sodelovanja, medtem ko ima pri sprejemanju zakonodaje pomembno vlogo obvezno javno posvetovanje</w:t>
      </w:r>
      <w:r w:rsidRPr="009D24D1">
        <w:rPr>
          <w:rFonts w:eastAsia="Arial" w:cs="Times New Roman"/>
          <w:i/>
          <w:highlight w:val="white"/>
        </w:rPr>
        <w:t xml:space="preserve">.” </w:t>
      </w:r>
      <w:r w:rsidRPr="009D24D1">
        <w:rPr>
          <w:rFonts w:eastAsia="Arial" w:cs="Times New Roman"/>
          <w:highlight w:val="white"/>
        </w:rPr>
        <w:t>(MZEZ, 2023, str. 10</w:t>
      </w:r>
      <w:r w:rsidRPr="009D24D1">
        <w:rPr>
          <w:rFonts w:eastAsia="Arial" w:cs="Times New Roman"/>
        </w:rPr>
        <w:t>)</w:t>
      </w:r>
    </w:p>
    <w:p w14:paraId="00000090" w14:textId="77777777" w:rsidR="00525158" w:rsidRPr="009D24D1" w:rsidRDefault="004D4AEA">
      <w:pPr>
        <w:shd w:val="clear" w:color="auto" w:fill="FFFFFF"/>
        <w:spacing w:before="240" w:after="240"/>
        <w:jc w:val="both"/>
        <w:rPr>
          <w:rFonts w:eastAsia="Arial" w:cs="Times New Roman"/>
        </w:rPr>
      </w:pPr>
      <w:r w:rsidRPr="009D24D1">
        <w:rPr>
          <w:rFonts w:eastAsia="Arial" w:cs="Times New Roman"/>
        </w:rPr>
        <w:t xml:space="preserve">Med načrti za prihodnje korake MZEZ navede tudi: </w:t>
      </w:r>
      <w:r w:rsidRPr="009D24D1">
        <w:rPr>
          <w:rFonts w:eastAsia="Arial" w:cs="Times New Roman"/>
          <w:i/>
        </w:rPr>
        <w:t>“zagotoviti boljše uresničevanje načela PCD in ozaveščanje, ki bi mu, tudi na podlagi rezultatov raziskovalnega projekta, sledilo delo na področju analize politik in sprejemanja odločitev skladno z razvojnimi cilji;”</w:t>
      </w:r>
      <w:r w:rsidRPr="009D24D1">
        <w:rPr>
          <w:rFonts w:eastAsia="Arial" w:cs="Times New Roman"/>
        </w:rPr>
        <w:t xml:space="preserve"> (samoocena, 2023, str. 11)</w:t>
      </w:r>
    </w:p>
    <w:p w14:paraId="00000091" w14:textId="77777777" w:rsidR="00525158" w:rsidRPr="009D24D1" w:rsidRDefault="004D4AEA">
      <w:pPr>
        <w:shd w:val="clear" w:color="auto" w:fill="FFFFFF"/>
        <w:spacing w:before="240" w:after="240"/>
        <w:jc w:val="both"/>
        <w:rPr>
          <w:rFonts w:eastAsia="Arial" w:cs="Times New Roman"/>
          <w:highlight w:val="white"/>
        </w:rPr>
      </w:pPr>
      <w:r w:rsidRPr="009D24D1">
        <w:rPr>
          <w:rFonts w:eastAsia="Arial" w:cs="Times New Roman"/>
          <w:highlight w:val="white"/>
        </w:rPr>
        <w:t>Odziv MZEZ na podana OECD DAC priporočila iz 2020:</w:t>
      </w:r>
    </w:p>
    <w:sdt>
      <w:sdtPr>
        <w:tag w:val="goog_rdk_1"/>
        <w:id w:val="801275239"/>
        <w:lock w:val="contentLocked"/>
      </w:sdtPr>
      <w:sdtEndPr/>
      <w:sdtContent>
        <w:tbl>
          <w:tblPr>
            <w:tblStyle w:val="a"/>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6"/>
            <w:gridCol w:w="1455"/>
            <w:gridCol w:w="2559"/>
            <w:gridCol w:w="3050"/>
          </w:tblGrid>
          <w:tr w:rsidR="00525158" w14:paraId="0BCA7305" w14:textId="77777777">
            <w:tc>
              <w:tcPr>
                <w:tcW w:w="1995" w:type="dxa"/>
                <w:tcMar>
                  <w:top w:w="100" w:type="dxa"/>
                  <w:left w:w="100" w:type="dxa"/>
                  <w:bottom w:w="100" w:type="dxa"/>
                  <w:right w:w="100" w:type="dxa"/>
                </w:tcMar>
              </w:tcPr>
              <w:p w14:paraId="00000092" w14:textId="77777777" w:rsidR="00525158" w:rsidRDefault="004D4AEA">
                <w:pPr>
                  <w:widowControl w:val="0"/>
                  <w:rPr>
                    <w:rFonts w:ascii="Arial" w:eastAsia="Arial" w:hAnsi="Arial" w:cs="Arial"/>
                    <w:highlight w:val="white"/>
                  </w:rPr>
                </w:pPr>
                <w:r>
                  <w:rPr>
                    <w:rFonts w:ascii="Arial" w:eastAsia="Arial" w:hAnsi="Arial" w:cs="Arial"/>
                    <w:highlight w:val="white"/>
                  </w:rPr>
                  <w:t>Priporočilo</w:t>
                </w:r>
              </w:p>
            </w:tc>
            <w:tc>
              <w:tcPr>
                <w:tcW w:w="1455" w:type="dxa"/>
                <w:tcMar>
                  <w:top w:w="100" w:type="dxa"/>
                  <w:left w:w="100" w:type="dxa"/>
                  <w:bottom w:w="100" w:type="dxa"/>
                  <w:right w:w="100" w:type="dxa"/>
                </w:tcMar>
              </w:tcPr>
              <w:p w14:paraId="00000093" w14:textId="77777777" w:rsidR="00525158" w:rsidRDefault="004D4AEA">
                <w:pPr>
                  <w:widowControl w:val="0"/>
                  <w:rPr>
                    <w:rFonts w:ascii="Arial" w:eastAsia="Arial" w:hAnsi="Arial" w:cs="Arial"/>
                    <w:highlight w:val="white"/>
                  </w:rPr>
                </w:pPr>
                <w:r>
                  <w:rPr>
                    <w:rFonts w:ascii="Arial" w:eastAsia="Arial" w:hAnsi="Arial" w:cs="Arial"/>
                    <w:highlight w:val="white"/>
                  </w:rPr>
                  <w:t>Uresničeno / delno / neuresničeno</w:t>
                </w:r>
              </w:p>
            </w:tc>
            <w:tc>
              <w:tcPr>
                <w:tcW w:w="2559" w:type="dxa"/>
                <w:tcMar>
                  <w:top w:w="100" w:type="dxa"/>
                  <w:left w:w="100" w:type="dxa"/>
                  <w:bottom w:w="100" w:type="dxa"/>
                  <w:right w:w="100" w:type="dxa"/>
                </w:tcMar>
              </w:tcPr>
              <w:p w14:paraId="00000094" w14:textId="77777777" w:rsidR="00525158" w:rsidRDefault="004D4AEA">
                <w:pPr>
                  <w:widowControl w:val="0"/>
                  <w:rPr>
                    <w:rFonts w:ascii="Arial" w:eastAsia="Arial" w:hAnsi="Arial" w:cs="Arial"/>
                    <w:highlight w:val="white"/>
                  </w:rPr>
                </w:pPr>
                <w:r>
                  <w:rPr>
                    <w:rFonts w:ascii="Arial" w:eastAsia="Arial" w:hAnsi="Arial" w:cs="Arial"/>
                    <w:highlight w:val="white"/>
                  </w:rPr>
                  <w:t>Aktivnosti za izvedbo</w:t>
                </w:r>
              </w:p>
            </w:tc>
            <w:tc>
              <w:tcPr>
                <w:tcW w:w="3050" w:type="dxa"/>
                <w:tcMar>
                  <w:top w:w="100" w:type="dxa"/>
                  <w:left w:w="100" w:type="dxa"/>
                  <w:bottom w:w="100" w:type="dxa"/>
                  <w:right w:w="100" w:type="dxa"/>
                </w:tcMar>
              </w:tcPr>
              <w:p w14:paraId="00000095" w14:textId="77777777" w:rsidR="00525158" w:rsidRDefault="004D4AEA">
                <w:pPr>
                  <w:widowControl w:val="0"/>
                  <w:rPr>
                    <w:rFonts w:ascii="Arial" w:eastAsia="Arial" w:hAnsi="Arial" w:cs="Arial"/>
                    <w:highlight w:val="white"/>
                  </w:rPr>
                </w:pPr>
                <w:r>
                  <w:rPr>
                    <w:rFonts w:ascii="Arial" w:eastAsia="Arial" w:hAnsi="Arial" w:cs="Arial"/>
                    <w:highlight w:val="white"/>
                  </w:rPr>
                  <w:t>Vpliv / uresničevanje</w:t>
                </w:r>
              </w:p>
            </w:tc>
          </w:tr>
          <w:tr w:rsidR="00525158" w14:paraId="70AB2DED" w14:textId="77777777">
            <w:tc>
              <w:tcPr>
                <w:tcW w:w="1995" w:type="dxa"/>
                <w:tcMar>
                  <w:top w:w="100" w:type="dxa"/>
                  <w:left w:w="100" w:type="dxa"/>
                  <w:bottom w:w="100" w:type="dxa"/>
                  <w:right w:w="100" w:type="dxa"/>
                </w:tcMar>
              </w:tcPr>
              <w:p w14:paraId="00000096"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1. Za soočanje z izzivi, s katerimi se srečujemo pri mednarodnem razvojnem sodelovanju, bi morala Slovenija: okrepiti znotraj vladno koordinacijo na področju skladnosti politik za razvoj, tako, da bi medresorskemu delovnemu telesu dodelila koordinacijsko in arbitražno vlogo.</w:t>
                </w:r>
              </w:p>
            </w:tc>
            <w:tc>
              <w:tcPr>
                <w:tcW w:w="1455" w:type="dxa"/>
                <w:tcMar>
                  <w:top w:w="100" w:type="dxa"/>
                  <w:left w:w="100" w:type="dxa"/>
                  <w:bottom w:w="100" w:type="dxa"/>
                  <w:right w:w="100" w:type="dxa"/>
                </w:tcMar>
              </w:tcPr>
              <w:p w14:paraId="00000097" w14:textId="77777777" w:rsidR="00525158" w:rsidRDefault="004D4AEA">
                <w:pPr>
                  <w:widowControl w:val="0"/>
                  <w:rPr>
                    <w:rFonts w:ascii="Arial" w:eastAsia="Arial" w:hAnsi="Arial" w:cs="Arial"/>
                    <w:highlight w:val="white"/>
                  </w:rPr>
                </w:pPr>
                <w:r>
                  <w:rPr>
                    <w:rFonts w:ascii="Arial" w:eastAsia="Arial" w:hAnsi="Arial" w:cs="Arial"/>
                    <w:highlight w:val="white"/>
                  </w:rPr>
                  <w:t>delno</w:t>
                </w:r>
              </w:p>
            </w:tc>
            <w:tc>
              <w:tcPr>
                <w:tcW w:w="2559" w:type="dxa"/>
                <w:tcMar>
                  <w:top w:w="100" w:type="dxa"/>
                  <w:left w:w="100" w:type="dxa"/>
                  <w:bottom w:w="100" w:type="dxa"/>
                  <w:right w:w="100" w:type="dxa"/>
                </w:tcMar>
              </w:tcPr>
              <w:p w14:paraId="00000098"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Strategija določa skladnost politik za razvoj kot eno ključnih načel mednarodnega razvojnega sodelovanja in humanitarne pomoči. Pri tem določa usmeritve za njeno uresničevanje, in sicer: imenovanje kontaktnih točk na resorjih v medresorsko skupino, pregled praks uresničevanja načela, ozaveščanje in druge ukrepe za krepitev uresničevanja načela.</w:t>
                </w:r>
              </w:p>
            </w:tc>
            <w:tc>
              <w:tcPr>
                <w:tcW w:w="3050" w:type="dxa"/>
                <w:tcMar>
                  <w:top w:w="100" w:type="dxa"/>
                  <w:left w:w="100" w:type="dxa"/>
                  <w:bottom w:w="100" w:type="dxa"/>
                  <w:right w:w="100" w:type="dxa"/>
                </w:tcMar>
              </w:tcPr>
              <w:p w14:paraId="00000099"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 xml:space="preserve">Ministrstvo je leta 2017 pozvalo k imenovanju kontaktnih točk na ministrstvih, z namenom pričetka dela na področju pregleda praks. Po začetnih srečanjih medresorske skupine je delo na področju pregleda uresničevanja PCD zaradi omejenih kadrovskih zmogljivosti delno zastalo. </w:t>
                </w:r>
              </w:p>
              <w:p w14:paraId="0000009A"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 xml:space="preserve">Z ustanovitvijo Stalne koordinacijske skupine ima slednja, skladno z zakonom, tudi nalogo, da spremlja skladnosti politik za razvoj; </w:t>
                </w:r>
              </w:p>
              <w:p w14:paraId="0000009B"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 xml:space="preserve">Ministrstvo v letih 2023 in 2024 sofinancira izdelavo pregleda uresničevanja PCD v okviru ciljno usmerjenega raziskovalnega projekta (CRP), ki ga podpira Javna agencija za raziskovalno dejavnost Republike Slovenije (ARRS). Ekipa zunanjih strokovnjakov, ki je z delom začela oktobra 2023 in ga bo nadaljevala tudi v 2024, bo oblikovala tudi sistemske rešitve in </w:t>
                </w:r>
                <w:r>
                  <w:rPr>
                    <w:rFonts w:ascii="Arial" w:eastAsia="Arial" w:hAnsi="Arial" w:cs="Arial"/>
                    <w:highlight w:val="white"/>
                  </w:rPr>
                  <w:lastRenderedPageBreak/>
                  <w:t>priporočila vladi v zvezi z zmanjševanjem negativnih učinkov oziroma nekoherentnosti javnih politik za razvoj.</w:t>
                </w:r>
              </w:p>
            </w:tc>
          </w:tr>
          <w:tr w:rsidR="00525158" w14:paraId="720DD641" w14:textId="77777777">
            <w:tc>
              <w:tcPr>
                <w:tcW w:w="1995" w:type="dxa"/>
                <w:tcMar>
                  <w:top w:w="100" w:type="dxa"/>
                  <w:left w:w="100" w:type="dxa"/>
                  <w:bottom w:w="100" w:type="dxa"/>
                  <w:right w:w="100" w:type="dxa"/>
                </w:tcMar>
              </w:tcPr>
              <w:p w14:paraId="0000009C"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lastRenderedPageBreak/>
                  <w:t>2. Spodbujati vsa ministrstva k analizi specifičnih priložnosti za doseganje skladnosti politik za razvoj in te analize predlagati v obravnavo medresorskemu delovnemu telesu v obravnavo na ravni celotne vlade.</w:t>
                </w:r>
              </w:p>
            </w:tc>
            <w:tc>
              <w:tcPr>
                <w:tcW w:w="1455" w:type="dxa"/>
                <w:tcMar>
                  <w:top w:w="100" w:type="dxa"/>
                  <w:left w:w="100" w:type="dxa"/>
                  <w:bottom w:w="100" w:type="dxa"/>
                  <w:right w:w="100" w:type="dxa"/>
                </w:tcMar>
              </w:tcPr>
              <w:p w14:paraId="0000009D" w14:textId="77777777" w:rsidR="00525158" w:rsidRDefault="004D4AEA">
                <w:pPr>
                  <w:widowControl w:val="0"/>
                  <w:rPr>
                    <w:rFonts w:ascii="Arial" w:eastAsia="Arial" w:hAnsi="Arial" w:cs="Arial"/>
                    <w:highlight w:val="white"/>
                  </w:rPr>
                </w:pPr>
                <w:r>
                  <w:rPr>
                    <w:rFonts w:ascii="Arial" w:eastAsia="Arial" w:hAnsi="Arial" w:cs="Arial"/>
                    <w:highlight w:val="white"/>
                  </w:rPr>
                  <w:t>Delno</w:t>
                </w:r>
              </w:p>
            </w:tc>
            <w:tc>
              <w:tcPr>
                <w:tcW w:w="2559" w:type="dxa"/>
                <w:tcMar>
                  <w:top w:w="100" w:type="dxa"/>
                  <w:left w:w="100" w:type="dxa"/>
                  <w:bottom w:w="100" w:type="dxa"/>
                  <w:right w:w="100" w:type="dxa"/>
                </w:tcMar>
              </w:tcPr>
              <w:p w14:paraId="0000009E"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Skladno z določili strategije naj bi medresorska skupina predstavnikov za PCD od leta 2019 naprej pripravljala analize posameznih področij ter opozarjala na neskladnosti različnih politik s področjem mednarodnega razvojnega sodelovanja in humanitarne pomoči. Kontaktne točke naj bi o ugotovitvah redno poročale Stalni koordinacijski skupini, nacionalni koordinator pa naj bi o ugotovitvah obvestil Strokovni svet.</w:t>
                </w:r>
              </w:p>
            </w:tc>
            <w:tc>
              <w:tcPr>
                <w:tcW w:w="3050" w:type="dxa"/>
                <w:tcMar>
                  <w:top w:w="100" w:type="dxa"/>
                  <w:left w:w="100" w:type="dxa"/>
                  <w:bottom w:w="100" w:type="dxa"/>
                  <w:right w:w="100" w:type="dxa"/>
                </w:tcMar>
              </w:tcPr>
              <w:p w14:paraId="0000009F" w14:textId="77777777" w:rsidR="00525158" w:rsidRDefault="004D4AEA">
                <w:pPr>
                  <w:shd w:val="clear" w:color="auto" w:fill="FFFFFF"/>
                  <w:rPr>
                    <w:rFonts w:ascii="Arial" w:eastAsia="Arial" w:hAnsi="Arial" w:cs="Arial"/>
                    <w:highlight w:val="white"/>
                  </w:rPr>
                </w:pPr>
                <w:r>
                  <w:rPr>
                    <w:rFonts w:ascii="Arial" w:eastAsia="Arial" w:hAnsi="Arial" w:cs="Arial"/>
                    <w:highlight w:val="white"/>
                  </w:rPr>
                  <w:t>Zaradi omejenih kadrovskih zmogljivosti tako pri nacionalnem koordinatorju kot na resorjih je delo medresorske skupine zastalo. Po pričetku dela analize uresničevanja načela PCD s strani zunanjih strokovnjakov v letu 2023 in 2024, je v načrtu redno obveščanje o rezultatih tako vodstva ministrstva, Stalne koordinacijske skupine in Strokovnega sveta.</w:t>
                </w:r>
              </w:p>
            </w:tc>
          </w:tr>
        </w:tbl>
      </w:sdtContent>
    </w:sdt>
    <w:p w14:paraId="000000A0"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highlight w:val="white"/>
        </w:rPr>
        <w:t xml:space="preserve">Vir: Medsebojni strokovni pregled politik in izvajanja mednarodnega razvojnega sodelovanja Republike Slovenije pri Odboru za razvojno pomoč Organizacije za ekonomsko sodelovanje in razvoj, Samoocena Republike Slovenije, 17. november 2023, str. 38-39. </w:t>
      </w:r>
      <w:r w:rsidRPr="00BE7730">
        <w:rPr>
          <w:rFonts w:eastAsia="Arial" w:cs="Times New Roman"/>
          <w:highlight w:val="yellow"/>
        </w:rPr>
        <w:t xml:space="preserve"> </w:t>
      </w:r>
    </w:p>
    <w:p w14:paraId="000000A1" w14:textId="77777777" w:rsidR="00525158" w:rsidRPr="00BE7730" w:rsidRDefault="00525158">
      <w:pPr>
        <w:pStyle w:val="Heading3"/>
        <w:shd w:val="clear" w:color="auto" w:fill="FFFFFF"/>
        <w:spacing w:before="240" w:after="240"/>
        <w:jc w:val="both"/>
        <w:rPr>
          <w:rFonts w:eastAsia="Arial" w:cs="Times New Roman"/>
          <w:i/>
          <w:color w:val="000000"/>
          <w:sz w:val="24"/>
          <w:szCs w:val="24"/>
        </w:rPr>
      </w:pPr>
      <w:bookmarkStart w:id="18" w:name="_heading=h.qvn7dsxdyaea" w:colFirst="0" w:colLast="0"/>
      <w:bookmarkEnd w:id="18"/>
    </w:p>
    <w:p w14:paraId="000000A2" w14:textId="773BF8F7" w:rsidR="00525158" w:rsidRPr="00BE7730" w:rsidRDefault="004D4AEA" w:rsidP="006F430A">
      <w:pPr>
        <w:pStyle w:val="Heading3"/>
        <w:rPr>
          <w:rFonts w:cs="Times New Roman"/>
          <w:b/>
          <w:bCs/>
          <w:i/>
          <w:iCs/>
          <w:sz w:val="24"/>
          <w:szCs w:val="24"/>
        </w:rPr>
      </w:pPr>
      <w:bookmarkStart w:id="19" w:name="_heading=h.85jn26op0q4n" w:colFirst="0" w:colLast="0"/>
      <w:bookmarkStart w:id="20" w:name="_Toc205412937"/>
      <w:bookmarkEnd w:id="19"/>
      <w:r w:rsidRPr="00BE7730">
        <w:rPr>
          <w:rFonts w:cs="Times New Roman"/>
          <w:b/>
          <w:bCs/>
          <w:i/>
          <w:iCs/>
          <w:sz w:val="24"/>
          <w:szCs w:val="24"/>
        </w:rPr>
        <w:t xml:space="preserve">OCENE NEKATERIH </w:t>
      </w:r>
      <w:r w:rsidR="006F430A" w:rsidRPr="00BE7730">
        <w:rPr>
          <w:rFonts w:cs="Times New Roman"/>
          <w:b/>
          <w:bCs/>
          <w:i/>
          <w:iCs/>
          <w:sz w:val="24"/>
          <w:szCs w:val="24"/>
        </w:rPr>
        <w:t xml:space="preserve">DRUGIH </w:t>
      </w:r>
      <w:r w:rsidRPr="00BE7730">
        <w:rPr>
          <w:rFonts w:cs="Times New Roman"/>
          <w:b/>
          <w:bCs/>
          <w:i/>
          <w:iCs/>
          <w:sz w:val="24"/>
          <w:szCs w:val="24"/>
        </w:rPr>
        <w:t>STROKOVNJAKOV_INJ IN NVO</w:t>
      </w:r>
      <w:bookmarkEnd w:id="20"/>
    </w:p>
    <w:p w14:paraId="000000A3" w14:textId="77777777" w:rsidR="00525158" w:rsidRPr="00BE7730" w:rsidRDefault="004D4AEA">
      <w:pPr>
        <w:shd w:val="clear" w:color="auto" w:fill="FFFFFF"/>
        <w:spacing w:before="240" w:after="240"/>
        <w:jc w:val="both"/>
        <w:rPr>
          <w:rFonts w:eastAsia="Arial" w:cs="Times New Roman"/>
          <w:bCs/>
          <w:highlight w:val="white"/>
        </w:rPr>
      </w:pPr>
      <w:r w:rsidRPr="00BE7730">
        <w:rPr>
          <w:rFonts w:eastAsia="Arial" w:cs="Times New Roman"/>
        </w:rPr>
        <w:t xml:space="preserve">Tudi po mnenju nekaterih nacionalnih strokovnjakov_inj bi morala Slovenija povečati razpoložljiva sredstva za MRS in vzpostaviti bolj predvidljivo in stabilno financiranje; bolj intenzivno ozaveščati o vlogi MRS, saj je sam koncept MRS in odgovornosti Slovenije pri tem premalo poznan tako odločevalcem_kam kot tudi javnosti; pridobiti večjo podporo in razumevanje tako vlade kot tudi parlamenta; ter </w:t>
      </w:r>
      <w:r w:rsidRPr="00BE7730">
        <w:rPr>
          <w:rFonts w:eastAsia="Arial" w:cs="Times New Roman"/>
          <w:bCs/>
        </w:rPr>
        <w:t>več pozornosti nameniti načelu SPR, bolj sistematično spremljati SPR in oblikovati ustrezen model za to.</w:t>
      </w:r>
      <w:r w:rsidRPr="00BE7730">
        <w:rPr>
          <w:rFonts w:eastAsia="Arial" w:cs="Times New Roman"/>
          <w:bCs/>
          <w:vertAlign w:val="superscript"/>
        </w:rPr>
        <w:footnoteReference w:id="65"/>
      </w:r>
    </w:p>
    <w:p w14:paraId="000000A4"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highlight w:val="white"/>
        </w:rPr>
        <w:lastRenderedPageBreak/>
        <w:t>Podobno kot OECD so pred desetletjem ugotovili tudi avtorji Študije o usklajenosti politik za razvoj (Worldwise Europe 2014), ki so analizirali osem držav članic EU, tudi Slovenijo</w:t>
      </w:r>
      <w:r w:rsidRPr="00BE7730">
        <w:rPr>
          <w:rFonts w:eastAsia="Arial" w:cs="Times New Roman"/>
          <w:highlight w:val="white"/>
          <w:vertAlign w:val="superscript"/>
        </w:rPr>
        <w:footnoteReference w:id="66"/>
      </w:r>
      <w:r w:rsidRPr="00BE7730">
        <w:rPr>
          <w:rFonts w:eastAsia="Arial" w:cs="Times New Roman"/>
          <w:highlight w:val="white"/>
        </w:rPr>
        <w:t>: “</w:t>
      </w:r>
      <w:r w:rsidRPr="00BE7730">
        <w:rPr>
          <w:rFonts w:eastAsia="Arial" w:cs="Times New Roman"/>
          <w:i/>
          <w:highlight w:val="white"/>
        </w:rPr>
        <w:t>Raven razumevanja in pomembnosti usklajenosti politik za razvoj se močno razlikuje glede na organ odločanja. Direktorat za mednarodno razvojno sodelovanje in humanitarno pomoč ministrstva za zunanje zadeve je relativno dobro seznanjen s problematiko in je v preteklosti že poskušal opozoriti nanjo na medvladni ravni. Na žalost razvojno sodelovanje ni med prednostnimi nalogami organov odločanja, zato je temu namenjene malo pozornosti in/ali resorna ministrstva pomembnosti tega koncepta ne razumejo. Posledično se Slovenija pogosto zavzema za usklajenost politik za razvoj na mednarodnih forumih, vendar teh stališč ne udejanja na domačih tleh</w:t>
      </w:r>
      <w:r w:rsidRPr="00BE7730">
        <w:rPr>
          <w:rFonts w:eastAsia="Arial" w:cs="Times New Roman"/>
          <w:highlight w:val="white"/>
        </w:rPr>
        <w:t>” (WWE, 2014, str. 29).</w:t>
      </w:r>
    </w:p>
    <w:p w14:paraId="000000A5"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highlight w:val="white"/>
        </w:rPr>
        <w:t xml:space="preserve">Kratko poglavje o PCD v kontekstu migracij in razvoja vključuje tudi poročilo Mirovnega inštituta </w:t>
      </w:r>
      <w:r w:rsidRPr="00BE7730">
        <w:rPr>
          <w:rFonts w:eastAsia="Arial" w:cs="Times New Roman"/>
          <w:i/>
          <w:highlight w:val="white"/>
        </w:rPr>
        <w:t>CoMiDe - Initiative for Migration and Development</w:t>
      </w:r>
      <w:r w:rsidRPr="00BE7730">
        <w:rPr>
          <w:rFonts w:eastAsia="Arial" w:cs="Times New Roman"/>
          <w:highlight w:val="white"/>
        </w:rPr>
        <w:t xml:space="preserve"> iz leta 2012</w:t>
      </w:r>
      <w:r w:rsidRPr="00BE7730">
        <w:rPr>
          <w:rFonts w:eastAsia="Arial" w:cs="Times New Roman"/>
          <w:highlight w:val="white"/>
          <w:vertAlign w:val="superscript"/>
        </w:rPr>
        <w:footnoteReference w:id="67"/>
      </w:r>
      <w:r w:rsidRPr="00BE7730">
        <w:rPr>
          <w:rFonts w:eastAsia="Arial" w:cs="Times New Roman"/>
          <w:highlight w:val="white"/>
        </w:rPr>
        <w:t>, v katerem avtorji ugotavljajo, da sta ti dve področji, kljub skupnim točkam in normativnim zavezam k SPR, v Sloveniji obravnavani predvsem ločeno: “</w:t>
      </w:r>
      <w:r w:rsidRPr="00BE7730">
        <w:rPr>
          <w:rFonts w:eastAsia="Arial" w:cs="Times New Roman"/>
          <w:i/>
          <w:highlight w:val="white"/>
        </w:rPr>
        <w:t>Medtem ko tako slovenska migracijska politika kot politika razvojnega sodelovanja v veliki meri ciljata na isto regijo, namreč na ozemlja držav naslednic nekdanje Jugoslavije, so povezave med tema politikama večinoma spregledane, o njih praktično nikoli ne razpravljajo in posledično ne zajamejo splošne javnosti. Koncept PCD</w:t>
      </w:r>
      <w:r w:rsidRPr="00BE7730">
        <w:rPr>
          <w:rFonts w:eastAsia="Arial" w:cs="Times New Roman"/>
          <w:i/>
          <w:highlight w:val="white"/>
          <w:vertAlign w:val="superscript"/>
        </w:rPr>
        <w:footnoteReference w:id="68"/>
      </w:r>
      <w:r w:rsidRPr="00BE7730">
        <w:rPr>
          <w:rFonts w:eastAsia="Arial" w:cs="Times New Roman"/>
          <w:i/>
          <w:highlight w:val="white"/>
        </w:rPr>
        <w:t xml:space="preserve"> se na primer nikoli ne izpostavi v javnosti, zadevna področja pa se na splošno obravnavajo kot ločena vprašanja</w:t>
      </w:r>
      <w:r w:rsidRPr="00BE7730">
        <w:rPr>
          <w:rFonts w:eastAsia="Arial" w:cs="Times New Roman"/>
          <w:highlight w:val="white"/>
        </w:rPr>
        <w:t xml:space="preserve">.” (CoMiDe 2012, 19). </w:t>
      </w:r>
    </w:p>
    <w:p w14:paraId="000000A6"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highlight w:val="white"/>
        </w:rPr>
        <w:t>Platforma SLOGA, ki združuje številne NVO, ki delujejo na področju MRS in humanitarne pomoči, je vzpostavila spletno stran Skladnost politik za razvoj</w:t>
      </w:r>
      <w:r w:rsidRPr="00BE7730">
        <w:rPr>
          <w:rFonts w:eastAsia="Arial" w:cs="Times New Roman"/>
          <w:highlight w:val="white"/>
          <w:vertAlign w:val="superscript"/>
        </w:rPr>
        <w:footnoteReference w:id="69"/>
      </w:r>
      <w:r w:rsidRPr="00BE7730">
        <w:rPr>
          <w:rFonts w:eastAsia="Arial" w:cs="Times New Roman"/>
          <w:highlight w:val="white"/>
        </w:rPr>
        <w:t xml:space="preserve">, kjer so navedene definicije, mednarodni in nacionalni okvir, relevantni dokumenti in akterji. Na kratko opiše tudi nekatera izmed petih prioritetnih področij (trgovina, podnebne spremembe, varnost, migracije), vendar pa spletna stran ne ponudi kakšne globlje analize z vidika uresničevanja načela SPR. Spletna stran od leta 2019 ni bila posodobljena. </w:t>
      </w:r>
    </w:p>
    <w:p w14:paraId="000000A7" w14:textId="77777777" w:rsidR="00525158" w:rsidRPr="00BE7730" w:rsidRDefault="00525158">
      <w:pPr>
        <w:shd w:val="clear" w:color="auto" w:fill="FFFFFF"/>
        <w:spacing w:before="240" w:after="240"/>
        <w:jc w:val="both"/>
        <w:rPr>
          <w:rFonts w:eastAsia="Arial" w:cs="Times New Roman"/>
          <w:highlight w:val="yellow"/>
        </w:rPr>
      </w:pPr>
    </w:p>
    <w:p w14:paraId="000000A8" w14:textId="77777777" w:rsidR="00525158" w:rsidRPr="00BE7730" w:rsidRDefault="004D4AEA" w:rsidP="006F430A">
      <w:pPr>
        <w:pStyle w:val="Heading2"/>
        <w:rPr>
          <w:rFonts w:ascii="Times New Roman" w:hAnsi="Times New Roman" w:cs="Times New Roman"/>
          <w:b/>
          <w:bCs/>
          <w:sz w:val="24"/>
          <w:szCs w:val="24"/>
        </w:rPr>
      </w:pPr>
      <w:bookmarkStart w:id="21" w:name="_heading=h.7qnibfkf51ug" w:colFirst="0" w:colLast="0"/>
      <w:bookmarkStart w:id="22" w:name="_Toc205412938"/>
      <w:bookmarkEnd w:id="21"/>
      <w:r w:rsidRPr="00BE7730">
        <w:rPr>
          <w:rFonts w:ascii="Times New Roman" w:hAnsi="Times New Roman" w:cs="Times New Roman"/>
          <w:b/>
          <w:bCs/>
          <w:sz w:val="24"/>
          <w:szCs w:val="24"/>
        </w:rPr>
        <w:t>3.3 Premik od skladnosti politik za razvoj k skladnosti politik za trajnostni razvoj</w:t>
      </w:r>
      <w:bookmarkEnd w:id="22"/>
    </w:p>
    <w:p w14:paraId="000000A9" w14:textId="7471E399" w:rsidR="00525158" w:rsidRPr="00BE7730" w:rsidRDefault="004D4AEA" w:rsidP="006F430A">
      <w:pPr>
        <w:pStyle w:val="Heading3"/>
        <w:rPr>
          <w:rFonts w:cs="Times New Roman"/>
          <w:b/>
          <w:bCs/>
          <w:i/>
          <w:iCs/>
          <w:sz w:val="24"/>
          <w:szCs w:val="24"/>
        </w:rPr>
      </w:pPr>
      <w:bookmarkStart w:id="23" w:name="_heading=h.gtnd0vgokne1" w:colFirst="0" w:colLast="0"/>
      <w:bookmarkStart w:id="24" w:name="_Toc205412939"/>
      <w:bookmarkEnd w:id="23"/>
      <w:r w:rsidRPr="00BE7730">
        <w:rPr>
          <w:rFonts w:cs="Times New Roman"/>
          <w:b/>
          <w:bCs/>
          <w:i/>
          <w:iCs/>
          <w:sz w:val="24"/>
          <w:szCs w:val="24"/>
        </w:rPr>
        <w:t>S</w:t>
      </w:r>
      <w:r w:rsidR="00D26451" w:rsidRPr="00BE7730">
        <w:rPr>
          <w:rFonts w:cs="Times New Roman"/>
          <w:b/>
          <w:bCs/>
          <w:i/>
          <w:iCs/>
          <w:sz w:val="24"/>
          <w:szCs w:val="24"/>
        </w:rPr>
        <w:t xml:space="preserve">trategija razvoja </w:t>
      </w:r>
      <w:r w:rsidRPr="00BE7730">
        <w:rPr>
          <w:rFonts w:cs="Times New Roman"/>
          <w:b/>
          <w:bCs/>
          <w:i/>
          <w:iCs/>
          <w:sz w:val="24"/>
          <w:szCs w:val="24"/>
        </w:rPr>
        <w:t>S</w:t>
      </w:r>
      <w:r w:rsidR="00D26451" w:rsidRPr="00BE7730">
        <w:rPr>
          <w:rFonts w:cs="Times New Roman"/>
          <w:b/>
          <w:bCs/>
          <w:i/>
          <w:iCs/>
          <w:sz w:val="24"/>
          <w:szCs w:val="24"/>
        </w:rPr>
        <w:t>lovenije do leta</w:t>
      </w:r>
      <w:r w:rsidRPr="00BE7730">
        <w:rPr>
          <w:rFonts w:cs="Times New Roman"/>
          <w:b/>
          <w:bCs/>
          <w:i/>
          <w:iCs/>
          <w:sz w:val="24"/>
          <w:szCs w:val="24"/>
        </w:rPr>
        <w:t xml:space="preserve"> 2030</w:t>
      </w:r>
      <w:bookmarkEnd w:id="24"/>
    </w:p>
    <w:p w14:paraId="000000AA" w14:textId="77777777" w:rsidR="00525158" w:rsidRPr="00BE7730" w:rsidRDefault="004D4AEA">
      <w:pPr>
        <w:shd w:val="clear" w:color="auto" w:fill="FFFFFF"/>
        <w:spacing w:before="240"/>
        <w:jc w:val="both"/>
        <w:rPr>
          <w:rFonts w:eastAsia="Arial" w:cs="Times New Roman"/>
          <w:highlight w:val="white"/>
        </w:rPr>
      </w:pPr>
      <w:r w:rsidRPr="00BE7730">
        <w:rPr>
          <w:rFonts w:eastAsia="Arial" w:cs="Times New Roman"/>
        </w:rPr>
        <w:t xml:space="preserve">Agenda 2030 in nacionalna </w:t>
      </w:r>
      <w:r w:rsidRPr="00BE7730">
        <w:rPr>
          <w:rFonts w:eastAsia="Arial" w:cs="Times New Roman"/>
          <w:b/>
        </w:rPr>
        <w:t>Strategija razvoja Slovenije do leta 2030 (Strategija razvoja)</w:t>
      </w:r>
      <w:r w:rsidRPr="00BE7730">
        <w:rPr>
          <w:rFonts w:eastAsia="Arial" w:cs="Times New Roman"/>
          <w:b/>
          <w:highlight w:val="white"/>
          <w:vertAlign w:val="superscript"/>
        </w:rPr>
        <w:footnoteReference w:id="70"/>
      </w:r>
      <w:r w:rsidRPr="00BE7730">
        <w:rPr>
          <w:rFonts w:eastAsia="Arial" w:cs="Times New Roman"/>
        </w:rPr>
        <w:t xml:space="preserve"> sta dokumenta strateško-razvojnega načrtovanja na najvišji ravni, ki vsebujeta usmeritve in dolgoročne cilje razvoja Republike Slovenije. Razlikujeta se v tem, da je Strategija razvoja nacionalni dokument, ki ga je sprejela vlada, Agenda 2030 pa je nadnacionalni dokument, ki </w:t>
      </w:r>
      <w:r w:rsidRPr="00BE7730">
        <w:rPr>
          <w:rFonts w:eastAsia="Arial" w:cs="Times New Roman"/>
        </w:rPr>
        <w:lastRenderedPageBreak/>
        <w:t>spada med mednarodne politične zaveze Republike Slovenije, sprejete na Skupščini OZN, ki na načelni ravni zavezuje k njenemu uresničevanju vse države članice OZN.</w:t>
      </w:r>
      <w:r w:rsidRPr="00BE7730">
        <w:rPr>
          <w:rFonts w:eastAsia="Arial" w:cs="Times New Roman"/>
          <w:vertAlign w:val="superscript"/>
        </w:rPr>
        <w:footnoteReference w:id="71"/>
      </w:r>
      <w:r w:rsidRPr="00BE7730">
        <w:rPr>
          <w:rFonts w:eastAsia="Arial" w:cs="Times New Roman"/>
        </w:rPr>
        <w:t xml:space="preserve"> </w:t>
      </w:r>
    </w:p>
    <w:p w14:paraId="000000AB"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highlight w:val="white"/>
        </w:rPr>
        <w:t>Osrednji cilj Strategije razvoja je doseči kakovostno življenje za vse. Strateške usmeritve države za doseganje kakovostnega življenja so: vključujoča, zdrava, varna in odgovorna družba; učenje za in skozi vse življenje; visoko produktivno gospodarstvo, ki ustvarja dodano vrednost za vse; ohranjeno zdravo naravno okolje; visoka stopnja sodelovanja, usposobljenosti in učinkovitosti upravljanja. (str. 18)</w:t>
      </w:r>
    </w:p>
    <w:p w14:paraId="000000AC"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highlight w:val="white"/>
        </w:rPr>
        <w:t>Strategija razvoja, ki “pomeni nov krovni razvojni okvir, ki ga določajo Vizija Slovenije,</w:t>
      </w:r>
      <w:r w:rsidRPr="00BE7730">
        <w:rPr>
          <w:rFonts w:eastAsia="Arial" w:cs="Times New Roman"/>
          <w:highlight w:val="white"/>
          <w:vertAlign w:val="superscript"/>
        </w:rPr>
        <w:footnoteReference w:id="72"/>
      </w:r>
      <w:r w:rsidRPr="00BE7730">
        <w:rPr>
          <w:rFonts w:eastAsia="Arial" w:cs="Times New Roman"/>
          <w:highlight w:val="white"/>
        </w:rPr>
        <w:t xml:space="preserve"> pregled trenutnega stanja, pa tudi globalni trendi in izzivi”, predstavlja pomemben temelj tudi za področje STPR. Načelo SPTR dodatno razširja področje skladnosti, saj poleg MRS vključuje tudi celovito uresničevanje skladnosti znotraj države v povezavi z uresničevanjem ciljev Agende 2030. Izvajanje tega načela predpostavlja torej celovito koordinacijo pri oblikovanju, izvajanju in spremljanju politik na vseh področjih, povezanih s trajnostnim razvojem. </w:t>
      </w:r>
    </w:p>
    <w:p w14:paraId="000000AD" w14:textId="77777777" w:rsidR="00525158" w:rsidRPr="00BE7730" w:rsidRDefault="004D4AEA">
      <w:pPr>
        <w:shd w:val="clear" w:color="auto" w:fill="FFFFFF"/>
        <w:spacing w:before="280" w:after="200"/>
        <w:jc w:val="both"/>
        <w:rPr>
          <w:rFonts w:eastAsia="Arial" w:cs="Times New Roman"/>
        </w:rPr>
      </w:pPr>
      <w:r w:rsidRPr="00BE7730">
        <w:rPr>
          <w:rFonts w:eastAsia="Arial" w:cs="Times New Roman"/>
        </w:rPr>
        <w:t xml:space="preserve">Kot glavni referenčni nacionalni dokument za SPTR </w:t>
      </w:r>
      <w:r w:rsidRPr="00BE7730">
        <w:rPr>
          <w:rFonts w:eastAsia="Arial" w:cs="Times New Roman"/>
          <w:b/>
        </w:rPr>
        <w:t>Strategija razvoja določa 12 razvojnih ciljev Slovenije</w:t>
      </w:r>
      <w:r w:rsidRPr="00BE7730">
        <w:rPr>
          <w:rFonts w:eastAsia="Arial" w:cs="Times New Roman"/>
        </w:rPr>
        <w:t>, ki se povezujejo tudi s CTR:</w:t>
      </w:r>
    </w:p>
    <w:p w14:paraId="000000AE"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1. Zdravo in aktivno življenje (CTR 3)</w:t>
      </w:r>
    </w:p>
    <w:p w14:paraId="000000AF"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2. Znanje in spretnosti za kakovostno življenje in delo (CTR 4)</w:t>
      </w:r>
    </w:p>
    <w:p w14:paraId="000000B0"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3. Dostojno življenje za vse (CTR 1, CTR 10)</w:t>
      </w:r>
    </w:p>
    <w:p w14:paraId="000000B1"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4. Kultura in jezik kot temeljna dejavnika nacionalne identitete</w:t>
      </w:r>
    </w:p>
    <w:p w14:paraId="000000B2"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5. Gospodarska stabilnost (CTR 8)</w:t>
      </w:r>
    </w:p>
    <w:p w14:paraId="000000B3"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6. Konkurenčen in družbeno odgovoren podjetniški in raziskovalni sektor (CTR 9)</w:t>
      </w:r>
    </w:p>
    <w:p w14:paraId="000000B4"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7. Vključujoč trg dela in kakovostna delovna mesta (CTR 8)</w:t>
      </w:r>
    </w:p>
    <w:p w14:paraId="000000B5"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8. Nizkoogljično krožno gospodarstvo (CTR 7, 12, 13)</w:t>
      </w:r>
    </w:p>
    <w:p w14:paraId="000000B6"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9. Trajnostno upravljanje naravnih virov (CTR 2, 6, 13, 14, 15)</w:t>
      </w:r>
    </w:p>
    <w:p w14:paraId="000000B7"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10. Zaupanja vreden pravni sistem (CTR 16)</w:t>
      </w:r>
    </w:p>
    <w:p w14:paraId="000000B8"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11. Varna in globalno odgovorna Slovenija (CTR 16, 17)</w:t>
      </w:r>
    </w:p>
    <w:p w14:paraId="000000B9" w14:textId="77777777" w:rsidR="00525158" w:rsidRPr="00BE7730" w:rsidRDefault="004D4AEA" w:rsidP="004873D8">
      <w:pPr>
        <w:shd w:val="clear" w:color="auto" w:fill="FFFFFF"/>
        <w:spacing w:line="276" w:lineRule="auto"/>
        <w:jc w:val="both"/>
        <w:rPr>
          <w:rFonts w:eastAsia="Arial" w:cs="Times New Roman"/>
        </w:rPr>
      </w:pPr>
      <w:r w:rsidRPr="00BE7730">
        <w:rPr>
          <w:rFonts w:eastAsia="Arial" w:cs="Times New Roman"/>
        </w:rPr>
        <w:t>12. Učinkovito upravljanje in kakovostne javne storitve (CTR 16)</w:t>
      </w:r>
    </w:p>
    <w:p w14:paraId="000000BA" w14:textId="77777777" w:rsidR="00525158" w:rsidRPr="00BE7730" w:rsidRDefault="00525158">
      <w:pPr>
        <w:shd w:val="clear" w:color="auto" w:fill="FFFFFF"/>
        <w:jc w:val="both"/>
        <w:rPr>
          <w:rFonts w:eastAsia="Arial" w:cs="Times New Roman"/>
        </w:rPr>
      </w:pPr>
    </w:p>
    <w:p w14:paraId="000000BB" w14:textId="77777777" w:rsidR="00525158" w:rsidRDefault="004D4AEA">
      <w:pPr>
        <w:shd w:val="clear" w:color="auto" w:fill="FFFFFF"/>
        <w:spacing w:before="280"/>
        <w:ind w:left="-720"/>
        <w:jc w:val="both"/>
        <w:rPr>
          <w:rFonts w:ascii="Arial" w:eastAsia="Arial" w:hAnsi="Arial" w:cs="Arial"/>
          <w:b/>
          <w:highlight w:val="yellow"/>
        </w:rPr>
      </w:pPr>
      <w:r>
        <w:rPr>
          <w:rFonts w:ascii="Arial" w:eastAsia="Arial" w:hAnsi="Arial" w:cs="Arial"/>
          <w:b/>
          <w:noProof/>
          <w:highlight w:val="yellow"/>
        </w:rPr>
        <w:lastRenderedPageBreak/>
        <w:drawing>
          <wp:inline distT="114300" distB="114300" distL="114300" distR="114300" wp14:anchorId="19EE4E3F" wp14:editId="663C7B42">
            <wp:extent cx="6714808" cy="380047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714808" cy="3800475"/>
                    </a:xfrm>
                    <a:prstGeom prst="rect">
                      <a:avLst/>
                    </a:prstGeom>
                    <a:ln/>
                  </pic:spPr>
                </pic:pic>
              </a:graphicData>
            </a:graphic>
          </wp:inline>
        </w:drawing>
      </w:r>
    </w:p>
    <w:p w14:paraId="000000BC" w14:textId="77777777" w:rsidR="00525158" w:rsidRPr="00BE7730" w:rsidRDefault="004D4AEA">
      <w:pPr>
        <w:shd w:val="clear" w:color="auto" w:fill="FFFFFF"/>
        <w:spacing w:before="280"/>
        <w:jc w:val="both"/>
        <w:rPr>
          <w:rFonts w:eastAsia="Arial" w:cs="Times New Roman"/>
        </w:rPr>
      </w:pPr>
      <w:r w:rsidRPr="00BE7730">
        <w:rPr>
          <w:rFonts w:eastAsia="Arial" w:cs="Times New Roman"/>
        </w:rPr>
        <w:t xml:space="preserve">Vir: Strategija razvoja Slovenije 2030 </w:t>
      </w:r>
    </w:p>
    <w:p w14:paraId="000000BD" w14:textId="77777777" w:rsidR="00525158" w:rsidRPr="00BE7730" w:rsidRDefault="004D4AEA">
      <w:pPr>
        <w:shd w:val="clear" w:color="auto" w:fill="FFFFFF"/>
        <w:spacing w:before="280"/>
        <w:jc w:val="both"/>
        <w:rPr>
          <w:rFonts w:eastAsia="Arial" w:cs="Times New Roman"/>
        </w:rPr>
      </w:pPr>
      <w:r w:rsidRPr="00BE7730">
        <w:rPr>
          <w:rFonts w:eastAsia="Arial" w:cs="Times New Roman"/>
        </w:rPr>
        <w:t xml:space="preserve"> </w:t>
      </w:r>
    </w:p>
    <w:p w14:paraId="000000BE" w14:textId="77777777" w:rsidR="00525158" w:rsidRPr="00BE7730" w:rsidRDefault="004D4AEA" w:rsidP="006F430A">
      <w:pPr>
        <w:pStyle w:val="Heading4"/>
        <w:rPr>
          <w:rFonts w:eastAsia="Arial" w:cs="Times New Roman"/>
          <w:highlight w:val="white"/>
        </w:rPr>
      </w:pPr>
      <w:bookmarkStart w:id="25" w:name="_Toc205412940"/>
      <w:r w:rsidRPr="00BE7730">
        <w:rPr>
          <w:rFonts w:eastAsia="Arial" w:cs="Times New Roman"/>
          <w:highlight w:val="white"/>
        </w:rPr>
        <w:t>Izvajanje in spremljanje Strategije razvoja</w:t>
      </w:r>
      <w:bookmarkEnd w:id="25"/>
    </w:p>
    <w:p w14:paraId="000000BF" w14:textId="77777777"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 xml:space="preserve">Skladnost razvojnih politik je v Strategiji razvoja posebej izpostavljena in vsaj na deklarativni ravni se zdi, da so avtorji Strategije razvoja razumeli pomen in vlogo skladnosti politik (tako na nacionalni ravni kot tudi širše): </w:t>
      </w:r>
    </w:p>
    <w:p w14:paraId="000000C0" w14:textId="77777777" w:rsidR="00525158" w:rsidRPr="00BE7730" w:rsidRDefault="004D4AEA">
      <w:pPr>
        <w:shd w:val="clear" w:color="auto" w:fill="FFFFFF"/>
        <w:spacing w:before="280"/>
        <w:jc w:val="both"/>
        <w:rPr>
          <w:rFonts w:eastAsia="Arial" w:cs="Times New Roman"/>
          <w:i/>
          <w:highlight w:val="white"/>
        </w:rPr>
      </w:pPr>
      <w:r w:rsidRPr="00BE7730">
        <w:rPr>
          <w:rFonts w:eastAsia="Arial" w:cs="Times New Roman"/>
          <w:i/>
          <w:highlight w:val="white"/>
        </w:rPr>
        <w:t xml:space="preserve">“Nezadostno izvajanje strateških dokumentov kaže, da so potrebne spremembe vodenja in usklajevanja notranjih politik ter spremljanja izvajanja in doseganja zastavljenih ciljev. Potrebni sta celovitost politik na nacionalni ravni ter usklajena vzpostavitev finančnih in vsebinskih okvirov. </w:t>
      </w:r>
      <w:r w:rsidRPr="00BE7730">
        <w:rPr>
          <w:rFonts w:eastAsia="Arial" w:cs="Times New Roman"/>
          <w:bCs/>
          <w:i/>
          <w:highlight w:val="white"/>
        </w:rPr>
        <w:t>Za večjo skladnost razvojnih politik bo treba v prihodnje vzpostaviti boljše mehanizme horizontalnega in večnivojskega sodelovanja, povezovanja vsebin, razumevanja presečnih tematik ter centralnega načrtovanja, izvajanja in spremljanja teh politik. Prav tako je pomembno usklajevanje domačih in mednarodnih razvojnih ciljev.”</w:t>
      </w:r>
      <w:r w:rsidRPr="00BE7730">
        <w:rPr>
          <w:rFonts w:eastAsia="Arial" w:cs="Times New Roman"/>
          <w:i/>
          <w:highlight w:val="white"/>
        </w:rPr>
        <w:t xml:space="preserve"> (str. 49)</w:t>
      </w:r>
    </w:p>
    <w:p w14:paraId="000000C1" w14:textId="77777777" w:rsidR="00525158" w:rsidRPr="00BE7730" w:rsidRDefault="004D4AEA">
      <w:pPr>
        <w:shd w:val="clear" w:color="auto" w:fill="FFFFFF"/>
        <w:spacing w:before="240"/>
        <w:jc w:val="both"/>
        <w:rPr>
          <w:rFonts w:eastAsia="Arial" w:cs="Times New Roman"/>
          <w:highlight w:val="white"/>
        </w:rPr>
      </w:pPr>
      <w:r w:rsidRPr="00BE7730">
        <w:rPr>
          <w:rFonts w:eastAsia="Arial" w:cs="Times New Roman"/>
          <w:highlight w:val="white"/>
        </w:rPr>
        <w:t>Kot ugotavlja</w:t>
      </w:r>
      <w:r w:rsidRPr="00BE7730">
        <w:rPr>
          <w:rFonts w:eastAsia="Arial" w:cs="Times New Roman"/>
        </w:rPr>
        <w:t xml:space="preserve"> tudi Bučar (2024), so v Strat</w:t>
      </w:r>
      <w:r w:rsidRPr="00BE7730">
        <w:rPr>
          <w:rFonts w:eastAsia="Arial" w:cs="Times New Roman"/>
          <w:highlight w:val="white"/>
        </w:rPr>
        <w:t xml:space="preserve">egiji razvoja podrobno opisani postopek izvajanja, potrebni koordinacijski mehanizmi, vsebinski in finančni okvirji, medresorsko usklajevanje (ki naj bi skrbelo za skladnost politik) ter način spremljanja uresničevanja Strategije razvoja. Potemtakem je na vrsti implementacija. </w:t>
      </w:r>
    </w:p>
    <w:p w14:paraId="000000C2" w14:textId="77777777"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 xml:space="preserve">Strategiji razvoja, ki je krovni okvir razvoja Slovenije, bi morale slediti področne, regionalne in občinske strategije ter programi in operativni izvedbeni ukrepi. Ravno izvedbeni del pa je bil že v preteklosti (in kot kaže tudi v sedanjosti) šibkejša stran razvojnega načrtovanja v Sloveniji. Za uspešno izvajanje Strategije razvoja je treba zagotoviti učinkovito in pregledno razvojno </w:t>
      </w:r>
      <w:r w:rsidRPr="00BE7730">
        <w:rPr>
          <w:rFonts w:eastAsia="Arial" w:cs="Times New Roman"/>
          <w:highlight w:val="white"/>
        </w:rPr>
        <w:lastRenderedPageBreak/>
        <w:t xml:space="preserve">načrtovanje ter bolj smotrno porabo javnih sredstev. V ta namen naj bi bila pripravljena </w:t>
      </w:r>
      <w:r w:rsidRPr="00BE7730">
        <w:rPr>
          <w:rFonts w:eastAsia="Arial" w:cs="Times New Roman"/>
          <w:b/>
          <w:highlight w:val="white"/>
        </w:rPr>
        <w:t>štiriletni državni program razvojnih politik (DPRP)</w:t>
      </w:r>
      <w:r w:rsidRPr="00BE7730">
        <w:rPr>
          <w:rFonts w:eastAsia="Arial" w:cs="Times New Roman"/>
          <w:highlight w:val="white"/>
          <w:vertAlign w:val="superscript"/>
        </w:rPr>
        <w:footnoteReference w:id="73"/>
      </w:r>
      <w:r w:rsidRPr="00BE7730">
        <w:rPr>
          <w:rFonts w:eastAsia="Arial" w:cs="Times New Roman"/>
          <w:highlight w:val="white"/>
        </w:rPr>
        <w:t xml:space="preserve"> in </w:t>
      </w:r>
      <w:r w:rsidRPr="00BE7730">
        <w:rPr>
          <w:rFonts w:eastAsia="Arial" w:cs="Times New Roman"/>
          <w:b/>
          <w:highlight w:val="white"/>
        </w:rPr>
        <w:t>srednjeročna fiskalna strategija</w:t>
      </w:r>
      <w:r w:rsidRPr="00BE7730">
        <w:rPr>
          <w:rFonts w:eastAsia="Arial" w:cs="Times New Roman"/>
          <w:highlight w:val="white"/>
        </w:rPr>
        <w:t>, ki bi služila tudi za ocenjevanje uresničevanja razvojnih ciljev. Državni proračun bi moral odražati prednostne naloge celotne države. S predlaganimi orodji bi Slovenija lahko uvedla nov postopek priprave načrtov srednjeročnih makroekonomskih politik države (Strategija razvoja, str. 49-51). Vendar, kot je v svojem poročilu ugotovilo Računsko sodišče, niti DPRP niti fiskalna strategija nista bila sprejeta. Prav tako pa Vlada RS ni ustanovila napovedanega sveta za razvoj, v katerega bi naj bili vključeni predstavniki socialnih partnerjev, zasebnega sektorja, civilne družbe, strokovnih institucij, regionalnih in lokalnih skupnosti ter vlade. (str. 52)</w:t>
      </w:r>
    </w:p>
    <w:p w14:paraId="000000C3" w14:textId="77777777"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 xml:space="preserve">Glede na to, da se v okviru posameznega razvojnega cilja prepletajo vsebine politik, ki so v pristojnosti različnih resorjev, bi bilo za uspešno izvajanje Strategije razvoja in za doseganje razvojnih sinergij nujno potrebno okrepiti medresorsko usklajevanje in sodelovanje. MKRR naj bi bdelo nad medsektorskim usklajevanjem (v okviru Stalne medresorske delovne skupine za razvojno načrtovanje), medtem ko je vsako ministrstvo odgovorno za usklajenost (svojih) sektorskih strateških, razvojnih in akcijskih načrtov, programov ter aktivnosti s krovno Strategijo razvoja (str. 51-52). </w:t>
      </w:r>
    </w:p>
    <w:p w14:paraId="000000C4" w14:textId="77777777"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 xml:space="preserve">Vprašanje pa ostaja, koliko, če sploh, je bilo vloženega v strokovno izpopolnjevanje, nadgrajevanje znanja in človeške vire, da bi pristojni bili kos tem nalogam. Iz javno dostopnih virov izhaja, da od drugega prostovoljnega pregleda 2020, ni bila niti posodobljena spletna stran </w:t>
      </w:r>
      <w:hyperlink r:id="rId11">
        <w:r w:rsidR="00525158" w:rsidRPr="00BE7730">
          <w:rPr>
            <w:rFonts w:eastAsia="Arial" w:cs="Times New Roman"/>
            <w:highlight w:val="white"/>
            <w:u w:val="single"/>
          </w:rPr>
          <w:t>https://slovenia2030.si/</w:t>
        </w:r>
      </w:hyperlink>
      <w:r w:rsidRPr="00BE7730">
        <w:rPr>
          <w:rFonts w:eastAsia="Arial" w:cs="Times New Roman"/>
          <w:highlight w:val="white"/>
        </w:rPr>
        <w:t xml:space="preserve"> niti ni bilo objavljeno kakšno novejše poročilo. MKRR je od SVRK nasledilo koordinatorsko vlogo in iz spletne strani ministrstva je razbrati le, da je za področje uresničevanja Agende 2030 pristojna Služba za evropske zadeve in mednarodno sodelovanje.  </w:t>
      </w:r>
    </w:p>
    <w:p w14:paraId="7E164CFF" w14:textId="77777777" w:rsidR="006F430A" w:rsidRPr="00BE7730" w:rsidRDefault="006F430A">
      <w:pPr>
        <w:shd w:val="clear" w:color="auto" w:fill="FFFFFF"/>
        <w:spacing w:before="280"/>
        <w:jc w:val="both"/>
        <w:rPr>
          <w:rFonts w:eastAsia="Arial" w:cs="Times New Roman"/>
          <w:highlight w:val="white"/>
        </w:rPr>
      </w:pPr>
    </w:p>
    <w:p w14:paraId="000000C5" w14:textId="77777777" w:rsidR="00525158" w:rsidRPr="00BE7730" w:rsidRDefault="004D4AEA" w:rsidP="006F430A">
      <w:pPr>
        <w:pStyle w:val="Heading4"/>
        <w:rPr>
          <w:rFonts w:eastAsia="Arial" w:cs="Times New Roman"/>
        </w:rPr>
      </w:pPr>
      <w:bookmarkStart w:id="26" w:name="_Toc205412941"/>
      <w:r w:rsidRPr="00BE7730">
        <w:rPr>
          <w:rFonts w:eastAsia="Arial" w:cs="Times New Roman"/>
        </w:rPr>
        <w:t>Ocene, analize in poročila o izvajanju oz. uresničevanju Strategije razvoja</w:t>
      </w:r>
      <w:bookmarkEnd w:id="26"/>
    </w:p>
    <w:p w14:paraId="000000C6" w14:textId="77777777"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Slovenija je leta 2017 pripravila prvo in leta 2020 svoje drugo prostovoljno nacionalno poročilo</w:t>
      </w:r>
      <w:r w:rsidRPr="00BE7730">
        <w:rPr>
          <w:rFonts w:eastAsia="Arial" w:cs="Times New Roman"/>
          <w:highlight w:val="white"/>
          <w:vertAlign w:val="superscript"/>
        </w:rPr>
        <w:footnoteReference w:id="74"/>
      </w:r>
      <w:r w:rsidRPr="00BE7730">
        <w:rPr>
          <w:rFonts w:eastAsia="Arial" w:cs="Times New Roman"/>
          <w:highlight w:val="white"/>
        </w:rPr>
        <w:t xml:space="preserve"> o uresničevanju Agende 2030 oziroma doseganju CTR, ki je bilo predstavljeno na letnem forumu na visoki politični ravni za trajnostni razvoj na sedežu OZN. V procesu priprave poročila, ki ga je koordiniral SVRK, naj bi poleg ministrstev, aktivno sodelovali še slovenski javni zavodi in centri, nevladne organizacije, interesna združenja, raziskovalno-znanstvene institucije, deležniki iz zasebnega sektorja, mladinske organizacije, lokalni deležniki in drugi relevantni posamezniki. </w:t>
      </w:r>
    </w:p>
    <w:p w14:paraId="000000C7" w14:textId="77777777" w:rsidR="00525158" w:rsidRPr="00BE7730" w:rsidRDefault="004D4AEA">
      <w:pPr>
        <w:shd w:val="clear" w:color="auto" w:fill="FFFFFF"/>
        <w:spacing w:before="280"/>
        <w:jc w:val="both"/>
        <w:rPr>
          <w:rFonts w:eastAsia="Arial" w:cs="Times New Roman"/>
          <w:i/>
          <w:highlight w:val="white"/>
        </w:rPr>
      </w:pPr>
      <w:r w:rsidRPr="00BE7730">
        <w:rPr>
          <w:rFonts w:eastAsia="Arial" w:cs="Times New Roman"/>
          <w:highlight w:val="white"/>
        </w:rPr>
        <w:t xml:space="preserve">Kljub poudarjanju pomembnosti skladnosti politik (oz. konkretno načela SPTR) že ob pripravi Strategije razvoja, približno 100 strani dolgo poročilo zgolj na kratko omeni načelo SPTR: </w:t>
      </w:r>
      <w:r w:rsidRPr="00BE7730">
        <w:rPr>
          <w:rFonts w:eastAsia="Arial" w:cs="Times New Roman"/>
          <w:i/>
          <w:highlight w:val="white"/>
        </w:rPr>
        <w:t xml:space="preserve">“S ciljem maksimalne izkoriščenosti vseh potencialov in kapacitet na področju trajnostnega razvoja, bo Slovenija svojo pot trajnostnemu razvoju naproti nadaljevala tudi na področju </w:t>
      </w:r>
      <w:r w:rsidRPr="00BE7730">
        <w:rPr>
          <w:rFonts w:eastAsia="Arial" w:cs="Times New Roman"/>
          <w:i/>
          <w:highlight w:val="white"/>
        </w:rPr>
        <w:lastRenderedPageBreak/>
        <w:t>skladnosti politik za trajnostni razvoj (policy coherence for sustainable development – PCSD). Ključnega pomena je namreč, da so politike med seboj usklajene in si tako družno prizadevajo za uravnotežen trajnostni razvoj, ki hkrati enakovredno upošteva socialno, ekonomsko in okoljsko razsežnost slednjega.” (str. 90)</w:t>
      </w:r>
    </w:p>
    <w:p w14:paraId="000000C8" w14:textId="77777777" w:rsidR="00525158" w:rsidRPr="00BE7730" w:rsidRDefault="004D4AEA">
      <w:pPr>
        <w:shd w:val="clear" w:color="auto" w:fill="FFFFFF"/>
        <w:spacing w:before="280"/>
        <w:jc w:val="both"/>
        <w:rPr>
          <w:rFonts w:eastAsia="Arial" w:cs="Times New Roman"/>
          <w:highlight w:val="white"/>
          <w:u w:val="single"/>
        </w:rPr>
      </w:pPr>
      <w:r w:rsidRPr="00BE7730">
        <w:rPr>
          <w:rFonts w:eastAsia="Arial" w:cs="Times New Roman"/>
          <w:highlight w:val="white"/>
        </w:rPr>
        <w:t>V poročilu se SVRK zaveže, da bo še naprej koordiniral vsa ministrstva preko kontaktnih točk za Agendo 2030. Da bo SVRK koordiniral stalno medsektorsko delovno skupino na področju razvojnih politik, ki bo skrbela tudi za skladnost politik, je bilo izpostavljeno že v prvem prostovoljnem poročilu leta 2017.</w:t>
      </w:r>
      <w:r w:rsidRPr="00BE7730">
        <w:rPr>
          <w:rFonts w:eastAsia="Arial" w:cs="Times New Roman"/>
          <w:highlight w:val="white"/>
          <w:vertAlign w:val="superscript"/>
        </w:rPr>
        <w:footnoteReference w:id="75"/>
      </w:r>
      <w:r w:rsidRPr="00BE7730">
        <w:rPr>
          <w:rFonts w:eastAsia="Arial" w:cs="Times New Roman"/>
          <w:highlight w:val="white"/>
        </w:rPr>
        <w:t xml:space="preserve"> Prav tako je bilo napovedano redno objavljanje relevantnih informacij in dokumentov na spletni strani, namenjeni uresničevanju Agende 2030, vendar spletna stran očitno ni bila posodobljena že od leta 2020. </w:t>
      </w:r>
    </w:p>
    <w:p w14:paraId="000000C9" w14:textId="77777777" w:rsidR="00525158" w:rsidRPr="00BE7730" w:rsidRDefault="004D4AEA">
      <w:pPr>
        <w:shd w:val="clear" w:color="auto" w:fill="FFFFFF"/>
        <w:spacing w:before="280"/>
        <w:jc w:val="both"/>
        <w:rPr>
          <w:rFonts w:eastAsia="Arial" w:cs="Times New Roman"/>
          <w:b/>
          <w:highlight w:val="white"/>
        </w:rPr>
      </w:pPr>
      <w:r w:rsidRPr="00BE7730">
        <w:rPr>
          <w:rFonts w:eastAsia="Arial" w:cs="Times New Roman"/>
          <w:b/>
          <w:highlight w:val="white"/>
        </w:rPr>
        <w:t>Urad RS za makroekonomske analize in razvoj (UMAR)</w:t>
      </w:r>
      <w:r w:rsidRPr="00BE7730">
        <w:rPr>
          <w:rFonts w:eastAsia="Arial" w:cs="Times New Roman"/>
          <w:highlight w:val="white"/>
        </w:rPr>
        <w:t xml:space="preserve"> v vsakoletnem </w:t>
      </w:r>
      <w:r w:rsidRPr="00BE7730">
        <w:rPr>
          <w:rFonts w:eastAsia="Arial" w:cs="Times New Roman"/>
          <w:b/>
          <w:highlight w:val="white"/>
        </w:rPr>
        <w:t>Poročilu o razvoju</w:t>
      </w:r>
      <w:r w:rsidRPr="00BE7730">
        <w:rPr>
          <w:rFonts w:eastAsia="Arial" w:cs="Times New Roman"/>
          <w:b/>
          <w:highlight w:val="white"/>
          <w:vertAlign w:val="superscript"/>
        </w:rPr>
        <w:footnoteReference w:id="76"/>
      </w:r>
      <w:r w:rsidRPr="00BE7730">
        <w:rPr>
          <w:rFonts w:eastAsia="Arial" w:cs="Times New Roman"/>
          <w:highlight w:val="white"/>
        </w:rPr>
        <w:t xml:space="preserve"> spremlja izvajanje ciljev Strategije razvoja, ki za potrebe analize poleg v strategiji določenih kazalnikov vključuje tudi širši nabor drugih razvojnih kazalnikov. Kot je ugotovila že Maja Bučar (2024), Poročilo o razvoju 2023</w:t>
      </w:r>
      <w:r w:rsidRPr="00BE7730">
        <w:rPr>
          <w:rFonts w:eastAsia="Arial" w:cs="Times New Roman"/>
          <w:highlight w:val="white"/>
          <w:vertAlign w:val="superscript"/>
        </w:rPr>
        <w:footnoteReference w:id="77"/>
      </w:r>
      <w:r w:rsidRPr="00BE7730">
        <w:rPr>
          <w:rFonts w:eastAsia="Arial" w:cs="Times New Roman"/>
          <w:highlight w:val="white"/>
        </w:rPr>
        <w:t xml:space="preserve"> spremlja kazalnike razvojnih ciljev Strategije razvoja, Statistični urad pa spremlja kazalnike CTR.</w:t>
      </w:r>
      <w:r w:rsidRPr="00C95E52">
        <w:rPr>
          <w:rFonts w:eastAsia="Arial" w:cs="Times New Roman"/>
          <w:vertAlign w:val="superscript"/>
        </w:rPr>
        <w:footnoteReference w:id="78"/>
      </w:r>
      <w:r w:rsidRPr="00C95E52">
        <w:rPr>
          <w:rFonts w:eastAsia="Arial" w:cs="Times New Roman"/>
        </w:rPr>
        <w:t xml:space="preserve"> </w:t>
      </w:r>
      <w:r w:rsidRPr="00BE7730">
        <w:rPr>
          <w:rFonts w:eastAsia="Arial" w:cs="Times New Roman"/>
        </w:rPr>
        <w:t>Kazalniki so različni, zato bi jih bilo v bodoče smiselno poenotiti ali združiti. Tudi Računsko sodišče (2021, str. 5) je glede UMAR-jev</w:t>
      </w:r>
      <w:r w:rsidRPr="00BE7730">
        <w:rPr>
          <w:rFonts w:eastAsia="Arial" w:cs="Times New Roman"/>
          <w:highlight w:val="white"/>
        </w:rPr>
        <w:t xml:space="preserve">ih Poročil o razvoju zapisalo, da v obdobju od 1. 1. 2017 do 31. 7. 2021 na ravni državnega programa razvojnih politik in državnega proračuna ni bilo jasno določeno, ali je vzpostavljen poseben sistem poročanja za spremljanje uresničevanja Strategije razvoja in Agende 2030 oziroma ali je poročanje načrtovano v okviru že obstoječih postopkov poročanja. </w:t>
      </w:r>
      <w:r w:rsidRPr="00BE7730">
        <w:rPr>
          <w:rFonts w:eastAsia="Arial" w:cs="Times New Roman"/>
          <w:b/>
          <w:highlight w:val="white"/>
        </w:rPr>
        <w:t xml:space="preserve">Spremljanje učinkovitosti in uspešnosti uresničevanja Strategije razvoja torej sploh ni bilo mogoče na predviden način. </w:t>
      </w:r>
    </w:p>
    <w:p w14:paraId="000000CA" w14:textId="127DEA9C"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Poročilo o razvoju 2024 koncepta skladnosti politik sicer sploh ne omenja, je pa poročilo za pričujočo analizo zanimivo z drugega vidika, in sicer predvsem v kontekstu MRS, saj pokaže, da so se izdatki za uradno razvojno pomoč v letu 2022 močno povečali predvsem zaradi vojne v Ukrajini, oziroma zaradi prikazovanja sredstev namenjenih za “oskrbo beguncev in migrantov v Sloveniji”</w:t>
      </w:r>
      <w:r w:rsidRPr="00BE7730">
        <w:rPr>
          <w:rFonts w:eastAsia="Arial" w:cs="Times New Roman"/>
          <w:highlight w:val="white"/>
          <w:vertAlign w:val="superscript"/>
        </w:rPr>
        <w:footnoteReference w:id="79"/>
      </w:r>
      <w:r w:rsidRPr="00BE7730">
        <w:rPr>
          <w:rFonts w:eastAsia="Arial" w:cs="Times New Roman"/>
          <w:highlight w:val="white"/>
        </w:rPr>
        <w:t xml:space="preserve"> kot sredstva namenjena razvojni pomoči.</w:t>
      </w:r>
      <w:r w:rsidRPr="00BE7730">
        <w:rPr>
          <w:rFonts w:eastAsia="Arial" w:cs="Times New Roman"/>
          <w:highlight w:val="white"/>
          <w:vertAlign w:val="superscript"/>
        </w:rPr>
        <w:footnoteReference w:id="80"/>
      </w:r>
      <w:r w:rsidRPr="00BE7730">
        <w:rPr>
          <w:rFonts w:eastAsia="Arial" w:cs="Times New Roman"/>
          <w:highlight w:val="white"/>
        </w:rPr>
        <w:t xml:space="preserve"> To pa je problematična praksa, </w:t>
      </w:r>
      <w:r w:rsidR="00862728">
        <w:rPr>
          <w:rFonts w:eastAsia="Arial" w:cs="Times New Roman"/>
          <w:highlight w:val="white"/>
        </w:rPr>
        <w:t xml:space="preserve">čeprav skladna z metodologijo OECD, </w:t>
      </w:r>
      <w:r w:rsidRPr="00BE7730">
        <w:rPr>
          <w:rFonts w:eastAsia="Arial" w:cs="Times New Roman"/>
          <w:highlight w:val="white"/>
        </w:rPr>
        <w:t>saj izdatki za pomoč razseljenim osebam zaradi vojne v Ukrajini vsebinsko odstopajo od namena dodeljevanja sredstev za razvojno pomoč</w:t>
      </w:r>
      <w:r w:rsidR="00281485">
        <w:rPr>
          <w:rFonts w:eastAsia="Arial" w:cs="Times New Roman"/>
          <w:highlight w:val="white"/>
        </w:rPr>
        <w:t>, saj gre za kritje stroškov v Sloveniji in ne državi prejemnici</w:t>
      </w:r>
      <w:r w:rsidRPr="00BE7730">
        <w:rPr>
          <w:rFonts w:eastAsia="Arial" w:cs="Times New Roman"/>
          <w:highlight w:val="white"/>
        </w:rPr>
        <w:t xml:space="preserve">. Poleg tega, je bilo manj sredstev namenjenih ozaveščanju o pomenu MRS, kar je v nasprotju s priporočili OECD DAC. </w:t>
      </w:r>
    </w:p>
    <w:p w14:paraId="000000CB" w14:textId="77777777" w:rsidR="00525158" w:rsidRPr="00BE7730" w:rsidRDefault="004D4AEA">
      <w:pPr>
        <w:shd w:val="clear" w:color="auto" w:fill="FFFFFF"/>
        <w:spacing w:before="280"/>
        <w:jc w:val="both"/>
        <w:rPr>
          <w:rFonts w:eastAsia="Arial" w:cs="Times New Roman"/>
          <w:highlight w:val="white"/>
        </w:rPr>
      </w:pPr>
      <w:r w:rsidRPr="00BE7730">
        <w:rPr>
          <w:rFonts w:eastAsia="Arial" w:cs="Times New Roman"/>
          <w:highlight w:val="white"/>
        </w:rPr>
        <w:t>Za našo analizo s poudark</w:t>
      </w:r>
      <w:r w:rsidRPr="00BE7730">
        <w:rPr>
          <w:rFonts w:eastAsia="Arial" w:cs="Times New Roman"/>
        </w:rPr>
        <w:t xml:space="preserve">om na SPR oziroma SPTR je bolj relevantno poročilo računskega sodišča iz leta 2021: </w:t>
      </w:r>
      <w:r w:rsidRPr="00BE7730">
        <w:rPr>
          <w:rFonts w:eastAsia="Arial" w:cs="Times New Roman"/>
          <w:b/>
        </w:rPr>
        <w:t xml:space="preserve">Revizijsko poročilo, Uresničevanje Strategije razvoja Slovenije 2030 </w:t>
      </w:r>
      <w:r w:rsidRPr="00BE7730">
        <w:rPr>
          <w:rFonts w:eastAsia="Arial" w:cs="Times New Roman"/>
          <w:b/>
        </w:rPr>
        <w:lastRenderedPageBreak/>
        <w:t>in Agende za trajnostni razvoj do leta 2030,</w:t>
      </w:r>
      <w:r w:rsidRPr="00BE7730">
        <w:rPr>
          <w:rFonts w:eastAsia="Arial" w:cs="Times New Roman"/>
          <w:b/>
          <w:vertAlign w:val="superscript"/>
        </w:rPr>
        <w:footnoteReference w:id="81"/>
      </w:r>
      <w:r w:rsidRPr="00BE7730">
        <w:rPr>
          <w:rFonts w:eastAsia="Arial" w:cs="Times New Roman"/>
        </w:rPr>
        <w:t xml:space="preserve"> k</w:t>
      </w:r>
      <w:r w:rsidRPr="00BE7730">
        <w:rPr>
          <w:rFonts w:eastAsia="Arial" w:cs="Times New Roman"/>
          <w:highlight w:val="white"/>
        </w:rPr>
        <w:t xml:space="preserve">i je podalo nezadostno oceno o uresničevanju Strategije razvoja in izpostavi več šibkosti, npr.: premalo je razpoložljivih sredstev državnega proračuna za razvoj (za nove razvojne projekte letno na razpolago le približno 6 % sredstev državnega proračuna, približno 600 mio EUR); Strategija 2030 ni rezultat širšega konsenza in ni zaveza na ravni Državnega zbora RS; nestabilna strateško-razvojna usmeritev države in neustrezna normativna urejenost razvojnega načrtovanja; </w:t>
      </w:r>
      <w:r w:rsidRPr="00BE7730">
        <w:rPr>
          <w:rFonts w:eastAsia="Arial" w:cs="Times New Roman"/>
          <w:b/>
          <w:highlight w:val="white"/>
        </w:rPr>
        <w:t xml:space="preserve">DPRP in srednjeročna fiskalna strategija nista bila pripravljena; </w:t>
      </w:r>
      <w:r w:rsidRPr="00BE7730">
        <w:rPr>
          <w:rFonts w:eastAsia="Arial" w:cs="Times New Roman"/>
          <w:highlight w:val="white"/>
        </w:rPr>
        <w:t xml:space="preserve">Vlada ni ustanovila sveta za razvoj (v katerega naj bi bili vključeni predstavniki socialnih partnerjev, zasebnega sektorja, civilne družbe, strokovnih institucij, regionalnih in lokalnih skupnosti ter vlade) in delovne skupine za razvojno načrtovanje, katere temeljni namen bi naj bila koordinacija procesa usklajevanja in medresorskega povezovanja, izvajanja in spremljanja razvojnih politik (Računsko sodišče 2021, str.4, 46). Po oceni Računskega sodišča so bili vlada, SVRK oz. nato MKRR, Ministrstvo za finance in UMAR (kljub temu, da so bili naloge in cilji jasno opredeljeni) le delno učinkoviti pri izvajanju aktivnosti v okviru uresničevanja Strategije razvoja (v obdobju od 1. 1. 2017 do 31. 7. 2021). </w:t>
      </w:r>
    </w:p>
    <w:p w14:paraId="000000CC" w14:textId="77777777" w:rsidR="00525158" w:rsidRPr="00BE7730" w:rsidRDefault="00525158">
      <w:pPr>
        <w:shd w:val="clear" w:color="auto" w:fill="FFFFFF"/>
        <w:jc w:val="both"/>
        <w:rPr>
          <w:rFonts w:eastAsia="Arial" w:cs="Times New Roman"/>
          <w:highlight w:val="white"/>
        </w:rPr>
      </w:pPr>
    </w:p>
    <w:p w14:paraId="000000CD" w14:textId="77777777" w:rsidR="00525158" w:rsidRPr="00BE7730" w:rsidRDefault="004D4AEA">
      <w:pPr>
        <w:shd w:val="clear" w:color="auto" w:fill="FFFFFF"/>
        <w:jc w:val="both"/>
        <w:rPr>
          <w:rFonts w:eastAsia="Arial" w:cs="Times New Roman"/>
          <w:highlight w:val="white"/>
        </w:rPr>
      </w:pPr>
      <w:r w:rsidRPr="00BE7730">
        <w:rPr>
          <w:rFonts w:eastAsia="Arial" w:cs="Times New Roman"/>
          <w:highlight w:val="white"/>
        </w:rPr>
        <w:t>Iz poročila računskega sodišča lahko razberemo, da se v praksi načelu SPR oz. SPTR še vedno ne daje dovolj pomena in pozornosti. Računsko sodišče je Vladi, Ministrstvu za finance, SVRK oz. MKRR in UMAR priporočilo, naj: “</w:t>
      </w:r>
      <w:r w:rsidRPr="00BE7730">
        <w:rPr>
          <w:rFonts w:eastAsia="Arial" w:cs="Times New Roman"/>
          <w:i/>
          <w:highlight w:val="white"/>
        </w:rPr>
        <w:t>proučijo, ali je ustrezno, da je razvojno načrtovanje urejeno zgolj v podzakonskem predpisu (uredbi)”</w:t>
      </w:r>
      <w:r w:rsidRPr="00BE7730">
        <w:rPr>
          <w:rFonts w:eastAsia="Arial" w:cs="Times New Roman"/>
          <w:highlight w:val="white"/>
        </w:rPr>
        <w:t xml:space="preserve">; in </w:t>
      </w:r>
      <w:r w:rsidRPr="00BE7730">
        <w:rPr>
          <w:rFonts w:eastAsia="Arial" w:cs="Times New Roman"/>
          <w:i/>
          <w:highlight w:val="white"/>
        </w:rPr>
        <w:t xml:space="preserve">“proučijo, ali ne bi bilo bolj ustrezno, da bi bila Strategija razvoja Slovenije kot krovni strateško-razvojni dokument Republike Slovenije predmet širšega konsenza in hkrati zaveza na ravni Državnega zbora Republike Slovenije kot najvišjega predstavniškega telesa v državi, ki bi tudi bdel nad njegovim uresničevanjem” </w:t>
      </w:r>
      <w:r w:rsidRPr="00BE7730">
        <w:rPr>
          <w:rFonts w:eastAsia="Arial" w:cs="Times New Roman"/>
          <w:highlight w:val="white"/>
        </w:rPr>
        <w:t>(Računsko sodišče 2021, str. 62)</w:t>
      </w:r>
    </w:p>
    <w:p w14:paraId="000000CE" w14:textId="77777777" w:rsidR="00525158" w:rsidRPr="00BE7730" w:rsidRDefault="00525158">
      <w:pPr>
        <w:shd w:val="clear" w:color="auto" w:fill="FFFFFF"/>
        <w:spacing w:after="240"/>
        <w:jc w:val="both"/>
        <w:rPr>
          <w:rFonts w:eastAsia="Arial" w:cs="Times New Roman"/>
          <w:i/>
          <w:highlight w:val="white"/>
        </w:rPr>
      </w:pPr>
    </w:p>
    <w:p w14:paraId="000000CF" w14:textId="0A8F055D" w:rsidR="00525158" w:rsidRPr="00BE7730" w:rsidRDefault="004D4AEA" w:rsidP="006F430A">
      <w:pPr>
        <w:pStyle w:val="Heading2"/>
        <w:rPr>
          <w:rFonts w:ascii="Times New Roman" w:hAnsi="Times New Roman" w:cs="Times New Roman"/>
          <w:b/>
          <w:bCs/>
          <w:sz w:val="24"/>
          <w:szCs w:val="24"/>
        </w:rPr>
      </w:pPr>
      <w:bookmarkStart w:id="27" w:name="_heading=h.v7pccbmotk42" w:colFirst="0" w:colLast="0"/>
      <w:bookmarkStart w:id="28" w:name="_Toc205412942"/>
      <w:bookmarkEnd w:id="27"/>
      <w:r w:rsidRPr="00BE7730">
        <w:rPr>
          <w:rFonts w:ascii="Times New Roman" w:hAnsi="Times New Roman" w:cs="Times New Roman"/>
          <w:b/>
          <w:bCs/>
          <w:sz w:val="24"/>
          <w:szCs w:val="24"/>
        </w:rPr>
        <w:t>3.</w:t>
      </w:r>
      <w:r w:rsidR="003954BC" w:rsidRPr="00BE7730">
        <w:rPr>
          <w:rFonts w:ascii="Times New Roman" w:hAnsi="Times New Roman" w:cs="Times New Roman"/>
          <w:b/>
          <w:bCs/>
          <w:sz w:val="24"/>
          <w:szCs w:val="24"/>
        </w:rPr>
        <w:t>4</w:t>
      </w:r>
      <w:r w:rsidRPr="00BE7730">
        <w:rPr>
          <w:rFonts w:ascii="Times New Roman" w:hAnsi="Times New Roman" w:cs="Times New Roman"/>
          <w:b/>
          <w:bCs/>
          <w:sz w:val="24"/>
          <w:szCs w:val="24"/>
        </w:rPr>
        <w:t xml:space="preserve"> Pregled drugih nacionalnih strateških dokumentov s posebnim poudarkom na izbranih prioritetnih področjih</w:t>
      </w:r>
      <w:bookmarkEnd w:id="28"/>
    </w:p>
    <w:p w14:paraId="000000D0"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V analizi nas zanima, kako posamezni resorji skrbijo za to, da se v vse področne politike oz. strategije vključuje načelo SPR oz. SPRT. Na podlagi identificiranih prioritetnih področij (trgovina in finance; podnebne spremembe; prehranska varnost; migracije; varnost in razvoj) smo na vsa resorna ministrstva naslovili prošnjo, da izpostavijo po njihovem mnenju ključne strateške dokumente oz. politike, ki vključujejo načelo SPTR oz. prispevajo k trajnostnemu razvoju. Povprašali smo jih tudi glede konkretnih aktivnosti na področju usklajevanja politik z drugimi resorji. </w:t>
      </w:r>
    </w:p>
    <w:p w14:paraId="000000D1"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rPr>
        <w:t xml:space="preserve">Odgovore smo prejeli od naslednjih ministrstev: Ministrstvo za zunanje in evropske zadeve, Ministrstvo za finance, Ministrstvo za delo, družino, socialne zadeve in enake možnosti, Ministrstvo za solidarno prihodnost, Ministrstvo za gospodarstvo, turizem in šport, Ministrstvo za okolje, podnebje in energijo, Ministrstvo za naravne vire in prostor, Ministrstvo za </w:t>
      </w:r>
      <w:r w:rsidRPr="00BE7730">
        <w:rPr>
          <w:rFonts w:eastAsia="Arial" w:cs="Times New Roman"/>
        </w:rPr>
        <w:lastRenderedPageBreak/>
        <w:t>kmetijstvo, gozdarstvo in prehrano, Ministrstvo za notranje zadeve,</w:t>
      </w:r>
      <w:r w:rsidRPr="00BE7730">
        <w:rPr>
          <w:rFonts w:eastAsia="Arial" w:cs="Times New Roman"/>
          <w:highlight w:val="white"/>
        </w:rPr>
        <w:t xml:space="preserve"> Ministrstvo za kohezijo in regionalni razvoj, Ministrstvo za javno upravo, Ministrstvo za pravosodje.</w:t>
      </w:r>
      <w:r w:rsidRPr="00BE7730">
        <w:rPr>
          <w:rFonts w:eastAsia="Arial" w:cs="Times New Roman"/>
          <w:highlight w:val="white"/>
          <w:vertAlign w:val="superscript"/>
        </w:rPr>
        <w:footnoteReference w:id="82"/>
      </w:r>
      <w:r w:rsidRPr="00BE7730">
        <w:rPr>
          <w:rFonts w:eastAsia="Arial" w:cs="Times New Roman"/>
          <w:highlight w:val="white"/>
        </w:rPr>
        <w:t xml:space="preserve"> </w:t>
      </w:r>
    </w:p>
    <w:p w14:paraId="000000D2"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highlight w:val="white"/>
        </w:rPr>
        <w:t xml:space="preserve">Pričakovali smo, da bodo respondenti z vseh ministrstev kot ključni dokument na področju SPTR izpostavili </w:t>
      </w:r>
      <w:r w:rsidRPr="00BE7730">
        <w:rPr>
          <w:rFonts w:eastAsia="Arial" w:cs="Times New Roman"/>
          <w:b/>
          <w:highlight w:val="white"/>
        </w:rPr>
        <w:t xml:space="preserve">Strategijo razvoja Slovenije 2030. </w:t>
      </w:r>
      <w:r w:rsidRPr="00BE7730">
        <w:rPr>
          <w:rFonts w:eastAsia="Arial" w:cs="Times New Roman"/>
          <w:highlight w:val="white"/>
        </w:rPr>
        <w:t>Vendar je nekateri predstavniki ministrstev niso niti omenili, temveč so našteli le</w:t>
      </w:r>
      <w:r w:rsidRPr="00BE7730">
        <w:rPr>
          <w:rFonts w:eastAsia="Arial" w:cs="Times New Roman"/>
        </w:rPr>
        <w:t xml:space="preserve"> nekaj dokumentov iz domene svojega resorja, na podlagi česar lahko sklepamo, da obravnavajo svoje resorno področje ločeno od drugih in od glavne Strategije razvoja, ki je smernica za vsa ministrstva na področju SPTR in doseganja CTR.</w:t>
      </w:r>
      <w:r w:rsidRPr="00BE7730">
        <w:rPr>
          <w:rFonts w:eastAsia="Arial" w:cs="Times New Roman"/>
          <w:vertAlign w:val="superscript"/>
        </w:rPr>
        <w:footnoteReference w:id="83"/>
      </w:r>
      <w:r w:rsidRPr="00BE7730">
        <w:rPr>
          <w:rFonts w:eastAsia="Arial" w:cs="Times New Roman"/>
        </w:rPr>
        <w:t xml:space="preserve"> </w:t>
      </w:r>
    </w:p>
    <w:p w14:paraId="000000D3" w14:textId="4717058B"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rPr>
        <w:t>Nekatera ministrstva torej načela SPTR mogoče še niso ponotranjila v svoje delovanje, kar pa je lahko posledica tu</w:t>
      </w:r>
      <w:r w:rsidRPr="00BE7730">
        <w:rPr>
          <w:rFonts w:eastAsia="Arial" w:cs="Times New Roman"/>
          <w:highlight w:val="white"/>
        </w:rPr>
        <w:t xml:space="preserve">di področja, na katerem delujejo. </w:t>
      </w:r>
      <w:r w:rsidR="00C30B13">
        <w:rPr>
          <w:rFonts w:eastAsia="Arial" w:cs="Times New Roman"/>
          <w:highlight w:val="white"/>
        </w:rPr>
        <w:t xml:space="preserve">Tako očitno še držijo </w:t>
      </w:r>
      <w:r w:rsidRPr="00BE7730">
        <w:rPr>
          <w:rFonts w:eastAsia="Arial" w:cs="Times New Roman"/>
          <w:highlight w:val="white"/>
        </w:rPr>
        <w:t>ocene strokovnjakov</w:t>
      </w:r>
      <w:r w:rsidR="00C30B13">
        <w:rPr>
          <w:rFonts w:eastAsia="Arial" w:cs="Times New Roman"/>
          <w:highlight w:val="white"/>
        </w:rPr>
        <w:t xml:space="preserve"> pred leti, ko so</w:t>
      </w:r>
      <w:r w:rsidRPr="00BE7730">
        <w:rPr>
          <w:rFonts w:eastAsia="Arial" w:cs="Times New Roman"/>
          <w:highlight w:val="white"/>
        </w:rPr>
        <w:t xml:space="preserve"> ugotavlja</w:t>
      </w:r>
      <w:r w:rsidR="00C30B13">
        <w:rPr>
          <w:rFonts w:eastAsia="Arial" w:cs="Times New Roman"/>
          <w:highlight w:val="white"/>
        </w:rPr>
        <w:t>li</w:t>
      </w:r>
      <w:r w:rsidRPr="00BE7730">
        <w:rPr>
          <w:rFonts w:eastAsia="Arial" w:cs="Times New Roman"/>
          <w:highlight w:val="white"/>
        </w:rPr>
        <w:t xml:space="preserve">, da </w:t>
      </w:r>
      <w:r w:rsidRPr="00BE7730">
        <w:rPr>
          <w:rFonts w:eastAsia="Arial" w:cs="Times New Roman"/>
          <w:i/>
          <w:highlight w:val="white"/>
        </w:rPr>
        <w:t>“dosedanja praksa ne potrjuje poznavanja principa skladnosti, saj smo pogosto priča, ko na področju drugih politik (npr. trgovinska, kmetijska, migracije) Slovenija zastopa stališča, ki niso v skladu s cilji mednarodnega razvojnega sodelovanja. Delno lahko tako obnašanje pojasnimo s slabim poznavanjem vsebin in še nedorečenih usmeritev na področju razvojnega sodelovanja, čemur botruje tudi relativno skromna politična podpora temu področju.”</w:t>
      </w:r>
      <w:r w:rsidRPr="00BE7730">
        <w:rPr>
          <w:rFonts w:eastAsia="Arial" w:cs="Times New Roman"/>
          <w:highlight w:val="white"/>
        </w:rPr>
        <w:t xml:space="preserve"> (Mrak, Bučar, Kamnar, 2007, str. 57).</w:t>
      </w:r>
      <w:r w:rsidR="00025335">
        <w:rPr>
          <w:rFonts w:eastAsia="Arial" w:cs="Times New Roman"/>
          <w:highlight w:val="white"/>
        </w:rPr>
        <w:t xml:space="preserve"> </w:t>
      </w:r>
    </w:p>
    <w:p w14:paraId="000000D4" w14:textId="77777777" w:rsidR="00525158" w:rsidRPr="00BE7730" w:rsidRDefault="00525158">
      <w:pPr>
        <w:shd w:val="clear" w:color="auto" w:fill="FFFFFF"/>
        <w:spacing w:before="240" w:after="240"/>
        <w:jc w:val="both"/>
        <w:rPr>
          <w:rFonts w:eastAsia="Arial" w:cs="Times New Roman"/>
          <w:b/>
          <w:highlight w:val="white"/>
        </w:rPr>
      </w:pPr>
    </w:p>
    <w:p w14:paraId="000000D5" w14:textId="77777777" w:rsidR="00525158" w:rsidRPr="00BE7730" w:rsidRDefault="004D4AEA" w:rsidP="003954BC">
      <w:pPr>
        <w:pStyle w:val="Heading3"/>
        <w:rPr>
          <w:rFonts w:eastAsia="Arial" w:cs="Times New Roman"/>
          <w:b/>
          <w:bCs/>
          <w:i/>
          <w:iCs/>
          <w:sz w:val="24"/>
          <w:szCs w:val="24"/>
          <w:highlight w:val="white"/>
        </w:rPr>
      </w:pPr>
      <w:bookmarkStart w:id="29" w:name="_Toc205412943"/>
      <w:r w:rsidRPr="00BE7730">
        <w:rPr>
          <w:rFonts w:eastAsia="Arial" w:cs="Times New Roman"/>
          <w:b/>
          <w:bCs/>
          <w:i/>
          <w:iCs/>
          <w:sz w:val="24"/>
          <w:szCs w:val="24"/>
          <w:highlight w:val="white"/>
        </w:rPr>
        <w:t>Odgovori ministrstev in analiza relevantnih dokumentov, ki so jih izpostavili</w:t>
      </w:r>
      <w:bookmarkEnd w:id="29"/>
    </w:p>
    <w:p w14:paraId="0D7A03DA" w14:textId="77777777" w:rsidR="003954BC" w:rsidRPr="00BE7730" w:rsidRDefault="003954BC">
      <w:pPr>
        <w:shd w:val="clear" w:color="auto" w:fill="FFFFFF"/>
        <w:jc w:val="both"/>
        <w:rPr>
          <w:rFonts w:eastAsia="Arial" w:cs="Times New Roman"/>
          <w:b/>
        </w:rPr>
      </w:pPr>
    </w:p>
    <w:p w14:paraId="000000D6" w14:textId="33EFB185" w:rsidR="00525158" w:rsidRPr="00BE7730" w:rsidRDefault="004D4AEA" w:rsidP="003954BC">
      <w:pPr>
        <w:pStyle w:val="Heading4"/>
        <w:rPr>
          <w:rFonts w:eastAsia="Arial" w:cs="Times New Roman"/>
        </w:rPr>
      </w:pPr>
      <w:bookmarkStart w:id="30" w:name="_Toc205412944"/>
      <w:r w:rsidRPr="00BE7730">
        <w:rPr>
          <w:rFonts w:eastAsia="Arial" w:cs="Times New Roman"/>
        </w:rPr>
        <w:t>Ministrstvo za zunanje in evropske zadeve (MZEZ)</w:t>
      </w:r>
      <w:bookmarkEnd w:id="30"/>
      <w:r w:rsidRPr="00BE7730">
        <w:rPr>
          <w:rFonts w:eastAsia="Arial" w:cs="Times New Roman"/>
        </w:rPr>
        <w:t xml:space="preserve"> </w:t>
      </w:r>
    </w:p>
    <w:p w14:paraId="1B9C248A" w14:textId="77777777" w:rsidR="003954BC" w:rsidRPr="00BE7730" w:rsidRDefault="003954BC">
      <w:pPr>
        <w:shd w:val="clear" w:color="auto" w:fill="FFFFFF"/>
        <w:jc w:val="both"/>
        <w:rPr>
          <w:rFonts w:eastAsia="Arial" w:cs="Times New Roman"/>
        </w:rPr>
      </w:pPr>
    </w:p>
    <w:p w14:paraId="000000D7" w14:textId="7E78543C" w:rsidR="00525158" w:rsidRPr="00BE7730" w:rsidRDefault="004D4AEA">
      <w:pPr>
        <w:shd w:val="clear" w:color="auto" w:fill="FFFFFF"/>
        <w:jc w:val="both"/>
        <w:rPr>
          <w:rFonts w:eastAsia="Arial" w:cs="Times New Roman"/>
        </w:rPr>
      </w:pPr>
      <w:r w:rsidRPr="00BE7730">
        <w:rPr>
          <w:rFonts w:eastAsia="Arial" w:cs="Times New Roman"/>
        </w:rPr>
        <w:t>MZEZ je - kot določa</w:t>
      </w:r>
      <w:r w:rsidR="004825BC">
        <w:rPr>
          <w:rFonts w:eastAsia="Arial" w:cs="Times New Roman"/>
        </w:rPr>
        <w:t>ta Zakon o MRS in humanitarni pomoči Republike Slovenije</w:t>
      </w:r>
      <w:r w:rsidRPr="00BE7730">
        <w:rPr>
          <w:rFonts w:eastAsia="Arial" w:cs="Times New Roman"/>
        </w:rPr>
        <w:t xml:space="preserve"> </w:t>
      </w:r>
      <w:r w:rsidR="004825BC">
        <w:rPr>
          <w:rFonts w:eastAsia="Arial" w:cs="Times New Roman"/>
        </w:rPr>
        <w:t>in</w:t>
      </w:r>
      <w:r w:rsidR="004825BC" w:rsidRPr="00BE7730">
        <w:rPr>
          <w:rFonts w:eastAsia="Arial" w:cs="Times New Roman"/>
        </w:rPr>
        <w:t xml:space="preserve"> </w:t>
      </w:r>
      <w:r w:rsidRPr="00BE7730">
        <w:rPr>
          <w:rFonts w:eastAsia="Arial" w:cs="Times New Roman"/>
        </w:rPr>
        <w:t xml:space="preserve">Strategija MRS - nacionalni koordinator na področju MRS in humanitarne pomoči in torej tudi za področje SPR ključna institucija v Sloveniji, ki vodi </w:t>
      </w:r>
      <w:r w:rsidRPr="00BE7730">
        <w:rPr>
          <w:rFonts w:eastAsia="Arial" w:cs="Times New Roman"/>
          <w:b/>
        </w:rPr>
        <w:t>Stalno koordinacijsko skupino za MRS</w:t>
      </w:r>
      <w:r w:rsidRPr="00BE7730">
        <w:rPr>
          <w:rFonts w:eastAsia="Arial" w:cs="Times New Roman"/>
        </w:rPr>
        <w:t xml:space="preserve">, v kateri so člani in članice predstavniki vseh resornih ministrstev (imenovani so tudi namestniki stalnih članov). Člani skupine pregledajo ključne dokumente MRS, če so skladni s prioritetami oz. politikami vseh resorjev (telefonska korespondenca 28.5.2024). Po več letih neaktivnosti je bil 10.5.2024 imenovan nov Strokovni svet za MRS, ki </w:t>
      </w:r>
      <w:r w:rsidR="00910D65">
        <w:rPr>
          <w:rFonts w:eastAsia="Arial" w:cs="Times New Roman"/>
        </w:rPr>
        <w:t>je</w:t>
      </w:r>
      <w:r w:rsidRPr="00BE7730">
        <w:rPr>
          <w:rFonts w:eastAsia="Arial" w:cs="Times New Roman"/>
        </w:rPr>
        <w:t xml:space="preserve"> začel delovati poleti 2024</w:t>
      </w:r>
      <w:r w:rsidR="00910D65">
        <w:rPr>
          <w:rFonts w:eastAsia="Arial" w:cs="Times New Roman"/>
        </w:rPr>
        <w:t xml:space="preserve"> pod vodstvom ministrice za zu</w:t>
      </w:r>
      <w:r w:rsidR="00C30B13">
        <w:rPr>
          <w:rFonts w:eastAsia="Arial" w:cs="Times New Roman"/>
        </w:rPr>
        <w:t>n</w:t>
      </w:r>
      <w:r w:rsidR="00910D65">
        <w:rPr>
          <w:rFonts w:eastAsia="Arial" w:cs="Times New Roman"/>
        </w:rPr>
        <w:t>anje in evropske zadeve</w:t>
      </w:r>
      <w:r w:rsidRPr="00BE7730">
        <w:rPr>
          <w:rFonts w:eastAsia="Arial" w:cs="Times New Roman"/>
        </w:rPr>
        <w:t xml:space="preserve">. Za MZEZ so v okviru SPR relevantni vsi dokumenti navedeni v strateškem okviru MRS (poglavje 3.1), vključeni pa so tudi v delovno skupino, ki jo vodi MKRR na področju izvajanja Strategije razvoja in uresničevanja načela SPTR. Vse informacije, ki smo jih prejeli od MZEZ so že vključene v analizo, zato jih na tem mestu ne ponavljamo. </w:t>
      </w:r>
    </w:p>
    <w:p w14:paraId="000000D8" w14:textId="77777777" w:rsidR="00525158" w:rsidRPr="00BE7730" w:rsidRDefault="00525158">
      <w:pPr>
        <w:shd w:val="clear" w:color="auto" w:fill="FFFFFF"/>
        <w:jc w:val="both"/>
        <w:rPr>
          <w:rFonts w:eastAsia="Arial" w:cs="Times New Roman"/>
        </w:rPr>
      </w:pPr>
    </w:p>
    <w:p w14:paraId="000000D9" w14:textId="77777777" w:rsidR="00525158" w:rsidRPr="00BE7730" w:rsidRDefault="004D4AEA" w:rsidP="003954BC">
      <w:pPr>
        <w:pStyle w:val="Heading4"/>
        <w:rPr>
          <w:rFonts w:eastAsia="Arial" w:cs="Times New Roman"/>
        </w:rPr>
      </w:pPr>
      <w:bookmarkStart w:id="31" w:name="_Toc205412945"/>
      <w:r w:rsidRPr="00BE7730">
        <w:rPr>
          <w:rFonts w:eastAsia="Arial" w:cs="Times New Roman"/>
        </w:rPr>
        <w:t>Ministrstvo za kohezijo in regionalni razvoj (MKRR)</w:t>
      </w:r>
      <w:bookmarkEnd w:id="31"/>
      <w:r w:rsidRPr="00BE7730">
        <w:rPr>
          <w:rFonts w:eastAsia="Arial" w:cs="Times New Roman"/>
        </w:rPr>
        <w:t xml:space="preserve"> </w:t>
      </w:r>
    </w:p>
    <w:p w14:paraId="6FEE2884" w14:textId="77777777" w:rsidR="003954BC" w:rsidRPr="00BE7730" w:rsidRDefault="003954BC">
      <w:pPr>
        <w:shd w:val="clear" w:color="auto" w:fill="FFFFFF"/>
        <w:jc w:val="both"/>
        <w:rPr>
          <w:rFonts w:eastAsia="Arial" w:cs="Times New Roman"/>
        </w:rPr>
      </w:pPr>
    </w:p>
    <w:p w14:paraId="000000DA" w14:textId="03946B89" w:rsidR="00525158" w:rsidRPr="00BE7730" w:rsidRDefault="004D4AEA">
      <w:pPr>
        <w:shd w:val="clear" w:color="auto" w:fill="FFFFFF"/>
        <w:jc w:val="both"/>
        <w:rPr>
          <w:rFonts w:eastAsia="Arial" w:cs="Times New Roman"/>
        </w:rPr>
      </w:pPr>
      <w:r w:rsidRPr="00BE7730">
        <w:rPr>
          <w:rFonts w:eastAsia="Arial" w:cs="Times New Roman"/>
        </w:rPr>
        <w:lastRenderedPageBreak/>
        <w:t xml:space="preserve">MKRR je bilo v svojem odgovoru precej skopo in zgolj izpostavilo </w:t>
      </w:r>
      <w:r w:rsidRPr="00BE7730">
        <w:rPr>
          <w:rFonts w:eastAsia="Arial" w:cs="Times New Roman"/>
          <w:b/>
        </w:rPr>
        <w:t xml:space="preserve">Strategijo razvoja </w:t>
      </w:r>
      <w:r w:rsidRPr="00BE7730">
        <w:rPr>
          <w:rFonts w:eastAsia="Arial" w:cs="Times New Roman"/>
          <w:bCs/>
        </w:rPr>
        <w:t>kot glavni strateški dokument za delovanje MKRR na področju SPTR,</w:t>
      </w:r>
      <w:r w:rsidRPr="00BE7730">
        <w:rPr>
          <w:rFonts w:eastAsia="Arial" w:cs="Times New Roman"/>
          <w:b/>
        </w:rPr>
        <w:t xml:space="preserve"> </w:t>
      </w:r>
      <w:r w:rsidRPr="00BE7730">
        <w:rPr>
          <w:rFonts w:eastAsia="Arial" w:cs="Times New Roman"/>
        </w:rPr>
        <w:t xml:space="preserve">ter dva </w:t>
      </w:r>
      <w:r w:rsidRPr="00BE7730">
        <w:rPr>
          <w:rFonts w:eastAsia="Arial" w:cs="Times New Roman"/>
          <w:b/>
        </w:rPr>
        <w:t>prostovoljna nacionalna pregleda doseganja CTR</w:t>
      </w:r>
      <w:r w:rsidRPr="00BE7730">
        <w:rPr>
          <w:rFonts w:eastAsia="Arial" w:cs="Times New Roman"/>
        </w:rPr>
        <w:t xml:space="preserve"> in sicer leta 2017</w:t>
      </w:r>
      <w:r w:rsidRPr="00BE7730">
        <w:rPr>
          <w:rFonts w:eastAsia="Arial" w:cs="Times New Roman"/>
          <w:vertAlign w:val="superscript"/>
        </w:rPr>
        <w:footnoteReference w:id="84"/>
      </w:r>
      <w:r w:rsidRPr="00BE7730">
        <w:rPr>
          <w:rFonts w:eastAsia="Arial" w:cs="Times New Roman"/>
        </w:rPr>
        <w:t xml:space="preserve"> in leta 2020</w:t>
      </w:r>
      <w:r w:rsidRPr="00BE7730">
        <w:rPr>
          <w:rFonts w:eastAsia="Arial" w:cs="Times New Roman"/>
          <w:vertAlign w:val="superscript"/>
        </w:rPr>
        <w:footnoteReference w:id="85"/>
      </w:r>
      <w:r w:rsidRPr="00BE7730">
        <w:rPr>
          <w:rFonts w:eastAsia="Arial" w:cs="Times New Roman"/>
        </w:rPr>
        <w:t xml:space="preserve"> (elektronska korespondenca 22.4.2024).</w:t>
      </w:r>
    </w:p>
    <w:p w14:paraId="000000DB" w14:textId="77777777" w:rsidR="00525158" w:rsidRPr="00BE7730" w:rsidRDefault="00525158">
      <w:pPr>
        <w:shd w:val="clear" w:color="auto" w:fill="FFFFFF"/>
        <w:jc w:val="both"/>
        <w:rPr>
          <w:rFonts w:eastAsia="Arial" w:cs="Times New Roman"/>
        </w:rPr>
      </w:pPr>
    </w:p>
    <w:p w14:paraId="000000DC" w14:textId="77777777" w:rsidR="00525158" w:rsidRPr="00BE7730" w:rsidRDefault="004D4AEA" w:rsidP="003954BC">
      <w:pPr>
        <w:pStyle w:val="Heading4"/>
        <w:rPr>
          <w:rFonts w:eastAsia="Arial" w:cs="Times New Roman"/>
        </w:rPr>
      </w:pPr>
      <w:bookmarkStart w:id="32" w:name="_Toc205412946"/>
      <w:r w:rsidRPr="00BE7730">
        <w:rPr>
          <w:rFonts w:eastAsia="Arial" w:cs="Times New Roman"/>
        </w:rPr>
        <w:t>Ministrstvo za notranje zadeve (MNZ)</w:t>
      </w:r>
      <w:bookmarkEnd w:id="32"/>
      <w:r w:rsidRPr="00BE7730">
        <w:rPr>
          <w:rFonts w:eastAsia="Arial" w:cs="Times New Roman"/>
        </w:rPr>
        <w:t xml:space="preserve"> </w:t>
      </w:r>
    </w:p>
    <w:p w14:paraId="608E779F" w14:textId="77777777" w:rsidR="003954BC" w:rsidRPr="00BE7730" w:rsidRDefault="003954BC">
      <w:pPr>
        <w:shd w:val="clear" w:color="auto" w:fill="FFFFFF"/>
        <w:jc w:val="both"/>
        <w:rPr>
          <w:rFonts w:eastAsia="Arial" w:cs="Times New Roman"/>
        </w:rPr>
      </w:pPr>
    </w:p>
    <w:p w14:paraId="000000DD" w14:textId="1E954BED" w:rsidR="00525158" w:rsidRPr="00BE7730" w:rsidRDefault="004D4AEA">
      <w:pPr>
        <w:shd w:val="clear" w:color="auto" w:fill="FFFFFF"/>
        <w:jc w:val="both"/>
        <w:rPr>
          <w:rFonts w:eastAsia="Arial" w:cs="Times New Roman"/>
        </w:rPr>
      </w:pPr>
      <w:r w:rsidRPr="00BE7730">
        <w:rPr>
          <w:rFonts w:eastAsia="Arial" w:cs="Times New Roman"/>
        </w:rPr>
        <w:t xml:space="preserve">MNZ je (v elektronski korespondenci dne 7.5.2024 in 13.5.2024) za področji </w:t>
      </w:r>
      <w:r w:rsidRPr="00BE7730">
        <w:rPr>
          <w:rFonts w:eastAsia="Arial" w:cs="Times New Roman"/>
          <w:b/>
        </w:rPr>
        <w:t>migracij in varnosti</w:t>
      </w:r>
      <w:r w:rsidRPr="00BE7730">
        <w:rPr>
          <w:rFonts w:eastAsia="Arial" w:cs="Times New Roman"/>
        </w:rPr>
        <w:t xml:space="preserve"> izpostavilo naslednje politike, ki jih izvajajo in ki jih smatrajo za relevantne za našo analizo: </w:t>
      </w:r>
    </w:p>
    <w:p w14:paraId="000000DE" w14:textId="77777777" w:rsidR="00525158" w:rsidRPr="00BE7730" w:rsidRDefault="004D4AEA">
      <w:pPr>
        <w:shd w:val="clear" w:color="auto" w:fill="FFFFFF"/>
        <w:jc w:val="both"/>
        <w:rPr>
          <w:rFonts w:eastAsia="Arial" w:cs="Times New Roman"/>
        </w:rPr>
      </w:pPr>
      <w:r w:rsidRPr="00BE7730">
        <w:rPr>
          <w:rFonts w:eastAsia="Arial" w:cs="Times New Roman"/>
        </w:rPr>
        <w:t>1. Sodelovanje policije v civilnih misijah in kriznih žariščih s ciljem stabilizacije in normalizacije razmer;</w:t>
      </w:r>
    </w:p>
    <w:p w14:paraId="000000DF" w14:textId="77777777" w:rsidR="00525158" w:rsidRPr="00BE7730" w:rsidRDefault="004D4AEA">
      <w:pPr>
        <w:shd w:val="clear" w:color="auto" w:fill="FFFFFF"/>
        <w:jc w:val="both"/>
        <w:rPr>
          <w:rFonts w:eastAsia="Arial" w:cs="Times New Roman"/>
        </w:rPr>
      </w:pPr>
      <w:r w:rsidRPr="00BE7730">
        <w:rPr>
          <w:rFonts w:eastAsia="Arial" w:cs="Times New Roman"/>
        </w:rPr>
        <w:t xml:space="preserve">2. Izvajanje ukrepov iz Strategije Vlade RS na področju priseljevanja;  </w:t>
      </w:r>
    </w:p>
    <w:p w14:paraId="000000E0" w14:textId="77777777" w:rsidR="00525158" w:rsidRPr="00BE7730" w:rsidRDefault="004D4AEA">
      <w:pPr>
        <w:shd w:val="clear" w:color="auto" w:fill="FFFFFF"/>
        <w:jc w:val="both"/>
        <w:rPr>
          <w:rFonts w:eastAsia="Arial" w:cs="Times New Roman"/>
        </w:rPr>
      </w:pPr>
      <w:r w:rsidRPr="00BE7730">
        <w:rPr>
          <w:rFonts w:eastAsia="Arial" w:cs="Times New Roman"/>
        </w:rPr>
        <w:t>3. Okoljska kriminaliteta in s tem povezane usmeritve ministra za notranje zadeve;</w:t>
      </w:r>
    </w:p>
    <w:p w14:paraId="000000E1" w14:textId="77777777" w:rsidR="00525158" w:rsidRPr="00BE7730" w:rsidRDefault="004D4AEA">
      <w:pPr>
        <w:shd w:val="clear" w:color="auto" w:fill="FFFFFF"/>
        <w:jc w:val="both"/>
        <w:rPr>
          <w:rFonts w:eastAsia="Arial" w:cs="Times New Roman"/>
        </w:rPr>
      </w:pPr>
      <w:r w:rsidRPr="00BE7730">
        <w:rPr>
          <w:rFonts w:eastAsia="Arial" w:cs="Times New Roman"/>
        </w:rPr>
        <w:t>4. Zagotavljanje notranje varnosti kot predpostavke za trajnostni razvoj v skladu z Resolucijo o strategiji nacionalne varnosti RS;</w:t>
      </w:r>
    </w:p>
    <w:p w14:paraId="000000E2" w14:textId="77777777" w:rsidR="00525158" w:rsidRPr="00BE7730" w:rsidRDefault="004D4AEA">
      <w:pPr>
        <w:shd w:val="clear" w:color="auto" w:fill="FFFFFF"/>
        <w:jc w:val="both"/>
        <w:rPr>
          <w:rFonts w:eastAsia="Arial" w:cs="Times New Roman"/>
        </w:rPr>
      </w:pPr>
      <w:r w:rsidRPr="00BE7730">
        <w:rPr>
          <w:rFonts w:eastAsia="Arial" w:cs="Times New Roman"/>
        </w:rPr>
        <w:t>5. Sodelovanje v projektih, financiranih s strani EU v regiji Zahodni Balkan;</w:t>
      </w:r>
    </w:p>
    <w:p w14:paraId="000000E3" w14:textId="77777777" w:rsidR="00525158" w:rsidRPr="00BE7730" w:rsidRDefault="004D4AEA">
      <w:pPr>
        <w:shd w:val="clear" w:color="auto" w:fill="FFFFFF"/>
        <w:jc w:val="both"/>
        <w:rPr>
          <w:rFonts w:eastAsia="Arial" w:cs="Times New Roman"/>
        </w:rPr>
      </w:pPr>
      <w:r w:rsidRPr="00BE7730">
        <w:rPr>
          <w:rFonts w:eastAsia="Arial" w:cs="Times New Roman"/>
        </w:rPr>
        <w:t>6. Strategija vključevanja tujcev.</w:t>
      </w:r>
    </w:p>
    <w:p w14:paraId="000000E4" w14:textId="77777777" w:rsidR="00525158" w:rsidRPr="00BE7730" w:rsidRDefault="00525158">
      <w:pPr>
        <w:shd w:val="clear" w:color="auto" w:fill="FFFFFF"/>
        <w:jc w:val="both"/>
        <w:rPr>
          <w:rFonts w:eastAsia="Arial" w:cs="Times New Roman"/>
        </w:rPr>
      </w:pPr>
    </w:p>
    <w:p w14:paraId="000000E5" w14:textId="77777777" w:rsidR="00525158" w:rsidRPr="00BE7730" w:rsidRDefault="004D4AEA">
      <w:pPr>
        <w:shd w:val="clear" w:color="auto" w:fill="FFFFFF"/>
        <w:jc w:val="both"/>
        <w:rPr>
          <w:rFonts w:eastAsia="Arial" w:cs="Times New Roman"/>
        </w:rPr>
      </w:pPr>
      <w:r w:rsidRPr="00BE7730">
        <w:rPr>
          <w:rFonts w:eastAsia="Arial" w:cs="Times New Roman"/>
          <w:b/>
        </w:rPr>
        <w:t>Resolucijo o strategiji nacionalne varnosti Republike Slovenije (ReSNV-2)</w:t>
      </w:r>
      <w:r w:rsidRPr="00BE7730">
        <w:rPr>
          <w:rFonts w:eastAsia="Arial" w:cs="Times New Roman"/>
          <w:vertAlign w:val="superscript"/>
        </w:rPr>
        <w:footnoteReference w:id="86"/>
      </w:r>
      <w:r w:rsidRPr="00BE7730">
        <w:rPr>
          <w:rFonts w:eastAsia="Arial" w:cs="Times New Roman"/>
        </w:rPr>
        <w:t xml:space="preserve"> je sprejel Državni zbor na seji 26. septembra 2019. Med nacionalno varnostnimi cilji Republike Slovenije resolucija izpostavlja varovanje okolja in trajnostni razvoj gospodarstva. </w:t>
      </w:r>
    </w:p>
    <w:p w14:paraId="000000E6" w14:textId="77777777" w:rsidR="00525158" w:rsidRPr="00BE7730" w:rsidRDefault="004D4AEA">
      <w:pPr>
        <w:shd w:val="clear" w:color="auto" w:fill="FFFFFF"/>
        <w:spacing w:before="240"/>
        <w:jc w:val="both"/>
        <w:rPr>
          <w:rFonts w:eastAsia="Arial" w:cs="Times New Roman"/>
          <w:u w:val="single"/>
        </w:rPr>
      </w:pPr>
      <w:r w:rsidRPr="00BE7730">
        <w:rPr>
          <w:rFonts w:eastAsia="Arial" w:cs="Times New Roman"/>
        </w:rPr>
        <w:t xml:space="preserve">Resolucija najprej poda identifikacijo groženj in tveganj varnosti Slovenije, pri čemer izpostavi globalna finančna, gospodarska, tehnološka in socialna oziroma demografska tveganja, zaradi katerih </w:t>
      </w:r>
      <w:r w:rsidRPr="00BE7730">
        <w:rPr>
          <w:rFonts w:eastAsia="Arial" w:cs="Times New Roman"/>
          <w:i/>
        </w:rPr>
        <w:t>»prihaja do tveganj pri ohranjanju trajnostnega ekonomskega razvoja«</w:t>
      </w:r>
      <w:r w:rsidRPr="00BE7730">
        <w:rPr>
          <w:rFonts w:eastAsia="Arial" w:cs="Times New Roman"/>
        </w:rPr>
        <w:t xml:space="preserve">. Resolucija izpostavi tudi omejenost naravnih virov in degradacijo življenjskega okolja, kjer bodo v prihodnje </w:t>
      </w:r>
      <w:r w:rsidRPr="00BE7730">
        <w:rPr>
          <w:rFonts w:eastAsia="Arial" w:cs="Times New Roman"/>
          <w:i/>
        </w:rPr>
        <w:t>»največjo obremenitev za okolje in odločilni vpliv na procese v prostoru povzročali industrija, energetika, kmetijstvo, promet, poselitev in turizem«</w:t>
      </w:r>
      <w:r w:rsidRPr="00BE7730">
        <w:rPr>
          <w:rFonts w:eastAsia="Arial" w:cs="Times New Roman"/>
        </w:rPr>
        <w:t xml:space="preserve"> ki pa so hkrati ključni nosilci razvoja in dejavniki zagotavljanja blaginje v družbi. Pri odzivanju Republike Slovenije na grožnje in tveganja nacionalne varnosti resolucija izpostavlja, da je ključno zagotavljati visoko raven človekove varnosti, odpornost države in družbe ter spodbujati trajnostni družbeni razvoj in blaginjo, obenem pa ohranjati nacionalno identiteto. Hkrati je pomembno prispevati k ohranjanju miru ter krepitvi varnosti in stabilnosti v mednarodni skupnosti, skladno z mednarodnimi obveznostmi države. Pri zunanji politiki se bo Slovenija zavzemala za mirno reševanje sporov, krepitev sodelovanja in zaupanja med državami, spoštovanje mednarodnega prava ter človekovih pravic. Aktivno bo prispevala k </w:t>
      </w:r>
      <w:r w:rsidRPr="00BE7730">
        <w:rPr>
          <w:rFonts w:eastAsia="Arial" w:cs="Times New Roman"/>
          <w:u w:val="single"/>
        </w:rPr>
        <w:t>nizkoogljičnemu trajnostnemu razvoju mednarodne skupnosti.</w:t>
      </w:r>
    </w:p>
    <w:p w14:paraId="000000E7" w14:textId="77777777" w:rsidR="00525158" w:rsidRPr="00BE7730" w:rsidRDefault="004D4AEA">
      <w:pPr>
        <w:shd w:val="clear" w:color="auto" w:fill="FFFFFF"/>
        <w:spacing w:before="200" w:after="200"/>
        <w:jc w:val="both"/>
        <w:rPr>
          <w:rFonts w:eastAsia="Arial" w:cs="Times New Roman"/>
        </w:rPr>
      </w:pPr>
      <w:r w:rsidRPr="00BE7730">
        <w:rPr>
          <w:rFonts w:eastAsia="Arial" w:cs="Times New Roman"/>
          <w:b/>
        </w:rPr>
        <w:t>Z vidika uresničevanja CTR, skladnosti politik in mednarodnega razvojnega sodelovanja</w:t>
      </w:r>
      <w:r w:rsidRPr="00BE7730">
        <w:rPr>
          <w:rFonts w:eastAsia="Arial" w:cs="Times New Roman"/>
        </w:rPr>
        <w:t xml:space="preserve"> je v resoluciji zapisano, da bo Slovenija pri odzivanju na krizna žarišča izvajala </w:t>
      </w:r>
      <w:r w:rsidRPr="00BE7730">
        <w:rPr>
          <w:rFonts w:eastAsia="Arial" w:cs="Times New Roman"/>
          <w:i/>
        </w:rPr>
        <w:t xml:space="preserve">»celovit pristop z uravnoteženimi in usklajenimi prispevki pristojnih ministrstev, vladnih služb in drugih državnih organov, javnih in zasebnih gospodarskih zavodov in družb ter vladnih in nevladnih </w:t>
      </w:r>
      <w:r w:rsidRPr="00BE7730">
        <w:rPr>
          <w:rFonts w:eastAsia="Arial" w:cs="Times New Roman"/>
          <w:i/>
        </w:rPr>
        <w:lastRenderedPageBreak/>
        <w:t>razvojnih in humanitarnih organizacij.«</w:t>
      </w:r>
      <w:r w:rsidRPr="00BE7730">
        <w:rPr>
          <w:rFonts w:eastAsia="Arial" w:cs="Times New Roman"/>
        </w:rPr>
        <w:t xml:space="preserve"> V okviru humanitarnih prizadevanj resolucija izpostavlja poudarek na doseganju </w:t>
      </w:r>
      <w:r w:rsidRPr="00BE7730">
        <w:rPr>
          <w:rFonts w:eastAsia="Arial" w:cs="Times New Roman"/>
          <w:u w:val="single"/>
        </w:rPr>
        <w:t>enakosti spolov in krepitvi vloge žensk,</w:t>
      </w:r>
      <w:r w:rsidRPr="00BE7730">
        <w:rPr>
          <w:rFonts w:eastAsia="Arial" w:cs="Times New Roman"/>
        </w:rPr>
        <w:t xml:space="preserve"> s ciljem prispevati k miru, stabilnosti, varnosti ter družbenemu in gospodarskemu razvoju v državah v razvoju. Slovenija bo svoje delovanje na kriznih žariščih dopolnila z učinkovitejšim medresorskim pristopom, ki združuje vojaške, policijske in civilno-vojaške zmogljivosti ter sodelovanje mednarodnih in nevladnih organizacij. Ta pristop vključuje razvojno, humanitarno in psihosocialno pomoč, gospodarsko podporo, krepitev demokratičnih institucij ter reformo varnostnih struktur za obvladovanje groženj in tveganj.</w:t>
      </w:r>
    </w:p>
    <w:p w14:paraId="000000E8" w14:textId="77777777" w:rsidR="00525158" w:rsidRPr="00BE7730" w:rsidRDefault="004D4AEA">
      <w:pPr>
        <w:shd w:val="clear" w:color="auto" w:fill="FFFFFF"/>
        <w:spacing w:before="200" w:after="200"/>
        <w:jc w:val="both"/>
        <w:rPr>
          <w:rFonts w:eastAsia="Arial" w:cs="Times New Roman"/>
          <w:i/>
          <w:u w:val="single"/>
        </w:rPr>
      </w:pPr>
      <w:r w:rsidRPr="00BE7730">
        <w:rPr>
          <w:rFonts w:eastAsia="Arial" w:cs="Times New Roman"/>
        </w:rPr>
        <w:t xml:space="preserve">Z vidika skladnosti politik in sledenju CTR se resolucija zavzema tudi za ustrezno odzivanje na okoljske oziroma </w:t>
      </w:r>
      <w:r w:rsidRPr="00BE7730">
        <w:rPr>
          <w:rFonts w:eastAsia="Arial" w:cs="Times New Roman"/>
          <w:u w:val="single"/>
        </w:rPr>
        <w:t>podnebne spremembe.</w:t>
      </w:r>
      <w:r w:rsidRPr="00BE7730">
        <w:rPr>
          <w:rFonts w:eastAsia="Arial" w:cs="Times New Roman"/>
        </w:rPr>
        <w:t xml:space="preserve"> V skladu z resolucijo bo Slovenija pripravljala in izvajala politike za prilagajanje podnebnim spremembam, s ciljem omejiti škodljive posledice in obvladovati tveganja. Politike bodo temeljile na usmeritvah OZN in EU ter upoštevale nacionalne posebnosti. Hkrati bo Slovenija spodbujala razvoj visokotehnološkega gospodarstva, zmanjševanje emisij ter pomagala državam v razvoju pri prilagajanju podnebnim spremembam in obvladovanju emisij. Resolucija nadalje navaja, da si bo Slovenija prizadevala za učinkovito prilagajanje celotne družbe podnebnim spremembam, s poudarkom na </w:t>
      </w:r>
      <w:r w:rsidRPr="00BE7730">
        <w:rPr>
          <w:rFonts w:eastAsia="Arial" w:cs="Times New Roman"/>
          <w:i/>
        </w:rPr>
        <w:t>»interdisciplinarnosti in medsektorski usklajenosti ukrepov.«</w:t>
      </w:r>
      <w:r w:rsidRPr="00BE7730">
        <w:rPr>
          <w:rFonts w:eastAsia="Arial" w:cs="Times New Roman"/>
          <w:i/>
          <w:u w:val="single"/>
        </w:rPr>
        <w:t xml:space="preserve"> </w:t>
      </w:r>
    </w:p>
    <w:p w14:paraId="000000E9" w14:textId="77777777" w:rsidR="00525158" w:rsidRPr="00BE7730" w:rsidRDefault="004D4AEA">
      <w:pPr>
        <w:shd w:val="clear" w:color="auto" w:fill="FFFFFF"/>
        <w:spacing w:before="200" w:after="200"/>
        <w:jc w:val="both"/>
        <w:rPr>
          <w:rFonts w:eastAsia="Arial" w:cs="Times New Roman"/>
          <w:i/>
        </w:rPr>
      </w:pPr>
      <w:r w:rsidRPr="00BE7730">
        <w:rPr>
          <w:rFonts w:eastAsia="Arial" w:cs="Times New Roman"/>
        </w:rPr>
        <w:t xml:space="preserve">V okviru odzivanja na globalna, gospodarska, finančna, socialna in tehnološka tveganja resolucija izpostavlja tudi preventivno delovanje, blažitev vplivov negativnih posledic globalizacije ter ustvarjanje okolja za dinamično in trajnostno gospodarstvo vključno z spodbujnjem varčevalne politike, razvojem novih tehnologij, uporabo in iskanjem alternativnih virov energije in surovin. Resolucija navaja, da bo </w:t>
      </w:r>
      <w:r w:rsidRPr="00BE7730">
        <w:rPr>
          <w:rFonts w:eastAsia="Arial" w:cs="Times New Roman"/>
          <w:i/>
        </w:rPr>
        <w:t xml:space="preserve">»gospodarska politika temeljila na enakovrednem obravnavanju gospodarske, socialne in okoljske razsežnosti blaginje ter na trajnostnem razvoju.« </w:t>
      </w:r>
      <w:r w:rsidRPr="00BE7730">
        <w:rPr>
          <w:rFonts w:eastAsia="Arial" w:cs="Times New Roman"/>
        </w:rPr>
        <w:t xml:space="preserve">Na področju energetike in surovin si bo Republika Slovenija </w:t>
      </w:r>
      <w:r w:rsidRPr="00BE7730">
        <w:rPr>
          <w:rFonts w:eastAsia="Arial" w:cs="Times New Roman"/>
          <w:i/>
        </w:rPr>
        <w:t>»prizadevala za večjo gospodarsko razvitost in blaginjo, izboljšanje kakovosti življenja njenih prebivalcev, zagotavljanje trajnostnega razvoja na gospodarskem in socialnem področju ter spodbujanje ustvarjalne, na tehnologiji temelječe in odprte družbe.«</w:t>
      </w:r>
    </w:p>
    <w:p w14:paraId="000000EA" w14:textId="77777777" w:rsidR="00525158" w:rsidRPr="00BE7730" w:rsidRDefault="004D4AEA">
      <w:pPr>
        <w:shd w:val="clear" w:color="auto" w:fill="FFFFFF"/>
        <w:spacing w:before="200" w:after="200"/>
        <w:jc w:val="both"/>
        <w:rPr>
          <w:rFonts w:eastAsia="Arial" w:cs="Times New Roman"/>
          <w:i/>
        </w:rPr>
      </w:pPr>
      <w:r w:rsidRPr="00BE7730">
        <w:rPr>
          <w:rFonts w:eastAsia="Arial" w:cs="Times New Roman"/>
        </w:rPr>
        <w:t xml:space="preserve">Resolucija zagovarja tudi premišljene posege v prostor oziroma trajnostno urejanje prostora, predvsem z vidika </w:t>
      </w:r>
      <w:r w:rsidRPr="00BE7730">
        <w:rPr>
          <w:rFonts w:eastAsia="Arial" w:cs="Times New Roman"/>
          <w:u w:val="single"/>
        </w:rPr>
        <w:t>odzivanja na omejenost naravnih virov</w:t>
      </w:r>
      <w:r w:rsidRPr="00BE7730">
        <w:rPr>
          <w:rFonts w:eastAsia="Arial" w:cs="Times New Roman"/>
        </w:rPr>
        <w:t xml:space="preserve"> in degradacijo življenjskega okolja. Slovenija bo pri zaščiti naravnih virov in varovanju okolja upoštevala lastne in EU standarde ter mednarodne dogovore. Osredotočila se bo na zmanjševanje izpustov toplogrednih plinov, ohranjanje biotske raznovrstnosti, zmanjševanje onesnaženosti tal, upravljanje z vodami, izboljšanje kakovosti zraka, zmanjšanje odpadkov in povečanje recikliranja ter znižanje hrupa in elektromagnetnih emisij. Slovenija bo spodbujala uvajanje naprednih tehnologij za zmanjšanje onesnaženja. Na področju kmetijstva se bo osredotočila na ohranjanje in širjenje kmetijskih zemljišč ter povečanje proizvodnje hrane in krme. Zagotavljala bo diverzifikacijo virov preskrbe, s poudarkom na uporabi lokalnih obnovljivih virov energije in prehodu na nadomestne vire. Z vidika sledenju CTR in skladnosti politik na okoljskem področju tako resolucija navaja, da se bo</w:t>
      </w:r>
      <w:r w:rsidRPr="00BE7730">
        <w:rPr>
          <w:rFonts w:eastAsia="Arial" w:cs="Times New Roman"/>
          <w:i/>
        </w:rPr>
        <w:t xml:space="preserve"> »pri skrbi za družbeni razvoj upoštevalo vsa zakonsko opredeljena načela varstva okolja, zagotavljalo vključevanje okoljskih vsebin in </w:t>
      </w:r>
      <w:r w:rsidRPr="00BE7730">
        <w:rPr>
          <w:rFonts w:eastAsia="Arial" w:cs="Times New Roman"/>
          <w:i/>
          <w:u w:val="single"/>
        </w:rPr>
        <w:t>načel trajnostnega razvoja v programe drugih resorjev</w:t>
      </w:r>
      <w:r w:rsidRPr="00BE7730">
        <w:rPr>
          <w:rFonts w:eastAsia="Arial" w:cs="Times New Roman"/>
          <w:i/>
        </w:rPr>
        <w:t xml:space="preserve"> ter krepilo zavest državljanov o pomenu varovanja okolja.« </w:t>
      </w:r>
    </w:p>
    <w:p w14:paraId="000000EB" w14:textId="77777777" w:rsidR="00525158" w:rsidRPr="00BE7730" w:rsidRDefault="004D4AEA">
      <w:pPr>
        <w:shd w:val="clear" w:color="auto" w:fill="FFFFFF"/>
        <w:spacing w:before="240" w:after="240"/>
        <w:jc w:val="both"/>
        <w:rPr>
          <w:rFonts w:eastAsia="Arial" w:cs="Times New Roman"/>
          <w:sz w:val="22"/>
          <w:szCs w:val="22"/>
        </w:rPr>
      </w:pPr>
      <w:r w:rsidRPr="00BE7730">
        <w:rPr>
          <w:rFonts w:eastAsia="Arial" w:cs="Times New Roman"/>
          <w:b/>
        </w:rPr>
        <w:lastRenderedPageBreak/>
        <w:t>Strategija vključevanja tujcev, ki niso državljani Evropske unije, v kulturno, gospodarsko in družbeno življenje Republike Slovenije</w:t>
      </w:r>
      <w:r w:rsidRPr="00BE7730">
        <w:rPr>
          <w:rFonts w:eastAsia="Arial" w:cs="Times New Roman"/>
        </w:rPr>
        <w:t>,</w:t>
      </w:r>
      <w:r w:rsidRPr="00BE7730">
        <w:rPr>
          <w:rFonts w:eastAsia="Arial" w:cs="Times New Roman"/>
          <w:vertAlign w:val="superscript"/>
        </w:rPr>
        <w:footnoteReference w:id="87"/>
      </w:r>
      <w:r w:rsidRPr="00BE7730">
        <w:rPr>
          <w:rFonts w:eastAsia="Arial" w:cs="Times New Roman"/>
        </w:rPr>
        <w:t xml:space="preserve"> ki je bila sprejeta leta 2023, sicer ne omenja skladnosti politik oziroma načela SPR ali SPTR, tudi MRS, razvojne pomoči ali t.i. držav v razvoju ne omenja. Za pričujočo analizo je morda relevanten le kratek zapis o </w:t>
      </w:r>
      <w:r w:rsidRPr="00BE7730">
        <w:rPr>
          <w:rFonts w:eastAsia="Arial" w:cs="Times New Roman"/>
          <w:sz w:val="22"/>
          <w:szCs w:val="22"/>
        </w:rPr>
        <w:t xml:space="preserve">medijski kampanji iz leta 2015 s področja migracij in razvoja družbe </w:t>
      </w:r>
      <w:r w:rsidRPr="00BE7730">
        <w:rPr>
          <w:rFonts w:eastAsia="Arial" w:cs="Times New Roman"/>
          <w:i/>
          <w:sz w:val="22"/>
          <w:szCs w:val="22"/>
        </w:rPr>
        <w:t>Vsi smo migranti</w:t>
      </w:r>
      <w:r w:rsidRPr="00BE7730">
        <w:rPr>
          <w:rFonts w:eastAsia="Arial" w:cs="Times New Roman"/>
          <w:sz w:val="22"/>
          <w:szCs w:val="22"/>
        </w:rPr>
        <w:t>, katere namen je bilo ozaveščanje in informiranje prebivalcev Slovenije o pozitivnih učinkih migracij in pozitivni vlogi ter doprinosu migrantov k razvoju družbe (str. 8).</w:t>
      </w:r>
    </w:p>
    <w:p w14:paraId="000000EC" w14:textId="77777777" w:rsidR="00525158" w:rsidRPr="00BE7730" w:rsidRDefault="00525158">
      <w:pPr>
        <w:shd w:val="clear" w:color="auto" w:fill="FFFFFF"/>
        <w:spacing w:before="240" w:after="240"/>
        <w:jc w:val="both"/>
        <w:rPr>
          <w:rFonts w:eastAsia="Arial" w:cs="Times New Roman"/>
          <w:sz w:val="22"/>
          <w:szCs w:val="22"/>
        </w:rPr>
      </w:pPr>
    </w:p>
    <w:p w14:paraId="000000ED" w14:textId="77777777" w:rsidR="00525158" w:rsidRPr="00BE7730" w:rsidRDefault="004D4AEA" w:rsidP="003954BC">
      <w:pPr>
        <w:pStyle w:val="Heading4"/>
        <w:rPr>
          <w:rFonts w:eastAsia="Arial" w:cs="Times New Roman"/>
        </w:rPr>
      </w:pPr>
      <w:bookmarkStart w:id="33" w:name="_Toc205412947"/>
      <w:r w:rsidRPr="00BE7730">
        <w:rPr>
          <w:rFonts w:eastAsia="Arial" w:cs="Times New Roman"/>
        </w:rPr>
        <w:t>Ministrstvo za javno upravo (MJU)</w:t>
      </w:r>
      <w:bookmarkEnd w:id="33"/>
      <w:r w:rsidRPr="00BE7730">
        <w:rPr>
          <w:rFonts w:eastAsia="Arial" w:cs="Times New Roman"/>
        </w:rPr>
        <w:t xml:space="preserve"> </w:t>
      </w:r>
    </w:p>
    <w:p w14:paraId="000000EE"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MJU je izpostavilo dve strategiji in en projekt, ki spadajo v njihov resor ter prispevajo k trajnostnemu razvoju: a) </w:t>
      </w:r>
      <w:hyperlink r:id="rId12">
        <w:r w:rsidR="00525158" w:rsidRPr="00BE7730">
          <w:rPr>
            <w:rFonts w:eastAsia="Arial" w:cs="Times New Roman"/>
          </w:rPr>
          <w:t>Strategija razvoja Slovenije 2030</w:t>
        </w:r>
      </w:hyperlink>
      <w:r w:rsidRPr="00BE7730">
        <w:rPr>
          <w:rFonts w:eastAsia="Arial" w:cs="Times New Roman"/>
        </w:rPr>
        <w:t xml:space="preserve">, ki je dolgoročni strateški dokument razvojnega načrtovanja države, s katerim morajo biti usklajeni vsi dokumenti razvojnega načrtovanja, ki se pripravljajo na različnih ravneh. Ker so razvojni cilji Slovenije povezani s CTR, so izpostavili tudi </w:t>
      </w:r>
      <w:hyperlink r:id="rId13">
        <w:r w:rsidR="00525158" w:rsidRPr="00BE7730">
          <w:rPr>
            <w:rFonts w:eastAsia="Arial" w:cs="Times New Roman"/>
          </w:rPr>
          <w:t>Agendo 2030</w:t>
        </w:r>
      </w:hyperlink>
      <w:r w:rsidRPr="00BE7730">
        <w:rPr>
          <w:rFonts w:eastAsia="Arial" w:cs="Times New Roman"/>
        </w:rPr>
        <w:t xml:space="preserve">. Izpostavili so predvsem dva dokumenta in sicer: b) </w:t>
      </w:r>
      <w:hyperlink r:id="rId14">
        <w:r w:rsidR="00525158" w:rsidRPr="00BE7730">
          <w:rPr>
            <w:rFonts w:eastAsia="Arial" w:cs="Times New Roman"/>
            <w:b/>
          </w:rPr>
          <w:t>Celoviti strateški projekt razogljičenja Slovenije preko prehoda v krožno gospodarstvo</w:t>
        </w:r>
      </w:hyperlink>
      <w:r w:rsidRPr="00BE7730">
        <w:rPr>
          <w:rFonts w:eastAsia="Arial" w:cs="Times New Roman"/>
          <w:vertAlign w:val="superscript"/>
        </w:rPr>
        <w:footnoteReference w:id="88"/>
      </w:r>
      <w:r w:rsidRPr="00BE7730">
        <w:rPr>
          <w:rFonts w:eastAsia="Arial" w:cs="Times New Roman"/>
        </w:rPr>
        <w:t xml:space="preserve">, ki se izvaja z namenom krepitve sposobnosti za sistemsko inoviranje z metodologijo </w:t>
      </w:r>
      <w:r w:rsidRPr="00BE7730">
        <w:rPr>
          <w:rFonts w:eastAsia="Arial" w:cs="Times New Roman"/>
          <w:i/>
        </w:rPr>
        <w:t>Deep Demonstration</w:t>
      </w:r>
      <w:r w:rsidRPr="00BE7730">
        <w:rPr>
          <w:rFonts w:eastAsia="Arial" w:cs="Times New Roman"/>
        </w:rPr>
        <w:t xml:space="preserve"> v soustvarjalnem procesu slovenskih deležnikov in EIT Climate KIC; in c) </w:t>
      </w:r>
      <w:r w:rsidRPr="00BE7730">
        <w:rPr>
          <w:rFonts w:eastAsia="Arial" w:cs="Times New Roman"/>
          <w:b/>
        </w:rPr>
        <w:t>Strategijo trajnostnega razvoja javne uprave do leta 2030</w:t>
      </w:r>
      <w:r w:rsidRPr="00BE7730">
        <w:rPr>
          <w:rFonts w:eastAsia="Arial" w:cs="Times New Roman"/>
        </w:rPr>
        <w:t>, ki pa je še v pripravi (elektronska korespondenca 26.4.2024).</w:t>
      </w:r>
    </w:p>
    <w:p w14:paraId="000000EF" w14:textId="77777777" w:rsidR="00525158" w:rsidRPr="00BE7730" w:rsidRDefault="004D4AEA" w:rsidP="003954BC">
      <w:pPr>
        <w:pStyle w:val="Heading4"/>
        <w:rPr>
          <w:rFonts w:eastAsia="Arial" w:cs="Times New Roman"/>
        </w:rPr>
      </w:pPr>
      <w:bookmarkStart w:id="34" w:name="_Toc205412948"/>
      <w:r w:rsidRPr="00BE7730">
        <w:rPr>
          <w:rFonts w:eastAsia="Arial" w:cs="Times New Roman"/>
        </w:rPr>
        <w:t>Ministrstvo za finance (MF)</w:t>
      </w:r>
      <w:bookmarkEnd w:id="34"/>
      <w:r w:rsidRPr="00BE7730">
        <w:rPr>
          <w:rFonts w:eastAsia="Arial" w:cs="Times New Roman"/>
        </w:rPr>
        <w:t xml:space="preserve"> </w:t>
      </w:r>
    </w:p>
    <w:p w14:paraId="000000F0"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MF je odgovorilo, da</w:t>
      </w:r>
      <w:r w:rsidRPr="00BE7730">
        <w:rPr>
          <w:rFonts w:eastAsia="Arial" w:cs="Times New Roman"/>
          <w:b/>
        </w:rPr>
        <w:t xml:space="preserve"> </w:t>
      </w:r>
      <w:r w:rsidRPr="00BE7730">
        <w:rPr>
          <w:rFonts w:eastAsia="Arial" w:cs="Times New Roman"/>
        </w:rPr>
        <w:t>skladno z Zakonom o vladi MF ni pristojno za razvojno načrtovanje. Strateški dokumenti, ki so v pripravi na MF, niso dokumenti razvoja in z vidika fiskalne politike sledijo v prvi vrsti fiskalnemu pravilu ter usmeritvam Evropske komisije, Mednarodnega denarnega sklada in OECD. MF je v okviru svojih pristojnosti sodelovalo pri pripravi Strategije razvoja, kjer je imelo vlogo predvsem z vidika zasledovanja trajnejših rešitev v okviru uravnoteženega upravljanja javnih financ in zagotavljanja stabilnega finančnega sistema. Sklepoma dodajajo, da na MF pomoč državam v razvoju izvajajo v okviru bilateralnih in multilateralnih aktivnosti, vezanih na MRS, ki ga koordinira MZEZ (elektronska korespondenca 14.5.2024). Kljub temu, da je MF odgovorno za izvajanje Načrta za okrevanje in odpornost (NOO)</w:t>
      </w:r>
      <w:r w:rsidRPr="00BE7730">
        <w:rPr>
          <w:rFonts w:eastAsia="Arial" w:cs="Times New Roman"/>
          <w:vertAlign w:val="superscript"/>
        </w:rPr>
        <w:footnoteReference w:id="89"/>
      </w:r>
      <w:r w:rsidRPr="00BE7730">
        <w:rPr>
          <w:rFonts w:eastAsia="Arial" w:cs="Times New Roman"/>
        </w:rPr>
        <w:t xml:space="preserve"> v okviru Urada Republike Slovenije za okrevanje in odpornost na MF, ter kljub temu, da tudi državni proračun vsebuje načrt razvojnih programov,</w:t>
      </w:r>
      <w:r w:rsidRPr="00BE7730">
        <w:rPr>
          <w:rFonts w:eastAsia="Arial" w:cs="Times New Roman"/>
          <w:vertAlign w:val="superscript"/>
        </w:rPr>
        <w:footnoteReference w:id="90"/>
      </w:r>
      <w:r w:rsidRPr="00BE7730">
        <w:rPr>
          <w:rFonts w:eastAsia="Arial" w:cs="Times New Roman"/>
        </w:rPr>
        <w:t xml:space="preserve"> ki je v domeni MF, ter da so na MF sofinancirali projekte Centra za mednarodno sodelovanje in razvoj (CMSR) na prioritetnem območju Balkana in Zahodnega Balkana, v zvezi s tem od MF nismo prejeli nobenih informacij.</w:t>
      </w:r>
    </w:p>
    <w:p w14:paraId="000000F1" w14:textId="77777777" w:rsidR="00525158" w:rsidRPr="00BE7730" w:rsidRDefault="004D4AEA" w:rsidP="003954BC">
      <w:pPr>
        <w:pStyle w:val="Heading4"/>
        <w:rPr>
          <w:rFonts w:eastAsia="Arial" w:cs="Times New Roman"/>
        </w:rPr>
      </w:pPr>
      <w:bookmarkStart w:id="35" w:name="_Toc205412949"/>
      <w:r w:rsidRPr="00BE7730">
        <w:rPr>
          <w:rFonts w:eastAsia="Arial" w:cs="Times New Roman"/>
        </w:rPr>
        <w:lastRenderedPageBreak/>
        <w:t>Ministrstvo za gospodarstvo, turizem in šport (MGTŠ)</w:t>
      </w:r>
      <w:bookmarkEnd w:id="35"/>
      <w:r w:rsidRPr="00BE7730">
        <w:rPr>
          <w:rFonts w:eastAsia="Arial" w:cs="Times New Roman"/>
        </w:rPr>
        <w:t xml:space="preserve"> </w:t>
      </w:r>
    </w:p>
    <w:p w14:paraId="000000F2"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MGTŠ (elektronska korespondenca 24.4.2024) je odgovorilo, da je na področju </w:t>
      </w:r>
      <w:r w:rsidRPr="00BE7730">
        <w:rPr>
          <w:rFonts w:eastAsia="Arial" w:cs="Times New Roman"/>
          <w:u w:val="single"/>
        </w:rPr>
        <w:t>trgovine in financ</w:t>
      </w:r>
      <w:r w:rsidRPr="00BE7730">
        <w:rPr>
          <w:rFonts w:eastAsia="Arial" w:cs="Times New Roman"/>
        </w:rPr>
        <w:t xml:space="preserve"> relevantna </w:t>
      </w:r>
      <w:r w:rsidRPr="00BE7730">
        <w:rPr>
          <w:rFonts w:eastAsia="Arial" w:cs="Times New Roman"/>
          <w:b/>
        </w:rPr>
        <w:t>Uredba o taksonomiji na področju trajnostnega financiranja (Uredba (EU) 2020/852)</w:t>
      </w:r>
      <w:r w:rsidRPr="00BE7730">
        <w:rPr>
          <w:rFonts w:eastAsia="Arial" w:cs="Times New Roman"/>
        </w:rPr>
        <w:t xml:space="preserve">, na podlagi katere bodo finančne institucije morale implementirati pravila trajnostnega financiranja, kar je še posebej pomembno za okoljsko trajnost. MGTŠ je kazalnike za okoljsko, socialno in ekonomsko trajnost integriral že v razpis </w:t>
      </w:r>
      <w:r w:rsidRPr="00BE7730">
        <w:rPr>
          <w:rFonts w:eastAsia="Arial" w:cs="Times New Roman"/>
          <w:b/>
        </w:rPr>
        <w:t>Demo-piloti 2</w:t>
      </w:r>
      <w:r w:rsidRPr="00BE7730">
        <w:rPr>
          <w:rFonts w:eastAsia="Arial" w:cs="Times New Roman"/>
          <w:b/>
          <w:vertAlign w:val="superscript"/>
        </w:rPr>
        <w:footnoteReference w:id="91"/>
      </w:r>
      <w:r w:rsidRPr="00BE7730">
        <w:rPr>
          <w:rFonts w:eastAsia="Arial" w:cs="Times New Roman"/>
        </w:rPr>
        <w:t>, kjer so podjetjem dali usmeritve na GRI (</w:t>
      </w:r>
      <w:r w:rsidRPr="00BE7730">
        <w:rPr>
          <w:rFonts w:eastAsia="Arial" w:cs="Times New Roman"/>
          <w:i/>
        </w:rPr>
        <w:t>Global Reporting Initiative</w:t>
      </w:r>
      <w:r w:rsidRPr="00BE7730">
        <w:rPr>
          <w:rFonts w:eastAsia="Arial" w:cs="Times New Roman"/>
        </w:rPr>
        <w:t>) indekse, na CTR in na EFRAG (</w:t>
      </w:r>
      <w:r w:rsidRPr="00BE7730">
        <w:rPr>
          <w:rFonts w:eastAsia="Arial" w:cs="Times New Roman"/>
          <w:i/>
        </w:rPr>
        <w:t>European Financial Reporting Advisory Group</w:t>
      </w:r>
      <w:r w:rsidRPr="00BE7730">
        <w:rPr>
          <w:rFonts w:eastAsia="Arial" w:cs="Times New Roman"/>
        </w:rPr>
        <w:t xml:space="preserve">) kriterije za doseganje trajnosti. MGTŠ za področje </w:t>
      </w:r>
      <w:r w:rsidRPr="00BE7730">
        <w:rPr>
          <w:rFonts w:eastAsia="Arial" w:cs="Times New Roman"/>
          <w:u w:val="single"/>
        </w:rPr>
        <w:t>podnebnih sprememb</w:t>
      </w:r>
      <w:r w:rsidRPr="00BE7730">
        <w:rPr>
          <w:rFonts w:eastAsia="Arial" w:cs="Times New Roman"/>
        </w:rPr>
        <w:t xml:space="preserve"> navaja kot pomemben nacionalni </w:t>
      </w:r>
      <w:r w:rsidRPr="00BE7730">
        <w:rPr>
          <w:rFonts w:eastAsia="Arial" w:cs="Times New Roman"/>
          <w:b/>
        </w:rPr>
        <w:t>Načrt za okrevanje in odpornost (NOO)</w:t>
      </w:r>
      <w:r w:rsidRPr="00BE7730">
        <w:rPr>
          <w:rFonts w:eastAsia="Arial" w:cs="Times New Roman"/>
          <w:b/>
          <w:vertAlign w:val="superscript"/>
        </w:rPr>
        <w:footnoteReference w:id="92"/>
      </w:r>
      <w:r w:rsidRPr="00BE7730">
        <w:rPr>
          <w:rFonts w:eastAsia="Arial" w:cs="Times New Roman"/>
        </w:rPr>
        <w:t xml:space="preserve"> in predstavlja okvir politik, ki v celoti sledi trajnostnim ciljem, saj tako reforme kot tudi investicije sledijo načelu </w:t>
      </w:r>
      <w:r w:rsidRPr="00BE7730">
        <w:rPr>
          <w:rFonts w:eastAsia="Arial" w:cs="Times New Roman"/>
          <w:b/>
        </w:rPr>
        <w:t xml:space="preserve">DNSH </w:t>
      </w:r>
      <w:r w:rsidRPr="00BE7730">
        <w:rPr>
          <w:rFonts w:eastAsia="Arial" w:cs="Times New Roman"/>
          <w:b/>
          <w:i/>
        </w:rPr>
        <w:t>(do no significant harm</w:t>
      </w:r>
      <w:r w:rsidRPr="00BE7730">
        <w:rPr>
          <w:rFonts w:eastAsia="Arial" w:cs="Times New Roman"/>
          <w:b/>
        </w:rPr>
        <w:t>)</w:t>
      </w:r>
      <w:r w:rsidRPr="00BE7730">
        <w:rPr>
          <w:rFonts w:eastAsia="Arial" w:cs="Times New Roman"/>
        </w:rPr>
        <w:t>, ki tudi izhaja iz Uredbe o taksonomiji. NOO opredeli skladnost s Strategijo razvoja in drugimi razvojnimi dokumenti, predvsem sektorskimi akti, uredbami in strategijami, kar je usmerjeno na uresničevanje priporočil, ki jih je Slovenija prejela 2019 in 2020 s strani Evropskega sveta (NOO 2021: 32). NOO opredeljuje finančna sredstva za uresničitev ciljev Strategije razvoja Slovenije 2030. Opredeljena področja pa implicitno zajemajo tudi prioritete opredeljene v Slovenski industrijski strategiji in Strategiji pametne specializacije (Bučar 2024).</w:t>
      </w:r>
    </w:p>
    <w:p w14:paraId="000000F3" w14:textId="77777777" w:rsidR="00525158" w:rsidRPr="00BE7730" w:rsidRDefault="004D4AEA">
      <w:pPr>
        <w:shd w:val="clear" w:color="auto" w:fill="FFFFFF"/>
        <w:spacing w:before="240" w:after="240"/>
        <w:jc w:val="both"/>
        <w:rPr>
          <w:rFonts w:eastAsia="Arial" w:cs="Times New Roman"/>
          <w:u w:val="single"/>
        </w:rPr>
      </w:pPr>
      <w:r w:rsidRPr="00BE7730">
        <w:rPr>
          <w:rFonts w:eastAsia="Arial" w:cs="Times New Roman"/>
        </w:rPr>
        <w:t xml:space="preserve">MGTŠ strateško pokriva </w:t>
      </w:r>
      <w:r w:rsidRPr="00BE7730">
        <w:rPr>
          <w:rFonts w:eastAsia="Arial" w:cs="Times New Roman"/>
          <w:b/>
        </w:rPr>
        <w:t>Strategijo digitalne transformacije gospodarstva</w:t>
      </w:r>
      <w:r w:rsidRPr="00BE7730">
        <w:rPr>
          <w:rFonts w:eastAsia="Arial" w:cs="Times New Roman"/>
        </w:rPr>
        <w:t>,</w:t>
      </w:r>
      <w:r w:rsidRPr="00BE7730">
        <w:rPr>
          <w:rFonts w:eastAsia="Arial" w:cs="Times New Roman"/>
          <w:vertAlign w:val="superscript"/>
        </w:rPr>
        <w:footnoteReference w:id="93"/>
      </w:r>
      <w:r w:rsidRPr="00BE7730">
        <w:rPr>
          <w:rFonts w:eastAsia="Arial" w:cs="Times New Roman"/>
        </w:rPr>
        <w:t xml:space="preserve"> ki je z uporabo naprednih digitalnih tehnologij usmerjena tudi v </w:t>
      </w:r>
      <w:r w:rsidRPr="00BE7730">
        <w:rPr>
          <w:rFonts w:eastAsia="Arial" w:cs="Times New Roman"/>
          <w:u w:val="single"/>
        </w:rPr>
        <w:t xml:space="preserve">zagotavljanje sledljivosti </w:t>
      </w:r>
      <w:r w:rsidRPr="00BE7730">
        <w:rPr>
          <w:rFonts w:eastAsia="Arial" w:cs="Times New Roman"/>
        </w:rPr>
        <w:t xml:space="preserve">(vključno s sledljivostjo produktov in materialov od originala dalje), kar pomeni, da je relevantna politika na tem področju tudi za zagotavljanje </w:t>
      </w:r>
      <w:r w:rsidRPr="00BE7730">
        <w:rPr>
          <w:rFonts w:eastAsia="Arial" w:cs="Times New Roman"/>
          <w:u w:val="single"/>
        </w:rPr>
        <w:t xml:space="preserve">prehranske varnosti. </w:t>
      </w:r>
    </w:p>
    <w:p w14:paraId="000000F4" w14:textId="77777777" w:rsidR="00525158" w:rsidRPr="00BE7730" w:rsidRDefault="004D4AEA">
      <w:pPr>
        <w:shd w:val="clear" w:color="auto" w:fill="FFFFFF"/>
        <w:spacing w:before="240" w:after="240"/>
        <w:jc w:val="both"/>
        <w:rPr>
          <w:rFonts w:eastAsia="Arial" w:cs="Times New Roman"/>
          <w:u w:val="single"/>
        </w:rPr>
      </w:pPr>
      <w:r w:rsidRPr="00BE7730">
        <w:rPr>
          <w:rFonts w:eastAsia="Arial" w:cs="Times New Roman"/>
        </w:rPr>
        <w:t xml:space="preserve">Področje </w:t>
      </w:r>
      <w:r w:rsidRPr="00BE7730">
        <w:rPr>
          <w:rFonts w:eastAsia="Arial" w:cs="Times New Roman"/>
          <w:u w:val="single"/>
        </w:rPr>
        <w:t>varnosti</w:t>
      </w:r>
      <w:r w:rsidRPr="00BE7730">
        <w:rPr>
          <w:rFonts w:eastAsia="Arial" w:cs="Times New Roman"/>
        </w:rPr>
        <w:t xml:space="preserve"> je po mnenju MGTŠ komplementarni atribut trajnosti (še posebej kibernetska varnost) in je pogoj za razvoj digitalnih infrastruktur (kot npr. digitalna infrastruktura v oblaku in na robu). V izvedbene instrumente politik na področju </w:t>
      </w:r>
      <w:r w:rsidRPr="00BE7730">
        <w:rPr>
          <w:rFonts w:eastAsia="Arial" w:cs="Times New Roman"/>
          <w:u w:val="single"/>
        </w:rPr>
        <w:t>razvoja</w:t>
      </w:r>
      <w:r w:rsidRPr="00BE7730">
        <w:rPr>
          <w:rFonts w:eastAsia="Arial" w:cs="Times New Roman"/>
        </w:rPr>
        <w:t xml:space="preserve"> MGTŠ integrira kazalnike za okoljsko, socialno in ekonomsko/upravljalsko trajnost: poleg zgoraj omenjenega instrumenta Demo Piloti, so na enak način zahtevali od podjetij tudi na razpisu za digitalno preobrazbo podjetij, pa tudi v nekatere druge izvedbene instrumente. S področja industrije je v povezavi z razvojem pomembna  še</w:t>
      </w:r>
      <w:hyperlink r:id="rId15">
        <w:r w:rsidR="00525158" w:rsidRPr="00BE7730">
          <w:rPr>
            <w:rFonts w:eastAsia="Arial" w:cs="Times New Roman"/>
            <w:b/>
          </w:rPr>
          <w:t xml:space="preserve"> </w:t>
        </w:r>
      </w:hyperlink>
      <w:hyperlink r:id="rId16">
        <w:r w:rsidR="00525158" w:rsidRPr="00BE7730">
          <w:rPr>
            <w:rFonts w:eastAsia="Arial" w:cs="Times New Roman"/>
            <w:b/>
          </w:rPr>
          <w:t>Slovenska industrijska strategij</w:t>
        </w:r>
      </w:hyperlink>
      <w:r w:rsidRPr="00BE7730">
        <w:rPr>
          <w:rFonts w:eastAsia="Arial" w:cs="Times New Roman"/>
          <w:b/>
        </w:rPr>
        <w:t>a</w:t>
      </w:r>
      <w:r w:rsidRPr="00BE7730">
        <w:rPr>
          <w:rFonts w:eastAsia="Arial" w:cs="Times New Roman"/>
        </w:rPr>
        <w:t>,</w:t>
      </w:r>
      <w:r w:rsidRPr="00BE7730">
        <w:rPr>
          <w:rFonts w:eastAsia="Arial" w:cs="Times New Roman"/>
          <w:vertAlign w:val="superscript"/>
        </w:rPr>
        <w:footnoteReference w:id="94"/>
      </w:r>
      <w:r w:rsidRPr="00BE7730">
        <w:rPr>
          <w:rFonts w:eastAsia="Arial" w:cs="Times New Roman"/>
        </w:rPr>
        <w:t xml:space="preserve"> ki vsebuje zeleno komponento in s tem naslavlja vse tri komponente trajnostnega razvoja (družbo, okolje in gospodarstvo). </w:t>
      </w:r>
    </w:p>
    <w:p w14:paraId="000000F5" w14:textId="77777777" w:rsidR="00525158" w:rsidRPr="00BE7730" w:rsidRDefault="004D4AEA">
      <w:pPr>
        <w:shd w:val="clear" w:color="auto" w:fill="FFFFFF"/>
        <w:spacing w:before="240"/>
        <w:jc w:val="both"/>
        <w:rPr>
          <w:rFonts w:eastAsia="Arial" w:cs="Times New Roman"/>
        </w:rPr>
      </w:pPr>
      <w:r w:rsidRPr="00BE7730">
        <w:rPr>
          <w:rFonts w:eastAsia="Arial" w:cs="Times New Roman"/>
          <w:b/>
        </w:rPr>
        <w:t>Slovenska industrijska strategija 2021-2030</w:t>
      </w:r>
      <w:r w:rsidRPr="00BE7730">
        <w:rPr>
          <w:rFonts w:eastAsia="Arial" w:cs="Times New Roman"/>
          <w:b/>
          <w:vertAlign w:val="superscript"/>
        </w:rPr>
        <w:footnoteReference w:id="95"/>
      </w:r>
      <w:r w:rsidRPr="00BE7730">
        <w:rPr>
          <w:rFonts w:eastAsia="Arial" w:cs="Times New Roman"/>
        </w:rPr>
        <w:t xml:space="preserve"> (SIS), sprejeta leta 2021 že v uvodu izpostavlja nujnost sistematičnega pristopa in povezovanja ukrepov. Navaja, da bo Slovenska industrijska strategija prispevala k doseganju CTR opredeljenih v Agendi 2030 (se pa cilji navajajo z drugimi izrazi)</w:t>
      </w:r>
      <w:r w:rsidRPr="00BE7730">
        <w:rPr>
          <w:rFonts w:eastAsia="Arial" w:cs="Times New Roman"/>
          <w:b/>
        </w:rPr>
        <w:t xml:space="preserve">: 1. Dostojno delo in gospodarska rast; 2. Industrija, inovacije in infrastruktura; 3. Trajnostna mesta in skupnosti; 4. Odgovorna uporaba in proizvodnja; 5. Podnebni ukrepi. </w:t>
      </w:r>
      <w:r w:rsidRPr="00BE7730">
        <w:rPr>
          <w:rFonts w:eastAsia="Arial" w:cs="Times New Roman"/>
        </w:rPr>
        <w:t xml:space="preserve">V dokumentu ni opredeljeno na kakšen način in kdo naj bi spremljal doseganje zastavljenih ciljev. Sicer je SIS v domeni MGTŠ, vendar na njihovi spletni strani ni povezave na omenjeno Strategijo. Na podlagi javno objavljenih dokumentov ni mogoče </w:t>
      </w:r>
      <w:r w:rsidRPr="00BE7730">
        <w:rPr>
          <w:rFonts w:eastAsia="Arial" w:cs="Times New Roman"/>
        </w:rPr>
        <w:lastRenderedPageBreak/>
        <w:t>ugotoviti, kako se uresničuje industrijska strategija in v kakšni meri prispeva k ciljem Strategije razvoja ali Agende 2030 (Bučar 2024).</w:t>
      </w:r>
    </w:p>
    <w:p w14:paraId="000000F6" w14:textId="77777777" w:rsidR="00525158" w:rsidRPr="00BE7730" w:rsidRDefault="004D4AEA">
      <w:pPr>
        <w:shd w:val="clear" w:color="auto" w:fill="FFFFFF"/>
        <w:spacing w:before="240" w:after="240"/>
        <w:jc w:val="both"/>
        <w:rPr>
          <w:rFonts w:eastAsia="Arial" w:cs="Times New Roman"/>
          <w:u w:val="single"/>
        </w:rPr>
      </w:pPr>
      <w:r w:rsidRPr="00BE7730">
        <w:rPr>
          <w:rFonts w:eastAsia="Arial" w:cs="Times New Roman"/>
        </w:rPr>
        <w:t>Pri svojem delu pa MGTŠ v krogu kohezijske politike uporablja tudi</w:t>
      </w:r>
      <w:hyperlink r:id="rId17">
        <w:r w:rsidR="00525158" w:rsidRPr="00BE7730">
          <w:rPr>
            <w:rFonts w:eastAsia="Arial" w:cs="Times New Roman"/>
          </w:rPr>
          <w:t xml:space="preserve"> </w:t>
        </w:r>
      </w:hyperlink>
      <w:hyperlink r:id="rId18">
        <w:r w:rsidR="00525158" w:rsidRPr="00BE7730">
          <w:rPr>
            <w:rFonts w:eastAsia="Arial" w:cs="Times New Roman"/>
            <w:b/>
          </w:rPr>
          <w:t>Slovensko strategijo pametne specializacije</w:t>
        </w:r>
      </w:hyperlink>
      <w:r w:rsidRPr="00BE7730">
        <w:rPr>
          <w:rFonts w:eastAsia="Arial" w:cs="Times New Roman"/>
          <w:b/>
        </w:rPr>
        <w:t xml:space="preserve"> (SPS),</w:t>
      </w:r>
      <w:r w:rsidRPr="00BE7730">
        <w:rPr>
          <w:rFonts w:eastAsia="Arial" w:cs="Times New Roman"/>
          <w:b/>
          <w:vertAlign w:val="superscript"/>
        </w:rPr>
        <w:footnoteReference w:id="96"/>
      </w:r>
      <w:r w:rsidRPr="00BE7730">
        <w:rPr>
          <w:rFonts w:eastAsia="Arial" w:cs="Times New Roman"/>
          <w:b/>
        </w:rPr>
        <w:t xml:space="preserve"> </w:t>
      </w:r>
      <w:r w:rsidRPr="00BE7730">
        <w:rPr>
          <w:rFonts w:eastAsia="Arial" w:cs="Times New Roman"/>
        </w:rPr>
        <w:t>v kateri so opredeljene nacionalne strateške razvojne prioritete. Glavni cilj SPS Slovenije (ali S4) je ustvariti zmožnosti za »trajnostne tehnologije in storitve za zdravo življenje, ki naj Slovenijo umestijo kot zeleno, aktivno, zdravo in digitalno regijo z vrhunskimi pogoji za ustvarjanje in inoviranje, usmerjeno v razvoj srednje in visoko tehnoloških rešitev na nišnih področjih« (SPS, 2015: 7). Po mnenju ustvarjalcev strategije je glavna ideja S4 »dvig dodane vrednosti na zaposlenega« (</w:t>
      </w:r>
      <w:r w:rsidRPr="00BE7730">
        <w:rPr>
          <w:rFonts w:eastAsia="Arial" w:cs="Times New Roman"/>
          <w:i/>
        </w:rPr>
        <w:t>ibid</w:t>
      </w:r>
      <w:r w:rsidRPr="00BE7730">
        <w:rPr>
          <w:rFonts w:eastAsia="Arial" w:cs="Times New Roman"/>
        </w:rPr>
        <w:t>.: 8). SPS je bila leta 2023 nadgrajena; tako</w:t>
      </w:r>
      <w:r w:rsidRPr="00BE7730">
        <w:rPr>
          <w:rFonts w:eastAsia="Arial" w:cs="Times New Roman"/>
          <w:b/>
        </w:rPr>
        <w:t xml:space="preserve"> si je nova SPS za cilj postavila zeleni prehod, ki ga opredeli kot inovativna, nizkoogljična, digitalna in na znanju temelječa preobrazba gospodarstva in družbe (SPS5, 2023)</w:t>
      </w:r>
      <w:r w:rsidRPr="00BE7730">
        <w:rPr>
          <w:rFonts w:eastAsia="Arial" w:cs="Times New Roman"/>
          <w:vertAlign w:val="superscript"/>
        </w:rPr>
        <w:footnoteReference w:id="97"/>
      </w:r>
      <w:r w:rsidRPr="00BE7730">
        <w:rPr>
          <w:rFonts w:eastAsia="Arial" w:cs="Times New Roman"/>
        </w:rPr>
        <w:t xml:space="preserve">, s čimer pametna specializacija dobiva trajnostni značaj. Na spletni strani MKRR najdemo projekt </w:t>
      </w:r>
      <w:r w:rsidRPr="00BE7730">
        <w:rPr>
          <w:rFonts w:eastAsia="Arial" w:cs="Times New Roman"/>
          <w:b/>
        </w:rPr>
        <w:t>Izvajanje in prenova Slovenske strategije pametne specializacije - iz S4 v S5</w:t>
      </w:r>
      <w:r w:rsidRPr="00BE7730">
        <w:rPr>
          <w:rFonts w:eastAsia="Arial" w:cs="Times New Roman"/>
          <w:b/>
          <w:vertAlign w:val="superscript"/>
        </w:rPr>
        <w:footnoteReference w:id="98"/>
      </w:r>
      <w:r w:rsidRPr="00BE7730">
        <w:rPr>
          <w:rFonts w:eastAsia="Arial" w:cs="Times New Roman"/>
        </w:rPr>
        <w:t>, kjer se nahaja tudi besedilo SPS5, vendar iz navedenega ni razvidno, ali je Strategija tudi uradno potrjena</w:t>
      </w:r>
      <w:hyperlink r:id="rId19">
        <w:r w:rsidR="00525158" w:rsidRPr="00BE7730">
          <w:rPr>
            <w:rFonts w:eastAsia="Arial" w:cs="Times New Roman"/>
          </w:rPr>
          <w:t xml:space="preserve"> </w:t>
        </w:r>
      </w:hyperlink>
      <w:r w:rsidRPr="00BE7730">
        <w:rPr>
          <w:rFonts w:eastAsia="Arial" w:cs="Times New Roman"/>
        </w:rPr>
        <w:t>(Bučar 2024).</w:t>
      </w:r>
    </w:p>
    <w:p w14:paraId="000000F7" w14:textId="5AD9C31C"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MGTŠ trenutno pripravlja še predlog </w:t>
      </w:r>
      <w:r w:rsidRPr="00BE7730">
        <w:rPr>
          <w:rFonts w:eastAsia="Arial" w:cs="Times New Roman"/>
          <w:b/>
        </w:rPr>
        <w:t>Zakona o spremembah in dopolnitvah Zakona o gospodarskih družbah (ZGD-1M),</w:t>
      </w:r>
      <w:r w:rsidRPr="00BE7730">
        <w:rPr>
          <w:rFonts w:eastAsia="Arial" w:cs="Times New Roman"/>
        </w:rPr>
        <w:t xml:space="preserve"> ki je v domeni ministrstva in katerega ključni del predstavlja prenos evropske </w:t>
      </w:r>
      <w:r w:rsidRPr="00BE7730">
        <w:rPr>
          <w:rFonts w:eastAsia="Arial" w:cs="Times New Roman"/>
          <w:b/>
        </w:rPr>
        <w:t xml:space="preserve">Direktive </w:t>
      </w:r>
      <w:r w:rsidR="00B9321F">
        <w:rPr>
          <w:rFonts w:eastAsia="Arial" w:cs="Times New Roman"/>
          <w:b/>
        </w:rPr>
        <w:t>glede</w:t>
      </w:r>
      <w:r w:rsidRPr="00BE7730">
        <w:rPr>
          <w:rFonts w:eastAsia="Arial" w:cs="Times New Roman"/>
          <w:b/>
        </w:rPr>
        <w:t xml:space="preserve"> poročanj</w:t>
      </w:r>
      <w:r w:rsidR="00B9321F">
        <w:rPr>
          <w:rFonts w:eastAsia="Arial" w:cs="Times New Roman"/>
          <w:b/>
        </w:rPr>
        <w:t>a</w:t>
      </w:r>
      <w:r w:rsidRPr="00BE7730">
        <w:rPr>
          <w:rFonts w:eastAsia="Arial" w:cs="Times New Roman"/>
          <w:b/>
        </w:rPr>
        <w:t xml:space="preserve"> podjetij </w:t>
      </w:r>
      <w:r w:rsidR="00B9321F">
        <w:rPr>
          <w:rFonts w:eastAsia="Arial" w:cs="Times New Roman"/>
          <w:b/>
        </w:rPr>
        <w:t xml:space="preserve">o </w:t>
      </w:r>
      <w:r w:rsidRPr="00BE7730">
        <w:rPr>
          <w:rFonts w:eastAsia="Arial" w:cs="Times New Roman"/>
          <w:b/>
        </w:rPr>
        <w:t xml:space="preserve">trajnostnosti (CSRD) (Direktiva EU 2022/2464) </w:t>
      </w:r>
      <w:r w:rsidRPr="00BE7730">
        <w:rPr>
          <w:rFonts w:eastAsia="Arial" w:cs="Times New Roman"/>
        </w:rPr>
        <w:t>v slovenski pravni red.</w:t>
      </w:r>
    </w:p>
    <w:p w14:paraId="000000F8"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Pri svojem delu MGTŠ uporablja tudi </w:t>
      </w:r>
      <w:r w:rsidRPr="00BE7730">
        <w:rPr>
          <w:rFonts w:eastAsia="Arial" w:cs="Times New Roman"/>
          <w:b/>
        </w:rPr>
        <w:t>Zakon o spodbujanju investicij,</w:t>
      </w:r>
      <w:r w:rsidRPr="00BE7730">
        <w:rPr>
          <w:rFonts w:eastAsia="Arial" w:cs="Times New Roman"/>
          <w:b/>
          <w:vertAlign w:val="superscript"/>
        </w:rPr>
        <w:footnoteReference w:id="99"/>
      </w:r>
      <w:r w:rsidRPr="00BE7730">
        <w:rPr>
          <w:rFonts w:eastAsia="Arial" w:cs="Times New Roman"/>
        </w:rPr>
        <w:t xml:space="preserve"> s katerim se v Sloveniji podpirajo investicije domačih in tujih investitorjev. Pri tem je sistem točkovanja investicij, ki kandidirajo za spodbude, naravnan na način, da velik oziroma največji poudarek daje prav trajnostni naravnanosti investicij. Merila, ki spodbujajo trajnostni razvoj oziroma zeleni prehod in po katerih se točkuje in odloča o višini spodbud, predstavljajo kar 50 % vseh mogočih točk. Gre za naslednja merila: »Vpliv gospodarske družbe in investicije na okolje«, »Prispevek investicije na področju prehoda na krožno gospodarstvo, vključno s preprečevanjem in nadzorovanjem onesnaževanja«, »Prispevek investicije na področju blažitve podnebnih sprememb«, in »Prispevek gospodarske družbe k okoljski odgovornosti lokalnega okolja in razogljičenju prometnega sektorja«.</w:t>
      </w:r>
    </w:p>
    <w:p w14:paraId="000000F9" w14:textId="2F97E1F1"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MGTŠ na področju </w:t>
      </w:r>
      <w:r w:rsidRPr="00BE7730">
        <w:rPr>
          <w:rFonts w:eastAsia="Arial" w:cs="Times New Roman"/>
          <w:u w:val="single"/>
        </w:rPr>
        <w:t xml:space="preserve">podnebnih sprememb </w:t>
      </w:r>
      <w:r w:rsidRPr="00BE7730">
        <w:rPr>
          <w:rFonts w:eastAsia="Arial" w:cs="Times New Roman"/>
        </w:rPr>
        <w:t xml:space="preserve">omenja tudi nacionalni </w:t>
      </w:r>
      <w:r w:rsidRPr="00BE7730">
        <w:rPr>
          <w:rFonts w:eastAsia="Arial" w:cs="Times New Roman"/>
          <w:b/>
        </w:rPr>
        <w:t>Načrt za okrevanje in odpornost</w:t>
      </w:r>
      <w:r w:rsidRPr="00BE7730">
        <w:rPr>
          <w:rFonts w:eastAsia="Arial" w:cs="Times New Roman"/>
        </w:rPr>
        <w:t xml:space="preserve"> (NOO) kot okvir politik, v celoti sledi trajnostnim ciljem, saj tako reforme, kot tudi investicije, sledijo načelu </w:t>
      </w:r>
      <w:r w:rsidRPr="00BE7730">
        <w:rPr>
          <w:rFonts w:eastAsia="Arial" w:cs="Times New Roman"/>
          <w:b/>
        </w:rPr>
        <w:t>DNSH (do no significant harm)</w:t>
      </w:r>
      <w:r w:rsidRPr="00BE7730">
        <w:rPr>
          <w:rFonts w:eastAsia="Arial" w:cs="Times New Roman"/>
        </w:rPr>
        <w:t xml:space="preserve">, ki tudi izhaja iz </w:t>
      </w:r>
      <w:r w:rsidRPr="00BE7730">
        <w:rPr>
          <w:rFonts w:eastAsia="Arial" w:cs="Times New Roman"/>
          <w:b/>
        </w:rPr>
        <w:t xml:space="preserve">Uredbe o taksonomiji. </w:t>
      </w:r>
    </w:p>
    <w:p w14:paraId="000000FA" w14:textId="77777777" w:rsidR="00525158" w:rsidRPr="00BE7730" w:rsidRDefault="004D4AEA" w:rsidP="003954BC">
      <w:pPr>
        <w:pStyle w:val="Heading4"/>
        <w:rPr>
          <w:rFonts w:eastAsia="Arial" w:cs="Times New Roman"/>
        </w:rPr>
      </w:pPr>
      <w:bookmarkStart w:id="36" w:name="_Toc205412950"/>
      <w:r w:rsidRPr="00BE7730">
        <w:rPr>
          <w:rFonts w:eastAsia="Arial" w:cs="Times New Roman"/>
        </w:rPr>
        <w:t>Ministrstvo za okolje, podnebje in energijo (MOPE)</w:t>
      </w:r>
      <w:bookmarkEnd w:id="36"/>
      <w:r w:rsidRPr="00BE7730">
        <w:rPr>
          <w:rFonts w:eastAsia="Arial" w:cs="Times New Roman"/>
        </w:rPr>
        <w:t xml:space="preserve"> </w:t>
      </w:r>
    </w:p>
    <w:p w14:paraId="0645C435" w14:textId="77777777" w:rsidR="003954BC" w:rsidRPr="00BE7730" w:rsidRDefault="003954BC">
      <w:pPr>
        <w:shd w:val="clear" w:color="auto" w:fill="FFFFFF"/>
        <w:jc w:val="both"/>
        <w:rPr>
          <w:rFonts w:eastAsia="Arial" w:cs="Times New Roman"/>
        </w:rPr>
      </w:pPr>
    </w:p>
    <w:p w14:paraId="000000FB" w14:textId="656C4952" w:rsidR="00525158" w:rsidRPr="00BE7730" w:rsidRDefault="004D4AEA">
      <w:pPr>
        <w:shd w:val="clear" w:color="auto" w:fill="FFFFFF"/>
        <w:jc w:val="both"/>
        <w:rPr>
          <w:rFonts w:eastAsia="Arial" w:cs="Times New Roman"/>
        </w:rPr>
      </w:pPr>
      <w:r w:rsidRPr="00BE7730">
        <w:rPr>
          <w:rFonts w:eastAsia="Arial" w:cs="Times New Roman"/>
        </w:rPr>
        <w:lastRenderedPageBreak/>
        <w:t xml:space="preserve">MOPE je (v telefonski in elektronski korespondenci dne 28. in 29.5.2024) odgovorilo, da so vključeni v Stalno koordinacijsko skupino za MRS, ki jo vodi MZEZ, in ki se ukvarja s tem, da pregledajo ključne dokumente MRS in humanitarne pomoči, če so v skladu s politikami resornih ministrstev, sodelujejo pa tudi pri pripravi razpisov za sofinanciranje projektov MRS in humanitarne pomoči. Eden izmed pomembnih dokumentov z vidika področja dela MOPE oz. varstva okolja in podnebnih sprememb so </w:t>
      </w:r>
      <w:r w:rsidRPr="00BE7730">
        <w:rPr>
          <w:rFonts w:eastAsia="Arial" w:cs="Times New Roman"/>
          <w:b/>
        </w:rPr>
        <w:t>Smernice za vključevanje varstva okolja v MRS</w:t>
      </w:r>
      <w:r w:rsidRPr="00BE7730">
        <w:rPr>
          <w:rFonts w:eastAsia="Arial" w:cs="Times New Roman"/>
        </w:rPr>
        <w:t xml:space="preserve">, ki so trenutno v pripravi (koordinira MZEZ). Z MOPE so odgovorili še, da so za politike za trajnostni razvoj Slovenije pristojna druga medresorska delovna telesa in da je ključni dokument na tem področju Strategija razvoja Slovenije do leta 2030, ki je v pristojnosti MKRR. Glede vprašanja o skladnosti politik oz. načela SPTR, so na MOPE izpostavili predvsem </w:t>
      </w:r>
      <w:r w:rsidRPr="00BE7730">
        <w:rPr>
          <w:rFonts w:eastAsia="Arial" w:cs="Times New Roman"/>
          <w:b/>
        </w:rPr>
        <w:t>Resolucijo o Nacionalnem programu varstva okolja za obdobje 2020–2030 (ReNPVO20–30)</w:t>
      </w:r>
      <w:r w:rsidRPr="00BE7730">
        <w:rPr>
          <w:rFonts w:eastAsia="Arial" w:cs="Times New Roman"/>
          <w:b/>
          <w:vertAlign w:val="superscript"/>
        </w:rPr>
        <w:footnoteReference w:id="100"/>
      </w:r>
      <w:r w:rsidRPr="00BE7730">
        <w:rPr>
          <w:rFonts w:eastAsia="Arial" w:cs="Times New Roman"/>
        </w:rPr>
        <w:t>, ki vključuje prizadevanja za skladnost politik s konceptom učinkovite rabe virov in nizkoogljičnostjo (kar sta glede na Strategijo razvoja tudi cilja Slovenije). NPVO v poglavju 3.7 predvideva, da bo izvajanje NPVO 2020–2030 prisp</w:t>
      </w:r>
      <w:r w:rsidRPr="00BE7730">
        <w:rPr>
          <w:rFonts w:eastAsia="Arial" w:cs="Times New Roman"/>
          <w:highlight w:val="white"/>
        </w:rPr>
        <w:t>evalo k doseganju svetovnih ciljev trajnostnega razvoja kot so opredeljeni z Agendo 2030, saj je okolje neposredno ali posredno vključeno</w:t>
      </w:r>
      <w:r w:rsidRPr="00BE7730">
        <w:rPr>
          <w:rFonts w:eastAsia="Arial" w:cs="Times New Roman"/>
          <w:b/>
          <w:highlight w:val="white"/>
        </w:rPr>
        <w:t xml:space="preserve"> </w:t>
      </w:r>
      <w:r w:rsidRPr="00BE7730">
        <w:rPr>
          <w:rFonts w:eastAsia="Arial" w:cs="Times New Roman"/>
          <w:highlight w:val="white"/>
        </w:rPr>
        <w:t xml:space="preserve">v večino ciljev trajnostnega razvoja. Glede mednarodnih okoljskih zavez na svetovni ravni bo izvajanje NPVO 2020–2030 predvideva podporo predvsem zavezam, ki zadevajo ohranjanje </w:t>
      </w:r>
      <w:r w:rsidRPr="00BE7730">
        <w:rPr>
          <w:rFonts w:eastAsia="Arial" w:cs="Times New Roman"/>
          <w:b/>
          <w:highlight w:val="white"/>
        </w:rPr>
        <w:t xml:space="preserve">biotske raznovrstnosti (cilj 15) in blaženje podnebnih sprememb (cilj 13) Agende 2030. </w:t>
      </w:r>
      <w:r w:rsidRPr="00BE7730">
        <w:rPr>
          <w:rFonts w:eastAsia="Arial" w:cs="Times New Roman"/>
          <w:highlight w:val="white"/>
        </w:rPr>
        <w:t xml:space="preserve">Cilji NPVO so tudi zmanjševanja emisij TGP (cilj 8: nizkoogljično krožno gospodarstvo Strategije razvoja 2030), učinkovito ravnanje z viri (cilj 9: trajnostno upravljanje naravnih virov Strategije razvoja 2030) in ravnanje z odpadki. Trajnostno upravljanje z viri se osredotoča predvsem na trajnostno upravljanje s tlemi in zemljišči ter morskim okoljem, ki je skladno z 9 ciljem Strategije razvoja Slovenije. Trajnostno upravljanje naravnih virov sodi v usmeritve leta 2015 sprejetega Okvirnega programa za prehod v zeleno gospodarstvo, s katerim je že bila sprejeta politična odločitev, da je prehod v zeleno gospodarstvo okoljska in ekonomska nuja. V programu so opredeljeni cilji »ohranjanje in učinkovito upravljanje z naravnimi viri ter zagotavljanje </w:t>
      </w:r>
      <w:r w:rsidRPr="00BE7730">
        <w:rPr>
          <w:rFonts w:eastAsia="Arial" w:cs="Times New Roman"/>
        </w:rPr>
        <w:t xml:space="preserve">kakovosti bivalnega in delovnega okolja”. Resolucija </w:t>
      </w:r>
      <w:r w:rsidRPr="00BE7730">
        <w:rPr>
          <w:rFonts w:eastAsia="Arial" w:cs="Times New Roman"/>
          <w:b/>
        </w:rPr>
        <w:t>omenja tudi skladnost politik in sicer:</w:t>
      </w:r>
      <w:r w:rsidRPr="00BE7730">
        <w:rPr>
          <w:rFonts w:eastAsia="Arial" w:cs="Times New Roman"/>
        </w:rPr>
        <w:t xml:space="preserve"> “Izziv bolj učinkovitega ravnanja z viri je celovit in zahteva tudi odziv, ki pomeni celovito in</w:t>
      </w:r>
      <w:r w:rsidRPr="00BE7730">
        <w:rPr>
          <w:rFonts w:eastAsia="Arial" w:cs="Times New Roman"/>
          <w:b/>
        </w:rPr>
        <w:t xml:space="preserve"> skladno ravnanje resornih politik</w:t>
      </w:r>
      <w:r w:rsidRPr="00BE7730">
        <w:rPr>
          <w:rFonts w:eastAsia="Arial" w:cs="Times New Roman"/>
        </w:rPr>
        <w:t xml:space="preserve"> na ravni države, regij in lokalnih skupnostih ter gospodarstva in gospodinjstev ob zavedanju, da zasuk k učinkovitemu ravnanju z viri in zmanjševanju emisij toplogrednih plinov zahteva korenite posege v način proizvodnje in porabe ter predvsem spremembo življenjskega sloga. Treba bo preobraziti politike, kot so energetska, industrijska, kmetijska, ribiška in prometna; drugače bo treba naravnati nekatere gospodarske mehanizme, hkrati pa povečati ozaveščenost in obveščenost, da bomo sprejemali, izvajali in pospeševali potrebne spremembe. Trajnostni premiki lahko slonijo na tradiciji dobrih praks za upravljanje z naravnimi viri, kot sta gozdarstvo in vodna politika, ter na znanju in dobrih praksah podjetij. Vodilo pa so lahko tudi koristi od ustvarjanja zelenih delovnih mest.”</w:t>
      </w:r>
    </w:p>
    <w:p w14:paraId="000000FC" w14:textId="77777777" w:rsidR="00525158" w:rsidRPr="00BE7730" w:rsidRDefault="00525158">
      <w:pPr>
        <w:shd w:val="clear" w:color="auto" w:fill="FFFFFF"/>
        <w:jc w:val="both"/>
        <w:rPr>
          <w:rFonts w:eastAsia="Arial" w:cs="Times New Roman"/>
        </w:rPr>
      </w:pPr>
    </w:p>
    <w:p w14:paraId="000000FD" w14:textId="77777777" w:rsidR="00525158" w:rsidRPr="00BE7730" w:rsidRDefault="004D4AEA">
      <w:pPr>
        <w:shd w:val="clear" w:color="auto" w:fill="FFFFFF"/>
        <w:jc w:val="both"/>
        <w:rPr>
          <w:rFonts w:eastAsia="Arial" w:cs="Times New Roman"/>
        </w:rPr>
      </w:pPr>
      <w:r w:rsidRPr="00BE7730">
        <w:rPr>
          <w:rFonts w:eastAsia="Arial" w:cs="Times New Roman"/>
        </w:rPr>
        <w:t xml:space="preserve">Z upoštevanjem že sprejetih strateških odločitev NPVO 2020–2030 ponuja celosten in dolgoročen okvir z nekaterimi ključnimi sistemskimi ukrepi, da bi proces prehoda k bolj učinkovitemu ravnanju z viri in nizkoogljični družbi potekal celovito, sistematično in učinkovito. Med “Ukrepi za zmanjšanje izpustov TGP, učinkovito ravnanje z viri ter preprečevanje odpadkov in učinkovito ravnanje z njimi” (Preglednica 5) je tako jasno izpostavljeno načelo medresorskega usklajevanja politik: “Prizadevanja </w:t>
      </w:r>
      <w:r w:rsidRPr="00BE7730">
        <w:rPr>
          <w:rFonts w:eastAsia="Arial" w:cs="Times New Roman"/>
          <w:b/>
          <w:i/>
        </w:rPr>
        <w:t xml:space="preserve">resorjev za skladnost </w:t>
      </w:r>
      <w:r w:rsidRPr="00BE7730">
        <w:rPr>
          <w:rFonts w:eastAsia="Arial" w:cs="Times New Roman"/>
          <w:b/>
          <w:i/>
        </w:rPr>
        <w:lastRenderedPageBreak/>
        <w:t>strateških in operativnih dokumentov njihovih politik</w:t>
      </w:r>
      <w:r w:rsidRPr="00BE7730">
        <w:rPr>
          <w:rFonts w:eastAsia="Arial" w:cs="Times New Roman"/>
        </w:rPr>
        <w:t xml:space="preserve"> (kmetijska, gozdarska, prehranska, energetska, prometna, prostorska, graditvena, gospodarska, finančna, regionalno- in lokalno-razvojna) s konceptom učinkovite rabe virov in nizkoogljičnosti.” in našteti sodelujoči oziroma nosilni akterji resornih ministrstev (MF, MOPE, MJU in tedanji MGRT, SVRK). Prav tako izpostavlja pomen sinergije med politikami “usklajeno usmerjanje regionalnega in lokalnega razvoja, </w:t>
      </w:r>
      <w:r w:rsidRPr="00BE7730">
        <w:rPr>
          <w:rFonts w:eastAsia="Arial" w:cs="Times New Roman"/>
          <w:b/>
          <w:i/>
        </w:rPr>
        <w:t>da bodo razvojni ukrepi sinergijsko prispevali k ciljem varstva okolja</w:t>
      </w:r>
      <w:r w:rsidRPr="00BE7730">
        <w:rPr>
          <w:rFonts w:eastAsia="Arial" w:cs="Times New Roman"/>
          <w:i/>
        </w:rPr>
        <w:t>.</w:t>
      </w:r>
      <w:r w:rsidRPr="00BE7730">
        <w:rPr>
          <w:rFonts w:eastAsia="Arial" w:cs="Times New Roman"/>
        </w:rPr>
        <w:t>”</w:t>
      </w:r>
    </w:p>
    <w:p w14:paraId="000000FE" w14:textId="77777777" w:rsidR="00525158" w:rsidRPr="00BE7730" w:rsidRDefault="00525158">
      <w:pPr>
        <w:shd w:val="clear" w:color="auto" w:fill="FFFFFF"/>
        <w:jc w:val="both"/>
        <w:rPr>
          <w:rFonts w:eastAsia="Arial" w:cs="Times New Roman"/>
        </w:rPr>
      </w:pPr>
    </w:p>
    <w:p w14:paraId="000000FF" w14:textId="77777777" w:rsidR="00525158" w:rsidRPr="00BE7730" w:rsidRDefault="004D4AEA">
      <w:pPr>
        <w:shd w:val="clear" w:color="auto" w:fill="FFFFFF"/>
        <w:jc w:val="both"/>
        <w:rPr>
          <w:rFonts w:eastAsia="Arial" w:cs="Times New Roman"/>
          <w:highlight w:val="white"/>
        </w:rPr>
      </w:pPr>
      <w:r w:rsidRPr="00BE7730">
        <w:rPr>
          <w:rFonts w:eastAsia="Arial" w:cs="Times New Roman"/>
        </w:rPr>
        <w:t xml:space="preserve">MOPE omenja kot eden glavnih dokumentov na področju podnebnih sprememb tudi </w:t>
      </w:r>
      <w:r w:rsidRPr="00BE7730">
        <w:rPr>
          <w:rFonts w:eastAsia="Arial" w:cs="Times New Roman"/>
          <w:b/>
        </w:rPr>
        <w:t>Resolucijo o Dolgoročni podnebni strategiji</w:t>
      </w:r>
      <w:r w:rsidRPr="00BE7730">
        <w:rPr>
          <w:rFonts w:eastAsia="Arial" w:cs="Times New Roman"/>
        </w:rPr>
        <w:t xml:space="preserve"> </w:t>
      </w:r>
      <w:r w:rsidRPr="00BE7730">
        <w:rPr>
          <w:rFonts w:eastAsia="Arial" w:cs="Times New Roman"/>
          <w:b/>
        </w:rPr>
        <w:t>2050</w:t>
      </w:r>
      <w:r w:rsidRPr="00BE7730">
        <w:rPr>
          <w:rFonts w:eastAsia="Arial" w:cs="Times New Roman"/>
          <w:vertAlign w:val="superscript"/>
        </w:rPr>
        <w:footnoteReference w:id="101"/>
      </w:r>
      <w:r w:rsidRPr="00BE7730">
        <w:rPr>
          <w:rFonts w:eastAsia="Arial" w:cs="Times New Roman"/>
        </w:rPr>
        <w:t>. Čeprav besedilo ne omenja eksplicitno načela SPR, Resolucija v poglavju o Usmeritvah poudarja, da bo “</w:t>
      </w:r>
      <w:r w:rsidRPr="00BE7730">
        <w:rPr>
          <w:rFonts w:eastAsia="Arial" w:cs="Times New Roman"/>
          <w:highlight w:val="white"/>
        </w:rPr>
        <w:t xml:space="preserve">za boljšo integracijo podnebne politike v sektorske politike </w:t>
      </w:r>
      <w:r w:rsidRPr="00BE7730">
        <w:rPr>
          <w:rFonts w:eastAsia="Arial" w:cs="Times New Roman"/>
          <w:b/>
          <w:highlight w:val="white"/>
        </w:rPr>
        <w:t>Slovenija okrepila preverjanje skladnosti dokumentov, politik, predpisov in drugih aktov</w:t>
      </w:r>
      <w:r w:rsidRPr="00BE7730">
        <w:rPr>
          <w:rFonts w:eastAsia="Arial" w:cs="Times New Roman"/>
          <w:highlight w:val="white"/>
        </w:rPr>
        <w:t xml:space="preserve"> s podnebno politiko ter to komponento še dodatno okrepila v procesu celovite presoje vplivov na okolje. Pripravila bo tudi kriterije za ocenjevanje skladnosti dokumentov s politiko prilagajanja in blaženja podnebnih sprememb.” Resolucija se sklicuje na Agendo 2030, kjer so izpostavljeni cilji povezani s prilagajanjem na podnebne spremembe in ohranjanju in trajnostni rabi morij in celinskih ekosistemov. Zlasti 15. cilj izpostavlja zaustavitev upada biotske raznovrstnosti. Tem ciljem sledi tudi Resolucija, ki omenja, da si “zaradi blaženja in prilagajanja na podnebne spremembe Slovenija prizadeva za </w:t>
      </w:r>
      <w:r w:rsidRPr="00BE7730">
        <w:rPr>
          <w:rFonts w:eastAsia="Arial" w:cs="Times New Roman"/>
          <w:b/>
          <w:highlight w:val="white"/>
        </w:rPr>
        <w:t>ohranitev biotske raznovrstnosti</w:t>
      </w:r>
      <w:r w:rsidRPr="00BE7730">
        <w:rPr>
          <w:rFonts w:eastAsia="Arial" w:cs="Times New Roman"/>
          <w:highlight w:val="white"/>
        </w:rPr>
        <w:t xml:space="preserve"> z ohranitvijo habitatov in vrst v ugodnem stanju” predvsem v okviru območij Natura 2000. Določeni so tudi odgovorni nosilci ukrepov in predvideno financiranje iz Programa porabe sredstev sklada za podnebne spremembe.  Nacionalni cilji varstva biotske raznovrstnosti za obdobje 2020–2030 so opredeljeni v NPVN v okviru Resolucije o Nacionalnem programu varstva okolja za obdobje 2020–2030 (ReNPVO20-30).  Toda resolucija poudarja problem (ne)sklandost politik in navaja, da ostaja “najpomembnejši izziv” “vključevanje ciljev ohranjanja biotske raznovrstnosti </w:t>
      </w:r>
      <w:r w:rsidRPr="00BE7730">
        <w:rPr>
          <w:rFonts w:eastAsia="Arial" w:cs="Times New Roman"/>
          <w:b/>
          <w:highlight w:val="white"/>
        </w:rPr>
        <w:t>v politike ključnih sektorjev.</w:t>
      </w:r>
      <w:r w:rsidRPr="00BE7730">
        <w:rPr>
          <w:rFonts w:eastAsia="Arial" w:cs="Times New Roman"/>
          <w:highlight w:val="white"/>
        </w:rPr>
        <w:t xml:space="preserve"> Skrb za ohranjanje biotske raznovrstnosti pri spopadanju s podnebnimi spremembami </w:t>
      </w:r>
      <w:r w:rsidRPr="00BE7730">
        <w:rPr>
          <w:rFonts w:eastAsia="Arial" w:cs="Times New Roman"/>
          <w:b/>
          <w:highlight w:val="white"/>
        </w:rPr>
        <w:t>v okviru različnih resorjev,</w:t>
      </w:r>
      <w:r w:rsidRPr="00BE7730">
        <w:rPr>
          <w:rFonts w:eastAsia="Arial" w:cs="Times New Roman"/>
          <w:highlight w:val="white"/>
        </w:rPr>
        <w:t xml:space="preserve"> kot sta na primer </w:t>
      </w:r>
      <w:r w:rsidRPr="00BE7730">
        <w:rPr>
          <w:rFonts w:eastAsia="Arial" w:cs="Times New Roman"/>
          <w:b/>
          <w:highlight w:val="white"/>
        </w:rPr>
        <w:t>kmetijstvo in ribištvo, je izpostavljena tudi v EZD</w:t>
      </w:r>
      <w:r w:rsidRPr="00BE7730">
        <w:rPr>
          <w:rFonts w:eastAsia="Arial" w:cs="Times New Roman"/>
          <w:highlight w:val="white"/>
        </w:rPr>
        <w:t xml:space="preserve">.” Resolucija poudarja pomen </w:t>
      </w:r>
      <w:r w:rsidRPr="00BE7730">
        <w:rPr>
          <w:rFonts w:eastAsia="Arial" w:cs="Times New Roman"/>
          <w:b/>
          <w:highlight w:val="white"/>
        </w:rPr>
        <w:t xml:space="preserve">Evropskega zelenega dogovora (EZD 2019), ki predstavlja začetni načrt za zagotavljanje skladnosti politik EU s Pariškim sporazumom in cilji trajnostnega razvoja Agende 2030, </w:t>
      </w:r>
      <w:r w:rsidRPr="00BE7730">
        <w:rPr>
          <w:rFonts w:eastAsia="Arial" w:cs="Times New Roman"/>
          <w:highlight w:val="white"/>
        </w:rPr>
        <w:t>oblikovanje učinkovitega krožnega gospodarstva, boj proti izgubi biotske raznovrstnosti in ohranjanje okoljskih sistemov. Resolucija v sklepnem delu omenja tudi pomen skladnosti politik za razvojno sodelovanje.</w:t>
      </w:r>
    </w:p>
    <w:p w14:paraId="00000100" w14:textId="77777777" w:rsidR="00525158" w:rsidRPr="00BE7730" w:rsidRDefault="004D4AEA">
      <w:pPr>
        <w:shd w:val="clear" w:color="auto" w:fill="FFFFFF"/>
        <w:spacing w:before="240" w:after="240"/>
        <w:jc w:val="both"/>
        <w:rPr>
          <w:rFonts w:eastAsia="Arial" w:cs="Times New Roman"/>
          <w:highlight w:val="white"/>
        </w:rPr>
      </w:pPr>
      <w:r w:rsidRPr="00BE7730">
        <w:rPr>
          <w:rFonts w:eastAsia="Arial" w:cs="Times New Roman"/>
        </w:rPr>
        <w:t>Da so različne politike skladne s cilji varstva okolja in s cilji na področju podnebnih politik pa na MOPE skrbijo tudi v okviru medresorskega usklajevanja zakonskih predlogov, stališč in drugih strateških dokumentov  (telefonska 28.5.2024, elektronska korespondenca 29.5.2024).</w:t>
      </w:r>
    </w:p>
    <w:p w14:paraId="00000101" w14:textId="70C39E95" w:rsidR="00525158" w:rsidRPr="00BE7730" w:rsidRDefault="004D4AEA">
      <w:pPr>
        <w:shd w:val="clear" w:color="auto" w:fill="FFFFFF"/>
        <w:jc w:val="both"/>
        <w:rPr>
          <w:rFonts w:eastAsia="Arial" w:cs="Times New Roman"/>
        </w:rPr>
      </w:pPr>
      <w:r w:rsidRPr="00BE7730">
        <w:rPr>
          <w:rFonts w:eastAsia="Arial" w:cs="Times New Roman"/>
          <w:highlight w:val="white"/>
        </w:rPr>
        <w:t>Ministrstvo sicer ne omenja, vendar je Vlada Republike Slovenije 27. februarja 2020 sprejela tudi celo</w:t>
      </w:r>
      <w:r w:rsidRPr="00BE7730">
        <w:rPr>
          <w:rFonts w:eastAsia="Arial" w:cs="Times New Roman"/>
        </w:rPr>
        <w:t xml:space="preserve">viti </w:t>
      </w:r>
      <w:r w:rsidRPr="00BE7730">
        <w:rPr>
          <w:rFonts w:eastAsia="Arial" w:cs="Times New Roman"/>
          <w:b/>
        </w:rPr>
        <w:t xml:space="preserve">Nacionalni energetski </w:t>
      </w:r>
      <w:r w:rsidR="00B9321F">
        <w:rPr>
          <w:rFonts w:eastAsia="Arial" w:cs="Times New Roman"/>
          <w:b/>
        </w:rPr>
        <w:t xml:space="preserve">in </w:t>
      </w:r>
      <w:r w:rsidRPr="00BE7730">
        <w:rPr>
          <w:rFonts w:eastAsia="Arial" w:cs="Times New Roman"/>
          <w:b/>
        </w:rPr>
        <w:t>podnebni načrt - NEPN</w:t>
      </w:r>
      <w:r w:rsidRPr="00BE7730">
        <w:rPr>
          <w:rFonts w:eastAsia="Arial" w:cs="Times New Roman"/>
          <w:vertAlign w:val="superscript"/>
        </w:rPr>
        <w:footnoteReference w:id="102"/>
      </w:r>
      <w:r w:rsidRPr="00BE7730">
        <w:rPr>
          <w:rFonts w:eastAsia="Arial" w:cs="Times New Roman"/>
        </w:rPr>
        <w:t xml:space="preserve">. NEPN je akcijsko strateški dokument in eden ključnih dokumentov Slovenije na področju ukrepov k podnebno nevtralni Sloveniji do leta 2050. V tem dokumentu so definirani energetski in podnebni cilji ter politike in ukrepi, kako te cilje doseči do leta 2030 ter predvidevanja do leta 2040. NEPN za obdobje do leta 2030 (s pogledom do 2040) predvideva cilje, politike in ukrepe na petih razsežnostih </w:t>
      </w:r>
      <w:r w:rsidRPr="00BE7730">
        <w:rPr>
          <w:rFonts w:eastAsia="Arial" w:cs="Times New Roman"/>
        </w:rPr>
        <w:lastRenderedPageBreak/>
        <w:t xml:space="preserve">energetske unije: </w:t>
      </w:r>
      <w:r w:rsidRPr="00BE7730">
        <w:rPr>
          <w:rFonts w:eastAsia="Arial" w:cs="Times New Roman"/>
          <w:b/>
        </w:rPr>
        <w:t>razogljičenje</w:t>
      </w:r>
      <w:r w:rsidRPr="00BE7730">
        <w:rPr>
          <w:rFonts w:eastAsia="Arial" w:cs="Times New Roman"/>
        </w:rPr>
        <w:t xml:space="preserve"> (emisije TGP in OVE), energetska učinkovitost, energetska varnost, notranji trg ter raziskave, inovacije in konkurenčnost; med katerimi se razogličenje sklada s CTR Strategije razvoja Slovenije 2030. Na spletni strani MOPE</w:t>
      </w:r>
      <w:r w:rsidRPr="00BE7730">
        <w:rPr>
          <w:rFonts w:eastAsia="Arial" w:cs="Times New Roman"/>
          <w:vertAlign w:val="superscript"/>
        </w:rPr>
        <w:footnoteReference w:id="103"/>
      </w:r>
      <w:r w:rsidRPr="00BE7730">
        <w:rPr>
          <w:rFonts w:eastAsia="Arial" w:cs="Times New Roman"/>
        </w:rPr>
        <w:t xml:space="preserve"> je navedeno, da so in bodo v letih 2022, 2023 in 2024 tako v povezavi s posodobitvijo NEPN izvedene aktivnosti </w:t>
      </w:r>
      <w:r w:rsidRPr="00BE7730">
        <w:rPr>
          <w:rFonts w:eastAsia="Arial" w:cs="Times New Roman"/>
          <w:b/>
        </w:rPr>
        <w:t>oblikovanja in vodenje podnebnega in energetskega dialoga na več ravneh</w:t>
      </w:r>
      <w:r w:rsidRPr="00BE7730">
        <w:rPr>
          <w:rFonts w:eastAsia="Arial" w:cs="Times New Roman"/>
        </w:rPr>
        <w:t>, ter poročanje in posodobitev NEPN.</w:t>
      </w:r>
      <w:r w:rsidRPr="00BE7730">
        <w:rPr>
          <w:rFonts w:eastAsia="Arial" w:cs="Times New Roman"/>
          <w:vertAlign w:val="superscript"/>
        </w:rPr>
        <w:footnoteReference w:id="104"/>
      </w:r>
      <w:r w:rsidRPr="00BE7730">
        <w:rPr>
          <w:rFonts w:eastAsia="Arial" w:cs="Times New Roman"/>
        </w:rPr>
        <w:t xml:space="preserve"> </w:t>
      </w:r>
    </w:p>
    <w:p w14:paraId="00000102" w14:textId="77777777" w:rsidR="00525158" w:rsidRPr="00BE7730" w:rsidRDefault="00525158">
      <w:pPr>
        <w:shd w:val="clear" w:color="auto" w:fill="FFFFFF"/>
        <w:jc w:val="both"/>
        <w:rPr>
          <w:rFonts w:eastAsia="Arial" w:cs="Times New Roman"/>
        </w:rPr>
      </w:pPr>
    </w:p>
    <w:p w14:paraId="00000103" w14:textId="77777777" w:rsidR="00525158" w:rsidRPr="00BE7730" w:rsidRDefault="004D4AEA" w:rsidP="003954BC">
      <w:pPr>
        <w:pStyle w:val="Heading4"/>
        <w:rPr>
          <w:rFonts w:eastAsia="Arial" w:cs="Times New Roman"/>
        </w:rPr>
      </w:pPr>
      <w:bookmarkStart w:id="37" w:name="_Toc205412951"/>
      <w:r w:rsidRPr="00BE7730">
        <w:rPr>
          <w:rFonts w:eastAsia="Arial" w:cs="Times New Roman"/>
        </w:rPr>
        <w:t>Ministrstvo za kmetijstvo, gozdarstvo in prehrano (MKGP)</w:t>
      </w:r>
      <w:bookmarkEnd w:id="37"/>
      <w:r w:rsidRPr="00BE7730">
        <w:rPr>
          <w:rFonts w:eastAsia="Arial" w:cs="Times New Roman"/>
        </w:rPr>
        <w:t xml:space="preserve"> </w:t>
      </w:r>
    </w:p>
    <w:p w14:paraId="00000104"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MKGP je kot ključne politike in dokumente na svojem področju izpostavilo: </w:t>
      </w:r>
      <w:r w:rsidRPr="00BE7730">
        <w:rPr>
          <w:rFonts w:eastAsia="Arial" w:cs="Times New Roman"/>
          <w:b/>
        </w:rPr>
        <w:t>Evropski zeleni dogovor</w:t>
      </w:r>
      <w:r w:rsidRPr="00BE7730">
        <w:rPr>
          <w:rFonts w:eastAsia="Arial" w:cs="Times New Roman"/>
        </w:rPr>
        <w:t xml:space="preserve">, </w:t>
      </w:r>
      <w:r w:rsidRPr="00BE7730">
        <w:rPr>
          <w:rFonts w:eastAsia="Arial" w:cs="Times New Roman"/>
          <w:b/>
        </w:rPr>
        <w:t>Strategija od vil do vilic</w:t>
      </w:r>
      <w:r w:rsidRPr="00BE7730">
        <w:rPr>
          <w:rFonts w:eastAsia="Arial" w:cs="Times New Roman"/>
        </w:rPr>
        <w:t xml:space="preserve">, </w:t>
      </w:r>
      <w:r w:rsidRPr="00BE7730">
        <w:rPr>
          <w:rFonts w:eastAsia="Arial" w:cs="Times New Roman"/>
          <w:b/>
        </w:rPr>
        <w:t>Strategija o biodiverziteti</w:t>
      </w:r>
      <w:r w:rsidRPr="00BE7730">
        <w:rPr>
          <w:rFonts w:eastAsia="Arial" w:cs="Times New Roman"/>
        </w:rPr>
        <w:t xml:space="preserve">; </w:t>
      </w:r>
      <w:r w:rsidRPr="00BE7730">
        <w:rPr>
          <w:rFonts w:eastAsia="Arial" w:cs="Times New Roman"/>
          <w:b/>
        </w:rPr>
        <w:t>Nacionalni energetski in podnebni načrt (NEPN)</w:t>
      </w:r>
      <w:r w:rsidRPr="00BE7730">
        <w:rPr>
          <w:rFonts w:eastAsia="Arial" w:cs="Times New Roman"/>
        </w:rPr>
        <w:t xml:space="preserve">; </w:t>
      </w:r>
      <w:r w:rsidRPr="00BE7730">
        <w:rPr>
          <w:rFonts w:eastAsia="Arial" w:cs="Times New Roman"/>
          <w:b/>
        </w:rPr>
        <w:t>Strategija za manj izgub hrane in odpadne hrane v verigi preskrbe s hrano “Spoštujmo hrano, spoštujmo planet”</w:t>
      </w:r>
      <w:r w:rsidRPr="00BE7730">
        <w:rPr>
          <w:rFonts w:eastAsia="Arial" w:cs="Times New Roman"/>
        </w:rPr>
        <w:t xml:space="preserve"> in </w:t>
      </w:r>
      <w:r w:rsidRPr="00BE7730">
        <w:rPr>
          <w:rFonts w:eastAsia="Arial" w:cs="Times New Roman"/>
          <w:b/>
        </w:rPr>
        <w:t>akcijski načrt za izvajanje te Strategije</w:t>
      </w:r>
      <w:r w:rsidRPr="00BE7730">
        <w:rPr>
          <w:rFonts w:eastAsia="Arial" w:cs="Times New Roman"/>
        </w:rPr>
        <w:t xml:space="preserve">; ter </w:t>
      </w:r>
      <w:r w:rsidRPr="00BE7730">
        <w:rPr>
          <w:rFonts w:eastAsia="Arial" w:cs="Times New Roman"/>
          <w:b/>
        </w:rPr>
        <w:t>Zakon o kmetijstvu</w:t>
      </w:r>
      <w:r w:rsidRPr="00BE7730">
        <w:rPr>
          <w:rFonts w:eastAsia="Arial" w:cs="Times New Roman"/>
        </w:rPr>
        <w:t xml:space="preserve"> (elektronska korespondenca 6.5.2024) </w:t>
      </w:r>
    </w:p>
    <w:p w14:paraId="00000105"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V okviru področja prehranske varnosti je ključna </w:t>
      </w:r>
      <w:r w:rsidRPr="00BE7730">
        <w:rPr>
          <w:rFonts w:eastAsia="Arial" w:cs="Times New Roman"/>
          <w:b/>
        </w:rPr>
        <w:t>Strategija za manj izgub hrane in odpadne hrane v verigi preskrbe s hrano “Spoštujmo hrano, spoštujmo planet”,</w:t>
      </w:r>
      <w:r w:rsidRPr="00BE7730">
        <w:rPr>
          <w:rFonts w:eastAsia="Arial" w:cs="Times New Roman"/>
          <w:b/>
          <w:vertAlign w:val="superscript"/>
        </w:rPr>
        <w:footnoteReference w:id="105"/>
      </w:r>
      <w:r w:rsidRPr="00BE7730">
        <w:rPr>
          <w:rFonts w:eastAsia="Arial" w:cs="Times New Roman"/>
          <w:b/>
        </w:rPr>
        <w:t xml:space="preserve"> </w:t>
      </w:r>
      <w:r w:rsidRPr="00BE7730">
        <w:rPr>
          <w:rFonts w:eastAsia="Arial" w:cs="Times New Roman"/>
        </w:rPr>
        <w:t xml:space="preserve">s poudarkom na načrtih za ravnanje z odpadno hrano in preprečevanju nastajanja odpadne hrane se osredotoča predvsem na CTR opredeljene v Agendi 2030 in sicer CTR 12.3 - manj izgub hrane in odpadne hrane, kar bi prispevalo k doseganju drugih trajnostnih ciljev, kot so odprava lakote (CTR 2), revščine (CTR 1) in izboljšanje zdravja (CTR 3) ter tudi zmanjšanje tudi obremenitev naravnih virov (zaradi kmetijstva) (str.6). Strategija navaja in se sklicuje tudi na Strategijo razvoja 2030 in njene cilje, med drugim prehod v nizkoogljično krožno gospodarstvo ter nujnostjo prekinitve rasti rabe surovin in neobnovljivih virov energije, saj je s tem povezano obremenjevanje okolja. Cilji manj odpadne hrane se skladajo tudi s CTR Strategije razvoja Slovenije 2030 in sicer s ciljem </w:t>
      </w:r>
      <w:r w:rsidRPr="00BE7730">
        <w:rPr>
          <w:rFonts w:eastAsia="Arial" w:cs="Times New Roman"/>
          <w:highlight w:val="white"/>
        </w:rPr>
        <w:t xml:space="preserve">8: nizkoogljično krožno gospodarstvo in ciljem 9: trajnostno upravljanje naravnih virov. </w:t>
      </w:r>
      <w:r w:rsidRPr="00BE7730">
        <w:rPr>
          <w:rFonts w:eastAsia="Arial" w:cs="Times New Roman"/>
        </w:rPr>
        <w:t xml:space="preserve">V strategiji se navezujejo tudi na </w:t>
      </w:r>
      <w:r w:rsidRPr="00BE7730">
        <w:rPr>
          <w:rFonts w:eastAsia="Arial" w:cs="Times New Roman"/>
          <w:b/>
        </w:rPr>
        <w:t>Strategijo »od vil do vilic«</w:t>
      </w:r>
      <w:r w:rsidRPr="00BE7730">
        <w:rPr>
          <w:rFonts w:eastAsia="Arial" w:cs="Times New Roman"/>
        </w:rPr>
        <w:t>, kje EK za zmanjšanje izgub hrane in količine odpadne hrane namenja posebno pozornost tudi drugim CTR, saj je cilj manj odpadne hrane povezan tudi s predelavo hrane in sekundarnih surovin, proizvodnjo krme, varnostjo hrane, biotsko raznovrstnostjo, biogospodarstvom ter ravnanjem z odpadki in obnovljivimi viri (2020. 8), torej z drugimi politikami in sektorji in zato je pomembno sodelovanje vseh deležnikov.</w:t>
      </w:r>
    </w:p>
    <w:p w14:paraId="00000106"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Strategija </w:t>
      </w:r>
      <w:r w:rsidRPr="00BE7730">
        <w:rPr>
          <w:rFonts w:eastAsia="Arial" w:cs="Times New Roman"/>
          <w:b/>
        </w:rPr>
        <w:t xml:space="preserve">“Spoštujmo hrano, spoštujmo planet” </w:t>
      </w:r>
      <w:r w:rsidRPr="00BE7730">
        <w:rPr>
          <w:rFonts w:eastAsia="Arial" w:cs="Times New Roman"/>
        </w:rPr>
        <w:t xml:space="preserve">sicer ne omenja skladnosti politik kot take, vendar je iz besedila mogoče sklepati na razumevanje nujnosti sodelovanja, saj Strategija opisuje, da je za </w:t>
      </w:r>
      <w:r w:rsidRPr="00BE7730">
        <w:rPr>
          <w:rFonts w:eastAsia="Arial" w:cs="Times New Roman"/>
          <w:i/>
        </w:rPr>
        <w:t xml:space="preserve">“dosego operativnih ciljev je pri izvajanju potrebno </w:t>
      </w:r>
      <w:r w:rsidRPr="00BE7730">
        <w:rPr>
          <w:rFonts w:eastAsia="Arial" w:cs="Times New Roman"/>
          <w:b/>
          <w:i/>
        </w:rPr>
        <w:t>sodelovanje vseh ključnih deležnikov</w:t>
      </w:r>
      <w:r w:rsidRPr="00BE7730">
        <w:rPr>
          <w:rFonts w:eastAsia="Arial" w:cs="Times New Roman"/>
          <w:i/>
        </w:rPr>
        <w:t xml:space="preserve"> verige preskrbe s hrano in s področja ozaveščanja ter preprečevanja in spremljanja odpadne hrane. /…/ Da bi bili uspešni na vseh treh področjih delovanja strateških ciljev, morajo vsi členi verige preskrbe s hrano, znanstvena in gospodarska stroka</w:t>
      </w:r>
      <w:r w:rsidRPr="00BE7730">
        <w:rPr>
          <w:rFonts w:eastAsia="Arial" w:cs="Times New Roman"/>
          <w:b/>
          <w:i/>
        </w:rPr>
        <w:t xml:space="preserve"> ter oblikovalci politik:  – sodelovati.” </w:t>
      </w:r>
      <w:r w:rsidRPr="00BE7730">
        <w:rPr>
          <w:rFonts w:eastAsia="Arial" w:cs="Times New Roman"/>
        </w:rPr>
        <w:t>(str. 32)  ter “</w:t>
      </w:r>
      <w:r w:rsidRPr="00BE7730">
        <w:rPr>
          <w:rFonts w:eastAsia="Arial" w:cs="Times New Roman"/>
          <w:i/>
        </w:rPr>
        <w:t>Dosledna in fleksibilna politika</w:t>
      </w:r>
      <w:r w:rsidRPr="00BE7730">
        <w:rPr>
          <w:rFonts w:eastAsia="Arial" w:cs="Times New Roman"/>
        </w:rPr>
        <w:t xml:space="preserve"> je ključna. Vsi vključeni resorji bodo morali delovati </w:t>
      </w:r>
      <w:r w:rsidRPr="00BE7730">
        <w:rPr>
          <w:rFonts w:eastAsia="Arial" w:cs="Times New Roman"/>
          <w:b/>
        </w:rPr>
        <w:t>usklajeno</w:t>
      </w:r>
      <w:r w:rsidRPr="00BE7730">
        <w:rPr>
          <w:rFonts w:eastAsia="Arial" w:cs="Times New Roman"/>
        </w:rPr>
        <w:t xml:space="preserve"> in z istim ciljem, saj je le tako mogoče uspeti.”(str. 33). </w:t>
      </w:r>
      <w:r w:rsidRPr="00BE7730">
        <w:rPr>
          <w:rFonts w:eastAsia="Arial" w:cs="Times New Roman"/>
        </w:rPr>
        <w:lastRenderedPageBreak/>
        <w:t xml:space="preserve">Strategija tako pod strateškimi in operativnimi cilji navaja </w:t>
      </w:r>
      <w:r w:rsidRPr="00BE7730">
        <w:rPr>
          <w:rFonts w:eastAsia="Arial" w:cs="Times New Roman"/>
          <w:b/>
        </w:rPr>
        <w:t>Okrepljeno sodelovanje med sodelujočimi:</w:t>
      </w:r>
      <w:r w:rsidRPr="00BE7730">
        <w:rPr>
          <w:rFonts w:eastAsia="Arial" w:cs="Times New Roman"/>
        </w:rPr>
        <w:t xml:space="preserve"> </w:t>
      </w:r>
      <w:r w:rsidRPr="00BE7730">
        <w:rPr>
          <w:rFonts w:eastAsia="Arial" w:cs="Times New Roman"/>
          <w:i/>
        </w:rPr>
        <w:t>“Ker je treba povezati vse resorje, jih usmerjati in iskati rešitve na ravni države, bo Vlada Republike Slovenije imenovala delovno skupino. Tako se bodo že na začetku postavile prednostne naloge države, kar je nujno za izvajanje in spremljanje te strategije. Vse politike (šolska, kmetijska, okoljska in druge) se morajo povezovati in nadgrajevati na področju zmanjševanja izgub hrane in količine odpadne hrane.”</w:t>
      </w:r>
      <w:r w:rsidRPr="00BE7730">
        <w:rPr>
          <w:rFonts w:eastAsia="Arial" w:cs="Times New Roman"/>
        </w:rPr>
        <w:t xml:space="preserve"> (str. 35). Med strateškimi in operativnimi cilji za preprečevanje in zmanjšanje izgub odpadne hrane poudarja predvsem nujnost ukrepov v Skupni kmetijski in ribiški politiki EU: </w:t>
      </w:r>
      <w:r w:rsidRPr="00BE7730">
        <w:rPr>
          <w:rFonts w:eastAsia="Arial" w:cs="Times New Roman"/>
          <w:i/>
        </w:rPr>
        <w:t>“V SKP in SRP po letu 2020 ter v drugih politikah in skladih je treba opredeliti ukrepe za primarno proizvodnjo, predelavo, distribucijo, trženje in prodajo, ki prispevajo k manjšim izgubam hrane in količini odpadne hrane.”</w:t>
      </w:r>
      <w:r w:rsidRPr="00BE7730">
        <w:rPr>
          <w:rFonts w:eastAsia="Arial" w:cs="Times New Roman"/>
        </w:rPr>
        <w:t xml:space="preserve"> (str 33). </w:t>
      </w:r>
    </w:p>
    <w:p w14:paraId="00000107"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rPr>
        <w:t xml:space="preserve">To se sklada z ugotovitvijo strokovnjakov, ki navajajo da </w:t>
      </w:r>
      <w:r w:rsidRPr="00BE7730">
        <w:rPr>
          <w:rFonts w:eastAsia="Arial" w:cs="Times New Roman"/>
          <w:i/>
        </w:rPr>
        <w:t>“na podlagi pregleda razvojnih strategij ugotavljamo, da oblikovalci politik v večji meri poznajo načelo skladnosti politik, tudi če ga ne naslavljajo nujno s terminologijo, kot jo uveljavlja OECD - skladnost politik za trajnostni razvoj.”</w:t>
      </w:r>
      <w:r w:rsidRPr="00BE7730">
        <w:rPr>
          <w:rFonts w:eastAsia="Arial" w:cs="Times New Roman"/>
        </w:rPr>
        <w:t xml:space="preserve"> (Bučar, 2024).</w:t>
      </w:r>
    </w:p>
    <w:p w14:paraId="00000108" w14:textId="77777777" w:rsidR="00525158" w:rsidRPr="00BE7730" w:rsidRDefault="004D4AEA">
      <w:pPr>
        <w:shd w:val="clear" w:color="auto" w:fill="FFFFFF"/>
        <w:spacing w:before="240" w:after="240"/>
        <w:jc w:val="both"/>
        <w:rPr>
          <w:rFonts w:eastAsia="Arial" w:cs="Times New Roman"/>
        </w:rPr>
      </w:pPr>
      <w:r w:rsidRPr="00BE7730">
        <w:rPr>
          <w:rFonts w:eastAsia="Arial" w:cs="Times New Roman"/>
          <w:b/>
        </w:rPr>
        <w:t>Akcijski načrt za izvajanje Strategije za manj izgub hrane in odpadne hrane v verigi preskrbe s hrano</w:t>
      </w:r>
      <w:r w:rsidRPr="00BE7730">
        <w:rPr>
          <w:rFonts w:eastAsia="Arial" w:cs="Times New Roman"/>
          <w:vertAlign w:val="superscript"/>
        </w:rPr>
        <w:footnoteReference w:id="106"/>
      </w:r>
      <w:r w:rsidRPr="00BE7730">
        <w:rPr>
          <w:rFonts w:eastAsia="Arial" w:cs="Times New Roman"/>
        </w:rPr>
        <w:t xml:space="preserve"> pa je bolj skop glede na eksplicitno navezavo na skladnost politik, čeprav vsebuje seznam ukrepov na različnih področjih, skladnosti in sodelovanja kot takih ne omenja. </w:t>
      </w:r>
    </w:p>
    <w:p w14:paraId="00000109" w14:textId="77777777" w:rsidR="00525158" w:rsidRPr="00BE7730" w:rsidRDefault="004D4AEA">
      <w:pPr>
        <w:shd w:val="clear" w:color="auto" w:fill="FFFFFF"/>
        <w:spacing w:before="240" w:after="120"/>
        <w:jc w:val="both"/>
        <w:rPr>
          <w:rFonts w:eastAsia="Arial" w:cs="Times New Roman"/>
        </w:rPr>
      </w:pPr>
      <w:r w:rsidRPr="00BE7730">
        <w:rPr>
          <w:rFonts w:eastAsia="Arial" w:cs="Times New Roman"/>
        </w:rPr>
        <w:t>Na področju prehranske varnosti sta še dva pomembna dokumenta, ki pa ju ministrstvo ne omenja. In sicer:</w:t>
      </w:r>
      <w:r w:rsidRPr="00BE7730">
        <w:rPr>
          <w:rFonts w:eastAsia="Arial" w:cs="Times New Roman"/>
          <w:b/>
        </w:rPr>
        <w:t xml:space="preserve"> Prva Resolucija o strateških usmeritvah razvoja slovenskega kmetijstva in živilstva do leta 2020 – Zagotovimo.si hrano za jutri</w:t>
      </w:r>
      <w:r w:rsidRPr="00BE7730">
        <w:rPr>
          <w:rFonts w:eastAsia="Arial" w:cs="Times New Roman"/>
          <w:b/>
          <w:vertAlign w:val="superscript"/>
        </w:rPr>
        <w:footnoteReference w:id="107"/>
      </w:r>
      <w:r w:rsidRPr="00BE7730">
        <w:rPr>
          <w:rFonts w:eastAsia="Arial" w:cs="Times New Roman"/>
          <w:b/>
        </w:rPr>
        <w:t xml:space="preserve"> </w:t>
      </w:r>
      <w:r w:rsidRPr="00BE7730">
        <w:rPr>
          <w:rFonts w:eastAsia="Arial" w:cs="Times New Roman"/>
        </w:rPr>
        <w:t xml:space="preserve">opredeljuje trajnostni razvoj kot medsebojno odvisen in uravnotežen razvoj v ekonomskem, socialnem in okoljskem smislu. Cilj uveljavljanja trajnostnega razvoja je tako kmetijstvo, ki bo ekonomsko učinkovito in konkurenčno, socialno in družbeno odgovorno, hkrati pa tudi okolju prijazno in vzdržno. </w:t>
      </w:r>
    </w:p>
    <w:p w14:paraId="0000010A" w14:textId="77777777" w:rsidR="00525158" w:rsidRPr="00BE7730" w:rsidRDefault="004D4AEA">
      <w:pPr>
        <w:shd w:val="clear" w:color="auto" w:fill="FFFFFF"/>
        <w:spacing w:before="240" w:after="120"/>
        <w:jc w:val="both"/>
        <w:rPr>
          <w:rFonts w:eastAsia="Arial" w:cs="Times New Roman"/>
        </w:rPr>
      </w:pPr>
      <w:r w:rsidRPr="00BE7730">
        <w:rPr>
          <w:rFonts w:eastAsia="Arial" w:cs="Times New Roman"/>
          <w:b/>
        </w:rPr>
        <w:t xml:space="preserve">Druga Resolucija o nacionalnem programu o strateških usmeritvah razvoja slovenskega kmetijstva in živilstva »Naša hrana, podeželje in naravni viri od leta 2021« </w:t>
      </w:r>
      <w:r w:rsidRPr="00BE7730">
        <w:rPr>
          <w:rFonts w:eastAsia="Arial" w:cs="Times New Roman"/>
        </w:rPr>
        <w:t xml:space="preserve">se zavezuje k ciljem varovanja naravnih virov in ustreznim odzivom na podnebne spremembe v verigi oskrbe s hrano ob aktivni vlogi države in vseh deležnikov. Poudarja, da opredeljeni slovenski cilji in cilji EU na področju kmetijstva in podeželja podpirajo tudi vsebine in vrednote, ki jih prinašajo pomembni dogovori in pobude na mednarodni ravni, med drugim Agenda za trajnostni razvoj 2030 in Pariški sporazum o podnebnih spremembah. Resolucija omenja, da specifični cilji izhajajo tudi iz temeljnih strateških razvojnih okvirov Slovenije, zapisanih v Strategiji razvoja Slovenije 2030 ter da s sledenjem tem ciljem </w:t>
      </w:r>
      <w:r w:rsidRPr="00BE7730">
        <w:rPr>
          <w:rFonts w:eastAsia="Arial" w:cs="Times New Roman"/>
          <w:b/>
        </w:rPr>
        <w:t>spremlja in soustvarja zdajšnje in prihodnje strateške usmeritve drugih javnih politik</w:t>
      </w:r>
      <w:r w:rsidRPr="00BE7730">
        <w:rPr>
          <w:rFonts w:eastAsia="Arial" w:cs="Times New Roman"/>
        </w:rPr>
        <w:t xml:space="preserve">. Konkretno se navezuje na CTR razvoja </w:t>
      </w:r>
      <w:r w:rsidRPr="00BE7730">
        <w:rPr>
          <w:rFonts w:eastAsia="Arial" w:cs="Times New Roman"/>
          <w:b/>
        </w:rPr>
        <w:t>digitalizacije</w:t>
      </w:r>
      <w:r w:rsidRPr="00BE7730">
        <w:rPr>
          <w:rFonts w:eastAsia="Arial" w:cs="Times New Roman"/>
        </w:rPr>
        <w:t xml:space="preserve">, </w:t>
      </w:r>
      <w:r w:rsidRPr="00BE7730">
        <w:rPr>
          <w:rFonts w:eastAsia="Arial" w:cs="Times New Roman"/>
          <w:b/>
        </w:rPr>
        <w:t xml:space="preserve">zmanjševanja odpadne hrane, </w:t>
      </w:r>
      <w:r w:rsidRPr="00BE7730">
        <w:rPr>
          <w:rFonts w:eastAsia="Arial" w:cs="Times New Roman"/>
        </w:rPr>
        <w:t xml:space="preserve">zmanjšanje </w:t>
      </w:r>
      <w:r w:rsidRPr="00BE7730">
        <w:rPr>
          <w:rFonts w:eastAsia="Arial" w:cs="Times New Roman"/>
          <w:b/>
        </w:rPr>
        <w:t>podnebnih sprememb</w:t>
      </w:r>
      <w:r w:rsidRPr="00BE7730">
        <w:rPr>
          <w:rFonts w:eastAsia="Arial" w:cs="Times New Roman"/>
        </w:rPr>
        <w:t xml:space="preserve"> ter ohranjanje </w:t>
      </w:r>
      <w:r w:rsidRPr="00BE7730">
        <w:rPr>
          <w:rFonts w:eastAsia="Arial" w:cs="Times New Roman"/>
          <w:b/>
        </w:rPr>
        <w:t>biotske raznovrstnosti</w:t>
      </w:r>
      <w:r w:rsidRPr="00BE7730">
        <w:rPr>
          <w:rFonts w:eastAsia="Arial" w:cs="Times New Roman"/>
        </w:rPr>
        <w:t xml:space="preserve">. V besedilu omenja tudi mehanizme za doseganje ciljev, med katerimi so “ukrepi javnih politik, kjer razlikujemo med ukrepi kmetijske politike in ukrepi drugih javnih politik”, kar nakazuje na razumevanje potrebe po horizontalni usklajenosti med </w:t>
      </w:r>
      <w:r w:rsidRPr="00BE7730">
        <w:rPr>
          <w:rFonts w:eastAsia="Arial" w:cs="Times New Roman"/>
        </w:rPr>
        <w:lastRenderedPageBreak/>
        <w:t xml:space="preserve">politikami. Prav tako daje pomen ozaveščanju, saj “ dozdajšnje izkušnje namreč kažejo, da tudi precejšnja sredstva in regulatorni mehanizmi ne zadoščajo za želene spremembe in doseganje ciljev, če se ne spremenijo miselnost, vrednote in prakse deležnikov.”, nadalje omenja da, “je treba </w:t>
      </w:r>
      <w:r w:rsidRPr="00BE7730">
        <w:rPr>
          <w:rFonts w:eastAsia="Arial" w:cs="Times New Roman"/>
          <w:b/>
        </w:rPr>
        <w:t>iskati vzvode stabilnih vertikalnih povezav med posameznimi sektorji in okrepiti horizontalno sodelovanje v sektorjih</w:t>
      </w:r>
      <w:r w:rsidRPr="00BE7730">
        <w:rPr>
          <w:rFonts w:eastAsia="Arial" w:cs="Times New Roman"/>
        </w:rPr>
        <w:t>.”</w:t>
      </w:r>
    </w:p>
    <w:p w14:paraId="0000010B" w14:textId="77777777" w:rsidR="00525158" w:rsidRPr="00BE7730" w:rsidRDefault="00525158">
      <w:pPr>
        <w:shd w:val="clear" w:color="auto" w:fill="FFFFFF"/>
        <w:jc w:val="both"/>
        <w:rPr>
          <w:rFonts w:eastAsia="Arial" w:cs="Times New Roman"/>
          <w:b/>
        </w:rPr>
      </w:pPr>
    </w:p>
    <w:p w14:paraId="0000010C" w14:textId="77777777" w:rsidR="00525158" w:rsidRPr="00BE7730" w:rsidRDefault="004D4AEA" w:rsidP="003954BC">
      <w:pPr>
        <w:pStyle w:val="Heading4"/>
        <w:rPr>
          <w:rFonts w:eastAsia="Arial" w:cs="Times New Roman"/>
        </w:rPr>
      </w:pPr>
      <w:bookmarkStart w:id="38" w:name="_Toc205412952"/>
      <w:r w:rsidRPr="00BE7730">
        <w:rPr>
          <w:rFonts w:eastAsia="Arial" w:cs="Times New Roman"/>
        </w:rPr>
        <w:t>Ministrstvo za solidarno prihodnost (MSP)</w:t>
      </w:r>
      <w:bookmarkEnd w:id="38"/>
      <w:r w:rsidRPr="00BE7730">
        <w:rPr>
          <w:rFonts w:eastAsia="Arial" w:cs="Times New Roman"/>
        </w:rPr>
        <w:t xml:space="preserve"> </w:t>
      </w:r>
    </w:p>
    <w:p w14:paraId="478DD963" w14:textId="77777777" w:rsidR="003954BC" w:rsidRPr="00BE7730" w:rsidRDefault="003954BC">
      <w:pPr>
        <w:shd w:val="clear" w:color="auto" w:fill="FFFFFF"/>
        <w:jc w:val="both"/>
        <w:rPr>
          <w:rFonts w:eastAsia="Arial" w:cs="Times New Roman"/>
        </w:rPr>
      </w:pPr>
    </w:p>
    <w:p w14:paraId="0000010D" w14:textId="4D977C71" w:rsidR="00525158" w:rsidRPr="00BE7730" w:rsidRDefault="004D4AEA">
      <w:pPr>
        <w:shd w:val="clear" w:color="auto" w:fill="FFFFFF"/>
        <w:jc w:val="both"/>
        <w:rPr>
          <w:rFonts w:eastAsia="Arial" w:cs="Times New Roman"/>
        </w:rPr>
      </w:pPr>
      <w:r w:rsidRPr="00BE7730">
        <w:rPr>
          <w:rFonts w:eastAsia="Arial" w:cs="Times New Roman"/>
        </w:rPr>
        <w:t>MSP je poudarilo, da je bilo ustanovljeno leta 2023 in da so teme, ki jih MSP pokriva, izrazito naravnane na reševanje pereče in več let zapostavljene problematike v Sloveniji, kot npr. dolgotrajna oskrba in  stanovanjska politika. Zato posebnih programov in projektov razvojnega sodelovanja še niso implementirali, so pa sicer trajnostne politike vključene npr. v Resolucijo o nacionalnem stanovanjskem programu 2015-2025 (elektronska korespondenca 5.9.2024).</w:t>
      </w:r>
    </w:p>
    <w:p w14:paraId="0000010E" w14:textId="77777777" w:rsidR="00525158" w:rsidRPr="00BE7730" w:rsidRDefault="00525158">
      <w:pPr>
        <w:shd w:val="clear" w:color="auto" w:fill="FFFFFF"/>
        <w:jc w:val="both"/>
        <w:rPr>
          <w:rFonts w:eastAsia="Arial" w:cs="Times New Roman"/>
          <w:highlight w:val="yellow"/>
        </w:rPr>
      </w:pPr>
    </w:p>
    <w:p w14:paraId="0000010F" w14:textId="77777777" w:rsidR="00525158" w:rsidRPr="00BE7730" w:rsidRDefault="004D4AEA" w:rsidP="003954BC">
      <w:pPr>
        <w:pStyle w:val="Heading4"/>
        <w:rPr>
          <w:rFonts w:eastAsia="Arial" w:cs="Times New Roman"/>
        </w:rPr>
      </w:pPr>
      <w:bookmarkStart w:id="39" w:name="_Toc205412953"/>
      <w:r w:rsidRPr="00BE7730">
        <w:rPr>
          <w:rFonts w:eastAsia="Arial" w:cs="Times New Roman"/>
        </w:rPr>
        <w:t>Ministrstvo za delo, družino, socialne zadeve in enake možnosti (MDDSZ)</w:t>
      </w:r>
      <w:bookmarkEnd w:id="39"/>
      <w:r w:rsidRPr="00BE7730">
        <w:rPr>
          <w:rFonts w:eastAsia="Arial" w:cs="Times New Roman"/>
        </w:rPr>
        <w:t xml:space="preserve"> </w:t>
      </w:r>
    </w:p>
    <w:p w14:paraId="5CF9D954" w14:textId="77777777" w:rsidR="003954BC" w:rsidRPr="00BE7730" w:rsidRDefault="003954BC">
      <w:pPr>
        <w:shd w:val="clear" w:color="auto" w:fill="FFFFFF"/>
        <w:jc w:val="both"/>
        <w:rPr>
          <w:rFonts w:eastAsia="Arial" w:cs="Times New Roman"/>
        </w:rPr>
      </w:pPr>
    </w:p>
    <w:p w14:paraId="00000110" w14:textId="27D978BE" w:rsidR="00525158" w:rsidRPr="00BE7730" w:rsidRDefault="004D4AEA">
      <w:pPr>
        <w:shd w:val="clear" w:color="auto" w:fill="FFFFFF"/>
        <w:jc w:val="both"/>
        <w:rPr>
          <w:rFonts w:eastAsia="Arial" w:cs="Times New Roman"/>
        </w:rPr>
      </w:pPr>
      <w:r w:rsidRPr="00BE7730">
        <w:rPr>
          <w:rFonts w:eastAsia="Arial" w:cs="Times New Roman"/>
        </w:rPr>
        <w:t xml:space="preserve">MDDSZ je v odgovoru izpostavilo, da v okviru večstranske razvojne pomoči financirajo naslednje: 1) </w:t>
      </w:r>
      <w:r w:rsidRPr="00BE7730">
        <w:rPr>
          <w:rFonts w:eastAsia="Arial" w:cs="Times New Roman"/>
          <w:b/>
          <w:bCs/>
        </w:rPr>
        <w:t>članarino</w:t>
      </w:r>
      <w:r w:rsidRPr="00BE7730">
        <w:rPr>
          <w:rFonts w:eastAsia="Arial" w:cs="Times New Roman"/>
        </w:rPr>
        <w:t xml:space="preserve"> za mednarodno organizacijo dela </w:t>
      </w:r>
      <w:r w:rsidRPr="00BE7730">
        <w:rPr>
          <w:rFonts w:eastAsia="Arial" w:cs="Times New Roman"/>
          <w:i/>
        </w:rPr>
        <w:t>(international labour organization</w:t>
      </w:r>
      <w:r w:rsidRPr="00BE7730">
        <w:rPr>
          <w:rFonts w:eastAsia="Arial" w:cs="Times New Roman"/>
        </w:rPr>
        <w:t xml:space="preserve"> – </w:t>
      </w:r>
      <w:r w:rsidRPr="00BE7730">
        <w:rPr>
          <w:rFonts w:eastAsia="Arial" w:cs="Times New Roman"/>
          <w:b/>
          <w:bCs/>
        </w:rPr>
        <w:t>ILO)</w:t>
      </w:r>
      <w:r w:rsidRPr="00BE7730">
        <w:rPr>
          <w:rFonts w:eastAsia="Arial" w:cs="Times New Roman"/>
        </w:rPr>
        <w:t xml:space="preserve">, ki je specializirana organizacija Združenih narodov, “zaradi česar so vsi njeni zavezujoči dokumenti rezultat tripartitnega sporazumevanja med predstavniki delavcev, delodajalcev in vlad vsake od držav članic”; 2) </w:t>
      </w:r>
      <w:r w:rsidRPr="00BE7730">
        <w:rPr>
          <w:rFonts w:eastAsia="Arial" w:cs="Times New Roman"/>
          <w:b/>
          <w:bCs/>
        </w:rPr>
        <w:t>prostovoljni prispevek UNICEF</w:t>
      </w:r>
      <w:r w:rsidRPr="00BE7730">
        <w:rPr>
          <w:rFonts w:eastAsia="Arial" w:cs="Times New Roman"/>
        </w:rPr>
        <w:t xml:space="preserve"> za programe, namenjene otrokovemu preživetju in razvoju, osnovno izobraževanje (enake možnosti), dostopnost do zdravstvenega varstva in preprečevanje HIV/AIDS, ozaveščanje in promoviranje otrokovih pravic, ki jih izvajajo predvsem regionalni uradi; 3) </w:t>
      </w:r>
      <w:r w:rsidRPr="00BE7730">
        <w:rPr>
          <w:rFonts w:eastAsia="Arial" w:cs="Times New Roman"/>
          <w:b/>
          <w:bCs/>
        </w:rPr>
        <w:t>zaposlitve</w:t>
      </w:r>
      <w:r w:rsidRPr="00BE7730">
        <w:rPr>
          <w:rFonts w:eastAsia="Arial" w:cs="Times New Roman"/>
        </w:rPr>
        <w:t xml:space="preserve"> strokovnih delavcev CSD za izvajanje skrbništva nad mladoletnimi tujci brez spremstva in za stroške dela zaradi opravljanja intervencij izven delovnega časa CSD-jev, vezane na obravnavo mladoletnih tujcev brez spremstva; 4) </w:t>
      </w:r>
      <w:r w:rsidRPr="00BE7730">
        <w:rPr>
          <w:rFonts w:eastAsia="Arial" w:cs="Times New Roman"/>
          <w:b/>
          <w:bCs/>
        </w:rPr>
        <w:t>štipendije</w:t>
      </w:r>
      <w:r w:rsidRPr="00BE7730">
        <w:rPr>
          <w:rFonts w:eastAsia="Arial" w:cs="Times New Roman"/>
        </w:rPr>
        <w:t xml:space="preserve"> za študij tujih državljanov v Sloveniji, kar je namenjeno državljanom tistih držav, ki so prejemnice razvojne pomoči (to se bo v letu 2025 preneslo na Ministrstvo za vzgojo in izobraževanje oz. na Ministrstvo za visokošolstvo, znanost in inovacije). Na MDDSZ so dodali še, da omenjene aktivnosti neposredno </w:t>
      </w:r>
      <w:r w:rsidRPr="00BE7730">
        <w:rPr>
          <w:rFonts w:eastAsia="Arial" w:cs="Times New Roman"/>
          <w:b/>
          <w:bCs/>
        </w:rPr>
        <w:t>naslavljajo naslednje CTR</w:t>
      </w:r>
      <w:r w:rsidRPr="00BE7730">
        <w:rPr>
          <w:rFonts w:eastAsia="Arial" w:cs="Times New Roman"/>
        </w:rPr>
        <w:t>: Cilj 8. Spodbujati trajnostno, vključujočo in vzdržno gospodarsko rast, polno in produktivno zaposlenost ter dostojno delo za vse; Cilj 3. Poskrbeti za zdravo življenje in spodbujati splošno dobro počutje v vseh življenjskih obdobjih; Cilj 4. Vsem enakopravno zagotoviti kakovostno izobrazbo ter spodbujati možnosti vseživljenjskega učenja za vsakogar; Cilj 5. Doseči enakost spolov ter krepiti vlogo vseh žensk in deklic (elektronska korespondenca 4.7.2024).</w:t>
      </w:r>
    </w:p>
    <w:p w14:paraId="00000111" w14:textId="77777777" w:rsidR="00525158" w:rsidRPr="00BE7730" w:rsidRDefault="00525158">
      <w:pPr>
        <w:shd w:val="clear" w:color="auto" w:fill="FFFFFF"/>
        <w:jc w:val="both"/>
        <w:rPr>
          <w:rFonts w:eastAsia="Arial" w:cs="Times New Roman"/>
        </w:rPr>
      </w:pPr>
    </w:p>
    <w:p w14:paraId="00000112" w14:textId="77777777" w:rsidR="00525158" w:rsidRPr="00BE7730" w:rsidRDefault="00525158">
      <w:pPr>
        <w:shd w:val="clear" w:color="auto" w:fill="FFFFFF"/>
        <w:jc w:val="both"/>
        <w:rPr>
          <w:rFonts w:eastAsia="Arial" w:cs="Times New Roman"/>
          <w:b/>
        </w:rPr>
      </w:pPr>
    </w:p>
    <w:p w14:paraId="00000113" w14:textId="77777777" w:rsidR="00525158" w:rsidRPr="00BE7730" w:rsidRDefault="004D4AEA" w:rsidP="003954BC">
      <w:pPr>
        <w:pStyle w:val="Heading4"/>
        <w:rPr>
          <w:rFonts w:eastAsia="Arial" w:cs="Times New Roman"/>
        </w:rPr>
      </w:pPr>
      <w:bookmarkStart w:id="40" w:name="_Toc205412954"/>
      <w:r w:rsidRPr="00BE7730">
        <w:rPr>
          <w:rFonts w:eastAsia="Arial" w:cs="Times New Roman"/>
        </w:rPr>
        <w:t>Ministrstvo za naravne vire in prostor (MNVP)</w:t>
      </w:r>
      <w:bookmarkEnd w:id="40"/>
      <w:r w:rsidRPr="00BE7730">
        <w:rPr>
          <w:rFonts w:eastAsia="Arial" w:cs="Times New Roman"/>
        </w:rPr>
        <w:t xml:space="preserve"> </w:t>
      </w:r>
    </w:p>
    <w:p w14:paraId="68E31523" w14:textId="77777777" w:rsidR="003954BC" w:rsidRPr="00BE7730" w:rsidRDefault="003954BC">
      <w:pPr>
        <w:shd w:val="clear" w:color="auto" w:fill="FFFFFF"/>
        <w:jc w:val="both"/>
        <w:rPr>
          <w:rFonts w:eastAsia="Arial" w:cs="Times New Roman"/>
        </w:rPr>
      </w:pPr>
    </w:p>
    <w:p w14:paraId="00000114" w14:textId="35145A90" w:rsidR="00525158" w:rsidRPr="00BE7730" w:rsidRDefault="004D4AEA">
      <w:pPr>
        <w:shd w:val="clear" w:color="auto" w:fill="FFFFFF"/>
        <w:jc w:val="both"/>
        <w:rPr>
          <w:rFonts w:eastAsia="Arial" w:cs="Times New Roman"/>
        </w:rPr>
      </w:pPr>
      <w:r w:rsidRPr="00BE7730">
        <w:rPr>
          <w:rFonts w:eastAsia="Arial" w:cs="Times New Roman"/>
        </w:rPr>
        <w:t xml:space="preserve">MNVP je poudarilo, da koncept skladnosti politik v kontekstu razvojnega sodelovanja sicer ni nov koncept, ni pa še aktivno zaživel. Razlog za to bi lahko bila tudi “njegova nejasnost in vrojena ambivalenca”. Po razdružitvi je MNVP pristojno za naslednja področja: celostno upravljanje z vodami, biotska raznovrstnost in prostorsko načrtovanje. Razvojno sodelovanje zajema predvsem multilateralni vidik v obliki plačevanja rednih prispevkov Slovenije kot pogodbenice ključnih mednarodnih konvencij s področja biotske raznovrstnosti, voda in jedrske varnosti. Zaenkrat noben strateški dokument v domeni MNVP pri pripravi še ni upošteval vidika oziroma presoje skladnosti politik, razlogi za to pa bi lahko bili naslednji: a) pomanjkanje </w:t>
      </w:r>
      <w:r w:rsidRPr="00BE7730">
        <w:rPr>
          <w:rFonts w:eastAsia="Arial" w:cs="Times New Roman"/>
        </w:rPr>
        <w:lastRenderedPageBreak/>
        <w:t xml:space="preserve">razumevanja koncepta, ki bi imel konkretne aplikacije v konkretnem primeru oziroma procesu priprave določene politike ali strategije; b) odsotnost metodološkega okvirja s kazalci za merjenje kot tudi odsotnost smernic za upoštevanje koncepta; c) različna raven resorjev pri njihovi vključenosti v razvojno sodelovanje, ki ima za posledico različno raven interesa (vodstva), da se koncept ustrezno upošteva oziroma uporabi; d) Slovenija je članica EU (ene največjih donatoric razvojne pomoči), ki je generator ključnih politik, ki se nato zrcalijo na nacionalni ravni, zato bi se morali vprašati, koliko je samo načelo upoštevano v predlogih zakonodajnih aktov Evropske komisije (elektronska korespondenca 20.6.2024).  </w:t>
      </w:r>
    </w:p>
    <w:p w14:paraId="00000115" w14:textId="77777777" w:rsidR="00525158" w:rsidRPr="00BE7730" w:rsidRDefault="00525158">
      <w:pPr>
        <w:shd w:val="clear" w:color="auto" w:fill="FFFFFF"/>
        <w:jc w:val="both"/>
        <w:rPr>
          <w:rFonts w:eastAsia="Arial" w:cs="Times New Roman"/>
        </w:rPr>
      </w:pPr>
    </w:p>
    <w:p w14:paraId="00000116" w14:textId="77777777" w:rsidR="00525158" w:rsidRPr="00BE7730" w:rsidRDefault="004D4AEA" w:rsidP="003954BC">
      <w:pPr>
        <w:pStyle w:val="Heading4"/>
        <w:rPr>
          <w:rFonts w:eastAsia="Arial" w:cs="Times New Roman"/>
        </w:rPr>
      </w:pPr>
      <w:bookmarkStart w:id="41" w:name="_Toc205412955"/>
      <w:r w:rsidRPr="00BE7730">
        <w:rPr>
          <w:rFonts w:eastAsia="Arial" w:cs="Times New Roman"/>
        </w:rPr>
        <w:t>Ministrstvo za pravosodje (MP)</w:t>
      </w:r>
      <w:bookmarkEnd w:id="41"/>
      <w:r w:rsidRPr="00BE7730">
        <w:rPr>
          <w:rFonts w:eastAsia="Arial" w:cs="Times New Roman"/>
        </w:rPr>
        <w:t xml:space="preserve"> </w:t>
      </w:r>
    </w:p>
    <w:p w14:paraId="00000117" w14:textId="77777777" w:rsidR="00525158" w:rsidRPr="00BE7730" w:rsidRDefault="004D4AEA">
      <w:pPr>
        <w:shd w:val="clear" w:color="auto" w:fill="FFFFFF"/>
        <w:jc w:val="both"/>
        <w:rPr>
          <w:rFonts w:eastAsia="Arial" w:cs="Times New Roman"/>
        </w:rPr>
      </w:pPr>
      <w:r w:rsidRPr="00BE7730">
        <w:rPr>
          <w:rFonts w:eastAsia="Arial" w:cs="Times New Roman"/>
        </w:rPr>
        <w:t xml:space="preserve">Z MP so nam odgovorili, da nimajo strateških dokumentov, ki vključujejo načelo SPTR in da njihova uradna razvojna pomoč obsega predvsem sodelovanje z državami prejemnicami razvojne pomoči v obliki stroškov študijskih obiskov, sestankov ipd. (elektronska korespondenca 20.6.2024). </w:t>
      </w:r>
    </w:p>
    <w:p w14:paraId="00000118" w14:textId="77777777" w:rsidR="00525158" w:rsidRPr="00BE7730" w:rsidRDefault="00525158">
      <w:pPr>
        <w:shd w:val="clear" w:color="auto" w:fill="FFFFFF"/>
        <w:jc w:val="both"/>
        <w:rPr>
          <w:rFonts w:eastAsia="Arial" w:cs="Times New Roman"/>
          <w:b/>
          <w:highlight w:val="yellow"/>
        </w:rPr>
      </w:pPr>
    </w:p>
    <w:p w14:paraId="0000011A" w14:textId="77777777" w:rsidR="00525158" w:rsidRPr="00BE7730" w:rsidRDefault="00525158">
      <w:pPr>
        <w:shd w:val="clear" w:color="auto" w:fill="FFFFFF"/>
        <w:jc w:val="both"/>
        <w:rPr>
          <w:rFonts w:eastAsia="Arial" w:cs="Times New Roman"/>
          <w:b/>
        </w:rPr>
      </w:pPr>
    </w:p>
    <w:p w14:paraId="0000011B" w14:textId="77777777" w:rsidR="00525158" w:rsidRPr="00BE7730" w:rsidRDefault="004D4AEA" w:rsidP="003954BC">
      <w:pPr>
        <w:pStyle w:val="Heading2"/>
        <w:numPr>
          <w:ilvl w:val="0"/>
          <w:numId w:val="12"/>
        </w:numPr>
        <w:rPr>
          <w:rFonts w:ascii="Times New Roman" w:eastAsia="Arial" w:hAnsi="Times New Roman" w:cs="Times New Roman"/>
          <w:b/>
          <w:bCs/>
          <w:sz w:val="24"/>
          <w:szCs w:val="24"/>
        </w:rPr>
      </w:pPr>
      <w:bookmarkStart w:id="42" w:name="_Toc205412956"/>
      <w:r w:rsidRPr="00BE7730">
        <w:rPr>
          <w:rFonts w:ascii="Times New Roman" w:eastAsia="Arial" w:hAnsi="Times New Roman" w:cs="Times New Roman"/>
          <w:b/>
          <w:bCs/>
          <w:sz w:val="24"/>
          <w:szCs w:val="24"/>
        </w:rPr>
        <w:t>Delni sklep</w:t>
      </w:r>
      <w:bookmarkEnd w:id="42"/>
      <w:r w:rsidRPr="00BE7730">
        <w:rPr>
          <w:rFonts w:ascii="Times New Roman" w:eastAsia="Arial" w:hAnsi="Times New Roman" w:cs="Times New Roman"/>
          <w:b/>
          <w:bCs/>
          <w:sz w:val="24"/>
          <w:szCs w:val="24"/>
        </w:rPr>
        <w:t xml:space="preserve"> </w:t>
      </w:r>
    </w:p>
    <w:p w14:paraId="0000011C" w14:textId="77777777" w:rsidR="00525158" w:rsidRPr="00BE7730" w:rsidRDefault="00525158">
      <w:pPr>
        <w:shd w:val="clear" w:color="auto" w:fill="FFFFFF"/>
        <w:jc w:val="both"/>
        <w:rPr>
          <w:rFonts w:eastAsia="Arial" w:cs="Times New Roman"/>
          <w:b/>
        </w:rPr>
      </w:pPr>
    </w:p>
    <w:p w14:paraId="0000011D" w14:textId="1D064DCD" w:rsidR="00525158" w:rsidRPr="00BE7730" w:rsidRDefault="004D4AEA">
      <w:pPr>
        <w:shd w:val="clear" w:color="auto" w:fill="FFFFFF"/>
        <w:jc w:val="both"/>
        <w:rPr>
          <w:rFonts w:eastAsia="Arial" w:cs="Times New Roman"/>
        </w:rPr>
      </w:pPr>
      <w:r w:rsidRPr="00BE7730">
        <w:rPr>
          <w:rFonts w:eastAsia="Arial" w:cs="Times New Roman"/>
        </w:rPr>
        <w:t xml:space="preserve">Iz odgovorov, ki smo jih prejeli od resornih ministrstev, in pregleda vseh politik oz. dokumentov, ki so nam jih sami predlagali, lahko sklenemo, </w:t>
      </w:r>
      <w:r w:rsidRPr="00BE7730">
        <w:rPr>
          <w:rFonts w:eastAsia="Arial" w:cs="Times New Roman"/>
          <w:b/>
          <w:bCs/>
        </w:rPr>
        <w:t>da se posamezna resorna ministrstva sicer zavedajo pomena skladnosti politik in se tudi sklicujejo na relevantne mednarodne (predvsem Agenda 2030) in nacionalne  dokumente (Strategija razvoja Slovenije 2030 in posamezne področne Strategije), vendar je razbrati, da v praksi koordiniranega, usklajenega in rednega sodelovanja med resornimi ministrstvi in vsemi pomembnimi deležniki ni zaznati.</w:t>
      </w:r>
      <w:r w:rsidRPr="00BE7730">
        <w:rPr>
          <w:rFonts w:eastAsia="Arial" w:cs="Times New Roman"/>
        </w:rPr>
        <w:t xml:space="preserve"> Predstavniki resornih ministrstev so sicer vključeni v relevantna posvetovalna telesa (npr. Stalna koordinacijska skupina za MRS in Strokovni svet za MRS pod okriljem MZEZ ali medsektorska skupina za razvoj pod okriljem MKRR), vendar se tudi ta telesa sporadično in redko srečujejo. Težavo lahko predstavlja tudi fluktuacija zaposlenih, kar otežuje izvajanje kontinuirane politike na tem področju. Namreč od večine ministrstev nismo dobili podrobnejših pojasnil o njihovem delu na tem področju, ki bi zavzemalo kaj več kot le referiranje na strateške dokumente. </w:t>
      </w:r>
    </w:p>
    <w:p w14:paraId="0000011E" w14:textId="77777777" w:rsidR="00525158" w:rsidRPr="00BE7730" w:rsidRDefault="00525158">
      <w:pPr>
        <w:shd w:val="clear" w:color="auto" w:fill="FFFFFF"/>
        <w:jc w:val="both"/>
        <w:rPr>
          <w:rFonts w:eastAsia="Arial" w:cs="Times New Roman"/>
          <w:highlight w:val="yellow"/>
        </w:rPr>
      </w:pPr>
    </w:p>
    <w:p w14:paraId="0000011F" w14:textId="77777777" w:rsidR="00525158" w:rsidRPr="00BE7730" w:rsidRDefault="004D4AEA">
      <w:pPr>
        <w:shd w:val="clear" w:color="auto" w:fill="FFFFFF"/>
        <w:jc w:val="both"/>
        <w:rPr>
          <w:rFonts w:eastAsia="Arial" w:cs="Times New Roman"/>
          <w:highlight w:val="white"/>
        </w:rPr>
      </w:pPr>
      <w:r w:rsidRPr="00BE7730">
        <w:rPr>
          <w:rFonts w:eastAsia="Arial" w:cs="Times New Roman"/>
          <w:highlight w:val="white"/>
        </w:rPr>
        <w:t>Iz analize dokumentov pa je razvidno, da so nekateri zelo razdelani kar se tiče upoštevanja načela SPTR in uvajanja in integracije CTR (npr. področje podnebja, deloma tudi prehrane, kjer se zavedajo, da je potrebno uskladiti problematično skupno kmetijsko in ribiško politiko), drugi dokumenti pa oboje komaj omenjajo ali sploh ne. Kot poudarjajo tudi drugi strokovnjaki (Bučar 2024), številna področja nimajo internalizirane zavesti o SPTR, kot najbolj problematična področja pa lahko navedemo migracije, skupno kmetijsko politiko, skupno politiko na področju ribištva, ter mednarodno menjavo in trgovino</w:t>
      </w:r>
      <w:r w:rsidRPr="00BE7730">
        <w:rPr>
          <w:rFonts w:eastAsia="Arial" w:cs="Times New Roman"/>
        </w:rPr>
        <w:t>.</w:t>
      </w:r>
      <w:r w:rsidRPr="00BE7730">
        <w:rPr>
          <w:rFonts w:eastAsia="Arial" w:cs="Times New Roman"/>
          <w:highlight w:val="white"/>
        </w:rPr>
        <w:t xml:space="preserve"> To je posledica tudi pomanjkanja politične volje, ki je potrebna za dosledno uresničevanje načela SPTR. Namreč podnebne spremembe imajo skrb vzbujajoč vpliv povsod po svetu. Ti vplivi se širijo tudi na druga področja v okviru vseh treh stebrov trajnostnega razvoja. Lahko so družbeni (npr. migracije, oboroženi konflikti), gospodarski (npr. vzorci trgovanja, izguba naložb) ali okoljski (npr. obsežni gozdni požari, upadanje biotske raznovrstnosti) (Mackie 2020, 23).</w:t>
      </w:r>
    </w:p>
    <w:p w14:paraId="00000120" w14:textId="77777777" w:rsidR="00525158" w:rsidRPr="00BE7730" w:rsidRDefault="00525158">
      <w:pPr>
        <w:shd w:val="clear" w:color="auto" w:fill="FFFFFF"/>
        <w:jc w:val="both"/>
        <w:rPr>
          <w:rFonts w:eastAsia="Roboto" w:cs="Times New Roman"/>
          <w:highlight w:val="white"/>
        </w:rPr>
      </w:pPr>
    </w:p>
    <w:p w14:paraId="00000121" w14:textId="77777777" w:rsidR="00525158" w:rsidRDefault="00525158">
      <w:pPr>
        <w:shd w:val="clear" w:color="auto" w:fill="FFFFFF"/>
        <w:jc w:val="both"/>
        <w:rPr>
          <w:rFonts w:eastAsia="Arial" w:cs="Times New Roman"/>
          <w:b/>
        </w:rPr>
      </w:pPr>
    </w:p>
    <w:p w14:paraId="4C5881B4" w14:textId="77777777" w:rsidR="00BE7730" w:rsidRPr="00BE7730" w:rsidRDefault="00BE7730">
      <w:pPr>
        <w:shd w:val="clear" w:color="auto" w:fill="FFFFFF"/>
        <w:jc w:val="both"/>
        <w:rPr>
          <w:rFonts w:eastAsia="Arial" w:cs="Times New Roman"/>
          <w:b/>
        </w:rPr>
      </w:pPr>
    </w:p>
    <w:p w14:paraId="00000122" w14:textId="77777777" w:rsidR="00525158" w:rsidRPr="00BE7730" w:rsidRDefault="004D4AEA" w:rsidP="003954BC">
      <w:pPr>
        <w:pStyle w:val="Heading1"/>
        <w:rPr>
          <w:rFonts w:ascii="Times New Roman" w:eastAsia="Arial" w:hAnsi="Times New Roman" w:cs="Times New Roman"/>
          <w:b/>
          <w:bCs/>
          <w:sz w:val="28"/>
          <w:szCs w:val="28"/>
        </w:rPr>
      </w:pPr>
      <w:bookmarkStart w:id="43" w:name="_Toc205412957"/>
      <w:r w:rsidRPr="00BE7730">
        <w:rPr>
          <w:rFonts w:ascii="Times New Roman" w:eastAsia="Arial" w:hAnsi="Times New Roman" w:cs="Times New Roman"/>
          <w:b/>
          <w:bCs/>
          <w:sz w:val="28"/>
          <w:szCs w:val="28"/>
        </w:rPr>
        <w:lastRenderedPageBreak/>
        <w:t>4. SKLEP IN NADALJNJI KORAKI</w:t>
      </w:r>
      <w:bookmarkEnd w:id="43"/>
    </w:p>
    <w:p w14:paraId="00000123" w14:textId="77777777" w:rsidR="00525158" w:rsidRPr="00BE7730" w:rsidRDefault="00525158">
      <w:pPr>
        <w:shd w:val="clear" w:color="auto" w:fill="FFFFFF"/>
        <w:jc w:val="both"/>
        <w:rPr>
          <w:rFonts w:eastAsia="Arial" w:cs="Times New Roman"/>
        </w:rPr>
      </w:pPr>
    </w:p>
    <w:p w14:paraId="00000124" w14:textId="77777777" w:rsidR="00525158" w:rsidRPr="00BE7730" w:rsidRDefault="004D4AEA">
      <w:pPr>
        <w:shd w:val="clear" w:color="auto" w:fill="FFFFFF"/>
        <w:spacing w:before="240" w:after="240" w:line="276" w:lineRule="auto"/>
        <w:jc w:val="both"/>
        <w:rPr>
          <w:rFonts w:eastAsia="Arial" w:cs="Times New Roman"/>
        </w:rPr>
      </w:pPr>
      <w:r w:rsidRPr="00BE7730">
        <w:rPr>
          <w:rFonts w:eastAsia="Arial" w:cs="Times New Roman"/>
        </w:rPr>
        <w:t>Rezultat prve faze raziskovalnega projekta je pričujoči celovit pregled izvajanja javnih politik z največjimi učinki na trajnostni razvoj in na t.i. države v razvoju s poudarkom na petih prioritetnih področjih. Kot se zaveda tudi MZEZ, majhnost države in tudi relativno skromna sredstva za MRS na globalni ravni nimajo pomembnejšega vpliva na t.i. države v razvoju. Kljub temu je že za promocijo načela SPR smiselno opraviti analizo možnih vplivov na izbranih področjih, saj bi potencialne sinergije z domačimi politikami lahko pozitivno prispevale k ciljem, ki jih tako Slovenija kot EU zasledujeta na področju MRS in implementacije CTR. Prav tako lahko analiza izbranih področij prispeva k širšemu razumevanju načel SPTR in problematiki posrednih učinkov neusklajenih nacionalnih politik na reševanje razvojnih težav na globalnem nivoju, saj predstavljajo kolizijo s cilji, ki si jih je Slovenija zastavila na področju MRS.</w:t>
      </w:r>
    </w:p>
    <w:p w14:paraId="00000125" w14:textId="77777777" w:rsidR="00525158" w:rsidRPr="00BE7730" w:rsidRDefault="004D4AEA">
      <w:pPr>
        <w:shd w:val="clear" w:color="auto" w:fill="FFFFFF"/>
        <w:spacing w:before="240" w:after="240" w:line="276" w:lineRule="auto"/>
        <w:jc w:val="both"/>
        <w:rPr>
          <w:rFonts w:eastAsia="Arial" w:cs="Times New Roman"/>
        </w:rPr>
      </w:pPr>
      <w:r w:rsidRPr="00BE7730">
        <w:rPr>
          <w:rFonts w:eastAsia="Arial" w:cs="Times New Roman"/>
          <w:highlight w:val="white"/>
        </w:rPr>
        <w:t xml:space="preserve">Namreč dosledno izvajanje načela SPTR zahteva od oblikovalcev politik sodelovanje in nov, inovativen pristop z več koordinacije in vključevanjem deležnikov na različnih ravneh. Namesto, da se strategije in ukrepi za njihovo uresničevanje oblikujejo znotraj posameznih resorjev, je potrebno zagotoviti celovit in pregleden pristop, ki upošteva določeno hierarhijo ciljev nacionalnega razvoja in hkrati celostni vladni pristop </w:t>
      </w:r>
      <w:r w:rsidRPr="00BE7730">
        <w:rPr>
          <w:rFonts w:eastAsia="Arial" w:cs="Times New Roman"/>
          <w:i/>
          <w:highlight w:val="white"/>
        </w:rPr>
        <w:t>(whole of the government approach</w:t>
      </w:r>
      <w:r w:rsidRPr="00BE7730">
        <w:rPr>
          <w:rFonts w:eastAsia="Arial" w:cs="Times New Roman"/>
        </w:rPr>
        <w:t>) (Bučar 2024).</w:t>
      </w:r>
    </w:p>
    <w:p w14:paraId="00000126" w14:textId="77777777" w:rsidR="00525158" w:rsidRPr="00BE7730" w:rsidRDefault="004D4AEA">
      <w:pPr>
        <w:shd w:val="clear" w:color="auto" w:fill="FFFFFF"/>
        <w:spacing w:before="240" w:line="276" w:lineRule="auto"/>
        <w:jc w:val="both"/>
        <w:rPr>
          <w:rFonts w:eastAsia="Arial" w:cs="Times New Roman"/>
        </w:rPr>
      </w:pPr>
      <w:r w:rsidRPr="00BE7730">
        <w:rPr>
          <w:rFonts w:eastAsia="Arial" w:cs="Times New Roman"/>
          <w:highlight w:val="white"/>
        </w:rPr>
        <w:t>Na podlagi pregleda izbranih razvojnih strategij ugotavljamo, da nekateri ključni dokumenti naslavljajo načelo skladnosti ter da oblikovalci politik načeloma poznajo načelo skladnosti politik, tudi če ga ne naslavljajo nujno s terminologijo, ki je uveljavljena – SPR ali SPTR. Še največ pozornosti načelu skladnosti namenja Strategija razvoja Slovenije do leta 2030, ki je istočasno tudi najbolj neposredno povezana z uresničevanjem Agende 2030 in kjer najdemo politično zavezo skladnosti polit</w:t>
      </w:r>
      <w:r w:rsidRPr="00BE7730">
        <w:rPr>
          <w:rFonts w:eastAsia="Arial" w:cs="Times New Roman"/>
        </w:rPr>
        <w:t>ik</w:t>
      </w:r>
      <w:r w:rsidRPr="00BE7730">
        <w:rPr>
          <w:rFonts w:eastAsia="Arial" w:cs="Times New Roman"/>
          <w:b/>
        </w:rPr>
        <w:t xml:space="preserve"> </w:t>
      </w:r>
      <w:r w:rsidRPr="00BE7730">
        <w:rPr>
          <w:rFonts w:eastAsia="Arial" w:cs="Times New Roman"/>
        </w:rPr>
        <w:t>(cf. Bučar 2024).</w:t>
      </w:r>
    </w:p>
    <w:p w14:paraId="00000127" w14:textId="0C3CA549" w:rsidR="00525158" w:rsidRPr="00BE7730" w:rsidRDefault="004D4AEA">
      <w:pPr>
        <w:shd w:val="clear" w:color="auto" w:fill="FFFFFF"/>
        <w:spacing w:before="240" w:line="276" w:lineRule="auto"/>
        <w:jc w:val="both"/>
        <w:rPr>
          <w:rFonts w:eastAsia="Arial" w:cs="Times New Roman"/>
          <w:highlight w:val="white"/>
        </w:rPr>
      </w:pPr>
      <w:r w:rsidRPr="00BE7730">
        <w:rPr>
          <w:rFonts w:eastAsia="Arial" w:cs="Times New Roman"/>
          <w:highlight w:val="white"/>
        </w:rPr>
        <w:t xml:space="preserve">Toda, na podlagi analize izvrševanja načelnih zavez (čemur je namenjena tudi kritika računskega sodišča), lahko sklenemo, da </w:t>
      </w:r>
      <w:r w:rsidRPr="00BE7730">
        <w:rPr>
          <w:rFonts w:eastAsia="Arial" w:cs="Times New Roman"/>
          <w:b/>
          <w:bCs/>
          <w:highlight w:val="white"/>
        </w:rPr>
        <w:t xml:space="preserve">zaveze v praksi niso bile zadovoljivo izpolnjene, kajti ustrezna koordinacijska telesa niso bila ustanovljena, ali pa se že vzpostavljena telesa ne sestajajo kontinuirano, da bi lahko govorili o izpolnjevanju pristopa </w:t>
      </w:r>
      <w:r w:rsidRPr="00BE7730">
        <w:rPr>
          <w:rFonts w:eastAsia="Arial" w:cs="Times New Roman"/>
          <w:b/>
          <w:bCs/>
          <w:i/>
          <w:highlight w:val="white"/>
        </w:rPr>
        <w:t>“whole</w:t>
      </w:r>
      <w:r w:rsidR="00F55BC7">
        <w:rPr>
          <w:rFonts w:eastAsia="Arial" w:cs="Times New Roman"/>
          <w:b/>
          <w:bCs/>
          <w:i/>
          <w:highlight w:val="white"/>
        </w:rPr>
        <w:t>-</w:t>
      </w:r>
      <w:r w:rsidRPr="00BE7730">
        <w:rPr>
          <w:rFonts w:eastAsia="Arial" w:cs="Times New Roman"/>
          <w:b/>
          <w:bCs/>
          <w:i/>
          <w:highlight w:val="white"/>
        </w:rPr>
        <w:t>of</w:t>
      </w:r>
      <w:r w:rsidR="00F55BC7">
        <w:rPr>
          <w:rFonts w:eastAsia="Arial" w:cs="Times New Roman"/>
          <w:b/>
          <w:bCs/>
          <w:i/>
          <w:highlight w:val="white"/>
        </w:rPr>
        <w:t>-</w:t>
      </w:r>
      <w:r w:rsidRPr="00BE7730">
        <w:rPr>
          <w:rFonts w:eastAsia="Arial" w:cs="Times New Roman"/>
          <w:b/>
          <w:bCs/>
          <w:i/>
          <w:highlight w:val="white"/>
        </w:rPr>
        <w:t xml:space="preserve"> government”</w:t>
      </w:r>
      <w:r w:rsidRPr="00BE7730">
        <w:rPr>
          <w:rFonts w:eastAsia="Arial" w:cs="Times New Roman"/>
          <w:b/>
          <w:bCs/>
          <w:highlight w:val="white"/>
        </w:rPr>
        <w:t>, saj v praksi oz. pri izvajanju samega načela SPTR ni zaznati zadostne in redne koordinacije na ravni celotne vlade.</w:t>
      </w:r>
      <w:r w:rsidRPr="00BE7730">
        <w:rPr>
          <w:rFonts w:eastAsia="Arial" w:cs="Times New Roman"/>
          <w:highlight w:val="white"/>
        </w:rPr>
        <w:t xml:space="preserve"> </w:t>
      </w:r>
    </w:p>
    <w:p w14:paraId="00000128" w14:textId="77777777" w:rsidR="00525158" w:rsidRPr="00BE7730" w:rsidRDefault="004D4AEA">
      <w:pPr>
        <w:shd w:val="clear" w:color="auto" w:fill="FFFFFF"/>
        <w:spacing w:before="240" w:line="276" w:lineRule="auto"/>
        <w:jc w:val="both"/>
        <w:rPr>
          <w:rFonts w:eastAsia="Arial" w:cs="Times New Roman"/>
          <w:highlight w:val="white"/>
        </w:rPr>
      </w:pPr>
      <w:r w:rsidRPr="00BE7730">
        <w:rPr>
          <w:rFonts w:eastAsia="Arial" w:cs="Times New Roman"/>
          <w:highlight w:val="white"/>
        </w:rPr>
        <w:t xml:space="preserve">Prav tako umanjka učinkovito spremljanje, poročanje in vrednotenje znotraj katerega bi lahko ocenili uresničevanje načela SPTR, ki bi bili praksa, ne pa zgolj izjave na deklarativni ravni. Če se spet navežemo na priporočila OECD (2014), nam za učinkovitejše uresničevanje ne le Agende 2030 ampak tudi nacionalnega trajnostnega razvoja </w:t>
      </w:r>
      <w:r w:rsidRPr="00BE7730">
        <w:rPr>
          <w:rFonts w:eastAsia="Arial" w:cs="Times New Roman"/>
          <w:b/>
          <w:highlight w:val="white"/>
        </w:rPr>
        <w:t>manjka strateška dolgoročna vizija.</w:t>
      </w:r>
      <w:r w:rsidRPr="00BE7730">
        <w:rPr>
          <w:rFonts w:eastAsia="Arial" w:cs="Times New Roman"/>
          <w:highlight w:val="white"/>
        </w:rPr>
        <w:t xml:space="preserve"> Četudi Slovenija relativno uspešno uresničuje večino CTR, tega ni pripisati celoviti, koordinirani in aktivni politiki uresničevanja ciljev na podlagi načela SPTR, ampak določenim sektorskim posegom, ki implicitno sodijo v okvir CT</w:t>
      </w:r>
      <w:r w:rsidRPr="00BE7730">
        <w:rPr>
          <w:rFonts w:eastAsia="Arial" w:cs="Times New Roman"/>
        </w:rPr>
        <w:t>R (Bučar 2024).</w:t>
      </w:r>
      <w:r w:rsidRPr="00BE7730">
        <w:rPr>
          <w:rFonts w:eastAsia="Arial" w:cs="Times New Roman"/>
          <w:highlight w:val="white"/>
        </w:rPr>
        <w:t xml:space="preserve"> </w:t>
      </w:r>
      <w:r w:rsidRPr="00BE7730">
        <w:rPr>
          <w:rFonts w:eastAsia="Arial" w:cs="Times New Roman"/>
          <w:b/>
          <w:highlight w:val="white"/>
        </w:rPr>
        <w:t xml:space="preserve">Slovenija mora vzpostaviti ustrezen sistem spremljanja skladnosti politik za (trajnostni) razvoj, ki bo </w:t>
      </w:r>
      <w:r w:rsidRPr="00BE7730">
        <w:rPr>
          <w:rFonts w:eastAsia="Arial" w:cs="Times New Roman"/>
          <w:b/>
          <w:highlight w:val="white"/>
        </w:rPr>
        <w:lastRenderedPageBreak/>
        <w:t>zasledoval spremljanje oblikovanja različnih politik na način, da se zagotovi sinergije med njimi oziroma prepreči možne negativne posledice</w:t>
      </w:r>
      <w:r w:rsidRPr="00BE7730">
        <w:rPr>
          <w:rFonts w:eastAsia="Arial" w:cs="Times New Roman"/>
          <w:highlight w:val="white"/>
        </w:rPr>
        <w:t xml:space="preserve">. </w:t>
      </w:r>
    </w:p>
    <w:p w14:paraId="00000129" w14:textId="77777777" w:rsidR="00525158" w:rsidRPr="00BE7730" w:rsidRDefault="004D4AEA">
      <w:pPr>
        <w:shd w:val="clear" w:color="auto" w:fill="FFFFFF"/>
        <w:spacing w:before="240" w:after="240" w:line="276" w:lineRule="auto"/>
        <w:jc w:val="both"/>
        <w:rPr>
          <w:rFonts w:eastAsia="Arial" w:cs="Times New Roman"/>
          <w:b/>
          <w:bCs/>
        </w:rPr>
      </w:pPr>
      <w:r w:rsidRPr="00BE7730">
        <w:rPr>
          <w:rFonts w:eastAsia="Arial" w:cs="Times New Roman"/>
          <w:b/>
          <w:bCs/>
        </w:rPr>
        <w:t>Potrebna je tudi celovita analiza različnih ukrepov, ki jih Slovenija sprejema ločeno od generalne politike EU in ob tem ne ocenjuje potencialnega vpliva na razvoj t.i. držav v razvoju ali na realizacijo razvojnih ciljev. Tu lahko izpostavimo predvsem prioritetni področji migracij in varnosti, kjer je potrebna poglobljena analiza slovenske azilne politike in prakse.</w:t>
      </w:r>
    </w:p>
    <w:p w14:paraId="0000012A" w14:textId="31181D91" w:rsidR="00525158" w:rsidRPr="00BE7730" w:rsidRDefault="004D4AEA">
      <w:pPr>
        <w:shd w:val="clear" w:color="auto" w:fill="FFFFFF"/>
        <w:spacing w:before="240" w:after="240" w:line="276" w:lineRule="auto"/>
        <w:jc w:val="both"/>
        <w:rPr>
          <w:rFonts w:eastAsia="Arial" w:cs="Times New Roman"/>
        </w:rPr>
      </w:pPr>
      <w:r w:rsidRPr="00BE7730">
        <w:rPr>
          <w:rFonts w:eastAsia="Arial" w:cs="Times New Roman"/>
        </w:rPr>
        <w:t xml:space="preserve">Raziskovalno delo v nadaljevanju projekta bo usmerjeno  v analizo spoštovanja načela SPR in načela SPTR s poudarkom na tistih notranjih politikah, ki lahko prispevajo ali ovirajo doseganje ciljev na naslednjih prednostnih področjih MRS: a) spodbujanje miroljubnih in vključujočih družb, s poudarkom na dobrem upravljanju, enakih možnostih, vključno z enakostjo spolov, ter kakovostnem izobraževanju (skladno s Ciljem 8 in 16 trajnostnega razvoja); </w:t>
      </w:r>
      <w:r w:rsidR="0028019D" w:rsidRPr="00BE7730">
        <w:rPr>
          <w:rFonts w:eastAsia="Arial" w:cs="Times New Roman"/>
        </w:rPr>
        <w:t xml:space="preserve">in </w:t>
      </w:r>
      <w:r w:rsidRPr="00BE7730">
        <w:rPr>
          <w:rFonts w:eastAsia="Arial" w:cs="Times New Roman"/>
        </w:rPr>
        <w:t xml:space="preserve">b) boj proti podnebnim spremembam, s poudarkom na trajnostnem gospodarjenju z naravnimi in energetskimi viri (skladno s Ciljem 12 in 13). To so področja, kjer bo </w:t>
      </w:r>
      <w:sdt>
        <w:sdtPr>
          <w:rPr>
            <w:rFonts w:cs="Times New Roman"/>
          </w:rPr>
          <w:tag w:val="goog_rdk_2"/>
          <w:id w:val="1474166649"/>
        </w:sdtPr>
        <w:sdtEndPr/>
        <w:sdtContent/>
      </w:sdt>
      <w:r w:rsidRPr="00BE7730">
        <w:rPr>
          <w:rFonts w:eastAsia="Arial" w:cs="Times New Roman"/>
        </w:rPr>
        <w:t>potrebno opraviti podrobnejšo analizo.</w:t>
      </w:r>
    </w:p>
    <w:p w14:paraId="0000012B" w14:textId="6840E2E4" w:rsidR="00525158" w:rsidRPr="00BE7730" w:rsidRDefault="004D4AEA">
      <w:pPr>
        <w:shd w:val="clear" w:color="auto" w:fill="FFFFFF"/>
        <w:spacing w:before="240" w:after="240" w:line="276" w:lineRule="auto"/>
        <w:jc w:val="both"/>
        <w:rPr>
          <w:rFonts w:eastAsia="Arial" w:cs="Times New Roman"/>
        </w:rPr>
      </w:pPr>
      <w:r w:rsidRPr="00BE7730">
        <w:rPr>
          <w:rFonts w:eastAsia="Arial" w:cs="Times New Roman"/>
        </w:rPr>
        <w:t>Obe analizi skupaj bosta zagotovili dobro podlago za oblikovanje sistemskih rešitev, ki bodo predmet tretje in četrte faze projekta. Tu bo potrebno pristopiti z ustrezno mero pragmatičnosti, da se ne ponovi očitek, da na ravni strateških dokumentov Slovenija ustrezno naslavlja SPR, ko pa pride do sistematične analize in vnosa ugotovitev v konkretno politiko, pa se pokažejo številne praktične ovire. Eden ključnih problemov, ki se pojavlja vedno znova, je omejenost človeških virov tako pri koordinatorju MRS</w:t>
      </w:r>
      <w:r w:rsidR="0028019D" w:rsidRPr="00BE7730">
        <w:rPr>
          <w:rFonts w:eastAsia="Arial" w:cs="Times New Roman"/>
        </w:rPr>
        <w:t xml:space="preserve"> (MZEZ) </w:t>
      </w:r>
      <w:r w:rsidRPr="00BE7730">
        <w:rPr>
          <w:rFonts w:eastAsia="Arial" w:cs="Times New Roman"/>
        </w:rPr>
        <w:t>kot pri drugih ministrstvih, ki se ukvarjajo z razvojnim sodelovanjem. Zato bo potrebno iskati rešitve, ki upoštevajo obstoječe omejitve.</w:t>
      </w:r>
    </w:p>
    <w:p w14:paraId="0000012C" w14:textId="77777777" w:rsidR="00525158" w:rsidRPr="00BE7730" w:rsidRDefault="00525158">
      <w:pPr>
        <w:shd w:val="clear" w:color="auto" w:fill="FFFFFF"/>
        <w:jc w:val="both"/>
        <w:rPr>
          <w:rFonts w:eastAsia="Arial" w:cs="Times New Roman"/>
        </w:rPr>
      </w:pPr>
    </w:p>
    <w:sectPr w:rsidR="00525158" w:rsidRPr="00BE7730" w:rsidSect="00342C39">
      <w:footerReference w:type="default" r:id="rId20"/>
      <w:pgSz w:w="11906" w:h="16838"/>
      <w:pgMar w:top="1417" w:right="141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4680" w14:textId="77777777" w:rsidR="00B95A41" w:rsidRDefault="00B95A41">
      <w:r>
        <w:separator/>
      </w:r>
    </w:p>
    <w:p w14:paraId="2E607DD5" w14:textId="77777777" w:rsidR="00B95A41" w:rsidRDefault="00B95A41"/>
    <w:p w14:paraId="46C82C58" w14:textId="77777777" w:rsidR="00B95A41" w:rsidRDefault="00B95A41" w:rsidP="009D24D1"/>
  </w:endnote>
  <w:endnote w:type="continuationSeparator" w:id="0">
    <w:p w14:paraId="0207D795" w14:textId="77777777" w:rsidR="00B95A41" w:rsidRDefault="00B95A41">
      <w:r>
        <w:continuationSeparator/>
      </w:r>
    </w:p>
    <w:p w14:paraId="01E60DA1" w14:textId="77777777" w:rsidR="00B95A41" w:rsidRDefault="00B95A41"/>
    <w:p w14:paraId="71A58A31" w14:textId="77777777" w:rsidR="00B95A41" w:rsidRDefault="00B95A41" w:rsidP="009D2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BC869578-858F-4ACD-8E9A-80DEEBABB093}"/>
    <w:embedBold r:id="rId2" w:fontKey="{75AFA403-9D19-4AB6-A275-15B5856CC815}"/>
    <w:embedItalic r:id="rId3" w:fontKey="{B99B25A5-8711-445D-9486-765E2F6E66E5}"/>
    <w:embedBoldItalic r:id="rId4" w:fontKey="{FA21F281-A2E6-4798-8320-AB3FE3F99EEB}"/>
  </w:font>
  <w:font w:name="Aptos Display">
    <w:altName w:val="Calibri"/>
    <w:charset w:val="00"/>
    <w:family w:val="swiss"/>
    <w:pitch w:val="variable"/>
    <w:sig w:usb0="20000287" w:usb1="00000003" w:usb2="00000000" w:usb3="00000000" w:csb0="0000019F" w:csb1="00000000"/>
    <w:embedRegular r:id="rId5" w:fontKey="{E8A075E4-2515-4851-9D13-A7278E0117E8}"/>
  </w:font>
  <w:font w:name="Segoe UI">
    <w:panose1 w:val="020B0502040204020203"/>
    <w:charset w:val="EE"/>
    <w:family w:val="swiss"/>
    <w:pitch w:val="variable"/>
    <w:sig w:usb0="E4002EFF" w:usb1="C000E47F" w:usb2="00000009" w:usb3="00000000" w:csb0="000001FF" w:csb1="00000000"/>
    <w:embedRegular r:id="rId6" w:fontKey="{6A1195D6-B775-4638-95C5-D5284906474C}"/>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7" w:fontKey="{8BEA3C6B-2E4C-424E-BFD0-5D91206092C6}"/>
  </w:font>
  <w:font w:name="Roboto">
    <w:charset w:val="00"/>
    <w:family w:val="auto"/>
    <w:pitch w:val="variable"/>
    <w:sig w:usb0="E0000AFF" w:usb1="5000217F" w:usb2="00000021" w:usb3="00000000" w:csb0="0000019F" w:csb1="00000000"/>
    <w:embedRegular r:id="rId8" w:fontKey="{BE7954DE-0ACA-413A-AF55-7468A61A4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633630"/>
      <w:docPartObj>
        <w:docPartGallery w:val="Page Numbers (Bottom of Page)"/>
        <w:docPartUnique/>
      </w:docPartObj>
    </w:sdtPr>
    <w:sdtEndPr/>
    <w:sdtContent>
      <w:p w14:paraId="4C7EE917" w14:textId="592CFA0A" w:rsidR="00474645" w:rsidRDefault="00474645">
        <w:pPr>
          <w:pStyle w:val="Footer"/>
          <w:jc w:val="right"/>
        </w:pPr>
        <w:r>
          <w:fldChar w:fldCharType="begin"/>
        </w:r>
        <w:r>
          <w:instrText>PAGE   \* MERGEFORMAT</w:instrText>
        </w:r>
        <w:r>
          <w:fldChar w:fldCharType="separate"/>
        </w:r>
        <w:r w:rsidR="00BA538D">
          <w:rPr>
            <w:noProof/>
          </w:rPr>
          <w:t>37</w:t>
        </w:r>
        <w:r>
          <w:fldChar w:fldCharType="end"/>
        </w:r>
      </w:p>
    </w:sdtContent>
  </w:sdt>
  <w:p w14:paraId="623EA88C" w14:textId="77777777" w:rsidR="00474645" w:rsidRDefault="00474645">
    <w:pPr>
      <w:pStyle w:val="Footer"/>
    </w:pPr>
  </w:p>
  <w:p w14:paraId="52FB4253" w14:textId="77777777" w:rsidR="00474645" w:rsidRDefault="00474645"/>
  <w:p w14:paraId="37047DA2" w14:textId="77777777" w:rsidR="00474645" w:rsidRDefault="00474645" w:rsidP="009D2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FC85F" w14:textId="77777777" w:rsidR="00B95A41" w:rsidRDefault="00B95A41">
      <w:r>
        <w:separator/>
      </w:r>
    </w:p>
    <w:p w14:paraId="0F66C46C" w14:textId="77777777" w:rsidR="00B95A41" w:rsidRDefault="00B95A41"/>
    <w:p w14:paraId="748A29E4" w14:textId="77777777" w:rsidR="00B95A41" w:rsidRDefault="00B95A41" w:rsidP="009D24D1"/>
  </w:footnote>
  <w:footnote w:type="continuationSeparator" w:id="0">
    <w:p w14:paraId="0F38A3EF" w14:textId="77777777" w:rsidR="00B95A41" w:rsidRDefault="00B95A41">
      <w:r>
        <w:continuationSeparator/>
      </w:r>
    </w:p>
    <w:p w14:paraId="0AF5D0E2" w14:textId="77777777" w:rsidR="00B95A41" w:rsidRDefault="00B95A41"/>
    <w:p w14:paraId="135B2567" w14:textId="77777777" w:rsidR="00B95A41" w:rsidRDefault="00B95A41" w:rsidP="009D24D1"/>
  </w:footnote>
  <w:footnote w:id="1">
    <w:p w14:paraId="0000012D"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Pogodba o Evropski uniji</w:t>
      </w:r>
      <w:r w:rsidRPr="009D24D1">
        <w:rPr>
          <w:rFonts w:eastAsia="Calibri" w:cs="Times New Roman"/>
          <w:sz w:val="20"/>
          <w:szCs w:val="20"/>
        </w:rPr>
        <w:t xml:space="preserve">, podpisana 7. februarja 1992, v veljavi od 1. novembra 1993. Dostopno prek: </w:t>
      </w:r>
      <w:hyperlink r:id="rId1">
        <w:r w:rsidRPr="009D24D1">
          <w:rPr>
            <w:rFonts w:eastAsia="Calibri" w:cs="Times New Roman"/>
            <w:color w:val="1155CC"/>
            <w:sz w:val="20"/>
            <w:szCs w:val="20"/>
            <w:u w:val="single"/>
          </w:rPr>
          <w:t>https://www.europarl.europa.eu/about-parliament/sl/in-the-past/the-parliament-and-the-treaties/maastricht-treaty</w:t>
        </w:r>
      </w:hyperlink>
      <w:r w:rsidRPr="009D24D1">
        <w:rPr>
          <w:rFonts w:eastAsia="Calibri" w:cs="Times New Roman"/>
          <w:sz w:val="20"/>
          <w:szCs w:val="20"/>
        </w:rPr>
        <w:t xml:space="preserve"> </w:t>
      </w:r>
    </w:p>
  </w:footnote>
  <w:footnote w:id="2">
    <w:p w14:paraId="00000149"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Roboto" w:cs="Times New Roman"/>
          <w:sz w:val="20"/>
          <w:szCs w:val="20"/>
        </w:rPr>
        <w:t xml:space="preserve"> Koncept “držav v razvoju” je sicer terminologija, ki jo uporablja EU in tudi Slovenija, vendar je z vidika razumevanja kolonialne in post-kolonialne zgodovine primerneje, da se uporablja termin "države globalnega juga" ali "države na periferiji".</w:t>
      </w:r>
    </w:p>
  </w:footnote>
  <w:footnote w:id="3">
    <w:p w14:paraId="0000013B"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Sporočilo komisije Svetu, Evropskemu parlamentu in Evropskemu ekonomsko-socialnemu odboru, Skladnost politike za razvoj, Pospeševanje napredka v smeri uresničevanja razvojnih ciljev novega tisočletja {SEC(2005)455} </w:t>
      </w:r>
      <w:hyperlink r:id="rId2">
        <w:r w:rsidRPr="009D24D1">
          <w:rPr>
            <w:rFonts w:cs="Times New Roman"/>
            <w:color w:val="1155CC"/>
            <w:sz w:val="20"/>
            <w:szCs w:val="20"/>
            <w:u w:val="single"/>
          </w:rPr>
          <w:t>https://eur-lex.europa.eu/LexUriServ/LexUriServ.do?uri=COM:2005:0134:FIN:SL:PDF</w:t>
        </w:r>
      </w:hyperlink>
    </w:p>
  </w:footnote>
  <w:footnote w:id="4">
    <w:p w14:paraId="0000012E"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3">
        <w:r w:rsidRPr="009D24D1">
          <w:rPr>
            <w:rFonts w:cs="Times New Roman"/>
            <w:color w:val="1155CC"/>
            <w:sz w:val="20"/>
            <w:szCs w:val="20"/>
            <w:u w:val="single"/>
          </w:rPr>
          <w:t>https://eur-lex.europa.eu/legal-content/SL/TXT/HTML/?uri=CELEX:42017Y0630(01)</w:t>
        </w:r>
      </w:hyperlink>
      <w:r w:rsidRPr="009D24D1">
        <w:rPr>
          <w:rFonts w:cs="Times New Roman"/>
          <w:sz w:val="20"/>
          <w:szCs w:val="20"/>
        </w:rPr>
        <w:t xml:space="preserve"> </w:t>
      </w:r>
    </w:p>
  </w:footnote>
  <w:footnote w:id="5">
    <w:p w14:paraId="0000013C"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hyperlink r:id="rId4">
        <w:r w:rsidRPr="009D24D1">
          <w:rPr>
            <w:rFonts w:eastAsia="Arial" w:cs="Times New Roman"/>
            <w:color w:val="1155CC"/>
            <w:sz w:val="20"/>
            <w:szCs w:val="20"/>
            <w:u w:val="single"/>
          </w:rPr>
          <w:t>https://sustainabledevelopment.un.org/content/documents/21252030%20Agenda%20for%20Sustainable%20Development%20web.pdf</w:t>
        </w:r>
      </w:hyperlink>
      <w:r w:rsidRPr="009D24D1">
        <w:rPr>
          <w:rFonts w:eastAsia="Arial" w:cs="Times New Roman"/>
          <w:sz w:val="20"/>
          <w:szCs w:val="20"/>
        </w:rPr>
        <w:t xml:space="preserve"> ;  </w:t>
      </w:r>
      <w:hyperlink r:id="rId5">
        <w:r w:rsidRPr="009D24D1">
          <w:rPr>
            <w:rFonts w:eastAsia="Arial" w:cs="Times New Roman"/>
            <w:color w:val="1155CC"/>
            <w:sz w:val="20"/>
            <w:szCs w:val="20"/>
            <w:u w:val="single"/>
          </w:rPr>
          <w:t>https://sdgs.un.org/2030agenda</w:t>
        </w:r>
      </w:hyperlink>
      <w:r w:rsidRPr="009D24D1">
        <w:rPr>
          <w:rFonts w:eastAsia="Arial" w:cs="Times New Roman"/>
          <w:sz w:val="20"/>
          <w:szCs w:val="20"/>
        </w:rPr>
        <w:t xml:space="preserve"> </w:t>
      </w:r>
    </w:p>
  </w:footnote>
  <w:footnote w:id="6">
    <w:p w14:paraId="00000137"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r w:rsidRPr="009D24D1">
        <w:rPr>
          <w:rFonts w:eastAsia="Arial" w:cs="Times New Roman"/>
          <w:sz w:val="20"/>
          <w:szCs w:val="20"/>
        </w:rPr>
        <w:t xml:space="preserve"> </w:t>
      </w:r>
      <w:hyperlink r:id="rId6">
        <w:r w:rsidRPr="009D24D1">
          <w:rPr>
            <w:rFonts w:eastAsia="Arial" w:cs="Times New Roman"/>
            <w:sz w:val="20"/>
            <w:szCs w:val="20"/>
          </w:rPr>
          <w:t xml:space="preserve">Mackie, James (2020): ECDPM; Cascades; Spodbujanje skladnosti politik: izkušnje, pridobljene v EU pri razvojnem sodelovanju; </w:t>
        </w:r>
      </w:hyperlink>
      <w:hyperlink r:id="rId7">
        <w:r w:rsidRPr="009D24D1">
          <w:rPr>
            <w:rFonts w:eastAsia="Arial" w:cs="Times New Roman"/>
            <w:color w:val="1155CC"/>
            <w:sz w:val="20"/>
            <w:szCs w:val="20"/>
            <w:u w:val="single"/>
          </w:rPr>
          <w:t>https://www.sloga-platform.org/wp-content/uploads/2020/12/20201031-Spodbujanje-skladnosti-politik-za-razvoj-ECDPM-prevod-FINAL.pdf</w:t>
        </w:r>
      </w:hyperlink>
    </w:p>
  </w:footnote>
  <w:footnote w:id="7">
    <w:p w14:paraId="00000135"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rPr>
        <w:t xml:space="preserve">2019 EU Report on Policy Coherence for Development: </w:t>
      </w:r>
      <w:hyperlink r:id="rId8">
        <w:r w:rsidRPr="009D24D1">
          <w:rPr>
            <w:rFonts w:eastAsia="Arial" w:cs="Times New Roman"/>
            <w:color w:val="1155CC"/>
            <w:sz w:val="20"/>
            <w:szCs w:val="20"/>
            <w:u w:val="single"/>
          </w:rPr>
          <w:t>https://international-partnerships.ec.europa.eu/document/download/0c296a90-c474-40af-a647-9e8786de471d_en?filename=swd-2019-20-pcdreport_en.pdf</w:t>
        </w:r>
      </w:hyperlink>
      <w:r w:rsidRPr="009D24D1">
        <w:rPr>
          <w:rFonts w:eastAsia="Arial" w:cs="Times New Roman"/>
          <w:sz w:val="20"/>
          <w:szCs w:val="20"/>
        </w:rPr>
        <w:t xml:space="preserve"> </w:t>
      </w:r>
    </w:p>
  </w:footnote>
  <w:footnote w:id="8">
    <w:p w14:paraId="0000012F"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rPr>
        <w:t xml:space="preserve">2019 EU Report on Policy Coherence for Development: </w:t>
      </w:r>
      <w:hyperlink r:id="rId9">
        <w:r w:rsidRPr="009D24D1">
          <w:rPr>
            <w:rFonts w:eastAsia="Arial" w:cs="Times New Roman"/>
            <w:color w:val="1155CC"/>
            <w:sz w:val="20"/>
            <w:szCs w:val="20"/>
            <w:u w:val="single"/>
          </w:rPr>
          <w:t>https://international-partnerships.ec.europa.eu/document/download/0c296a90-c474-40af-a647-9e8786de471d_en?filename=swd-2019-20-pcdreport_en.pdf</w:t>
        </w:r>
      </w:hyperlink>
      <w:r w:rsidRPr="009D24D1">
        <w:rPr>
          <w:rFonts w:eastAsia="Arial" w:cs="Times New Roman"/>
          <w:sz w:val="20"/>
          <w:szCs w:val="20"/>
        </w:rPr>
        <w:t xml:space="preserve"> </w:t>
      </w:r>
    </w:p>
  </w:footnote>
  <w:footnote w:id="9">
    <w:p w14:paraId="0000013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10">
        <w:r w:rsidRPr="009D24D1">
          <w:rPr>
            <w:rFonts w:cs="Times New Roman"/>
            <w:color w:val="1155CC"/>
            <w:sz w:val="20"/>
            <w:szCs w:val="20"/>
            <w:u w:val="single"/>
          </w:rPr>
          <w:t>https://sustainabledevelopment.un.org/content/documents/2051AAAA_Outcome.pdf</w:t>
        </w:r>
      </w:hyperlink>
      <w:r w:rsidRPr="009D24D1">
        <w:rPr>
          <w:rFonts w:cs="Times New Roman"/>
          <w:sz w:val="20"/>
          <w:szCs w:val="20"/>
        </w:rPr>
        <w:t xml:space="preserve"> </w:t>
      </w:r>
    </w:p>
  </w:footnote>
  <w:footnote w:id="10">
    <w:p w14:paraId="00000130"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highlight w:val="white"/>
        </w:rPr>
        <w:t xml:space="preserve">European Commission, Directorate-General for International Partnerships, Núñez-Borja, C., Baudelet, E., Picarello, T., </w:t>
      </w:r>
      <w:r w:rsidRPr="009D24D1">
        <w:rPr>
          <w:rFonts w:eastAsia="Arial" w:cs="Times New Roman"/>
          <w:i/>
          <w:sz w:val="20"/>
          <w:szCs w:val="20"/>
          <w:highlight w:val="white"/>
        </w:rPr>
        <w:t>External evaluation of the European Union’s policy coherence for development (2009-2016) – Final report. Volume 1, Main report</w:t>
      </w:r>
      <w:r w:rsidRPr="009D24D1">
        <w:rPr>
          <w:rFonts w:eastAsia="Arial" w:cs="Times New Roman"/>
          <w:sz w:val="20"/>
          <w:szCs w:val="20"/>
          <w:highlight w:val="white"/>
        </w:rPr>
        <w:t xml:space="preserve">, Publications Office of the European Union, 2022, </w:t>
      </w:r>
      <w:hyperlink r:id="rId11">
        <w:r w:rsidRPr="009D24D1">
          <w:rPr>
            <w:rFonts w:eastAsia="Arial" w:cs="Times New Roman"/>
            <w:sz w:val="20"/>
            <w:szCs w:val="20"/>
            <w:highlight w:val="white"/>
          </w:rPr>
          <w:t>https://data.europa.eu/doi/10.2841/31157</w:t>
        </w:r>
      </w:hyperlink>
      <w:r w:rsidRPr="009D24D1">
        <w:rPr>
          <w:rFonts w:cs="Times New Roman"/>
          <w:sz w:val="20"/>
          <w:szCs w:val="20"/>
        </w:rPr>
        <w:t xml:space="preserve"> </w:t>
      </w:r>
    </w:p>
  </w:footnote>
  <w:footnote w:id="11">
    <w:p w14:paraId="00000141"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OECD (2019): OECD Recommendation on Policy Coherence for Sustainable Development; OECD/LEGAL/0381, Pariz. Dostopno prek: https://www.oecd.org/gov/pcsd/oecd-recommendation-on-policy-coherence-for-sustainable-development.htm</w:t>
      </w:r>
    </w:p>
  </w:footnote>
  <w:footnote w:id="12">
    <w:p w14:paraId="00000140"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Country Profiles: Institutional mechanisms for PCSD, </w:t>
      </w:r>
      <w:hyperlink r:id="rId12">
        <w:r w:rsidRPr="009D24D1">
          <w:rPr>
            <w:rFonts w:cs="Times New Roman"/>
            <w:color w:val="1155CC"/>
            <w:sz w:val="20"/>
            <w:szCs w:val="20"/>
            <w:u w:val="single"/>
          </w:rPr>
          <w:t>https://www.oecd.org/gov/pcsd/pcsd-country-profiles.htm</w:t>
        </w:r>
      </w:hyperlink>
      <w:r w:rsidRPr="009D24D1">
        <w:rPr>
          <w:rFonts w:cs="Times New Roman"/>
          <w:sz w:val="20"/>
          <w:szCs w:val="20"/>
        </w:rPr>
        <w:t xml:space="preserve"> </w:t>
      </w:r>
    </w:p>
  </w:footnote>
  <w:footnote w:id="13">
    <w:p w14:paraId="0000013D"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Sporočilo komisije Svetu, Evropskemu parlamentu in Evropskemu ekonomsko-socialnemu odboru, Skladnost politike za razvoj, Pospeševanje napredka v smeri uresničevanja razvojnih ciljev novega tisočletja {SEC(2005)455} </w:t>
      </w:r>
      <w:hyperlink r:id="rId13">
        <w:r w:rsidRPr="009D24D1">
          <w:rPr>
            <w:rFonts w:cs="Times New Roman"/>
            <w:color w:val="1155CC"/>
            <w:sz w:val="20"/>
            <w:szCs w:val="20"/>
            <w:u w:val="single"/>
          </w:rPr>
          <w:t>https://eur-lex.europa.eu/LexUriServ/LexUriServ.do?uri=COM:2005:0134:FIN:SL:PDF</w:t>
        </w:r>
      </w:hyperlink>
      <w:r w:rsidRPr="009D24D1">
        <w:rPr>
          <w:rFonts w:cs="Times New Roman"/>
          <w:sz w:val="20"/>
          <w:szCs w:val="20"/>
        </w:rPr>
        <w:t xml:space="preserve"> </w:t>
      </w:r>
    </w:p>
    <w:p w14:paraId="0000013E" w14:textId="77777777" w:rsidR="00474645" w:rsidRPr="009D24D1" w:rsidRDefault="00474645" w:rsidP="00342C39">
      <w:pPr>
        <w:jc w:val="both"/>
        <w:rPr>
          <w:rFonts w:cs="Times New Roman"/>
          <w:sz w:val="20"/>
          <w:szCs w:val="20"/>
        </w:rPr>
      </w:pPr>
    </w:p>
  </w:footnote>
  <w:footnote w:id="14">
    <w:p w14:paraId="00000179"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Calibri" w:cs="Times New Roman"/>
          <w:sz w:val="20"/>
          <w:szCs w:val="20"/>
        </w:rPr>
        <w:t>Izbrana prioritetna področja EU spremlja v svojih poročilih in so bila izpostavljena v Poročilu o skladnosti politik 2019. Več na:</w:t>
      </w:r>
      <w:hyperlink r:id="rId14">
        <w:r w:rsidRPr="009D24D1">
          <w:rPr>
            <w:rFonts w:eastAsia="Calibri" w:cs="Times New Roman"/>
            <w:sz w:val="20"/>
            <w:szCs w:val="20"/>
          </w:rPr>
          <w:t xml:space="preserve"> </w:t>
        </w:r>
      </w:hyperlink>
      <w:hyperlink r:id="rId15">
        <w:r w:rsidRPr="009D24D1">
          <w:rPr>
            <w:rFonts w:eastAsia="Calibri" w:cs="Times New Roman"/>
            <w:color w:val="1155CC"/>
            <w:sz w:val="20"/>
            <w:szCs w:val="20"/>
            <w:u w:val="single"/>
          </w:rPr>
          <w:t>https://op.europa.eu/en/publication-detail/-/publication/85669b34-88d0-11e9-9369-01aa75ed71a1</w:t>
        </w:r>
      </w:hyperlink>
    </w:p>
  </w:footnote>
  <w:footnote w:id="15">
    <w:p w14:paraId="0000017A"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Tudi med ministrstvi, ki so se odzvala na naše prošnje, so bile velike razlike - od nekaterih smo prejeli zelo skope odgovore, z navedbo nekaj splošnih dokumentov, medtem ko so na nekaterih ministrstvih pripravili veliko bolj vsebinske odgovore. </w:t>
      </w:r>
    </w:p>
  </w:footnote>
  <w:footnote w:id="16">
    <w:p w14:paraId="0000018A"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Koff, H., Challenger, A. in Portillo, I. (2020): Guidelines for Operationalizing Policy Coherence for Development (PCD) as a Methodology for the Design and Implementation for Sustainable Development Strategies. Sustainability 12 (10): 1 – 25.</w:t>
      </w:r>
    </w:p>
  </w:footnote>
  <w:footnote w:id="17">
    <w:p w14:paraId="00000185"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Grabel, I. (2007): Policy coherence or conformance? The New world bank – international monetary fund – world trade organization rhetoric on trade and investment in developing countries. Review of Radical Political Economics 39 (3): 335 – 341.</w:t>
      </w:r>
    </w:p>
  </w:footnote>
  <w:footnote w:id="18">
    <w:p w14:paraId="00000181"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Barder, O. (2013): Policy coherence is a hobgoblin. Center for Global Development. Dostopno prek: https://www.cgdev.org/blog/policy-coherence-hobgoblinblication%2F9789264267213-en&amp;mimeTypeĽpdf </w:t>
      </w:r>
    </w:p>
  </w:footnote>
  <w:footnote w:id="19">
    <w:p w14:paraId="0000018D"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Mackie, J., M. Ronceray in E. Spierings (2017): Policy coherence and the 2030 Agenda: Building on the PCD experience. Dostopno prek: https://ecdpm.org/wp-content/uploads/DP210-Policy-Coherence-2030-Agenda-Mackie-March-2017.pdf</w:t>
      </w:r>
    </w:p>
  </w:footnote>
  <w:footnote w:id="20">
    <w:p w14:paraId="0000018F"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OECD (2005): Policy Coherence for Development: Promoting Institutional Good Practice; OECD: Pariz. Dostopno prek https://www.oecd-ilibrary.org/development/policy-coherence-for-development_9789264108554-en</w:t>
      </w:r>
    </w:p>
  </w:footnote>
  <w:footnote w:id="21">
    <w:p w14:paraId="00000190"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Picciotto, R. (2005): The evaluation of policy coherence for development. Evaluation 11 (3): 311 – 330.</w:t>
      </w:r>
    </w:p>
  </w:footnote>
  <w:footnote w:id="22">
    <w:p w14:paraId="00000182"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de Jong, E. in M. J. Vijge (2021): From Millennium to Sustaianble Development Goals: Evolving discourses and their reflection in policy coherence for development. Earth System Governance 7 (2021): 1 -12.</w:t>
      </w:r>
    </w:p>
  </w:footnote>
  <w:footnote w:id="23">
    <w:p w14:paraId="0000018E"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Nilsson, M., E. Chisholm, D. Griggs, P. Howden-Chapman, D. McCollum, P. Messerli, B. Neumann, A. Stevance, M. Visbeck in M. Stafford-Smith, M. (2018): Mapping interactions between the sustainable development goals: Lessons learned and ways forward. Sustainability Science 13 (2018): 1489–1503.</w:t>
      </w:r>
    </w:p>
  </w:footnote>
  <w:footnote w:id="24">
    <w:p w14:paraId="0000018C"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Le Blanc, D. (2015) :Towards integration at last? The sustainable development goals as a network of targets. Sustainable Development 23 (3): 176–187.</w:t>
      </w:r>
    </w:p>
  </w:footnote>
  <w:footnote w:id="25">
    <w:p w14:paraId="00000188"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King, M. (2016): Broadening the Global Development Framework Post 2015: Embracing Policy Coherence and Global Public Goods. European Journal of Development Research 28 (2016): 13–29.</w:t>
      </w:r>
    </w:p>
  </w:footnote>
  <w:footnote w:id="26">
    <w:p w14:paraId="00000191"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Shawoo, Z., Maltais, A., Dzebo, A. in Pickering, J. (2022): Political drivers of policy coherence for sustainable development: an analytical framework. Environmental Policy and Governance 2022 (1): 1-12. https://onlinelibrary.wiley.com/doi/full/10.1002/eet.2039 </w:t>
      </w:r>
    </w:p>
  </w:footnote>
  <w:footnote w:id="27">
    <w:p w14:paraId="00000193"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Thede, N. (2013). Policy coherence for development and securitisation: Competing paradigms or stabilizing North–South hierarchies? Third World Quarterly, 34 (5): 784–799.</w:t>
      </w:r>
    </w:p>
  </w:footnote>
  <w:footnote w:id="28">
    <w:p w14:paraId="00000184"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Furness, M. (2016): Policy coherence for development and the security-development nexus in EU external relations, briefing by Mark Furness. European Commission. Dostopno prek: https://www.europarl.europa.eu/RegData/etudes/STUD/2016/535022/EXPO_STU(2016)535022_EN.pdf </w:t>
      </w:r>
    </w:p>
  </w:footnote>
  <w:footnote w:id="29">
    <w:p w14:paraId="00000183"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Dubé, L., N. Addy, C. Blouin in N. Drager (2014): From policy coherence to 21st century convergence: A whole-of-society paradigm of human and economic development. Annals of the New York Academy of Sciences 1331 (1): 201–215.</w:t>
      </w:r>
    </w:p>
  </w:footnote>
  <w:footnote w:id="30">
    <w:p w14:paraId="00000189"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Koff, H. in C. Maganda (2016): The EU and The Human Right to Water and Sanitation: Normative Coherence as the Key to Transformative Development. The European Journal of Development Research 28 (1): 91–110.</w:t>
      </w:r>
    </w:p>
  </w:footnote>
  <w:footnote w:id="31">
    <w:p w14:paraId="0000018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Häbel, S. (2020): Normative Policy Coherence for Development and policy networks: EU networks in Vietnam. Regions and Cohesion 10 (1): 1–21.</w:t>
      </w:r>
    </w:p>
  </w:footnote>
  <w:footnote w:id="32">
    <w:p w14:paraId="00000180"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Carbone, M. in N. Keijzer (2016): The European Union and Policy Coherence for Development: Reforms, Results, Resistance. The European Journal of Development Research 28 (1): 30–43.</w:t>
      </w:r>
    </w:p>
  </w:footnote>
  <w:footnote w:id="33">
    <w:p w14:paraId="0000018B"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Larsson, M. (2018): Navigating through contradictory rationalities: Experiences of development in Mexico. Regions and Cohesion 8 (3): 70–93.</w:t>
      </w:r>
    </w:p>
  </w:footnote>
  <w:footnote w:id="34">
    <w:p w14:paraId="00000192"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Siitonen, L. (2015): Theorising politics behind policy coherence for development (PCD). The European Journal of Development Research 28(1): 1–12.</w:t>
      </w:r>
    </w:p>
  </w:footnote>
  <w:footnote w:id="35">
    <w:p w14:paraId="00000187"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Hydén, G. (1999): The Shifting grounds of policy coherence in development co-operation. V J. Forster in O. Stokke (ur.), EADI Book Series 22: Policy coherence in development co-operation, 58–77. Mendoza, R. (2007): What one hand gives, the other takes: Industrial countries’ policy coherence for development. Challenge 50 (5): 28–56.</w:t>
      </w:r>
    </w:p>
  </w:footnote>
  <w:footnote w:id="36">
    <w:p w14:paraId="0000017F"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Brooks, J. (2014): Policy coherence and food security: The effects of OECD countries’ agricultural policies. Food Policy, 44 (2014): 88–94.</w:t>
      </w:r>
    </w:p>
  </w:footnote>
  <w:footnote w:id="37">
    <w:p w14:paraId="0000013F"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Nivoji skladnosti politik: A. Nacionalna-nacionalna – tu gre za medsebojno skladnost različnih domačih politik. B. Nacionalna-mednarodna – tu gre za vpliv domačih politik na druge države (na kar se osredotoča SPR), tudi v obratni smeri za prikaz vpliva politik drugih držav na državo ali Evropo. C. Mednarodna-nacionalna – skladnost mednarodnih politik z domačimi politikami. D. Mednarodna-mednarodna – medsebojna skladnost mednarodnih politik (Mackie 2020, 17).</w:t>
      </w:r>
    </w:p>
  </w:footnote>
  <w:footnote w:id="38">
    <w:p w14:paraId="00000142"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OECD, 2014: Recommendation of the Council on Policy Coherence for Sustainable Development, OECD/LEGAL/0381 OECD-LEGAL-0381-en-6c48a6bb18f149a4881e3c47ccdaba35</w:t>
      </w:r>
    </w:p>
  </w:footnote>
  <w:footnote w:id="39">
    <w:p w14:paraId="00000138"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Resolucija o mednarodnem razvojnem sodelovanju Republike Slovenije za obdobje do leta 2015. Dostopno prek:  </w:t>
      </w:r>
      <w:hyperlink r:id="rId16">
        <w:r w:rsidRPr="009D24D1">
          <w:rPr>
            <w:rFonts w:cs="Times New Roman"/>
            <w:color w:val="1155CC"/>
            <w:sz w:val="20"/>
            <w:szCs w:val="20"/>
            <w:u w:val="single"/>
          </w:rPr>
          <w:t>https://pisrs.si/pregledPredpisa?id=RESO58</w:t>
        </w:r>
      </w:hyperlink>
      <w:r w:rsidRPr="009D24D1">
        <w:rPr>
          <w:rFonts w:cs="Times New Roman"/>
          <w:sz w:val="20"/>
          <w:szCs w:val="20"/>
        </w:rPr>
        <w:t xml:space="preserve"> </w:t>
      </w:r>
    </w:p>
  </w:footnote>
  <w:footnote w:id="40">
    <w:p w14:paraId="0000016F"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highlight w:val="white"/>
        </w:rPr>
        <w:t xml:space="preserve"> </w:t>
      </w:r>
      <w:r w:rsidRPr="009D24D1">
        <w:rPr>
          <w:rFonts w:eastAsia="Arial" w:cs="Times New Roman"/>
          <w:sz w:val="20"/>
          <w:szCs w:val="20"/>
          <w:highlight w:val="white"/>
        </w:rPr>
        <w:t xml:space="preserve">Mrak, Bučar, Kamnar, 2007: Mednarodno razvojno sodelovanje Republike Slovenije. IB rev. (Ljubljana), letn. 41, št. 3/4, str. 50–67). Dostopno prek: </w:t>
      </w:r>
      <w:hyperlink r:id="rId17">
        <w:r w:rsidRPr="009D24D1">
          <w:rPr>
            <w:rFonts w:cs="Times New Roman"/>
            <w:color w:val="1155CC"/>
            <w:sz w:val="20"/>
            <w:szCs w:val="20"/>
            <w:u w:val="single"/>
          </w:rPr>
          <w:t>https://www.dlib.si/stream/URN:NBN:SI:DOC-YQXI5V5M/a4769f20-8fd2-47af-a18c-716f8bd8513e/PDF</w:t>
        </w:r>
      </w:hyperlink>
      <w:r w:rsidRPr="009D24D1">
        <w:rPr>
          <w:rFonts w:cs="Times New Roman"/>
          <w:sz w:val="20"/>
          <w:szCs w:val="20"/>
        </w:rPr>
        <w:t xml:space="preserve"> </w:t>
      </w:r>
    </w:p>
  </w:footnote>
  <w:footnote w:id="41">
    <w:p w14:paraId="0000014A"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18">
        <w:r w:rsidRPr="009D24D1">
          <w:rPr>
            <w:rFonts w:eastAsia="Calibri" w:cs="Times New Roman"/>
            <w:color w:val="1155CC"/>
            <w:sz w:val="20"/>
            <w:szCs w:val="20"/>
            <w:u w:val="single"/>
          </w:rPr>
          <w:t>https://pisrs.si/pregledPredpisa?id=RESO117</w:t>
        </w:r>
      </w:hyperlink>
      <w:r w:rsidRPr="009D24D1">
        <w:rPr>
          <w:rFonts w:eastAsia="Calibri" w:cs="Times New Roman"/>
          <w:sz w:val="20"/>
          <w:szCs w:val="20"/>
        </w:rPr>
        <w:t xml:space="preserve">  </w:t>
      </w:r>
    </w:p>
  </w:footnote>
  <w:footnote w:id="42">
    <w:p w14:paraId="0000014B"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19">
        <w:r w:rsidRPr="009D24D1">
          <w:rPr>
            <w:rFonts w:eastAsia="Calibri" w:cs="Times New Roman"/>
            <w:color w:val="1155CC"/>
            <w:sz w:val="20"/>
            <w:szCs w:val="20"/>
            <w:u w:val="single"/>
          </w:rPr>
          <w:t>https://pisrs.si/pregledPredpisa?id=URED7517</w:t>
        </w:r>
      </w:hyperlink>
      <w:r w:rsidRPr="009D24D1">
        <w:rPr>
          <w:rFonts w:cs="Times New Roman"/>
          <w:sz w:val="20"/>
          <w:szCs w:val="20"/>
        </w:rPr>
        <w:t xml:space="preserve"> </w:t>
      </w:r>
    </w:p>
  </w:footnote>
  <w:footnote w:id="43">
    <w:p w14:paraId="00000150"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20">
        <w:r w:rsidRPr="009D24D1">
          <w:rPr>
            <w:rFonts w:cs="Times New Roman"/>
            <w:color w:val="1155CC"/>
            <w:sz w:val="20"/>
            <w:szCs w:val="20"/>
            <w:u w:val="single"/>
          </w:rPr>
          <w:t>https://www.gov.si/teme/nacrtovanje-in-izvajanje-mednarodnega-razvojnega-sodelovanja-in-humanitarne-pomoci-slovenije/</w:t>
        </w:r>
      </w:hyperlink>
      <w:r w:rsidRPr="009D24D1">
        <w:rPr>
          <w:rFonts w:cs="Times New Roman"/>
          <w:sz w:val="20"/>
          <w:szCs w:val="20"/>
        </w:rPr>
        <w:t xml:space="preserve"> </w:t>
      </w:r>
    </w:p>
  </w:footnote>
  <w:footnote w:id="44">
    <w:p w14:paraId="0000014C"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21">
        <w:r w:rsidRPr="009D24D1">
          <w:rPr>
            <w:rFonts w:eastAsia="Calibri" w:cs="Times New Roman"/>
            <w:color w:val="1155CC"/>
            <w:sz w:val="20"/>
            <w:szCs w:val="20"/>
            <w:u w:val="single"/>
          </w:rPr>
          <w:t>https://pisrs.si/pregledPredpisa?id=ZAKO7602</w:t>
        </w:r>
      </w:hyperlink>
      <w:r w:rsidRPr="009D24D1">
        <w:rPr>
          <w:rFonts w:eastAsia="Calibri" w:cs="Times New Roman"/>
          <w:sz w:val="20"/>
          <w:szCs w:val="20"/>
        </w:rPr>
        <w:t xml:space="preserve"> </w:t>
      </w:r>
    </w:p>
  </w:footnote>
  <w:footnote w:id="45">
    <w:p w14:paraId="0000014D"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22">
        <w:r w:rsidRPr="009D24D1">
          <w:rPr>
            <w:rFonts w:eastAsia="Roboto" w:cs="Times New Roman"/>
            <w:color w:val="0B57D0"/>
            <w:sz w:val="20"/>
            <w:szCs w:val="20"/>
            <w:u w:val="single"/>
          </w:rPr>
          <w:t>https://www.gov.si/assets/ministrstva/MZZ/Dokumenti/multilaterala/razvojno-sodelovanje/Strategija-MRSHP-popravljeno.docx</w:t>
        </w:r>
      </w:hyperlink>
    </w:p>
  </w:footnote>
  <w:footnote w:id="46">
    <w:p w14:paraId="00000158"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highlight w:val="white"/>
        </w:rPr>
        <w:t>Strategija MRS, str. 10</w:t>
      </w:r>
    </w:p>
  </w:footnote>
  <w:footnote w:id="47">
    <w:p w14:paraId="00000159"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23">
        <w:r w:rsidRPr="009D24D1">
          <w:rPr>
            <w:rFonts w:cs="Times New Roman"/>
            <w:color w:val="1155CC"/>
            <w:sz w:val="20"/>
            <w:szCs w:val="20"/>
            <w:u w:val="single"/>
          </w:rPr>
          <w:t>https://www.gov.si/assets/ministrstva/MZEZ/Dokumenti/multilaterala/razvojno-sodelovanje/Smernice-za-sodelovanje-z-nevladnimi-organizacijami-na-podrocju-mednarodnega-razvojnega-sodelovanja-in-humanitarne-pomoci.pdf</w:t>
        </w:r>
      </w:hyperlink>
      <w:r w:rsidRPr="009D24D1">
        <w:rPr>
          <w:rFonts w:cs="Times New Roman"/>
          <w:sz w:val="20"/>
          <w:szCs w:val="20"/>
        </w:rPr>
        <w:t xml:space="preserve"> </w:t>
      </w:r>
    </w:p>
  </w:footnote>
  <w:footnote w:id="48">
    <w:p w14:paraId="0000015A"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24">
        <w:r w:rsidRPr="009D24D1">
          <w:rPr>
            <w:rFonts w:cs="Times New Roman"/>
            <w:color w:val="1155CC"/>
            <w:sz w:val="20"/>
            <w:szCs w:val="20"/>
            <w:u w:val="single"/>
          </w:rPr>
          <w:t>https://www.gov.si/assets/ministrstva/MZEZ/Dokumenti/multilaterala/razvojno-sodelovanje/Smernice-za-vkljucevanje-enakosti-spolov-v-MRSHP.pdf</w:t>
        </w:r>
      </w:hyperlink>
      <w:r w:rsidRPr="009D24D1">
        <w:rPr>
          <w:rFonts w:cs="Times New Roman"/>
          <w:sz w:val="20"/>
          <w:szCs w:val="20"/>
        </w:rPr>
        <w:t xml:space="preserve"> </w:t>
      </w:r>
    </w:p>
  </w:footnote>
  <w:footnote w:id="49">
    <w:p w14:paraId="0000017B"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25">
        <w:r w:rsidRPr="009D24D1">
          <w:rPr>
            <w:rFonts w:cs="Times New Roman"/>
            <w:color w:val="1155CC"/>
            <w:sz w:val="20"/>
            <w:szCs w:val="20"/>
            <w:u w:val="single"/>
          </w:rPr>
          <w:t>https://www.gov.si/novice/2024-09-05-smernice-za-bolj-sistematicno-vkljucitev-varstva-okolja-v-razvojno-sodelovanje-in-humanitarno-pomoc/</w:t>
        </w:r>
      </w:hyperlink>
      <w:r w:rsidRPr="009D24D1">
        <w:rPr>
          <w:rFonts w:cs="Times New Roman"/>
          <w:sz w:val="20"/>
          <w:szCs w:val="20"/>
        </w:rPr>
        <w:t xml:space="preserve"> </w:t>
      </w:r>
    </w:p>
  </w:footnote>
  <w:footnote w:id="50">
    <w:p w14:paraId="00000139"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r w:rsidRPr="009D24D1">
        <w:rPr>
          <w:rFonts w:eastAsia="Arial" w:cs="Times New Roman"/>
          <w:sz w:val="20"/>
          <w:szCs w:val="20"/>
        </w:rPr>
        <w:t xml:space="preserve"> Slovenija je začela poročati v skladu s standardi OECD DAC še preden je postala članica in sicer že leta 2010. </w:t>
      </w:r>
    </w:p>
  </w:footnote>
  <w:footnote w:id="51">
    <w:p w14:paraId="00000131"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DCD/DAC (2011) 40: Special Review of Slovenia, junij - december 2011 </w:t>
      </w:r>
      <w:hyperlink r:id="rId26">
        <w:r w:rsidRPr="009D24D1">
          <w:rPr>
            <w:rFonts w:cs="Times New Roman"/>
            <w:color w:val="1155CC"/>
            <w:sz w:val="20"/>
            <w:szCs w:val="20"/>
            <w:u w:val="single"/>
          </w:rPr>
          <w:t>https://web-archive.oecd.org/2012-06-14/86345-50110911.pdf</w:t>
        </w:r>
      </w:hyperlink>
      <w:r w:rsidRPr="009D24D1">
        <w:rPr>
          <w:rFonts w:cs="Times New Roman"/>
          <w:sz w:val="20"/>
          <w:szCs w:val="20"/>
        </w:rPr>
        <w:t xml:space="preserve"> </w:t>
      </w:r>
    </w:p>
  </w:footnote>
  <w:footnote w:id="52">
    <w:p w14:paraId="00000132"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27" w:anchor="page2">
        <w:r w:rsidRPr="009D24D1">
          <w:rPr>
            <w:rFonts w:cs="Times New Roman"/>
            <w:color w:val="1155CC"/>
            <w:sz w:val="20"/>
            <w:szCs w:val="20"/>
            <w:u w:val="single"/>
          </w:rPr>
          <w:t>https://read.oecd-ilibrary.org/development/oecd-development-co-operation-peer-reviews-slovenia-2017_9789264279308-en#page2</w:t>
        </w:r>
      </w:hyperlink>
      <w:r w:rsidRPr="009D24D1">
        <w:rPr>
          <w:rFonts w:cs="Times New Roman"/>
          <w:sz w:val="20"/>
          <w:szCs w:val="20"/>
        </w:rPr>
        <w:t xml:space="preserve">  </w:t>
      </w:r>
      <w:hyperlink r:id="rId28">
        <w:r w:rsidRPr="009D24D1">
          <w:rPr>
            <w:rFonts w:cs="Times New Roman"/>
            <w:color w:val="1155CC"/>
            <w:sz w:val="20"/>
            <w:szCs w:val="20"/>
            <w:u w:val="single"/>
          </w:rPr>
          <w:t>https://www.oecd.org/dac/oecd-development-co-operation-peer-reviews-slovenia-2017-9789264279308-en.htm</w:t>
        </w:r>
      </w:hyperlink>
      <w:r w:rsidRPr="009D24D1">
        <w:rPr>
          <w:rFonts w:cs="Times New Roman"/>
          <w:sz w:val="20"/>
          <w:szCs w:val="20"/>
        </w:rPr>
        <w:t xml:space="preserve"> </w:t>
      </w:r>
    </w:p>
    <w:p w14:paraId="00000133" w14:textId="471BB6B0" w:rsidR="00474645" w:rsidRPr="009D24D1" w:rsidRDefault="00474645" w:rsidP="00342C39">
      <w:pPr>
        <w:jc w:val="both"/>
        <w:rPr>
          <w:rFonts w:cs="Times New Roman"/>
          <w:sz w:val="20"/>
          <w:szCs w:val="20"/>
        </w:rPr>
      </w:pPr>
      <w:r w:rsidRPr="009D24D1">
        <w:rPr>
          <w:rFonts w:cs="Times New Roman"/>
          <w:sz w:val="20"/>
          <w:szCs w:val="20"/>
        </w:rPr>
        <w:t xml:space="preserve">Povzetek: </w:t>
      </w:r>
      <w:hyperlink r:id="rId29">
        <w:r w:rsidRPr="009D24D1">
          <w:rPr>
            <w:rFonts w:cs="Times New Roman"/>
            <w:color w:val="1155CC"/>
            <w:sz w:val="20"/>
            <w:szCs w:val="20"/>
            <w:u w:val="single"/>
          </w:rPr>
          <w:t>https://www.gov.si/assets/ministrstva/MZZ/Dokumenti/multilaterala/razvojno-sodelovanje/Povzetek_Peer_Review_SLO.pdf</w:t>
        </w:r>
      </w:hyperlink>
      <w:r w:rsidRPr="009D24D1">
        <w:rPr>
          <w:rFonts w:cs="Times New Roman"/>
          <w:sz w:val="20"/>
          <w:szCs w:val="20"/>
        </w:rPr>
        <w:t xml:space="preserve"> </w:t>
      </w:r>
    </w:p>
  </w:footnote>
  <w:footnote w:id="53">
    <w:p w14:paraId="00000143"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30">
        <w:r w:rsidRPr="009D24D1">
          <w:rPr>
            <w:rFonts w:cs="Times New Roman"/>
            <w:color w:val="1155CC"/>
            <w:sz w:val="20"/>
            <w:szCs w:val="20"/>
            <w:u w:val="single"/>
          </w:rPr>
          <w:t>https://one.oecd.org/document/DCD/DAC/AR(2024)3/31/en/pdf</w:t>
        </w:r>
      </w:hyperlink>
      <w:r w:rsidRPr="009D24D1">
        <w:rPr>
          <w:rFonts w:cs="Times New Roman"/>
          <w:sz w:val="20"/>
          <w:szCs w:val="20"/>
        </w:rPr>
        <w:t xml:space="preserve"> </w:t>
      </w:r>
    </w:p>
  </w:footnote>
  <w:footnote w:id="54">
    <w:p w14:paraId="4788940A" w14:textId="0A7F5218" w:rsidR="00F77CB7" w:rsidRPr="00C95E52" w:rsidRDefault="00F77CB7">
      <w:pPr>
        <w:pStyle w:val="FootnoteText"/>
        <w:rPr>
          <w:lang w:val="hr-HR"/>
        </w:rPr>
      </w:pPr>
      <w:r>
        <w:rPr>
          <w:rStyle w:val="FootnoteReference"/>
        </w:rPr>
        <w:footnoteRef/>
      </w:r>
      <w:r>
        <w:t xml:space="preserve"> Ocena o</w:t>
      </w:r>
      <w:r>
        <w:rPr>
          <w:lang w:val="hr-HR"/>
        </w:rPr>
        <w:t xml:space="preserve">z. </w:t>
      </w:r>
      <w:proofErr w:type="spellStart"/>
      <w:r>
        <w:rPr>
          <w:lang w:val="hr-HR"/>
        </w:rPr>
        <w:t>vpliv</w:t>
      </w:r>
      <w:proofErr w:type="spellEnd"/>
      <w:r>
        <w:rPr>
          <w:lang w:val="hr-HR"/>
        </w:rPr>
        <w:t xml:space="preserve"> na </w:t>
      </w:r>
      <w:proofErr w:type="spellStart"/>
      <w:r>
        <w:rPr>
          <w:lang w:val="hr-HR"/>
        </w:rPr>
        <w:t>odpravljanje</w:t>
      </w:r>
      <w:proofErr w:type="spellEnd"/>
      <w:r>
        <w:rPr>
          <w:lang w:val="hr-HR"/>
        </w:rPr>
        <w:t xml:space="preserve"> </w:t>
      </w:r>
      <w:proofErr w:type="spellStart"/>
      <w:r>
        <w:rPr>
          <w:lang w:val="hr-HR"/>
        </w:rPr>
        <w:t>revščine</w:t>
      </w:r>
      <w:proofErr w:type="spellEnd"/>
      <w:r>
        <w:rPr>
          <w:lang w:val="hr-HR"/>
        </w:rPr>
        <w:t xml:space="preserve"> je </w:t>
      </w:r>
      <w:proofErr w:type="spellStart"/>
      <w:r>
        <w:rPr>
          <w:lang w:val="hr-HR"/>
        </w:rPr>
        <w:t>sestavni</w:t>
      </w:r>
      <w:proofErr w:type="spellEnd"/>
      <w:r>
        <w:rPr>
          <w:lang w:val="hr-HR"/>
        </w:rPr>
        <w:t xml:space="preserve"> del </w:t>
      </w:r>
      <w:proofErr w:type="spellStart"/>
      <w:r>
        <w:rPr>
          <w:lang w:val="hr-HR"/>
        </w:rPr>
        <w:t>obrazcev</w:t>
      </w:r>
      <w:proofErr w:type="spellEnd"/>
      <w:r>
        <w:rPr>
          <w:lang w:val="hr-HR"/>
        </w:rPr>
        <w:t xml:space="preserve"> za prijavo projektnih </w:t>
      </w:r>
      <w:proofErr w:type="spellStart"/>
      <w:r>
        <w:rPr>
          <w:lang w:val="hr-HR"/>
        </w:rPr>
        <w:t>predlogov</w:t>
      </w:r>
      <w:proofErr w:type="spellEnd"/>
      <w:r>
        <w:rPr>
          <w:lang w:val="hr-HR"/>
        </w:rPr>
        <w:t xml:space="preserve">. </w:t>
      </w:r>
    </w:p>
  </w:footnote>
  <w:footnote w:id="55">
    <w:p w14:paraId="0000014E"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rPr>
        <w:t>Smernice naj bi na MZEZ dokončno pripravili v letu 2024.</w:t>
      </w:r>
    </w:p>
  </w:footnote>
  <w:footnote w:id="56">
    <w:p w14:paraId="0000014F"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Člani so: Leon Behin (direktor Uprave RS za zaščito in reševanje), dr. Maja Bučar (zaslužna profesorica, Fakulteta za družbene vede), Urška Cvelbar (direktorica Direktorata za finančni sistem, Ministrstvo za finance), Nina Čepon (direktorica Centra za evropsko prihodnost - CEP), Jasna Djordjević (neodvisna strokovnjakinja na področju humanitarne pomoči), Matevž Frangež (državni sekretar na Ministrstvu za gospodarstvo, turizem in šport), Nina Goričar (neodvisna strokovnjakinja na področju humanitarne pomoči), Ana Kalin (Forum za enakopraven razvoj - FER), Jana Lampe (Slovenska Karitas), Tomaž Lovrenčič (direktor Ustanove za krepitev človekove varnosti - ITF), dr. Matjaž Nahtigal (predstojnik katedre za mednarodno odnose na Fakulteti za družbene vede), Dejan Prešiček (direktor Centra za mednarodno sodelovanje in razvoj - CMSR), Jana Repanšek (direktorica Centra za razvoj financ - CEF), Matej Rogelj (direktor Gospodarske zbornice Slovenije), Edvin Skrt (direktor Direktorata za mednarodno razvojno sodelovanje in humanitarno pomoč), Uroš Vajgl (</w:t>
      </w:r>
      <w:r w:rsidRPr="009D24D1">
        <w:rPr>
          <w:rFonts w:eastAsia="Arial" w:cs="Times New Roman"/>
          <w:color w:val="111111"/>
          <w:sz w:val="20"/>
          <w:szCs w:val="20"/>
        </w:rPr>
        <w:t>državni sekretar, pristojen za okolje in podnebje na Ministrstvu za okolje, podnebje in energijo)</w:t>
      </w:r>
      <w:r w:rsidRPr="009D24D1">
        <w:rPr>
          <w:rFonts w:cs="Times New Roman"/>
          <w:sz w:val="20"/>
          <w:szCs w:val="20"/>
        </w:rPr>
        <w:t xml:space="preserve"> in Max Shonhiwa Zimani (direktor platforme SLOGA). Vir: Sklep o ustanovitvi Strokovnega sveta za mednarodno razvojno sodelovanje z dne 10.5.2024. </w:t>
      </w:r>
    </w:p>
  </w:footnote>
  <w:footnote w:id="57">
    <w:p w14:paraId="00000160" w14:textId="6DC32364" w:rsidR="00474645" w:rsidRPr="002755F3" w:rsidRDefault="00474645" w:rsidP="00342C39">
      <w:pPr>
        <w:jc w:val="both"/>
        <w:rPr>
          <w:rFonts w:cs="Times New Roman"/>
          <w:color w:val="EE0000"/>
          <w:sz w:val="20"/>
          <w:szCs w:val="20"/>
        </w:rPr>
      </w:pPr>
      <w:r w:rsidRPr="009D24D1">
        <w:rPr>
          <w:rFonts w:cs="Times New Roman"/>
          <w:sz w:val="20"/>
          <w:szCs w:val="20"/>
          <w:vertAlign w:val="superscript"/>
        </w:rPr>
        <w:footnoteRef/>
      </w:r>
      <w:r w:rsidRPr="009D24D1">
        <w:rPr>
          <w:rFonts w:cs="Times New Roman"/>
          <w:sz w:val="20"/>
          <w:szCs w:val="20"/>
        </w:rPr>
        <w:t xml:space="preserve"> Kot UMAR pojasni v Poročilu o razvoju 2024, se je delež v letu 2022 toliko povišal predvsem zaradi vojne v Ukrajini in sredstev, ki jih je Slovenija namenila za “oskrbo beguncev in migrantov v Sloveniji” (str. 207). </w:t>
      </w:r>
    </w:p>
  </w:footnote>
  <w:footnote w:id="58">
    <w:p w14:paraId="00000151"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r w:rsidRPr="009D24D1">
        <w:rPr>
          <w:rFonts w:eastAsia="Arial" w:cs="Times New Roman"/>
          <w:sz w:val="20"/>
          <w:szCs w:val="20"/>
        </w:rPr>
        <w:t xml:space="preserve"> Ministrstvo za zunanje in evropske zadeve: </w:t>
      </w:r>
      <w:hyperlink r:id="rId31">
        <w:r w:rsidRPr="009D24D1">
          <w:rPr>
            <w:rFonts w:eastAsia="Arial" w:cs="Times New Roman"/>
            <w:color w:val="1155CC"/>
            <w:sz w:val="20"/>
            <w:szCs w:val="20"/>
            <w:u w:val="single"/>
          </w:rPr>
          <w:t>https://www.gov.si/teme/zakaj-mednarodno-razvojno-sodelovanje/</w:t>
        </w:r>
      </w:hyperlink>
      <w:r w:rsidRPr="009D24D1">
        <w:rPr>
          <w:rFonts w:eastAsia="Arial" w:cs="Times New Roman"/>
          <w:sz w:val="20"/>
          <w:szCs w:val="20"/>
        </w:rPr>
        <w:t xml:space="preserve"> </w:t>
      </w:r>
    </w:p>
  </w:footnote>
  <w:footnote w:id="59">
    <w:p w14:paraId="00000194"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Ministrstvo za zunanje in evropske zadeve: </w:t>
      </w:r>
      <w:hyperlink r:id="rId32">
        <w:r w:rsidRPr="009D24D1">
          <w:rPr>
            <w:rFonts w:cs="Times New Roman"/>
            <w:color w:val="1155CC"/>
            <w:sz w:val="20"/>
            <w:szCs w:val="20"/>
            <w:u w:val="single"/>
          </w:rPr>
          <w:t>https://www.gov.si/novice/2024-04-11-slovenija-za-uradno-razvojno-pomoc-v-letu-2023-namenila-150-milijonov-evrov/</w:t>
        </w:r>
      </w:hyperlink>
      <w:r w:rsidRPr="009D24D1">
        <w:rPr>
          <w:rFonts w:cs="Times New Roman"/>
          <w:sz w:val="20"/>
          <w:szCs w:val="20"/>
        </w:rPr>
        <w:t xml:space="preserve"> </w:t>
      </w:r>
    </w:p>
  </w:footnote>
  <w:footnote w:id="60">
    <w:p w14:paraId="00000197"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MZEZ pojasnjuje, da je povečanje v letu 2022 bilo “poleg izdatne pomoči Ukrajini in povečanju financiranja prehranske krize, zlasti posledica stroškov za oskrbo ukrajinskih beguncev, odpisa dolga oz. obresti nekaterim afriškim državam in višjega deleža sredstev, ki so bila za uradno razvojno pomoč namenjena iz evropskega proračuna”. Več tukaj: </w:t>
      </w:r>
      <w:hyperlink r:id="rId33">
        <w:r w:rsidRPr="009D24D1">
          <w:rPr>
            <w:rFonts w:cs="Times New Roman"/>
            <w:color w:val="1155CC"/>
            <w:sz w:val="20"/>
            <w:szCs w:val="20"/>
            <w:u w:val="single"/>
          </w:rPr>
          <w:t>https://www.gov.si/novice/2023-12-08-uradna-razvojna-pomoc-v-2021-in-2022-predstavitev-letnih-porocil-drzavnemu-zboru/</w:t>
        </w:r>
      </w:hyperlink>
      <w:r w:rsidRPr="009D24D1">
        <w:rPr>
          <w:rFonts w:cs="Times New Roman"/>
          <w:sz w:val="20"/>
          <w:szCs w:val="20"/>
        </w:rPr>
        <w:t xml:space="preserve"> </w:t>
      </w:r>
    </w:p>
  </w:footnote>
  <w:footnote w:id="61">
    <w:p w14:paraId="63DFFE87" w14:textId="69457842" w:rsidR="007B1ED6" w:rsidRPr="00C95E52" w:rsidRDefault="007B1ED6">
      <w:pPr>
        <w:pStyle w:val="FootnoteText"/>
        <w:rPr>
          <w:lang w:val="hr-HR"/>
        </w:rPr>
      </w:pPr>
      <w:r>
        <w:rPr>
          <w:rStyle w:val="FootnoteReference"/>
        </w:rPr>
        <w:footnoteRef/>
      </w:r>
      <w:r>
        <w:t xml:space="preserve"> </w:t>
      </w:r>
      <w:r>
        <w:rPr>
          <w:lang w:val="hr-HR"/>
        </w:rPr>
        <w:t xml:space="preserve">V času opravljene analize, </w:t>
      </w:r>
      <w:proofErr w:type="spellStart"/>
      <w:r w:rsidR="00F77CB7">
        <w:rPr>
          <w:lang w:val="hr-HR"/>
        </w:rPr>
        <w:t>poročilo</w:t>
      </w:r>
      <w:proofErr w:type="spellEnd"/>
      <w:r w:rsidR="00F77CB7">
        <w:rPr>
          <w:lang w:val="hr-HR"/>
        </w:rPr>
        <w:t xml:space="preserve"> </w:t>
      </w:r>
      <w:proofErr w:type="spellStart"/>
      <w:r w:rsidR="00F77CB7">
        <w:rPr>
          <w:lang w:val="hr-HR"/>
        </w:rPr>
        <w:t>četrtega</w:t>
      </w:r>
      <w:proofErr w:type="spellEnd"/>
      <w:r w:rsidR="00F77CB7">
        <w:rPr>
          <w:lang w:val="hr-HR"/>
        </w:rPr>
        <w:t xml:space="preserve"> pregleda </w:t>
      </w:r>
      <w:proofErr w:type="spellStart"/>
      <w:r w:rsidR="00F77CB7">
        <w:rPr>
          <w:lang w:val="hr-HR"/>
        </w:rPr>
        <w:t>še</w:t>
      </w:r>
      <w:proofErr w:type="spellEnd"/>
      <w:r w:rsidR="00F77CB7">
        <w:rPr>
          <w:lang w:val="hr-HR"/>
        </w:rPr>
        <w:t xml:space="preserve"> ni bilo objavljeno. </w:t>
      </w:r>
    </w:p>
  </w:footnote>
  <w:footnote w:id="62">
    <w:p w14:paraId="0000019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Ministrstvo za zunanje in evropske zadeve: </w:t>
      </w:r>
      <w:hyperlink r:id="rId34">
        <w:r w:rsidRPr="009D24D1">
          <w:rPr>
            <w:rFonts w:cs="Times New Roman"/>
            <w:color w:val="1155CC"/>
            <w:sz w:val="20"/>
            <w:szCs w:val="20"/>
            <w:u w:val="single"/>
          </w:rPr>
          <w:t>https://www.gov.si/novice/2024-08-28-ministrica-fajon-z-izvajalskimi-ustanovami-o-nacrtih-za-se-ucinkovitejse-razvojno-sodelovanje/</w:t>
        </w:r>
      </w:hyperlink>
      <w:r w:rsidRPr="009D24D1">
        <w:rPr>
          <w:rFonts w:cs="Times New Roman"/>
          <w:sz w:val="20"/>
          <w:szCs w:val="20"/>
        </w:rPr>
        <w:t xml:space="preserve"> </w:t>
      </w:r>
    </w:p>
  </w:footnote>
  <w:footnote w:id="63">
    <w:p w14:paraId="00000195"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Ministrstvo za zunanje in evropske zadeve: </w:t>
      </w:r>
      <w:hyperlink r:id="rId35">
        <w:r w:rsidRPr="009D24D1">
          <w:rPr>
            <w:rFonts w:cs="Times New Roman"/>
            <w:color w:val="1155CC"/>
            <w:sz w:val="20"/>
            <w:szCs w:val="20"/>
            <w:u w:val="single"/>
          </w:rPr>
          <w:t>https://www.gov.si/novice/2024-06-20-zakljucen-medsebojni-pregled-razvojnega-sodelovanja-republike-slovenije/</w:t>
        </w:r>
      </w:hyperlink>
      <w:r w:rsidRPr="009D24D1">
        <w:rPr>
          <w:rFonts w:cs="Times New Roman"/>
          <w:sz w:val="20"/>
          <w:szCs w:val="20"/>
        </w:rPr>
        <w:t xml:space="preserve"> </w:t>
      </w:r>
    </w:p>
  </w:footnote>
  <w:footnote w:id="64">
    <w:p w14:paraId="00000147" w14:textId="77777777" w:rsidR="00474645" w:rsidRPr="009D24D1" w:rsidRDefault="00474645" w:rsidP="00342C39">
      <w:pPr>
        <w:jc w:val="both"/>
        <w:rPr>
          <w:rFonts w:cs="Times New Roman"/>
          <w:sz w:val="20"/>
          <w:szCs w:val="20"/>
          <w:highlight w:val="white"/>
        </w:rPr>
      </w:pPr>
      <w:r w:rsidRPr="009D24D1">
        <w:rPr>
          <w:rFonts w:cs="Times New Roman"/>
          <w:sz w:val="20"/>
          <w:szCs w:val="20"/>
          <w:vertAlign w:val="superscript"/>
        </w:rPr>
        <w:footnoteRef/>
      </w:r>
      <w:r w:rsidRPr="009D24D1">
        <w:rPr>
          <w:rFonts w:cs="Times New Roman"/>
          <w:sz w:val="20"/>
          <w:szCs w:val="20"/>
        </w:rPr>
        <w:t xml:space="preserve"> Na primer </w:t>
      </w:r>
      <w:r w:rsidRPr="009D24D1">
        <w:rPr>
          <w:rFonts w:cs="Times New Roman"/>
          <w:sz w:val="20"/>
          <w:szCs w:val="20"/>
          <w:highlight w:val="white"/>
        </w:rPr>
        <w:t xml:space="preserve">v: </w:t>
      </w:r>
      <w:r w:rsidRPr="009D24D1">
        <w:rPr>
          <w:rFonts w:eastAsia="Arial" w:cs="Times New Roman"/>
          <w:sz w:val="20"/>
          <w:szCs w:val="20"/>
          <w:highlight w:val="white"/>
        </w:rPr>
        <w:t xml:space="preserve">Medsebojni strokovni pregled politik in izvajanja mednarodnega razvojnega sodelovanja Republike Slovenije pri Odboru za razvojno pomoč Organizacije za ekonomsko sodelovanje in razvoj, Samoocena Republike Slovenije, 17. november 2023. Dostopno prek: </w:t>
      </w:r>
      <w:hyperlink r:id="rId36">
        <w:r w:rsidRPr="009D24D1">
          <w:rPr>
            <w:rFonts w:eastAsia="Arial" w:cs="Times New Roman"/>
            <w:color w:val="1155CC"/>
            <w:sz w:val="20"/>
            <w:szCs w:val="20"/>
            <w:highlight w:val="white"/>
            <w:u w:val="single"/>
          </w:rPr>
          <w:t>https://www.gov.si/teme/zakaj-mednarodno-razvojno-sodelovanje/</w:t>
        </w:r>
      </w:hyperlink>
      <w:r w:rsidRPr="009D24D1">
        <w:rPr>
          <w:rFonts w:eastAsia="Arial" w:cs="Times New Roman"/>
          <w:sz w:val="20"/>
          <w:szCs w:val="20"/>
          <w:highlight w:val="white"/>
        </w:rPr>
        <w:t xml:space="preserve"> </w:t>
      </w:r>
    </w:p>
  </w:footnote>
  <w:footnote w:id="65">
    <w:p w14:paraId="0000015C"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Bučar, Maja (2024): OECD-DAC Peer Review Partner Assessment: Slovenia 2024.</w:t>
      </w:r>
    </w:p>
  </w:footnote>
  <w:footnote w:id="66">
    <w:p w14:paraId="00000134"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37">
        <w:r w:rsidRPr="009D24D1">
          <w:rPr>
            <w:rFonts w:cs="Times New Roman"/>
            <w:color w:val="1155CC"/>
            <w:sz w:val="20"/>
            <w:szCs w:val="20"/>
            <w:u w:val="single"/>
          </w:rPr>
          <w:t>https://www.sloga-platform.org/wp-content/uploads/2014/11/%C5%A1tudija-o-usklajenosti-politik-za-razvoj.pdf</w:t>
        </w:r>
      </w:hyperlink>
      <w:r w:rsidRPr="009D24D1">
        <w:rPr>
          <w:rFonts w:cs="Times New Roman"/>
          <w:sz w:val="20"/>
          <w:szCs w:val="20"/>
        </w:rPr>
        <w:t xml:space="preserve"> </w:t>
      </w:r>
    </w:p>
  </w:footnote>
  <w:footnote w:id="67">
    <w:p w14:paraId="0000013A" w14:textId="77777777" w:rsidR="00474645" w:rsidRPr="009D24D1" w:rsidRDefault="00474645" w:rsidP="00342C39">
      <w:pPr>
        <w:jc w:val="both"/>
        <w:rPr>
          <w:rFonts w:eastAsia="Arial" w:cs="Times New Roman"/>
          <w:sz w:val="20"/>
          <w:szCs w:val="20"/>
        </w:rPr>
      </w:pPr>
      <w:r w:rsidRPr="009D24D1">
        <w:rPr>
          <w:rFonts w:cs="Times New Roman"/>
          <w:sz w:val="20"/>
          <w:szCs w:val="20"/>
          <w:vertAlign w:val="superscript"/>
        </w:rPr>
        <w:footnoteRef/>
      </w:r>
      <w:r w:rsidRPr="009D24D1">
        <w:rPr>
          <w:rFonts w:eastAsia="Arial" w:cs="Times New Roman"/>
          <w:sz w:val="20"/>
          <w:szCs w:val="20"/>
        </w:rPr>
        <w:t xml:space="preserve"> </w:t>
      </w:r>
      <w:r w:rsidRPr="009D24D1">
        <w:rPr>
          <w:rFonts w:eastAsia="Arial" w:cs="Times New Roman"/>
          <w:sz w:val="20"/>
          <w:szCs w:val="20"/>
          <w:highlight w:val="white"/>
        </w:rPr>
        <w:t xml:space="preserve">CoMiDe – Initiative for Migration and Development, 2012, Report/Slovenia, Peace Institute. Dostopno prek: </w:t>
      </w:r>
      <w:hyperlink r:id="rId38">
        <w:r w:rsidRPr="009D24D1">
          <w:rPr>
            <w:rFonts w:eastAsia="Arial" w:cs="Times New Roman"/>
            <w:color w:val="1155CC"/>
            <w:sz w:val="20"/>
            <w:szCs w:val="20"/>
            <w:highlight w:val="white"/>
            <w:u w:val="single"/>
          </w:rPr>
          <w:t>https://www.mirovni-institut.si/data/tinymce/Projekti/comide_lana/pdf/Consistency%20of%20M&amp;D%20in%20Slovenia.pdf</w:t>
        </w:r>
      </w:hyperlink>
      <w:r w:rsidRPr="009D24D1">
        <w:rPr>
          <w:rFonts w:eastAsia="Arial" w:cs="Times New Roman"/>
          <w:sz w:val="20"/>
          <w:szCs w:val="20"/>
          <w:highlight w:val="white"/>
        </w:rPr>
        <w:t xml:space="preserve"> </w:t>
      </w:r>
    </w:p>
  </w:footnote>
  <w:footnote w:id="68">
    <w:p w14:paraId="0000014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PCD - </w:t>
      </w:r>
      <w:r w:rsidRPr="009D24D1">
        <w:rPr>
          <w:rFonts w:cs="Times New Roman"/>
          <w:i/>
          <w:sz w:val="20"/>
          <w:szCs w:val="20"/>
        </w:rPr>
        <w:t>policy coherence for development.</w:t>
      </w:r>
      <w:r w:rsidRPr="009D24D1">
        <w:rPr>
          <w:rFonts w:cs="Times New Roman"/>
          <w:sz w:val="20"/>
          <w:szCs w:val="20"/>
        </w:rPr>
        <w:t xml:space="preserve"> </w:t>
      </w:r>
    </w:p>
  </w:footnote>
  <w:footnote w:id="69">
    <w:p w14:paraId="0000015B"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39">
        <w:r w:rsidRPr="009D24D1">
          <w:rPr>
            <w:rFonts w:eastAsia="Arial" w:cs="Times New Roman"/>
            <w:sz w:val="20"/>
            <w:szCs w:val="20"/>
            <w:highlight w:val="white"/>
            <w:u w:val="single"/>
          </w:rPr>
          <w:t>https://www.skladnost-politik.si/</w:t>
        </w:r>
      </w:hyperlink>
      <w:r w:rsidRPr="009D24D1">
        <w:rPr>
          <w:rFonts w:cs="Times New Roman"/>
          <w:sz w:val="20"/>
          <w:szCs w:val="20"/>
        </w:rPr>
        <w:t xml:space="preserve"> </w:t>
      </w:r>
    </w:p>
  </w:footnote>
  <w:footnote w:id="70">
    <w:p w14:paraId="00000154"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40">
        <w:r w:rsidRPr="009D24D1">
          <w:rPr>
            <w:rFonts w:cs="Times New Roman"/>
            <w:color w:val="1155CC"/>
            <w:sz w:val="20"/>
            <w:szCs w:val="20"/>
            <w:u w:val="single"/>
          </w:rPr>
          <w:t>https://www.gov.si/assets/ministrstva/MKRR/Strategija-razvoja-Slovenije-2030/Strategija_razvoja_Slovenije_2030.pdf</w:t>
        </w:r>
      </w:hyperlink>
    </w:p>
  </w:footnote>
  <w:footnote w:id="71">
    <w:p w14:paraId="00000152"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Računsko sodišče, 2021, Revizijsko poročilo: Uresničevanje Strategije razvoja Slovenije 2030 in Agende za trajnostni razvoj do leta 2030 </w:t>
      </w:r>
      <w:hyperlink r:id="rId41">
        <w:r w:rsidRPr="009D24D1">
          <w:rPr>
            <w:rFonts w:cs="Times New Roman"/>
            <w:color w:val="1155CC"/>
            <w:sz w:val="20"/>
            <w:szCs w:val="20"/>
            <w:u w:val="single"/>
          </w:rPr>
          <w:t>https://www.rs-rs.si/fileadmin/user_upload/Datoteke/Revizije/2021/SDG/SDG_RevizijskoP.pdf</w:t>
        </w:r>
      </w:hyperlink>
      <w:r w:rsidRPr="009D24D1">
        <w:rPr>
          <w:rFonts w:cs="Times New Roman"/>
          <w:sz w:val="20"/>
          <w:szCs w:val="20"/>
        </w:rPr>
        <w:t xml:space="preserve"> </w:t>
      </w:r>
    </w:p>
  </w:footnote>
  <w:footnote w:id="72">
    <w:p w14:paraId="00000155"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Vizija Slovenije: </w:t>
      </w:r>
      <w:r w:rsidRPr="009D24D1">
        <w:rPr>
          <w:rFonts w:eastAsia="Arial" w:cs="Times New Roman"/>
          <w:sz w:val="20"/>
          <w:szCs w:val="20"/>
        </w:rPr>
        <w:t>V sozvočju z okoljem in časom smo našli ravnovesje kakovostnega življenja. S pomočjo učenja se uspešno soočamo z največjimi izzivi. Smo inovativni, ideje spreminjamo v dejanja. Z zaupanjem ustvarjamo dobre odnose ter gradimo solidarno in strpno družbo. Slovenijo samozavestno odpiramo partnerjem, pripravljenim na sodelovanje. Ponosni bogatimo globalno mrežo s svojo kulturno edinstvenostjo. (Strategija razvoja, str. 17).</w:t>
      </w:r>
    </w:p>
  </w:footnote>
  <w:footnote w:id="73">
    <w:p w14:paraId="0000015D" w14:textId="77777777" w:rsidR="00474645" w:rsidRPr="009D24D1" w:rsidRDefault="00474645" w:rsidP="00342C39">
      <w:pPr>
        <w:jc w:val="both"/>
        <w:rPr>
          <w:rFonts w:cs="Times New Roman"/>
          <w:sz w:val="20"/>
          <w:szCs w:val="20"/>
          <w:highlight w:val="white"/>
        </w:rPr>
      </w:pPr>
      <w:r w:rsidRPr="009D24D1">
        <w:rPr>
          <w:rFonts w:cs="Times New Roman"/>
          <w:sz w:val="20"/>
          <w:szCs w:val="20"/>
          <w:vertAlign w:val="superscript"/>
        </w:rPr>
        <w:footnoteRef/>
      </w:r>
      <w:r w:rsidRPr="009D24D1">
        <w:rPr>
          <w:rFonts w:cs="Times New Roman"/>
          <w:sz w:val="20"/>
          <w:szCs w:val="20"/>
        </w:rPr>
        <w:t xml:space="preserve"> Za pripravo DPRP je bilo zadolženo Min</w:t>
      </w:r>
      <w:r w:rsidRPr="009D24D1">
        <w:rPr>
          <w:rFonts w:cs="Times New Roman"/>
          <w:sz w:val="20"/>
          <w:szCs w:val="20"/>
          <w:highlight w:val="white"/>
        </w:rPr>
        <w:t xml:space="preserve">istrstvo za kohezijo in regionalni razvoj (prej SVRK) skupaj z Ministrstvom za finance in v sodelovanju z vsemi vladnimi resorji v okviru </w:t>
      </w:r>
      <w:r w:rsidRPr="009D24D1">
        <w:rPr>
          <w:rFonts w:eastAsia="Arial" w:cs="Times New Roman"/>
          <w:sz w:val="20"/>
          <w:szCs w:val="20"/>
          <w:highlight w:val="white"/>
        </w:rPr>
        <w:t>Stalne medresorske delovne skupine za razvojno načrtovanje. Skupina naj bi delovala kot mehanizem za horizontalno sodelovanje v okviru priprave Strategije razvoja in drugih osrednjih strateških in izvedbenih dokumentov ter pri usklajevanju in spremljanju izvajanja posameznih vsebin s področja razvoja. (str. 50)</w:t>
      </w:r>
    </w:p>
  </w:footnote>
  <w:footnote w:id="74">
    <w:p w14:paraId="0000015E" w14:textId="77777777" w:rsidR="00474645" w:rsidRPr="009D24D1" w:rsidRDefault="00474645" w:rsidP="00342C39">
      <w:pPr>
        <w:jc w:val="both"/>
        <w:rPr>
          <w:rFonts w:cs="Times New Roman"/>
          <w:sz w:val="20"/>
          <w:szCs w:val="20"/>
          <w:highlight w:val="white"/>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highlight w:val="white"/>
        </w:rPr>
        <w:t xml:space="preserve">Prostovoljni nacionalni pregled 2020: </w:t>
      </w:r>
      <w:hyperlink r:id="rId42">
        <w:r w:rsidRPr="009D24D1">
          <w:rPr>
            <w:rFonts w:eastAsia="Arial" w:cs="Times New Roman"/>
            <w:color w:val="1155CC"/>
            <w:sz w:val="20"/>
            <w:szCs w:val="20"/>
            <w:highlight w:val="white"/>
            <w:u w:val="single"/>
          </w:rPr>
          <w:t>https://slovenia2030.si/files/VNR2020_Slovenia-SI.pdf</w:t>
        </w:r>
      </w:hyperlink>
      <w:r w:rsidRPr="009D24D1">
        <w:rPr>
          <w:rFonts w:eastAsia="Arial" w:cs="Times New Roman"/>
          <w:sz w:val="20"/>
          <w:szCs w:val="20"/>
          <w:highlight w:val="white"/>
        </w:rPr>
        <w:t xml:space="preserve"> </w:t>
      </w:r>
    </w:p>
  </w:footnote>
  <w:footnote w:id="75">
    <w:p w14:paraId="00000167"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Prostovoljni nacionalni pregled 2017: </w:t>
      </w:r>
      <w:hyperlink r:id="rId43">
        <w:r w:rsidRPr="009D24D1">
          <w:rPr>
            <w:rFonts w:cs="Times New Roman"/>
            <w:color w:val="1155CC"/>
            <w:sz w:val="20"/>
            <w:szCs w:val="20"/>
            <w:u w:val="single"/>
          </w:rPr>
          <w:t>https://slovenia2030.si/prvo-porocanje-slovenije-2017/</w:t>
        </w:r>
      </w:hyperlink>
      <w:r w:rsidRPr="009D24D1">
        <w:rPr>
          <w:rFonts w:cs="Times New Roman"/>
          <w:sz w:val="20"/>
          <w:szCs w:val="20"/>
        </w:rPr>
        <w:t xml:space="preserve"> </w:t>
      </w:r>
    </w:p>
  </w:footnote>
  <w:footnote w:id="76">
    <w:p w14:paraId="0000015F" w14:textId="77777777" w:rsidR="00474645" w:rsidRPr="009D24D1" w:rsidRDefault="00474645" w:rsidP="00342C39">
      <w:pPr>
        <w:jc w:val="both"/>
        <w:rPr>
          <w:rFonts w:cs="Times New Roman"/>
          <w:sz w:val="20"/>
          <w:szCs w:val="20"/>
          <w:highlight w:val="white"/>
        </w:rPr>
      </w:pPr>
      <w:r w:rsidRPr="009D24D1">
        <w:rPr>
          <w:rFonts w:cs="Times New Roman"/>
          <w:sz w:val="20"/>
          <w:szCs w:val="20"/>
          <w:vertAlign w:val="superscript"/>
        </w:rPr>
        <w:footnoteRef/>
      </w:r>
      <w:r w:rsidRPr="009D24D1">
        <w:rPr>
          <w:rFonts w:cs="Times New Roman"/>
          <w:sz w:val="20"/>
          <w:szCs w:val="20"/>
          <w:highlight w:val="white"/>
        </w:rPr>
        <w:t xml:space="preserve"> </w:t>
      </w:r>
      <w:hyperlink r:id="rId44">
        <w:r w:rsidRPr="009D24D1">
          <w:rPr>
            <w:rFonts w:eastAsia="Arial" w:cs="Times New Roman"/>
            <w:color w:val="1155CC"/>
            <w:sz w:val="20"/>
            <w:szCs w:val="20"/>
            <w:highlight w:val="white"/>
            <w:u w:val="single"/>
          </w:rPr>
          <w:t>https://www.umar.gov.si/publikacije/porocilo-o-razvoju</w:t>
        </w:r>
      </w:hyperlink>
      <w:r w:rsidRPr="009D24D1">
        <w:rPr>
          <w:rFonts w:cs="Times New Roman"/>
          <w:sz w:val="20"/>
          <w:szCs w:val="20"/>
          <w:highlight w:val="white"/>
        </w:rPr>
        <w:t xml:space="preserve"> </w:t>
      </w:r>
    </w:p>
  </w:footnote>
  <w:footnote w:id="77">
    <w:p w14:paraId="0000016E"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45">
        <w:r w:rsidRPr="009D24D1">
          <w:rPr>
            <w:rFonts w:cs="Times New Roman"/>
            <w:color w:val="1155CC"/>
            <w:sz w:val="20"/>
            <w:szCs w:val="20"/>
            <w:u w:val="single"/>
          </w:rPr>
          <w:t>https://www.umar.gov.si/fileadmin/user_upload/razvoj_slovenije/2023/slovenski/POR2023-splet.pdf</w:t>
        </w:r>
      </w:hyperlink>
      <w:r w:rsidRPr="009D24D1">
        <w:rPr>
          <w:rFonts w:cs="Times New Roman"/>
          <w:sz w:val="20"/>
          <w:szCs w:val="20"/>
        </w:rPr>
        <w:t xml:space="preserve"> </w:t>
      </w:r>
    </w:p>
  </w:footnote>
  <w:footnote w:id="78">
    <w:p w14:paraId="00000177"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46">
        <w:r w:rsidRPr="009D24D1">
          <w:rPr>
            <w:rFonts w:cs="Times New Roman"/>
            <w:color w:val="1155CC"/>
            <w:sz w:val="20"/>
            <w:szCs w:val="20"/>
            <w:u w:val="single"/>
          </w:rPr>
          <w:t>https://www.stat.si/Pages/cilji</w:t>
        </w:r>
      </w:hyperlink>
      <w:r w:rsidRPr="009D24D1">
        <w:rPr>
          <w:rFonts w:cs="Times New Roman"/>
          <w:sz w:val="20"/>
          <w:szCs w:val="20"/>
        </w:rPr>
        <w:t xml:space="preserve"> </w:t>
      </w:r>
    </w:p>
  </w:footnote>
  <w:footnote w:id="79">
    <w:p w14:paraId="00000161"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Poročilo o razvoju 2024, UMAR, str. 207. </w:t>
      </w:r>
      <w:hyperlink r:id="rId47">
        <w:r w:rsidRPr="009D24D1">
          <w:rPr>
            <w:rFonts w:cs="Times New Roman"/>
            <w:color w:val="1155CC"/>
            <w:sz w:val="20"/>
            <w:szCs w:val="20"/>
            <w:u w:val="single"/>
          </w:rPr>
          <w:t>https://www.umar.gov.si/fileadmin/user_upload/razvoj_slovenije/2024/slovenski/POR2024_01.pdf</w:t>
        </w:r>
      </w:hyperlink>
      <w:r w:rsidRPr="009D24D1">
        <w:rPr>
          <w:rFonts w:cs="Times New Roman"/>
          <w:sz w:val="20"/>
          <w:szCs w:val="20"/>
        </w:rPr>
        <w:t xml:space="preserve"> </w:t>
      </w:r>
    </w:p>
  </w:footnote>
  <w:footnote w:id="80">
    <w:p w14:paraId="00000198"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Glede na podatke MZEZ je bilo za uradno razvojno pomoč leta 2022 namenjenih 159,66 milijonov evrov, v letu 2023 pa 150,67 milijonov evrov. Več tukaj: </w:t>
      </w:r>
      <w:hyperlink r:id="rId48">
        <w:r w:rsidRPr="009D24D1">
          <w:rPr>
            <w:rFonts w:cs="Times New Roman"/>
            <w:color w:val="1155CC"/>
            <w:sz w:val="20"/>
            <w:szCs w:val="20"/>
            <w:u w:val="single"/>
          </w:rPr>
          <w:t>https://www.gov.si/novice/2024-04-11-slovenija-za-uradno-razvojno-pomoc-v-letu-2023-namenila-150-milijonov-evrov/</w:t>
        </w:r>
      </w:hyperlink>
      <w:r w:rsidRPr="009D24D1">
        <w:rPr>
          <w:rFonts w:cs="Times New Roman"/>
          <w:sz w:val="20"/>
          <w:szCs w:val="20"/>
        </w:rPr>
        <w:t xml:space="preserve">  </w:t>
      </w:r>
    </w:p>
  </w:footnote>
  <w:footnote w:id="81">
    <w:p w14:paraId="00000162" w14:textId="77777777" w:rsidR="00474645" w:rsidRPr="009D24D1" w:rsidRDefault="00474645" w:rsidP="00342C39">
      <w:pPr>
        <w:jc w:val="both"/>
        <w:rPr>
          <w:rFonts w:cs="Times New Roman"/>
          <w:sz w:val="20"/>
          <w:szCs w:val="20"/>
          <w:highlight w:val="white"/>
        </w:rPr>
      </w:pPr>
      <w:r w:rsidRPr="009D24D1">
        <w:rPr>
          <w:rFonts w:cs="Times New Roman"/>
          <w:sz w:val="20"/>
          <w:szCs w:val="20"/>
          <w:vertAlign w:val="superscript"/>
        </w:rPr>
        <w:footnoteRef/>
      </w:r>
      <w:r w:rsidRPr="009D24D1">
        <w:rPr>
          <w:rFonts w:cs="Times New Roman"/>
          <w:sz w:val="20"/>
          <w:szCs w:val="20"/>
          <w:highlight w:val="white"/>
        </w:rPr>
        <w:t xml:space="preserve"> </w:t>
      </w:r>
      <w:hyperlink r:id="rId49">
        <w:r w:rsidRPr="009D24D1">
          <w:rPr>
            <w:rFonts w:eastAsia="Arial" w:cs="Times New Roman"/>
            <w:sz w:val="20"/>
            <w:szCs w:val="20"/>
            <w:highlight w:val="white"/>
            <w:u w:val="single"/>
          </w:rPr>
          <w:t>https://www.rs-rs.si/fileadmin/user_upload/Datoteke/Revizije/2021/SDG/SDG_RevizijskoP.pdf</w:t>
        </w:r>
      </w:hyperlink>
      <w:r w:rsidRPr="009D24D1">
        <w:rPr>
          <w:rFonts w:eastAsia="Arial" w:cs="Times New Roman"/>
          <w:sz w:val="20"/>
          <w:szCs w:val="20"/>
          <w:highlight w:val="white"/>
        </w:rPr>
        <w:t xml:space="preserve"> </w:t>
      </w:r>
    </w:p>
  </w:footnote>
  <w:footnote w:id="82">
    <w:p w14:paraId="00000199"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Na naš poziv se niso odzvala naslednja ministrstva: Ministrstvo za vzgojo in izobraževanje, Ministrstvo za visokošolstvo, znanost in inovacije, Ministrstvo za infrastrukturo, Ministrstvo za digitalno preobrazbo, Ministrstvo za obrambo, Ministrstvo za zdravje, Ministrstvo za kulturo. </w:t>
      </w:r>
    </w:p>
  </w:footnote>
  <w:footnote w:id="83">
    <w:p w14:paraId="0000017C"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Žal nismo dobili odziva Ministrstva za visoko šolstvo, znanost in inovacije, od katerega bi bila dobrodošla informacija o plačilu šolnin oziroma opustitvi plačila šolnin za tuje študente, saj le-to predstavlja velik del razvojne pomoči.</w:t>
      </w:r>
    </w:p>
  </w:footnote>
  <w:footnote w:id="84">
    <w:p w14:paraId="00000170"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0">
        <w:r w:rsidRPr="009D24D1">
          <w:rPr>
            <w:rFonts w:cs="Times New Roman"/>
            <w:color w:val="1155CC"/>
            <w:sz w:val="20"/>
            <w:szCs w:val="20"/>
            <w:u w:val="single"/>
          </w:rPr>
          <w:t>https://slovenia2030.si/prvo-porocanje-slovenije-2017/</w:t>
        </w:r>
      </w:hyperlink>
      <w:r w:rsidRPr="009D24D1">
        <w:rPr>
          <w:rFonts w:cs="Times New Roman"/>
          <w:sz w:val="20"/>
          <w:szCs w:val="20"/>
        </w:rPr>
        <w:t xml:space="preserve"> </w:t>
      </w:r>
    </w:p>
  </w:footnote>
  <w:footnote w:id="85">
    <w:p w14:paraId="00000171"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1">
        <w:r w:rsidRPr="009D24D1">
          <w:rPr>
            <w:rFonts w:cs="Times New Roman"/>
            <w:color w:val="1155CC"/>
            <w:sz w:val="20"/>
            <w:szCs w:val="20"/>
            <w:u w:val="single"/>
          </w:rPr>
          <w:t>https://slovenia2030.si/drugo-porocanje-slovenije-v-teku/</w:t>
        </w:r>
      </w:hyperlink>
      <w:r w:rsidRPr="009D24D1">
        <w:rPr>
          <w:rFonts w:cs="Times New Roman"/>
          <w:sz w:val="20"/>
          <w:szCs w:val="20"/>
        </w:rPr>
        <w:t xml:space="preserve"> </w:t>
      </w:r>
    </w:p>
  </w:footnote>
  <w:footnote w:id="86">
    <w:p w14:paraId="00000178"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2">
        <w:r w:rsidRPr="009D24D1">
          <w:rPr>
            <w:rFonts w:cs="Times New Roman"/>
            <w:color w:val="1155CC"/>
            <w:sz w:val="20"/>
            <w:szCs w:val="20"/>
            <w:u w:val="single"/>
          </w:rPr>
          <w:t>https://pisrs.si/pregledPredpisa?id=RESO124</w:t>
        </w:r>
      </w:hyperlink>
      <w:r w:rsidRPr="009D24D1">
        <w:rPr>
          <w:rFonts w:cs="Times New Roman"/>
          <w:sz w:val="20"/>
          <w:szCs w:val="20"/>
        </w:rPr>
        <w:t xml:space="preserve"> </w:t>
      </w:r>
    </w:p>
  </w:footnote>
  <w:footnote w:id="87">
    <w:p w14:paraId="0000019A"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MNZ: </w:t>
      </w:r>
      <w:hyperlink r:id="rId53">
        <w:r w:rsidRPr="009D24D1">
          <w:rPr>
            <w:rFonts w:cs="Times New Roman"/>
            <w:color w:val="1155CC"/>
            <w:sz w:val="20"/>
            <w:szCs w:val="20"/>
            <w:u w:val="single"/>
          </w:rPr>
          <w:t>https://www.gov.si/novice/2023-11-10-integracijska-strategija-prvi-pogoj-za-dobro-integracijo-je-znanje-slovenskega-jezika/</w:t>
        </w:r>
      </w:hyperlink>
      <w:r w:rsidRPr="009D24D1">
        <w:rPr>
          <w:rFonts w:cs="Times New Roman"/>
          <w:sz w:val="20"/>
          <w:szCs w:val="20"/>
        </w:rPr>
        <w:t xml:space="preserve"> </w:t>
      </w:r>
    </w:p>
  </w:footnote>
  <w:footnote w:id="88">
    <w:p w14:paraId="00000172"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4">
        <w:r w:rsidRPr="009D24D1">
          <w:rPr>
            <w:rFonts w:cs="Times New Roman"/>
            <w:color w:val="1155CC"/>
            <w:sz w:val="20"/>
            <w:szCs w:val="20"/>
            <w:u w:val="single"/>
          </w:rPr>
          <w:t>https://www.gov.si/zbirke/projekti-in-programi/razogljicimo-slovenijo/</w:t>
        </w:r>
      </w:hyperlink>
      <w:r w:rsidRPr="009D24D1">
        <w:rPr>
          <w:rFonts w:cs="Times New Roman"/>
          <w:sz w:val="20"/>
          <w:szCs w:val="20"/>
        </w:rPr>
        <w:t xml:space="preserve"> </w:t>
      </w:r>
    </w:p>
  </w:footnote>
  <w:footnote w:id="89">
    <w:p w14:paraId="0000017D"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5">
        <w:r w:rsidRPr="009D24D1">
          <w:rPr>
            <w:rFonts w:cs="Times New Roman"/>
            <w:color w:val="1155CC"/>
            <w:sz w:val="20"/>
            <w:szCs w:val="20"/>
            <w:u w:val="single"/>
          </w:rPr>
          <w:t>https://www.gov.si/zbirke/projekti-in-programi/nacrt-za-okrevanje-in-odpornost/</w:t>
        </w:r>
      </w:hyperlink>
      <w:r w:rsidRPr="009D24D1">
        <w:rPr>
          <w:rFonts w:cs="Times New Roman"/>
          <w:sz w:val="20"/>
          <w:szCs w:val="20"/>
        </w:rPr>
        <w:t xml:space="preserve"> </w:t>
      </w:r>
    </w:p>
  </w:footnote>
  <w:footnote w:id="90">
    <w:p w14:paraId="0000017E"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6">
        <w:r w:rsidRPr="009D24D1">
          <w:rPr>
            <w:rFonts w:cs="Times New Roman"/>
            <w:color w:val="1155CC"/>
            <w:sz w:val="20"/>
            <w:szCs w:val="20"/>
            <w:u w:val="single"/>
          </w:rPr>
          <w:t>https://www.gov.si/assets/ministrstva/MF/Proracun-direktorat/Drzavni-proracun/Dokumenti-za-opis-podrocja/Struktura_proracuna.pdf</w:t>
        </w:r>
      </w:hyperlink>
      <w:r w:rsidRPr="009D24D1">
        <w:rPr>
          <w:rFonts w:cs="Times New Roman"/>
          <w:sz w:val="20"/>
          <w:szCs w:val="20"/>
        </w:rPr>
        <w:t xml:space="preserve"> </w:t>
      </w:r>
    </w:p>
  </w:footnote>
  <w:footnote w:id="91">
    <w:p w14:paraId="0000017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7">
        <w:r w:rsidRPr="009D24D1">
          <w:rPr>
            <w:rFonts w:cs="Times New Roman"/>
            <w:color w:val="1155CC"/>
            <w:sz w:val="20"/>
            <w:szCs w:val="20"/>
            <w:u w:val="single"/>
          </w:rPr>
          <w:t>https://www.gov.si/zbirke/javne-objave/javni-razpis-demo-piloti-ii-2018/</w:t>
        </w:r>
      </w:hyperlink>
      <w:r w:rsidRPr="009D24D1">
        <w:rPr>
          <w:rFonts w:cs="Times New Roman"/>
          <w:sz w:val="20"/>
          <w:szCs w:val="20"/>
        </w:rPr>
        <w:t xml:space="preserve"> </w:t>
      </w:r>
    </w:p>
  </w:footnote>
  <w:footnote w:id="92">
    <w:p w14:paraId="00000168"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58">
        <w:r w:rsidRPr="009D24D1">
          <w:rPr>
            <w:rFonts w:cs="Times New Roman"/>
            <w:color w:val="1155CC"/>
            <w:sz w:val="20"/>
            <w:szCs w:val="20"/>
            <w:u w:val="single"/>
          </w:rPr>
          <w:t>https://www.gov.si/zbirke/projekti-in-programi/nacrt-za-okrevanje-in-odpornost/</w:t>
        </w:r>
      </w:hyperlink>
      <w:r w:rsidRPr="009D24D1">
        <w:rPr>
          <w:rFonts w:cs="Times New Roman"/>
          <w:sz w:val="20"/>
          <w:szCs w:val="20"/>
        </w:rPr>
        <w:t xml:space="preserve"> </w:t>
      </w:r>
    </w:p>
  </w:footnote>
  <w:footnote w:id="93">
    <w:p w14:paraId="00000169"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59">
        <w:r w:rsidRPr="009D24D1">
          <w:rPr>
            <w:rFonts w:cs="Times New Roman"/>
            <w:color w:val="1155CC"/>
            <w:sz w:val="20"/>
            <w:szCs w:val="20"/>
            <w:u w:val="single"/>
          </w:rPr>
          <w:t>https://www.gov.si/assets/ministrstva/MGTS/Dokumenti/DIPT/Strategija-digitalne-transformacije-gospodarstva</w:t>
        </w:r>
      </w:hyperlink>
      <w:r w:rsidRPr="009D24D1">
        <w:rPr>
          <w:rFonts w:cs="Times New Roman"/>
          <w:sz w:val="20"/>
          <w:szCs w:val="20"/>
        </w:rPr>
        <w:t xml:space="preserve"> </w:t>
      </w:r>
    </w:p>
  </w:footnote>
  <w:footnote w:id="94">
    <w:p w14:paraId="0000016A"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60">
        <w:r w:rsidRPr="009D24D1">
          <w:rPr>
            <w:rFonts w:cs="Times New Roman"/>
            <w:color w:val="1155CC"/>
            <w:sz w:val="20"/>
            <w:szCs w:val="20"/>
            <w:u w:val="single"/>
          </w:rPr>
          <w:t>https://www.gzs.si/Portals/206/Slovenska%20industrijska%20strategija.pdf</w:t>
        </w:r>
      </w:hyperlink>
      <w:r w:rsidRPr="009D24D1">
        <w:rPr>
          <w:rFonts w:cs="Times New Roman"/>
          <w:sz w:val="20"/>
          <w:szCs w:val="20"/>
        </w:rPr>
        <w:t xml:space="preserve">. Več o tem na </w:t>
      </w:r>
      <w:hyperlink r:id="rId61">
        <w:r w:rsidRPr="009D24D1">
          <w:rPr>
            <w:rFonts w:cs="Times New Roman"/>
            <w:color w:val="1155CC"/>
            <w:sz w:val="20"/>
            <w:szCs w:val="20"/>
            <w:u w:val="single"/>
          </w:rPr>
          <w:t>https://www.gov.si/teme/industrija/</w:t>
        </w:r>
      </w:hyperlink>
      <w:r w:rsidRPr="009D24D1">
        <w:rPr>
          <w:rFonts w:cs="Times New Roman"/>
          <w:sz w:val="20"/>
          <w:szCs w:val="20"/>
        </w:rPr>
        <w:t xml:space="preserve">  </w:t>
      </w:r>
    </w:p>
  </w:footnote>
  <w:footnote w:id="95">
    <w:p w14:paraId="00000173"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62">
        <w:r w:rsidRPr="009D24D1">
          <w:rPr>
            <w:rFonts w:cs="Times New Roman"/>
            <w:color w:val="1155CC"/>
            <w:sz w:val="20"/>
            <w:szCs w:val="20"/>
            <w:u w:val="single"/>
          </w:rPr>
          <w:t>https://www.gzs.si/Portals/206/Slovenska%20industrijska%20strategija.pdf</w:t>
        </w:r>
      </w:hyperlink>
      <w:r w:rsidRPr="009D24D1">
        <w:rPr>
          <w:rFonts w:cs="Times New Roman"/>
          <w:sz w:val="20"/>
          <w:szCs w:val="20"/>
        </w:rPr>
        <w:t xml:space="preserve"> </w:t>
      </w:r>
    </w:p>
  </w:footnote>
  <w:footnote w:id="96">
    <w:p w14:paraId="0000016B"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63">
        <w:r w:rsidRPr="009D24D1">
          <w:rPr>
            <w:rFonts w:cs="Times New Roman"/>
            <w:color w:val="1155CC"/>
            <w:sz w:val="20"/>
            <w:szCs w:val="20"/>
            <w:u w:val="single"/>
          </w:rPr>
          <w:t>https://www.gov.si/zbirke/projekti-in-programi/izvajanje-slovenske-strategije-pametne-specializacije/</w:t>
        </w:r>
      </w:hyperlink>
      <w:r w:rsidRPr="009D24D1">
        <w:rPr>
          <w:rFonts w:cs="Times New Roman"/>
          <w:sz w:val="20"/>
          <w:szCs w:val="20"/>
        </w:rPr>
        <w:t xml:space="preserve"> </w:t>
      </w:r>
    </w:p>
  </w:footnote>
  <w:footnote w:id="97">
    <w:p w14:paraId="0000016D"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64">
        <w:r w:rsidRPr="009D24D1">
          <w:rPr>
            <w:rFonts w:cs="Times New Roman"/>
            <w:color w:val="1155CC"/>
            <w:sz w:val="20"/>
            <w:szCs w:val="20"/>
            <w:u w:val="single"/>
          </w:rPr>
          <w:t>https://www.gov.si/assets/ministrstva/MKRR/Kljucni-dokumenti-S5/S5_Verzija-1.0_lektoriran-cistopis_25.4.2023_3.docx</w:t>
        </w:r>
      </w:hyperlink>
      <w:r w:rsidRPr="009D24D1">
        <w:rPr>
          <w:rFonts w:cs="Times New Roman"/>
          <w:sz w:val="20"/>
          <w:szCs w:val="20"/>
        </w:rPr>
        <w:t xml:space="preserve"> . Slovenska strategija trajnostne pametne specializacije se je uveljavila pod kratico S5 kot okrajšava za angleško verzijo: Slovenian Sustainable Smart Specialisation Strategy.</w:t>
      </w:r>
    </w:p>
  </w:footnote>
  <w:footnote w:id="98">
    <w:p w14:paraId="0000016C"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65">
        <w:r w:rsidRPr="009D24D1">
          <w:rPr>
            <w:rFonts w:eastAsia="Arial" w:cs="Times New Roman"/>
            <w:color w:val="1155CC"/>
            <w:sz w:val="20"/>
            <w:szCs w:val="20"/>
            <w:u w:val="single"/>
          </w:rPr>
          <w:t>https://www.gov.si/zbirke/projekti-in-programi/izvajanje-slovenske-strategije-pametne-specializacije/</w:t>
        </w:r>
      </w:hyperlink>
      <w:r w:rsidRPr="009D24D1">
        <w:rPr>
          <w:rFonts w:eastAsia="Arial" w:cs="Times New Roman"/>
          <w:color w:val="1155CC"/>
          <w:sz w:val="20"/>
          <w:szCs w:val="20"/>
          <w:u w:val="single"/>
        </w:rPr>
        <w:t xml:space="preserve"> </w:t>
      </w:r>
    </w:p>
  </w:footnote>
  <w:footnote w:id="99">
    <w:p w14:paraId="0000016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66">
        <w:r w:rsidRPr="009D24D1">
          <w:rPr>
            <w:rFonts w:cs="Times New Roman"/>
            <w:color w:val="1155CC"/>
            <w:sz w:val="20"/>
            <w:szCs w:val="20"/>
            <w:u w:val="single"/>
          </w:rPr>
          <w:t>https://pisrs.si/pregledPredpisa?id=ZAKO7634</w:t>
        </w:r>
      </w:hyperlink>
      <w:r w:rsidRPr="009D24D1">
        <w:rPr>
          <w:rFonts w:cs="Times New Roman"/>
          <w:sz w:val="20"/>
          <w:szCs w:val="20"/>
        </w:rPr>
        <w:t xml:space="preserve"> </w:t>
      </w:r>
    </w:p>
  </w:footnote>
  <w:footnote w:id="100">
    <w:p w14:paraId="00000153"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67">
        <w:r w:rsidRPr="009D24D1">
          <w:rPr>
            <w:rFonts w:cs="Times New Roman"/>
            <w:color w:val="1155CC"/>
            <w:sz w:val="20"/>
            <w:szCs w:val="20"/>
            <w:u w:val="single"/>
          </w:rPr>
          <w:t>https://pisrs.si/pregledPredpisa?id=ODLO1985</w:t>
        </w:r>
      </w:hyperlink>
      <w:r w:rsidRPr="009D24D1">
        <w:rPr>
          <w:rFonts w:cs="Times New Roman"/>
          <w:sz w:val="20"/>
          <w:szCs w:val="20"/>
        </w:rPr>
        <w:t xml:space="preserve"> </w:t>
      </w:r>
    </w:p>
  </w:footnote>
  <w:footnote w:id="101">
    <w:p w14:paraId="00000174"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w:t>
      </w:r>
      <w:hyperlink r:id="rId68">
        <w:r w:rsidRPr="009D24D1">
          <w:rPr>
            <w:rFonts w:cs="Times New Roman"/>
            <w:color w:val="1155CC"/>
            <w:sz w:val="20"/>
            <w:szCs w:val="20"/>
            <w:u w:val="single"/>
          </w:rPr>
          <w:t>https://pisrs.si/pregledPredpisa?id=RESO131</w:t>
        </w:r>
      </w:hyperlink>
      <w:r w:rsidRPr="009D24D1">
        <w:rPr>
          <w:rFonts w:cs="Times New Roman"/>
          <w:sz w:val="20"/>
          <w:szCs w:val="20"/>
        </w:rPr>
        <w:t xml:space="preserve"> , </w:t>
      </w:r>
      <w:hyperlink r:id="rId69">
        <w:r w:rsidRPr="009D24D1">
          <w:rPr>
            <w:rFonts w:cs="Times New Roman"/>
            <w:color w:val="1155CC"/>
            <w:sz w:val="20"/>
            <w:szCs w:val="20"/>
            <w:u w:val="single"/>
          </w:rPr>
          <w:t>https://www.gov.si/assets/ministrstva/MOP/Javne-objave/Javne-obravnave/podnebna_strategija_2050/dolgorocna_podnebna_strategija_2050.pdf</w:t>
        </w:r>
      </w:hyperlink>
      <w:r w:rsidRPr="009D24D1">
        <w:rPr>
          <w:rFonts w:cs="Times New Roman"/>
          <w:sz w:val="20"/>
          <w:szCs w:val="20"/>
        </w:rPr>
        <w:t xml:space="preserve"> </w:t>
      </w:r>
    </w:p>
  </w:footnote>
  <w:footnote w:id="102">
    <w:p w14:paraId="00000144"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70">
        <w:r w:rsidRPr="009D24D1">
          <w:rPr>
            <w:rFonts w:cs="Times New Roman"/>
            <w:color w:val="1155CC"/>
            <w:sz w:val="20"/>
            <w:szCs w:val="20"/>
            <w:u w:val="single"/>
          </w:rPr>
          <w:t>https://www.energetika-portal.si/fileadmin/dokumenti/publikacije/nepn/dokumenti/nepn_5.0_final_feb-2020.pdf</w:t>
        </w:r>
      </w:hyperlink>
      <w:r w:rsidRPr="009D24D1">
        <w:rPr>
          <w:rFonts w:cs="Times New Roman"/>
          <w:sz w:val="20"/>
          <w:szCs w:val="20"/>
        </w:rPr>
        <w:t xml:space="preserve"> </w:t>
      </w:r>
    </w:p>
  </w:footnote>
  <w:footnote w:id="103">
    <w:p w14:paraId="00000145"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71">
        <w:r w:rsidRPr="009D24D1">
          <w:rPr>
            <w:rFonts w:eastAsia="Arial" w:cs="Times New Roman"/>
            <w:color w:val="1155CC"/>
            <w:sz w:val="20"/>
            <w:szCs w:val="20"/>
            <w:u w:val="single"/>
          </w:rPr>
          <w:t>https://www.energetika-portal.si/dokumenti/strateski-razvojni-dokumenti/nacionalni-energetski-in-podnebni-nacrt-2024/</w:t>
        </w:r>
      </w:hyperlink>
      <w:r w:rsidRPr="009D24D1">
        <w:rPr>
          <w:rFonts w:eastAsia="Arial" w:cs="Times New Roman"/>
          <w:sz w:val="20"/>
          <w:szCs w:val="20"/>
        </w:rPr>
        <w:t xml:space="preserve"> </w:t>
      </w:r>
    </w:p>
  </w:footnote>
  <w:footnote w:id="104">
    <w:p w14:paraId="00000165"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r w:rsidRPr="009D24D1">
        <w:rPr>
          <w:rFonts w:cs="Times New Roman"/>
          <w:sz w:val="20"/>
          <w:szCs w:val="20"/>
        </w:rPr>
        <w:t xml:space="preserve"> Spremljanje izvajanja NEPN </w:t>
      </w:r>
      <w:hyperlink r:id="rId72">
        <w:r w:rsidRPr="009D24D1">
          <w:rPr>
            <w:rFonts w:cs="Times New Roman"/>
            <w:color w:val="1155CC"/>
            <w:sz w:val="20"/>
            <w:szCs w:val="20"/>
            <w:u w:val="single"/>
          </w:rPr>
          <w:t>https://www.energetika-portal.si/dokumenti/strateski-razvojni-dokumenti/nacionalni-energetski-in-podnebni-nacrt-2024/spremljanje-izvajanja-nepn/</w:t>
        </w:r>
      </w:hyperlink>
      <w:r w:rsidRPr="009D24D1">
        <w:rPr>
          <w:rFonts w:cs="Times New Roman"/>
          <w:sz w:val="20"/>
          <w:szCs w:val="20"/>
        </w:rPr>
        <w:t xml:space="preserve"> </w:t>
      </w:r>
    </w:p>
  </w:footnote>
  <w:footnote w:id="105">
    <w:p w14:paraId="00000156"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73">
        <w:r w:rsidRPr="009D24D1">
          <w:rPr>
            <w:rFonts w:cs="Times New Roman"/>
            <w:color w:val="1155CC"/>
            <w:sz w:val="20"/>
            <w:szCs w:val="20"/>
            <w:u w:val="single"/>
          </w:rPr>
          <w:t>https://www.gov.si/assets/ministrstva/MKGP/PODROCJA/HRANA/Zavrzki_odpadna_hrana/Strategija_izguba_hrane_odpadna-hrana.pdf</w:t>
        </w:r>
      </w:hyperlink>
      <w:r w:rsidRPr="009D24D1">
        <w:rPr>
          <w:rFonts w:cs="Times New Roman"/>
          <w:sz w:val="20"/>
          <w:szCs w:val="20"/>
        </w:rPr>
        <w:t xml:space="preserve"> </w:t>
      </w:r>
    </w:p>
  </w:footnote>
  <w:footnote w:id="106">
    <w:p w14:paraId="00000157" w14:textId="77777777" w:rsidR="00474645" w:rsidRPr="009D24D1" w:rsidRDefault="00474645" w:rsidP="00342C39">
      <w:pPr>
        <w:jc w:val="both"/>
        <w:rPr>
          <w:rFonts w:cs="Times New Roman"/>
          <w:sz w:val="20"/>
          <w:szCs w:val="20"/>
        </w:rPr>
      </w:pPr>
      <w:r w:rsidRPr="009D24D1">
        <w:rPr>
          <w:rFonts w:cs="Times New Roman"/>
          <w:sz w:val="20"/>
          <w:szCs w:val="20"/>
          <w:vertAlign w:val="superscript"/>
        </w:rPr>
        <w:footnoteRef/>
      </w:r>
      <w:hyperlink r:id="rId74">
        <w:r w:rsidRPr="009D24D1">
          <w:rPr>
            <w:rFonts w:cs="Times New Roman"/>
            <w:color w:val="1155CC"/>
            <w:sz w:val="20"/>
            <w:szCs w:val="20"/>
            <w:u w:val="single"/>
          </w:rPr>
          <w:t>https://www.gov.si/assets/ministrstva/MKGP/PODROCJA/HRANA/Zavrzki_odpadna_hrana/Akcijski_nacrt_za_izvajanje_strategije_in_obrazlozitev_ukrepov.pdf</w:t>
        </w:r>
      </w:hyperlink>
      <w:r w:rsidRPr="009D24D1">
        <w:rPr>
          <w:rFonts w:cs="Times New Roman"/>
          <w:sz w:val="20"/>
          <w:szCs w:val="20"/>
        </w:rPr>
        <w:t xml:space="preserve">  </w:t>
      </w:r>
    </w:p>
  </w:footnote>
  <w:footnote w:id="107">
    <w:p w14:paraId="00000163" w14:textId="77777777" w:rsidR="00474645" w:rsidRPr="009D24D1" w:rsidRDefault="00474645" w:rsidP="00342C39">
      <w:pPr>
        <w:jc w:val="both"/>
        <w:rPr>
          <w:rFonts w:eastAsia="Arial" w:cs="Times New Roman"/>
          <w:sz w:val="20"/>
          <w:szCs w:val="20"/>
          <w:u w:val="single"/>
        </w:rPr>
      </w:pPr>
      <w:r w:rsidRPr="009D24D1">
        <w:rPr>
          <w:rFonts w:cs="Times New Roman"/>
          <w:sz w:val="20"/>
          <w:szCs w:val="20"/>
          <w:vertAlign w:val="superscript"/>
        </w:rPr>
        <w:footnoteRef/>
      </w:r>
      <w:r w:rsidRPr="009D24D1">
        <w:rPr>
          <w:rFonts w:cs="Times New Roman"/>
          <w:sz w:val="20"/>
          <w:szCs w:val="20"/>
        </w:rPr>
        <w:t xml:space="preserve"> </w:t>
      </w:r>
      <w:r w:rsidRPr="009D24D1">
        <w:rPr>
          <w:rFonts w:eastAsia="Arial" w:cs="Times New Roman"/>
          <w:sz w:val="20"/>
          <w:szCs w:val="20"/>
        </w:rPr>
        <w:t>Resolucija o strateških usmeritvah razvoja slovenskega kmetijstva in živilstva do leta 2020 – »Zagotovimo.si hrano za jutri« (ReSURSKŽ)</w:t>
      </w:r>
      <w:hyperlink r:id="rId75">
        <w:r w:rsidRPr="009D24D1">
          <w:rPr>
            <w:rFonts w:eastAsia="Arial" w:cs="Times New Roman"/>
            <w:sz w:val="20"/>
            <w:szCs w:val="20"/>
          </w:rPr>
          <w:t xml:space="preserve"> </w:t>
        </w:r>
      </w:hyperlink>
      <w:hyperlink r:id="rId76">
        <w:r w:rsidRPr="009D24D1">
          <w:rPr>
            <w:rFonts w:eastAsia="Arial" w:cs="Times New Roman"/>
            <w:sz w:val="20"/>
            <w:szCs w:val="20"/>
            <w:u w:val="single"/>
          </w:rPr>
          <w:t>https://pisrs.si/pregledPredpisa?id=RESO80</w:t>
        </w:r>
      </w:hyperlink>
    </w:p>
    <w:p w14:paraId="00000164" w14:textId="77777777" w:rsidR="00474645" w:rsidRPr="009D24D1" w:rsidRDefault="00474645" w:rsidP="00342C39">
      <w:pPr>
        <w:jc w:val="both"/>
        <w:rPr>
          <w:rFonts w:cs="Times New Roman"/>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758"/>
    <w:multiLevelType w:val="multilevel"/>
    <w:tmpl w:val="3CA27FFC"/>
    <w:lvl w:ilvl="0">
      <w:start w:val="3"/>
      <w:numFmt w:val="decimal"/>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5B824DC"/>
    <w:multiLevelType w:val="multilevel"/>
    <w:tmpl w:val="0424001F"/>
    <w:numStyleLink w:val="Slog1"/>
  </w:abstractNum>
  <w:abstractNum w:abstractNumId="2" w15:restartNumberingAfterBreak="0">
    <w:nsid w:val="4FE42653"/>
    <w:multiLevelType w:val="multilevel"/>
    <w:tmpl w:val="7C228A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1340EF3"/>
    <w:multiLevelType w:val="hybridMultilevel"/>
    <w:tmpl w:val="823E0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32A7DD1"/>
    <w:multiLevelType w:val="hybridMultilevel"/>
    <w:tmpl w:val="FA66B0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8FC5197"/>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AD1270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BA9790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CE7AA4"/>
    <w:multiLevelType w:val="hybridMultilevel"/>
    <w:tmpl w:val="593E194C"/>
    <w:lvl w:ilvl="0" w:tplc="0C3245F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3537BBF"/>
    <w:multiLevelType w:val="multilevel"/>
    <w:tmpl w:val="5BD09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6097B1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C1C07CE"/>
    <w:multiLevelType w:val="multilevel"/>
    <w:tmpl w:val="0424001F"/>
    <w:styleLink w:val="Slog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3"/>
  </w:num>
  <w:num w:numId="4">
    <w:abstractNumId w:val="1"/>
  </w:num>
  <w:num w:numId="5">
    <w:abstractNumId w:val="11"/>
  </w:num>
  <w:num w:numId="6">
    <w:abstractNumId w:val="2"/>
  </w:num>
  <w:num w:numId="7">
    <w:abstractNumId w:val="10"/>
  </w:num>
  <w:num w:numId="8">
    <w:abstractNumId w:val="7"/>
  </w:num>
  <w:num w:numId="9">
    <w:abstractNumId w:val="4"/>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hideGrammaticalError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158"/>
    <w:rsid w:val="000131B7"/>
    <w:rsid w:val="0001413B"/>
    <w:rsid w:val="00025335"/>
    <w:rsid w:val="000276D8"/>
    <w:rsid w:val="000642B8"/>
    <w:rsid w:val="000B7A37"/>
    <w:rsid w:val="000C4E87"/>
    <w:rsid w:val="00130B19"/>
    <w:rsid w:val="0013652C"/>
    <w:rsid w:val="001B06C8"/>
    <w:rsid w:val="001B7E07"/>
    <w:rsid w:val="001D3D34"/>
    <w:rsid w:val="002755F3"/>
    <w:rsid w:val="0028019D"/>
    <w:rsid w:val="00280A70"/>
    <w:rsid w:val="00281485"/>
    <w:rsid w:val="00295BB9"/>
    <w:rsid w:val="002E3366"/>
    <w:rsid w:val="00301648"/>
    <w:rsid w:val="00342C39"/>
    <w:rsid w:val="003954BC"/>
    <w:rsid w:val="00426B2A"/>
    <w:rsid w:val="0043698C"/>
    <w:rsid w:val="00474645"/>
    <w:rsid w:val="00477925"/>
    <w:rsid w:val="004825BC"/>
    <w:rsid w:val="004867CB"/>
    <w:rsid w:val="004873D8"/>
    <w:rsid w:val="004D4AEA"/>
    <w:rsid w:val="00525158"/>
    <w:rsid w:val="005800DE"/>
    <w:rsid w:val="005B4312"/>
    <w:rsid w:val="005B5369"/>
    <w:rsid w:val="005B6B3E"/>
    <w:rsid w:val="005C3365"/>
    <w:rsid w:val="006C2B5B"/>
    <w:rsid w:val="006F430A"/>
    <w:rsid w:val="0074329B"/>
    <w:rsid w:val="007B1ED6"/>
    <w:rsid w:val="00862728"/>
    <w:rsid w:val="008D5440"/>
    <w:rsid w:val="00910D65"/>
    <w:rsid w:val="00991967"/>
    <w:rsid w:val="009D24D1"/>
    <w:rsid w:val="00A016B3"/>
    <w:rsid w:val="00A97C10"/>
    <w:rsid w:val="00B80385"/>
    <w:rsid w:val="00B9321F"/>
    <w:rsid w:val="00B95A41"/>
    <w:rsid w:val="00BA538D"/>
    <w:rsid w:val="00BA7194"/>
    <w:rsid w:val="00BE1B25"/>
    <w:rsid w:val="00BE7730"/>
    <w:rsid w:val="00C218B2"/>
    <w:rsid w:val="00C23660"/>
    <w:rsid w:val="00C30B13"/>
    <w:rsid w:val="00C40297"/>
    <w:rsid w:val="00C95E52"/>
    <w:rsid w:val="00D26451"/>
    <w:rsid w:val="00E03B39"/>
    <w:rsid w:val="00E40492"/>
    <w:rsid w:val="00E761CA"/>
    <w:rsid w:val="00EB1B47"/>
    <w:rsid w:val="00F22726"/>
    <w:rsid w:val="00F55BC7"/>
    <w:rsid w:val="00F77CB7"/>
    <w:rsid w:val="00F87511"/>
    <w:rsid w:val="00FF7D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D4F839"/>
  <w15:docId w15:val="{51C4777C-CD84-4CFC-AFEB-E6D320D12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4D1"/>
    <w:rPr>
      <w:rFonts w:ascii="Times New Roman" w:hAnsi="Times New Roman"/>
    </w:rPr>
  </w:style>
  <w:style w:type="paragraph" w:styleId="Heading1">
    <w:name w:val="heading 1"/>
    <w:basedOn w:val="Normal"/>
    <w:next w:val="Normal"/>
    <w:link w:val="Heading1Char"/>
    <w:uiPriority w:val="9"/>
    <w:qFormat/>
    <w:rsid w:val="003C6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C6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C60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C60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60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60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0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0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0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C60F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C60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60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60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C60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60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60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0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0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0FD"/>
    <w:rPr>
      <w:rFonts w:eastAsiaTheme="majorEastAsia" w:cstheme="majorBidi"/>
      <w:color w:val="272727" w:themeColor="text1" w:themeTint="D8"/>
    </w:rPr>
  </w:style>
  <w:style w:type="character" w:customStyle="1" w:styleId="TitleChar">
    <w:name w:val="Title Char"/>
    <w:basedOn w:val="DefaultParagraphFont"/>
    <w:link w:val="Title"/>
    <w:uiPriority w:val="10"/>
    <w:rsid w:val="003C6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C60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0FD"/>
    <w:pPr>
      <w:spacing w:before="160"/>
      <w:jc w:val="center"/>
    </w:pPr>
    <w:rPr>
      <w:i/>
      <w:iCs/>
      <w:color w:val="404040" w:themeColor="text1" w:themeTint="BF"/>
    </w:rPr>
  </w:style>
  <w:style w:type="character" w:customStyle="1" w:styleId="QuoteChar">
    <w:name w:val="Quote Char"/>
    <w:basedOn w:val="DefaultParagraphFont"/>
    <w:link w:val="Quote"/>
    <w:uiPriority w:val="29"/>
    <w:rsid w:val="003C60FD"/>
    <w:rPr>
      <w:i/>
      <w:iCs/>
      <w:color w:val="404040" w:themeColor="text1" w:themeTint="BF"/>
    </w:rPr>
  </w:style>
  <w:style w:type="paragraph" w:styleId="ListParagraph">
    <w:name w:val="List Paragraph"/>
    <w:basedOn w:val="Normal"/>
    <w:uiPriority w:val="34"/>
    <w:qFormat/>
    <w:rsid w:val="003C60FD"/>
    <w:pPr>
      <w:ind w:left="720"/>
      <w:contextualSpacing/>
    </w:pPr>
  </w:style>
  <w:style w:type="character" w:styleId="IntenseEmphasis">
    <w:name w:val="Intense Emphasis"/>
    <w:basedOn w:val="DefaultParagraphFont"/>
    <w:uiPriority w:val="21"/>
    <w:qFormat/>
    <w:rsid w:val="003C60FD"/>
    <w:rPr>
      <w:i/>
      <w:iCs/>
      <w:color w:val="0F4761" w:themeColor="accent1" w:themeShade="BF"/>
    </w:rPr>
  </w:style>
  <w:style w:type="paragraph" w:styleId="IntenseQuote">
    <w:name w:val="Intense Quote"/>
    <w:basedOn w:val="Normal"/>
    <w:next w:val="Normal"/>
    <w:link w:val="IntenseQuoteChar"/>
    <w:uiPriority w:val="30"/>
    <w:qFormat/>
    <w:rsid w:val="003C6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60FD"/>
    <w:rPr>
      <w:i/>
      <w:iCs/>
      <w:color w:val="0F4761" w:themeColor="accent1" w:themeShade="BF"/>
    </w:rPr>
  </w:style>
  <w:style w:type="character" w:styleId="IntenseReference">
    <w:name w:val="Intense Reference"/>
    <w:basedOn w:val="DefaultParagraphFont"/>
    <w:uiPriority w:val="32"/>
    <w:qFormat/>
    <w:rsid w:val="003C60FD"/>
    <w:rPr>
      <w:b/>
      <w:bCs/>
      <w:smallCaps/>
      <w:color w:val="0F4761" w:themeColor="accent1" w:themeShade="BF"/>
      <w:spacing w:val="5"/>
    </w:rPr>
  </w:style>
  <w:style w:type="paragraph" w:styleId="NormalWeb">
    <w:name w:val="Normal (Web)"/>
    <w:basedOn w:val="Normal"/>
    <w:uiPriority w:val="99"/>
    <w:semiHidden/>
    <w:unhideWhenUsed/>
    <w:rsid w:val="003C60FD"/>
    <w:pPr>
      <w:spacing w:before="100" w:beforeAutospacing="1" w:after="100" w:afterAutospacing="1"/>
    </w:pPr>
  </w:style>
  <w:style w:type="character" w:styleId="Hyperlink">
    <w:name w:val="Hyperlink"/>
    <w:basedOn w:val="DefaultParagraphFont"/>
    <w:uiPriority w:val="99"/>
    <w:unhideWhenUsed/>
    <w:rsid w:val="003C60FD"/>
    <w:rPr>
      <w:color w:val="467886" w:themeColor="hyperlink"/>
      <w:u w:val="single"/>
    </w:rPr>
  </w:style>
  <w:style w:type="character" w:customStyle="1" w:styleId="Nerazreenaomemba1">
    <w:name w:val="Nerazrešena omemba1"/>
    <w:basedOn w:val="DefaultParagraphFont"/>
    <w:uiPriority w:val="99"/>
    <w:semiHidden/>
    <w:unhideWhenUsed/>
    <w:rsid w:val="003C60FD"/>
    <w:rPr>
      <w:color w:val="605E5C"/>
      <w:shd w:val="clear" w:color="auto" w:fill="E1DFDD"/>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42C39"/>
    <w:pPr>
      <w:tabs>
        <w:tab w:val="center" w:pos="4536"/>
        <w:tab w:val="right" w:pos="9072"/>
      </w:tabs>
    </w:pPr>
  </w:style>
  <w:style w:type="character" w:customStyle="1" w:styleId="HeaderChar">
    <w:name w:val="Header Char"/>
    <w:basedOn w:val="DefaultParagraphFont"/>
    <w:link w:val="Header"/>
    <w:uiPriority w:val="99"/>
    <w:rsid w:val="00342C39"/>
  </w:style>
  <w:style w:type="paragraph" w:styleId="Footer">
    <w:name w:val="footer"/>
    <w:basedOn w:val="Normal"/>
    <w:link w:val="FooterChar"/>
    <w:uiPriority w:val="99"/>
    <w:unhideWhenUsed/>
    <w:rsid w:val="00342C39"/>
    <w:pPr>
      <w:tabs>
        <w:tab w:val="center" w:pos="4536"/>
        <w:tab w:val="right" w:pos="9072"/>
      </w:tabs>
    </w:pPr>
  </w:style>
  <w:style w:type="character" w:customStyle="1" w:styleId="FooterChar">
    <w:name w:val="Footer Char"/>
    <w:basedOn w:val="DefaultParagraphFont"/>
    <w:link w:val="Footer"/>
    <w:uiPriority w:val="99"/>
    <w:rsid w:val="00342C39"/>
  </w:style>
  <w:style w:type="numbering" w:customStyle="1" w:styleId="Slog1">
    <w:name w:val="Slog1"/>
    <w:uiPriority w:val="99"/>
    <w:rsid w:val="006F430A"/>
    <w:pPr>
      <w:numPr>
        <w:numId w:val="5"/>
      </w:numPr>
    </w:pPr>
  </w:style>
  <w:style w:type="paragraph" w:styleId="TOCHeading">
    <w:name w:val="TOC Heading"/>
    <w:basedOn w:val="Heading1"/>
    <w:next w:val="Normal"/>
    <w:uiPriority w:val="39"/>
    <w:unhideWhenUsed/>
    <w:qFormat/>
    <w:rsid w:val="0028019D"/>
    <w:pPr>
      <w:spacing w:before="240" w:after="0" w:line="259" w:lineRule="auto"/>
      <w:outlineLvl w:val="9"/>
    </w:pPr>
    <w:rPr>
      <w:sz w:val="32"/>
      <w:szCs w:val="32"/>
    </w:rPr>
  </w:style>
  <w:style w:type="paragraph" w:styleId="TOC2">
    <w:name w:val="toc 2"/>
    <w:basedOn w:val="Normal"/>
    <w:next w:val="Normal"/>
    <w:autoRedefine/>
    <w:uiPriority w:val="39"/>
    <w:unhideWhenUsed/>
    <w:rsid w:val="0028019D"/>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28019D"/>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28019D"/>
    <w:pPr>
      <w:spacing w:after="100" w:line="259" w:lineRule="auto"/>
      <w:ind w:left="440"/>
    </w:pPr>
    <w:rPr>
      <w:rFonts w:asciiTheme="minorHAnsi" w:eastAsiaTheme="minorEastAsia" w:hAnsiTheme="minorHAnsi" w:cs="Times New Roman"/>
      <w:sz w:val="22"/>
      <w:szCs w:val="22"/>
    </w:rPr>
  </w:style>
  <w:style w:type="paragraph" w:styleId="TOC4">
    <w:name w:val="toc 4"/>
    <w:basedOn w:val="Normal"/>
    <w:next w:val="Normal"/>
    <w:autoRedefine/>
    <w:uiPriority w:val="39"/>
    <w:unhideWhenUsed/>
    <w:rsid w:val="0028019D"/>
    <w:pPr>
      <w:spacing w:after="100"/>
      <w:ind w:left="720"/>
    </w:pPr>
  </w:style>
  <w:style w:type="paragraph" w:styleId="CommentSubject">
    <w:name w:val="annotation subject"/>
    <w:basedOn w:val="CommentText"/>
    <w:next w:val="CommentText"/>
    <w:link w:val="CommentSubjectChar"/>
    <w:uiPriority w:val="99"/>
    <w:semiHidden/>
    <w:unhideWhenUsed/>
    <w:rsid w:val="004D4AEA"/>
    <w:rPr>
      <w:b/>
      <w:bCs/>
    </w:rPr>
  </w:style>
  <w:style w:type="character" w:customStyle="1" w:styleId="CommentSubjectChar">
    <w:name w:val="Comment Subject Char"/>
    <w:basedOn w:val="CommentTextChar"/>
    <w:link w:val="CommentSubject"/>
    <w:uiPriority w:val="99"/>
    <w:semiHidden/>
    <w:rsid w:val="004D4AEA"/>
    <w:rPr>
      <w:rFonts w:ascii="Times New Roman" w:hAnsi="Times New Roman"/>
      <w:b/>
      <w:bCs/>
      <w:sz w:val="20"/>
      <w:szCs w:val="20"/>
    </w:rPr>
  </w:style>
  <w:style w:type="paragraph" w:styleId="BalloonText">
    <w:name w:val="Balloon Text"/>
    <w:basedOn w:val="Normal"/>
    <w:link w:val="BalloonTextChar"/>
    <w:uiPriority w:val="99"/>
    <w:semiHidden/>
    <w:unhideWhenUsed/>
    <w:rsid w:val="004D4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AEA"/>
    <w:rPr>
      <w:rFonts w:ascii="Segoe UI" w:hAnsi="Segoe UI" w:cs="Segoe UI"/>
      <w:sz w:val="18"/>
      <w:szCs w:val="18"/>
    </w:rPr>
  </w:style>
  <w:style w:type="paragraph" w:styleId="Revision">
    <w:name w:val="Revision"/>
    <w:hidden/>
    <w:uiPriority w:val="99"/>
    <w:semiHidden/>
    <w:rsid w:val="002755F3"/>
    <w:rPr>
      <w:rFonts w:ascii="Times New Roman" w:hAnsi="Times New Roman"/>
    </w:rPr>
  </w:style>
  <w:style w:type="paragraph" w:styleId="FootnoteText">
    <w:name w:val="footnote text"/>
    <w:basedOn w:val="Normal"/>
    <w:link w:val="FootnoteTextChar"/>
    <w:uiPriority w:val="99"/>
    <w:semiHidden/>
    <w:unhideWhenUsed/>
    <w:rsid w:val="004825BC"/>
    <w:rPr>
      <w:sz w:val="20"/>
      <w:szCs w:val="20"/>
    </w:rPr>
  </w:style>
  <w:style w:type="character" w:customStyle="1" w:styleId="FootnoteTextChar">
    <w:name w:val="Footnote Text Char"/>
    <w:basedOn w:val="DefaultParagraphFont"/>
    <w:link w:val="FootnoteText"/>
    <w:uiPriority w:val="99"/>
    <w:semiHidden/>
    <w:rsid w:val="004825BC"/>
    <w:rPr>
      <w:rFonts w:ascii="Times New Roman" w:hAnsi="Times New Roman"/>
      <w:sz w:val="20"/>
      <w:szCs w:val="20"/>
    </w:rPr>
  </w:style>
  <w:style w:type="character" w:styleId="FootnoteReference">
    <w:name w:val="footnote reference"/>
    <w:basedOn w:val="DefaultParagraphFont"/>
    <w:uiPriority w:val="99"/>
    <w:semiHidden/>
    <w:unhideWhenUsed/>
    <w:rsid w:val="004825BC"/>
    <w:rPr>
      <w:vertAlign w:val="superscript"/>
    </w:rPr>
  </w:style>
  <w:style w:type="character" w:styleId="UnresolvedMention">
    <w:name w:val="Unresolved Mention"/>
    <w:basedOn w:val="DefaultParagraphFont"/>
    <w:uiPriority w:val="99"/>
    <w:semiHidden/>
    <w:unhideWhenUsed/>
    <w:rsid w:val="004825BC"/>
    <w:rPr>
      <w:color w:val="605E5C"/>
      <w:shd w:val="clear" w:color="auto" w:fill="E1DFDD"/>
    </w:rPr>
  </w:style>
  <w:style w:type="character" w:styleId="FollowedHyperlink">
    <w:name w:val="FollowedHyperlink"/>
    <w:basedOn w:val="DefaultParagraphFont"/>
    <w:uiPriority w:val="99"/>
    <w:semiHidden/>
    <w:unhideWhenUsed/>
    <w:rsid w:val="007B1ED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si/assets/ministrstva/MZZ/Dokumenti/multilaterala/razvojno-sodelovanje/publikacije/Agenda_za_trajnostni_razvoj_2030.pdf" TargetMode="External"/><Relationship Id="rId18" Type="http://schemas.openxmlformats.org/officeDocument/2006/relationships/hyperlink" Target="https://evropskasredstva.si/evropska-kohezijska-politika/slovenska-strategija-pametne-specializacije/"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v.si/assets/ministrstva/MKRR/Strategija-razvoja-Slovenije-2030/Strategija_razvoja_Slovenije_2030.pdf" TargetMode="External"/><Relationship Id="rId17" Type="http://schemas.openxmlformats.org/officeDocument/2006/relationships/hyperlink" Target="https://evropskasredstva.si/evropska-kohezijska-politika/slovenska-strategija-pametne-specializacije/" TargetMode="External"/><Relationship Id="rId2" Type="http://schemas.openxmlformats.org/officeDocument/2006/relationships/customXml" Target="../customXml/item2.xml"/><Relationship Id="rId16" Type="http://schemas.openxmlformats.org/officeDocument/2006/relationships/hyperlink" Target="https://www.gov.si/assets/ministrstva/MGTS/Dokumenti/DIPT/Industrija-spodbujanje-inovativosti-in-tehnologija/Dokumenti/SIS2021_203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lovenia2030.si/" TargetMode="External"/><Relationship Id="rId5" Type="http://schemas.openxmlformats.org/officeDocument/2006/relationships/settings" Target="settings.xml"/><Relationship Id="rId15" Type="http://schemas.openxmlformats.org/officeDocument/2006/relationships/hyperlink" Target="https://www.gov.si/assets/ministrstva/MGTS/Dokumenti/DIPT/Industrija-spodbujanje-inovativosti-in-tehnologija/Dokumenti/SIS2021_2030.docx" TargetMode="External"/><Relationship Id="rId10" Type="http://schemas.openxmlformats.org/officeDocument/2006/relationships/image" Target="media/image2.jpg"/><Relationship Id="rId19" Type="http://schemas.openxmlformats.org/officeDocument/2006/relationships/hyperlink" Target="https://www.gov.si/zbirke/projekti-in-programi/izvajanje-slovenske-strategije-pametne-specializacij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si/zbirke/projekti-in-programi/razogljicimo-slovenij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s://web-archive.oecd.org/2012-06-14/86345-50110911.pdf" TargetMode="External"/><Relationship Id="rId21" Type="http://schemas.openxmlformats.org/officeDocument/2006/relationships/hyperlink" Target="https://pisrs.si/pregledPredpisa?id=ZAKO7602" TargetMode="External"/><Relationship Id="rId42" Type="http://schemas.openxmlformats.org/officeDocument/2006/relationships/hyperlink" Target="https://slovenia2030.si/files/VNR2020_Slovenia-SI.pdf" TargetMode="External"/><Relationship Id="rId47" Type="http://schemas.openxmlformats.org/officeDocument/2006/relationships/hyperlink" Target="https://www.umar.gov.si/fileadmin/user_upload/razvoj_slovenije/2024/slovenski/POR2024_01.pdf" TargetMode="External"/><Relationship Id="rId63" Type="http://schemas.openxmlformats.org/officeDocument/2006/relationships/hyperlink" Target="https://www.gov.si/zbirke/projekti-in-programi/izvajanje-slovenske-strategije-pametne-specializacije/" TargetMode="External"/><Relationship Id="rId68" Type="http://schemas.openxmlformats.org/officeDocument/2006/relationships/hyperlink" Target="https://pisrs.si/pregledPredpisa?id=RESO131" TargetMode="External"/><Relationship Id="rId2" Type="http://schemas.openxmlformats.org/officeDocument/2006/relationships/hyperlink" Target="https://eur-lex.europa.eu/LexUriServ/LexUriServ.do?uri=COM:2005:0134:FIN:SL:PDF" TargetMode="External"/><Relationship Id="rId16" Type="http://schemas.openxmlformats.org/officeDocument/2006/relationships/hyperlink" Target="https://pisrs.si/pregledPredpisa?id=RESO58" TargetMode="External"/><Relationship Id="rId29" Type="http://schemas.openxmlformats.org/officeDocument/2006/relationships/hyperlink" Target="https://www.gov.si/assets/ministrstva/MZZ/Dokumenti/multilaterala/razvojno-sodelovanje/Povzetek_Peer_Review_SLO.pdf" TargetMode="External"/><Relationship Id="rId11" Type="http://schemas.openxmlformats.org/officeDocument/2006/relationships/hyperlink" Target="https://data.europa.eu/doi/10.2841/31157" TargetMode="External"/><Relationship Id="rId24" Type="http://schemas.openxmlformats.org/officeDocument/2006/relationships/hyperlink" Target="https://www.gov.si/assets/ministrstva/MZEZ/Dokumenti/multilaterala/razvojno-sodelovanje/Smernice-za-vkljucevanje-enakosti-spolov-v-MRSHP.pdf" TargetMode="External"/><Relationship Id="rId32" Type="http://schemas.openxmlformats.org/officeDocument/2006/relationships/hyperlink" Target="https://www.gov.si/novice/2024-04-11-slovenija-za-uradno-razvojno-pomoc-v-letu-2023-namenila-150-milijonov-evrov/" TargetMode="External"/><Relationship Id="rId37" Type="http://schemas.openxmlformats.org/officeDocument/2006/relationships/hyperlink" Target="https://www.sloga-platform.org/wp-content/uploads/2014/11/%C5%A1tudija-o-usklajenosti-politik-za-razvoj.pdf" TargetMode="External"/><Relationship Id="rId40" Type="http://schemas.openxmlformats.org/officeDocument/2006/relationships/hyperlink" Target="https://www.gov.si/assets/ministrstva/MKRR/Strategija-razvoja-Slovenije-2030/Strategija_razvoja_Slovenije_2030.pdf" TargetMode="External"/><Relationship Id="rId45" Type="http://schemas.openxmlformats.org/officeDocument/2006/relationships/hyperlink" Target="https://www.umar.gov.si/fileadmin/user_upload/razvoj_slovenije/2023/slovenski/POR2023-splet.pdf" TargetMode="External"/><Relationship Id="rId53" Type="http://schemas.openxmlformats.org/officeDocument/2006/relationships/hyperlink" Target="https://www.gov.si/novice/2023-11-10-integracijska-strategija-prvi-pogoj-za-dobro-integracijo-je-znanje-slovenskega-jezika/" TargetMode="External"/><Relationship Id="rId58" Type="http://schemas.openxmlformats.org/officeDocument/2006/relationships/hyperlink" Target="https://www.gov.si/zbirke/projekti-in-programi/nacrt-za-okrevanje-in-odpornost/" TargetMode="External"/><Relationship Id="rId66" Type="http://schemas.openxmlformats.org/officeDocument/2006/relationships/hyperlink" Target="https://pisrs.si/pregledPredpisa?id=ZAKO7634" TargetMode="External"/><Relationship Id="rId74" Type="http://schemas.openxmlformats.org/officeDocument/2006/relationships/hyperlink" Target="https://www.gov.si/assets/ministrstva/MKGP/PODROCJA/HRANA/Zavrzki_odpadna_hrana/Akcijski_nacrt_za_izvajanje_strategije_in_obrazlozitev_ukrepov.pdf" TargetMode="External"/><Relationship Id="rId5" Type="http://schemas.openxmlformats.org/officeDocument/2006/relationships/hyperlink" Target="https://sdgs.un.org/2030agenda" TargetMode="External"/><Relationship Id="rId61" Type="http://schemas.openxmlformats.org/officeDocument/2006/relationships/hyperlink" Target="https://www.gov.si/teme/industrija/" TargetMode="External"/><Relationship Id="rId19" Type="http://schemas.openxmlformats.org/officeDocument/2006/relationships/hyperlink" Target="https://pisrs.si/pregledPredpisa?id=URED7517" TargetMode="External"/><Relationship Id="rId14" Type="http://schemas.openxmlformats.org/officeDocument/2006/relationships/hyperlink" Target="https://op.europa.eu/en/publication-detail/-/publication/85669b34-88d0-11e9-9369-01aa75ed71a1" TargetMode="External"/><Relationship Id="rId22" Type="http://schemas.openxmlformats.org/officeDocument/2006/relationships/hyperlink" Target="https://www.gov.si/assets/ministrstva/MZZ/Dokumenti/multilaterala/razvojno-sodelovanje/Strategija-MRSHP-popravljeno.docx" TargetMode="External"/><Relationship Id="rId27" Type="http://schemas.openxmlformats.org/officeDocument/2006/relationships/hyperlink" Target="https://read.oecd-ilibrary.org/development/oecd-development-co-operation-peer-reviews-slovenia-2017_9789264279308-en" TargetMode="External"/><Relationship Id="rId30" Type="http://schemas.openxmlformats.org/officeDocument/2006/relationships/hyperlink" Target="https://one.oecd.org/document/DCD/DAC/AR(2024)3/31/en/pdf" TargetMode="External"/><Relationship Id="rId35" Type="http://schemas.openxmlformats.org/officeDocument/2006/relationships/hyperlink" Target="https://www.gov.si/novice/2024-06-20-zakljucen-medsebojni-pregled-razvojnega-sodelovanja-republike-slovenije/" TargetMode="External"/><Relationship Id="rId43" Type="http://schemas.openxmlformats.org/officeDocument/2006/relationships/hyperlink" Target="https://slovenia2030.si/prvo-porocanje-slovenije-2017/" TargetMode="External"/><Relationship Id="rId48" Type="http://schemas.openxmlformats.org/officeDocument/2006/relationships/hyperlink" Target="https://www.gov.si/novice/2024-04-11-slovenija-za-uradno-razvojno-pomoc-v-letu-2023-namenila-150-milijonov-evrov/" TargetMode="External"/><Relationship Id="rId56" Type="http://schemas.openxmlformats.org/officeDocument/2006/relationships/hyperlink" Target="https://www.gov.si/assets/ministrstva/MF/Proracun-direktorat/Drzavni-proracun/Dokumenti-za-opis-podrocja/Struktura_proracuna.pdf" TargetMode="External"/><Relationship Id="rId64" Type="http://schemas.openxmlformats.org/officeDocument/2006/relationships/hyperlink" Target="https://www.gov.si/assets/ministrstva/MKRR/Kljucni-dokumenti-S5/S5_Verzija-1.0_lektoriran-cistopis_25.4.2023_3.docx" TargetMode="External"/><Relationship Id="rId69" Type="http://schemas.openxmlformats.org/officeDocument/2006/relationships/hyperlink" Target="https://www.gov.si/assets/ministrstva/MOP/Javne-objave/Javne-obravnave/podnebna_strategija_2050/dolgorocna_podnebna_strategija_2050.pdf" TargetMode="External"/><Relationship Id="rId8" Type="http://schemas.openxmlformats.org/officeDocument/2006/relationships/hyperlink" Target="https://international-partnerships.ec.europa.eu/document/download/0c296a90-c474-40af-a647-9e8786de471d_en?filename=swd-2019-20-pcdreport_en.pdf" TargetMode="External"/><Relationship Id="rId51" Type="http://schemas.openxmlformats.org/officeDocument/2006/relationships/hyperlink" Target="https://slovenia2030.si/drugo-porocanje-slovenije-v-teku/" TargetMode="External"/><Relationship Id="rId72" Type="http://schemas.openxmlformats.org/officeDocument/2006/relationships/hyperlink" Target="https://www.energetika-portal.si/dokumenti/strateski-razvojni-dokumenti/nacionalni-energetski-in-podnebni-nacrt-2024/spremljanje-izvajanja-nepn/" TargetMode="External"/><Relationship Id="rId3" Type="http://schemas.openxmlformats.org/officeDocument/2006/relationships/hyperlink" Target="https://eur-lex.europa.eu/legal-content/SL/TXT/HTML/?uri=CELEX:42017Y0630(01)" TargetMode="External"/><Relationship Id="rId12" Type="http://schemas.openxmlformats.org/officeDocument/2006/relationships/hyperlink" Target="https://www.oecd.org/gov/pcsd/pcsd-country-profiles.htm" TargetMode="External"/><Relationship Id="rId17" Type="http://schemas.openxmlformats.org/officeDocument/2006/relationships/hyperlink" Target="https://www.dlib.si/stream/URN:NBN:SI:DOC-YQXI5V5M/a4769f20-8fd2-47af-a18c-716f8bd8513e/PDF" TargetMode="External"/><Relationship Id="rId25" Type="http://schemas.openxmlformats.org/officeDocument/2006/relationships/hyperlink" Target="https://www.gov.si/novice/2024-09-05-smernice-za-bolj-sistematicno-vkljucitev-varstva-okolja-v-razvojno-sodelovanje-in-humanitarno-pomoc/" TargetMode="External"/><Relationship Id="rId33" Type="http://schemas.openxmlformats.org/officeDocument/2006/relationships/hyperlink" Target="https://www.gov.si/novice/2023-12-08-uradna-razvojna-pomoc-v-2021-in-2022-predstavitev-letnih-porocil-drzavnemu-zboru/" TargetMode="External"/><Relationship Id="rId38" Type="http://schemas.openxmlformats.org/officeDocument/2006/relationships/hyperlink" Target="https://www.mirovni-institut.si/data/tinymce/Projekti/comide_lana/pdf/Consistency%20of%20M&amp;D%20in%20Slovenia.pdf" TargetMode="External"/><Relationship Id="rId46" Type="http://schemas.openxmlformats.org/officeDocument/2006/relationships/hyperlink" Target="https://www.stat.si/Pages/cilji" TargetMode="External"/><Relationship Id="rId59" Type="http://schemas.openxmlformats.org/officeDocument/2006/relationships/hyperlink" Target="https://www.gov.si/assets/ministrstva/MGTS/Dokumenti/DIPT/Strategija-digitalne-transformacije-gospodarstva" TargetMode="External"/><Relationship Id="rId67" Type="http://schemas.openxmlformats.org/officeDocument/2006/relationships/hyperlink" Target="https://pisrs.si/pregledPredpisa?id=ODLO1985" TargetMode="External"/><Relationship Id="rId20" Type="http://schemas.openxmlformats.org/officeDocument/2006/relationships/hyperlink" Target="https://www.gov.si/teme/nacrtovanje-in-izvajanje-mednarodnega-razvojnega-sodelovanja-in-humanitarne-pomoci-slovenije/" TargetMode="External"/><Relationship Id="rId41" Type="http://schemas.openxmlformats.org/officeDocument/2006/relationships/hyperlink" Target="https://www.rs-rs.si/fileadmin/user_upload/Datoteke/Revizije/2021/SDG/SDG_RevizijskoP.pdf" TargetMode="External"/><Relationship Id="rId54" Type="http://schemas.openxmlformats.org/officeDocument/2006/relationships/hyperlink" Target="https://www.gov.si/zbirke/projekti-in-programi/razogljicimo-slovenijo/" TargetMode="External"/><Relationship Id="rId62" Type="http://schemas.openxmlformats.org/officeDocument/2006/relationships/hyperlink" Target="https://www.gzs.si/Portals/206/Slovenska%20industrijska%20strategija.pdf" TargetMode="External"/><Relationship Id="rId70" Type="http://schemas.openxmlformats.org/officeDocument/2006/relationships/hyperlink" Target="https://www.energetika-portal.si/fileadmin/dokumenti/publikacije/nepn/dokumenti/nepn_5.0_final_feb-2020.pdf" TargetMode="External"/><Relationship Id="rId75" Type="http://schemas.openxmlformats.org/officeDocument/2006/relationships/hyperlink" Target="https://pisrs.si/pregledPredpisa?id=RESO80" TargetMode="External"/><Relationship Id="rId1" Type="http://schemas.openxmlformats.org/officeDocument/2006/relationships/hyperlink" Target="https://www.europarl.europa.eu/about-parliament/sl/in-the-past/the-parliament-and-the-treaties/maastricht-treaty" TargetMode="External"/><Relationship Id="rId6" Type="http://schemas.openxmlformats.org/officeDocument/2006/relationships/hyperlink" Target="https://www.sloga-platform.org/wp-content/uploads/2020/12/20201031-Spodbujanje-skladnosti-politik-za-razvoj-ECDPM-prevod-FINAL.pdf" TargetMode="External"/><Relationship Id="rId15" Type="http://schemas.openxmlformats.org/officeDocument/2006/relationships/hyperlink" Target="https://op.europa.eu/en/publication-detail/-/publication/85669b34-88d0-11e9-9369-01aa75ed71a1" TargetMode="External"/><Relationship Id="rId23" Type="http://schemas.openxmlformats.org/officeDocument/2006/relationships/hyperlink" Target="https://www.gov.si/assets/ministrstva/MZEZ/Dokumenti/multilaterala/razvojno-sodelovanje/Smernice-za-sodelovanje-z-nevladnimi-organizacijami-na-podrocju-mednarodnega-razvojnega-sodelovanja-in-humanitarne-pomoci.pdf" TargetMode="External"/><Relationship Id="rId28" Type="http://schemas.openxmlformats.org/officeDocument/2006/relationships/hyperlink" Target="https://www.oecd.org/dac/oecd-development-co-operation-peer-reviews-slovenia-2017-9789264279308-en.htm" TargetMode="External"/><Relationship Id="rId36" Type="http://schemas.openxmlformats.org/officeDocument/2006/relationships/hyperlink" Target="https://www.gov.si/teme/zakaj-mednarodno-razvojno-sodelovanje/" TargetMode="External"/><Relationship Id="rId49" Type="http://schemas.openxmlformats.org/officeDocument/2006/relationships/hyperlink" Target="https://www.rs-rs.si/fileadmin/user_upload/Datoteke/Revizije/2021/SDG/SDG_RevizijskoP.pdf" TargetMode="External"/><Relationship Id="rId57" Type="http://schemas.openxmlformats.org/officeDocument/2006/relationships/hyperlink" Target="https://www.gov.si/zbirke/javne-objave/javni-razpis-demo-piloti-ii-2018/" TargetMode="External"/><Relationship Id="rId10" Type="http://schemas.openxmlformats.org/officeDocument/2006/relationships/hyperlink" Target="https://sustainabledevelopment.un.org/content/documents/2051AAAA_Outcome.pdf" TargetMode="External"/><Relationship Id="rId31" Type="http://schemas.openxmlformats.org/officeDocument/2006/relationships/hyperlink" Target="https://www.gov.si/teme/zakaj-mednarodno-razvojno-sodelovanje/" TargetMode="External"/><Relationship Id="rId44" Type="http://schemas.openxmlformats.org/officeDocument/2006/relationships/hyperlink" Target="https://www.umar.gov.si/publikacije/porocilo-o-razvoju" TargetMode="External"/><Relationship Id="rId52" Type="http://schemas.openxmlformats.org/officeDocument/2006/relationships/hyperlink" Target="https://pisrs.si/pregledPredpisa?id=RESO124" TargetMode="External"/><Relationship Id="rId60" Type="http://schemas.openxmlformats.org/officeDocument/2006/relationships/hyperlink" Target="https://www.gzs.si/Portals/206/Slovenska%20industrijska%20strategija.pdf" TargetMode="External"/><Relationship Id="rId65" Type="http://schemas.openxmlformats.org/officeDocument/2006/relationships/hyperlink" Target="https://www.gov.si/zbirke/projekti-in-programi/izvajanje-slovenske-strategije-pametne-specializacije/" TargetMode="External"/><Relationship Id="rId73" Type="http://schemas.openxmlformats.org/officeDocument/2006/relationships/hyperlink" Target="https://www.gov.si/assets/ministrstva/MKGP/PODROCJA/HRANA/Zavrzki_odpadna_hrana/Strategija_izguba_hrane_odpadna-hrana.pdf" TargetMode="External"/><Relationship Id="rId4" Type="http://schemas.openxmlformats.org/officeDocument/2006/relationships/hyperlink" Target="https://sustainabledevelopment.un.org/content/documents/21252030%20Agenda%20for%20Sustainable%20Development%20web.pdf" TargetMode="External"/><Relationship Id="rId9" Type="http://schemas.openxmlformats.org/officeDocument/2006/relationships/hyperlink" Target="https://international-partnerships.ec.europa.eu/document/download/0c296a90-c474-40af-a647-9e8786de471d_en?filename=swd-2019-20-pcdreport_en.pdf" TargetMode="External"/><Relationship Id="rId13" Type="http://schemas.openxmlformats.org/officeDocument/2006/relationships/hyperlink" Target="https://eur-lex.europa.eu/LexUriServ/LexUriServ.do?uri=COM:2005:0134:FIN:SL:PDF" TargetMode="External"/><Relationship Id="rId18" Type="http://schemas.openxmlformats.org/officeDocument/2006/relationships/hyperlink" Target="https://pisrs.si/pregledPredpisa?id=RESO117" TargetMode="External"/><Relationship Id="rId39" Type="http://schemas.openxmlformats.org/officeDocument/2006/relationships/hyperlink" Target="https://www.skladnost-politik.si/" TargetMode="External"/><Relationship Id="rId34" Type="http://schemas.openxmlformats.org/officeDocument/2006/relationships/hyperlink" Target="https://www.gov.si/novice/2024-08-28-ministrica-fajon-z-izvajalskimi-ustanovami-o-nacrtih-za-se-ucinkovitejse-razvojno-sodelovanje/" TargetMode="External"/><Relationship Id="rId50" Type="http://schemas.openxmlformats.org/officeDocument/2006/relationships/hyperlink" Target="https://slovenia2030.si/prvo-porocanje-slovenije-2017/" TargetMode="External"/><Relationship Id="rId55" Type="http://schemas.openxmlformats.org/officeDocument/2006/relationships/hyperlink" Target="https://www.gov.si/zbirke/projekti-in-programi/nacrt-za-okrevanje-in-odpornost/" TargetMode="External"/><Relationship Id="rId76" Type="http://schemas.openxmlformats.org/officeDocument/2006/relationships/hyperlink" Target="https://pisrs.si/pregledPredpisa?id=RESO80" TargetMode="External"/><Relationship Id="rId7" Type="http://schemas.openxmlformats.org/officeDocument/2006/relationships/hyperlink" Target="https://www.sloga-platform.org/wp-content/uploads/2020/12/20201031-Spodbujanje-skladnosti-politik-za-razvoj-ECDPM-prevod-FINAL.pdf" TargetMode="External"/><Relationship Id="rId71" Type="http://schemas.openxmlformats.org/officeDocument/2006/relationships/hyperlink" Target="https://www.energetika-portal.si/dokumenti/strateski-razvojni-dokumenti/nacionalni-energetski-in-podnebni-nacrt-202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R/ecQnwHYqIt1uXBQx5DZ0Fg==">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4B160D-88A7-438D-BE0E-68052863C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13565</Words>
  <Characters>85784</Characters>
  <Application>Microsoft Office Word</Application>
  <DocSecurity>0</DocSecurity>
  <Lines>714</Lines>
  <Paragraphs>198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Maja Ladič</dc:creator>
  <cp:lastModifiedBy>Ela Brglez</cp:lastModifiedBy>
  <cp:revision>2</cp:revision>
  <dcterms:created xsi:type="dcterms:W3CDTF">2026-02-18T14:14:00Z</dcterms:created>
  <dcterms:modified xsi:type="dcterms:W3CDTF">2026-02-18T14:14:00Z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2420b495-9ef7-4a98-93e5-f15473eb4026</vt:lpwstr>
  </property>
</Properties>
</file>