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9B82" w14:textId="77777777" w:rsidR="00105D04" w:rsidRPr="00BC781C" w:rsidRDefault="00105D04" w:rsidP="004461CA">
      <w:pPr>
        <w:rPr>
          <w:rFonts w:eastAsia="Arial" w:cs="Times New Roman"/>
          <w:b/>
          <w:sz w:val="24"/>
          <w:szCs w:val="24"/>
        </w:rPr>
      </w:pPr>
    </w:p>
    <w:p w14:paraId="6ED6CBA0" w14:textId="77777777" w:rsidR="00105D04" w:rsidRPr="00BC781C" w:rsidRDefault="00105D04" w:rsidP="004461CA">
      <w:pPr>
        <w:rPr>
          <w:rFonts w:eastAsia="Arial" w:cs="Times New Roman"/>
          <w:b/>
          <w:sz w:val="24"/>
          <w:szCs w:val="24"/>
        </w:rPr>
      </w:pPr>
    </w:p>
    <w:p w14:paraId="414EADA4" w14:textId="77777777" w:rsidR="00105D04" w:rsidRPr="00BC781C" w:rsidRDefault="00105D04" w:rsidP="004461CA">
      <w:pPr>
        <w:rPr>
          <w:rFonts w:eastAsia="Arial" w:cs="Times New Roman"/>
          <w:b/>
          <w:sz w:val="24"/>
          <w:szCs w:val="24"/>
        </w:rPr>
      </w:pPr>
    </w:p>
    <w:p w14:paraId="02683171" w14:textId="77777777" w:rsidR="00105D04" w:rsidRPr="00BC781C" w:rsidRDefault="00105D04" w:rsidP="004461CA">
      <w:pPr>
        <w:rPr>
          <w:rFonts w:eastAsia="Arial" w:cs="Times New Roman"/>
          <w:b/>
          <w:sz w:val="24"/>
          <w:szCs w:val="24"/>
        </w:rPr>
      </w:pPr>
    </w:p>
    <w:p w14:paraId="723D6CC0" w14:textId="77777777" w:rsidR="00105D04" w:rsidRPr="00BC781C" w:rsidRDefault="00105D04" w:rsidP="004461CA">
      <w:pPr>
        <w:rPr>
          <w:rFonts w:eastAsia="Arial" w:cs="Times New Roman"/>
          <w:b/>
          <w:sz w:val="24"/>
          <w:szCs w:val="24"/>
        </w:rPr>
      </w:pPr>
    </w:p>
    <w:p w14:paraId="39820481" w14:textId="77777777" w:rsidR="00105D04" w:rsidRPr="00BC781C" w:rsidRDefault="00105D04" w:rsidP="004461CA">
      <w:pPr>
        <w:rPr>
          <w:rFonts w:eastAsia="Arial" w:cs="Times New Roman"/>
          <w:b/>
          <w:sz w:val="24"/>
          <w:szCs w:val="24"/>
        </w:rPr>
      </w:pPr>
    </w:p>
    <w:p w14:paraId="4BF391EB" w14:textId="77777777" w:rsidR="00105D04" w:rsidRPr="00BC781C" w:rsidRDefault="00105D04" w:rsidP="004461CA">
      <w:pPr>
        <w:rPr>
          <w:rFonts w:eastAsia="Arial" w:cs="Times New Roman"/>
          <w:b/>
          <w:sz w:val="24"/>
          <w:szCs w:val="24"/>
        </w:rPr>
      </w:pPr>
    </w:p>
    <w:p w14:paraId="5A31C208" w14:textId="77777777" w:rsidR="00105D04" w:rsidRPr="00BC781C" w:rsidRDefault="00105D04" w:rsidP="00BC781C">
      <w:pPr>
        <w:jc w:val="center"/>
        <w:rPr>
          <w:rFonts w:eastAsia="Arial" w:cs="Times New Roman"/>
          <w:b/>
          <w:sz w:val="24"/>
          <w:szCs w:val="24"/>
        </w:rPr>
      </w:pPr>
    </w:p>
    <w:p w14:paraId="41ED88B2" w14:textId="1E00E49E" w:rsidR="00105D04" w:rsidRPr="001F7530" w:rsidRDefault="00105D04" w:rsidP="00BC781C">
      <w:pPr>
        <w:jc w:val="center"/>
        <w:rPr>
          <w:rFonts w:eastAsia="Arial" w:cs="Times New Roman"/>
          <w:b/>
          <w:sz w:val="28"/>
          <w:szCs w:val="28"/>
        </w:rPr>
      </w:pPr>
      <w:r w:rsidRPr="001F7530">
        <w:rPr>
          <w:rFonts w:eastAsia="Arial" w:cs="Times New Roman"/>
          <w:b/>
          <w:sz w:val="28"/>
          <w:szCs w:val="28"/>
        </w:rPr>
        <w:t xml:space="preserve">Analiza izvajanja načela skladnosti politik za </w:t>
      </w:r>
      <w:r w:rsidR="00767B0C" w:rsidRPr="001F7530">
        <w:rPr>
          <w:rFonts w:eastAsia="Arial" w:cs="Times New Roman"/>
          <w:b/>
          <w:sz w:val="28"/>
          <w:szCs w:val="28"/>
        </w:rPr>
        <w:t xml:space="preserve">trajnostni </w:t>
      </w:r>
      <w:r w:rsidRPr="001F7530">
        <w:rPr>
          <w:rFonts w:eastAsia="Arial" w:cs="Times New Roman"/>
          <w:b/>
          <w:sz w:val="28"/>
          <w:szCs w:val="28"/>
        </w:rPr>
        <w:t>razvoj</w:t>
      </w:r>
    </w:p>
    <w:p w14:paraId="50A1DBB2" w14:textId="77777777" w:rsidR="00105D04" w:rsidRPr="001F7530" w:rsidRDefault="00105D04" w:rsidP="00BC781C">
      <w:pPr>
        <w:pBdr>
          <w:top w:val="nil"/>
          <w:left w:val="nil"/>
          <w:bottom w:val="nil"/>
          <w:right w:val="nil"/>
          <w:between w:val="nil"/>
        </w:pBdr>
        <w:shd w:val="clear" w:color="auto" w:fill="FFFFFF"/>
        <w:spacing w:before="280"/>
        <w:jc w:val="center"/>
        <w:rPr>
          <w:rFonts w:eastAsia="Arial" w:cs="Times New Roman"/>
          <w:sz w:val="28"/>
          <w:szCs w:val="28"/>
        </w:rPr>
      </w:pPr>
    </w:p>
    <w:p w14:paraId="6B46CAA2" w14:textId="67C99B5F" w:rsidR="00105D04" w:rsidRPr="00BC781C" w:rsidRDefault="00105D04" w:rsidP="00BC781C">
      <w:pPr>
        <w:pBdr>
          <w:top w:val="nil"/>
          <w:left w:val="nil"/>
          <w:bottom w:val="nil"/>
          <w:right w:val="nil"/>
          <w:between w:val="nil"/>
        </w:pBdr>
        <w:shd w:val="clear" w:color="auto" w:fill="FFFFFF"/>
        <w:spacing w:before="280"/>
        <w:jc w:val="center"/>
        <w:rPr>
          <w:rFonts w:eastAsia="Arial" w:cs="Times New Roman"/>
          <w:sz w:val="24"/>
          <w:szCs w:val="24"/>
        </w:rPr>
      </w:pPr>
      <w:r w:rsidRPr="00BC781C">
        <w:rPr>
          <w:rFonts w:eastAsia="Arial" w:cs="Times New Roman"/>
          <w:sz w:val="24"/>
          <w:szCs w:val="24"/>
        </w:rPr>
        <w:t>doc. dr. Jana Arbeiter</w:t>
      </w:r>
      <w:r w:rsidR="00BC781C">
        <w:rPr>
          <w:rFonts w:eastAsia="Arial" w:cs="Times New Roman"/>
          <w:sz w:val="24"/>
          <w:szCs w:val="24"/>
        </w:rPr>
        <w:t xml:space="preserve">, </w:t>
      </w:r>
      <w:r w:rsidRPr="00BC781C">
        <w:rPr>
          <w:rFonts w:eastAsia="Arial" w:cs="Times New Roman"/>
          <w:sz w:val="24"/>
          <w:szCs w:val="24"/>
        </w:rPr>
        <w:t xml:space="preserve">zasl. prof. dr. Maja Bučar, </w:t>
      </w:r>
      <w:r w:rsidR="00BC781C" w:rsidRPr="00BC781C">
        <w:rPr>
          <w:rFonts w:eastAsia="Arial" w:cs="Times New Roman"/>
          <w:sz w:val="24"/>
          <w:szCs w:val="24"/>
        </w:rPr>
        <w:t xml:space="preserve">dr. Ana Frank </w:t>
      </w:r>
      <w:r w:rsidR="00BC781C">
        <w:rPr>
          <w:rFonts w:eastAsia="Arial" w:cs="Times New Roman"/>
          <w:sz w:val="24"/>
          <w:szCs w:val="24"/>
        </w:rPr>
        <w:t xml:space="preserve">in </w:t>
      </w:r>
      <w:r w:rsidRPr="00BC781C">
        <w:rPr>
          <w:rFonts w:eastAsia="Arial" w:cs="Times New Roman"/>
          <w:sz w:val="24"/>
          <w:szCs w:val="24"/>
        </w:rPr>
        <w:t>dr. Maja Ladić</w:t>
      </w:r>
    </w:p>
    <w:p w14:paraId="502C0960" w14:textId="77777777" w:rsidR="00105D04" w:rsidRPr="00BC781C" w:rsidRDefault="00105D04" w:rsidP="00BC781C">
      <w:pPr>
        <w:pBdr>
          <w:top w:val="nil"/>
          <w:left w:val="nil"/>
          <w:bottom w:val="nil"/>
          <w:right w:val="nil"/>
          <w:between w:val="nil"/>
        </w:pBdr>
        <w:shd w:val="clear" w:color="auto" w:fill="FFFFFF"/>
        <w:spacing w:before="280"/>
        <w:jc w:val="center"/>
        <w:rPr>
          <w:rFonts w:eastAsia="Arial" w:cs="Times New Roman"/>
          <w:sz w:val="24"/>
          <w:szCs w:val="24"/>
        </w:rPr>
      </w:pPr>
    </w:p>
    <w:p w14:paraId="44708323" w14:textId="7E852FB7" w:rsidR="00105D04" w:rsidRPr="00BC781C" w:rsidRDefault="00105D04" w:rsidP="00BC781C">
      <w:pPr>
        <w:pBdr>
          <w:top w:val="nil"/>
          <w:left w:val="nil"/>
          <w:bottom w:val="nil"/>
          <w:right w:val="nil"/>
          <w:between w:val="nil"/>
        </w:pBdr>
        <w:shd w:val="clear" w:color="auto" w:fill="FFFFFF"/>
        <w:spacing w:before="280"/>
        <w:jc w:val="center"/>
        <w:rPr>
          <w:rFonts w:eastAsia="Arial" w:cs="Times New Roman"/>
          <w:sz w:val="24"/>
          <w:szCs w:val="24"/>
        </w:rPr>
      </w:pPr>
      <w:r w:rsidRPr="00BC781C">
        <w:rPr>
          <w:rFonts w:eastAsia="Arial" w:cs="Times New Roman"/>
          <w:sz w:val="24"/>
          <w:szCs w:val="24"/>
        </w:rPr>
        <w:t>maj 2025</w:t>
      </w:r>
    </w:p>
    <w:p w14:paraId="2B63B8B2" w14:textId="77777777" w:rsidR="00105D04" w:rsidRPr="00BC781C" w:rsidRDefault="00105D04" w:rsidP="004461CA">
      <w:pPr>
        <w:pBdr>
          <w:top w:val="nil"/>
          <w:left w:val="nil"/>
          <w:bottom w:val="nil"/>
          <w:right w:val="nil"/>
          <w:between w:val="nil"/>
        </w:pBdr>
        <w:shd w:val="clear" w:color="auto" w:fill="FFFFFF"/>
        <w:spacing w:before="280"/>
        <w:rPr>
          <w:rFonts w:eastAsia="Arial" w:cs="Times New Roman"/>
          <w:sz w:val="24"/>
          <w:szCs w:val="24"/>
        </w:rPr>
      </w:pPr>
    </w:p>
    <w:p w14:paraId="2BB15C7B" w14:textId="77777777" w:rsidR="00105D04" w:rsidRPr="00BC781C" w:rsidRDefault="00105D04" w:rsidP="004461CA">
      <w:pPr>
        <w:pBdr>
          <w:top w:val="nil"/>
          <w:left w:val="nil"/>
          <w:bottom w:val="nil"/>
          <w:right w:val="nil"/>
          <w:between w:val="nil"/>
        </w:pBdr>
        <w:shd w:val="clear" w:color="auto" w:fill="FFFFFF"/>
        <w:spacing w:before="280"/>
        <w:rPr>
          <w:rFonts w:eastAsia="Arial" w:cs="Times New Roman"/>
          <w:sz w:val="24"/>
          <w:szCs w:val="24"/>
        </w:rPr>
      </w:pPr>
    </w:p>
    <w:p w14:paraId="4E35B007" w14:textId="77777777" w:rsidR="00105D04" w:rsidRPr="00BC781C" w:rsidRDefault="00105D04" w:rsidP="004461CA">
      <w:pPr>
        <w:pBdr>
          <w:top w:val="nil"/>
          <w:left w:val="nil"/>
          <w:bottom w:val="nil"/>
          <w:right w:val="nil"/>
          <w:between w:val="nil"/>
        </w:pBdr>
        <w:shd w:val="clear" w:color="auto" w:fill="FFFFFF"/>
        <w:spacing w:before="280"/>
        <w:rPr>
          <w:rFonts w:eastAsia="Arial" w:cs="Times New Roman"/>
          <w:sz w:val="24"/>
          <w:szCs w:val="24"/>
        </w:rPr>
      </w:pPr>
    </w:p>
    <w:p w14:paraId="7CAED21C" w14:textId="77777777" w:rsidR="00105D04" w:rsidRPr="00BC781C" w:rsidRDefault="00105D04" w:rsidP="004461CA">
      <w:pPr>
        <w:pBdr>
          <w:top w:val="nil"/>
          <w:left w:val="nil"/>
          <w:bottom w:val="nil"/>
          <w:right w:val="nil"/>
          <w:between w:val="nil"/>
        </w:pBdr>
        <w:shd w:val="clear" w:color="auto" w:fill="FFFFFF"/>
        <w:spacing w:before="280"/>
        <w:rPr>
          <w:rFonts w:eastAsia="Arial" w:cs="Times New Roman"/>
          <w:sz w:val="24"/>
          <w:szCs w:val="24"/>
        </w:rPr>
      </w:pPr>
    </w:p>
    <w:p w14:paraId="59BF66A5" w14:textId="77777777" w:rsidR="00105D04" w:rsidRPr="00BC781C" w:rsidRDefault="00105D04" w:rsidP="004461CA">
      <w:pPr>
        <w:pBdr>
          <w:top w:val="nil"/>
          <w:left w:val="nil"/>
          <w:bottom w:val="nil"/>
          <w:right w:val="nil"/>
          <w:between w:val="nil"/>
        </w:pBdr>
        <w:shd w:val="clear" w:color="auto" w:fill="FFFFFF"/>
        <w:spacing w:before="280"/>
        <w:rPr>
          <w:rFonts w:eastAsia="Arial" w:cs="Times New Roman"/>
          <w:sz w:val="24"/>
          <w:szCs w:val="24"/>
        </w:rPr>
      </w:pPr>
    </w:p>
    <w:p w14:paraId="1ED1A621" w14:textId="77777777" w:rsidR="00105D04" w:rsidRPr="00BC781C" w:rsidRDefault="00105D04" w:rsidP="004461CA">
      <w:pPr>
        <w:pBdr>
          <w:top w:val="nil"/>
          <w:left w:val="nil"/>
          <w:bottom w:val="nil"/>
          <w:right w:val="nil"/>
          <w:between w:val="nil"/>
        </w:pBdr>
        <w:shd w:val="clear" w:color="auto" w:fill="FFFFFF"/>
        <w:spacing w:before="280"/>
        <w:rPr>
          <w:rFonts w:eastAsia="Arial" w:cs="Times New Roman"/>
          <w:sz w:val="24"/>
          <w:szCs w:val="24"/>
        </w:rPr>
      </w:pPr>
    </w:p>
    <w:p w14:paraId="6BDEFFD3" w14:textId="77777777" w:rsidR="00105D04" w:rsidRPr="00BC781C" w:rsidRDefault="00105D04" w:rsidP="004461CA">
      <w:pPr>
        <w:shd w:val="clear" w:color="auto" w:fill="FFFFFF"/>
        <w:spacing w:before="240" w:after="240"/>
        <w:rPr>
          <w:rFonts w:eastAsia="Arial" w:cs="Times New Roman"/>
          <w:b/>
          <w:sz w:val="24"/>
          <w:szCs w:val="24"/>
        </w:rPr>
      </w:pPr>
      <w:r w:rsidRPr="00BC781C">
        <w:rPr>
          <w:rFonts w:eastAsia="Arial" w:cs="Times New Roman"/>
          <w:sz w:val="24"/>
          <w:szCs w:val="24"/>
        </w:rPr>
        <w:t xml:space="preserve">Analiza je nastala v okviru ciljnega raziskovalnega projekta V5-2376: </w:t>
      </w:r>
      <w:r w:rsidRPr="00BC781C">
        <w:rPr>
          <w:rFonts w:eastAsia="Arial" w:cs="Times New Roman"/>
          <w:b/>
          <w:sz w:val="24"/>
          <w:szCs w:val="24"/>
        </w:rPr>
        <w:t>Skladnost politik za (trajnostni) razvoj – presoja učinkov slovenskih nacionalnih politik na države v razvoju in na trajnostni razvoj RS</w:t>
      </w:r>
    </w:p>
    <w:p w14:paraId="65093890" w14:textId="77777777" w:rsidR="00105D04" w:rsidRPr="00BC781C" w:rsidRDefault="00105D04" w:rsidP="004461CA">
      <w:pPr>
        <w:pBdr>
          <w:top w:val="nil"/>
          <w:left w:val="nil"/>
          <w:bottom w:val="nil"/>
          <w:right w:val="nil"/>
          <w:between w:val="nil"/>
        </w:pBdr>
        <w:shd w:val="clear" w:color="auto" w:fill="FFFFFF"/>
        <w:rPr>
          <w:rFonts w:eastAsia="Arial" w:cs="Times New Roman"/>
          <w:sz w:val="24"/>
          <w:szCs w:val="24"/>
        </w:rPr>
      </w:pPr>
      <w:r w:rsidRPr="00BC781C">
        <w:rPr>
          <w:rFonts w:eastAsia="Arial" w:cs="Times New Roman"/>
          <w:sz w:val="24"/>
          <w:szCs w:val="24"/>
        </w:rPr>
        <w:t>vodja projekta: doc. dr. Jana Arbeiter</w:t>
      </w:r>
    </w:p>
    <w:p w14:paraId="2DCBD058" w14:textId="72FDC457" w:rsidR="00105D04" w:rsidRPr="00BC781C" w:rsidRDefault="00105D04" w:rsidP="004461CA">
      <w:pPr>
        <w:shd w:val="clear" w:color="auto" w:fill="FFFFFF"/>
        <w:rPr>
          <w:rFonts w:eastAsia="Arial" w:cs="Times New Roman"/>
          <w:sz w:val="24"/>
          <w:szCs w:val="24"/>
        </w:rPr>
      </w:pPr>
      <w:r w:rsidRPr="00BC781C">
        <w:rPr>
          <w:rFonts w:eastAsia="Arial" w:cs="Times New Roman"/>
          <w:sz w:val="24"/>
          <w:szCs w:val="24"/>
        </w:rPr>
        <w:t>projektna skupina: doc. dr. Jana Arbeiter</w:t>
      </w:r>
      <w:r w:rsidR="00BC781C">
        <w:rPr>
          <w:rFonts w:eastAsia="Arial" w:cs="Times New Roman"/>
          <w:sz w:val="24"/>
          <w:szCs w:val="24"/>
        </w:rPr>
        <w:t xml:space="preserve"> (Fakulteta za družbene vede)</w:t>
      </w:r>
      <w:r w:rsidRPr="00BC781C">
        <w:rPr>
          <w:rFonts w:eastAsia="Arial" w:cs="Times New Roman"/>
          <w:sz w:val="24"/>
          <w:szCs w:val="24"/>
        </w:rPr>
        <w:t>, zasl. prof. dr. Maja Bučar</w:t>
      </w:r>
      <w:r w:rsidR="00BC781C">
        <w:rPr>
          <w:rFonts w:eastAsia="Arial" w:cs="Times New Roman"/>
          <w:sz w:val="24"/>
          <w:szCs w:val="24"/>
        </w:rPr>
        <w:t xml:space="preserve"> (Fakulteta za družbene vede)</w:t>
      </w:r>
      <w:r w:rsidRPr="00BC781C">
        <w:rPr>
          <w:rFonts w:eastAsia="Arial" w:cs="Times New Roman"/>
          <w:sz w:val="24"/>
          <w:szCs w:val="24"/>
        </w:rPr>
        <w:t>, dr. Ana Frank</w:t>
      </w:r>
      <w:r w:rsidR="00BC781C">
        <w:rPr>
          <w:rFonts w:eastAsia="Arial" w:cs="Times New Roman"/>
          <w:sz w:val="24"/>
          <w:szCs w:val="24"/>
        </w:rPr>
        <w:t xml:space="preserve"> (Mirovni inštitut)</w:t>
      </w:r>
      <w:r w:rsidRPr="00BC781C">
        <w:rPr>
          <w:rFonts w:eastAsia="Arial" w:cs="Times New Roman"/>
          <w:sz w:val="24"/>
          <w:szCs w:val="24"/>
        </w:rPr>
        <w:t>, dr. Maja Ladić</w:t>
      </w:r>
      <w:r w:rsidR="00BC781C">
        <w:rPr>
          <w:rFonts w:eastAsia="Arial" w:cs="Times New Roman"/>
          <w:sz w:val="24"/>
          <w:szCs w:val="24"/>
        </w:rPr>
        <w:t xml:space="preserve"> (Mirovni inštitut)s</w:t>
      </w:r>
    </w:p>
    <w:p w14:paraId="4F13012F" w14:textId="77777777" w:rsidR="00372C55" w:rsidRPr="00BC781C" w:rsidRDefault="00105D04" w:rsidP="00372C55">
      <w:pPr>
        <w:pBdr>
          <w:top w:val="nil"/>
          <w:left w:val="nil"/>
          <w:bottom w:val="nil"/>
          <w:right w:val="nil"/>
          <w:between w:val="nil"/>
        </w:pBdr>
        <w:shd w:val="clear" w:color="auto" w:fill="FFFFFF"/>
        <w:rPr>
          <w:rFonts w:eastAsia="Arial" w:cs="Times New Roman"/>
          <w:sz w:val="24"/>
          <w:szCs w:val="24"/>
        </w:rPr>
      </w:pPr>
      <w:r w:rsidRPr="00BC781C">
        <w:rPr>
          <w:rFonts w:eastAsia="Arial" w:cs="Times New Roman"/>
          <w:sz w:val="24"/>
          <w:szCs w:val="24"/>
        </w:rPr>
        <w:t>financerji: Javna agencija za znanstvenoraziskovalno in inovacijsko dejavnost Republike slovenije (ARIS) in Ministrstvo za zunanje in evropske zadeve (MZEZ)</w:t>
      </w:r>
    </w:p>
    <w:p w14:paraId="28FBAB93" w14:textId="77777777" w:rsidR="00BC781C" w:rsidRDefault="004B3420" w:rsidP="00BC781C">
      <w:pPr>
        <w:pStyle w:val="TOCHeading"/>
        <w:numPr>
          <w:ilvl w:val="0"/>
          <w:numId w:val="0"/>
        </w:numPr>
        <w:ind w:left="432" w:hanging="432"/>
        <w:rPr>
          <w:rFonts w:eastAsia="Arial" w:cs="Times New Roman"/>
          <w:bCs/>
          <w:sz w:val="24"/>
          <w:szCs w:val="24"/>
          <w:lang w:val="sl-SI"/>
        </w:rPr>
      </w:pPr>
      <w:r w:rsidRPr="00BC781C">
        <w:rPr>
          <w:rFonts w:eastAsia="Arial" w:cs="Times New Roman"/>
          <w:bCs/>
          <w:sz w:val="24"/>
          <w:szCs w:val="24"/>
          <w:lang w:val="sl-SI"/>
        </w:rPr>
        <w:br w:type="column"/>
      </w:r>
    </w:p>
    <w:sdt>
      <w:sdtPr>
        <w:rPr>
          <w:rFonts w:cs="Times New Roman"/>
          <w:sz w:val="24"/>
          <w:szCs w:val="24"/>
        </w:rPr>
        <w:id w:val="-1874983823"/>
        <w:docPartObj>
          <w:docPartGallery w:val="Table of Contents"/>
          <w:docPartUnique/>
        </w:docPartObj>
      </w:sdtPr>
      <w:sdtEndPr>
        <w:rPr>
          <w:b/>
          <w:bCs/>
          <w:noProof/>
        </w:rPr>
      </w:sdtEndPr>
      <w:sdtContent>
        <w:p w14:paraId="545F2358" w14:textId="6A21AD21" w:rsidR="00BC781C" w:rsidRPr="00BC781C" w:rsidRDefault="00BC781C" w:rsidP="00BC781C">
          <w:pPr>
            <w:jc w:val="left"/>
            <w:rPr>
              <w:rFonts w:cs="Times New Roman"/>
              <w:sz w:val="24"/>
              <w:szCs w:val="24"/>
            </w:rPr>
          </w:pPr>
          <w:r w:rsidRPr="00BC781C">
            <w:rPr>
              <w:rFonts w:cs="Times New Roman"/>
              <w:sz w:val="24"/>
              <w:szCs w:val="24"/>
            </w:rPr>
            <w:t>Kazalo</w:t>
          </w:r>
        </w:p>
        <w:p w14:paraId="49677D5A" w14:textId="5B41266D" w:rsidR="00BC781C" w:rsidRPr="00BC781C" w:rsidRDefault="00BC781C">
          <w:pPr>
            <w:pStyle w:val="TOC1"/>
            <w:tabs>
              <w:tab w:val="left" w:pos="440"/>
              <w:tab w:val="right" w:leader="dot" w:pos="9060"/>
            </w:tabs>
            <w:rPr>
              <w:rFonts w:ascii="Times New Roman" w:eastAsiaTheme="minorEastAsia" w:hAnsi="Times New Roman" w:cs="Times New Roman"/>
              <w:b w:val="0"/>
              <w:bCs w:val="0"/>
              <w:i w:val="0"/>
              <w:iCs w:val="0"/>
              <w:noProof/>
              <w:lang w:eastAsia="en-GB"/>
            </w:rPr>
          </w:pPr>
          <w:r w:rsidRPr="00BC781C">
            <w:rPr>
              <w:rFonts w:ascii="Times New Roman" w:hAnsi="Times New Roman" w:cs="Times New Roman"/>
              <w:b w:val="0"/>
              <w:bCs w:val="0"/>
            </w:rPr>
            <w:fldChar w:fldCharType="begin"/>
          </w:r>
          <w:r w:rsidRPr="00BC781C">
            <w:rPr>
              <w:rFonts w:ascii="Times New Roman" w:hAnsi="Times New Roman" w:cs="Times New Roman"/>
            </w:rPr>
            <w:instrText xml:space="preserve"> TOC \o "1-3" \h \z \u </w:instrText>
          </w:r>
          <w:r w:rsidRPr="00BC781C">
            <w:rPr>
              <w:rFonts w:ascii="Times New Roman" w:hAnsi="Times New Roman" w:cs="Times New Roman"/>
              <w:b w:val="0"/>
              <w:bCs w:val="0"/>
            </w:rPr>
            <w:fldChar w:fldCharType="separate"/>
          </w:r>
          <w:hyperlink w:anchor="_Toc205412242" w:history="1">
            <w:r w:rsidRPr="00BC781C">
              <w:rPr>
                <w:rStyle w:val="Hyperlink"/>
                <w:rFonts w:ascii="Times New Roman" w:eastAsia="Arial" w:hAnsi="Times New Roman" w:cs="Times New Roman"/>
                <w:noProof/>
              </w:rPr>
              <w:t>1</w:t>
            </w:r>
            <w:r w:rsidRPr="00BC781C">
              <w:rPr>
                <w:rFonts w:ascii="Times New Roman" w:eastAsiaTheme="minorEastAsia" w:hAnsi="Times New Roman" w:cs="Times New Roman"/>
                <w:b w:val="0"/>
                <w:bCs w:val="0"/>
                <w:i w:val="0"/>
                <w:iCs w:val="0"/>
                <w:noProof/>
                <w:lang w:eastAsia="en-GB"/>
              </w:rPr>
              <w:tab/>
            </w:r>
            <w:r w:rsidRPr="00BC781C">
              <w:rPr>
                <w:rStyle w:val="Hyperlink"/>
                <w:rFonts w:ascii="Times New Roman" w:hAnsi="Times New Roman" w:cs="Times New Roman"/>
                <w:noProof/>
              </w:rPr>
              <w:t>Uvod</w:t>
            </w:r>
            <w:r w:rsidRPr="00BC781C">
              <w:rPr>
                <w:rFonts w:ascii="Times New Roman" w:hAnsi="Times New Roman" w:cs="Times New Roman"/>
                <w:noProof/>
                <w:webHidden/>
              </w:rPr>
              <w:tab/>
            </w:r>
            <w:r w:rsidRPr="00BC781C">
              <w:rPr>
                <w:rFonts w:ascii="Times New Roman" w:hAnsi="Times New Roman" w:cs="Times New Roman"/>
                <w:noProof/>
                <w:webHidden/>
              </w:rPr>
              <w:fldChar w:fldCharType="begin"/>
            </w:r>
            <w:r w:rsidRPr="00BC781C">
              <w:rPr>
                <w:rFonts w:ascii="Times New Roman" w:hAnsi="Times New Roman" w:cs="Times New Roman"/>
                <w:noProof/>
                <w:webHidden/>
              </w:rPr>
              <w:instrText xml:space="preserve"> PAGEREF _Toc205412242 \h </w:instrText>
            </w:r>
            <w:r w:rsidRPr="00BC781C">
              <w:rPr>
                <w:rFonts w:ascii="Times New Roman" w:hAnsi="Times New Roman" w:cs="Times New Roman"/>
                <w:noProof/>
                <w:webHidden/>
              </w:rPr>
            </w:r>
            <w:r w:rsidRPr="00BC781C">
              <w:rPr>
                <w:rFonts w:ascii="Times New Roman" w:hAnsi="Times New Roman" w:cs="Times New Roman"/>
                <w:noProof/>
                <w:webHidden/>
              </w:rPr>
              <w:fldChar w:fldCharType="separate"/>
            </w:r>
            <w:r w:rsidRPr="00BC781C">
              <w:rPr>
                <w:rFonts w:ascii="Times New Roman" w:hAnsi="Times New Roman" w:cs="Times New Roman"/>
                <w:noProof/>
                <w:webHidden/>
              </w:rPr>
              <w:t>3</w:t>
            </w:r>
            <w:r w:rsidRPr="00BC781C">
              <w:rPr>
                <w:rFonts w:ascii="Times New Roman" w:hAnsi="Times New Roman" w:cs="Times New Roman"/>
                <w:noProof/>
                <w:webHidden/>
              </w:rPr>
              <w:fldChar w:fldCharType="end"/>
            </w:r>
          </w:hyperlink>
        </w:p>
        <w:p w14:paraId="2240B08D" w14:textId="054ED58E" w:rsidR="00BC781C" w:rsidRPr="00BC781C" w:rsidRDefault="00AE0C94">
          <w:pPr>
            <w:pStyle w:val="TOC1"/>
            <w:tabs>
              <w:tab w:val="left" w:pos="440"/>
              <w:tab w:val="right" w:leader="dot" w:pos="9060"/>
            </w:tabs>
            <w:rPr>
              <w:rFonts w:ascii="Times New Roman" w:eastAsiaTheme="minorEastAsia" w:hAnsi="Times New Roman" w:cs="Times New Roman"/>
              <w:b w:val="0"/>
              <w:bCs w:val="0"/>
              <w:i w:val="0"/>
              <w:iCs w:val="0"/>
              <w:noProof/>
              <w:lang w:eastAsia="en-GB"/>
            </w:rPr>
          </w:pPr>
          <w:hyperlink w:anchor="_Toc205412243" w:history="1">
            <w:r w:rsidR="00BC781C" w:rsidRPr="00BC781C">
              <w:rPr>
                <w:rStyle w:val="Hyperlink"/>
                <w:rFonts w:ascii="Times New Roman" w:eastAsia="Arial" w:hAnsi="Times New Roman" w:cs="Times New Roman"/>
                <w:noProof/>
              </w:rPr>
              <w:t>2</w:t>
            </w:r>
            <w:r w:rsidR="00BC781C" w:rsidRPr="00BC781C">
              <w:rPr>
                <w:rFonts w:ascii="Times New Roman" w:eastAsiaTheme="minorEastAsia" w:hAnsi="Times New Roman" w:cs="Times New Roman"/>
                <w:b w:val="0"/>
                <w:bCs w:val="0"/>
                <w:i w:val="0"/>
                <w:iCs w:val="0"/>
                <w:noProof/>
                <w:lang w:eastAsia="en-GB"/>
              </w:rPr>
              <w:tab/>
            </w:r>
            <w:r w:rsidR="00BC781C" w:rsidRPr="00BC781C">
              <w:rPr>
                <w:rStyle w:val="Hyperlink"/>
                <w:rFonts w:ascii="Times New Roman" w:eastAsia="Arial" w:hAnsi="Times New Roman" w:cs="Times New Roman"/>
                <w:noProof/>
              </w:rPr>
              <w:t>Analiza slovenskih razvojnih projektov</w:t>
            </w:r>
            <w:r w:rsidR="00BC781C" w:rsidRPr="00BC781C">
              <w:rPr>
                <w:rFonts w:ascii="Times New Roman" w:hAnsi="Times New Roman" w:cs="Times New Roman"/>
                <w:noProof/>
                <w:webHidden/>
              </w:rPr>
              <w:tab/>
            </w:r>
            <w:r w:rsidR="00BC781C" w:rsidRPr="00BC781C">
              <w:rPr>
                <w:rFonts w:ascii="Times New Roman" w:hAnsi="Times New Roman" w:cs="Times New Roman"/>
                <w:noProof/>
                <w:webHidden/>
              </w:rPr>
              <w:fldChar w:fldCharType="begin"/>
            </w:r>
            <w:r w:rsidR="00BC781C" w:rsidRPr="00BC781C">
              <w:rPr>
                <w:rFonts w:ascii="Times New Roman" w:hAnsi="Times New Roman" w:cs="Times New Roman"/>
                <w:noProof/>
                <w:webHidden/>
              </w:rPr>
              <w:instrText xml:space="preserve"> PAGEREF _Toc205412243 \h </w:instrText>
            </w:r>
            <w:r w:rsidR="00BC781C" w:rsidRPr="00BC781C">
              <w:rPr>
                <w:rFonts w:ascii="Times New Roman" w:hAnsi="Times New Roman" w:cs="Times New Roman"/>
                <w:noProof/>
                <w:webHidden/>
              </w:rPr>
            </w:r>
            <w:r w:rsidR="00BC781C" w:rsidRPr="00BC781C">
              <w:rPr>
                <w:rFonts w:ascii="Times New Roman" w:hAnsi="Times New Roman" w:cs="Times New Roman"/>
                <w:noProof/>
                <w:webHidden/>
              </w:rPr>
              <w:fldChar w:fldCharType="separate"/>
            </w:r>
            <w:r w:rsidR="00BC781C" w:rsidRPr="00BC781C">
              <w:rPr>
                <w:rFonts w:ascii="Times New Roman" w:hAnsi="Times New Roman" w:cs="Times New Roman"/>
                <w:noProof/>
                <w:webHidden/>
              </w:rPr>
              <w:t>4</w:t>
            </w:r>
            <w:r w:rsidR="00BC781C" w:rsidRPr="00BC781C">
              <w:rPr>
                <w:rFonts w:ascii="Times New Roman" w:hAnsi="Times New Roman" w:cs="Times New Roman"/>
                <w:noProof/>
                <w:webHidden/>
              </w:rPr>
              <w:fldChar w:fldCharType="end"/>
            </w:r>
          </w:hyperlink>
        </w:p>
        <w:p w14:paraId="26C1D64F" w14:textId="47D46315"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44" w:history="1">
            <w:r w:rsidR="00BC781C" w:rsidRPr="00BC781C">
              <w:rPr>
                <w:rStyle w:val="Hyperlink"/>
                <w:rFonts w:ascii="Times New Roman" w:eastAsia="Arial" w:hAnsi="Times New Roman" w:cs="Times New Roman"/>
                <w:noProof/>
                <w:sz w:val="24"/>
                <w:szCs w:val="24"/>
              </w:rPr>
              <w:t>2.1</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hAnsi="Times New Roman" w:cs="Times New Roman"/>
                <w:noProof/>
                <w:sz w:val="24"/>
                <w:szCs w:val="24"/>
              </w:rPr>
              <w:t>Področje</w:t>
            </w:r>
            <w:r w:rsidR="00BC781C" w:rsidRPr="00BC781C">
              <w:rPr>
                <w:rStyle w:val="Hyperlink"/>
                <w:rFonts w:ascii="Times New Roman" w:eastAsia="Arial" w:hAnsi="Times New Roman" w:cs="Times New Roman"/>
                <w:noProof/>
                <w:sz w:val="24"/>
                <w:szCs w:val="24"/>
              </w:rPr>
              <w:t xml:space="preserve"> okolja</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_Toc205412244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4</w:t>
            </w:r>
            <w:r w:rsidR="00BC781C" w:rsidRPr="00BC781C">
              <w:rPr>
                <w:rFonts w:ascii="Times New Roman" w:hAnsi="Times New Roman" w:cs="Times New Roman"/>
                <w:noProof/>
                <w:webHidden/>
                <w:sz w:val="24"/>
                <w:szCs w:val="24"/>
              </w:rPr>
              <w:fldChar w:fldCharType="end"/>
            </w:r>
          </w:hyperlink>
        </w:p>
        <w:p w14:paraId="75475A4E" w14:textId="54F7783E"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45" w:history="1">
            <w:r w:rsidR="00BC781C" w:rsidRPr="00BC781C">
              <w:rPr>
                <w:rStyle w:val="Hyperlink"/>
                <w:rFonts w:ascii="Times New Roman" w:eastAsia="Arial" w:hAnsi="Times New Roman" w:cs="Times New Roman"/>
                <w:noProof/>
                <w:sz w:val="24"/>
                <w:szCs w:val="24"/>
              </w:rPr>
              <w:t>2.2</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 xml:space="preserve">Področje </w:t>
            </w:r>
            <w:r w:rsidR="00BC781C" w:rsidRPr="00BC781C">
              <w:rPr>
                <w:rStyle w:val="Hyperlink"/>
                <w:rFonts w:ascii="Times New Roman" w:hAnsi="Times New Roman" w:cs="Times New Roman"/>
                <w:noProof/>
                <w:sz w:val="24"/>
                <w:szCs w:val="24"/>
              </w:rPr>
              <w:t>enakosti</w:t>
            </w:r>
            <w:r w:rsidR="00BC781C" w:rsidRPr="00BC781C">
              <w:rPr>
                <w:rStyle w:val="Hyperlink"/>
                <w:rFonts w:ascii="Times New Roman" w:eastAsia="Arial" w:hAnsi="Times New Roman" w:cs="Times New Roman"/>
                <w:noProof/>
                <w:sz w:val="24"/>
                <w:szCs w:val="24"/>
              </w:rPr>
              <w:t xml:space="preserve"> spolov</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_Toc205412245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4</w:t>
            </w:r>
            <w:r w:rsidR="00BC781C" w:rsidRPr="00BC781C">
              <w:rPr>
                <w:rFonts w:ascii="Times New Roman" w:hAnsi="Times New Roman" w:cs="Times New Roman"/>
                <w:noProof/>
                <w:webHidden/>
                <w:sz w:val="24"/>
                <w:szCs w:val="24"/>
              </w:rPr>
              <w:fldChar w:fldCharType="end"/>
            </w:r>
          </w:hyperlink>
        </w:p>
        <w:p w14:paraId="4D6058B9" w14:textId="70C699A4"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46" w:history="1">
            <w:r w:rsidR="00BC781C" w:rsidRPr="00BC781C">
              <w:rPr>
                <w:rStyle w:val="Hyperlink"/>
                <w:rFonts w:ascii="Times New Roman" w:hAnsi="Times New Roman" w:cs="Times New Roman"/>
                <w:noProof/>
                <w:sz w:val="24"/>
                <w:szCs w:val="24"/>
              </w:rPr>
              <w:t>2.3</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hAnsi="Times New Roman" w:cs="Times New Roman"/>
                <w:noProof/>
                <w:sz w:val="24"/>
                <w:szCs w:val="24"/>
              </w:rPr>
              <w:t>Področje migracij</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_Toc205412246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5</w:t>
            </w:r>
            <w:r w:rsidR="00BC781C" w:rsidRPr="00BC781C">
              <w:rPr>
                <w:rFonts w:ascii="Times New Roman" w:hAnsi="Times New Roman" w:cs="Times New Roman"/>
                <w:noProof/>
                <w:webHidden/>
                <w:sz w:val="24"/>
                <w:szCs w:val="24"/>
              </w:rPr>
              <w:fldChar w:fldCharType="end"/>
            </w:r>
          </w:hyperlink>
        </w:p>
        <w:p w14:paraId="04388AC0" w14:textId="44DB5663"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47" w:history="1">
            <w:r w:rsidR="00BC781C" w:rsidRPr="00BC781C">
              <w:rPr>
                <w:rStyle w:val="Hyperlink"/>
                <w:rFonts w:ascii="Times New Roman" w:eastAsia="Arial" w:hAnsi="Times New Roman" w:cs="Times New Roman"/>
                <w:noProof/>
                <w:sz w:val="24"/>
                <w:szCs w:val="24"/>
              </w:rPr>
              <w:t>2.4</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Sklepna ocena</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_Toc205412247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5</w:t>
            </w:r>
            <w:r w:rsidR="00BC781C" w:rsidRPr="00BC781C">
              <w:rPr>
                <w:rFonts w:ascii="Times New Roman" w:hAnsi="Times New Roman" w:cs="Times New Roman"/>
                <w:noProof/>
                <w:webHidden/>
                <w:sz w:val="24"/>
                <w:szCs w:val="24"/>
              </w:rPr>
              <w:fldChar w:fldCharType="end"/>
            </w:r>
          </w:hyperlink>
        </w:p>
        <w:p w14:paraId="082F9D8D" w14:textId="51F7CBB4" w:rsidR="00BC781C" w:rsidRPr="00BC781C" w:rsidRDefault="00AE0C94">
          <w:pPr>
            <w:pStyle w:val="TOC1"/>
            <w:tabs>
              <w:tab w:val="left" w:pos="440"/>
              <w:tab w:val="right" w:leader="dot" w:pos="9060"/>
            </w:tabs>
            <w:rPr>
              <w:rFonts w:ascii="Times New Roman" w:eastAsiaTheme="minorEastAsia" w:hAnsi="Times New Roman" w:cs="Times New Roman"/>
              <w:b w:val="0"/>
              <w:bCs w:val="0"/>
              <w:i w:val="0"/>
              <w:iCs w:val="0"/>
              <w:noProof/>
              <w:lang w:eastAsia="en-GB"/>
            </w:rPr>
          </w:pPr>
          <w:hyperlink w:anchor="_Toc205412248" w:history="1">
            <w:r w:rsidR="00BC781C" w:rsidRPr="00BC781C">
              <w:rPr>
                <w:rStyle w:val="Hyperlink"/>
                <w:rFonts w:ascii="Times New Roman" w:eastAsia="Arial" w:hAnsi="Times New Roman" w:cs="Times New Roman"/>
                <w:noProof/>
              </w:rPr>
              <w:t>3</w:t>
            </w:r>
            <w:r w:rsidR="00BC781C" w:rsidRPr="00BC781C">
              <w:rPr>
                <w:rFonts w:ascii="Times New Roman" w:eastAsiaTheme="minorEastAsia" w:hAnsi="Times New Roman" w:cs="Times New Roman"/>
                <w:b w:val="0"/>
                <w:bCs w:val="0"/>
                <w:i w:val="0"/>
                <w:iCs w:val="0"/>
                <w:noProof/>
                <w:lang w:eastAsia="en-GB"/>
              </w:rPr>
              <w:tab/>
            </w:r>
            <w:r w:rsidR="00BC781C" w:rsidRPr="00BC781C">
              <w:rPr>
                <w:rStyle w:val="Hyperlink"/>
                <w:rFonts w:ascii="Times New Roman" w:eastAsia="Arial" w:hAnsi="Times New Roman" w:cs="Times New Roman"/>
                <w:noProof/>
              </w:rPr>
              <w:t>OECD analiza uresničevanja skladnosti politik za razvoj in skladnosti politik za trajnostni razvoj ter primeri dobrih praks</w:t>
            </w:r>
            <w:r w:rsidR="00BC781C" w:rsidRPr="00BC781C">
              <w:rPr>
                <w:rFonts w:ascii="Times New Roman" w:hAnsi="Times New Roman" w:cs="Times New Roman"/>
                <w:noProof/>
                <w:webHidden/>
              </w:rPr>
              <w:tab/>
            </w:r>
            <w:r w:rsidR="00BC781C" w:rsidRPr="00BC781C">
              <w:rPr>
                <w:rFonts w:ascii="Times New Roman" w:hAnsi="Times New Roman" w:cs="Times New Roman"/>
                <w:noProof/>
                <w:webHidden/>
              </w:rPr>
              <w:fldChar w:fldCharType="begin"/>
            </w:r>
            <w:r w:rsidR="00BC781C" w:rsidRPr="00BC781C">
              <w:rPr>
                <w:rFonts w:ascii="Times New Roman" w:hAnsi="Times New Roman" w:cs="Times New Roman"/>
                <w:noProof/>
                <w:webHidden/>
              </w:rPr>
              <w:instrText xml:space="preserve"> PAGEREF _Toc205412248 \h </w:instrText>
            </w:r>
            <w:r w:rsidR="00BC781C" w:rsidRPr="00BC781C">
              <w:rPr>
                <w:rFonts w:ascii="Times New Roman" w:hAnsi="Times New Roman" w:cs="Times New Roman"/>
                <w:noProof/>
                <w:webHidden/>
              </w:rPr>
            </w:r>
            <w:r w:rsidR="00BC781C" w:rsidRPr="00BC781C">
              <w:rPr>
                <w:rFonts w:ascii="Times New Roman" w:hAnsi="Times New Roman" w:cs="Times New Roman"/>
                <w:noProof/>
                <w:webHidden/>
              </w:rPr>
              <w:fldChar w:fldCharType="separate"/>
            </w:r>
            <w:r w:rsidR="00BC781C" w:rsidRPr="00BC781C">
              <w:rPr>
                <w:rFonts w:ascii="Times New Roman" w:hAnsi="Times New Roman" w:cs="Times New Roman"/>
                <w:noProof/>
                <w:webHidden/>
              </w:rPr>
              <w:t>7</w:t>
            </w:r>
            <w:r w:rsidR="00BC781C" w:rsidRPr="00BC781C">
              <w:rPr>
                <w:rFonts w:ascii="Times New Roman" w:hAnsi="Times New Roman" w:cs="Times New Roman"/>
                <w:noProof/>
                <w:webHidden/>
              </w:rPr>
              <w:fldChar w:fldCharType="end"/>
            </w:r>
          </w:hyperlink>
        </w:p>
        <w:p w14:paraId="25BBEDBC" w14:textId="13B7999E"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49" w:history="1">
            <w:r w:rsidR="00BC781C" w:rsidRPr="00BC781C">
              <w:rPr>
                <w:rStyle w:val="Hyperlink"/>
                <w:rFonts w:ascii="Times New Roman" w:eastAsia="Arial" w:hAnsi="Times New Roman" w:cs="Times New Roman"/>
                <w:noProof/>
                <w:sz w:val="24"/>
                <w:szCs w:val="24"/>
              </w:rPr>
              <w:t>3.1</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Pregled ugotovitev OECD analize</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_Toc205412249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7</w:t>
            </w:r>
            <w:r w:rsidR="00BC781C" w:rsidRPr="00BC781C">
              <w:rPr>
                <w:rFonts w:ascii="Times New Roman" w:hAnsi="Times New Roman" w:cs="Times New Roman"/>
                <w:noProof/>
                <w:webHidden/>
                <w:sz w:val="24"/>
                <w:szCs w:val="24"/>
              </w:rPr>
              <w:fldChar w:fldCharType="end"/>
            </w:r>
          </w:hyperlink>
        </w:p>
        <w:p w14:paraId="359C1206" w14:textId="3A43CFD1"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50" w:history="1">
            <w:r w:rsidR="00BC781C" w:rsidRPr="00BC781C">
              <w:rPr>
                <w:rStyle w:val="Hyperlink"/>
                <w:rFonts w:ascii="Times New Roman" w:eastAsia="Arial" w:hAnsi="Times New Roman" w:cs="Times New Roman"/>
                <w:noProof/>
                <w:sz w:val="24"/>
                <w:szCs w:val="24"/>
              </w:rPr>
              <w:t>3.2</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Sklepna ocena ugotovitev OECD analize</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_Toc205412250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12</w:t>
            </w:r>
            <w:r w:rsidR="00BC781C" w:rsidRPr="00BC781C">
              <w:rPr>
                <w:rFonts w:ascii="Times New Roman" w:hAnsi="Times New Roman" w:cs="Times New Roman"/>
                <w:noProof/>
                <w:webHidden/>
                <w:sz w:val="24"/>
                <w:szCs w:val="24"/>
              </w:rPr>
              <w:fldChar w:fldCharType="end"/>
            </w:r>
          </w:hyperlink>
        </w:p>
        <w:p w14:paraId="3F6C4A05" w14:textId="652EF209"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51" w:history="1">
            <w:r w:rsidR="00BC781C" w:rsidRPr="00BC781C">
              <w:rPr>
                <w:rStyle w:val="Hyperlink"/>
                <w:rFonts w:ascii="Times New Roman" w:eastAsia="Arial" w:hAnsi="Times New Roman" w:cs="Times New Roman"/>
                <w:noProof/>
                <w:sz w:val="24"/>
                <w:szCs w:val="24"/>
              </w:rPr>
              <w:t>3.3</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Primer dobrih praks: Italija in Finska</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_Toc205412251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14</w:t>
            </w:r>
            <w:r w:rsidR="00BC781C" w:rsidRPr="00BC781C">
              <w:rPr>
                <w:rFonts w:ascii="Times New Roman" w:hAnsi="Times New Roman" w:cs="Times New Roman"/>
                <w:noProof/>
                <w:webHidden/>
                <w:sz w:val="24"/>
                <w:szCs w:val="24"/>
              </w:rPr>
              <w:fldChar w:fldCharType="end"/>
            </w:r>
          </w:hyperlink>
        </w:p>
        <w:p w14:paraId="3860737D" w14:textId="11899D25" w:rsidR="00BC781C" w:rsidRPr="00BC781C" w:rsidRDefault="00AE0C94">
          <w:pPr>
            <w:pStyle w:val="TOC3"/>
            <w:tabs>
              <w:tab w:val="left" w:pos="1320"/>
              <w:tab w:val="right" w:leader="dot" w:pos="9060"/>
            </w:tabs>
            <w:rPr>
              <w:rFonts w:ascii="Times New Roman" w:eastAsiaTheme="minorEastAsia" w:hAnsi="Times New Roman" w:cs="Times New Roman"/>
              <w:noProof/>
              <w:sz w:val="24"/>
              <w:szCs w:val="24"/>
              <w:lang w:eastAsia="en-GB"/>
            </w:rPr>
          </w:pPr>
          <w:hyperlink w:anchor="_Toc205412252" w:history="1">
            <w:r w:rsidR="00BC781C" w:rsidRPr="00BC781C">
              <w:rPr>
                <w:rStyle w:val="Hyperlink"/>
                <w:rFonts w:ascii="Times New Roman" w:eastAsia="Arial" w:hAnsi="Times New Roman" w:cs="Times New Roman"/>
                <w:noProof/>
                <w:sz w:val="24"/>
                <w:szCs w:val="24"/>
              </w:rPr>
              <w:t>3.3.1</w:t>
            </w:r>
            <w:r w:rsidR="00BC781C" w:rsidRPr="00BC781C">
              <w:rPr>
                <w:rFonts w:ascii="Times New Roman" w:eastAsiaTheme="minorEastAsia" w:hAnsi="Times New Roman" w:cs="Times New Roman"/>
                <w:noProof/>
                <w:sz w:val="24"/>
                <w:szCs w:val="24"/>
                <w:lang w:eastAsia="en-GB"/>
              </w:rPr>
              <w:tab/>
            </w:r>
            <w:r w:rsidR="00BC781C" w:rsidRPr="00BC781C">
              <w:rPr>
                <w:rStyle w:val="Hyperlink"/>
                <w:rFonts w:ascii="Times New Roman" w:eastAsia="Arial" w:hAnsi="Times New Roman" w:cs="Times New Roman"/>
                <w:noProof/>
                <w:sz w:val="24"/>
                <w:szCs w:val="24"/>
              </w:rPr>
              <w:t>Italija</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_Toc205412252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14</w:t>
            </w:r>
            <w:r w:rsidR="00BC781C" w:rsidRPr="00BC781C">
              <w:rPr>
                <w:rFonts w:ascii="Times New Roman" w:hAnsi="Times New Roman" w:cs="Times New Roman"/>
                <w:noProof/>
                <w:webHidden/>
                <w:sz w:val="24"/>
                <w:szCs w:val="24"/>
              </w:rPr>
              <w:fldChar w:fldCharType="end"/>
            </w:r>
          </w:hyperlink>
        </w:p>
        <w:p w14:paraId="673B5BCC" w14:textId="276D14C2" w:rsidR="00BC781C" w:rsidRPr="00BC781C" w:rsidRDefault="00AE0C94">
          <w:pPr>
            <w:pStyle w:val="TOC3"/>
            <w:tabs>
              <w:tab w:val="left" w:pos="1320"/>
              <w:tab w:val="right" w:leader="dot" w:pos="9060"/>
            </w:tabs>
            <w:rPr>
              <w:rFonts w:ascii="Times New Roman" w:eastAsiaTheme="minorEastAsia" w:hAnsi="Times New Roman" w:cs="Times New Roman"/>
              <w:noProof/>
              <w:sz w:val="24"/>
              <w:szCs w:val="24"/>
              <w:lang w:eastAsia="en-GB"/>
            </w:rPr>
          </w:pPr>
          <w:hyperlink w:anchor="_Toc205412253" w:history="1">
            <w:r w:rsidR="00BC781C" w:rsidRPr="00BC781C">
              <w:rPr>
                <w:rStyle w:val="Hyperlink"/>
                <w:rFonts w:ascii="Times New Roman" w:eastAsia="Arial" w:hAnsi="Times New Roman" w:cs="Times New Roman"/>
                <w:noProof/>
                <w:sz w:val="24"/>
                <w:szCs w:val="24"/>
              </w:rPr>
              <w:t>3.3.2</w:t>
            </w:r>
            <w:r w:rsidR="00BC781C" w:rsidRPr="00BC781C">
              <w:rPr>
                <w:rFonts w:ascii="Times New Roman" w:eastAsiaTheme="minorEastAsia" w:hAnsi="Times New Roman" w:cs="Times New Roman"/>
                <w:noProof/>
                <w:sz w:val="24"/>
                <w:szCs w:val="24"/>
                <w:lang w:eastAsia="en-GB"/>
              </w:rPr>
              <w:tab/>
            </w:r>
            <w:r w:rsidR="00BC781C" w:rsidRPr="00BC781C">
              <w:rPr>
                <w:rStyle w:val="Hyperlink"/>
                <w:rFonts w:ascii="Times New Roman" w:eastAsia="Arial" w:hAnsi="Times New Roman" w:cs="Times New Roman"/>
                <w:noProof/>
                <w:sz w:val="24"/>
                <w:szCs w:val="24"/>
              </w:rPr>
              <w:t>Finska</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_Toc205412253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20</w:t>
            </w:r>
            <w:r w:rsidR="00BC781C" w:rsidRPr="00BC781C">
              <w:rPr>
                <w:rFonts w:ascii="Times New Roman" w:hAnsi="Times New Roman" w:cs="Times New Roman"/>
                <w:noProof/>
                <w:webHidden/>
                <w:sz w:val="24"/>
                <w:szCs w:val="24"/>
              </w:rPr>
              <w:fldChar w:fldCharType="end"/>
            </w:r>
          </w:hyperlink>
        </w:p>
        <w:p w14:paraId="6B3D95B2" w14:textId="1700AB39" w:rsidR="00BC781C" w:rsidRPr="00BC781C" w:rsidRDefault="00AE0C94">
          <w:pPr>
            <w:pStyle w:val="TOC1"/>
            <w:tabs>
              <w:tab w:val="left" w:pos="440"/>
              <w:tab w:val="right" w:leader="dot" w:pos="9060"/>
            </w:tabs>
            <w:rPr>
              <w:rFonts w:ascii="Times New Roman" w:eastAsiaTheme="minorEastAsia" w:hAnsi="Times New Roman" w:cs="Times New Roman"/>
              <w:b w:val="0"/>
              <w:bCs w:val="0"/>
              <w:i w:val="0"/>
              <w:iCs w:val="0"/>
              <w:noProof/>
              <w:lang w:eastAsia="en-GB"/>
            </w:rPr>
          </w:pPr>
          <w:hyperlink w:anchor="_Toc205412254" w:history="1">
            <w:r w:rsidR="00BC781C" w:rsidRPr="00BC781C">
              <w:rPr>
                <w:rStyle w:val="Hyperlink"/>
                <w:rFonts w:ascii="Times New Roman" w:eastAsia="Arial" w:hAnsi="Times New Roman" w:cs="Times New Roman"/>
                <w:noProof/>
              </w:rPr>
              <w:t>4</w:t>
            </w:r>
            <w:r w:rsidR="00BC781C" w:rsidRPr="00BC781C">
              <w:rPr>
                <w:rFonts w:ascii="Times New Roman" w:eastAsiaTheme="minorEastAsia" w:hAnsi="Times New Roman" w:cs="Times New Roman"/>
                <w:b w:val="0"/>
                <w:bCs w:val="0"/>
                <w:i w:val="0"/>
                <w:iCs w:val="0"/>
                <w:noProof/>
                <w:lang w:eastAsia="en-GB"/>
              </w:rPr>
              <w:tab/>
            </w:r>
            <w:r w:rsidR="00BC781C" w:rsidRPr="00BC781C">
              <w:rPr>
                <w:rStyle w:val="Hyperlink"/>
                <w:rFonts w:ascii="Times New Roman" w:eastAsia="Arial" w:hAnsi="Times New Roman" w:cs="Times New Roman"/>
                <w:noProof/>
              </w:rPr>
              <w:t>Predlog oblikovanja slovenske politike na področju izvajanja načela skladnosti politik za razvoj in skladnosti politik za trajnostni razvoj</w:t>
            </w:r>
            <w:r w:rsidR="00BC781C" w:rsidRPr="00BC781C">
              <w:rPr>
                <w:rFonts w:ascii="Times New Roman" w:hAnsi="Times New Roman" w:cs="Times New Roman"/>
                <w:noProof/>
                <w:webHidden/>
              </w:rPr>
              <w:tab/>
            </w:r>
            <w:r w:rsidR="00BC781C" w:rsidRPr="00BC781C">
              <w:rPr>
                <w:rFonts w:ascii="Times New Roman" w:hAnsi="Times New Roman" w:cs="Times New Roman"/>
                <w:noProof/>
                <w:webHidden/>
              </w:rPr>
              <w:fldChar w:fldCharType="begin"/>
            </w:r>
            <w:r w:rsidR="00BC781C" w:rsidRPr="00BC781C">
              <w:rPr>
                <w:rFonts w:ascii="Times New Roman" w:hAnsi="Times New Roman" w:cs="Times New Roman"/>
                <w:noProof/>
                <w:webHidden/>
              </w:rPr>
              <w:instrText xml:space="preserve"> PAGEREF _Toc205412254 \h </w:instrText>
            </w:r>
            <w:r w:rsidR="00BC781C" w:rsidRPr="00BC781C">
              <w:rPr>
                <w:rFonts w:ascii="Times New Roman" w:hAnsi="Times New Roman" w:cs="Times New Roman"/>
                <w:noProof/>
                <w:webHidden/>
              </w:rPr>
            </w:r>
            <w:r w:rsidR="00BC781C" w:rsidRPr="00BC781C">
              <w:rPr>
                <w:rFonts w:ascii="Times New Roman" w:hAnsi="Times New Roman" w:cs="Times New Roman"/>
                <w:noProof/>
                <w:webHidden/>
              </w:rPr>
              <w:fldChar w:fldCharType="separate"/>
            </w:r>
            <w:r w:rsidR="00BC781C" w:rsidRPr="00BC781C">
              <w:rPr>
                <w:rFonts w:ascii="Times New Roman" w:hAnsi="Times New Roman" w:cs="Times New Roman"/>
                <w:noProof/>
                <w:webHidden/>
              </w:rPr>
              <w:t>21</w:t>
            </w:r>
            <w:r w:rsidR="00BC781C" w:rsidRPr="00BC781C">
              <w:rPr>
                <w:rFonts w:ascii="Times New Roman" w:hAnsi="Times New Roman" w:cs="Times New Roman"/>
                <w:noProof/>
                <w:webHidden/>
              </w:rPr>
              <w:fldChar w:fldCharType="end"/>
            </w:r>
          </w:hyperlink>
        </w:p>
        <w:p w14:paraId="34A4BFC8" w14:textId="5447FD7D"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55" w:history="1">
            <w:r w:rsidR="00BC781C" w:rsidRPr="00BC781C">
              <w:rPr>
                <w:rStyle w:val="Hyperlink"/>
                <w:rFonts w:ascii="Times New Roman" w:eastAsia="Arial" w:hAnsi="Times New Roman" w:cs="Times New Roman"/>
                <w:noProof/>
                <w:sz w:val="24"/>
                <w:szCs w:val="24"/>
              </w:rPr>
              <w:t>4.1</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Analiza Slovenije na podlagi Priporočil OECD</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_Toc205412255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22</w:t>
            </w:r>
            <w:r w:rsidR="00BC781C" w:rsidRPr="00BC781C">
              <w:rPr>
                <w:rFonts w:ascii="Times New Roman" w:hAnsi="Times New Roman" w:cs="Times New Roman"/>
                <w:noProof/>
                <w:webHidden/>
                <w:sz w:val="24"/>
                <w:szCs w:val="24"/>
              </w:rPr>
              <w:fldChar w:fldCharType="end"/>
            </w:r>
          </w:hyperlink>
        </w:p>
        <w:p w14:paraId="2F5E27B6" w14:textId="344A229A"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56" w:history="1">
            <w:r w:rsidR="00BC781C" w:rsidRPr="00BC781C">
              <w:rPr>
                <w:rStyle w:val="Hyperlink"/>
                <w:rFonts w:ascii="Times New Roman" w:eastAsia="Arial" w:hAnsi="Times New Roman" w:cs="Times New Roman"/>
                <w:noProof/>
                <w:sz w:val="24"/>
                <w:szCs w:val="24"/>
              </w:rPr>
              <w:t>4.2</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Kratkoročni ukrepi</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_Toc205412256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25</w:t>
            </w:r>
            <w:r w:rsidR="00BC781C" w:rsidRPr="00BC781C">
              <w:rPr>
                <w:rFonts w:ascii="Times New Roman" w:hAnsi="Times New Roman" w:cs="Times New Roman"/>
                <w:noProof/>
                <w:webHidden/>
                <w:sz w:val="24"/>
                <w:szCs w:val="24"/>
              </w:rPr>
              <w:fldChar w:fldCharType="end"/>
            </w:r>
          </w:hyperlink>
        </w:p>
        <w:p w14:paraId="4A26329B" w14:textId="4895ACFB" w:rsidR="00BC781C" w:rsidRPr="00BC781C" w:rsidRDefault="00AE0C94">
          <w:pPr>
            <w:pStyle w:val="TOC2"/>
            <w:tabs>
              <w:tab w:val="left" w:pos="880"/>
              <w:tab w:val="right" w:leader="dot" w:pos="9060"/>
            </w:tabs>
            <w:rPr>
              <w:rFonts w:ascii="Times New Roman" w:eastAsiaTheme="minorEastAsia" w:hAnsi="Times New Roman" w:cs="Times New Roman"/>
              <w:b w:val="0"/>
              <w:bCs w:val="0"/>
              <w:noProof/>
              <w:sz w:val="24"/>
              <w:szCs w:val="24"/>
              <w:lang w:eastAsia="en-GB"/>
            </w:rPr>
          </w:pPr>
          <w:hyperlink w:anchor="_Toc205412257" w:history="1">
            <w:r w:rsidR="00BC781C" w:rsidRPr="00BC781C">
              <w:rPr>
                <w:rStyle w:val="Hyperlink"/>
                <w:rFonts w:ascii="Times New Roman" w:eastAsia="Arial" w:hAnsi="Times New Roman" w:cs="Times New Roman"/>
                <w:noProof/>
                <w:sz w:val="24"/>
                <w:szCs w:val="24"/>
              </w:rPr>
              <w:t>4.3</w:t>
            </w:r>
            <w:r w:rsidR="00BC781C" w:rsidRPr="00BC781C">
              <w:rPr>
                <w:rFonts w:ascii="Times New Roman" w:eastAsiaTheme="minorEastAsia" w:hAnsi="Times New Roman" w:cs="Times New Roman"/>
                <w:b w:val="0"/>
                <w:bCs w:val="0"/>
                <w:noProof/>
                <w:sz w:val="24"/>
                <w:szCs w:val="24"/>
                <w:lang w:eastAsia="en-GB"/>
              </w:rPr>
              <w:tab/>
            </w:r>
            <w:r w:rsidR="00BC781C" w:rsidRPr="00BC781C">
              <w:rPr>
                <w:rStyle w:val="Hyperlink"/>
                <w:rFonts w:ascii="Times New Roman" w:eastAsia="Arial" w:hAnsi="Times New Roman" w:cs="Times New Roman"/>
                <w:noProof/>
                <w:sz w:val="24"/>
                <w:szCs w:val="24"/>
              </w:rPr>
              <w:t>Dolgoročne aktivnosti</w:t>
            </w:r>
            <w:r w:rsidR="00BC781C" w:rsidRPr="00BC781C">
              <w:rPr>
                <w:rFonts w:ascii="Times New Roman" w:hAnsi="Times New Roman" w:cs="Times New Roman"/>
                <w:noProof/>
                <w:webHidden/>
                <w:sz w:val="24"/>
                <w:szCs w:val="24"/>
              </w:rPr>
              <w:tab/>
            </w:r>
            <w:r w:rsidR="00BC781C" w:rsidRPr="00BC781C">
              <w:rPr>
                <w:rFonts w:ascii="Times New Roman" w:hAnsi="Times New Roman" w:cs="Times New Roman"/>
                <w:noProof/>
                <w:webHidden/>
                <w:sz w:val="24"/>
                <w:szCs w:val="24"/>
              </w:rPr>
              <w:fldChar w:fldCharType="begin"/>
            </w:r>
            <w:r w:rsidR="00BC781C" w:rsidRPr="00BC781C">
              <w:rPr>
                <w:rFonts w:ascii="Times New Roman" w:hAnsi="Times New Roman" w:cs="Times New Roman"/>
                <w:noProof/>
                <w:webHidden/>
                <w:sz w:val="24"/>
                <w:szCs w:val="24"/>
              </w:rPr>
              <w:instrText xml:space="preserve"> PAGEREF _Toc205412257 \h </w:instrText>
            </w:r>
            <w:r w:rsidR="00BC781C" w:rsidRPr="00BC781C">
              <w:rPr>
                <w:rFonts w:ascii="Times New Roman" w:hAnsi="Times New Roman" w:cs="Times New Roman"/>
                <w:noProof/>
                <w:webHidden/>
                <w:sz w:val="24"/>
                <w:szCs w:val="24"/>
              </w:rPr>
            </w:r>
            <w:r w:rsidR="00BC781C" w:rsidRPr="00BC781C">
              <w:rPr>
                <w:rFonts w:ascii="Times New Roman" w:hAnsi="Times New Roman" w:cs="Times New Roman"/>
                <w:noProof/>
                <w:webHidden/>
                <w:sz w:val="24"/>
                <w:szCs w:val="24"/>
              </w:rPr>
              <w:fldChar w:fldCharType="separate"/>
            </w:r>
            <w:r w:rsidR="00BC781C" w:rsidRPr="00BC781C">
              <w:rPr>
                <w:rFonts w:ascii="Times New Roman" w:hAnsi="Times New Roman" w:cs="Times New Roman"/>
                <w:noProof/>
                <w:webHidden/>
                <w:sz w:val="24"/>
                <w:szCs w:val="24"/>
              </w:rPr>
              <w:t>26</w:t>
            </w:r>
            <w:r w:rsidR="00BC781C" w:rsidRPr="00BC781C">
              <w:rPr>
                <w:rFonts w:ascii="Times New Roman" w:hAnsi="Times New Roman" w:cs="Times New Roman"/>
                <w:noProof/>
                <w:webHidden/>
                <w:sz w:val="24"/>
                <w:szCs w:val="24"/>
              </w:rPr>
              <w:fldChar w:fldCharType="end"/>
            </w:r>
          </w:hyperlink>
        </w:p>
        <w:p w14:paraId="60DBDA35" w14:textId="367034B5" w:rsidR="00BC781C" w:rsidRPr="00BC781C" w:rsidRDefault="00BC781C">
          <w:pPr>
            <w:rPr>
              <w:rFonts w:cs="Times New Roman"/>
              <w:sz w:val="24"/>
              <w:szCs w:val="24"/>
            </w:rPr>
          </w:pPr>
          <w:r w:rsidRPr="00BC781C">
            <w:rPr>
              <w:rFonts w:cs="Times New Roman"/>
              <w:b/>
              <w:bCs/>
              <w:noProof/>
              <w:sz w:val="24"/>
              <w:szCs w:val="24"/>
            </w:rPr>
            <w:fldChar w:fldCharType="end"/>
          </w:r>
        </w:p>
      </w:sdtContent>
    </w:sdt>
    <w:p w14:paraId="159A11B4" w14:textId="7E7A997C" w:rsidR="00BC781C" w:rsidRDefault="00BC781C">
      <w:pPr>
        <w:jc w:val="left"/>
        <w:rPr>
          <w:rFonts w:eastAsia="Arial" w:cs="Times New Roman"/>
          <w:b/>
          <w:bCs/>
          <w:sz w:val="24"/>
          <w:szCs w:val="24"/>
        </w:rPr>
      </w:pPr>
      <w:r>
        <w:rPr>
          <w:rFonts w:eastAsia="Arial" w:cs="Times New Roman"/>
          <w:b/>
          <w:bCs/>
          <w:sz w:val="24"/>
          <w:szCs w:val="24"/>
        </w:rPr>
        <w:br w:type="page"/>
      </w:r>
    </w:p>
    <w:p w14:paraId="5CFF5751" w14:textId="41CDF76E" w:rsidR="00532716" w:rsidRPr="00BC781C" w:rsidRDefault="00532716" w:rsidP="00BC781C">
      <w:pPr>
        <w:pStyle w:val="Heading1"/>
        <w:rPr>
          <w:rFonts w:eastAsia="Arial"/>
        </w:rPr>
      </w:pPr>
      <w:bookmarkStart w:id="0" w:name="_Toc205412242"/>
      <w:r w:rsidRPr="00BC781C">
        <w:lastRenderedPageBreak/>
        <w:t>Uvod</w:t>
      </w:r>
      <w:bookmarkEnd w:id="0"/>
    </w:p>
    <w:p w14:paraId="221869D6" w14:textId="0238BFDD" w:rsidR="004B3420" w:rsidRPr="00BC781C" w:rsidRDefault="00AA6F6B"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Rezultat prve faze raziskovalnega projekta je bil celovit pregled dokumentov in strokovnih člankov, ki obravnavajo načelo </w:t>
      </w:r>
      <w:r w:rsidR="0010162C" w:rsidRPr="00BC781C">
        <w:rPr>
          <w:rFonts w:eastAsia="Arial" w:cs="Times New Roman"/>
          <w:sz w:val="24"/>
          <w:szCs w:val="24"/>
        </w:rPr>
        <w:t>skladnosti politik</w:t>
      </w:r>
      <w:r w:rsidR="001C728B" w:rsidRPr="00BC781C">
        <w:rPr>
          <w:rFonts w:eastAsia="Arial" w:cs="Times New Roman"/>
          <w:sz w:val="24"/>
          <w:szCs w:val="24"/>
        </w:rPr>
        <w:t xml:space="preserve"> za razvoj (</w:t>
      </w:r>
      <w:r w:rsidRPr="00BC781C">
        <w:rPr>
          <w:rFonts w:eastAsia="Arial" w:cs="Times New Roman"/>
          <w:sz w:val="24"/>
          <w:szCs w:val="24"/>
        </w:rPr>
        <w:t>SPR</w:t>
      </w:r>
      <w:r w:rsidR="001C728B" w:rsidRPr="00BC781C">
        <w:rPr>
          <w:rFonts w:eastAsia="Arial" w:cs="Times New Roman"/>
          <w:sz w:val="24"/>
          <w:szCs w:val="24"/>
        </w:rPr>
        <w:t>)</w:t>
      </w:r>
      <w:r w:rsidRPr="00BC781C">
        <w:rPr>
          <w:rFonts w:eastAsia="Arial" w:cs="Times New Roman"/>
          <w:sz w:val="24"/>
          <w:szCs w:val="24"/>
        </w:rPr>
        <w:t xml:space="preserve"> in </w:t>
      </w:r>
      <w:r w:rsidR="001C728B" w:rsidRPr="00BC781C">
        <w:rPr>
          <w:rFonts w:eastAsia="Arial" w:cs="Times New Roman"/>
          <w:sz w:val="24"/>
          <w:szCs w:val="24"/>
        </w:rPr>
        <w:t>skladnosti politik za trajnostni razvoj (</w:t>
      </w:r>
      <w:r w:rsidRPr="00BC781C">
        <w:rPr>
          <w:rFonts w:eastAsia="Arial" w:cs="Times New Roman"/>
          <w:sz w:val="24"/>
          <w:szCs w:val="24"/>
        </w:rPr>
        <w:t>SP</w:t>
      </w:r>
      <w:r w:rsidR="00C70391" w:rsidRPr="00BC781C">
        <w:rPr>
          <w:rFonts w:eastAsia="Arial" w:cs="Times New Roman"/>
          <w:sz w:val="24"/>
          <w:szCs w:val="24"/>
        </w:rPr>
        <w:t>TR</w:t>
      </w:r>
      <w:r w:rsidR="001C728B" w:rsidRPr="00BC781C">
        <w:rPr>
          <w:rFonts w:eastAsia="Arial" w:cs="Times New Roman"/>
          <w:sz w:val="24"/>
          <w:szCs w:val="24"/>
        </w:rPr>
        <w:t>)</w:t>
      </w:r>
      <w:r w:rsidRPr="00BC781C">
        <w:rPr>
          <w:rFonts w:eastAsia="Arial" w:cs="Times New Roman"/>
          <w:sz w:val="24"/>
          <w:szCs w:val="24"/>
        </w:rPr>
        <w:t>. Prav tako je raziskovalna skupina analizirala izvajanje javnih politik z največjimi učinki na trajnostni razvoj in na t.</w:t>
      </w:r>
      <w:r w:rsidR="00F14B51" w:rsidRPr="00BC781C">
        <w:rPr>
          <w:rFonts w:eastAsia="Arial" w:cs="Times New Roman"/>
          <w:sz w:val="24"/>
          <w:szCs w:val="24"/>
        </w:rPr>
        <w:t xml:space="preserve"> </w:t>
      </w:r>
      <w:r w:rsidRPr="00BC781C">
        <w:rPr>
          <w:rFonts w:eastAsia="Arial" w:cs="Times New Roman"/>
          <w:sz w:val="24"/>
          <w:szCs w:val="24"/>
        </w:rPr>
        <w:t>i. države v razvoju s poudarkom na petih prioritetnih področjih.</w:t>
      </w:r>
      <w:r w:rsidR="00AD2A85" w:rsidRPr="00BC781C">
        <w:rPr>
          <w:rStyle w:val="FootnoteReference"/>
          <w:rFonts w:eastAsia="Arial" w:cs="Times New Roman"/>
          <w:sz w:val="24"/>
          <w:szCs w:val="24"/>
        </w:rPr>
        <w:footnoteReference w:id="1"/>
      </w:r>
      <w:r w:rsidRPr="00BC781C">
        <w:rPr>
          <w:rFonts w:eastAsia="Arial" w:cs="Times New Roman"/>
          <w:sz w:val="24"/>
          <w:szCs w:val="24"/>
        </w:rPr>
        <w:t xml:space="preserve"> </w:t>
      </w:r>
    </w:p>
    <w:p w14:paraId="466B0CD4" w14:textId="21E9760F" w:rsidR="00253C04" w:rsidRPr="00BC781C" w:rsidRDefault="00AA6F6B"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V nadaljevanju smo se usmerili v analizo konkretnih razvojnih projektov, ki jih je Slovenija financirala na naslednjih prednostnih področjih </w:t>
      </w:r>
      <w:r w:rsidR="00C70391" w:rsidRPr="00BC781C">
        <w:rPr>
          <w:rFonts w:eastAsia="Arial" w:cs="Times New Roman"/>
          <w:sz w:val="24"/>
          <w:szCs w:val="24"/>
        </w:rPr>
        <w:t>mednarodnega razvojnega sodelovanja (</w:t>
      </w:r>
      <w:r w:rsidR="00F14B51" w:rsidRPr="00BC781C">
        <w:rPr>
          <w:rFonts w:eastAsia="Arial" w:cs="Times New Roman"/>
          <w:sz w:val="24"/>
          <w:szCs w:val="24"/>
        </w:rPr>
        <w:t>MRS</w:t>
      </w:r>
      <w:r w:rsidR="00C70391" w:rsidRPr="00BC781C">
        <w:rPr>
          <w:rFonts w:eastAsia="Arial" w:cs="Times New Roman"/>
          <w:sz w:val="24"/>
          <w:szCs w:val="24"/>
        </w:rPr>
        <w:t>)</w:t>
      </w:r>
      <w:r w:rsidRPr="00BC781C">
        <w:rPr>
          <w:rFonts w:eastAsia="Arial" w:cs="Times New Roman"/>
          <w:sz w:val="24"/>
          <w:szCs w:val="24"/>
        </w:rPr>
        <w:t xml:space="preserve">: </w:t>
      </w:r>
    </w:p>
    <w:p w14:paraId="5FD95411" w14:textId="7B08ABC4" w:rsidR="00253C04" w:rsidRPr="00BC781C" w:rsidRDefault="00AA6F6B" w:rsidP="00F14B51">
      <w:pPr>
        <w:pStyle w:val="ListParagraph"/>
        <w:numPr>
          <w:ilvl w:val="1"/>
          <w:numId w:val="26"/>
        </w:num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spodbujanje miroljubnih in vključujočih družb, s poudarkom na upravljanju migracij, </w:t>
      </w:r>
    </w:p>
    <w:p w14:paraId="19900BB4" w14:textId="60F13897" w:rsidR="00253C04" w:rsidRPr="00BC781C" w:rsidRDefault="00AA6F6B" w:rsidP="00F14B51">
      <w:pPr>
        <w:pStyle w:val="ListParagraph"/>
        <w:numPr>
          <w:ilvl w:val="1"/>
          <w:numId w:val="26"/>
        </w:num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zagotavljanje enakih možnostih, vključno s krepitvijo položaja žensk, (skladno s </w:t>
      </w:r>
      <w:r w:rsidR="00F14B51" w:rsidRPr="00BC781C">
        <w:rPr>
          <w:rFonts w:eastAsia="Arial" w:cs="Times New Roman"/>
          <w:sz w:val="24"/>
          <w:szCs w:val="24"/>
        </w:rPr>
        <w:t>CTR</w:t>
      </w:r>
      <w:r w:rsidRPr="00BC781C">
        <w:rPr>
          <w:rFonts w:eastAsia="Arial" w:cs="Times New Roman"/>
          <w:sz w:val="24"/>
          <w:szCs w:val="24"/>
        </w:rPr>
        <w:t xml:space="preserve"> 8 in 16 trajnostnega razvoja); in </w:t>
      </w:r>
    </w:p>
    <w:p w14:paraId="6FEBFAA2" w14:textId="0FB77C9F" w:rsidR="00AA6F6B" w:rsidRPr="00BC781C" w:rsidRDefault="00AA6F6B" w:rsidP="00F14B51">
      <w:pPr>
        <w:pStyle w:val="ListParagraph"/>
        <w:numPr>
          <w:ilvl w:val="1"/>
          <w:numId w:val="26"/>
        </w:num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boj proti podnebnim spremembam, s poudarkom na trajnostnem gospodarjenju z naravnimi in energetskimi viri (skladno s </w:t>
      </w:r>
      <w:r w:rsidR="00F14B51" w:rsidRPr="00BC781C">
        <w:rPr>
          <w:rFonts w:eastAsia="Arial" w:cs="Times New Roman"/>
          <w:sz w:val="24"/>
          <w:szCs w:val="24"/>
        </w:rPr>
        <w:t>CTR</w:t>
      </w:r>
      <w:r w:rsidRPr="00BC781C">
        <w:rPr>
          <w:rFonts w:eastAsia="Arial" w:cs="Times New Roman"/>
          <w:sz w:val="24"/>
          <w:szCs w:val="24"/>
        </w:rPr>
        <w:t xml:space="preserve"> 12 in 13). </w:t>
      </w:r>
    </w:p>
    <w:p w14:paraId="34E68F5D" w14:textId="75E398CF" w:rsidR="006B72A0" w:rsidRPr="00BC781C" w:rsidRDefault="006B72A0"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Na podlagi podatkov</w:t>
      </w:r>
      <w:r w:rsidR="001F7F43" w:rsidRPr="00BC781C">
        <w:rPr>
          <w:rStyle w:val="FootnoteReference"/>
          <w:rFonts w:eastAsia="Arial" w:cs="Times New Roman"/>
          <w:sz w:val="24"/>
          <w:szCs w:val="24"/>
        </w:rPr>
        <w:footnoteReference w:id="2"/>
      </w:r>
      <w:r w:rsidRPr="00BC781C">
        <w:rPr>
          <w:rFonts w:eastAsia="Arial" w:cs="Times New Roman"/>
          <w:sz w:val="24"/>
          <w:szCs w:val="24"/>
        </w:rPr>
        <w:t xml:space="preserve"> o</w:t>
      </w:r>
      <w:r w:rsidR="001F7F43" w:rsidRPr="00BC781C">
        <w:rPr>
          <w:rFonts w:eastAsia="Arial" w:cs="Times New Roman"/>
          <w:sz w:val="24"/>
          <w:szCs w:val="24"/>
        </w:rPr>
        <w:t xml:space="preserve"> razvojnih projektih ter proračunskih postavkah (v primeru migracij ne govorimo o projektih v klasičnem smislu, bolj o proračunskih postavkah za izdatke, ki so povezani s migracijami) </w:t>
      </w:r>
      <w:r w:rsidR="0010162C" w:rsidRPr="00BC781C">
        <w:rPr>
          <w:rFonts w:eastAsia="Arial" w:cs="Times New Roman"/>
          <w:sz w:val="24"/>
          <w:szCs w:val="24"/>
        </w:rPr>
        <w:t xml:space="preserve">za izbrana prednostna področja </w:t>
      </w:r>
      <w:r w:rsidR="001F7F43" w:rsidRPr="00BC781C">
        <w:rPr>
          <w:rFonts w:eastAsia="Arial" w:cs="Times New Roman"/>
          <w:sz w:val="24"/>
          <w:szCs w:val="24"/>
        </w:rPr>
        <w:t>smo ocenjevali spoštovanje SPR glede na zapisano v Strategiji o m</w:t>
      </w:r>
      <w:r w:rsidR="0010162C" w:rsidRPr="00BC781C">
        <w:rPr>
          <w:rFonts w:eastAsia="Arial" w:cs="Times New Roman"/>
          <w:sz w:val="24"/>
          <w:szCs w:val="24"/>
        </w:rPr>
        <w:t>e</w:t>
      </w:r>
      <w:r w:rsidR="001F7F43" w:rsidRPr="00BC781C">
        <w:rPr>
          <w:rFonts w:eastAsia="Arial" w:cs="Times New Roman"/>
          <w:sz w:val="24"/>
          <w:szCs w:val="24"/>
        </w:rPr>
        <w:t>dn</w:t>
      </w:r>
      <w:r w:rsidR="004B3420" w:rsidRPr="00BC781C">
        <w:rPr>
          <w:rFonts w:eastAsia="Arial" w:cs="Times New Roman"/>
          <w:sz w:val="24"/>
          <w:szCs w:val="24"/>
        </w:rPr>
        <w:t>arodnem</w:t>
      </w:r>
      <w:r w:rsidR="001F7F43" w:rsidRPr="00BC781C">
        <w:rPr>
          <w:rFonts w:eastAsia="Arial" w:cs="Times New Roman"/>
          <w:sz w:val="24"/>
          <w:szCs w:val="24"/>
        </w:rPr>
        <w:t xml:space="preserve"> </w:t>
      </w:r>
      <w:r w:rsidR="0010162C" w:rsidRPr="00BC781C">
        <w:rPr>
          <w:rFonts w:eastAsia="Arial" w:cs="Times New Roman"/>
          <w:sz w:val="24"/>
          <w:szCs w:val="24"/>
        </w:rPr>
        <w:t>razvojnem s</w:t>
      </w:r>
      <w:r w:rsidR="001F7F43" w:rsidRPr="00BC781C">
        <w:rPr>
          <w:rFonts w:eastAsia="Arial" w:cs="Times New Roman"/>
          <w:sz w:val="24"/>
          <w:szCs w:val="24"/>
        </w:rPr>
        <w:t>odelovanju ter zavezami glede doseganja CTR</w:t>
      </w:r>
      <w:r w:rsidR="0010162C" w:rsidRPr="00BC781C">
        <w:rPr>
          <w:rFonts w:eastAsia="Arial" w:cs="Times New Roman"/>
          <w:sz w:val="24"/>
          <w:szCs w:val="24"/>
        </w:rPr>
        <w:t xml:space="preserve"> oziroma </w:t>
      </w:r>
      <w:r w:rsidR="005E151D" w:rsidRPr="00BC781C">
        <w:rPr>
          <w:rFonts w:eastAsia="Arial" w:cs="Times New Roman"/>
          <w:sz w:val="24"/>
          <w:szCs w:val="24"/>
        </w:rPr>
        <w:t>Agende za trajnostni razvoj do leta 2030</w:t>
      </w:r>
      <w:r w:rsidR="009A4C1D" w:rsidRPr="00BC781C">
        <w:rPr>
          <w:rFonts w:eastAsia="Arial" w:cs="Times New Roman"/>
          <w:sz w:val="24"/>
          <w:szCs w:val="24"/>
        </w:rPr>
        <w:t xml:space="preserve"> (tudi Agenda 2030)</w:t>
      </w:r>
      <w:r w:rsidR="001F7F43" w:rsidRPr="00BC781C">
        <w:rPr>
          <w:rFonts w:eastAsia="Arial" w:cs="Times New Roman"/>
          <w:sz w:val="24"/>
          <w:szCs w:val="24"/>
        </w:rPr>
        <w:t>.</w:t>
      </w:r>
      <w:r w:rsidR="0010162C" w:rsidRPr="00BC781C">
        <w:rPr>
          <w:rFonts w:eastAsia="Arial" w:cs="Times New Roman"/>
          <w:sz w:val="24"/>
          <w:szCs w:val="24"/>
        </w:rPr>
        <w:t xml:space="preserve"> </w:t>
      </w:r>
      <w:r w:rsidR="001F7F43" w:rsidRPr="00BC781C">
        <w:rPr>
          <w:rFonts w:eastAsia="Arial" w:cs="Times New Roman"/>
          <w:sz w:val="24"/>
          <w:szCs w:val="24"/>
        </w:rPr>
        <w:t xml:space="preserve"> </w:t>
      </w:r>
      <w:r w:rsidRPr="00BC781C">
        <w:rPr>
          <w:rFonts w:eastAsia="Arial" w:cs="Times New Roman"/>
          <w:sz w:val="24"/>
          <w:szCs w:val="24"/>
        </w:rPr>
        <w:t xml:space="preserve"> </w:t>
      </w:r>
    </w:p>
    <w:p w14:paraId="1D06B519" w14:textId="4A9B7B61" w:rsidR="00DB6DC7" w:rsidRPr="00BC781C" w:rsidRDefault="00AA6F6B"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Obe analizi skupaj sta zagotovili dobro podlago za oblikovanje sistemskih rešitev.</w:t>
      </w:r>
      <w:r w:rsidR="00DB6DC7" w:rsidRPr="00BC781C">
        <w:rPr>
          <w:rFonts w:eastAsia="Arial" w:cs="Times New Roman"/>
          <w:sz w:val="24"/>
          <w:szCs w:val="24"/>
        </w:rPr>
        <w:t xml:space="preserve"> V iskanju primernega modela smo pregledali, kako posamezne države uresničujejo priporočila OECD za izvajanje SP</w:t>
      </w:r>
      <w:r w:rsidR="005E151D" w:rsidRPr="00BC781C">
        <w:rPr>
          <w:rFonts w:eastAsia="Arial" w:cs="Times New Roman"/>
          <w:sz w:val="24"/>
          <w:szCs w:val="24"/>
        </w:rPr>
        <w:t>TR</w:t>
      </w:r>
      <w:r w:rsidR="00DB6DC7" w:rsidRPr="00BC781C">
        <w:rPr>
          <w:rStyle w:val="FootnoteReference"/>
          <w:rFonts w:eastAsia="Arial" w:cs="Times New Roman"/>
          <w:sz w:val="24"/>
          <w:szCs w:val="24"/>
        </w:rPr>
        <w:footnoteReference w:id="3"/>
      </w:r>
      <w:r w:rsidR="00DB6DC7" w:rsidRPr="00BC781C">
        <w:rPr>
          <w:rFonts w:eastAsia="Arial" w:cs="Times New Roman"/>
          <w:sz w:val="24"/>
          <w:szCs w:val="24"/>
        </w:rPr>
        <w:t>. Prav tako smo pregledali</w:t>
      </w:r>
      <w:r w:rsidR="008D2B6A" w:rsidRPr="00BC781C">
        <w:rPr>
          <w:rFonts w:eastAsia="Arial" w:cs="Times New Roman"/>
          <w:sz w:val="24"/>
          <w:szCs w:val="24"/>
        </w:rPr>
        <w:t>,</w:t>
      </w:r>
      <w:r w:rsidR="00DB6DC7" w:rsidRPr="00BC781C">
        <w:rPr>
          <w:rFonts w:eastAsia="Arial" w:cs="Times New Roman"/>
          <w:sz w:val="24"/>
          <w:szCs w:val="24"/>
        </w:rPr>
        <w:t xml:space="preserve"> </w:t>
      </w:r>
      <w:r w:rsidR="008D2B6A" w:rsidRPr="00BC781C">
        <w:rPr>
          <w:rFonts w:eastAsia="Arial" w:cs="Times New Roman"/>
          <w:sz w:val="24"/>
          <w:szCs w:val="24"/>
        </w:rPr>
        <w:t>kako vprašanje spoštovanja SPR/</w:t>
      </w:r>
      <w:r w:rsidR="005E151D" w:rsidRPr="00BC781C">
        <w:rPr>
          <w:rFonts w:eastAsia="Arial" w:cs="Times New Roman"/>
          <w:sz w:val="24"/>
          <w:szCs w:val="24"/>
        </w:rPr>
        <w:t xml:space="preserve">SPTR </w:t>
      </w:r>
      <w:r w:rsidR="008D2B6A" w:rsidRPr="00BC781C">
        <w:rPr>
          <w:rFonts w:eastAsia="Arial" w:cs="Times New Roman"/>
          <w:sz w:val="24"/>
          <w:szCs w:val="24"/>
        </w:rPr>
        <w:t>naslavljata dve državi</w:t>
      </w:r>
      <w:r w:rsidR="005E151D" w:rsidRPr="00BC781C">
        <w:rPr>
          <w:rFonts w:eastAsia="Arial" w:cs="Times New Roman"/>
          <w:sz w:val="24"/>
          <w:szCs w:val="24"/>
        </w:rPr>
        <w:t xml:space="preserve"> (</w:t>
      </w:r>
      <w:r w:rsidR="008D2B6A" w:rsidRPr="00BC781C">
        <w:rPr>
          <w:rFonts w:eastAsia="Arial" w:cs="Times New Roman"/>
          <w:sz w:val="24"/>
          <w:szCs w:val="24"/>
        </w:rPr>
        <w:t>Italija in Finska</w:t>
      </w:r>
      <w:r w:rsidR="005E151D" w:rsidRPr="00BC781C">
        <w:rPr>
          <w:rFonts w:eastAsia="Arial" w:cs="Times New Roman"/>
          <w:sz w:val="24"/>
          <w:szCs w:val="24"/>
        </w:rPr>
        <w:t>)</w:t>
      </w:r>
      <w:r w:rsidR="008D2B6A" w:rsidRPr="00BC781C">
        <w:rPr>
          <w:rFonts w:eastAsia="Arial" w:cs="Times New Roman"/>
          <w:sz w:val="24"/>
          <w:szCs w:val="24"/>
        </w:rPr>
        <w:t xml:space="preserve"> ter na tej podlagi poskušali </w:t>
      </w:r>
      <w:r w:rsidR="005E151D" w:rsidRPr="00BC781C">
        <w:rPr>
          <w:rFonts w:eastAsia="Arial" w:cs="Times New Roman"/>
          <w:sz w:val="24"/>
          <w:szCs w:val="24"/>
        </w:rPr>
        <w:t>izluščiti ključne dobre prakse in</w:t>
      </w:r>
      <w:r w:rsidR="008D2B6A" w:rsidRPr="00BC781C">
        <w:rPr>
          <w:rFonts w:eastAsia="Arial" w:cs="Times New Roman"/>
          <w:sz w:val="24"/>
          <w:szCs w:val="24"/>
        </w:rPr>
        <w:t xml:space="preserve"> sporočila za Slovenijo. </w:t>
      </w:r>
    </w:p>
    <w:p w14:paraId="4AFB074C" w14:textId="265CB13D" w:rsidR="001C728B" w:rsidRPr="00BC781C" w:rsidRDefault="008D2B6A"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Pri oblikovanju ustrezne rešitve za Slovenijo</w:t>
      </w:r>
      <w:r w:rsidR="00AA6F6B" w:rsidRPr="00BC781C">
        <w:rPr>
          <w:rFonts w:eastAsia="Arial" w:cs="Times New Roman"/>
          <w:sz w:val="24"/>
          <w:szCs w:val="24"/>
        </w:rPr>
        <w:t xml:space="preserve"> </w:t>
      </w:r>
      <w:r w:rsidR="0010162C" w:rsidRPr="00BC781C">
        <w:rPr>
          <w:rFonts w:eastAsia="Arial" w:cs="Times New Roman"/>
          <w:sz w:val="24"/>
          <w:szCs w:val="24"/>
        </w:rPr>
        <w:t>je</w:t>
      </w:r>
      <w:r w:rsidR="00AA6F6B" w:rsidRPr="00BC781C">
        <w:rPr>
          <w:rFonts w:eastAsia="Arial" w:cs="Times New Roman"/>
          <w:sz w:val="24"/>
          <w:szCs w:val="24"/>
        </w:rPr>
        <w:t xml:space="preserve"> potrebno pristopiti z ustrezno mero pragmatičnosti. Eden ključnih problemov, ki se pojavlja vedno znova, je omejenost človeških virov tako pri koordinatorju MRS (MZEZ) kot pri drugih ministrstvih, ki se ukvarjajo z razvojnim sodelovanjem. Zato </w:t>
      </w:r>
      <w:r w:rsidR="0010162C" w:rsidRPr="00BC781C">
        <w:rPr>
          <w:rFonts w:eastAsia="Arial" w:cs="Times New Roman"/>
          <w:sz w:val="24"/>
          <w:szCs w:val="24"/>
        </w:rPr>
        <w:t>je smiselno</w:t>
      </w:r>
      <w:r w:rsidR="00AA6F6B" w:rsidRPr="00BC781C">
        <w:rPr>
          <w:rFonts w:eastAsia="Arial" w:cs="Times New Roman"/>
          <w:sz w:val="24"/>
          <w:szCs w:val="24"/>
        </w:rPr>
        <w:t xml:space="preserve"> iskati rešitve, ki </w:t>
      </w:r>
      <w:r w:rsidR="0010162C" w:rsidRPr="00BC781C">
        <w:rPr>
          <w:rFonts w:eastAsia="Arial" w:cs="Times New Roman"/>
          <w:sz w:val="24"/>
          <w:szCs w:val="24"/>
        </w:rPr>
        <w:t xml:space="preserve">sicer </w:t>
      </w:r>
      <w:r w:rsidR="00AA6F6B" w:rsidRPr="00BC781C">
        <w:rPr>
          <w:rFonts w:eastAsia="Arial" w:cs="Times New Roman"/>
          <w:sz w:val="24"/>
          <w:szCs w:val="24"/>
        </w:rPr>
        <w:t>upoštevajo obstoječe omejitve</w:t>
      </w:r>
      <w:r w:rsidR="0010162C" w:rsidRPr="00BC781C">
        <w:rPr>
          <w:rFonts w:eastAsia="Arial" w:cs="Times New Roman"/>
          <w:sz w:val="24"/>
          <w:szCs w:val="24"/>
        </w:rPr>
        <w:t>, a vendar prispevajo k večji stopnji skladnosti politik tako znotraj države kot skladnosti z zavezami, ki jih je Slovenija sprejela v okviru mednarodnih institucij</w:t>
      </w:r>
      <w:r w:rsidR="00AA6F6B" w:rsidRPr="00BC781C">
        <w:rPr>
          <w:rFonts w:eastAsia="Arial" w:cs="Times New Roman"/>
          <w:sz w:val="24"/>
          <w:szCs w:val="24"/>
        </w:rPr>
        <w:t>.</w:t>
      </w:r>
      <w:r w:rsidR="0010162C" w:rsidRPr="00BC781C">
        <w:rPr>
          <w:rFonts w:eastAsia="Arial" w:cs="Times New Roman"/>
          <w:sz w:val="24"/>
          <w:szCs w:val="24"/>
        </w:rPr>
        <w:t xml:space="preserve"> Tu gre v prvi vrsti za zavezo pri uresničevanju Agende 2030, pa tudi zavez kot članica EU na področju mednarodnega razvojnega sodelovanja in priporočil OECD v zvezi s SPR/</w:t>
      </w:r>
      <w:r w:rsidR="00C10289" w:rsidRPr="00BC781C">
        <w:rPr>
          <w:rFonts w:eastAsia="Arial" w:cs="Times New Roman"/>
          <w:sz w:val="24"/>
          <w:szCs w:val="24"/>
        </w:rPr>
        <w:t>SPTR</w:t>
      </w:r>
      <w:r w:rsidR="0010162C" w:rsidRPr="00BC781C">
        <w:rPr>
          <w:rFonts w:eastAsia="Arial" w:cs="Times New Roman"/>
          <w:sz w:val="24"/>
          <w:szCs w:val="24"/>
        </w:rPr>
        <w:t xml:space="preserve">.  </w:t>
      </w:r>
    </w:p>
    <w:p w14:paraId="45E18CAB" w14:textId="3545E2FB" w:rsidR="001C728B" w:rsidRPr="00BC781C" w:rsidRDefault="001C728B" w:rsidP="00BC781C">
      <w:pPr>
        <w:pStyle w:val="Heading1"/>
        <w:rPr>
          <w:rFonts w:eastAsia="Arial" w:cs="Times New Roman"/>
          <w:szCs w:val="24"/>
        </w:rPr>
      </w:pPr>
      <w:r w:rsidRPr="00BC781C">
        <w:rPr>
          <w:rFonts w:eastAsia="Arial" w:cs="Times New Roman"/>
          <w:szCs w:val="24"/>
        </w:rPr>
        <w:br w:type="column"/>
      </w:r>
      <w:bookmarkStart w:id="1" w:name="_Toc205412243"/>
      <w:r w:rsidRPr="00BC781C">
        <w:rPr>
          <w:rFonts w:eastAsia="Arial" w:cs="Times New Roman"/>
          <w:szCs w:val="24"/>
        </w:rPr>
        <w:lastRenderedPageBreak/>
        <w:t>Analiza slovenskih razvojnih projektov</w:t>
      </w:r>
      <w:bookmarkEnd w:id="1"/>
      <w:r w:rsidRPr="00BC781C">
        <w:rPr>
          <w:rFonts w:eastAsia="Arial" w:cs="Times New Roman"/>
          <w:szCs w:val="24"/>
        </w:rPr>
        <w:t xml:space="preserve"> </w:t>
      </w:r>
    </w:p>
    <w:p w14:paraId="42857764" w14:textId="78DE6817" w:rsidR="00AA6F6B" w:rsidRPr="00BC781C" w:rsidRDefault="00AA6F6B" w:rsidP="004461CA">
      <w:pPr>
        <w:pStyle w:val="ListParagraph"/>
        <w:shd w:val="clear" w:color="auto" w:fill="FFFFFF"/>
        <w:spacing w:before="240" w:after="240" w:line="276" w:lineRule="auto"/>
        <w:ind w:left="1080"/>
        <w:rPr>
          <w:rFonts w:eastAsia="Arial" w:cs="Times New Roman"/>
          <w:sz w:val="24"/>
          <w:szCs w:val="24"/>
        </w:rPr>
      </w:pPr>
    </w:p>
    <w:p w14:paraId="5549220B" w14:textId="730645B3" w:rsidR="00C024A9" w:rsidRPr="009D24D1" w:rsidRDefault="00E30101" w:rsidP="00C024A9">
      <w:pPr>
        <w:rPr>
          <w:rFonts w:cs="Times New Roman"/>
          <w:sz w:val="20"/>
          <w:szCs w:val="20"/>
        </w:rPr>
      </w:pPr>
      <w:r w:rsidRPr="00BC781C">
        <w:rPr>
          <w:rFonts w:eastAsia="Arial" w:cs="Times New Roman"/>
          <w:sz w:val="24"/>
          <w:szCs w:val="24"/>
        </w:rPr>
        <w:t>V analizo je bilo zajetih 14 projektov s področja varovanja okolja, 26 s področja enakosti spolov ter kar 148 postavk stroškov na področju migracij</w:t>
      </w:r>
      <w:r w:rsidR="00B078A3" w:rsidRPr="00BC781C">
        <w:rPr>
          <w:rFonts w:eastAsia="Arial" w:cs="Times New Roman"/>
          <w:sz w:val="24"/>
          <w:szCs w:val="24"/>
        </w:rPr>
        <w:t>, kjer smo analizirali skladnost projektov z nacionalno zakonodajo in mednarodnimi zavezami (predvsem uresničevanje CTR in relevantnih politik na analiziranih področjih) in ocenili upoštevanje načela SPR in SPTR.</w:t>
      </w:r>
      <w:r w:rsidR="00C024A9">
        <w:rPr>
          <w:rStyle w:val="FootnoteReference"/>
          <w:rFonts w:eastAsia="Arial" w:cs="Times New Roman"/>
          <w:sz w:val="24"/>
          <w:szCs w:val="24"/>
        </w:rPr>
        <w:footnoteReference w:id="4"/>
      </w:r>
      <w:r w:rsidR="00B078A3" w:rsidRPr="00BC781C">
        <w:rPr>
          <w:rFonts w:eastAsia="Arial" w:cs="Times New Roman"/>
          <w:sz w:val="24"/>
          <w:szCs w:val="24"/>
        </w:rPr>
        <w:t xml:space="preserve"> </w:t>
      </w:r>
    </w:p>
    <w:p w14:paraId="30178C55" w14:textId="71ABEB37" w:rsidR="00E30101" w:rsidRPr="00BC781C" w:rsidRDefault="00E30101" w:rsidP="004461CA">
      <w:pPr>
        <w:pStyle w:val="ListParagraph"/>
        <w:shd w:val="clear" w:color="auto" w:fill="FFFFFF"/>
        <w:spacing w:before="240" w:after="240" w:line="276" w:lineRule="auto"/>
        <w:ind w:left="0"/>
        <w:rPr>
          <w:rFonts w:eastAsia="Arial" w:cs="Times New Roman"/>
          <w:sz w:val="24"/>
          <w:szCs w:val="24"/>
        </w:rPr>
      </w:pPr>
    </w:p>
    <w:p w14:paraId="591228B2" w14:textId="77777777" w:rsidR="00E30101" w:rsidRPr="00BC781C" w:rsidRDefault="00E30101" w:rsidP="004461CA">
      <w:pPr>
        <w:pStyle w:val="ListParagraph"/>
        <w:shd w:val="clear" w:color="auto" w:fill="FFFFFF"/>
        <w:spacing w:before="240" w:after="240" w:line="276" w:lineRule="auto"/>
        <w:ind w:left="0"/>
        <w:rPr>
          <w:rFonts w:eastAsia="Arial" w:cs="Times New Roman"/>
          <w:sz w:val="24"/>
          <w:szCs w:val="24"/>
        </w:rPr>
      </w:pPr>
    </w:p>
    <w:p w14:paraId="3C404199" w14:textId="288055E6" w:rsidR="00E30101" w:rsidRPr="00BC781C" w:rsidRDefault="00E30101" w:rsidP="00BC781C">
      <w:pPr>
        <w:pStyle w:val="Heading2"/>
        <w:rPr>
          <w:rFonts w:eastAsia="Arial"/>
        </w:rPr>
      </w:pPr>
      <w:bookmarkStart w:id="2" w:name="_Toc205412244"/>
      <w:r w:rsidRPr="00BC781C">
        <w:t>Področje</w:t>
      </w:r>
      <w:r w:rsidRPr="00BC781C">
        <w:rPr>
          <w:rFonts w:eastAsia="Arial"/>
        </w:rPr>
        <w:t xml:space="preserve"> okolja</w:t>
      </w:r>
      <w:bookmarkEnd w:id="2"/>
    </w:p>
    <w:p w14:paraId="02DA2323" w14:textId="77777777" w:rsidR="00E30101" w:rsidRPr="00BC781C" w:rsidRDefault="00E30101" w:rsidP="004461CA">
      <w:pPr>
        <w:pStyle w:val="ListParagraph"/>
        <w:shd w:val="clear" w:color="auto" w:fill="FFFFFF"/>
        <w:spacing w:before="240" w:after="240" w:line="276" w:lineRule="auto"/>
        <w:ind w:left="360"/>
        <w:rPr>
          <w:rFonts w:eastAsia="Arial" w:cs="Times New Roman"/>
          <w:sz w:val="24"/>
          <w:szCs w:val="24"/>
        </w:rPr>
      </w:pPr>
    </w:p>
    <w:p w14:paraId="193620F3" w14:textId="5F2E2616" w:rsidR="00042DDE" w:rsidRPr="00BC781C" w:rsidRDefault="00E30101" w:rsidP="004461CA">
      <w:pPr>
        <w:pStyle w:val="ListParagraph"/>
        <w:shd w:val="clear" w:color="auto" w:fill="FFFFFF"/>
        <w:spacing w:before="240" w:after="240" w:line="276" w:lineRule="auto"/>
        <w:ind w:left="0"/>
        <w:rPr>
          <w:rFonts w:eastAsia="Arial" w:cs="Times New Roman"/>
          <w:sz w:val="24"/>
          <w:szCs w:val="24"/>
        </w:rPr>
      </w:pPr>
      <w:r w:rsidRPr="00BC781C">
        <w:rPr>
          <w:rFonts w:eastAsia="Arial" w:cs="Times New Roman"/>
          <w:sz w:val="24"/>
          <w:szCs w:val="24"/>
        </w:rPr>
        <w:t>Na tem področju smo podrobneje pogledali 14 projektov</w:t>
      </w:r>
      <w:r w:rsidR="00042DDE" w:rsidRPr="00BC781C">
        <w:rPr>
          <w:rStyle w:val="FootnoteReference"/>
          <w:rFonts w:eastAsia="Arial" w:cs="Times New Roman"/>
          <w:sz w:val="24"/>
          <w:szCs w:val="24"/>
        </w:rPr>
        <w:footnoteReference w:id="5"/>
      </w:r>
      <w:r w:rsidRPr="00BC781C">
        <w:rPr>
          <w:rFonts w:eastAsia="Arial" w:cs="Times New Roman"/>
          <w:sz w:val="24"/>
          <w:szCs w:val="24"/>
        </w:rPr>
        <w:t xml:space="preserve"> MRS, v obdobju od 2019 do 2023. Nosilec največjega števila je bil CMSR, sledi UNIDO (2 projekta), za po en projekt pa so nosilci </w:t>
      </w:r>
      <w:r w:rsidR="001A143D">
        <w:rPr>
          <w:rFonts w:eastAsia="Arial" w:cs="Times New Roman"/>
          <w:sz w:val="24"/>
          <w:szCs w:val="24"/>
        </w:rPr>
        <w:t xml:space="preserve">Slovenska </w:t>
      </w:r>
      <w:r w:rsidRPr="00BC781C">
        <w:rPr>
          <w:rFonts w:eastAsia="Arial" w:cs="Times New Roman"/>
          <w:sz w:val="24"/>
          <w:szCs w:val="24"/>
        </w:rPr>
        <w:t xml:space="preserve">Karitas, Zavod Krog, </w:t>
      </w:r>
      <w:r w:rsidR="00042DDE" w:rsidRPr="00BC781C">
        <w:rPr>
          <w:rFonts w:eastAsia="Arial" w:cs="Times New Roman"/>
          <w:sz w:val="24"/>
          <w:szCs w:val="24"/>
        </w:rPr>
        <w:t xml:space="preserve">FER ter Vision Ganga. Slednji je tudi edini, ki ne sodi v sklop ciljnih držav, kot jih opredeljuje Strategija MRS. Vsi projekti pa sodijo na prednostno vsebinsko področje Trajnostno gospodarjenje z naravnimi viri in boj proti podnebnim spremembam. Vsi projekti so usklajeni z EU okoljskimi politikami, kakor tudi z nacionalnimi okoljskimi politikami. </w:t>
      </w:r>
    </w:p>
    <w:p w14:paraId="552D92F9" w14:textId="77777777" w:rsidR="00C231DF" w:rsidRPr="00BC781C" w:rsidRDefault="00C231DF" w:rsidP="004461CA">
      <w:pPr>
        <w:pStyle w:val="ListParagraph"/>
        <w:shd w:val="clear" w:color="auto" w:fill="FFFFFF"/>
        <w:spacing w:before="240" w:after="240" w:line="276" w:lineRule="auto"/>
        <w:ind w:left="0"/>
        <w:rPr>
          <w:rFonts w:eastAsia="Arial" w:cs="Times New Roman"/>
          <w:sz w:val="24"/>
          <w:szCs w:val="24"/>
        </w:rPr>
      </w:pPr>
    </w:p>
    <w:p w14:paraId="2ABF1814" w14:textId="01CAF28B" w:rsidR="00042DDE" w:rsidRPr="00BC781C" w:rsidRDefault="00042DDE" w:rsidP="004461CA">
      <w:pPr>
        <w:pStyle w:val="ListParagraph"/>
        <w:shd w:val="clear" w:color="auto" w:fill="FFFFFF"/>
        <w:spacing w:before="240" w:after="240" w:line="276" w:lineRule="auto"/>
        <w:ind w:left="0"/>
        <w:rPr>
          <w:rFonts w:eastAsia="Arial" w:cs="Times New Roman"/>
          <w:sz w:val="24"/>
          <w:szCs w:val="24"/>
        </w:rPr>
      </w:pPr>
      <w:r w:rsidRPr="00BC781C">
        <w:rPr>
          <w:rFonts w:eastAsia="Arial" w:cs="Times New Roman"/>
          <w:sz w:val="24"/>
          <w:szCs w:val="24"/>
        </w:rPr>
        <w:t xml:space="preserve">Ocenjujemo, da so odobreni projekti upoštevali načelo SPR kot SPTR, to pa pripisujemo dejstvu, da se že v razpisnih pogojih tako CMSR kot MZEZ za nevladne organizacije pričakuje, da je pogoj za sofinanciranje s strani Slovenije skladnost z EU in nacionalnimi politikami na področju okolja. </w:t>
      </w:r>
      <w:r w:rsidR="004B3420" w:rsidRPr="00BC781C">
        <w:rPr>
          <w:rFonts w:eastAsia="Arial" w:cs="Times New Roman"/>
          <w:sz w:val="24"/>
          <w:szCs w:val="24"/>
        </w:rPr>
        <w:t xml:space="preserve">Ker tako EU politika na področju okolja kot tudi </w:t>
      </w:r>
      <w:r w:rsidR="00253C04" w:rsidRPr="00BC781C">
        <w:rPr>
          <w:rFonts w:eastAsia="Arial" w:cs="Times New Roman"/>
          <w:sz w:val="24"/>
          <w:szCs w:val="24"/>
        </w:rPr>
        <w:t>Resolucija o dolgoročni podnebni strategiji do leta 2050 ter Strateški okvir prilagajanja podnebnim spremembam</w:t>
      </w:r>
      <w:r w:rsidR="00C719DE" w:rsidRPr="00BC781C">
        <w:rPr>
          <w:rFonts w:eastAsia="Arial" w:cs="Times New Roman"/>
          <w:sz w:val="24"/>
          <w:szCs w:val="24"/>
        </w:rPr>
        <w:t xml:space="preserve"> </w:t>
      </w:r>
      <w:r w:rsidR="004B3420" w:rsidRPr="00BC781C">
        <w:rPr>
          <w:rFonts w:eastAsia="Arial" w:cs="Times New Roman"/>
          <w:sz w:val="24"/>
          <w:szCs w:val="24"/>
        </w:rPr>
        <w:t xml:space="preserve"> upoštevata CTR, je tudi tu zagotovljena skladnost.</w:t>
      </w:r>
    </w:p>
    <w:p w14:paraId="56858D95" w14:textId="77777777" w:rsidR="00042DDE" w:rsidRPr="00BC781C" w:rsidRDefault="00042DDE" w:rsidP="004461CA">
      <w:pPr>
        <w:pStyle w:val="ListParagraph"/>
        <w:shd w:val="clear" w:color="auto" w:fill="FFFFFF"/>
        <w:spacing w:before="240" w:after="240" w:line="276" w:lineRule="auto"/>
        <w:ind w:left="0"/>
        <w:rPr>
          <w:rFonts w:eastAsia="Arial" w:cs="Times New Roman"/>
          <w:sz w:val="24"/>
          <w:szCs w:val="24"/>
        </w:rPr>
      </w:pPr>
    </w:p>
    <w:p w14:paraId="21E84CDA" w14:textId="6C5A98E6" w:rsidR="00867543" w:rsidRPr="00BC781C" w:rsidRDefault="00896843" w:rsidP="00BC781C">
      <w:pPr>
        <w:pStyle w:val="Heading2"/>
        <w:rPr>
          <w:rFonts w:eastAsia="Arial"/>
        </w:rPr>
      </w:pPr>
      <w:bookmarkStart w:id="3" w:name="_Toc205412245"/>
      <w:r w:rsidRPr="00BC781C">
        <w:rPr>
          <w:rFonts w:eastAsia="Arial"/>
        </w:rPr>
        <w:t xml:space="preserve">Področje </w:t>
      </w:r>
      <w:r w:rsidRPr="00BC781C">
        <w:t>e</w:t>
      </w:r>
      <w:r w:rsidR="00042DDE" w:rsidRPr="00BC781C">
        <w:t>nakost</w:t>
      </w:r>
      <w:r w:rsidRPr="00BC781C">
        <w:t>i</w:t>
      </w:r>
      <w:r w:rsidR="00042DDE" w:rsidRPr="00BC781C">
        <w:rPr>
          <w:rFonts w:eastAsia="Arial"/>
        </w:rPr>
        <w:t xml:space="preserve"> spolov</w:t>
      </w:r>
      <w:bookmarkEnd w:id="3"/>
    </w:p>
    <w:p w14:paraId="0C966D52" w14:textId="7D80D902" w:rsidR="00867543" w:rsidRPr="00BC781C" w:rsidRDefault="00867543"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Pregledanih je bil</w:t>
      </w:r>
      <w:r w:rsidR="00272CF3" w:rsidRPr="00BC781C">
        <w:rPr>
          <w:rFonts w:eastAsia="Arial" w:cs="Times New Roman"/>
          <w:sz w:val="24"/>
          <w:szCs w:val="24"/>
        </w:rPr>
        <w:t>o</w:t>
      </w:r>
      <w:r w:rsidRPr="00BC781C">
        <w:rPr>
          <w:rFonts w:eastAsia="Arial" w:cs="Times New Roman"/>
          <w:sz w:val="24"/>
          <w:szCs w:val="24"/>
        </w:rPr>
        <w:t xml:space="preserve"> 26 projektov, ki so se začeli od leta 2017 dalje, enajstih jih še poteka. Vsi projekti sodijo v sklop razpisov MZEZ za nevladne organizacije in jih v sodelovanju z lokalnimi institucijami izvaja širok nabor slovenskih NVO v državah Zahodnega Balkana, Afriki in v evropskem sosedstvu, torej so skladni z geografskimi prioritetami Strategije MRS.</w:t>
      </w:r>
    </w:p>
    <w:p w14:paraId="4E370AE9" w14:textId="6E8C8768" w:rsidR="00327F6C" w:rsidRPr="00BC781C" w:rsidRDefault="00867543"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Vsebinsko prav tako pokrivajo področja, opredeljena v Strategiji MRS ter </w:t>
      </w:r>
      <w:r w:rsidR="00272CF3" w:rsidRPr="00BC781C">
        <w:rPr>
          <w:rFonts w:eastAsia="Arial" w:cs="Times New Roman"/>
          <w:sz w:val="24"/>
          <w:szCs w:val="24"/>
        </w:rPr>
        <w:t>CTR</w:t>
      </w:r>
      <w:r w:rsidRPr="00BC781C">
        <w:rPr>
          <w:rFonts w:eastAsia="Arial" w:cs="Times New Roman"/>
          <w:sz w:val="24"/>
          <w:szCs w:val="24"/>
        </w:rPr>
        <w:t>, saj naslavljajo osrednj</w:t>
      </w:r>
      <w:r w:rsidR="00B078A3" w:rsidRPr="00BC781C">
        <w:rPr>
          <w:rFonts w:eastAsia="Arial" w:cs="Times New Roman"/>
          <w:sz w:val="24"/>
          <w:szCs w:val="24"/>
        </w:rPr>
        <w:t xml:space="preserve">i </w:t>
      </w:r>
      <w:r w:rsidR="00B078A3" w:rsidRPr="00BC781C">
        <w:rPr>
          <w:rFonts w:eastAsia="Arial" w:cs="Times New Roman"/>
          <w:b/>
          <w:bCs/>
          <w:sz w:val="24"/>
          <w:szCs w:val="24"/>
        </w:rPr>
        <w:t xml:space="preserve">CTR </w:t>
      </w:r>
      <w:r w:rsidRPr="00BC781C">
        <w:rPr>
          <w:rFonts w:eastAsia="Arial" w:cs="Times New Roman"/>
          <w:b/>
          <w:bCs/>
          <w:sz w:val="24"/>
          <w:szCs w:val="24"/>
        </w:rPr>
        <w:t>5</w:t>
      </w:r>
      <w:r w:rsidR="00272CF3" w:rsidRPr="00BC781C">
        <w:rPr>
          <w:rFonts w:eastAsia="Arial" w:cs="Times New Roman"/>
          <w:b/>
          <w:bCs/>
          <w:sz w:val="24"/>
          <w:szCs w:val="24"/>
        </w:rPr>
        <w:t xml:space="preserve"> </w:t>
      </w:r>
      <w:r w:rsidR="00B078A3" w:rsidRPr="00BC781C">
        <w:rPr>
          <w:rFonts w:eastAsia="Arial" w:cs="Times New Roman"/>
          <w:b/>
          <w:bCs/>
          <w:sz w:val="24"/>
          <w:szCs w:val="24"/>
        </w:rPr>
        <w:t>E</w:t>
      </w:r>
      <w:r w:rsidR="00327F6C" w:rsidRPr="00BC781C">
        <w:rPr>
          <w:rFonts w:eastAsia="Arial" w:cs="Times New Roman"/>
          <w:b/>
          <w:bCs/>
          <w:sz w:val="24"/>
          <w:szCs w:val="24"/>
        </w:rPr>
        <w:t>nakost spolov</w:t>
      </w:r>
      <w:r w:rsidR="00327F6C" w:rsidRPr="00BC781C">
        <w:rPr>
          <w:rFonts w:eastAsia="Arial" w:cs="Times New Roman"/>
          <w:sz w:val="24"/>
          <w:szCs w:val="24"/>
        </w:rPr>
        <w:t xml:space="preserve"> </w:t>
      </w:r>
      <w:r w:rsidRPr="00BC781C">
        <w:rPr>
          <w:rFonts w:eastAsia="Arial" w:cs="Times New Roman"/>
          <w:sz w:val="24"/>
          <w:szCs w:val="24"/>
        </w:rPr>
        <w:t xml:space="preserve">ter najpogosteje </w:t>
      </w:r>
      <w:r w:rsidR="00B078A3" w:rsidRPr="00BC781C">
        <w:rPr>
          <w:rFonts w:eastAsia="Arial" w:cs="Times New Roman"/>
          <w:sz w:val="24"/>
          <w:szCs w:val="24"/>
        </w:rPr>
        <w:t>podcilje</w:t>
      </w:r>
      <w:r w:rsidRPr="00BC781C">
        <w:rPr>
          <w:rFonts w:eastAsia="Arial" w:cs="Times New Roman"/>
          <w:sz w:val="24"/>
          <w:szCs w:val="24"/>
        </w:rPr>
        <w:t xml:space="preserve"> 5.5 </w:t>
      </w:r>
      <w:r w:rsidRPr="00BC781C">
        <w:rPr>
          <w:rFonts w:eastAsia="Arial" w:cs="Times New Roman"/>
          <w:i/>
          <w:iCs/>
          <w:sz w:val="24"/>
          <w:szCs w:val="24"/>
        </w:rPr>
        <w:t xml:space="preserve">Zagotoviti celovito in dejansko vključenost žensk ter enake možnosti na vseh ravneh odločanja v politiki, gospodarstvu in javnem življenju; </w:t>
      </w:r>
      <w:r w:rsidR="00327F6C" w:rsidRPr="00BC781C">
        <w:rPr>
          <w:rFonts w:eastAsia="Arial" w:cs="Times New Roman"/>
          <w:i/>
          <w:iCs/>
          <w:sz w:val="24"/>
          <w:szCs w:val="24"/>
        </w:rPr>
        <w:t xml:space="preserve">5.1 Povsod odpraviti vse oblike diskriminacije žensk in deklic; 5.2 Izkoreniniti </w:t>
      </w:r>
      <w:r w:rsidR="00327F6C" w:rsidRPr="00BC781C">
        <w:rPr>
          <w:rFonts w:eastAsia="Arial" w:cs="Times New Roman"/>
          <w:i/>
          <w:iCs/>
          <w:sz w:val="24"/>
          <w:szCs w:val="24"/>
        </w:rPr>
        <w:lastRenderedPageBreak/>
        <w:t xml:space="preserve">vse oblike nasilja nad ženskami in deklicami v javnem in zasebnem življenju, med njimi trgovino z ljudmi in druge vrste izkoriščanja, tudi spolno izkoriščanje; 5.c Sprejeti in utrditi tehtne politike in izvršilne predpise za spodbujanje enakosti spolov in večje vloge žensk in deklic na vseh ravneh </w:t>
      </w:r>
      <w:r w:rsidR="00327F6C" w:rsidRPr="00BC781C">
        <w:rPr>
          <w:rFonts w:eastAsia="Arial" w:cs="Times New Roman"/>
          <w:sz w:val="24"/>
          <w:szCs w:val="24"/>
        </w:rPr>
        <w:t xml:space="preserve">ter tudi </w:t>
      </w:r>
      <w:r w:rsidR="00B078A3" w:rsidRPr="00BC781C">
        <w:rPr>
          <w:rFonts w:eastAsia="Arial" w:cs="Times New Roman"/>
          <w:b/>
          <w:bCs/>
          <w:sz w:val="24"/>
          <w:szCs w:val="24"/>
        </w:rPr>
        <w:t>CTR</w:t>
      </w:r>
      <w:r w:rsidR="00327F6C" w:rsidRPr="00BC781C">
        <w:rPr>
          <w:rFonts w:eastAsia="Arial" w:cs="Times New Roman"/>
          <w:b/>
          <w:bCs/>
          <w:sz w:val="24"/>
          <w:szCs w:val="24"/>
        </w:rPr>
        <w:t xml:space="preserve"> 4</w:t>
      </w:r>
      <w:r w:rsidR="00B078A3" w:rsidRPr="00BC781C">
        <w:rPr>
          <w:rFonts w:eastAsia="Arial" w:cs="Times New Roman"/>
          <w:b/>
          <w:bCs/>
          <w:sz w:val="24"/>
          <w:szCs w:val="24"/>
        </w:rPr>
        <w:t xml:space="preserve">  K</w:t>
      </w:r>
      <w:r w:rsidR="00327F6C" w:rsidRPr="00BC781C">
        <w:rPr>
          <w:rFonts w:eastAsia="Arial" w:cs="Times New Roman"/>
          <w:b/>
          <w:bCs/>
          <w:sz w:val="24"/>
          <w:szCs w:val="24"/>
        </w:rPr>
        <w:t>akovostno izobraževanje</w:t>
      </w:r>
      <w:r w:rsidR="00327F6C" w:rsidRPr="00BC781C">
        <w:rPr>
          <w:rFonts w:eastAsia="Arial" w:cs="Times New Roman"/>
          <w:sz w:val="24"/>
          <w:szCs w:val="24"/>
        </w:rPr>
        <w:t xml:space="preserve"> s </w:t>
      </w:r>
      <w:r w:rsidR="00B078A3" w:rsidRPr="00BC781C">
        <w:rPr>
          <w:rFonts w:eastAsia="Arial" w:cs="Times New Roman"/>
          <w:sz w:val="24"/>
          <w:szCs w:val="24"/>
        </w:rPr>
        <w:t>podciljem</w:t>
      </w:r>
      <w:r w:rsidR="00327F6C" w:rsidRPr="00BC781C">
        <w:rPr>
          <w:rFonts w:eastAsia="Arial" w:cs="Times New Roman"/>
          <w:sz w:val="24"/>
          <w:szCs w:val="24"/>
        </w:rPr>
        <w:t xml:space="preserve"> </w:t>
      </w:r>
      <w:r w:rsidR="00327F6C" w:rsidRPr="00BC781C">
        <w:rPr>
          <w:rFonts w:eastAsia="Arial" w:cs="Times New Roman"/>
          <w:i/>
          <w:iCs/>
          <w:sz w:val="24"/>
          <w:szCs w:val="24"/>
        </w:rPr>
        <w:t>4.3 Do leta 2030 vsem moškim in ženskam zagotoviti enakopraven dostop do cenovno sprejemljivega in kakovostnega poklicnega, tehničnega in visokošolskega, tudi univerzitetnega izobraževanja</w:t>
      </w:r>
      <w:r w:rsidR="00327F6C" w:rsidRPr="00BC781C">
        <w:rPr>
          <w:rFonts w:eastAsia="Arial" w:cs="Times New Roman"/>
          <w:sz w:val="24"/>
          <w:szCs w:val="24"/>
        </w:rPr>
        <w:t xml:space="preserve"> ter </w:t>
      </w:r>
      <w:r w:rsidR="00B078A3" w:rsidRPr="00BC781C">
        <w:rPr>
          <w:rFonts w:eastAsia="Arial" w:cs="Times New Roman"/>
          <w:sz w:val="24"/>
          <w:szCs w:val="24"/>
        </w:rPr>
        <w:t>CTR</w:t>
      </w:r>
      <w:r w:rsidR="00327F6C" w:rsidRPr="00BC781C">
        <w:rPr>
          <w:rFonts w:cs="Times New Roman"/>
          <w:sz w:val="24"/>
          <w:szCs w:val="24"/>
        </w:rPr>
        <w:t xml:space="preserve"> </w:t>
      </w:r>
      <w:r w:rsidR="00327F6C" w:rsidRPr="00BC781C">
        <w:rPr>
          <w:rFonts w:eastAsia="Arial" w:cs="Times New Roman"/>
          <w:sz w:val="24"/>
          <w:szCs w:val="24"/>
        </w:rPr>
        <w:t>1</w:t>
      </w:r>
      <w:r w:rsidR="00B078A3" w:rsidRPr="00BC781C">
        <w:rPr>
          <w:rFonts w:eastAsia="Arial" w:cs="Times New Roman"/>
          <w:sz w:val="24"/>
          <w:szCs w:val="24"/>
        </w:rPr>
        <w:t xml:space="preserve"> </w:t>
      </w:r>
      <w:r w:rsidR="00327F6C" w:rsidRPr="00BC781C">
        <w:rPr>
          <w:rFonts w:eastAsia="Arial" w:cs="Times New Roman"/>
          <w:sz w:val="24"/>
          <w:szCs w:val="24"/>
        </w:rPr>
        <w:t xml:space="preserve">Odprava revščine; specifično podcilj </w:t>
      </w:r>
      <w:r w:rsidR="00327F6C" w:rsidRPr="00BC781C">
        <w:rPr>
          <w:rFonts w:eastAsia="Arial" w:cs="Times New Roman"/>
          <w:i/>
          <w:iCs/>
          <w:sz w:val="24"/>
          <w:szCs w:val="24"/>
        </w:rPr>
        <w:t xml:space="preserve">1.5 Do leta 2030 poskrbeti za večjo vzdržljivost najrevnejših in ljudi, ki živijo v težkih razmerah, zmanjšati njihovo izpostavljenost in dovzetnost za skrajne vremenske pojave, ki so posledica podnebnih sprememb, ter druge gospodarske, socialne in okoljske pretrese in katastrofe </w:t>
      </w:r>
      <w:r w:rsidR="00327F6C" w:rsidRPr="00BC781C">
        <w:rPr>
          <w:rFonts w:eastAsia="Arial" w:cs="Times New Roman"/>
          <w:sz w:val="24"/>
          <w:szCs w:val="24"/>
        </w:rPr>
        <w:t xml:space="preserve">ter </w:t>
      </w:r>
      <w:r w:rsidR="00B078A3" w:rsidRPr="00BC781C">
        <w:rPr>
          <w:rFonts w:eastAsia="Arial" w:cs="Times New Roman"/>
          <w:b/>
          <w:bCs/>
          <w:sz w:val="24"/>
          <w:szCs w:val="24"/>
        </w:rPr>
        <w:t>CTR</w:t>
      </w:r>
      <w:r w:rsidR="00327F6C" w:rsidRPr="00BC781C">
        <w:rPr>
          <w:rFonts w:eastAsia="Arial" w:cs="Times New Roman"/>
          <w:b/>
          <w:bCs/>
          <w:sz w:val="24"/>
          <w:szCs w:val="24"/>
        </w:rPr>
        <w:t xml:space="preserve"> 13 Podnebne spremembe</w:t>
      </w:r>
      <w:r w:rsidR="00327F6C" w:rsidRPr="00BC781C">
        <w:rPr>
          <w:rFonts w:eastAsia="Arial" w:cs="Times New Roman"/>
          <w:sz w:val="24"/>
          <w:szCs w:val="24"/>
        </w:rPr>
        <w:t>.</w:t>
      </w:r>
    </w:p>
    <w:p w14:paraId="2A054178" w14:textId="19D4D20F" w:rsidR="00327F6C" w:rsidRPr="00BC781C" w:rsidRDefault="00C231DF"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Glede skladnosti z nacionalnimi politikami ugotavljamo, da so razvojni projekti skladni z Resolucijo o nacionalnem programu za enake možnosti žensk in moških 2023–2030 (Uradni list RS, št. </w:t>
      </w:r>
      <w:hyperlink r:id="rId8" w:tgtFrame="_blank" w:tooltip="Resolucija o nacionalnem programu za enake možnosti žensk in moških 2023–2030 (ReNPEMŽM30)" w:history="1">
        <w:r w:rsidRPr="00BC781C">
          <w:rPr>
            <w:rStyle w:val="Hyperlink"/>
            <w:rFonts w:eastAsia="Arial" w:cs="Times New Roman"/>
            <w:sz w:val="24"/>
            <w:szCs w:val="24"/>
          </w:rPr>
          <w:t>105/23</w:t>
        </w:r>
      </w:hyperlink>
      <w:r w:rsidRPr="00BC781C">
        <w:rPr>
          <w:rFonts w:eastAsia="Arial" w:cs="Times New Roman"/>
          <w:sz w:val="24"/>
          <w:szCs w:val="24"/>
        </w:rPr>
        <w:t>). Sama Resolucija pa je skladna z evropskimi politikami na področju enakosti spolov.</w:t>
      </w:r>
    </w:p>
    <w:p w14:paraId="4F4E3483" w14:textId="6EDA4584" w:rsidR="00C231DF" w:rsidRPr="00BC781C" w:rsidRDefault="00C231DF"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Ocenjujemo, da so odobreni projekti upoštevali načelo SPR kot SPTR, to pa pripisujemo dejstvu, da se že v razpisnih pogojih MZEZ za nevladne organizacije pričakuje, da je pogoj za sofinanciranje skladnost s </w:t>
      </w:r>
      <w:r w:rsidR="00D67CEC" w:rsidRPr="00BC781C">
        <w:rPr>
          <w:rFonts w:eastAsia="Arial" w:cs="Times New Roman"/>
          <w:sz w:val="24"/>
          <w:szCs w:val="24"/>
        </w:rPr>
        <w:t>CTR</w:t>
      </w:r>
      <w:r w:rsidRPr="00BC781C">
        <w:rPr>
          <w:rFonts w:eastAsia="Arial" w:cs="Times New Roman"/>
          <w:sz w:val="24"/>
          <w:szCs w:val="24"/>
        </w:rPr>
        <w:t xml:space="preserve"> ter nacionalnimi politikami na podr</w:t>
      </w:r>
      <w:r w:rsidR="00A96486" w:rsidRPr="00BC781C">
        <w:rPr>
          <w:rFonts w:eastAsia="Arial" w:cs="Times New Roman"/>
          <w:sz w:val="24"/>
          <w:szCs w:val="24"/>
        </w:rPr>
        <w:t>o</w:t>
      </w:r>
      <w:r w:rsidRPr="00BC781C">
        <w:rPr>
          <w:rFonts w:eastAsia="Arial" w:cs="Times New Roman"/>
          <w:sz w:val="24"/>
          <w:szCs w:val="24"/>
        </w:rPr>
        <w:t>čju enakosti spolov.</w:t>
      </w:r>
    </w:p>
    <w:p w14:paraId="74C513C5" w14:textId="60B5062C" w:rsidR="00C231DF" w:rsidRPr="00BC781C" w:rsidRDefault="00896843" w:rsidP="00BC781C">
      <w:pPr>
        <w:pStyle w:val="Heading2"/>
      </w:pPr>
      <w:bookmarkStart w:id="4" w:name="_Toc205412246"/>
      <w:r w:rsidRPr="00BC781C">
        <w:t>P</w:t>
      </w:r>
      <w:r w:rsidR="00C231DF" w:rsidRPr="00BC781C">
        <w:t>odročje migracij</w:t>
      </w:r>
      <w:bookmarkEnd w:id="4"/>
      <w:r w:rsidR="00C231DF" w:rsidRPr="00BC781C">
        <w:t xml:space="preserve"> </w:t>
      </w:r>
    </w:p>
    <w:p w14:paraId="7408A4AB" w14:textId="08F18925" w:rsidR="00A96486" w:rsidRPr="00BC781C" w:rsidRDefault="00A96486"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Področje migracij je specifično, saj tu ne gre za tipične razvojne projekte, ki se financirajo na podlagi razpisov, ampak gre pretežno za stroške, ki so rezultat različnih storitev, ki jih je država dolžna </w:t>
      </w:r>
      <w:r w:rsidR="00C024A9">
        <w:rPr>
          <w:rFonts w:eastAsia="Arial" w:cs="Times New Roman"/>
          <w:sz w:val="24"/>
          <w:szCs w:val="24"/>
        </w:rPr>
        <w:t>poročati</w:t>
      </w:r>
      <w:r w:rsidRPr="00BC781C">
        <w:rPr>
          <w:rFonts w:eastAsia="Arial" w:cs="Times New Roman"/>
          <w:sz w:val="24"/>
          <w:szCs w:val="24"/>
        </w:rPr>
        <w:t>.</w:t>
      </w:r>
      <w:r w:rsidR="00761F2B">
        <w:rPr>
          <w:rStyle w:val="FootnoteReference"/>
          <w:rFonts w:eastAsia="Arial" w:cs="Times New Roman"/>
          <w:sz w:val="24"/>
          <w:szCs w:val="24"/>
        </w:rPr>
        <w:footnoteReference w:id="6"/>
      </w:r>
      <w:r w:rsidRPr="00BC781C">
        <w:rPr>
          <w:rFonts w:eastAsia="Arial" w:cs="Times New Roman"/>
          <w:sz w:val="24"/>
          <w:szCs w:val="24"/>
        </w:rPr>
        <w:t xml:space="preserve"> Opazovano obdobje je obdobje vojne v Ukrajini, pa tudi migracij prek Zahodnega Balkana ter posledično številnih prošenj za azil.</w:t>
      </w:r>
      <w:r w:rsidR="00761F2B">
        <w:rPr>
          <w:rFonts w:eastAsia="Arial" w:cs="Times New Roman"/>
          <w:sz w:val="24"/>
          <w:szCs w:val="24"/>
        </w:rPr>
        <w:t xml:space="preserve"> </w:t>
      </w:r>
      <w:r w:rsidR="00761F2B" w:rsidRPr="00761F2B">
        <w:t xml:space="preserve">Od leta 2022 </w:t>
      </w:r>
      <w:r w:rsidR="00761F2B">
        <w:t xml:space="preserve">pa </w:t>
      </w:r>
      <w:r w:rsidR="00761F2B" w:rsidRPr="00761F2B">
        <w:t>je bilo podprtih tudi več projektov, osredotočenih na begunce in migrante – med njimi projekti ITF ter Slovenske karitas v Ukrajini in Moldaviji. Poleg tega je področje migracij vključeno tudi kot sestavni del projektnih prijav, ki se financirajo iz DKP sklada.</w:t>
      </w:r>
      <w:r w:rsidR="00761F2B" w:rsidRPr="00BC781C" w:rsidDel="00761F2B">
        <w:rPr>
          <w:rFonts w:eastAsia="Arial" w:cs="Times New Roman"/>
          <w:sz w:val="24"/>
          <w:szCs w:val="24"/>
        </w:rPr>
        <w:t xml:space="preserve"> </w:t>
      </w:r>
    </w:p>
    <w:p w14:paraId="3A415BC0" w14:textId="6C8A1DFA" w:rsidR="004B3420" w:rsidRPr="00BC781C" w:rsidRDefault="00A96486"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Tako se velik del postavk in tudi sredstev nanaša na kritje stroškov prehrane, oblačil in obutve, higienskih pripomočkov in nastanitve za prosilce za mednarodno zaščito, za opravljene zdravstvene storitve prosilcev za medn</w:t>
      </w:r>
      <w:r w:rsidR="00253C04" w:rsidRPr="00BC781C">
        <w:rPr>
          <w:rFonts w:eastAsia="Arial" w:cs="Times New Roman"/>
          <w:sz w:val="24"/>
          <w:szCs w:val="24"/>
        </w:rPr>
        <w:t>arodno</w:t>
      </w:r>
      <w:r w:rsidRPr="00BC781C">
        <w:rPr>
          <w:rFonts w:eastAsia="Arial" w:cs="Times New Roman"/>
          <w:sz w:val="24"/>
          <w:szCs w:val="24"/>
        </w:rPr>
        <w:t xml:space="preserve"> zaščito</w:t>
      </w:r>
      <w:r w:rsidR="009F11E3" w:rsidRPr="00BC781C">
        <w:rPr>
          <w:rFonts w:eastAsia="Arial" w:cs="Times New Roman"/>
          <w:sz w:val="24"/>
          <w:szCs w:val="24"/>
        </w:rPr>
        <w:t xml:space="preserve">, prevozi, itd. </w:t>
      </w:r>
      <w:r w:rsidR="004B3420" w:rsidRPr="00BC781C">
        <w:rPr>
          <w:rFonts w:eastAsia="Arial" w:cs="Times New Roman"/>
          <w:sz w:val="24"/>
          <w:szCs w:val="24"/>
        </w:rPr>
        <w:t>Zaradi višine sredstev najbolj i</w:t>
      </w:r>
      <w:r w:rsidR="009F11E3" w:rsidRPr="00BC781C">
        <w:rPr>
          <w:rFonts w:eastAsia="Arial" w:cs="Times New Roman"/>
          <w:sz w:val="24"/>
          <w:szCs w:val="24"/>
        </w:rPr>
        <w:t>zstopa v letih 2022 in 2023 postavka Migracije</w:t>
      </w:r>
      <w:r w:rsidR="003963AC" w:rsidRPr="00BC781C">
        <w:rPr>
          <w:rFonts w:eastAsia="Arial" w:cs="Times New Roman"/>
          <w:sz w:val="24"/>
          <w:szCs w:val="24"/>
        </w:rPr>
        <w:t xml:space="preserve"> </w:t>
      </w:r>
      <w:r w:rsidR="009F11E3" w:rsidRPr="00BC781C">
        <w:rPr>
          <w:rFonts w:eastAsia="Arial" w:cs="Times New Roman"/>
          <w:sz w:val="24"/>
          <w:szCs w:val="24"/>
        </w:rPr>
        <w:t>- ostala začasna oskrba (</w:t>
      </w:r>
      <w:r w:rsidR="003C407E" w:rsidRPr="00BC781C">
        <w:rPr>
          <w:rFonts w:eastAsia="Arial" w:cs="Times New Roman"/>
          <w:sz w:val="24"/>
          <w:szCs w:val="24"/>
        </w:rPr>
        <w:t>približno</w:t>
      </w:r>
      <w:r w:rsidR="009F11E3" w:rsidRPr="00BC781C">
        <w:rPr>
          <w:rFonts w:eastAsia="Arial" w:cs="Times New Roman"/>
          <w:sz w:val="24"/>
          <w:szCs w:val="24"/>
        </w:rPr>
        <w:t xml:space="preserve"> 11 </w:t>
      </w:r>
      <w:r w:rsidR="003C407E" w:rsidRPr="00BC781C">
        <w:rPr>
          <w:rFonts w:eastAsia="Arial" w:cs="Times New Roman"/>
          <w:sz w:val="24"/>
          <w:szCs w:val="24"/>
        </w:rPr>
        <w:t>milijonov</w:t>
      </w:r>
      <w:r w:rsidR="009F11E3" w:rsidRPr="00BC781C">
        <w:rPr>
          <w:rFonts w:eastAsia="Arial" w:cs="Times New Roman"/>
          <w:sz w:val="24"/>
          <w:szCs w:val="24"/>
        </w:rPr>
        <w:t xml:space="preserve"> €)</w:t>
      </w:r>
      <w:r w:rsidR="00BC781C" w:rsidRPr="00BC781C">
        <w:rPr>
          <w:rFonts w:eastAsia="Arial" w:cs="Times New Roman"/>
          <w:sz w:val="24"/>
          <w:szCs w:val="24"/>
        </w:rPr>
        <w:t>.</w:t>
      </w:r>
    </w:p>
    <w:p w14:paraId="64C1253D" w14:textId="7A525EF3" w:rsidR="00711B8C" w:rsidRPr="00BC781C" w:rsidRDefault="009F11E3"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V manjšem številu primerov lahko govorimo tudi o humanitarni projektih predvsem Karitasa za sofinanciranje oskrbe beguncev v državah Zahodnega Balkana ter na Poljskem (pomoč pri oskrbi beguncev iz Ukrajine</w:t>
      </w:r>
      <w:r w:rsidR="00253C04" w:rsidRPr="00BC781C">
        <w:rPr>
          <w:rFonts w:eastAsia="Arial" w:cs="Times New Roman"/>
          <w:sz w:val="24"/>
          <w:szCs w:val="24"/>
        </w:rPr>
        <w:t>)</w:t>
      </w:r>
      <w:r w:rsidRPr="00BC781C">
        <w:rPr>
          <w:rFonts w:eastAsia="Arial" w:cs="Times New Roman"/>
          <w:sz w:val="24"/>
          <w:szCs w:val="24"/>
        </w:rPr>
        <w:t xml:space="preserve">. </w:t>
      </w:r>
      <w:r w:rsidR="00711B8C" w:rsidRPr="00BC781C">
        <w:rPr>
          <w:rFonts w:eastAsia="Arial" w:cs="Times New Roman"/>
          <w:sz w:val="24"/>
          <w:szCs w:val="24"/>
        </w:rPr>
        <w:t xml:space="preserve">Ti </w:t>
      </w:r>
      <w:r w:rsidR="004B3420" w:rsidRPr="00BC781C">
        <w:rPr>
          <w:rFonts w:eastAsia="Arial" w:cs="Times New Roman"/>
          <w:sz w:val="24"/>
          <w:szCs w:val="24"/>
        </w:rPr>
        <w:t>projekti</w:t>
      </w:r>
      <w:r w:rsidR="00711B8C" w:rsidRPr="00BC781C">
        <w:rPr>
          <w:rFonts w:eastAsia="Arial" w:cs="Times New Roman"/>
          <w:sz w:val="24"/>
          <w:szCs w:val="24"/>
        </w:rPr>
        <w:t xml:space="preserve"> so usklajeni tudi z EU politikami (EU Pakt o migracijah in azilu) pa tudi s slovensko Strategijo priseljevanja. Dva projekta (Zavod Povod ter Slovenska Karitas) sta bila financirana tako s strani EU kot MZEZ, vsebinsko pa se nanašata na ozaveščanje o begunski problematiki in povezovanjem migracij in razvoja.</w:t>
      </w:r>
    </w:p>
    <w:p w14:paraId="197D5903" w14:textId="5E8F860B" w:rsidR="00A96486" w:rsidRPr="00BC781C" w:rsidRDefault="00711B8C"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lastRenderedPageBreak/>
        <w:t xml:space="preserve">Pretežni del sredstev na tem področju ni načrtno usmerjen v razvojne projekte, </w:t>
      </w:r>
      <w:r w:rsidR="00C612C9" w:rsidRPr="00BC781C">
        <w:rPr>
          <w:rFonts w:eastAsia="Arial" w:cs="Times New Roman"/>
          <w:sz w:val="24"/>
          <w:szCs w:val="24"/>
        </w:rPr>
        <w:t>predvsem v tak</w:t>
      </w:r>
      <w:r w:rsidR="003963AC" w:rsidRPr="00BC781C">
        <w:rPr>
          <w:rFonts w:eastAsia="Arial" w:cs="Times New Roman"/>
          <w:sz w:val="24"/>
          <w:szCs w:val="24"/>
        </w:rPr>
        <w:t>šne</w:t>
      </w:r>
      <w:r w:rsidR="00C612C9" w:rsidRPr="00BC781C">
        <w:rPr>
          <w:rFonts w:eastAsia="Arial" w:cs="Times New Roman"/>
          <w:sz w:val="24"/>
          <w:szCs w:val="24"/>
        </w:rPr>
        <w:t xml:space="preserve">, ki bi </w:t>
      </w:r>
      <w:r w:rsidR="004B3420" w:rsidRPr="00BC781C">
        <w:rPr>
          <w:rFonts w:eastAsia="Arial" w:cs="Times New Roman"/>
          <w:sz w:val="24"/>
          <w:szCs w:val="24"/>
        </w:rPr>
        <w:t xml:space="preserve">dolgoročno </w:t>
      </w:r>
      <w:r w:rsidR="00C612C9" w:rsidRPr="00BC781C">
        <w:rPr>
          <w:rFonts w:eastAsia="Arial" w:cs="Times New Roman"/>
          <w:sz w:val="24"/>
          <w:szCs w:val="24"/>
        </w:rPr>
        <w:t>odpravljali razloge za migracijo. Kljub temu ugotavljamo, da so sredstva namenjena za postavke,</w:t>
      </w:r>
      <w:r w:rsidR="00A96486" w:rsidRPr="00BC781C">
        <w:rPr>
          <w:rFonts w:eastAsia="Arial" w:cs="Times New Roman"/>
          <w:sz w:val="24"/>
          <w:szCs w:val="24"/>
        </w:rPr>
        <w:t xml:space="preserve"> sklad</w:t>
      </w:r>
      <w:r w:rsidR="00C612C9" w:rsidRPr="00BC781C">
        <w:rPr>
          <w:rFonts w:eastAsia="Arial" w:cs="Times New Roman"/>
          <w:sz w:val="24"/>
          <w:szCs w:val="24"/>
        </w:rPr>
        <w:t xml:space="preserve">ne s prizadevanji, ki so našteta v točki 29 </w:t>
      </w:r>
      <w:r w:rsidR="00107882" w:rsidRPr="00BC781C">
        <w:rPr>
          <w:rFonts w:eastAsia="Arial" w:cs="Times New Roman"/>
          <w:sz w:val="24"/>
          <w:szCs w:val="24"/>
        </w:rPr>
        <w:t>Agende 2030</w:t>
      </w:r>
      <w:r w:rsidR="00C612C9" w:rsidRPr="00BC781C">
        <w:rPr>
          <w:rFonts w:eastAsia="Arial" w:cs="Times New Roman"/>
          <w:sz w:val="24"/>
          <w:szCs w:val="24"/>
        </w:rPr>
        <w:t xml:space="preserve"> kjer se države članice OZN poziva, da zagotavljajo ustrezno varnost in podporo migrantom. </w:t>
      </w:r>
    </w:p>
    <w:p w14:paraId="2965E4E6" w14:textId="182CA1FF" w:rsidR="00767B0C" w:rsidRPr="00BC781C" w:rsidRDefault="00767B0C" w:rsidP="00BC781C">
      <w:pPr>
        <w:pStyle w:val="Heading2"/>
        <w:rPr>
          <w:rFonts w:eastAsia="Arial" w:cs="Times New Roman"/>
          <w:szCs w:val="24"/>
        </w:rPr>
      </w:pPr>
      <w:bookmarkStart w:id="5" w:name="_Toc205412247"/>
      <w:r w:rsidRPr="00BC781C">
        <w:rPr>
          <w:rFonts w:eastAsia="Arial" w:cs="Times New Roman"/>
          <w:szCs w:val="24"/>
        </w:rPr>
        <w:t>Sklepna ocena</w:t>
      </w:r>
      <w:bookmarkEnd w:id="5"/>
    </w:p>
    <w:p w14:paraId="0BC75ED4" w14:textId="42707645" w:rsidR="00C719DE" w:rsidRPr="00BC781C" w:rsidRDefault="00C719DE"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Princip SPR je dobro uveljavljen pri razpisih, ki jih izvaja MZEZ za mednarodne razvojne projekte. Dosledno se upošteva prioritete, zapisane v Strategiji in se posledično zagotavlja visoka stopnja skladnosti. MZEZ prav tako upošteva načelo SPTR, saj sta izbrani področji </w:t>
      </w:r>
      <w:r w:rsidR="00D505A0" w:rsidRPr="00BC781C">
        <w:rPr>
          <w:rFonts w:eastAsia="Arial" w:cs="Times New Roman"/>
          <w:sz w:val="24"/>
          <w:szCs w:val="24"/>
        </w:rPr>
        <w:t xml:space="preserve">(okolje in enakost spolov) </w:t>
      </w:r>
      <w:r w:rsidRPr="00BC781C">
        <w:rPr>
          <w:rFonts w:eastAsia="Arial" w:cs="Times New Roman"/>
          <w:sz w:val="24"/>
          <w:szCs w:val="24"/>
        </w:rPr>
        <w:t xml:space="preserve">visoko relevantni za zagotavljanje trajnostnega razvoja in prispevata k doseganju Agende 2030. </w:t>
      </w:r>
    </w:p>
    <w:p w14:paraId="0845BDCE" w14:textId="5D3BF6A7" w:rsidR="00C719DE" w:rsidRPr="00BC781C" w:rsidRDefault="00C719DE"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Po drugi strani je področje migracij specifično, saj gre v prvi vrsti za izvajanje mednarodnih zavez Slovenije in ne za sistematično usmerjanje razvojnega sodelovanja na področje migracij oziroma na odpravljanje razlogov za migracije. Tako je tudi vsebina tega področja le posredno vezana za SPR/ SPTR</w:t>
      </w:r>
      <w:r w:rsidR="004461CA" w:rsidRPr="00BC781C">
        <w:rPr>
          <w:rFonts w:eastAsia="Arial" w:cs="Times New Roman"/>
          <w:sz w:val="24"/>
          <w:szCs w:val="24"/>
        </w:rPr>
        <w:t>.</w:t>
      </w:r>
      <w:r w:rsidRPr="00BC781C">
        <w:rPr>
          <w:rFonts w:eastAsia="Arial" w:cs="Times New Roman"/>
          <w:sz w:val="24"/>
          <w:szCs w:val="24"/>
        </w:rPr>
        <w:t xml:space="preserve"> </w:t>
      </w:r>
    </w:p>
    <w:p w14:paraId="075C4484" w14:textId="77777777" w:rsidR="004B3420" w:rsidRPr="00BC781C" w:rsidRDefault="004B3420" w:rsidP="004461CA">
      <w:pPr>
        <w:shd w:val="clear" w:color="auto" w:fill="FFFFFF"/>
        <w:spacing w:before="240" w:after="240" w:line="276" w:lineRule="auto"/>
        <w:rPr>
          <w:rFonts w:eastAsia="Arial" w:cs="Times New Roman"/>
          <w:sz w:val="24"/>
          <w:szCs w:val="24"/>
        </w:rPr>
      </w:pPr>
    </w:p>
    <w:p w14:paraId="6C2A259A" w14:textId="5AE4C4B3" w:rsidR="004B3420" w:rsidRPr="00BC781C" w:rsidRDefault="00767B0C"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br w:type="column"/>
      </w:r>
    </w:p>
    <w:p w14:paraId="2656CEA5" w14:textId="67EEB626" w:rsidR="004B3420" w:rsidRPr="00BC781C" w:rsidRDefault="004B3420" w:rsidP="00BC781C">
      <w:pPr>
        <w:pStyle w:val="Heading1"/>
        <w:rPr>
          <w:rFonts w:eastAsia="Arial" w:cs="Times New Roman"/>
          <w:szCs w:val="24"/>
        </w:rPr>
      </w:pPr>
      <w:bookmarkStart w:id="6" w:name="_Toc205412248"/>
      <w:r w:rsidRPr="00BC781C">
        <w:rPr>
          <w:rFonts w:eastAsia="Arial" w:cs="Times New Roman"/>
          <w:szCs w:val="24"/>
        </w:rPr>
        <w:t xml:space="preserve">OECD analiza uresničevanja </w:t>
      </w:r>
      <w:r w:rsidR="00102F9A" w:rsidRPr="00BC781C">
        <w:rPr>
          <w:rFonts w:eastAsia="Arial" w:cs="Times New Roman"/>
          <w:szCs w:val="24"/>
        </w:rPr>
        <w:t>skladnosti politik za razvoj in skladnosti politik za trajnostni razvoj ter</w:t>
      </w:r>
      <w:r w:rsidRPr="00BC781C">
        <w:rPr>
          <w:rFonts w:eastAsia="Arial" w:cs="Times New Roman"/>
          <w:szCs w:val="24"/>
        </w:rPr>
        <w:t xml:space="preserve"> primeri dobrih praks</w:t>
      </w:r>
      <w:bookmarkEnd w:id="6"/>
    </w:p>
    <w:p w14:paraId="67BA1DDA" w14:textId="77777777" w:rsidR="001448FB" w:rsidRPr="00BC781C" w:rsidRDefault="001448FB" w:rsidP="004461CA">
      <w:pPr>
        <w:pStyle w:val="ListParagraph"/>
        <w:rPr>
          <w:rFonts w:eastAsia="Arial" w:cs="Times New Roman"/>
          <w:b/>
          <w:bCs/>
          <w:sz w:val="24"/>
          <w:szCs w:val="24"/>
        </w:rPr>
      </w:pPr>
    </w:p>
    <w:p w14:paraId="264A6D8B" w14:textId="30088A18" w:rsidR="00882917" w:rsidRPr="00BC781C" w:rsidRDefault="00882917" w:rsidP="004461CA">
      <w:pPr>
        <w:pStyle w:val="ListParagraph"/>
        <w:ind w:left="0"/>
        <w:rPr>
          <w:rFonts w:eastAsia="Arial" w:cs="Times New Roman"/>
          <w:sz w:val="24"/>
          <w:szCs w:val="24"/>
        </w:rPr>
      </w:pPr>
      <w:r w:rsidRPr="00BC781C">
        <w:rPr>
          <w:rFonts w:eastAsia="Arial" w:cs="Times New Roman"/>
          <w:sz w:val="24"/>
          <w:szCs w:val="24"/>
        </w:rPr>
        <w:t xml:space="preserve">Leta 2019 je Svet OECD sprejel »Priporočila za skladnost politik za trajnostni razvoj« (OECD/ LEGAL/0381) (od tu dalje Priporočila). Priporočila vsebujejo tri glavne </w:t>
      </w:r>
      <w:r w:rsidR="007D5441" w:rsidRPr="00BC781C">
        <w:rPr>
          <w:rFonts w:eastAsia="Arial" w:cs="Times New Roman"/>
          <w:sz w:val="24"/>
          <w:szCs w:val="24"/>
        </w:rPr>
        <w:t xml:space="preserve">vsebinske </w:t>
      </w:r>
      <w:r w:rsidRPr="00BC781C">
        <w:rPr>
          <w:rFonts w:eastAsia="Arial" w:cs="Times New Roman"/>
          <w:sz w:val="24"/>
          <w:szCs w:val="24"/>
        </w:rPr>
        <w:t xml:space="preserve">sklope in znotraj njih osem principov, ki naj pomagajo državam </w:t>
      </w:r>
      <w:r w:rsidR="007D5441" w:rsidRPr="00BC781C">
        <w:rPr>
          <w:rFonts w:eastAsia="Arial" w:cs="Times New Roman"/>
          <w:sz w:val="24"/>
          <w:szCs w:val="24"/>
        </w:rPr>
        <w:t xml:space="preserve">pri </w:t>
      </w:r>
      <w:r w:rsidRPr="00BC781C">
        <w:rPr>
          <w:rFonts w:eastAsia="Arial" w:cs="Times New Roman"/>
          <w:sz w:val="24"/>
          <w:szCs w:val="24"/>
        </w:rPr>
        <w:t>procesu uresničevanja Agende 2030 na način skladnih politik</w:t>
      </w:r>
      <w:r w:rsidR="00DB7388" w:rsidRPr="00BC781C">
        <w:rPr>
          <w:rFonts w:eastAsia="Arial" w:cs="Times New Roman"/>
          <w:sz w:val="24"/>
          <w:szCs w:val="24"/>
        </w:rPr>
        <w:t>:</w:t>
      </w:r>
    </w:p>
    <w:p w14:paraId="4988DD24" w14:textId="77777777" w:rsidR="00882917" w:rsidRPr="00BC781C" w:rsidRDefault="00882917" w:rsidP="004461CA">
      <w:pPr>
        <w:pStyle w:val="ListParagraph"/>
        <w:ind w:left="0"/>
        <w:rPr>
          <w:rFonts w:eastAsia="Arial" w:cs="Times New Roman"/>
          <w:sz w:val="24"/>
          <w:szCs w:val="24"/>
        </w:rPr>
      </w:pPr>
    </w:p>
    <w:p w14:paraId="450DFC0B" w14:textId="0904C625" w:rsidR="00882917" w:rsidRPr="00BC781C" w:rsidRDefault="00882917" w:rsidP="007D5441">
      <w:pPr>
        <w:pStyle w:val="ListParagraph"/>
        <w:numPr>
          <w:ilvl w:val="0"/>
          <w:numId w:val="29"/>
        </w:numPr>
        <w:rPr>
          <w:rFonts w:eastAsia="Arial" w:cs="Times New Roman"/>
          <w:b/>
          <w:bCs/>
          <w:sz w:val="24"/>
          <w:szCs w:val="24"/>
        </w:rPr>
      </w:pPr>
      <w:r w:rsidRPr="00BC781C">
        <w:rPr>
          <w:rFonts w:eastAsia="Arial" w:cs="Times New Roman"/>
          <w:b/>
          <w:bCs/>
          <w:sz w:val="24"/>
          <w:szCs w:val="24"/>
        </w:rPr>
        <w:t>Strateška vizija za uresničevanje Agende 2030, ki je podprta z jasno politično zavezo in vodenjem za spodbujanje SPTR</w:t>
      </w:r>
    </w:p>
    <w:p w14:paraId="201E7323" w14:textId="77777777" w:rsidR="00882917" w:rsidRPr="00BC781C" w:rsidRDefault="00882917" w:rsidP="004461CA">
      <w:pPr>
        <w:pStyle w:val="ListParagraph"/>
        <w:numPr>
          <w:ilvl w:val="2"/>
          <w:numId w:val="2"/>
        </w:numPr>
        <w:rPr>
          <w:rFonts w:eastAsia="Arial" w:cs="Times New Roman"/>
          <w:sz w:val="24"/>
          <w:szCs w:val="24"/>
        </w:rPr>
      </w:pPr>
      <w:r w:rsidRPr="00BC781C">
        <w:rPr>
          <w:rFonts w:eastAsia="Arial" w:cs="Times New Roman"/>
          <w:sz w:val="24"/>
          <w:szCs w:val="24"/>
        </w:rPr>
        <w:t>Oblikovati močno, vključujočo politično zavezo in vodenje na najvišji politični ravni</w:t>
      </w:r>
    </w:p>
    <w:p w14:paraId="453DD012" w14:textId="77777777" w:rsidR="00882917" w:rsidRPr="00BC781C" w:rsidRDefault="00882917" w:rsidP="004461CA">
      <w:pPr>
        <w:pStyle w:val="ListParagraph"/>
        <w:numPr>
          <w:ilvl w:val="2"/>
          <w:numId w:val="2"/>
        </w:numPr>
        <w:rPr>
          <w:rFonts w:eastAsia="Arial" w:cs="Times New Roman"/>
          <w:sz w:val="24"/>
          <w:szCs w:val="24"/>
        </w:rPr>
      </w:pPr>
      <w:r w:rsidRPr="00BC781C">
        <w:rPr>
          <w:rFonts w:eastAsia="Arial" w:cs="Times New Roman"/>
          <w:sz w:val="24"/>
          <w:szCs w:val="24"/>
        </w:rPr>
        <w:t>Opredeliti, izvajati in komunicirati strateško dolgoročno vizijo, ki podpira skladnost politik</w:t>
      </w:r>
    </w:p>
    <w:p w14:paraId="7B82C7DB" w14:textId="0546DA62" w:rsidR="0023057B" w:rsidRPr="00BC781C" w:rsidRDefault="00882917" w:rsidP="0023057B">
      <w:pPr>
        <w:pStyle w:val="ListParagraph"/>
        <w:numPr>
          <w:ilvl w:val="2"/>
          <w:numId w:val="2"/>
        </w:numPr>
        <w:rPr>
          <w:rFonts w:eastAsia="Arial" w:cs="Times New Roman"/>
          <w:sz w:val="24"/>
          <w:szCs w:val="24"/>
        </w:rPr>
      </w:pPr>
      <w:r w:rsidRPr="00BC781C">
        <w:rPr>
          <w:rFonts w:eastAsia="Arial" w:cs="Times New Roman"/>
          <w:sz w:val="24"/>
          <w:szCs w:val="24"/>
        </w:rPr>
        <w:t>Izboljšati integriranost politik za boljše vključevanje trajnostnega razvoja v politike in financiranje</w:t>
      </w:r>
    </w:p>
    <w:p w14:paraId="1463685E" w14:textId="77777777" w:rsidR="00674360" w:rsidRPr="00BC781C" w:rsidRDefault="00882917" w:rsidP="007D5441">
      <w:pPr>
        <w:pStyle w:val="ListParagraph"/>
        <w:numPr>
          <w:ilvl w:val="0"/>
          <w:numId w:val="29"/>
        </w:numPr>
        <w:rPr>
          <w:rFonts w:eastAsia="Arial" w:cs="Times New Roman"/>
          <w:b/>
          <w:bCs/>
          <w:sz w:val="24"/>
          <w:szCs w:val="24"/>
        </w:rPr>
      </w:pPr>
      <w:r w:rsidRPr="00BC781C">
        <w:rPr>
          <w:rFonts w:eastAsia="Arial" w:cs="Times New Roman"/>
          <w:b/>
          <w:bCs/>
          <w:sz w:val="24"/>
          <w:szCs w:val="24"/>
        </w:rPr>
        <w:t>Učinkoviti in vključujoči institucionalni in upravljavski mehanizmi, ki naslavljajo medsebojne odnose politik</w:t>
      </w:r>
      <w:r w:rsidR="00674360" w:rsidRPr="00BC781C">
        <w:rPr>
          <w:rFonts w:eastAsia="Arial" w:cs="Times New Roman"/>
          <w:b/>
          <w:bCs/>
          <w:sz w:val="24"/>
          <w:szCs w:val="24"/>
        </w:rPr>
        <w:t xml:space="preserve"> različnih sektorjev in različnih ravni vlade.</w:t>
      </w:r>
    </w:p>
    <w:p w14:paraId="000E76B8" w14:textId="143A08D5" w:rsidR="00674360" w:rsidRPr="00BC781C" w:rsidRDefault="00674360" w:rsidP="004461CA">
      <w:pPr>
        <w:pStyle w:val="ListParagraph"/>
        <w:numPr>
          <w:ilvl w:val="2"/>
          <w:numId w:val="5"/>
        </w:numPr>
        <w:rPr>
          <w:rFonts w:eastAsia="Arial" w:cs="Times New Roman"/>
          <w:sz w:val="24"/>
          <w:szCs w:val="24"/>
        </w:rPr>
      </w:pPr>
      <w:r w:rsidRPr="00BC781C">
        <w:rPr>
          <w:rFonts w:eastAsia="Arial" w:cs="Times New Roman"/>
          <w:sz w:val="24"/>
          <w:szCs w:val="24"/>
        </w:rPr>
        <w:t xml:space="preserve">Zagotoviti </w:t>
      </w:r>
      <w:r w:rsidR="006516EE" w:rsidRPr="00BC781C">
        <w:rPr>
          <w:rFonts w:eastAsia="Arial" w:cs="Times New Roman"/>
          <w:sz w:val="24"/>
          <w:szCs w:val="24"/>
        </w:rPr>
        <w:t>usklajevanje na ravni celotne vlade (</w:t>
      </w:r>
      <w:r w:rsidR="006516EE" w:rsidRPr="00BC781C">
        <w:rPr>
          <w:rFonts w:eastAsia="Arial" w:cs="Times New Roman"/>
          <w:i/>
          <w:iCs/>
          <w:sz w:val="24"/>
          <w:szCs w:val="24"/>
        </w:rPr>
        <w:t>whole of a government coordination</w:t>
      </w:r>
      <w:r w:rsidR="006516EE" w:rsidRPr="00BC781C">
        <w:rPr>
          <w:rFonts w:eastAsia="Arial" w:cs="Times New Roman"/>
          <w:sz w:val="24"/>
          <w:szCs w:val="24"/>
        </w:rPr>
        <w:t>)</w:t>
      </w:r>
      <w:r w:rsidRPr="00BC781C">
        <w:rPr>
          <w:rFonts w:eastAsia="Arial" w:cs="Times New Roman"/>
          <w:sz w:val="24"/>
          <w:szCs w:val="24"/>
        </w:rPr>
        <w:t xml:space="preserve"> za ugotavljanje in zmanjševanje divergenc med sektorskimi prioritetami in politikami;</w:t>
      </w:r>
    </w:p>
    <w:p w14:paraId="32C73FE4" w14:textId="77777777" w:rsidR="00674360" w:rsidRPr="00BC781C" w:rsidRDefault="00674360" w:rsidP="004461CA">
      <w:pPr>
        <w:pStyle w:val="ListParagraph"/>
        <w:numPr>
          <w:ilvl w:val="2"/>
          <w:numId w:val="5"/>
        </w:numPr>
        <w:rPr>
          <w:rFonts w:eastAsia="Arial" w:cs="Times New Roman"/>
          <w:sz w:val="24"/>
          <w:szCs w:val="24"/>
        </w:rPr>
      </w:pPr>
      <w:r w:rsidRPr="00BC781C">
        <w:rPr>
          <w:rFonts w:eastAsia="Arial" w:cs="Times New Roman"/>
          <w:sz w:val="24"/>
          <w:szCs w:val="24"/>
        </w:rPr>
        <w:t>Primerno vključiti subnacionalne ravni države na področjih kjer je pomembna njihova vloga pri koordinaciji politik in promoviranju koordiniranega pristopa;</w:t>
      </w:r>
    </w:p>
    <w:p w14:paraId="45284EE6" w14:textId="174496ED" w:rsidR="00674360" w:rsidRPr="00BC781C" w:rsidRDefault="00674360" w:rsidP="004461CA">
      <w:pPr>
        <w:pStyle w:val="ListParagraph"/>
        <w:numPr>
          <w:ilvl w:val="2"/>
          <w:numId w:val="5"/>
        </w:numPr>
        <w:rPr>
          <w:rFonts w:eastAsia="Arial" w:cs="Times New Roman"/>
          <w:sz w:val="24"/>
          <w:szCs w:val="24"/>
        </w:rPr>
      </w:pPr>
      <w:r w:rsidRPr="00BC781C">
        <w:rPr>
          <w:rFonts w:eastAsia="Arial" w:cs="Times New Roman"/>
          <w:sz w:val="24"/>
          <w:szCs w:val="24"/>
        </w:rPr>
        <w:t>Učinkovito vključiti deležnike za zagotavljanje širše podpore SPTR in izvajanju tega načela</w:t>
      </w:r>
      <w:r w:rsidR="004461CA" w:rsidRPr="00BC781C">
        <w:rPr>
          <w:rFonts w:eastAsia="Arial" w:cs="Times New Roman"/>
          <w:sz w:val="24"/>
          <w:szCs w:val="24"/>
        </w:rPr>
        <w:t>.</w:t>
      </w:r>
    </w:p>
    <w:p w14:paraId="3BBEF453" w14:textId="662600CA" w:rsidR="001448FB" w:rsidRPr="00BC781C" w:rsidRDefault="00674360" w:rsidP="0023057B">
      <w:pPr>
        <w:pStyle w:val="ListParagraph"/>
        <w:numPr>
          <w:ilvl w:val="0"/>
          <w:numId w:val="24"/>
        </w:numPr>
        <w:rPr>
          <w:rFonts w:eastAsia="Arial" w:cs="Times New Roman"/>
          <w:b/>
          <w:bCs/>
          <w:sz w:val="24"/>
          <w:szCs w:val="24"/>
        </w:rPr>
      </w:pPr>
      <w:r w:rsidRPr="00BC781C">
        <w:rPr>
          <w:rFonts w:eastAsia="Arial" w:cs="Times New Roman"/>
          <w:b/>
          <w:bCs/>
          <w:sz w:val="24"/>
          <w:szCs w:val="24"/>
        </w:rPr>
        <w:t>Niz prilagojenih in ustreznih orodij za predvidevanje, oceno in naslavljanje domačih, čezmejnih in dolgoročnih vplivov politik</w:t>
      </w:r>
      <w:r w:rsidR="00882917" w:rsidRPr="00BC781C">
        <w:rPr>
          <w:rFonts w:eastAsia="Arial" w:cs="Times New Roman"/>
          <w:b/>
          <w:bCs/>
          <w:sz w:val="24"/>
          <w:szCs w:val="24"/>
        </w:rPr>
        <w:t xml:space="preserve">    </w:t>
      </w:r>
    </w:p>
    <w:p w14:paraId="7EBF7E6B" w14:textId="413EE8DC" w:rsidR="00674360" w:rsidRPr="00BC781C" w:rsidRDefault="00674360" w:rsidP="004461CA">
      <w:pPr>
        <w:pStyle w:val="ListParagraph"/>
        <w:numPr>
          <w:ilvl w:val="2"/>
          <w:numId w:val="6"/>
        </w:numPr>
        <w:rPr>
          <w:rFonts w:eastAsia="Arial" w:cs="Times New Roman"/>
          <w:sz w:val="24"/>
          <w:szCs w:val="24"/>
        </w:rPr>
      </w:pPr>
      <w:r w:rsidRPr="00BC781C">
        <w:rPr>
          <w:rFonts w:eastAsia="Arial" w:cs="Times New Roman"/>
          <w:sz w:val="24"/>
          <w:szCs w:val="24"/>
        </w:rPr>
        <w:t>Analiza in ocena politik in finančnih učinkov</w:t>
      </w:r>
    </w:p>
    <w:p w14:paraId="086AA314" w14:textId="6F98B347" w:rsidR="00674360" w:rsidRPr="00BC781C" w:rsidRDefault="00CB3182" w:rsidP="004461CA">
      <w:pPr>
        <w:pStyle w:val="ListParagraph"/>
        <w:numPr>
          <w:ilvl w:val="2"/>
          <w:numId w:val="6"/>
        </w:num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Krepitev sistemov nadzora, poročanja in evalvacije za zbiranje kvantitativne in kvalitativne evidence o učinkih politik in njihovega financiranja ter poročanju o SPTR.  </w:t>
      </w:r>
    </w:p>
    <w:p w14:paraId="57DB2938" w14:textId="351216AB" w:rsidR="00950608" w:rsidRPr="00BC781C" w:rsidRDefault="009F7B5A" w:rsidP="004461CA">
      <w:pPr>
        <w:rPr>
          <w:rFonts w:eastAsia="Arial" w:cs="Times New Roman"/>
          <w:sz w:val="24"/>
          <w:szCs w:val="24"/>
        </w:rPr>
      </w:pPr>
      <w:r w:rsidRPr="00BC781C">
        <w:rPr>
          <w:rFonts w:eastAsia="Arial" w:cs="Times New Roman"/>
          <w:sz w:val="24"/>
          <w:szCs w:val="24"/>
        </w:rPr>
        <w:t xml:space="preserve">Priporočila so bila sprejeta </w:t>
      </w:r>
      <w:r w:rsidR="004461CA" w:rsidRPr="00BC781C">
        <w:rPr>
          <w:rFonts w:eastAsia="Arial" w:cs="Times New Roman"/>
          <w:sz w:val="24"/>
          <w:szCs w:val="24"/>
        </w:rPr>
        <w:t xml:space="preserve">leta </w:t>
      </w:r>
      <w:r w:rsidRPr="00BC781C">
        <w:rPr>
          <w:rFonts w:eastAsia="Arial" w:cs="Times New Roman"/>
          <w:sz w:val="24"/>
          <w:szCs w:val="24"/>
        </w:rPr>
        <w:t>2019, v 2024 pa je OECD na podlagi vprašalnika državam članicam</w:t>
      </w:r>
      <w:r w:rsidRPr="00BC781C">
        <w:rPr>
          <w:rStyle w:val="FootnoteReference"/>
          <w:rFonts w:eastAsia="Arial" w:cs="Times New Roman"/>
          <w:sz w:val="24"/>
          <w:szCs w:val="24"/>
        </w:rPr>
        <w:footnoteReference w:id="7"/>
      </w:r>
      <w:r w:rsidRPr="00BC781C">
        <w:rPr>
          <w:rFonts w:eastAsia="Arial" w:cs="Times New Roman"/>
          <w:sz w:val="24"/>
          <w:szCs w:val="24"/>
        </w:rPr>
        <w:t xml:space="preserve"> ter na podlagi OECD DAC pregledov analiziral</w:t>
      </w:r>
      <w:r w:rsidR="007D5441" w:rsidRPr="00BC781C">
        <w:rPr>
          <w:rFonts w:eastAsia="Arial" w:cs="Times New Roman"/>
          <w:sz w:val="24"/>
          <w:szCs w:val="24"/>
        </w:rPr>
        <w:t>a</w:t>
      </w:r>
      <w:r w:rsidRPr="00BC781C">
        <w:rPr>
          <w:rFonts w:eastAsia="Arial" w:cs="Times New Roman"/>
          <w:sz w:val="24"/>
          <w:szCs w:val="24"/>
        </w:rPr>
        <w:t xml:space="preserve">, kako se uresničujejo in kje imajo države največ težav (OECD, 2024). </w:t>
      </w:r>
      <w:r w:rsidR="00950608" w:rsidRPr="00BC781C">
        <w:rPr>
          <w:rFonts w:eastAsia="Arial" w:cs="Times New Roman"/>
          <w:sz w:val="24"/>
          <w:szCs w:val="24"/>
        </w:rPr>
        <w:t>Prav tako analiza zajema primere dobrih praks držav, ki so v okviru posameznih sklopov/principov razvile uspešne rešitve in jim lahko druge države sledijo. Prikaz ugotovitev sledi sklopom in posameznim principom iz Priporočil.</w:t>
      </w:r>
    </w:p>
    <w:p w14:paraId="774C3FC5" w14:textId="4576602C" w:rsidR="00950608" w:rsidRPr="00BC781C" w:rsidRDefault="00102F9A" w:rsidP="00BC781C">
      <w:pPr>
        <w:pStyle w:val="Heading2"/>
        <w:rPr>
          <w:rFonts w:eastAsia="Arial" w:cs="Times New Roman"/>
          <w:szCs w:val="24"/>
        </w:rPr>
      </w:pPr>
      <w:bookmarkStart w:id="7" w:name="_Toc205412249"/>
      <w:r w:rsidRPr="00BC781C">
        <w:rPr>
          <w:rFonts w:eastAsia="Arial" w:cs="Times New Roman"/>
          <w:szCs w:val="24"/>
        </w:rPr>
        <w:t>Pregled ugotovitev OECD analize</w:t>
      </w:r>
      <w:bookmarkEnd w:id="7"/>
      <w:r w:rsidRPr="00BC781C">
        <w:rPr>
          <w:rFonts w:eastAsia="Arial" w:cs="Times New Roman"/>
          <w:szCs w:val="24"/>
        </w:rPr>
        <w:t xml:space="preserve"> </w:t>
      </w:r>
    </w:p>
    <w:p w14:paraId="49657A06" w14:textId="025082B6" w:rsidR="00C17F83" w:rsidRPr="00BC781C" w:rsidRDefault="00950608" w:rsidP="004461CA">
      <w:pPr>
        <w:rPr>
          <w:rFonts w:eastAsia="Arial" w:cs="Times New Roman"/>
          <w:b/>
          <w:bCs/>
          <w:sz w:val="24"/>
          <w:szCs w:val="24"/>
        </w:rPr>
      </w:pPr>
      <w:r w:rsidRPr="00BC781C">
        <w:rPr>
          <w:rFonts w:eastAsia="Arial" w:cs="Times New Roman"/>
          <w:b/>
          <w:bCs/>
          <w:sz w:val="24"/>
          <w:szCs w:val="24"/>
        </w:rPr>
        <w:t>Sklop 1</w:t>
      </w:r>
      <w:r w:rsidR="003961E4" w:rsidRPr="00BC781C">
        <w:rPr>
          <w:rFonts w:eastAsia="Arial" w:cs="Times New Roman"/>
          <w:b/>
          <w:bCs/>
          <w:sz w:val="24"/>
          <w:szCs w:val="24"/>
        </w:rPr>
        <w:t xml:space="preserve">: </w:t>
      </w:r>
      <w:r w:rsidR="00126EE8" w:rsidRPr="00BC781C">
        <w:rPr>
          <w:rFonts w:eastAsia="Arial" w:cs="Times New Roman"/>
          <w:b/>
          <w:bCs/>
          <w:sz w:val="24"/>
          <w:szCs w:val="24"/>
        </w:rPr>
        <w:t>Strateška vizija za uresničevanje Agende 2030, ki je podprta z jasno politično zavezo in vodenjem za spodbujanje SPTR</w:t>
      </w:r>
    </w:p>
    <w:p w14:paraId="12FA34D8" w14:textId="2E5C069E" w:rsidR="003457A7" w:rsidRPr="00BC781C" w:rsidRDefault="00950608" w:rsidP="003457A7">
      <w:pPr>
        <w:rPr>
          <w:rFonts w:eastAsia="Arial" w:cs="Times New Roman"/>
          <w:sz w:val="24"/>
          <w:szCs w:val="24"/>
        </w:rPr>
      </w:pPr>
      <w:r w:rsidRPr="00BC781C">
        <w:rPr>
          <w:rFonts w:eastAsia="Arial" w:cs="Times New Roman"/>
          <w:i/>
          <w:iCs/>
          <w:sz w:val="24"/>
          <w:szCs w:val="24"/>
        </w:rPr>
        <w:t xml:space="preserve">i) </w:t>
      </w:r>
      <w:r w:rsidR="003457A7" w:rsidRPr="00BC781C">
        <w:rPr>
          <w:rFonts w:eastAsia="Arial" w:cs="Times New Roman"/>
          <w:sz w:val="24"/>
          <w:szCs w:val="24"/>
        </w:rPr>
        <w:t>Oblikovati močno, vključujočo politično zavezo in vodenje na najvišji politični ravni</w:t>
      </w:r>
    </w:p>
    <w:p w14:paraId="540B5566" w14:textId="23CA0EBF" w:rsidR="00950608" w:rsidRPr="00BC781C" w:rsidRDefault="00950608" w:rsidP="004461CA">
      <w:pPr>
        <w:rPr>
          <w:rFonts w:eastAsia="Arial" w:cs="Times New Roman"/>
          <w:i/>
          <w:iCs/>
          <w:sz w:val="24"/>
          <w:szCs w:val="24"/>
        </w:rPr>
      </w:pPr>
    </w:p>
    <w:p w14:paraId="474D7533" w14:textId="77777777" w:rsidR="00C17F83" w:rsidRPr="00BC781C" w:rsidRDefault="00950608" w:rsidP="004461CA">
      <w:pPr>
        <w:rPr>
          <w:rFonts w:eastAsia="Arial" w:cs="Times New Roman"/>
          <w:sz w:val="24"/>
          <w:szCs w:val="24"/>
        </w:rPr>
      </w:pPr>
      <w:r w:rsidRPr="00BC781C">
        <w:rPr>
          <w:rFonts w:eastAsia="Arial" w:cs="Times New Roman"/>
          <w:sz w:val="24"/>
          <w:szCs w:val="24"/>
        </w:rPr>
        <w:t xml:space="preserve">Kar 84% držav, ki so odgovorile na vprašalnik, je oblikovalo in objavilo na ravni vlade svojo zavezo k uresničevanju SPTR. Največkrat je zaveza sestavni del nacionalnih strategij za uresničevanje Agende 2030. V takem dokumentu so opredeljena tudi prioritetna področja za implementacijo Agende ter imenovana vodilna institucija, ki skrbi za SPTR. </w:t>
      </w:r>
    </w:p>
    <w:p w14:paraId="0DC11A78" w14:textId="286022A5" w:rsidR="00C17F83" w:rsidRPr="00BC781C" w:rsidRDefault="00950608" w:rsidP="004461CA">
      <w:pPr>
        <w:rPr>
          <w:rFonts w:eastAsia="Arial" w:cs="Times New Roman"/>
          <w:sz w:val="24"/>
          <w:szCs w:val="24"/>
        </w:rPr>
      </w:pPr>
      <w:r w:rsidRPr="00BC781C">
        <w:rPr>
          <w:rFonts w:eastAsia="Arial" w:cs="Times New Roman"/>
          <w:sz w:val="24"/>
          <w:szCs w:val="24"/>
        </w:rPr>
        <w:t xml:space="preserve">Nekatere države so za področje </w:t>
      </w:r>
      <w:r w:rsidR="00746680" w:rsidRPr="00BC781C">
        <w:rPr>
          <w:rFonts w:eastAsia="Arial" w:cs="Times New Roman"/>
          <w:sz w:val="24"/>
          <w:szCs w:val="24"/>
        </w:rPr>
        <w:t xml:space="preserve">SPTR </w:t>
      </w:r>
      <w:r w:rsidRPr="00BC781C">
        <w:rPr>
          <w:rFonts w:eastAsia="Arial" w:cs="Times New Roman"/>
          <w:sz w:val="24"/>
          <w:szCs w:val="24"/>
        </w:rPr>
        <w:t>oblikovale posebno institucijo (Portugalska, Italija</w:t>
      </w:r>
      <w:r w:rsidR="00C17F83" w:rsidRPr="00BC781C">
        <w:rPr>
          <w:rFonts w:eastAsia="Arial" w:cs="Times New Roman"/>
          <w:sz w:val="24"/>
          <w:szCs w:val="24"/>
        </w:rPr>
        <w:t>, Čile) spet druge so za izvajanje zadolžile specifična ministrstva (Litva</w:t>
      </w:r>
      <w:r w:rsidR="009A57CF" w:rsidRPr="00BC781C">
        <w:rPr>
          <w:rFonts w:eastAsia="Arial" w:cs="Times New Roman"/>
          <w:sz w:val="24"/>
          <w:szCs w:val="24"/>
        </w:rPr>
        <w:t xml:space="preserve"> na primer </w:t>
      </w:r>
      <w:r w:rsidR="00C17F83" w:rsidRPr="00BC781C">
        <w:rPr>
          <w:rFonts w:eastAsia="Arial" w:cs="Times New Roman"/>
          <w:sz w:val="24"/>
          <w:szCs w:val="24"/>
        </w:rPr>
        <w:t>ministrstvo za okolje v sodelovanju z zunanjim ministrstvom</w:t>
      </w:r>
      <w:r w:rsidR="009A57CF" w:rsidRPr="00BC781C">
        <w:rPr>
          <w:rFonts w:eastAsia="Arial" w:cs="Times New Roman"/>
          <w:sz w:val="24"/>
          <w:szCs w:val="24"/>
        </w:rPr>
        <w:t xml:space="preserve">, </w:t>
      </w:r>
      <w:r w:rsidR="00C17F83" w:rsidRPr="00BC781C">
        <w:rPr>
          <w:rFonts w:eastAsia="Arial" w:cs="Times New Roman"/>
          <w:sz w:val="24"/>
          <w:szCs w:val="24"/>
        </w:rPr>
        <w:t>Španija</w:t>
      </w:r>
      <w:r w:rsidR="009A57CF" w:rsidRPr="00BC781C">
        <w:rPr>
          <w:rFonts w:eastAsia="Arial" w:cs="Times New Roman"/>
          <w:sz w:val="24"/>
          <w:szCs w:val="24"/>
        </w:rPr>
        <w:t xml:space="preserve"> pa </w:t>
      </w:r>
      <w:r w:rsidR="00C17F83" w:rsidRPr="00BC781C">
        <w:rPr>
          <w:rFonts w:eastAsia="Arial" w:cs="Times New Roman"/>
          <w:sz w:val="24"/>
          <w:szCs w:val="24"/>
        </w:rPr>
        <w:t>ministrstvo za zunanje zadeve ter ministrstvo za socialne pravice, varstvo potrošnikov in Agendo 2030). Japonska je oblikovala poseben urad za promocijo CTR, ki ga vodi premier. Urad je zadolžen tudi za spremljanje izvajanja načela SPTR. Podoben pristop ima Republika Koreja, ki je ustanovila Nacionalni svet za trajnostni razvoj, ki ga nadzoruje predsednikova pisarna. Svet redno ocenjuje izvajanje trajnostnega razvoja in skrbi za SPTR.</w:t>
      </w:r>
    </w:p>
    <w:p w14:paraId="5BF24324" w14:textId="77777777" w:rsidR="008C3754" w:rsidRPr="00BC781C" w:rsidRDefault="00746680" w:rsidP="004461CA">
      <w:pPr>
        <w:rPr>
          <w:rFonts w:eastAsia="Arial" w:cs="Times New Roman"/>
          <w:sz w:val="24"/>
          <w:szCs w:val="24"/>
        </w:rPr>
      </w:pPr>
      <w:r w:rsidRPr="00BC781C">
        <w:rPr>
          <w:rFonts w:eastAsia="Arial" w:cs="Times New Roman"/>
          <w:sz w:val="24"/>
          <w:szCs w:val="24"/>
        </w:rPr>
        <w:t>Ena od pomembnih ovir uresničevanju SPTR, ki so jo izpostavile države v svojih odgovorih, je nezadostna politična zaveza uresničevanju načela. Še največ težav povzroča državam vključevanje/spremljanje učinkov prek nacionalnih meja (</w:t>
      </w:r>
      <w:r w:rsidRPr="00BC781C">
        <w:rPr>
          <w:rFonts w:eastAsia="Arial" w:cs="Times New Roman"/>
          <w:i/>
          <w:iCs/>
          <w:sz w:val="24"/>
          <w:szCs w:val="24"/>
        </w:rPr>
        <w:t>transboundary</w:t>
      </w:r>
      <w:r w:rsidRPr="00BC781C">
        <w:rPr>
          <w:rFonts w:eastAsia="Arial" w:cs="Times New Roman"/>
          <w:sz w:val="24"/>
          <w:szCs w:val="24"/>
        </w:rPr>
        <w:t xml:space="preserve">). </w:t>
      </w:r>
    </w:p>
    <w:p w14:paraId="5CFFFCB9" w14:textId="186B002B" w:rsidR="00746680" w:rsidRPr="00BC781C" w:rsidRDefault="00746680" w:rsidP="004461CA">
      <w:pPr>
        <w:rPr>
          <w:rFonts w:eastAsia="Arial" w:cs="Times New Roman"/>
          <w:sz w:val="24"/>
          <w:szCs w:val="24"/>
        </w:rPr>
      </w:pPr>
      <w:r w:rsidRPr="00BC781C">
        <w:rPr>
          <w:rFonts w:eastAsia="Arial" w:cs="Times New Roman"/>
          <w:b/>
          <w:bCs/>
          <w:sz w:val="24"/>
          <w:szCs w:val="24"/>
        </w:rPr>
        <w:t>Analiza izpostavlja, da so izkušnje držav boljše v primerih, ko je koordinator izvajanja načela ministrstvo za zunanje zadeve, ki v večji meri razpozna mednarodno komponento učinkov politik.</w:t>
      </w:r>
      <w:r w:rsidRPr="00BC781C">
        <w:rPr>
          <w:rFonts w:eastAsia="Arial" w:cs="Times New Roman"/>
          <w:sz w:val="24"/>
          <w:szCs w:val="24"/>
        </w:rPr>
        <w:t xml:space="preserve">  </w:t>
      </w:r>
    </w:p>
    <w:p w14:paraId="05A8286C" w14:textId="67B15086" w:rsidR="00674360" w:rsidRPr="00BC781C" w:rsidRDefault="00950608" w:rsidP="004461CA">
      <w:pPr>
        <w:rPr>
          <w:rFonts w:eastAsia="Arial" w:cs="Times New Roman"/>
          <w:sz w:val="24"/>
          <w:szCs w:val="24"/>
        </w:rPr>
      </w:pPr>
      <w:r w:rsidRPr="00BC781C">
        <w:rPr>
          <w:rFonts w:eastAsia="Arial" w:cs="Times New Roman"/>
          <w:sz w:val="24"/>
          <w:szCs w:val="24"/>
        </w:rPr>
        <w:t xml:space="preserve"> </w:t>
      </w:r>
    </w:p>
    <w:p w14:paraId="1C1E3480" w14:textId="1B76AB6D" w:rsidR="00746680" w:rsidRPr="00BC781C" w:rsidRDefault="00746680" w:rsidP="004461CA">
      <w:pPr>
        <w:rPr>
          <w:rFonts w:eastAsia="Arial" w:cs="Times New Roman"/>
          <w:i/>
          <w:iCs/>
          <w:sz w:val="24"/>
          <w:szCs w:val="24"/>
        </w:rPr>
      </w:pPr>
      <w:r w:rsidRPr="00BC781C">
        <w:rPr>
          <w:rFonts w:eastAsia="Arial" w:cs="Times New Roman"/>
          <w:i/>
          <w:iCs/>
          <w:sz w:val="24"/>
          <w:szCs w:val="24"/>
        </w:rPr>
        <w:t>ii) Opredeliti, izvajati in komunicirati strateško dolgoročno vizijo, ki podpira skladnost politik</w:t>
      </w:r>
    </w:p>
    <w:p w14:paraId="03BB0B41" w14:textId="4D385E74" w:rsidR="003331D9" w:rsidRPr="00BC781C" w:rsidRDefault="002E01D6" w:rsidP="004461CA">
      <w:pPr>
        <w:rPr>
          <w:rFonts w:eastAsia="Arial" w:cs="Times New Roman"/>
          <w:sz w:val="24"/>
          <w:szCs w:val="24"/>
        </w:rPr>
      </w:pPr>
      <w:r w:rsidRPr="00BC781C">
        <w:rPr>
          <w:rFonts w:eastAsia="Arial" w:cs="Times New Roman"/>
          <w:b/>
          <w:bCs/>
          <w:sz w:val="24"/>
          <w:szCs w:val="24"/>
        </w:rPr>
        <w:t>Oblikovanje dolgoročne vizije, ki podpira skladnost tako zunanje kot notranjih politik, je eno od osrednjih priporočil OECD</w:t>
      </w:r>
      <w:r w:rsidR="008C3754" w:rsidRPr="00BC781C">
        <w:rPr>
          <w:rFonts w:eastAsia="Arial" w:cs="Times New Roman"/>
          <w:b/>
          <w:bCs/>
          <w:sz w:val="24"/>
          <w:szCs w:val="24"/>
        </w:rPr>
        <w:t xml:space="preserve"> </w:t>
      </w:r>
      <w:r w:rsidRPr="00BC781C">
        <w:rPr>
          <w:rFonts w:eastAsia="Arial" w:cs="Times New Roman"/>
          <w:b/>
          <w:bCs/>
          <w:sz w:val="24"/>
          <w:szCs w:val="24"/>
        </w:rPr>
        <w:t>za uspešno doseganje CTR</w:t>
      </w:r>
      <w:r w:rsidRPr="00BC781C">
        <w:rPr>
          <w:rFonts w:eastAsia="Arial" w:cs="Times New Roman"/>
          <w:sz w:val="24"/>
          <w:szCs w:val="24"/>
        </w:rPr>
        <w:t>. Kar 85</w:t>
      </w:r>
      <w:r w:rsidR="008C3754" w:rsidRPr="00BC781C">
        <w:rPr>
          <w:rFonts w:eastAsia="Arial" w:cs="Times New Roman"/>
          <w:sz w:val="24"/>
          <w:szCs w:val="24"/>
        </w:rPr>
        <w:t xml:space="preserve"> </w:t>
      </w:r>
      <w:r w:rsidRPr="00BC781C">
        <w:rPr>
          <w:rFonts w:eastAsia="Arial" w:cs="Times New Roman"/>
          <w:sz w:val="24"/>
          <w:szCs w:val="24"/>
        </w:rPr>
        <w:t>% držav, ki so odgovorile na OECD vprašalnik, je v zadnjih petih letih oblikovalo tako vizijo, nekatere celo do leta 2050</w:t>
      </w:r>
      <w:r w:rsidR="00712CCC" w:rsidRPr="00BC781C">
        <w:rPr>
          <w:rFonts w:eastAsia="Arial" w:cs="Times New Roman"/>
          <w:sz w:val="24"/>
          <w:szCs w:val="24"/>
        </w:rPr>
        <w:t xml:space="preserve"> </w:t>
      </w:r>
      <w:r w:rsidRPr="00BC781C">
        <w:rPr>
          <w:rFonts w:eastAsia="Arial" w:cs="Times New Roman"/>
          <w:sz w:val="24"/>
          <w:szCs w:val="24"/>
        </w:rPr>
        <w:t>(Španija), pogosto v sklopu lastne dolgoročne razvojne strategije. Pri oblikovanju take vizije so nekatere države poročale o uporabi orodij za dolgoročno načrtovanje (</w:t>
      </w:r>
      <w:r w:rsidRPr="00BC781C">
        <w:rPr>
          <w:rFonts w:eastAsia="Arial" w:cs="Times New Roman"/>
          <w:i/>
          <w:iCs/>
          <w:sz w:val="24"/>
          <w:szCs w:val="24"/>
        </w:rPr>
        <w:t>foresight</w:t>
      </w:r>
      <w:r w:rsidRPr="00BC781C">
        <w:rPr>
          <w:rFonts w:eastAsia="Arial" w:cs="Times New Roman"/>
          <w:sz w:val="24"/>
          <w:szCs w:val="24"/>
        </w:rPr>
        <w:t>, scenariji</w:t>
      </w:r>
      <w:r w:rsidR="003331D9" w:rsidRPr="00BC781C">
        <w:rPr>
          <w:rFonts w:eastAsia="Arial" w:cs="Times New Roman"/>
          <w:sz w:val="24"/>
          <w:szCs w:val="24"/>
        </w:rPr>
        <w:t>). Hkrati pa so države ugotavljale, da se premalo upoštevajo dolgoročni učinki nezadostne skladnosti politik.</w:t>
      </w:r>
    </w:p>
    <w:p w14:paraId="7FCFE158" w14:textId="77777777" w:rsidR="003331D9" w:rsidRPr="00BC781C" w:rsidRDefault="003331D9" w:rsidP="004461CA">
      <w:pPr>
        <w:rPr>
          <w:rFonts w:eastAsia="Arial" w:cs="Times New Roman"/>
          <w:sz w:val="24"/>
          <w:szCs w:val="24"/>
        </w:rPr>
      </w:pPr>
    </w:p>
    <w:p w14:paraId="5D58D869" w14:textId="2A50633B" w:rsidR="002E01D6" w:rsidRPr="00BC781C" w:rsidRDefault="003331D9" w:rsidP="004461CA">
      <w:pPr>
        <w:rPr>
          <w:rFonts w:eastAsia="Arial" w:cs="Times New Roman"/>
          <w:i/>
          <w:iCs/>
          <w:sz w:val="24"/>
          <w:szCs w:val="24"/>
        </w:rPr>
      </w:pPr>
      <w:r w:rsidRPr="00BC781C">
        <w:rPr>
          <w:rFonts w:eastAsia="Arial" w:cs="Times New Roman"/>
          <w:i/>
          <w:iCs/>
          <w:sz w:val="24"/>
          <w:szCs w:val="24"/>
        </w:rPr>
        <w:t>iii)  Izboljšati integriranost politik za boljše vključevanje trajnostnega razvoja v politike in financiranje</w:t>
      </w:r>
    </w:p>
    <w:p w14:paraId="4D00C9C1" w14:textId="0A291DC0" w:rsidR="00E3707D" w:rsidRPr="00BC781C" w:rsidRDefault="003331D9" w:rsidP="004461CA">
      <w:pPr>
        <w:rPr>
          <w:rFonts w:eastAsia="Arial" w:cs="Times New Roman"/>
          <w:sz w:val="24"/>
          <w:szCs w:val="24"/>
        </w:rPr>
      </w:pPr>
      <w:r w:rsidRPr="00BC781C">
        <w:rPr>
          <w:rFonts w:eastAsia="Arial" w:cs="Times New Roman"/>
          <w:sz w:val="24"/>
          <w:szCs w:val="24"/>
        </w:rPr>
        <w:t>Priporočila svetujejo državam, da vgradijo pogled SPTR v svoje nacionalne razvojne načrte ter oblikujejo ustrezne koordinacijske mehanizme, da se zagotovi skladnost politik na vseh področjih in sektorskih prioritetah različnih ministrstev in vladnih agencij. Visok odstotek držav (80</w:t>
      </w:r>
      <w:r w:rsidR="001D73C1" w:rsidRPr="00BC781C">
        <w:rPr>
          <w:rFonts w:eastAsia="Arial" w:cs="Times New Roman"/>
          <w:sz w:val="24"/>
          <w:szCs w:val="24"/>
        </w:rPr>
        <w:t xml:space="preserve"> </w:t>
      </w:r>
      <w:r w:rsidRPr="00BC781C">
        <w:rPr>
          <w:rFonts w:eastAsia="Arial" w:cs="Times New Roman"/>
          <w:sz w:val="24"/>
          <w:szCs w:val="24"/>
        </w:rPr>
        <w:t xml:space="preserve">%) poroča, da njihovi planski dokumenti vključujejo ukrepe, ki izražajo prispevek k trajnostnem razvoju. Med takimi ukrepi je tudi </w:t>
      </w:r>
      <w:r w:rsidR="00E3707D" w:rsidRPr="00BC781C">
        <w:rPr>
          <w:rFonts w:eastAsia="Arial" w:cs="Times New Roman"/>
          <w:sz w:val="24"/>
          <w:szCs w:val="24"/>
        </w:rPr>
        <w:t xml:space="preserve">(trajnostno) </w:t>
      </w:r>
      <w:r w:rsidRPr="00BC781C">
        <w:rPr>
          <w:rFonts w:eastAsia="Arial" w:cs="Times New Roman"/>
          <w:sz w:val="24"/>
          <w:szCs w:val="24"/>
        </w:rPr>
        <w:t>javno naročanje, kjer se upošteva SPTR</w:t>
      </w:r>
      <w:r w:rsidR="00E3707D" w:rsidRPr="00BC781C">
        <w:rPr>
          <w:rFonts w:eastAsia="Arial" w:cs="Times New Roman"/>
          <w:sz w:val="24"/>
          <w:szCs w:val="24"/>
        </w:rPr>
        <w:t xml:space="preserve"> (52 % držav, med njimi Avstralija, Estonija, Nizozemska, Portugalska, Švica)</w:t>
      </w:r>
      <w:r w:rsidRPr="00BC781C">
        <w:rPr>
          <w:rFonts w:eastAsia="Arial" w:cs="Times New Roman"/>
          <w:sz w:val="24"/>
          <w:szCs w:val="24"/>
        </w:rPr>
        <w:t xml:space="preserve">. </w:t>
      </w:r>
    </w:p>
    <w:p w14:paraId="1EE921AB" w14:textId="7299D577" w:rsidR="00201883" w:rsidRPr="00BC781C" w:rsidRDefault="00E3707D" w:rsidP="004461CA">
      <w:pPr>
        <w:rPr>
          <w:rFonts w:eastAsia="Arial" w:cs="Times New Roman"/>
          <w:sz w:val="24"/>
          <w:szCs w:val="24"/>
        </w:rPr>
      </w:pPr>
      <w:r w:rsidRPr="00BC781C">
        <w:rPr>
          <w:rFonts w:eastAsia="Arial" w:cs="Times New Roman"/>
          <w:sz w:val="24"/>
          <w:szCs w:val="24"/>
        </w:rPr>
        <w:t xml:space="preserve">Manj uspešne so države pri vključevanju načela SPTR v proračunske dokumente, saj jih </w:t>
      </w:r>
      <w:r w:rsidR="001D73C1" w:rsidRPr="00BC781C">
        <w:rPr>
          <w:rFonts w:eastAsia="Arial" w:cs="Times New Roman"/>
          <w:sz w:val="24"/>
          <w:szCs w:val="24"/>
        </w:rPr>
        <w:t xml:space="preserve">je </w:t>
      </w:r>
      <w:r w:rsidRPr="00BC781C">
        <w:rPr>
          <w:rFonts w:eastAsia="Arial" w:cs="Times New Roman"/>
          <w:sz w:val="24"/>
          <w:szCs w:val="24"/>
        </w:rPr>
        <w:t>le 29</w:t>
      </w:r>
      <w:r w:rsidR="001D73C1" w:rsidRPr="00BC781C">
        <w:rPr>
          <w:rFonts w:eastAsia="Arial" w:cs="Times New Roman"/>
          <w:sz w:val="24"/>
          <w:szCs w:val="24"/>
        </w:rPr>
        <w:t xml:space="preserve"> </w:t>
      </w:r>
      <w:r w:rsidRPr="00BC781C">
        <w:rPr>
          <w:rFonts w:eastAsia="Arial" w:cs="Times New Roman"/>
          <w:sz w:val="24"/>
          <w:szCs w:val="24"/>
        </w:rPr>
        <w:t>% od vprašanih priče</w:t>
      </w:r>
      <w:r w:rsidR="00201883" w:rsidRPr="00BC781C">
        <w:rPr>
          <w:rFonts w:eastAsia="Arial" w:cs="Times New Roman"/>
          <w:sz w:val="24"/>
          <w:szCs w:val="24"/>
        </w:rPr>
        <w:t>l</w:t>
      </w:r>
      <w:r w:rsidRPr="00BC781C">
        <w:rPr>
          <w:rFonts w:eastAsia="Arial" w:cs="Times New Roman"/>
          <w:sz w:val="24"/>
          <w:szCs w:val="24"/>
        </w:rPr>
        <w:t>o z izvajanjem ukrepov na tem področju</w:t>
      </w:r>
      <w:r w:rsidR="00201883" w:rsidRPr="00BC781C">
        <w:rPr>
          <w:rFonts w:eastAsia="Arial" w:cs="Times New Roman"/>
          <w:sz w:val="24"/>
          <w:szCs w:val="24"/>
        </w:rPr>
        <w:t>, kar je najnižji odstotek od vseh principov</w:t>
      </w:r>
      <w:r w:rsidRPr="00BC781C">
        <w:rPr>
          <w:rFonts w:eastAsia="Arial" w:cs="Times New Roman"/>
          <w:sz w:val="24"/>
          <w:szCs w:val="24"/>
        </w:rPr>
        <w:t>.</w:t>
      </w:r>
      <w:r w:rsidR="00201883" w:rsidRPr="00BC781C">
        <w:rPr>
          <w:rFonts w:eastAsia="Arial" w:cs="Times New Roman"/>
          <w:sz w:val="24"/>
          <w:szCs w:val="24"/>
        </w:rPr>
        <w:t xml:space="preserve"> Tudi zato države</w:t>
      </w:r>
      <w:r w:rsidRPr="00BC781C">
        <w:rPr>
          <w:rFonts w:eastAsia="Arial" w:cs="Times New Roman"/>
          <w:sz w:val="24"/>
          <w:szCs w:val="24"/>
        </w:rPr>
        <w:t xml:space="preserve"> načrtujejo prav temu področju nameniti več pozornosti v prihodnje, saj ga izpostavljajo kot </w:t>
      </w:r>
      <w:r w:rsidR="00201883" w:rsidRPr="00BC781C">
        <w:rPr>
          <w:rFonts w:eastAsia="Arial" w:cs="Times New Roman"/>
          <w:sz w:val="24"/>
          <w:szCs w:val="24"/>
        </w:rPr>
        <w:t xml:space="preserve">pomembno </w:t>
      </w:r>
      <w:r w:rsidRPr="00BC781C">
        <w:rPr>
          <w:rFonts w:eastAsia="Arial" w:cs="Times New Roman"/>
          <w:sz w:val="24"/>
          <w:szCs w:val="24"/>
        </w:rPr>
        <w:t xml:space="preserve">oviro pri realizaciji skladnosti politik. Zanimiv </w:t>
      </w:r>
      <w:r w:rsidRPr="00BC781C">
        <w:rPr>
          <w:rFonts w:eastAsia="Arial" w:cs="Times New Roman"/>
          <w:sz w:val="24"/>
          <w:szCs w:val="24"/>
        </w:rPr>
        <w:lastRenderedPageBreak/>
        <w:t xml:space="preserve">je </w:t>
      </w:r>
      <w:r w:rsidR="001D73C1" w:rsidRPr="00BC781C">
        <w:rPr>
          <w:rFonts w:eastAsia="Arial" w:cs="Times New Roman"/>
          <w:sz w:val="24"/>
          <w:szCs w:val="24"/>
        </w:rPr>
        <w:t xml:space="preserve">predvsem </w:t>
      </w:r>
      <w:r w:rsidRPr="00BC781C">
        <w:rPr>
          <w:rFonts w:eastAsia="Arial" w:cs="Times New Roman"/>
          <w:sz w:val="24"/>
          <w:szCs w:val="24"/>
        </w:rPr>
        <w:t>primer Španije, kjer je zakonska zahteva, da se opredeli vpliv predlaganih proračunskih postavk posameznih ministrstev k CTR</w:t>
      </w:r>
      <w:r w:rsidR="00201883" w:rsidRPr="00BC781C">
        <w:rPr>
          <w:rFonts w:eastAsia="Arial" w:cs="Times New Roman"/>
          <w:sz w:val="24"/>
          <w:szCs w:val="24"/>
        </w:rPr>
        <w:t xml:space="preserve"> in se na ta način poskuša zagotavljati skladnost politik</w:t>
      </w:r>
      <w:r w:rsidRPr="00BC781C">
        <w:rPr>
          <w:rFonts w:eastAsia="Arial" w:cs="Times New Roman"/>
          <w:sz w:val="24"/>
          <w:szCs w:val="24"/>
        </w:rPr>
        <w:t>.</w:t>
      </w:r>
      <w:r w:rsidR="00201883" w:rsidRPr="00BC781C">
        <w:rPr>
          <w:rFonts w:eastAsia="Arial" w:cs="Times New Roman"/>
          <w:sz w:val="24"/>
          <w:szCs w:val="24"/>
        </w:rPr>
        <w:t xml:space="preserve"> Tu ne gre le za vprašanje skladnosti politik, ampak tudi za zagotavljanje namenskih sredstev za doseganje CTR v državah v razvoju s pomočjo </w:t>
      </w:r>
      <w:r w:rsidR="001D73C1" w:rsidRPr="00BC781C">
        <w:rPr>
          <w:rFonts w:eastAsia="Arial" w:cs="Times New Roman"/>
          <w:sz w:val="24"/>
          <w:szCs w:val="24"/>
        </w:rPr>
        <w:t>kombiniranega financiranja (</w:t>
      </w:r>
      <w:r w:rsidR="001D73C1" w:rsidRPr="00BC781C">
        <w:rPr>
          <w:rFonts w:eastAsia="Arial" w:cs="Times New Roman"/>
          <w:i/>
          <w:iCs/>
          <w:sz w:val="24"/>
          <w:szCs w:val="24"/>
        </w:rPr>
        <w:t>blended financing</w:t>
      </w:r>
      <w:r w:rsidR="001D73C1" w:rsidRPr="00BC781C">
        <w:rPr>
          <w:rFonts w:eastAsia="Arial" w:cs="Times New Roman"/>
          <w:sz w:val="24"/>
          <w:szCs w:val="24"/>
        </w:rPr>
        <w:t>)</w:t>
      </w:r>
      <w:r w:rsidR="00201883" w:rsidRPr="00BC781C">
        <w:rPr>
          <w:rFonts w:eastAsia="Arial" w:cs="Times New Roman"/>
          <w:sz w:val="24"/>
          <w:szCs w:val="24"/>
        </w:rPr>
        <w:t xml:space="preserve"> ter drugih inovativnih finančnih instrumentov. </w:t>
      </w:r>
    </w:p>
    <w:p w14:paraId="4A19541D" w14:textId="351BAE07" w:rsidR="00201883" w:rsidRPr="00BC781C" w:rsidRDefault="00201883" w:rsidP="004461CA">
      <w:pPr>
        <w:rPr>
          <w:rFonts w:eastAsia="Arial" w:cs="Times New Roman"/>
          <w:sz w:val="24"/>
          <w:szCs w:val="24"/>
        </w:rPr>
      </w:pPr>
      <w:r w:rsidRPr="00BC781C">
        <w:rPr>
          <w:rFonts w:eastAsia="Arial" w:cs="Times New Roman"/>
          <w:sz w:val="24"/>
          <w:szCs w:val="24"/>
        </w:rPr>
        <w:t xml:space="preserve">Med ovirami za izpolnjevanje </w:t>
      </w:r>
      <w:r w:rsidR="006516EE" w:rsidRPr="00BC781C">
        <w:rPr>
          <w:rFonts w:eastAsia="Arial" w:cs="Times New Roman"/>
          <w:sz w:val="24"/>
          <w:szCs w:val="24"/>
        </w:rPr>
        <w:t>omenjenega principa (iii)</w:t>
      </w:r>
      <w:r w:rsidRPr="00BC781C">
        <w:rPr>
          <w:rFonts w:eastAsia="Arial" w:cs="Times New Roman"/>
          <w:sz w:val="24"/>
          <w:szCs w:val="24"/>
        </w:rPr>
        <w:t xml:space="preserve"> </w:t>
      </w:r>
      <w:r w:rsidR="003D4A6D" w:rsidRPr="00BC781C">
        <w:rPr>
          <w:rFonts w:eastAsia="Arial" w:cs="Times New Roman"/>
          <w:sz w:val="24"/>
          <w:szCs w:val="24"/>
        </w:rPr>
        <w:t>d</w:t>
      </w:r>
      <w:r w:rsidRPr="00BC781C">
        <w:rPr>
          <w:rFonts w:eastAsia="Arial" w:cs="Times New Roman"/>
          <w:sz w:val="24"/>
          <w:szCs w:val="24"/>
        </w:rPr>
        <w:t xml:space="preserve">ržave izpostavljajo pomanjkanje kapacitet, znanja ter različnost interesov med ministrstvi. Izpostavljajo, da je skladnost politik v svojem bistvu stvar politike in ne tehnike. </w:t>
      </w:r>
    </w:p>
    <w:p w14:paraId="0A5CD62C" w14:textId="77777777" w:rsidR="00201883" w:rsidRPr="00BC781C" w:rsidRDefault="00201883" w:rsidP="004461CA">
      <w:pPr>
        <w:rPr>
          <w:rFonts w:eastAsia="Arial" w:cs="Times New Roman"/>
          <w:b/>
          <w:bCs/>
          <w:sz w:val="24"/>
          <w:szCs w:val="24"/>
        </w:rPr>
      </w:pPr>
    </w:p>
    <w:p w14:paraId="72897C09" w14:textId="2FD19F91" w:rsidR="00201883" w:rsidRPr="00BC781C" w:rsidRDefault="00201883" w:rsidP="004461CA">
      <w:pPr>
        <w:rPr>
          <w:rFonts w:eastAsia="Arial" w:cs="Times New Roman"/>
          <w:b/>
          <w:bCs/>
          <w:sz w:val="24"/>
          <w:szCs w:val="24"/>
        </w:rPr>
      </w:pPr>
      <w:r w:rsidRPr="00BC781C">
        <w:rPr>
          <w:rFonts w:eastAsia="Arial" w:cs="Times New Roman"/>
          <w:b/>
          <w:bCs/>
          <w:sz w:val="24"/>
          <w:szCs w:val="24"/>
        </w:rPr>
        <w:t>Sklop 2</w:t>
      </w:r>
      <w:r w:rsidR="006516EE" w:rsidRPr="00BC781C">
        <w:rPr>
          <w:rFonts w:eastAsia="Arial" w:cs="Times New Roman"/>
          <w:b/>
          <w:bCs/>
          <w:sz w:val="24"/>
          <w:szCs w:val="24"/>
        </w:rPr>
        <w:t xml:space="preserve">: </w:t>
      </w:r>
      <w:r w:rsidR="00126EE8" w:rsidRPr="00BC781C">
        <w:rPr>
          <w:rFonts w:eastAsia="Arial" w:cs="Times New Roman"/>
          <w:b/>
          <w:bCs/>
          <w:sz w:val="24"/>
          <w:szCs w:val="24"/>
        </w:rPr>
        <w:t>Učinkoviti in vključujoči institucionalni in upravljavski mehanizmi, ki naslavljajo medsebojne odnose politik različnih sektorjev in različnih ravni vlade</w:t>
      </w:r>
    </w:p>
    <w:p w14:paraId="0292B925" w14:textId="68FB9B28" w:rsidR="006516EE" w:rsidRPr="00BC781C" w:rsidRDefault="00201883" w:rsidP="006516EE">
      <w:pPr>
        <w:rPr>
          <w:rFonts w:eastAsia="Arial" w:cs="Times New Roman"/>
          <w:i/>
          <w:iCs/>
          <w:sz w:val="24"/>
          <w:szCs w:val="24"/>
        </w:rPr>
      </w:pPr>
      <w:r w:rsidRPr="00BC781C">
        <w:rPr>
          <w:rFonts w:eastAsia="Arial" w:cs="Times New Roman"/>
          <w:i/>
          <w:iCs/>
          <w:sz w:val="24"/>
          <w:szCs w:val="24"/>
        </w:rPr>
        <w:t>iv)</w:t>
      </w:r>
      <w:r w:rsidR="00E3707D" w:rsidRPr="00BC781C">
        <w:rPr>
          <w:rFonts w:eastAsia="Arial" w:cs="Times New Roman"/>
          <w:i/>
          <w:iCs/>
          <w:sz w:val="24"/>
          <w:szCs w:val="24"/>
        </w:rPr>
        <w:t xml:space="preserve"> </w:t>
      </w:r>
      <w:r w:rsidR="003331D9" w:rsidRPr="00BC781C">
        <w:rPr>
          <w:rFonts w:eastAsia="Arial" w:cs="Times New Roman"/>
          <w:i/>
          <w:iCs/>
          <w:sz w:val="24"/>
          <w:szCs w:val="24"/>
        </w:rPr>
        <w:t xml:space="preserve"> </w:t>
      </w:r>
      <w:r w:rsidR="006516EE" w:rsidRPr="00BC781C">
        <w:rPr>
          <w:rFonts w:eastAsia="Arial" w:cs="Times New Roman"/>
          <w:i/>
          <w:iCs/>
          <w:sz w:val="24"/>
          <w:szCs w:val="24"/>
        </w:rPr>
        <w:t>Zagotoviti usklajevanje na ravni celotne vlade (whole of a government coordination) za ugotavljanje in zmanjševanje divergenc med sektorskimi prioritetami in politikami;</w:t>
      </w:r>
    </w:p>
    <w:p w14:paraId="0D90C4E2" w14:textId="256D917B" w:rsidR="00201883" w:rsidRPr="00BC781C" w:rsidRDefault="00201883" w:rsidP="004461CA">
      <w:pPr>
        <w:rPr>
          <w:rFonts w:eastAsia="Arial" w:cs="Times New Roman"/>
          <w:sz w:val="24"/>
          <w:szCs w:val="24"/>
        </w:rPr>
      </w:pPr>
      <w:r w:rsidRPr="00BC781C">
        <w:rPr>
          <w:rFonts w:eastAsia="Arial" w:cs="Times New Roman"/>
          <w:sz w:val="24"/>
          <w:szCs w:val="24"/>
        </w:rPr>
        <w:t>Za uresničitev tega priporočila je bistveno zagotoviti močno koordinacijsko telo, ki skrbi za skladnost med politikami</w:t>
      </w:r>
      <w:r w:rsidR="00633115" w:rsidRPr="00BC781C">
        <w:rPr>
          <w:rFonts w:eastAsia="Arial" w:cs="Times New Roman"/>
          <w:sz w:val="24"/>
          <w:szCs w:val="24"/>
        </w:rPr>
        <w:t xml:space="preserve">, pomembnimi za trajnostni razvoj. Koordinacija mora potekati na dovolj visoki ravni vlade, z jasnimi mandati, zadostnimi viri in financami, da se ustrezno identificira </w:t>
      </w:r>
      <w:r w:rsidR="003D4A6D" w:rsidRPr="00BC781C">
        <w:rPr>
          <w:rFonts w:eastAsia="Arial" w:cs="Times New Roman"/>
          <w:sz w:val="24"/>
          <w:szCs w:val="24"/>
        </w:rPr>
        <w:t>neskladnosti</w:t>
      </w:r>
      <w:r w:rsidR="00633115" w:rsidRPr="00BC781C">
        <w:rPr>
          <w:rFonts w:eastAsia="Arial" w:cs="Times New Roman"/>
          <w:sz w:val="24"/>
          <w:szCs w:val="24"/>
        </w:rPr>
        <w:t xml:space="preserve"> in konflikte politik. Tak pristop zahteva tudi ustrezno izgradnjo kapacitet v javnem sektorju, z uvedbo ustreznih programov usposabljanja o principih in integralnosti CTR. </w:t>
      </w:r>
    </w:p>
    <w:p w14:paraId="3C6D1D34" w14:textId="04500394" w:rsidR="00AC1F21" w:rsidRPr="00BC781C" w:rsidRDefault="000D5085" w:rsidP="004461CA">
      <w:pPr>
        <w:rPr>
          <w:rFonts w:eastAsia="Arial" w:cs="Times New Roman"/>
          <w:sz w:val="24"/>
          <w:szCs w:val="24"/>
        </w:rPr>
      </w:pPr>
      <w:r w:rsidRPr="00BC781C">
        <w:rPr>
          <w:rFonts w:eastAsia="Arial" w:cs="Times New Roman"/>
          <w:sz w:val="24"/>
          <w:szCs w:val="24"/>
        </w:rPr>
        <w:t xml:space="preserve">Koordinacijo, ki skrbi za vključevanje SPTR, ima na visokem nivoju </w:t>
      </w:r>
      <w:r w:rsidR="00FC508E" w:rsidRPr="00BC781C">
        <w:rPr>
          <w:rFonts w:eastAsia="Arial" w:cs="Times New Roman"/>
          <w:sz w:val="24"/>
          <w:szCs w:val="24"/>
        </w:rPr>
        <w:t xml:space="preserve">vzpostavljeno </w:t>
      </w:r>
      <w:r w:rsidRPr="00BC781C">
        <w:rPr>
          <w:rFonts w:eastAsia="Arial" w:cs="Times New Roman"/>
          <w:sz w:val="24"/>
          <w:szCs w:val="24"/>
        </w:rPr>
        <w:t>73</w:t>
      </w:r>
      <w:r w:rsidR="00FC508E" w:rsidRPr="00BC781C">
        <w:rPr>
          <w:rFonts w:eastAsia="Arial" w:cs="Times New Roman"/>
          <w:sz w:val="24"/>
          <w:szCs w:val="24"/>
        </w:rPr>
        <w:t xml:space="preserve"> </w:t>
      </w:r>
      <w:r w:rsidRPr="00BC781C">
        <w:rPr>
          <w:rFonts w:eastAsia="Arial" w:cs="Times New Roman"/>
          <w:sz w:val="24"/>
          <w:szCs w:val="24"/>
        </w:rPr>
        <w:t>% vprašanih</w:t>
      </w:r>
      <w:r w:rsidR="00FC508E" w:rsidRPr="00BC781C">
        <w:rPr>
          <w:rFonts w:eastAsia="Arial" w:cs="Times New Roman"/>
          <w:sz w:val="24"/>
          <w:szCs w:val="24"/>
        </w:rPr>
        <w:t xml:space="preserve"> držav, in sicer</w:t>
      </w:r>
      <w:r w:rsidRPr="00BC781C">
        <w:rPr>
          <w:rFonts w:eastAsia="Arial" w:cs="Times New Roman"/>
          <w:sz w:val="24"/>
          <w:szCs w:val="24"/>
        </w:rPr>
        <w:t xml:space="preserve"> na ravni vlade ali na ravni odgovornega ministrstva. Tudi tu je zanimiv pristop Španije, ki ima v Zakonu o sodelovanju za trajnostni razvoj in globalno solidarnost (2023) poseben člen, ki opredeljuje SPTR in način naslavljanja skladnosti. </w:t>
      </w:r>
      <w:r w:rsidR="00FC508E" w:rsidRPr="00BC781C">
        <w:rPr>
          <w:rFonts w:eastAsia="Arial" w:cs="Times New Roman"/>
          <w:sz w:val="24"/>
          <w:szCs w:val="24"/>
        </w:rPr>
        <w:t xml:space="preserve">Prav tako ima </w:t>
      </w:r>
      <w:r w:rsidR="00AC1F21" w:rsidRPr="00BC781C">
        <w:rPr>
          <w:rFonts w:eastAsia="Arial" w:cs="Times New Roman"/>
          <w:sz w:val="24"/>
          <w:szCs w:val="24"/>
        </w:rPr>
        <w:t>65</w:t>
      </w:r>
      <w:r w:rsidR="00FC508E" w:rsidRPr="00BC781C">
        <w:rPr>
          <w:rFonts w:eastAsia="Arial" w:cs="Times New Roman"/>
          <w:sz w:val="24"/>
          <w:szCs w:val="24"/>
        </w:rPr>
        <w:t xml:space="preserve"> </w:t>
      </w:r>
      <w:r w:rsidR="00AC1F21" w:rsidRPr="00BC781C">
        <w:rPr>
          <w:rFonts w:eastAsia="Arial" w:cs="Times New Roman"/>
          <w:sz w:val="24"/>
          <w:szCs w:val="24"/>
        </w:rPr>
        <w:t>% držav vzpostavljene formalne postopke in organe za učinkovito usklajevanje med ministrstvi (posebne medministrske delovne skupine, svet</w:t>
      </w:r>
      <w:r w:rsidR="003D4A6D" w:rsidRPr="00BC781C">
        <w:rPr>
          <w:rFonts w:eastAsia="Arial" w:cs="Times New Roman"/>
          <w:sz w:val="24"/>
          <w:szCs w:val="24"/>
        </w:rPr>
        <w:t>e in</w:t>
      </w:r>
      <w:r w:rsidR="00AC1F21" w:rsidRPr="00BC781C">
        <w:rPr>
          <w:rFonts w:eastAsia="Arial" w:cs="Times New Roman"/>
          <w:sz w:val="24"/>
          <w:szCs w:val="24"/>
        </w:rPr>
        <w:t xml:space="preserve"> medoddelčne komisije</w:t>
      </w:r>
      <w:r w:rsidR="00FC508E" w:rsidRPr="00BC781C">
        <w:rPr>
          <w:rFonts w:eastAsia="Arial" w:cs="Times New Roman"/>
          <w:sz w:val="24"/>
          <w:szCs w:val="24"/>
        </w:rPr>
        <w:t xml:space="preserve"> </w:t>
      </w:r>
      <w:r w:rsidR="00AC1F21" w:rsidRPr="00BC781C">
        <w:rPr>
          <w:rFonts w:eastAsia="Arial" w:cs="Times New Roman"/>
          <w:sz w:val="24"/>
          <w:szCs w:val="24"/>
        </w:rPr>
        <w:t>itd.). Kljub temu države izpostavljajo, da je prav pomanjkanje jasnega mandata za odpravljanje razlik med sektorskimi politikami ena od večjih preprek za SPTR</w:t>
      </w:r>
      <w:r w:rsidR="00FC508E" w:rsidRPr="00BC781C">
        <w:rPr>
          <w:rFonts w:eastAsia="Arial" w:cs="Times New Roman"/>
          <w:sz w:val="24"/>
          <w:szCs w:val="24"/>
        </w:rPr>
        <w:t xml:space="preserve"> - </w:t>
      </w:r>
      <w:r w:rsidR="00AC1F21" w:rsidRPr="00BC781C">
        <w:rPr>
          <w:rFonts w:eastAsia="Arial" w:cs="Times New Roman"/>
          <w:sz w:val="24"/>
          <w:szCs w:val="24"/>
        </w:rPr>
        <w:t xml:space="preserve">če so oblikovani organi sposobni </w:t>
      </w:r>
      <w:r w:rsidR="003D4A6D" w:rsidRPr="00BC781C">
        <w:rPr>
          <w:rFonts w:eastAsia="Arial" w:cs="Times New Roman"/>
          <w:sz w:val="24"/>
          <w:szCs w:val="24"/>
        </w:rPr>
        <w:t>ugotoviti neskladja</w:t>
      </w:r>
      <w:r w:rsidR="00AC1F21" w:rsidRPr="00BC781C">
        <w:rPr>
          <w:rFonts w:eastAsia="Arial" w:cs="Times New Roman"/>
          <w:sz w:val="24"/>
          <w:szCs w:val="24"/>
        </w:rPr>
        <w:t>, pa večinoma nimajo mandata za njihovo razreševanje. Ključnega pomena v takih primerih so dobri komunikacijski kanali med ministrstvi.</w:t>
      </w:r>
    </w:p>
    <w:p w14:paraId="2159ADE4" w14:textId="0CA5F70C" w:rsidR="000E07B4" w:rsidRPr="00BC781C" w:rsidRDefault="00AC1F21" w:rsidP="004461CA">
      <w:pPr>
        <w:rPr>
          <w:rFonts w:eastAsia="Arial" w:cs="Times New Roman"/>
          <w:sz w:val="24"/>
          <w:szCs w:val="24"/>
        </w:rPr>
      </w:pPr>
      <w:r w:rsidRPr="00BC781C">
        <w:rPr>
          <w:rFonts w:eastAsia="Arial" w:cs="Times New Roman"/>
          <w:sz w:val="24"/>
          <w:szCs w:val="24"/>
        </w:rPr>
        <w:t>Manj pozornosti namenjajo države priporočilu, da se sistematično gradi sposobnosti državnih uradnikov na področju SPTR (42</w:t>
      </w:r>
      <w:r w:rsidR="00FC508E" w:rsidRPr="00BC781C">
        <w:rPr>
          <w:rFonts w:eastAsia="Arial" w:cs="Times New Roman"/>
          <w:sz w:val="24"/>
          <w:szCs w:val="24"/>
        </w:rPr>
        <w:t xml:space="preserve"> </w:t>
      </w:r>
      <w:r w:rsidRPr="00BC781C">
        <w:rPr>
          <w:rFonts w:eastAsia="Arial" w:cs="Times New Roman"/>
          <w:sz w:val="24"/>
          <w:szCs w:val="24"/>
        </w:rPr>
        <w:t>%). Kot primer dobre prakse se navaja Poljsko, ki je v sodelovanju z OECD pripravila poseben program izgrajevanja kapacitet državne administracije za podporo iz</w:t>
      </w:r>
      <w:r w:rsidR="000E07B4" w:rsidRPr="00BC781C">
        <w:rPr>
          <w:rFonts w:eastAsia="Arial" w:cs="Times New Roman"/>
          <w:sz w:val="24"/>
          <w:szCs w:val="24"/>
        </w:rPr>
        <w:t>vajanju CTR (</w:t>
      </w:r>
      <w:r w:rsidR="000E07B4" w:rsidRPr="00BC781C">
        <w:rPr>
          <w:rFonts w:eastAsia="Arial" w:cs="Times New Roman"/>
          <w:i/>
          <w:iCs/>
          <w:sz w:val="24"/>
          <w:szCs w:val="24"/>
        </w:rPr>
        <w:t>Capacity Builing Program for Public Administration to Support the Implementation of the SDGs and Sustainable Development</w:t>
      </w:r>
      <w:r w:rsidR="000E07B4" w:rsidRPr="00BC781C">
        <w:rPr>
          <w:rFonts w:eastAsia="Arial" w:cs="Times New Roman"/>
          <w:sz w:val="24"/>
          <w:szCs w:val="24"/>
        </w:rPr>
        <w:t>), ki ga izvaja Ministrstvo za gospodarski razvoj in tehnologijo. Luksemburg pa je pripravil posebno usposabljanje o orodjih, ki pomagajo zagotavljati spoštovanje načela SPTR.</w:t>
      </w:r>
    </w:p>
    <w:p w14:paraId="0306308F" w14:textId="06EF8622" w:rsidR="00633115" w:rsidRPr="00BC781C" w:rsidRDefault="000E07B4" w:rsidP="004461CA">
      <w:pPr>
        <w:rPr>
          <w:rFonts w:eastAsia="Arial" w:cs="Times New Roman"/>
          <w:sz w:val="24"/>
          <w:szCs w:val="24"/>
        </w:rPr>
      </w:pPr>
      <w:r w:rsidRPr="00BC781C">
        <w:rPr>
          <w:rFonts w:eastAsia="Arial" w:cs="Times New Roman"/>
          <w:sz w:val="24"/>
          <w:szCs w:val="24"/>
        </w:rPr>
        <w:t xml:space="preserve">Analiza </w:t>
      </w:r>
      <w:r w:rsidR="00FC508E" w:rsidRPr="00BC781C">
        <w:rPr>
          <w:rFonts w:eastAsia="Arial" w:cs="Times New Roman"/>
          <w:sz w:val="24"/>
          <w:szCs w:val="24"/>
        </w:rPr>
        <w:t>izpostavlja</w:t>
      </w:r>
      <w:r w:rsidRPr="00BC781C">
        <w:rPr>
          <w:rFonts w:eastAsia="Arial" w:cs="Times New Roman"/>
          <w:sz w:val="24"/>
          <w:szCs w:val="24"/>
        </w:rPr>
        <w:t xml:space="preserve">, da je eden večjih problemov zagotavljanja SPTR dejstvo, da je le malo število držav </w:t>
      </w:r>
      <w:r w:rsidR="00893B9B" w:rsidRPr="00BC781C">
        <w:rPr>
          <w:rFonts w:eastAsia="Arial" w:cs="Times New Roman"/>
          <w:sz w:val="24"/>
          <w:szCs w:val="24"/>
        </w:rPr>
        <w:t>vz</w:t>
      </w:r>
      <w:r w:rsidRPr="00BC781C">
        <w:rPr>
          <w:rFonts w:eastAsia="Arial" w:cs="Times New Roman"/>
          <w:sz w:val="24"/>
          <w:szCs w:val="24"/>
        </w:rPr>
        <w:t xml:space="preserve">postavilo posebno koordinacijo med zunanjim </w:t>
      </w:r>
      <w:r w:rsidR="00893B9B" w:rsidRPr="00BC781C">
        <w:rPr>
          <w:rFonts w:eastAsia="Arial" w:cs="Times New Roman"/>
          <w:sz w:val="24"/>
          <w:szCs w:val="24"/>
        </w:rPr>
        <w:t xml:space="preserve">ministrstvom ter drugimi ministrstvi za oceno čezmejnih vplivov posameznih politik. To pomeni, da je odgovornost drugih ministrstev za preverjanje vpliva njihovih politik na države v razvoju nezadostna. </w:t>
      </w:r>
      <w:r w:rsidRPr="00BC781C">
        <w:rPr>
          <w:rFonts w:eastAsia="Arial" w:cs="Times New Roman"/>
          <w:sz w:val="24"/>
          <w:szCs w:val="24"/>
        </w:rPr>
        <w:t xml:space="preserve"> </w:t>
      </w:r>
      <w:r w:rsidR="00AC1F21" w:rsidRPr="00BC781C">
        <w:rPr>
          <w:rFonts w:eastAsia="Arial" w:cs="Times New Roman"/>
          <w:sz w:val="24"/>
          <w:szCs w:val="24"/>
        </w:rPr>
        <w:t xml:space="preserve"> </w:t>
      </w:r>
    </w:p>
    <w:p w14:paraId="673517CD" w14:textId="177C4DBD" w:rsidR="00893B9B" w:rsidRPr="00BC781C" w:rsidRDefault="00DA2FF3" w:rsidP="004461CA">
      <w:pPr>
        <w:shd w:val="clear" w:color="auto" w:fill="FFFFFF"/>
        <w:spacing w:before="240" w:after="240" w:line="276" w:lineRule="auto"/>
        <w:rPr>
          <w:rFonts w:eastAsia="Arial" w:cs="Times New Roman"/>
          <w:i/>
          <w:iCs/>
          <w:sz w:val="24"/>
          <w:szCs w:val="24"/>
        </w:rPr>
      </w:pPr>
      <w:r w:rsidRPr="00BC781C">
        <w:rPr>
          <w:rFonts w:eastAsia="Arial" w:cs="Times New Roman"/>
          <w:i/>
          <w:iCs/>
          <w:sz w:val="24"/>
          <w:szCs w:val="24"/>
        </w:rPr>
        <w:lastRenderedPageBreak/>
        <w:t>v</w:t>
      </w:r>
      <w:r w:rsidR="00893B9B" w:rsidRPr="00BC781C">
        <w:rPr>
          <w:rFonts w:eastAsia="Arial" w:cs="Times New Roman"/>
          <w:i/>
          <w:iCs/>
          <w:sz w:val="24"/>
          <w:szCs w:val="24"/>
        </w:rPr>
        <w:t>) Primerno vključiti subnacionalne ravni države na področjih, kjer je pomembna njihova vloga pri koordinaciji politik in promoviranju koordiniranega pristopa</w:t>
      </w:r>
    </w:p>
    <w:p w14:paraId="25566C10" w14:textId="06A9DD1B" w:rsidR="00893B9B" w:rsidRPr="00BC781C" w:rsidRDefault="00893B9B"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Priporočila za uresničevanje SPTR izpostavljajo, da je za zagotavljanje koordiniranih aktivnosti in spodbujanja skladnosti na vseh ravneh države</w:t>
      </w:r>
      <w:r w:rsidR="00D97937" w:rsidRPr="00BC781C">
        <w:rPr>
          <w:rFonts w:eastAsia="Arial" w:cs="Times New Roman"/>
          <w:sz w:val="24"/>
          <w:szCs w:val="24"/>
        </w:rPr>
        <w:t>,</w:t>
      </w:r>
      <w:r w:rsidRPr="00BC781C">
        <w:rPr>
          <w:rFonts w:eastAsia="Arial" w:cs="Times New Roman"/>
          <w:sz w:val="24"/>
          <w:szCs w:val="24"/>
        </w:rPr>
        <w:t xml:space="preserve"> ključno sodelovanje tako regionalnih kot lokalnih ra</w:t>
      </w:r>
      <w:r w:rsidR="004E39EA" w:rsidRPr="00BC781C">
        <w:rPr>
          <w:rFonts w:eastAsia="Arial" w:cs="Times New Roman"/>
          <w:sz w:val="24"/>
          <w:szCs w:val="24"/>
        </w:rPr>
        <w:t>vni. T</w:t>
      </w:r>
      <w:r w:rsidR="00D97937" w:rsidRPr="00BC781C">
        <w:rPr>
          <w:rFonts w:eastAsia="Arial" w:cs="Times New Roman"/>
          <w:sz w:val="24"/>
          <w:szCs w:val="24"/>
        </w:rPr>
        <w:t xml:space="preserve">ako imenovana </w:t>
      </w:r>
      <w:r w:rsidR="004E39EA" w:rsidRPr="00BC781C">
        <w:rPr>
          <w:rFonts w:eastAsia="Arial" w:cs="Times New Roman"/>
          <w:sz w:val="24"/>
          <w:szCs w:val="24"/>
        </w:rPr>
        <w:t xml:space="preserve">»lokalizacija« CTR </w:t>
      </w:r>
      <w:r w:rsidRPr="00BC781C">
        <w:rPr>
          <w:rFonts w:eastAsia="Arial" w:cs="Times New Roman"/>
          <w:sz w:val="24"/>
          <w:szCs w:val="24"/>
        </w:rPr>
        <w:t xml:space="preserve"> </w:t>
      </w:r>
      <w:r w:rsidR="004E39EA" w:rsidRPr="00BC781C">
        <w:rPr>
          <w:rFonts w:eastAsia="Arial" w:cs="Times New Roman"/>
          <w:sz w:val="24"/>
          <w:szCs w:val="24"/>
        </w:rPr>
        <w:t>zagotavlja večjo podporo doseganju tako ciljev samih kot tudi SPTR. Z usklajevanjem nacionalnih, regijskih in lokalnih politik z ustreznimi gospodarskimi, družbenimi in okoljskimi cilji se ukvarja 56</w:t>
      </w:r>
      <w:r w:rsidR="00D97937" w:rsidRPr="00BC781C">
        <w:rPr>
          <w:rFonts w:eastAsia="Arial" w:cs="Times New Roman"/>
          <w:sz w:val="24"/>
          <w:szCs w:val="24"/>
        </w:rPr>
        <w:t xml:space="preserve"> </w:t>
      </w:r>
      <w:r w:rsidR="004E39EA" w:rsidRPr="00BC781C">
        <w:rPr>
          <w:rFonts w:eastAsia="Arial" w:cs="Times New Roman"/>
          <w:sz w:val="24"/>
          <w:szCs w:val="24"/>
        </w:rPr>
        <w:t xml:space="preserve">% držav, vključenih v analizo. </w:t>
      </w:r>
      <w:r w:rsidR="003D4A6D" w:rsidRPr="00BC781C">
        <w:rPr>
          <w:rFonts w:eastAsia="Arial" w:cs="Times New Roman"/>
          <w:sz w:val="24"/>
          <w:szCs w:val="24"/>
        </w:rPr>
        <w:t>O</w:t>
      </w:r>
      <w:r w:rsidR="004E39EA" w:rsidRPr="00BC781C">
        <w:rPr>
          <w:rFonts w:eastAsia="Arial" w:cs="Times New Roman"/>
          <w:sz w:val="24"/>
          <w:szCs w:val="24"/>
        </w:rPr>
        <w:t xml:space="preserve">menjajo </w:t>
      </w:r>
      <w:r w:rsidR="003D4A6D" w:rsidRPr="00BC781C">
        <w:rPr>
          <w:rFonts w:eastAsia="Arial" w:cs="Times New Roman"/>
          <w:sz w:val="24"/>
          <w:szCs w:val="24"/>
        </w:rPr>
        <w:t xml:space="preserve">se </w:t>
      </w:r>
      <w:r w:rsidR="004E39EA" w:rsidRPr="00BC781C">
        <w:rPr>
          <w:rFonts w:eastAsia="Arial" w:cs="Times New Roman"/>
          <w:sz w:val="24"/>
          <w:szCs w:val="24"/>
        </w:rPr>
        <w:t>regijska (Belgija, Nizozemska, Italija) ali celo mestna prostovoljna poročila o doseganju CTR (Italija, Japonska). Vertikalno usklajevanje politik 48</w:t>
      </w:r>
      <w:r w:rsidR="00D97937" w:rsidRPr="00BC781C">
        <w:rPr>
          <w:rFonts w:eastAsia="Arial" w:cs="Times New Roman"/>
          <w:sz w:val="24"/>
          <w:szCs w:val="24"/>
        </w:rPr>
        <w:t xml:space="preserve"> </w:t>
      </w:r>
      <w:r w:rsidR="004E39EA" w:rsidRPr="00BC781C">
        <w:rPr>
          <w:rFonts w:eastAsia="Arial" w:cs="Times New Roman"/>
          <w:sz w:val="24"/>
          <w:szCs w:val="24"/>
        </w:rPr>
        <w:t xml:space="preserve">% držav </w:t>
      </w:r>
      <w:r w:rsidR="00D97937" w:rsidRPr="00BC781C">
        <w:rPr>
          <w:rFonts w:eastAsia="Arial" w:cs="Times New Roman"/>
          <w:sz w:val="24"/>
          <w:szCs w:val="24"/>
        </w:rPr>
        <w:t xml:space="preserve">ocenjuje </w:t>
      </w:r>
      <w:r w:rsidR="004E39EA" w:rsidRPr="00BC781C">
        <w:rPr>
          <w:rFonts w:eastAsia="Arial" w:cs="Times New Roman"/>
          <w:sz w:val="24"/>
          <w:szCs w:val="24"/>
        </w:rPr>
        <w:t>kot zelo pomembno za SPTR.</w:t>
      </w:r>
    </w:p>
    <w:p w14:paraId="67106AC2" w14:textId="16BEF6F9" w:rsidR="004E39EA" w:rsidRPr="00BC781C" w:rsidRDefault="004E39EA" w:rsidP="004461CA">
      <w:pPr>
        <w:shd w:val="clear" w:color="auto" w:fill="FFFFFF"/>
        <w:spacing w:before="240" w:after="240" w:line="276" w:lineRule="auto"/>
        <w:rPr>
          <w:rFonts w:eastAsia="Arial" w:cs="Times New Roman"/>
          <w:i/>
          <w:iCs/>
          <w:sz w:val="24"/>
          <w:szCs w:val="24"/>
        </w:rPr>
      </w:pPr>
      <w:r w:rsidRPr="00BC781C">
        <w:rPr>
          <w:rFonts w:eastAsia="Arial" w:cs="Times New Roman"/>
          <w:i/>
          <w:iCs/>
          <w:sz w:val="24"/>
          <w:szCs w:val="24"/>
        </w:rPr>
        <w:t>vi) Učinkovito vključiti deležnike za zagotavljanje širše podpore SPTR in izvajanju tega načela</w:t>
      </w:r>
    </w:p>
    <w:p w14:paraId="0C7356A3" w14:textId="67192213" w:rsidR="00DA2FF3" w:rsidRPr="00BC781C" w:rsidRDefault="00DA2FF3"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Najpogosteje izvajanje načela skladnosti politik ovira</w:t>
      </w:r>
      <w:r w:rsidR="00C94CF9" w:rsidRPr="00BC781C">
        <w:rPr>
          <w:rFonts w:eastAsia="Arial" w:cs="Times New Roman"/>
          <w:sz w:val="24"/>
          <w:szCs w:val="24"/>
        </w:rPr>
        <w:t>jo različna razumevanja med deležniki glede pomena trajnostnega razvoja in koncepta SPTR ter poti za implementacijo CTR. Zato je OECD v svojih Priporočilih izpostavilo aktivno sodelovanje z/med deležniki v različnih fazah političnega</w:t>
      </w:r>
      <w:r w:rsidR="00D97937" w:rsidRPr="00BC781C">
        <w:rPr>
          <w:rFonts w:eastAsia="Arial" w:cs="Times New Roman"/>
          <w:sz w:val="24"/>
          <w:szCs w:val="24"/>
        </w:rPr>
        <w:t xml:space="preserve"> </w:t>
      </w:r>
      <w:r w:rsidR="00C94CF9" w:rsidRPr="00BC781C">
        <w:rPr>
          <w:rFonts w:eastAsia="Arial" w:cs="Times New Roman"/>
          <w:sz w:val="24"/>
          <w:szCs w:val="24"/>
        </w:rPr>
        <w:t>(</w:t>
      </w:r>
      <w:r w:rsidR="00C94CF9" w:rsidRPr="00BC781C">
        <w:rPr>
          <w:rFonts w:eastAsia="Arial" w:cs="Times New Roman"/>
          <w:i/>
          <w:iCs/>
          <w:sz w:val="24"/>
          <w:szCs w:val="24"/>
        </w:rPr>
        <w:t>policy</w:t>
      </w:r>
      <w:r w:rsidR="00C94CF9" w:rsidRPr="00BC781C">
        <w:rPr>
          <w:rFonts w:eastAsia="Arial" w:cs="Times New Roman"/>
          <w:sz w:val="24"/>
          <w:szCs w:val="24"/>
        </w:rPr>
        <w:t>) cikla</w:t>
      </w:r>
      <w:r w:rsidR="00D97937" w:rsidRPr="00BC781C">
        <w:rPr>
          <w:rFonts w:eastAsia="Arial" w:cs="Times New Roman"/>
          <w:sz w:val="24"/>
          <w:szCs w:val="24"/>
        </w:rPr>
        <w:t xml:space="preserve">, in sicer </w:t>
      </w:r>
      <w:r w:rsidR="00C94CF9" w:rsidRPr="00BC781C">
        <w:rPr>
          <w:rFonts w:eastAsia="Arial" w:cs="Times New Roman"/>
          <w:sz w:val="24"/>
          <w:szCs w:val="24"/>
        </w:rPr>
        <w:t>od načrtovanja vsebine določene politike do oblikovanja konkretnih izvedbenih instrumentov. Poznavanje in razumevanje trajnostnega razvoja in zaveze države k načelu SPTR med različnimi javnostmi je izjemno pomembna, tako s pomočjo dialoga, delitve informacij ter krepitve usposobljenosti deležnikov.</w:t>
      </w:r>
    </w:p>
    <w:p w14:paraId="5B9EDB08" w14:textId="2E14C2E8" w:rsidR="00C94CF9" w:rsidRPr="00BC781C" w:rsidRDefault="004C7A4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Kar </w:t>
      </w:r>
      <w:r w:rsidR="00C94CF9" w:rsidRPr="00BC781C">
        <w:rPr>
          <w:rFonts w:eastAsia="Arial" w:cs="Times New Roman"/>
          <w:sz w:val="24"/>
          <w:szCs w:val="24"/>
        </w:rPr>
        <w:t>76</w:t>
      </w:r>
      <w:r w:rsidRPr="00BC781C">
        <w:rPr>
          <w:rFonts w:eastAsia="Arial" w:cs="Times New Roman"/>
          <w:sz w:val="24"/>
          <w:szCs w:val="24"/>
        </w:rPr>
        <w:t xml:space="preserve"> </w:t>
      </w:r>
      <w:r w:rsidR="00C94CF9" w:rsidRPr="00BC781C">
        <w:rPr>
          <w:rFonts w:eastAsia="Arial" w:cs="Times New Roman"/>
          <w:sz w:val="24"/>
          <w:szCs w:val="24"/>
        </w:rPr>
        <w:t>% tistih, ki so odgovorili na vprašalnik se sistematično ukvarja s posredovanjem znanja in informacij drugim deležnikom, 72</w:t>
      </w:r>
      <w:r w:rsidRPr="00BC781C">
        <w:rPr>
          <w:rFonts w:eastAsia="Arial" w:cs="Times New Roman"/>
          <w:sz w:val="24"/>
          <w:szCs w:val="24"/>
        </w:rPr>
        <w:t xml:space="preserve"> </w:t>
      </w:r>
      <w:r w:rsidR="00C94CF9" w:rsidRPr="00BC781C">
        <w:rPr>
          <w:rFonts w:eastAsia="Arial" w:cs="Times New Roman"/>
          <w:sz w:val="24"/>
          <w:szCs w:val="24"/>
        </w:rPr>
        <w:t xml:space="preserve">% pa ima posebne dejavnosti na področju promocije CTR in SPTR. Ključno na tem področju je globalno izobraževanje državljanov, tako prek formalnega kot neformalnega izobraževanja. Nekaj držav ima tako posebne </w:t>
      </w:r>
      <w:r w:rsidR="00FC6BF6" w:rsidRPr="00BC781C">
        <w:rPr>
          <w:rFonts w:eastAsia="Arial" w:cs="Times New Roman"/>
          <w:sz w:val="24"/>
          <w:szCs w:val="24"/>
        </w:rPr>
        <w:t>akcijske načrte (Italija, Finska), prek katerih se javnost seznanja s CTR. Poleg komunikacije s širšo javnostjo, države še posebej izpostavljajo dve ciljni skupini deležnikov: mlade ter poslovni sektor.</w:t>
      </w:r>
      <w:r w:rsidR="00C94CF9" w:rsidRPr="00BC781C">
        <w:rPr>
          <w:rFonts w:eastAsia="Arial" w:cs="Times New Roman"/>
          <w:sz w:val="24"/>
          <w:szCs w:val="24"/>
        </w:rPr>
        <w:t xml:space="preserve"> </w:t>
      </w:r>
      <w:r w:rsidR="008528BD" w:rsidRPr="00BC781C">
        <w:rPr>
          <w:rFonts w:eastAsia="Arial" w:cs="Times New Roman"/>
          <w:sz w:val="24"/>
          <w:szCs w:val="24"/>
        </w:rPr>
        <w:t>Poljska</w:t>
      </w:r>
      <w:r w:rsidRPr="00BC781C">
        <w:rPr>
          <w:rFonts w:eastAsia="Arial" w:cs="Times New Roman"/>
          <w:sz w:val="24"/>
          <w:szCs w:val="24"/>
        </w:rPr>
        <w:t xml:space="preserve"> je </w:t>
      </w:r>
      <w:r w:rsidR="008528BD" w:rsidRPr="00BC781C">
        <w:rPr>
          <w:rFonts w:eastAsia="Arial" w:cs="Times New Roman"/>
          <w:sz w:val="24"/>
          <w:szCs w:val="24"/>
        </w:rPr>
        <w:t>na primer</w:t>
      </w:r>
      <w:r w:rsidRPr="00BC781C">
        <w:rPr>
          <w:rFonts w:eastAsia="Arial" w:cs="Times New Roman"/>
          <w:sz w:val="24"/>
          <w:szCs w:val="24"/>
        </w:rPr>
        <w:t xml:space="preserve"> leta </w:t>
      </w:r>
      <w:r w:rsidR="008528BD" w:rsidRPr="00BC781C">
        <w:rPr>
          <w:rFonts w:eastAsia="Arial" w:cs="Times New Roman"/>
          <w:sz w:val="24"/>
          <w:szCs w:val="24"/>
        </w:rPr>
        <w:t xml:space="preserve">2017 </w:t>
      </w:r>
      <w:r w:rsidRPr="00BC781C">
        <w:rPr>
          <w:rFonts w:eastAsia="Arial" w:cs="Times New Roman"/>
          <w:sz w:val="24"/>
          <w:szCs w:val="24"/>
        </w:rPr>
        <w:t xml:space="preserve">oblikovala </w:t>
      </w:r>
      <w:r w:rsidR="008528BD" w:rsidRPr="00BC781C">
        <w:rPr>
          <w:rFonts w:eastAsia="Arial" w:cs="Times New Roman"/>
          <w:sz w:val="24"/>
          <w:szCs w:val="24"/>
        </w:rPr>
        <w:t>Partnerstvo za uresničevanje CTR, ki vključuje različne družbene skupine. Organizacije, ki se vključijo v Partnerstvo podpišejo posebno zavezo</w:t>
      </w:r>
      <w:r w:rsidRPr="00BC781C">
        <w:rPr>
          <w:rFonts w:eastAsia="Arial" w:cs="Times New Roman"/>
          <w:sz w:val="24"/>
          <w:szCs w:val="24"/>
        </w:rPr>
        <w:t xml:space="preserve"> in </w:t>
      </w:r>
      <w:r w:rsidR="008528BD" w:rsidRPr="00BC781C">
        <w:rPr>
          <w:rFonts w:eastAsia="Arial" w:cs="Times New Roman"/>
          <w:sz w:val="24"/>
          <w:szCs w:val="24"/>
        </w:rPr>
        <w:t xml:space="preserve">do oddaje vprašalnika se je v Partnerstvo priključilo </w:t>
      </w:r>
      <w:r w:rsidRPr="00BC781C">
        <w:rPr>
          <w:rFonts w:eastAsia="Arial" w:cs="Times New Roman"/>
          <w:sz w:val="24"/>
          <w:szCs w:val="24"/>
        </w:rPr>
        <w:t>več kot</w:t>
      </w:r>
      <w:r w:rsidR="008528BD" w:rsidRPr="00BC781C">
        <w:rPr>
          <w:rFonts w:eastAsia="Arial" w:cs="Times New Roman"/>
          <w:sz w:val="24"/>
          <w:szCs w:val="24"/>
        </w:rPr>
        <w:t xml:space="preserve"> 170 podjetij. </w:t>
      </w:r>
    </w:p>
    <w:p w14:paraId="6DA70288" w14:textId="690BBBD7" w:rsidR="008528BD" w:rsidRPr="00BC781C" w:rsidRDefault="008528BD"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Za ustrezno obravnavo</w:t>
      </w:r>
      <w:r w:rsidR="00AC1A24" w:rsidRPr="00BC781C">
        <w:rPr>
          <w:rFonts w:eastAsia="Arial" w:cs="Times New Roman"/>
          <w:sz w:val="24"/>
          <w:szCs w:val="24"/>
        </w:rPr>
        <w:t xml:space="preserve"> čezmejnih</w:t>
      </w:r>
      <w:r w:rsidRPr="00BC781C">
        <w:rPr>
          <w:rFonts w:eastAsia="Arial" w:cs="Times New Roman"/>
          <w:sz w:val="24"/>
          <w:szCs w:val="24"/>
        </w:rPr>
        <w:t xml:space="preserve"> učinkov je koristno vključiti deležnike z izkušnjami v mednarodnem razvojnem sodelovanju.</w:t>
      </w:r>
      <w:r w:rsidR="00AC1A24" w:rsidRPr="00BC781C">
        <w:rPr>
          <w:rFonts w:eastAsia="Arial" w:cs="Times New Roman"/>
          <w:sz w:val="24"/>
          <w:szCs w:val="24"/>
        </w:rPr>
        <w:t xml:space="preserve"> Države pogosto vključijo načelo skladnosti v bilateralne dogovore s partnerskimi državami (npr.</w:t>
      </w:r>
      <w:r w:rsidR="00430CDA" w:rsidRPr="00BC781C">
        <w:rPr>
          <w:rFonts w:eastAsia="Arial" w:cs="Times New Roman"/>
          <w:sz w:val="24"/>
          <w:szCs w:val="24"/>
        </w:rPr>
        <w:t xml:space="preserve"> </w:t>
      </w:r>
      <w:r w:rsidR="00AC1A24" w:rsidRPr="00BC781C">
        <w:rPr>
          <w:rFonts w:eastAsia="Arial" w:cs="Times New Roman"/>
          <w:sz w:val="24"/>
          <w:szCs w:val="24"/>
        </w:rPr>
        <w:t>Luksemburg, Nemčija, Španija, EU).</w:t>
      </w:r>
    </w:p>
    <w:p w14:paraId="51CBDD52" w14:textId="3B0E6A87" w:rsidR="00126EE8" w:rsidRPr="00BC781C" w:rsidRDefault="00AC1A24"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Različne oblike vključevanja deležnikov v implementacijo CTR in načela SPTR ima več držav, ki so odgovorile na </w:t>
      </w:r>
      <w:r w:rsidR="00126EE8" w:rsidRPr="00BC781C">
        <w:rPr>
          <w:rFonts w:eastAsia="Arial" w:cs="Times New Roman"/>
          <w:sz w:val="24"/>
          <w:szCs w:val="24"/>
        </w:rPr>
        <w:t>O</w:t>
      </w:r>
      <w:r w:rsidRPr="00BC781C">
        <w:rPr>
          <w:rFonts w:eastAsia="Arial" w:cs="Times New Roman"/>
          <w:sz w:val="24"/>
          <w:szCs w:val="24"/>
        </w:rPr>
        <w:t xml:space="preserve">ECD vprašalnik. Med posebej zanimivimi izdvajamo primer Grčije, ki je oblikovala niz Akcijskih načrtov za vključevanje ranljivih skupin v doseganje CTR s ciljem, da se </w:t>
      </w:r>
      <w:r w:rsidRPr="00BC781C">
        <w:rPr>
          <w:rFonts w:eastAsia="Arial" w:cs="Times New Roman"/>
          <w:i/>
          <w:iCs/>
          <w:sz w:val="24"/>
          <w:szCs w:val="24"/>
        </w:rPr>
        <w:t>»nikogar ne pusti zadaj«</w:t>
      </w:r>
      <w:r w:rsidRPr="00BC781C">
        <w:rPr>
          <w:rFonts w:eastAsia="Arial" w:cs="Times New Roman"/>
          <w:sz w:val="24"/>
          <w:szCs w:val="24"/>
        </w:rPr>
        <w:t>.</w:t>
      </w:r>
      <w:r w:rsidR="00126EE8" w:rsidRPr="00BC781C">
        <w:rPr>
          <w:rFonts w:eastAsia="Arial" w:cs="Times New Roman"/>
          <w:sz w:val="24"/>
          <w:szCs w:val="24"/>
        </w:rPr>
        <w:t xml:space="preserve"> </w:t>
      </w:r>
      <w:r w:rsidRPr="00BC781C">
        <w:rPr>
          <w:rFonts w:eastAsia="Arial" w:cs="Times New Roman"/>
          <w:sz w:val="24"/>
          <w:szCs w:val="24"/>
        </w:rPr>
        <w:t>Tako so oblikovali Akcijski načrt za zagotavljanje pravic otrok, Akcijski načrt za enakost spolov, Akcijski načrt za mlade, itd. Nemčija je za vključevanje deležnikov ustanovila več različnih teles: Trajnostni forum je tako najširša platforma za posvetovanje države in družbe o uresničevanju Agende 2030</w:t>
      </w:r>
      <w:r w:rsidR="00C94FDF" w:rsidRPr="00BC781C">
        <w:rPr>
          <w:rFonts w:eastAsia="Arial" w:cs="Times New Roman"/>
          <w:sz w:val="24"/>
          <w:szCs w:val="24"/>
        </w:rPr>
        <w:t xml:space="preserve">. Skupina za dialog ima 15 članov/organizacij, ki zastopajo poslovni sektor, okolje, družbo in mednarodno razvojno sodelovanje. Posebna platforma združuje znanstvenike. O vseh trajnostnih temah razpravlja </w:t>
      </w:r>
      <w:r w:rsidR="00C94FDF" w:rsidRPr="00BC781C">
        <w:rPr>
          <w:rFonts w:eastAsia="Arial" w:cs="Times New Roman"/>
          <w:sz w:val="24"/>
          <w:szCs w:val="24"/>
        </w:rPr>
        <w:lastRenderedPageBreak/>
        <w:t xml:space="preserve">Nemški svet za trajnostni razvoj, ki svetuje državi na področju trajnostne politike. Norveška je že </w:t>
      </w:r>
      <w:r w:rsidR="00A96D73" w:rsidRPr="00BC781C">
        <w:rPr>
          <w:rFonts w:eastAsia="Arial" w:cs="Times New Roman"/>
          <w:sz w:val="24"/>
          <w:szCs w:val="24"/>
        </w:rPr>
        <w:t xml:space="preserve">leta </w:t>
      </w:r>
      <w:r w:rsidR="00C94FDF" w:rsidRPr="00BC781C">
        <w:rPr>
          <w:rFonts w:eastAsia="Arial" w:cs="Times New Roman"/>
          <w:sz w:val="24"/>
          <w:szCs w:val="24"/>
        </w:rPr>
        <w:t xml:space="preserve">2017 oblikovala Forum za skladnost politik, ki ga vodi namestnik ministra za razvojno sodelovanje, vključeni pa so tako predstavniki akademske skupnosti, civilne družbe ter poslovnega sektorja. Forum so </w:t>
      </w:r>
      <w:r w:rsidR="00A96D73" w:rsidRPr="00BC781C">
        <w:rPr>
          <w:rFonts w:eastAsia="Arial" w:cs="Times New Roman"/>
          <w:sz w:val="24"/>
          <w:szCs w:val="24"/>
        </w:rPr>
        <w:t xml:space="preserve">leta </w:t>
      </w:r>
      <w:r w:rsidR="00C94FDF" w:rsidRPr="00BC781C">
        <w:rPr>
          <w:rFonts w:eastAsia="Arial" w:cs="Times New Roman"/>
          <w:sz w:val="24"/>
          <w:szCs w:val="24"/>
        </w:rPr>
        <w:t>2021 preimenovali v Izvršni forum za CTR, vodi pa ga minister za lokalno vlado in regionalni razvoj.</w:t>
      </w:r>
    </w:p>
    <w:p w14:paraId="024FF715" w14:textId="12C180A4" w:rsidR="00126EE8" w:rsidRPr="00BC781C" w:rsidRDefault="00126EE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OECD ocenjuje, da večina držav vlaga veliko napora v vključevanje deležnikov v uresničevanje CTR, predlaga pa, da se deležnike </w:t>
      </w:r>
      <w:r w:rsidR="00EE0CC8" w:rsidRPr="00BC781C">
        <w:rPr>
          <w:rFonts w:eastAsia="Arial" w:cs="Times New Roman"/>
          <w:sz w:val="24"/>
          <w:szCs w:val="24"/>
        </w:rPr>
        <w:t xml:space="preserve">hkrati </w:t>
      </w:r>
      <w:r w:rsidRPr="00BC781C">
        <w:rPr>
          <w:rFonts w:eastAsia="Arial" w:cs="Times New Roman"/>
          <w:sz w:val="24"/>
          <w:szCs w:val="24"/>
        </w:rPr>
        <w:t>opozarja tudi na nujnost upoštevanja načela SPTR.</w:t>
      </w:r>
    </w:p>
    <w:p w14:paraId="15798D69" w14:textId="77777777" w:rsidR="00126EE8" w:rsidRPr="00BC781C" w:rsidRDefault="00126EE8" w:rsidP="004461CA">
      <w:pPr>
        <w:shd w:val="clear" w:color="auto" w:fill="FFFFFF"/>
        <w:spacing w:before="240" w:after="240" w:line="276" w:lineRule="auto"/>
        <w:rPr>
          <w:rFonts w:eastAsia="Arial" w:cs="Times New Roman"/>
          <w:sz w:val="24"/>
          <w:szCs w:val="24"/>
        </w:rPr>
      </w:pPr>
    </w:p>
    <w:p w14:paraId="6D757817" w14:textId="07CEA0DB" w:rsidR="00126EE8" w:rsidRPr="00BC781C" w:rsidRDefault="00126EE8" w:rsidP="00EE0CC8">
      <w:pPr>
        <w:rPr>
          <w:rFonts w:eastAsia="Arial" w:cs="Times New Roman"/>
          <w:b/>
          <w:bCs/>
          <w:sz w:val="24"/>
          <w:szCs w:val="24"/>
        </w:rPr>
      </w:pPr>
      <w:r w:rsidRPr="00BC781C">
        <w:rPr>
          <w:rFonts w:eastAsia="Arial" w:cs="Times New Roman"/>
          <w:b/>
          <w:bCs/>
          <w:sz w:val="24"/>
          <w:szCs w:val="24"/>
        </w:rPr>
        <w:t>Sklop 3</w:t>
      </w:r>
      <w:r w:rsidR="00EE0CC8" w:rsidRPr="00BC781C">
        <w:rPr>
          <w:rFonts w:eastAsia="Arial" w:cs="Times New Roman"/>
          <w:b/>
          <w:bCs/>
          <w:sz w:val="24"/>
          <w:szCs w:val="24"/>
        </w:rPr>
        <w:t xml:space="preserve">: </w:t>
      </w:r>
      <w:r w:rsidRPr="00BC781C">
        <w:rPr>
          <w:rFonts w:eastAsia="Arial" w:cs="Times New Roman"/>
          <w:b/>
          <w:bCs/>
          <w:sz w:val="24"/>
          <w:szCs w:val="24"/>
        </w:rPr>
        <w:t xml:space="preserve">Niz prilagojenih in ustreznih orodij za predvidevanje, oceno in naslavljanje domačih, čezmejnih in dolgoročnih vplivov politik    </w:t>
      </w:r>
    </w:p>
    <w:p w14:paraId="6B2EF78B" w14:textId="08ED5D52" w:rsidR="00126EE8" w:rsidRPr="00BC781C" w:rsidRDefault="00EE0CC8" w:rsidP="00EE0CC8">
      <w:pPr>
        <w:rPr>
          <w:rFonts w:eastAsia="Arial" w:cs="Times New Roman"/>
          <w:i/>
          <w:iCs/>
          <w:sz w:val="24"/>
          <w:szCs w:val="24"/>
        </w:rPr>
      </w:pPr>
      <w:r w:rsidRPr="00BC781C">
        <w:rPr>
          <w:rFonts w:eastAsia="Arial" w:cs="Times New Roman"/>
          <w:i/>
          <w:iCs/>
          <w:sz w:val="24"/>
          <w:szCs w:val="24"/>
        </w:rPr>
        <w:t xml:space="preserve">vii) </w:t>
      </w:r>
      <w:r w:rsidR="00126EE8" w:rsidRPr="00BC781C">
        <w:rPr>
          <w:rFonts w:eastAsia="Arial" w:cs="Times New Roman"/>
          <w:i/>
          <w:iCs/>
          <w:sz w:val="24"/>
          <w:szCs w:val="24"/>
        </w:rPr>
        <w:t>Analiza in ocena politik in finančnih učinkov</w:t>
      </w:r>
    </w:p>
    <w:p w14:paraId="54FC394C" w14:textId="437B8EAE" w:rsidR="00126EE8" w:rsidRPr="00BC781C" w:rsidRDefault="00CF6411"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Priporočila OECD vključujejo nasvet državam, da kjer je to mogoče, izvajajo redno spremljanje in ocenjevanje potencialnih pozitivnih in negativnih učinkov na trajnostni razvoj. Prav tako je koristno uvesti </w:t>
      </w:r>
      <w:r w:rsidRPr="00BC781C">
        <w:rPr>
          <w:rFonts w:eastAsia="Arial" w:cs="Times New Roman"/>
          <w:i/>
          <w:iCs/>
          <w:sz w:val="24"/>
          <w:szCs w:val="24"/>
        </w:rPr>
        <w:t>ex-ante</w:t>
      </w:r>
      <w:r w:rsidRPr="00BC781C">
        <w:rPr>
          <w:rFonts w:eastAsia="Arial" w:cs="Times New Roman"/>
          <w:sz w:val="24"/>
          <w:szCs w:val="24"/>
        </w:rPr>
        <w:t xml:space="preserve"> in </w:t>
      </w:r>
      <w:r w:rsidRPr="00BC781C">
        <w:rPr>
          <w:rFonts w:eastAsia="Arial" w:cs="Times New Roman"/>
          <w:i/>
          <w:iCs/>
          <w:sz w:val="24"/>
          <w:szCs w:val="24"/>
        </w:rPr>
        <w:t>ex-post</w:t>
      </w:r>
      <w:r w:rsidRPr="00BC781C">
        <w:rPr>
          <w:rFonts w:eastAsia="Arial" w:cs="Times New Roman"/>
          <w:sz w:val="24"/>
          <w:szCs w:val="24"/>
        </w:rPr>
        <w:t xml:space="preserve"> vrednotenje učinkov, ki vključuje tudi potencialne čezmejne učinke, še posebej za države v razvoju.</w:t>
      </w:r>
    </w:p>
    <w:p w14:paraId="08232EA2" w14:textId="27C845FC" w:rsidR="00BB0D9C" w:rsidRPr="00BC781C" w:rsidRDefault="00EE0CC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Analiza kaže, da je </w:t>
      </w:r>
      <w:r w:rsidR="00CF6411" w:rsidRPr="00BC781C">
        <w:rPr>
          <w:rFonts w:eastAsia="Arial" w:cs="Times New Roman"/>
          <w:sz w:val="24"/>
          <w:szCs w:val="24"/>
        </w:rPr>
        <w:t>64</w:t>
      </w:r>
      <w:r w:rsidRPr="00BC781C">
        <w:rPr>
          <w:rFonts w:eastAsia="Arial" w:cs="Times New Roman"/>
          <w:sz w:val="24"/>
          <w:szCs w:val="24"/>
        </w:rPr>
        <w:t xml:space="preserve"> </w:t>
      </w:r>
      <w:r w:rsidR="00CF6411" w:rsidRPr="00BC781C">
        <w:rPr>
          <w:rFonts w:eastAsia="Arial" w:cs="Times New Roman"/>
          <w:sz w:val="24"/>
          <w:szCs w:val="24"/>
        </w:rPr>
        <w:t xml:space="preserve">% držav odgovorilo, da uporabljajo orodja za vrednotenje učinkov politik na trajnostni razvoj. Hkrati pa številne izpostavljajo, da je potrebno obstoječa orodja dopolniti, še posebej na področju predhodnega vrednotenja. V številnih državah so ministrstva zavezana uporabljati t.i. </w:t>
      </w:r>
      <w:r w:rsidR="00CF6411" w:rsidRPr="00BC781C">
        <w:rPr>
          <w:rFonts w:eastAsia="Arial" w:cs="Times New Roman"/>
          <w:i/>
          <w:iCs/>
          <w:sz w:val="24"/>
          <w:szCs w:val="24"/>
        </w:rPr>
        <w:t>Regulatory Impact Assesment</w:t>
      </w:r>
      <w:r w:rsidR="00CF6411" w:rsidRPr="00BC781C">
        <w:rPr>
          <w:rFonts w:eastAsia="Arial" w:cs="Times New Roman"/>
          <w:sz w:val="24"/>
          <w:szCs w:val="24"/>
        </w:rPr>
        <w:t xml:space="preserve"> (RIA). Češki obrazec za oceno učinkov zakonskih predlogov vključuje tudi presojo učinkov </w:t>
      </w:r>
      <w:r w:rsidR="00BB0D9C" w:rsidRPr="00BC781C">
        <w:rPr>
          <w:rFonts w:eastAsia="Arial" w:cs="Times New Roman"/>
          <w:sz w:val="24"/>
          <w:szCs w:val="24"/>
        </w:rPr>
        <w:t xml:space="preserve">na trajnostni razvoj, v posebni prilogi pa so oblikovali še razlago načela SPTR. Podobno prakso najdemo še na Poljskem, na Finskem, </w:t>
      </w:r>
      <w:r w:rsidRPr="00BC781C">
        <w:rPr>
          <w:rFonts w:eastAsia="Arial" w:cs="Times New Roman"/>
          <w:sz w:val="24"/>
          <w:szCs w:val="24"/>
        </w:rPr>
        <w:t xml:space="preserve">v </w:t>
      </w:r>
      <w:r w:rsidR="00BB0D9C" w:rsidRPr="00BC781C">
        <w:rPr>
          <w:rFonts w:eastAsia="Arial" w:cs="Times New Roman"/>
          <w:sz w:val="24"/>
          <w:szCs w:val="24"/>
        </w:rPr>
        <w:t>Luksemburgu in Španiji.</w:t>
      </w:r>
    </w:p>
    <w:p w14:paraId="6E4603FA" w14:textId="4931AC10" w:rsidR="009F286C" w:rsidRPr="00BC781C" w:rsidRDefault="00BB0D9C"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Posebno zahtevna je presoja čezmejnih učinkov politik, kjer se države srečujejo predvsem s pomanjkanjem podatkov za ustrezno vrednotenje. Taka presoja</w:t>
      </w:r>
      <w:r w:rsidR="009F286C" w:rsidRPr="00BC781C">
        <w:rPr>
          <w:rFonts w:eastAsia="Arial" w:cs="Times New Roman"/>
          <w:sz w:val="24"/>
          <w:szCs w:val="24"/>
        </w:rPr>
        <w:t xml:space="preserve"> nacionalnih ukrepov in politik</w:t>
      </w:r>
      <w:r w:rsidRPr="00BC781C">
        <w:rPr>
          <w:rFonts w:eastAsia="Arial" w:cs="Times New Roman"/>
          <w:sz w:val="24"/>
          <w:szCs w:val="24"/>
        </w:rPr>
        <w:t xml:space="preserve"> bi bila ključna pri vstopanju v multilateralna pogajanja</w:t>
      </w:r>
      <w:r w:rsidR="009F286C" w:rsidRPr="00BC781C">
        <w:rPr>
          <w:rFonts w:eastAsia="Arial" w:cs="Times New Roman"/>
          <w:sz w:val="24"/>
          <w:szCs w:val="24"/>
        </w:rPr>
        <w:t>, kjer se pričakuje, da so možni čezmejni učinki. Kako kompleksno je to področje se kaže tudi v tem, da le 33</w:t>
      </w:r>
      <w:r w:rsidR="00EE0CC8" w:rsidRPr="00BC781C">
        <w:rPr>
          <w:rFonts w:eastAsia="Arial" w:cs="Times New Roman"/>
          <w:sz w:val="24"/>
          <w:szCs w:val="24"/>
        </w:rPr>
        <w:t xml:space="preserve"> </w:t>
      </w:r>
      <w:r w:rsidR="009F286C" w:rsidRPr="00BC781C">
        <w:rPr>
          <w:rFonts w:eastAsia="Arial" w:cs="Times New Roman"/>
          <w:sz w:val="24"/>
          <w:szCs w:val="24"/>
        </w:rPr>
        <w:t>% držav poskuša vrednotiti čezmejne učinke in jih večina pričakuje podporo s strani OECD.</w:t>
      </w:r>
    </w:p>
    <w:p w14:paraId="62763B35" w14:textId="7270CBCA" w:rsidR="00CF6411" w:rsidRPr="00BC781C" w:rsidRDefault="00EE0CC8" w:rsidP="00EE0CC8">
      <w:pPr>
        <w:shd w:val="clear" w:color="auto" w:fill="FFFFFF"/>
        <w:spacing w:before="240" w:after="240" w:line="276" w:lineRule="auto"/>
        <w:rPr>
          <w:rFonts w:eastAsia="Arial" w:cs="Times New Roman"/>
          <w:i/>
          <w:iCs/>
          <w:sz w:val="24"/>
          <w:szCs w:val="24"/>
        </w:rPr>
      </w:pPr>
      <w:r w:rsidRPr="00BC781C">
        <w:rPr>
          <w:rFonts w:eastAsia="Arial" w:cs="Times New Roman"/>
          <w:i/>
          <w:iCs/>
          <w:sz w:val="24"/>
          <w:szCs w:val="24"/>
        </w:rPr>
        <w:t xml:space="preserve">viii) </w:t>
      </w:r>
      <w:r w:rsidR="009F286C" w:rsidRPr="00BC781C">
        <w:rPr>
          <w:rFonts w:eastAsia="Arial" w:cs="Times New Roman"/>
          <w:i/>
          <w:iCs/>
          <w:sz w:val="24"/>
          <w:szCs w:val="24"/>
        </w:rPr>
        <w:t xml:space="preserve">Krepitev </w:t>
      </w:r>
      <w:r w:rsidR="00CB3182" w:rsidRPr="00BC781C">
        <w:rPr>
          <w:rFonts w:eastAsia="Arial" w:cs="Times New Roman"/>
          <w:i/>
          <w:iCs/>
          <w:sz w:val="24"/>
          <w:szCs w:val="24"/>
        </w:rPr>
        <w:t xml:space="preserve">sistemov </w:t>
      </w:r>
      <w:r w:rsidR="009F286C" w:rsidRPr="00BC781C">
        <w:rPr>
          <w:rFonts w:eastAsia="Arial" w:cs="Times New Roman"/>
          <w:i/>
          <w:iCs/>
          <w:sz w:val="24"/>
          <w:szCs w:val="24"/>
        </w:rPr>
        <w:t>nadzora, poročanja in evalvacije z</w:t>
      </w:r>
      <w:r w:rsidR="00CB3182" w:rsidRPr="00BC781C">
        <w:rPr>
          <w:rFonts w:eastAsia="Arial" w:cs="Times New Roman"/>
          <w:i/>
          <w:iCs/>
          <w:sz w:val="24"/>
          <w:szCs w:val="24"/>
        </w:rPr>
        <w:t>a</w:t>
      </w:r>
      <w:r w:rsidR="009F286C" w:rsidRPr="00BC781C">
        <w:rPr>
          <w:rFonts w:eastAsia="Arial" w:cs="Times New Roman"/>
          <w:i/>
          <w:iCs/>
          <w:sz w:val="24"/>
          <w:szCs w:val="24"/>
        </w:rPr>
        <w:t xml:space="preserve"> zbiranj</w:t>
      </w:r>
      <w:r w:rsidR="00CB3182" w:rsidRPr="00BC781C">
        <w:rPr>
          <w:rFonts w:eastAsia="Arial" w:cs="Times New Roman"/>
          <w:i/>
          <w:iCs/>
          <w:sz w:val="24"/>
          <w:szCs w:val="24"/>
        </w:rPr>
        <w:t>e</w:t>
      </w:r>
      <w:r w:rsidR="009F286C" w:rsidRPr="00BC781C">
        <w:rPr>
          <w:rFonts w:eastAsia="Arial" w:cs="Times New Roman"/>
          <w:i/>
          <w:iCs/>
          <w:sz w:val="24"/>
          <w:szCs w:val="24"/>
        </w:rPr>
        <w:t xml:space="preserve"> kvantitativne in kvalitativne evidence o učinkih politik in </w:t>
      </w:r>
      <w:r w:rsidR="00CB3182" w:rsidRPr="00BC781C">
        <w:rPr>
          <w:rFonts w:eastAsia="Arial" w:cs="Times New Roman"/>
          <w:i/>
          <w:iCs/>
          <w:sz w:val="24"/>
          <w:szCs w:val="24"/>
        </w:rPr>
        <w:t xml:space="preserve">njihovega </w:t>
      </w:r>
      <w:r w:rsidR="009F286C" w:rsidRPr="00BC781C">
        <w:rPr>
          <w:rFonts w:eastAsia="Arial" w:cs="Times New Roman"/>
          <w:i/>
          <w:iCs/>
          <w:sz w:val="24"/>
          <w:szCs w:val="24"/>
        </w:rPr>
        <w:t>financiranja ter poročanj</w:t>
      </w:r>
      <w:r w:rsidR="00CB3182" w:rsidRPr="00BC781C">
        <w:rPr>
          <w:rFonts w:eastAsia="Arial" w:cs="Times New Roman"/>
          <w:i/>
          <w:iCs/>
          <w:sz w:val="24"/>
          <w:szCs w:val="24"/>
        </w:rPr>
        <w:t>u</w:t>
      </w:r>
      <w:r w:rsidR="009F286C" w:rsidRPr="00BC781C">
        <w:rPr>
          <w:rFonts w:eastAsia="Arial" w:cs="Times New Roman"/>
          <w:i/>
          <w:iCs/>
          <w:sz w:val="24"/>
          <w:szCs w:val="24"/>
        </w:rPr>
        <w:t xml:space="preserve"> o SPTR</w:t>
      </w:r>
      <w:r w:rsidR="00BB0D9C" w:rsidRPr="00BC781C">
        <w:rPr>
          <w:rFonts w:eastAsia="Arial" w:cs="Times New Roman"/>
          <w:i/>
          <w:iCs/>
          <w:sz w:val="24"/>
          <w:szCs w:val="24"/>
        </w:rPr>
        <w:t xml:space="preserve">  </w:t>
      </w:r>
    </w:p>
    <w:p w14:paraId="70E27E6B" w14:textId="29DB637B" w:rsidR="00EF1E18" w:rsidRPr="00BC781C" w:rsidRDefault="00EF1E1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OECD državam priporoča, da spremljajo in redno objavljajo poročila o napredku na področju SPTR, tako glede učinkov doma kot čez mejo. Za uspešno spremljanje in vrednotenje je ključnega pomena sistematično zbiranje podatkov, indikatorjev in drugih informacij, ki naj bodo diferencirani glede na spol, starost, dohodek, geografsko lokacijo</w:t>
      </w:r>
      <w:r w:rsidR="006A0200" w:rsidRPr="00BC781C">
        <w:rPr>
          <w:rFonts w:eastAsia="Arial" w:cs="Times New Roman"/>
          <w:sz w:val="24"/>
          <w:szCs w:val="24"/>
        </w:rPr>
        <w:t xml:space="preserve"> </w:t>
      </w:r>
      <w:r w:rsidRPr="00BC781C">
        <w:rPr>
          <w:rFonts w:eastAsia="Arial" w:cs="Times New Roman"/>
          <w:sz w:val="24"/>
          <w:szCs w:val="24"/>
        </w:rPr>
        <w:t xml:space="preserve">itd., tako da se lažje in </w:t>
      </w:r>
      <w:r w:rsidR="003D4A6D" w:rsidRPr="00BC781C">
        <w:rPr>
          <w:rFonts w:eastAsia="Arial" w:cs="Times New Roman"/>
          <w:sz w:val="24"/>
          <w:szCs w:val="24"/>
        </w:rPr>
        <w:t>bolj točno</w:t>
      </w:r>
      <w:r w:rsidRPr="00BC781C">
        <w:rPr>
          <w:rFonts w:eastAsia="Arial" w:cs="Times New Roman"/>
          <w:sz w:val="24"/>
          <w:szCs w:val="24"/>
        </w:rPr>
        <w:t xml:space="preserve"> oceni prispevek države k uresničevanju Agende 2030. </w:t>
      </w:r>
      <w:r w:rsidRPr="00BC781C">
        <w:rPr>
          <w:rFonts w:eastAsia="Arial" w:cs="Times New Roman"/>
          <w:b/>
          <w:bCs/>
          <w:sz w:val="24"/>
          <w:szCs w:val="24"/>
        </w:rPr>
        <w:t xml:space="preserve">Za redno poročanje o SPTR je potrebno razviti kapacitete in sposobnosti za zbiranje podatkov, njihovo obdelavo in pripravo poročil. Princip skladnosti politik je smiselno vgraditi v vse evalvacijske sisteme </w:t>
      </w:r>
      <w:r w:rsidRPr="00BC781C">
        <w:rPr>
          <w:rFonts w:eastAsia="Arial" w:cs="Times New Roman"/>
          <w:b/>
          <w:bCs/>
          <w:sz w:val="24"/>
          <w:szCs w:val="24"/>
        </w:rPr>
        <w:lastRenderedPageBreak/>
        <w:t>in tako omogočiti sprejemanje odločitev na podlagi poznavanja medsebojnih učinkov sektorskih politik ter čezmejnih vplivov.</w:t>
      </w:r>
    </w:p>
    <w:p w14:paraId="434F0163" w14:textId="722A9350" w:rsidR="00EF1E18" w:rsidRPr="00BC781C" w:rsidRDefault="006A0200"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Kar </w:t>
      </w:r>
      <w:r w:rsidR="00EF1E18" w:rsidRPr="00BC781C">
        <w:rPr>
          <w:rFonts w:eastAsia="Arial" w:cs="Times New Roman"/>
          <w:sz w:val="24"/>
          <w:szCs w:val="24"/>
        </w:rPr>
        <w:t>72</w:t>
      </w:r>
      <w:r w:rsidRPr="00BC781C">
        <w:rPr>
          <w:rFonts w:eastAsia="Arial" w:cs="Times New Roman"/>
          <w:sz w:val="24"/>
          <w:szCs w:val="24"/>
        </w:rPr>
        <w:t xml:space="preserve"> </w:t>
      </w:r>
      <w:r w:rsidR="00EF1E18" w:rsidRPr="00BC781C">
        <w:rPr>
          <w:rFonts w:eastAsia="Arial" w:cs="Times New Roman"/>
          <w:sz w:val="24"/>
          <w:szCs w:val="24"/>
        </w:rPr>
        <w:t>% držav, ki so odgovorile na vprašalnik, poroča, da uporabljajo posebne kazalce za merjenje napredka države pri uresničevanju Agende 2030</w:t>
      </w:r>
      <w:r w:rsidR="00F5340C" w:rsidRPr="00BC781C">
        <w:rPr>
          <w:rFonts w:eastAsia="Arial" w:cs="Times New Roman"/>
          <w:sz w:val="24"/>
          <w:szCs w:val="24"/>
        </w:rPr>
        <w:t>. Statistične podatke najpogosteje zbirajo državni statistični uradi skupaj z relevantnimi ministrstvi (</w:t>
      </w:r>
      <w:r w:rsidR="00102F9A" w:rsidRPr="00BC781C">
        <w:rPr>
          <w:rFonts w:eastAsia="Arial" w:cs="Times New Roman"/>
          <w:sz w:val="24"/>
          <w:szCs w:val="24"/>
        </w:rPr>
        <w:t xml:space="preserve">npr. </w:t>
      </w:r>
      <w:r w:rsidR="00F5340C" w:rsidRPr="00BC781C">
        <w:rPr>
          <w:rFonts w:eastAsia="Arial" w:cs="Times New Roman"/>
          <w:sz w:val="24"/>
          <w:szCs w:val="24"/>
        </w:rPr>
        <w:t>Poljska, Slovaška, Portugalska, Italija, Švica, Nizozemska). Zgolj 20</w:t>
      </w:r>
      <w:r w:rsidR="00102F9A" w:rsidRPr="00BC781C">
        <w:rPr>
          <w:rFonts w:eastAsia="Arial" w:cs="Times New Roman"/>
          <w:sz w:val="24"/>
          <w:szCs w:val="24"/>
        </w:rPr>
        <w:t xml:space="preserve"> </w:t>
      </w:r>
      <w:r w:rsidR="00F5340C" w:rsidRPr="00BC781C">
        <w:rPr>
          <w:rFonts w:eastAsia="Arial" w:cs="Times New Roman"/>
          <w:sz w:val="24"/>
          <w:szCs w:val="24"/>
        </w:rPr>
        <w:t xml:space="preserve">% držav pa redno spremlja in poroča o čezmejnih učinkih. Tako npr. Nizozemska v okviru zunanjega ministrstva preverja skladnost politik na področju trgovine, davčne politike ter podnebnih sprememb. Kanada je v </w:t>
      </w:r>
      <w:r w:rsidR="00102F9A" w:rsidRPr="00BC781C">
        <w:rPr>
          <w:rFonts w:eastAsia="Arial" w:cs="Times New Roman"/>
          <w:sz w:val="24"/>
          <w:szCs w:val="24"/>
        </w:rPr>
        <w:t xml:space="preserve">letu </w:t>
      </w:r>
      <w:r w:rsidR="00F5340C" w:rsidRPr="00BC781C">
        <w:rPr>
          <w:rFonts w:eastAsia="Arial" w:cs="Times New Roman"/>
          <w:sz w:val="24"/>
          <w:szCs w:val="24"/>
        </w:rPr>
        <w:t xml:space="preserve">2021 izvedla evalvaciji o diplomaciji, trgovini in razvojni pomoči za Azijo in Pacifik ter za Latinsko Ameriko in Karibe. Obe evalvaciji sta izpostavili priložnosti za sinergije med tremi dejavnostmi, ki pa niso bile sistematično izkoriščene. Tudi EU ima na ravni Parlamenta </w:t>
      </w:r>
      <w:r w:rsidR="00906CC3" w:rsidRPr="00BC781C">
        <w:rPr>
          <w:rFonts w:eastAsia="Arial" w:cs="Times New Roman"/>
          <w:sz w:val="24"/>
          <w:szCs w:val="24"/>
        </w:rPr>
        <w:t>vz</w:t>
      </w:r>
      <w:r w:rsidR="00F5340C" w:rsidRPr="00BC781C">
        <w:rPr>
          <w:rFonts w:eastAsia="Arial" w:cs="Times New Roman"/>
          <w:sz w:val="24"/>
          <w:szCs w:val="24"/>
        </w:rPr>
        <w:t xml:space="preserve">postavljene mehanizme za redno spremljanje skladnosti politik </w:t>
      </w:r>
      <w:r w:rsidR="00906CC3" w:rsidRPr="00BC781C">
        <w:rPr>
          <w:rFonts w:eastAsia="Arial" w:cs="Times New Roman"/>
          <w:sz w:val="24"/>
          <w:szCs w:val="24"/>
        </w:rPr>
        <w:t>in dialog na ravni delegacij EU v državah v razvoju. Od leta 2023 je imenovan posebni poročevalec za področje skladnosti politik za razvoj.</w:t>
      </w:r>
    </w:p>
    <w:p w14:paraId="468C4688" w14:textId="03850FB8" w:rsidR="00906CC3" w:rsidRPr="00BC781C" w:rsidRDefault="00906CC3"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Kljub nekaterim dobrim primerom je na področju rednega spremljanja in vrednotenja SPTR narejenega relativno malo, pa čeprav bi lahko tako delovanje ne le prispevalo k večji skladnosti politik, ampak tudi k večjemu osveščanju javnosti, izboljšanemu dialogu med deležniki in kakovostnejšim zakonodajnim predlogom.</w:t>
      </w:r>
    </w:p>
    <w:p w14:paraId="69DA83FE" w14:textId="77777777" w:rsidR="00767B0C" w:rsidRPr="00BC781C" w:rsidRDefault="00767B0C" w:rsidP="004461CA">
      <w:pPr>
        <w:shd w:val="clear" w:color="auto" w:fill="FFFFFF"/>
        <w:spacing w:before="240" w:after="240" w:line="276" w:lineRule="auto"/>
        <w:rPr>
          <w:rFonts w:eastAsia="Arial" w:cs="Times New Roman"/>
          <w:sz w:val="24"/>
          <w:szCs w:val="24"/>
        </w:rPr>
      </w:pPr>
    </w:p>
    <w:p w14:paraId="193B07B6" w14:textId="348EB445" w:rsidR="00767B0C" w:rsidRPr="00BC781C" w:rsidRDefault="00767B0C" w:rsidP="00BC781C">
      <w:pPr>
        <w:pStyle w:val="Heading2"/>
        <w:rPr>
          <w:rFonts w:eastAsia="Arial" w:cs="Times New Roman"/>
          <w:szCs w:val="24"/>
        </w:rPr>
      </w:pPr>
      <w:bookmarkStart w:id="8" w:name="_Toc205412250"/>
      <w:r w:rsidRPr="00BC781C">
        <w:rPr>
          <w:rFonts w:eastAsia="Arial" w:cs="Times New Roman"/>
          <w:szCs w:val="24"/>
        </w:rPr>
        <w:t>Sklepna ocena</w:t>
      </w:r>
      <w:r w:rsidR="00B95F87" w:rsidRPr="00BC781C">
        <w:rPr>
          <w:rFonts w:eastAsia="Arial" w:cs="Times New Roman"/>
          <w:szCs w:val="24"/>
        </w:rPr>
        <w:t xml:space="preserve"> ugotovitev OECD analize</w:t>
      </w:r>
      <w:bookmarkEnd w:id="8"/>
    </w:p>
    <w:p w14:paraId="39A20F8B" w14:textId="10FB7A86" w:rsidR="00767B0C" w:rsidRPr="00BC781C" w:rsidRDefault="00767B0C"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Spodnja tabela </w:t>
      </w:r>
      <w:r w:rsidR="00170490" w:rsidRPr="00BC781C">
        <w:rPr>
          <w:rFonts w:eastAsia="Arial" w:cs="Times New Roman"/>
          <w:sz w:val="24"/>
          <w:szCs w:val="24"/>
        </w:rPr>
        <w:t>pregledno povzema</w:t>
      </w:r>
      <w:r w:rsidRPr="00BC781C">
        <w:rPr>
          <w:rFonts w:eastAsia="Arial" w:cs="Times New Roman"/>
          <w:sz w:val="24"/>
          <w:szCs w:val="24"/>
        </w:rPr>
        <w:t>, kje so države, ki so odgovorile na vprašalnik, zaznale največ ovir.</w:t>
      </w:r>
    </w:p>
    <w:p w14:paraId="436BD7E2" w14:textId="46D7C98F" w:rsidR="0073754B" w:rsidRPr="00BC781C" w:rsidRDefault="0073754B" w:rsidP="0073754B">
      <w:pPr>
        <w:pStyle w:val="Caption"/>
        <w:keepNext/>
        <w:rPr>
          <w:rFonts w:cs="Times New Roman"/>
          <w:i w:val="0"/>
          <w:iCs w:val="0"/>
          <w:color w:val="auto"/>
          <w:sz w:val="24"/>
          <w:szCs w:val="24"/>
        </w:rPr>
      </w:pPr>
      <w:r w:rsidRPr="00BC781C">
        <w:rPr>
          <w:rFonts w:cs="Times New Roman"/>
          <w:i w:val="0"/>
          <w:iCs w:val="0"/>
          <w:color w:val="auto"/>
          <w:sz w:val="24"/>
          <w:szCs w:val="24"/>
        </w:rPr>
        <w:t xml:space="preserve">Tabela </w:t>
      </w:r>
      <w:r w:rsidRPr="00BC781C">
        <w:rPr>
          <w:rFonts w:cs="Times New Roman"/>
          <w:i w:val="0"/>
          <w:iCs w:val="0"/>
          <w:color w:val="auto"/>
          <w:sz w:val="24"/>
          <w:szCs w:val="24"/>
        </w:rPr>
        <w:fldChar w:fldCharType="begin"/>
      </w:r>
      <w:r w:rsidRPr="00BC781C">
        <w:rPr>
          <w:rFonts w:cs="Times New Roman"/>
          <w:i w:val="0"/>
          <w:iCs w:val="0"/>
          <w:color w:val="auto"/>
          <w:sz w:val="24"/>
          <w:szCs w:val="24"/>
        </w:rPr>
        <w:instrText xml:space="preserve"> SEQ Tabela \* ARABIC </w:instrText>
      </w:r>
      <w:r w:rsidRPr="00BC781C">
        <w:rPr>
          <w:rFonts w:cs="Times New Roman"/>
          <w:i w:val="0"/>
          <w:iCs w:val="0"/>
          <w:color w:val="auto"/>
          <w:sz w:val="24"/>
          <w:szCs w:val="24"/>
        </w:rPr>
        <w:fldChar w:fldCharType="separate"/>
      </w:r>
      <w:r w:rsidRPr="00BC781C">
        <w:rPr>
          <w:rFonts w:cs="Times New Roman"/>
          <w:i w:val="0"/>
          <w:iCs w:val="0"/>
          <w:color w:val="auto"/>
          <w:sz w:val="24"/>
          <w:szCs w:val="24"/>
        </w:rPr>
        <w:t>1</w:t>
      </w:r>
      <w:r w:rsidRPr="00BC781C">
        <w:rPr>
          <w:rFonts w:cs="Times New Roman"/>
          <w:i w:val="0"/>
          <w:iCs w:val="0"/>
          <w:color w:val="auto"/>
          <w:sz w:val="24"/>
          <w:szCs w:val="24"/>
        </w:rPr>
        <w:fldChar w:fldCharType="end"/>
      </w:r>
      <w:r w:rsidRPr="00BC781C">
        <w:rPr>
          <w:rFonts w:cs="Times New Roman"/>
          <w:i w:val="0"/>
          <w:iCs w:val="0"/>
          <w:color w:val="auto"/>
          <w:sz w:val="24"/>
          <w:szCs w:val="24"/>
        </w:rPr>
        <w:t>: Izpostavljene ovire držav pri izvajanju načela skladnosti politik za trajnostni razvoj</w:t>
      </w:r>
    </w:p>
    <w:tbl>
      <w:tblPr>
        <w:tblStyle w:val="TableGrid"/>
        <w:tblW w:w="0" w:type="auto"/>
        <w:tblLook w:val="04A0" w:firstRow="1" w:lastRow="0" w:firstColumn="1" w:lastColumn="0" w:noHBand="0" w:noVBand="1"/>
      </w:tblPr>
      <w:tblGrid>
        <w:gridCol w:w="4530"/>
        <w:gridCol w:w="4530"/>
      </w:tblGrid>
      <w:tr w:rsidR="00906CC3" w:rsidRPr="00BC781C" w14:paraId="4BAFF843" w14:textId="77777777" w:rsidTr="00767B0C">
        <w:trPr>
          <w:trHeight w:val="567"/>
        </w:trPr>
        <w:tc>
          <w:tcPr>
            <w:tcW w:w="4530" w:type="dxa"/>
          </w:tcPr>
          <w:p w14:paraId="727CA929" w14:textId="64195E13" w:rsidR="00906CC3" w:rsidRPr="00BC781C" w:rsidRDefault="00906CC3" w:rsidP="004461CA">
            <w:pPr>
              <w:spacing w:before="120" w:after="120" w:line="276" w:lineRule="auto"/>
              <w:rPr>
                <w:rFonts w:eastAsia="Arial" w:cs="Times New Roman"/>
                <w:b/>
                <w:bCs/>
                <w:sz w:val="24"/>
                <w:szCs w:val="24"/>
              </w:rPr>
            </w:pPr>
            <w:r w:rsidRPr="00BC781C">
              <w:rPr>
                <w:rFonts w:eastAsia="Arial" w:cs="Times New Roman"/>
                <w:b/>
                <w:bCs/>
                <w:sz w:val="24"/>
                <w:szCs w:val="24"/>
              </w:rPr>
              <w:t>Izzivi za izvajanje načela SPTR</w:t>
            </w:r>
          </w:p>
        </w:tc>
        <w:tc>
          <w:tcPr>
            <w:tcW w:w="4530" w:type="dxa"/>
          </w:tcPr>
          <w:p w14:paraId="337286F3" w14:textId="5E6D1149" w:rsidR="00906CC3" w:rsidRPr="00BC781C" w:rsidRDefault="00906CC3" w:rsidP="004461CA">
            <w:pPr>
              <w:spacing w:before="120" w:after="120" w:line="276" w:lineRule="auto"/>
              <w:rPr>
                <w:rFonts w:eastAsia="Arial" w:cs="Times New Roman"/>
                <w:b/>
                <w:bCs/>
                <w:sz w:val="24"/>
                <w:szCs w:val="24"/>
              </w:rPr>
            </w:pPr>
            <w:r w:rsidRPr="00BC781C">
              <w:rPr>
                <w:rFonts w:eastAsia="Arial" w:cs="Times New Roman"/>
                <w:b/>
                <w:bCs/>
                <w:sz w:val="24"/>
                <w:szCs w:val="24"/>
              </w:rPr>
              <w:t>Odstotek odgovorov</w:t>
            </w:r>
          </w:p>
        </w:tc>
      </w:tr>
      <w:tr w:rsidR="00906CC3" w:rsidRPr="00BC781C" w14:paraId="4AF016D0" w14:textId="77777777" w:rsidTr="00767B0C">
        <w:trPr>
          <w:trHeight w:val="792"/>
        </w:trPr>
        <w:tc>
          <w:tcPr>
            <w:tcW w:w="4530" w:type="dxa"/>
          </w:tcPr>
          <w:p w14:paraId="38D3EFF7" w14:textId="06DF4331" w:rsidR="00906CC3" w:rsidRPr="00BC781C" w:rsidRDefault="00906CC3" w:rsidP="004461CA">
            <w:pPr>
              <w:spacing w:before="120" w:after="120" w:line="276" w:lineRule="auto"/>
              <w:rPr>
                <w:rFonts w:eastAsia="Arial" w:cs="Times New Roman"/>
                <w:sz w:val="24"/>
                <w:szCs w:val="24"/>
              </w:rPr>
            </w:pPr>
            <w:r w:rsidRPr="00BC781C">
              <w:rPr>
                <w:rFonts w:eastAsia="Arial" w:cs="Times New Roman"/>
                <w:sz w:val="24"/>
                <w:szCs w:val="24"/>
              </w:rPr>
              <w:t>Pomanjkanje zadostnih podatkov in informacij za oceno čezmejnih učinkov politik</w:t>
            </w:r>
          </w:p>
        </w:tc>
        <w:tc>
          <w:tcPr>
            <w:tcW w:w="4530" w:type="dxa"/>
          </w:tcPr>
          <w:p w14:paraId="35A9B777" w14:textId="1D9E6162" w:rsidR="00906CC3" w:rsidRPr="00BC781C" w:rsidRDefault="00906CC3" w:rsidP="004461CA">
            <w:pPr>
              <w:spacing w:before="120" w:after="120" w:line="276" w:lineRule="auto"/>
              <w:rPr>
                <w:rFonts w:eastAsia="Arial" w:cs="Times New Roman"/>
                <w:sz w:val="24"/>
                <w:szCs w:val="24"/>
              </w:rPr>
            </w:pPr>
            <w:r w:rsidRPr="00BC781C">
              <w:rPr>
                <w:rFonts w:eastAsia="Arial" w:cs="Times New Roman"/>
                <w:sz w:val="24"/>
                <w:szCs w:val="24"/>
              </w:rPr>
              <w:t>73</w:t>
            </w:r>
            <w:r w:rsidR="0073754B" w:rsidRPr="00BC781C">
              <w:rPr>
                <w:rFonts w:eastAsia="Arial" w:cs="Times New Roman"/>
                <w:sz w:val="24"/>
                <w:szCs w:val="24"/>
              </w:rPr>
              <w:t xml:space="preserve"> </w:t>
            </w:r>
            <w:r w:rsidRPr="00BC781C">
              <w:rPr>
                <w:rFonts w:eastAsia="Arial" w:cs="Times New Roman"/>
                <w:sz w:val="24"/>
                <w:szCs w:val="24"/>
              </w:rPr>
              <w:t>%</w:t>
            </w:r>
          </w:p>
        </w:tc>
      </w:tr>
      <w:tr w:rsidR="00906CC3" w:rsidRPr="00BC781C" w14:paraId="22F599D8" w14:textId="77777777" w:rsidTr="00767B0C">
        <w:trPr>
          <w:trHeight w:val="567"/>
        </w:trPr>
        <w:tc>
          <w:tcPr>
            <w:tcW w:w="4530" w:type="dxa"/>
          </w:tcPr>
          <w:p w14:paraId="77A80772" w14:textId="78E7A4B6"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Nezadostne tehnične kapacitete na tem področju</w:t>
            </w:r>
          </w:p>
        </w:tc>
        <w:tc>
          <w:tcPr>
            <w:tcW w:w="4530" w:type="dxa"/>
          </w:tcPr>
          <w:p w14:paraId="0432911C" w14:textId="600AAC5D"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45</w:t>
            </w:r>
            <w:r w:rsidR="0073754B" w:rsidRPr="00BC781C">
              <w:rPr>
                <w:rFonts w:eastAsia="Arial" w:cs="Times New Roman"/>
                <w:sz w:val="24"/>
                <w:szCs w:val="24"/>
              </w:rPr>
              <w:t xml:space="preserve"> </w:t>
            </w:r>
            <w:r w:rsidRPr="00BC781C">
              <w:rPr>
                <w:rFonts w:eastAsia="Arial" w:cs="Times New Roman"/>
                <w:sz w:val="24"/>
                <w:szCs w:val="24"/>
              </w:rPr>
              <w:t>%</w:t>
            </w:r>
          </w:p>
        </w:tc>
      </w:tr>
      <w:tr w:rsidR="00906CC3" w:rsidRPr="00BC781C" w14:paraId="42FADC4F" w14:textId="77777777" w:rsidTr="00767B0C">
        <w:trPr>
          <w:trHeight w:val="567"/>
        </w:trPr>
        <w:tc>
          <w:tcPr>
            <w:tcW w:w="4530" w:type="dxa"/>
          </w:tcPr>
          <w:p w14:paraId="431BAF90" w14:textId="15AB84AC"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Omejena sposobnost uveljavljanja načela SPTR</w:t>
            </w:r>
          </w:p>
        </w:tc>
        <w:tc>
          <w:tcPr>
            <w:tcW w:w="4530" w:type="dxa"/>
          </w:tcPr>
          <w:p w14:paraId="182AF4B7" w14:textId="14835BBB"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45</w:t>
            </w:r>
            <w:r w:rsidR="0073754B" w:rsidRPr="00BC781C">
              <w:rPr>
                <w:rFonts w:eastAsia="Arial" w:cs="Times New Roman"/>
                <w:sz w:val="24"/>
                <w:szCs w:val="24"/>
              </w:rPr>
              <w:t xml:space="preserve"> </w:t>
            </w:r>
            <w:r w:rsidRPr="00BC781C">
              <w:rPr>
                <w:rFonts w:eastAsia="Arial" w:cs="Times New Roman"/>
                <w:sz w:val="24"/>
                <w:szCs w:val="24"/>
              </w:rPr>
              <w:t>%</w:t>
            </w:r>
          </w:p>
        </w:tc>
      </w:tr>
      <w:tr w:rsidR="00906CC3" w:rsidRPr="00BC781C" w14:paraId="3CFB4949" w14:textId="77777777" w:rsidTr="00767B0C">
        <w:trPr>
          <w:trHeight w:val="567"/>
        </w:trPr>
        <w:tc>
          <w:tcPr>
            <w:tcW w:w="4530" w:type="dxa"/>
          </w:tcPr>
          <w:p w14:paraId="2CE295A5" w14:textId="70048045"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Nezadostna politična zavezanost načelu SPTR na najvišji ravni vlade</w:t>
            </w:r>
          </w:p>
        </w:tc>
        <w:tc>
          <w:tcPr>
            <w:tcW w:w="4530" w:type="dxa"/>
          </w:tcPr>
          <w:p w14:paraId="0B93B7B5" w14:textId="0E62D6A6"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41</w:t>
            </w:r>
            <w:r w:rsidR="0073754B" w:rsidRPr="00BC781C">
              <w:rPr>
                <w:rFonts w:eastAsia="Arial" w:cs="Times New Roman"/>
                <w:sz w:val="24"/>
                <w:szCs w:val="24"/>
              </w:rPr>
              <w:t xml:space="preserve"> </w:t>
            </w:r>
            <w:r w:rsidRPr="00BC781C">
              <w:rPr>
                <w:rFonts w:eastAsia="Arial" w:cs="Times New Roman"/>
                <w:sz w:val="24"/>
                <w:szCs w:val="24"/>
              </w:rPr>
              <w:t>%</w:t>
            </w:r>
          </w:p>
        </w:tc>
      </w:tr>
      <w:tr w:rsidR="00906CC3" w:rsidRPr="00BC781C" w14:paraId="41282D5F" w14:textId="77777777" w:rsidTr="00767B0C">
        <w:trPr>
          <w:trHeight w:val="567"/>
        </w:trPr>
        <w:tc>
          <w:tcPr>
            <w:tcW w:w="4530" w:type="dxa"/>
          </w:tcPr>
          <w:p w14:paraId="0F3747A5" w14:textId="05C1F18A"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lastRenderedPageBreak/>
              <w:t>Nejasno opredeljene vloge in odgovornosti za spodbujanje, nadzorovanje in izvajanje načela SPTR v javni administraciji</w:t>
            </w:r>
          </w:p>
        </w:tc>
        <w:tc>
          <w:tcPr>
            <w:tcW w:w="4530" w:type="dxa"/>
          </w:tcPr>
          <w:p w14:paraId="56C43B6A" w14:textId="00D15D40" w:rsidR="00906CC3"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36</w:t>
            </w:r>
            <w:r w:rsidR="0073754B" w:rsidRPr="00BC781C">
              <w:rPr>
                <w:rFonts w:eastAsia="Arial" w:cs="Times New Roman"/>
                <w:sz w:val="24"/>
                <w:szCs w:val="24"/>
              </w:rPr>
              <w:t xml:space="preserve"> </w:t>
            </w:r>
            <w:r w:rsidRPr="00BC781C">
              <w:rPr>
                <w:rFonts w:eastAsia="Arial" w:cs="Times New Roman"/>
                <w:sz w:val="24"/>
                <w:szCs w:val="24"/>
              </w:rPr>
              <w:t>%</w:t>
            </w:r>
          </w:p>
        </w:tc>
      </w:tr>
      <w:tr w:rsidR="00B202A5" w:rsidRPr="00BC781C" w14:paraId="0F8ED9FA" w14:textId="77777777" w:rsidTr="00767B0C">
        <w:trPr>
          <w:trHeight w:val="567"/>
        </w:trPr>
        <w:tc>
          <w:tcPr>
            <w:tcW w:w="4530" w:type="dxa"/>
          </w:tcPr>
          <w:p w14:paraId="534DD6FD" w14:textId="6C907235"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Pomanjkanje sredstev</w:t>
            </w:r>
          </w:p>
        </w:tc>
        <w:tc>
          <w:tcPr>
            <w:tcW w:w="4530" w:type="dxa"/>
          </w:tcPr>
          <w:p w14:paraId="6C3D87C7" w14:textId="7AF3038A"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27</w:t>
            </w:r>
            <w:r w:rsidR="0073754B" w:rsidRPr="00BC781C">
              <w:rPr>
                <w:rFonts w:eastAsia="Arial" w:cs="Times New Roman"/>
                <w:sz w:val="24"/>
                <w:szCs w:val="24"/>
              </w:rPr>
              <w:t xml:space="preserve"> </w:t>
            </w:r>
            <w:r w:rsidRPr="00BC781C">
              <w:rPr>
                <w:rFonts w:eastAsia="Arial" w:cs="Times New Roman"/>
                <w:sz w:val="24"/>
                <w:szCs w:val="24"/>
              </w:rPr>
              <w:t>%</w:t>
            </w:r>
          </w:p>
        </w:tc>
      </w:tr>
      <w:tr w:rsidR="00B202A5" w:rsidRPr="00BC781C" w14:paraId="0699B841" w14:textId="77777777" w:rsidTr="00767B0C">
        <w:trPr>
          <w:trHeight w:val="567"/>
        </w:trPr>
        <w:tc>
          <w:tcPr>
            <w:tcW w:w="4530" w:type="dxa"/>
          </w:tcPr>
          <w:p w14:paraId="7A5EAB1B" w14:textId="266BE20F"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Pomanjkanje jasno določenih prioritet, časovnic in ključnih kazalcev za spremljanje napredka pri SPTR</w:t>
            </w:r>
          </w:p>
        </w:tc>
        <w:tc>
          <w:tcPr>
            <w:tcW w:w="4530" w:type="dxa"/>
          </w:tcPr>
          <w:p w14:paraId="1CD731AF" w14:textId="5F5C412C"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27</w:t>
            </w:r>
            <w:r w:rsidR="0073754B" w:rsidRPr="00BC781C">
              <w:rPr>
                <w:rFonts w:eastAsia="Arial" w:cs="Times New Roman"/>
                <w:sz w:val="24"/>
                <w:szCs w:val="24"/>
              </w:rPr>
              <w:t xml:space="preserve"> </w:t>
            </w:r>
            <w:r w:rsidRPr="00BC781C">
              <w:rPr>
                <w:rFonts w:eastAsia="Arial" w:cs="Times New Roman"/>
                <w:sz w:val="24"/>
                <w:szCs w:val="24"/>
              </w:rPr>
              <w:t>%</w:t>
            </w:r>
          </w:p>
        </w:tc>
      </w:tr>
      <w:tr w:rsidR="00B202A5" w:rsidRPr="00BC781C" w14:paraId="7C069F0C" w14:textId="77777777" w:rsidTr="00767B0C">
        <w:trPr>
          <w:trHeight w:val="567"/>
        </w:trPr>
        <w:tc>
          <w:tcPr>
            <w:tcW w:w="4530" w:type="dxa"/>
          </w:tcPr>
          <w:p w14:paraId="11368ADB" w14:textId="4B89B2BC"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Težave pri jasnem sporočanju koristi SPTR med različnimi sektorji vlade</w:t>
            </w:r>
          </w:p>
        </w:tc>
        <w:tc>
          <w:tcPr>
            <w:tcW w:w="4530" w:type="dxa"/>
          </w:tcPr>
          <w:p w14:paraId="7479B44B" w14:textId="713D2719"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27</w:t>
            </w:r>
            <w:r w:rsidR="0073754B" w:rsidRPr="00BC781C">
              <w:rPr>
                <w:rFonts w:eastAsia="Arial" w:cs="Times New Roman"/>
                <w:sz w:val="24"/>
                <w:szCs w:val="24"/>
              </w:rPr>
              <w:t xml:space="preserve"> </w:t>
            </w:r>
            <w:r w:rsidRPr="00BC781C">
              <w:rPr>
                <w:rFonts w:eastAsia="Arial" w:cs="Times New Roman"/>
                <w:sz w:val="24"/>
                <w:szCs w:val="24"/>
              </w:rPr>
              <w:t>%</w:t>
            </w:r>
          </w:p>
        </w:tc>
      </w:tr>
      <w:tr w:rsidR="00B202A5" w:rsidRPr="00BC781C" w14:paraId="12E6590D" w14:textId="77777777" w:rsidTr="00767B0C">
        <w:trPr>
          <w:trHeight w:val="567"/>
        </w:trPr>
        <w:tc>
          <w:tcPr>
            <w:tcW w:w="4530" w:type="dxa"/>
          </w:tcPr>
          <w:p w14:paraId="0C60D2C3" w14:textId="3A14AAEB"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Pomanjkanje ukrepov, ki sežejo prek mandata ene vlade, da se zagotovi trajna zaveza SPTR</w:t>
            </w:r>
          </w:p>
        </w:tc>
        <w:tc>
          <w:tcPr>
            <w:tcW w:w="4530" w:type="dxa"/>
          </w:tcPr>
          <w:p w14:paraId="798232DE" w14:textId="5211DC6C"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23</w:t>
            </w:r>
            <w:r w:rsidR="0073754B" w:rsidRPr="00BC781C">
              <w:rPr>
                <w:rFonts w:eastAsia="Arial" w:cs="Times New Roman"/>
                <w:sz w:val="24"/>
                <w:szCs w:val="24"/>
              </w:rPr>
              <w:t xml:space="preserve"> </w:t>
            </w:r>
            <w:r w:rsidRPr="00BC781C">
              <w:rPr>
                <w:rFonts w:eastAsia="Arial" w:cs="Times New Roman"/>
                <w:sz w:val="24"/>
                <w:szCs w:val="24"/>
              </w:rPr>
              <w:t>%</w:t>
            </w:r>
          </w:p>
        </w:tc>
      </w:tr>
      <w:tr w:rsidR="00B202A5" w:rsidRPr="00BC781C" w14:paraId="2A517E87" w14:textId="77777777" w:rsidTr="00767B0C">
        <w:trPr>
          <w:trHeight w:val="567"/>
        </w:trPr>
        <w:tc>
          <w:tcPr>
            <w:tcW w:w="4530" w:type="dxa"/>
          </w:tcPr>
          <w:p w14:paraId="09A06C39" w14:textId="0A8649DB"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Nespodbuden pravni in politični okvir</w:t>
            </w:r>
          </w:p>
        </w:tc>
        <w:tc>
          <w:tcPr>
            <w:tcW w:w="4530" w:type="dxa"/>
          </w:tcPr>
          <w:p w14:paraId="6A64710A" w14:textId="1241FC1F" w:rsidR="00B202A5" w:rsidRPr="00BC781C" w:rsidRDefault="00B202A5" w:rsidP="004461CA">
            <w:pPr>
              <w:spacing w:before="120" w:after="120" w:line="276" w:lineRule="auto"/>
              <w:rPr>
                <w:rFonts w:eastAsia="Arial" w:cs="Times New Roman"/>
                <w:sz w:val="24"/>
                <w:szCs w:val="24"/>
              </w:rPr>
            </w:pPr>
            <w:r w:rsidRPr="00BC781C">
              <w:rPr>
                <w:rFonts w:eastAsia="Arial" w:cs="Times New Roman"/>
                <w:sz w:val="24"/>
                <w:szCs w:val="24"/>
              </w:rPr>
              <w:t>18</w:t>
            </w:r>
            <w:r w:rsidR="0073754B" w:rsidRPr="00BC781C">
              <w:rPr>
                <w:rFonts w:eastAsia="Arial" w:cs="Times New Roman"/>
                <w:sz w:val="24"/>
                <w:szCs w:val="24"/>
              </w:rPr>
              <w:t xml:space="preserve"> </w:t>
            </w:r>
            <w:r w:rsidRPr="00BC781C">
              <w:rPr>
                <w:rFonts w:eastAsia="Arial" w:cs="Times New Roman"/>
                <w:sz w:val="24"/>
                <w:szCs w:val="24"/>
              </w:rPr>
              <w:t>%</w:t>
            </w:r>
          </w:p>
        </w:tc>
      </w:tr>
    </w:tbl>
    <w:p w14:paraId="249BC599" w14:textId="7E1C98C8" w:rsidR="00906CC3" w:rsidRPr="00BC781C" w:rsidRDefault="00B202A5"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Vir: OECD</w:t>
      </w:r>
      <w:r w:rsidR="0073754B" w:rsidRPr="00BC781C">
        <w:rPr>
          <w:rFonts w:eastAsia="Arial" w:cs="Times New Roman"/>
          <w:sz w:val="24"/>
          <w:szCs w:val="24"/>
        </w:rPr>
        <w:t xml:space="preserve"> (</w:t>
      </w:r>
      <w:r w:rsidRPr="00BC781C">
        <w:rPr>
          <w:rFonts w:eastAsia="Arial" w:cs="Times New Roman"/>
          <w:sz w:val="24"/>
          <w:szCs w:val="24"/>
        </w:rPr>
        <w:t>2024</w:t>
      </w:r>
      <w:r w:rsidR="0073754B" w:rsidRPr="00BC781C">
        <w:rPr>
          <w:rFonts w:eastAsia="Arial" w:cs="Times New Roman"/>
          <w:sz w:val="24"/>
          <w:szCs w:val="24"/>
        </w:rPr>
        <w:t xml:space="preserve">: </w:t>
      </w:r>
      <w:r w:rsidRPr="00BC781C">
        <w:rPr>
          <w:rFonts w:eastAsia="Arial" w:cs="Times New Roman"/>
          <w:sz w:val="24"/>
          <w:szCs w:val="24"/>
        </w:rPr>
        <w:t>57-58</w:t>
      </w:r>
      <w:r w:rsidR="0073754B" w:rsidRPr="00BC781C">
        <w:rPr>
          <w:rFonts w:eastAsia="Arial" w:cs="Times New Roman"/>
          <w:sz w:val="24"/>
          <w:szCs w:val="24"/>
        </w:rPr>
        <w:t xml:space="preserve">). </w:t>
      </w:r>
    </w:p>
    <w:p w14:paraId="0805CBA6" w14:textId="50B5074C" w:rsidR="00032408" w:rsidRPr="00BC781C" w:rsidRDefault="0003240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Prehod s spremljanja načela </w:t>
      </w:r>
      <w:r w:rsidR="00B8433F" w:rsidRPr="00BC781C">
        <w:rPr>
          <w:rFonts w:eastAsia="Arial" w:cs="Times New Roman"/>
          <w:sz w:val="24"/>
          <w:szCs w:val="24"/>
        </w:rPr>
        <w:t>SPR</w:t>
      </w:r>
      <w:r w:rsidRPr="00BC781C">
        <w:rPr>
          <w:rFonts w:eastAsia="Arial" w:cs="Times New Roman"/>
          <w:sz w:val="24"/>
          <w:szCs w:val="24"/>
        </w:rPr>
        <w:t xml:space="preserve"> na spremljanje </w:t>
      </w:r>
      <w:r w:rsidR="00B8433F" w:rsidRPr="00BC781C">
        <w:rPr>
          <w:rFonts w:eastAsia="Arial" w:cs="Times New Roman"/>
          <w:sz w:val="24"/>
          <w:szCs w:val="24"/>
        </w:rPr>
        <w:t>SPTR</w:t>
      </w:r>
      <w:r w:rsidRPr="00BC781C">
        <w:rPr>
          <w:rFonts w:eastAsia="Arial" w:cs="Times New Roman"/>
          <w:sz w:val="24"/>
          <w:szCs w:val="24"/>
        </w:rPr>
        <w:t xml:space="preserve"> je postavil pred države nove izzive. Če je </w:t>
      </w:r>
      <w:r w:rsidR="00B8433F" w:rsidRPr="00BC781C">
        <w:rPr>
          <w:rFonts w:eastAsia="Arial" w:cs="Times New Roman"/>
          <w:sz w:val="24"/>
          <w:szCs w:val="24"/>
        </w:rPr>
        <w:t xml:space="preserve">bilo uresničevanje načela </w:t>
      </w:r>
      <w:r w:rsidRPr="00BC781C">
        <w:rPr>
          <w:rFonts w:eastAsia="Arial" w:cs="Times New Roman"/>
          <w:sz w:val="24"/>
          <w:szCs w:val="24"/>
        </w:rPr>
        <w:t xml:space="preserve">SPR zelo jasna naloga ministrstev oziroma agencij za izvajanje mednarodnega razvojnega sodelovanja, je s širitvijo načela na SPTR prišlo tudi do nujne širitve pristojnosti ter združevanje nacionalnega in mednarodnega, s posledično bolj omejenim poudarkom na čezmejne učinke politik. Načelo SPTR se namreč nanaša na vse nacionalne politike in je sodeč po opravljeni anketi OECD v velikem številu držav poverjeno posebnim novoustanovljenim organom ali službam na ravni vlade kot celote in ne posameznim resorjem. Zahtevna koordinacija politik za doseganje SPTR je uspešna predvsem v okoljih, kjer se CTR in Agendi 2030 namenja ustrezna podpora s samega vrha politike. V kolikor take podpore in zavedanja o pomenu CTR ni, je koordinacija v naprej obsojena na neuspeh. </w:t>
      </w:r>
    </w:p>
    <w:p w14:paraId="28A8D164" w14:textId="648B55AA" w:rsidR="007A5034" w:rsidRPr="00BC781C" w:rsidRDefault="0003240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Tudi v primerih držav, kjer je politična zaveza CTR visoka ugotavljajo, da je največja ovira zagotavljanju načela SPTR pomanjkanje podatkov</w:t>
      </w:r>
      <w:r w:rsidR="00D16531" w:rsidRPr="00BC781C">
        <w:rPr>
          <w:rFonts w:eastAsia="Arial" w:cs="Times New Roman"/>
          <w:sz w:val="24"/>
          <w:szCs w:val="24"/>
        </w:rPr>
        <w:t xml:space="preserve"> o učinkih in nezadostne tehnične kapacitete za dosledno spremljanje učinkov politik in proaktivno odpravljanje možnih neskladij politik. Še posebno problematično je ocenjevanje neskladij glede čezmejnih učinkov posameznih politik. Ta »zunanja« dimenzija spremljanja skladnosti se je s pristopom SPTR po naši oceni izgubila v korist zagotavljanja notranje skladnosti politik. Čeprav lahko načeloma trdimo, da se z upoštevanjem Agende 2030 in CTR v nacionalnih </w:t>
      </w:r>
      <w:r w:rsidR="007A5034" w:rsidRPr="00BC781C">
        <w:rPr>
          <w:rFonts w:eastAsia="Arial" w:cs="Times New Roman"/>
          <w:sz w:val="24"/>
          <w:szCs w:val="24"/>
        </w:rPr>
        <w:t>politikah</w:t>
      </w:r>
      <w:r w:rsidR="00D16531" w:rsidRPr="00BC781C">
        <w:rPr>
          <w:rFonts w:eastAsia="Arial" w:cs="Times New Roman"/>
          <w:sz w:val="24"/>
          <w:szCs w:val="24"/>
        </w:rPr>
        <w:t xml:space="preserve"> in z njihovo skladnostjo s CTR že zagotavlja tudi skladnost politik za razvoj, se zdi, da razširitev področja vodi v manjšo sposobnost spremljanja in izvajanja SPR s ključnim poudarkom na čezmejne učinke.</w:t>
      </w:r>
    </w:p>
    <w:p w14:paraId="551A58BA" w14:textId="77777777" w:rsidR="00BD2E40" w:rsidRPr="00BC781C" w:rsidRDefault="00BD2E40" w:rsidP="004461CA">
      <w:pPr>
        <w:shd w:val="clear" w:color="auto" w:fill="FFFFFF"/>
        <w:spacing w:before="240" w:after="240" w:line="276" w:lineRule="auto"/>
        <w:rPr>
          <w:rFonts w:eastAsia="Arial" w:cs="Times New Roman"/>
          <w:sz w:val="24"/>
          <w:szCs w:val="24"/>
        </w:rPr>
      </w:pPr>
    </w:p>
    <w:p w14:paraId="437C25DF" w14:textId="3526F648" w:rsidR="00B95F87" w:rsidRPr="00BC781C" w:rsidRDefault="004576C3" w:rsidP="00BC781C">
      <w:pPr>
        <w:pStyle w:val="Heading2"/>
        <w:rPr>
          <w:rFonts w:eastAsia="Arial" w:cs="Times New Roman"/>
          <w:szCs w:val="24"/>
        </w:rPr>
      </w:pPr>
      <w:bookmarkStart w:id="9" w:name="_Toc205412251"/>
      <w:r>
        <w:rPr>
          <w:rFonts w:eastAsia="Arial" w:cs="Times New Roman"/>
          <w:szCs w:val="24"/>
        </w:rPr>
        <w:lastRenderedPageBreak/>
        <w:t>Primeri sistemskih rešitev</w:t>
      </w:r>
      <w:r w:rsidR="00CC2C43" w:rsidRPr="00BC781C">
        <w:rPr>
          <w:rFonts w:eastAsia="Arial" w:cs="Times New Roman"/>
          <w:szCs w:val="24"/>
        </w:rPr>
        <w:t>: Italija in Finska</w:t>
      </w:r>
      <w:bookmarkEnd w:id="9"/>
    </w:p>
    <w:p w14:paraId="7F34CB38" w14:textId="77777777" w:rsidR="00CC2C43" w:rsidRPr="00BC781C" w:rsidRDefault="00CC2C43" w:rsidP="00CC2C43">
      <w:pPr>
        <w:rPr>
          <w:rFonts w:cs="Times New Roman"/>
          <w:sz w:val="24"/>
          <w:szCs w:val="24"/>
        </w:rPr>
      </w:pPr>
    </w:p>
    <w:p w14:paraId="6E454147" w14:textId="3EE17996" w:rsidR="00CC2C43" w:rsidRPr="00BC781C" w:rsidRDefault="00CC2C43" w:rsidP="00CC2C43">
      <w:pPr>
        <w:rPr>
          <w:rFonts w:cs="Times New Roman"/>
          <w:sz w:val="24"/>
          <w:szCs w:val="24"/>
        </w:rPr>
      </w:pPr>
      <w:r w:rsidRPr="00BC781C">
        <w:rPr>
          <w:rFonts w:cs="Times New Roman"/>
          <w:sz w:val="24"/>
          <w:szCs w:val="24"/>
        </w:rPr>
        <w:t>Za poglobljeno razumevanje možnih institucionalnih in operativnih rešitev za izvajanje načela skladnosti politik za trajnostni razvoj smo izbrali primera Italije in Finske. Italija predstavlja primer države, ki je v sodelovanju z OECD razvila obsežen in strukturiran sistem spremljanja SPTR, vključno z Nacionalnim akcijskim načrtom, matrikami skladnosti, obrazci za oceno skladnosti ter medresorskim usklajevanjem, ki poteka tako na horizontalni kot na vertikalni ravni. Njihov pristop povezuje izvajanje Nacionalne strategije trajnostnega razvoja z načelom SPTR in omogoča dosledno umeščanje trajnostnih ciljev v oblikovanje in vrednotenje politik. Finska pa izstopa po uveljavljenem celovitem pristopu vlade (</w:t>
      </w:r>
      <w:r w:rsidRPr="00BC781C">
        <w:rPr>
          <w:rFonts w:cs="Times New Roman"/>
          <w:i/>
          <w:iCs/>
          <w:sz w:val="24"/>
          <w:szCs w:val="24"/>
        </w:rPr>
        <w:t>whole-of-government approach</w:t>
      </w:r>
      <w:r w:rsidRPr="00BC781C">
        <w:rPr>
          <w:rFonts w:cs="Times New Roman"/>
          <w:sz w:val="24"/>
          <w:szCs w:val="24"/>
        </w:rPr>
        <w:t>), kjer usklajevanje poteka pod okriljem kabineta predsednika vlade in vključuje širok spekter deležnikov, vključno z ministrstvi, parlamentom, lokalnimi skupnostmi, civilno družbo in akademskim sektorjem. Tak model zagotavlja visoko politično zavezanost, sistematično vključevanje ciljev trajnostnega razvoja v sektorske politike ter redno spremljanje notranje in – v omejenem obsegu – tudi zunanje skladnosti politik.</w:t>
      </w:r>
    </w:p>
    <w:p w14:paraId="77A0BB46" w14:textId="1EE27CAF" w:rsidR="00CC2C43" w:rsidRPr="00BC781C" w:rsidRDefault="00CC2C43" w:rsidP="00BC781C">
      <w:pPr>
        <w:pStyle w:val="Heading3"/>
        <w:rPr>
          <w:rFonts w:eastAsia="Arial" w:cs="Times New Roman"/>
          <w:szCs w:val="24"/>
        </w:rPr>
      </w:pPr>
      <w:bookmarkStart w:id="10" w:name="_Toc205412252"/>
      <w:r w:rsidRPr="00BC781C">
        <w:rPr>
          <w:rFonts w:eastAsia="Arial" w:cs="Times New Roman"/>
          <w:szCs w:val="24"/>
        </w:rPr>
        <w:t>Italija</w:t>
      </w:r>
      <w:bookmarkEnd w:id="10"/>
    </w:p>
    <w:p w14:paraId="6642B0F2" w14:textId="2B47AC10" w:rsidR="00134021" w:rsidRPr="00BC781C" w:rsidRDefault="00BD2E40"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Italija je </w:t>
      </w:r>
      <w:r w:rsidR="00F1507F" w:rsidRPr="00BC781C">
        <w:rPr>
          <w:rFonts w:eastAsia="Arial" w:cs="Times New Roman"/>
          <w:sz w:val="24"/>
          <w:szCs w:val="24"/>
        </w:rPr>
        <w:t xml:space="preserve">2017 </w:t>
      </w:r>
      <w:r w:rsidRPr="00BC781C">
        <w:rPr>
          <w:rFonts w:eastAsia="Arial" w:cs="Times New Roman"/>
          <w:sz w:val="24"/>
          <w:szCs w:val="24"/>
        </w:rPr>
        <w:t>sprejela Nacionalno strategijo trajnostnega razvoja</w:t>
      </w:r>
      <w:r w:rsidR="00134021" w:rsidRPr="00BC781C">
        <w:rPr>
          <w:rFonts w:eastAsia="Arial" w:cs="Times New Roman"/>
          <w:sz w:val="24"/>
          <w:szCs w:val="24"/>
        </w:rPr>
        <w:t xml:space="preserve"> (NSTR)</w:t>
      </w:r>
      <w:r w:rsidRPr="00BC781C">
        <w:rPr>
          <w:rFonts w:eastAsia="Arial" w:cs="Times New Roman"/>
          <w:sz w:val="24"/>
          <w:szCs w:val="24"/>
        </w:rPr>
        <w:t xml:space="preserve"> in kot skrbnika za izvajanje strategije imenovala Ministrstvo za okolje in energetsko varnost (</w:t>
      </w:r>
      <w:r w:rsidRPr="00BC781C">
        <w:rPr>
          <w:rFonts w:eastAsia="Arial" w:cs="Times New Roman"/>
          <w:i/>
          <w:iCs/>
          <w:sz w:val="24"/>
          <w:szCs w:val="24"/>
        </w:rPr>
        <w:t>Ministry of Environment and Energy Securit</w:t>
      </w:r>
      <w:r w:rsidRPr="00BC781C">
        <w:rPr>
          <w:rFonts w:eastAsia="Arial" w:cs="Times New Roman"/>
          <w:sz w:val="24"/>
          <w:szCs w:val="24"/>
        </w:rPr>
        <w:t>y). Ministrstvo je zadolženo za celovito izvajanje, spremljanje in analiziranje proces</w:t>
      </w:r>
      <w:r w:rsidR="00134021" w:rsidRPr="00BC781C">
        <w:rPr>
          <w:rFonts w:eastAsia="Arial" w:cs="Times New Roman"/>
          <w:sz w:val="24"/>
          <w:szCs w:val="24"/>
        </w:rPr>
        <w:t>a Nacionalne strategije trajnostnega razvoja na nacionalni ravni, vključno s vključevanjem civilne družbe in drugih centralnih in regionalnih administracij, s ciljem zagotavljanja povezanosti nacionalnih politik s CTR.</w:t>
      </w:r>
      <w:r w:rsidR="00C734CB" w:rsidRPr="00BC781C">
        <w:rPr>
          <w:rFonts w:eastAsia="Arial" w:cs="Times New Roman"/>
          <w:sz w:val="24"/>
          <w:szCs w:val="24"/>
        </w:rPr>
        <w:t xml:space="preserve"> Ministrstvo pripravlja tudi tekoče posodabljanje Nacionalne strategije </w:t>
      </w:r>
      <w:r w:rsidR="003D662E" w:rsidRPr="00BC781C">
        <w:rPr>
          <w:rFonts w:eastAsia="Arial" w:cs="Times New Roman"/>
          <w:sz w:val="24"/>
          <w:szCs w:val="24"/>
        </w:rPr>
        <w:t xml:space="preserve">na tri leta </w:t>
      </w:r>
      <w:r w:rsidR="00C734CB" w:rsidRPr="00BC781C">
        <w:rPr>
          <w:rFonts w:eastAsia="Arial" w:cs="Times New Roman"/>
          <w:sz w:val="24"/>
          <w:szCs w:val="24"/>
        </w:rPr>
        <w:t>(zadnje je bilo opravljeno 2022) ter letna poročila o izvajanju</w:t>
      </w:r>
      <w:r w:rsidR="00586D32" w:rsidRPr="00BC781C">
        <w:rPr>
          <w:rFonts w:eastAsia="Arial" w:cs="Times New Roman"/>
          <w:sz w:val="24"/>
          <w:szCs w:val="24"/>
        </w:rPr>
        <w:t xml:space="preserve"> NSTR</w:t>
      </w:r>
      <w:r w:rsidR="00C734CB" w:rsidRPr="00BC781C">
        <w:rPr>
          <w:rFonts w:eastAsia="Arial" w:cs="Times New Roman"/>
          <w:sz w:val="24"/>
          <w:szCs w:val="24"/>
        </w:rPr>
        <w:t>.</w:t>
      </w:r>
    </w:p>
    <w:p w14:paraId="33FC4E6C" w14:textId="0651C6E9" w:rsidR="00134021" w:rsidRPr="00BC781C" w:rsidRDefault="00134021"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Ministrstvo za zunanje zadeve in razvojno sodelovanje je odgovorno za spremljanje zunanje dimenzije izvajanja NSTR</w:t>
      </w:r>
      <w:r w:rsidR="00586D32" w:rsidRPr="00BC781C">
        <w:rPr>
          <w:rFonts w:eastAsia="Arial" w:cs="Times New Roman"/>
          <w:sz w:val="24"/>
          <w:szCs w:val="24"/>
        </w:rPr>
        <w:t xml:space="preserve"> in tako skrbi tudi za skladnost z mednarodnimi razvojnimi politikami</w:t>
      </w:r>
      <w:r w:rsidRPr="00BC781C">
        <w:rPr>
          <w:rFonts w:eastAsia="Arial" w:cs="Times New Roman"/>
          <w:sz w:val="24"/>
          <w:szCs w:val="24"/>
        </w:rPr>
        <w:t>. Naloga Ministrstva za gospodarstvo in finance pa je skrb za povezanost Strategije z ekonomsko- finančnimi planskimi dokumenti.</w:t>
      </w:r>
    </w:p>
    <w:p w14:paraId="31D2D509" w14:textId="52359039" w:rsidR="007D6334" w:rsidRPr="00BC781C" w:rsidRDefault="007D6334"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Pomembno vlogo ima tudi Medsektorski odbor za gospodarsko načrtovanje in trajnostni razvoj (</w:t>
      </w:r>
      <w:r w:rsidRPr="00BC781C">
        <w:rPr>
          <w:rFonts w:eastAsia="Arial" w:cs="Times New Roman"/>
          <w:i/>
          <w:iCs/>
          <w:sz w:val="24"/>
          <w:szCs w:val="24"/>
        </w:rPr>
        <w:t>Inter-ministerial Committee for Economic Planning and Sustainable Development </w:t>
      </w:r>
      <w:r w:rsidR="002543CA" w:rsidRPr="00BC781C">
        <w:rPr>
          <w:rFonts w:eastAsia="Arial" w:cs="Times New Roman"/>
          <w:sz w:val="24"/>
          <w:szCs w:val="24"/>
        </w:rPr>
        <w:t xml:space="preserve">– </w:t>
      </w:r>
      <w:r w:rsidRPr="00BC781C">
        <w:rPr>
          <w:rFonts w:eastAsia="Arial" w:cs="Times New Roman"/>
          <w:sz w:val="24"/>
          <w:szCs w:val="24"/>
        </w:rPr>
        <w:t>CIPESS), ki je odgovoren za sprejetje Programa financiranja uresničevanja Nacionalne strategije trajnostnega razvoja. Odbor prav tako obravnava letna poročila o uresničevanju Nacionalne strategije, ki jo pripravi Min</w:t>
      </w:r>
      <w:r w:rsidR="002543CA" w:rsidRPr="00BC781C">
        <w:rPr>
          <w:rFonts w:eastAsia="Arial" w:cs="Times New Roman"/>
          <w:sz w:val="24"/>
          <w:szCs w:val="24"/>
        </w:rPr>
        <w:t>istrstvo</w:t>
      </w:r>
      <w:r w:rsidRPr="00BC781C">
        <w:rPr>
          <w:rFonts w:eastAsia="Arial" w:cs="Times New Roman"/>
          <w:sz w:val="24"/>
          <w:szCs w:val="24"/>
        </w:rPr>
        <w:t xml:space="preserve"> za okolje in energetsko varnost. </w:t>
      </w:r>
      <w:r w:rsidR="006B2535" w:rsidRPr="00BC781C">
        <w:rPr>
          <w:rFonts w:eastAsia="Arial" w:cs="Times New Roman"/>
          <w:sz w:val="24"/>
          <w:szCs w:val="24"/>
        </w:rPr>
        <w:t xml:space="preserve">Sestavni del Poročila je tudi uresničevanje </w:t>
      </w:r>
      <w:r w:rsidR="00586D32" w:rsidRPr="00BC781C">
        <w:rPr>
          <w:rFonts w:eastAsia="Arial" w:cs="Times New Roman"/>
          <w:sz w:val="24"/>
          <w:szCs w:val="24"/>
        </w:rPr>
        <w:t>načela skladnosti politik trajnostnega razvoja</w:t>
      </w:r>
      <w:r w:rsidR="006B2535" w:rsidRPr="00BC781C">
        <w:rPr>
          <w:rFonts w:eastAsia="Arial" w:cs="Times New Roman"/>
          <w:sz w:val="24"/>
          <w:szCs w:val="24"/>
        </w:rPr>
        <w:t xml:space="preserve"> v skladu z Nacionalnim akcijskim načrtom.</w:t>
      </w:r>
    </w:p>
    <w:p w14:paraId="59348FEC" w14:textId="3287F26F" w:rsidR="007A5034" w:rsidRPr="00BC781C" w:rsidRDefault="009C400A" w:rsidP="00F1507F">
      <w:pPr>
        <w:shd w:val="clear" w:color="auto" w:fill="FFFFFF"/>
        <w:spacing w:before="240" w:after="240" w:line="276" w:lineRule="auto"/>
        <w:rPr>
          <w:rFonts w:eastAsia="Arial" w:cs="Times New Roman"/>
          <w:sz w:val="24"/>
          <w:szCs w:val="24"/>
        </w:rPr>
      </w:pPr>
      <w:r w:rsidRPr="00BC781C">
        <w:rPr>
          <w:rFonts w:cs="Times New Roman"/>
          <w:sz w:val="24"/>
          <w:szCs w:val="24"/>
        </w:rPr>
        <w:t>Za pomoč pri oblikovanju institucionalne podpore za izvajanje načela skladnosti politik za trajnostni razvoj</w:t>
      </w:r>
      <w:r w:rsidR="002543CA" w:rsidRPr="00BC781C">
        <w:rPr>
          <w:rFonts w:cs="Times New Roman"/>
          <w:sz w:val="24"/>
          <w:szCs w:val="24"/>
        </w:rPr>
        <w:t>,</w:t>
      </w:r>
      <w:r w:rsidRPr="00BC781C">
        <w:rPr>
          <w:rFonts w:cs="Times New Roman"/>
          <w:sz w:val="24"/>
          <w:szCs w:val="24"/>
        </w:rPr>
        <w:t xml:space="preserve"> je Italija že </w:t>
      </w:r>
      <w:r w:rsidR="002543CA" w:rsidRPr="00BC781C">
        <w:rPr>
          <w:rFonts w:cs="Times New Roman"/>
          <w:sz w:val="24"/>
          <w:szCs w:val="24"/>
        </w:rPr>
        <w:t xml:space="preserve">leta </w:t>
      </w:r>
      <w:r w:rsidRPr="00BC781C">
        <w:rPr>
          <w:rFonts w:cs="Times New Roman"/>
          <w:sz w:val="24"/>
          <w:szCs w:val="24"/>
        </w:rPr>
        <w:t xml:space="preserve">2021 zaprosila OECD. V postopku revizije Nacionalne strategije trajnostnega razvoja so želeli ustrezneje nasloviti tudi vprašanje uresničevanja načela skladnosti in zagotoviti istočasno model spremljanja uresničevanja Nacionalne strategije in </w:t>
      </w:r>
      <w:r w:rsidR="00586D32" w:rsidRPr="00BC781C">
        <w:rPr>
          <w:rFonts w:cs="Times New Roman"/>
          <w:sz w:val="24"/>
          <w:szCs w:val="24"/>
        </w:rPr>
        <w:t>SPTR</w:t>
      </w:r>
      <w:r w:rsidRPr="00BC781C">
        <w:rPr>
          <w:rFonts w:cs="Times New Roman"/>
          <w:sz w:val="24"/>
          <w:szCs w:val="24"/>
        </w:rPr>
        <w:t>. Tako je nastal dokument</w:t>
      </w:r>
      <w:r w:rsidR="004508F1" w:rsidRPr="00BC781C">
        <w:rPr>
          <w:rFonts w:cs="Times New Roman"/>
          <w:sz w:val="24"/>
          <w:szCs w:val="24"/>
        </w:rPr>
        <w:t xml:space="preserve"> </w:t>
      </w:r>
      <w:r w:rsidR="004508F1" w:rsidRPr="00BC781C">
        <w:rPr>
          <w:rFonts w:cs="Times New Roman"/>
          <w:i/>
          <w:iCs/>
          <w:sz w:val="24"/>
          <w:szCs w:val="24"/>
        </w:rPr>
        <w:t xml:space="preserve">Italy Governance Scan for Policy Coherence for Sustainable </w:t>
      </w:r>
      <w:r w:rsidR="004508F1" w:rsidRPr="00BC781C">
        <w:rPr>
          <w:rFonts w:cs="Times New Roman"/>
          <w:i/>
          <w:iCs/>
          <w:sz w:val="24"/>
          <w:szCs w:val="24"/>
        </w:rPr>
        <w:lastRenderedPageBreak/>
        <w:t>Development</w:t>
      </w:r>
      <w:r w:rsidR="002543CA" w:rsidRPr="00BC781C">
        <w:rPr>
          <w:rFonts w:cs="Times New Roman"/>
          <w:i/>
          <w:iCs/>
          <w:sz w:val="24"/>
          <w:szCs w:val="24"/>
        </w:rPr>
        <w:t>,</w:t>
      </w:r>
      <w:r w:rsidR="004508F1" w:rsidRPr="00BC781C">
        <w:rPr>
          <w:rStyle w:val="FootnoteReference"/>
          <w:rFonts w:cs="Times New Roman"/>
          <w:sz w:val="24"/>
          <w:szCs w:val="24"/>
        </w:rPr>
        <w:footnoteReference w:id="8"/>
      </w:r>
      <w:r w:rsidRPr="00BC781C">
        <w:rPr>
          <w:rFonts w:eastAsia="Arial" w:cs="Times New Roman"/>
          <w:sz w:val="24"/>
          <w:szCs w:val="24"/>
        </w:rPr>
        <w:t xml:space="preserve"> </w:t>
      </w:r>
      <w:r w:rsidR="004508F1" w:rsidRPr="00BC781C">
        <w:rPr>
          <w:rFonts w:eastAsia="Arial" w:cs="Times New Roman"/>
          <w:sz w:val="24"/>
          <w:szCs w:val="24"/>
        </w:rPr>
        <w:t xml:space="preserve">ki je analiziral takratne postopke oblikovanja Nacionalne strategije ter predlagal tako institucionalne kot vsebinske dopolnitve. Temu je sledila priprava </w:t>
      </w:r>
      <w:r w:rsidR="00134021" w:rsidRPr="00BC781C">
        <w:rPr>
          <w:rFonts w:eastAsia="Arial" w:cs="Times New Roman"/>
          <w:sz w:val="24"/>
          <w:szCs w:val="24"/>
        </w:rPr>
        <w:t>poseb</w:t>
      </w:r>
      <w:r w:rsidR="004508F1" w:rsidRPr="00BC781C">
        <w:rPr>
          <w:rFonts w:eastAsia="Arial" w:cs="Times New Roman"/>
          <w:sz w:val="24"/>
          <w:szCs w:val="24"/>
        </w:rPr>
        <w:t>nega</w:t>
      </w:r>
      <w:r w:rsidR="00134021" w:rsidRPr="00BC781C">
        <w:rPr>
          <w:rFonts w:eastAsia="Arial" w:cs="Times New Roman"/>
          <w:sz w:val="24"/>
          <w:szCs w:val="24"/>
        </w:rPr>
        <w:t xml:space="preserve"> </w:t>
      </w:r>
      <w:r w:rsidR="00134021" w:rsidRPr="00BC781C">
        <w:rPr>
          <w:rFonts w:eastAsia="Arial" w:cs="Times New Roman"/>
          <w:b/>
          <w:bCs/>
          <w:sz w:val="24"/>
          <w:szCs w:val="24"/>
        </w:rPr>
        <w:t>Nacionaln</w:t>
      </w:r>
      <w:r w:rsidR="004508F1" w:rsidRPr="00BC781C">
        <w:rPr>
          <w:rFonts w:eastAsia="Arial" w:cs="Times New Roman"/>
          <w:b/>
          <w:bCs/>
          <w:sz w:val="24"/>
          <w:szCs w:val="24"/>
        </w:rPr>
        <w:t>ega</w:t>
      </w:r>
      <w:r w:rsidR="00134021" w:rsidRPr="00BC781C">
        <w:rPr>
          <w:rFonts w:eastAsia="Arial" w:cs="Times New Roman"/>
          <w:b/>
          <w:bCs/>
          <w:sz w:val="24"/>
          <w:szCs w:val="24"/>
        </w:rPr>
        <w:t xml:space="preserve"> akcij</w:t>
      </w:r>
      <w:r w:rsidR="004508F1" w:rsidRPr="00BC781C">
        <w:rPr>
          <w:rFonts w:eastAsia="Arial" w:cs="Times New Roman"/>
          <w:b/>
          <w:bCs/>
          <w:sz w:val="24"/>
          <w:szCs w:val="24"/>
        </w:rPr>
        <w:t>skega</w:t>
      </w:r>
      <w:r w:rsidR="00134021" w:rsidRPr="00BC781C">
        <w:rPr>
          <w:rFonts w:eastAsia="Arial" w:cs="Times New Roman"/>
          <w:b/>
          <w:bCs/>
          <w:sz w:val="24"/>
          <w:szCs w:val="24"/>
        </w:rPr>
        <w:t xml:space="preserve"> načrt</w:t>
      </w:r>
      <w:r w:rsidR="004508F1" w:rsidRPr="00BC781C">
        <w:rPr>
          <w:rFonts w:eastAsia="Arial" w:cs="Times New Roman"/>
          <w:b/>
          <w:bCs/>
          <w:sz w:val="24"/>
          <w:szCs w:val="24"/>
        </w:rPr>
        <w:t>a</w:t>
      </w:r>
      <w:r w:rsidR="00134021" w:rsidRPr="00BC781C">
        <w:rPr>
          <w:rFonts w:eastAsia="Arial" w:cs="Times New Roman"/>
          <w:b/>
          <w:bCs/>
          <w:sz w:val="24"/>
          <w:szCs w:val="24"/>
        </w:rPr>
        <w:t xml:space="preserve"> za skladnost politik </w:t>
      </w:r>
      <w:r w:rsidR="009558C5" w:rsidRPr="00BC781C">
        <w:rPr>
          <w:rFonts w:eastAsia="Arial" w:cs="Times New Roman"/>
          <w:b/>
          <w:bCs/>
          <w:sz w:val="24"/>
          <w:szCs w:val="24"/>
        </w:rPr>
        <w:t>za</w:t>
      </w:r>
      <w:r w:rsidR="00134021" w:rsidRPr="00BC781C">
        <w:rPr>
          <w:rFonts w:eastAsia="Arial" w:cs="Times New Roman"/>
          <w:b/>
          <w:bCs/>
          <w:sz w:val="24"/>
          <w:szCs w:val="24"/>
        </w:rPr>
        <w:t xml:space="preserve"> trajnostni razvoj</w:t>
      </w:r>
      <w:r w:rsidR="00134021" w:rsidRPr="00BC781C">
        <w:rPr>
          <w:rFonts w:eastAsia="Arial" w:cs="Times New Roman"/>
          <w:sz w:val="24"/>
          <w:szCs w:val="24"/>
        </w:rPr>
        <w:t xml:space="preserve"> (</w:t>
      </w:r>
      <w:r w:rsidR="007A5034" w:rsidRPr="00BC781C">
        <w:rPr>
          <w:rFonts w:eastAsia="Arial" w:cs="Times New Roman"/>
          <w:i/>
          <w:iCs/>
          <w:sz w:val="24"/>
          <w:szCs w:val="24"/>
        </w:rPr>
        <w:t>National Action Plan for Policy Coherence for Sustainable Development</w:t>
      </w:r>
      <w:r w:rsidR="007A5034" w:rsidRPr="00BC781C">
        <w:rPr>
          <w:rFonts w:eastAsia="Arial" w:cs="Times New Roman"/>
          <w:sz w:val="24"/>
          <w:szCs w:val="24"/>
        </w:rPr>
        <w:t xml:space="preserve"> </w:t>
      </w:r>
      <w:r w:rsidR="009558C5" w:rsidRPr="00BC781C">
        <w:rPr>
          <w:rFonts w:eastAsia="Arial" w:cs="Times New Roman"/>
          <w:sz w:val="24"/>
          <w:szCs w:val="24"/>
        </w:rPr>
        <w:t xml:space="preserve">– </w:t>
      </w:r>
      <w:r w:rsidR="007A5034" w:rsidRPr="00BC781C">
        <w:rPr>
          <w:rFonts w:eastAsia="Arial" w:cs="Times New Roman"/>
          <w:sz w:val="24"/>
          <w:szCs w:val="24"/>
        </w:rPr>
        <w:t>NAP</w:t>
      </w:r>
      <w:r w:rsidR="00134021" w:rsidRPr="00BC781C">
        <w:rPr>
          <w:rFonts w:eastAsia="Arial" w:cs="Times New Roman"/>
          <w:sz w:val="24"/>
          <w:szCs w:val="24"/>
        </w:rPr>
        <w:t>).</w:t>
      </w:r>
      <w:r w:rsidR="009558C5" w:rsidRPr="00BC781C">
        <w:rPr>
          <w:rStyle w:val="FootnoteReference"/>
          <w:rFonts w:eastAsia="Arial" w:cs="Times New Roman"/>
          <w:sz w:val="24"/>
          <w:szCs w:val="24"/>
        </w:rPr>
        <w:footnoteReference w:id="9"/>
      </w:r>
      <w:r w:rsidR="00134021" w:rsidRPr="00BC781C">
        <w:rPr>
          <w:rFonts w:eastAsia="Arial" w:cs="Times New Roman"/>
          <w:sz w:val="24"/>
          <w:szCs w:val="24"/>
        </w:rPr>
        <w:t xml:space="preserve"> Načrt je oblikovan </w:t>
      </w:r>
      <w:r w:rsidR="00586D32" w:rsidRPr="00BC781C">
        <w:rPr>
          <w:rFonts w:eastAsia="Arial" w:cs="Times New Roman"/>
          <w:sz w:val="24"/>
          <w:szCs w:val="24"/>
        </w:rPr>
        <w:t>na podlagi</w:t>
      </w:r>
      <w:r w:rsidR="00134021" w:rsidRPr="00BC781C">
        <w:rPr>
          <w:rFonts w:eastAsia="Arial" w:cs="Times New Roman"/>
          <w:sz w:val="24"/>
          <w:szCs w:val="24"/>
        </w:rPr>
        <w:t xml:space="preserve"> OECD Priporočil</w:t>
      </w:r>
      <w:r w:rsidR="009558C5" w:rsidRPr="00BC781C">
        <w:rPr>
          <w:rFonts w:eastAsia="Arial" w:cs="Times New Roman"/>
          <w:sz w:val="24"/>
          <w:szCs w:val="24"/>
        </w:rPr>
        <w:t xml:space="preserve"> iz leta </w:t>
      </w:r>
      <w:r w:rsidR="00134021" w:rsidRPr="00BC781C">
        <w:rPr>
          <w:rFonts w:eastAsia="Arial" w:cs="Times New Roman"/>
          <w:sz w:val="24"/>
          <w:szCs w:val="24"/>
        </w:rPr>
        <w:t>2019, predstavljeni</w:t>
      </w:r>
      <w:r w:rsidR="009558C5" w:rsidRPr="00BC781C">
        <w:rPr>
          <w:rFonts w:eastAsia="Arial" w:cs="Times New Roman"/>
          <w:sz w:val="24"/>
          <w:szCs w:val="24"/>
        </w:rPr>
        <w:t>h</w:t>
      </w:r>
      <w:r w:rsidR="00134021" w:rsidRPr="00BC781C">
        <w:rPr>
          <w:rFonts w:eastAsia="Arial" w:cs="Times New Roman"/>
          <w:sz w:val="24"/>
          <w:szCs w:val="24"/>
        </w:rPr>
        <w:t xml:space="preserve"> v prejšnjem poglavju, gradi pa na že obstoječih elementih za skladnost politik v italijanskem procesu oblikovanja politik ter zagotavlja uresničevanje </w:t>
      </w:r>
      <w:r w:rsidR="00F1507F" w:rsidRPr="00BC781C">
        <w:rPr>
          <w:rFonts w:eastAsia="Arial" w:cs="Times New Roman"/>
          <w:sz w:val="24"/>
          <w:szCs w:val="24"/>
        </w:rPr>
        <w:t>NSTR. N</w:t>
      </w:r>
      <w:r w:rsidR="009558C5" w:rsidRPr="00BC781C">
        <w:rPr>
          <w:rFonts w:eastAsia="Arial" w:cs="Times New Roman"/>
          <w:sz w:val="24"/>
          <w:szCs w:val="24"/>
        </w:rPr>
        <w:t>acionalni akcijski načrt za skladnost politik za trajnostni razvoj</w:t>
      </w:r>
      <w:r w:rsidR="00F1507F" w:rsidRPr="00BC781C">
        <w:rPr>
          <w:rFonts w:eastAsia="Arial" w:cs="Times New Roman"/>
          <w:sz w:val="24"/>
          <w:szCs w:val="24"/>
        </w:rPr>
        <w:t xml:space="preserve"> prilagaja obstoječe postopke in mehanizme upravljanja tako, da se zagotavlja sistematično vključevanje širših trajnostnih ciljev, kar omogoča italijanski javni upravi, da so njihove politike skladne z dolgoročnimi cilji zapisanimi v Nacionalni strategiji trajnostnega razvoja. Hkrati NAP spremlja tudi učinke nacionalnih politik na države v razvoju.</w:t>
      </w:r>
    </w:p>
    <w:p w14:paraId="200FA71F" w14:textId="25279C2A" w:rsidR="007A5034" w:rsidRPr="00BC781C" w:rsidRDefault="001D1D25" w:rsidP="007A5034">
      <w:pPr>
        <w:shd w:val="clear" w:color="auto" w:fill="FFFFFF"/>
        <w:spacing w:before="240" w:after="240" w:line="276" w:lineRule="auto"/>
        <w:rPr>
          <w:rFonts w:eastAsia="Arial" w:cs="Times New Roman"/>
          <w:sz w:val="24"/>
          <w:szCs w:val="24"/>
        </w:rPr>
      </w:pPr>
      <w:r w:rsidRPr="00BC781C">
        <w:rPr>
          <w:rFonts w:eastAsia="Arial" w:cs="Times New Roman"/>
          <w:sz w:val="24"/>
          <w:szCs w:val="24"/>
        </w:rPr>
        <w:t>Oblikovanje Nacionalnega akcijskega načrta (NAP) temelji na dveh ključnih stebrih: prvič, na horizontalnem in vertikalnem sodelovanju različnih deležnikov</w:t>
      </w:r>
      <w:r w:rsidR="008114DB" w:rsidRPr="00BC781C">
        <w:rPr>
          <w:rFonts w:eastAsia="Arial" w:cs="Times New Roman"/>
          <w:sz w:val="24"/>
          <w:szCs w:val="24"/>
        </w:rPr>
        <w:t xml:space="preserve"> </w:t>
      </w:r>
      <w:r w:rsidRPr="00BC781C">
        <w:rPr>
          <w:rFonts w:eastAsia="Arial" w:cs="Times New Roman"/>
          <w:sz w:val="24"/>
          <w:szCs w:val="24"/>
        </w:rPr>
        <w:t>in drugič, na razvoju orodij za usklajevanje politik, kot so matrike skladnosti, predloge politik in nadzorne tabele (</w:t>
      </w:r>
      <w:r w:rsidRPr="00BC781C">
        <w:rPr>
          <w:rFonts w:eastAsia="Arial" w:cs="Times New Roman"/>
          <w:i/>
          <w:iCs/>
          <w:sz w:val="24"/>
          <w:szCs w:val="24"/>
        </w:rPr>
        <w:t>dashboard</w:t>
      </w:r>
      <w:r w:rsidRPr="00BC781C">
        <w:rPr>
          <w:rFonts w:eastAsia="Arial" w:cs="Times New Roman"/>
          <w:sz w:val="24"/>
          <w:szCs w:val="24"/>
        </w:rPr>
        <w:t xml:space="preserve">). Ta orodja omogočajo povezovanje sektorskih politik in evalvacijskih sistemov (tudi tistih, povezanih s Skladom za okrevanje in odpornost) s cilji Nacionalne strategije trajnostnega razvoja, kar prispeva k večji skladnosti in primerljivosti politik med sektorji. </w:t>
      </w:r>
    </w:p>
    <w:p w14:paraId="0C62B4DB" w14:textId="35D0E502" w:rsidR="006B2535" w:rsidRPr="00BC781C" w:rsidRDefault="00387327" w:rsidP="007A5034">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Vsebinsko NAP sledi </w:t>
      </w:r>
      <w:r w:rsidR="00586D32" w:rsidRPr="00BC781C">
        <w:rPr>
          <w:rFonts w:eastAsia="Arial" w:cs="Times New Roman"/>
          <w:sz w:val="24"/>
          <w:szCs w:val="24"/>
        </w:rPr>
        <w:t xml:space="preserve">strukturi </w:t>
      </w:r>
      <w:r w:rsidRPr="00BC781C">
        <w:rPr>
          <w:rFonts w:eastAsia="Arial" w:cs="Times New Roman"/>
          <w:sz w:val="24"/>
          <w:szCs w:val="24"/>
        </w:rPr>
        <w:t>Priporočil OECD</w:t>
      </w:r>
      <w:r w:rsidR="001D1D25" w:rsidRPr="00BC781C">
        <w:rPr>
          <w:rFonts w:eastAsia="Arial" w:cs="Times New Roman"/>
          <w:sz w:val="24"/>
          <w:szCs w:val="24"/>
        </w:rPr>
        <w:t xml:space="preserve"> iz leta</w:t>
      </w:r>
      <w:r w:rsidRPr="00BC781C">
        <w:rPr>
          <w:rFonts w:eastAsia="Arial" w:cs="Times New Roman"/>
          <w:sz w:val="24"/>
          <w:szCs w:val="24"/>
        </w:rPr>
        <w:t xml:space="preserve"> 2019 in tako opredeli </w:t>
      </w:r>
      <w:r w:rsidR="006B2535" w:rsidRPr="00BC781C">
        <w:rPr>
          <w:rFonts w:eastAsia="Arial" w:cs="Times New Roman"/>
          <w:sz w:val="24"/>
          <w:szCs w:val="24"/>
        </w:rPr>
        <w:t xml:space="preserve">aktivnosti znotraj vseh </w:t>
      </w:r>
      <w:r w:rsidRPr="00BC781C">
        <w:rPr>
          <w:rFonts w:eastAsia="Arial" w:cs="Times New Roman"/>
          <w:sz w:val="24"/>
          <w:szCs w:val="24"/>
        </w:rPr>
        <w:t>tr</w:t>
      </w:r>
      <w:r w:rsidR="006B2535" w:rsidRPr="00BC781C">
        <w:rPr>
          <w:rFonts w:eastAsia="Arial" w:cs="Times New Roman"/>
          <w:sz w:val="24"/>
          <w:szCs w:val="24"/>
        </w:rPr>
        <w:t>eh</w:t>
      </w:r>
      <w:r w:rsidRPr="00BC781C">
        <w:rPr>
          <w:rFonts w:eastAsia="Arial" w:cs="Times New Roman"/>
          <w:sz w:val="24"/>
          <w:szCs w:val="24"/>
        </w:rPr>
        <w:t xml:space="preserve"> </w:t>
      </w:r>
      <w:r w:rsidR="001D1D25" w:rsidRPr="00BC781C">
        <w:rPr>
          <w:rFonts w:eastAsia="Arial" w:cs="Times New Roman"/>
          <w:sz w:val="24"/>
          <w:szCs w:val="24"/>
        </w:rPr>
        <w:t xml:space="preserve">vsebinskih </w:t>
      </w:r>
      <w:r w:rsidRPr="00BC781C">
        <w:rPr>
          <w:rFonts w:eastAsia="Arial" w:cs="Times New Roman"/>
          <w:sz w:val="24"/>
          <w:szCs w:val="24"/>
        </w:rPr>
        <w:t>sklop</w:t>
      </w:r>
      <w:r w:rsidR="006B2535" w:rsidRPr="00BC781C">
        <w:rPr>
          <w:rFonts w:eastAsia="Arial" w:cs="Times New Roman"/>
          <w:sz w:val="24"/>
          <w:szCs w:val="24"/>
        </w:rPr>
        <w:t>ov</w:t>
      </w:r>
      <w:r w:rsidRPr="00BC781C">
        <w:rPr>
          <w:rFonts w:eastAsia="Arial" w:cs="Times New Roman"/>
          <w:sz w:val="24"/>
          <w:szCs w:val="24"/>
        </w:rPr>
        <w:t xml:space="preserve"> ter os</w:t>
      </w:r>
      <w:r w:rsidR="006B2535" w:rsidRPr="00BC781C">
        <w:rPr>
          <w:rFonts w:eastAsia="Arial" w:cs="Times New Roman"/>
          <w:sz w:val="24"/>
          <w:szCs w:val="24"/>
        </w:rPr>
        <w:t>mih</w:t>
      </w:r>
      <w:r w:rsidRPr="00BC781C">
        <w:rPr>
          <w:rFonts w:eastAsia="Arial" w:cs="Times New Roman"/>
          <w:sz w:val="24"/>
          <w:szCs w:val="24"/>
        </w:rPr>
        <w:t xml:space="preserve"> principov za zagotavljanje skladnosti politik za trajnostni razvoj.</w:t>
      </w:r>
      <w:r w:rsidR="006B2535" w:rsidRPr="00BC781C">
        <w:rPr>
          <w:rFonts w:eastAsia="Arial" w:cs="Times New Roman"/>
          <w:sz w:val="24"/>
          <w:szCs w:val="24"/>
        </w:rPr>
        <w:t xml:space="preserve"> Aktivnosti tesno prepletajo uresničevanje Nacionalne strategije</w:t>
      </w:r>
      <w:r w:rsidR="00586D32" w:rsidRPr="00BC781C">
        <w:rPr>
          <w:rFonts w:eastAsia="Arial" w:cs="Times New Roman"/>
          <w:sz w:val="24"/>
          <w:szCs w:val="24"/>
        </w:rPr>
        <w:t xml:space="preserve"> trajnostnega razvoja</w:t>
      </w:r>
      <w:r w:rsidR="006B2535" w:rsidRPr="00BC781C">
        <w:rPr>
          <w:rFonts w:eastAsia="Arial" w:cs="Times New Roman"/>
          <w:sz w:val="24"/>
          <w:szCs w:val="24"/>
        </w:rPr>
        <w:t xml:space="preserve"> s spoštovanjem načela skladnosti, saj je spremljanje izvajanja NAP vsebinsko povezano s spremljanjem izvajanja Nacionalne strategije. Od leta 2022 se letno organizirajo </w:t>
      </w:r>
      <w:r w:rsidR="008114DB" w:rsidRPr="00BC781C">
        <w:rPr>
          <w:rFonts w:eastAsia="Arial" w:cs="Times New Roman"/>
          <w:sz w:val="24"/>
          <w:szCs w:val="24"/>
        </w:rPr>
        <w:t xml:space="preserve">tudi </w:t>
      </w:r>
      <w:r w:rsidR="006B2535" w:rsidRPr="00BC781C">
        <w:rPr>
          <w:rFonts w:eastAsia="Arial" w:cs="Times New Roman"/>
          <w:sz w:val="24"/>
          <w:szCs w:val="24"/>
        </w:rPr>
        <w:t xml:space="preserve">nacionalne konference o trajnostnem razvoju, kjer poleg poročila ministrstva obravnavajo tudi poglede civilne družbe in drugih akterjev. Na ta način </w:t>
      </w:r>
      <w:r w:rsidR="00DD5F88" w:rsidRPr="00BC781C">
        <w:rPr>
          <w:rFonts w:eastAsia="Arial" w:cs="Times New Roman"/>
          <w:sz w:val="24"/>
          <w:szCs w:val="24"/>
        </w:rPr>
        <w:t>se zagotavlja</w:t>
      </w:r>
      <w:r w:rsidR="006B2535" w:rsidRPr="00BC781C">
        <w:rPr>
          <w:rFonts w:eastAsia="Arial" w:cs="Times New Roman"/>
          <w:sz w:val="24"/>
          <w:szCs w:val="24"/>
        </w:rPr>
        <w:t xml:space="preserve"> širok</w:t>
      </w:r>
      <w:r w:rsidR="00DD5F88" w:rsidRPr="00BC781C">
        <w:rPr>
          <w:rFonts w:eastAsia="Arial" w:cs="Times New Roman"/>
          <w:sz w:val="24"/>
          <w:szCs w:val="24"/>
        </w:rPr>
        <w:t>a</w:t>
      </w:r>
      <w:r w:rsidR="006B2535" w:rsidRPr="00BC781C">
        <w:rPr>
          <w:rFonts w:eastAsia="Arial" w:cs="Times New Roman"/>
          <w:sz w:val="24"/>
          <w:szCs w:val="24"/>
        </w:rPr>
        <w:t xml:space="preserve"> podpor</w:t>
      </w:r>
      <w:r w:rsidR="00DD5F88" w:rsidRPr="00BC781C">
        <w:rPr>
          <w:rFonts w:eastAsia="Arial" w:cs="Times New Roman"/>
          <w:sz w:val="24"/>
          <w:szCs w:val="24"/>
        </w:rPr>
        <w:t>a</w:t>
      </w:r>
      <w:r w:rsidR="006B2535" w:rsidRPr="00BC781C">
        <w:rPr>
          <w:rFonts w:eastAsia="Arial" w:cs="Times New Roman"/>
          <w:sz w:val="24"/>
          <w:szCs w:val="24"/>
        </w:rPr>
        <w:t xml:space="preserve"> uresničevanju strategije. Letno </w:t>
      </w:r>
      <w:r w:rsidR="00DD5F88" w:rsidRPr="00BC781C">
        <w:rPr>
          <w:rFonts w:eastAsia="Arial" w:cs="Times New Roman"/>
          <w:sz w:val="24"/>
          <w:szCs w:val="24"/>
        </w:rPr>
        <w:t>p</w:t>
      </w:r>
      <w:r w:rsidR="006B2535" w:rsidRPr="00BC781C">
        <w:rPr>
          <w:rFonts w:eastAsia="Arial" w:cs="Times New Roman"/>
          <w:sz w:val="24"/>
          <w:szCs w:val="24"/>
        </w:rPr>
        <w:t>oročilo Min</w:t>
      </w:r>
      <w:r w:rsidR="00DD5F88" w:rsidRPr="00BC781C">
        <w:rPr>
          <w:rFonts w:eastAsia="Arial" w:cs="Times New Roman"/>
          <w:sz w:val="24"/>
          <w:szCs w:val="24"/>
        </w:rPr>
        <w:t xml:space="preserve">istrstva </w:t>
      </w:r>
      <w:r w:rsidR="006B2535" w:rsidRPr="00BC781C">
        <w:rPr>
          <w:rFonts w:eastAsia="Arial" w:cs="Times New Roman"/>
          <w:sz w:val="24"/>
          <w:szCs w:val="24"/>
        </w:rPr>
        <w:t>za okolje in energetsko varnost obravnava tudi parlament.</w:t>
      </w:r>
    </w:p>
    <w:p w14:paraId="32E201CB" w14:textId="35EB2A11" w:rsidR="003D662E" w:rsidRPr="00BC781C" w:rsidRDefault="006B2535" w:rsidP="007A5034">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Institucionalno velja izpostaviti še dve koordinacijski telesi:  </w:t>
      </w:r>
    </w:p>
    <w:p w14:paraId="4CB89EAA" w14:textId="114453B0" w:rsidR="004266D6" w:rsidRPr="00BC781C" w:rsidRDefault="004266D6" w:rsidP="00DD5F88">
      <w:pPr>
        <w:pStyle w:val="ListParagraph"/>
        <w:numPr>
          <w:ilvl w:val="0"/>
          <w:numId w:val="32"/>
        </w:numPr>
        <w:shd w:val="clear" w:color="auto" w:fill="FFFFFF"/>
        <w:spacing w:before="240" w:after="240" w:line="276" w:lineRule="auto"/>
        <w:rPr>
          <w:rFonts w:eastAsia="Arial" w:cs="Times New Roman"/>
          <w:i/>
          <w:iCs/>
          <w:sz w:val="24"/>
          <w:szCs w:val="24"/>
        </w:rPr>
      </w:pPr>
      <w:r w:rsidRPr="00BC781C">
        <w:rPr>
          <w:rFonts w:eastAsia="Arial" w:cs="Times New Roman"/>
          <w:i/>
          <w:iCs/>
          <w:sz w:val="24"/>
          <w:szCs w:val="24"/>
        </w:rPr>
        <w:t>Skupina za povezovanj in integriranost politik NSTR/SPTR</w:t>
      </w:r>
      <w:r w:rsidR="00DD5F88" w:rsidRPr="00BC781C">
        <w:rPr>
          <w:rFonts w:eastAsia="Arial" w:cs="Times New Roman"/>
          <w:sz w:val="24"/>
          <w:szCs w:val="24"/>
        </w:rPr>
        <w:t>, ki</w:t>
      </w:r>
      <w:r w:rsidRPr="00BC781C">
        <w:rPr>
          <w:rFonts w:eastAsia="Arial" w:cs="Times New Roman"/>
          <w:b/>
          <w:bCs/>
          <w:sz w:val="24"/>
          <w:szCs w:val="24"/>
        </w:rPr>
        <w:t xml:space="preserve"> </w:t>
      </w:r>
      <w:r w:rsidRPr="00BC781C">
        <w:rPr>
          <w:rFonts w:eastAsia="Arial" w:cs="Times New Roman"/>
          <w:sz w:val="24"/>
          <w:szCs w:val="24"/>
        </w:rPr>
        <w:t>sodeluje z</w:t>
      </w:r>
      <w:r w:rsidRPr="00BC781C">
        <w:rPr>
          <w:rFonts w:eastAsia="Arial" w:cs="Times New Roman"/>
          <w:b/>
          <w:bCs/>
          <w:sz w:val="24"/>
          <w:szCs w:val="24"/>
        </w:rPr>
        <w:t xml:space="preserve"> </w:t>
      </w:r>
      <w:r w:rsidRPr="00BC781C">
        <w:rPr>
          <w:rFonts w:eastAsia="Arial" w:cs="Times New Roman"/>
          <w:sz w:val="24"/>
          <w:szCs w:val="24"/>
        </w:rPr>
        <w:t>Min</w:t>
      </w:r>
      <w:r w:rsidR="00DD5F88" w:rsidRPr="00BC781C">
        <w:rPr>
          <w:rFonts w:eastAsia="Arial" w:cs="Times New Roman"/>
          <w:sz w:val="24"/>
          <w:szCs w:val="24"/>
        </w:rPr>
        <w:t xml:space="preserve">strstvom </w:t>
      </w:r>
      <w:r w:rsidRPr="00BC781C">
        <w:rPr>
          <w:rFonts w:eastAsia="Arial" w:cs="Times New Roman"/>
          <w:sz w:val="24"/>
          <w:szCs w:val="24"/>
        </w:rPr>
        <w:t>za okolje in energetsko varnosti pri aktivaciji Labor</w:t>
      </w:r>
      <w:r w:rsidR="008114DB" w:rsidRPr="00BC781C">
        <w:rPr>
          <w:rFonts w:eastAsia="Arial" w:cs="Times New Roman"/>
          <w:sz w:val="24"/>
          <w:szCs w:val="24"/>
        </w:rPr>
        <w:t>at</w:t>
      </w:r>
      <w:r w:rsidRPr="00BC781C">
        <w:rPr>
          <w:rFonts w:eastAsia="Arial" w:cs="Times New Roman"/>
          <w:sz w:val="24"/>
          <w:szCs w:val="24"/>
        </w:rPr>
        <w:t xml:space="preserve">orijev za SPTR. Objavlja letne razpise za dejavnosti za izvajanje NSTR. Opredeljuje modalitete za uporabo orodij za ugotavljanje skladnosti. </w:t>
      </w:r>
      <w:r w:rsidR="00DD5F88" w:rsidRPr="00BC781C">
        <w:rPr>
          <w:rFonts w:eastAsia="Arial" w:cs="Times New Roman"/>
          <w:sz w:val="24"/>
          <w:szCs w:val="24"/>
        </w:rPr>
        <w:t>Skupina prispeva</w:t>
      </w:r>
      <w:r w:rsidRPr="00BC781C">
        <w:rPr>
          <w:rFonts w:eastAsia="Arial" w:cs="Times New Roman"/>
          <w:sz w:val="24"/>
          <w:szCs w:val="24"/>
        </w:rPr>
        <w:t xml:space="preserve"> k letnemu poročilu o NSTR. Leto po odobritvi revidirane NSTR</w:t>
      </w:r>
      <w:r w:rsidR="00DD5F88" w:rsidRPr="00BC781C">
        <w:rPr>
          <w:rFonts w:eastAsia="Arial" w:cs="Times New Roman"/>
          <w:sz w:val="24"/>
          <w:szCs w:val="24"/>
        </w:rPr>
        <w:t xml:space="preserve"> pa Skupina </w:t>
      </w:r>
      <w:r w:rsidRPr="00BC781C">
        <w:rPr>
          <w:rFonts w:eastAsia="Arial" w:cs="Times New Roman"/>
          <w:sz w:val="24"/>
          <w:szCs w:val="24"/>
        </w:rPr>
        <w:t>podpira pripravo poročila o stanju uresničevanja načela skladnosti in vrednoti prispevek matrik skladnosti, obrazcev za zagotavljanje skladnosti ter delovanje Laboratorijev.</w:t>
      </w:r>
    </w:p>
    <w:p w14:paraId="6328A1E4" w14:textId="186F27FA" w:rsidR="004266D6" w:rsidRPr="00BC781C" w:rsidRDefault="001A1F4D" w:rsidP="00DD5F88">
      <w:pPr>
        <w:pStyle w:val="ListParagraph"/>
        <w:numPr>
          <w:ilvl w:val="0"/>
          <w:numId w:val="32"/>
        </w:numPr>
        <w:shd w:val="clear" w:color="auto" w:fill="FFFFFF"/>
        <w:spacing w:before="240" w:after="240" w:line="276" w:lineRule="auto"/>
        <w:rPr>
          <w:rFonts w:eastAsia="Arial" w:cs="Times New Roman"/>
          <w:sz w:val="24"/>
          <w:szCs w:val="24"/>
        </w:rPr>
      </w:pPr>
      <w:r w:rsidRPr="00BC781C">
        <w:rPr>
          <w:rFonts w:eastAsia="Arial" w:cs="Times New Roman"/>
          <w:i/>
          <w:iCs/>
          <w:sz w:val="24"/>
          <w:szCs w:val="24"/>
        </w:rPr>
        <w:t>Skupina za izvajanje in vrednotenje NSTR/SPTR</w:t>
      </w:r>
      <w:r w:rsidR="00DD5F88" w:rsidRPr="00BC781C">
        <w:rPr>
          <w:rFonts w:eastAsia="Arial" w:cs="Times New Roman"/>
          <w:i/>
          <w:iCs/>
          <w:sz w:val="24"/>
          <w:szCs w:val="24"/>
        </w:rPr>
        <w:t xml:space="preserve">, </w:t>
      </w:r>
      <w:r w:rsidR="00DD5F88" w:rsidRPr="00BC781C">
        <w:rPr>
          <w:rFonts w:eastAsia="Arial" w:cs="Times New Roman"/>
          <w:sz w:val="24"/>
          <w:szCs w:val="24"/>
        </w:rPr>
        <w:t xml:space="preserve">ki </w:t>
      </w:r>
      <w:r w:rsidRPr="00BC781C">
        <w:rPr>
          <w:rFonts w:eastAsia="Arial" w:cs="Times New Roman"/>
          <w:sz w:val="24"/>
          <w:szCs w:val="24"/>
        </w:rPr>
        <w:t>pripravi osnove za orodja za ugotavljanje skladnosti, kazalce in navodila. Upravlja s t.</w:t>
      </w:r>
      <w:r w:rsidR="00DD5F88" w:rsidRPr="00BC781C">
        <w:rPr>
          <w:rFonts w:eastAsia="Arial" w:cs="Times New Roman"/>
          <w:sz w:val="24"/>
          <w:szCs w:val="24"/>
        </w:rPr>
        <w:t xml:space="preserve"> </w:t>
      </w:r>
      <w:r w:rsidRPr="00BC781C">
        <w:rPr>
          <w:rFonts w:eastAsia="Arial" w:cs="Times New Roman"/>
          <w:sz w:val="24"/>
          <w:szCs w:val="24"/>
        </w:rPr>
        <w:t xml:space="preserve">i. Smerokazom (dokument, ki meri doseganje posameznega cilja Nacionalne strategije). Prispeva k letnemu poročilu </w:t>
      </w:r>
      <w:r w:rsidRPr="00BC781C">
        <w:rPr>
          <w:rFonts w:eastAsia="Arial" w:cs="Times New Roman"/>
          <w:sz w:val="24"/>
          <w:szCs w:val="24"/>
        </w:rPr>
        <w:lastRenderedPageBreak/>
        <w:t xml:space="preserve">o NSTR in vrši redna posvetovanja s Forumom NSTR in področnimi telesi </w:t>
      </w:r>
      <w:r w:rsidR="004266D6" w:rsidRPr="00BC781C">
        <w:rPr>
          <w:rFonts w:eastAsia="Arial" w:cs="Times New Roman"/>
          <w:sz w:val="24"/>
          <w:szCs w:val="24"/>
        </w:rPr>
        <w:t>(</w:t>
      </w:r>
      <w:r w:rsidR="004266D6" w:rsidRPr="00BC781C">
        <w:rPr>
          <w:rFonts w:eastAsia="Arial" w:cs="Times New Roman"/>
          <w:i/>
          <w:iCs/>
          <w:sz w:val="24"/>
          <w:szCs w:val="24"/>
        </w:rPr>
        <w:t>Tavoli di confronto territoriali</w:t>
      </w:r>
      <w:r w:rsidR="004266D6" w:rsidRPr="00BC781C">
        <w:rPr>
          <w:rFonts w:eastAsia="Arial" w:cs="Times New Roman"/>
          <w:sz w:val="24"/>
          <w:szCs w:val="24"/>
        </w:rPr>
        <w:t>).</w:t>
      </w:r>
    </w:p>
    <w:p w14:paraId="1063419C" w14:textId="275F462B" w:rsidR="00D16531" w:rsidRPr="00BC781C" w:rsidRDefault="00086E6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Nacionalni akcijski načrt za skladnost politik za trajnostni razvoj </w:t>
      </w:r>
      <w:r w:rsidR="0050374D" w:rsidRPr="00BC781C">
        <w:rPr>
          <w:rFonts w:eastAsia="Arial" w:cs="Times New Roman"/>
          <w:sz w:val="24"/>
          <w:szCs w:val="24"/>
        </w:rPr>
        <w:t xml:space="preserve">predvideva oblikovanje </w:t>
      </w:r>
      <w:r w:rsidR="0050374D" w:rsidRPr="00BC781C">
        <w:rPr>
          <w:rFonts w:eastAsia="Arial" w:cs="Times New Roman"/>
          <w:b/>
          <w:bCs/>
          <w:sz w:val="24"/>
          <w:szCs w:val="24"/>
        </w:rPr>
        <w:t>fokusnih točk</w:t>
      </w:r>
      <w:r w:rsidR="0050374D" w:rsidRPr="00BC781C">
        <w:rPr>
          <w:rFonts w:eastAsia="Arial" w:cs="Times New Roman"/>
          <w:sz w:val="24"/>
          <w:szCs w:val="24"/>
        </w:rPr>
        <w:t xml:space="preserve"> za skladnost politik za trajnostni razvoj znotraj vseh ministrstev</w:t>
      </w:r>
      <w:r w:rsidR="001A1F4D" w:rsidRPr="00BC781C">
        <w:rPr>
          <w:rFonts w:eastAsia="Arial" w:cs="Times New Roman"/>
          <w:sz w:val="24"/>
          <w:szCs w:val="24"/>
        </w:rPr>
        <w:t>,</w:t>
      </w:r>
      <w:r w:rsidR="0050374D" w:rsidRPr="00BC781C">
        <w:rPr>
          <w:rFonts w:eastAsia="Arial" w:cs="Times New Roman"/>
          <w:sz w:val="24"/>
          <w:szCs w:val="24"/>
        </w:rPr>
        <w:t xml:space="preserve"> </w:t>
      </w:r>
      <w:r w:rsidR="001A1F4D" w:rsidRPr="00BC781C">
        <w:rPr>
          <w:rFonts w:eastAsia="Arial" w:cs="Times New Roman"/>
          <w:sz w:val="24"/>
          <w:szCs w:val="24"/>
        </w:rPr>
        <w:t>k</w:t>
      </w:r>
      <w:r w:rsidR="0050374D" w:rsidRPr="00BC781C">
        <w:rPr>
          <w:rFonts w:eastAsia="Arial" w:cs="Times New Roman"/>
          <w:sz w:val="24"/>
          <w:szCs w:val="24"/>
        </w:rPr>
        <w:t>i so zadolžene za zagotavljanje spoštovanja načela skladnosti. Prav tako predvideva t.</w:t>
      </w:r>
      <w:r w:rsidRPr="00BC781C">
        <w:rPr>
          <w:rFonts w:eastAsia="Arial" w:cs="Times New Roman"/>
          <w:sz w:val="24"/>
          <w:szCs w:val="24"/>
        </w:rPr>
        <w:t xml:space="preserve"> </w:t>
      </w:r>
      <w:r w:rsidR="0050374D" w:rsidRPr="00BC781C">
        <w:rPr>
          <w:rFonts w:eastAsia="Arial" w:cs="Times New Roman"/>
          <w:sz w:val="24"/>
          <w:szCs w:val="24"/>
        </w:rPr>
        <w:t xml:space="preserve">i. </w:t>
      </w:r>
      <w:r w:rsidR="0050374D" w:rsidRPr="00BC781C">
        <w:rPr>
          <w:rFonts w:eastAsia="Arial" w:cs="Times New Roman"/>
          <w:b/>
          <w:bCs/>
          <w:sz w:val="24"/>
          <w:szCs w:val="24"/>
        </w:rPr>
        <w:t>NSTR laboratorije</w:t>
      </w:r>
      <w:r w:rsidRPr="00BC781C">
        <w:rPr>
          <w:rFonts w:eastAsia="Arial" w:cs="Times New Roman"/>
          <w:sz w:val="24"/>
          <w:szCs w:val="24"/>
        </w:rPr>
        <w:t xml:space="preserve"> – </w:t>
      </w:r>
      <w:r w:rsidR="0050374D" w:rsidRPr="00BC781C">
        <w:rPr>
          <w:rFonts w:eastAsia="Arial" w:cs="Times New Roman"/>
          <w:sz w:val="24"/>
          <w:szCs w:val="24"/>
        </w:rPr>
        <w:t>posebne skupine, ki obravnavajo nove zakonodajne predloge in jh presojajo v skladu z načelom S</w:t>
      </w:r>
      <w:r w:rsidRPr="00BC781C">
        <w:rPr>
          <w:rFonts w:eastAsia="Arial" w:cs="Times New Roman"/>
          <w:sz w:val="24"/>
          <w:szCs w:val="24"/>
        </w:rPr>
        <w:t>P</w:t>
      </w:r>
      <w:r w:rsidR="0050374D" w:rsidRPr="00BC781C">
        <w:rPr>
          <w:rFonts w:eastAsia="Arial" w:cs="Times New Roman"/>
          <w:sz w:val="24"/>
          <w:szCs w:val="24"/>
        </w:rPr>
        <w:t xml:space="preserve">TR. </w:t>
      </w:r>
    </w:p>
    <w:p w14:paraId="7FE5D059" w14:textId="54E9634F" w:rsidR="0050374D" w:rsidRPr="00BC781C" w:rsidRDefault="0050374D"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Med orodji, ki jih predvideva NAP, sta posebej zanimiva dva: </w:t>
      </w:r>
      <w:r w:rsidR="00B80BF1" w:rsidRPr="00BC781C">
        <w:rPr>
          <w:rFonts w:eastAsia="Arial" w:cs="Times New Roman"/>
          <w:sz w:val="24"/>
          <w:szCs w:val="24"/>
        </w:rPr>
        <w:t xml:space="preserve">matrika za preverjanje skladnosti ter </w:t>
      </w:r>
      <w:r w:rsidR="00690ACC" w:rsidRPr="00BC781C">
        <w:rPr>
          <w:rFonts w:eastAsia="Arial" w:cs="Times New Roman"/>
          <w:sz w:val="24"/>
          <w:szCs w:val="24"/>
        </w:rPr>
        <w:t>obrazec (</w:t>
      </w:r>
      <w:r w:rsidR="00690ACC" w:rsidRPr="00BC781C">
        <w:rPr>
          <w:rFonts w:eastAsia="Arial" w:cs="Times New Roman"/>
          <w:i/>
          <w:iCs/>
          <w:sz w:val="24"/>
          <w:szCs w:val="24"/>
        </w:rPr>
        <w:t>Fiche</w:t>
      </w:r>
      <w:r w:rsidR="00690ACC" w:rsidRPr="00BC781C">
        <w:rPr>
          <w:rFonts w:eastAsia="Arial" w:cs="Times New Roman"/>
          <w:sz w:val="24"/>
          <w:szCs w:val="24"/>
        </w:rPr>
        <w:t>) za preverjanje skladnosti politik pri</w:t>
      </w:r>
      <w:r w:rsidR="00B80BF1" w:rsidRPr="00BC781C">
        <w:rPr>
          <w:rFonts w:eastAsia="Arial" w:cs="Times New Roman"/>
          <w:sz w:val="24"/>
          <w:szCs w:val="24"/>
        </w:rPr>
        <w:t xml:space="preserve"> doseganj</w:t>
      </w:r>
      <w:r w:rsidR="00690ACC" w:rsidRPr="00BC781C">
        <w:rPr>
          <w:rFonts w:eastAsia="Arial" w:cs="Times New Roman"/>
          <w:sz w:val="24"/>
          <w:szCs w:val="24"/>
        </w:rPr>
        <w:t>u</w:t>
      </w:r>
      <w:r w:rsidR="00B80BF1" w:rsidRPr="00BC781C">
        <w:rPr>
          <w:rFonts w:eastAsia="Arial" w:cs="Times New Roman"/>
          <w:sz w:val="24"/>
          <w:szCs w:val="24"/>
        </w:rPr>
        <w:t xml:space="preserve"> ciljev Nacionalne strategije </w:t>
      </w:r>
      <w:r w:rsidR="00086E68" w:rsidRPr="00BC781C">
        <w:rPr>
          <w:rFonts w:eastAsia="Arial" w:cs="Times New Roman"/>
          <w:sz w:val="24"/>
          <w:szCs w:val="24"/>
        </w:rPr>
        <w:t>trajnostnega razvoja</w:t>
      </w:r>
      <w:r w:rsidR="00B80BF1" w:rsidRPr="00BC781C">
        <w:rPr>
          <w:rFonts w:eastAsia="Arial" w:cs="Times New Roman"/>
          <w:sz w:val="24"/>
          <w:szCs w:val="24"/>
        </w:rPr>
        <w:t>.</w:t>
      </w:r>
    </w:p>
    <w:p w14:paraId="39C79231" w14:textId="075D565A" w:rsidR="00B80BF1" w:rsidRPr="00BC781C" w:rsidRDefault="00B80BF1"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sz w:val="24"/>
          <w:szCs w:val="24"/>
        </w:rPr>
      </w:pPr>
      <w:r w:rsidRPr="00BC781C">
        <w:rPr>
          <w:rFonts w:eastAsia="Arial" w:cs="Times New Roman"/>
          <w:b/>
          <w:bCs/>
          <w:sz w:val="24"/>
          <w:szCs w:val="24"/>
        </w:rPr>
        <w:t>Matrika za preverjanje skladnosti</w:t>
      </w:r>
      <w:r w:rsidRPr="00BC781C">
        <w:rPr>
          <w:rFonts w:eastAsia="Arial" w:cs="Times New Roman"/>
          <w:sz w:val="24"/>
          <w:szCs w:val="24"/>
        </w:rPr>
        <w:t>:</w:t>
      </w:r>
    </w:p>
    <w:p w14:paraId="649DC047" w14:textId="253B76C1" w:rsidR="00B80BF1" w:rsidRPr="00BC781C" w:rsidRDefault="00B80BF1"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sz w:val="24"/>
          <w:szCs w:val="24"/>
        </w:rPr>
      </w:pPr>
      <w:r w:rsidRPr="00BC781C">
        <w:rPr>
          <w:rFonts w:eastAsia="Arial" w:cs="Times New Roman"/>
          <w:i/>
          <w:iCs/>
          <w:sz w:val="24"/>
          <w:szCs w:val="24"/>
        </w:rPr>
        <w:t>Značilnosti</w:t>
      </w:r>
      <w:r w:rsidRPr="00BC781C">
        <w:rPr>
          <w:rFonts w:eastAsia="Arial" w:cs="Times New Roman"/>
          <w:sz w:val="24"/>
          <w:szCs w:val="24"/>
        </w:rPr>
        <w:t xml:space="preserve">: živ dokument, ki vsebuje povezave med nameni, cilji in indikatorji obstoječih politik, pomembnih za dolgoročne trajnostne izbire. </w:t>
      </w:r>
    </w:p>
    <w:p w14:paraId="3D2FEB8B" w14:textId="1A324112" w:rsidR="00B80BF1" w:rsidRPr="00BC781C" w:rsidRDefault="00B80BF1"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i/>
          <w:iCs/>
          <w:sz w:val="24"/>
          <w:szCs w:val="24"/>
        </w:rPr>
      </w:pPr>
      <w:r w:rsidRPr="00BC781C">
        <w:rPr>
          <w:rFonts w:eastAsia="Arial" w:cs="Times New Roman"/>
          <w:i/>
          <w:iCs/>
          <w:sz w:val="24"/>
          <w:szCs w:val="24"/>
        </w:rPr>
        <w:t xml:space="preserve">Avtorstvo: </w:t>
      </w:r>
      <w:r w:rsidRPr="00BC781C">
        <w:rPr>
          <w:rFonts w:eastAsia="Arial" w:cs="Times New Roman"/>
          <w:sz w:val="24"/>
          <w:szCs w:val="24"/>
        </w:rPr>
        <w:t>Skupina za izvajanje in vrednotenje NSTR/SPTR  pripravi podlago za presojo skladnosti; matrika gradi na obstoječih področnih in nacionalnih matrikah skladnosti in opredeli načela presojanja</w:t>
      </w:r>
      <w:r w:rsidR="006B56ED" w:rsidRPr="00BC781C">
        <w:rPr>
          <w:rFonts w:eastAsia="Arial" w:cs="Times New Roman"/>
          <w:sz w:val="24"/>
          <w:szCs w:val="24"/>
        </w:rPr>
        <w:t>.</w:t>
      </w:r>
    </w:p>
    <w:p w14:paraId="42855A1D" w14:textId="0BC443AD" w:rsidR="00B80BF1" w:rsidRPr="00BC781C" w:rsidRDefault="00B80BF1"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sz w:val="24"/>
          <w:szCs w:val="24"/>
        </w:rPr>
      </w:pPr>
      <w:r w:rsidRPr="00BC781C">
        <w:rPr>
          <w:rFonts w:eastAsia="Arial" w:cs="Times New Roman"/>
          <w:sz w:val="24"/>
          <w:szCs w:val="24"/>
        </w:rPr>
        <w:t>Ministrske fokusne skupine za NSTR/ SPTR ter področni regijski organi (</w:t>
      </w:r>
      <w:r w:rsidRPr="00BC781C">
        <w:rPr>
          <w:rFonts w:eastAsia="Arial" w:cs="Times New Roman"/>
          <w:i/>
          <w:iCs/>
          <w:sz w:val="24"/>
          <w:szCs w:val="24"/>
        </w:rPr>
        <w:t>territorial Cabine di Regia</w:t>
      </w:r>
      <w:r w:rsidRPr="00BC781C">
        <w:rPr>
          <w:rFonts w:eastAsia="Arial" w:cs="Times New Roman"/>
          <w:sz w:val="24"/>
          <w:szCs w:val="24"/>
        </w:rPr>
        <w:t xml:space="preserve">) zagotavljajo vsebino matrike, relevantno za posamezno </w:t>
      </w:r>
      <w:r w:rsidRPr="00BC781C">
        <w:rPr>
          <w:rFonts w:eastAsia="Arial" w:cs="Times New Roman"/>
          <w:i/>
          <w:iCs/>
          <w:sz w:val="24"/>
          <w:szCs w:val="24"/>
        </w:rPr>
        <w:t>policy</w:t>
      </w:r>
      <w:r w:rsidRPr="00BC781C">
        <w:rPr>
          <w:rFonts w:eastAsia="Arial" w:cs="Times New Roman"/>
          <w:sz w:val="24"/>
          <w:szCs w:val="24"/>
        </w:rPr>
        <w:t xml:space="preserve"> področje in raven</w:t>
      </w:r>
      <w:r w:rsidR="00363FCD" w:rsidRPr="00BC781C">
        <w:rPr>
          <w:rFonts w:eastAsia="Arial" w:cs="Times New Roman"/>
          <w:sz w:val="24"/>
          <w:szCs w:val="24"/>
        </w:rPr>
        <w:t xml:space="preserve">. </w:t>
      </w:r>
      <w:r w:rsidR="006B56ED" w:rsidRPr="00BC781C">
        <w:rPr>
          <w:rFonts w:eastAsia="Arial" w:cs="Times New Roman"/>
          <w:sz w:val="24"/>
          <w:szCs w:val="24"/>
        </w:rPr>
        <w:t>Tako imenovani</w:t>
      </w:r>
      <w:r w:rsidR="00363FCD" w:rsidRPr="00BC781C">
        <w:rPr>
          <w:rFonts w:eastAsia="Arial" w:cs="Times New Roman"/>
          <w:sz w:val="24"/>
          <w:szCs w:val="24"/>
        </w:rPr>
        <w:t xml:space="preserve"> SPTR laboratoriji pripravijo matrike za posamezne strateške izzive. Te matrike se s strani Laboratorijev redno posodabljajo. Vsebinsko se vključuje v oblikovanje matrik tudi Nacionalni forum za trajnostni razvoj.</w:t>
      </w:r>
    </w:p>
    <w:p w14:paraId="68F6FF3B" w14:textId="5377A4ED" w:rsidR="00363FCD" w:rsidRPr="00BC781C" w:rsidRDefault="00B80BF1"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sz w:val="24"/>
          <w:szCs w:val="24"/>
        </w:rPr>
      </w:pPr>
      <w:r w:rsidRPr="00BC781C">
        <w:rPr>
          <w:rFonts w:eastAsia="Arial" w:cs="Times New Roman"/>
          <w:i/>
          <w:iCs/>
          <w:sz w:val="24"/>
          <w:szCs w:val="24"/>
        </w:rPr>
        <w:t>U</w:t>
      </w:r>
      <w:r w:rsidR="00363FCD" w:rsidRPr="00BC781C">
        <w:rPr>
          <w:rFonts w:eastAsia="Arial" w:cs="Times New Roman"/>
          <w:i/>
          <w:iCs/>
          <w:sz w:val="24"/>
          <w:szCs w:val="24"/>
        </w:rPr>
        <w:t>porabniki</w:t>
      </w:r>
      <w:r w:rsidRPr="00BC781C">
        <w:rPr>
          <w:rFonts w:eastAsia="Arial" w:cs="Times New Roman"/>
          <w:sz w:val="24"/>
          <w:szCs w:val="24"/>
        </w:rPr>
        <w:t>:</w:t>
      </w:r>
      <w:r w:rsidR="00363FCD" w:rsidRPr="00BC781C">
        <w:rPr>
          <w:rFonts w:eastAsia="Arial" w:cs="Times New Roman"/>
          <w:sz w:val="24"/>
          <w:szCs w:val="24"/>
        </w:rPr>
        <w:t xml:space="preserve"> resorna ministrstva,</w:t>
      </w:r>
      <w:r w:rsidR="00363FCD" w:rsidRPr="00BC781C">
        <w:rPr>
          <w:rFonts w:cs="Times New Roman"/>
          <w:color w:val="888887"/>
          <w:kern w:val="0"/>
          <w:sz w:val="24"/>
          <w:szCs w:val="24"/>
        </w:rPr>
        <w:t xml:space="preserve"> </w:t>
      </w:r>
      <w:r w:rsidR="00363FCD" w:rsidRPr="00BC781C">
        <w:rPr>
          <w:rFonts w:eastAsia="Arial" w:cs="Times New Roman"/>
          <w:sz w:val="24"/>
          <w:szCs w:val="24"/>
        </w:rPr>
        <w:t>regije, lokalne oblasti.</w:t>
      </w:r>
    </w:p>
    <w:p w14:paraId="327356C0" w14:textId="03650D5B" w:rsidR="00363FCD" w:rsidRPr="00BC781C" w:rsidRDefault="00363FCD"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sz w:val="24"/>
          <w:szCs w:val="24"/>
        </w:rPr>
      </w:pPr>
      <w:r w:rsidRPr="00BC781C">
        <w:rPr>
          <w:rFonts w:eastAsia="Arial" w:cs="Times New Roman"/>
          <w:i/>
          <w:iCs/>
          <w:sz w:val="24"/>
          <w:szCs w:val="24"/>
        </w:rPr>
        <w:t>Zakaj uporabljati matrike</w:t>
      </w:r>
      <w:r w:rsidRPr="00BC781C">
        <w:rPr>
          <w:rFonts w:eastAsia="Arial" w:cs="Times New Roman"/>
          <w:sz w:val="24"/>
          <w:szCs w:val="24"/>
        </w:rPr>
        <w:t>: s pomočjo matrike se lahko preveri, kako neposredno sektorske politike prispevajo k posameznim strateškim izbiram znotraj NSTR (npr. zmanjševanju revščine). Prav tako se izpostavijo povezave med sektorskimi politikami na področju določene politike, da se lažje načrtuje politike v prihodnje in se lahko odloča med koristmi/možnimi negativnimi posledicami ali sinergijami. Matrika opozarja na skupne kazalce politik za vsako od strateških izbir. S pomočjo matrike lahko posameznih akter preveri, kako politike vplivajo na doseganje CTR in druga relevantna področja, kakor tudi na države v razvoju, glede na kazalce znotraj področja Partnerstvo za NSTR.</w:t>
      </w:r>
    </w:p>
    <w:p w14:paraId="297478FA" w14:textId="5579789B" w:rsidR="00363FCD" w:rsidRPr="00BC781C" w:rsidRDefault="00363FCD"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sz w:val="24"/>
          <w:szCs w:val="24"/>
        </w:rPr>
      </w:pPr>
      <w:r w:rsidRPr="00BC781C">
        <w:rPr>
          <w:rFonts w:eastAsia="Arial" w:cs="Times New Roman"/>
          <w:i/>
          <w:iCs/>
          <w:sz w:val="24"/>
          <w:szCs w:val="24"/>
        </w:rPr>
        <w:t xml:space="preserve">Kdaj uporabljati matrike v </w:t>
      </w:r>
      <w:r w:rsidR="00686EE3" w:rsidRPr="00BC781C">
        <w:rPr>
          <w:rFonts w:eastAsia="Arial" w:cs="Times New Roman"/>
          <w:i/>
          <w:iCs/>
          <w:sz w:val="24"/>
          <w:szCs w:val="24"/>
        </w:rPr>
        <w:t xml:space="preserve">krogu oblikovanja politik: </w:t>
      </w:r>
      <w:r w:rsidR="00686EE3" w:rsidRPr="00BC781C">
        <w:rPr>
          <w:rFonts w:eastAsia="Arial" w:cs="Times New Roman"/>
          <w:sz w:val="24"/>
          <w:szCs w:val="24"/>
        </w:rPr>
        <w:t>predvidoma naj bi vsako ministrstvo, regija, lokalna oblast uporabila matriko skladnosti kot osnovno informacijo ob izpolnjevanju obrazca za zagotavljanje skladnosti za nove naložbe in politike.</w:t>
      </w:r>
    </w:p>
    <w:p w14:paraId="0CDF5A34" w14:textId="432F3EF1" w:rsidR="00032408" w:rsidRPr="00BC781C" w:rsidRDefault="00686EE3" w:rsidP="00686EE3">
      <w:pPr>
        <w:pBdr>
          <w:top w:val="single" w:sz="4" w:space="1" w:color="auto"/>
          <w:left w:val="single" w:sz="4" w:space="4" w:color="auto"/>
          <w:bottom w:val="single" w:sz="4" w:space="1" w:color="auto"/>
          <w:right w:val="single" w:sz="4" w:space="4" w:color="auto"/>
        </w:pBd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Ob </w:t>
      </w:r>
      <w:r w:rsidR="00363FCD" w:rsidRPr="00BC781C">
        <w:rPr>
          <w:rFonts w:eastAsia="Arial" w:cs="Times New Roman"/>
          <w:i/>
          <w:iCs/>
          <w:sz w:val="24"/>
          <w:szCs w:val="24"/>
        </w:rPr>
        <w:t xml:space="preserve">ex ante </w:t>
      </w:r>
      <w:r w:rsidRPr="00BC781C">
        <w:rPr>
          <w:rFonts w:eastAsia="Arial" w:cs="Times New Roman"/>
          <w:sz w:val="24"/>
          <w:szCs w:val="24"/>
        </w:rPr>
        <w:t>in</w:t>
      </w:r>
      <w:r w:rsidR="00363FCD" w:rsidRPr="00BC781C">
        <w:rPr>
          <w:rFonts w:eastAsia="Arial" w:cs="Times New Roman"/>
          <w:sz w:val="24"/>
          <w:szCs w:val="24"/>
        </w:rPr>
        <w:t xml:space="preserve"> </w:t>
      </w:r>
      <w:r w:rsidR="00363FCD" w:rsidRPr="00BC781C">
        <w:rPr>
          <w:rFonts w:eastAsia="Arial" w:cs="Times New Roman"/>
          <w:i/>
          <w:iCs/>
          <w:sz w:val="24"/>
          <w:szCs w:val="24"/>
        </w:rPr>
        <w:t xml:space="preserve">ex post </w:t>
      </w:r>
      <w:r w:rsidRPr="00BC781C">
        <w:rPr>
          <w:rFonts w:eastAsia="Arial" w:cs="Times New Roman"/>
          <w:sz w:val="24"/>
          <w:szCs w:val="24"/>
        </w:rPr>
        <w:t xml:space="preserve">evalvaciji matrike zagotavljajo podatke, ki so potencialno zelo uporabni za </w:t>
      </w:r>
      <w:r w:rsidR="00363FCD" w:rsidRPr="00BC781C">
        <w:rPr>
          <w:rFonts w:eastAsia="Arial" w:cs="Times New Roman"/>
          <w:i/>
          <w:iCs/>
          <w:sz w:val="24"/>
          <w:szCs w:val="24"/>
        </w:rPr>
        <w:t>ex ante</w:t>
      </w:r>
      <w:r w:rsidRPr="00BC781C">
        <w:rPr>
          <w:rFonts w:eastAsia="Arial" w:cs="Times New Roman"/>
          <w:i/>
          <w:iCs/>
          <w:sz w:val="24"/>
          <w:szCs w:val="24"/>
        </w:rPr>
        <w:t xml:space="preserve"> </w:t>
      </w:r>
      <w:r w:rsidRPr="00BC781C">
        <w:rPr>
          <w:rFonts w:eastAsia="Arial" w:cs="Times New Roman"/>
          <w:sz w:val="24"/>
          <w:szCs w:val="24"/>
        </w:rPr>
        <w:t>vrednotenje, ki ga izvajajo različne agencije za naložbe in politike ter za njihove evalvacije.</w:t>
      </w:r>
    </w:p>
    <w:p w14:paraId="11D56DF0" w14:textId="09727278" w:rsidR="00032408" w:rsidRPr="00BC781C" w:rsidRDefault="00C174D8"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lastRenderedPageBreak/>
        <w:t xml:space="preserve">Vir: </w:t>
      </w:r>
      <w:r w:rsidR="00686EE3" w:rsidRPr="00BC781C">
        <w:rPr>
          <w:rFonts w:eastAsia="Arial" w:cs="Times New Roman"/>
          <w:sz w:val="24"/>
          <w:szCs w:val="24"/>
        </w:rPr>
        <w:t>OECD, 2022, str. 14</w:t>
      </w:r>
    </w:p>
    <w:p w14:paraId="31257569" w14:textId="665317FC" w:rsidR="00690ACC" w:rsidRPr="00BC781C" w:rsidRDefault="00690ACC" w:rsidP="00690ACC">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Matrika se uporablja skupaj z </w:t>
      </w:r>
      <w:r w:rsidRPr="00BC781C">
        <w:rPr>
          <w:rFonts w:eastAsia="Arial" w:cs="Times New Roman"/>
          <w:b/>
          <w:bCs/>
          <w:sz w:val="24"/>
          <w:szCs w:val="24"/>
        </w:rPr>
        <w:t>obrazcem za preverjanje skladnosti politik za trajnostni razvoj</w:t>
      </w:r>
      <w:r w:rsidRPr="00BC781C">
        <w:rPr>
          <w:rFonts w:eastAsia="Arial" w:cs="Times New Roman"/>
          <w:sz w:val="24"/>
          <w:szCs w:val="24"/>
        </w:rPr>
        <w:t>. Delovanje obeh orodij najlažje prikažemo s pomočjo konkretnega primera oblikovanja ukrepa na področju zagotavljanja pogojev za razvoj človeškega kapitala</w:t>
      </w:r>
      <w:r w:rsidR="00323CC5" w:rsidRPr="00BC781C">
        <w:rPr>
          <w:rFonts w:eastAsia="Arial" w:cs="Times New Roman"/>
          <w:sz w:val="24"/>
          <w:szCs w:val="24"/>
        </w:rPr>
        <w:t xml:space="preserve"> –</w:t>
      </w:r>
      <w:r w:rsidRPr="00BC781C">
        <w:rPr>
          <w:rFonts w:eastAsia="Arial" w:cs="Times New Roman"/>
          <w:sz w:val="24"/>
          <w:szCs w:val="24"/>
        </w:rPr>
        <w:t xml:space="preserve"> enega od strateških ciljev italijanske NSTR:</w:t>
      </w:r>
    </w:p>
    <w:p w14:paraId="3A34E1F6" w14:textId="7DCCFE73" w:rsidR="00690ACC" w:rsidRPr="00BC781C" w:rsidRDefault="00690ACC" w:rsidP="001A1F4D">
      <w:pPr>
        <w:shd w:val="clear" w:color="auto" w:fill="FFFFFF"/>
        <w:spacing w:before="240" w:after="240" w:line="276" w:lineRule="auto"/>
        <w:rPr>
          <w:rFonts w:eastAsia="Arial" w:cs="Times New Roman"/>
          <w:sz w:val="24"/>
          <w:szCs w:val="24"/>
        </w:rPr>
      </w:pPr>
      <w:r w:rsidRPr="00BC781C">
        <w:rPr>
          <w:rFonts w:eastAsia="Arial" w:cs="Times New Roman"/>
          <w:b/>
          <w:bCs/>
          <w:sz w:val="24"/>
          <w:szCs w:val="24"/>
        </w:rPr>
        <w:t>Cilj</w:t>
      </w:r>
      <w:r w:rsidR="009C6524" w:rsidRPr="00BC781C">
        <w:rPr>
          <w:rFonts w:eastAsia="Arial" w:cs="Times New Roman"/>
          <w:b/>
          <w:bCs/>
          <w:sz w:val="24"/>
          <w:szCs w:val="24"/>
        </w:rPr>
        <w:t xml:space="preserve"> obrazca</w:t>
      </w:r>
      <w:r w:rsidRPr="00BC781C">
        <w:rPr>
          <w:rFonts w:eastAsia="Arial" w:cs="Times New Roman"/>
          <w:b/>
          <w:bCs/>
          <w:sz w:val="24"/>
          <w:szCs w:val="24"/>
        </w:rPr>
        <w:t>:</w:t>
      </w:r>
      <w:r w:rsidRPr="00BC781C">
        <w:rPr>
          <w:rFonts w:eastAsia="Arial" w:cs="Times New Roman"/>
          <w:sz w:val="24"/>
          <w:szCs w:val="24"/>
        </w:rPr>
        <w:t xml:space="preserve"> </w:t>
      </w:r>
      <w:r w:rsidR="001A1F4D" w:rsidRPr="00BC781C">
        <w:rPr>
          <w:rFonts w:eastAsia="Arial" w:cs="Times New Roman"/>
          <w:sz w:val="24"/>
          <w:szCs w:val="24"/>
        </w:rPr>
        <w:t>Oblikovanje politike, ki zapolnjuje vrzeli in spodbuja doseganje ciljev v okviru strateške izbire 2: zagotavljanje pogojev za razvoj človeškega kapitala (področje LJUDJE)</w:t>
      </w:r>
    </w:p>
    <w:p w14:paraId="294121B9" w14:textId="77777777" w:rsidR="001A1F4D" w:rsidRPr="00BC781C" w:rsidRDefault="00D81469" w:rsidP="00D81469">
      <w:pPr>
        <w:shd w:val="clear" w:color="auto" w:fill="FFFFFF"/>
        <w:spacing w:before="240" w:after="240" w:line="276" w:lineRule="auto"/>
        <w:rPr>
          <w:rFonts w:eastAsia="Arial" w:cs="Times New Roman"/>
          <w:b/>
          <w:bCs/>
          <w:sz w:val="24"/>
          <w:szCs w:val="24"/>
        </w:rPr>
      </w:pPr>
      <w:r w:rsidRPr="00BC781C">
        <w:rPr>
          <w:rFonts w:eastAsia="Arial" w:cs="Times New Roman"/>
          <w:b/>
          <w:bCs/>
          <w:sz w:val="24"/>
          <w:szCs w:val="24"/>
        </w:rPr>
        <w:t>Vprašanja</w:t>
      </w:r>
      <w:r w:rsidR="001A1F4D" w:rsidRPr="00BC781C">
        <w:rPr>
          <w:rFonts w:eastAsia="Arial" w:cs="Times New Roman"/>
          <w:b/>
          <w:bCs/>
          <w:sz w:val="24"/>
          <w:szCs w:val="24"/>
        </w:rPr>
        <w:t xml:space="preserve"> za oblikovalce politik:</w:t>
      </w:r>
    </w:p>
    <w:p w14:paraId="17C142A6" w14:textId="1718EE07" w:rsidR="001A1F4D" w:rsidRPr="00BC781C" w:rsidRDefault="001A1F4D" w:rsidP="00EE0CC8">
      <w:pPr>
        <w:pStyle w:val="ListParagraph"/>
        <w:numPr>
          <w:ilvl w:val="6"/>
          <w:numId w:val="6"/>
        </w:numPr>
        <w:shd w:val="clear" w:color="auto" w:fill="FFFFFF"/>
        <w:spacing w:before="240" w:after="240" w:line="276" w:lineRule="auto"/>
        <w:ind w:left="697" w:hanging="357"/>
        <w:rPr>
          <w:rFonts w:eastAsia="Arial" w:cs="Times New Roman"/>
          <w:sz w:val="24"/>
          <w:szCs w:val="24"/>
        </w:rPr>
      </w:pPr>
      <w:r w:rsidRPr="00BC781C">
        <w:rPr>
          <w:rFonts w:eastAsia="Arial" w:cs="Times New Roman"/>
          <w:sz w:val="24"/>
          <w:szCs w:val="24"/>
        </w:rPr>
        <w:t>Kateri kazalci so vključeni v NSTR in druge obstoječe sektorske politike? Ali predvideva nova politike uporabo istih kazalcev? (npr. stopnja zaposlenosti, nezaposlenost, stroški socialnih pomoči, pismenost (bralna in številčna), opustitev šolanja, itd.)</w:t>
      </w:r>
    </w:p>
    <w:p w14:paraId="14D6C9CB" w14:textId="36D33297" w:rsidR="009C6524" w:rsidRPr="00BC781C" w:rsidRDefault="001A1F4D" w:rsidP="00EE0CC8">
      <w:pPr>
        <w:pStyle w:val="ListParagraph"/>
        <w:numPr>
          <w:ilvl w:val="6"/>
          <w:numId w:val="6"/>
        </w:numPr>
        <w:shd w:val="clear" w:color="auto" w:fill="FFFFFF"/>
        <w:spacing w:before="240" w:after="240" w:line="276" w:lineRule="auto"/>
        <w:ind w:left="697" w:hanging="357"/>
        <w:rPr>
          <w:rFonts w:eastAsia="Arial" w:cs="Times New Roman"/>
          <w:sz w:val="24"/>
          <w:szCs w:val="24"/>
        </w:rPr>
      </w:pPr>
      <w:r w:rsidRPr="00BC781C">
        <w:rPr>
          <w:rFonts w:eastAsia="Arial" w:cs="Times New Roman"/>
          <w:sz w:val="24"/>
          <w:szCs w:val="24"/>
        </w:rPr>
        <w:t>Ali nov ukrep prispeva k doseganju cilj</w:t>
      </w:r>
      <w:r w:rsidR="009C6524" w:rsidRPr="00BC781C">
        <w:rPr>
          <w:rFonts w:eastAsia="Arial" w:cs="Times New Roman"/>
          <w:sz w:val="24"/>
          <w:szCs w:val="24"/>
        </w:rPr>
        <w:t>a</w:t>
      </w:r>
      <w:r w:rsidRPr="00BC781C">
        <w:rPr>
          <w:rFonts w:eastAsia="Arial" w:cs="Times New Roman"/>
          <w:sz w:val="24"/>
          <w:szCs w:val="24"/>
        </w:rPr>
        <w:t xml:space="preserve"> NSTR</w:t>
      </w:r>
      <w:r w:rsidR="00D6162A" w:rsidRPr="00BC781C">
        <w:rPr>
          <w:rFonts w:eastAsia="Arial" w:cs="Times New Roman"/>
          <w:sz w:val="24"/>
          <w:szCs w:val="24"/>
        </w:rPr>
        <w:t>, ki določa, da je</w:t>
      </w:r>
      <w:r w:rsidR="009C6524" w:rsidRPr="00BC781C">
        <w:rPr>
          <w:rFonts w:eastAsia="Arial" w:cs="Times New Roman"/>
          <w:sz w:val="24"/>
          <w:szCs w:val="24"/>
        </w:rPr>
        <w:t xml:space="preserve"> </w:t>
      </w:r>
      <w:r w:rsidRPr="00BC781C">
        <w:rPr>
          <w:rFonts w:eastAsia="Arial" w:cs="Times New Roman"/>
          <w:sz w:val="24"/>
          <w:szCs w:val="24"/>
        </w:rPr>
        <w:t>78</w:t>
      </w:r>
      <w:r w:rsidR="00D6162A" w:rsidRPr="00BC781C">
        <w:rPr>
          <w:rFonts w:eastAsia="Arial" w:cs="Times New Roman"/>
          <w:sz w:val="24"/>
          <w:szCs w:val="24"/>
        </w:rPr>
        <w:t xml:space="preserve"> </w:t>
      </w:r>
      <w:r w:rsidRPr="00BC781C">
        <w:rPr>
          <w:rFonts w:eastAsia="Arial" w:cs="Times New Roman"/>
          <w:sz w:val="24"/>
          <w:szCs w:val="24"/>
        </w:rPr>
        <w:t>% populacije v starosti med 20</w:t>
      </w:r>
      <w:r w:rsidR="00D6162A" w:rsidRPr="00BC781C">
        <w:rPr>
          <w:rFonts w:eastAsia="Arial" w:cs="Times New Roman"/>
          <w:sz w:val="24"/>
          <w:szCs w:val="24"/>
        </w:rPr>
        <w:t>–</w:t>
      </w:r>
      <w:r w:rsidRPr="00BC781C">
        <w:rPr>
          <w:rFonts w:eastAsia="Arial" w:cs="Times New Roman"/>
          <w:sz w:val="24"/>
          <w:szCs w:val="24"/>
        </w:rPr>
        <w:t>64 polno zaposlenih</w:t>
      </w:r>
      <w:r w:rsidR="009C6524" w:rsidRPr="00BC781C">
        <w:rPr>
          <w:rFonts w:eastAsia="Arial" w:cs="Times New Roman"/>
          <w:sz w:val="24"/>
          <w:szCs w:val="24"/>
        </w:rPr>
        <w:t>?</w:t>
      </w:r>
    </w:p>
    <w:p w14:paraId="5F5A362A" w14:textId="77777777" w:rsidR="009C6524" w:rsidRPr="00BC781C" w:rsidRDefault="009C6524" w:rsidP="00EE0CC8">
      <w:pPr>
        <w:pStyle w:val="ListParagraph"/>
        <w:numPr>
          <w:ilvl w:val="6"/>
          <w:numId w:val="6"/>
        </w:numPr>
        <w:shd w:val="clear" w:color="auto" w:fill="FFFFFF"/>
        <w:spacing w:before="240" w:after="240" w:line="276" w:lineRule="auto"/>
        <w:ind w:left="697" w:hanging="357"/>
        <w:rPr>
          <w:rFonts w:eastAsia="Arial" w:cs="Times New Roman"/>
          <w:sz w:val="24"/>
          <w:szCs w:val="24"/>
        </w:rPr>
      </w:pPr>
      <w:r w:rsidRPr="00BC781C">
        <w:rPr>
          <w:rFonts w:eastAsia="Arial" w:cs="Times New Roman"/>
          <w:sz w:val="24"/>
          <w:szCs w:val="24"/>
        </w:rPr>
        <w:t>Ali so kateri drugi ukrepi skladni s cilji v NSTR?</w:t>
      </w:r>
    </w:p>
    <w:p w14:paraId="193C284E" w14:textId="420B12F4" w:rsidR="001A1F4D" w:rsidRPr="00BC781C" w:rsidRDefault="009C6524" w:rsidP="00EE0CC8">
      <w:pPr>
        <w:pStyle w:val="ListParagraph"/>
        <w:numPr>
          <w:ilvl w:val="6"/>
          <w:numId w:val="6"/>
        </w:numPr>
        <w:shd w:val="clear" w:color="auto" w:fill="FFFFFF"/>
        <w:spacing w:before="240" w:after="240" w:line="276" w:lineRule="auto"/>
        <w:ind w:left="697" w:hanging="357"/>
        <w:rPr>
          <w:rFonts w:eastAsia="Arial" w:cs="Times New Roman"/>
          <w:sz w:val="24"/>
          <w:szCs w:val="24"/>
        </w:rPr>
      </w:pPr>
      <w:r w:rsidRPr="00BC781C">
        <w:rPr>
          <w:rFonts w:eastAsia="Arial" w:cs="Times New Roman"/>
          <w:sz w:val="24"/>
          <w:szCs w:val="24"/>
        </w:rPr>
        <w:t>Kakšne so sicer druge možne posledice? Kakšni so prekomejni učinki? Možne sinergije?</w:t>
      </w:r>
    </w:p>
    <w:p w14:paraId="4576B39E" w14:textId="238535BE" w:rsidR="009C6524" w:rsidRPr="00BC781C" w:rsidRDefault="009C6524" w:rsidP="00EE0CC8">
      <w:pPr>
        <w:pStyle w:val="ListParagraph"/>
        <w:numPr>
          <w:ilvl w:val="6"/>
          <w:numId w:val="6"/>
        </w:numPr>
        <w:shd w:val="clear" w:color="auto" w:fill="FFFFFF"/>
        <w:spacing w:before="240" w:after="240" w:line="276" w:lineRule="auto"/>
        <w:ind w:left="697" w:hanging="357"/>
        <w:rPr>
          <w:rFonts w:eastAsia="Arial" w:cs="Times New Roman"/>
          <w:sz w:val="24"/>
          <w:szCs w:val="24"/>
        </w:rPr>
      </w:pPr>
      <w:r w:rsidRPr="00BC781C">
        <w:rPr>
          <w:rFonts w:eastAsia="Arial" w:cs="Times New Roman"/>
          <w:sz w:val="24"/>
          <w:szCs w:val="24"/>
        </w:rPr>
        <w:t>Ali so lahko načrtovani še kakšni prečni (cross-cutting) ukrepi; npr. pripravništvo za študente, ki se izobražujejo na STEM ( znanost, tehnologija inženirstvo in matematika) področjih?</w:t>
      </w:r>
    </w:p>
    <w:p w14:paraId="70E53AE1" w14:textId="08538822" w:rsidR="009C6524" w:rsidRPr="00BC781C" w:rsidRDefault="009C6524" w:rsidP="00EE0CC8">
      <w:pPr>
        <w:pStyle w:val="ListParagraph"/>
        <w:numPr>
          <w:ilvl w:val="6"/>
          <w:numId w:val="6"/>
        </w:numPr>
        <w:shd w:val="clear" w:color="auto" w:fill="FFFFFF"/>
        <w:spacing w:before="240" w:after="240" w:line="276" w:lineRule="auto"/>
        <w:ind w:left="697" w:hanging="357"/>
        <w:rPr>
          <w:rFonts w:eastAsia="Arial" w:cs="Times New Roman"/>
          <w:sz w:val="24"/>
          <w:szCs w:val="24"/>
        </w:rPr>
      </w:pPr>
      <w:r w:rsidRPr="00BC781C">
        <w:rPr>
          <w:rFonts w:eastAsia="Arial" w:cs="Times New Roman"/>
          <w:sz w:val="24"/>
          <w:szCs w:val="24"/>
        </w:rPr>
        <w:t>Kako je načrtovana razdelitev proračuna med različne oblike ukrepanja politike?</w:t>
      </w:r>
    </w:p>
    <w:p w14:paraId="3F807802" w14:textId="78FD1A5C" w:rsidR="009C6524" w:rsidRPr="00BC781C" w:rsidRDefault="009C6524" w:rsidP="00EE0CC8">
      <w:pPr>
        <w:pStyle w:val="ListParagraph"/>
        <w:numPr>
          <w:ilvl w:val="6"/>
          <w:numId w:val="6"/>
        </w:numPr>
        <w:shd w:val="clear" w:color="auto" w:fill="FFFFFF"/>
        <w:spacing w:before="240" w:after="240" w:line="276" w:lineRule="auto"/>
        <w:ind w:left="697" w:hanging="357"/>
        <w:rPr>
          <w:rFonts w:eastAsia="Arial" w:cs="Times New Roman"/>
          <w:sz w:val="24"/>
          <w:szCs w:val="24"/>
        </w:rPr>
      </w:pPr>
      <w:r w:rsidRPr="00BC781C">
        <w:rPr>
          <w:rFonts w:eastAsia="Arial" w:cs="Times New Roman"/>
          <w:sz w:val="24"/>
          <w:szCs w:val="24"/>
        </w:rPr>
        <w:t>Katera raven vlade je zadolžena za izvajanje ukrepa?</w:t>
      </w:r>
    </w:p>
    <w:p w14:paraId="0F9CDA60" w14:textId="24C00B9D" w:rsidR="00D81469" w:rsidRPr="00BC781C" w:rsidRDefault="00D81469" w:rsidP="00D81469">
      <w:pPr>
        <w:shd w:val="clear" w:color="auto" w:fill="FFFFFF"/>
        <w:spacing w:before="240" w:after="240" w:line="276" w:lineRule="auto"/>
        <w:rPr>
          <w:rFonts w:eastAsia="Arial" w:cs="Times New Roman"/>
          <w:b/>
          <w:bCs/>
          <w:sz w:val="24"/>
          <w:szCs w:val="24"/>
        </w:rPr>
      </w:pPr>
    </w:p>
    <w:p w14:paraId="5F374D21" w14:textId="0CB5BADC" w:rsidR="009776DF" w:rsidRPr="00BC781C" w:rsidRDefault="009C6524"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Tako zbrani podatki potem omogočajo presojo spoštovanja načela skladnosti politik za trajnostni razvoj.</w:t>
      </w:r>
    </w:p>
    <w:p w14:paraId="0D380FE6" w14:textId="4C49C1E7" w:rsidR="009776DF" w:rsidRPr="00BC781C" w:rsidRDefault="009776DF" w:rsidP="009776DF">
      <w:pPr>
        <w:rPr>
          <w:rFonts w:cs="Times New Roman"/>
          <w:sz w:val="24"/>
          <w:szCs w:val="24"/>
        </w:rPr>
      </w:pPr>
      <w:r w:rsidRPr="00BC781C">
        <w:rPr>
          <w:rFonts w:eastAsia="Arial" w:cs="Times New Roman"/>
          <w:sz w:val="24"/>
          <w:szCs w:val="24"/>
        </w:rPr>
        <w:br w:type="column"/>
      </w:r>
      <w:r w:rsidRPr="00BC781C">
        <w:rPr>
          <w:rFonts w:cs="Times New Roman"/>
          <w:b/>
          <w:bCs/>
          <w:sz w:val="24"/>
          <w:szCs w:val="24"/>
        </w:rPr>
        <w:lastRenderedPageBreak/>
        <w:t>Koraki k oblikovanju obrazca za ugotavljanje skladnosti politik</w:t>
      </w:r>
      <w:r w:rsidR="00A90057" w:rsidRPr="00BC781C">
        <w:rPr>
          <w:rFonts w:cs="Times New Roman"/>
          <w:b/>
          <w:bCs/>
          <w:sz w:val="24"/>
          <w:szCs w:val="24"/>
        </w:rPr>
        <w:t xml:space="preserve"> </w:t>
      </w:r>
      <w:r w:rsidR="00A90057" w:rsidRPr="00BC781C">
        <w:rPr>
          <w:rFonts w:cs="Times New Roman"/>
          <w:sz w:val="24"/>
          <w:szCs w:val="24"/>
        </w:rPr>
        <w:t>(OECD, 2022, str</w:t>
      </w:r>
      <w:r w:rsidR="00AD0C63" w:rsidRPr="00BC781C">
        <w:rPr>
          <w:rFonts w:cs="Times New Roman"/>
          <w:sz w:val="24"/>
          <w:szCs w:val="24"/>
        </w:rPr>
        <w:t xml:space="preserve">. </w:t>
      </w:r>
      <w:r w:rsidR="00A90057" w:rsidRPr="00BC781C">
        <w:rPr>
          <w:rFonts w:cs="Times New Roman"/>
          <w:sz w:val="24"/>
          <w:szCs w:val="24"/>
        </w:rPr>
        <w:t>16)</w:t>
      </w:r>
    </w:p>
    <w:p w14:paraId="3AC690D8" w14:textId="77777777" w:rsidR="009776DF" w:rsidRPr="00BC781C" w:rsidRDefault="009776DF" w:rsidP="009776DF">
      <w:pPr>
        <w:rPr>
          <w:rFonts w:cs="Times New Roman"/>
          <w:sz w:val="24"/>
          <w:szCs w:val="24"/>
        </w:rPr>
      </w:pPr>
      <w:r w:rsidRPr="00BC781C">
        <w:rPr>
          <w:rFonts w:cs="Times New Roman"/>
          <w:noProof/>
          <w:sz w:val="24"/>
          <w:szCs w:val="24"/>
          <w:lang w:eastAsia="sl-SI"/>
        </w:rPr>
        <mc:AlternateContent>
          <mc:Choice Requires="wps">
            <w:drawing>
              <wp:anchor distT="45720" distB="45720" distL="114300" distR="114300" simplePos="0" relativeHeight="251659264" behindDoc="0" locked="0" layoutInCell="1" allowOverlap="1" wp14:anchorId="03A56E26" wp14:editId="4361D82F">
                <wp:simplePos x="0" y="0"/>
                <wp:positionH relativeFrom="column">
                  <wp:posOffset>1098550</wp:posOffset>
                </wp:positionH>
                <wp:positionV relativeFrom="paragraph">
                  <wp:posOffset>100330</wp:posOffset>
                </wp:positionV>
                <wp:extent cx="3136265" cy="1404620"/>
                <wp:effectExtent l="0" t="0" r="133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CBA47DE" w14:textId="77777777" w:rsidR="009776DF" w:rsidRPr="00306B06" w:rsidRDefault="009776DF" w:rsidP="00306B06">
                            <w:r w:rsidRPr="00306B06">
                              <w:t xml:space="preserve">UGOTAVLJANJE PRISPEVKA K NSTR V MATRICI SKLADNOSTI </w:t>
                            </w:r>
                          </w:p>
                          <w:p w14:paraId="0163D376" w14:textId="73F911CB" w:rsidR="009776DF" w:rsidRPr="00306B06" w:rsidRDefault="009776DF" w:rsidP="00306B06">
                            <w:r w:rsidRPr="00306B06">
                              <w:t xml:space="preserve">Ali kazalci novega ukrepa prispevajo (pozitivno/negativno </w:t>
                            </w:r>
                            <w:r w:rsidR="00306B06" w:rsidRPr="00306B06">
                              <w:t xml:space="preserve">h </w:t>
                            </w:r>
                            <w:r w:rsidRPr="00306B06">
                              <w:t>kazalcem vezanim za strateške prioritete/</w:t>
                            </w:r>
                            <w:r w:rsidR="00306B06" w:rsidRPr="00306B06">
                              <w:t>i</w:t>
                            </w:r>
                            <w:r w:rsidRPr="00306B06">
                              <w:t>zbire NSTR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w:pict>
              <v:shapetype w14:anchorId="03A56E26" id="_x0000_t202" coordsize="21600,21600" o:spt="202" path="m,l,21600r21600,l21600,xe">
                <v:stroke joinstyle="miter"/>
                <v:path gradientshapeok="t" o:connecttype="rect"/>
              </v:shapetype>
              <v:shape id="Text Box 2" o:spid="_x0000_s1026" type="#_x0000_t202" style="position:absolute;left:0;text-align:left;margin-left:86.5pt;margin-top:7.9pt;width:246.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" fillcolor="#81d463 [2169]" strokecolor="#4ea72e [3209]" strokeweight=".5pt">
                <v:fill color2="#66cb42 [2617]" rotate="t" colors="0 #a8d5a0;.5 #9bca93;1 #8ac67e" focus="100%" type="gradient">
                  <o:fill v:ext="view" type="gradientUnscaled"/>
                </v:fill>
                <v:textbox style="mso-fit-shape-to-text:t">
                  <w:txbxContent>
                    <w:p w14:paraId="2CBA47DE" w14:textId="77777777" w:rsidR="009776DF" w:rsidRPr="00306B06" w:rsidRDefault="009776DF" w:rsidP="00306B06">
                      <w:r w:rsidRPr="00306B06">
                        <w:t xml:space="preserve">UGOTAVLJANJE PRISPEVKA K NSTR V MATRICI SKLADNOSTI </w:t>
                      </w:r>
                    </w:p>
                    <w:p w14:paraId="0163D376" w14:textId="73F911CB" w:rsidR="009776DF" w:rsidRPr="00306B06" w:rsidRDefault="009776DF" w:rsidP="00306B06">
                      <w:r w:rsidRPr="00306B06">
                        <w:t xml:space="preserve">Ali kazalci novega ukrepa prispevajo (pozitivno/negativno </w:t>
                      </w:r>
                      <w:r w:rsidR="00306B06" w:rsidRPr="00306B06">
                        <w:t xml:space="preserve">h </w:t>
                      </w:r>
                      <w:r w:rsidRPr="00306B06">
                        <w:t>kazalcem vezanim za strateške prioritete/</w:t>
                      </w:r>
                      <w:r w:rsidR="00306B06" w:rsidRPr="00306B06">
                        <w:t>i</w:t>
                      </w:r>
                      <w:r w:rsidRPr="00306B06">
                        <w:t>zbire NSTR</w:t>
                      </w:r>
                    </w:p>
                  </w:txbxContent>
                </v:textbox>
                <w10:wrap type="square"/>
              </v:shape>
            </w:pict>
          </mc:Fallback>
        </mc:AlternateContent>
      </w:r>
    </w:p>
    <w:p w14:paraId="6EAF8156" w14:textId="73E76D27" w:rsidR="009776DF" w:rsidRPr="00BC781C" w:rsidRDefault="009776DF" w:rsidP="009776DF">
      <w:pPr>
        <w:jc w:val="center"/>
        <w:rPr>
          <w:rFonts w:cs="Times New Roman"/>
          <w:sz w:val="24"/>
          <w:szCs w:val="24"/>
        </w:rPr>
      </w:pPr>
      <w:r w:rsidRPr="00BC781C">
        <w:rPr>
          <w:rFonts w:cs="Times New Roman"/>
          <w:noProof/>
          <w:sz w:val="24"/>
          <w:szCs w:val="24"/>
          <w:lang w:eastAsia="sl-SI"/>
        </w:rPr>
        <mc:AlternateContent>
          <mc:Choice Requires="wps">
            <w:drawing>
              <wp:anchor distT="0" distB="0" distL="114300" distR="114300" simplePos="0" relativeHeight="251671552" behindDoc="0" locked="0" layoutInCell="1" allowOverlap="1" wp14:anchorId="3E8ABB44" wp14:editId="43B8973D">
                <wp:simplePos x="0" y="0"/>
                <wp:positionH relativeFrom="column">
                  <wp:posOffset>2608949</wp:posOffset>
                </wp:positionH>
                <wp:positionV relativeFrom="paragraph">
                  <wp:posOffset>6107503</wp:posOffset>
                </wp:positionV>
                <wp:extent cx="1020726" cy="140438"/>
                <wp:effectExtent l="0" t="19050" r="46355" b="31115"/>
                <wp:wrapNone/>
                <wp:docPr id="1555254603" name="Arrow: Right 11"/>
                <wp:cNvGraphicFramePr/>
                <a:graphic xmlns:a="http://schemas.openxmlformats.org/drawingml/2006/main">
                  <a:graphicData uri="http://schemas.microsoft.com/office/word/2010/wordprocessingShape">
                    <wps:wsp>
                      <wps:cNvSpPr/>
                      <wps:spPr>
                        <a:xfrm flipV="1">
                          <a:off x="0" y="0"/>
                          <a:ext cx="1020726" cy="14043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33354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205.45pt;margin-top:480.9pt;width:80.35pt;height:11.05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" adj="20114" fillcolor="#156082 [3204]" strokecolor="#030e13 [484]" strokeweight="1pt"/>
            </w:pict>
          </mc:Fallback>
        </mc:AlternateContent>
      </w:r>
      <w:r w:rsidRPr="00BC781C">
        <w:rPr>
          <w:rFonts w:cs="Times New Roman"/>
          <w:noProof/>
          <w:sz w:val="24"/>
          <w:szCs w:val="24"/>
          <w:lang w:eastAsia="sl-SI"/>
        </w:rPr>
        <mc:AlternateContent>
          <mc:Choice Requires="wps">
            <w:drawing>
              <wp:anchor distT="0" distB="0" distL="114300" distR="114300" simplePos="0" relativeHeight="251666432" behindDoc="0" locked="0" layoutInCell="1" allowOverlap="1" wp14:anchorId="4BC42FC5" wp14:editId="615E0826">
                <wp:simplePos x="0" y="0"/>
                <wp:positionH relativeFrom="column">
                  <wp:posOffset>-86404</wp:posOffset>
                </wp:positionH>
                <wp:positionV relativeFrom="paragraph">
                  <wp:posOffset>5806691</wp:posOffset>
                </wp:positionV>
                <wp:extent cx="2684145" cy="760228"/>
                <wp:effectExtent l="0" t="0" r="8255" b="14605"/>
                <wp:wrapNone/>
                <wp:docPr id="585993322" name="Text Box 6"/>
                <wp:cNvGraphicFramePr/>
                <a:graphic xmlns:a="http://schemas.openxmlformats.org/drawingml/2006/main">
                  <a:graphicData uri="http://schemas.microsoft.com/office/word/2010/wordprocessingShape">
                    <wps:wsp>
                      <wps:cNvSpPr txBox="1"/>
                      <wps:spPr>
                        <a:xfrm>
                          <a:off x="0" y="0"/>
                          <a:ext cx="2684145" cy="760228"/>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0B9B477A" w14:textId="77777777" w:rsidR="009776DF" w:rsidRPr="00B34DF6" w:rsidRDefault="009776DF" w:rsidP="00B85FC9">
                            <w:pPr>
                              <w:rPr>
                                <w:sz w:val="20"/>
                                <w:szCs w:val="20"/>
                              </w:rPr>
                            </w:pPr>
                            <w:r>
                              <w:rPr>
                                <w:sz w:val="20"/>
                                <w:szCs w:val="20"/>
                              </w:rPr>
                              <w:t>Opcija 1: prilagodi interno politiko tako da se izravna kompromise in sinergije z obstoječimi ukrepi oziroma tako, da se znatneje poveča prispevek k NSTR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shape w14:anchorId="4BC42FC5" id="Text Box 6" o:spid="_x0000_s1027" type="#_x0000_t202" style="position:absolute;left:0;text-align:left;margin-left:-6.8pt;margin-top:457.2pt;width:211.35pt;height:59.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" fillcolor="#f09f76 [2165]" strokecolor="#e97132 [3205]" strokeweight=".5pt">
                <v:fill color2="#ed8b59 [2613]" rotate="t" colors="0 #f5b8a4;.5 #f2ab96;1 #f59e81" focus="100%" type="gradient">
                  <o:fill v:ext="view" type="gradientUnscaled"/>
                </v:fill>
                <v:textbox>
                  <w:txbxContent>
                    <w:p w14:paraId="0B9B477A" w14:textId="77777777" w:rsidR="009776DF" w:rsidRPr="00B34DF6" w:rsidRDefault="009776DF" w:rsidP="00B85FC9">
                      <w:pPr>
                        <w:rPr>
                          <w:sz w:val="20"/>
                          <w:szCs w:val="20"/>
                        </w:rPr>
                      </w:pPr>
                      <w:r>
                        <w:rPr>
                          <w:sz w:val="20"/>
                          <w:szCs w:val="20"/>
                        </w:rPr>
                        <w:t>Opcija 1: prilagodi interno politiko tako da se izravna kompromise in sinergije z obstoječimi ukrepi oziroma tako, da se znatneje poveča prispevek k NSTR</w:t>
                      </w:r>
                    </w:p>
                  </w:txbxContent>
                </v:textbox>
              </v:shape>
            </w:pict>
          </mc:Fallback>
        </mc:AlternateContent>
      </w:r>
      <w:r w:rsidRPr="00BC781C">
        <w:rPr>
          <w:rFonts w:cs="Times New Roman"/>
          <w:noProof/>
          <w:sz w:val="24"/>
          <w:szCs w:val="24"/>
          <w:lang w:eastAsia="sl-SI"/>
        </w:rPr>
        <mc:AlternateContent>
          <mc:Choice Requires="wps">
            <w:drawing>
              <wp:anchor distT="0" distB="0" distL="114300" distR="114300" simplePos="0" relativeHeight="251667456" behindDoc="0" locked="0" layoutInCell="1" allowOverlap="1" wp14:anchorId="1B70C707" wp14:editId="6F6B8121">
                <wp:simplePos x="0" y="0"/>
                <wp:positionH relativeFrom="column">
                  <wp:posOffset>3619042</wp:posOffset>
                </wp:positionH>
                <wp:positionV relativeFrom="paragraph">
                  <wp:posOffset>5875803</wp:posOffset>
                </wp:positionV>
                <wp:extent cx="1828800" cy="584790"/>
                <wp:effectExtent l="0" t="0" r="12700" b="12700"/>
                <wp:wrapNone/>
                <wp:docPr id="2070272523" name="Text Box 7"/>
                <wp:cNvGraphicFramePr/>
                <a:graphic xmlns:a="http://schemas.openxmlformats.org/drawingml/2006/main">
                  <a:graphicData uri="http://schemas.microsoft.com/office/word/2010/wordprocessingShape">
                    <wps:wsp>
                      <wps:cNvSpPr txBox="1"/>
                      <wps:spPr>
                        <a:xfrm>
                          <a:off x="0" y="0"/>
                          <a:ext cx="1828800" cy="58479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A3DD892" w14:textId="77777777" w:rsidR="009776DF" w:rsidRPr="00B34DF6" w:rsidRDefault="009776DF" w:rsidP="00B85FC9">
                            <w:r>
                              <w:t>Naslednji korak: sprejetje ukrepa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shape w14:anchorId="1B70C707" id="Text Box 7" o:spid="_x0000_s1028" type="#_x0000_t202" style="position:absolute;left:0;text-align:left;margin-left:284.95pt;margin-top:462.65pt;width:2in;height:4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" fillcolor="#f09f76 [2165]" strokecolor="#e97132 [3205]" strokeweight=".5pt">
                <v:fill color2="#ed8b59 [2613]" rotate="t" colors="0 #f5b8a4;.5 #f2ab96;1 #f59e81" focus="100%" type="gradient">
                  <o:fill v:ext="view" type="gradientUnscaled"/>
                </v:fill>
                <v:textbox>
                  <w:txbxContent>
                    <w:p w14:paraId="6A3DD892" w14:textId="77777777" w:rsidR="009776DF" w:rsidRPr="00B34DF6" w:rsidRDefault="009776DF" w:rsidP="00B85FC9">
                      <w:r>
                        <w:t>Naslednji korak: sprejetje ukrepa</w:t>
                      </w:r>
                    </w:p>
                  </w:txbxContent>
                </v:textbox>
              </v:shape>
            </w:pict>
          </mc:Fallback>
        </mc:AlternateContent>
      </w:r>
      <w:r w:rsidRPr="00BC781C">
        <w:rPr>
          <w:rFonts w:cs="Times New Roman"/>
          <w:noProof/>
          <w:sz w:val="24"/>
          <w:szCs w:val="24"/>
          <w:lang w:eastAsia="sl-SI"/>
        </w:rPr>
        <mc:AlternateContent>
          <mc:Choice Requires="wps">
            <w:drawing>
              <wp:anchor distT="45720" distB="45720" distL="114300" distR="114300" simplePos="0" relativeHeight="251661312" behindDoc="0" locked="0" layoutInCell="1" allowOverlap="1" wp14:anchorId="326DA309" wp14:editId="2F9297AA">
                <wp:simplePos x="0" y="0"/>
                <wp:positionH relativeFrom="column">
                  <wp:posOffset>1970169</wp:posOffset>
                </wp:positionH>
                <wp:positionV relativeFrom="paragraph">
                  <wp:posOffset>1559826</wp:posOffset>
                </wp:positionV>
                <wp:extent cx="1264920" cy="1404620"/>
                <wp:effectExtent l="0" t="0" r="5080" b="0"/>
                <wp:wrapSquare wrapText="bothSides"/>
                <wp:docPr id="767423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404620"/>
                        </a:xfrm>
                        <a:prstGeom prst="rect">
                          <a:avLst/>
                        </a:prstGeom>
                        <a:solidFill>
                          <a:schemeClr val="accent6"/>
                        </a:solidFill>
                        <a:ln w="9525">
                          <a:noFill/>
                          <a:miter lim="800000"/>
                          <a:headEnd/>
                          <a:tailEnd/>
                        </a:ln>
                      </wps:spPr>
                      <wps:txbx>
                        <w:txbxContent>
                          <w:p w14:paraId="72639B33" w14:textId="77777777" w:rsidR="009776DF" w:rsidRPr="00671B29" w:rsidRDefault="009776DF" w:rsidP="00306B06">
                            <w:pPr>
                              <w:jc w:val="center"/>
                              <w:rPr>
                                <w:b/>
                                <w:bCs/>
                              </w:rPr>
                            </w:pPr>
                            <w:r>
                              <w:rPr>
                                <w:b/>
                                <w:bCs/>
                              </w:rPr>
                              <w:t>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w:pict>
              <v:shape w14:anchorId="326DA309" id="_x0000_s1029" type="#_x0000_t202" style="position:absolute;left:0;text-align:left;margin-left:155.15pt;margin-top:122.8pt;width:99.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" fillcolor="#4ea72e [3209]" stroked="f">
                <v:textbox style="mso-fit-shape-to-text:t">
                  <w:txbxContent>
                    <w:p w14:paraId="72639B33" w14:textId="77777777" w:rsidR="009776DF" w:rsidRPr="00671B29" w:rsidRDefault="009776DF" w:rsidP="00306B06">
                      <w:pPr>
                        <w:jc w:val="center"/>
                        <w:rPr>
                          <w:b/>
                          <w:bCs/>
                        </w:rPr>
                      </w:pPr>
                      <w:r>
                        <w:rPr>
                          <w:b/>
                          <w:bCs/>
                        </w:rPr>
                        <w:t>DA</w:t>
                      </w:r>
                    </w:p>
                  </w:txbxContent>
                </v:textbox>
                <w10:wrap type="square"/>
              </v:shape>
            </w:pict>
          </mc:Fallback>
        </mc:AlternateContent>
      </w:r>
      <w:r w:rsidRPr="00BC781C">
        <w:rPr>
          <w:rFonts w:cs="Times New Roman"/>
          <w:noProof/>
          <w:sz w:val="24"/>
          <w:szCs w:val="24"/>
          <w:lang w:eastAsia="sl-SI"/>
        </w:rPr>
        <mc:AlternateContent>
          <mc:Choice Requires="wps">
            <w:drawing>
              <wp:anchor distT="0" distB="0" distL="114300" distR="114300" simplePos="0" relativeHeight="251663360" behindDoc="0" locked="0" layoutInCell="1" allowOverlap="1" wp14:anchorId="2F3D9C9B" wp14:editId="69ADBC19">
                <wp:simplePos x="0" y="0"/>
                <wp:positionH relativeFrom="column">
                  <wp:posOffset>4235731</wp:posOffset>
                </wp:positionH>
                <wp:positionV relativeFrom="paragraph">
                  <wp:posOffset>663634</wp:posOffset>
                </wp:positionV>
                <wp:extent cx="483781" cy="156387"/>
                <wp:effectExtent l="0" t="19050" r="31115" b="34290"/>
                <wp:wrapNone/>
                <wp:docPr id="138778122" name="Arrow: Right 3"/>
                <wp:cNvGraphicFramePr/>
                <a:graphic xmlns:a="http://schemas.openxmlformats.org/drawingml/2006/main">
                  <a:graphicData uri="http://schemas.microsoft.com/office/word/2010/wordprocessingShape">
                    <wps:wsp>
                      <wps:cNvSpPr/>
                      <wps:spPr>
                        <a:xfrm>
                          <a:off x="0" y="0"/>
                          <a:ext cx="483781" cy="15638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A6740E5" id="Arrow: Right 3" o:spid="_x0000_s1026" type="#_x0000_t13" style="position:absolute;margin-left:333.5pt;margin-top:52.25pt;width:38.1pt;height:12.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" adj="18109" fillcolor="#156082 [3204]" strokecolor="#030e13 [484]" strokeweight="1pt"/>
            </w:pict>
          </mc:Fallback>
        </mc:AlternateContent>
      </w:r>
      <w:r w:rsidRPr="00BC781C">
        <w:rPr>
          <w:rFonts w:cs="Times New Roman"/>
          <w:noProof/>
          <w:sz w:val="24"/>
          <w:szCs w:val="24"/>
          <w:lang w:eastAsia="sl-SI"/>
        </w:rPr>
        <mc:AlternateContent>
          <mc:Choice Requires="wps">
            <w:drawing>
              <wp:anchor distT="0" distB="0" distL="114300" distR="114300" simplePos="0" relativeHeight="251660288" behindDoc="0" locked="0" layoutInCell="1" allowOverlap="1" wp14:anchorId="49160A76" wp14:editId="6D9C229D">
                <wp:simplePos x="0" y="0"/>
                <wp:positionH relativeFrom="column">
                  <wp:posOffset>2447039</wp:posOffset>
                </wp:positionH>
                <wp:positionV relativeFrom="paragraph">
                  <wp:posOffset>1080209</wp:posOffset>
                </wp:positionV>
                <wp:extent cx="347773" cy="478465"/>
                <wp:effectExtent l="19050" t="0" r="33655" b="36195"/>
                <wp:wrapNone/>
                <wp:docPr id="1867469958" name="Arrow: Down 2"/>
                <wp:cNvGraphicFramePr/>
                <a:graphic xmlns:a="http://schemas.openxmlformats.org/drawingml/2006/main">
                  <a:graphicData uri="http://schemas.microsoft.com/office/word/2010/wordprocessingShape">
                    <wps:wsp>
                      <wps:cNvSpPr/>
                      <wps:spPr>
                        <a:xfrm>
                          <a:off x="0" y="0"/>
                          <a:ext cx="347773" cy="47846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107F6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92.7pt;margin-top:85.05pt;width:27.4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" adj="13750" fillcolor="#156082 [3204]" strokecolor="#030e13 [484]" strokeweight="1pt"/>
            </w:pict>
          </mc:Fallback>
        </mc:AlternateContent>
      </w:r>
    </w:p>
    <w:p w14:paraId="6EAD62D7" w14:textId="40B0D010" w:rsidR="00DA2FF3" w:rsidRPr="00BC781C" w:rsidRDefault="00306B06" w:rsidP="004461CA">
      <w:pPr>
        <w:shd w:val="clear" w:color="auto" w:fill="FFFFFF"/>
        <w:spacing w:before="240" w:after="240" w:line="276" w:lineRule="auto"/>
        <w:rPr>
          <w:rFonts w:eastAsia="Arial" w:cs="Times New Roman"/>
          <w:sz w:val="24"/>
          <w:szCs w:val="24"/>
        </w:rPr>
      </w:pPr>
      <w:r w:rsidRPr="00BC781C">
        <w:rPr>
          <w:rFonts w:cs="Times New Roman"/>
          <w:noProof/>
          <w:sz w:val="24"/>
          <w:szCs w:val="24"/>
          <w:lang w:eastAsia="sl-SI"/>
        </w:rPr>
        <mc:AlternateContent>
          <mc:Choice Requires="wps">
            <w:drawing>
              <wp:anchor distT="45720" distB="45720" distL="114300" distR="114300" simplePos="0" relativeHeight="251662336" behindDoc="0" locked="0" layoutInCell="1" allowOverlap="1" wp14:anchorId="19E8C165" wp14:editId="63738263">
                <wp:simplePos x="0" y="0"/>
                <wp:positionH relativeFrom="margin">
                  <wp:posOffset>4711065</wp:posOffset>
                </wp:positionH>
                <wp:positionV relativeFrom="paragraph">
                  <wp:posOffset>194945</wp:posOffset>
                </wp:positionV>
                <wp:extent cx="1222375" cy="1093470"/>
                <wp:effectExtent l="0" t="0" r="9525" b="11430"/>
                <wp:wrapSquare wrapText="bothSides"/>
                <wp:docPr id="329366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22375" cy="109347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7D4005BC" w14:textId="77777777" w:rsidR="009776DF" w:rsidRDefault="009776DF" w:rsidP="00B85FC9">
                            <w:r>
                              <w:t>Če NE:</w:t>
                            </w:r>
                          </w:p>
                          <w:p w14:paraId="1C28EEAA" w14:textId="77777777" w:rsidR="009776DF" w:rsidRDefault="009776DF" w:rsidP="00B85FC9">
                            <w:pPr>
                              <w:spacing w:line="240" w:lineRule="auto"/>
                            </w:pPr>
                            <w:r w:rsidRPr="00671B29">
                              <w:rPr>
                                <w:sz w:val="20"/>
                                <w:szCs w:val="20"/>
                              </w:rPr>
                              <w:t xml:space="preserve">Če ukrep ne prispeva k katerikoli strateški </w:t>
                            </w:r>
                            <w:r w:rsidRPr="00432429">
                              <w:rPr>
                                <w:sz w:val="20"/>
                                <w:szCs w:val="20"/>
                              </w:rPr>
                              <w:t>prioriteti NSTR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9E8C165" id="_x0000_s1030" type="#_x0000_t202" style="position:absolute;left:0;text-align:left;margin-left:370.95pt;margin-top:15.35pt;width:96.25pt;height:86.1pt;flip:x;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" fillcolor="#f09f76 [2165]" strokecolor="#e97132 [3205]" strokeweight=".5pt">
                <v:fill color2="#ed8b59 [2613]" rotate="t" colors="0 #f5b8a4;.5 #f2ab96;1 #f59e81" focus="100%" type="gradient">
                  <o:fill v:ext="view" type="gradientUnscaled"/>
                </v:fill>
                <v:textbox>
                  <w:txbxContent>
                    <w:p w14:paraId="7D4005BC" w14:textId="77777777" w:rsidR="009776DF" w:rsidRDefault="009776DF" w:rsidP="00B85FC9">
                      <w:r>
                        <w:t>Če NE:</w:t>
                      </w:r>
                    </w:p>
                    <w:p w14:paraId="1C28EEAA" w14:textId="77777777" w:rsidR="009776DF" w:rsidRDefault="009776DF" w:rsidP="00B85FC9">
                      <w:pPr>
                        <w:spacing w:line="240" w:lineRule="auto"/>
                      </w:pPr>
                      <w:r w:rsidRPr="00671B29">
                        <w:rPr>
                          <w:sz w:val="20"/>
                          <w:szCs w:val="20"/>
                        </w:rPr>
                        <w:t xml:space="preserve">Če ukrep ne prispeva k katerikoli strateški </w:t>
                      </w:r>
                      <w:r w:rsidRPr="00432429">
                        <w:rPr>
                          <w:sz w:val="20"/>
                          <w:szCs w:val="20"/>
                        </w:rPr>
                        <w:t>prioriteti NSTR</w:t>
                      </w:r>
                    </w:p>
                  </w:txbxContent>
                </v:textbox>
                <w10:wrap type="square" anchorx="margin"/>
              </v:shape>
            </w:pict>
          </mc:Fallback>
        </mc:AlternateContent>
      </w:r>
    </w:p>
    <w:p w14:paraId="0DAA4554" w14:textId="44019B5C" w:rsidR="007D556E" w:rsidRPr="00BC781C" w:rsidRDefault="00B85FC9" w:rsidP="004461CA">
      <w:pPr>
        <w:shd w:val="clear" w:color="auto" w:fill="FFFFFF"/>
        <w:spacing w:before="240" w:after="240" w:line="276" w:lineRule="auto"/>
        <w:rPr>
          <w:rFonts w:eastAsia="Arial" w:cs="Times New Roman"/>
          <w:sz w:val="24"/>
          <w:szCs w:val="24"/>
        </w:rPr>
      </w:pPr>
      <w:r w:rsidRPr="00BC781C">
        <w:rPr>
          <w:rFonts w:cs="Times New Roman"/>
          <w:noProof/>
          <w:sz w:val="24"/>
          <w:szCs w:val="24"/>
          <w:lang w:eastAsia="sl-SI"/>
        </w:rPr>
        <mc:AlternateContent>
          <mc:Choice Requires="wps">
            <w:drawing>
              <wp:anchor distT="0" distB="0" distL="114300" distR="114300" simplePos="0" relativeHeight="251670528" behindDoc="0" locked="0" layoutInCell="1" allowOverlap="1" wp14:anchorId="6C09035F" wp14:editId="56740CC5">
                <wp:simplePos x="0" y="0"/>
                <wp:positionH relativeFrom="column">
                  <wp:posOffset>4729032</wp:posOffset>
                </wp:positionH>
                <wp:positionV relativeFrom="paragraph">
                  <wp:posOffset>6313693</wp:posOffset>
                </wp:positionV>
                <wp:extent cx="1148316" cy="1025939"/>
                <wp:effectExtent l="0" t="0" r="13970" b="22225"/>
                <wp:wrapNone/>
                <wp:docPr id="2033753230" name="Text Box 10"/>
                <wp:cNvGraphicFramePr/>
                <a:graphic xmlns:a="http://schemas.openxmlformats.org/drawingml/2006/main">
                  <a:graphicData uri="http://schemas.microsoft.com/office/word/2010/wordprocessingShape">
                    <wps:wsp>
                      <wps:cNvSpPr txBox="1"/>
                      <wps:spPr>
                        <a:xfrm>
                          <a:off x="0" y="0"/>
                          <a:ext cx="1148316" cy="1025939"/>
                        </a:xfrm>
                        <a:prstGeom prst="rect">
                          <a:avLst/>
                        </a:prstGeom>
                        <a:solidFill>
                          <a:schemeClr val="lt1"/>
                        </a:solidFill>
                        <a:ln w="6350">
                          <a:solidFill>
                            <a:prstClr val="black"/>
                          </a:solidFill>
                        </a:ln>
                      </wps:spPr>
                      <wps:txbx>
                        <w:txbxContent>
                          <w:p w14:paraId="310D8D2A" w14:textId="77777777" w:rsidR="009776DF" w:rsidRPr="00F04521" w:rsidRDefault="009776DF" w:rsidP="009776DF">
                            <w:pPr>
                              <w:rPr>
                                <w:sz w:val="20"/>
                                <w:szCs w:val="20"/>
                              </w:rPr>
                            </w:pPr>
                            <w:r>
                              <w:rPr>
                                <w:sz w:val="20"/>
                                <w:szCs w:val="20"/>
                              </w:rPr>
                              <w:t>Ukrep je odobren s priloženim obrazcem o skladnosti politike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shape w14:anchorId="6C09035F" id="Text Box 10" o:spid="_x0000_s1031" type="#_x0000_t202" style="position:absolute;left:0;text-align:left;margin-left:372.35pt;margin-top:497.15pt;width:90.4pt;height:80.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InPQIAAIQ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" fillcolor="white [3201]" strokeweight=".5pt">
                <v:textbox>
                  <w:txbxContent>
                    <w:p w14:paraId="310D8D2A" w14:textId="77777777" w:rsidR="009776DF" w:rsidRPr="00F04521" w:rsidRDefault="009776DF" w:rsidP="009776DF">
                      <w:pPr>
                        <w:rPr>
                          <w:sz w:val="20"/>
                          <w:szCs w:val="20"/>
                        </w:rPr>
                      </w:pPr>
                      <w:r>
                        <w:rPr>
                          <w:sz w:val="20"/>
                          <w:szCs w:val="20"/>
                        </w:rPr>
                        <w:t>Ukrep je odobren s priloženim obrazcem o skladnosti politike</w:t>
                      </w:r>
                    </w:p>
                  </w:txbxContent>
                </v:textbox>
              </v:shape>
            </w:pict>
          </mc:Fallback>
        </mc:AlternateContent>
      </w:r>
      <w:r w:rsidRPr="00BC781C">
        <w:rPr>
          <w:rFonts w:cs="Times New Roman"/>
          <w:noProof/>
          <w:sz w:val="24"/>
          <w:szCs w:val="24"/>
          <w:lang w:eastAsia="sl-SI"/>
        </w:rPr>
        <mc:AlternateContent>
          <mc:Choice Requires="wps">
            <w:drawing>
              <wp:anchor distT="0" distB="0" distL="114300" distR="114300" simplePos="0" relativeHeight="251673600" behindDoc="0" locked="0" layoutInCell="1" allowOverlap="1" wp14:anchorId="3CB28CC5" wp14:editId="2D2983A6">
                <wp:simplePos x="0" y="0"/>
                <wp:positionH relativeFrom="column">
                  <wp:posOffset>4352738</wp:posOffset>
                </wp:positionH>
                <wp:positionV relativeFrom="paragraph">
                  <wp:posOffset>6663653</wp:posOffset>
                </wp:positionV>
                <wp:extent cx="377456" cy="81959"/>
                <wp:effectExtent l="0" t="19050" r="41910" b="32385"/>
                <wp:wrapNone/>
                <wp:docPr id="819043643" name="Arrow: Right 13"/>
                <wp:cNvGraphicFramePr/>
                <a:graphic xmlns:a="http://schemas.openxmlformats.org/drawingml/2006/main">
                  <a:graphicData uri="http://schemas.microsoft.com/office/word/2010/wordprocessingShape">
                    <wps:wsp>
                      <wps:cNvSpPr/>
                      <wps:spPr>
                        <a:xfrm>
                          <a:off x="0" y="0"/>
                          <a:ext cx="377456" cy="8195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24272A" id="Arrow: Right 13" o:spid="_x0000_s1026" type="#_x0000_t13" style="position:absolute;margin-left:342.75pt;margin-top:524.7pt;width:29.7pt;height:6.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" adj="19255" fillcolor="#156082 [3204]" strokecolor="#030e13 [484]" strokeweight="1pt"/>
            </w:pict>
          </mc:Fallback>
        </mc:AlternateContent>
      </w:r>
      <w:r w:rsidRPr="00BC781C">
        <w:rPr>
          <w:rFonts w:cs="Times New Roman"/>
          <w:noProof/>
          <w:sz w:val="24"/>
          <w:szCs w:val="24"/>
          <w:lang w:eastAsia="sl-SI"/>
        </w:rPr>
        <mc:AlternateContent>
          <mc:Choice Requires="wps">
            <w:drawing>
              <wp:anchor distT="0" distB="0" distL="114300" distR="114300" simplePos="0" relativeHeight="251669504" behindDoc="0" locked="0" layoutInCell="1" allowOverlap="1" wp14:anchorId="31CD1871" wp14:editId="0A45BB57">
                <wp:simplePos x="0" y="0"/>
                <wp:positionH relativeFrom="column">
                  <wp:posOffset>2249581</wp:posOffset>
                </wp:positionH>
                <wp:positionV relativeFrom="paragraph">
                  <wp:posOffset>6319221</wp:posOffset>
                </wp:positionV>
                <wp:extent cx="2105247" cy="1073889"/>
                <wp:effectExtent l="0" t="0" r="15875" b="18415"/>
                <wp:wrapNone/>
                <wp:docPr id="437430439" name="Text Box 9"/>
                <wp:cNvGraphicFramePr/>
                <a:graphic xmlns:a="http://schemas.openxmlformats.org/drawingml/2006/main">
                  <a:graphicData uri="http://schemas.microsoft.com/office/word/2010/wordprocessingShape">
                    <wps:wsp>
                      <wps:cNvSpPr txBox="1"/>
                      <wps:spPr>
                        <a:xfrm>
                          <a:off x="0" y="0"/>
                          <a:ext cx="2105247" cy="1073889"/>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00FD6E39" w14:textId="77777777" w:rsidR="009776DF" w:rsidRPr="00B34DF6" w:rsidRDefault="009776DF" w:rsidP="00B85FC9">
                            <w:pPr>
                              <w:rPr>
                                <w:sz w:val="20"/>
                                <w:szCs w:val="20"/>
                              </w:rPr>
                            </w:pPr>
                            <w:r w:rsidRPr="00B34DF6">
                              <w:rPr>
                                <w:sz w:val="20"/>
                                <w:szCs w:val="20"/>
                              </w:rPr>
                              <w:t>Naslednji ukrep: začne se med-ministrsko usklajevanje kako izboljšati odnos med predlagano politiko in potencialn</w:t>
                            </w:r>
                            <w:r>
                              <w:rPr>
                                <w:sz w:val="20"/>
                                <w:szCs w:val="20"/>
                              </w:rPr>
                              <w:t>imi</w:t>
                            </w:r>
                            <w:r w:rsidRPr="00B34DF6">
                              <w:rPr>
                                <w:sz w:val="20"/>
                                <w:szCs w:val="20"/>
                              </w:rPr>
                              <w:t xml:space="preserve"> čez-sektorsk</w:t>
                            </w:r>
                            <w:r>
                              <w:rPr>
                                <w:sz w:val="20"/>
                                <w:szCs w:val="20"/>
                              </w:rPr>
                              <w:t>imi ukrepi ali mitigacijsko stretegijo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1CD1871" id="Text Box 9" o:spid="_x0000_s1032" type="#_x0000_t202" style="position:absolute;left:0;text-align:left;margin-left:177.15pt;margin-top:497.6pt;width:165.75pt;height:8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" fillcolor="#f09f76 [2165]" strokecolor="#e97132 [3205]" strokeweight=".5pt">
                <v:fill color2="#ed8b59 [2613]" rotate="t" colors="0 #f5b8a4;.5 #f2ab96;1 #f59e81" focus="100%" type="gradient">
                  <o:fill v:ext="view" type="gradientUnscaled"/>
                </v:fill>
                <v:textbox>
                  <w:txbxContent>
                    <w:p w14:paraId="00FD6E39" w14:textId="77777777" w:rsidR="009776DF" w:rsidRPr="00B34DF6" w:rsidRDefault="009776DF" w:rsidP="00B85FC9">
                      <w:pPr>
                        <w:rPr>
                          <w:sz w:val="20"/>
                          <w:szCs w:val="20"/>
                        </w:rPr>
                      </w:pPr>
                      <w:r w:rsidRPr="00B34DF6">
                        <w:rPr>
                          <w:sz w:val="20"/>
                          <w:szCs w:val="20"/>
                        </w:rPr>
                        <w:t>Naslednji ukrep: začne se med-ministrsko usklajevanje kako izboljšati odnos med predlagano politiko in potencialn</w:t>
                      </w:r>
                      <w:r>
                        <w:rPr>
                          <w:sz w:val="20"/>
                          <w:szCs w:val="20"/>
                        </w:rPr>
                        <w:t>imi</w:t>
                      </w:r>
                      <w:r w:rsidRPr="00B34DF6">
                        <w:rPr>
                          <w:sz w:val="20"/>
                          <w:szCs w:val="20"/>
                        </w:rPr>
                        <w:t xml:space="preserve"> čez-sektorsk</w:t>
                      </w:r>
                      <w:r>
                        <w:rPr>
                          <w:sz w:val="20"/>
                          <w:szCs w:val="20"/>
                        </w:rPr>
                        <w:t>imi ukrepi ali mitigacijsko stretegijo</w:t>
                      </w:r>
                    </w:p>
                  </w:txbxContent>
                </v:textbox>
              </v:shape>
            </w:pict>
          </mc:Fallback>
        </mc:AlternateContent>
      </w:r>
      <w:r w:rsidRPr="00BC781C">
        <w:rPr>
          <w:rFonts w:cs="Times New Roman"/>
          <w:noProof/>
          <w:sz w:val="24"/>
          <w:szCs w:val="24"/>
          <w:lang w:eastAsia="sl-SI"/>
        </w:rPr>
        <mc:AlternateContent>
          <mc:Choice Requires="wps">
            <w:drawing>
              <wp:anchor distT="0" distB="0" distL="114300" distR="114300" simplePos="0" relativeHeight="251672576" behindDoc="0" locked="0" layoutInCell="1" allowOverlap="1" wp14:anchorId="2EDC70D6" wp14:editId="30309EBF">
                <wp:simplePos x="0" y="0"/>
                <wp:positionH relativeFrom="column">
                  <wp:posOffset>2034503</wp:posOffset>
                </wp:positionH>
                <wp:positionV relativeFrom="paragraph">
                  <wp:posOffset>6601086</wp:posOffset>
                </wp:positionV>
                <wp:extent cx="217968" cy="138563"/>
                <wp:effectExtent l="0" t="19050" r="29845" b="33020"/>
                <wp:wrapNone/>
                <wp:docPr id="690757132" name="Arrow: Right 12"/>
                <wp:cNvGraphicFramePr/>
                <a:graphic xmlns:a="http://schemas.openxmlformats.org/drawingml/2006/main">
                  <a:graphicData uri="http://schemas.microsoft.com/office/word/2010/wordprocessingShape">
                    <wps:wsp>
                      <wps:cNvSpPr/>
                      <wps:spPr>
                        <a:xfrm>
                          <a:off x="0" y="0"/>
                          <a:ext cx="217968" cy="13856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F369D0F" id="Arrow: Right 12" o:spid="_x0000_s1026" type="#_x0000_t13" style="position:absolute;margin-left:160.2pt;margin-top:519.75pt;width:17.15pt;height:10.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" adj="14734" fillcolor="#156082 [3204]" strokecolor="#030e13 [484]" strokeweight="1pt"/>
            </w:pict>
          </mc:Fallback>
        </mc:AlternateContent>
      </w:r>
      <w:r w:rsidRPr="00BC781C">
        <w:rPr>
          <w:rFonts w:cs="Times New Roman"/>
          <w:noProof/>
          <w:sz w:val="24"/>
          <w:szCs w:val="24"/>
          <w:lang w:eastAsia="sl-SI"/>
        </w:rPr>
        <mc:AlternateContent>
          <mc:Choice Requires="wps">
            <w:drawing>
              <wp:anchor distT="0" distB="0" distL="114300" distR="114300" simplePos="0" relativeHeight="251668480" behindDoc="0" locked="0" layoutInCell="1" allowOverlap="1" wp14:anchorId="284E31D8" wp14:editId="5446CA52">
                <wp:simplePos x="0" y="0"/>
                <wp:positionH relativeFrom="column">
                  <wp:posOffset>-66712</wp:posOffset>
                </wp:positionH>
                <wp:positionV relativeFrom="paragraph">
                  <wp:posOffset>6315598</wp:posOffset>
                </wp:positionV>
                <wp:extent cx="2097741" cy="653415"/>
                <wp:effectExtent l="0" t="0" r="10795" b="6985"/>
                <wp:wrapNone/>
                <wp:docPr id="877677287" name="Text Box 8"/>
                <wp:cNvGraphicFramePr/>
                <a:graphic xmlns:a="http://schemas.openxmlformats.org/drawingml/2006/main">
                  <a:graphicData uri="http://schemas.microsoft.com/office/word/2010/wordprocessingShape">
                    <wps:wsp>
                      <wps:cNvSpPr txBox="1"/>
                      <wps:spPr>
                        <a:xfrm>
                          <a:off x="0" y="0"/>
                          <a:ext cx="2097741" cy="65341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474AEA1F" w14:textId="77777777" w:rsidR="009776DF" w:rsidRPr="00B34DF6" w:rsidRDefault="009776DF" w:rsidP="00B85FC9">
                            <w:pPr>
                              <w:rPr>
                                <w:sz w:val="20"/>
                                <w:szCs w:val="20"/>
                              </w:rPr>
                            </w:pPr>
                            <w:r w:rsidRPr="00B34DF6">
                              <w:rPr>
                                <w:sz w:val="20"/>
                                <w:szCs w:val="20"/>
                              </w:rPr>
                              <w:t>Opcija 2</w:t>
                            </w:r>
                            <w:r>
                              <w:rPr>
                                <w:sz w:val="20"/>
                                <w:szCs w:val="20"/>
                              </w:rPr>
                              <w:t>: razprava v Laboratorijih priporoči razvoj medsektorskih ukrepov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w:pict>
              <v:shape w14:anchorId="284E31D8" id="Text Box 8" o:spid="_x0000_s1033" type="#_x0000_t202" style="position:absolute;left:0;text-align:left;margin-left:-5.25pt;margin-top:497.3pt;width:165.2pt;height:51.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" fillcolor="#f09f76 [2165]" strokecolor="#e97132 [3205]" strokeweight=".5pt">
                <v:fill color2="#ed8b59 [2613]" rotate="t" colors="0 #f5b8a4;.5 #f2ab96;1 #f59e81" focus="100%" type="gradient">
                  <o:fill v:ext="view" type="gradientUnscaled"/>
                </v:fill>
                <v:textbox>
                  <w:txbxContent>
                    <w:p w14:paraId="474AEA1F" w14:textId="77777777" w:rsidR="009776DF" w:rsidRPr="00B34DF6" w:rsidRDefault="009776DF" w:rsidP="00B85FC9">
                      <w:pPr>
                        <w:rPr>
                          <w:sz w:val="20"/>
                          <w:szCs w:val="20"/>
                        </w:rPr>
                      </w:pPr>
                      <w:r w:rsidRPr="00B34DF6">
                        <w:rPr>
                          <w:sz w:val="20"/>
                          <w:szCs w:val="20"/>
                        </w:rPr>
                        <w:t>Opcija 2</w:t>
                      </w:r>
                      <w:r>
                        <w:rPr>
                          <w:sz w:val="20"/>
                          <w:szCs w:val="20"/>
                        </w:rPr>
                        <w:t>: razprava v Laboratorijih priporoči razvoj medsektorskih ukrepov</w:t>
                      </w:r>
                    </w:p>
                  </w:txbxContent>
                </v:textbox>
              </v:shape>
            </w:pict>
          </mc:Fallback>
        </mc:AlternateContent>
      </w:r>
      <w:r w:rsidRPr="00BC781C">
        <w:rPr>
          <w:rFonts w:cs="Times New Roman"/>
          <w:noProof/>
          <w:sz w:val="24"/>
          <w:szCs w:val="24"/>
          <w:lang w:eastAsia="sl-SI"/>
        </w:rPr>
        <mc:AlternateContent>
          <mc:Choice Requires="wps">
            <w:drawing>
              <wp:anchor distT="0" distB="0" distL="114300" distR="114300" simplePos="0" relativeHeight="251664384" behindDoc="0" locked="0" layoutInCell="1" allowOverlap="1" wp14:anchorId="27B5A12B" wp14:editId="33DAE5B7">
                <wp:simplePos x="0" y="0"/>
                <wp:positionH relativeFrom="column">
                  <wp:posOffset>40864</wp:posOffset>
                </wp:positionH>
                <wp:positionV relativeFrom="paragraph">
                  <wp:posOffset>1546374</wp:posOffset>
                </wp:positionV>
                <wp:extent cx="1121410" cy="2764305"/>
                <wp:effectExtent l="0" t="0" r="8890" b="17145"/>
                <wp:wrapNone/>
                <wp:docPr id="1055920577" name="Text Box 4"/>
                <wp:cNvGraphicFramePr/>
                <a:graphic xmlns:a="http://schemas.openxmlformats.org/drawingml/2006/main">
                  <a:graphicData uri="http://schemas.microsoft.com/office/word/2010/wordprocessingShape">
                    <wps:wsp>
                      <wps:cNvSpPr txBox="1"/>
                      <wps:spPr>
                        <a:xfrm>
                          <a:off x="0" y="0"/>
                          <a:ext cx="1121410" cy="2764305"/>
                        </a:xfrm>
                        <a:prstGeom prst="rect">
                          <a:avLst/>
                        </a:prstGeom>
                        <a:solidFill>
                          <a:schemeClr val="lt1"/>
                        </a:solidFill>
                        <a:ln w="6350">
                          <a:solidFill>
                            <a:prstClr val="black"/>
                          </a:solidFill>
                        </a:ln>
                      </wps:spPr>
                      <wps:txbx>
                        <w:txbxContent>
                          <w:p w14:paraId="7C77EFA1" w14:textId="6BEEFE28" w:rsidR="009776DF" w:rsidRDefault="009776DF" w:rsidP="009776DF">
                            <w:pPr>
                              <w:rPr>
                                <w:sz w:val="20"/>
                                <w:szCs w:val="20"/>
                              </w:rPr>
                            </w:pPr>
                            <w:r>
                              <w:rPr>
                                <w:sz w:val="20"/>
                                <w:szCs w:val="20"/>
                              </w:rPr>
                              <w:t>PRIMER STRATEŠKE POLITIKE: DOSTOPNOST IN ENAKOST NA TRGU DELA</w:t>
                            </w:r>
                          </w:p>
                          <w:p w14:paraId="2030FAD0" w14:textId="77777777" w:rsidR="009776DF" w:rsidRPr="00293A05" w:rsidRDefault="009776DF" w:rsidP="009776DF">
                            <w:pPr>
                              <w:rPr>
                                <w:sz w:val="20"/>
                                <w:szCs w:val="20"/>
                              </w:rPr>
                            </w:pPr>
                            <w:r>
                              <w:rPr>
                                <w:sz w:val="20"/>
                                <w:szCs w:val="20"/>
                              </w:rPr>
                              <w:t xml:space="preserve">Primer ukrepa: spodbude in usposabljanja za prilagoditev znanj delavcev potrebam trga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shape w14:anchorId="27B5A12B" id="Text Box 4" o:spid="_x0000_s1034" type="#_x0000_t202" style="position:absolute;left:0;text-align:left;margin-left:3.2pt;margin-top:121.75pt;width:88.3pt;height:217.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" fillcolor="white [3201]" strokeweight=".5pt">
                <v:textbox>
                  <w:txbxContent>
                    <w:p w14:paraId="7C77EFA1" w14:textId="6BEEFE28" w:rsidR="009776DF" w:rsidRDefault="009776DF" w:rsidP="009776DF">
                      <w:pPr>
                        <w:rPr>
                          <w:sz w:val="20"/>
                          <w:szCs w:val="20"/>
                        </w:rPr>
                      </w:pPr>
                      <w:r>
                        <w:rPr>
                          <w:sz w:val="20"/>
                          <w:szCs w:val="20"/>
                        </w:rPr>
                        <w:t>PRIMER STRATEŠKE POLITIKE: DOSTOPNOST IN ENAKOST NA TRGU DELA</w:t>
                      </w:r>
                    </w:p>
                    <w:p w14:paraId="2030FAD0" w14:textId="77777777" w:rsidR="009776DF" w:rsidRPr="00293A05" w:rsidRDefault="009776DF" w:rsidP="009776DF">
                      <w:pPr>
                        <w:rPr>
                          <w:sz w:val="20"/>
                          <w:szCs w:val="20"/>
                        </w:rPr>
                      </w:pPr>
                      <w:r>
                        <w:rPr>
                          <w:sz w:val="20"/>
                          <w:szCs w:val="20"/>
                        </w:rPr>
                        <w:t xml:space="preserve">Primer ukrepa: spodbude in usposabljanja za prilagoditev znanj delavcev potrebam trga </w:t>
                      </w:r>
                    </w:p>
                  </w:txbxContent>
                </v:textbox>
              </v:shape>
            </w:pict>
          </mc:Fallback>
        </mc:AlternateContent>
      </w:r>
      <w:r w:rsidRPr="00BC781C">
        <w:rPr>
          <w:rFonts w:cs="Times New Roman"/>
          <w:noProof/>
          <w:sz w:val="24"/>
          <w:szCs w:val="24"/>
          <w:lang w:eastAsia="sl-SI"/>
        </w:rPr>
        <mc:AlternateContent>
          <mc:Choice Requires="wps">
            <w:drawing>
              <wp:anchor distT="0" distB="0" distL="114300" distR="114300" simplePos="0" relativeHeight="251665408" behindDoc="0" locked="0" layoutInCell="1" allowOverlap="1" wp14:anchorId="407C7691" wp14:editId="1257CA5A">
                <wp:simplePos x="0" y="0"/>
                <wp:positionH relativeFrom="column">
                  <wp:posOffset>1474470</wp:posOffset>
                </wp:positionH>
                <wp:positionV relativeFrom="paragraph">
                  <wp:posOffset>1549400</wp:posOffset>
                </wp:positionV>
                <wp:extent cx="3189767" cy="2785731"/>
                <wp:effectExtent l="0" t="0" r="10795" b="8890"/>
                <wp:wrapNone/>
                <wp:docPr id="1547949144" name="Text Box 5"/>
                <wp:cNvGraphicFramePr/>
                <a:graphic xmlns:a="http://schemas.openxmlformats.org/drawingml/2006/main">
                  <a:graphicData uri="http://schemas.microsoft.com/office/word/2010/wordprocessingShape">
                    <wps:wsp>
                      <wps:cNvSpPr txBox="1"/>
                      <wps:spPr>
                        <a:xfrm>
                          <a:off x="0" y="0"/>
                          <a:ext cx="3189767" cy="2785731"/>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A0CCC4C" w14:textId="77777777" w:rsidR="009776DF" w:rsidRDefault="009776DF" w:rsidP="00306B06">
                            <w:r>
                              <w:t>IZPOLNI OBRAZEC: PREGLED VSEH SEKTORSKIH UKREPOV NA PODRČJU KONKRETNE POLITIKE</w:t>
                            </w:r>
                          </w:p>
                          <w:p w14:paraId="38065C85" w14:textId="77777777" w:rsidR="009776DF" w:rsidRPr="00080C04" w:rsidRDefault="009776DF" w:rsidP="002F6496">
                            <w:pPr>
                              <w:pStyle w:val="ListParagraph"/>
                              <w:numPr>
                                <w:ilvl w:val="0"/>
                                <w:numId w:val="33"/>
                              </w:numPr>
                              <w:rPr>
                                <w:sz w:val="20"/>
                                <w:szCs w:val="20"/>
                              </w:rPr>
                            </w:pPr>
                            <w:r w:rsidRPr="00080C04">
                              <w:rPr>
                                <w:sz w:val="20"/>
                                <w:szCs w:val="20"/>
                              </w:rPr>
                              <w:t>Katere so pozitivne povezave ali kompromisi: ali načrtovana politika/ ukrep prispeva pozitivno/ negativno k ciljem že obstoječih ukrepov? Kakšne so povezave s kazalci pri drugih strateških izbirah, kakšni so prek</w:t>
                            </w:r>
                            <w:r>
                              <w:rPr>
                                <w:sz w:val="20"/>
                                <w:szCs w:val="20"/>
                              </w:rPr>
                              <w:t>-</w:t>
                            </w:r>
                            <w:r w:rsidRPr="00080C04">
                              <w:rPr>
                                <w:sz w:val="20"/>
                                <w:szCs w:val="20"/>
                              </w:rPr>
                              <w:t>mejni učinki?</w:t>
                            </w:r>
                          </w:p>
                          <w:p w14:paraId="67183D25" w14:textId="77777777" w:rsidR="009776DF" w:rsidRPr="00080C04" w:rsidRDefault="009776DF" w:rsidP="002F6496">
                            <w:pPr>
                              <w:pStyle w:val="ListParagraph"/>
                              <w:numPr>
                                <w:ilvl w:val="0"/>
                                <w:numId w:val="33"/>
                              </w:numPr>
                              <w:rPr>
                                <w:sz w:val="20"/>
                                <w:szCs w:val="20"/>
                              </w:rPr>
                            </w:pPr>
                            <w:r w:rsidRPr="00080C04">
                              <w:rPr>
                                <w:sz w:val="20"/>
                                <w:szCs w:val="20"/>
                              </w:rPr>
                              <w:t>Skladnost s šestimi »ne povzročaj škode« okoljskimi principi</w:t>
                            </w:r>
                          </w:p>
                          <w:p w14:paraId="27EEA4B0" w14:textId="77777777" w:rsidR="009776DF" w:rsidRPr="00080C04" w:rsidRDefault="009776DF" w:rsidP="002F6496">
                            <w:pPr>
                              <w:pStyle w:val="ListParagraph"/>
                              <w:numPr>
                                <w:ilvl w:val="0"/>
                                <w:numId w:val="33"/>
                              </w:numPr>
                              <w:rPr>
                                <w:sz w:val="20"/>
                                <w:szCs w:val="20"/>
                              </w:rPr>
                            </w:pPr>
                            <w:r w:rsidRPr="00080C04">
                              <w:rPr>
                                <w:sz w:val="20"/>
                                <w:szCs w:val="20"/>
                              </w:rPr>
                              <w:t>Opredeli finančne ukrepe za prispevek k CTR kazalcem</w:t>
                            </w:r>
                          </w:p>
                          <w:p w14:paraId="0930AB2A" w14:textId="77777777" w:rsidR="009776DF" w:rsidRPr="00080C04" w:rsidRDefault="009776DF" w:rsidP="002F6496">
                            <w:pPr>
                              <w:pStyle w:val="ListParagraph"/>
                              <w:numPr>
                                <w:ilvl w:val="0"/>
                                <w:numId w:val="33"/>
                              </w:numPr>
                              <w:rPr>
                                <w:sz w:val="20"/>
                                <w:szCs w:val="20"/>
                              </w:rPr>
                            </w:pPr>
                            <w:r w:rsidRPr="00080C04">
                              <w:rPr>
                                <w:sz w:val="20"/>
                                <w:szCs w:val="20"/>
                              </w:rPr>
                              <w:t>Ugotovi/ začrtaj kazalce za novo strategijo med najpogosteje opredeljenimi v matriki in semaforju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shape w14:anchorId="407C7691" id="Text Box 5" o:spid="_x0000_s1035" type="#_x0000_t202" style="position:absolute;left:0;text-align:left;margin-left:116.1pt;margin-top:122pt;width:251.15pt;height:2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" fillcolor="#81d463 [2169]" strokecolor="#4ea72e [3209]" strokeweight=".5pt">
                <v:fill color2="#66cb42 [2617]" rotate="t" colors="0 #a8d5a0;.5 #9bca93;1 #8ac67e" focus="100%" type="gradient">
                  <o:fill v:ext="view" type="gradientUnscaled"/>
                </v:fill>
                <v:textbox>
                  <w:txbxContent>
                    <w:p w14:paraId="5A0CCC4C" w14:textId="77777777" w:rsidR="009776DF" w:rsidRDefault="009776DF" w:rsidP="00306B06">
                      <w:r>
                        <w:t>IZPOLNI OBRAZEC: PREGLED VSEH SEKTORSKIH UKREPOV NA PODRČJU KONKRETNE POLITIKE</w:t>
                      </w:r>
                    </w:p>
                    <w:p w14:paraId="38065C85" w14:textId="77777777" w:rsidR="009776DF" w:rsidRPr="00080C04" w:rsidRDefault="009776DF" w:rsidP="002F6496">
                      <w:pPr>
                        <w:pStyle w:val="ListParagraph"/>
                        <w:numPr>
                          <w:ilvl w:val="0"/>
                          <w:numId w:val="33"/>
                        </w:numPr>
                        <w:rPr>
                          <w:sz w:val="20"/>
                          <w:szCs w:val="20"/>
                        </w:rPr>
                      </w:pPr>
                      <w:r w:rsidRPr="00080C04">
                        <w:rPr>
                          <w:sz w:val="20"/>
                          <w:szCs w:val="20"/>
                        </w:rPr>
                        <w:t>Katere so pozitivne povezave ali kompromisi: ali načrtovana politika/ ukrep prispeva pozitivno/ negativno k ciljem že obstoječih ukrepov? Kakšne so povezave s kazalci pri drugih strateških izbirah, kakšni so prek</w:t>
                      </w:r>
                      <w:r>
                        <w:rPr>
                          <w:sz w:val="20"/>
                          <w:szCs w:val="20"/>
                        </w:rPr>
                        <w:t>-</w:t>
                      </w:r>
                      <w:r w:rsidRPr="00080C04">
                        <w:rPr>
                          <w:sz w:val="20"/>
                          <w:szCs w:val="20"/>
                        </w:rPr>
                        <w:t>mejni učinki?</w:t>
                      </w:r>
                    </w:p>
                    <w:p w14:paraId="67183D25" w14:textId="77777777" w:rsidR="009776DF" w:rsidRPr="00080C04" w:rsidRDefault="009776DF" w:rsidP="002F6496">
                      <w:pPr>
                        <w:pStyle w:val="ListParagraph"/>
                        <w:numPr>
                          <w:ilvl w:val="0"/>
                          <w:numId w:val="33"/>
                        </w:numPr>
                        <w:rPr>
                          <w:sz w:val="20"/>
                          <w:szCs w:val="20"/>
                        </w:rPr>
                      </w:pPr>
                      <w:r w:rsidRPr="00080C04">
                        <w:rPr>
                          <w:sz w:val="20"/>
                          <w:szCs w:val="20"/>
                        </w:rPr>
                        <w:t>Skladnost s šestimi »ne povzročaj škode« okoljskimi principi</w:t>
                      </w:r>
                    </w:p>
                    <w:p w14:paraId="27EEA4B0" w14:textId="77777777" w:rsidR="009776DF" w:rsidRPr="00080C04" w:rsidRDefault="009776DF" w:rsidP="002F6496">
                      <w:pPr>
                        <w:pStyle w:val="ListParagraph"/>
                        <w:numPr>
                          <w:ilvl w:val="0"/>
                          <w:numId w:val="33"/>
                        </w:numPr>
                        <w:rPr>
                          <w:sz w:val="20"/>
                          <w:szCs w:val="20"/>
                        </w:rPr>
                      </w:pPr>
                      <w:r w:rsidRPr="00080C04">
                        <w:rPr>
                          <w:sz w:val="20"/>
                          <w:szCs w:val="20"/>
                        </w:rPr>
                        <w:t>Opredeli finančne ukrepe za prispevek k CTR kazalcem</w:t>
                      </w:r>
                    </w:p>
                    <w:p w14:paraId="0930AB2A" w14:textId="77777777" w:rsidR="009776DF" w:rsidRPr="00080C04" w:rsidRDefault="009776DF" w:rsidP="002F6496">
                      <w:pPr>
                        <w:pStyle w:val="ListParagraph"/>
                        <w:numPr>
                          <w:ilvl w:val="0"/>
                          <w:numId w:val="33"/>
                        </w:numPr>
                        <w:rPr>
                          <w:sz w:val="20"/>
                          <w:szCs w:val="20"/>
                        </w:rPr>
                      </w:pPr>
                      <w:r w:rsidRPr="00080C04">
                        <w:rPr>
                          <w:sz w:val="20"/>
                          <w:szCs w:val="20"/>
                        </w:rPr>
                        <w:t>Ugotovi/ začrtaj kazalce za novo strategijo med najpogosteje opredeljenimi v matriki in semaforju</w:t>
                      </w:r>
                    </w:p>
                  </w:txbxContent>
                </v:textbox>
              </v:shape>
            </w:pict>
          </mc:Fallback>
        </mc:AlternateContent>
      </w:r>
      <w:r w:rsidR="00A90057" w:rsidRPr="00BC781C">
        <w:rPr>
          <w:rFonts w:eastAsia="Arial" w:cs="Times New Roman"/>
          <w:sz w:val="24"/>
          <w:szCs w:val="24"/>
        </w:rPr>
        <w:br w:type="column"/>
      </w:r>
      <w:r w:rsidR="007D556E" w:rsidRPr="00BC781C">
        <w:rPr>
          <w:rFonts w:eastAsia="Arial" w:cs="Times New Roman"/>
          <w:sz w:val="24"/>
          <w:szCs w:val="24"/>
        </w:rPr>
        <w:lastRenderedPageBreak/>
        <w:t xml:space="preserve">Italija ima </w:t>
      </w:r>
      <w:r w:rsidR="00DC03F8" w:rsidRPr="00BC781C">
        <w:rPr>
          <w:rFonts w:eastAsia="Arial" w:cs="Times New Roman"/>
          <w:sz w:val="24"/>
          <w:szCs w:val="24"/>
        </w:rPr>
        <w:t>torej</w:t>
      </w:r>
      <w:r w:rsidR="007D556E" w:rsidRPr="00BC781C">
        <w:rPr>
          <w:rFonts w:eastAsia="Arial" w:cs="Times New Roman"/>
          <w:sz w:val="24"/>
          <w:szCs w:val="24"/>
        </w:rPr>
        <w:t xml:space="preserve"> zelo podrobno izdelan sistem spremljanja načela skladnosti politik za trajnostni razvoj, z jasno opredeljeno vertikalno in horizontalno koordinacijo. Poleg jasno določene vloge vsakega od vključenih deležnikov so izrednega pomena tudi razvita orodja, ki odločevalcem omogočajo sprotno preverjanje skladnosti politik za doseganje trajnostnega razvoja. Država je razvila svoj instrumentarij s pomočjo OECD, zato ne preseneča dejstvo, da so Priporočila OECD dosledno spoštovana in v kar največji možni meri vgrajena v sistem. Ker pa je celotna shema relativno nova, še ni na razpolago analiz,</w:t>
      </w:r>
      <w:r w:rsidR="00E266FD" w:rsidRPr="00BC781C">
        <w:rPr>
          <w:rStyle w:val="FootnoteReference"/>
          <w:rFonts w:eastAsia="Arial" w:cs="Times New Roman"/>
          <w:sz w:val="24"/>
          <w:szCs w:val="24"/>
        </w:rPr>
        <w:footnoteReference w:id="10"/>
      </w:r>
      <w:r w:rsidR="007D556E" w:rsidRPr="00BC781C">
        <w:rPr>
          <w:rFonts w:eastAsia="Arial" w:cs="Times New Roman"/>
          <w:sz w:val="24"/>
          <w:szCs w:val="24"/>
        </w:rPr>
        <w:t xml:space="preserve"> kako uspešno deluje.  </w:t>
      </w:r>
    </w:p>
    <w:p w14:paraId="41641084" w14:textId="6A2234D3" w:rsidR="00A90057" w:rsidRPr="00BC781C" w:rsidRDefault="007D556E"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Opozarja pa primer Italije, da je ključnega pomena močna zaveza nacionalnemu uresničevanju ciljev trajnostnega razvoja</w:t>
      </w:r>
      <w:r w:rsidR="003F6FB6" w:rsidRPr="00BC781C">
        <w:rPr>
          <w:rFonts w:eastAsia="Arial" w:cs="Times New Roman"/>
          <w:sz w:val="24"/>
          <w:szCs w:val="24"/>
        </w:rPr>
        <w:t xml:space="preserve"> –</w:t>
      </w:r>
      <w:r w:rsidRPr="00BC781C">
        <w:rPr>
          <w:rFonts w:eastAsia="Arial" w:cs="Times New Roman"/>
          <w:sz w:val="24"/>
          <w:szCs w:val="24"/>
        </w:rPr>
        <w:t xml:space="preserve"> v njihovem primeru na podlagi Nacionalne strategije</w:t>
      </w:r>
      <w:r w:rsidR="00B644DE" w:rsidRPr="00BC781C">
        <w:rPr>
          <w:rFonts w:eastAsia="Arial" w:cs="Times New Roman"/>
          <w:sz w:val="24"/>
          <w:szCs w:val="24"/>
        </w:rPr>
        <w:t xml:space="preserve"> za trajnostni razvoj. Implementaciji Strategije je posledično namenjeno več drugih dokumentov, tudi Akcijski načrt za skladnost politik, z ustreznimi orodji in postopki. Spremljanje skladnosti politik tako ni zgolj naloga enega resorja, ampak zadeva več ministrstev in tudi posebnih skupin, ki nadzorujejo upoštevanje načela skladnosti. Ministrstvo za zunanje zadeve in razvojno sodelovanje je le eno od njih, s posebno nalogo spremljanja prekmejnih učinkov posameznih politik</w:t>
      </w:r>
      <w:r w:rsidR="003F6FB6" w:rsidRPr="00BC781C">
        <w:rPr>
          <w:rFonts w:eastAsia="Arial" w:cs="Times New Roman"/>
          <w:sz w:val="24"/>
          <w:szCs w:val="24"/>
        </w:rPr>
        <w:t xml:space="preserve"> – </w:t>
      </w:r>
      <w:r w:rsidR="00B644DE" w:rsidRPr="00BC781C">
        <w:rPr>
          <w:rFonts w:eastAsia="Arial" w:cs="Times New Roman"/>
          <w:sz w:val="24"/>
          <w:szCs w:val="24"/>
        </w:rPr>
        <w:t xml:space="preserve">čemur bi lahko rekli, da skrbijo za skladnost politik za razvoj v ožjem pomenu besede.  </w:t>
      </w:r>
    </w:p>
    <w:p w14:paraId="77BEEE39" w14:textId="77777777" w:rsidR="00A90057" w:rsidRPr="00BC781C" w:rsidRDefault="00A90057" w:rsidP="004461CA">
      <w:pPr>
        <w:shd w:val="clear" w:color="auto" w:fill="FFFFFF"/>
        <w:spacing w:before="240" w:after="240" w:line="276" w:lineRule="auto"/>
        <w:rPr>
          <w:rFonts w:eastAsia="Arial" w:cs="Times New Roman"/>
          <w:sz w:val="24"/>
          <w:szCs w:val="24"/>
        </w:rPr>
      </w:pPr>
    </w:p>
    <w:p w14:paraId="2EA558D8" w14:textId="77777777" w:rsidR="00A90057" w:rsidRPr="00BC781C" w:rsidRDefault="00A90057" w:rsidP="004461CA">
      <w:pPr>
        <w:shd w:val="clear" w:color="auto" w:fill="FFFFFF"/>
        <w:spacing w:before="240" w:after="240" w:line="276" w:lineRule="auto"/>
        <w:rPr>
          <w:rFonts w:eastAsia="Arial" w:cs="Times New Roman"/>
          <w:sz w:val="24"/>
          <w:szCs w:val="24"/>
        </w:rPr>
      </w:pPr>
    </w:p>
    <w:p w14:paraId="29829341" w14:textId="72C5F06C" w:rsidR="009C6524" w:rsidRPr="00BC781C" w:rsidRDefault="007D556E"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 </w:t>
      </w:r>
    </w:p>
    <w:p w14:paraId="4697B979" w14:textId="5C9371CF" w:rsidR="00AC36A5" w:rsidRPr="00BC781C" w:rsidRDefault="00A90057" w:rsidP="00BC781C">
      <w:pPr>
        <w:pStyle w:val="Heading3"/>
        <w:rPr>
          <w:rFonts w:eastAsia="Arial" w:cs="Times New Roman"/>
          <w:szCs w:val="24"/>
        </w:rPr>
      </w:pPr>
      <w:r w:rsidRPr="00BC781C">
        <w:rPr>
          <w:rFonts w:eastAsia="Arial" w:cs="Times New Roman"/>
          <w:szCs w:val="24"/>
        </w:rPr>
        <w:br w:type="column"/>
      </w:r>
      <w:bookmarkStart w:id="11" w:name="_Toc205412253"/>
      <w:r w:rsidR="00AC36A5" w:rsidRPr="00BC781C">
        <w:rPr>
          <w:rFonts w:eastAsia="Arial" w:cs="Times New Roman"/>
          <w:szCs w:val="24"/>
        </w:rPr>
        <w:lastRenderedPageBreak/>
        <w:t>Finska</w:t>
      </w:r>
      <w:bookmarkEnd w:id="11"/>
    </w:p>
    <w:p w14:paraId="737862D3" w14:textId="77777777" w:rsidR="005A45FC" w:rsidRPr="00BC781C" w:rsidRDefault="005A45FC" w:rsidP="00991FE0">
      <w:pPr>
        <w:pStyle w:val="ListParagraph"/>
        <w:numPr>
          <w:ilvl w:val="0"/>
          <w:numId w:val="35"/>
        </w:numPr>
        <w:rPr>
          <w:rFonts w:cs="Times New Roman"/>
          <w:b/>
          <w:bCs/>
          <w:sz w:val="24"/>
          <w:szCs w:val="24"/>
        </w:rPr>
      </w:pPr>
      <w:r w:rsidRPr="00BC781C">
        <w:rPr>
          <w:rFonts w:cs="Times New Roman"/>
          <w:b/>
          <w:bCs/>
          <w:sz w:val="24"/>
          <w:szCs w:val="24"/>
        </w:rPr>
        <w:t>Institucionalni okvir in politično lastništvo</w:t>
      </w:r>
    </w:p>
    <w:p w14:paraId="6C742EBD" w14:textId="0DB0FF48" w:rsidR="005A45FC" w:rsidRPr="00BC781C" w:rsidRDefault="005A45FC" w:rsidP="005A45FC">
      <w:pPr>
        <w:rPr>
          <w:rFonts w:cs="Times New Roman"/>
          <w:sz w:val="24"/>
          <w:szCs w:val="24"/>
        </w:rPr>
      </w:pPr>
      <w:r w:rsidRPr="00BC781C">
        <w:rPr>
          <w:rFonts w:cs="Times New Roman"/>
          <w:sz w:val="24"/>
          <w:szCs w:val="24"/>
        </w:rPr>
        <w:t>Finska predstavlja izstopajoč primer institucionalizacije skladnosti politik za trajnostni razvoj, zlasti v kontekstu svoje nacionalne strategije za izvajanje Agende 2030. Sistem temelji na celovitem vladnem pristopu, ki ga podpira visoka stopnja političnega lastništva in medresorsko usklajevanje.</w:t>
      </w:r>
    </w:p>
    <w:p w14:paraId="4031ECB1" w14:textId="6300BE0E" w:rsidR="005A45FC" w:rsidRPr="00BC781C" w:rsidRDefault="005A45FC" w:rsidP="005A45FC">
      <w:pPr>
        <w:rPr>
          <w:rFonts w:cs="Times New Roman"/>
          <w:sz w:val="24"/>
          <w:szCs w:val="24"/>
        </w:rPr>
      </w:pPr>
      <w:r w:rsidRPr="00BC781C">
        <w:rPr>
          <w:rFonts w:cs="Times New Roman"/>
          <w:sz w:val="24"/>
          <w:szCs w:val="24"/>
        </w:rPr>
        <w:t>Kabinet predsednika vlade (</w:t>
      </w:r>
      <w:r w:rsidRPr="00BC781C">
        <w:rPr>
          <w:rFonts w:cs="Times New Roman"/>
          <w:i/>
          <w:iCs/>
          <w:sz w:val="24"/>
          <w:szCs w:val="24"/>
        </w:rPr>
        <w:t xml:space="preserve">Prime Minister’s Office </w:t>
      </w:r>
      <w:r w:rsidRPr="00BC781C">
        <w:rPr>
          <w:rFonts w:cs="Times New Roman"/>
          <w:sz w:val="24"/>
          <w:szCs w:val="24"/>
        </w:rPr>
        <w:t>– PMO) ima splošno odgovornost za usklajevanje nacionalnega izvajanja Agende 2030 in s tem tudi za zagotavljanje skladnosti politik za trajnostni razvoj. Znotraj kabineta ima Sekretariat za trajnostni razvoj ključn</w:t>
      </w:r>
      <w:r w:rsidR="008F358F" w:rsidRPr="00BC781C">
        <w:rPr>
          <w:rFonts w:cs="Times New Roman"/>
          <w:sz w:val="24"/>
          <w:szCs w:val="24"/>
        </w:rPr>
        <w:t xml:space="preserve">o </w:t>
      </w:r>
      <w:r w:rsidRPr="00BC781C">
        <w:rPr>
          <w:rFonts w:cs="Times New Roman"/>
          <w:sz w:val="24"/>
          <w:szCs w:val="24"/>
        </w:rPr>
        <w:t>vlogo pri vključevanju CTR v nacionalne načrte in procese spremljanja. Takšna institucionalna ureditev odraža finsko prepoznavanje medsektorske narave trajnostnega razvoja ter potrebe po skladnosti med različnimi resorji.</w:t>
      </w:r>
    </w:p>
    <w:p w14:paraId="565208A8" w14:textId="171B2674" w:rsidR="005A45FC" w:rsidRPr="00BC781C" w:rsidRDefault="005038ED" w:rsidP="005A45FC">
      <w:pPr>
        <w:rPr>
          <w:rFonts w:cs="Times New Roman"/>
          <w:sz w:val="24"/>
          <w:szCs w:val="24"/>
        </w:rPr>
      </w:pPr>
      <w:r w:rsidRPr="00BC781C">
        <w:rPr>
          <w:rFonts w:cs="Times New Roman"/>
          <w:sz w:val="24"/>
          <w:szCs w:val="24"/>
        </w:rPr>
        <w:t xml:space="preserve">Finsko </w:t>
      </w:r>
      <w:r w:rsidR="005A45FC" w:rsidRPr="00BC781C">
        <w:rPr>
          <w:rFonts w:cs="Times New Roman"/>
          <w:sz w:val="24"/>
          <w:szCs w:val="24"/>
        </w:rPr>
        <w:t xml:space="preserve">Ministrstvo za zunanje zadeve, zlasti Oddelek za razvojno politiko, ima osrednjo vlogo pri izvajanju finske razvojne politike in zagotavljanju zunanje skladnosti politik — s čimer ohranja elemente </w:t>
      </w:r>
      <w:r w:rsidRPr="00BC781C">
        <w:rPr>
          <w:rFonts w:cs="Times New Roman"/>
          <w:sz w:val="24"/>
          <w:szCs w:val="24"/>
        </w:rPr>
        <w:t>SPR</w:t>
      </w:r>
      <w:r w:rsidR="005A45FC" w:rsidRPr="00BC781C">
        <w:rPr>
          <w:rFonts w:cs="Times New Roman"/>
          <w:sz w:val="24"/>
          <w:szCs w:val="24"/>
        </w:rPr>
        <w:t xml:space="preserve"> znotraj širšega okvira </w:t>
      </w:r>
      <w:r w:rsidRPr="00BC781C">
        <w:rPr>
          <w:rFonts w:cs="Times New Roman"/>
          <w:sz w:val="24"/>
          <w:szCs w:val="24"/>
        </w:rPr>
        <w:t>SPTR</w:t>
      </w:r>
      <w:r w:rsidR="005A45FC" w:rsidRPr="00BC781C">
        <w:rPr>
          <w:rFonts w:cs="Times New Roman"/>
          <w:sz w:val="24"/>
          <w:szCs w:val="24"/>
        </w:rPr>
        <w:t>. MZZ prispeva k oblikovanju finskih stališč v mednarodnih forumih in vključuje načela trajnostnega razvoja v dvostransko in večstransko sodelovanje. Čeprav MZZ ostaja pomemben akter, je njegova vloga v okviru notranje skladnosti politik večinoma operativna in svetovalna, strateško usklajevanje pa je podrejeno Kabinetu predsednika vlade.</w:t>
      </w:r>
    </w:p>
    <w:p w14:paraId="24230460" w14:textId="77777777" w:rsidR="005A45FC" w:rsidRPr="00BC781C" w:rsidRDefault="005A45FC" w:rsidP="00991FE0">
      <w:pPr>
        <w:pStyle w:val="ListParagraph"/>
        <w:numPr>
          <w:ilvl w:val="0"/>
          <w:numId w:val="35"/>
        </w:numPr>
        <w:rPr>
          <w:rFonts w:cs="Times New Roman"/>
          <w:b/>
          <w:bCs/>
          <w:sz w:val="24"/>
          <w:szCs w:val="24"/>
        </w:rPr>
      </w:pPr>
      <w:r w:rsidRPr="00BC781C">
        <w:rPr>
          <w:rFonts w:cs="Times New Roman"/>
          <w:b/>
          <w:bCs/>
          <w:sz w:val="24"/>
          <w:szCs w:val="24"/>
        </w:rPr>
        <w:t>Mehanizmi usklajevanja in celovit vladni pristop (</w:t>
      </w:r>
      <w:r w:rsidRPr="00BC781C">
        <w:rPr>
          <w:rFonts w:cs="Times New Roman"/>
          <w:b/>
          <w:bCs/>
          <w:i/>
          <w:iCs/>
          <w:sz w:val="24"/>
          <w:szCs w:val="24"/>
        </w:rPr>
        <w:t>whole-of-government approach</w:t>
      </w:r>
      <w:r w:rsidRPr="00BC781C">
        <w:rPr>
          <w:rFonts w:cs="Times New Roman"/>
          <w:b/>
          <w:bCs/>
          <w:sz w:val="24"/>
          <w:szCs w:val="24"/>
        </w:rPr>
        <w:t>)</w:t>
      </w:r>
    </w:p>
    <w:p w14:paraId="6E6BAD91" w14:textId="77777777" w:rsidR="005A45FC" w:rsidRPr="00BC781C" w:rsidRDefault="005A45FC" w:rsidP="005A45FC">
      <w:pPr>
        <w:rPr>
          <w:rFonts w:cs="Times New Roman"/>
          <w:sz w:val="24"/>
          <w:szCs w:val="24"/>
        </w:rPr>
      </w:pPr>
      <w:r w:rsidRPr="00BC781C">
        <w:rPr>
          <w:rFonts w:cs="Times New Roman"/>
          <w:sz w:val="24"/>
          <w:szCs w:val="24"/>
        </w:rPr>
        <w:t xml:space="preserve">Osrednji mehanizem za usklajevanje predstavlja </w:t>
      </w:r>
      <w:r w:rsidRPr="00BC781C">
        <w:rPr>
          <w:rFonts w:cs="Times New Roman"/>
          <w:b/>
          <w:bCs/>
          <w:sz w:val="24"/>
          <w:szCs w:val="24"/>
        </w:rPr>
        <w:t>Komisija za trajnostni razvoj</w:t>
      </w:r>
      <w:r w:rsidRPr="00BC781C">
        <w:rPr>
          <w:rFonts w:cs="Times New Roman"/>
          <w:sz w:val="24"/>
          <w:szCs w:val="24"/>
        </w:rPr>
        <w:t>, ki ji predseduje predsednik vlade. Ta večdeležniški organ vključuje predstavnike različnih ministrstev, parlamenta, občin, gospodarskih združenj, sindikatov, civilne družbe in akademske sfere. Komisija deluje kot platforma za participativno upravljanje ter kot orodje za horizontalno usklajevanje politik.</w:t>
      </w:r>
    </w:p>
    <w:p w14:paraId="33EE7396" w14:textId="4C3BBE3D" w:rsidR="005A45FC" w:rsidRPr="00BC781C" w:rsidRDefault="005A45FC" w:rsidP="005A45FC">
      <w:pPr>
        <w:rPr>
          <w:rFonts w:cs="Times New Roman"/>
          <w:sz w:val="24"/>
          <w:szCs w:val="24"/>
        </w:rPr>
      </w:pPr>
      <w:r w:rsidRPr="00BC781C">
        <w:rPr>
          <w:rFonts w:cs="Times New Roman"/>
          <w:sz w:val="24"/>
          <w:szCs w:val="24"/>
        </w:rPr>
        <w:t xml:space="preserve">Znotraj vlade </w:t>
      </w:r>
      <w:r w:rsidRPr="00BC781C">
        <w:rPr>
          <w:rFonts w:cs="Times New Roman"/>
          <w:b/>
          <w:bCs/>
          <w:sz w:val="24"/>
          <w:szCs w:val="24"/>
        </w:rPr>
        <w:t>Medresorska usklajevalna mreža za trajnostni razvoj</w:t>
      </w:r>
      <w:r w:rsidRPr="00BC781C">
        <w:rPr>
          <w:rFonts w:cs="Times New Roman"/>
          <w:sz w:val="24"/>
          <w:szCs w:val="24"/>
        </w:rPr>
        <w:t xml:space="preserve"> (</w:t>
      </w:r>
      <w:r w:rsidRPr="00BC781C">
        <w:rPr>
          <w:rFonts w:cs="Times New Roman"/>
          <w:i/>
          <w:iCs/>
          <w:sz w:val="24"/>
          <w:szCs w:val="24"/>
        </w:rPr>
        <w:t>Inter-ministerial Coordination Network on Sustainable Development</w:t>
      </w:r>
      <w:r w:rsidRPr="00BC781C">
        <w:rPr>
          <w:rFonts w:cs="Times New Roman"/>
          <w:sz w:val="24"/>
          <w:szCs w:val="24"/>
        </w:rPr>
        <w:t xml:space="preserve">) spodbuja usklajevanje politik med sektorji. Vsako ministrstvo imenuje kontaktne osebe, ki so odgovorne za vključevanje </w:t>
      </w:r>
      <w:r w:rsidR="00991FE0" w:rsidRPr="00BC781C">
        <w:rPr>
          <w:rFonts w:cs="Times New Roman"/>
          <w:sz w:val="24"/>
          <w:szCs w:val="24"/>
        </w:rPr>
        <w:t>CTR</w:t>
      </w:r>
      <w:r w:rsidRPr="00BC781C">
        <w:rPr>
          <w:rFonts w:cs="Times New Roman"/>
          <w:sz w:val="24"/>
          <w:szCs w:val="24"/>
        </w:rPr>
        <w:t xml:space="preserve"> v svoje področje politik, s čimer se zagotavlja, da sektorske strategije niso v nasprotju s splošnimi </w:t>
      </w:r>
      <w:r w:rsidR="00D35E78" w:rsidRPr="00BC781C">
        <w:rPr>
          <w:rFonts w:cs="Times New Roman"/>
          <w:sz w:val="24"/>
          <w:szCs w:val="24"/>
        </w:rPr>
        <w:t>CTR</w:t>
      </w:r>
      <w:r w:rsidRPr="00BC781C">
        <w:rPr>
          <w:rFonts w:cs="Times New Roman"/>
          <w:sz w:val="24"/>
          <w:szCs w:val="24"/>
        </w:rPr>
        <w:t>.</w:t>
      </w:r>
    </w:p>
    <w:p w14:paraId="5DD50826" w14:textId="5F229BA0" w:rsidR="005A45FC" w:rsidRPr="00BC781C" w:rsidRDefault="005A45FC" w:rsidP="005A45FC">
      <w:pPr>
        <w:rPr>
          <w:rFonts w:cs="Times New Roman"/>
          <w:sz w:val="24"/>
          <w:szCs w:val="24"/>
        </w:rPr>
      </w:pPr>
      <w:r w:rsidRPr="00BC781C">
        <w:rPr>
          <w:rFonts w:cs="Times New Roman"/>
          <w:sz w:val="24"/>
          <w:szCs w:val="24"/>
        </w:rPr>
        <w:t xml:space="preserve">Poleg vertikalnega in horizontalnega usklajevanja ima pomembno vlogo tudi </w:t>
      </w:r>
      <w:r w:rsidRPr="00BC781C">
        <w:rPr>
          <w:rFonts w:cs="Times New Roman"/>
          <w:b/>
          <w:bCs/>
          <w:sz w:val="24"/>
          <w:szCs w:val="24"/>
        </w:rPr>
        <w:t>Državni revizijski urad Finske</w:t>
      </w:r>
      <w:r w:rsidRPr="00BC781C">
        <w:rPr>
          <w:rFonts w:cs="Times New Roman"/>
          <w:sz w:val="24"/>
          <w:szCs w:val="24"/>
        </w:rPr>
        <w:t xml:space="preserve"> (</w:t>
      </w:r>
      <w:r w:rsidRPr="00BC781C">
        <w:rPr>
          <w:rFonts w:cs="Times New Roman"/>
          <w:i/>
          <w:iCs/>
          <w:sz w:val="24"/>
          <w:szCs w:val="24"/>
        </w:rPr>
        <w:t>National Audit Office of Finland</w:t>
      </w:r>
      <w:r w:rsidR="007C3AA6" w:rsidRPr="00BC781C">
        <w:rPr>
          <w:rFonts w:cs="Times New Roman"/>
          <w:sz w:val="24"/>
          <w:szCs w:val="24"/>
        </w:rPr>
        <w:t xml:space="preserve"> – NAOF)</w:t>
      </w:r>
      <w:r w:rsidRPr="00BC781C">
        <w:rPr>
          <w:rFonts w:cs="Times New Roman"/>
          <w:sz w:val="24"/>
          <w:szCs w:val="24"/>
        </w:rPr>
        <w:t>, ki s periodičnimi evalvacijami skladnosti politik zagotavlja odgovornost. NAOF je opravil revizije za oceno vključevanja načel trajnostnega razvoja v proračunsko načrtovanje države in upravne strukture, s čimer zagotavlja ključne, na dokazih temelječe povratne informacije za izboljšanje politik.</w:t>
      </w:r>
    </w:p>
    <w:p w14:paraId="50A67EA8" w14:textId="77777777" w:rsidR="005A45FC" w:rsidRPr="00BC781C" w:rsidRDefault="005A45FC" w:rsidP="00CF602C">
      <w:pPr>
        <w:pStyle w:val="ListParagraph"/>
        <w:numPr>
          <w:ilvl w:val="0"/>
          <w:numId w:val="35"/>
        </w:numPr>
        <w:rPr>
          <w:rFonts w:cs="Times New Roman"/>
          <w:b/>
          <w:bCs/>
          <w:sz w:val="24"/>
          <w:szCs w:val="24"/>
        </w:rPr>
      </w:pPr>
      <w:r w:rsidRPr="00BC781C">
        <w:rPr>
          <w:rFonts w:cs="Times New Roman"/>
          <w:b/>
          <w:bCs/>
          <w:sz w:val="24"/>
          <w:szCs w:val="24"/>
        </w:rPr>
        <w:t>Spremljanje in vrednotenje skladnosti (Monitoring and Evaluation of Coherence)</w:t>
      </w:r>
    </w:p>
    <w:p w14:paraId="1E55DF9B" w14:textId="3CFABDBE" w:rsidR="005A45FC" w:rsidRPr="00BC781C" w:rsidRDefault="005A45FC" w:rsidP="005A45FC">
      <w:pPr>
        <w:rPr>
          <w:rFonts w:cs="Times New Roman"/>
          <w:sz w:val="24"/>
          <w:szCs w:val="24"/>
        </w:rPr>
      </w:pPr>
      <w:r w:rsidRPr="00BC781C">
        <w:rPr>
          <w:rFonts w:cs="Times New Roman"/>
          <w:sz w:val="24"/>
          <w:szCs w:val="24"/>
        </w:rPr>
        <w:t xml:space="preserve">Finska uporablja dvojni pristop k spremljanju skladnosti. Prvič, </w:t>
      </w:r>
      <w:r w:rsidRPr="00BC781C">
        <w:rPr>
          <w:rFonts w:cs="Times New Roman"/>
          <w:b/>
          <w:bCs/>
          <w:sz w:val="24"/>
          <w:szCs w:val="24"/>
        </w:rPr>
        <w:t>s poročanjem na podlagi kazalnikov</w:t>
      </w:r>
      <w:r w:rsidRPr="00BC781C">
        <w:rPr>
          <w:rFonts w:cs="Times New Roman"/>
          <w:sz w:val="24"/>
          <w:szCs w:val="24"/>
        </w:rPr>
        <w:t xml:space="preserve">, ki so usklajeni z okvirom </w:t>
      </w:r>
      <w:r w:rsidR="00CF602C" w:rsidRPr="00BC781C">
        <w:rPr>
          <w:rFonts w:cs="Times New Roman"/>
          <w:sz w:val="24"/>
          <w:szCs w:val="24"/>
        </w:rPr>
        <w:t>CTR</w:t>
      </w:r>
      <w:r w:rsidRPr="00BC781C">
        <w:rPr>
          <w:rFonts w:cs="Times New Roman"/>
          <w:sz w:val="24"/>
          <w:szCs w:val="24"/>
        </w:rPr>
        <w:t xml:space="preserve"> in vključeni v nacionalna prostovoljna poročila (</w:t>
      </w:r>
      <w:r w:rsidRPr="00BC781C">
        <w:rPr>
          <w:rFonts w:cs="Times New Roman"/>
          <w:i/>
          <w:iCs/>
          <w:sz w:val="24"/>
          <w:szCs w:val="24"/>
        </w:rPr>
        <w:t>Voluntary National Reviews</w:t>
      </w:r>
      <w:r w:rsidRPr="00BC781C">
        <w:rPr>
          <w:rFonts w:cs="Times New Roman"/>
          <w:sz w:val="24"/>
          <w:szCs w:val="24"/>
        </w:rPr>
        <w:t xml:space="preserve">). Finski sklad za inovacije Sitra v sodelovanju s Statističnim uradom Finske prispeva k temu procesu spremljanja z analitičnimi orodji in javnimi </w:t>
      </w:r>
      <w:r w:rsidRPr="00BC781C">
        <w:rPr>
          <w:rFonts w:cs="Times New Roman"/>
          <w:sz w:val="24"/>
          <w:szCs w:val="24"/>
        </w:rPr>
        <w:lastRenderedPageBreak/>
        <w:t>prikazovalniki podatkov (pubic dashboards), ki prikazujejo napredek glede na cilje Agende 2030.</w:t>
      </w:r>
    </w:p>
    <w:p w14:paraId="5F6FF85A" w14:textId="77777777" w:rsidR="005A45FC" w:rsidRPr="00BC781C" w:rsidRDefault="005A45FC" w:rsidP="005A45FC">
      <w:pPr>
        <w:rPr>
          <w:rFonts w:cs="Times New Roman"/>
          <w:sz w:val="24"/>
          <w:szCs w:val="24"/>
        </w:rPr>
      </w:pPr>
      <w:r w:rsidRPr="00BC781C">
        <w:rPr>
          <w:rFonts w:cs="Times New Roman"/>
          <w:sz w:val="24"/>
          <w:szCs w:val="24"/>
        </w:rPr>
        <w:t>Drugič, Finska uporablja kvalitativno ocenjevanje za vrednotenje skladnosti določenih politik, zlasti tistih, ki lahko imajo čezmejne učinke (npr. trgovina, kmetijstvo, podnebje). Namen teh vrednotenj je prepoznati sinergije in morebitna nasprotja med nacionalnimi prioritetami in globalnimi cilji trajnostnega razvoja.</w:t>
      </w:r>
    </w:p>
    <w:p w14:paraId="659773A1" w14:textId="26EFD066" w:rsidR="005A45FC" w:rsidRPr="00BC781C" w:rsidRDefault="005A45FC" w:rsidP="005A45FC">
      <w:pPr>
        <w:rPr>
          <w:rFonts w:cs="Times New Roman"/>
          <w:sz w:val="24"/>
          <w:szCs w:val="24"/>
        </w:rPr>
      </w:pPr>
      <w:r w:rsidRPr="00BC781C">
        <w:rPr>
          <w:rFonts w:cs="Times New Roman"/>
          <w:sz w:val="24"/>
          <w:szCs w:val="24"/>
        </w:rPr>
        <w:t>Čeprav se je Finska formalno premaknila od ožjega pristopa skladnosti politik za razvoj k širšemu pristopu skladnosti politik za trajnostni razvoj, so elementi zunanje skladnosti še vedno izraziti. Vključevanje načela »</w:t>
      </w:r>
      <w:r w:rsidRPr="00BC781C">
        <w:rPr>
          <w:rFonts w:cs="Times New Roman"/>
          <w:b/>
          <w:bCs/>
          <w:sz w:val="24"/>
          <w:szCs w:val="24"/>
        </w:rPr>
        <w:t>nikogar ne pustimo ob strani</w:t>
      </w:r>
      <w:r w:rsidRPr="00BC781C">
        <w:rPr>
          <w:rFonts w:cs="Times New Roman"/>
          <w:sz w:val="24"/>
          <w:szCs w:val="24"/>
        </w:rPr>
        <w:t xml:space="preserve">« ter poudarek na </w:t>
      </w:r>
      <w:r w:rsidRPr="00BC781C">
        <w:rPr>
          <w:rFonts w:cs="Times New Roman"/>
          <w:b/>
          <w:bCs/>
          <w:sz w:val="24"/>
          <w:szCs w:val="24"/>
        </w:rPr>
        <w:t>globalni odgovornosti</w:t>
      </w:r>
      <w:r w:rsidRPr="00BC781C">
        <w:rPr>
          <w:rFonts w:cs="Times New Roman"/>
          <w:sz w:val="24"/>
          <w:szCs w:val="24"/>
        </w:rPr>
        <w:t xml:space="preserve"> (ena od štirih prednostnih področij finske strategije za trajnostni razvoj) poudarja zavezanost države k zagotavljanju, da domače politike podpirajo, in ne ovirajo prizadevanj za trajnostni razvoj v partnerskih državah.</w:t>
      </w:r>
    </w:p>
    <w:p w14:paraId="7E3BC6A5" w14:textId="77777777" w:rsidR="005A45FC" w:rsidRPr="00BC781C" w:rsidRDefault="005A45FC" w:rsidP="00601195">
      <w:pPr>
        <w:pStyle w:val="ListParagraph"/>
        <w:numPr>
          <w:ilvl w:val="0"/>
          <w:numId w:val="35"/>
        </w:numPr>
        <w:rPr>
          <w:rFonts w:cs="Times New Roman"/>
          <w:b/>
          <w:bCs/>
          <w:sz w:val="24"/>
          <w:szCs w:val="24"/>
        </w:rPr>
      </w:pPr>
      <w:r w:rsidRPr="00BC781C">
        <w:rPr>
          <w:rFonts w:cs="Times New Roman"/>
          <w:b/>
          <w:bCs/>
          <w:sz w:val="24"/>
          <w:szCs w:val="24"/>
        </w:rPr>
        <w:t>Obseg in poudarek: notranja in zunanja skladnost</w:t>
      </w:r>
    </w:p>
    <w:p w14:paraId="56409C01" w14:textId="66A6B60A" w:rsidR="005A45FC" w:rsidRPr="00BC781C" w:rsidRDefault="005A45FC" w:rsidP="005A45FC">
      <w:pPr>
        <w:rPr>
          <w:rFonts w:cs="Times New Roman"/>
          <w:sz w:val="24"/>
          <w:szCs w:val="24"/>
        </w:rPr>
      </w:pPr>
      <w:r w:rsidRPr="00BC781C">
        <w:rPr>
          <w:rFonts w:cs="Times New Roman"/>
          <w:sz w:val="24"/>
          <w:szCs w:val="24"/>
        </w:rPr>
        <w:t>Kljub zgodovinskemu poudarku na</w:t>
      </w:r>
      <w:r w:rsidR="00601195" w:rsidRPr="00BC781C">
        <w:rPr>
          <w:rFonts w:cs="Times New Roman"/>
          <w:sz w:val="24"/>
          <w:szCs w:val="24"/>
        </w:rPr>
        <w:t xml:space="preserve"> SPR</w:t>
      </w:r>
      <w:r w:rsidRPr="00BC781C">
        <w:rPr>
          <w:rFonts w:cs="Times New Roman"/>
          <w:sz w:val="24"/>
          <w:szCs w:val="24"/>
        </w:rPr>
        <w:t xml:space="preserve">, zlasti v povezavi z razvojnim sodelovanjem, se finski sistem danes pretežno osredotoča na </w:t>
      </w:r>
      <w:r w:rsidRPr="00BC781C">
        <w:rPr>
          <w:rFonts w:cs="Times New Roman"/>
          <w:b/>
          <w:bCs/>
          <w:sz w:val="24"/>
          <w:szCs w:val="24"/>
        </w:rPr>
        <w:t xml:space="preserve">notranjo </w:t>
      </w:r>
      <w:r w:rsidR="00601195" w:rsidRPr="00BC781C">
        <w:rPr>
          <w:rFonts w:cs="Times New Roman"/>
          <w:b/>
          <w:bCs/>
          <w:sz w:val="24"/>
          <w:szCs w:val="24"/>
        </w:rPr>
        <w:t>SPTR</w:t>
      </w:r>
      <w:r w:rsidRPr="00BC781C">
        <w:rPr>
          <w:rFonts w:cs="Times New Roman"/>
          <w:sz w:val="24"/>
          <w:szCs w:val="24"/>
        </w:rPr>
        <w:t xml:space="preserve">, usklajeno z Agendo 2030. Prehod k pristopu </w:t>
      </w:r>
      <w:r w:rsidR="00601195" w:rsidRPr="00BC781C">
        <w:rPr>
          <w:rFonts w:cs="Times New Roman"/>
          <w:sz w:val="24"/>
          <w:szCs w:val="24"/>
        </w:rPr>
        <w:t>SPTR</w:t>
      </w:r>
      <w:r w:rsidRPr="00BC781C">
        <w:rPr>
          <w:rFonts w:cs="Times New Roman"/>
          <w:sz w:val="24"/>
          <w:szCs w:val="24"/>
        </w:rPr>
        <w:t xml:space="preserve"> je pomenil vključevanje trajnostnega razvoja v vse sektorje in področja politik, ne le osredotočanja na to, da politike zunaj razvojne pomoči ne škodijo ciljem razvoja v tujini.</w:t>
      </w:r>
    </w:p>
    <w:p w14:paraId="07ADBA25" w14:textId="77777777" w:rsidR="005A45FC" w:rsidRPr="00BC781C" w:rsidRDefault="005A45FC" w:rsidP="005A45FC">
      <w:pPr>
        <w:rPr>
          <w:rFonts w:cs="Times New Roman"/>
          <w:sz w:val="24"/>
          <w:szCs w:val="24"/>
        </w:rPr>
      </w:pPr>
      <w:r w:rsidRPr="00BC781C">
        <w:rPr>
          <w:rFonts w:cs="Times New Roman"/>
          <w:sz w:val="24"/>
          <w:szCs w:val="24"/>
        </w:rPr>
        <w:t xml:space="preserve">Vendar pa </w:t>
      </w:r>
      <w:r w:rsidRPr="00BC781C">
        <w:rPr>
          <w:rFonts w:cs="Times New Roman"/>
          <w:b/>
          <w:bCs/>
          <w:sz w:val="24"/>
          <w:szCs w:val="24"/>
        </w:rPr>
        <w:t>mednarodna skladnost</w:t>
      </w:r>
      <w:r w:rsidRPr="00BC781C">
        <w:rPr>
          <w:rFonts w:cs="Times New Roman"/>
          <w:sz w:val="24"/>
          <w:szCs w:val="24"/>
        </w:rPr>
        <w:t xml:space="preserve"> ni bila popolnoma potisnjena na stranski tir. Finska redno vključuje globalne vidike v svoja nacionalna poročila, mednarodna skladnost pa ostaja del strateških dokumentov, kot sta Vladno poročilo o razvojni politiki in Nacionalna strategija za trajnostni razvoj. Kljub temu pa ni posebnega institucionalnega mehanizma, ki bi bil izključno zadolžen za sistematično ocenjevanje čezmejnih vplivov, kar predstavlja potencialno vrzel v finskem modelu.</w:t>
      </w:r>
    </w:p>
    <w:p w14:paraId="2ECAC082" w14:textId="3211448D" w:rsidR="005A45FC" w:rsidRPr="00BC781C" w:rsidRDefault="005A45FC" w:rsidP="005A45FC">
      <w:pPr>
        <w:rPr>
          <w:rFonts w:cs="Times New Roman"/>
          <w:sz w:val="24"/>
          <w:szCs w:val="24"/>
        </w:rPr>
      </w:pPr>
      <w:r w:rsidRPr="00BC781C">
        <w:rPr>
          <w:rFonts w:cs="Times New Roman"/>
          <w:sz w:val="24"/>
          <w:szCs w:val="24"/>
        </w:rPr>
        <w:t xml:space="preserve">Finski model izvajanja ponuja več ključnih spoznanj za države, ki si prizadevajo oblikovati učinkovit institucionalni okvir za </w:t>
      </w:r>
      <w:r w:rsidR="00601195" w:rsidRPr="00BC781C">
        <w:rPr>
          <w:rFonts w:cs="Times New Roman"/>
          <w:sz w:val="24"/>
          <w:szCs w:val="24"/>
        </w:rPr>
        <w:t>SPR/SPTR</w:t>
      </w:r>
      <w:r w:rsidRPr="00BC781C">
        <w:rPr>
          <w:rFonts w:cs="Times New Roman"/>
          <w:sz w:val="24"/>
          <w:szCs w:val="24"/>
        </w:rPr>
        <w:t>:</w:t>
      </w:r>
    </w:p>
    <w:p w14:paraId="3348155E" w14:textId="77777777" w:rsidR="005A45FC" w:rsidRPr="00BC781C" w:rsidRDefault="005A45FC" w:rsidP="005A45FC">
      <w:pPr>
        <w:pStyle w:val="ListParagraph"/>
        <w:numPr>
          <w:ilvl w:val="0"/>
          <w:numId w:val="34"/>
        </w:numPr>
        <w:rPr>
          <w:rFonts w:cs="Times New Roman"/>
          <w:sz w:val="24"/>
          <w:szCs w:val="24"/>
        </w:rPr>
      </w:pPr>
      <w:r w:rsidRPr="00BC781C">
        <w:rPr>
          <w:rFonts w:cs="Times New Roman"/>
          <w:b/>
          <w:bCs/>
          <w:sz w:val="24"/>
          <w:szCs w:val="24"/>
        </w:rPr>
        <w:t>Osrednje politično lastništvo</w:t>
      </w:r>
      <w:r w:rsidRPr="00BC781C">
        <w:rPr>
          <w:rFonts w:cs="Times New Roman"/>
          <w:sz w:val="24"/>
          <w:szCs w:val="24"/>
        </w:rPr>
        <w:t xml:space="preserve"> – idealno umeščeno v Kabinet predsednika vlade – zagotavlja medresorsko usklajevanje in visoko stopnjo legitimnosti.</w:t>
      </w:r>
    </w:p>
    <w:p w14:paraId="6F687E54" w14:textId="51D4866F" w:rsidR="005A45FC" w:rsidRPr="00BC781C" w:rsidRDefault="005A45FC" w:rsidP="005A45FC">
      <w:pPr>
        <w:pStyle w:val="ListParagraph"/>
        <w:numPr>
          <w:ilvl w:val="0"/>
          <w:numId w:val="34"/>
        </w:numPr>
        <w:rPr>
          <w:rFonts w:cs="Times New Roman"/>
          <w:sz w:val="24"/>
          <w:szCs w:val="24"/>
        </w:rPr>
      </w:pPr>
      <w:r w:rsidRPr="00BC781C">
        <w:rPr>
          <w:rFonts w:cs="Times New Roman"/>
          <w:b/>
          <w:bCs/>
          <w:sz w:val="24"/>
          <w:szCs w:val="24"/>
        </w:rPr>
        <w:t>Mehanizm</w:t>
      </w:r>
      <w:r w:rsidR="00601195" w:rsidRPr="00BC781C">
        <w:rPr>
          <w:rFonts w:cs="Times New Roman"/>
          <w:b/>
          <w:bCs/>
          <w:sz w:val="24"/>
          <w:szCs w:val="24"/>
        </w:rPr>
        <w:t>e</w:t>
      </w:r>
      <w:r w:rsidRPr="00BC781C">
        <w:rPr>
          <w:rFonts w:cs="Times New Roman"/>
          <w:b/>
          <w:bCs/>
          <w:sz w:val="24"/>
          <w:szCs w:val="24"/>
        </w:rPr>
        <w:t xml:space="preserve"> za horizontalno skladnost</w:t>
      </w:r>
      <w:r w:rsidRPr="00BC781C">
        <w:rPr>
          <w:rFonts w:cs="Times New Roman"/>
          <w:sz w:val="24"/>
          <w:szCs w:val="24"/>
        </w:rPr>
        <w:t>, kot so medresorske delovne skupine in komisije za trajnostni razvoj, so ključni za odpravljanje sektorskih vrzeli.</w:t>
      </w:r>
    </w:p>
    <w:p w14:paraId="16C34BC9" w14:textId="28DA9869" w:rsidR="005A45FC" w:rsidRPr="00BC781C" w:rsidRDefault="005A45FC" w:rsidP="005A45FC">
      <w:pPr>
        <w:pStyle w:val="ListParagraph"/>
        <w:numPr>
          <w:ilvl w:val="0"/>
          <w:numId w:val="34"/>
        </w:numPr>
        <w:rPr>
          <w:rFonts w:cs="Times New Roman"/>
          <w:sz w:val="24"/>
          <w:szCs w:val="24"/>
        </w:rPr>
      </w:pPr>
      <w:r w:rsidRPr="00BC781C">
        <w:rPr>
          <w:rFonts w:cs="Times New Roman"/>
          <w:b/>
          <w:bCs/>
          <w:sz w:val="24"/>
          <w:szCs w:val="24"/>
        </w:rPr>
        <w:t>Neodvisen nadzor</w:t>
      </w:r>
      <w:r w:rsidRPr="00BC781C">
        <w:rPr>
          <w:rFonts w:cs="Times New Roman"/>
          <w:sz w:val="24"/>
          <w:szCs w:val="24"/>
        </w:rPr>
        <w:t xml:space="preserve"> s strani revizijskih institucij</w:t>
      </w:r>
      <w:r w:rsidR="00CC08D6" w:rsidRPr="00BC781C">
        <w:rPr>
          <w:rFonts w:cs="Times New Roman"/>
          <w:sz w:val="24"/>
          <w:szCs w:val="24"/>
        </w:rPr>
        <w:t>, ki</w:t>
      </w:r>
      <w:r w:rsidRPr="00BC781C">
        <w:rPr>
          <w:rFonts w:cs="Times New Roman"/>
          <w:sz w:val="24"/>
          <w:szCs w:val="24"/>
        </w:rPr>
        <w:t xml:space="preserve"> prispeva k transparentnosti in učenju.</w:t>
      </w:r>
    </w:p>
    <w:p w14:paraId="5D3F2DD1" w14:textId="61281DA0" w:rsidR="005A45FC" w:rsidRPr="00BC781C" w:rsidRDefault="005A45FC" w:rsidP="005A45FC">
      <w:pPr>
        <w:pStyle w:val="ListParagraph"/>
        <w:numPr>
          <w:ilvl w:val="0"/>
          <w:numId w:val="34"/>
        </w:numPr>
        <w:rPr>
          <w:rFonts w:cs="Times New Roman"/>
          <w:sz w:val="24"/>
          <w:szCs w:val="24"/>
        </w:rPr>
      </w:pPr>
      <w:r w:rsidRPr="00BC781C">
        <w:rPr>
          <w:rFonts w:cs="Times New Roman"/>
          <w:b/>
          <w:bCs/>
          <w:sz w:val="24"/>
          <w:szCs w:val="24"/>
        </w:rPr>
        <w:t>Vključevanje zunanje skladnosti</w:t>
      </w:r>
      <w:r w:rsidRPr="00BC781C">
        <w:rPr>
          <w:rFonts w:cs="Times New Roman"/>
          <w:sz w:val="24"/>
          <w:szCs w:val="24"/>
        </w:rPr>
        <w:t xml:space="preserve"> </w:t>
      </w:r>
      <w:r w:rsidR="00CC08D6" w:rsidRPr="00BC781C">
        <w:rPr>
          <w:rFonts w:cs="Times New Roman"/>
          <w:sz w:val="24"/>
          <w:szCs w:val="24"/>
        </w:rPr>
        <w:t>je prepoznano kot</w:t>
      </w:r>
      <w:r w:rsidRPr="00BC781C">
        <w:rPr>
          <w:rFonts w:cs="Times New Roman"/>
          <w:sz w:val="24"/>
          <w:szCs w:val="24"/>
        </w:rPr>
        <w:t xml:space="preserve"> pomembno, vendar lahko zahteva dodatne, posebne mehanizme za zagotovitev sistematične analize čezmejnih vplivov.</w:t>
      </w:r>
    </w:p>
    <w:p w14:paraId="58F192C0" w14:textId="4F470ADB" w:rsidR="00AC36A5" w:rsidRPr="00BC781C" w:rsidRDefault="00650C84" w:rsidP="00BC781C">
      <w:pPr>
        <w:pStyle w:val="Heading1"/>
        <w:rPr>
          <w:rFonts w:eastAsia="Arial" w:cs="Times New Roman"/>
          <w:szCs w:val="24"/>
        </w:rPr>
      </w:pPr>
      <w:bookmarkStart w:id="12" w:name="_Toc205412254"/>
      <w:r w:rsidRPr="00BC781C">
        <w:rPr>
          <w:rFonts w:eastAsia="Arial" w:cs="Times New Roman"/>
          <w:szCs w:val="24"/>
        </w:rPr>
        <w:t>Predlog oblikovanja slovenske politike na področju izvajanja načela skladnosti politik za razvoj in skladnosti politik za trajnostni razvoj</w:t>
      </w:r>
      <w:bookmarkEnd w:id="12"/>
    </w:p>
    <w:p w14:paraId="1FEF3895" w14:textId="2AEE8B0C" w:rsidR="007764C5" w:rsidRPr="00BC781C" w:rsidRDefault="00650C84"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Kot pokaže analizirana literatura ter Priporočila OECD (2019), se je večina držav po sprejetju </w:t>
      </w:r>
      <w:r w:rsidR="00CC08D6" w:rsidRPr="00BC781C">
        <w:rPr>
          <w:rFonts w:eastAsia="Arial" w:cs="Times New Roman"/>
          <w:sz w:val="24"/>
          <w:szCs w:val="24"/>
        </w:rPr>
        <w:t xml:space="preserve">CTR </w:t>
      </w:r>
      <w:r w:rsidRPr="00BC781C">
        <w:rPr>
          <w:rFonts w:eastAsia="Arial" w:cs="Times New Roman"/>
          <w:sz w:val="24"/>
          <w:szCs w:val="24"/>
        </w:rPr>
        <w:t xml:space="preserve">usmerila </w:t>
      </w:r>
      <w:r w:rsidR="007764C5" w:rsidRPr="00BC781C">
        <w:rPr>
          <w:rFonts w:eastAsia="Arial" w:cs="Times New Roman"/>
          <w:sz w:val="24"/>
          <w:szCs w:val="24"/>
        </w:rPr>
        <w:t xml:space="preserve">tudi na področju spremljanja skladnosti politik </w:t>
      </w:r>
      <w:r w:rsidRPr="00BC781C">
        <w:rPr>
          <w:rFonts w:eastAsia="Arial" w:cs="Times New Roman"/>
          <w:sz w:val="24"/>
          <w:szCs w:val="24"/>
        </w:rPr>
        <w:t>v</w:t>
      </w:r>
      <w:r w:rsidR="007764C5" w:rsidRPr="00BC781C">
        <w:rPr>
          <w:rFonts w:eastAsia="Arial" w:cs="Times New Roman"/>
          <w:sz w:val="24"/>
          <w:szCs w:val="24"/>
        </w:rPr>
        <w:t xml:space="preserve"> kompleksnejši in zahtevnejši princip skladnosti </w:t>
      </w:r>
      <w:r w:rsidR="00CC08D6" w:rsidRPr="00BC781C">
        <w:rPr>
          <w:rFonts w:eastAsia="Arial" w:cs="Times New Roman"/>
          <w:sz w:val="24"/>
          <w:szCs w:val="24"/>
        </w:rPr>
        <w:t xml:space="preserve">politik </w:t>
      </w:r>
      <w:r w:rsidR="007764C5" w:rsidRPr="00BC781C">
        <w:rPr>
          <w:rFonts w:eastAsia="Arial" w:cs="Times New Roman"/>
          <w:sz w:val="24"/>
          <w:szCs w:val="24"/>
        </w:rPr>
        <w:t>za trajnostni razvoj. Tak premik pomeni vsebinsko in organizacijsko drugačen pristop k načelu skladnosti politik, saj ne gre le za ugotavljanja, kako posamezne nacionalne politike vplivajo na razvoj v mednarodnem okolju, ampak predpostavlja, da obstaja širša nacionalna zaveza izvajanju strategije trajnostnega razvoja, ki so ji podrejene posamezne sektorske politike.</w:t>
      </w:r>
    </w:p>
    <w:p w14:paraId="0643C8CA" w14:textId="6942C4FE" w:rsidR="0067503D" w:rsidRPr="00BC781C" w:rsidRDefault="0067503D" w:rsidP="00BC781C">
      <w:pPr>
        <w:pStyle w:val="Heading2"/>
        <w:rPr>
          <w:rFonts w:eastAsia="Arial" w:cs="Times New Roman"/>
          <w:szCs w:val="24"/>
        </w:rPr>
      </w:pPr>
      <w:bookmarkStart w:id="13" w:name="_Toc205412255"/>
      <w:r w:rsidRPr="00BC781C">
        <w:rPr>
          <w:rFonts w:eastAsia="Arial" w:cs="Times New Roman"/>
          <w:szCs w:val="24"/>
        </w:rPr>
        <w:lastRenderedPageBreak/>
        <w:t>Analiza Slovenije na podlagi Priporočil OECD</w:t>
      </w:r>
      <w:bookmarkEnd w:id="13"/>
    </w:p>
    <w:p w14:paraId="4C72365A" w14:textId="4E03E3B7" w:rsidR="00B644DE" w:rsidRPr="00BC781C" w:rsidRDefault="00B644DE"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Če analiziramo stanje v Sloveniji na podlagi Priporočil OECD, lahko ugotovimo, na katerih področjih najbolj odstopamo od njih in je zato uveljavljanje načela skladnosti politik za trajnostni razvoj največji izziv. </w:t>
      </w:r>
    </w:p>
    <w:p w14:paraId="405ED2C2" w14:textId="77777777" w:rsidR="005566A0" w:rsidRPr="00BC781C" w:rsidRDefault="00A90057" w:rsidP="00EC6399">
      <w:pPr>
        <w:autoSpaceDE w:val="0"/>
        <w:autoSpaceDN w:val="0"/>
        <w:adjustRightInd w:val="0"/>
        <w:spacing w:after="0"/>
        <w:rPr>
          <w:rFonts w:cs="Times New Roman"/>
          <w:sz w:val="24"/>
          <w:szCs w:val="24"/>
        </w:rPr>
      </w:pPr>
      <w:r w:rsidRPr="00BC781C">
        <w:rPr>
          <w:rFonts w:eastAsia="Arial" w:cs="Times New Roman"/>
          <w:sz w:val="24"/>
          <w:szCs w:val="24"/>
        </w:rPr>
        <w:t xml:space="preserve">Prvi steber govori o strateški viziji za uresničevanje Agende 2030, ki jo podpira jasna politična zaveza in vodenje, ki krepi skladnost politik za trajnostni razvoj. </w:t>
      </w:r>
      <w:r w:rsidRPr="00BC781C">
        <w:rPr>
          <w:rFonts w:cs="Times New Roman"/>
          <w:sz w:val="24"/>
          <w:szCs w:val="24"/>
        </w:rPr>
        <w:t xml:space="preserve">Strategijo razvoja Slovenije 2030 (SRS 2030), ki naj bi ponotranjila tudi cilje Agende 2030, je Vlada RS sprejela na svoji 159. redni seji, 7. decembra 2017. Strategija opredeli vizijo razvoja države kot tudi določi osrednji dolgoročni cilj: zagotoviti kakovostno življenje za vse (SRS 2030, 17). Besedilo se celo eksplicitno nanaša na skladnost politik za razvoj in temu namenja posebno pozornost: </w:t>
      </w:r>
    </w:p>
    <w:p w14:paraId="6D512227" w14:textId="77777777" w:rsidR="005566A0" w:rsidRPr="00BC781C" w:rsidRDefault="005566A0" w:rsidP="00EC6399">
      <w:pPr>
        <w:autoSpaceDE w:val="0"/>
        <w:autoSpaceDN w:val="0"/>
        <w:adjustRightInd w:val="0"/>
        <w:spacing w:after="0"/>
        <w:rPr>
          <w:rFonts w:cs="Times New Roman"/>
          <w:sz w:val="24"/>
          <w:szCs w:val="24"/>
        </w:rPr>
      </w:pPr>
    </w:p>
    <w:p w14:paraId="3206CC6E" w14:textId="10C84022" w:rsidR="00EC6399" w:rsidRPr="00BC781C" w:rsidRDefault="00B3189E" w:rsidP="005566A0">
      <w:pPr>
        <w:autoSpaceDE w:val="0"/>
        <w:autoSpaceDN w:val="0"/>
        <w:adjustRightInd w:val="0"/>
        <w:spacing w:after="0"/>
        <w:ind w:left="284" w:right="284"/>
        <w:rPr>
          <w:rFonts w:cs="Times New Roman"/>
          <w:i/>
          <w:iCs/>
          <w:kern w:val="0"/>
          <w:sz w:val="24"/>
          <w:szCs w:val="24"/>
        </w:rPr>
      </w:pPr>
      <w:r w:rsidRPr="00BC781C">
        <w:rPr>
          <w:rFonts w:cs="Times New Roman"/>
          <w:sz w:val="24"/>
          <w:szCs w:val="24"/>
        </w:rPr>
        <w:t>»</w:t>
      </w:r>
      <w:r w:rsidR="00EC6399" w:rsidRPr="00BC781C">
        <w:rPr>
          <w:rFonts w:cs="Times New Roman"/>
          <w:i/>
          <w:iCs/>
          <w:kern w:val="0"/>
          <w:sz w:val="24"/>
          <w:szCs w:val="24"/>
        </w:rPr>
        <w:t>Za večjo skladnost razvojnih politik bo treba v prihodnje vzpostaviti boljše mehanizme horizontalnega in večnivojskega sodelovanja, povezovanja vsebin, razumevanja presečnih tematik ter centralnega načrtovanja, izvajanja in spremljanja teh politik. Prav tako je pomembno usklajevanje domačih in mednarodnih razvojnih ciljev.</w:t>
      </w:r>
      <w:r w:rsidRPr="00BC781C">
        <w:rPr>
          <w:rFonts w:cs="Times New Roman"/>
          <w:i/>
          <w:iCs/>
          <w:kern w:val="0"/>
          <w:sz w:val="24"/>
          <w:szCs w:val="24"/>
        </w:rPr>
        <w:t>«</w:t>
      </w:r>
      <w:r w:rsidR="00EC6399" w:rsidRPr="00BC781C">
        <w:rPr>
          <w:rFonts w:cs="Times New Roman"/>
          <w:kern w:val="0"/>
          <w:sz w:val="24"/>
          <w:szCs w:val="24"/>
        </w:rPr>
        <w:t xml:space="preserve"> (SRS 2030, 49)</w:t>
      </w:r>
    </w:p>
    <w:p w14:paraId="275270D6" w14:textId="3D84856D" w:rsidR="00A90057" w:rsidRPr="00BC781C" w:rsidRDefault="00EC6399" w:rsidP="005566A0">
      <w:pPr>
        <w:spacing w:before="240" w:after="240" w:line="276" w:lineRule="auto"/>
        <w:rPr>
          <w:rFonts w:eastAsia="Arial" w:cs="Times New Roman"/>
          <w:sz w:val="24"/>
          <w:szCs w:val="24"/>
        </w:rPr>
      </w:pPr>
      <w:r w:rsidRPr="00BC781C">
        <w:rPr>
          <w:rFonts w:eastAsia="Arial" w:cs="Times New Roman"/>
          <w:sz w:val="24"/>
          <w:szCs w:val="24"/>
        </w:rPr>
        <w:t xml:space="preserve">Če bi torej zgolj formalno ocenjevali zavezanost Slovenije tako doseganju CTR kot uresničevanju načela skladnosti politik za trajnostni razvoj, izpolnjujemo prvo priporočilo OECD. A podrobni pogled udejanja </w:t>
      </w:r>
      <w:r w:rsidR="00A90057" w:rsidRPr="00BC781C">
        <w:rPr>
          <w:rFonts w:eastAsia="Arial" w:cs="Times New Roman"/>
          <w:sz w:val="24"/>
          <w:szCs w:val="24"/>
        </w:rPr>
        <w:t>Strategij</w:t>
      </w:r>
      <w:r w:rsidRPr="00BC781C">
        <w:rPr>
          <w:rFonts w:eastAsia="Arial" w:cs="Times New Roman"/>
          <w:sz w:val="24"/>
          <w:szCs w:val="24"/>
        </w:rPr>
        <w:t>e</w:t>
      </w:r>
      <w:r w:rsidR="00A90057" w:rsidRPr="00BC781C">
        <w:rPr>
          <w:rFonts w:eastAsia="Arial" w:cs="Times New Roman"/>
          <w:sz w:val="24"/>
          <w:szCs w:val="24"/>
        </w:rPr>
        <w:t xml:space="preserve"> razvoja </w:t>
      </w:r>
      <w:r w:rsidRPr="00BC781C">
        <w:rPr>
          <w:rFonts w:eastAsia="Arial" w:cs="Times New Roman"/>
          <w:sz w:val="24"/>
          <w:szCs w:val="24"/>
        </w:rPr>
        <w:t>RS 2030 pokaže drugačno sliko:</w:t>
      </w:r>
    </w:p>
    <w:p w14:paraId="52AEE9CF" w14:textId="3EBD005C" w:rsidR="000046B4" w:rsidRPr="00BC781C" w:rsidRDefault="00EC6399" w:rsidP="005566A0">
      <w:pPr>
        <w:pStyle w:val="ListParagraph"/>
        <w:numPr>
          <w:ilvl w:val="0"/>
          <w:numId w:val="36"/>
        </w:numPr>
        <w:spacing w:before="240" w:after="240" w:line="276" w:lineRule="auto"/>
        <w:rPr>
          <w:rFonts w:eastAsia="Arial" w:cs="Times New Roman"/>
          <w:b/>
          <w:bCs/>
          <w:sz w:val="24"/>
          <w:szCs w:val="24"/>
        </w:rPr>
      </w:pPr>
      <w:r w:rsidRPr="00BC781C">
        <w:rPr>
          <w:rFonts w:eastAsia="Arial" w:cs="Times New Roman"/>
          <w:b/>
          <w:bCs/>
          <w:sz w:val="24"/>
          <w:szCs w:val="24"/>
        </w:rPr>
        <w:t xml:space="preserve">Oblikovanje </w:t>
      </w:r>
      <w:r w:rsidR="000046B4" w:rsidRPr="00BC781C">
        <w:rPr>
          <w:rFonts w:eastAsia="Arial" w:cs="Times New Roman"/>
          <w:b/>
          <w:bCs/>
          <w:sz w:val="24"/>
          <w:szCs w:val="24"/>
        </w:rPr>
        <w:t>močne, vključujoče politične zaveze in vodenje na najvišji politični ravni</w:t>
      </w:r>
    </w:p>
    <w:p w14:paraId="36F3575A" w14:textId="2E044DDE" w:rsidR="000046B4" w:rsidRPr="00BC781C" w:rsidRDefault="000046B4" w:rsidP="000046B4">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Strategijo razvoja je oblikovala vlada leta 2017. Čeprav UMAR še vedno spremlja kazalce, ki so opredeljeni v Strategiji, je </w:t>
      </w:r>
      <w:r w:rsidR="00A523AE" w:rsidRPr="00BC781C">
        <w:rPr>
          <w:rFonts w:eastAsia="Arial" w:cs="Times New Roman"/>
          <w:sz w:val="24"/>
          <w:szCs w:val="24"/>
        </w:rPr>
        <w:t xml:space="preserve">iz uradnih dokumentov težko zaslediti zavezanost slovenske vlade Agendi 2030 ali </w:t>
      </w:r>
      <w:r w:rsidR="005566A0" w:rsidRPr="00BC781C">
        <w:rPr>
          <w:rFonts w:eastAsia="Arial" w:cs="Times New Roman"/>
          <w:sz w:val="24"/>
          <w:szCs w:val="24"/>
        </w:rPr>
        <w:t>SRS</w:t>
      </w:r>
      <w:r w:rsidR="00A523AE" w:rsidRPr="00BC781C">
        <w:rPr>
          <w:rFonts w:eastAsia="Arial" w:cs="Times New Roman"/>
          <w:sz w:val="24"/>
          <w:szCs w:val="24"/>
        </w:rPr>
        <w:t xml:space="preserve"> 2030. </w:t>
      </w:r>
      <w:r w:rsidR="009621FF" w:rsidRPr="00BC781C">
        <w:rPr>
          <w:rFonts w:eastAsia="Arial" w:cs="Times New Roman"/>
          <w:sz w:val="24"/>
          <w:szCs w:val="24"/>
        </w:rPr>
        <w:t>Koalicijski dogovor</w:t>
      </w:r>
      <w:r w:rsidR="009621FF" w:rsidRPr="00BC781C">
        <w:rPr>
          <w:rStyle w:val="FootnoteReference"/>
          <w:rFonts w:eastAsia="Arial" w:cs="Times New Roman"/>
          <w:sz w:val="24"/>
          <w:szCs w:val="24"/>
        </w:rPr>
        <w:footnoteReference w:id="11"/>
      </w:r>
      <w:r w:rsidR="009621FF" w:rsidRPr="00BC781C">
        <w:rPr>
          <w:rFonts w:eastAsia="Arial" w:cs="Times New Roman"/>
          <w:sz w:val="24"/>
          <w:szCs w:val="24"/>
        </w:rPr>
        <w:t xml:space="preserve"> ne vsebuje omembe Strategije </w:t>
      </w:r>
      <w:r w:rsidR="006D0B8C">
        <w:rPr>
          <w:rFonts w:eastAsia="Arial" w:cs="Times New Roman"/>
          <w:sz w:val="24"/>
          <w:szCs w:val="24"/>
        </w:rPr>
        <w:t xml:space="preserve">razvoja </w:t>
      </w:r>
      <w:r w:rsidR="009621FF" w:rsidRPr="00BC781C">
        <w:rPr>
          <w:rFonts w:eastAsia="Arial" w:cs="Times New Roman"/>
          <w:sz w:val="24"/>
          <w:szCs w:val="24"/>
        </w:rPr>
        <w:t>Slovenije, ne Agende 2030, ne CTR in seveda tudi ne govori o skladnosti politik za (trajnostni) razvoj. V zgolj enem stavku se dotika mednarodnega razvojnega sodelovanja:</w:t>
      </w:r>
    </w:p>
    <w:p w14:paraId="3502D41B" w14:textId="276CFA56" w:rsidR="009621FF" w:rsidRPr="00BC781C" w:rsidRDefault="009621FF" w:rsidP="005566A0">
      <w:pPr>
        <w:shd w:val="clear" w:color="auto" w:fill="FFFFFF"/>
        <w:spacing w:before="240" w:after="240" w:line="276" w:lineRule="auto"/>
        <w:ind w:left="284" w:right="284"/>
        <w:rPr>
          <w:rFonts w:cs="Times New Roman"/>
          <w:i/>
          <w:iCs/>
          <w:sz w:val="24"/>
          <w:szCs w:val="24"/>
        </w:rPr>
      </w:pPr>
      <w:r w:rsidRPr="00BC781C">
        <w:rPr>
          <w:rFonts w:cs="Times New Roman"/>
          <w:i/>
          <w:iCs/>
          <w:sz w:val="24"/>
          <w:szCs w:val="24"/>
        </w:rPr>
        <w:t>»Ciljno usmeriti mednarodne razvojne pomoči, ki bo prejemnike pomoči opolnomočila za samostojno razvojno delovanje. Slovenija mora mednarodno pomoč pogojevati tudi s spoštovanjem vrednot mednarodnega prava ter človekovih pravic. Aktivno bomo sodelovali pri nudenju humanitarne pomoči.«</w:t>
      </w:r>
    </w:p>
    <w:p w14:paraId="74B07BBB" w14:textId="5233E779" w:rsidR="00E66D2F" w:rsidRPr="00BC781C" w:rsidRDefault="009621FF" w:rsidP="009621FF">
      <w:pPr>
        <w:shd w:val="clear" w:color="auto" w:fill="FFFFFF"/>
        <w:spacing w:before="240" w:after="240" w:line="276" w:lineRule="auto"/>
        <w:rPr>
          <w:rFonts w:cs="Times New Roman"/>
          <w:sz w:val="24"/>
          <w:szCs w:val="24"/>
        </w:rPr>
      </w:pPr>
      <w:r w:rsidRPr="00BC781C">
        <w:rPr>
          <w:rFonts w:cs="Times New Roman"/>
          <w:sz w:val="24"/>
          <w:szCs w:val="24"/>
        </w:rPr>
        <w:t>Slovenija je sicer pripravila v preteklosti dva prostovoljna pregleda uresničevanja Agende 2030 in po zagotovilu službe, ki je v sedanji (maj 2025) sestavi vlade odgovorna za to, bo pripravila do leta 2030 tudi tretji pregled</w:t>
      </w:r>
      <w:r w:rsidR="003F31D2" w:rsidRPr="00BC781C">
        <w:rPr>
          <w:rFonts w:cs="Times New Roman"/>
          <w:sz w:val="24"/>
          <w:szCs w:val="24"/>
        </w:rPr>
        <w:t>.</w:t>
      </w:r>
      <w:r w:rsidRPr="00BC781C">
        <w:rPr>
          <w:rStyle w:val="FootnoteReference"/>
          <w:rFonts w:cs="Times New Roman"/>
          <w:sz w:val="24"/>
          <w:szCs w:val="24"/>
        </w:rPr>
        <w:footnoteReference w:id="12"/>
      </w:r>
      <w:r w:rsidRPr="00BC781C">
        <w:rPr>
          <w:rFonts w:cs="Times New Roman"/>
          <w:sz w:val="24"/>
          <w:szCs w:val="24"/>
        </w:rPr>
        <w:t xml:space="preserve"> </w:t>
      </w:r>
      <w:r w:rsidR="00363526" w:rsidRPr="00BC781C">
        <w:rPr>
          <w:rFonts w:cs="Times New Roman"/>
          <w:sz w:val="24"/>
          <w:szCs w:val="24"/>
        </w:rPr>
        <w:t xml:space="preserve">Kazalnike </w:t>
      </w:r>
      <w:r w:rsidR="003F31D2" w:rsidRPr="00BC781C">
        <w:rPr>
          <w:rFonts w:cs="Times New Roman"/>
          <w:sz w:val="24"/>
          <w:szCs w:val="24"/>
        </w:rPr>
        <w:t>CTR</w:t>
      </w:r>
      <w:r w:rsidR="00363526" w:rsidRPr="00BC781C">
        <w:rPr>
          <w:rFonts w:cs="Times New Roman"/>
          <w:sz w:val="24"/>
          <w:szCs w:val="24"/>
        </w:rPr>
        <w:t xml:space="preserve">, vezane za Agendo 2030, </w:t>
      </w:r>
      <w:r w:rsidR="00E66D2F" w:rsidRPr="00BC781C">
        <w:rPr>
          <w:rFonts w:cs="Times New Roman"/>
          <w:sz w:val="24"/>
          <w:szCs w:val="24"/>
        </w:rPr>
        <w:t xml:space="preserve">sicer </w:t>
      </w:r>
      <w:r w:rsidR="00363526" w:rsidRPr="00BC781C">
        <w:rPr>
          <w:rFonts w:cs="Times New Roman"/>
          <w:sz w:val="24"/>
          <w:szCs w:val="24"/>
        </w:rPr>
        <w:t xml:space="preserve">spremlja </w:t>
      </w:r>
      <w:r w:rsidR="00363526" w:rsidRPr="00BC781C">
        <w:rPr>
          <w:rFonts w:cs="Times New Roman"/>
          <w:sz w:val="24"/>
          <w:szCs w:val="24"/>
        </w:rPr>
        <w:lastRenderedPageBreak/>
        <w:t>SURS</w:t>
      </w:r>
      <w:r w:rsidR="00C51777" w:rsidRPr="00BC781C">
        <w:rPr>
          <w:rFonts w:cs="Times New Roman"/>
          <w:sz w:val="24"/>
          <w:szCs w:val="24"/>
        </w:rPr>
        <w:t>,</w:t>
      </w:r>
      <w:r w:rsidR="00363526" w:rsidRPr="00BC781C">
        <w:rPr>
          <w:rStyle w:val="FootnoteReference"/>
          <w:rFonts w:cs="Times New Roman"/>
          <w:sz w:val="24"/>
          <w:szCs w:val="24"/>
        </w:rPr>
        <w:footnoteReference w:id="13"/>
      </w:r>
      <w:r w:rsidR="00E66D2F" w:rsidRPr="00BC781C">
        <w:rPr>
          <w:rFonts w:cs="Times New Roman"/>
          <w:sz w:val="24"/>
          <w:szCs w:val="24"/>
        </w:rPr>
        <w:t xml:space="preserve"> a ni jasno, kako so izbrani tisti, ki jih še spremlja</w:t>
      </w:r>
      <w:r w:rsidR="00C51777" w:rsidRPr="00BC781C">
        <w:rPr>
          <w:rFonts w:cs="Times New Roman"/>
          <w:sz w:val="24"/>
          <w:szCs w:val="24"/>
        </w:rPr>
        <w:t>,</w:t>
      </w:r>
      <w:r w:rsidR="00E66D2F" w:rsidRPr="00BC781C">
        <w:rPr>
          <w:rStyle w:val="FootnoteReference"/>
          <w:rFonts w:cs="Times New Roman"/>
          <w:sz w:val="24"/>
          <w:szCs w:val="24"/>
        </w:rPr>
        <w:footnoteReference w:id="14"/>
      </w:r>
      <w:r w:rsidR="00C51777" w:rsidRPr="00BC781C">
        <w:rPr>
          <w:rFonts w:cs="Times New Roman"/>
          <w:sz w:val="24"/>
          <w:szCs w:val="24"/>
        </w:rPr>
        <w:t xml:space="preserve"> </w:t>
      </w:r>
      <w:r w:rsidR="00E66D2F" w:rsidRPr="00BC781C">
        <w:rPr>
          <w:rFonts w:cs="Times New Roman"/>
          <w:sz w:val="24"/>
          <w:szCs w:val="24"/>
        </w:rPr>
        <w:t xml:space="preserve">niti kaj naj bi bila zastavljena ciljna vrednost, za katero si Slovenija prizadeva. </w:t>
      </w:r>
    </w:p>
    <w:p w14:paraId="1FAF66F9" w14:textId="487D1945" w:rsidR="009621FF" w:rsidRPr="00BC781C" w:rsidRDefault="00E66D2F" w:rsidP="009621FF">
      <w:pPr>
        <w:shd w:val="clear" w:color="auto" w:fill="FFFFFF"/>
        <w:spacing w:before="240" w:after="240" w:line="276" w:lineRule="auto"/>
        <w:rPr>
          <w:rFonts w:cs="Times New Roman"/>
          <w:sz w:val="24"/>
          <w:szCs w:val="24"/>
        </w:rPr>
      </w:pPr>
      <w:r w:rsidRPr="00BC781C">
        <w:rPr>
          <w:rFonts w:cs="Times New Roman"/>
          <w:sz w:val="24"/>
          <w:szCs w:val="24"/>
        </w:rPr>
        <w:t xml:space="preserve">Na podlagi pregledanega ugotavljamo, da Slovenija ne izpolnjuje prvega Priporočila OECD glede strateške vizije o uresničevanju Agende 2030, posledično tudi ne </w:t>
      </w:r>
      <w:r w:rsidR="004D1798" w:rsidRPr="00BC781C">
        <w:rPr>
          <w:rFonts w:cs="Times New Roman"/>
          <w:sz w:val="24"/>
          <w:szCs w:val="24"/>
        </w:rPr>
        <w:t xml:space="preserve">spremlja izvajanje načela skladnosti politik za trajnostni razvoj. To dejstvo pomeni, da je načrtovanje modela za spremljanje </w:t>
      </w:r>
      <w:r w:rsidR="00C51777" w:rsidRPr="00BC781C">
        <w:rPr>
          <w:rFonts w:cs="Times New Roman"/>
          <w:sz w:val="24"/>
          <w:szCs w:val="24"/>
        </w:rPr>
        <w:t>SPTR</w:t>
      </w:r>
      <w:r w:rsidR="004D1798" w:rsidRPr="00BC781C">
        <w:rPr>
          <w:rFonts w:cs="Times New Roman"/>
          <w:sz w:val="24"/>
          <w:szCs w:val="24"/>
        </w:rPr>
        <w:t xml:space="preserve"> že v samem začetku soočeno s praktično nepremostljivo oviro. Brez jasne politične zavezanosti tako CTR kot SPTR je postavljanje modela lahko zgolj črka na papirju.</w:t>
      </w:r>
      <w:r w:rsidR="00363526" w:rsidRPr="00BC781C">
        <w:rPr>
          <w:rFonts w:cs="Times New Roman"/>
          <w:sz w:val="24"/>
          <w:szCs w:val="24"/>
        </w:rPr>
        <w:t xml:space="preserve"> </w:t>
      </w:r>
    </w:p>
    <w:p w14:paraId="1B4C7C2C" w14:textId="1D51DECA" w:rsidR="000046B4" w:rsidRPr="00BC781C" w:rsidRDefault="000046B4" w:rsidP="002A0C79">
      <w:pPr>
        <w:pStyle w:val="ListParagraph"/>
        <w:numPr>
          <w:ilvl w:val="0"/>
          <w:numId w:val="36"/>
        </w:numPr>
        <w:rPr>
          <w:rFonts w:eastAsia="Arial" w:cs="Times New Roman"/>
          <w:b/>
          <w:bCs/>
          <w:sz w:val="24"/>
          <w:szCs w:val="24"/>
        </w:rPr>
      </w:pPr>
      <w:r w:rsidRPr="00BC781C">
        <w:rPr>
          <w:rFonts w:eastAsia="Arial" w:cs="Times New Roman"/>
          <w:b/>
          <w:bCs/>
          <w:sz w:val="24"/>
          <w:szCs w:val="24"/>
        </w:rPr>
        <w:t>Opredeliti, izvajati in komunicirati strateško dolgoročno vizijo, ki podpira skladnost politik</w:t>
      </w:r>
    </w:p>
    <w:p w14:paraId="14AAAFE1" w14:textId="4DBB839E" w:rsidR="004D1798" w:rsidRPr="00BC781C" w:rsidRDefault="004D1798" w:rsidP="004D1798">
      <w:pPr>
        <w:rPr>
          <w:rFonts w:eastAsia="Arial" w:cs="Times New Roman"/>
          <w:sz w:val="24"/>
          <w:szCs w:val="24"/>
        </w:rPr>
      </w:pPr>
      <w:r w:rsidRPr="00BC781C">
        <w:rPr>
          <w:rFonts w:eastAsia="Arial" w:cs="Times New Roman"/>
          <w:sz w:val="24"/>
          <w:szCs w:val="24"/>
        </w:rPr>
        <w:t xml:space="preserve">Tudi glede tega Priporočila OECD ugotavljamo, da znotraj sedanje strukture vlade ni ključnega akterja, bi bil zadolžen za strateško dolgoročno vizijo, usmerjeno v podporo skladnosti politik za trajnostni razvoj. Ministrstvo za zunanje in evropske zadeve je v novo sprejeti Strategiji zunanje politike prevzelo zgolj zavezo za skladnost razvojnih politik: </w:t>
      </w:r>
    </w:p>
    <w:p w14:paraId="3034C641" w14:textId="0E0B8A90" w:rsidR="004D1798" w:rsidRPr="00BC781C" w:rsidRDefault="00EB39B4" w:rsidP="002A0C79">
      <w:pPr>
        <w:ind w:left="284" w:right="284"/>
        <w:rPr>
          <w:rFonts w:cs="Times New Roman"/>
          <w:i/>
          <w:iCs/>
          <w:sz w:val="24"/>
          <w:szCs w:val="24"/>
        </w:rPr>
      </w:pPr>
      <w:r w:rsidRPr="00BC781C">
        <w:rPr>
          <w:rFonts w:cs="Times New Roman"/>
          <w:i/>
          <w:iCs/>
          <w:sz w:val="24"/>
          <w:szCs w:val="24"/>
        </w:rPr>
        <w:t>»</w:t>
      </w:r>
      <w:r w:rsidR="004D1798" w:rsidRPr="00BC781C">
        <w:rPr>
          <w:rFonts w:cs="Times New Roman"/>
          <w:i/>
          <w:iCs/>
          <w:sz w:val="24"/>
          <w:szCs w:val="24"/>
        </w:rPr>
        <w:t>MZEZ bo kot nacionalni koordinator mednarodnega razvojnega sodelovanja in humanitarne pomoči okrepilo vladno medresorsko koordinacijo za zagotavljanje skladnosti razvojnega delovanja ter sodelovanja z izvedenci in domačimi in mednarodnimi partnerji.</w:t>
      </w:r>
      <w:r w:rsidRPr="00BC781C">
        <w:rPr>
          <w:rFonts w:cs="Times New Roman"/>
          <w:i/>
          <w:iCs/>
          <w:sz w:val="24"/>
          <w:szCs w:val="24"/>
        </w:rPr>
        <w:t>«</w:t>
      </w:r>
    </w:p>
    <w:p w14:paraId="12059A6F" w14:textId="127B7C92" w:rsidR="00EB39B4" w:rsidRPr="00BC781C" w:rsidRDefault="00EB39B4" w:rsidP="004D1798">
      <w:pPr>
        <w:rPr>
          <w:rFonts w:cs="Times New Roman"/>
          <w:sz w:val="24"/>
          <w:szCs w:val="24"/>
        </w:rPr>
      </w:pPr>
      <w:r w:rsidRPr="00BC781C">
        <w:rPr>
          <w:rFonts w:cs="Times New Roman"/>
          <w:sz w:val="24"/>
          <w:szCs w:val="24"/>
        </w:rPr>
        <w:t>Kot smo videli na primerih Italije in Finske gre v takih primerih zgolj za ožji koncept skladnosti politik, kjer ne moremo govoriti o upoštevanju CTR. Za tak pristop bi potrebovali drugačen mandat MZEZ.</w:t>
      </w:r>
    </w:p>
    <w:p w14:paraId="604472E2" w14:textId="3213ED01" w:rsidR="000046B4" w:rsidRPr="00BC781C" w:rsidRDefault="000046B4" w:rsidP="00663B69">
      <w:pPr>
        <w:pStyle w:val="ListParagraph"/>
        <w:numPr>
          <w:ilvl w:val="0"/>
          <w:numId w:val="36"/>
        </w:numPr>
        <w:rPr>
          <w:rFonts w:eastAsia="Arial" w:cs="Times New Roman"/>
          <w:b/>
          <w:bCs/>
          <w:sz w:val="24"/>
          <w:szCs w:val="24"/>
        </w:rPr>
      </w:pPr>
      <w:r w:rsidRPr="00BC781C">
        <w:rPr>
          <w:rFonts w:eastAsia="Arial" w:cs="Times New Roman"/>
          <w:b/>
          <w:bCs/>
          <w:sz w:val="24"/>
          <w:szCs w:val="24"/>
        </w:rPr>
        <w:t>Izboljšati integriranost politik za boljše vključevanje trajnostnega razvoja v politike in financiranje</w:t>
      </w:r>
    </w:p>
    <w:p w14:paraId="46D2CDC4" w14:textId="1245FC74" w:rsidR="00B644DE" w:rsidRPr="00BC781C" w:rsidRDefault="00EB39B4" w:rsidP="004461CA">
      <w:pPr>
        <w:shd w:val="clear" w:color="auto" w:fill="FFFFFF"/>
        <w:spacing w:before="240" w:after="240" w:line="276" w:lineRule="auto"/>
        <w:rPr>
          <w:rFonts w:eastAsia="Arial" w:cs="Times New Roman"/>
          <w:sz w:val="24"/>
          <w:szCs w:val="24"/>
        </w:rPr>
      </w:pPr>
      <w:r w:rsidRPr="00BC781C">
        <w:rPr>
          <w:rFonts w:eastAsia="Arial" w:cs="Times New Roman"/>
          <w:sz w:val="24"/>
          <w:szCs w:val="24"/>
        </w:rPr>
        <w:t>Analiza upoštevanja načela skladnosti v okviru ključnih strateških dokumentov, ki smo jo opravili, je pokazala, da se sicer načelo skladnosti (bežno) naslavlja, vendar ne na vsebinski ravni.</w:t>
      </w:r>
      <w:r w:rsidR="0023057B" w:rsidRPr="00BC781C">
        <w:rPr>
          <w:rFonts w:eastAsia="Arial" w:cs="Times New Roman"/>
          <w:sz w:val="24"/>
          <w:szCs w:val="24"/>
        </w:rPr>
        <w:t xml:space="preserve"> Trajnostni razvoj se žal bolj povezuje z okoljskim konceptom trajnosti, kot razvojnim. Zato poznamo presojanje vpliva na okolje, ne spremljamo pa skladnosti politik za trajnostni razvoj v razvojnem smislu.</w:t>
      </w:r>
    </w:p>
    <w:p w14:paraId="21C72AAE" w14:textId="4C61FACD" w:rsidR="0023057B" w:rsidRPr="00BC781C" w:rsidRDefault="0023057B" w:rsidP="003D0607">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Glede na ugotovljeno pomanjkanje zavez izvajanju Strategije razvoja in posledično tudi Agende 2030, lahko pričakujemo, da tudi priporočil OECD v drugem stebru Slovenija ne izvaja. </w:t>
      </w:r>
      <w:r w:rsidR="003D0607" w:rsidRPr="00BC781C">
        <w:rPr>
          <w:rFonts w:eastAsia="Arial" w:cs="Times New Roman"/>
          <w:sz w:val="24"/>
          <w:szCs w:val="24"/>
        </w:rPr>
        <w:t>V naših analizah nismo zasledili »</w:t>
      </w:r>
      <w:r w:rsidRPr="00BC781C">
        <w:rPr>
          <w:rFonts w:eastAsia="Arial" w:cs="Times New Roman"/>
          <w:i/>
          <w:iCs/>
          <w:sz w:val="24"/>
          <w:szCs w:val="24"/>
        </w:rPr>
        <w:t>Učinkoviti in vključujoči institucionalni in upravljavski mehanizmi, ki naslavljajo medsebojne odnose politik različnih sektorjev in različnih ravni vlade</w:t>
      </w:r>
      <w:r w:rsidR="003D0607" w:rsidRPr="00BC781C">
        <w:rPr>
          <w:rFonts w:eastAsia="Arial" w:cs="Times New Roman"/>
          <w:sz w:val="24"/>
          <w:szCs w:val="24"/>
        </w:rPr>
        <w:t>«</w:t>
      </w:r>
      <w:r w:rsidRPr="00BC781C">
        <w:rPr>
          <w:rFonts w:eastAsia="Arial" w:cs="Times New Roman"/>
          <w:sz w:val="24"/>
          <w:szCs w:val="24"/>
        </w:rPr>
        <w:t>.</w:t>
      </w:r>
      <w:r w:rsidR="003D0607" w:rsidRPr="00BC781C">
        <w:rPr>
          <w:rFonts w:eastAsia="Arial" w:cs="Times New Roman"/>
          <w:sz w:val="24"/>
          <w:szCs w:val="24"/>
        </w:rPr>
        <w:t xml:space="preserve"> Dejstvo je, da deluje niz medresorskih usklajevalnih skupin, vendar skupine, ki bi skrbela za medresorsko spoštovanje načela skladnosti politik za trajnostni razvoj v skladu s konceptom, kot ga poznamo v Priporočilih OECD, nismo identificirali. </w:t>
      </w:r>
    </w:p>
    <w:p w14:paraId="70BD2C0D" w14:textId="20FEBB24" w:rsidR="0023057B" w:rsidRPr="00BC781C" w:rsidRDefault="0023057B" w:rsidP="00663B69">
      <w:pPr>
        <w:pStyle w:val="ListParagraph"/>
        <w:numPr>
          <w:ilvl w:val="0"/>
          <w:numId w:val="36"/>
        </w:numPr>
        <w:rPr>
          <w:rFonts w:eastAsia="Arial" w:cs="Times New Roman"/>
          <w:b/>
          <w:bCs/>
          <w:sz w:val="24"/>
          <w:szCs w:val="24"/>
        </w:rPr>
      </w:pPr>
      <w:r w:rsidRPr="00BC781C">
        <w:rPr>
          <w:rFonts w:eastAsia="Arial" w:cs="Times New Roman"/>
          <w:b/>
          <w:bCs/>
          <w:sz w:val="24"/>
          <w:szCs w:val="24"/>
        </w:rPr>
        <w:t xml:space="preserve">Zagotoviti </w:t>
      </w:r>
      <w:r w:rsidR="003D0607" w:rsidRPr="00BC781C">
        <w:rPr>
          <w:rFonts w:eastAsia="Arial" w:cs="Times New Roman"/>
          <w:b/>
          <w:bCs/>
          <w:i/>
          <w:iCs/>
          <w:sz w:val="24"/>
          <w:szCs w:val="24"/>
        </w:rPr>
        <w:t>»</w:t>
      </w:r>
      <w:r w:rsidRPr="00BC781C">
        <w:rPr>
          <w:rFonts w:eastAsia="Arial" w:cs="Times New Roman"/>
          <w:b/>
          <w:bCs/>
          <w:i/>
          <w:iCs/>
          <w:sz w:val="24"/>
          <w:szCs w:val="24"/>
        </w:rPr>
        <w:t>whole of the government</w:t>
      </w:r>
      <w:r w:rsidR="003D0607" w:rsidRPr="00BC781C">
        <w:rPr>
          <w:rFonts w:eastAsia="Arial" w:cs="Times New Roman"/>
          <w:b/>
          <w:bCs/>
          <w:i/>
          <w:iCs/>
          <w:sz w:val="24"/>
          <w:szCs w:val="24"/>
        </w:rPr>
        <w:t>«</w:t>
      </w:r>
      <w:r w:rsidRPr="00BC781C">
        <w:rPr>
          <w:rFonts w:eastAsia="Arial" w:cs="Times New Roman"/>
          <w:b/>
          <w:bCs/>
          <w:sz w:val="24"/>
          <w:szCs w:val="24"/>
        </w:rPr>
        <w:t xml:space="preserve"> koordinacijo za ugotavljanje in zmanjševanje divergenc med sektorskimi prioritetami in politikami</w:t>
      </w:r>
    </w:p>
    <w:p w14:paraId="2198F31E" w14:textId="77777777" w:rsidR="00663B69" w:rsidRPr="00BC781C" w:rsidRDefault="00663B69" w:rsidP="00663B69">
      <w:pPr>
        <w:pStyle w:val="ListParagraph"/>
        <w:rPr>
          <w:rFonts w:eastAsia="Arial" w:cs="Times New Roman"/>
          <w:b/>
          <w:bCs/>
          <w:sz w:val="24"/>
          <w:szCs w:val="24"/>
        </w:rPr>
      </w:pPr>
    </w:p>
    <w:p w14:paraId="480B52E9" w14:textId="28CC6E6A" w:rsidR="00896C6F" w:rsidRPr="00BC781C" w:rsidRDefault="003D0607" w:rsidP="003D0607">
      <w:pPr>
        <w:pStyle w:val="ListParagraph"/>
        <w:ind w:left="0"/>
        <w:rPr>
          <w:rFonts w:eastAsia="Arial" w:cs="Times New Roman"/>
          <w:sz w:val="24"/>
          <w:szCs w:val="24"/>
        </w:rPr>
      </w:pPr>
      <w:r w:rsidRPr="00BC781C">
        <w:rPr>
          <w:rFonts w:eastAsia="Arial" w:cs="Times New Roman"/>
          <w:sz w:val="24"/>
          <w:szCs w:val="24"/>
        </w:rPr>
        <w:t>Pri analizi te točke se omejujemo zgolj na upoštevanje načela skladnosti politik za razvoj, torej ožjo opredelitev skladnosti, ki ne zajema celotnih CTR, am</w:t>
      </w:r>
      <w:r w:rsidR="00BA3B10">
        <w:rPr>
          <w:rFonts w:eastAsia="Arial" w:cs="Times New Roman"/>
          <w:sz w:val="24"/>
          <w:szCs w:val="24"/>
        </w:rPr>
        <w:t>p</w:t>
      </w:r>
      <w:r w:rsidRPr="00BC781C">
        <w:rPr>
          <w:rFonts w:eastAsia="Arial" w:cs="Times New Roman"/>
          <w:sz w:val="24"/>
          <w:szCs w:val="24"/>
        </w:rPr>
        <w:t>ak se osredotoča zgolj na razvojno sodelovanje. Tudi v tem primeru moramo izpostaviti vsaj dv</w:t>
      </w:r>
      <w:r w:rsidR="00663B69" w:rsidRPr="00BC781C">
        <w:rPr>
          <w:rFonts w:eastAsia="Arial" w:cs="Times New Roman"/>
          <w:sz w:val="24"/>
          <w:szCs w:val="24"/>
        </w:rPr>
        <w:t>e</w:t>
      </w:r>
      <w:r w:rsidRPr="00BC781C">
        <w:rPr>
          <w:rFonts w:eastAsia="Arial" w:cs="Times New Roman"/>
          <w:sz w:val="24"/>
          <w:szCs w:val="24"/>
        </w:rPr>
        <w:t xml:space="preserve"> področj</w:t>
      </w:r>
      <w:r w:rsidR="00663B69" w:rsidRPr="00BC781C">
        <w:rPr>
          <w:rFonts w:eastAsia="Arial" w:cs="Times New Roman"/>
          <w:sz w:val="24"/>
          <w:szCs w:val="24"/>
        </w:rPr>
        <w:t>i</w:t>
      </w:r>
      <w:r w:rsidRPr="00BC781C">
        <w:rPr>
          <w:rFonts w:eastAsia="Arial" w:cs="Times New Roman"/>
          <w:sz w:val="24"/>
          <w:szCs w:val="24"/>
        </w:rPr>
        <w:t xml:space="preserve">, kjer ugotavljamo, da ni koordinacije, ki bi v zadovoljivi meri zmanjševala divergence med sektorskimi prioritetami in politikami. </w:t>
      </w:r>
    </w:p>
    <w:p w14:paraId="5351C9ED" w14:textId="77777777" w:rsidR="00896C6F" w:rsidRPr="00BC781C" w:rsidRDefault="00896C6F" w:rsidP="003D0607">
      <w:pPr>
        <w:pStyle w:val="ListParagraph"/>
        <w:ind w:left="0"/>
        <w:rPr>
          <w:rFonts w:eastAsia="Arial" w:cs="Times New Roman"/>
          <w:sz w:val="24"/>
          <w:szCs w:val="24"/>
        </w:rPr>
      </w:pPr>
    </w:p>
    <w:p w14:paraId="6E03F928" w14:textId="73F6D592" w:rsidR="00896C6F" w:rsidRPr="00BC781C" w:rsidRDefault="00E97627" w:rsidP="003D0607">
      <w:pPr>
        <w:pStyle w:val="ListParagraph"/>
        <w:ind w:left="0"/>
        <w:rPr>
          <w:rFonts w:eastAsia="Arial" w:cs="Times New Roman"/>
          <w:sz w:val="24"/>
          <w:szCs w:val="24"/>
        </w:rPr>
      </w:pPr>
      <w:r w:rsidRPr="00E97627">
        <w:rPr>
          <w:rFonts w:eastAsia="Arial" w:cs="Times New Roman"/>
          <w:sz w:val="24"/>
          <w:szCs w:val="24"/>
        </w:rPr>
        <w:t xml:space="preserve"> </w:t>
      </w:r>
      <w:r>
        <w:rPr>
          <w:rFonts w:eastAsia="Arial" w:cs="Times New Roman"/>
          <w:sz w:val="24"/>
          <w:szCs w:val="24"/>
        </w:rPr>
        <w:t xml:space="preserve">Eno takih </w:t>
      </w:r>
      <w:r w:rsidRPr="00C024A9">
        <w:rPr>
          <w:rFonts w:eastAsia="Arial" w:cs="Times New Roman"/>
          <w:sz w:val="24"/>
          <w:szCs w:val="24"/>
        </w:rPr>
        <w:t>področ</w:t>
      </w:r>
      <w:r>
        <w:rPr>
          <w:rFonts w:eastAsia="Arial" w:cs="Times New Roman"/>
          <w:sz w:val="24"/>
          <w:szCs w:val="24"/>
        </w:rPr>
        <w:t>i</w:t>
      </w:r>
      <w:r w:rsidRPr="00C024A9">
        <w:rPr>
          <w:rFonts w:eastAsia="Arial" w:cs="Times New Roman"/>
          <w:sz w:val="24"/>
          <w:szCs w:val="24"/>
        </w:rPr>
        <w:t>j</w:t>
      </w:r>
      <w:r>
        <w:rPr>
          <w:rFonts w:eastAsia="Arial" w:cs="Times New Roman"/>
          <w:sz w:val="24"/>
          <w:szCs w:val="24"/>
        </w:rPr>
        <w:t xml:space="preserve"> je področje</w:t>
      </w:r>
      <w:r w:rsidRPr="00C024A9">
        <w:rPr>
          <w:rFonts w:eastAsia="Arial" w:cs="Times New Roman"/>
          <w:sz w:val="24"/>
          <w:szCs w:val="24"/>
        </w:rPr>
        <w:t xml:space="preserve"> izobraževanja</w:t>
      </w:r>
      <w:r>
        <w:rPr>
          <w:rFonts w:eastAsia="Arial" w:cs="Times New Roman"/>
          <w:sz w:val="24"/>
          <w:szCs w:val="24"/>
        </w:rPr>
        <w:t xml:space="preserve"> (</w:t>
      </w:r>
      <w:r w:rsidRPr="00C024A9">
        <w:rPr>
          <w:rFonts w:eastAsia="Arial" w:cs="Times New Roman"/>
          <w:sz w:val="24"/>
          <w:szCs w:val="24"/>
        </w:rPr>
        <w:t>oprostitev plačila šolnin</w:t>
      </w:r>
      <w:r>
        <w:rPr>
          <w:rFonts w:eastAsia="Arial" w:cs="Times New Roman"/>
          <w:sz w:val="24"/>
          <w:szCs w:val="24"/>
        </w:rPr>
        <w:t>), ki predstavlja pomemben odstotek slovenske razvojne pomoči. Po dostopnih informacijah izbor prejemnikov oprostitve šolnin</w:t>
      </w:r>
      <w:r w:rsidRPr="00C024A9">
        <w:rPr>
          <w:rFonts w:eastAsia="Arial" w:cs="Times New Roman"/>
          <w:sz w:val="24"/>
          <w:szCs w:val="24"/>
        </w:rPr>
        <w:t xml:space="preserve">  poteka avtomatično na osnovi bilateralnih sporazumov s partnerskimi državami. Vloga </w:t>
      </w:r>
      <w:r>
        <w:rPr>
          <w:rFonts w:eastAsia="Arial" w:cs="Times New Roman"/>
          <w:sz w:val="24"/>
          <w:szCs w:val="24"/>
        </w:rPr>
        <w:t>M</w:t>
      </w:r>
      <w:r w:rsidRPr="00C024A9">
        <w:rPr>
          <w:rFonts w:eastAsia="Arial" w:cs="Times New Roman"/>
          <w:sz w:val="24"/>
          <w:szCs w:val="24"/>
        </w:rPr>
        <w:t>inistrstva</w:t>
      </w:r>
      <w:r>
        <w:rPr>
          <w:rFonts w:eastAsia="Arial" w:cs="Times New Roman"/>
          <w:sz w:val="24"/>
          <w:szCs w:val="24"/>
        </w:rPr>
        <w:t xml:space="preserve"> za visoko šolstvo, znanost in inovacije</w:t>
      </w:r>
      <w:r w:rsidRPr="00C024A9">
        <w:rPr>
          <w:rFonts w:eastAsia="Arial" w:cs="Times New Roman"/>
          <w:sz w:val="24"/>
          <w:szCs w:val="24"/>
        </w:rPr>
        <w:t xml:space="preserve"> je omejena na zbiranje podatkov o številu zainteresiranih študentov iz teh držav in posredovanje statističnih podatkov Ministrstvu za zunanje in evropske zadeve ob pripravi letnega poročila. Z namenom poglobljenega spremljanja tega področja je ministrstvo v okviru CRP naročilo analizo trendov oprostitev šolnin, pri čemer je za dodatne informacije pristojno izključno MVZI.</w:t>
      </w:r>
      <w:r w:rsidR="009A4AF2">
        <w:rPr>
          <w:rFonts w:eastAsia="Arial" w:cs="Times New Roman"/>
          <w:sz w:val="24"/>
          <w:szCs w:val="24"/>
        </w:rPr>
        <w:t xml:space="preserve"> Kljub vsemu pa bi bilo </w:t>
      </w:r>
      <w:r w:rsidR="009A4AF2" w:rsidRPr="009A4AF2">
        <w:rPr>
          <w:rFonts w:eastAsia="Arial" w:cs="Times New Roman"/>
          <w:sz w:val="24"/>
          <w:szCs w:val="24"/>
          <w:lang w:val="en-GB"/>
        </w:rPr>
        <w:t xml:space="preserve">da bi </w:t>
      </w:r>
      <w:proofErr w:type="spellStart"/>
      <w:r w:rsidR="009A4AF2" w:rsidRPr="009A4AF2">
        <w:rPr>
          <w:rFonts w:eastAsia="Arial" w:cs="Times New Roman"/>
          <w:sz w:val="24"/>
          <w:szCs w:val="24"/>
          <w:lang w:val="en-GB"/>
        </w:rPr>
        <w:t>že</w:t>
      </w:r>
      <w:proofErr w:type="spellEnd"/>
      <w:r w:rsidR="009A4AF2" w:rsidRPr="009A4AF2">
        <w:rPr>
          <w:rFonts w:eastAsia="Arial" w:cs="Times New Roman"/>
          <w:sz w:val="24"/>
          <w:szCs w:val="24"/>
          <w:lang w:val="en-GB"/>
        </w:rPr>
        <w:t xml:space="preserve"> v </w:t>
      </w:r>
      <w:proofErr w:type="spellStart"/>
      <w:r w:rsidR="009A4AF2" w:rsidRPr="009A4AF2">
        <w:rPr>
          <w:rFonts w:eastAsia="Arial" w:cs="Times New Roman"/>
          <w:sz w:val="24"/>
          <w:szCs w:val="24"/>
          <w:lang w:val="en-GB"/>
        </w:rPr>
        <w:t>sklepanju</w:t>
      </w:r>
      <w:proofErr w:type="spellEnd"/>
      <w:r w:rsidR="009A4AF2" w:rsidRPr="009A4AF2">
        <w:rPr>
          <w:rFonts w:eastAsia="Arial" w:cs="Times New Roman"/>
          <w:sz w:val="24"/>
          <w:szCs w:val="24"/>
          <w:lang w:val="en-GB"/>
        </w:rPr>
        <w:t xml:space="preserve"> </w:t>
      </w:r>
      <w:proofErr w:type="spellStart"/>
      <w:r w:rsidR="000145F2">
        <w:rPr>
          <w:rFonts w:eastAsia="Arial" w:cs="Times New Roman"/>
          <w:sz w:val="24"/>
          <w:szCs w:val="24"/>
          <w:lang w:val="en-GB"/>
        </w:rPr>
        <w:t>sporazumov</w:t>
      </w:r>
      <w:proofErr w:type="spellEnd"/>
      <w:r w:rsidR="000145F2">
        <w:rPr>
          <w:rFonts w:eastAsia="Arial" w:cs="Times New Roman"/>
          <w:sz w:val="24"/>
          <w:szCs w:val="24"/>
          <w:lang w:val="en-GB"/>
        </w:rPr>
        <w:t xml:space="preserve"> o </w:t>
      </w:r>
      <w:proofErr w:type="spellStart"/>
      <w:r w:rsidR="000145F2">
        <w:rPr>
          <w:rFonts w:eastAsia="Arial" w:cs="Times New Roman"/>
          <w:sz w:val="24"/>
          <w:szCs w:val="24"/>
          <w:lang w:val="en-GB"/>
        </w:rPr>
        <w:t>sodelovanju</w:t>
      </w:r>
      <w:proofErr w:type="spellEnd"/>
      <w:r w:rsidR="000145F2">
        <w:rPr>
          <w:rFonts w:eastAsia="Arial" w:cs="Times New Roman"/>
          <w:sz w:val="24"/>
          <w:szCs w:val="24"/>
          <w:lang w:val="en-GB"/>
        </w:rPr>
        <w:t xml:space="preserve"> </w:t>
      </w:r>
      <w:proofErr w:type="spellStart"/>
      <w:r w:rsidR="000145F2">
        <w:rPr>
          <w:rFonts w:eastAsia="Arial" w:cs="Times New Roman"/>
          <w:sz w:val="24"/>
          <w:szCs w:val="24"/>
          <w:lang w:val="en-GB"/>
        </w:rPr>
        <w:t>na</w:t>
      </w:r>
      <w:proofErr w:type="spellEnd"/>
      <w:r w:rsidR="000145F2">
        <w:rPr>
          <w:rFonts w:eastAsia="Arial" w:cs="Times New Roman"/>
          <w:sz w:val="24"/>
          <w:szCs w:val="24"/>
          <w:lang w:val="en-GB"/>
        </w:rPr>
        <w:t xml:space="preserve"> </w:t>
      </w:r>
      <w:proofErr w:type="spellStart"/>
      <w:r w:rsidR="000145F2">
        <w:rPr>
          <w:rFonts w:eastAsia="Arial" w:cs="Times New Roman"/>
          <w:sz w:val="24"/>
          <w:szCs w:val="24"/>
          <w:lang w:val="en-GB"/>
        </w:rPr>
        <w:t>področju</w:t>
      </w:r>
      <w:proofErr w:type="spellEnd"/>
      <w:r w:rsidR="000145F2">
        <w:rPr>
          <w:rFonts w:eastAsia="Arial" w:cs="Times New Roman"/>
          <w:sz w:val="24"/>
          <w:szCs w:val="24"/>
          <w:lang w:val="en-GB"/>
        </w:rPr>
        <w:t xml:space="preserve"> </w:t>
      </w:r>
      <w:proofErr w:type="spellStart"/>
      <w:r w:rsidR="000145F2">
        <w:rPr>
          <w:rFonts w:eastAsia="Arial" w:cs="Times New Roman"/>
          <w:sz w:val="24"/>
          <w:szCs w:val="24"/>
          <w:lang w:val="en-GB"/>
        </w:rPr>
        <w:t>izobraževanja</w:t>
      </w:r>
      <w:proofErr w:type="spellEnd"/>
      <w:r w:rsidR="000145F2">
        <w:rPr>
          <w:rFonts w:eastAsia="Arial" w:cs="Times New Roman"/>
          <w:sz w:val="24"/>
          <w:szCs w:val="24"/>
          <w:lang w:val="en-GB"/>
        </w:rPr>
        <w:t xml:space="preserve">, </w:t>
      </w:r>
      <w:proofErr w:type="spellStart"/>
      <w:r w:rsidR="009A4AF2" w:rsidRPr="009A4AF2">
        <w:rPr>
          <w:rFonts w:eastAsia="Arial" w:cs="Times New Roman"/>
          <w:sz w:val="24"/>
          <w:szCs w:val="24"/>
          <w:lang w:val="en-GB"/>
        </w:rPr>
        <w:t>vsaj</w:t>
      </w:r>
      <w:proofErr w:type="spellEnd"/>
      <w:r w:rsidR="009A4AF2" w:rsidRPr="009A4AF2">
        <w:rPr>
          <w:rFonts w:eastAsia="Arial" w:cs="Times New Roman"/>
          <w:sz w:val="24"/>
          <w:szCs w:val="24"/>
          <w:lang w:val="en-GB"/>
        </w:rPr>
        <w:t xml:space="preserve"> </w:t>
      </w:r>
      <w:r w:rsidR="009A4AF2">
        <w:rPr>
          <w:rFonts w:eastAsia="Arial" w:cs="Times New Roman"/>
          <w:sz w:val="24"/>
          <w:szCs w:val="24"/>
          <w:lang w:val="en-GB"/>
        </w:rPr>
        <w:t xml:space="preserve">za </w:t>
      </w:r>
      <w:proofErr w:type="spellStart"/>
      <w:r w:rsidR="009A4AF2">
        <w:rPr>
          <w:rFonts w:eastAsia="Arial" w:cs="Times New Roman"/>
          <w:sz w:val="24"/>
          <w:szCs w:val="24"/>
          <w:lang w:val="en-GB"/>
        </w:rPr>
        <w:t>države</w:t>
      </w:r>
      <w:proofErr w:type="spellEnd"/>
      <w:r w:rsidR="009A4AF2">
        <w:rPr>
          <w:rFonts w:eastAsia="Arial" w:cs="Times New Roman"/>
          <w:sz w:val="24"/>
          <w:szCs w:val="24"/>
          <w:lang w:val="en-GB"/>
        </w:rPr>
        <w:t xml:space="preserve">, ki </w:t>
      </w:r>
      <w:proofErr w:type="spellStart"/>
      <w:r w:rsidR="009A4AF2">
        <w:rPr>
          <w:rFonts w:eastAsia="Arial" w:cs="Times New Roman"/>
          <w:sz w:val="24"/>
          <w:szCs w:val="24"/>
          <w:lang w:val="en-GB"/>
        </w:rPr>
        <w:t>jih</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prednostne</w:t>
      </w:r>
      <w:proofErr w:type="spellEnd"/>
      <w:r w:rsidR="009A4AF2">
        <w:rPr>
          <w:rFonts w:eastAsia="Arial" w:cs="Times New Roman"/>
          <w:sz w:val="24"/>
          <w:szCs w:val="24"/>
          <w:lang w:val="en-GB"/>
        </w:rPr>
        <w:t xml:space="preserve"> Slovenija </w:t>
      </w:r>
      <w:proofErr w:type="spellStart"/>
      <w:r w:rsidR="009A4AF2">
        <w:rPr>
          <w:rFonts w:eastAsia="Arial" w:cs="Times New Roman"/>
          <w:sz w:val="24"/>
          <w:szCs w:val="24"/>
          <w:lang w:val="en-GB"/>
        </w:rPr>
        <w:t>identificira</w:t>
      </w:r>
      <w:proofErr w:type="spellEnd"/>
      <w:r w:rsidR="009A4AF2">
        <w:rPr>
          <w:rFonts w:eastAsia="Arial" w:cs="Times New Roman"/>
          <w:sz w:val="24"/>
          <w:szCs w:val="24"/>
          <w:lang w:val="en-GB"/>
        </w:rPr>
        <w:t xml:space="preserve"> v </w:t>
      </w:r>
      <w:proofErr w:type="spellStart"/>
      <w:r w:rsidR="009A4AF2">
        <w:rPr>
          <w:rFonts w:eastAsia="Arial" w:cs="Times New Roman"/>
          <w:sz w:val="24"/>
          <w:szCs w:val="24"/>
          <w:lang w:val="en-GB"/>
        </w:rPr>
        <w:t>okviru</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mednarodnega</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razvojnega</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sodelovanja</w:t>
      </w:r>
      <w:proofErr w:type="spellEnd"/>
      <w:r w:rsidR="009A4AF2">
        <w:rPr>
          <w:rFonts w:eastAsia="Arial" w:cs="Times New Roman"/>
          <w:sz w:val="24"/>
          <w:szCs w:val="24"/>
          <w:lang w:val="en-GB"/>
        </w:rPr>
        <w:t xml:space="preserve"> in </w:t>
      </w:r>
      <w:proofErr w:type="spellStart"/>
      <w:r w:rsidR="009A4AF2">
        <w:rPr>
          <w:rFonts w:eastAsia="Arial" w:cs="Times New Roman"/>
          <w:sz w:val="24"/>
          <w:szCs w:val="24"/>
          <w:lang w:val="en-GB"/>
        </w:rPr>
        <w:t>humanitarne</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pomoči</w:t>
      </w:r>
      <w:proofErr w:type="spellEnd"/>
      <w:r w:rsidR="009A4AF2">
        <w:rPr>
          <w:rFonts w:eastAsia="Arial" w:cs="Times New Roman"/>
          <w:sz w:val="24"/>
          <w:szCs w:val="24"/>
          <w:lang w:val="en-GB"/>
        </w:rPr>
        <w:t xml:space="preserve">, </w:t>
      </w:r>
      <w:proofErr w:type="spellStart"/>
      <w:r w:rsidR="009A4AF2" w:rsidRPr="009A4AF2">
        <w:rPr>
          <w:rFonts w:eastAsia="Arial" w:cs="Times New Roman"/>
          <w:sz w:val="24"/>
          <w:szCs w:val="24"/>
          <w:lang w:val="en-GB"/>
        </w:rPr>
        <w:t>moralo</w:t>
      </w:r>
      <w:proofErr w:type="spellEnd"/>
      <w:r w:rsidR="009A4AF2" w:rsidRPr="009A4AF2">
        <w:rPr>
          <w:rFonts w:eastAsia="Arial" w:cs="Times New Roman"/>
          <w:sz w:val="24"/>
          <w:szCs w:val="24"/>
          <w:lang w:val="en-GB"/>
        </w:rPr>
        <w:t xml:space="preserve"> </w:t>
      </w:r>
      <w:proofErr w:type="spellStart"/>
      <w:r w:rsidR="009A4AF2" w:rsidRPr="009A4AF2">
        <w:rPr>
          <w:rFonts w:eastAsia="Arial" w:cs="Times New Roman"/>
          <w:sz w:val="24"/>
          <w:szCs w:val="24"/>
          <w:lang w:val="en-GB"/>
        </w:rPr>
        <w:t>vsebino</w:t>
      </w:r>
      <w:proofErr w:type="spellEnd"/>
      <w:r w:rsidR="009A4AF2" w:rsidRPr="009A4AF2">
        <w:rPr>
          <w:rFonts w:eastAsia="Arial" w:cs="Times New Roman"/>
          <w:sz w:val="24"/>
          <w:szCs w:val="24"/>
          <w:lang w:val="en-GB"/>
        </w:rPr>
        <w:t xml:space="preserve"> </w:t>
      </w:r>
      <w:proofErr w:type="spellStart"/>
      <w:r w:rsidR="009A4AF2" w:rsidRPr="009A4AF2">
        <w:rPr>
          <w:rFonts w:eastAsia="Arial" w:cs="Times New Roman"/>
          <w:sz w:val="24"/>
          <w:szCs w:val="24"/>
          <w:lang w:val="en-GB"/>
        </w:rPr>
        <w:t>koordinirati</w:t>
      </w:r>
      <w:proofErr w:type="spellEnd"/>
      <w:r w:rsidR="009A4AF2" w:rsidRPr="009A4AF2">
        <w:rPr>
          <w:rFonts w:eastAsia="Arial" w:cs="Times New Roman"/>
          <w:sz w:val="24"/>
          <w:szCs w:val="24"/>
          <w:lang w:val="en-GB"/>
        </w:rPr>
        <w:t xml:space="preserve"> z </w:t>
      </w:r>
      <w:proofErr w:type="spellStart"/>
      <w:r w:rsidR="009A4AF2" w:rsidRPr="009A4AF2">
        <w:rPr>
          <w:rFonts w:eastAsia="Arial" w:cs="Times New Roman"/>
          <w:sz w:val="24"/>
          <w:szCs w:val="24"/>
          <w:lang w:val="en-GB"/>
        </w:rPr>
        <w:t>Direktoratom</w:t>
      </w:r>
      <w:proofErr w:type="spellEnd"/>
      <w:r w:rsidR="009A4AF2">
        <w:rPr>
          <w:rFonts w:eastAsia="Arial" w:cs="Times New Roman"/>
          <w:sz w:val="24"/>
          <w:szCs w:val="24"/>
          <w:lang w:val="en-GB"/>
        </w:rPr>
        <w:t xml:space="preserve"> za </w:t>
      </w:r>
      <w:proofErr w:type="spellStart"/>
      <w:r w:rsidR="009A4AF2">
        <w:rPr>
          <w:rFonts w:eastAsia="Arial" w:cs="Times New Roman"/>
          <w:sz w:val="24"/>
          <w:szCs w:val="24"/>
          <w:lang w:val="en-GB"/>
        </w:rPr>
        <w:t>mednarodno</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razvojno</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sodelovanje</w:t>
      </w:r>
      <w:proofErr w:type="spellEnd"/>
      <w:r w:rsidR="009A4AF2">
        <w:rPr>
          <w:rFonts w:eastAsia="Arial" w:cs="Times New Roman"/>
          <w:sz w:val="24"/>
          <w:szCs w:val="24"/>
          <w:lang w:val="en-GB"/>
        </w:rPr>
        <w:t xml:space="preserve"> in </w:t>
      </w:r>
      <w:proofErr w:type="spellStart"/>
      <w:r w:rsidR="009A4AF2">
        <w:rPr>
          <w:rFonts w:eastAsia="Arial" w:cs="Times New Roman"/>
          <w:sz w:val="24"/>
          <w:szCs w:val="24"/>
          <w:lang w:val="en-GB"/>
        </w:rPr>
        <w:t>humanitarno</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pomoč</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na</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Ministrstvu</w:t>
      </w:r>
      <w:proofErr w:type="spellEnd"/>
      <w:r w:rsidR="009A4AF2">
        <w:rPr>
          <w:rFonts w:eastAsia="Arial" w:cs="Times New Roman"/>
          <w:sz w:val="24"/>
          <w:szCs w:val="24"/>
          <w:lang w:val="en-GB"/>
        </w:rPr>
        <w:t xml:space="preserve"> za </w:t>
      </w:r>
      <w:proofErr w:type="spellStart"/>
      <w:r w:rsidR="009A4AF2">
        <w:rPr>
          <w:rFonts w:eastAsia="Arial" w:cs="Times New Roman"/>
          <w:sz w:val="24"/>
          <w:szCs w:val="24"/>
          <w:lang w:val="en-GB"/>
        </w:rPr>
        <w:t>zunanje</w:t>
      </w:r>
      <w:proofErr w:type="spellEnd"/>
      <w:r w:rsidR="009A4AF2">
        <w:rPr>
          <w:rFonts w:eastAsia="Arial" w:cs="Times New Roman"/>
          <w:sz w:val="24"/>
          <w:szCs w:val="24"/>
          <w:lang w:val="en-GB"/>
        </w:rPr>
        <w:t xml:space="preserve"> in </w:t>
      </w:r>
      <w:proofErr w:type="spellStart"/>
      <w:r w:rsidR="009A4AF2">
        <w:rPr>
          <w:rFonts w:eastAsia="Arial" w:cs="Times New Roman"/>
          <w:sz w:val="24"/>
          <w:szCs w:val="24"/>
          <w:lang w:val="en-GB"/>
        </w:rPr>
        <w:t>evropske</w:t>
      </w:r>
      <w:proofErr w:type="spellEnd"/>
      <w:r w:rsidR="009A4AF2">
        <w:rPr>
          <w:rFonts w:eastAsia="Arial" w:cs="Times New Roman"/>
          <w:sz w:val="24"/>
          <w:szCs w:val="24"/>
          <w:lang w:val="en-GB"/>
        </w:rPr>
        <w:t xml:space="preserve"> </w:t>
      </w:r>
      <w:proofErr w:type="spellStart"/>
      <w:r w:rsidR="009A4AF2">
        <w:rPr>
          <w:rFonts w:eastAsia="Arial" w:cs="Times New Roman"/>
          <w:sz w:val="24"/>
          <w:szCs w:val="24"/>
          <w:lang w:val="en-GB"/>
        </w:rPr>
        <w:t>zadeve</w:t>
      </w:r>
      <w:proofErr w:type="spellEnd"/>
      <w:r w:rsidR="009A4AF2">
        <w:rPr>
          <w:rFonts w:eastAsia="Arial" w:cs="Times New Roman"/>
          <w:sz w:val="24"/>
          <w:szCs w:val="24"/>
          <w:lang w:val="en-GB"/>
        </w:rPr>
        <w:t xml:space="preserve">. </w:t>
      </w:r>
    </w:p>
    <w:p w14:paraId="2B7DCE0D" w14:textId="5F6C4769" w:rsidR="00896C6F" w:rsidRPr="00BC781C" w:rsidRDefault="00896C6F" w:rsidP="003D0607">
      <w:pPr>
        <w:pStyle w:val="ListParagraph"/>
        <w:ind w:left="0"/>
        <w:rPr>
          <w:rFonts w:eastAsia="Arial" w:cs="Times New Roman"/>
          <w:sz w:val="24"/>
          <w:szCs w:val="24"/>
        </w:rPr>
      </w:pPr>
      <w:r w:rsidRPr="00BC781C">
        <w:rPr>
          <w:rFonts w:eastAsia="Arial" w:cs="Times New Roman"/>
          <w:sz w:val="24"/>
          <w:szCs w:val="24"/>
        </w:rPr>
        <w:t>Drugo tako področje, ki ga je razkrila naša analiza razvojnih projektov oz. tokov razvojne pomoči, je področje migracij. Večin</w:t>
      </w:r>
      <w:r w:rsidR="00625555">
        <w:rPr>
          <w:rFonts w:eastAsia="Arial" w:cs="Times New Roman"/>
          <w:sz w:val="24"/>
          <w:szCs w:val="24"/>
        </w:rPr>
        <w:t>a</w:t>
      </w:r>
      <w:r w:rsidRPr="00BC781C">
        <w:rPr>
          <w:rFonts w:eastAsia="Arial" w:cs="Times New Roman"/>
          <w:sz w:val="24"/>
          <w:szCs w:val="24"/>
        </w:rPr>
        <w:t xml:space="preserve"> stroškov na tem področju je neopredeljenih in nastajajo v skladu z drugimi sporazumi, ki zavezujejo Slovenijo. Tudi tu bi prisotnost večje koordinacije politik, vključno s politiko na področju trga delovne sile, lahko rezultirala v večji sinergiji učinkov in boljšemu spoštovanju CTR.</w:t>
      </w:r>
    </w:p>
    <w:p w14:paraId="53C8786D" w14:textId="77777777" w:rsidR="00896C6F" w:rsidRPr="00BC781C" w:rsidRDefault="00896C6F" w:rsidP="003D0607">
      <w:pPr>
        <w:pStyle w:val="ListParagraph"/>
        <w:ind w:left="0"/>
        <w:rPr>
          <w:rFonts w:eastAsia="Arial" w:cs="Times New Roman"/>
          <w:b/>
          <w:bCs/>
          <w:sz w:val="24"/>
          <w:szCs w:val="24"/>
        </w:rPr>
      </w:pPr>
    </w:p>
    <w:p w14:paraId="244FDC92" w14:textId="5FA173D2" w:rsidR="0023057B" w:rsidRPr="00BC781C" w:rsidRDefault="0023057B" w:rsidP="00663B69">
      <w:pPr>
        <w:pStyle w:val="ListParagraph"/>
        <w:numPr>
          <w:ilvl w:val="0"/>
          <w:numId w:val="36"/>
        </w:numPr>
        <w:rPr>
          <w:rFonts w:eastAsia="Arial" w:cs="Times New Roman"/>
          <w:b/>
          <w:bCs/>
          <w:sz w:val="24"/>
          <w:szCs w:val="24"/>
        </w:rPr>
      </w:pPr>
      <w:r w:rsidRPr="00BC781C">
        <w:rPr>
          <w:rFonts w:eastAsia="Arial" w:cs="Times New Roman"/>
          <w:b/>
          <w:bCs/>
          <w:sz w:val="24"/>
          <w:szCs w:val="24"/>
        </w:rPr>
        <w:t>Primerno vključiti subnacionalne ravni države na področjih</w:t>
      </w:r>
      <w:r w:rsidR="00896C6F" w:rsidRPr="00BC781C">
        <w:rPr>
          <w:rFonts w:eastAsia="Arial" w:cs="Times New Roman"/>
          <w:b/>
          <w:bCs/>
          <w:sz w:val="24"/>
          <w:szCs w:val="24"/>
        </w:rPr>
        <w:t>,</w:t>
      </w:r>
      <w:r w:rsidRPr="00BC781C">
        <w:rPr>
          <w:rFonts w:eastAsia="Arial" w:cs="Times New Roman"/>
          <w:b/>
          <w:bCs/>
          <w:sz w:val="24"/>
          <w:szCs w:val="24"/>
        </w:rPr>
        <w:t xml:space="preserve"> kjer je pomembna njihova vloga pri koordinaciji politik in promoviranju koordiniranega pristopa</w:t>
      </w:r>
    </w:p>
    <w:p w14:paraId="5B72821F" w14:textId="0A967BA0" w:rsidR="00290C22" w:rsidRPr="00BC781C" w:rsidRDefault="00847D0E" w:rsidP="00896C6F">
      <w:pPr>
        <w:rPr>
          <w:rFonts w:eastAsia="Arial" w:cs="Times New Roman"/>
          <w:sz w:val="24"/>
          <w:szCs w:val="24"/>
        </w:rPr>
      </w:pPr>
      <w:r w:rsidRPr="00BC781C">
        <w:rPr>
          <w:rFonts w:eastAsia="Arial" w:cs="Times New Roman"/>
          <w:sz w:val="24"/>
          <w:szCs w:val="24"/>
        </w:rPr>
        <w:t xml:space="preserve">V pregledu in analizi nismo zasledili </w:t>
      </w:r>
      <w:r w:rsidR="00290C22" w:rsidRPr="00BC781C">
        <w:rPr>
          <w:rFonts w:eastAsia="Arial" w:cs="Times New Roman"/>
          <w:sz w:val="24"/>
          <w:szCs w:val="24"/>
        </w:rPr>
        <w:t>podatkov, da bi se vključevalo subnacionalne ravni v izvajanje Strategije Slovenije, čeprav je v sami Strategiji bil dan poudarek regijskemu pristopu.</w:t>
      </w:r>
      <w:r w:rsidR="001E09D6" w:rsidRPr="00BC781C">
        <w:rPr>
          <w:rFonts w:eastAsia="Arial" w:cs="Times New Roman"/>
          <w:sz w:val="24"/>
          <w:szCs w:val="24"/>
        </w:rPr>
        <w:t xml:space="preserve"> Ker se s strani tekoče vlade ne obravnava uresničevanj</w:t>
      </w:r>
      <w:r w:rsidRPr="00BC781C">
        <w:rPr>
          <w:rFonts w:eastAsia="Arial" w:cs="Times New Roman"/>
          <w:sz w:val="24"/>
          <w:szCs w:val="24"/>
        </w:rPr>
        <w:t>a</w:t>
      </w:r>
      <w:r w:rsidR="001E09D6" w:rsidRPr="00BC781C">
        <w:rPr>
          <w:rFonts w:eastAsia="Arial" w:cs="Times New Roman"/>
          <w:sz w:val="24"/>
          <w:szCs w:val="24"/>
        </w:rPr>
        <w:t xml:space="preserve"> Strategije </w:t>
      </w:r>
      <w:r w:rsidR="00625555">
        <w:rPr>
          <w:rFonts w:eastAsia="Arial" w:cs="Times New Roman"/>
          <w:sz w:val="24"/>
          <w:szCs w:val="24"/>
        </w:rPr>
        <w:t xml:space="preserve">razvoja </w:t>
      </w:r>
      <w:r w:rsidR="001E09D6" w:rsidRPr="00BC781C">
        <w:rPr>
          <w:rFonts w:eastAsia="Arial" w:cs="Times New Roman"/>
          <w:sz w:val="24"/>
          <w:szCs w:val="24"/>
        </w:rPr>
        <w:t>Slovenije 2030, predvidevamo, da tudi ne prihaja do promoviranja koordiniranega pristopa.</w:t>
      </w:r>
    </w:p>
    <w:p w14:paraId="26CD8B9B" w14:textId="61ECC539" w:rsidR="0023057B" w:rsidRPr="00BC781C" w:rsidRDefault="0023057B" w:rsidP="00847D0E">
      <w:pPr>
        <w:pStyle w:val="ListParagraph"/>
        <w:numPr>
          <w:ilvl w:val="0"/>
          <w:numId w:val="36"/>
        </w:numPr>
        <w:rPr>
          <w:rFonts w:eastAsia="Arial" w:cs="Times New Roman"/>
          <w:b/>
          <w:bCs/>
          <w:sz w:val="24"/>
          <w:szCs w:val="24"/>
        </w:rPr>
      </w:pPr>
      <w:r w:rsidRPr="00BC781C">
        <w:rPr>
          <w:rFonts w:eastAsia="Arial" w:cs="Times New Roman"/>
          <w:b/>
          <w:bCs/>
          <w:sz w:val="24"/>
          <w:szCs w:val="24"/>
        </w:rPr>
        <w:t>Učinkovito vključiti deležnike za zagotavljanje širše podpore SPTR in izvajanju tega načela.</w:t>
      </w:r>
    </w:p>
    <w:p w14:paraId="5A87D394" w14:textId="57FC6D45" w:rsidR="00896C6F" w:rsidRPr="00BC781C" w:rsidRDefault="00896C6F" w:rsidP="00896C6F">
      <w:pPr>
        <w:rPr>
          <w:rFonts w:eastAsia="Arial" w:cs="Times New Roman"/>
          <w:sz w:val="24"/>
          <w:szCs w:val="24"/>
        </w:rPr>
      </w:pPr>
      <w:r w:rsidRPr="00BC781C">
        <w:rPr>
          <w:rFonts w:eastAsia="Arial" w:cs="Times New Roman"/>
          <w:sz w:val="24"/>
          <w:szCs w:val="24"/>
        </w:rPr>
        <w:t>Če se je Agendi 2030 ob samem sprejetju še namenjalo pozornost v javnosti, predvsem znotraj izobraževalnega procesa, se zdi, da so CTR in s tem seveda tudi SPTR pozabljeni temi</w:t>
      </w:r>
      <w:r w:rsidR="00925CE3" w:rsidRPr="00BC781C">
        <w:rPr>
          <w:rFonts w:eastAsia="Arial" w:cs="Times New Roman"/>
          <w:sz w:val="24"/>
          <w:szCs w:val="24"/>
        </w:rPr>
        <w:t>. Tako se sistematično ne zagotavlja vključevanj</w:t>
      </w:r>
      <w:r w:rsidR="00625555">
        <w:rPr>
          <w:rFonts w:eastAsia="Arial" w:cs="Times New Roman"/>
          <w:sz w:val="24"/>
          <w:szCs w:val="24"/>
        </w:rPr>
        <w:t>a</w:t>
      </w:r>
      <w:r w:rsidR="00925CE3" w:rsidRPr="00BC781C">
        <w:rPr>
          <w:rFonts w:eastAsia="Arial" w:cs="Times New Roman"/>
          <w:sz w:val="24"/>
          <w:szCs w:val="24"/>
        </w:rPr>
        <w:t xml:space="preserve"> deležnikov v podporo CTR ali doseganju skladnosti politik. V osnovi gre za nezadostno integracijo konceptov v nacionalno politiko in posledično tudi za pomanjkanje potrebe</w:t>
      </w:r>
      <w:r w:rsidR="00181521" w:rsidRPr="00BC781C">
        <w:rPr>
          <w:rFonts w:eastAsia="Arial" w:cs="Times New Roman"/>
          <w:sz w:val="24"/>
          <w:szCs w:val="24"/>
        </w:rPr>
        <w:t xml:space="preserve"> oz. </w:t>
      </w:r>
      <w:r w:rsidR="00925CE3" w:rsidRPr="00BC781C">
        <w:rPr>
          <w:rFonts w:eastAsia="Arial" w:cs="Times New Roman"/>
          <w:sz w:val="24"/>
          <w:szCs w:val="24"/>
        </w:rPr>
        <w:t xml:space="preserve">volje za vključevanje </w:t>
      </w:r>
      <w:r w:rsidR="00290C22" w:rsidRPr="00BC781C">
        <w:rPr>
          <w:rFonts w:eastAsia="Arial" w:cs="Times New Roman"/>
          <w:sz w:val="24"/>
          <w:szCs w:val="24"/>
        </w:rPr>
        <w:t xml:space="preserve">drugih deležnikov v procese. Kritične do tega dejstva ostajajo nevladne organizacije, ki si še (občasno) prizadevajo za seznanjanje javnosti o CTR in hkrati tudi obujajo koncept skladnosti politik za razvoj. </w:t>
      </w:r>
    </w:p>
    <w:p w14:paraId="0AFBACA9" w14:textId="20123040" w:rsidR="001E09D6" w:rsidRPr="00BC781C" w:rsidRDefault="00290C22" w:rsidP="00896C6F">
      <w:pPr>
        <w:rPr>
          <w:rFonts w:eastAsia="Arial" w:cs="Times New Roman"/>
          <w:sz w:val="24"/>
          <w:szCs w:val="24"/>
        </w:rPr>
      </w:pPr>
      <w:r w:rsidRPr="00BC781C">
        <w:rPr>
          <w:rFonts w:eastAsia="Arial" w:cs="Times New Roman"/>
          <w:sz w:val="24"/>
          <w:szCs w:val="24"/>
        </w:rPr>
        <w:t xml:space="preserve">Tretji steber Priporočil OECD za uresničevanje načela skladnosti politik zajema oblikovanje posebnih orodij za izvajanje, spremljanje in vrednotenje izvajanja načela SPTR.  </w:t>
      </w:r>
    </w:p>
    <w:p w14:paraId="14DE19FB" w14:textId="77777777" w:rsidR="001E3C8B" w:rsidRPr="00BC781C" w:rsidRDefault="001E09D6" w:rsidP="001E3C8B">
      <w:pPr>
        <w:pStyle w:val="ListParagraph"/>
        <w:numPr>
          <w:ilvl w:val="0"/>
          <w:numId w:val="36"/>
        </w:numPr>
        <w:rPr>
          <w:rFonts w:eastAsia="Arial" w:cs="Times New Roman"/>
          <w:b/>
          <w:bCs/>
          <w:sz w:val="24"/>
          <w:szCs w:val="24"/>
        </w:rPr>
      </w:pPr>
      <w:r w:rsidRPr="00BC781C">
        <w:rPr>
          <w:rFonts w:eastAsia="Arial" w:cs="Times New Roman"/>
          <w:b/>
          <w:bCs/>
          <w:sz w:val="24"/>
          <w:szCs w:val="24"/>
        </w:rPr>
        <w:t>Analiza in ocena politik in finančnih učinkov</w:t>
      </w:r>
    </w:p>
    <w:p w14:paraId="30AA8DDD" w14:textId="6506CEA6" w:rsidR="001E09D6" w:rsidRPr="00BC781C" w:rsidRDefault="001E3C8B" w:rsidP="001E3C8B">
      <w:pPr>
        <w:rPr>
          <w:rFonts w:eastAsia="Arial" w:cs="Times New Roman"/>
          <w:sz w:val="24"/>
          <w:szCs w:val="24"/>
        </w:rPr>
      </w:pPr>
      <w:r w:rsidRPr="00BC781C">
        <w:rPr>
          <w:rFonts w:eastAsia="Arial" w:cs="Times New Roman"/>
          <w:sz w:val="24"/>
          <w:szCs w:val="24"/>
        </w:rPr>
        <w:lastRenderedPageBreak/>
        <w:t>T</w:t>
      </w:r>
      <w:r w:rsidR="001E09D6" w:rsidRPr="00BC781C">
        <w:rPr>
          <w:rFonts w:eastAsia="Arial" w:cs="Times New Roman"/>
          <w:sz w:val="24"/>
          <w:szCs w:val="24"/>
        </w:rPr>
        <w:t xml:space="preserve">ekom naše raziskave nismo identificirali sistematičnih analiz in ocen politik, ki bi se nanašale na uresničevanje CTR oziroma Strategije razvoja Slovenije kot krovnega dokumenta, vezanega na slovensko uresničevanje Agende 2030. Deloma lahko govorimo o analizi politik zgolj na ožjem področju upoštevanja načela skladnosti politik za razvoj, ki se izvaja v sklopu vrednotenja uresničevanja Strategije mednarodnega razvojnega sodelovanja, kjer je ocena skladnosti del celotnega vrednotenja. </w:t>
      </w:r>
    </w:p>
    <w:p w14:paraId="4AF6D4DE" w14:textId="7A511C6A" w:rsidR="00445B92" w:rsidRPr="00BC781C" w:rsidRDefault="001E09D6" w:rsidP="00445B92">
      <w:pPr>
        <w:pStyle w:val="ListParagraph"/>
        <w:numPr>
          <w:ilvl w:val="0"/>
          <w:numId w:val="36"/>
        </w:numPr>
        <w:shd w:val="clear" w:color="auto" w:fill="FFFFFF"/>
        <w:spacing w:before="240" w:after="240" w:line="276" w:lineRule="auto"/>
        <w:rPr>
          <w:rFonts w:eastAsia="Arial" w:cs="Times New Roman"/>
          <w:b/>
          <w:bCs/>
          <w:sz w:val="24"/>
          <w:szCs w:val="24"/>
        </w:rPr>
      </w:pPr>
      <w:r w:rsidRPr="00BC781C">
        <w:rPr>
          <w:rFonts w:eastAsia="Arial" w:cs="Times New Roman"/>
          <w:b/>
          <w:bCs/>
          <w:sz w:val="24"/>
          <w:szCs w:val="24"/>
        </w:rPr>
        <w:t>Krepitev sistemov nadzora, poročanja in evalvacije za zbiranje kvantitativne in kvalitativne evidence o učinkih politik in njihovega financiranja ter poročanju o SPTR</w:t>
      </w:r>
      <w:r w:rsidR="005807D8" w:rsidRPr="00BC781C">
        <w:rPr>
          <w:rFonts w:eastAsia="Arial" w:cs="Times New Roman"/>
          <w:b/>
          <w:bCs/>
          <w:sz w:val="24"/>
          <w:szCs w:val="24"/>
        </w:rPr>
        <w:t xml:space="preserve"> </w:t>
      </w:r>
    </w:p>
    <w:p w14:paraId="1204785D" w14:textId="4A0F6AFF" w:rsidR="005807D8" w:rsidRPr="00BC781C" w:rsidRDefault="005807D8"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Ker Slovenija nima osrednjega organa za spremljanje uresničevanja nacionalne Strategije razvoja, tudi ni imenovala organa za spremljanje skladnosti politik s </w:t>
      </w:r>
      <w:r w:rsidR="00445B92" w:rsidRPr="00BC781C">
        <w:rPr>
          <w:rFonts w:eastAsia="Arial" w:cs="Times New Roman"/>
          <w:sz w:val="24"/>
          <w:szCs w:val="24"/>
        </w:rPr>
        <w:t>CTR</w:t>
      </w:r>
      <w:r w:rsidRPr="00BC781C">
        <w:rPr>
          <w:rFonts w:eastAsia="Arial" w:cs="Times New Roman"/>
          <w:sz w:val="24"/>
          <w:szCs w:val="24"/>
        </w:rPr>
        <w:t>. Je pa MZEZ zadolženo za spremljanje skladnosti politik za razvoj</w:t>
      </w:r>
      <w:r w:rsidR="0067503D" w:rsidRPr="00BC781C">
        <w:rPr>
          <w:rFonts w:eastAsia="Arial" w:cs="Times New Roman"/>
          <w:sz w:val="24"/>
          <w:szCs w:val="24"/>
        </w:rPr>
        <w:t xml:space="preserve"> –</w:t>
      </w:r>
      <w:r w:rsidRPr="00BC781C">
        <w:rPr>
          <w:rFonts w:eastAsia="Arial" w:cs="Times New Roman"/>
          <w:sz w:val="24"/>
          <w:szCs w:val="24"/>
        </w:rPr>
        <w:t xml:space="preserve"> torej ožjega spremljanja skladnosti, kjer se osredotočamo zgolj na skladnost različnih politik z razvojno pomočjo, ki jo zagotavlja država. Osrednji namen naše naloge pa je prav krepitev sistem nadzora, poročanja in evalvacije izvajanja načela skladnosti politik za razvoj.</w:t>
      </w:r>
    </w:p>
    <w:p w14:paraId="45BD1C80" w14:textId="77777777" w:rsidR="005807D8" w:rsidRPr="00BC781C" w:rsidRDefault="005807D8"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Na podlagi vseh opravljenih analiz, pregledanih mednarodnih dokumentih ter oceni zatečenega stanja v Sloveniji smo oblikovali tako kratkoročne kot dolgoročne predloge za izboljšanje stanja na področju skladnosti politik za razvoj in za postopno oblikovanje sistema spremljanja načela skladnosti za vse politike, ki vplivajo na doseganje ciljev trajnostnega razvoja.</w:t>
      </w:r>
    </w:p>
    <w:p w14:paraId="276752D8" w14:textId="5D959E43" w:rsidR="005807D8" w:rsidRPr="00BC781C" w:rsidRDefault="005807D8" w:rsidP="00BC781C">
      <w:pPr>
        <w:pStyle w:val="Heading2"/>
        <w:rPr>
          <w:rFonts w:eastAsia="Arial" w:cs="Times New Roman"/>
          <w:szCs w:val="24"/>
        </w:rPr>
      </w:pPr>
      <w:bookmarkStart w:id="14" w:name="_Toc205412256"/>
      <w:r w:rsidRPr="00BC781C">
        <w:rPr>
          <w:rFonts w:eastAsia="Arial" w:cs="Times New Roman"/>
          <w:szCs w:val="24"/>
        </w:rPr>
        <w:t>Kratkoročni ukrepi</w:t>
      </w:r>
      <w:bookmarkEnd w:id="14"/>
    </w:p>
    <w:p w14:paraId="18CABDD3" w14:textId="28FCCDA0" w:rsidR="00BC39CD" w:rsidRPr="00BC781C" w:rsidRDefault="00FE63AA"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Ministrstvo za zunanje in evropske zadeve Republike Slovenije </w:t>
      </w:r>
      <w:r w:rsidR="005807D8" w:rsidRPr="00BC781C">
        <w:rPr>
          <w:rFonts w:eastAsia="Arial" w:cs="Times New Roman"/>
          <w:sz w:val="24"/>
          <w:szCs w:val="24"/>
        </w:rPr>
        <w:t xml:space="preserve">lahko realno poseže predvsem na področje zagotavljanja skladnosti politik z vsebino mednarodnega razvojnega sodelovanja. </w:t>
      </w:r>
      <w:r w:rsidR="00921AAB" w:rsidRPr="00BC781C">
        <w:rPr>
          <w:rFonts w:eastAsia="Arial" w:cs="Times New Roman"/>
          <w:sz w:val="24"/>
          <w:szCs w:val="24"/>
        </w:rPr>
        <w:t>Vendar tudi tu ne gre brez večje politične zavezanosti načelu skladnosti</w:t>
      </w:r>
      <w:r w:rsidR="00BC39CD" w:rsidRPr="00BC781C">
        <w:rPr>
          <w:rFonts w:eastAsia="Arial" w:cs="Times New Roman"/>
          <w:sz w:val="24"/>
          <w:szCs w:val="24"/>
        </w:rPr>
        <w:t xml:space="preserve"> na ravni vlade in ne zgolj ministrstva.</w:t>
      </w:r>
    </w:p>
    <w:p w14:paraId="1E64AC95" w14:textId="38824F91" w:rsidR="00BC39CD" w:rsidRPr="00BC781C" w:rsidRDefault="00BC39CD"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M</w:t>
      </w:r>
      <w:r w:rsidR="00FE63AA" w:rsidRPr="00BC781C">
        <w:rPr>
          <w:rFonts w:eastAsia="Arial" w:cs="Times New Roman"/>
          <w:sz w:val="24"/>
          <w:szCs w:val="24"/>
        </w:rPr>
        <w:t xml:space="preserve">inistrstvo za zunanje in evropske zadeve </w:t>
      </w:r>
      <w:r w:rsidRPr="00BC781C">
        <w:rPr>
          <w:rFonts w:eastAsia="Arial" w:cs="Times New Roman"/>
          <w:sz w:val="24"/>
          <w:szCs w:val="24"/>
        </w:rPr>
        <w:t>oz. Direktorat za mednarodno razvojno sodelovanje in humanitarno pomoč ustrezno zagotavlja skladnost svojih razpisov s sprejeto Strategijo MRS. Analiza financiranih projektov nam je potrdila, da so le-ti skladni tako s Strategijo kot s CTR. Enako velja tudi za projekte, katerih izvedba je zaupana Centru za mednarodno sodelovanje</w:t>
      </w:r>
      <w:r w:rsidR="00FE63AA" w:rsidRPr="00BC781C">
        <w:rPr>
          <w:rFonts w:eastAsia="Arial" w:cs="Times New Roman"/>
          <w:sz w:val="24"/>
          <w:szCs w:val="24"/>
        </w:rPr>
        <w:t xml:space="preserve"> in razvolj</w:t>
      </w:r>
      <w:r w:rsidRPr="00BC781C">
        <w:rPr>
          <w:rFonts w:eastAsia="Arial" w:cs="Times New Roman"/>
          <w:sz w:val="24"/>
          <w:szCs w:val="24"/>
        </w:rPr>
        <w:t xml:space="preserve">. Predlagamo </w:t>
      </w:r>
      <w:r w:rsidRPr="00BC781C">
        <w:rPr>
          <w:rFonts w:eastAsia="Arial" w:cs="Times New Roman"/>
          <w:b/>
          <w:bCs/>
          <w:sz w:val="24"/>
          <w:szCs w:val="24"/>
        </w:rPr>
        <w:t>nadaljevanje obstoječe prakse</w:t>
      </w:r>
      <w:r w:rsidRPr="00BC781C">
        <w:rPr>
          <w:rFonts w:eastAsia="Arial" w:cs="Times New Roman"/>
          <w:sz w:val="24"/>
          <w:szCs w:val="24"/>
        </w:rPr>
        <w:t xml:space="preserve"> ob zagotavljanju </w:t>
      </w:r>
      <w:r w:rsidRPr="00BC781C">
        <w:rPr>
          <w:rFonts w:eastAsia="Arial" w:cs="Times New Roman"/>
          <w:b/>
          <w:bCs/>
          <w:sz w:val="24"/>
          <w:szCs w:val="24"/>
        </w:rPr>
        <w:t>sistematičnega spremljanja in evalvacije</w:t>
      </w:r>
      <w:r w:rsidRPr="00BC781C">
        <w:rPr>
          <w:rFonts w:eastAsia="Arial" w:cs="Times New Roman"/>
          <w:sz w:val="24"/>
          <w:szCs w:val="24"/>
        </w:rPr>
        <w:t xml:space="preserve"> učinkov projektov v državah prejemnicah.  </w:t>
      </w:r>
      <w:r w:rsidR="00921AAB" w:rsidRPr="00BC781C">
        <w:rPr>
          <w:rFonts w:eastAsia="Arial" w:cs="Times New Roman"/>
          <w:sz w:val="24"/>
          <w:szCs w:val="24"/>
        </w:rPr>
        <w:t xml:space="preserve"> </w:t>
      </w:r>
    </w:p>
    <w:p w14:paraId="6B810AEC" w14:textId="7CEED8F2" w:rsidR="00921AAB" w:rsidRPr="00BC781C" w:rsidRDefault="0067503D"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Stalna medresorska koordinacijska skupina za mednarodno razvojno sodelovanje</w:t>
      </w:r>
      <w:r w:rsidR="005807D8" w:rsidRPr="00BC781C">
        <w:rPr>
          <w:rFonts w:eastAsia="Arial" w:cs="Times New Roman"/>
          <w:sz w:val="24"/>
          <w:szCs w:val="24"/>
        </w:rPr>
        <w:t xml:space="preserve"> </w:t>
      </w:r>
      <w:r w:rsidR="00921AAB" w:rsidRPr="00BC781C">
        <w:rPr>
          <w:rFonts w:eastAsia="Arial" w:cs="Times New Roman"/>
          <w:sz w:val="24"/>
          <w:szCs w:val="24"/>
        </w:rPr>
        <w:t xml:space="preserve">mora </w:t>
      </w:r>
      <w:r w:rsidR="00BE6259" w:rsidRPr="00BC781C">
        <w:rPr>
          <w:rFonts w:eastAsia="Arial" w:cs="Times New Roman"/>
          <w:sz w:val="24"/>
          <w:szCs w:val="24"/>
        </w:rPr>
        <w:t xml:space="preserve">v celoti </w:t>
      </w:r>
      <w:r w:rsidR="00921AAB" w:rsidRPr="00BC781C">
        <w:rPr>
          <w:rFonts w:eastAsia="Arial" w:cs="Times New Roman"/>
          <w:sz w:val="24"/>
          <w:szCs w:val="24"/>
        </w:rPr>
        <w:t xml:space="preserve">izpolniti svoje ime: ne gre le za izmenjavo informacij o tem, kaj določen resor načrtuje, ampak za </w:t>
      </w:r>
      <w:r w:rsidR="00921AAB" w:rsidRPr="00BC781C">
        <w:rPr>
          <w:rFonts w:eastAsia="Arial" w:cs="Times New Roman"/>
          <w:b/>
          <w:bCs/>
          <w:sz w:val="24"/>
          <w:szCs w:val="24"/>
        </w:rPr>
        <w:t>skupno načrtovanje politik in ukrepov v smeri usklajenega delovanja</w:t>
      </w:r>
      <w:r w:rsidR="00921AAB" w:rsidRPr="00BC781C">
        <w:rPr>
          <w:rFonts w:eastAsia="Arial" w:cs="Times New Roman"/>
          <w:sz w:val="24"/>
          <w:szCs w:val="24"/>
        </w:rPr>
        <w:t>.</w:t>
      </w:r>
      <w:r w:rsidR="001E09D6" w:rsidRPr="00BC781C">
        <w:rPr>
          <w:rFonts w:eastAsia="Arial" w:cs="Times New Roman"/>
          <w:sz w:val="24"/>
          <w:szCs w:val="24"/>
        </w:rPr>
        <w:t xml:space="preserve"> </w:t>
      </w:r>
      <w:r w:rsidR="00921AAB" w:rsidRPr="00BC781C">
        <w:rPr>
          <w:rFonts w:eastAsia="Arial" w:cs="Times New Roman"/>
          <w:sz w:val="24"/>
          <w:szCs w:val="24"/>
        </w:rPr>
        <w:t xml:space="preserve">To pa predvideva možnost/obveznost </w:t>
      </w:r>
      <w:r w:rsidR="00921AAB" w:rsidRPr="00BC781C">
        <w:rPr>
          <w:rFonts w:eastAsia="Arial" w:cs="Times New Roman"/>
          <w:b/>
          <w:bCs/>
          <w:sz w:val="24"/>
          <w:szCs w:val="24"/>
        </w:rPr>
        <w:t>soglasja MZEZ k programom drugih resorjev</w:t>
      </w:r>
      <w:r w:rsidR="00921AAB" w:rsidRPr="00BC781C">
        <w:rPr>
          <w:rFonts w:eastAsia="Arial" w:cs="Times New Roman"/>
          <w:sz w:val="24"/>
          <w:szCs w:val="24"/>
        </w:rPr>
        <w:t xml:space="preserve"> ter možnost usmerjanja delovanja drugih tako glede izbora projektov (vsebine) kot držav (npr. </w:t>
      </w:r>
      <w:r w:rsidR="00E1012C">
        <w:rPr>
          <w:rFonts w:eastAsia="Arial" w:cs="Times New Roman"/>
          <w:sz w:val="24"/>
          <w:szCs w:val="24"/>
        </w:rPr>
        <w:t xml:space="preserve">zagotavljanje vključenosti MZEZ pri pripravi bilateralnih sporazumov, ki urejajo </w:t>
      </w:r>
      <w:r w:rsidR="00921AAB" w:rsidRPr="00BC781C">
        <w:rPr>
          <w:rFonts w:eastAsia="Arial" w:cs="Times New Roman"/>
          <w:sz w:val="24"/>
          <w:szCs w:val="24"/>
        </w:rPr>
        <w:t>odpis šolnin po posameznih državah</w:t>
      </w:r>
      <w:r w:rsidR="00E1012C">
        <w:rPr>
          <w:rFonts w:eastAsia="Arial" w:cs="Times New Roman"/>
          <w:sz w:val="24"/>
          <w:szCs w:val="24"/>
        </w:rPr>
        <w:t>, vsaj v primeru geografskih</w:t>
      </w:r>
      <w:r w:rsidR="00921AAB" w:rsidRPr="00BC781C">
        <w:rPr>
          <w:rFonts w:eastAsia="Arial" w:cs="Times New Roman"/>
          <w:sz w:val="24"/>
          <w:szCs w:val="24"/>
        </w:rPr>
        <w:t xml:space="preserve"> prioritet razvojnega sodelovanja). Šele taka pooblastila bi omogočila MZEZ, da zagotavlja spoštovanje načela skladnosti vsaj v ožjem segmentu razvojnih politik in ukrepov.</w:t>
      </w:r>
    </w:p>
    <w:p w14:paraId="002D2EF3" w14:textId="50ACFD93" w:rsidR="00807C45" w:rsidRPr="00BC781C" w:rsidRDefault="00921AAB"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lastRenderedPageBreak/>
        <w:t xml:space="preserve">Naslednji korak je poskrbeti za skladnost drugih politik s cilji </w:t>
      </w:r>
      <w:r w:rsidR="00BC39CD" w:rsidRPr="00BC781C">
        <w:rPr>
          <w:rFonts w:eastAsia="Arial" w:cs="Times New Roman"/>
          <w:sz w:val="24"/>
          <w:szCs w:val="24"/>
        </w:rPr>
        <w:t xml:space="preserve">mednarodne </w:t>
      </w:r>
      <w:r w:rsidRPr="00BC781C">
        <w:rPr>
          <w:rFonts w:eastAsia="Arial" w:cs="Times New Roman"/>
          <w:sz w:val="24"/>
          <w:szCs w:val="24"/>
        </w:rPr>
        <w:t xml:space="preserve">razvojne politike. Prvi korak v tej smeri bi moralo biti </w:t>
      </w:r>
      <w:r w:rsidRPr="00BC781C">
        <w:rPr>
          <w:rFonts w:eastAsia="Arial" w:cs="Times New Roman"/>
          <w:b/>
          <w:bCs/>
          <w:sz w:val="24"/>
          <w:szCs w:val="24"/>
        </w:rPr>
        <w:t>ustrezno seznanjanje oblikovalcev politik z načelom skladnosti</w:t>
      </w:r>
      <w:r w:rsidRPr="00BC781C">
        <w:rPr>
          <w:rFonts w:eastAsia="Arial" w:cs="Times New Roman"/>
          <w:sz w:val="24"/>
          <w:szCs w:val="24"/>
        </w:rPr>
        <w:t xml:space="preserve">, njegovim pomenom in izvajanju v vsakodnevnem načrtovanju politik in ukrepov. Brez poznavanja koncepta skladnosti politik </w:t>
      </w:r>
      <w:r w:rsidR="00BC39CD" w:rsidRPr="00BC781C">
        <w:rPr>
          <w:rFonts w:eastAsia="Arial" w:cs="Times New Roman"/>
          <w:sz w:val="24"/>
          <w:szCs w:val="24"/>
        </w:rPr>
        <w:t xml:space="preserve">za </w:t>
      </w:r>
      <w:r w:rsidR="00BE6259" w:rsidRPr="00BC781C">
        <w:rPr>
          <w:rFonts w:eastAsia="Arial" w:cs="Times New Roman"/>
          <w:sz w:val="24"/>
          <w:szCs w:val="24"/>
        </w:rPr>
        <w:t xml:space="preserve">(trajnostni) </w:t>
      </w:r>
      <w:r w:rsidR="00BC39CD" w:rsidRPr="00BC781C">
        <w:rPr>
          <w:rFonts w:eastAsia="Arial" w:cs="Times New Roman"/>
          <w:sz w:val="24"/>
          <w:szCs w:val="24"/>
        </w:rPr>
        <w:t xml:space="preserve">razvoj </w:t>
      </w:r>
      <w:r w:rsidRPr="00BC781C">
        <w:rPr>
          <w:rFonts w:eastAsia="Arial" w:cs="Times New Roman"/>
          <w:sz w:val="24"/>
          <w:szCs w:val="24"/>
        </w:rPr>
        <w:t>ter negativnih</w:t>
      </w:r>
      <w:r w:rsidR="00807C45" w:rsidRPr="00BC781C">
        <w:rPr>
          <w:rFonts w:eastAsia="Arial" w:cs="Times New Roman"/>
          <w:sz w:val="24"/>
          <w:szCs w:val="24"/>
        </w:rPr>
        <w:t xml:space="preserve"> posledic neuresničevanja načela skladnosti se lahko vsako preverjanje skladnosti posameznih politik/ukrepov (npr. s pomočjo ustreznega obrazca skladnosti kot ga poznajo Italijani) sprevrže v zgolj dodatno administrativno breme, ki se ga odpravi brez pravega premisleka o vsebinskem pomenu skladnosti/neskladnosti.</w:t>
      </w:r>
      <w:r w:rsidR="00BC39CD" w:rsidRPr="00BC781C">
        <w:rPr>
          <w:rFonts w:eastAsia="Arial" w:cs="Times New Roman"/>
          <w:sz w:val="24"/>
          <w:szCs w:val="24"/>
        </w:rPr>
        <w:t xml:space="preserve"> V ta namen </w:t>
      </w:r>
      <w:r w:rsidR="00BC39CD" w:rsidRPr="00BC781C">
        <w:rPr>
          <w:rFonts w:eastAsia="Arial" w:cs="Times New Roman"/>
          <w:b/>
          <w:bCs/>
          <w:sz w:val="24"/>
          <w:szCs w:val="24"/>
        </w:rPr>
        <w:t xml:space="preserve">predlagamo enodnevne delavnice o načelu skladnosti politik s praktičnimi primeri </w:t>
      </w:r>
      <w:r w:rsidR="00BC39CD" w:rsidRPr="00BC781C">
        <w:rPr>
          <w:rFonts w:eastAsia="Arial" w:cs="Times New Roman"/>
          <w:sz w:val="24"/>
          <w:szCs w:val="24"/>
        </w:rPr>
        <w:t>tako neskladnosti in negativnih posledic, ki jih ta prinaša, kot obratno, pozitivnih sinergij, ki jih lahko generira skladnost politik.</w:t>
      </w:r>
    </w:p>
    <w:p w14:paraId="0C501CD1" w14:textId="77777777" w:rsidR="004B0922" w:rsidRPr="00BC781C" w:rsidRDefault="00807C45"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Koncept skladnosti politik </w:t>
      </w:r>
      <w:r w:rsidR="00BC39CD" w:rsidRPr="00BC781C">
        <w:rPr>
          <w:rFonts w:eastAsia="Arial" w:cs="Times New Roman"/>
          <w:sz w:val="24"/>
          <w:szCs w:val="24"/>
        </w:rPr>
        <w:t>je pomembno širiti tudi med druge akterje</w:t>
      </w:r>
      <w:r w:rsidR="004B0922" w:rsidRPr="00BC781C">
        <w:rPr>
          <w:rFonts w:eastAsia="Arial" w:cs="Times New Roman"/>
          <w:sz w:val="24"/>
          <w:szCs w:val="24"/>
        </w:rPr>
        <w:t xml:space="preserve"> mednarodnega razvojnega sodelovanja in načrtovalce strategij in politik, ki vplivajo na razvoj. Vsako </w:t>
      </w:r>
      <w:r w:rsidR="004B0922" w:rsidRPr="00BC781C">
        <w:rPr>
          <w:rFonts w:eastAsia="Arial" w:cs="Times New Roman"/>
          <w:b/>
          <w:bCs/>
          <w:sz w:val="24"/>
          <w:szCs w:val="24"/>
        </w:rPr>
        <w:t>izobraževanje</w:t>
      </w:r>
      <w:r w:rsidR="004B0922" w:rsidRPr="00BC781C">
        <w:rPr>
          <w:rFonts w:eastAsia="Arial" w:cs="Times New Roman"/>
          <w:sz w:val="24"/>
          <w:szCs w:val="24"/>
        </w:rPr>
        <w:t xml:space="preserve">, tako o mednarodnem razvojnem sodelovanju in humanitarni pomoči, kot znotraj tega seznanjanje s pomenom načela skladnosti politik za razvoj, lahko približa odločevalcem pomen obeh pojmov in pripomore k večji politični podpori. </w:t>
      </w:r>
    </w:p>
    <w:p w14:paraId="5622659F" w14:textId="77777777" w:rsidR="004B0922" w:rsidRPr="00BC781C" w:rsidRDefault="004B0922" w:rsidP="00BC781C">
      <w:pPr>
        <w:pStyle w:val="Heading2"/>
        <w:rPr>
          <w:rFonts w:eastAsia="Arial" w:cs="Times New Roman"/>
          <w:szCs w:val="24"/>
        </w:rPr>
      </w:pPr>
      <w:bookmarkStart w:id="15" w:name="_Toc205412257"/>
      <w:r w:rsidRPr="00BC781C">
        <w:rPr>
          <w:rFonts w:eastAsia="Arial" w:cs="Times New Roman"/>
          <w:szCs w:val="24"/>
        </w:rPr>
        <w:t>Dolgoročne aktivnosti</w:t>
      </w:r>
      <w:bookmarkEnd w:id="15"/>
    </w:p>
    <w:p w14:paraId="4A97C85A" w14:textId="6B544395" w:rsidR="004B0922" w:rsidRPr="00BC781C" w:rsidRDefault="004B0922"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Neuresničevanje Agende 2030 in odmik določenih držav od </w:t>
      </w:r>
      <w:r w:rsidR="00A1024C" w:rsidRPr="00BC781C">
        <w:rPr>
          <w:rFonts w:eastAsia="Arial" w:cs="Times New Roman"/>
          <w:sz w:val="24"/>
          <w:szCs w:val="24"/>
        </w:rPr>
        <w:t>CTR</w:t>
      </w:r>
      <w:r w:rsidRPr="00BC781C">
        <w:rPr>
          <w:rFonts w:eastAsia="Arial" w:cs="Times New Roman"/>
          <w:sz w:val="24"/>
          <w:szCs w:val="24"/>
        </w:rPr>
        <w:t xml:space="preserve"> na mednarodnem polju ni zadosten razlog, da se v Sloveniji ne namenja več pozornosti tem temam. Cilji, ki jih pred državo postavlja Strategija razvoja Slovenije</w:t>
      </w:r>
      <w:r w:rsidR="00821D7F" w:rsidRPr="00BC781C">
        <w:rPr>
          <w:rFonts w:eastAsia="Arial" w:cs="Times New Roman"/>
          <w:sz w:val="24"/>
          <w:szCs w:val="24"/>
        </w:rPr>
        <w:t xml:space="preserve"> 2030</w:t>
      </w:r>
      <w:r w:rsidRPr="00BC781C">
        <w:rPr>
          <w:rFonts w:eastAsia="Arial" w:cs="Times New Roman"/>
          <w:sz w:val="24"/>
          <w:szCs w:val="24"/>
        </w:rPr>
        <w:t>, so dovolj splošni, da so kljub spremembam vlad še vedno aktualni. Enako velja tudi za člene Strategije</w:t>
      </w:r>
      <w:r w:rsidR="00F64E57" w:rsidRPr="00BC781C">
        <w:rPr>
          <w:rFonts w:eastAsia="Arial" w:cs="Times New Roman"/>
          <w:sz w:val="24"/>
          <w:szCs w:val="24"/>
        </w:rPr>
        <w:t>,</w:t>
      </w:r>
      <w:r w:rsidR="00373DB1" w:rsidRPr="00BC781C">
        <w:rPr>
          <w:rStyle w:val="FootnoteReference"/>
          <w:rFonts w:eastAsia="Arial" w:cs="Times New Roman"/>
          <w:sz w:val="24"/>
          <w:szCs w:val="24"/>
        </w:rPr>
        <w:footnoteReference w:id="15"/>
      </w:r>
      <w:r w:rsidRPr="00BC781C">
        <w:rPr>
          <w:rFonts w:eastAsia="Arial" w:cs="Times New Roman"/>
          <w:sz w:val="24"/>
          <w:szCs w:val="24"/>
        </w:rPr>
        <w:t xml:space="preserve"> ki obravnavajo skladnost politik za trajnostni razvoj</w:t>
      </w:r>
      <w:r w:rsidR="00373DB1" w:rsidRPr="00BC781C">
        <w:rPr>
          <w:rFonts w:eastAsia="Arial" w:cs="Times New Roman"/>
          <w:sz w:val="24"/>
          <w:szCs w:val="24"/>
        </w:rPr>
        <w:t xml:space="preserve"> in spremljanje uresničevanja Strategije</w:t>
      </w:r>
      <w:r w:rsidRPr="00BC781C">
        <w:rPr>
          <w:rFonts w:eastAsia="Arial" w:cs="Times New Roman"/>
          <w:sz w:val="24"/>
          <w:szCs w:val="24"/>
        </w:rPr>
        <w:t>.</w:t>
      </w:r>
    </w:p>
    <w:p w14:paraId="718D57BB" w14:textId="1ED3F9FA" w:rsidR="00821D7F" w:rsidRPr="00BC781C" w:rsidRDefault="004B0922"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 xml:space="preserve">Zato bi bilo primerno, da kot članica OECD tudi Slovenija upošteva priporočila OECD za uresničevanje CTR. Ključno vprašanje je, kako zagotoviti zadostno in primerno politično podporo tako Strategiji kot uresničevanju načela skladnosti politik za trajnostni razvoj. To zagotovo ni zgolj naloga MZEZ, lahko pa ministrstvo pomembno prispeva k »obuditvi« </w:t>
      </w:r>
      <w:r w:rsidR="00821D7F" w:rsidRPr="00BC781C">
        <w:rPr>
          <w:rFonts w:eastAsia="Arial" w:cs="Times New Roman"/>
          <w:sz w:val="24"/>
          <w:szCs w:val="24"/>
        </w:rPr>
        <w:t xml:space="preserve">pomena CTR in ga ne prikazuje zgolj kot občasno mednarodno obvezo Slovenije, ampak kot dejavnost, ki je še kako pomembna za lastni (trajnostni) razvoj. Prav pomanjkljivo ponotranjanje CTR je po naši oceni krivo za nezadostno pozornost, ki se </w:t>
      </w:r>
      <w:r w:rsidR="00F64E57" w:rsidRPr="00BC781C">
        <w:rPr>
          <w:rFonts w:eastAsia="Arial" w:cs="Times New Roman"/>
          <w:sz w:val="24"/>
          <w:szCs w:val="24"/>
        </w:rPr>
        <w:t>c</w:t>
      </w:r>
      <w:r w:rsidR="00821D7F" w:rsidRPr="00BC781C">
        <w:rPr>
          <w:rFonts w:eastAsia="Arial" w:cs="Times New Roman"/>
          <w:sz w:val="24"/>
          <w:szCs w:val="24"/>
        </w:rPr>
        <w:t xml:space="preserve">iljem namenja med oblikovalci razvojnih politik. </w:t>
      </w:r>
      <w:r w:rsidR="00454E06" w:rsidRPr="00BC781C">
        <w:rPr>
          <w:rFonts w:eastAsia="Arial" w:cs="Times New Roman"/>
          <w:sz w:val="24"/>
          <w:szCs w:val="24"/>
        </w:rPr>
        <w:t>Cilji trajnostnega razvoja</w:t>
      </w:r>
      <w:r w:rsidR="00821D7F" w:rsidRPr="00BC781C">
        <w:rPr>
          <w:rFonts w:eastAsia="Arial" w:cs="Times New Roman"/>
          <w:sz w:val="24"/>
          <w:szCs w:val="24"/>
        </w:rPr>
        <w:t xml:space="preserve"> (kot je vsaj deloma razvidno tudi z Strategije razvoja Slovenije 2030) omogočajo prilagajanje lastnim razmeram na posameznih področjih in načrtovanje lastnih skladnih rešitev. Upoštevanje načela skladnosti politik za trajnostni razvoj je lahko koristno orodje, ki lahko prepreči oblikovanje nasprotujočih si rešitev po posameznih resorjih. </w:t>
      </w:r>
    </w:p>
    <w:p w14:paraId="209DF601" w14:textId="77777777" w:rsidR="007D2DF3" w:rsidRPr="00BC781C" w:rsidRDefault="00821D7F" w:rsidP="005807D8">
      <w:pPr>
        <w:shd w:val="clear" w:color="auto" w:fill="FFFFFF"/>
        <w:spacing w:before="240" w:after="240" w:line="276" w:lineRule="auto"/>
        <w:rPr>
          <w:rFonts w:eastAsia="Arial" w:cs="Times New Roman"/>
          <w:sz w:val="24"/>
          <w:szCs w:val="24"/>
        </w:rPr>
      </w:pPr>
      <w:r w:rsidRPr="00BC781C">
        <w:rPr>
          <w:rFonts w:eastAsia="Arial" w:cs="Times New Roman"/>
          <w:sz w:val="24"/>
          <w:szCs w:val="24"/>
        </w:rPr>
        <w:t>Ob razvoju politike</w:t>
      </w:r>
      <w:r w:rsidR="00ED689E" w:rsidRPr="00BC781C">
        <w:rPr>
          <w:rFonts w:eastAsia="Arial" w:cs="Times New Roman"/>
          <w:sz w:val="24"/>
          <w:szCs w:val="24"/>
        </w:rPr>
        <w:t xml:space="preserve"> v smeri večjega upoštevanja CTR</w:t>
      </w:r>
      <w:r w:rsidRPr="00BC781C">
        <w:rPr>
          <w:rFonts w:eastAsia="Arial" w:cs="Times New Roman"/>
          <w:sz w:val="24"/>
          <w:szCs w:val="24"/>
        </w:rPr>
        <w:t xml:space="preserve"> bi se dolgoročno lahko razmišljalo tudi o uvedbi ustreznih postopkov in oblikovanju orodij v skladu s praksami v drugih državah OECD za spremljanje uresničevanja načela skladnosti politik za trajnosti razvoj.   </w:t>
      </w:r>
      <w:r w:rsidR="004B0922" w:rsidRPr="00BC781C">
        <w:rPr>
          <w:rFonts w:eastAsia="Arial" w:cs="Times New Roman"/>
          <w:sz w:val="24"/>
          <w:szCs w:val="24"/>
        </w:rPr>
        <w:t xml:space="preserve">  </w:t>
      </w:r>
    </w:p>
    <w:sectPr w:rsidR="007D2DF3" w:rsidRPr="00BC781C" w:rsidSect="00532716">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62D4" w14:textId="77777777" w:rsidR="000E4C21" w:rsidRDefault="000E4C21" w:rsidP="00DB6DC7">
      <w:pPr>
        <w:spacing w:after="0" w:line="240" w:lineRule="auto"/>
      </w:pPr>
      <w:r>
        <w:separator/>
      </w:r>
    </w:p>
  </w:endnote>
  <w:endnote w:type="continuationSeparator" w:id="0">
    <w:p w14:paraId="36AEB5E2" w14:textId="77777777" w:rsidR="000E4C21" w:rsidRDefault="000E4C21" w:rsidP="00DB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067924"/>
      <w:docPartObj>
        <w:docPartGallery w:val="Page Numbers (Bottom of Page)"/>
        <w:docPartUnique/>
      </w:docPartObj>
    </w:sdtPr>
    <w:sdtEndPr>
      <w:rPr>
        <w:noProof/>
      </w:rPr>
    </w:sdtEndPr>
    <w:sdtContent>
      <w:p w14:paraId="7968866A" w14:textId="6ABC9F42" w:rsidR="008D2B6A" w:rsidRDefault="008D2B6A">
        <w:pPr>
          <w:pStyle w:val="Footer"/>
          <w:jc w:val="right"/>
        </w:pPr>
        <w:r>
          <w:fldChar w:fldCharType="begin"/>
        </w:r>
        <w:r>
          <w:instrText xml:space="preserve"> PAGE   \* MERGEFORMAT </w:instrText>
        </w:r>
        <w:r>
          <w:fldChar w:fldCharType="separate"/>
        </w:r>
        <w:r w:rsidR="00AB3BCA">
          <w:rPr>
            <w:noProof/>
          </w:rPr>
          <w:t>26</w:t>
        </w:r>
        <w:r>
          <w:rPr>
            <w:noProof/>
          </w:rPr>
          <w:fldChar w:fldCharType="end"/>
        </w:r>
      </w:p>
    </w:sdtContent>
  </w:sdt>
  <w:p w14:paraId="60FD0603" w14:textId="77777777" w:rsidR="008D2B6A" w:rsidRDefault="008D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D5C4" w14:textId="77777777" w:rsidR="000E4C21" w:rsidRDefault="000E4C21" w:rsidP="00DB6DC7">
      <w:pPr>
        <w:spacing w:after="0" w:line="240" w:lineRule="auto"/>
      </w:pPr>
      <w:r>
        <w:separator/>
      </w:r>
    </w:p>
  </w:footnote>
  <w:footnote w:type="continuationSeparator" w:id="0">
    <w:p w14:paraId="285C8CF6" w14:textId="77777777" w:rsidR="000E4C21" w:rsidRDefault="000E4C21" w:rsidP="00DB6DC7">
      <w:pPr>
        <w:spacing w:after="0" w:line="240" w:lineRule="auto"/>
      </w:pPr>
      <w:r>
        <w:continuationSeparator/>
      </w:r>
    </w:p>
  </w:footnote>
  <w:footnote w:id="1">
    <w:p w14:paraId="79CCC29B" w14:textId="006AC055" w:rsidR="00AD2A85" w:rsidRPr="00AD2A85" w:rsidRDefault="00AD2A85" w:rsidP="00433E6D">
      <w:pPr>
        <w:spacing w:after="0" w:line="240" w:lineRule="auto"/>
        <w:rPr>
          <w:rFonts w:cs="Times New Roman"/>
          <w:sz w:val="20"/>
          <w:szCs w:val="20"/>
          <w:lang w:val="hr-HR"/>
        </w:rPr>
      </w:pPr>
      <w:r w:rsidRPr="00AD2A85">
        <w:rPr>
          <w:rStyle w:val="FootnoteReference"/>
          <w:rFonts w:cs="Times New Roman"/>
          <w:sz w:val="20"/>
          <w:szCs w:val="20"/>
        </w:rPr>
        <w:footnoteRef/>
      </w:r>
      <w:r w:rsidRPr="00AD2A85">
        <w:rPr>
          <w:rFonts w:cs="Times New Roman"/>
          <w:sz w:val="20"/>
          <w:szCs w:val="20"/>
        </w:rPr>
        <w:t xml:space="preserve"> Poročilo z naslovom </w:t>
      </w:r>
      <w:r w:rsidRPr="00F14B51">
        <w:rPr>
          <w:rFonts w:eastAsia="Arial" w:cs="Times New Roman"/>
          <w:bCs/>
          <w:i/>
          <w:iCs/>
          <w:sz w:val="20"/>
          <w:szCs w:val="20"/>
        </w:rPr>
        <w:t>Analiza vključevanja načela skladnosti politik za razvoj in načela skladnosti politik za trajnostni razvoj v ključne politike v Sloveniji</w:t>
      </w:r>
      <w:r w:rsidR="00F14B51">
        <w:rPr>
          <w:rFonts w:eastAsia="Arial" w:cs="Times New Roman"/>
          <w:bCs/>
          <w:sz w:val="20"/>
          <w:szCs w:val="20"/>
        </w:rPr>
        <w:t xml:space="preserve"> </w:t>
      </w:r>
      <w:r>
        <w:rPr>
          <w:rFonts w:eastAsia="Arial" w:cs="Times New Roman"/>
          <w:bCs/>
          <w:sz w:val="20"/>
          <w:szCs w:val="20"/>
        </w:rPr>
        <w:t xml:space="preserve">predstavlja rezultat prve faze raziskovanja. </w:t>
      </w:r>
    </w:p>
  </w:footnote>
  <w:footnote w:id="2">
    <w:p w14:paraId="09245C2A" w14:textId="0E22A799" w:rsidR="001F7F43" w:rsidRPr="00AD2A85" w:rsidRDefault="001F7F43" w:rsidP="00433E6D">
      <w:pPr>
        <w:pStyle w:val="FootnoteText"/>
        <w:rPr>
          <w:rFonts w:cs="Times New Roman"/>
        </w:rPr>
      </w:pPr>
      <w:r w:rsidRPr="00AD2A85">
        <w:rPr>
          <w:rStyle w:val="FootnoteReference"/>
          <w:rFonts w:cs="Times New Roman"/>
        </w:rPr>
        <w:footnoteRef/>
      </w:r>
      <w:r w:rsidRPr="00AD2A85">
        <w:rPr>
          <w:rFonts w:cs="Times New Roman"/>
        </w:rPr>
        <w:t xml:space="preserve"> Priloga 1 vsebuje podatke o obravnavanih projektih na področju varovanja okolja, enakosti spolov in migracij. </w:t>
      </w:r>
    </w:p>
  </w:footnote>
  <w:footnote w:id="3">
    <w:p w14:paraId="448A2AF5" w14:textId="11216A41" w:rsidR="00DB6DC7" w:rsidRPr="00AD2A85" w:rsidRDefault="00DB6DC7" w:rsidP="00AD2A85">
      <w:pPr>
        <w:pStyle w:val="FootnoteText"/>
        <w:rPr>
          <w:rFonts w:cs="Times New Roman"/>
        </w:rPr>
      </w:pPr>
      <w:r w:rsidRPr="00AD2A85">
        <w:rPr>
          <w:rStyle w:val="FootnoteReference"/>
          <w:rFonts w:cs="Times New Roman"/>
        </w:rPr>
        <w:footnoteRef/>
      </w:r>
      <w:r w:rsidRPr="00AD2A85">
        <w:rPr>
          <w:rFonts w:cs="Times New Roman"/>
        </w:rPr>
        <w:t xml:space="preserve"> OECD</w:t>
      </w:r>
      <w:r w:rsidR="008B59A0">
        <w:rPr>
          <w:rFonts w:cs="Times New Roman"/>
        </w:rPr>
        <w:t xml:space="preserve"> </w:t>
      </w:r>
      <w:r w:rsidRPr="00AD2A85">
        <w:rPr>
          <w:rFonts w:cs="Times New Roman"/>
        </w:rPr>
        <w:t xml:space="preserve">(2024) Unleashing Policy Coherence to Achieve the SDGs: An Assessment of Governance Mechanisms, OECD publishing, Paris. </w:t>
      </w:r>
      <w:hyperlink r:id="rId1" w:history="1">
        <w:r w:rsidRPr="00AD2A85">
          <w:rPr>
            <w:rStyle w:val="Hyperlink"/>
            <w:rFonts w:cs="Times New Roman"/>
          </w:rPr>
          <w:t>Https://doi.org/10.1787/a1c8dbf8-en</w:t>
        </w:r>
      </w:hyperlink>
      <w:r w:rsidRPr="00AD2A85">
        <w:rPr>
          <w:rFonts w:cs="Times New Roman"/>
        </w:rPr>
        <w:t xml:space="preserve">. </w:t>
      </w:r>
    </w:p>
  </w:footnote>
  <w:footnote w:id="4">
    <w:p w14:paraId="52ACE7C0" w14:textId="38780A62" w:rsidR="00C024A9" w:rsidRPr="005C05B1" w:rsidRDefault="00C024A9">
      <w:pPr>
        <w:pStyle w:val="FootnoteText"/>
        <w:rPr>
          <w:lang w:val="hr-HR"/>
        </w:rPr>
      </w:pPr>
      <w:r>
        <w:rPr>
          <w:rStyle w:val="FootnoteReference"/>
        </w:rPr>
        <w:footnoteRef/>
      </w:r>
      <w:r>
        <w:t xml:space="preserve"> </w:t>
      </w:r>
      <w:r>
        <w:rPr>
          <w:rFonts w:eastAsia="Calibri" w:cs="Times New Roman"/>
        </w:rPr>
        <w:t>Analizirana področja predstavljajo</w:t>
      </w:r>
      <w:r w:rsidRPr="009D24D1">
        <w:rPr>
          <w:rFonts w:eastAsia="Calibri" w:cs="Times New Roman"/>
        </w:rPr>
        <w:t xml:space="preserve"> prioritetna področja</w:t>
      </w:r>
      <w:r>
        <w:rPr>
          <w:rFonts w:eastAsia="Calibri" w:cs="Times New Roman"/>
        </w:rPr>
        <w:t xml:space="preserve">, ki jih </w:t>
      </w:r>
      <w:r w:rsidRPr="009D24D1">
        <w:rPr>
          <w:rFonts w:eastAsia="Calibri" w:cs="Times New Roman"/>
        </w:rPr>
        <w:t>EU spremlja v svojih poročilih in so bila izpostavljena v Poročilu o skladnosti politik 2019. Več na:</w:t>
      </w:r>
      <w:hyperlink r:id="rId2">
        <w:r w:rsidRPr="009D24D1">
          <w:rPr>
            <w:rFonts w:eastAsia="Calibri" w:cs="Times New Roman"/>
          </w:rPr>
          <w:t xml:space="preserve"> </w:t>
        </w:r>
      </w:hyperlink>
      <w:hyperlink r:id="rId3">
        <w:r w:rsidRPr="009D24D1">
          <w:rPr>
            <w:rFonts w:eastAsia="Calibri" w:cs="Times New Roman"/>
            <w:color w:val="1155CC"/>
            <w:u w:val="single"/>
          </w:rPr>
          <w:t>https://op.europa.eu/en/publication-detail/-/publication/85669b34-88d0-11e9-9369-01aa75ed71a1</w:t>
        </w:r>
      </w:hyperlink>
    </w:p>
  </w:footnote>
  <w:footnote w:id="5">
    <w:p w14:paraId="0B553CA6" w14:textId="314DB4D7" w:rsidR="00042DDE" w:rsidRPr="00AD2A85" w:rsidRDefault="00042DDE" w:rsidP="00AD2A85">
      <w:pPr>
        <w:pStyle w:val="FootnoteText"/>
        <w:rPr>
          <w:rFonts w:cs="Times New Roman"/>
        </w:rPr>
      </w:pPr>
      <w:r w:rsidRPr="00AD2A85">
        <w:rPr>
          <w:rStyle w:val="FootnoteReference"/>
          <w:rFonts w:cs="Times New Roman"/>
        </w:rPr>
        <w:footnoteRef/>
      </w:r>
      <w:r w:rsidRPr="00AD2A85">
        <w:rPr>
          <w:rFonts w:cs="Times New Roman"/>
        </w:rPr>
        <w:t xml:space="preserve"> Od teh en projekt ni bil realiziran.</w:t>
      </w:r>
    </w:p>
  </w:footnote>
  <w:footnote w:id="6">
    <w:p w14:paraId="0C1C71A3" w14:textId="0758486B" w:rsidR="00761F2B" w:rsidRPr="005C05B1" w:rsidRDefault="00761F2B">
      <w:pPr>
        <w:pStyle w:val="FootnoteText"/>
        <w:rPr>
          <w:lang w:val="hr-HR"/>
        </w:rPr>
      </w:pPr>
      <w:r>
        <w:rPr>
          <w:rStyle w:val="FootnoteReference"/>
        </w:rPr>
        <w:footnoteRef/>
      </w:r>
      <w:r>
        <w:t xml:space="preserve"> Stroški,</w:t>
      </w:r>
      <w:r w:rsidRPr="00761F2B">
        <w:t xml:space="preserve"> povezani z migracijami </w:t>
      </w:r>
      <w:r>
        <w:t xml:space="preserve">(t. i. </w:t>
      </w:r>
      <w:r w:rsidRPr="00761F2B">
        <w:rPr>
          <w:i/>
          <w:iCs/>
        </w:rPr>
        <w:t>in-donor refugee costs</w:t>
      </w:r>
      <w:r>
        <w:rPr>
          <w:i/>
          <w:iCs/>
        </w:rPr>
        <w:t>)</w:t>
      </w:r>
      <w:r>
        <w:t xml:space="preserve"> formalno sodijo v okvir</w:t>
      </w:r>
      <w:r w:rsidRPr="00761F2B">
        <w:t xml:space="preserve"> mednarodne razvojne pomoči in se kot taki evidentirajo v uradnih poročilih o ODA.</w:t>
      </w:r>
    </w:p>
  </w:footnote>
  <w:footnote w:id="7">
    <w:p w14:paraId="3BE83300" w14:textId="2C0F3162" w:rsidR="009F7B5A" w:rsidRPr="00AD2A85" w:rsidRDefault="009F7B5A" w:rsidP="00AD2A85">
      <w:pPr>
        <w:pStyle w:val="FootnoteText"/>
        <w:rPr>
          <w:rFonts w:cs="Times New Roman"/>
        </w:rPr>
      </w:pPr>
      <w:r w:rsidRPr="00AD2A85">
        <w:rPr>
          <w:rStyle w:val="FootnoteReference"/>
          <w:rFonts w:cs="Times New Roman"/>
        </w:rPr>
        <w:footnoteRef/>
      </w:r>
      <w:r w:rsidRPr="00AD2A85">
        <w:rPr>
          <w:rFonts w:cs="Times New Roman"/>
        </w:rPr>
        <w:t xml:space="preserve"> </w:t>
      </w:r>
      <w:r w:rsidR="0038223D" w:rsidRPr="00AD2A85">
        <w:rPr>
          <w:rFonts w:cs="Times New Roman"/>
        </w:rPr>
        <w:t>Slovenije ni zaslediti med odgovori.</w:t>
      </w:r>
    </w:p>
  </w:footnote>
  <w:footnote w:id="8">
    <w:p w14:paraId="42068FB9" w14:textId="4EB1AB42" w:rsidR="004508F1" w:rsidRPr="00AD2A85" w:rsidRDefault="004508F1" w:rsidP="00AD2A85">
      <w:pPr>
        <w:pStyle w:val="FootnoteText"/>
        <w:rPr>
          <w:rFonts w:cs="Times New Roman"/>
        </w:rPr>
      </w:pPr>
      <w:r w:rsidRPr="00AD2A85">
        <w:rPr>
          <w:rStyle w:val="FootnoteReference"/>
          <w:rFonts w:cs="Times New Roman"/>
        </w:rPr>
        <w:footnoteRef/>
      </w:r>
      <w:hyperlink r:id="rId4" w:history="1">
        <w:r w:rsidR="008114DB" w:rsidRPr="00D3606D">
          <w:rPr>
            <w:rStyle w:val="Hyperlink"/>
            <w:rFonts w:cs="Times New Roman"/>
          </w:rPr>
          <w:t>https://www.mase.gov.it/sites/default/files/archivio/allegati/sviluppo_sostenibile/SNSvS/Italy_Governance_Scan_for_Policy_Coherence_for_Sustainable_Development.pdf</w:t>
        </w:r>
      </w:hyperlink>
      <w:r w:rsidR="008114DB">
        <w:rPr>
          <w:rFonts w:cs="Times New Roman"/>
        </w:rPr>
        <w:t xml:space="preserve"> </w:t>
      </w:r>
      <w:r w:rsidRPr="00AD2A85">
        <w:rPr>
          <w:rFonts w:cs="Times New Roman"/>
        </w:rPr>
        <w:t xml:space="preserve"> </w:t>
      </w:r>
    </w:p>
  </w:footnote>
  <w:footnote w:id="9">
    <w:p w14:paraId="75941829" w14:textId="06988BFB" w:rsidR="009558C5" w:rsidRPr="00AD2A85" w:rsidRDefault="009558C5" w:rsidP="009558C5">
      <w:pPr>
        <w:pStyle w:val="FootnoteText"/>
        <w:rPr>
          <w:rFonts w:cs="Times New Roman"/>
        </w:rPr>
      </w:pPr>
      <w:r w:rsidRPr="00AD2A85">
        <w:rPr>
          <w:rStyle w:val="FootnoteReference"/>
          <w:rFonts w:cs="Times New Roman"/>
        </w:rPr>
        <w:footnoteRef/>
      </w:r>
      <w:r w:rsidRPr="00AD2A85">
        <w:rPr>
          <w:rFonts w:cs="Times New Roman"/>
        </w:rPr>
        <w:t xml:space="preserve"> OECD (2022), </w:t>
      </w:r>
      <w:r w:rsidRPr="00AD2A85">
        <w:rPr>
          <w:rFonts w:cs="Times New Roman"/>
          <w:i/>
          <w:iCs/>
        </w:rPr>
        <w:t>Italy's National Action Plan for Policy Coherence for Sustainable Development</w:t>
      </w:r>
      <w:r w:rsidRPr="00AD2A85">
        <w:rPr>
          <w:rFonts w:cs="Times New Roman"/>
        </w:rPr>
        <w:t>, OECD Publishing, Paris</w:t>
      </w:r>
      <w:r w:rsidR="008114DB">
        <w:rPr>
          <w:rFonts w:cs="Times New Roman"/>
        </w:rPr>
        <w:t xml:space="preserve">. </w:t>
      </w:r>
      <w:hyperlink r:id="rId5" w:history="1">
        <w:r w:rsidRPr="00AD2A85">
          <w:rPr>
            <w:rStyle w:val="Hyperlink"/>
            <w:rFonts w:cs="Times New Roman"/>
          </w:rPr>
          <w:t>https://doi.org/10.1787/54226722-en</w:t>
        </w:r>
      </w:hyperlink>
      <w:r w:rsidRPr="00AD2A85">
        <w:rPr>
          <w:rFonts w:cs="Times New Roman"/>
        </w:rPr>
        <w:t xml:space="preserve">. </w:t>
      </w:r>
    </w:p>
  </w:footnote>
  <w:footnote w:id="10">
    <w:p w14:paraId="3ED9A4CA" w14:textId="77777777" w:rsidR="00E266FD" w:rsidRPr="00AD2A85" w:rsidRDefault="00E266FD" w:rsidP="00E266FD">
      <w:pPr>
        <w:pStyle w:val="FootnoteText"/>
        <w:rPr>
          <w:rFonts w:cs="Times New Roman"/>
        </w:rPr>
      </w:pPr>
      <w:r w:rsidRPr="00AD2A85">
        <w:rPr>
          <w:rStyle w:val="FootnoteReference"/>
          <w:rFonts w:cs="Times New Roman"/>
        </w:rPr>
        <w:footnoteRef/>
      </w:r>
      <w:r w:rsidRPr="00AD2A85">
        <w:rPr>
          <w:rFonts w:cs="Times New Roman"/>
        </w:rPr>
        <w:t xml:space="preserve"> Vsaj ne javno objavljenih.</w:t>
      </w:r>
    </w:p>
  </w:footnote>
  <w:footnote w:id="11">
    <w:p w14:paraId="1A39D079" w14:textId="6D3ED2AB" w:rsidR="009621FF" w:rsidRPr="00AD2A85" w:rsidRDefault="009621FF" w:rsidP="00AD2A85">
      <w:pPr>
        <w:pStyle w:val="FootnoteText"/>
        <w:rPr>
          <w:rFonts w:cs="Times New Roman"/>
        </w:rPr>
      </w:pPr>
      <w:r w:rsidRPr="00AD2A85">
        <w:rPr>
          <w:rStyle w:val="FootnoteReference"/>
          <w:rFonts w:cs="Times New Roman"/>
        </w:rPr>
        <w:footnoteRef/>
      </w:r>
      <w:r w:rsidRPr="00AD2A85">
        <w:rPr>
          <w:rFonts w:cs="Times New Roman"/>
        </w:rPr>
        <w:t xml:space="preserve">https://www.gov.si/assets/vlada/Vlada_predstavitev_dokumenti/Koalicijski-dogovor-2022-2026-Programski-del-18.5.2022.pdf </w:t>
      </w:r>
    </w:p>
  </w:footnote>
  <w:footnote w:id="12">
    <w:p w14:paraId="0116313D" w14:textId="11F134B2" w:rsidR="009621FF" w:rsidRPr="00AD2A85" w:rsidRDefault="009621FF" w:rsidP="00AD2A85">
      <w:pPr>
        <w:pStyle w:val="FootnoteText"/>
        <w:rPr>
          <w:rFonts w:cs="Times New Roman"/>
        </w:rPr>
      </w:pPr>
      <w:r w:rsidRPr="00AD2A85">
        <w:rPr>
          <w:rStyle w:val="FootnoteReference"/>
          <w:rFonts w:cs="Times New Roman"/>
        </w:rPr>
        <w:footnoteRef/>
      </w:r>
      <w:r w:rsidRPr="00AD2A85">
        <w:rPr>
          <w:rFonts w:cs="Times New Roman"/>
        </w:rPr>
        <w:t xml:space="preserve"> E-pošta s strani sekretarke na Min</w:t>
      </w:r>
      <w:r w:rsidR="00663B69">
        <w:rPr>
          <w:rFonts w:cs="Times New Roman"/>
        </w:rPr>
        <w:t>istrstvu</w:t>
      </w:r>
      <w:r w:rsidRPr="00AD2A85">
        <w:rPr>
          <w:rFonts w:cs="Times New Roman"/>
        </w:rPr>
        <w:t xml:space="preserve"> za kohezijo in </w:t>
      </w:r>
      <w:r w:rsidR="006D0B8C">
        <w:rPr>
          <w:rFonts w:cs="Times New Roman"/>
        </w:rPr>
        <w:t xml:space="preserve">regionalni </w:t>
      </w:r>
      <w:r w:rsidRPr="00AD2A85">
        <w:rPr>
          <w:rFonts w:cs="Times New Roman"/>
        </w:rPr>
        <w:t>razvoj, marec 2025</w:t>
      </w:r>
      <w:r w:rsidR="00363526" w:rsidRPr="00AD2A85">
        <w:rPr>
          <w:rFonts w:cs="Times New Roman"/>
        </w:rPr>
        <w:t xml:space="preserve">. </w:t>
      </w:r>
    </w:p>
  </w:footnote>
  <w:footnote w:id="13">
    <w:p w14:paraId="007D3034" w14:textId="7115C619" w:rsidR="00363526" w:rsidRPr="00AD2A85" w:rsidRDefault="00363526" w:rsidP="00AD2A85">
      <w:pPr>
        <w:pStyle w:val="FootnoteText"/>
        <w:rPr>
          <w:rFonts w:cs="Times New Roman"/>
        </w:rPr>
      </w:pPr>
      <w:r w:rsidRPr="00AD2A85">
        <w:rPr>
          <w:rStyle w:val="FootnoteReference"/>
          <w:rFonts w:cs="Times New Roman"/>
        </w:rPr>
        <w:footnoteRef/>
      </w:r>
      <w:r w:rsidRPr="00AD2A85">
        <w:rPr>
          <w:rFonts w:cs="Times New Roman"/>
        </w:rPr>
        <w:t xml:space="preserve"> </w:t>
      </w:r>
      <w:r w:rsidR="004576C3">
        <w:rPr>
          <w:rFonts w:cs="Times New Roman"/>
        </w:rPr>
        <w:t xml:space="preserve">SURS kazalnike spremlja skladno z navodili EUROSTAT. Več na </w:t>
      </w:r>
      <w:hyperlink r:id="rId6" w:history="1">
        <w:r w:rsidR="004576C3" w:rsidRPr="004576C3">
          <w:rPr>
            <w:rStyle w:val="Hyperlink"/>
            <w:rFonts w:cs="Times New Roman"/>
          </w:rPr>
          <w:t>https://www.stat.si/Pages/cilji</w:t>
        </w:r>
      </w:hyperlink>
      <w:r w:rsidRPr="00AD2A85">
        <w:rPr>
          <w:rFonts w:cs="Times New Roman"/>
        </w:rPr>
        <w:t xml:space="preserve"> </w:t>
      </w:r>
    </w:p>
  </w:footnote>
  <w:footnote w:id="14">
    <w:p w14:paraId="1EE26E7A" w14:textId="08E045CE" w:rsidR="00E66D2F" w:rsidRPr="00AD2A85" w:rsidRDefault="00E66D2F" w:rsidP="00AD2A85">
      <w:pPr>
        <w:pStyle w:val="FootnoteText"/>
        <w:rPr>
          <w:rFonts w:cs="Times New Roman"/>
        </w:rPr>
      </w:pPr>
      <w:r w:rsidRPr="00AD2A85">
        <w:rPr>
          <w:rStyle w:val="FootnoteReference"/>
          <w:rFonts w:cs="Times New Roman"/>
        </w:rPr>
        <w:footnoteRef/>
      </w:r>
      <w:r w:rsidRPr="00AD2A85">
        <w:rPr>
          <w:rFonts w:cs="Times New Roman"/>
        </w:rPr>
        <w:t xml:space="preserve"> Sodeč po spletni strani so zadnji dostopni podatki za 2023, čeprav se navaja, da naj bi se posodabljali letno</w:t>
      </w:r>
      <w:r w:rsidR="00663B69">
        <w:rPr>
          <w:rFonts w:cs="Times New Roman"/>
        </w:rPr>
        <w:t>.</w:t>
      </w:r>
      <w:r w:rsidRPr="00AD2A85">
        <w:rPr>
          <w:rFonts w:cs="Times New Roman"/>
        </w:rPr>
        <w:t xml:space="preserve"> </w:t>
      </w:r>
      <w:hyperlink r:id="rId7" w:history="1">
        <w:r w:rsidRPr="00AD2A85">
          <w:rPr>
            <w:rStyle w:val="Hyperlink"/>
            <w:rFonts w:cs="Times New Roman"/>
          </w:rPr>
          <w:t>https://www.stat.si/StatWeb/News/Index/11549</w:t>
        </w:r>
      </w:hyperlink>
    </w:p>
  </w:footnote>
  <w:footnote w:id="15">
    <w:p w14:paraId="3674E855" w14:textId="26359E95" w:rsidR="00373DB1" w:rsidRPr="00AD2A85" w:rsidRDefault="00373DB1" w:rsidP="00AD2A85">
      <w:pPr>
        <w:pStyle w:val="FootnoteText"/>
        <w:rPr>
          <w:rFonts w:cs="Times New Roman"/>
        </w:rPr>
      </w:pPr>
      <w:r w:rsidRPr="00AD2A85">
        <w:rPr>
          <w:rStyle w:val="FootnoteReference"/>
          <w:rFonts w:cs="Times New Roman"/>
        </w:rPr>
        <w:footnoteRef/>
      </w:r>
      <w:r w:rsidRPr="00AD2A85">
        <w:rPr>
          <w:rFonts w:cs="Times New Roman"/>
        </w:rPr>
        <w:t xml:space="preserve"> </w:t>
      </w:r>
      <w:r w:rsidRPr="00AD2A85">
        <w:rPr>
          <w:rFonts w:cs="Times New Roman"/>
          <w:kern w:val="0"/>
        </w:rPr>
        <w:t>SRS 2030 predvideva, da bo za koordinacijo medresorskega uresničevanja vlada ustanovila Svet za razvoj, v katerega bodo vključeni predstavniki socialnih partnerjev, zasebnega sektorja, civilne družbe, strokovnih institucij, regionalnih in lokalnih skupnosti ter vlade.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1AFA"/>
    <w:multiLevelType w:val="multilevel"/>
    <w:tmpl w:val="45BCA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750838"/>
    <w:multiLevelType w:val="multilevel"/>
    <w:tmpl w:val="E50217D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7CE0A4F"/>
    <w:multiLevelType w:val="hybridMultilevel"/>
    <w:tmpl w:val="5AA2913A"/>
    <w:lvl w:ilvl="0" w:tplc="BA76C164">
      <w:start w:val="1"/>
      <w:numFmt w:val="decimal"/>
      <w:lvlText w:val="%1."/>
      <w:lvlJc w:val="left"/>
      <w:pPr>
        <w:ind w:left="720" w:hanging="360"/>
      </w:pPr>
      <w:rPr>
        <w:rFonts w:hint="default"/>
        <w:b w:val="0"/>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9A0021D"/>
    <w:multiLevelType w:val="multilevel"/>
    <w:tmpl w:val="7844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2D0E"/>
    <w:multiLevelType w:val="hybridMultilevel"/>
    <w:tmpl w:val="E6C47C3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DB504E"/>
    <w:multiLevelType w:val="hybridMultilevel"/>
    <w:tmpl w:val="620E10EA"/>
    <w:lvl w:ilvl="0" w:tplc="F99A3DD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5778D2"/>
    <w:multiLevelType w:val="multilevel"/>
    <w:tmpl w:val="A37EC502"/>
    <w:lvl w:ilvl="0">
      <w:start w:val="1"/>
      <w:numFmt w:val="decimal"/>
      <w:lvlText w:val="%1."/>
      <w:lvlJc w:val="left"/>
      <w:pPr>
        <w:ind w:left="360" w:hanging="360"/>
      </w:pPr>
      <w:rPr>
        <w:rFonts w:hint="default"/>
        <w:b w:val="0"/>
        <w:sz w:val="22"/>
      </w:rPr>
    </w:lvl>
    <w:lvl w:ilvl="1">
      <w:start w:val="2"/>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F322B3"/>
    <w:multiLevelType w:val="multilevel"/>
    <w:tmpl w:val="B5A6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66F23"/>
    <w:multiLevelType w:val="multilevel"/>
    <w:tmpl w:val="CDD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A7D54"/>
    <w:multiLevelType w:val="multilevel"/>
    <w:tmpl w:val="4AE459AC"/>
    <w:lvl w:ilvl="0">
      <w:start w:val="2"/>
      <w:numFmt w:val="decimal"/>
      <w:lvlText w:val="%1)"/>
      <w:lvlJc w:val="left"/>
      <w:pPr>
        <w:ind w:left="360" w:hanging="360"/>
      </w:pPr>
      <w:rPr>
        <w:rFonts w:hint="default"/>
        <w:b w:val="0"/>
        <w:sz w:val="22"/>
      </w:rPr>
    </w:lvl>
    <w:lvl w:ilvl="1">
      <w:start w:val="3"/>
      <w:numFmt w:val="lowerLetter"/>
      <w:lvlText w:val="%2)"/>
      <w:lvlJc w:val="left"/>
      <w:pPr>
        <w:ind w:left="720" w:hanging="360"/>
      </w:pPr>
      <w:rPr>
        <w:rFonts w:hint="default"/>
      </w:rPr>
    </w:lvl>
    <w:lvl w:ilvl="2">
      <w:start w:val="7"/>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D73C48"/>
    <w:multiLevelType w:val="multilevel"/>
    <w:tmpl w:val="1000001D"/>
    <w:lvl w:ilvl="0">
      <w:start w:val="1"/>
      <w:numFmt w:val="decimal"/>
      <w:lvlText w:val="%1)"/>
      <w:lvlJc w:val="left"/>
      <w:pPr>
        <w:ind w:left="360" w:hanging="360"/>
      </w:pPr>
      <w:rPr>
        <w:rFonts w:hint="default"/>
        <w:b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AA48D3"/>
    <w:multiLevelType w:val="hybridMultilevel"/>
    <w:tmpl w:val="FB0814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8677C"/>
    <w:multiLevelType w:val="hybridMultilevel"/>
    <w:tmpl w:val="1D247360"/>
    <w:lvl w:ilvl="0" w:tplc="C02CCE3A">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2F52F44"/>
    <w:multiLevelType w:val="multilevel"/>
    <w:tmpl w:val="0268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02D31"/>
    <w:multiLevelType w:val="hybridMultilevel"/>
    <w:tmpl w:val="5ABAEE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775C9C"/>
    <w:multiLevelType w:val="multilevel"/>
    <w:tmpl w:val="0E82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51211"/>
    <w:multiLevelType w:val="multilevel"/>
    <w:tmpl w:val="037034AC"/>
    <w:lvl w:ilvl="0">
      <w:start w:val="2"/>
      <w:numFmt w:val="decimal"/>
      <w:lvlText w:val="%1)"/>
      <w:lvlJc w:val="left"/>
      <w:pPr>
        <w:ind w:left="360" w:hanging="360"/>
      </w:pPr>
      <w:rPr>
        <w:rFonts w:hint="default"/>
        <w:b w:val="0"/>
        <w:sz w:val="22"/>
      </w:rPr>
    </w:lvl>
    <w:lvl w:ilvl="1">
      <w:start w:val="2"/>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FF6B20"/>
    <w:multiLevelType w:val="multilevel"/>
    <w:tmpl w:val="F58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23939"/>
    <w:multiLevelType w:val="hybridMultilevel"/>
    <w:tmpl w:val="31969E0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1D71570"/>
    <w:multiLevelType w:val="multilevel"/>
    <w:tmpl w:val="1D2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16DF2"/>
    <w:multiLevelType w:val="multilevel"/>
    <w:tmpl w:val="585C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547E9"/>
    <w:multiLevelType w:val="multilevel"/>
    <w:tmpl w:val="DC96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520C1"/>
    <w:multiLevelType w:val="multilevel"/>
    <w:tmpl w:val="9C3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76D81"/>
    <w:multiLevelType w:val="multilevel"/>
    <w:tmpl w:val="037034AC"/>
    <w:lvl w:ilvl="0">
      <w:start w:val="2"/>
      <w:numFmt w:val="decimal"/>
      <w:lvlText w:val="%1)"/>
      <w:lvlJc w:val="left"/>
      <w:pPr>
        <w:ind w:left="360" w:hanging="360"/>
      </w:pPr>
      <w:rPr>
        <w:rFonts w:hint="default"/>
        <w:b w:val="0"/>
        <w:sz w:val="22"/>
      </w:rPr>
    </w:lvl>
    <w:lvl w:ilvl="1">
      <w:start w:val="2"/>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EC6111"/>
    <w:multiLevelType w:val="multilevel"/>
    <w:tmpl w:val="2ED2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56BDF"/>
    <w:multiLevelType w:val="hybridMultilevel"/>
    <w:tmpl w:val="6F64D188"/>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72855E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C4471ED"/>
    <w:multiLevelType w:val="hybridMultilevel"/>
    <w:tmpl w:val="3D461EA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9B6570"/>
    <w:multiLevelType w:val="hybridMultilevel"/>
    <w:tmpl w:val="31969E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F46273"/>
    <w:multiLevelType w:val="hybridMultilevel"/>
    <w:tmpl w:val="F7F07446"/>
    <w:lvl w:ilvl="0" w:tplc="2EF845BE">
      <w:start w:val="1"/>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213E4"/>
    <w:multiLevelType w:val="hybridMultilevel"/>
    <w:tmpl w:val="ED1CD3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A20BFA"/>
    <w:multiLevelType w:val="multilevel"/>
    <w:tmpl w:val="1000001D"/>
    <w:lvl w:ilvl="0">
      <w:start w:val="1"/>
      <w:numFmt w:val="decimal"/>
      <w:lvlText w:val="%1)"/>
      <w:lvlJc w:val="left"/>
      <w:pPr>
        <w:ind w:left="360" w:hanging="360"/>
      </w:pPr>
      <w:rPr>
        <w:rFonts w:hint="default"/>
        <w:b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2037FD"/>
    <w:multiLevelType w:val="hybridMultilevel"/>
    <w:tmpl w:val="9312A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573199"/>
    <w:multiLevelType w:val="multilevel"/>
    <w:tmpl w:val="45BCA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D44A34"/>
    <w:multiLevelType w:val="multilevel"/>
    <w:tmpl w:val="4AE459AC"/>
    <w:lvl w:ilvl="0">
      <w:start w:val="2"/>
      <w:numFmt w:val="decimal"/>
      <w:lvlText w:val="%1)"/>
      <w:lvlJc w:val="left"/>
      <w:pPr>
        <w:ind w:left="360" w:hanging="360"/>
      </w:pPr>
      <w:rPr>
        <w:rFonts w:hint="default"/>
        <w:b w:val="0"/>
        <w:sz w:val="22"/>
      </w:rPr>
    </w:lvl>
    <w:lvl w:ilvl="1">
      <w:start w:val="3"/>
      <w:numFmt w:val="lowerLetter"/>
      <w:lvlText w:val="%2)"/>
      <w:lvlJc w:val="left"/>
      <w:pPr>
        <w:ind w:left="720" w:hanging="360"/>
      </w:pPr>
      <w:rPr>
        <w:rFonts w:hint="default"/>
      </w:rPr>
    </w:lvl>
    <w:lvl w:ilvl="2">
      <w:start w:val="7"/>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64A3E8E"/>
    <w:multiLevelType w:val="multilevel"/>
    <w:tmpl w:val="037034AC"/>
    <w:lvl w:ilvl="0">
      <w:start w:val="2"/>
      <w:numFmt w:val="decimal"/>
      <w:lvlText w:val="%1)"/>
      <w:lvlJc w:val="left"/>
      <w:pPr>
        <w:ind w:left="360" w:hanging="360"/>
      </w:pPr>
      <w:rPr>
        <w:rFonts w:hint="default"/>
        <w:b w:val="0"/>
        <w:sz w:val="22"/>
      </w:rPr>
    </w:lvl>
    <w:lvl w:ilvl="1">
      <w:start w:val="2"/>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0"/>
  </w:num>
  <w:num w:numId="3">
    <w:abstractNumId w:val="2"/>
  </w:num>
  <w:num w:numId="4">
    <w:abstractNumId w:val="28"/>
  </w:num>
  <w:num w:numId="5">
    <w:abstractNumId w:val="16"/>
  </w:num>
  <w:num w:numId="6">
    <w:abstractNumId w:val="34"/>
  </w:num>
  <w:num w:numId="7">
    <w:abstractNumId w:val="9"/>
  </w:num>
  <w:num w:numId="8">
    <w:abstractNumId w:val="3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21"/>
  </w:num>
  <w:num w:numId="13">
    <w:abstractNumId w:val="24"/>
  </w:num>
  <w:num w:numId="14">
    <w:abstractNumId w:val="8"/>
  </w:num>
  <w:num w:numId="15">
    <w:abstractNumId w:val="13"/>
  </w:num>
  <w:num w:numId="16">
    <w:abstractNumId w:val="3"/>
  </w:num>
  <w:num w:numId="17">
    <w:abstractNumId w:val="19"/>
  </w:num>
  <w:num w:numId="18">
    <w:abstractNumId w:val="15"/>
  </w:num>
  <w:num w:numId="19">
    <w:abstractNumId w:val="22"/>
  </w:num>
  <w:num w:numId="20">
    <w:abstractNumId w:val="20"/>
  </w:num>
  <w:num w:numId="21">
    <w:abstractNumId w:val="5"/>
  </w:num>
  <w:num w:numId="22">
    <w:abstractNumId w:val="12"/>
  </w:num>
  <w:num w:numId="23">
    <w:abstractNumId w:val="33"/>
  </w:num>
  <w:num w:numId="24">
    <w:abstractNumId w:val="1"/>
  </w:num>
  <w:num w:numId="25">
    <w:abstractNumId w:val="29"/>
  </w:num>
  <w:num w:numId="26">
    <w:abstractNumId w:val="11"/>
  </w:num>
  <w:num w:numId="27">
    <w:abstractNumId w:val="25"/>
  </w:num>
  <w:num w:numId="28">
    <w:abstractNumId w:val="26"/>
  </w:num>
  <w:num w:numId="29">
    <w:abstractNumId w:val="32"/>
  </w:num>
  <w:num w:numId="30">
    <w:abstractNumId w:val="31"/>
  </w:num>
  <w:num w:numId="31">
    <w:abstractNumId w:val="23"/>
  </w:num>
  <w:num w:numId="32">
    <w:abstractNumId w:val="14"/>
  </w:num>
  <w:num w:numId="33">
    <w:abstractNumId w:val="27"/>
  </w:num>
  <w:num w:numId="34">
    <w:abstractNumId w:val="6"/>
  </w:num>
  <w:num w:numId="35">
    <w:abstractNumId w:val="3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B2"/>
    <w:rsid w:val="000046B4"/>
    <w:rsid w:val="000145F2"/>
    <w:rsid w:val="0002314A"/>
    <w:rsid w:val="00032408"/>
    <w:rsid w:val="0003777B"/>
    <w:rsid w:val="00042060"/>
    <w:rsid w:val="00042DDE"/>
    <w:rsid w:val="000642B8"/>
    <w:rsid w:val="00076981"/>
    <w:rsid w:val="00086E68"/>
    <w:rsid w:val="00096313"/>
    <w:rsid w:val="000964A1"/>
    <w:rsid w:val="000D5085"/>
    <w:rsid w:val="000E07B4"/>
    <w:rsid w:val="000E4C21"/>
    <w:rsid w:val="000E550E"/>
    <w:rsid w:val="000E6A78"/>
    <w:rsid w:val="0010162C"/>
    <w:rsid w:val="00102F9A"/>
    <w:rsid w:val="00105D04"/>
    <w:rsid w:val="00107882"/>
    <w:rsid w:val="00126EE8"/>
    <w:rsid w:val="00134021"/>
    <w:rsid w:val="001448FB"/>
    <w:rsid w:val="00170490"/>
    <w:rsid w:val="00170968"/>
    <w:rsid w:val="00181521"/>
    <w:rsid w:val="001852EF"/>
    <w:rsid w:val="001A143D"/>
    <w:rsid w:val="001A1F4D"/>
    <w:rsid w:val="001C728B"/>
    <w:rsid w:val="001D1D25"/>
    <w:rsid w:val="001D73C1"/>
    <w:rsid w:val="001E09D6"/>
    <w:rsid w:val="001E3C8B"/>
    <w:rsid w:val="001F7530"/>
    <w:rsid w:val="001F7F43"/>
    <w:rsid w:val="00201883"/>
    <w:rsid w:val="002148D8"/>
    <w:rsid w:val="0023057B"/>
    <w:rsid w:val="00235A8F"/>
    <w:rsid w:val="00253C04"/>
    <w:rsid w:val="002543CA"/>
    <w:rsid w:val="002706A1"/>
    <w:rsid w:val="00272CF3"/>
    <w:rsid w:val="00290C22"/>
    <w:rsid w:val="002A0C79"/>
    <w:rsid w:val="002B17AB"/>
    <w:rsid w:val="002D226F"/>
    <w:rsid w:val="002D4AF6"/>
    <w:rsid w:val="002D55DA"/>
    <w:rsid w:val="002E01D6"/>
    <w:rsid w:val="002F6496"/>
    <w:rsid w:val="003040BE"/>
    <w:rsid w:val="00306B06"/>
    <w:rsid w:val="00312466"/>
    <w:rsid w:val="00323CC5"/>
    <w:rsid w:val="00327F6C"/>
    <w:rsid w:val="003331D9"/>
    <w:rsid w:val="003457A7"/>
    <w:rsid w:val="00363526"/>
    <w:rsid w:val="00363FCD"/>
    <w:rsid w:val="00372C55"/>
    <w:rsid w:val="00373DB1"/>
    <w:rsid w:val="0038223D"/>
    <w:rsid w:val="00387327"/>
    <w:rsid w:val="003961E4"/>
    <w:rsid w:val="003963AC"/>
    <w:rsid w:val="003A3DC4"/>
    <w:rsid w:val="003C407E"/>
    <w:rsid w:val="003D0607"/>
    <w:rsid w:val="003D4A6D"/>
    <w:rsid w:val="003D662E"/>
    <w:rsid w:val="003F31D2"/>
    <w:rsid w:val="003F63FE"/>
    <w:rsid w:val="003F6FB6"/>
    <w:rsid w:val="00405E75"/>
    <w:rsid w:val="004266D6"/>
    <w:rsid w:val="00430CDA"/>
    <w:rsid w:val="00433E6D"/>
    <w:rsid w:val="00445B92"/>
    <w:rsid w:val="004461CA"/>
    <w:rsid w:val="004508F1"/>
    <w:rsid w:val="00453817"/>
    <w:rsid w:val="00454E06"/>
    <w:rsid w:val="004576C3"/>
    <w:rsid w:val="00464C28"/>
    <w:rsid w:val="00471D5B"/>
    <w:rsid w:val="0048498B"/>
    <w:rsid w:val="004874B1"/>
    <w:rsid w:val="00494F26"/>
    <w:rsid w:val="004B0922"/>
    <w:rsid w:val="004B3420"/>
    <w:rsid w:val="004C7A48"/>
    <w:rsid w:val="004C7CF3"/>
    <w:rsid w:val="004D1798"/>
    <w:rsid w:val="004E39EA"/>
    <w:rsid w:val="0050124F"/>
    <w:rsid w:val="0050374D"/>
    <w:rsid w:val="005038ED"/>
    <w:rsid w:val="00514D6E"/>
    <w:rsid w:val="00532716"/>
    <w:rsid w:val="005566A0"/>
    <w:rsid w:val="00562F5D"/>
    <w:rsid w:val="005724FC"/>
    <w:rsid w:val="005807D8"/>
    <w:rsid w:val="00586D32"/>
    <w:rsid w:val="005A45FC"/>
    <w:rsid w:val="005B5586"/>
    <w:rsid w:val="005C05B1"/>
    <w:rsid w:val="005C6049"/>
    <w:rsid w:val="005E151D"/>
    <w:rsid w:val="00600251"/>
    <w:rsid w:val="00601195"/>
    <w:rsid w:val="00601483"/>
    <w:rsid w:val="00624C1F"/>
    <w:rsid w:val="00625555"/>
    <w:rsid w:val="00633115"/>
    <w:rsid w:val="00634CD5"/>
    <w:rsid w:val="00650C84"/>
    <w:rsid w:val="006516EE"/>
    <w:rsid w:val="0065684E"/>
    <w:rsid w:val="00663B69"/>
    <w:rsid w:val="00674360"/>
    <w:rsid w:val="0067503D"/>
    <w:rsid w:val="00686EE3"/>
    <w:rsid w:val="00690ACC"/>
    <w:rsid w:val="006A0200"/>
    <w:rsid w:val="006B2535"/>
    <w:rsid w:val="006B56ED"/>
    <w:rsid w:val="006B72A0"/>
    <w:rsid w:val="006D0B8C"/>
    <w:rsid w:val="006E4CDC"/>
    <w:rsid w:val="00711B8C"/>
    <w:rsid w:val="007129BE"/>
    <w:rsid w:val="00712CCC"/>
    <w:rsid w:val="0073754B"/>
    <w:rsid w:val="00741BD2"/>
    <w:rsid w:val="0074329B"/>
    <w:rsid w:val="00746680"/>
    <w:rsid w:val="00754D6D"/>
    <w:rsid w:val="00761F2B"/>
    <w:rsid w:val="00767B0C"/>
    <w:rsid w:val="007764C5"/>
    <w:rsid w:val="007852AF"/>
    <w:rsid w:val="00791A17"/>
    <w:rsid w:val="007A0BEA"/>
    <w:rsid w:val="007A5034"/>
    <w:rsid w:val="007C3AA6"/>
    <w:rsid w:val="007D2DF3"/>
    <w:rsid w:val="007D5441"/>
    <w:rsid w:val="007D556E"/>
    <w:rsid w:val="007D6334"/>
    <w:rsid w:val="007E5802"/>
    <w:rsid w:val="00807C45"/>
    <w:rsid w:val="008114DB"/>
    <w:rsid w:val="00815559"/>
    <w:rsid w:val="00821D7F"/>
    <w:rsid w:val="00847D0E"/>
    <w:rsid w:val="008528BD"/>
    <w:rsid w:val="008665AE"/>
    <w:rsid w:val="00867543"/>
    <w:rsid w:val="00882917"/>
    <w:rsid w:val="00885694"/>
    <w:rsid w:val="00885779"/>
    <w:rsid w:val="00893B9B"/>
    <w:rsid w:val="00896843"/>
    <w:rsid w:val="00896C6F"/>
    <w:rsid w:val="008A5953"/>
    <w:rsid w:val="008B59A0"/>
    <w:rsid w:val="008B62BD"/>
    <w:rsid w:val="008C3754"/>
    <w:rsid w:val="008D2B6A"/>
    <w:rsid w:val="008F358F"/>
    <w:rsid w:val="008F4112"/>
    <w:rsid w:val="00901AA6"/>
    <w:rsid w:val="00906CC3"/>
    <w:rsid w:val="00921019"/>
    <w:rsid w:val="00921AAB"/>
    <w:rsid w:val="00925CE3"/>
    <w:rsid w:val="0094241C"/>
    <w:rsid w:val="00950608"/>
    <w:rsid w:val="009558C5"/>
    <w:rsid w:val="009621FF"/>
    <w:rsid w:val="009776DF"/>
    <w:rsid w:val="00991FE0"/>
    <w:rsid w:val="009A4AF2"/>
    <w:rsid w:val="009A4C1D"/>
    <w:rsid w:val="009A57CF"/>
    <w:rsid w:val="009C2371"/>
    <w:rsid w:val="009C400A"/>
    <w:rsid w:val="009C5294"/>
    <w:rsid w:val="009C6524"/>
    <w:rsid w:val="009C7091"/>
    <w:rsid w:val="009D0353"/>
    <w:rsid w:val="009D1CB2"/>
    <w:rsid w:val="009F11E3"/>
    <w:rsid w:val="009F286C"/>
    <w:rsid w:val="009F7B5A"/>
    <w:rsid w:val="00A016B3"/>
    <w:rsid w:val="00A1024C"/>
    <w:rsid w:val="00A523AE"/>
    <w:rsid w:val="00A90057"/>
    <w:rsid w:val="00A96486"/>
    <w:rsid w:val="00A96D73"/>
    <w:rsid w:val="00AA6F6B"/>
    <w:rsid w:val="00AB3BCA"/>
    <w:rsid w:val="00AC1A24"/>
    <w:rsid w:val="00AC1F21"/>
    <w:rsid w:val="00AC36A5"/>
    <w:rsid w:val="00AC7995"/>
    <w:rsid w:val="00AD0C63"/>
    <w:rsid w:val="00AD2A85"/>
    <w:rsid w:val="00AE0C94"/>
    <w:rsid w:val="00AE4DE9"/>
    <w:rsid w:val="00B078A3"/>
    <w:rsid w:val="00B202A5"/>
    <w:rsid w:val="00B3189E"/>
    <w:rsid w:val="00B644DE"/>
    <w:rsid w:val="00B80BF1"/>
    <w:rsid w:val="00B81AF2"/>
    <w:rsid w:val="00B8433F"/>
    <w:rsid w:val="00B8570B"/>
    <w:rsid w:val="00B85FC9"/>
    <w:rsid w:val="00B95F87"/>
    <w:rsid w:val="00BA3B10"/>
    <w:rsid w:val="00BA5AAB"/>
    <w:rsid w:val="00BB0D9C"/>
    <w:rsid w:val="00BC39CD"/>
    <w:rsid w:val="00BC781C"/>
    <w:rsid w:val="00BD2E40"/>
    <w:rsid w:val="00BE6259"/>
    <w:rsid w:val="00BE7757"/>
    <w:rsid w:val="00BF4A07"/>
    <w:rsid w:val="00C024A9"/>
    <w:rsid w:val="00C10289"/>
    <w:rsid w:val="00C143F6"/>
    <w:rsid w:val="00C174D8"/>
    <w:rsid w:val="00C17F83"/>
    <w:rsid w:val="00C231DF"/>
    <w:rsid w:val="00C4430B"/>
    <w:rsid w:val="00C51777"/>
    <w:rsid w:val="00C56D0B"/>
    <w:rsid w:val="00C612C9"/>
    <w:rsid w:val="00C70391"/>
    <w:rsid w:val="00C719DE"/>
    <w:rsid w:val="00C734CB"/>
    <w:rsid w:val="00C82129"/>
    <w:rsid w:val="00C947BC"/>
    <w:rsid w:val="00C94CF9"/>
    <w:rsid w:val="00C94FDF"/>
    <w:rsid w:val="00C967BF"/>
    <w:rsid w:val="00CA306D"/>
    <w:rsid w:val="00CB3182"/>
    <w:rsid w:val="00CC08D6"/>
    <w:rsid w:val="00CC2C43"/>
    <w:rsid w:val="00CE133D"/>
    <w:rsid w:val="00CF602C"/>
    <w:rsid w:val="00CF6411"/>
    <w:rsid w:val="00D16531"/>
    <w:rsid w:val="00D21797"/>
    <w:rsid w:val="00D35E78"/>
    <w:rsid w:val="00D4322F"/>
    <w:rsid w:val="00D505A0"/>
    <w:rsid w:val="00D6162A"/>
    <w:rsid w:val="00D6467E"/>
    <w:rsid w:val="00D67CEC"/>
    <w:rsid w:val="00D747E2"/>
    <w:rsid w:val="00D81469"/>
    <w:rsid w:val="00D97937"/>
    <w:rsid w:val="00DA2FF3"/>
    <w:rsid w:val="00DA536F"/>
    <w:rsid w:val="00DB4BCB"/>
    <w:rsid w:val="00DB50B4"/>
    <w:rsid w:val="00DB6DC7"/>
    <w:rsid w:val="00DB7388"/>
    <w:rsid w:val="00DC03F8"/>
    <w:rsid w:val="00DD01AB"/>
    <w:rsid w:val="00DD5F88"/>
    <w:rsid w:val="00E1012C"/>
    <w:rsid w:val="00E13DFD"/>
    <w:rsid w:val="00E266FD"/>
    <w:rsid w:val="00E30101"/>
    <w:rsid w:val="00E3707D"/>
    <w:rsid w:val="00E54345"/>
    <w:rsid w:val="00E56B32"/>
    <w:rsid w:val="00E63F4E"/>
    <w:rsid w:val="00E66D2F"/>
    <w:rsid w:val="00E761CA"/>
    <w:rsid w:val="00E85ED2"/>
    <w:rsid w:val="00E97627"/>
    <w:rsid w:val="00EB39B4"/>
    <w:rsid w:val="00EB6E65"/>
    <w:rsid w:val="00EC2F18"/>
    <w:rsid w:val="00EC6399"/>
    <w:rsid w:val="00ED689E"/>
    <w:rsid w:val="00ED7CA4"/>
    <w:rsid w:val="00ED7F03"/>
    <w:rsid w:val="00EE0CC8"/>
    <w:rsid w:val="00EE23EE"/>
    <w:rsid w:val="00EF18FE"/>
    <w:rsid w:val="00EF1E18"/>
    <w:rsid w:val="00F03CE1"/>
    <w:rsid w:val="00F06F58"/>
    <w:rsid w:val="00F07385"/>
    <w:rsid w:val="00F14B51"/>
    <w:rsid w:val="00F1507F"/>
    <w:rsid w:val="00F331E4"/>
    <w:rsid w:val="00F5340C"/>
    <w:rsid w:val="00F64E57"/>
    <w:rsid w:val="00F774BC"/>
    <w:rsid w:val="00F876FC"/>
    <w:rsid w:val="00F92C22"/>
    <w:rsid w:val="00FA1596"/>
    <w:rsid w:val="00FC508E"/>
    <w:rsid w:val="00FC6BF6"/>
    <w:rsid w:val="00FE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FE624"/>
  <w15:chartTrackingRefBased/>
  <w15:docId w15:val="{342EF57F-E4E0-4E53-ACA8-360D6C50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8D6"/>
    <w:pPr>
      <w:jc w:val="both"/>
    </w:pPr>
    <w:rPr>
      <w:rFonts w:ascii="Times New Roman" w:hAnsi="Times New Roman"/>
    </w:rPr>
  </w:style>
  <w:style w:type="paragraph" w:styleId="Heading1">
    <w:name w:val="heading 1"/>
    <w:basedOn w:val="Heading2"/>
    <w:next w:val="Normal"/>
    <w:link w:val="Heading1Char"/>
    <w:uiPriority w:val="9"/>
    <w:qFormat/>
    <w:rsid w:val="00BC781C"/>
    <w:pPr>
      <w:numPr>
        <w:ilvl w:val="0"/>
      </w:numPr>
      <w:outlineLvl w:val="0"/>
    </w:pPr>
  </w:style>
  <w:style w:type="paragraph" w:styleId="Heading2">
    <w:name w:val="heading 2"/>
    <w:basedOn w:val="Normal"/>
    <w:next w:val="Normal"/>
    <w:link w:val="Heading2Char"/>
    <w:uiPriority w:val="9"/>
    <w:unhideWhenUsed/>
    <w:qFormat/>
    <w:rsid w:val="00BC781C"/>
    <w:pPr>
      <w:keepNext/>
      <w:keepLines/>
      <w:numPr>
        <w:ilvl w:val="1"/>
        <w:numId w:val="28"/>
      </w:numPr>
      <w:spacing w:before="160" w:after="80"/>
      <w:outlineLvl w:val="1"/>
    </w:pPr>
    <w:rPr>
      <w:rFonts w:eastAsiaTheme="majorEastAsia" w:cstheme="majorBidi"/>
      <w:b/>
      <w:sz w:val="24"/>
      <w:szCs w:val="32"/>
    </w:rPr>
  </w:style>
  <w:style w:type="paragraph" w:styleId="Heading3">
    <w:name w:val="heading 3"/>
    <w:basedOn w:val="Heading1"/>
    <w:next w:val="Normal"/>
    <w:link w:val="Heading3Char"/>
    <w:uiPriority w:val="9"/>
    <w:unhideWhenUsed/>
    <w:qFormat/>
    <w:rsid w:val="00BC781C"/>
    <w:pPr>
      <w:numPr>
        <w:ilvl w:val="2"/>
      </w:numPr>
      <w:outlineLvl w:val="2"/>
    </w:pPr>
  </w:style>
  <w:style w:type="paragraph" w:styleId="Heading4">
    <w:name w:val="heading 4"/>
    <w:basedOn w:val="Normal"/>
    <w:next w:val="Normal"/>
    <w:link w:val="Heading4Char"/>
    <w:uiPriority w:val="9"/>
    <w:semiHidden/>
    <w:unhideWhenUsed/>
    <w:qFormat/>
    <w:rsid w:val="009D1CB2"/>
    <w:pPr>
      <w:keepNext/>
      <w:keepLines/>
      <w:numPr>
        <w:ilvl w:val="3"/>
        <w:numId w:val="28"/>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CB2"/>
    <w:pPr>
      <w:keepNext/>
      <w:keepLines/>
      <w:numPr>
        <w:ilvl w:val="4"/>
        <w:numId w:val="2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CB2"/>
    <w:pPr>
      <w:keepNext/>
      <w:keepLines/>
      <w:numPr>
        <w:ilvl w:val="5"/>
        <w:numId w:val="28"/>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CB2"/>
    <w:pPr>
      <w:keepNext/>
      <w:keepLines/>
      <w:numPr>
        <w:ilvl w:val="6"/>
        <w:numId w:val="28"/>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CB2"/>
    <w:pPr>
      <w:keepNext/>
      <w:keepLines/>
      <w:numPr>
        <w:ilvl w:val="7"/>
        <w:numId w:val="28"/>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CB2"/>
    <w:pPr>
      <w:keepNext/>
      <w:keepLines/>
      <w:numPr>
        <w:ilvl w:val="8"/>
        <w:numId w:val="28"/>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81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C781C"/>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BC781C"/>
    <w:rPr>
      <w:rFonts w:ascii="Times New Roman" w:eastAsiaTheme="majorEastAsia" w:hAnsi="Times New Roman" w:cstheme="majorBidi"/>
      <w:b/>
      <w:sz w:val="24"/>
      <w:szCs w:val="32"/>
    </w:rPr>
  </w:style>
  <w:style w:type="character" w:customStyle="1" w:styleId="Heading4Char">
    <w:name w:val="Heading 4 Char"/>
    <w:basedOn w:val="DefaultParagraphFont"/>
    <w:link w:val="Heading4"/>
    <w:uiPriority w:val="9"/>
    <w:semiHidden/>
    <w:rsid w:val="009D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CB2"/>
    <w:rPr>
      <w:rFonts w:eastAsiaTheme="majorEastAsia" w:cstheme="majorBidi"/>
      <w:color w:val="272727" w:themeColor="text1" w:themeTint="D8"/>
    </w:rPr>
  </w:style>
  <w:style w:type="paragraph" w:styleId="Title">
    <w:name w:val="Title"/>
    <w:basedOn w:val="Normal"/>
    <w:next w:val="Normal"/>
    <w:link w:val="TitleChar"/>
    <w:uiPriority w:val="10"/>
    <w:qFormat/>
    <w:rsid w:val="009D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CB2"/>
    <w:pPr>
      <w:spacing w:before="160"/>
      <w:jc w:val="center"/>
    </w:pPr>
    <w:rPr>
      <w:i/>
      <w:iCs/>
      <w:color w:val="404040" w:themeColor="text1" w:themeTint="BF"/>
    </w:rPr>
  </w:style>
  <w:style w:type="character" w:customStyle="1" w:styleId="QuoteChar">
    <w:name w:val="Quote Char"/>
    <w:basedOn w:val="DefaultParagraphFont"/>
    <w:link w:val="Quote"/>
    <w:uiPriority w:val="29"/>
    <w:rsid w:val="009D1CB2"/>
    <w:rPr>
      <w:i/>
      <w:iCs/>
      <w:color w:val="404040" w:themeColor="text1" w:themeTint="BF"/>
    </w:rPr>
  </w:style>
  <w:style w:type="paragraph" w:styleId="ListParagraph">
    <w:name w:val="List Paragraph"/>
    <w:basedOn w:val="Normal"/>
    <w:uiPriority w:val="34"/>
    <w:qFormat/>
    <w:rsid w:val="009D1CB2"/>
    <w:pPr>
      <w:ind w:left="720"/>
      <w:contextualSpacing/>
    </w:pPr>
  </w:style>
  <w:style w:type="character" w:styleId="IntenseEmphasis">
    <w:name w:val="Intense Emphasis"/>
    <w:basedOn w:val="DefaultParagraphFont"/>
    <w:uiPriority w:val="21"/>
    <w:qFormat/>
    <w:rsid w:val="009D1CB2"/>
    <w:rPr>
      <w:i/>
      <w:iCs/>
      <w:color w:val="0F4761" w:themeColor="accent1" w:themeShade="BF"/>
    </w:rPr>
  </w:style>
  <w:style w:type="paragraph" w:styleId="IntenseQuote">
    <w:name w:val="Intense Quote"/>
    <w:basedOn w:val="Normal"/>
    <w:next w:val="Normal"/>
    <w:link w:val="IntenseQuoteChar"/>
    <w:uiPriority w:val="30"/>
    <w:qFormat/>
    <w:rsid w:val="009D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CB2"/>
    <w:rPr>
      <w:i/>
      <w:iCs/>
      <w:color w:val="0F4761" w:themeColor="accent1" w:themeShade="BF"/>
    </w:rPr>
  </w:style>
  <w:style w:type="character" w:styleId="IntenseReference">
    <w:name w:val="Intense Reference"/>
    <w:basedOn w:val="DefaultParagraphFont"/>
    <w:uiPriority w:val="32"/>
    <w:qFormat/>
    <w:rsid w:val="009D1CB2"/>
    <w:rPr>
      <w:b/>
      <w:bCs/>
      <w:smallCaps/>
      <w:color w:val="0F4761" w:themeColor="accent1" w:themeShade="BF"/>
      <w:spacing w:val="5"/>
    </w:rPr>
  </w:style>
  <w:style w:type="paragraph" w:styleId="TOCHeading">
    <w:name w:val="TOC Heading"/>
    <w:basedOn w:val="Heading1"/>
    <w:next w:val="Normal"/>
    <w:uiPriority w:val="39"/>
    <w:unhideWhenUsed/>
    <w:qFormat/>
    <w:rsid w:val="00532716"/>
    <w:pPr>
      <w:spacing w:before="240" w:after="0"/>
      <w:outlineLvl w:val="9"/>
    </w:pPr>
    <w:rPr>
      <w:kern w:val="0"/>
      <w:sz w:val="32"/>
      <w:lang w:val="en-US"/>
      <w14:ligatures w14:val="none"/>
    </w:rPr>
  </w:style>
  <w:style w:type="paragraph" w:styleId="FootnoteText">
    <w:name w:val="footnote text"/>
    <w:basedOn w:val="Normal"/>
    <w:link w:val="FootnoteTextChar"/>
    <w:uiPriority w:val="99"/>
    <w:semiHidden/>
    <w:unhideWhenUsed/>
    <w:rsid w:val="00DB6D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6DC7"/>
    <w:rPr>
      <w:sz w:val="20"/>
      <w:szCs w:val="20"/>
    </w:rPr>
  </w:style>
  <w:style w:type="character" w:styleId="FootnoteReference">
    <w:name w:val="footnote reference"/>
    <w:basedOn w:val="DefaultParagraphFont"/>
    <w:uiPriority w:val="99"/>
    <w:semiHidden/>
    <w:unhideWhenUsed/>
    <w:rsid w:val="00DB6DC7"/>
    <w:rPr>
      <w:vertAlign w:val="superscript"/>
    </w:rPr>
  </w:style>
  <w:style w:type="character" w:styleId="Hyperlink">
    <w:name w:val="Hyperlink"/>
    <w:basedOn w:val="DefaultParagraphFont"/>
    <w:uiPriority w:val="99"/>
    <w:unhideWhenUsed/>
    <w:rsid w:val="00DB6DC7"/>
    <w:rPr>
      <w:color w:val="467886" w:themeColor="hyperlink"/>
      <w:u w:val="single"/>
    </w:rPr>
  </w:style>
  <w:style w:type="character" w:customStyle="1" w:styleId="Nerazreenaomemba1">
    <w:name w:val="Nerazrešena omemba1"/>
    <w:basedOn w:val="DefaultParagraphFont"/>
    <w:uiPriority w:val="99"/>
    <w:semiHidden/>
    <w:unhideWhenUsed/>
    <w:rsid w:val="00DB6DC7"/>
    <w:rPr>
      <w:color w:val="605E5C"/>
      <w:shd w:val="clear" w:color="auto" w:fill="E1DFDD"/>
    </w:rPr>
  </w:style>
  <w:style w:type="paragraph" w:styleId="Header">
    <w:name w:val="header"/>
    <w:basedOn w:val="Normal"/>
    <w:link w:val="HeaderChar"/>
    <w:uiPriority w:val="99"/>
    <w:unhideWhenUsed/>
    <w:rsid w:val="008D2B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2B6A"/>
  </w:style>
  <w:style w:type="paragraph" w:styleId="Footer">
    <w:name w:val="footer"/>
    <w:basedOn w:val="Normal"/>
    <w:link w:val="FooterChar"/>
    <w:uiPriority w:val="99"/>
    <w:unhideWhenUsed/>
    <w:rsid w:val="008D2B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2B6A"/>
  </w:style>
  <w:style w:type="character" w:styleId="CommentReference">
    <w:name w:val="annotation reference"/>
    <w:basedOn w:val="DefaultParagraphFont"/>
    <w:uiPriority w:val="99"/>
    <w:semiHidden/>
    <w:unhideWhenUsed/>
    <w:rsid w:val="004B3420"/>
    <w:rPr>
      <w:sz w:val="16"/>
      <w:szCs w:val="16"/>
    </w:rPr>
  </w:style>
  <w:style w:type="paragraph" w:styleId="CommentText">
    <w:name w:val="annotation text"/>
    <w:basedOn w:val="Normal"/>
    <w:link w:val="CommentTextChar"/>
    <w:uiPriority w:val="99"/>
    <w:unhideWhenUsed/>
    <w:rsid w:val="004B3420"/>
    <w:pPr>
      <w:spacing w:line="240" w:lineRule="auto"/>
    </w:pPr>
    <w:rPr>
      <w:sz w:val="20"/>
      <w:szCs w:val="20"/>
    </w:rPr>
  </w:style>
  <w:style w:type="character" w:customStyle="1" w:styleId="CommentTextChar">
    <w:name w:val="Comment Text Char"/>
    <w:basedOn w:val="DefaultParagraphFont"/>
    <w:link w:val="CommentText"/>
    <w:uiPriority w:val="99"/>
    <w:rsid w:val="004B3420"/>
    <w:rPr>
      <w:sz w:val="20"/>
      <w:szCs w:val="20"/>
    </w:rPr>
  </w:style>
  <w:style w:type="paragraph" w:styleId="CommentSubject">
    <w:name w:val="annotation subject"/>
    <w:basedOn w:val="CommentText"/>
    <w:next w:val="CommentText"/>
    <w:link w:val="CommentSubjectChar"/>
    <w:uiPriority w:val="99"/>
    <w:semiHidden/>
    <w:unhideWhenUsed/>
    <w:rsid w:val="004B3420"/>
    <w:rPr>
      <w:b/>
      <w:bCs/>
    </w:rPr>
  </w:style>
  <w:style w:type="character" w:customStyle="1" w:styleId="CommentSubjectChar">
    <w:name w:val="Comment Subject Char"/>
    <w:basedOn w:val="CommentTextChar"/>
    <w:link w:val="CommentSubject"/>
    <w:uiPriority w:val="99"/>
    <w:semiHidden/>
    <w:rsid w:val="004B3420"/>
    <w:rPr>
      <w:b/>
      <w:bCs/>
      <w:sz w:val="20"/>
      <w:szCs w:val="20"/>
    </w:rPr>
  </w:style>
  <w:style w:type="table" w:styleId="TableGrid">
    <w:name w:val="Table Grid"/>
    <w:basedOn w:val="TableNormal"/>
    <w:uiPriority w:val="39"/>
    <w:rsid w:val="00906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2CCC"/>
    <w:pPr>
      <w:spacing w:after="0" w:line="240" w:lineRule="auto"/>
    </w:pPr>
  </w:style>
  <w:style w:type="paragraph" w:styleId="Caption">
    <w:name w:val="caption"/>
    <w:basedOn w:val="Normal"/>
    <w:next w:val="Normal"/>
    <w:uiPriority w:val="35"/>
    <w:unhideWhenUsed/>
    <w:qFormat/>
    <w:rsid w:val="0073754B"/>
    <w:pPr>
      <w:spacing w:after="200" w:line="240" w:lineRule="auto"/>
    </w:pPr>
    <w:rPr>
      <w:i/>
      <w:iCs/>
      <w:color w:val="0E2841" w:themeColor="text2"/>
      <w:sz w:val="18"/>
      <w:szCs w:val="18"/>
    </w:rPr>
  </w:style>
  <w:style w:type="paragraph" w:styleId="TOC1">
    <w:name w:val="toc 1"/>
    <w:basedOn w:val="Normal"/>
    <w:next w:val="Normal"/>
    <w:autoRedefine/>
    <w:uiPriority w:val="39"/>
    <w:unhideWhenUsed/>
    <w:rsid w:val="00BC781C"/>
    <w:pPr>
      <w:spacing w:before="120" w:after="0"/>
      <w:jc w:val="left"/>
    </w:pPr>
    <w:rPr>
      <w:rFonts w:asciiTheme="minorHAnsi" w:hAnsiTheme="minorHAnsi"/>
      <w:b/>
      <w:bCs/>
      <w:i/>
      <w:iCs/>
      <w:sz w:val="24"/>
      <w:szCs w:val="24"/>
    </w:rPr>
  </w:style>
  <w:style w:type="paragraph" w:styleId="TOC3">
    <w:name w:val="toc 3"/>
    <w:basedOn w:val="Normal"/>
    <w:next w:val="Normal"/>
    <w:autoRedefine/>
    <w:uiPriority w:val="39"/>
    <w:unhideWhenUsed/>
    <w:rsid w:val="00BC781C"/>
    <w:pPr>
      <w:spacing w:after="0"/>
      <w:ind w:left="440"/>
      <w:jc w:val="left"/>
    </w:pPr>
    <w:rPr>
      <w:rFonts w:asciiTheme="minorHAnsi" w:hAnsiTheme="minorHAnsi"/>
      <w:sz w:val="20"/>
      <w:szCs w:val="20"/>
    </w:rPr>
  </w:style>
  <w:style w:type="paragraph" w:styleId="TOC2">
    <w:name w:val="toc 2"/>
    <w:basedOn w:val="Normal"/>
    <w:next w:val="Normal"/>
    <w:autoRedefine/>
    <w:uiPriority w:val="39"/>
    <w:unhideWhenUsed/>
    <w:rsid w:val="00BC781C"/>
    <w:pPr>
      <w:spacing w:before="120" w:after="0"/>
      <w:ind w:left="220"/>
      <w:jc w:val="left"/>
    </w:pPr>
    <w:rPr>
      <w:rFonts w:asciiTheme="minorHAnsi" w:hAnsiTheme="minorHAnsi"/>
      <w:b/>
      <w:bCs/>
    </w:rPr>
  </w:style>
  <w:style w:type="paragraph" w:styleId="TOC4">
    <w:name w:val="toc 4"/>
    <w:basedOn w:val="Normal"/>
    <w:next w:val="Normal"/>
    <w:autoRedefine/>
    <w:uiPriority w:val="39"/>
    <w:semiHidden/>
    <w:unhideWhenUsed/>
    <w:rsid w:val="00BC781C"/>
    <w:pPr>
      <w:spacing w:after="0"/>
      <w:ind w:left="660"/>
      <w:jc w:val="left"/>
    </w:pPr>
    <w:rPr>
      <w:rFonts w:asciiTheme="minorHAnsi" w:hAnsiTheme="minorHAnsi"/>
      <w:sz w:val="20"/>
      <w:szCs w:val="20"/>
    </w:rPr>
  </w:style>
  <w:style w:type="paragraph" w:styleId="TOC5">
    <w:name w:val="toc 5"/>
    <w:basedOn w:val="Normal"/>
    <w:next w:val="Normal"/>
    <w:autoRedefine/>
    <w:uiPriority w:val="39"/>
    <w:semiHidden/>
    <w:unhideWhenUsed/>
    <w:rsid w:val="00BC781C"/>
    <w:pPr>
      <w:spacing w:after="0"/>
      <w:ind w:left="880"/>
      <w:jc w:val="left"/>
    </w:pPr>
    <w:rPr>
      <w:rFonts w:asciiTheme="minorHAnsi" w:hAnsiTheme="minorHAnsi"/>
      <w:sz w:val="20"/>
      <w:szCs w:val="20"/>
    </w:rPr>
  </w:style>
  <w:style w:type="paragraph" w:styleId="TOC6">
    <w:name w:val="toc 6"/>
    <w:basedOn w:val="Normal"/>
    <w:next w:val="Normal"/>
    <w:autoRedefine/>
    <w:uiPriority w:val="39"/>
    <w:semiHidden/>
    <w:unhideWhenUsed/>
    <w:rsid w:val="00BC781C"/>
    <w:pPr>
      <w:spacing w:after="0"/>
      <w:ind w:left="1100"/>
      <w:jc w:val="left"/>
    </w:pPr>
    <w:rPr>
      <w:rFonts w:asciiTheme="minorHAnsi" w:hAnsiTheme="minorHAnsi"/>
      <w:sz w:val="20"/>
      <w:szCs w:val="20"/>
    </w:rPr>
  </w:style>
  <w:style w:type="paragraph" w:styleId="TOC7">
    <w:name w:val="toc 7"/>
    <w:basedOn w:val="Normal"/>
    <w:next w:val="Normal"/>
    <w:autoRedefine/>
    <w:uiPriority w:val="39"/>
    <w:semiHidden/>
    <w:unhideWhenUsed/>
    <w:rsid w:val="00BC781C"/>
    <w:pPr>
      <w:spacing w:after="0"/>
      <w:ind w:left="1320"/>
      <w:jc w:val="left"/>
    </w:pPr>
    <w:rPr>
      <w:rFonts w:asciiTheme="minorHAnsi" w:hAnsiTheme="minorHAnsi"/>
      <w:sz w:val="20"/>
      <w:szCs w:val="20"/>
    </w:rPr>
  </w:style>
  <w:style w:type="paragraph" w:styleId="TOC8">
    <w:name w:val="toc 8"/>
    <w:basedOn w:val="Normal"/>
    <w:next w:val="Normal"/>
    <w:autoRedefine/>
    <w:uiPriority w:val="39"/>
    <w:semiHidden/>
    <w:unhideWhenUsed/>
    <w:rsid w:val="00BC781C"/>
    <w:pPr>
      <w:spacing w:after="0"/>
      <w:ind w:left="1540"/>
      <w:jc w:val="left"/>
    </w:pPr>
    <w:rPr>
      <w:rFonts w:asciiTheme="minorHAnsi" w:hAnsiTheme="minorHAnsi"/>
      <w:sz w:val="20"/>
      <w:szCs w:val="20"/>
    </w:rPr>
  </w:style>
  <w:style w:type="paragraph" w:styleId="TOC9">
    <w:name w:val="toc 9"/>
    <w:basedOn w:val="Normal"/>
    <w:next w:val="Normal"/>
    <w:autoRedefine/>
    <w:uiPriority w:val="39"/>
    <w:semiHidden/>
    <w:unhideWhenUsed/>
    <w:rsid w:val="00BC781C"/>
    <w:pPr>
      <w:spacing w:after="0"/>
      <w:ind w:left="1760"/>
      <w:jc w:val="left"/>
    </w:pPr>
    <w:rPr>
      <w:rFonts w:asciiTheme="minorHAnsi" w:hAnsiTheme="minorHAnsi"/>
      <w:sz w:val="20"/>
      <w:szCs w:val="20"/>
    </w:rPr>
  </w:style>
  <w:style w:type="paragraph" w:styleId="BalloonText">
    <w:name w:val="Balloon Text"/>
    <w:basedOn w:val="Normal"/>
    <w:link w:val="BalloonTextChar"/>
    <w:uiPriority w:val="99"/>
    <w:semiHidden/>
    <w:unhideWhenUsed/>
    <w:rsid w:val="001A1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43D"/>
    <w:rPr>
      <w:rFonts w:ascii="Segoe UI" w:hAnsi="Segoe UI" w:cs="Segoe UI"/>
      <w:sz w:val="18"/>
      <w:szCs w:val="18"/>
    </w:rPr>
  </w:style>
  <w:style w:type="character" w:styleId="FollowedHyperlink">
    <w:name w:val="FollowedHyperlink"/>
    <w:basedOn w:val="DefaultParagraphFont"/>
    <w:uiPriority w:val="99"/>
    <w:semiHidden/>
    <w:unhideWhenUsed/>
    <w:rsid w:val="006D0B8C"/>
    <w:rPr>
      <w:color w:val="96607D" w:themeColor="followedHyperlink"/>
      <w:u w:val="single"/>
    </w:rPr>
  </w:style>
  <w:style w:type="character" w:styleId="UnresolvedMention">
    <w:name w:val="Unresolved Mention"/>
    <w:basedOn w:val="DefaultParagraphFont"/>
    <w:uiPriority w:val="99"/>
    <w:semiHidden/>
    <w:unhideWhenUsed/>
    <w:rsid w:val="00457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29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85669b34-88d0-11e9-9369-01aa75ed71a1" TargetMode="External"/><Relationship Id="rId7" Type="http://schemas.openxmlformats.org/officeDocument/2006/relationships/hyperlink" Target="https://www.stat.si/StatWeb/News/Index/11549" TargetMode="External"/><Relationship Id="rId2" Type="http://schemas.openxmlformats.org/officeDocument/2006/relationships/hyperlink" Target="https://op.europa.eu/en/publication-detail/-/publication/85669b34-88d0-11e9-9369-01aa75ed71a1" TargetMode="External"/><Relationship Id="rId1" Type="http://schemas.openxmlformats.org/officeDocument/2006/relationships/hyperlink" Target="Https://doi.org/10.1787/a1c8dbf8-en" TargetMode="External"/><Relationship Id="rId6" Type="http://schemas.openxmlformats.org/officeDocument/2006/relationships/hyperlink" Target="https://www.stat.si/Pages/cilji" TargetMode="External"/><Relationship Id="rId5" Type="http://schemas.openxmlformats.org/officeDocument/2006/relationships/hyperlink" Target="https://doi.org/10.1787/54226722-en" TargetMode="External"/><Relationship Id="rId4" Type="http://schemas.openxmlformats.org/officeDocument/2006/relationships/hyperlink" Target="https://www.mase.gov.it/sites/default/files/archivio/allegati/sviluppo_sostenibile/SNSvS/Italy_Governance_Scan_for_Policy_Coherence_for_Sustainable_Develop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B534C-450F-40E6-8E88-D4EF577F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8668</Words>
  <Characters>55499</Characters>
  <Application>Microsoft Office Word</Application>
  <DocSecurity>0</DocSecurity>
  <Lines>462</Lines>
  <Paragraphs>128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Bučar, Maja</dc:creator>
  <cp:keywords/>
  <dc:description/>
  <cp:lastModifiedBy>Ela Brglez</cp:lastModifiedBy>
  <cp:revision>2</cp:revision>
  <cp:lastPrinted>2025-05-05T09:45:00Z</cp:lastPrinted>
  <dcterms:created xsi:type="dcterms:W3CDTF">2026-02-18T14:15:00Z</dcterms:created>
  <dcterms:modified xsi:type="dcterms:W3CDTF">2026-02-18T14:15:00Z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84757f4f-c299-4cda-b61e-fa8a435d07e1</vt:lpwstr>
  </property>
</Properties>
</file>