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1D2" w:rsidRDefault="009F0EF4" w:rsidP="009F0EF4">
      <w:pPr>
        <w:pStyle w:val="NoSpacing"/>
        <w:spacing w:line="276" w:lineRule="auto"/>
        <w:jc w:val="center"/>
        <w:rPr>
          <w:rFonts w:ascii="Arial" w:hAnsi="Arial" w:cs="Arial"/>
          <w:b/>
          <w:color w:val="9ACA3C"/>
          <w:sz w:val="20"/>
          <w:szCs w:val="20"/>
        </w:rPr>
      </w:pPr>
      <w:r>
        <w:rPr>
          <w:rFonts w:ascii="Arial" w:hAnsi="Arial" w:cs="Arial"/>
          <w:b/>
          <w:noProof/>
          <w:color w:val="9ACA3C"/>
          <w:sz w:val="20"/>
          <w:szCs w:val="20"/>
          <w:lang w:eastAsia="sl-SI"/>
        </w:rPr>
        <w:drawing>
          <wp:inline distT="0" distB="0" distL="0" distR="0">
            <wp:extent cx="3543300" cy="1933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3300" cy="1933575"/>
                    </a:xfrm>
                    <a:prstGeom prst="rect">
                      <a:avLst/>
                    </a:prstGeom>
                    <a:noFill/>
                    <a:ln>
                      <a:noFill/>
                    </a:ln>
                  </pic:spPr>
                </pic:pic>
              </a:graphicData>
            </a:graphic>
          </wp:inline>
        </w:drawing>
      </w:r>
    </w:p>
    <w:p w:rsidR="001861D2" w:rsidRDefault="001861D2" w:rsidP="001861D2">
      <w:pPr>
        <w:pStyle w:val="NoSpacing"/>
        <w:spacing w:line="276" w:lineRule="auto"/>
        <w:jc w:val="both"/>
        <w:rPr>
          <w:rFonts w:ascii="Arial" w:hAnsi="Arial" w:cs="Arial"/>
          <w:b/>
          <w:color w:val="9ACA3C"/>
          <w:sz w:val="20"/>
          <w:szCs w:val="20"/>
        </w:rPr>
      </w:pPr>
    </w:p>
    <w:p w:rsidR="009F0EF4" w:rsidRPr="00DD7953" w:rsidRDefault="009F0EF4" w:rsidP="001861D2">
      <w:pPr>
        <w:pStyle w:val="NoSpacing"/>
        <w:spacing w:line="276" w:lineRule="auto"/>
        <w:jc w:val="center"/>
        <w:rPr>
          <w:rFonts w:ascii="Arial" w:hAnsi="Arial" w:cs="Arial"/>
          <w:b/>
          <w:color w:val="9ACA3C"/>
          <w:sz w:val="24"/>
          <w:szCs w:val="24"/>
        </w:rPr>
      </w:pPr>
      <w:r w:rsidRPr="00DD7953">
        <w:rPr>
          <w:rFonts w:ascii="Arial" w:hAnsi="Arial" w:cs="Arial"/>
          <w:b/>
          <w:color w:val="9ACA3C"/>
          <w:sz w:val="24"/>
          <w:szCs w:val="24"/>
        </w:rPr>
        <w:t>KONCEPT</w:t>
      </w:r>
    </w:p>
    <w:p w:rsidR="00951DC5" w:rsidRDefault="00401D0D" w:rsidP="00401D0D">
      <w:pPr>
        <w:pStyle w:val="NoSpacing"/>
        <w:spacing w:line="276" w:lineRule="auto"/>
        <w:jc w:val="center"/>
        <w:rPr>
          <w:rFonts w:ascii="Arial" w:hAnsi="Arial" w:cs="Arial"/>
          <w:b/>
          <w:color w:val="9ACA3C"/>
          <w:sz w:val="20"/>
          <w:szCs w:val="20"/>
        </w:rPr>
      </w:pPr>
      <w:r w:rsidRPr="00401D0D">
        <w:rPr>
          <w:rFonts w:ascii="Arial" w:hAnsi="Arial" w:cs="Arial"/>
          <w:b/>
          <w:color w:val="9ACA3C"/>
          <w:sz w:val="20"/>
          <w:szCs w:val="20"/>
        </w:rPr>
        <w:t xml:space="preserve">Vzemi – (u)porabi in (ne)zavrzi: </w:t>
      </w:r>
    </w:p>
    <w:p w:rsidR="001861D2" w:rsidRDefault="00401D0D" w:rsidP="00401D0D">
      <w:pPr>
        <w:pStyle w:val="NoSpacing"/>
        <w:spacing w:line="276" w:lineRule="auto"/>
        <w:jc w:val="center"/>
        <w:rPr>
          <w:rFonts w:ascii="Arial" w:hAnsi="Arial" w:cs="Arial"/>
          <w:b/>
          <w:color w:val="9ACA3C"/>
          <w:sz w:val="20"/>
          <w:szCs w:val="20"/>
        </w:rPr>
      </w:pPr>
      <w:r w:rsidRPr="00401D0D">
        <w:rPr>
          <w:rFonts w:ascii="Arial" w:hAnsi="Arial" w:cs="Arial"/>
          <w:b/>
          <w:color w:val="9ACA3C"/>
          <w:sz w:val="20"/>
          <w:szCs w:val="20"/>
        </w:rPr>
        <w:t>Razvojno sodelovanje in potenciali krožnega gospodarstva</w:t>
      </w:r>
    </w:p>
    <w:p w:rsidR="00401D0D" w:rsidRDefault="00401D0D" w:rsidP="00401D0D">
      <w:pPr>
        <w:pStyle w:val="NoSpacing"/>
        <w:spacing w:line="276" w:lineRule="auto"/>
        <w:jc w:val="both"/>
        <w:rPr>
          <w:rFonts w:ascii="Arial" w:hAnsi="Arial" w:cs="Arial"/>
          <w:sz w:val="20"/>
          <w:szCs w:val="20"/>
        </w:rPr>
      </w:pPr>
    </w:p>
    <w:p w:rsidR="00230CD3" w:rsidRDefault="00230CD3" w:rsidP="00401D0D">
      <w:pPr>
        <w:pStyle w:val="NoSpacing"/>
        <w:spacing w:line="276" w:lineRule="auto"/>
        <w:jc w:val="both"/>
        <w:rPr>
          <w:rFonts w:ascii="Arial" w:hAnsi="Arial" w:cs="Arial"/>
          <w:sz w:val="20"/>
          <w:szCs w:val="20"/>
        </w:rPr>
      </w:pPr>
    </w:p>
    <w:p w:rsidR="00401D0D" w:rsidRDefault="00401D0D" w:rsidP="00401D0D">
      <w:pPr>
        <w:pStyle w:val="NoSpacing"/>
        <w:spacing w:line="276" w:lineRule="auto"/>
        <w:jc w:val="both"/>
        <w:rPr>
          <w:rFonts w:ascii="Arial" w:hAnsi="Arial" w:cs="Arial"/>
          <w:sz w:val="20"/>
          <w:szCs w:val="20"/>
        </w:rPr>
      </w:pPr>
      <w:r w:rsidRPr="0061176F">
        <w:rPr>
          <w:rFonts w:ascii="Arial" w:hAnsi="Arial" w:cs="Arial"/>
          <w:sz w:val="20"/>
          <w:szCs w:val="20"/>
        </w:rPr>
        <w:t>Obstoječi linearni ekonomski model</w:t>
      </w:r>
      <w:r w:rsidRPr="00367C58">
        <w:rPr>
          <w:rFonts w:ascii="Arial" w:hAnsi="Arial" w:cs="Arial"/>
          <w:sz w:val="20"/>
          <w:szCs w:val="20"/>
        </w:rPr>
        <w:t xml:space="preserve"> po načelu "vzemi, porabi, zavrzi" je postal nevzdržen. O tem pričajo </w:t>
      </w:r>
      <w:r w:rsidRPr="00367C58">
        <w:rPr>
          <w:rFonts w:ascii="Arial" w:hAnsi="Arial" w:cs="Arial"/>
          <w:bCs/>
          <w:sz w:val="20"/>
          <w:szCs w:val="20"/>
        </w:rPr>
        <w:t>prekoračene planetarne meje</w:t>
      </w:r>
      <w:r w:rsidRPr="00367C58">
        <w:rPr>
          <w:rFonts w:ascii="Arial" w:hAnsi="Arial" w:cs="Arial"/>
          <w:sz w:val="20"/>
          <w:szCs w:val="20"/>
        </w:rPr>
        <w:t xml:space="preserve"> in nepopravljiva škoda zemljini sposobnosti za regeneracijo. Poročilo Circularity Gap za leto 2019 poroča, da je zgolj 9 % od 92</w:t>
      </w:r>
      <w:r>
        <w:rPr>
          <w:rFonts w:ascii="Arial" w:hAnsi="Arial" w:cs="Arial"/>
          <w:sz w:val="20"/>
          <w:szCs w:val="20"/>
        </w:rPr>
        <w:t>,</w:t>
      </w:r>
      <w:r w:rsidRPr="00367C58">
        <w:rPr>
          <w:rFonts w:ascii="Arial" w:hAnsi="Arial" w:cs="Arial"/>
          <w:sz w:val="20"/>
          <w:szCs w:val="20"/>
        </w:rPr>
        <w:t xml:space="preserve">8 milijard ton biomase, fosilnih goriv, kovin in mineralov, ki vsakoletno vstopajo v svetovno gospodarstvo, ponovno uporabljenih. </w:t>
      </w:r>
      <w:r w:rsidRPr="0061176F">
        <w:rPr>
          <w:rFonts w:ascii="Arial" w:hAnsi="Arial" w:cs="Arial"/>
          <w:sz w:val="20"/>
          <w:szCs w:val="20"/>
        </w:rPr>
        <w:t xml:space="preserve">Jedro krožnega gospodarstva je čim daljše ohranjanje vrednosti materialov in izdelkov, </w:t>
      </w:r>
      <w:r w:rsidRPr="00367C58">
        <w:rPr>
          <w:rFonts w:ascii="Arial" w:hAnsi="Arial" w:cs="Arial"/>
          <w:sz w:val="20"/>
          <w:szCs w:val="20"/>
        </w:rPr>
        <w:t>nadomeščanje produktov s storitvami, prehod od lastništva k souporabi. Izdelki naj bodo zasnovani tako, da jih je možno popravljati, nadgrajevati, obnavljati in ponovno uporabiti, šele v skrajni fazi reciklirati.</w:t>
      </w:r>
    </w:p>
    <w:p w:rsidR="00401D0D" w:rsidRDefault="00401D0D" w:rsidP="00401D0D">
      <w:pPr>
        <w:pStyle w:val="NoSpacing"/>
        <w:spacing w:line="276" w:lineRule="auto"/>
        <w:jc w:val="both"/>
        <w:rPr>
          <w:rFonts w:ascii="Arial" w:hAnsi="Arial" w:cs="Arial"/>
          <w:sz w:val="20"/>
          <w:szCs w:val="20"/>
        </w:rPr>
      </w:pPr>
    </w:p>
    <w:p w:rsidR="00401D0D" w:rsidRPr="00F051FC" w:rsidRDefault="00401D0D" w:rsidP="00401D0D">
      <w:pPr>
        <w:pStyle w:val="NoSpacing"/>
        <w:spacing w:line="276" w:lineRule="auto"/>
        <w:jc w:val="both"/>
        <w:rPr>
          <w:rFonts w:ascii="Arial" w:hAnsi="Arial" w:cs="Arial"/>
          <w:sz w:val="20"/>
          <w:szCs w:val="20"/>
        </w:rPr>
      </w:pPr>
      <w:r w:rsidRPr="0061176F">
        <w:rPr>
          <w:rFonts w:ascii="Arial" w:hAnsi="Arial" w:cs="Arial"/>
          <w:sz w:val="20"/>
          <w:szCs w:val="20"/>
        </w:rPr>
        <w:t>Krožni koncept</w:t>
      </w:r>
      <w:r w:rsidRPr="00367C58">
        <w:rPr>
          <w:rFonts w:ascii="Arial" w:hAnsi="Arial" w:cs="Arial"/>
          <w:sz w:val="20"/>
          <w:szCs w:val="20"/>
        </w:rPr>
        <w:t xml:space="preserve"> (poimenovan tudi 3R – »reduce, reuse, recycle«) stremi k cilju </w:t>
      </w:r>
      <w:r w:rsidRPr="0061176F">
        <w:rPr>
          <w:rFonts w:ascii="Arial" w:hAnsi="Arial" w:cs="Arial"/>
          <w:sz w:val="20"/>
          <w:szCs w:val="20"/>
        </w:rPr>
        <w:t>zapiranja snovnih tokov na način, da se količina odpadkov minimizira oz. uporabi kot vir</w:t>
      </w:r>
      <w:r w:rsidRPr="00367C58">
        <w:rPr>
          <w:rFonts w:ascii="Arial" w:hAnsi="Arial" w:cs="Arial"/>
          <w:sz w:val="20"/>
          <w:szCs w:val="20"/>
        </w:rPr>
        <w:t xml:space="preserve">. Potencial krožnega gospodarstva v državah v razvoju je velik, sploh ko gre za naravne vire. Dobro upravljanje  z naravnimi viri je ključno za izkoreninjanje revščine, blažitev podnebnih sprememb in gospodarsko rast. Države v razvoju se vedno bolj soočajo s trajnostnimi izzivi vezanimi na urbanizacijo in industrializacijo. Onesnaževanje, pomanjkanje dostopa do vode, naraščajoče količine odpadkov ter s temi povezani zdravstvena in okoljska tveganja. Rast populacije, gospodarska rast in podnebne  spremembe bodo te izzive še poglabljale in prav zato so potrebni novi pristopi. Kot donatorji imamo tako obveznost da v okviru </w:t>
      </w:r>
      <w:r w:rsidRPr="00F051FC">
        <w:rPr>
          <w:rFonts w:ascii="Arial" w:hAnsi="Arial" w:cs="Arial"/>
          <w:sz w:val="20"/>
          <w:szCs w:val="20"/>
        </w:rPr>
        <w:t xml:space="preserve">razvojnega sodelovanja v sklopu svojih projektov v ozir jemljemo tudi prednosti krožnega gospodarstva. </w:t>
      </w:r>
    </w:p>
    <w:p w:rsidR="00DD7953" w:rsidRDefault="00DD7953" w:rsidP="002935D6">
      <w:pPr>
        <w:pStyle w:val="NoSpacing"/>
        <w:rPr>
          <w:rFonts w:ascii="Arial" w:hAnsi="Arial" w:cs="Arial"/>
          <w:sz w:val="20"/>
          <w:szCs w:val="20"/>
        </w:rPr>
      </w:pPr>
    </w:p>
    <w:p w:rsidR="009F0EF4" w:rsidRDefault="009F0EF4" w:rsidP="002935D6">
      <w:pPr>
        <w:pStyle w:val="NoSpacing"/>
        <w:rPr>
          <w:rFonts w:ascii="Arial" w:hAnsi="Arial" w:cs="Arial"/>
          <w:sz w:val="20"/>
          <w:szCs w:val="20"/>
        </w:rPr>
      </w:pPr>
      <w:r w:rsidRPr="009F0EF4">
        <w:rPr>
          <w:rFonts w:ascii="Arial" w:hAnsi="Arial" w:cs="Arial"/>
          <w:b/>
          <w:color w:val="9ACA3C"/>
          <w:sz w:val="20"/>
          <w:szCs w:val="20"/>
        </w:rPr>
        <w:t>KDAJ:</w:t>
      </w:r>
      <w:r>
        <w:rPr>
          <w:rFonts w:ascii="Arial" w:hAnsi="Arial" w:cs="Arial"/>
          <w:sz w:val="20"/>
          <w:szCs w:val="20"/>
        </w:rPr>
        <w:t xml:space="preserve"> 2</w:t>
      </w:r>
      <w:r w:rsidR="00A733D3">
        <w:rPr>
          <w:rFonts w:ascii="Arial" w:hAnsi="Arial" w:cs="Arial"/>
          <w:sz w:val="20"/>
          <w:szCs w:val="20"/>
        </w:rPr>
        <w:t>5</w:t>
      </w:r>
      <w:r>
        <w:rPr>
          <w:rFonts w:ascii="Arial" w:hAnsi="Arial" w:cs="Arial"/>
          <w:sz w:val="20"/>
          <w:szCs w:val="20"/>
        </w:rPr>
        <w:t>. 11. 2019</w:t>
      </w:r>
      <w:r w:rsidR="00624855">
        <w:rPr>
          <w:rFonts w:ascii="Arial" w:hAnsi="Arial" w:cs="Arial"/>
          <w:sz w:val="20"/>
          <w:szCs w:val="20"/>
        </w:rPr>
        <w:t>,</w:t>
      </w:r>
      <w:bookmarkStart w:id="0" w:name="_GoBack"/>
      <w:bookmarkEnd w:id="0"/>
      <w:r>
        <w:rPr>
          <w:rFonts w:ascii="Arial" w:hAnsi="Arial" w:cs="Arial"/>
          <w:sz w:val="20"/>
          <w:szCs w:val="20"/>
        </w:rPr>
        <w:t xml:space="preserve"> </w:t>
      </w:r>
      <w:r w:rsidR="00A733D3">
        <w:rPr>
          <w:rFonts w:ascii="Arial" w:hAnsi="Arial" w:cs="Arial"/>
          <w:sz w:val="20"/>
          <w:szCs w:val="20"/>
        </w:rPr>
        <w:t>11.30-13.00</w:t>
      </w:r>
    </w:p>
    <w:p w:rsidR="00A733D3" w:rsidRDefault="00A733D3" w:rsidP="002935D6">
      <w:pPr>
        <w:pStyle w:val="NoSpacing"/>
        <w:rPr>
          <w:rFonts w:ascii="Arial" w:hAnsi="Arial" w:cs="Arial"/>
          <w:sz w:val="20"/>
          <w:szCs w:val="20"/>
        </w:rPr>
      </w:pPr>
    </w:p>
    <w:p w:rsidR="00A733D3" w:rsidRDefault="00A733D3" w:rsidP="00A733D3">
      <w:pPr>
        <w:rPr>
          <w:rFonts w:cs="Arial"/>
          <w:i/>
          <w:szCs w:val="20"/>
        </w:rPr>
      </w:pPr>
      <w:r w:rsidRPr="00AD53D9">
        <w:rPr>
          <w:rFonts w:ascii="Arial" w:eastAsiaTheme="minorHAnsi" w:hAnsi="Arial" w:cs="Arial"/>
          <w:b/>
          <w:color w:val="9ACA3C"/>
          <w:sz w:val="20"/>
          <w:szCs w:val="20"/>
        </w:rPr>
        <w:t>KJE:</w:t>
      </w:r>
      <w:r>
        <w:rPr>
          <w:rFonts w:ascii="Arial" w:hAnsi="Arial" w:cs="Arial"/>
          <w:sz w:val="20"/>
          <w:szCs w:val="20"/>
        </w:rPr>
        <w:t xml:space="preserve"> </w:t>
      </w:r>
      <w:r w:rsidRPr="00AD53D9">
        <w:rPr>
          <w:rFonts w:cs="Arial"/>
          <w:i/>
          <w:szCs w:val="20"/>
        </w:rPr>
        <w:t xml:space="preserve"> </w:t>
      </w:r>
      <w:r w:rsidRPr="00AD53D9">
        <w:rPr>
          <w:rFonts w:ascii="Arial" w:eastAsiaTheme="minorHAnsi" w:hAnsi="Arial" w:cs="Arial"/>
          <w:sz w:val="20"/>
          <w:szCs w:val="20"/>
        </w:rPr>
        <w:t>Pošta Slovenije, Čopova 11, Ljubljana</w:t>
      </w:r>
    </w:p>
    <w:p w:rsidR="009F0EF4" w:rsidRDefault="009F0EF4" w:rsidP="002935D6">
      <w:pPr>
        <w:pStyle w:val="NoSpacing"/>
        <w:rPr>
          <w:rFonts w:ascii="Arial" w:hAnsi="Arial" w:cs="Arial"/>
          <w:sz w:val="20"/>
          <w:szCs w:val="20"/>
        </w:rPr>
      </w:pPr>
    </w:p>
    <w:p w:rsidR="00230CD3" w:rsidRPr="00230CD3" w:rsidRDefault="00401D0D" w:rsidP="00230CD3">
      <w:pPr>
        <w:pStyle w:val="NoSpacing"/>
        <w:rPr>
          <w:rFonts w:ascii="Arial" w:hAnsi="Arial" w:cs="Arial"/>
          <w:sz w:val="20"/>
          <w:szCs w:val="20"/>
        </w:rPr>
      </w:pPr>
      <w:r>
        <w:rPr>
          <w:rFonts w:ascii="Arial" w:hAnsi="Arial" w:cs="Arial"/>
          <w:b/>
          <w:color w:val="9ACA3C"/>
          <w:sz w:val="20"/>
          <w:szCs w:val="20"/>
        </w:rPr>
        <w:t>UVOD</w:t>
      </w:r>
      <w:r w:rsidR="00230CD3">
        <w:rPr>
          <w:rFonts w:ascii="Arial" w:hAnsi="Arial" w:cs="Arial"/>
          <w:b/>
          <w:color w:val="9ACA3C"/>
          <w:sz w:val="20"/>
          <w:szCs w:val="20"/>
        </w:rPr>
        <w:t xml:space="preserve">: </w:t>
      </w:r>
      <w:r w:rsidR="00230CD3" w:rsidRPr="00230CD3">
        <w:rPr>
          <w:rFonts w:ascii="Arial" w:hAnsi="Arial" w:cs="Arial"/>
          <w:sz w:val="20"/>
          <w:szCs w:val="20"/>
        </w:rPr>
        <w:t>Krožno gospodarstvo v praksi - primer podjetja Aquafil</w:t>
      </w:r>
    </w:p>
    <w:p w:rsidR="00401D0D" w:rsidRDefault="00230CD3" w:rsidP="00230CD3">
      <w:pPr>
        <w:pStyle w:val="NoSpacing"/>
        <w:numPr>
          <w:ilvl w:val="0"/>
          <w:numId w:val="2"/>
        </w:numPr>
        <w:jc w:val="both"/>
        <w:rPr>
          <w:rFonts w:ascii="Arial" w:hAnsi="Arial" w:cs="Arial"/>
          <w:sz w:val="20"/>
          <w:szCs w:val="20"/>
        </w:rPr>
      </w:pPr>
      <w:r w:rsidRPr="00230CD3">
        <w:rPr>
          <w:rFonts w:ascii="Arial" w:hAnsi="Arial" w:cs="Arial"/>
          <w:sz w:val="20"/>
          <w:szCs w:val="20"/>
        </w:rPr>
        <w:t>Lucija Aleksić, vodja oddelka za trajnostni razvoj, AquafilSLO</w:t>
      </w:r>
    </w:p>
    <w:p w:rsidR="00401D0D" w:rsidRDefault="00401D0D" w:rsidP="00230CD3">
      <w:pPr>
        <w:pStyle w:val="NoSpacing"/>
        <w:ind w:left="360"/>
        <w:jc w:val="both"/>
        <w:rPr>
          <w:rFonts w:ascii="Arial" w:hAnsi="Arial" w:cs="Arial"/>
          <w:sz w:val="20"/>
          <w:szCs w:val="20"/>
        </w:rPr>
      </w:pPr>
    </w:p>
    <w:p w:rsidR="00401D0D" w:rsidRPr="00634E1A" w:rsidRDefault="00401D0D" w:rsidP="00401D0D">
      <w:pPr>
        <w:pStyle w:val="NoSpacing"/>
        <w:jc w:val="both"/>
        <w:rPr>
          <w:rFonts w:ascii="Arial" w:hAnsi="Arial" w:cs="Arial"/>
          <w:b/>
          <w:color w:val="9ACA3C"/>
          <w:sz w:val="20"/>
          <w:szCs w:val="20"/>
        </w:rPr>
      </w:pPr>
      <w:r w:rsidRPr="00634E1A">
        <w:rPr>
          <w:rFonts w:ascii="Arial" w:hAnsi="Arial" w:cs="Arial"/>
          <w:b/>
          <w:color w:val="9ACA3C"/>
          <w:sz w:val="20"/>
          <w:szCs w:val="20"/>
        </w:rPr>
        <w:t>OKROGLA MIZA</w:t>
      </w:r>
    </w:p>
    <w:p w:rsidR="00230CD3" w:rsidRDefault="00230CD3" w:rsidP="00230CD3">
      <w:pPr>
        <w:pStyle w:val="NoSpacing"/>
        <w:numPr>
          <w:ilvl w:val="0"/>
          <w:numId w:val="2"/>
        </w:numPr>
        <w:jc w:val="both"/>
        <w:rPr>
          <w:rFonts w:ascii="Arial" w:hAnsi="Arial" w:cs="Arial"/>
          <w:sz w:val="20"/>
          <w:szCs w:val="20"/>
        </w:rPr>
      </w:pPr>
      <w:r w:rsidRPr="00230CD3">
        <w:rPr>
          <w:rFonts w:ascii="Arial" w:hAnsi="Arial" w:cs="Arial"/>
          <w:sz w:val="20"/>
          <w:szCs w:val="20"/>
        </w:rPr>
        <w:t>Ladeja Godina Košir, Circular Change, Slovenija</w:t>
      </w:r>
    </w:p>
    <w:p w:rsidR="00230CD3" w:rsidRDefault="00230CD3" w:rsidP="00230CD3">
      <w:pPr>
        <w:pStyle w:val="NoSpacing"/>
        <w:numPr>
          <w:ilvl w:val="0"/>
          <w:numId w:val="2"/>
        </w:numPr>
        <w:jc w:val="both"/>
        <w:rPr>
          <w:rFonts w:ascii="Arial" w:hAnsi="Arial" w:cs="Arial"/>
          <w:sz w:val="20"/>
          <w:szCs w:val="20"/>
        </w:rPr>
      </w:pPr>
      <w:r w:rsidRPr="00230CD3">
        <w:rPr>
          <w:rFonts w:ascii="Arial" w:hAnsi="Arial" w:cs="Arial"/>
          <w:sz w:val="20"/>
          <w:szCs w:val="20"/>
        </w:rPr>
        <w:t>prof. dr. Sašo Popović, Univerza v Črni gori</w:t>
      </w:r>
    </w:p>
    <w:p w:rsidR="00230CD3" w:rsidRDefault="00230CD3" w:rsidP="00230CD3">
      <w:pPr>
        <w:pStyle w:val="NoSpacing"/>
        <w:numPr>
          <w:ilvl w:val="0"/>
          <w:numId w:val="2"/>
        </w:numPr>
        <w:jc w:val="both"/>
        <w:rPr>
          <w:rFonts w:ascii="Arial" w:hAnsi="Arial" w:cs="Arial"/>
          <w:sz w:val="20"/>
          <w:szCs w:val="20"/>
        </w:rPr>
      </w:pPr>
      <w:r w:rsidRPr="00230CD3">
        <w:rPr>
          <w:rFonts w:ascii="Arial" w:hAnsi="Arial" w:cs="Arial"/>
          <w:sz w:val="20"/>
          <w:szCs w:val="20"/>
        </w:rPr>
        <w:t>dr. Sandra Kamberović, GS Združenja za industrijo odpadkov Srbije</w:t>
      </w:r>
    </w:p>
    <w:p w:rsidR="00230CD3" w:rsidRDefault="00230CD3" w:rsidP="00230CD3">
      <w:pPr>
        <w:pStyle w:val="NoSpacing"/>
        <w:numPr>
          <w:ilvl w:val="0"/>
          <w:numId w:val="2"/>
        </w:numPr>
        <w:jc w:val="both"/>
        <w:rPr>
          <w:rFonts w:ascii="Arial" w:hAnsi="Arial" w:cs="Arial"/>
          <w:sz w:val="20"/>
          <w:szCs w:val="20"/>
        </w:rPr>
      </w:pPr>
      <w:r w:rsidRPr="00230CD3">
        <w:rPr>
          <w:rFonts w:ascii="Arial" w:hAnsi="Arial" w:cs="Arial"/>
          <w:sz w:val="20"/>
          <w:szCs w:val="20"/>
        </w:rPr>
        <w:t>Daniela Gasparikova, Program ZN za razvoj (UNDP)</w:t>
      </w:r>
    </w:p>
    <w:p w:rsidR="00230CD3" w:rsidRPr="00230CD3" w:rsidRDefault="00230CD3" w:rsidP="00230CD3">
      <w:pPr>
        <w:pStyle w:val="NoSpacing"/>
        <w:numPr>
          <w:ilvl w:val="0"/>
          <w:numId w:val="2"/>
        </w:numPr>
        <w:jc w:val="both"/>
        <w:rPr>
          <w:rFonts w:ascii="Arial" w:hAnsi="Arial" w:cs="Arial"/>
          <w:sz w:val="20"/>
          <w:szCs w:val="20"/>
        </w:rPr>
      </w:pPr>
      <w:r w:rsidRPr="00230CD3">
        <w:rPr>
          <w:rFonts w:ascii="Arial" w:hAnsi="Arial" w:cs="Arial"/>
          <w:sz w:val="20"/>
          <w:szCs w:val="20"/>
        </w:rPr>
        <w:t>Dejan Andonov, nacionalni strokovnjak, Severna Makedonija</w:t>
      </w:r>
    </w:p>
    <w:p w:rsidR="00230CD3" w:rsidRDefault="00230CD3" w:rsidP="00230CD3">
      <w:pPr>
        <w:pStyle w:val="NoSpacing"/>
        <w:numPr>
          <w:ilvl w:val="0"/>
          <w:numId w:val="2"/>
        </w:numPr>
        <w:jc w:val="both"/>
        <w:rPr>
          <w:rFonts w:ascii="Arial" w:hAnsi="Arial" w:cs="Arial"/>
          <w:sz w:val="20"/>
          <w:szCs w:val="20"/>
        </w:rPr>
      </w:pPr>
      <w:r w:rsidRPr="00230CD3">
        <w:rPr>
          <w:rFonts w:ascii="Arial" w:hAnsi="Arial" w:cs="Arial"/>
          <w:sz w:val="20"/>
          <w:szCs w:val="20"/>
        </w:rPr>
        <w:t>Moderatorka: veleposlanica Tatjana Miškova, v.d. generalne direktorice Direktorata za multilateralo, razvojno sodelovanje in mednarodno pravo, Ministrstvo za zunanje zadeve</w:t>
      </w:r>
    </w:p>
    <w:p w:rsidR="00444822" w:rsidRDefault="00444822" w:rsidP="00444822">
      <w:pPr>
        <w:pStyle w:val="NoSpacing"/>
        <w:jc w:val="both"/>
        <w:rPr>
          <w:rFonts w:ascii="Arial" w:hAnsi="Arial" w:cs="Arial"/>
          <w:sz w:val="20"/>
          <w:szCs w:val="20"/>
        </w:rPr>
      </w:pPr>
    </w:p>
    <w:p w:rsidR="00444822" w:rsidRPr="009F0EF4" w:rsidRDefault="00444822" w:rsidP="00444822">
      <w:pPr>
        <w:pStyle w:val="NoSpacing"/>
        <w:jc w:val="both"/>
        <w:rPr>
          <w:rFonts w:ascii="Arial" w:hAnsi="Arial" w:cs="Arial"/>
          <w:sz w:val="20"/>
          <w:szCs w:val="20"/>
        </w:rPr>
      </w:pPr>
      <w:r w:rsidRPr="007268DB">
        <w:rPr>
          <w:rFonts w:ascii="Arial" w:eastAsia="Times New Roman" w:hAnsi="Arial" w:cs="Arial"/>
          <w:b/>
          <w:color w:val="9ACA3C"/>
          <w:sz w:val="20"/>
          <w:szCs w:val="20"/>
        </w:rPr>
        <w:t>TOLMAČENJE:</w:t>
      </w:r>
      <w:r w:rsidRPr="004B449A">
        <w:rPr>
          <w:rFonts w:ascii="Arial" w:hAnsi="Arial" w:cs="Arial"/>
          <w:sz w:val="20"/>
          <w:szCs w:val="20"/>
        </w:rPr>
        <w:t xml:space="preserve"> slovenski in angleški jezik</w:t>
      </w:r>
    </w:p>
    <w:p w:rsidR="00444822" w:rsidRDefault="00444822" w:rsidP="00444822">
      <w:pPr>
        <w:pStyle w:val="NoSpacing"/>
        <w:jc w:val="both"/>
        <w:rPr>
          <w:rFonts w:ascii="Arial" w:hAnsi="Arial" w:cs="Arial"/>
          <w:sz w:val="20"/>
          <w:szCs w:val="20"/>
        </w:rPr>
      </w:pPr>
    </w:p>
    <w:p w:rsidR="00951DC5" w:rsidRPr="00401D0D" w:rsidRDefault="00951DC5" w:rsidP="00444822">
      <w:pPr>
        <w:pStyle w:val="NoSpacing"/>
        <w:jc w:val="both"/>
        <w:rPr>
          <w:rFonts w:ascii="Arial" w:hAnsi="Arial" w:cs="Arial"/>
          <w:sz w:val="20"/>
          <w:szCs w:val="20"/>
        </w:rPr>
      </w:pPr>
      <w:r w:rsidRPr="00E43FC1">
        <w:rPr>
          <w:rFonts w:ascii="Arial" w:eastAsia="Times New Roman" w:hAnsi="Arial" w:cs="Arial"/>
          <w:b/>
          <w:color w:val="9ACA3C"/>
          <w:sz w:val="20"/>
          <w:szCs w:val="20"/>
        </w:rPr>
        <w:t xml:space="preserve">PRIJAVE: </w:t>
      </w:r>
      <w:r w:rsidRPr="00E43FC1">
        <w:rPr>
          <w:rFonts w:ascii="Arial" w:hAnsi="Arial" w:cs="Arial"/>
          <w:sz w:val="20"/>
          <w:szCs w:val="20"/>
        </w:rPr>
        <w:t>obvezne</w:t>
      </w:r>
      <w:r>
        <w:rPr>
          <w:rFonts w:ascii="Arial" w:hAnsi="Arial" w:cs="Arial"/>
          <w:sz w:val="20"/>
          <w:szCs w:val="20"/>
        </w:rPr>
        <w:t xml:space="preserve"> prijave na </w:t>
      </w:r>
      <w:hyperlink r:id="rId6" w:history="1">
        <w:r w:rsidRPr="0030673B">
          <w:rPr>
            <w:rStyle w:val="Hyperlink"/>
            <w:rFonts w:ascii="Arial" w:hAnsi="Arial" w:cs="Arial"/>
            <w:sz w:val="20"/>
            <w:szCs w:val="20"/>
          </w:rPr>
          <w:t>https://www.1ka.si/a/233341</w:t>
        </w:r>
      </w:hyperlink>
    </w:p>
    <w:sectPr w:rsidR="00951DC5" w:rsidRPr="00401D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61A6"/>
    <w:multiLevelType w:val="hybridMultilevel"/>
    <w:tmpl w:val="C3ECA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F9012F"/>
    <w:multiLevelType w:val="hybridMultilevel"/>
    <w:tmpl w:val="2EB8B2C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7A1B2CC4"/>
    <w:multiLevelType w:val="hybridMultilevel"/>
    <w:tmpl w:val="180E22A2"/>
    <w:lvl w:ilvl="0" w:tplc="0409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1D2"/>
    <w:rsid w:val="001861D2"/>
    <w:rsid w:val="00225902"/>
    <w:rsid w:val="00230CD3"/>
    <w:rsid w:val="002935D6"/>
    <w:rsid w:val="00401D0D"/>
    <w:rsid w:val="00444822"/>
    <w:rsid w:val="0058504C"/>
    <w:rsid w:val="005C2B80"/>
    <w:rsid w:val="00624855"/>
    <w:rsid w:val="008E79FF"/>
    <w:rsid w:val="00951DC5"/>
    <w:rsid w:val="009F0EF4"/>
    <w:rsid w:val="00A733D3"/>
    <w:rsid w:val="00B37BF3"/>
    <w:rsid w:val="00CE41CA"/>
    <w:rsid w:val="00DD79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5C49D"/>
  <w15:chartTrackingRefBased/>
  <w15:docId w15:val="{18CA5CD9-47C0-43B1-83F3-94037AC9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1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935D6"/>
    <w:pPr>
      <w:spacing w:after="0" w:line="240" w:lineRule="auto"/>
    </w:pPr>
  </w:style>
  <w:style w:type="character" w:customStyle="1" w:styleId="NoSpacingChar">
    <w:name w:val="No Spacing Char"/>
    <w:basedOn w:val="DefaultParagraphFont"/>
    <w:link w:val="NoSpacing"/>
    <w:uiPriority w:val="1"/>
    <w:rsid w:val="001861D2"/>
  </w:style>
  <w:style w:type="table" w:styleId="TableGrid">
    <w:name w:val="Table Grid"/>
    <w:basedOn w:val="TableNormal"/>
    <w:rsid w:val="001861D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semiHidden/>
    <w:unhideWhenUsed/>
    <w:rsid w:val="00951D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1ka.si/a/23334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E4976A0</Template>
  <TotalTime>14</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Anuša Pisanec</dc:creator>
  <cp:keywords/>
  <dc:description/>
  <cp:lastModifiedBy>Nataša Adlešič-Barba</cp:lastModifiedBy>
  <cp:revision>10</cp:revision>
  <dcterms:created xsi:type="dcterms:W3CDTF">2019-10-08T15:50:00Z</dcterms:created>
  <dcterms:modified xsi:type="dcterms:W3CDTF">2019-11-07T09:58:00Z</dcterms:modified>
</cp:coreProperties>
</file>