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3" w:rsidRDefault="00EA0C53" w:rsidP="00EA0C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A0C53" w:rsidRDefault="00EA0C53" w:rsidP="00EA0C53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16815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080"/>
        <w:gridCol w:w="3435"/>
        <w:gridCol w:w="720"/>
        <w:gridCol w:w="2850"/>
        <w:gridCol w:w="990"/>
        <w:gridCol w:w="1980"/>
        <w:gridCol w:w="2610"/>
        <w:gridCol w:w="1530"/>
        <w:gridCol w:w="1620"/>
      </w:tblGrid>
      <w:tr w:rsidR="00EA0C53" w:rsidTr="00EA0C53">
        <w:tc>
          <w:tcPr>
            <w:tcW w:w="1080" w:type="dxa"/>
            <w:shd w:val="clear" w:color="auto" w:fill="F7F7F7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Req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Identifier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3435" w:type="dxa"/>
            <w:shd w:val="clear" w:color="auto" w:fill="F7F7F7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720" w:type="dxa"/>
            <w:shd w:val="clear" w:color="auto" w:fill="F7F7F7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2850" w:type="dxa"/>
            <w:shd w:val="clear" w:color="auto" w:fill="F7F7F7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Contractual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Arrangement</w:t>
            </w:r>
            <w:proofErr w:type="spellEnd"/>
          </w:p>
        </w:tc>
        <w:tc>
          <w:tcPr>
            <w:tcW w:w="990" w:type="dxa"/>
            <w:shd w:val="clear" w:color="auto" w:fill="F7F7F7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Duty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station</w:t>
            </w:r>
            <w:proofErr w:type="spellEnd"/>
          </w:p>
        </w:tc>
        <w:tc>
          <w:tcPr>
            <w:tcW w:w="1980" w:type="dxa"/>
            <w:shd w:val="clear" w:color="auto" w:fill="F7F7F7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Field</w:t>
            </w:r>
            <w:proofErr w:type="spellEnd"/>
          </w:p>
        </w:tc>
        <w:tc>
          <w:tcPr>
            <w:tcW w:w="2610" w:type="dxa"/>
            <w:shd w:val="clear" w:color="auto" w:fill="F7F7F7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Function</w:t>
            </w:r>
            <w:proofErr w:type="spellEnd"/>
          </w:p>
        </w:tc>
        <w:tc>
          <w:tcPr>
            <w:tcW w:w="1530" w:type="dxa"/>
            <w:shd w:val="clear" w:color="auto" w:fill="F7F7F7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Closing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Date</w:t>
            </w:r>
          </w:p>
        </w:tc>
        <w:tc>
          <w:tcPr>
            <w:tcW w:w="1620" w:type="dxa"/>
            <w:shd w:val="clear" w:color="auto" w:fill="F7F7F7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Major Office</w:t>
            </w:r>
          </w:p>
        </w:tc>
      </w:tr>
      <w:tr w:rsidR="00EA0C53" w:rsidTr="00EA0C53">
        <w:tc>
          <w:tcPr>
            <w:tcW w:w="108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2201542</w:t>
            </w:r>
          </w:p>
        </w:tc>
        <w:tc>
          <w:tcPr>
            <w:tcW w:w="3435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5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Measles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Outbreaks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Strategic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Response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Plan (MOSRP)</w:t>
              </w:r>
            </w:hyperlink>
          </w:p>
        </w:tc>
        <w:tc>
          <w:tcPr>
            <w:tcW w:w="72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Manila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61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53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22-Mar-2022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Western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Pacific</w:t>
            </w:r>
            <w:proofErr w:type="spellEnd"/>
          </w:p>
        </w:tc>
      </w:tr>
      <w:tr w:rsidR="00EA0C53" w:rsidTr="00EA0C53">
        <w:tc>
          <w:tcPr>
            <w:tcW w:w="108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2202152</w:t>
            </w:r>
          </w:p>
        </w:tc>
        <w:tc>
          <w:tcPr>
            <w:tcW w:w="3435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6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Ombudsperson</w:t>
              </w:r>
              <w:proofErr w:type="spellEnd"/>
            </w:hyperlink>
          </w:p>
        </w:tc>
        <w:tc>
          <w:tcPr>
            <w:tcW w:w="72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99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Manila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61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53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23-Mar-2022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Western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Pacific</w:t>
            </w:r>
            <w:proofErr w:type="spellEnd"/>
          </w:p>
        </w:tc>
      </w:tr>
      <w:tr w:rsidR="00EA0C53" w:rsidTr="00EA0C53">
        <w:tc>
          <w:tcPr>
            <w:tcW w:w="108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 w:colFirst="8" w:colLast="8"/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2202050</w:t>
            </w:r>
          </w:p>
        </w:tc>
        <w:tc>
          <w:tcPr>
            <w:tcW w:w="3435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7" w:history="1"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Management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-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Prevention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Response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to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Sexual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Misconduct</w:t>
              </w:r>
              <w:proofErr w:type="spellEnd"/>
            </w:hyperlink>
          </w:p>
        </w:tc>
        <w:tc>
          <w:tcPr>
            <w:tcW w:w="72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99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Manila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61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53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23-Mar-2022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EA0C53" w:rsidRDefault="00EA0C53" w:rsidP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Western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Pacific</w:t>
            </w:r>
            <w:proofErr w:type="spellEnd"/>
          </w:p>
        </w:tc>
      </w:tr>
      <w:bookmarkEnd w:id="0"/>
      <w:tr w:rsidR="00EA0C53" w:rsidTr="00EA0C53">
        <w:tc>
          <w:tcPr>
            <w:tcW w:w="108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2201321</w:t>
            </w:r>
          </w:p>
        </w:tc>
        <w:tc>
          <w:tcPr>
            <w:tcW w:w="3435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8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Communication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Surge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72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98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61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Communication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public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media</w:t>
            </w:r>
            <w:proofErr w:type="spellEnd"/>
          </w:p>
        </w:tc>
        <w:tc>
          <w:tcPr>
            <w:tcW w:w="153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24-Mar-2022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EA0C53" w:rsidTr="00EA0C53">
        <w:tc>
          <w:tcPr>
            <w:tcW w:w="108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2201238</w:t>
            </w:r>
          </w:p>
        </w:tc>
        <w:tc>
          <w:tcPr>
            <w:tcW w:w="3435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9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Communications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Surge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72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P2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98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61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Communication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public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media</w:t>
            </w:r>
            <w:proofErr w:type="spellEnd"/>
          </w:p>
        </w:tc>
        <w:tc>
          <w:tcPr>
            <w:tcW w:w="153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24-Mar-2022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EA0C53" w:rsidTr="00EA0C53">
        <w:tc>
          <w:tcPr>
            <w:tcW w:w="108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2201329</w:t>
            </w:r>
          </w:p>
        </w:tc>
        <w:tc>
          <w:tcPr>
            <w:tcW w:w="3435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10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Communications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Surge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News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, multiple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positions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72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98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61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Communication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public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media</w:t>
            </w:r>
            <w:proofErr w:type="spellEnd"/>
          </w:p>
        </w:tc>
        <w:tc>
          <w:tcPr>
            <w:tcW w:w="153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25-Mar-2022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EA0C53" w:rsidTr="00EA0C53">
        <w:tc>
          <w:tcPr>
            <w:tcW w:w="108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2201330</w:t>
            </w:r>
          </w:p>
        </w:tc>
        <w:tc>
          <w:tcPr>
            <w:tcW w:w="3435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11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Communications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Emergencies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Surge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, multiple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positions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72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98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61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Communication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public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media</w:t>
            </w:r>
            <w:proofErr w:type="spellEnd"/>
          </w:p>
        </w:tc>
        <w:tc>
          <w:tcPr>
            <w:tcW w:w="153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25-Mar-2022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EA0C53" w:rsidTr="00EA0C53">
        <w:tc>
          <w:tcPr>
            <w:tcW w:w="108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2202131</w:t>
            </w:r>
          </w:p>
        </w:tc>
        <w:tc>
          <w:tcPr>
            <w:tcW w:w="3435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12" w:history="1"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Social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Media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Surge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, multiple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positions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72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P2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98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61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Communication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public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media</w:t>
            </w:r>
            <w:proofErr w:type="spellEnd"/>
          </w:p>
        </w:tc>
        <w:tc>
          <w:tcPr>
            <w:tcW w:w="153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25-Mar-2022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EA0C53" w:rsidTr="00EA0C53">
        <w:tc>
          <w:tcPr>
            <w:tcW w:w="108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2202002</w:t>
            </w:r>
          </w:p>
        </w:tc>
        <w:tc>
          <w:tcPr>
            <w:tcW w:w="3435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13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72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P2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98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61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Communicable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diseases</w:t>
            </w:r>
            <w:proofErr w:type="spellEnd"/>
          </w:p>
        </w:tc>
        <w:tc>
          <w:tcPr>
            <w:tcW w:w="153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28-Mar-2022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EA0C53" w:rsidTr="00EA0C53">
        <w:tc>
          <w:tcPr>
            <w:tcW w:w="108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2202004</w:t>
            </w:r>
          </w:p>
        </w:tc>
        <w:tc>
          <w:tcPr>
            <w:tcW w:w="3435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14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72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98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61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Communicable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diseases</w:t>
            </w:r>
            <w:proofErr w:type="spellEnd"/>
          </w:p>
        </w:tc>
        <w:tc>
          <w:tcPr>
            <w:tcW w:w="153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28-Mar-2022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EA0C53" w:rsidTr="00EA0C53">
        <w:tc>
          <w:tcPr>
            <w:tcW w:w="108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2202037</w:t>
            </w:r>
          </w:p>
        </w:tc>
        <w:tc>
          <w:tcPr>
            <w:tcW w:w="3435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15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72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98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61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Communicable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diseases</w:t>
            </w:r>
            <w:proofErr w:type="spellEnd"/>
          </w:p>
        </w:tc>
        <w:tc>
          <w:tcPr>
            <w:tcW w:w="153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28-Mar-2022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EA0C53" w:rsidRDefault="00EA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</w:tbl>
    <w:p w:rsidR="00B37BF3" w:rsidRPr="002935D6" w:rsidRDefault="00B37BF3" w:rsidP="00EA0C53">
      <w:pPr>
        <w:pStyle w:val="NoSpacing"/>
        <w:rPr>
          <w:rFonts w:ascii="Arial" w:hAnsi="Arial" w:cs="Arial"/>
          <w:sz w:val="20"/>
          <w:szCs w:val="20"/>
        </w:rPr>
      </w:pPr>
    </w:p>
    <w:sectPr w:rsidR="00B37BF3" w:rsidRPr="002935D6" w:rsidSect="00B97D2E">
      <w:pgSz w:w="20406" w:h="12242" w:orient="landscape" w:code="122"/>
      <w:pgMar w:top="284" w:right="289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53"/>
    <w:rsid w:val="00225902"/>
    <w:rsid w:val="002935D6"/>
    <w:rsid w:val="005C2B80"/>
    <w:rsid w:val="00B37BF3"/>
    <w:rsid w:val="00B97D2E"/>
    <w:rsid w:val="00EA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C8A44-74B5-4ED9-84F4-BF782647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who.int/careersection/ex/jobdetail.ftl?job=2201321&amp;tz=GMT%2B01%3A00&amp;tzname=Europe%2FBudapest" TargetMode="External"/><Relationship Id="rId13" Type="http://schemas.openxmlformats.org/officeDocument/2006/relationships/hyperlink" Target="https://careers.who.int/careersection/ex/jobdetail.ftl?job=2202002&amp;tz=GMT%2B01%3A00&amp;tzname=Europe%2FBudap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s.who.int/careersection/ex/jobdetail.ftl?job=2202050&amp;tz=GMT%2B01%3A00&amp;tzname=Europe%2FBudapest" TargetMode="External"/><Relationship Id="rId12" Type="http://schemas.openxmlformats.org/officeDocument/2006/relationships/hyperlink" Target="https://careers.who.int/careersection/ex/jobdetail.ftl?job=2202131&amp;tz=GMT%2B01%3A00&amp;tzname=Europe%2FBudapes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s.who.int/careersection/ex/jobdetail.ftl?job=2202152&amp;tz=GMT%2B01%3A00&amp;tzname=Europe%2FBudapest" TargetMode="External"/><Relationship Id="rId11" Type="http://schemas.openxmlformats.org/officeDocument/2006/relationships/hyperlink" Target="https://careers.who.int/careersection/ex/jobdetail.ftl?job=2201330&amp;tz=GMT%2B01%3A00&amp;tzname=Europe%2FBudapest" TargetMode="External"/><Relationship Id="rId5" Type="http://schemas.openxmlformats.org/officeDocument/2006/relationships/hyperlink" Target="https://careers.who.int/careersection/ex/jobdetail.ftl?job=2201542&amp;tz=GMT%2B01%3A00&amp;tzname=Europe%2FBudapest" TargetMode="External"/><Relationship Id="rId15" Type="http://schemas.openxmlformats.org/officeDocument/2006/relationships/hyperlink" Target="https://careers.who.int/careersection/ex/jobdetail.ftl?job=2202037&amp;tz=GMT%2B01%3A00&amp;tzname=Europe%2FBudapest" TargetMode="External"/><Relationship Id="rId10" Type="http://schemas.openxmlformats.org/officeDocument/2006/relationships/hyperlink" Target="https://careers.who.int/careersection/ex/jobdetail.ftl?job=2201329&amp;tz=GMT%2B01%3A00&amp;tzname=Europe%2FBudap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eers.who.int/careersection/ex/jobdetail.ftl?job=2201238&amp;tz=GMT%2B01%3A00&amp;tzname=Europe%2FBudapest" TargetMode="External"/><Relationship Id="rId14" Type="http://schemas.openxmlformats.org/officeDocument/2006/relationships/hyperlink" Target="https://careers.who.int/careersection/ex/jobdetail.ftl?job=2202004&amp;tz=GMT%2B01%3A00&amp;tzname=Europe%2FBudap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88129-BE9F-409B-A5EF-1E86748D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Slovša Končan</dc:creator>
  <cp:keywords/>
  <dc:description/>
  <cp:lastModifiedBy>Sonja Slovša Končan</cp:lastModifiedBy>
  <cp:revision>2</cp:revision>
  <dcterms:created xsi:type="dcterms:W3CDTF">2022-03-18T13:27:00Z</dcterms:created>
  <dcterms:modified xsi:type="dcterms:W3CDTF">2022-03-18T13:39:00Z</dcterms:modified>
</cp:coreProperties>
</file>