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E6CF2" w:rsidP="0050376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ENER-B-1</w:t>
            </w:r>
          </w:p>
        </w:tc>
      </w:tr>
      <w:tr w:rsidR="00AF7D78" w:rsidRPr="006E6CF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E6CF2" w:rsidRPr="007E2136" w:rsidRDefault="006E6CF2" w:rsidP="006E6CF2">
            <w:pPr>
              <w:rPr>
                <w:rFonts w:ascii="Times New Roman" w:hAnsi="Times New Roman" w:cs="Times New Roman"/>
                <w:b/>
                <w:lang w:val="en-GB"/>
              </w:rPr>
            </w:pPr>
            <w:r w:rsidRPr="007E2136">
              <w:rPr>
                <w:rFonts w:ascii="Times New Roman" w:hAnsi="Times New Roman" w:cs="Times New Roman"/>
                <w:b/>
                <w:lang w:val="en-GB"/>
              </w:rPr>
              <w:t xml:space="preserve">Joachim </w:t>
            </w:r>
            <w:proofErr w:type="spellStart"/>
            <w:r w:rsidRPr="007E2136">
              <w:rPr>
                <w:rFonts w:ascii="Times New Roman" w:hAnsi="Times New Roman" w:cs="Times New Roman"/>
                <w:b/>
                <w:lang w:val="en-GB"/>
              </w:rPr>
              <w:t>Balke</w:t>
            </w:r>
            <w:proofErr w:type="spellEnd"/>
          </w:p>
          <w:p w:rsidR="006E6CF2" w:rsidRPr="007E2136" w:rsidRDefault="006E6CF2" w:rsidP="006E6CF2">
            <w:pPr>
              <w:rPr>
                <w:rFonts w:ascii="Times New Roman" w:hAnsi="Times New Roman" w:cs="Times New Roman"/>
                <w:b/>
                <w:lang w:val="en-GB"/>
              </w:rPr>
            </w:pPr>
            <w:hyperlink r:id="rId8" w:history="1">
              <w:r w:rsidRPr="00066C43">
                <w:rPr>
                  <w:rStyle w:val="Hyperlink"/>
                  <w:rFonts w:ascii="Times New Roman" w:hAnsi="Times New Roman" w:cs="Times New Roman"/>
                  <w:b/>
                  <w:lang w:val="en-GB"/>
                </w:rPr>
                <w:t>Joachim.balke@ec.europa.eu</w:t>
              </w:r>
            </w:hyperlink>
            <w:r>
              <w:rPr>
                <w:rFonts w:ascii="Times New Roman" w:hAnsi="Times New Roman" w:cs="Times New Roman"/>
                <w:b/>
                <w:lang w:val="en-GB"/>
              </w:rPr>
              <w:t xml:space="preserve"> </w:t>
            </w:r>
          </w:p>
          <w:p w:rsidR="00B47B23" w:rsidRDefault="006E6CF2" w:rsidP="006E6CF2">
            <w:pPr>
              <w:rPr>
                <w:rFonts w:ascii="Times New Roman" w:eastAsia="Times New Roman" w:hAnsi="Times New Roman" w:cs="Times New Roman"/>
                <w:sz w:val="24"/>
                <w:szCs w:val="20"/>
                <w:lang w:val="de-DE" w:eastAsia="en-GB"/>
              </w:rPr>
            </w:pPr>
            <w:r w:rsidRPr="007E2136">
              <w:rPr>
                <w:rFonts w:ascii="Times New Roman" w:hAnsi="Times New Roman" w:cs="Times New Roman"/>
                <w:b/>
                <w:lang w:val="en-GB"/>
              </w:rPr>
              <w:t>+32.2.296.23.69</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05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E6CF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6E6CF2" w:rsidRDefault="006E6CF2" w:rsidP="00AF25F6">
            <w:pPr>
              <w:rPr>
                <w:rFonts w:ascii="Times New Roman" w:eastAsia="Times New Roman" w:hAnsi="Times New Roman" w:cs="Times New Roman"/>
                <w:lang w:val="en-GB"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03760" w:rsidRPr="0050376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503760">
              <w:rPr>
                <w:rFonts w:ascii="Times New Roman" w:eastAsia="Times New Roman" w:hAnsi="Times New Roman" w:cs="Times New Roman"/>
                <w:b/>
                <w:sz w:val="24"/>
                <w:szCs w:val="20"/>
                <w:lang w:val="en-US" w:eastAsia="en-GB"/>
              </w:rPr>
              <w:t xml:space="preserve"> </w:t>
            </w:r>
            <w:bookmarkStart w:id="0" w:name="_GoBack"/>
            <w:bookmarkEnd w:id="0"/>
            <w:r w:rsidRPr="006E6CF2">
              <w:rPr>
                <w:rFonts w:ascii="Times New Roman" w:eastAsia="Times New Roman" w:hAnsi="Times New Roman" w:cs="Times New Roman"/>
                <w:b/>
                <w:bCs/>
                <w:lang w:val="en-GB" w:eastAsia="en-GB"/>
              </w:rPr>
              <w:t>World Bank, IMF, EBRD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Unit ENER.B1 (Networks and Regional Initiatives) develops and implements policy in the area of trans-European energy infrastructure. In addition it is responsible for the energy portfolio of the Connecting Europe Facility (CEF), a cross-sectorial financing instrument created to support development of trans-European networks in transport, telecommunications and energy. Whereas the largest part of appropriations under CEF is set aside for grants to projects of common interest (PCI), a smaller portion is dedicated to financial instruments, currently limited to a debt instrument to be implemented through the European Investment Bank (EIB). </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In addition, the Unit plays a key role in liaising with Member States, PCI project promoters and Executive Agency for Innovation and Networks (INEA) in following project progress, interacting with IFIs and in contributing to transversal activities such the EU Sustainable Finance Taxonomy, </w:t>
      </w:r>
      <w:proofErr w:type="spellStart"/>
      <w:r w:rsidRPr="006E6CF2">
        <w:rPr>
          <w:rFonts w:ascii="Times New Roman" w:eastAsia="Times New Roman" w:hAnsi="Times New Roman" w:cs="Times New Roman"/>
          <w:lang w:val="en-US" w:eastAsia="en-GB"/>
        </w:rPr>
        <w:t>Modernisation</w:t>
      </w:r>
      <w:proofErr w:type="spellEnd"/>
      <w:r w:rsidRPr="006E6CF2">
        <w:rPr>
          <w:rFonts w:ascii="Times New Roman" w:eastAsia="Times New Roman" w:hAnsi="Times New Roman" w:cs="Times New Roman"/>
          <w:lang w:val="en-US" w:eastAsia="en-GB"/>
        </w:rPr>
        <w:t xml:space="preserve"> and Innovation Funds (DG </w:t>
      </w:r>
      <w:proofErr w:type="spellStart"/>
      <w:r w:rsidRPr="006E6CF2">
        <w:rPr>
          <w:rFonts w:ascii="Times New Roman" w:eastAsia="Times New Roman" w:hAnsi="Times New Roman" w:cs="Times New Roman"/>
          <w:lang w:val="en-US" w:eastAsia="en-GB"/>
        </w:rPr>
        <w:t>Clima</w:t>
      </w:r>
      <w:proofErr w:type="spellEnd"/>
      <w:r w:rsidRPr="006E6CF2">
        <w:rPr>
          <w:rFonts w:ascii="Times New Roman" w:eastAsia="Times New Roman" w:hAnsi="Times New Roman" w:cs="Times New Roman"/>
          <w:lang w:val="en-US" w:eastAsia="en-GB"/>
        </w:rPr>
        <w:t xml:space="preserve"> in charge) and the Green Recovery.</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The EU's multi-annual financial framework (MFF) 2021-2027 is being </w:t>
      </w:r>
      <w:proofErr w:type="spellStart"/>
      <w:r w:rsidRPr="006E6CF2">
        <w:rPr>
          <w:rFonts w:ascii="Times New Roman" w:eastAsia="Times New Roman" w:hAnsi="Times New Roman" w:cs="Times New Roman"/>
          <w:lang w:val="en-US" w:eastAsia="en-GB"/>
        </w:rPr>
        <w:t>finalised</w:t>
      </w:r>
      <w:proofErr w:type="spellEnd"/>
      <w:r w:rsidRPr="006E6CF2">
        <w:rPr>
          <w:rFonts w:ascii="Times New Roman" w:eastAsia="Times New Roman" w:hAnsi="Times New Roman" w:cs="Times New Roman"/>
          <w:lang w:val="en-US" w:eastAsia="en-GB"/>
        </w:rPr>
        <w:t xml:space="preserve"> and the implications regarding financing for PCIs and other relevant projects will need to be implemented.  </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This requires an in-depth analysis also when it comes to the role and the type of financial instruments, which needs to be done also taking into account other sectors of energy policy like energy efficiency, renewables, </w:t>
      </w:r>
      <w:proofErr w:type="spellStart"/>
      <w:r w:rsidRPr="006E6CF2">
        <w:rPr>
          <w:rFonts w:ascii="Times New Roman" w:eastAsia="Times New Roman" w:hAnsi="Times New Roman" w:cs="Times New Roman"/>
          <w:lang w:val="en-US" w:eastAsia="en-GB"/>
        </w:rPr>
        <w:t>hydrogen,CCS</w:t>
      </w:r>
      <w:proofErr w:type="spellEnd"/>
      <w:r w:rsidRPr="006E6CF2">
        <w:rPr>
          <w:rFonts w:ascii="Times New Roman" w:eastAsia="Times New Roman" w:hAnsi="Times New Roman" w:cs="Times New Roman"/>
          <w:lang w:val="en-US" w:eastAsia="en-GB"/>
        </w:rPr>
        <w:t xml:space="preserve"> and distribution systems.</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The tasks will include:</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w</w:t>
      </w:r>
      <w:r w:rsidRPr="006E6CF2">
        <w:rPr>
          <w:rFonts w:ascii="Times New Roman" w:eastAsia="Times New Roman" w:hAnsi="Times New Roman" w:cs="Times New Roman"/>
          <w:lang w:val="en-US" w:eastAsia="en-GB"/>
        </w:rPr>
        <w:t xml:space="preserve">ork in a team on a proposal for a revision of the TEN-E Regulation (including the relevant impact assessment). This proposal should be both flexible and future-proof, the main angle of the analysis being </w:t>
      </w:r>
      <w:r w:rsidRPr="006E6CF2">
        <w:rPr>
          <w:rFonts w:ascii="Times New Roman" w:eastAsia="Times New Roman" w:hAnsi="Times New Roman" w:cs="Times New Roman"/>
          <w:lang w:val="en-US" w:eastAsia="en-GB"/>
        </w:rPr>
        <w:lastRenderedPageBreak/>
        <w:t>economics. The role of financial instruments as a means to provide leverage for public (grants) and attract private funds should be carefully assessed;</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carry out economic assessments (CBAs) related to the PCIs both on project level and regional level. Provide support for identifying sound financing solutions for key projects and liaise with the relevant entities, namely the EIB for EFSI support and standard loans, other IFIs, commercial financiers, and the Executive Agency for Innovation and Networks (INEA) for grants;</w:t>
      </w:r>
    </w:p>
    <w:p w:rsid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design and test the feasibility of financial structures and instruments for PCIs under the upcoming MFF;</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design, supervise and manage relevant studies procured by the Commission;</w:t>
      </w:r>
    </w:p>
    <w:p w:rsid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help ensuring that in the remaining years of the current MFF the maximum of the budgetary resources available under CEF and other instruments are invested in </w:t>
      </w:r>
      <w:proofErr w:type="spellStart"/>
      <w:r w:rsidRPr="006E6CF2">
        <w:rPr>
          <w:rFonts w:ascii="Times New Roman" w:eastAsia="Times New Roman" w:hAnsi="Times New Roman" w:cs="Times New Roman"/>
          <w:lang w:val="en-US" w:eastAsia="en-GB"/>
        </w:rPr>
        <w:t>favour</w:t>
      </w:r>
      <w:proofErr w:type="spellEnd"/>
      <w:r w:rsidRPr="006E6CF2">
        <w:rPr>
          <w:rFonts w:ascii="Times New Roman" w:eastAsia="Times New Roman" w:hAnsi="Times New Roman" w:cs="Times New Roman"/>
          <w:lang w:val="en-US" w:eastAsia="en-GB"/>
        </w:rPr>
        <w:t xml:space="preserve"> of PCIs;</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contribute to reflections on future strategic orientations, horizontal and cross-cutting issues concerning trans-European energy infrastructure, notably in the works on the new multi-annual financial framework (MFF);</w:t>
      </w:r>
    </w:p>
    <w:p w:rsidR="006E6CF2" w:rsidRPr="006E6CF2" w:rsidRDefault="006E6CF2" w:rsidP="006E6CF2">
      <w:pPr>
        <w:pStyle w:val="ListParagraph"/>
        <w:spacing w:after="0" w:line="240" w:lineRule="auto"/>
        <w:ind w:left="709"/>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these include, but are not limited to EU Sustainable Finance Taxonomy, Green Recovery, </w:t>
      </w:r>
      <w:proofErr w:type="spellStart"/>
      <w:r w:rsidRPr="006E6CF2">
        <w:rPr>
          <w:rFonts w:ascii="Times New Roman" w:eastAsia="Times New Roman" w:hAnsi="Times New Roman" w:cs="Times New Roman"/>
          <w:lang w:val="en-US" w:eastAsia="en-GB"/>
        </w:rPr>
        <w:t>Modernisation</w:t>
      </w:r>
      <w:proofErr w:type="spellEnd"/>
      <w:r w:rsidRPr="006E6CF2">
        <w:rPr>
          <w:rFonts w:ascii="Times New Roman" w:eastAsia="Times New Roman" w:hAnsi="Times New Roman" w:cs="Times New Roman"/>
          <w:lang w:val="en-US" w:eastAsia="en-GB"/>
        </w:rPr>
        <w:t>/Innovation Funds;</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maintain relationships with key assigned entities (e.g. IFIs) and counterparts (e.g. Member State PCI contacts)</w:t>
      </w: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We look for someone with:</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a good capacity to identify issues, propose solutions and deliver timely and quality outcomes;</w:t>
      </w:r>
    </w:p>
    <w:p w:rsidR="006E6CF2" w:rsidRP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an understanding of or experience of the full project cycle in infrastructure financing   notably through financial structuring – in the energy sector in the EU would be a plus; and</w:t>
      </w:r>
    </w:p>
    <w:p w:rsidR="006E6CF2" w:rsidRDefault="006E6CF2" w:rsidP="006E6CF2">
      <w:pPr>
        <w:pStyle w:val="ListParagraph"/>
        <w:numPr>
          <w:ilvl w:val="0"/>
          <w:numId w:val="25"/>
        </w:numPr>
        <w:spacing w:after="0" w:line="240" w:lineRule="auto"/>
        <w:ind w:left="709" w:hanging="283"/>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 xml:space="preserve">very good </w:t>
      </w:r>
      <w:proofErr w:type="spellStart"/>
      <w:r w:rsidRPr="006E6CF2">
        <w:rPr>
          <w:rFonts w:ascii="Times New Roman" w:eastAsia="Times New Roman" w:hAnsi="Times New Roman" w:cs="Times New Roman"/>
          <w:lang w:val="en-US" w:eastAsia="en-GB"/>
        </w:rPr>
        <w:t>organisational</w:t>
      </w:r>
      <w:proofErr w:type="spellEnd"/>
      <w:r w:rsidRPr="006E6CF2">
        <w:rPr>
          <w:rFonts w:ascii="Times New Roman" w:eastAsia="Times New Roman" w:hAnsi="Times New Roman" w:cs="Times New Roman"/>
          <w:lang w:val="en-US" w:eastAsia="en-GB"/>
        </w:rPr>
        <w:t xml:space="preserve"> and communication skills. </w:t>
      </w:r>
    </w:p>
    <w:p w:rsidR="006E6CF2" w:rsidRDefault="006E6CF2" w:rsidP="006E6CF2">
      <w:pPr>
        <w:spacing w:after="0" w:line="240" w:lineRule="auto"/>
        <w:ind w:left="426"/>
        <w:jc w:val="both"/>
        <w:rPr>
          <w:rFonts w:ascii="Times New Roman" w:eastAsia="Times New Roman" w:hAnsi="Times New Roman" w:cs="Times New Roman"/>
          <w:lang w:val="en-US" w:eastAsia="en-GB"/>
        </w:rPr>
      </w:pPr>
    </w:p>
    <w:p w:rsidR="006E6CF2" w:rsidRPr="006E6CF2" w:rsidRDefault="006E6CF2" w:rsidP="006E6CF2">
      <w:pPr>
        <w:spacing w:after="0" w:line="240" w:lineRule="auto"/>
        <w:ind w:left="426"/>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We expect the candidate to have proven team player skills, to take initiative and to be able to work on her/his own whenever necessary. The candidate should have a capacity to quickly acquire new competences, whenever necessary.</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6E6CF2" w:rsidRPr="006E6CF2">
        <w:rPr>
          <w:rFonts w:ascii="Times New Roman" w:eastAsia="Times New Roman" w:hAnsi="Times New Roman" w:cs="Times New Roman"/>
          <w:lang w:val="en-US" w:eastAsia="en-GB"/>
        </w:rPr>
        <w:t>economics, business administration, engineering, finance or law</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6E6CF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Having demonstrated in-depth knowledge in support to project preparation and/or due diligence and monitoring of large-scale projects, preferably in the energy sector in a number of Member States</w:t>
      </w:r>
      <w:r>
        <w:rPr>
          <w:rFonts w:ascii="Times New Roman" w:eastAsia="Times New Roman" w:hAnsi="Times New Roman" w:cs="Times New Roman"/>
          <w:lang w:val="en-US" w:eastAsia="en-GB"/>
        </w:rPr>
        <w:t>.</w:t>
      </w:r>
    </w:p>
    <w:p w:rsidR="006E6CF2" w:rsidRDefault="006E6CF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6E6CF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E6CF2">
        <w:rPr>
          <w:rFonts w:ascii="Times New Roman" w:eastAsia="Times New Roman" w:hAnsi="Times New Roman" w:cs="Times New Roman"/>
          <w:lang w:val="en-US" w:eastAsia="en-GB"/>
        </w:rPr>
        <w:t>A very good command of English and ability to write clear and convincing policy and technical documents is necessary. Knowledge of other EU languages would be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F25F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3B8"/>
    <w:multiLevelType w:val="hybridMultilevel"/>
    <w:tmpl w:val="5F2E040C"/>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696815"/>
    <w:multiLevelType w:val="hybridMultilevel"/>
    <w:tmpl w:val="647EA6F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275A11"/>
    <w:multiLevelType w:val="hybridMultilevel"/>
    <w:tmpl w:val="D41CCFC6"/>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30E16DC"/>
    <w:multiLevelType w:val="hybridMultilevel"/>
    <w:tmpl w:val="6D7C9B9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4D549E1"/>
    <w:multiLevelType w:val="hybridMultilevel"/>
    <w:tmpl w:val="4C26BB1E"/>
    <w:lvl w:ilvl="0" w:tplc="A3CC5D10">
      <w:start w:val="1"/>
      <w:numFmt w:val="bullet"/>
      <w:lvlText w:val="-"/>
      <w:lvlJc w:val="left"/>
      <w:pPr>
        <w:ind w:left="1146" w:hanging="360"/>
      </w:pPr>
      <w:rPr>
        <w:rFonts w:ascii="Times New Roman" w:hAnsi="Times New Roman" w:hint="default"/>
        <w:sz w:val="22"/>
      </w:rPr>
    </w:lvl>
    <w:lvl w:ilvl="1" w:tplc="9EF00EAC">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F8B3674"/>
    <w:multiLevelType w:val="hybridMultilevel"/>
    <w:tmpl w:val="70980596"/>
    <w:lvl w:ilvl="0" w:tplc="CF906F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96F082C"/>
    <w:multiLevelType w:val="hybridMultilevel"/>
    <w:tmpl w:val="498026BA"/>
    <w:lvl w:ilvl="0" w:tplc="1C58C8A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332C9"/>
    <w:multiLevelType w:val="hybridMultilevel"/>
    <w:tmpl w:val="2EF845B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1857043"/>
    <w:multiLevelType w:val="hybridMultilevel"/>
    <w:tmpl w:val="30BADFC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2C608FA"/>
    <w:multiLevelType w:val="hybridMultilevel"/>
    <w:tmpl w:val="ACF6EE30"/>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D545C43"/>
    <w:multiLevelType w:val="hybridMultilevel"/>
    <w:tmpl w:val="6CFEE48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15"/>
  </w:num>
  <w:num w:numId="4">
    <w:abstractNumId w:val="2"/>
  </w:num>
  <w:num w:numId="5">
    <w:abstractNumId w:val="13"/>
  </w:num>
  <w:num w:numId="6">
    <w:abstractNumId w:val="12"/>
  </w:num>
  <w:num w:numI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mId="14">
    <w:abstractNumId w:val="14"/>
  </w:num>
  <w:num w:numId="15">
    <w:abstractNumId w:val="8"/>
  </w:num>
  <w:num w:numId="16">
    <w:abstractNumId w:val="0"/>
  </w:num>
  <w:num w:numId="17">
    <w:abstractNumId w:val="16"/>
  </w:num>
  <w:num w:numId="18">
    <w:abstractNumId w:val="11"/>
  </w:num>
  <w:num w:numId="19">
    <w:abstractNumId w:val="24"/>
  </w:num>
  <w:num w:numId="20">
    <w:abstractNumId w:val="10"/>
  </w:num>
  <w:num w:numId="21">
    <w:abstractNumId w:val="3"/>
  </w:num>
  <w:num w:numId="22">
    <w:abstractNumId w:val="19"/>
  </w:num>
  <w:num w:numId="23">
    <w:abstractNumId w:val="18"/>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3760"/>
    <w:rsid w:val="00505BD2"/>
    <w:rsid w:val="00534042"/>
    <w:rsid w:val="00536D39"/>
    <w:rsid w:val="00673B92"/>
    <w:rsid w:val="00691157"/>
    <w:rsid w:val="006E6CF2"/>
    <w:rsid w:val="00757143"/>
    <w:rsid w:val="00860C38"/>
    <w:rsid w:val="0089313E"/>
    <w:rsid w:val="00943796"/>
    <w:rsid w:val="0098353F"/>
    <w:rsid w:val="00AF25F6"/>
    <w:rsid w:val="00AF7D78"/>
    <w:rsid w:val="00B0586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37E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chim.balk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9319</Characters>
  <Application>Microsoft Office Word</Application>
  <DocSecurity>0</DocSecurity>
  <Lines>198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2020-10-12T10:17:00Z</dcterms:created>
  <dcterms:modified xsi:type="dcterms:W3CDTF">2020-10-12T10:27:00Z</dcterms:modified>
</cp:coreProperties>
</file>