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64CF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TRADE-A-3</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64CF8" w:rsidRPr="00235AC6" w:rsidRDefault="00E64CF8" w:rsidP="00E64CF8">
            <w:pPr>
              <w:rPr>
                <w:rFonts w:ascii="Times New Roman" w:hAnsi="Times New Roman" w:cs="Times New Roman"/>
                <w:b/>
                <w:lang w:val="en-GB"/>
              </w:rPr>
            </w:pPr>
            <w:r w:rsidRPr="00235AC6">
              <w:rPr>
                <w:rFonts w:ascii="Times New Roman" w:hAnsi="Times New Roman" w:cs="Times New Roman"/>
                <w:b/>
                <w:lang w:val="en-GB"/>
              </w:rPr>
              <w:t xml:space="preserve">Edouard </w:t>
            </w:r>
            <w:proofErr w:type="spellStart"/>
            <w:r w:rsidRPr="00235AC6">
              <w:rPr>
                <w:rFonts w:ascii="Times New Roman" w:hAnsi="Times New Roman" w:cs="Times New Roman"/>
                <w:b/>
                <w:lang w:val="en-GB"/>
              </w:rPr>
              <w:t>Bourcieu</w:t>
            </w:r>
            <w:proofErr w:type="spellEnd"/>
          </w:p>
          <w:p w:rsidR="00E64CF8" w:rsidRPr="00235AC6" w:rsidRDefault="00E64CF8" w:rsidP="00E64CF8">
            <w:pPr>
              <w:rPr>
                <w:rFonts w:ascii="Times New Roman" w:hAnsi="Times New Roman" w:cs="Times New Roman"/>
                <w:b/>
                <w:lang w:val="en-GB"/>
              </w:rPr>
            </w:pPr>
            <w:hyperlink r:id="rId9" w:history="1">
              <w:r w:rsidRPr="00D67CCA">
                <w:rPr>
                  <w:rStyle w:val="Hyperlink"/>
                  <w:rFonts w:ascii="Times New Roman" w:hAnsi="Times New Roman" w:cs="Times New Roman"/>
                  <w:b/>
                  <w:lang w:val="en-GB"/>
                </w:rPr>
                <w:t>edouard.bourcieu@ec.europa.eu</w:t>
              </w:r>
            </w:hyperlink>
            <w:r>
              <w:rPr>
                <w:rFonts w:ascii="Times New Roman" w:hAnsi="Times New Roman" w:cs="Times New Roman"/>
                <w:b/>
                <w:lang w:val="en-GB"/>
              </w:rPr>
              <w:t xml:space="preserve"> </w:t>
            </w:r>
          </w:p>
          <w:p w:rsidR="00B47B23" w:rsidRDefault="00E64CF8" w:rsidP="00E64CF8">
            <w:pPr>
              <w:rPr>
                <w:rFonts w:ascii="Times New Roman" w:eastAsia="Times New Roman" w:hAnsi="Times New Roman" w:cs="Times New Roman"/>
                <w:sz w:val="24"/>
                <w:szCs w:val="20"/>
                <w:lang w:val="de-DE" w:eastAsia="en-GB"/>
              </w:rPr>
            </w:pPr>
            <w:r w:rsidRPr="00235AC6">
              <w:rPr>
                <w:rFonts w:ascii="Times New Roman" w:hAnsi="Times New Roman" w:cs="Times New Roman"/>
                <w:b/>
                <w:lang w:val="en-GB"/>
              </w:rPr>
              <w:t>+32 229 86099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64C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64CF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64C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58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E64CF8" w:rsidRPr="00E64CF8">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WTO, World Bank, IMF, UN</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The European Commission's Directorate-General for Trade develops, implements and enforces the EU's trade and investment policy with the objective of asserting the interests of the European Union and its Member States as well as of European citizens, consumers, small, medium and large enterprises.</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 xml:space="preserve">Trade and investment policy also helps to achieve broader EU objectives on supporting sustainable development, combatting climate change, and strengthening security as well as the EU's position in the world. It does this by acting unilaterally, bilaterally and multilaterally, and stands ready to react swiftly to anti-competitive and trade distorting </w:t>
      </w:r>
      <w:proofErr w:type="spellStart"/>
      <w:r w:rsidRPr="00E64CF8">
        <w:rPr>
          <w:rFonts w:ascii="Times New Roman" w:hAnsi="Times New Roman" w:cs="Times New Roman"/>
          <w:lang w:val="en-US"/>
        </w:rPr>
        <w:t>behaviours</w:t>
      </w:r>
      <w:proofErr w:type="spellEnd"/>
      <w:r w:rsidRPr="00E64CF8">
        <w:rPr>
          <w:rFonts w:ascii="Times New Roman" w:hAnsi="Times New Roman" w:cs="Times New Roman"/>
          <w:lang w:val="en-US"/>
        </w:rPr>
        <w:t xml:space="preserve"> through assertive enforcement actions.</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 xml:space="preserve">The Chief Economist, Trade Analysis and Evaluation Unit contributes to this task by providing policy advice and economic analysis to trade policy makers and negotiators in the DG. To fulfil our role in DG TRADE, we combine in-house policy-focused analytical work, often based on quantitative models, with outsourcing of tasks to researchers and academics. Further information on the work of the Unit can be found </w:t>
      </w:r>
      <w:hyperlink r:id="rId10" w:history="1">
        <w:r w:rsidRPr="001B1FF8">
          <w:rPr>
            <w:rStyle w:val="Hyperlink"/>
            <w:rFonts w:ascii="Times New Roman" w:eastAsia="Times New Roman" w:hAnsi="Times New Roman"/>
            <w:szCs w:val="20"/>
            <w:lang w:val="en-GB" w:eastAsia="en-GB"/>
          </w:rPr>
          <w:t>here</w:t>
        </w:r>
      </w:hyperlink>
      <w:r w:rsidRPr="00E64CF8">
        <w:rPr>
          <w:rFonts w:ascii="Times New Roman" w:hAnsi="Times New Roman" w:cs="Times New Roman"/>
          <w:lang w:val="en-US"/>
        </w:rPr>
        <w:t>.</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660776" w:rsidRPr="00863AE8" w:rsidRDefault="00E64CF8" w:rsidP="00E64CF8">
      <w:pPr>
        <w:pStyle w:val="ListParagraph"/>
        <w:spacing w:after="0" w:line="240" w:lineRule="auto"/>
        <w:ind w:left="426" w:hanging="1"/>
        <w:jc w:val="both"/>
        <w:rPr>
          <w:rFonts w:ascii="Times New Roman" w:eastAsia="Times New Roman" w:hAnsi="Times New Roman" w:cs="Times New Roman"/>
          <w:lang w:val="en-US" w:eastAsia="en-GB"/>
        </w:rPr>
      </w:pPr>
      <w:r w:rsidRPr="00E64CF8">
        <w:rPr>
          <w:rFonts w:ascii="Times New Roman" w:hAnsi="Times New Roman" w:cs="Times New Roman"/>
          <w:lang w:val="en-US"/>
        </w:rPr>
        <w:t>The current post is for an economist with good analytical, policy and communication skills who would, inter alia, (i) provide analytical input to studies carried out internally and externally and (ii) contribute to the economic analysis of the link between internal market policies and EU trade policies. The jobholder would also work to further improve outreach and relations with various stakeholders (other DGs, Member States, European Parliament, etc.)</w:t>
      </w:r>
      <w:r>
        <w:rPr>
          <w:rFonts w:ascii="Times New Roman" w:hAnsi="Times New Roman" w:cs="Times New Roman"/>
          <w:lang w:val="en-US"/>
        </w:rPr>
        <w:t>.</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E64CF8">
        <w:rPr>
          <w:rFonts w:ascii="Times New Roman" w:hAnsi="Times New Roman" w:cs="Times New Roman"/>
          <w:lang w:val="en-US"/>
        </w:rPr>
        <w:t>economics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 xml:space="preserve">A good background in economics and policy research, ideally with experience in academia or an international </w:t>
      </w:r>
      <w:proofErr w:type="spellStart"/>
      <w:r w:rsidRPr="00E64CF8">
        <w:rPr>
          <w:rFonts w:ascii="Times New Roman" w:eastAsia="Times New Roman" w:hAnsi="Times New Roman" w:cs="Times New Roman"/>
          <w:lang w:val="en-US" w:eastAsia="en-GB"/>
        </w:rPr>
        <w:t>organisation</w:t>
      </w:r>
      <w:proofErr w:type="spellEnd"/>
      <w:r w:rsidRPr="00E64CF8">
        <w:rPr>
          <w:rFonts w:ascii="Times New Roman" w:eastAsia="Times New Roman" w:hAnsi="Times New Roman" w:cs="Times New Roman"/>
          <w:lang w:val="en-US" w:eastAsia="en-GB"/>
        </w:rPr>
        <w:t>;</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Familiarity with quantitative economic analyses, in particular in an international trade context.</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 xml:space="preserve">Excellent oral and written communication skills </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Proven experience of EU trade policy, as well as a wider awareness of the EU economic policies, in particular those related to the Single Market, and/or international relations;</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Good strategic insights, ability to steer and coordinate policy initiatives, experience in providing policy advice to senior policy makers;</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Experience in preparing briefings, notes and speaking points, often at short notice and with tight deadlines, accurately and succinctly in correct English;</w:t>
      </w:r>
    </w:p>
    <w:p w:rsidR="00151FDA"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A good sense of initiative, judgement, responsibility and good inter-personal skills.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64CF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Excellent spoken and written English is required. Capacity to communicate effectively in French is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994581" w:rsidRDefault="00994581" w:rsidP="00AF7D78">
      <w:pPr>
        <w:spacing w:after="0" w:line="240" w:lineRule="auto"/>
        <w:ind w:left="426"/>
        <w:rPr>
          <w:rFonts w:ascii="Times New Roman" w:eastAsia="Times New Roman" w:hAnsi="Times New Roman" w:cs="Times New Roman"/>
          <w:sz w:val="24"/>
          <w:szCs w:val="20"/>
          <w:lang w:val="en-US" w:eastAsia="en-GB"/>
        </w:rPr>
      </w:pPr>
    </w:p>
    <w:p w:rsidR="00E64CF8" w:rsidRDefault="00E64C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64CF8">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4"/>
  </w:num>
  <w:num w:numId="8">
    <w:abstractNumId w:val="26"/>
  </w:num>
  <w:num w:numId="9">
    <w:abstractNumId w:val="21"/>
  </w:num>
  <w:num w:numId="10">
    <w:abstractNumId w:val="11"/>
  </w:num>
  <w:num w:numId="11">
    <w:abstractNumId w:val="23"/>
  </w:num>
  <w:num w:numId="12">
    <w:abstractNumId w:val="25"/>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7"/>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9A4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trade/policy/policy-making/analysis/" TargetMode="External"/><Relationship Id="rId4" Type="http://schemas.openxmlformats.org/officeDocument/2006/relationships/settings" Target="settings.xml"/><Relationship Id="rId9" Type="http://schemas.openxmlformats.org/officeDocument/2006/relationships/hyperlink" Target="mailto:edouard.bourcieu@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E1F0-1488-44B1-A056-61A123E0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7809</Characters>
  <Application>Microsoft Office Word</Application>
  <DocSecurity>0</DocSecurity>
  <Lines>181</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2021-03-09T15:50:00Z</dcterms:created>
  <dcterms:modified xsi:type="dcterms:W3CDTF">2021-03-09T15:50:00Z</dcterms:modified>
</cp:coreProperties>
</file>