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84515E"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TRADE-E-2</w:t>
            </w:r>
          </w:p>
        </w:tc>
      </w:tr>
      <w:tr w:rsidR="00AF7D78" w:rsidRPr="0008243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4515E" w:rsidRPr="00236518" w:rsidRDefault="0084515E" w:rsidP="0084515E">
            <w:pPr>
              <w:rPr>
                <w:rFonts w:ascii="Times New Roman" w:eastAsia="Times New Roman" w:hAnsi="Times New Roman" w:cs="Times New Roman"/>
                <w:b/>
                <w:lang w:val="fr-FR" w:eastAsia="en-GB"/>
              </w:rPr>
            </w:pPr>
            <w:bookmarkStart w:id="0" w:name="_GoBack"/>
            <w:r w:rsidRPr="00236518">
              <w:rPr>
                <w:rFonts w:ascii="Times New Roman" w:eastAsia="Times New Roman" w:hAnsi="Times New Roman" w:cs="Times New Roman"/>
                <w:b/>
                <w:lang w:val="fr-FR" w:eastAsia="en-GB"/>
              </w:rPr>
              <w:t>SOURMELIS Petros</w:t>
            </w:r>
          </w:p>
          <w:p w:rsidR="0084515E" w:rsidRPr="00236518" w:rsidRDefault="0084515E" w:rsidP="0084515E">
            <w:pPr>
              <w:rPr>
                <w:rFonts w:ascii="Times New Roman" w:eastAsia="Times New Roman" w:hAnsi="Times New Roman" w:cs="Times New Roman"/>
                <w:b/>
                <w:lang w:val="fr-FR" w:eastAsia="en-GB"/>
              </w:rPr>
            </w:pPr>
            <w:hyperlink r:id="rId9" w:history="1">
              <w:r w:rsidRPr="00236518">
                <w:rPr>
                  <w:rStyle w:val="Hyperlink"/>
                  <w:rFonts w:ascii="Times New Roman" w:eastAsia="Times New Roman" w:hAnsi="Times New Roman" w:cs="Times New Roman"/>
                  <w:b/>
                  <w:lang w:val="fr-FR" w:eastAsia="en-GB"/>
                </w:rPr>
                <w:t>Petros.Sourmelis@ec.europa.eu</w:t>
              </w:r>
            </w:hyperlink>
            <w:r w:rsidRPr="00236518">
              <w:rPr>
                <w:rFonts w:ascii="Times New Roman" w:eastAsia="Times New Roman" w:hAnsi="Times New Roman" w:cs="Times New Roman"/>
                <w:b/>
                <w:lang w:val="fr-FR" w:eastAsia="en-GB"/>
              </w:rPr>
              <w:t xml:space="preserve"> </w:t>
            </w:r>
          </w:p>
          <w:p w:rsidR="008F1149" w:rsidRPr="00236518" w:rsidRDefault="004674F1" w:rsidP="0084515E">
            <w:pPr>
              <w:rPr>
                <w:rFonts w:ascii="Times New Roman" w:eastAsia="Times New Roman" w:hAnsi="Times New Roman" w:cs="Times New Roman"/>
                <w:b/>
                <w:lang w:val="en-US" w:eastAsia="en-GB"/>
              </w:rPr>
            </w:pPr>
            <w:r w:rsidRPr="00236518">
              <w:rPr>
                <w:rFonts w:ascii="Times New Roman" w:eastAsia="Times New Roman" w:hAnsi="Times New Roman" w:cs="Times New Roman"/>
                <w:b/>
                <w:lang w:val="fi-FI" w:eastAsia="en-GB"/>
              </w:rPr>
              <w:t xml:space="preserve">+32 2 29 </w:t>
            </w:r>
            <w:r w:rsidR="0084515E" w:rsidRPr="00236518">
              <w:rPr>
                <w:rFonts w:ascii="Times New Roman" w:eastAsia="Times New Roman" w:hAnsi="Times New Roman" w:cs="Times New Roman"/>
                <w:b/>
                <w:lang w:val="fi-FI" w:eastAsia="en-GB"/>
              </w:rPr>
              <w:t>87935</w:t>
            </w:r>
          </w:p>
          <w:p w:rsidR="00AF7D78" w:rsidRPr="00236518" w:rsidRDefault="008F1149" w:rsidP="008F1149">
            <w:pPr>
              <w:rPr>
                <w:rFonts w:ascii="Times New Roman" w:eastAsia="Times New Roman" w:hAnsi="Times New Roman" w:cs="Times New Roman"/>
                <w:b/>
                <w:lang w:val="en-US" w:eastAsia="en-GB"/>
              </w:rPr>
            </w:pPr>
            <w:r w:rsidRPr="00236518">
              <w:rPr>
                <w:rFonts w:ascii="Times New Roman" w:eastAsia="Times New Roman" w:hAnsi="Times New Roman" w:cs="Times New Roman"/>
                <w:b/>
                <w:lang w:val="en-US" w:eastAsia="en-GB"/>
              </w:rPr>
              <w:t>1</w:t>
            </w:r>
          </w:p>
          <w:bookmarkEnd w:id="0"/>
          <w:p w:rsidR="00AF7D78" w:rsidRPr="00AF7D78" w:rsidRDefault="0084515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4515E">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ED5A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84515E" w:rsidP="008F1149">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Pr="0084515E">
              <w:rPr>
                <w:rFonts w:ascii="Times New Roman" w:eastAsia="Times New Roman" w:hAnsi="Times New Roman" w:cs="Times New Roman"/>
                <w:b/>
                <w:lang w:val="en-US" w:eastAsia="en-GB"/>
              </w:rPr>
              <w:t>Tbilisi, Georgia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84515E" w:rsidRPr="0084515E" w:rsidRDefault="0084515E" w:rsidP="0084515E">
      <w:pPr>
        <w:spacing w:after="0" w:line="240" w:lineRule="auto"/>
        <w:ind w:left="426"/>
        <w:jc w:val="both"/>
        <w:rPr>
          <w:rFonts w:ascii="Times New Roman" w:eastAsia="Times New Roman" w:hAnsi="Times New Roman" w:cs="Times New Roman"/>
          <w:lang w:val="en-US" w:eastAsia="en-GB"/>
        </w:rPr>
      </w:pPr>
      <w:r w:rsidRPr="0084515E">
        <w:rPr>
          <w:rFonts w:ascii="Times New Roman" w:eastAsia="Times New Roman" w:hAnsi="Times New Roman" w:cs="Times New Roman"/>
          <w:lang w:val="en-US" w:eastAsia="en-GB"/>
        </w:rPr>
        <w:t>Unit E2 in DG TRADE is responsible for trade relations with Russia, CIS, Ukraine, Western Balkans, EFTA, EEA, Turkey and Central Asia. This entails the management of the bilateral trade relations, conducting negotiations and ensuring the implementation of trade agreements and the enforcement of the international trade commitments of our partners. We also work in the identification, analysis and pursuit of specific bilateral trade problems; as well as in ensuring that other EU policies, such as trade-related cooperation and the work of other Directorates-General as well as the EEAS in relation to the listed countries are coherent and mutually complementary, and supportive of the EU trade policy. The unit is composed of 15 officials in headquarters and 8 officials in the Trade sections in the EU Delegations in the regions covered.</w:t>
      </w:r>
    </w:p>
    <w:p w:rsidR="0084515E" w:rsidRPr="0084515E" w:rsidRDefault="0084515E" w:rsidP="0084515E">
      <w:pPr>
        <w:spacing w:after="0" w:line="240" w:lineRule="auto"/>
        <w:ind w:left="426"/>
        <w:jc w:val="both"/>
        <w:rPr>
          <w:rFonts w:ascii="Times New Roman" w:eastAsia="Times New Roman" w:hAnsi="Times New Roman" w:cs="Times New Roman"/>
          <w:lang w:val="en-US" w:eastAsia="en-GB"/>
        </w:rPr>
      </w:pPr>
    </w:p>
    <w:p w:rsidR="0084515E" w:rsidRPr="0084515E" w:rsidRDefault="0084515E" w:rsidP="0084515E">
      <w:pPr>
        <w:spacing w:after="0" w:line="240" w:lineRule="auto"/>
        <w:ind w:left="426"/>
        <w:jc w:val="both"/>
        <w:rPr>
          <w:rFonts w:ascii="Times New Roman" w:eastAsia="Times New Roman" w:hAnsi="Times New Roman" w:cs="Times New Roman"/>
          <w:lang w:val="en-US" w:eastAsia="en-GB"/>
        </w:rPr>
      </w:pPr>
      <w:r w:rsidRPr="0084515E">
        <w:rPr>
          <w:rFonts w:ascii="Times New Roman" w:eastAsia="Times New Roman" w:hAnsi="Times New Roman" w:cs="Times New Roman"/>
          <w:lang w:val="en-US" w:eastAsia="en-GB"/>
        </w:rPr>
        <w:t>We are looking for a dynamic, flexible and motivated candidate, able to work effectively with others, as well as in an autonomous manner to join the team with base in the EU Delegation in Tbilisi.</w:t>
      </w:r>
    </w:p>
    <w:p w:rsidR="0084515E" w:rsidRPr="0084515E" w:rsidRDefault="0084515E" w:rsidP="0084515E">
      <w:pPr>
        <w:spacing w:after="0" w:line="240" w:lineRule="auto"/>
        <w:ind w:left="426"/>
        <w:jc w:val="both"/>
        <w:rPr>
          <w:rFonts w:ascii="Times New Roman" w:eastAsia="Times New Roman" w:hAnsi="Times New Roman" w:cs="Times New Roman"/>
          <w:lang w:val="en-US" w:eastAsia="en-GB"/>
        </w:rPr>
      </w:pPr>
    </w:p>
    <w:p w:rsidR="0084515E" w:rsidRDefault="0084515E" w:rsidP="0084515E">
      <w:pPr>
        <w:spacing w:after="0" w:line="240" w:lineRule="auto"/>
        <w:ind w:left="426"/>
        <w:jc w:val="both"/>
        <w:rPr>
          <w:rFonts w:ascii="Times New Roman" w:eastAsia="Times New Roman" w:hAnsi="Times New Roman" w:cs="Times New Roman"/>
          <w:lang w:val="en-US" w:eastAsia="en-GB"/>
        </w:rPr>
      </w:pPr>
      <w:r w:rsidRPr="0084515E">
        <w:rPr>
          <w:rFonts w:ascii="Times New Roman" w:eastAsia="Times New Roman" w:hAnsi="Times New Roman" w:cs="Times New Roman"/>
          <w:lang w:val="en-US" w:eastAsia="en-GB"/>
        </w:rPr>
        <w:t>The successful candidate will :</w:t>
      </w:r>
    </w:p>
    <w:p w:rsidR="0084515E" w:rsidRPr="0084515E" w:rsidRDefault="0084515E" w:rsidP="0084515E">
      <w:pPr>
        <w:spacing w:after="0" w:line="240" w:lineRule="auto"/>
        <w:ind w:left="426"/>
        <w:jc w:val="both"/>
        <w:rPr>
          <w:rFonts w:ascii="Times New Roman" w:eastAsia="Times New Roman" w:hAnsi="Times New Roman" w:cs="Times New Roman"/>
          <w:lang w:val="en-US" w:eastAsia="en-GB"/>
        </w:rPr>
      </w:pPr>
    </w:p>
    <w:p w:rsidR="0084515E" w:rsidRPr="0084515E" w:rsidRDefault="0084515E" w:rsidP="0084515E">
      <w:pPr>
        <w:spacing w:after="0" w:line="240" w:lineRule="auto"/>
        <w:ind w:left="709" w:hanging="283"/>
        <w:jc w:val="both"/>
        <w:rPr>
          <w:rFonts w:ascii="Times New Roman" w:eastAsia="Times New Roman" w:hAnsi="Times New Roman" w:cs="Times New Roman"/>
          <w:lang w:val="en-US" w:eastAsia="en-GB"/>
        </w:rPr>
      </w:pPr>
      <w:r w:rsidRPr="0084515E">
        <w:rPr>
          <w:rFonts w:ascii="Times New Roman" w:eastAsia="Times New Roman" w:hAnsi="Times New Roman" w:cs="Times New Roman"/>
          <w:lang w:val="en-US" w:eastAsia="en-GB"/>
        </w:rPr>
        <w:t>•</w:t>
      </w:r>
      <w:r w:rsidRPr="0084515E">
        <w:rPr>
          <w:rFonts w:ascii="Times New Roman" w:eastAsia="Times New Roman" w:hAnsi="Times New Roman" w:cs="Times New Roman"/>
          <w:lang w:val="en-US" w:eastAsia="en-GB"/>
        </w:rPr>
        <w:tab/>
        <w:t>advise and report to HQ on trade and economic matters, with a view to facilitating the implementation of the EU-Georgia DCFTA in Georgia (including trade aspects of Abkhazia and South Ossetia)</w:t>
      </w:r>
    </w:p>
    <w:p w:rsidR="0084515E" w:rsidRPr="0084515E" w:rsidRDefault="0084515E" w:rsidP="0084515E">
      <w:pPr>
        <w:spacing w:after="0" w:line="240" w:lineRule="auto"/>
        <w:ind w:left="709" w:hanging="283"/>
        <w:jc w:val="both"/>
        <w:rPr>
          <w:rFonts w:ascii="Times New Roman" w:eastAsia="Times New Roman" w:hAnsi="Times New Roman" w:cs="Times New Roman"/>
          <w:lang w:val="en-US" w:eastAsia="en-GB"/>
        </w:rPr>
      </w:pPr>
      <w:r w:rsidRPr="0084515E">
        <w:rPr>
          <w:rFonts w:ascii="Times New Roman" w:eastAsia="Times New Roman" w:hAnsi="Times New Roman" w:cs="Times New Roman"/>
          <w:lang w:val="en-US" w:eastAsia="en-GB"/>
        </w:rPr>
        <w:t>•</w:t>
      </w:r>
      <w:r w:rsidRPr="0084515E">
        <w:rPr>
          <w:rFonts w:ascii="Times New Roman" w:eastAsia="Times New Roman" w:hAnsi="Times New Roman" w:cs="Times New Roman"/>
          <w:lang w:val="en-US" w:eastAsia="en-GB"/>
        </w:rPr>
        <w:tab/>
        <w:t>coordinate the EU contribution to improving the EU-Georgia trade environment for the EU and Georgian economic operators, especially SMEs</w:t>
      </w:r>
    </w:p>
    <w:p w:rsidR="0084515E" w:rsidRPr="0084515E" w:rsidRDefault="0084515E" w:rsidP="0084515E">
      <w:pPr>
        <w:spacing w:after="0" w:line="240" w:lineRule="auto"/>
        <w:ind w:left="709" w:hanging="283"/>
        <w:jc w:val="both"/>
        <w:rPr>
          <w:rFonts w:ascii="Times New Roman" w:eastAsia="Times New Roman" w:hAnsi="Times New Roman" w:cs="Times New Roman"/>
          <w:lang w:val="en-US" w:eastAsia="en-GB"/>
        </w:rPr>
      </w:pPr>
      <w:r w:rsidRPr="0084515E">
        <w:rPr>
          <w:rFonts w:ascii="Times New Roman" w:eastAsia="Times New Roman" w:hAnsi="Times New Roman" w:cs="Times New Roman"/>
          <w:lang w:val="en-US" w:eastAsia="en-GB"/>
        </w:rPr>
        <w:t>•</w:t>
      </w:r>
      <w:r w:rsidRPr="0084515E">
        <w:rPr>
          <w:rFonts w:ascii="Times New Roman" w:eastAsia="Times New Roman" w:hAnsi="Times New Roman" w:cs="Times New Roman"/>
          <w:lang w:val="en-US" w:eastAsia="en-GB"/>
        </w:rPr>
        <w:tab/>
        <w:t>coordinate with Unit E2 in DG Trade HQ and implement the DEL activities on trade issues under the supervision of the Head of Operations Section, under the overall direction of the Head of Delegation</w:t>
      </w:r>
    </w:p>
    <w:p w:rsidR="0084515E" w:rsidRPr="0084515E" w:rsidRDefault="0084515E" w:rsidP="0084515E">
      <w:pPr>
        <w:spacing w:after="0" w:line="240" w:lineRule="auto"/>
        <w:ind w:left="709" w:hanging="283"/>
        <w:jc w:val="both"/>
        <w:rPr>
          <w:rFonts w:ascii="Times New Roman" w:eastAsia="Times New Roman" w:hAnsi="Times New Roman" w:cs="Times New Roman"/>
          <w:lang w:val="en-US" w:eastAsia="en-GB"/>
        </w:rPr>
      </w:pPr>
      <w:r w:rsidRPr="0084515E">
        <w:rPr>
          <w:rFonts w:ascii="Times New Roman" w:eastAsia="Times New Roman" w:hAnsi="Times New Roman" w:cs="Times New Roman"/>
          <w:lang w:val="en-US" w:eastAsia="en-GB"/>
        </w:rPr>
        <w:t>•</w:t>
      </w:r>
      <w:r w:rsidRPr="0084515E">
        <w:rPr>
          <w:rFonts w:ascii="Times New Roman" w:eastAsia="Times New Roman" w:hAnsi="Times New Roman" w:cs="Times New Roman"/>
          <w:lang w:val="en-US" w:eastAsia="en-GB"/>
        </w:rPr>
        <w:tab/>
        <w:t xml:space="preserve">coordinate the monitoring of the DCFTA implementation and compliance by Georgia and report to Headquarters (DG Trade and relevant other Commission directorates) about the progress, including on approximation to the EU acquis and related legislative developments of Georgia. </w:t>
      </w:r>
    </w:p>
    <w:p w:rsidR="0084515E" w:rsidRPr="0084515E" w:rsidRDefault="0084515E" w:rsidP="0084515E">
      <w:pPr>
        <w:spacing w:after="0" w:line="240" w:lineRule="auto"/>
        <w:ind w:left="426"/>
        <w:jc w:val="both"/>
        <w:rPr>
          <w:rFonts w:ascii="Times New Roman" w:eastAsia="Times New Roman" w:hAnsi="Times New Roman" w:cs="Times New Roman"/>
          <w:lang w:val="en-US" w:eastAsia="en-GB"/>
        </w:rPr>
      </w:pPr>
    </w:p>
    <w:p w:rsidR="00ED5A51" w:rsidRPr="00987527" w:rsidRDefault="0084515E" w:rsidP="0084515E">
      <w:pPr>
        <w:spacing w:after="0" w:line="240" w:lineRule="auto"/>
        <w:ind w:left="426"/>
        <w:jc w:val="both"/>
        <w:rPr>
          <w:rFonts w:ascii="Times New Roman" w:eastAsia="Times New Roman" w:hAnsi="Times New Roman" w:cs="Times New Roman"/>
          <w:lang w:val="en-US" w:eastAsia="en-GB"/>
        </w:rPr>
      </w:pPr>
      <w:r w:rsidRPr="0084515E">
        <w:rPr>
          <w:rFonts w:ascii="Times New Roman" w:eastAsia="Times New Roman" w:hAnsi="Times New Roman" w:cs="Times New Roman"/>
          <w:lang w:val="en-US" w:eastAsia="en-GB"/>
        </w:rPr>
        <w:lastRenderedPageBreak/>
        <w:t>He/she should have the capacity to assure quality, speed and accuracy in performing a diversity of tasks in a complex, multicultural environment; - Outstanding ability to communicate, orally and in writing, information and ideas clearly, concisely, diplomatically and to judge the impact of decisions; - Aptitude for dialogue, capacity to establish and maintain a wide range of contacts; - Good team-working skills.</w:t>
      </w:r>
    </w:p>
    <w:p w:rsidR="003262F6" w:rsidRPr="00987527" w:rsidRDefault="003262F6" w:rsidP="00ED5A51">
      <w:pPr>
        <w:spacing w:after="0" w:line="240" w:lineRule="auto"/>
        <w:ind w:left="426"/>
        <w:jc w:val="both"/>
        <w:rPr>
          <w:rFonts w:ascii="Times New Roman" w:eastAsia="Times New Roman" w:hAnsi="Times New Roman" w:cs="Times New Roman"/>
          <w:lang w:val="en-US" w:eastAsia="en-GB"/>
        </w:rPr>
      </w:pPr>
    </w:p>
    <w:p w:rsidR="00AF7D78" w:rsidRPr="0017722B"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fr-FR" w:eastAsia="en-GB"/>
        </w:rPr>
      </w:pPr>
      <w:r w:rsidRPr="0017722B">
        <w:rPr>
          <w:rFonts w:ascii="Times New Roman" w:eastAsia="Times New Roman" w:hAnsi="Times New Roman" w:cs="Times New Roman"/>
          <w:b/>
          <w:sz w:val="24"/>
          <w:szCs w:val="20"/>
          <w:lang w:val="fr-FR" w:eastAsia="en-GB"/>
        </w:rPr>
        <w:t>2.</w:t>
      </w:r>
      <w:r w:rsidRPr="0017722B">
        <w:rPr>
          <w:rFonts w:ascii="Times New Roman" w:eastAsia="Times New Roman" w:hAnsi="Times New Roman" w:cs="Times New Roman"/>
          <w:b/>
          <w:sz w:val="24"/>
          <w:szCs w:val="20"/>
          <w:lang w:val="fr-FR" w:eastAsia="en-GB"/>
        </w:rPr>
        <w:tab/>
      </w:r>
      <w:r w:rsidRPr="0017722B">
        <w:rPr>
          <w:rFonts w:ascii="Times New Roman" w:eastAsia="Times New Roman" w:hAnsi="Times New Roman" w:cs="Times New Roman"/>
          <w:b/>
          <w:sz w:val="24"/>
          <w:szCs w:val="20"/>
          <w:u w:val="single"/>
          <w:lang w:val="fr-FR" w:eastAsia="en-GB"/>
        </w:rPr>
        <w:t>Main qualifications</w:t>
      </w:r>
    </w:p>
    <w:p w:rsidR="00AF7D78" w:rsidRPr="0017722B" w:rsidRDefault="00AF7D78" w:rsidP="00AF7D78">
      <w:pPr>
        <w:spacing w:after="0" w:line="240" w:lineRule="auto"/>
        <w:rPr>
          <w:rFonts w:ascii="Times New Roman" w:eastAsia="Times New Roman" w:hAnsi="Times New Roman" w:cs="Times New Roman"/>
          <w:sz w:val="24"/>
          <w:szCs w:val="20"/>
          <w:lang w:val="fr-FR"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84515E" w:rsidRPr="0084515E">
        <w:rPr>
          <w:rFonts w:ascii="Times New Roman" w:eastAsia="Times New Roman" w:hAnsi="Times New Roman" w:cs="Times New Roman"/>
          <w:lang w:val="en-US" w:eastAsia="en-GB"/>
        </w:rPr>
        <w:t>law, economy, or political sciences</w:t>
      </w:r>
      <w:r w:rsidR="006E6F0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84515E" w:rsidRDefault="0084515E" w:rsidP="00987527">
      <w:pPr>
        <w:tabs>
          <w:tab w:val="left" w:pos="709"/>
        </w:tabs>
        <w:spacing w:after="0" w:line="240" w:lineRule="auto"/>
        <w:ind w:left="709" w:right="60"/>
        <w:jc w:val="both"/>
        <w:rPr>
          <w:rFonts w:ascii="Times New Roman" w:eastAsia="Times New Roman" w:hAnsi="Times New Roman" w:cs="Times New Roman"/>
          <w:lang w:val="en-US" w:eastAsia="en-GB"/>
        </w:rPr>
      </w:pPr>
      <w:r w:rsidRPr="0084515E">
        <w:rPr>
          <w:rFonts w:ascii="Times New Roman" w:eastAsia="Times New Roman" w:hAnsi="Times New Roman" w:cs="Times New Roman"/>
          <w:lang w:val="en-US" w:eastAsia="en-GB"/>
        </w:rPr>
        <w:t>Sound experience in EU trade and economic policies</w:t>
      </w:r>
      <w:r>
        <w:rPr>
          <w:rFonts w:ascii="Times New Roman" w:eastAsia="Times New Roman" w:hAnsi="Times New Roman" w:cs="Times New Roman"/>
          <w:lang w:val="en-US" w:eastAsia="en-GB"/>
        </w:rPr>
        <w:t xml:space="preserve"> and s</w:t>
      </w:r>
      <w:r w:rsidRPr="0084515E">
        <w:rPr>
          <w:rFonts w:ascii="Times New Roman" w:eastAsia="Times New Roman" w:hAnsi="Times New Roman" w:cs="Times New Roman"/>
          <w:lang w:val="en-US" w:eastAsia="en-GB"/>
        </w:rPr>
        <w:t>pecific policies relevant to the issues covered by the section;</w:t>
      </w:r>
    </w:p>
    <w:p w:rsidR="0084515E" w:rsidRDefault="0084515E" w:rsidP="00987527">
      <w:pPr>
        <w:tabs>
          <w:tab w:val="left" w:pos="709"/>
        </w:tabs>
        <w:spacing w:after="0" w:line="240" w:lineRule="auto"/>
        <w:ind w:left="709" w:right="60"/>
        <w:jc w:val="both"/>
        <w:rPr>
          <w:rFonts w:ascii="Times New Roman" w:eastAsia="Times New Roman" w:hAnsi="Times New Roman" w:cs="Times New Roman"/>
          <w:lang w:val="en-US" w:eastAsia="en-GB"/>
        </w:rPr>
      </w:pPr>
      <w:r w:rsidRPr="0084515E">
        <w:rPr>
          <w:rFonts w:ascii="Times New Roman" w:eastAsia="Times New Roman" w:hAnsi="Times New Roman" w:cs="Times New Roman"/>
          <w:lang w:val="en-US" w:eastAsia="en-GB"/>
        </w:rPr>
        <w:t xml:space="preserve">Preparation </w:t>
      </w:r>
      <w:r>
        <w:rPr>
          <w:rFonts w:ascii="Times New Roman" w:eastAsia="Times New Roman" w:hAnsi="Times New Roman" w:cs="Times New Roman"/>
          <w:lang w:val="en-US" w:eastAsia="en-GB"/>
        </w:rPr>
        <w:t xml:space="preserve">of </w:t>
      </w:r>
      <w:r w:rsidRPr="0084515E">
        <w:rPr>
          <w:rFonts w:ascii="Times New Roman" w:eastAsia="Times New Roman" w:hAnsi="Times New Roman" w:cs="Times New Roman"/>
          <w:lang w:val="en-US" w:eastAsia="en-GB"/>
        </w:rPr>
        <w:t xml:space="preserve"> negotiations on trade and economic matters;</w:t>
      </w:r>
    </w:p>
    <w:p w:rsidR="00AF7D78" w:rsidRPr="008F1149" w:rsidRDefault="0084515E" w:rsidP="00987527">
      <w:pPr>
        <w:tabs>
          <w:tab w:val="left" w:pos="709"/>
        </w:tabs>
        <w:spacing w:after="0" w:line="240" w:lineRule="auto"/>
        <w:ind w:left="709" w:right="60"/>
        <w:jc w:val="both"/>
        <w:rPr>
          <w:rFonts w:ascii="Times New Roman" w:eastAsia="Times New Roman" w:hAnsi="Times New Roman" w:cs="Times New Roman"/>
          <w:lang w:val="en-US" w:eastAsia="en-GB"/>
        </w:rPr>
      </w:pPr>
      <w:r w:rsidRPr="0084515E">
        <w:rPr>
          <w:rFonts w:ascii="Times New Roman" w:eastAsia="Times New Roman" w:hAnsi="Times New Roman" w:cs="Times New Roman"/>
          <w:lang w:val="en-US" w:eastAsia="en-GB"/>
        </w:rPr>
        <w:t>Reporting and analysis of trade and economic subjects</w:t>
      </w:r>
      <w:r>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082430" w:rsidRDefault="0084515E" w:rsidP="0017722B">
      <w:pPr>
        <w:tabs>
          <w:tab w:val="left" w:pos="709"/>
        </w:tabs>
        <w:spacing w:after="0" w:line="240" w:lineRule="auto"/>
        <w:ind w:left="709" w:right="60"/>
        <w:jc w:val="both"/>
        <w:rPr>
          <w:rFonts w:ascii="Times New Roman" w:eastAsia="Times New Roman" w:hAnsi="Times New Roman" w:cs="Times New Roman"/>
          <w:lang w:val="en-US" w:eastAsia="en-GB"/>
        </w:rPr>
      </w:pPr>
      <w:r w:rsidRPr="0084515E">
        <w:rPr>
          <w:rFonts w:ascii="Times New Roman" w:eastAsia="Times New Roman" w:hAnsi="Times New Roman" w:cs="Times New Roman"/>
          <w:lang w:val="en-US" w:eastAsia="en-GB"/>
        </w:rPr>
        <w:t>Thorough knowledge (capacity to write and speak) in English and French is required. EN and FR are necessary to work with Commission HQ. Knowledge of the (official/working) language of the host country (or of the region) is an advantage.</w:t>
      </w:r>
    </w:p>
    <w:p w:rsidR="00D8235C" w:rsidRPr="00AF7D78" w:rsidRDefault="00D8235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23651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236518"/>
    <w:rsid w:val="003165AD"/>
    <w:rsid w:val="003262F6"/>
    <w:rsid w:val="00381597"/>
    <w:rsid w:val="004674F1"/>
    <w:rsid w:val="00531EDE"/>
    <w:rsid w:val="00534042"/>
    <w:rsid w:val="006945D2"/>
    <w:rsid w:val="006E6F06"/>
    <w:rsid w:val="0072493E"/>
    <w:rsid w:val="0084515E"/>
    <w:rsid w:val="008F1149"/>
    <w:rsid w:val="00987527"/>
    <w:rsid w:val="00AF7D78"/>
    <w:rsid w:val="00BC14A5"/>
    <w:rsid w:val="00CF677F"/>
    <w:rsid w:val="00D37EF6"/>
    <w:rsid w:val="00D8235C"/>
    <w:rsid w:val="00ED5A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etros.Sourmeli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1371</Words>
  <Characters>8008</Characters>
  <Application>Microsoft Office Word</Application>
  <DocSecurity>0</DocSecurity>
  <Lines>210</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2020-02-11T11:03:00Z</dcterms:created>
  <dcterms:modified xsi:type="dcterms:W3CDTF">2020-02-11T11:17:00Z</dcterms:modified>
</cp:coreProperties>
</file>