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763890" w:rsidRPr="00763890" w:rsidTr="00EC6FF0">
        <w:trPr>
          <w:trHeight w:val="611"/>
          <w:jc w:val="center"/>
        </w:trPr>
        <w:tc>
          <w:tcPr>
            <w:tcW w:w="4359" w:type="dxa"/>
          </w:tcPr>
          <w:p w:rsidR="00763890" w:rsidRPr="00AF7D78" w:rsidRDefault="00763890"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763890" w:rsidRPr="00AF7D78" w:rsidRDefault="00763890"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63890" w:rsidRPr="00763890" w:rsidRDefault="00763890" w:rsidP="0052633B">
            <w:pPr>
              <w:rPr>
                <w:rFonts w:ascii="Times New Roman" w:eastAsia="Times New Roman" w:hAnsi="Times New Roman" w:cs="Times New Roman"/>
                <w:b/>
                <w:sz w:val="24"/>
                <w:szCs w:val="24"/>
                <w:lang w:val="en-GB" w:eastAsia="en-GB"/>
              </w:rPr>
            </w:pPr>
            <w:r w:rsidRPr="00763890">
              <w:rPr>
                <w:rFonts w:ascii="Times New Roman" w:eastAsia="Times New Roman" w:hAnsi="Times New Roman" w:cs="Times New Roman"/>
                <w:b/>
                <w:sz w:val="24"/>
                <w:szCs w:val="24"/>
                <w:lang w:val="en-GB" w:eastAsia="en-GB"/>
              </w:rPr>
              <w:t>ESTAT-G-1</w:t>
            </w:r>
          </w:p>
        </w:tc>
      </w:tr>
      <w:tr w:rsidR="00763890" w:rsidRPr="00763890" w:rsidTr="00EC6FF0">
        <w:trPr>
          <w:trHeight w:val="1977"/>
          <w:jc w:val="center"/>
        </w:trPr>
        <w:tc>
          <w:tcPr>
            <w:tcW w:w="4359" w:type="dxa"/>
            <w:tcBorders>
              <w:bottom w:val="nil"/>
            </w:tcBorders>
          </w:tcPr>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Head of Unit:</w:t>
            </w:r>
          </w:p>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Email address:</w:t>
            </w:r>
          </w:p>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Telephone:</w:t>
            </w:r>
          </w:p>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Number of available posts:</w:t>
            </w:r>
          </w:p>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Suggested taking up duty:</w:t>
            </w:r>
          </w:p>
          <w:p w:rsidR="00763890" w:rsidRPr="00763890" w:rsidRDefault="00763890" w:rsidP="00AF7D78">
            <w:pPr>
              <w:tabs>
                <w:tab w:val="left" w:pos="1697"/>
              </w:tabs>
              <w:ind w:right="-1739"/>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Suggested initial duration:</w:t>
            </w:r>
          </w:p>
          <w:p w:rsidR="00763890" w:rsidRPr="00AF7D78" w:rsidRDefault="00763890" w:rsidP="00AF7D78">
            <w:pPr>
              <w:tabs>
                <w:tab w:val="left" w:pos="1697"/>
              </w:tabs>
              <w:ind w:right="-1739"/>
              <w:jc w:val="both"/>
              <w:rPr>
                <w:rFonts w:ascii="Times New Roman" w:eastAsia="Times New Roman" w:hAnsi="Times New Roman" w:cs="Times New Roman"/>
                <w:b/>
                <w:sz w:val="24"/>
                <w:szCs w:val="20"/>
                <w:lang w:eastAsia="en-GB"/>
              </w:rPr>
            </w:pPr>
            <w:r w:rsidRPr="00763890">
              <w:rPr>
                <w:rFonts w:ascii="Times New Roman" w:eastAsia="Times New Roman" w:hAnsi="Times New Roman" w:cs="Times New Roman"/>
                <w:b/>
                <w:sz w:val="24"/>
                <w:szCs w:val="24"/>
                <w:lang w:val="en-US" w:eastAsia="en-GB"/>
              </w:rPr>
              <w:t>Place of secondment:</w:t>
            </w:r>
          </w:p>
        </w:tc>
        <w:tc>
          <w:tcPr>
            <w:tcW w:w="5597" w:type="dxa"/>
          </w:tcPr>
          <w:p w:rsidR="00763890" w:rsidRPr="00763890" w:rsidRDefault="00763890" w:rsidP="0052633B">
            <w:pPr>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 xml:space="preserve">Merja </w:t>
            </w:r>
            <w:proofErr w:type="spellStart"/>
            <w:r w:rsidRPr="00763890">
              <w:rPr>
                <w:rFonts w:ascii="Times New Roman" w:eastAsia="Times New Roman" w:hAnsi="Times New Roman" w:cs="Times New Roman"/>
                <w:b/>
                <w:sz w:val="24"/>
                <w:szCs w:val="24"/>
                <w:lang w:val="en-US" w:eastAsia="en-GB"/>
              </w:rPr>
              <w:t>Rantala</w:t>
            </w:r>
            <w:proofErr w:type="spellEnd"/>
          </w:p>
          <w:p w:rsidR="00763890" w:rsidRPr="00763890" w:rsidRDefault="00763890" w:rsidP="0052633B">
            <w:pPr>
              <w:rPr>
                <w:rFonts w:ascii="Times New Roman" w:eastAsia="Times New Roman" w:hAnsi="Times New Roman" w:cs="Times New Roman"/>
                <w:b/>
                <w:sz w:val="24"/>
                <w:szCs w:val="24"/>
                <w:lang w:val="en-US" w:eastAsia="en-GB"/>
              </w:rPr>
            </w:pPr>
            <w:hyperlink r:id="rId9" w:history="1">
              <w:r w:rsidRPr="00C31298">
                <w:rPr>
                  <w:rStyle w:val="Hyperlink"/>
                  <w:rFonts w:ascii="Times New Roman" w:eastAsia="Times New Roman" w:hAnsi="Times New Roman" w:cs="Times New Roman"/>
                  <w:b/>
                  <w:sz w:val="24"/>
                  <w:szCs w:val="24"/>
                  <w:lang w:val="en-US" w:eastAsia="en-GB"/>
                </w:rPr>
                <w:t>merja.Rantala@ec.europa.eu</w:t>
              </w:r>
            </w:hyperlink>
            <w:r>
              <w:rPr>
                <w:rFonts w:ascii="Times New Roman" w:eastAsia="Times New Roman" w:hAnsi="Times New Roman" w:cs="Times New Roman"/>
                <w:b/>
                <w:sz w:val="24"/>
                <w:szCs w:val="24"/>
                <w:lang w:val="en-US" w:eastAsia="en-GB"/>
              </w:rPr>
              <w:t xml:space="preserve"> </w:t>
            </w:r>
          </w:p>
          <w:p w:rsidR="00763890" w:rsidRPr="00763890" w:rsidRDefault="00763890" w:rsidP="0052633B">
            <w:pPr>
              <w:rPr>
                <w:rFonts w:ascii="Times New Roman" w:hAnsi="Times New Roman" w:cs="Times New Roman"/>
                <w:b/>
                <w:sz w:val="24"/>
                <w:szCs w:val="24"/>
                <w:lang w:val="en-US"/>
              </w:rPr>
            </w:pPr>
            <w:r w:rsidRPr="00763890">
              <w:rPr>
                <w:rFonts w:ascii="Times New Roman" w:hAnsi="Times New Roman" w:cs="Times New Roman"/>
                <w:b/>
                <w:sz w:val="24"/>
                <w:szCs w:val="24"/>
                <w:lang w:val="en-US"/>
              </w:rPr>
              <w:t>+352 4301 36080</w:t>
            </w:r>
          </w:p>
          <w:p w:rsidR="00763890" w:rsidRPr="00763890" w:rsidRDefault="00763890" w:rsidP="0052633B">
            <w:pPr>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1</w:t>
            </w:r>
          </w:p>
          <w:p w:rsidR="00763890" w:rsidRPr="00763890" w:rsidRDefault="00763890" w:rsidP="0052633B">
            <w:pPr>
              <w:ind w:right="1317"/>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1</w:t>
            </w:r>
            <w:r w:rsidRPr="00763890">
              <w:rPr>
                <w:rFonts w:ascii="Times New Roman" w:eastAsia="Times New Roman" w:hAnsi="Times New Roman" w:cs="Times New Roman"/>
                <w:b/>
                <w:sz w:val="24"/>
                <w:szCs w:val="24"/>
                <w:vertAlign w:val="superscript"/>
                <w:lang w:val="en-US" w:eastAsia="en-GB"/>
              </w:rPr>
              <w:t>st</w:t>
            </w:r>
            <w:r>
              <w:rPr>
                <w:rFonts w:ascii="Times New Roman" w:eastAsia="Times New Roman" w:hAnsi="Times New Roman" w:cs="Times New Roman"/>
                <w:b/>
                <w:sz w:val="24"/>
                <w:szCs w:val="24"/>
                <w:lang w:val="en-US" w:eastAsia="en-GB"/>
              </w:rPr>
              <w:t xml:space="preserve"> </w:t>
            </w:r>
            <w:r w:rsidRPr="00763890">
              <w:rPr>
                <w:rFonts w:ascii="Times New Roman" w:eastAsia="Times New Roman" w:hAnsi="Times New Roman" w:cs="Times New Roman"/>
                <w:b/>
                <w:sz w:val="24"/>
                <w:szCs w:val="24"/>
                <w:lang w:val="en-US" w:eastAsia="en-GB"/>
              </w:rPr>
              <w:t xml:space="preserve">quarter 2020 </w:t>
            </w:r>
            <w:r w:rsidRPr="00763890">
              <w:rPr>
                <w:rFonts w:ascii="Times New Roman" w:eastAsia="Times New Roman" w:hAnsi="Times New Roman" w:cs="Times New Roman"/>
                <w:b/>
                <w:sz w:val="24"/>
                <w:szCs w:val="24"/>
                <w:vertAlign w:val="superscript"/>
                <w:lang w:eastAsia="en-GB"/>
              </w:rPr>
              <w:footnoteReference w:id="1"/>
            </w:r>
          </w:p>
          <w:p w:rsidR="00763890" w:rsidRPr="00763890" w:rsidRDefault="00763890" w:rsidP="0052633B">
            <w:pPr>
              <w:ind w:right="1317"/>
              <w:jc w:val="both"/>
              <w:rPr>
                <w:rFonts w:ascii="Times New Roman" w:eastAsia="Times New Roman" w:hAnsi="Times New Roman" w:cs="Times New Roman"/>
                <w:b/>
                <w:sz w:val="24"/>
                <w:szCs w:val="24"/>
                <w:lang w:val="en-US" w:eastAsia="en-GB"/>
              </w:rPr>
            </w:pPr>
            <w:r w:rsidRPr="00763890">
              <w:rPr>
                <w:rFonts w:ascii="Times New Roman" w:eastAsia="Times New Roman" w:hAnsi="Times New Roman" w:cs="Times New Roman"/>
                <w:b/>
                <w:sz w:val="24"/>
                <w:szCs w:val="24"/>
                <w:lang w:val="en-US" w:eastAsia="en-GB"/>
              </w:rPr>
              <w:t>2 years</w:t>
            </w:r>
            <w:r w:rsidRPr="00763890">
              <w:rPr>
                <w:rFonts w:ascii="Times New Roman" w:eastAsia="Times New Roman" w:hAnsi="Times New Roman" w:cs="Times New Roman"/>
                <w:b/>
                <w:sz w:val="24"/>
                <w:szCs w:val="24"/>
                <w:vertAlign w:val="superscript"/>
                <w:lang w:val="en-US" w:eastAsia="en-GB"/>
              </w:rPr>
              <w:t>1</w:t>
            </w:r>
          </w:p>
          <w:p w:rsidR="00763890" w:rsidRPr="00763890" w:rsidRDefault="00763890" w:rsidP="0052633B">
            <w:pPr>
              <w:rPr>
                <w:rFonts w:ascii="Times New Roman" w:eastAsia="Times New Roman" w:hAnsi="Times New Roman" w:cs="Times New Roman"/>
                <w:b/>
                <w:sz w:val="24"/>
                <w:szCs w:val="24"/>
                <w:lang w:val="en-US" w:eastAsia="en-GB"/>
              </w:rPr>
            </w:pPr>
            <w:r w:rsidRPr="00763890">
              <w:rPr>
                <w:rFonts w:ascii="Times New Roman" w:eastAsia="MS Minngs" w:hAnsi="Times New Roman" w:cs="Times New Roman"/>
                <w:b/>
                <w:bCs/>
                <w:sz w:val="24"/>
                <w:szCs w:val="24"/>
                <w:lang w:val="fr-FR" w:eastAsia="en-GB"/>
              </w:rPr>
              <w:sym w:font="Wingdings 2" w:char="F0A3"/>
            </w:r>
            <w:r w:rsidRPr="00763890">
              <w:rPr>
                <w:rFonts w:ascii="Times New Roman" w:eastAsia="MS Minngs" w:hAnsi="Times New Roman" w:cs="Times New Roman"/>
                <w:b/>
                <w:bCs/>
                <w:sz w:val="24"/>
                <w:szCs w:val="24"/>
                <w:lang w:val="en-US" w:eastAsia="en-GB"/>
              </w:rPr>
              <w:t xml:space="preserve"> </w:t>
            </w:r>
            <w:r w:rsidRPr="00763890">
              <w:rPr>
                <w:rFonts w:ascii="Times New Roman" w:eastAsia="Times New Roman" w:hAnsi="Times New Roman" w:cs="Times New Roman"/>
                <w:b/>
                <w:sz w:val="24"/>
                <w:szCs w:val="24"/>
                <w:lang w:val="en-US" w:eastAsia="en-GB"/>
              </w:rPr>
              <w:t xml:space="preserve">Brussels  </w:t>
            </w:r>
            <w:r w:rsidRPr="00763890">
              <w:rPr>
                <w:rFonts w:ascii="Times New Roman" w:eastAsia="MS Minngs" w:hAnsi="Times New Roman" w:cs="Times New Roman"/>
                <w:b/>
                <w:bCs/>
                <w:sz w:val="24"/>
                <w:szCs w:val="24"/>
                <w:lang w:val="fr-FR" w:eastAsia="en-GB"/>
              </w:rPr>
              <w:sym w:font="Wingdings 2" w:char="F052"/>
            </w:r>
            <w:r w:rsidRPr="00763890">
              <w:rPr>
                <w:rFonts w:ascii="Times New Roman" w:eastAsia="MS Minngs" w:hAnsi="Times New Roman" w:cs="Times New Roman"/>
                <w:b/>
                <w:bCs/>
                <w:sz w:val="24"/>
                <w:szCs w:val="24"/>
                <w:lang w:val="en-US" w:eastAsia="en-GB"/>
              </w:rPr>
              <w:t xml:space="preserve"> </w:t>
            </w:r>
            <w:r w:rsidRPr="00763890">
              <w:rPr>
                <w:rFonts w:ascii="Times New Roman" w:eastAsia="Times New Roman" w:hAnsi="Times New Roman" w:cs="Times New Roman"/>
                <w:b/>
                <w:sz w:val="24"/>
                <w:szCs w:val="24"/>
                <w:lang w:val="en-US" w:eastAsia="en-GB"/>
              </w:rPr>
              <w:t xml:space="preserve">Luxemburg  </w:t>
            </w:r>
            <w:r w:rsidRPr="00763890">
              <w:rPr>
                <w:rFonts w:ascii="Times New Roman" w:eastAsia="MS Minngs" w:hAnsi="Times New Roman" w:cs="Times New Roman"/>
                <w:b/>
                <w:bCs/>
                <w:sz w:val="24"/>
                <w:szCs w:val="24"/>
                <w:lang w:val="fr-FR" w:eastAsia="en-GB"/>
              </w:rPr>
              <w:sym w:font="Wingdings 2" w:char="F0A3"/>
            </w:r>
            <w:r w:rsidRPr="00763890">
              <w:rPr>
                <w:rFonts w:ascii="Times New Roman" w:eastAsia="MS Minngs" w:hAnsi="Times New Roman" w:cs="Times New Roman"/>
                <w:b/>
                <w:bCs/>
                <w:sz w:val="24"/>
                <w:szCs w:val="24"/>
                <w:lang w:val="en-US" w:eastAsia="en-GB"/>
              </w:rPr>
              <w:t xml:space="preserve"> Other</w:t>
            </w:r>
            <w:r w:rsidRPr="00763890">
              <w:rPr>
                <w:rFonts w:ascii="Times New Roman" w:eastAsia="Times New Roman" w:hAnsi="Times New Roman" w:cs="Times New Roman"/>
                <w:b/>
                <w:sz w:val="24"/>
                <w:szCs w:val="24"/>
                <w:lang w:val="en-US" w:eastAsia="en-GB"/>
              </w:rPr>
              <w:t>: ……………..</w:t>
            </w:r>
          </w:p>
        </w:tc>
      </w:tr>
      <w:tr w:rsidR="00763890"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763890" w:rsidRPr="00AF7D78" w:rsidRDefault="00763890"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763890" w:rsidRPr="00763890" w:rsidRDefault="00763890" w:rsidP="0052633B">
            <w:pPr>
              <w:rPr>
                <w:rFonts w:ascii="Times New Roman" w:eastAsia="Times New Roman" w:hAnsi="Times New Roman" w:cs="Times New Roman"/>
                <w:b/>
                <w:sz w:val="24"/>
                <w:szCs w:val="24"/>
                <w:lang w:val="en-US" w:eastAsia="en-GB"/>
              </w:rPr>
            </w:pPr>
            <w:r w:rsidRPr="00763890">
              <w:rPr>
                <w:rFonts w:ascii="Times New Roman" w:eastAsia="MS Minngs" w:hAnsi="Times New Roman" w:cs="Times New Roman"/>
                <w:b/>
                <w:bCs/>
                <w:sz w:val="24"/>
                <w:szCs w:val="24"/>
                <w:lang w:val="fr-FR" w:eastAsia="en-GB"/>
              </w:rPr>
              <w:sym w:font="Wingdings 2" w:char="F052"/>
            </w:r>
            <w:r w:rsidRPr="00763890">
              <w:rPr>
                <w:rFonts w:ascii="Times New Roman" w:eastAsia="Times New Roman" w:hAnsi="Times New Roman" w:cs="Times New Roman"/>
                <w:b/>
                <w:sz w:val="24"/>
                <w:szCs w:val="24"/>
                <w:lang w:val="en-US" w:eastAsia="en-GB"/>
              </w:rPr>
              <w:t xml:space="preserve">With allowances                </w:t>
            </w:r>
            <w:r w:rsidRPr="00763890">
              <w:rPr>
                <w:rFonts w:ascii="Times New Roman" w:eastAsia="MS Minngs" w:hAnsi="Times New Roman" w:cs="Times New Roman"/>
                <w:b/>
                <w:bCs/>
                <w:sz w:val="24"/>
                <w:szCs w:val="24"/>
                <w:lang w:val="fr-FR" w:eastAsia="en-GB"/>
              </w:rPr>
              <w:sym w:font="Wingdings 2" w:char="F0A3"/>
            </w:r>
            <w:r w:rsidRPr="00763890">
              <w:rPr>
                <w:rFonts w:ascii="Times New Roman" w:eastAsia="MS Minngs" w:hAnsi="Times New Roman" w:cs="Times New Roman"/>
                <w:b/>
                <w:bCs/>
                <w:sz w:val="24"/>
                <w:szCs w:val="24"/>
                <w:lang w:val="en-US" w:eastAsia="en-GB"/>
              </w:rPr>
              <w:t xml:space="preserve">   </w:t>
            </w:r>
            <w:r w:rsidRPr="00763890">
              <w:rPr>
                <w:rFonts w:ascii="Times New Roman" w:eastAsia="Times New Roman" w:hAnsi="Times New Roman" w:cs="Times New Roman"/>
                <w:b/>
                <w:bCs/>
                <w:sz w:val="24"/>
                <w:szCs w:val="24"/>
                <w:lang w:val="en-US" w:eastAsia="en-GB"/>
              </w:rPr>
              <w:t> </w:t>
            </w:r>
            <w:r w:rsidRPr="00763890">
              <w:rPr>
                <w:rFonts w:ascii="Times New Roman" w:eastAsia="MS Minngs" w:hAnsi="Times New Roman" w:cs="Times New Roman"/>
                <w:b/>
                <w:bCs/>
                <w:sz w:val="24"/>
                <w:szCs w:val="24"/>
                <w:lang w:val="en-US" w:eastAsia="en-GB"/>
              </w:rPr>
              <w:t xml:space="preserve"> </w:t>
            </w:r>
            <w:r w:rsidRPr="00763890">
              <w:rPr>
                <w:rFonts w:ascii="Times New Roman" w:eastAsia="Times New Roman" w:hAnsi="Times New Roman" w:cs="Times New Roman"/>
                <w:b/>
                <w:sz w:val="24"/>
                <w:szCs w:val="24"/>
                <w:lang w:val="en-US" w:eastAsia="en-GB"/>
              </w:rPr>
              <w:t>Cost-free</w:t>
            </w:r>
          </w:p>
        </w:tc>
      </w:tr>
      <w:tr w:rsidR="00AF7D78" w:rsidRPr="0076389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763890"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763890">
        <w:rPr>
          <w:rFonts w:ascii="Times New Roman" w:eastAsia="Times New Roman" w:hAnsi="Times New Roman" w:cs="Times New Roman"/>
          <w:b/>
          <w:sz w:val="24"/>
          <w:szCs w:val="20"/>
          <w:lang w:val="en-US" w:eastAsia="en-GB"/>
        </w:rPr>
        <w:t>1.</w:t>
      </w:r>
      <w:r w:rsidRPr="00763890">
        <w:rPr>
          <w:rFonts w:ascii="Times New Roman" w:eastAsia="Times New Roman" w:hAnsi="Times New Roman" w:cs="Times New Roman"/>
          <w:b/>
          <w:sz w:val="24"/>
          <w:szCs w:val="20"/>
          <w:lang w:val="en-US" w:eastAsia="en-GB"/>
        </w:rPr>
        <w:tab/>
      </w:r>
      <w:r w:rsidRPr="00763890">
        <w:rPr>
          <w:rFonts w:ascii="Times New Roman" w:eastAsia="Times New Roman" w:hAnsi="Times New Roman" w:cs="Times New Roman"/>
          <w:b/>
          <w:sz w:val="24"/>
          <w:szCs w:val="20"/>
          <w:u w:val="single"/>
          <w:lang w:val="en-US" w:eastAsia="en-GB"/>
        </w:rPr>
        <w:t>Nature of the tasks</w:t>
      </w:r>
    </w:p>
    <w:p w:rsidR="00AF7D78" w:rsidRPr="00763890" w:rsidRDefault="00AF7D78" w:rsidP="00AF7D78">
      <w:pPr>
        <w:spacing w:after="0" w:line="240" w:lineRule="auto"/>
        <w:rPr>
          <w:rFonts w:ascii="Times New Roman" w:eastAsia="Times New Roman" w:hAnsi="Times New Roman" w:cs="Times New Roman"/>
          <w:sz w:val="24"/>
          <w:szCs w:val="20"/>
          <w:lang w:val="en-US" w:eastAsia="en-GB"/>
        </w:rPr>
      </w:pPr>
    </w:p>
    <w:p w:rsidR="00763890" w:rsidRPr="001A4911" w:rsidRDefault="00763890" w:rsidP="00763890">
      <w:pPr>
        <w:numPr>
          <w:ilvl w:val="12"/>
          <w:numId w:val="0"/>
        </w:numPr>
        <w:spacing w:before="120" w:after="120" w:line="240" w:lineRule="auto"/>
        <w:ind w:left="426"/>
        <w:jc w:val="both"/>
        <w:rPr>
          <w:rFonts w:ascii="Times New Roman" w:hAnsi="Times New Roman"/>
          <w:lang w:val="en-IE"/>
        </w:rPr>
      </w:pPr>
      <w:r w:rsidRPr="001A4911">
        <w:rPr>
          <w:rFonts w:ascii="Times New Roman" w:eastAsia="Times New Roman" w:hAnsi="Times New Roman"/>
          <w:lang w:val="en-IE" w:eastAsia="en-GB"/>
        </w:rPr>
        <w:t>Eurostat Unit G1's mission is to design and co-ordinate the infrastructure development for modernised European business statistics</w:t>
      </w:r>
      <w:r w:rsidRPr="001A4911">
        <w:rPr>
          <w:rFonts w:ascii="Times New Roman" w:hAnsi="Times New Roman"/>
          <w:color w:val="000000"/>
          <w:lang w:val="en-IE" w:eastAsia="en-GB"/>
        </w:rPr>
        <w:t xml:space="preserve"> ensuring a well-functioning system of Statistical Business Registers (SBRs).</w:t>
      </w:r>
    </w:p>
    <w:p w:rsidR="00763890" w:rsidRPr="001A4911" w:rsidRDefault="00763890" w:rsidP="00763890">
      <w:pPr>
        <w:numPr>
          <w:ilvl w:val="12"/>
          <w:numId w:val="0"/>
        </w:numPr>
        <w:spacing w:after="120" w:line="240" w:lineRule="auto"/>
        <w:ind w:left="426"/>
        <w:jc w:val="both"/>
        <w:rPr>
          <w:rFonts w:ascii="Times New Roman" w:hAnsi="Times New Roman"/>
          <w:lang w:val="en-IE"/>
        </w:rPr>
      </w:pPr>
      <w:r w:rsidRPr="001A4911">
        <w:rPr>
          <w:rFonts w:ascii="Times New Roman" w:hAnsi="Times New Roman"/>
          <w:lang w:val="en-IE"/>
        </w:rPr>
        <w:t xml:space="preserve">One of the teams of the unit works on the system of European Statistical Business Registers (ESBRs), covering the </w:t>
      </w:r>
      <w:proofErr w:type="spellStart"/>
      <w:r w:rsidRPr="001A4911">
        <w:rPr>
          <w:rFonts w:ascii="Times New Roman" w:hAnsi="Times New Roman"/>
          <w:lang w:val="en-IE"/>
        </w:rPr>
        <w:t>EuroGroups</w:t>
      </w:r>
      <w:proofErr w:type="spellEnd"/>
      <w:r w:rsidRPr="001A4911">
        <w:rPr>
          <w:rFonts w:ascii="Times New Roman" w:hAnsi="Times New Roman"/>
          <w:lang w:val="en-IE"/>
        </w:rPr>
        <w:t xml:space="preserve"> Register (EGR), which contains information on the multinational enterprise groups operating in Europe, as well as the national Statistical Business Registers (SBRs) within the European Statistical System (ESS). The team is leading the activities to implement the common goals for the further development of the system as developed by the ESBRS VIP project and to respond to the increasing needs for high quality information on multinational enterprise operating in Europe. It also runs the yearly EGR production cycle and ensures the production of the EGR global frame, which can be used by the Member States in the production of cross-border statistics, such as foreign affiliate statistics. The EGR is one of the key features supporting the production of statistics on globalisation in Europe, both on national and European level. </w:t>
      </w:r>
    </w:p>
    <w:p w:rsidR="00763890" w:rsidRPr="001A4911" w:rsidRDefault="00763890" w:rsidP="00763890">
      <w:pPr>
        <w:numPr>
          <w:ilvl w:val="12"/>
          <w:numId w:val="0"/>
        </w:numPr>
        <w:spacing w:after="120" w:line="240" w:lineRule="auto"/>
        <w:ind w:left="426"/>
        <w:jc w:val="both"/>
        <w:rPr>
          <w:rFonts w:ascii="Times New Roman" w:hAnsi="Times New Roman"/>
          <w:color w:val="000000"/>
          <w:lang w:val="en-IE" w:eastAsia="en-GB"/>
        </w:rPr>
      </w:pPr>
      <w:r w:rsidRPr="001A4911">
        <w:rPr>
          <w:rFonts w:ascii="Times New Roman" w:hAnsi="Times New Roman"/>
          <w:lang w:val="en-IE"/>
        </w:rPr>
        <w:t xml:space="preserve">Important tasks of the team are the monitoring of national SBRs compliance with the existing and future legal framework and the management of the </w:t>
      </w:r>
      <w:r w:rsidRPr="001A4911">
        <w:rPr>
          <w:rFonts w:ascii="Times New Roman" w:hAnsi="Times New Roman"/>
          <w:color w:val="000000"/>
          <w:lang w:val="en-IE" w:eastAsia="en-GB"/>
        </w:rPr>
        <w:t>Data Quality Program (DQP) for the system of European Statistical Business Registers (ESBRs). The work should improve the consistency and comparability of national and international processes and outputs produced by the European network of SBRs. Ensuring high quality input from the national SBRs to the EGR is one of the key aspects in providing a high quality EGR for the use of the ESS. The team is also responsible for the provision of up-to-date methodological guidance for the ESBRs.</w:t>
      </w:r>
    </w:p>
    <w:p w:rsidR="00763890" w:rsidRPr="001A4911" w:rsidRDefault="00763890" w:rsidP="00763890">
      <w:pPr>
        <w:numPr>
          <w:ilvl w:val="12"/>
          <w:numId w:val="0"/>
        </w:numPr>
        <w:spacing w:after="120" w:line="240" w:lineRule="auto"/>
        <w:ind w:left="426"/>
        <w:jc w:val="both"/>
        <w:rPr>
          <w:rFonts w:ascii="Times New Roman" w:hAnsi="Times New Roman"/>
          <w:lang w:val="en-IE"/>
        </w:rPr>
      </w:pPr>
      <w:r w:rsidRPr="001A4911">
        <w:rPr>
          <w:rFonts w:ascii="Times New Roman" w:hAnsi="Times New Roman"/>
          <w:lang w:val="en-IE"/>
        </w:rPr>
        <w:t>We are looking for a new colleague who should have been working for some years in the area of business registers, statistical units and related issues. She/he should preferably have gained experience – in participating at national level - in the yearly EGR production cycle which finally creates the frame populations.</w:t>
      </w:r>
    </w:p>
    <w:p w:rsidR="00763890" w:rsidRPr="001A4911" w:rsidRDefault="00763890" w:rsidP="00763890">
      <w:pPr>
        <w:spacing w:after="0" w:line="240" w:lineRule="auto"/>
        <w:ind w:left="426"/>
        <w:jc w:val="both"/>
        <w:rPr>
          <w:rFonts w:ascii="Times New Roman" w:eastAsia="Times New Roman" w:hAnsi="Times New Roman" w:cs="Times New Roman"/>
          <w:lang w:val="en-IE" w:eastAsia="en-GB"/>
        </w:rPr>
      </w:pPr>
      <w:r w:rsidRPr="001A4911">
        <w:rPr>
          <w:rFonts w:ascii="Times New Roman" w:hAnsi="Times New Roman"/>
          <w:lang w:val="en-IE"/>
        </w:rPr>
        <w:lastRenderedPageBreak/>
        <w:t xml:space="preserve">Depending on the knowledge, the expert will mainly deal with the quality management of </w:t>
      </w:r>
      <w:r w:rsidRPr="001A4911">
        <w:rPr>
          <w:rFonts w:ascii="Times New Roman" w:hAnsi="Times New Roman"/>
          <w:color w:val="000000"/>
          <w:lang w:val="en-IE" w:eastAsia="en-GB"/>
        </w:rPr>
        <w:t xml:space="preserve">the system of European SBRs, </w:t>
      </w:r>
      <w:r w:rsidRPr="001A4911">
        <w:rPr>
          <w:rFonts w:ascii="Times New Roman" w:hAnsi="Times New Roman"/>
          <w:lang w:val="en-IE"/>
        </w:rPr>
        <w:t xml:space="preserve">updating the methodological guidance and monitoring the compliance of the national SBRs and. He/she will also actively contribute to the EGR production cycle, the development of the EGR and the ESBRs as a whole. She/he will contribute to the discussions with Member States in the Working Groups on Business Registers and related sub-groups or task forces. He/she will also need to communicate with national SBRs producers and EGR users. Furthermore he/she needs to support the implementation of the future legislative provisions on SBRs according to the upcoming Framework Regulation on Business Statistics (FRIBS). He/she will support the Team Leader and the Head of Unit G1, by advising on strategic and tactical issues making use of the know-how acquired on the national level.  </w:t>
      </w:r>
    </w:p>
    <w:p w:rsidR="00AF7D78" w:rsidRPr="00763890" w:rsidRDefault="00AF7D78" w:rsidP="00763890">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763890">
        <w:rPr>
          <w:rFonts w:ascii="Times New Roman" w:eastAsia="Times New Roman" w:hAnsi="Times New Roman" w:cs="Times New Roman"/>
          <w:lang w:val="en-US" w:eastAsia="en-GB"/>
        </w:rPr>
        <w:t xml:space="preserve"> S</w:t>
      </w:r>
      <w:r w:rsidR="00763890" w:rsidRPr="00763890">
        <w:rPr>
          <w:rFonts w:ascii="Times New Roman" w:eastAsia="Times New Roman" w:hAnsi="Times New Roman" w:cs="Times New Roman"/>
          <w:lang w:val="en-US" w:eastAsia="en-GB"/>
        </w:rPr>
        <w:t>tatistics or another relevant domain</w:t>
      </w:r>
      <w:r w:rsidR="0076389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763890" w:rsidRDefault="0076389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63890">
        <w:rPr>
          <w:rFonts w:ascii="Times New Roman" w:eastAsia="Times New Roman" w:hAnsi="Times New Roman" w:cs="Times New Roman"/>
          <w:lang w:val="en-US" w:eastAsia="en-GB"/>
        </w:rPr>
        <w:t>Well documented statistical experience in working with business registers in a national statistical office is required. Experience in other fields of business statistics and or national accounts is an asset</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763890" w:rsidRDefault="0076389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63890">
        <w:rPr>
          <w:rFonts w:ascii="Times New Roman" w:eastAsia="Times New Roman" w:hAnsi="Times New Roman" w:cs="Times New Roman"/>
          <w:lang w:val="en-US" w:eastAsia="en-GB"/>
        </w:rPr>
        <w:t>Very good knowledge of English, both oral and written</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6389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763890" w:rsidRPr="006C5664" w:rsidRDefault="00763890"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763890"/>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7638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7638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erja.Rantal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8354</Characters>
  <Application>Microsoft Office Word</Application>
  <DocSecurity>0</DocSecurity>
  <Lines>278</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2019-11-11T11:49:00Z</dcterms:created>
  <dcterms:modified xsi:type="dcterms:W3CDTF">2019-11-11T11:49:00Z</dcterms:modified>
</cp:coreProperties>
</file>