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25DC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DBE390" w:rsidR="00B65513" w:rsidRPr="0007110E" w:rsidRDefault="00C016C9" w:rsidP="00E82667">
                <w:pPr>
                  <w:tabs>
                    <w:tab w:val="left" w:pos="426"/>
                  </w:tabs>
                  <w:spacing w:before="120"/>
                  <w:rPr>
                    <w:bCs/>
                    <w:lang w:val="en-IE" w:eastAsia="en-GB"/>
                  </w:rPr>
                </w:pPr>
                <w:r>
                  <w:rPr>
                    <w:bCs/>
                    <w:lang w:val="en-IE" w:eastAsia="en-GB"/>
                  </w:rPr>
                  <w:t>DG ECHO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26948C1" w:rsidR="00D96984" w:rsidRPr="0007110E" w:rsidRDefault="00C016C9" w:rsidP="00E82667">
                <w:pPr>
                  <w:tabs>
                    <w:tab w:val="left" w:pos="426"/>
                  </w:tabs>
                  <w:spacing w:before="120"/>
                  <w:rPr>
                    <w:bCs/>
                    <w:lang w:val="en-IE" w:eastAsia="en-GB"/>
                  </w:rPr>
                </w:pPr>
                <w:r>
                  <w:rPr>
                    <w:bCs/>
                    <w:lang w:val="en-IE" w:eastAsia="en-GB"/>
                  </w:rPr>
                  <w:t>326385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5D797FE" w:rsidR="00E21DBD" w:rsidRPr="0007110E" w:rsidRDefault="00C016C9" w:rsidP="00E82667">
                <w:pPr>
                  <w:tabs>
                    <w:tab w:val="left" w:pos="426"/>
                  </w:tabs>
                  <w:spacing w:before="120"/>
                  <w:rPr>
                    <w:bCs/>
                    <w:lang w:val="en-IE" w:eastAsia="en-GB"/>
                  </w:rPr>
                </w:pPr>
                <w:r>
                  <w:rPr>
                    <w:bCs/>
                    <w:lang w:val="en-IE" w:eastAsia="en-GB"/>
                  </w:rPr>
                  <w:t>Arnaud DUPONT</w:t>
                </w:r>
              </w:p>
            </w:sdtContent>
          </w:sdt>
          <w:p w14:paraId="34CF737A" w14:textId="473E2B77" w:rsidR="00E21DBD" w:rsidRPr="0007110E" w:rsidRDefault="00725DC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9823F3">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016C9">
                  <w:rPr>
                    <w:bCs/>
                    <w:lang w:val="en-IE" w:eastAsia="en-GB"/>
                  </w:rPr>
                  <w:t>2025</w:t>
                </w:r>
              </w:sdtContent>
            </w:sdt>
          </w:p>
          <w:p w14:paraId="158DD156" w14:textId="579D9B72" w:rsidR="00E21DBD" w:rsidRPr="0007110E" w:rsidRDefault="00725DC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016C9">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016C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8A6462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EF051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25DC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25DC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25DC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47717E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7DDBE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5E0936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725DCC">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783B2BFB" w14:textId="5EDCEFD2" w:rsidR="00C016C9" w:rsidRDefault="00146AF1" w:rsidP="00C016C9">
      <w:pPr>
        <w:pStyle w:val="BodyText"/>
        <w:spacing w:before="69"/>
        <w:ind w:right="229"/>
      </w:pPr>
      <w:r>
        <w:rPr>
          <w:lang w:eastAsia="en-GB"/>
        </w:rPr>
        <w:t xml:space="preserve">DG ECHO </w:t>
      </w:r>
      <w:r w:rsidR="00C016C9">
        <w:t xml:space="preserve">B1 leads on strategic questions regarding both humanitarian aid and civil protection. It facilitates the alignment of DG ECHO policy work with the Commission overall </w:t>
      </w:r>
      <w:r w:rsidR="00C016C9">
        <w:lastRenderedPageBreak/>
        <w:t>strategy,</w:t>
      </w:r>
      <w:r w:rsidR="00C016C9">
        <w:rPr>
          <w:spacing w:val="-3"/>
        </w:rPr>
        <w:t xml:space="preserve"> </w:t>
      </w:r>
      <w:r w:rsidR="00C016C9">
        <w:t>work</w:t>
      </w:r>
      <w:r w:rsidR="00C016C9">
        <w:rPr>
          <w:spacing w:val="-3"/>
        </w:rPr>
        <w:t xml:space="preserve"> </w:t>
      </w:r>
      <w:r w:rsidR="00C016C9">
        <w:t>program</w:t>
      </w:r>
      <w:r w:rsidR="00C016C9">
        <w:rPr>
          <w:spacing w:val="-3"/>
        </w:rPr>
        <w:t xml:space="preserve"> </w:t>
      </w:r>
      <w:r w:rsidR="00C016C9">
        <w:t>and</w:t>
      </w:r>
      <w:r w:rsidR="00C016C9">
        <w:rPr>
          <w:spacing w:val="-3"/>
        </w:rPr>
        <w:t xml:space="preserve"> </w:t>
      </w:r>
      <w:r w:rsidR="00C016C9">
        <w:t>political</w:t>
      </w:r>
      <w:r w:rsidR="00C016C9">
        <w:rPr>
          <w:spacing w:val="-3"/>
        </w:rPr>
        <w:t xml:space="preserve"> </w:t>
      </w:r>
      <w:r w:rsidR="00C016C9">
        <w:t>agenda.</w:t>
      </w:r>
      <w:r w:rsidR="00C016C9">
        <w:rPr>
          <w:spacing w:val="-3"/>
        </w:rPr>
        <w:t xml:space="preserve"> </w:t>
      </w:r>
      <w:r w:rsidR="00C016C9">
        <w:t>The</w:t>
      </w:r>
      <w:r w:rsidR="00C016C9">
        <w:rPr>
          <w:spacing w:val="-3"/>
        </w:rPr>
        <w:t xml:space="preserve"> </w:t>
      </w:r>
      <w:r w:rsidR="00C016C9">
        <w:t>unit</w:t>
      </w:r>
      <w:r w:rsidR="00C016C9">
        <w:rPr>
          <w:spacing w:val="-3"/>
        </w:rPr>
        <w:t xml:space="preserve"> </w:t>
      </w:r>
      <w:r w:rsidR="00C016C9">
        <w:t>also</w:t>
      </w:r>
      <w:r w:rsidR="00C016C9">
        <w:rPr>
          <w:spacing w:val="-3"/>
        </w:rPr>
        <w:t xml:space="preserve"> </w:t>
      </w:r>
      <w:r w:rsidR="00C016C9">
        <w:t>ensures</w:t>
      </w:r>
      <w:r w:rsidR="00C016C9">
        <w:rPr>
          <w:spacing w:val="-3"/>
        </w:rPr>
        <w:t xml:space="preserve"> </w:t>
      </w:r>
      <w:r w:rsidR="00C016C9">
        <w:t>the</w:t>
      </w:r>
      <w:r w:rsidR="00C016C9">
        <w:rPr>
          <w:spacing w:val="-3"/>
        </w:rPr>
        <w:t xml:space="preserve"> </w:t>
      </w:r>
      <w:r w:rsidR="00C016C9">
        <w:t>overall</w:t>
      </w:r>
      <w:r w:rsidR="00C016C9">
        <w:rPr>
          <w:spacing w:val="-3"/>
        </w:rPr>
        <w:t xml:space="preserve"> </w:t>
      </w:r>
      <w:r w:rsidR="00C016C9">
        <w:t>consistency</w:t>
      </w:r>
      <w:r w:rsidR="00C016C9">
        <w:rPr>
          <w:spacing w:val="-3"/>
        </w:rPr>
        <w:t xml:space="preserve"> </w:t>
      </w:r>
      <w:r w:rsidR="00C016C9">
        <w:t>of policy development and strategy within DG ECHO with respect to civil protection and humanitarian aid and seeks synergies and complementarity between the different actors.</w:t>
      </w:r>
    </w:p>
    <w:p w14:paraId="11133053" w14:textId="77777777" w:rsidR="00C016C9" w:rsidRDefault="00C016C9" w:rsidP="00146AF1">
      <w:pPr>
        <w:pStyle w:val="BodyText"/>
        <w:spacing w:before="6"/>
        <w:ind w:right="229"/>
      </w:pPr>
      <w:r>
        <w:t>With regard to international relations on civil protection, disaster risk reduction and humanitarian aid, the unit represents DG ECHO in relevant international and multilateral fora such as the UN, including</w:t>
      </w:r>
      <w:r>
        <w:rPr>
          <w:spacing w:val="-3"/>
        </w:rPr>
        <w:t xml:space="preserve"> </w:t>
      </w:r>
      <w:r>
        <w:t>through</w:t>
      </w:r>
      <w:r>
        <w:rPr>
          <w:spacing w:val="-2"/>
        </w:rPr>
        <w:t xml:space="preserve"> </w:t>
      </w:r>
      <w:r>
        <w:t>its</w:t>
      </w:r>
      <w:r>
        <w:rPr>
          <w:spacing w:val="-2"/>
        </w:rPr>
        <w:t xml:space="preserve"> </w:t>
      </w:r>
      <w:r>
        <w:t>staff</w:t>
      </w:r>
      <w:r>
        <w:rPr>
          <w:spacing w:val="-2"/>
        </w:rPr>
        <w:t xml:space="preserve"> </w:t>
      </w:r>
      <w:r>
        <w:t>members</w:t>
      </w:r>
      <w:r>
        <w:rPr>
          <w:spacing w:val="-2"/>
        </w:rPr>
        <w:t xml:space="preserve"> </w:t>
      </w:r>
      <w:r>
        <w:t>in</w:t>
      </w:r>
      <w:r>
        <w:rPr>
          <w:spacing w:val="-2"/>
        </w:rPr>
        <w:t xml:space="preserve"> </w:t>
      </w:r>
      <w:r>
        <w:t>the</w:t>
      </w:r>
      <w:r>
        <w:rPr>
          <w:spacing w:val="-2"/>
        </w:rPr>
        <w:t xml:space="preserve"> </w:t>
      </w:r>
      <w:r>
        <w:t>EU</w:t>
      </w:r>
      <w:r>
        <w:rPr>
          <w:spacing w:val="-2"/>
        </w:rPr>
        <w:t xml:space="preserve"> </w:t>
      </w:r>
      <w:r>
        <w:t>Delegations</w:t>
      </w:r>
      <w:r>
        <w:rPr>
          <w:spacing w:val="-2"/>
        </w:rPr>
        <w:t xml:space="preserve"> </w:t>
      </w:r>
      <w:r>
        <w:t>in</w:t>
      </w:r>
      <w:r>
        <w:rPr>
          <w:spacing w:val="-2"/>
        </w:rPr>
        <w:t xml:space="preserve"> </w:t>
      </w:r>
      <w:r>
        <w:t>Geneva,</w:t>
      </w:r>
      <w:r>
        <w:rPr>
          <w:spacing w:val="-2"/>
        </w:rPr>
        <w:t xml:space="preserve"> </w:t>
      </w:r>
      <w:r>
        <w:t>New</w:t>
      </w:r>
      <w:r>
        <w:rPr>
          <w:spacing w:val="-2"/>
        </w:rPr>
        <w:t xml:space="preserve"> </w:t>
      </w:r>
      <w:r>
        <w:t>York</w:t>
      </w:r>
      <w:r>
        <w:rPr>
          <w:spacing w:val="-2"/>
        </w:rPr>
        <w:t xml:space="preserve"> </w:t>
      </w:r>
      <w:r>
        <w:t>and</w:t>
      </w:r>
      <w:r>
        <w:rPr>
          <w:spacing w:val="-2"/>
        </w:rPr>
        <w:t xml:space="preserve"> </w:t>
      </w:r>
      <w:r>
        <w:t>Washington DC. It also coordinates the DG's overall relationship with the UN system as well as the World Bank,</w:t>
      </w:r>
      <w:r>
        <w:rPr>
          <w:spacing w:val="-3"/>
        </w:rPr>
        <w:t xml:space="preserve"> </w:t>
      </w:r>
      <w:r>
        <w:t>OECD</w:t>
      </w:r>
      <w:r>
        <w:rPr>
          <w:spacing w:val="-3"/>
        </w:rPr>
        <w:t xml:space="preserve"> </w:t>
      </w:r>
      <w:r>
        <w:t>and</w:t>
      </w:r>
      <w:r>
        <w:rPr>
          <w:spacing w:val="-3"/>
        </w:rPr>
        <w:t xml:space="preserve"> </w:t>
      </w:r>
      <w:r>
        <w:t>other</w:t>
      </w:r>
      <w:r>
        <w:rPr>
          <w:spacing w:val="-3"/>
        </w:rPr>
        <w:t xml:space="preserve"> </w:t>
      </w:r>
      <w:r>
        <w:t>international</w:t>
      </w:r>
      <w:r>
        <w:rPr>
          <w:spacing w:val="-3"/>
        </w:rPr>
        <w:t xml:space="preserve"> </w:t>
      </w:r>
      <w:r>
        <w:t>financial</w:t>
      </w:r>
      <w:r>
        <w:rPr>
          <w:spacing w:val="-3"/>
        </w:rPr>
        <w:t xml:space="preserve"> </w:t>
      </w:r>
      <w:r>
        <w:t>institutions.</w:t>
      </w:r>
      <w:r>
        <w:rPr>
          <w:spacing w:val="-3"/>
        </w:rPr>
        <w:t xml:space="preserve"> </w:t>
      </w:r>
      <w:r>
        <w:t>The</w:t>
      </w:r>
      <w:r>
        <w:rPr>
          <w:spacing w:val="-3"/>
        </w:rPr>
        <w:t xml:space="preserve"> </w:t>
      </w:r>
      <w:r>
        <w:t>unit</w:t>
      </w:r>
      <w:r>
        <w:rPr>
          <w:spacing w:val="-3"/>
        </w:rPr>
        <w:t xml:space="preserve"> </w:t>
      </w:r>
      <w:r>
        <w:t>coordinates</w:t>
      </w:r>
      <w:r>
        <w:rPr>
          <w:spacing w:val="-3"/>
        </w:rPr>
        <w:t xml:space="preserve"> </w:t>
      </w:r>
      <w:r>
        <w:t>the</w:t>
      </w:r>
      <w:r>
        <w:rPr>
          <w:spacing w:val="-3"/>
        </w:rPr>
        <w:t xml:space="preserve"> </w:t>
      </w:r>
      <w:r>
        <w:t>DG's</w:t>
      </w:r>
      <w:r>
        <w:rPr>
          <w:spacing w:val="-3"/>
        </w:rPr>
        <w:t xml:space="preserve"> </w:t>
      </w:r>
      <w:r>
        <w:t>strategic relationships with OCHA and IFRC. The unit is also responsible for the G7/G20 as well as bilateral relations, notably with AU, CA, CN, IS, JP, KR, NO, NZ, UK, US, and coordinates the overall relations with UCPM participating states as well as international cooperation on civil protection and disaster risk reduction.</w:t>
      </w:r>
    </w:p>
    <w:p w14:paraId="16D76776" w14:textId="77777777" w:rsidR="00146AF1" w:rsidRDefault="00146AF1" w:rsidP="00146AF1">
      <w:pPr>
        <w:pStyle w:val="BodyText"/>
        <w:spacing w:before="11"/>
        <w:ind w:right="229"/>
      </w:pPr>
    </w:p>
    <w:p w14:paraId="2831A89C" w14:textId="41648B03" w:rsidR="00C016C9" w:rsidRDefault="00C016C9" w:rsidP="00146AF1">
      <w:pPr>
        <w:pStyle w:val="BodyText"/>
        <w:spacing w:before="11"/>
        <w:ind w:right="229"/>
      </w:pPr>
      <w:r>
        <w:t>The unit is responsible for DG ECHO’s interinstitutional relations (EU Member States, Presidency, Council, European Parliament) including through the coordination of the relevant Council working parties and committees (Working Party on Humanitarian Aid and food Aid (COHAFA), Humanitarian Aid Committee (HAC), Council working party on Civil Protection (PROCIV), Civil Protection Committee (CPC)) and ensures DG ECHO participation at the pre- GRI.</w:t>
      </w:r>
      <w:r>
        <w:rPr>
          <w:spacing w:val="-3"/>
        </w:rPr>
        <w:t xml:space="preserve"> </w:t>
      </w:r>
      <w:r>
        <w:t>The</w:t>
      </w:r>
      <w:r>
        <w:rPr>
          <w:spacing w:val="-3"/>
        </w:rPr>
        <w:t xml:space="preserve"> </w:t>
      </w:r>
      <w:r>
        <w:t>unit</w:t>
      </w:r>
      <w:r>
        <w:rPr>
          <w:spacing w:val="-3"/>
        </w:rPr>
        <w:t xml:space="preserve"> </w:t>
      </w:r>
      <w:r>
        <w:t>acts</w:t>
      </w:r>
      <w:r>
        <w:rPr>
          <w:spacing w:val="-3"/>
        </w:rPr>
        <w:t xml:space="preserve"> </w:t>
      </w:r>
      <w:r>
        <w:t>as</w:t>
      </w:r>
      <w:r>
        <w:rPr>
          <w:spacing w:val="-3"/>
        </w:rPr>
        <w:t xml:space="preserve"> </w:t>
      </w:r>
      <w:r>
        <w:t>DG</w:t>
      </w:r>
      <w:r>
        <w:rPr>
          <w:spacing w:val="-3"/>
        </w:rPr>
        <w:t xml:space="preserve"> </w:t>
      </w:r>
      <w:r>
        <w:t>ECHO</w:t>
      </w:r>
      <w:r>
        <w:rPr>
          <w:spacing w:val="-3"/>
        </w:rPr>
        <w:t xml:space="preserve"> </w:t>
      </w:r>
      <w:r>
        <w:t>focal</w:t>
      </w:r>
      <w:r>
        <w:rPr>
          <w:spacing w:val="-3"/>
        </w:rPr>
        <w:t xml:space="preserve"> </w:t>
      </w:r>
      <w:r>
        <w:t>point</w:t>
      </w:r>
      <w:r>
        <w:rPr>
          <w:spacing w:val="-3"/>
        </w:rPr>
        <w:t xml:space="preserve"> </w:t>
      </w:r>
      <w:r>
        <w:t>for</w:t>
      </w:r>
      <w:r>
        <w:rPr>
          <w:spacing w:val="-3"/>
        </w:rPr>
        <w:t xml:space="preserve"> </w:t>
      </w:r>
      <w:r>
        <w:t>relations</w:t>
      </w:r>
      <w:r>
        <w:rPr>
          <w:spacing w:val="-3"/>
        </w:rPr>
        <w:t xml:space="preserve"> </w:t>
      </w:r>
      <w:r>
        <w:t>with</w:t>
      </w:r>
      <w:r>
        <w:rPr>
          <w:spacing w:val="-3"/>
        </w:rPr>
        <w:t xml:space="preserve"> </w:t>
      </w:r>
      <w:r>
        <w:t>the</w:t>
      </w:r>
      <w:r>
        <w:rPr>
          <w:spacing w:val="-3"/>
        </w:rPr>
        <w:t xml:space="preserve"> </w:t>
      </w:r>
      <w:r>
        <w:t>EEAS</w:t>
      </w:r>
      <w:r>
        <w:rPr>
          <w:spacing w:val="-3"/>
        </w:rPr>
        <w:t xml:space="preserve"> </w:t>
      </w:r>
      <w:r>
        <w:t>and</w:t>
      </w:r>
      <w:r>
        <w:rPr>
          <w:spacing w:val="-3"/>
        </w:rPr>
        <w:t xml:space="preserve"> </w:t>
      </w:r>
      <w:r>
        <w:t>the</w:t>
      </w:r>
      <w:r>
        <w:rPr>
          <w:spacing w:val="-3"/>
        </w:rPr>
        <w:t xml:space="preserve"> </w:t>
      </w:r>
      <w:r>
        <w:t>Commissioners' Group on a Stronger Europe (CGSE) as well as for the External Action Coordination Group (EXCO). The unit is also in charge of the civil protection annual work program.</w:t>
      </w:r>
    </w:p>
    <w:p w14:paraId="69459484" w14:textId="77777777" w:rsidR="002B3CBF" w:rsidRDefault="002B3CBF" w:rsidP="001A6017">
      <w:pPr>
        <w:pStyle w:val="ListNumber"/>
        <w:numPr>
          <w:ilvl w:val="0"/>
          <w:numId w:val="0"/>
        </w:numPr>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2911E9B" w14:textId="58FEDF33" w:rsidR="001F010B" w:rsidRPr="00162F38" w:rsidRDefault="009635AC" w:rsidP="00162F38">
          <w:pPr>
            <w:rPr>
              <w:lang w:val="en-US" w:eastAsia="en-GB"/>
            </w:rPr>
          </w:pPr>
          <w:r>
            <w:rPr>
              <w:lang w:val="en-US" w:eastAsia="en-GB"/>
            </w:rPr>
            <w:t xml:space="preserve">An interesting </w:t>
          </w:r>
          <w:r w:rsidR="00146AF1">
            <w:rPr>
              <w:lang w:val="en-US" w:eastAsia="en-GB"/>
            </w:rPr>
            <w:t>SNE position within the inter-institutional team</w:t>
          </w:r>
          <w:r w:rsidR="00DA2E53">
            <w:rPr>
              <w:lang w:val="en-US" w:eastAsia="en-GB"/>
            </w:rPr>
            <w:t xml:space="preserve"> of the unit</w:t>
          </w:r>
          <w:r w:rsidR="00146AF1">
            <w:rPr>
              <w:lang w:val="en-US" w:eastAsia="en-GB"/>
            </w:rPr>
            <w:t>.</w:t>
          </w:r>
          <w:r>
            <w:rPr>
              <w:lang w:val="en-US" w:eastAsia="en-GB"/>
            </w:rPr>
            <w:t xml:space="preserve"> The successful candidate </w:t>
          </w:r>
          <w:r w:rsidR="00490341">
            <w:rPr>
              <w:lang w:val="en-US" w:eastAsia="en-GB"/>
            </w:rPr>
            <w:t xml:space="preserve">will assist </w:t>
          </w:r>
          <w:r w:rsidR="003D3085">
            <w:rPr>
              <w:lang w:val="en-US" w:eastAsia="en-GB"/>
            </w:rPr>
            <w:t xml:space="preserve">the team within the whole range of inter-institutional activities mostly in the area of civil protection. </w:t>
          </w:r>
          <w:r w:rsidR="00EF6599">
            <w:rPr>
              <w:lang w:val="en-US" w:eastAsia="en-GB"/>
            </w:rPr>
            <w:t>He/she will prepare meetings in the Council, the EP or the consultative committees</w:t>
          </w:r>
          <w:r w:rsidR="001F010B">
            <w:rPr>
              <w:lang w:val="en-US" w:eastAsia="en-GB"/>
            </w:rPr>
            <w:t xml:space="preserve"> and provide analysis on policy developments in Member States. He/she will assist in the consolidation and further reinforcement of cooperation with the Council and the EP in civil protection matters and will help promoting relevant EU initiatives (e.g EU preparedness union). Regular participation in meetings of relevant Council or EP structures (PROCIV and other relevant working parties</w:t>
          </w:r>
          <w:r w:rsidR="00DD7E41">
            <w:rPr>
              <w:lang w:val="en-US" w:eastAsia="en-GB"/>
            </w:rPr>
            <w:t xml:space="preserve">) </w:t>
          </w:r>
          <w:r w:rsidR="001F010B">
            <w:rPr>
              <w:lang w:val="en-US" w:eastAsia="en-GB"/>
            </w:rPr>
            <w:t>and EP committees (</w:t>
          </w:r>
          <w:r w:rsidR="00162F38">
            <w:rPr>
              <w:lang w:val="en-US" w:eastAsia="en-GB"/>
            </w:rPr>
            <w:t xml:space="preserve">e.g. EP </w:t>
          </w:r>
          <w:r w:rsidR="001F010B">
            <w:rPr>
              <w:lang w:val="en-US" w:eastAsia="en-GB"/>
            </w:rPr>
            <w:t xml:space="preserve">ENVI)). </w:t>
          </w:r>
        </w:p>
      </w:sdtContent>
    </w:sdt>
    <w:p w14:paraId="6BA9A971" w14:textId="390F1478" w:rsidR="009635AC" w:rsidRDefault="009635AC" w:rsidP="00617E2A">
      <w:pPr>
        <w:pStyle w:val="BodyText"/>
        <w:spacing w:before="22"/>
      </w:pPr>
      <w:r>
        <w:t xml:space="preserve">The successful candidate will not negotiate on behalf of the European Commission nor represent it </w:t>
      </w:r>
      <w:r>
        <w:rPr>
          <w:spacing w:val="-2"/>
        </w:rPr>
        <w:t>externally.</w:t>
      </w:r>
    </w:p>
    <w:p w14:paraId="66D636BB" w14:textId="77777777" w:rsidR="009635AC" w:rsidRDefault="009635AC" w:rsidP="009635AC">
      <w:pPr>
        <w:pStyle w:val="BodyText"/>
        <w:spacing w:before="5"/>
      </w:pPr>
    </w:p>
    <w:p w14:paraId="42FE8651" w14:textId="77777777" w:rsidR="009635AC" w:rsidRDefault="009635AC" w:rsidP="00617E2A">
      <w:pPr>
        <w:pStyle w:val="BodyText"/>
        <w:ind w:right="229"/>
      </w:pPr>
      <w:r>
        <w:t>The</w:t>
      </w:r>
      <w:r>
        <w:rPr>
          <w:spacing w:val="-2"/>
        </w:rPr>
        <w:t xml:space="preserve"> </w:t>
      </w:r>
      <w:r>
        <w:t>SNE</w:t>
      </w:r>
      <w:r>
        <w:rPr>
          <w:spacing w:val="-2"/>
        </w:rPr>
        <w:t xml:space="preserve"> </w:t>
      </w:r>
      <w:r>
        <w:t>will</w:t>
      </w:r>
      <w:r>
        <w:rPr>
          <w:spacing w:val="-2"/>
        </w:rPr>
        <w:t xml:space="preserve"> </w:t>
      </w:r>
      <w:r>
        <w:t>work</w:t>
      </w:r>
      <w:r>
        <w:rPr>
          <w:spacing w:val="-2"/>
        </w:rPr>
        <w:t xml:space="preserve"> </w:t>
      </w:r>
      <w:r>
        <w:t>under</w:t>
      </w:r>
      <w:r>
        <w:rPr>
          <w:spacing w:val="-2"/>
        </w:rPr>
        <w:t xml:space="preserve"> </w:t>
      </w:r>
      <w:r>
        <w:t>the</w:t>
      </w:r>
      <w:r>
        <w:rPr>
          <w:spacing w:val="-2"/>
        </w:rPr>
        <w:t xml:space="preserve"> </w:t>
      </w:r>
      <w:r>
        <w:t>supervision</w:t>
      </w:r>
      <w:r>
        <w:rPr>
          <w:spacing w:val="-2"/>
        </w:rPr>
        <w:t xml:space="preserve"> </w:t>
      </w:r>
      <w:r>
        <w:t>of</w:t>
      </w:r>
      <w:r>
        <w:rPr>
          <w:spacing w:val="-2"/>
        </w:rPr>
        <w:t xml:space="preserve"> </w:t>
      </w:r>
      <w:r>
        <w:t>an</w:t>
      </w:r>
      <w:r>
        <w:rPr>
          <w:spacing w:val="-2"/>
        </w:rPr>
        <w:t xml:space="preserve"> </w:t>
      </w:r>
      <w:r>
        <w:t>administrator.</w:t>
      </w:r>
      <w:r>
        <w:rPr>
          <w:spacing w:val="-2"/>
        </w:rPr>
        <w:t xml:space="preserve"> </w:t>
      </w:r>
      <w:r>
        <w:t>Without</w:t>
      </w:r>
      <w:r>
        <w:rPr>
          <w:spacing w:val="-2"/>
        </w:rPr>
        <w:t xml:space="preserve"> </w:t>
      </w:r>
      <w:r>
        <w:t>prejudice</w:t>
      </w:r>
      <w:r>
        <w:rPr>
          <w:spacing w:val="-2"/>
        </w:rPr>
        <w:t xml:space="preserve"> </w:t>
      </w:r>
      <w:r>
        <w:t>to</w:t>
      </w:r>
      <w:r>
        <w:rPr>
          <w:spacing w:val="-2"/>
        </w:rPr>
        <w:t xml:space="preserve"> </w:t>
      </w:r>
      <w:r>
        <w:t>the</w:t>
      </w:r>
      <w:r>
        <w:rPr>
          <w:spacing w:val="-2"/>
        </w:rPr>
        <w:t xml:space="preserve"> </w:t>
      </w:r>
      <w:r>
        <w:t>principle</w:t>
      </w:r>
      <w:r>
        <w:rPr>
          <w:spacing w:val="-2"/>
        </w:rPr>
        <w:t xml:space="preserve"> </w:t>
      </w:r>
      <w:r>
        <w:t>of loyal cooperation between the national/regional and European administrations, the SNE will not work</w:t>
      </w:r>
      <w:r>
        <w:rPr>
          <w:spacing w:val="-3"/>
        </w:rPr>
        <w:t xml:space="preserve"> </w:t>
      </w:r>
      <w:r>
        <w:t>on</w:t>
      </w:r>
      <w:r>
        <w:rPr>
          <w:spacing w:val="-3"/>
        </w:rPr>
        <w:t xml:space="preserve"> </w:t>
      </w:r>
      <w:r>
        <w:t>individual</w:t>
      </w:r>
      <w:r>
        <w:rPr>
          <w:spacing w:val="-3"/>
        </w:rPr>
        <w:t xml:space="preserve"> </w:t>
      </w:r>
      <w:r>
        <w:t>cases</w:t>
      </w:r>
      <w:r>
        <w:rPr>
          <w:spacing w:val="-3"/>
        </w:rPr>
        <w:t xml:space="preserve"> </w:t>
      </w:r>
      <w:r>
        <w:t>with</w:t>
      </w:r>
      <w:r>
        <w:rPr>
          <w:spacing w:val="-3"/>
        </w:rPr>
        <w:t xml:space="preserve"> </w:t>
      </w:r>
      <w:r>
        <w:t>implications</w:t>
      </w:r>
      <w:r>
        <w:rPr>
          <w:spacing w:val="-3"/>
        </w:rPr>
        <w:t xml:space="preserve"> </w:t>
      </w:r>
      <w:r>
        <w:t>with</w:t>
      </w:r>
      <w:r>
        <w:rPr>
          <w:spacing w:val="-3"/>
        </w:rPr>
        <w:t xml:space="preserve"> </w:t>
      </w:r>
      <w:r>
        <w:t>files</w:t>
      </w:r>
      <w:r>
        <w:rPr>
          <w:spacing w:val="-3"/>
        </w:rPr>
        <w:t xml:space="preserve"> </w:t>
      </w:r>
      <w:r>
        <w:t>he/she</w:t>
      </w:r>
      <w:r>
        <w:rPr>
          <w:spacing w:val="-3"/>
        </w:rPr>
        <w:t xml:space="preserve"> </w:t>
      </w:r>
      <w:r>
        <w:t>would</w:t>
      </w:r>
      <w:r>
        <w:rPr>
          <w:spacing w:val="-3"/>
        </w:rPr>
        <w:t xml:space="preserve"> </w:t>
      </w:r>
      <w:r>
        <w:t>have</w:t>
      </w:r>
      <w:r>
        <w:rPr>
          <w:spacing w:val="-3"/>
        </w:rPr>
        <w:t xml:space="preserve"> </w:t>
      </w:r>
      <w:r>
        <w:t>had</w:t>
      </w:r>
      <w:r>
        <w:rPr>
          <w:spacing w:val="-3"/>
        </w:rPr>
        <w:t xml:space="preserve"> </w:t>
      </w:r>
      <w:r>
        <w:t>to</w:t>
      </w:r>
      <w:r>
        <w:rPr>
          <w:spacing w:val="-3"/>
        </w:rPr>
        <w:t xml:space="preserve"> </w:t>
      </w:r>
      <w:r>
        <w:t>deal</w:t>
      </w:r>
      <w:r>
        <w:rPr>
          <w:spacing w:val="-3"/>
        </w:rPr>
        <w:t xml:space="preserve"> </w:t>
      </w:r>
      <w:r>
        <w:t>with</w:t>
      </w:r>
      <w:r>
        <w:rPr>
          <w:spacing w:val="-3"/>
        </w:rPr>
        <w:t xml:space="preserve"> </w:t>
      </w:r>
      <w:r>
        <w:t>in</w:t>
      </w:r>
      <w:r>
        <w:rPr>
          <w:spacing w:val="-3"/>
        </w:rPr>
        <w:t xml:space="preserve"> </w:t>
      </w:r>
      <w:r>
        <w:t>his/her national administration in the two years preceding its entry into the Commission, or directly adjacent cases. In no case he/she shall represent the Commission in order to make commitments, financial or otherwise, or to negotiate on behalf of the Commission.</w:t>
      </w:r>
    </w:p>
    <w:p w14:paraId="61961795" w14:textId="77777777" w:rsidR="009635AC" w:rsidRDefault="009635AC" w:rsidP="009635AC">
      <w:pPr>
        <w:sectPr w:rsidR="009635AC" w:rsidSect="009635AC">
          <w:headerReference w:type="even" r:id="rId27"/>
          <w:headerReference w:type="default" r:id="rId28"/>
          <w:footerReference w:type="even" r:id="rId29"/>
          <w:footerReference w:type="default" r:id="rId30"/>
          <w:headerReference w:type="first" r:id="rId31"/>
          <w:footerReference w:type="first" r:id="rId32"/>
          <w:pgSz w:w="11910" w:h="16840"/>
          <w:pgMar w:top="1620" w:right="1300" w:bottom="1540" w:left="1300" w:header="0" w:footer="1343" w:gutter="0"/>
          <w:pgNumType w:start="1"/>
          <w:cols w:space="720"/>
        </w:sectPr>
      </w:pPr>
    </w:p>
    <w:p w14:paraId="6BF9C230" w14:textId="33427228" w:rsidR="009635AC" w:rsidRPr="00EF6599" w:rsidRDefault="009635AC" w:rsidP="00EF6599">
      <w:pPr>
        <w:pStyle w:val="Heading2"/>
        <w:numPr>
          <w:ilvl w:val="0"/>
          <w:numId w:val="0"/>
        </w:numPr>
        <w:spacing w:before="65"/>
        <w:ind w:left="1077" w:hanging="595"/>
      </w:pPr>
    </w:p>
    <w:p w14:paraId="7FEC7210" w14:textId="77777777" w:rsidR="009635AC" w:rsidRDefault="009635AC" w:rsidP="009635AC">
      <w:pPr>
        <w:pStyle w:val="BodyText"/>
        <w:rPr>
          <w:rFonts w:ascii="Arial"/>
          <w:i/>
        </w:rPr>
      </w:pPr>
    </w:p>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A3419B1" w:rsidR="002E40A9" w:rsidRDefault="002A5365" w:rsidP="002E40A9">
          <w:pPr>
            <w:rPr>
              <w:lang w:val="en-US" w:eastAsia="en-GB"/>
            </w:rPr>
          </w:pPr>
          <w:r>
            <w:rPr>
              <w:lang w:val="en-US" w:eastAsia="en-GB"/>
            </w:rPr>
            <w:t xml:space="preserve">We look for a colleague with relevant experience in the area of civil protection and, if possible, some experience in EU coordination and/or humanitarian aid. </w:t>
          </w:r>
        </w:p>
        <w:p w14:paraId="514EA24B" w14:textId="0B2C52E5" w:rsidR="00C6374A" w:rsidRPr="00AF7D78" w:rsidRDefault="00C6374A" w:rsidP="002E40A9">
          <w:pPr>
            <w:rPr>
              <w:lang w:val="en-US" w:eastAsia="en-GB"/>
            </w:rPr>
          </w:pPr>
          <w:r>
            <w:rPr>
              <w:lang w:val="en-US" w:eastAsia="en-GB"/>
            </w:rPr>
            <w:t xml:space="preserve">Excellent command of English and </w:t>
          </w:r>
          <w:r w:rsidR="00F916B5">
            <w:rPr>
              <w:lang w:val="en-US" w:eastAsia="en-GB"/>
            </w:rPr>
            <w:t xml:space="preserve">of </w:t>
          </w:r>
          <w:r>
            <w:rPr>
              <w:lang w:val="en-US" w:eastAsia="en-GB"/>
            </w:rPr>
            <w:t xml:space="preserve">a second EU language is </w:t>
          </w:r>
          <w:r w:rsidR="002E4142">
            <w:rPr>
              <w:lang w:val="en-US" w:eastAsia="en-GB"/>
            </w:rPr>
            <w:t>necessary</w:t>
          </w:r>
          <w:r>
            <w:rPr>
              <w:lang w:val="en-US" w:eastAsia="en-GB"/>
            </w:rPr>
            <w:t xml:space="preserve">. </w:t>
          </w:r>
          <w:r w:rsidR="00DD1202">
            <w:rPr>
              <w:lang w:val="en-US" w:eastAsia="en-GB"/>
            </w:rPr>
            <w:t xml:space="preserve">Basic knowledge </w:t>
          </w:r>
          <w:r w:rsidR="002E4142">
            <w:rPr>
              <w:lang w:val="en-US" w:eastAsia="en-GB"/>
            </w:rPr>
            <w:t>of</w:t>
          </w:r>
          <w:r w:rsidR="00DD1202">
            <w:rPr>
              <w:lang w:val="en-US" w:eastAsia="en-GB"/>
            </w:rPr>
            <w:t xml:space="preserve"> French would be an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4" w:history="1">
        <w:hyperlink r:id="rId35"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6"/>
      <w:footerReference w:type="default" r:id="rId3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C515" w14:textId="77777777" w:rsidR="00103C55" w:rsidRDefault="00103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16A3" w14:textId="77777777" w:rsidR="009635AC" w:rsidRDefault="009635AC">
    <w:pPr>
      <w:pStyle w:val="BodyText"/>
      <w:spacing w:line="14" w:lineRule="auto"/>
    </w:pPr>
    <w:r>
      <w:rPr>
        <w:noProof/>
      </w:rPr>
      <mc:AlternateContent>
        <mc:Choice Requires="wps">
          <w:drawing>
            <wp:anchor distT="0" distB="0" distL="0" distR="0" simplePos="0" relativeHeight="251659264" behindDoc="1" locked="0" layoutInCell="1" allowOverlap="1" wp14:anchorId="1066E923" wp14:editId="570AAB1F">
              <wp:simplePos x="0" y="0"/>
              <wp:positionH relativeFrom="page">
                <wp:posOffset>881380</wp:posOffset>
              </wp:positionH>
              <wp:positionV relativeFrom="page">
                <wp:posOffset>9699590</wp:posOffset>
              </wp:positionV>
              <wp:extent cx="661035" cy="167640"/>
              <wp:effectExtent l="0" t="0" r="0" b="0"/>
              <wp:wrapNone/>
              <wp:docPr id="180844457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67640"/>
                      </a:xfrm>
                      <a:prstGeom prst="rect">
                        <a:avLst/>
                      </a:prstGeom>
                    </wps:spPr>
                    <wps:txbx>
                      <w:txbxContent>
                        <w:p w14:paraId="2CE0D69C" w14:textId="79DE0CAD" w:rsidR="009635AC" w:rsidRPr="00103C55" w:rsidRDefault="009635AC" w:rsidP="00103C55">
                          <w:pPr>
                            <w:spacing w:before="13"/>
                            <w:rPr>
                              <w:rFonts w:ascii="Arial"/>
                              <w:i/>
                              <w:sz w:val="20"/>
                              <w:lang w:val="en-IE"/>
                            </w:rPr>
                          </w:pPr>
                        </w:p>
                      </w:txbxContent>
                    </wps:txbx>
                    <wps:bodyPr wrap="square" lIns="0" tIns="0" rIns="0" bIns="0" rtlCol="0">
                      <a:noAutofit/>
                    </wps:bodyPr>
                  </wps:wsp>
                </a:graphicData>
              </a:graphic>
            </wp:anchor>
          </w:drawing>
        </mc:Choice>
        <mc:Fallback>
          <w:pict>
            <v:shapetype w14:anchorId="1066E923" id="_x0000_t202" coordsize="21600,21600" o:spt="202" path="m,l,21600r21600,l21600,xe">
              <v:stroke joinstyle="miter"/>
              <v:path gradientshapeok="t" o:connecttype="rect"/>
            </v:shapetype>
            <v:shape id="Textbox 1" o:spid="_x0000_s1026" type="#_x0000_t202" style="position:absolute;margin-left:69.4pt;margin-top:763.75pt;width:52.0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" filled="f" stroked="f">
              <v:textbox inset="0,0,0,0">
                <w:txbxContent>
                  <w:p w14:paraId="2CE0D69C" w14:textId="79DE0CAD" w:rsidR="009635AC" w:rsidRPr="00103C55" w:rsidRDefault="009635AC" w:rsidP="00103C55">
                    <w:pPr>
                      <w:spacing w:before="13"/>
                      <w:rPr>
                        <w:rFonts w:ascii="Arial"/>
                        <w:i/>
                        <w:sz w:val="20"/>
                        <w:lang w:val="en-IE"/>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F53A212" wp14:editId="567D7643">
              <wp:simplePos x="0" y="0"/>
              <wp:positionH relativeFrom="page">
                <wp:posOffset>5551804</wp:posOffset>
              </wp:positionH>
              <wp:positionV relativeFrom="page">
                <wp:posOffset>9718640</wp:posOffset>
              </wp:positionV>
              <wp:extent cx="4267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167640"/>
                      </a:xfrm>
                      <a:prstGeom prst="rect">
                        <a:avLst/>
                      </a:prstGeom>
                    </wps:spPr>
                    <wps:txbx>
                      <w:txbxContent>
                        <w:p w14:paraId="3B1E1A44" w14:textId="77777777" w:rsidR="009635AC" w:rsidRDefault="009635AC">
                          <w:pPr>
                            <w:spacing w:before="13"/>
                            <w:ind w:left="60"/>
                            <w:rPr>
                              <w:sz w:val="20"/>
                            </w:rPr>
                          </w:pPr>
                          <w:r>
                            <w:rPr>
                              <w:rFonts w:ascii="Arial"/>
                              <w:i/>
                              <w:sz w:val="20"/>
                            </w:rPr>
                            <w:fldChar w:fldCharType="begin"/>
                          </w:r>
                          <w:r>
                            <w:rPr>
                              <w:rFonts w:ascii="Arial"/>
                              <w:i/>
                              <w:sz w:val="20"/>
                            </w:rPr>
                            <w:instrText xml:space="preserve"> PAGE </w:instrText>
                          </w:r>
                          <w:r>
                            <w:rPr>
                              <w:rFonts w:ascii="Arial"/>
                              <w:i/>
                              <w:sz w:val="20"/>
                            </w:rPr>
                            <w:fldChar w:fldCharType="separate"/>
                          </w:r>
                          <w:r>
                            <w:rPr>
                              <w:rFonts w:ascii="Arial"/>
                              <w:i/>
                              <w:sz w:val="20"/>
                            </w:rPr>
                            <w:t>1</w:t>
                          </w:r>
                          <w:r>
                            <w:rPr>
                              <w:rFonts w:ascii="Arial"/>
                              <w:i/>
                              <w:sz w:val="20"/>
                            </w:rPr>
                            <w:fldChar w:fldCharType="end"/>
                          </w:r>
                          <w:r>
                            <w:rPr>
                              <w:rFonts w:ascii="Arial"/>
                              <w:i/>
                              <w:spacing w:val="72"/>
                              <w:sz w:val="20"/>
                            </w:rPr>
                            <w:t xml:space="preserve"> </w:t>
                          </w:r>
                          <w:r>
                            <w:rPr>
                              <w:sz w:val="20"/>
                            </w:rPr>
                            <w:t>/</w:t>
                          </w:r>
                          <w:r>
                            <w:rPr>
                              <w:spacing w:val="36"/>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w14:anchorId="4F53A212" id="Textbox 2" o:spid="_x0000_s1027" type="#_x0000_t202" style="position:absolute;margin-left:437.15pt;margin-top:765.25pt;width:33.6pt;height:1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" filled="f" stroked="f">
              <v:textbox inset="0,0,0,0">
                <w:txbxContent>
                  <w:p w14:paraId="3B1E1A44" w14:textId="77777777" w:rsidR="009635AC" w:rsidRDefault="009635AC">
                    <w:pPr>
                      <w:spacing w:before="13"/>
                      <w:ind w:left="60"/>
                      <w:rPr>
                        <w:sz w:val="20"/>
                      </w:rPr>
                    </w:pPr>
                    <w:r>
                      <w:rPr>
                        <w:rFonts w:ascii="Arial"/>
                        <w:i/>
                        <w:sz w:val="20"/>
                      </w:rPr>
                      <w:fldChar w:fldCharType="begin"/>
                    </w:r>
                    <w:r>
                      <w:rPr>
                        <w:rFonts w:ascii="Arial"/>
                        <w:i/>
                        <w:sz w:val="20"/>
                      </w:rPr>
                      <w:instrText xml:space="preserve"> PAGE </w:instrText>
                    </w:r>
                    <w:r>
                      <w:rPr>
                        <w:rFonts w:ascii="Arial"/>
                        <w:i/>
                        <w:sz w:val="20"/>
                      </w:rPr>
                      <w:fldChar w:fldCharType="separate"/>
                    </w:r>
                    <w:r>
                      <w:rPr>
                        <w:rFonts w:ascii="Arial"/>
                        <w:i/>
                        <w:sz w:val="20"/>
                      </w:rPr>
                      <w:t>1</w:t>
                    </w:r>
                    <w:r>
                      <w:rPr>
                        <w:rFonts w:ascii="Arial"/>
                        <w:i/>
                        <w:sz w:val="20"/>
                      </w:rPr>
                      <w:fldChar w:fldCharType="end"/>
                    </w:r>
                    <w:r>
                      <w:rPr>
                        <w:rFonts w:ascii="Arial"/>
                        <w:i/>
                        <w:spacing w:val="72"/>
                        <w:sz w:val="20"/>
                      </w:rPr>
                      <w:t xml:space="preserve"> </w:t>
                    </w:r>
                    <w:r>
                      <w:rPr>
                        <w:sz w:val="20"/>
                      </w:rPr>
                      <w:t>/</w:t>
                    </w:r>
                    <w:r>
                      <w:rPr>
                        <w:spacing w:val="36"/>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E6E1" w14:textId="77777777" w:rsidR="00103C55" w:rsidRDefault="00103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DE63" w14:textId="77777777" w:rsidR="00103C55" w:rsidRDefault="00103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46CB" w14:textId="77777777" w:rsidR="00103C55" w:rsidRDefault="00103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F56" w14:textId="77777777" w:rsidR="00103C55" w:rsidRDefault="00103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42D612E"/>
    <w:multiLevelType w:val="hybridMultilevel"/>
    <w:tmpl w:val="D7B6E80C"/>
    <w:lvl w:ilvl="0" w:tplc="D61445D2">
      <w:numFmt w:val="bullet"/>
      <w:lvlText w:val="•"/>
      <w:lvlJc w:val="left"/>
      <w:pPr>
        <w:ind w:left="938" w:hanging="400"/>
      </w:pPr>
      <w:rPr>
        <w:rFonts w:ascii="Arial" w:eastAsia="Arial" w:hAnsi="Arial" w:cs="Arial" w:hint="default"/>
        <w:b w:val="0"/>
        <w:bCs w:val="0"/>
        <w:i/>
        <w:iCs/>
        <w:spacing w:val="0"/>
        <w:w w:val="100"/>
        <w:sz w:val="20"/>
        <w:szCs w:val="20"/>
        <w:lang w:val="en-US" w:eastAsia="en-US" w:bidi="ar-SA"/>
      </w:rPr>
    </w:lvl>
    <w:lvl w:ilvl="1" w:tplc="F89C422C">
      <w:numFmt w:val="bullet"/>
      <w:lvlText w:val="•"/>
      <w:lvlJc w:val="left"/>
      <w:pPr>
        <w:ind w:left="1776" w:hanging="400"/>
      </w:pPr>
      <w:rPr>
        <w:rFonts w:hint="default"/>
        <w:lang w:val="en-US" w:eastAsia="en-US" w:bidi="ar-SA"/>
      </w:rPr>
    </w:lvl>
    <w:lvl w:ilvl="2" w:tplc="E37E034E">
      <w:numFmt w:val="bullet"/>
      <w:lvlText w:val="•"/>
      <w:lvlJc w:val="left"/>
      <w:pPr>
        <w:ind w:left="2613" w:hanging="400"/>
      </w:pPr>
      <w:rPr>
        <w:rFonts w:hint="default"/>
        <w:lang w:val="en-US" w:eastAsia="en-US" w:bidi="ar-SA"/>
      </w:rPr>
    </w:lvl>
    <w:lvl w:ilvl="3" w:tplc="0CF2F344">
      <w:numFmt w:val="bullet"/>
      <w:lvlText w:val="•"/>
      <w:lvlJc w:val="left"/>
      <w:pPr>
        <w:ind w:left="3449" w:hanging="400"/>
      </w:pPr>
      <w:rPr>
        <w:rFonts w:hint="default"/>
        <w:lang w:val="en-US" w:eastAsia="en-US" w:bidi="ar-SA"/>
      </w:rPr>
    </w:lvl>
    <w:lvl w:ilvl="4" w:tplc="15B04F8A">
      <w:numFmt w:val="bullet"/>
      <w:lvlText w:val="•"/>
      <w:lvlJc w:val="left"/>
      <w:pPr>
        <w:ind w:left="4286" w:hanging="400"/>
      </w:pPr>
      <w:rPr>
        <w:rFonts w:hint="default"/>
        <w:lang w:val="en-US" w:eastAsia="en-US" w:bidi="ar-SA"/>
      </w:rPr>
    </w:lvl>
    <w:lvl w:ilvl="5" w:tplc="DB224618">
      <w:numFmt w:val="bullet"/>
      <w:lvlText w:val="•"/>
      <w:lvlJc w:val="left"/>
      <w:pPr>
        <w:ind w:left="5122" w:hanging="400"/>
      </w:pPr>
      <w:rPr>
        <w:rFonts w:hint="default"/>
        <w:lang w:val="en-US" w:eastAsia="en-US" w:bidi="ar-SA"/>
      </w:rPr>
    </w:lvl>
    <w:lvl w:ilvl="6" w:tplc="9D5EB212">
      <w:numFmt w:val="bullet"/>
      <w:lvlText w:val="•"/>
      <w:lvlJc w:val="left"/>
      <w:pPr>
        <w:ind w:left="5959" w:hanging="400"/>
      </w:pPr>
      <w:rPr>
        <w:rFonts w:hint="default"/>
        <w:lang w:val="en-US" w:eastAsia="en-US" w:bidi="ar-SA"/>
      </w:rPr>
    </w:lvl>
    <w:lvl w:ilvl="7" w:tplc="D9925314">
      <w:numFmt w:val="bullet"/>
      <w:lvlText w:val="•"/>
      <w:lvlJc w:val="left"/>
      <w:pPr>
        <w:ind w:left="6795" w:hanging="400"/>
      </w:pPr>
      <w:rPr>
        <w:rFonts w:hint="default"/>
        <w:lang w:val="en-US" w:eastAsia="en-US" w:bidi="ar-SA"/>
      </w:rPr>
    </w:lvl>
    <w:lvl w:ilvl="8" w:tplc="A7FCE3C8">
      <w:numFmt w:val="bullet"/>
      <w:lvlText w:val="•"/>
      <w:lvlJc w:val="left"/>
      <w:pPr>
        <w:ind w:left="7632" w:hanging="400"/>
      </w:pPr>
      <w:rPr>
        <w:rFonts w:hint="default"/>
        <w:lang w:val="en-US" w:eastAsia="en-US" w:bidi="ar-SA"/>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64744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3DE6"/>
    <w:rsid w:val="000D129C"/>
    <w:rsid w:val="000F371B"/>
    <w:rsid w:val="000F4CD5"/>
    <w:rsid w:val="00103C55"/>
    <w:rsid w:val="00111AB6"/>
    <w:rsid w:val="00146AF1"/>
    <w:rsid w:val="00162F38"/>
    <w:rsid w:val="00163488"/>
    <w:rsid w:val="0019467D"/>
    <w:rsid w:val="001A6017"/>
    <w:rsid w:val="001D0A81"/>
    <w:rsid w:val="001F010B"/>
    <w:rsid w:val="002109E6"/>
    <w:rsid w:val="00252050"/>
    <w:rsid w:val="0029584A"/>
    <w:rsid w:val="002A5365"/>
    <w:rsid w:val="002B3CBF"/>
    <w:rsid w:val="002C13C3"/>
    <w:rsid w:val="002C49D0"/>
    <w:rsid w:val="002E40A9"/>
    <w:rsid w:val="002E4142"/>
    <w:rsid w:val="00356216"/>
    <w:rsid w:val="00394447"/>
    <w:rsid w:val="003D3085"/>
    <w:rsid w:val="003E0CB1"/>
    <w:rsid w:val="003E50A4"/>
    <w:rsid w:val="0040388A"/>
    <w:rsid w:val="00431778"/>
    <w:rsid w:val="00434666"/>
    <w:rsid w:val="00454CC7"/>
    <w:rsid w:val="00464195"/>
    <w:rsid w:val="00476034"/>
    <w:rsid w:val="00490341"/>
    <w:rsid w:val="004C76CF"/>
    <w:rsid w:val="005168AD"/>
    <w:rsid w:val="0058240F"/>
    <w:rsid w:val="00592CD5"/>
    <w:rsid w:val="005D1B85"/>
    <w:rsid w:val="00617E2A"/>
    <w:rsid w:val="00665583"/>
    <w:rsid w:val="00693BC6"/>
    <w:rsid w:val="00696070"/>
    <w:rsid w:val="006F0B8A"/>
    <w:rsid w:val="00725DCC"/>
    <w:rsid w:val="00774F65"/>
    <w:rsid w:val="007D50ED"/>
    <w:rsid w:val="007E531E"/>
    <w:rsid w:val="007F02AC"/>
    <w:rsid w:val="007F7012"/>
    <w:rsid w:val="008D02B7"/>
    <w:rsid w:val="008F0B52"/>
    <w:rsid w:val="008F4BA9"/>
    <w:rsid w:val="009635AC"/>
    <w:rsid w:val="0096649F"/>
    <w:rsid w:val="009823F3"/>
    <w:rsid w:val="00993994"/>
    <w:rsid w:val="00994062"/>
    <w:rsid w:val="00996CC6"/>
    <w:rsid w:val="009A1EA0"/>
    <w:rsid w:val="009A2F00"/>
    <w:rsid w:val="009B1E6C"/>
    <w:rsid w:val="009C5E27"/>
    <w:rsid w:val="00A033AD"/>
    <w:rsid w:val="00A510E9"/>
    <w:rsid w:val="00AB0F95"/>
    <w:rsid w:val="00AB2CEA"/>
    <w:rsid w:val="00AF6424"/>
    <w:rsid w:val="00B24CC5"/>
    <w:rsid w:val="00B3644B"/>
    <w:rsid w:val="00B65513"/>
    <w:rsid w:val="00B73F08"/>
    <w:rsid w:val="00B8014C"/>
    <w:rsid w:val="00C016C9"/>
    <w:rsid w:val="00C06724"/>
    <w:rsid w:val="00C3254D"/>
    <w:rsid w:val="00C36FDE"/>
    <w:rsid w:val="00C504C7"/>
    <w:rsid w:val="00C6374A"/>
    <w:rsid w:val="00C75BA4"/>
    <w:rsid w:val="00CA6028"/>
    <w:rsid w:val="00CB5B61"/>
    <w:rsid w:val="00CD2C5A"/>
    <w:rsid w:val="00D0015C"/>
    <w:rsid w:val="00D03CF4"/>
    <w:rsid w:val="00D7090C"/>
    <w:rsid w:val="00D84D53"/>
    <w:rsid w:val="00D96984"/>
    <w:rsid w:val="00DA2E53"/>
    <w:rsid w:val="00DD1202"/>
    <w:rsid w:val="00DD41ED"/>
    <w:rsid w:val="00DD7E41"/>
    <w:rsid w:val="00DF1E49"/>
    <w:rsid w:val="00E21DBD"/>
    <w:rsid w:val="00E342CB"/>
    <w:rsid w:val="00E41704"/>
    <w:rsid w:val="00E44D7F"/>
    <w:rsid w:val="00E82667"/>
    <w:rsid w:val="00E84FE8"/>
    <w:rsid w:val="00EA7DD0"/>
    <w:rsid w:val="00EB3147"/>
    <w:rsid w:val="00EF6599"/>
    <w:rsid w:val="00F077C6"/>
    <w:rsid w:val="00F4683D"/>
    <w:rsid w:val="00F6462F"/>
    <w:rsid w:val="00F916B5"/>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glossaryDocument" Target="glossary/document.xml"/><Relationship Id="rId21" Type="http://schemas.openxmlformats.org/officeDocument/2006/relationships/image" Target="media/image5.wmf"/><Relationship Id="rId34" Type="http://schemas.openxmlformats.org/officeDocument/2006/relationships/hyperlink" Target="http://europass.cedefop.europa.eu/en/documents/curriculum-vita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eur-lex.europa.eu/legal-content/EN/TXT/?uri=CELEX:32015D044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europa.eu/europass/en/create-europass-cv"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1929b814-5a78-4bdc-9841-d8b9ef424f65"/>
    <ds:schemaRef ds:uri="http://purl.org/dc/elements/1.1/"/>
    <ds:schemaRef ds:uri="http://schemas.openxmlformats.org/package/2006/metadata/core-properties"/>
    <ds:schemaRef ds:uri="http://schemas.microsoft.com/sharepoint/v3/fields"/>
    <ds:schemaRef ds:uri="http://www.w3.org/XML/1998/namespace"/>
    <ds:schemaRef ds:uri="a41a97bf-0494-41d8-ba3d-259bd7771890"/>
    <ds:schemaRef ds:uri="http://purl.org/dc/dcmitype/"/>
    <ds:schemaRef ds:uri="http://schemas.microsoft.com/office/infopath/2007/PartnerControls"/>
    <ds:schemaRef ds:uri="http://schemas.microsoft.com/office/2006/documentManagement/types"/>
    <ds:schemaRef ds:uri="08927195-b699-4be0-9ee2-6c66dc215b5a"/>
    <ds:schemaRef ds:uri="http://schemas.microsoft.com/office/2006/metadata/properties"/>
    <ds:schemaRef ds:uri="http://purl.org/dc/terms/"/>
    <ds:schemaRef ds:uri="adcfc288-8185-413a-ae94-e94352a0a2ed"/>
    <ds:schemaRef ds:uri="87a255ca-a3a0-4e2a-9216-a4c3ebb83f15"/>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744BFEE-53BE-43A6-9EBE-999415DA6414}"/>
</file>

<file path=docProps/app.xml><?xml version="1.0" encoding="utf-8"?>
<Properties xmlns="http://schemas.openxmlformats.org/officeDocument/2006/extended-properties" xmlns:vt="http://schemas.openxmlformats.org/officeDocument/2006/docPropsVTypes">
  <Template>Eurolook</Template>
  <TotalTime>0</TotalTime>
  <Pages>4</Pages>
  <Words>1228</Words>
  <Characters>7004</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2024-12-19T16:57:00Z</dcterms:created>
  <dcterms:modified xsi:type="dcterms:W3CDTF">2025-01-13T14:49:00Z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