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CD5EB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61CB24DF" w:rsidR="00B65513" w:rsidRPr="0007110E" w:rsidRDefault="00517F4E" w:rsidP="00E82667">
                <w:pPr>
                  <w:tabs>
                    <w:tab w:val="left" w:pos="426"/>
                  </w:tabs>
                  <w:spacing w:before="120"/>
                  <w:rPr>
                    <w:bCs/>
                    <w:lang w:val="en-IE" w:eastAsia="en-GB"/>
                  </w:rPr>
                </w:pPr>
                <w:r>
                  <w:rPr>
                    <w:b/>
                    <w:szCs w:val="24"/>
                    <w:lang w:eastAsia="en-GB"/>
                  </w:rPr>
                  <w:t>JUST.B.2</w:t>
                </w:r>
                <w:r>
                  <w:rPr>
                    <w:b/>
                    <w:szCs w:val="24"/>
                    <w:lang w:eastAsia="en-GB"/>
                  </w:rPr>
                  <w:br/>
                </w:r>
                <w:r w:rsidRPr="00381F66">
                  <w:rPr>
                    <w:b/>
                    <w:sz w:val="20"/>
                    <w:lang w:val="en-IE" w:eastAsia="en-GB"/>
                  </w:rPr>
                  <w:t>DG</w:t>
                </w:r>
                <w:r>
                  <w:rPr>
                    <w:b/>
                    <w:sz w:val="20"/>
                    <w:lang w:val="en-IE" w:eastAsia="en-GB"/>
                  </w:rPr>
                  <w:t>‘</w:t>
                </w:r>
                <w:r w:rsidRPr="00381F66">
                  <w:rPr>
                    <w:b/>
                    <w:sz w:val="20"/>
                    <w:lang w:val="en-IE" w:eastAsia="en-GB"/>
                  </w:rPr>
                  <w:t>J</w:t>
                </w:r>
                <w:r>
                  <w:rPr>
                    <w:b/>
                    <w:sz w:val="20"/>
                    <w:lang w:val="en-IE" w:eastAsia="en-GB"/>
                  </w:rPr>
                  <w:t>ustice</w:t>
                </w:r>
                <w:r>
                  <w:rPr>
                    <w:b/>
                    <w:sz w:val="20"/>
                    <w:lang w:val="en-IE" w:eastAsia="en-GB"/>
                  </w:rPr>
                  <w:t xml:space="preserve"> </w:t>
                </w:r>
                <w:r>
                  <w:rPr>
                    <w:b/>
                    <w:sz w:val="20"/>
                    <w:lang w:val="en-IE" w:eastAsia="en-GB"/>
                  </w:rPr>
                  <w:t>and Consumers’</w:t>
                </w:r>
                <w:r>
                  <w:rPr>
                    <w:b/>
                    <w:sz w:val="20"/>
                    <w:lang w:val="en-IE" w:eastAsia="en-GB"/>
                  </w:rPr>
                  <w:br/>
                  <w:t>Directorate ‘Consumers’</w:t>
                </w:r>
                <w:r>
                  <w:rPr>
                    <w:b/>
                    <w:sz w:val="20"/>
                    <w:lang w:val="en-IE" w:eastAsia="en-GB"/>
                  </w:rPr>
                  <w:br/>
                  <w:t>Unit ‘Consumer Law’</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8B2F503" w:rsidR="00D96984" w:rsidRPr="0007110E" w:rsidRDefault="00B022B9" w:rsidP="00E82667">
                <w:pPr>
                  <w:tabs>
                    <w:tab w:val="left" w:pos="426"/>
                  </w:tabs>
                  <w:spacing w:before="120"/>
                  <w:rPr>
                    <w:bCs/>
                    <w:lang w:val="en-IE" w:eastAsia="en-GB"/>
                  </w:rPr>
                </w:pPr>
                <w:r>
                  <w:t>286368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177A2EE8" w14:textId="6C8ECC17" w:rsidR="00517F4E" w:rsidRPr="00C17E5A" w:rsidRDefault="00517F4E" w:rsidP="00517F4E">
                <w:pPr>
                  <w:spacing w:after="0"/>
                  <w:ind w:right="1317"/>
                  <w:rPr>
                    <w:b/>
                    <w:sz w:val="20"/>
                    <w:lang w:val="es-ES" w:eastAsia="en-GB"/>
                  </w:rPr>
                </w:pPr>
              </w:p>
              <w:p w14:paraId="16F365A5" w14:textId="77777777" w:rsidR="00517F4E" w:rsidRPr="00517F4E" w:rsidRDefault="00517F4E" w:rsidP="00517F4E">
                <w:pPr>
                  <w:spacing w:after="0"/>
                  <w:ind w:right="1317"/>
                  <w:rPr>
                    <w:bCs/>
                    <w:lang w:val="fr-BE" w:eastAsia="en-GB"/>
                  </w:rPr>
                </w:pPr>
                <w:r w:rsidRPr="00517F4E">
                  <w:rPr>
                    <w:bCs/>
                    <w:lang w:val="fr-BE" w:eastAsia="en-GB"/>
                  </w:rPr>
                  <w:t>KANELLOPOULOU Maria Myrto</w:t>
                </w:r>
              </w:p>
              <w:p w14:paraId="128F2A7C" w14:textId="77777777" w:rsidR="00517F4E" w:rsidRPr="00517F4E" w:rsidRDefault="00517F4E" w:rsidP="00517F4E">
                <w:pPr>
                  <w:spacing w:after="0"/>
                  <w:ind w:right="1317"/>
                  <w:rPr>
                    <w:bCs/>
                    <w:lang w:val="fr-BE" w:eastAsia="en-GB"/>
                  </w:rPr>
                </w:pPr>
                <w:r w:rsidRPr="00517F4E">
                  <w:rPr>
                    <w:bCs/>
                    <w:lang w:val="fr-BE" w:eastAsia="en-GB"/>
                  </w:rPr>
                  <w:t>JUST-B2@ec.europa.eu</w:t>
                </w:r>
              </w:p>
              <w:p w14:paraId="714DA989" w14:textId="195D8BB9" w:rsidR="00E21DBD" w:rsidRPr="0007110E" w:rsidRDefault="00517F4E" w:rsidP="00517F4E">
                <w:pPr>
                  <w:tabs>
                    <w:tab w:val="left" w:pos="426"/>
                  </w:tabs>
                  <w:spacing w:before="120"/>
                  <w:rPr>
                    <w:bCs/>
                    <w:lang w:val="en-IE" w:eastAsia="en-GB"/>
                  </w:rPr>
                </w:pPr>
                <w:r w:rsidRPr="00517F4E">
                  <w:rPr>
                    <w:bCs/>
                    <w:lang w:val="en-IE" w:eastAsia="en-GB"/>
                  </w:rPr>
                  <w:t>+32 2 29  52920</w:t>
                </w:r>
              </w:p>
            </w:sdtContent>
          </w:sdt>
          <w:p w14:paraId="34CF737A" w14:textId="24DC16DD" w:rsidR="00E21DBD" w:rsidRPr="0007110E" w:rsidRDefault="00CD5EB0"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517F4E">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17F4E">
                  <w:rPr>
                    <w:bCs/>
                    <w:lang w:val="en-IE" w:eastAsia="en-GB"/>
                  </w:rPr>
                  <w:t>2024</w:t>
                </w:r>
              </w:sdtContent>
            </w:sdt>
          </w:p>
          <w:p w14:paraId="158DD156" w14:textId="17AD828A" w:rsidR="00E21DBD" w:rsidRPr="0007110E" w:rsidRDefault="00CD5EB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517F4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517F4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AEBD86C"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08.4pt;height:21.5pt" o:ole="">
                  <v:imagedata r:id="rId15" o:title=""/>
                </v:shape>
                <w:control r:id="rId16" w:name="OptionButton6" w:shapeid="_x0000_i1105"/>
              </w:object>
            </w:r>
            <w:r>
              <w:rPr>
                <w:bCs/>
                <w:szCs w:val="24"/>
                <w:lang w:eastAsia="en-GB"/>
              </w:rPr>
              <w:object w:dxaOrig="1440" w:dyaOrig="1440" w14:anchorId="1B1CECAE">
                <v:shape id="_x0000_i1089" type="#_x0000_t75" style="width:108.4pt;height:21.5pt" o:ole="">
                  <v:imagedata r:id="rId17" o:title=""/>
                </v:shape>
                <w:control r:id="rId18" w:name="OptionButton7" w:shapeid="_x0000_i108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40410B6A"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88" type="#_x0000_t75" style="width:108.4pt;height:21.5pt" o:ole="">
                  <v:imagedata r:id="rId19" o:title=""/>
                </v:shape>
                <w:control r:id="rId20" w:name="OptionButton4" w:shapeid="_x0000_i1088"/>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CD5EB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1F6996E1"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009F5DE4">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CD5EB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CD5EB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5ACE3472"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87" type="#_x0000_t75" style="width:320.3pt;height:21.5pt" o:ole="">
                  <v:imagedata r:id="rId21" o:title=""/>
                </v:shape>
                <w:control r:id="rId22" w:name="OptionButton5" w:shapeid="_x0000_i1087"/>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315C1C01"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86" type="#_x0000_t75" style="width:108.4pt;height:21.5pt" o:ole="">
                  <v:imagedata r:id="rId23" o:title=""/>
                </v:shape>
                <w:control r:id="rId24" w:name="OptionButton2" w:shapeid="_x0000_i1086"/>
              </w:object>
            </w:r>
            <w:r>
              <w:rPr>
                <w:bCs/>
                <w:szCs w:val="24"/>
                <w:lang w:eastAsia="en-GB"/>
              </w:rPr>
              <w:object w:dxaOrig="1440" w:dyaOrig="1440" w14:anchorId="0992615F">
                <v:shape id="_x0000_i1085" type="#_x0000_t75" style="width:108.4pt;height:21.5pt" o:ole="">
                  <v:imagedata r:id="rId25" o:title=""/>
                </v:shape>
                <w:control r:id="rId26" w:name="OptionButton3" w:shapeid="_x0000_i1085"/>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F06D496" w14:textId="77777777" w:rsidR="00517F4E" w:rsidRPr="006A3362" w:rsidRDefault="00517F4E" w:rsidP="00517F4E">
          <w:pPr>
            <w:spacing w:after="120"/>
            <w:ind w:right="423"/>
            <w:rPr>
              <w:sz w:val="20"/>
            </w:rPr>
          </w:pPr>
          <w:r w:rsidRPr="006A3362">
            <w:rPr>
              <w:sz w:val="20"/>
            </w:rPr>
            <w:t xml:space="preserve">The unit is responsible for </w:t>
          </w:r>
          <w:r w:rsidRPr="006A3362">
            <w:rPr>
              <w:sz w:val="20"/>
              <w:lang w:val="en-US"/>
            </w:rPr>
            <w:t xml:space="preserve">developing and implementing the EU consumer law framework and contributes to the Commission’s priorities on the digital and green transitions. </w:t>
          </w:r>
          <w:r w:rsidRPr="006A3362">
            <w:rPr>
              <w:sz w:val="20"/>
            </w:rPr>
            <w:t xml:space="preserve"> </w:t>
          </w:r>
        </w:p>
        <w:p w14:paraId="59DD0438" w14:textId="6E52FEF8" w:rsidR="00E21DBD" w:rsidRPr="00517F4E" w:rsidRDefault="00CD5EB0" w:rsidP="00517F4E">
          <w:pPr>
            <w:spacing w:after="120"/>
            <w:ind w:right="1315"/>
            <w:rPr>
              <w:sz w:val="20"/>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146EDBF" w14:textId="1EBEAA48" w:rsidR="00517F4E" w:rsidRPr="006A3362" w:rsidRDefault="00B022B9" w:rsidP="00517F4E">
          <w:pPr>
            <w:spacing w:after="120"/>
            <w:ind w:right="1315"/>
            <w:rPr>
              <w:sz w:val="20"/>
            </w:rPr>
          </w:pPr>
          <w:r w:rsidRPr="006A3362">
            <w:rPr>
              <w:sz w:val="20"/>
            </w:rPr>
            <w:t>We offer a job for an expert with knowledge in EU consumer law and interest in consumer digital markets.</w:t>
          </w:r>
        </w:p>
        <w:p w14:paraId="191B56F6" w14:textId="77777777" w:rsidR="00517F4E" w:rsidRPr="006A3362" w:rsidRDefault="00517F4E" w:rsidP="00517F4E">
          <w:pPr>
            <w:spacing w:after="120"/>
            <w:ind w:right="1315"/>
            <w:rPr>
              <w:b/>
              <w:sz w:val="20"/>
              <w:lang w:eastAsia="en-GB"/>
            </w:rPr>
          </w:pPr>
          <w:r w:rsidRPr="006A3362">
            <w:rPr>
              <w:b/>
              <w:i/>
              <w:sz w:val="20"/>
              <w:lang w:eastAsia="en-GB"/>
            </w:rPr>
            <w:t>Legislative and enforcement work</w:t>
          </w:r>
          <w:r w:rsidRPr="006A3362">
            <w:rPr>
              <w:b/>
              <w:sz w:val="20"/>
              <w:lang w:eastAsia="en-GB"/>
            </w:rPr>
            <w:t xml:space="preserve">: </w:t>
          </w:r>
        </w:p>
        <w:p w14:paraId="48E3EA09" w14:textId="77777777" w:rsidR="00517F4E" w:rsidRDefault="00517F4E" w:rsidP="00517F4E">
          <w:pPr>
            <w:numPr>
              <w:ilvl w:val="0"/>
              <w:numId w:val="34"/>
            </w:numPr>
            <w:spacing w:after="120"/>
            <w:ind w:left="318" w:right="1315" w:hanging="283"/>
            <w:rPr>
              <w:sz w:val="20"/>
              <w:lang w:eastAsia="en-GB"/>
            </w:rPr>
          </w:pPr>
          <w:r w:rsidRPr="006A3362">
            <w:rPr>
              <w:sz w:val="20"/>
              <w:lang w:eastAsia="en-GB"/>
            </w:rPr>
            <w:t>contribute to the correct implementation and application as well as further development of EU consumer protection legislation within the Unit's field of responsibility (e.g. Directives on unfair commercial practices, unfair contract terms, consumer rights, price indication, package travel, sale of goods and digital content/services), including compliance checks of national transposition measures, infringement and complaint handling, contribution to preliminary ruling procedures pending before the CJEU, evaluations, impact assessments and legislative negotiations;</w:t>
          </w:r>
        </w:p>
        <w:p w14:paraId="6A963DB4" w14:textId="77777777" w:rsidR="00517F4E" w:rsidRPr="006A3362" w:rsidRDefault="00517F4E" w:rsidP="00517F4E">
          <w:pPr>
            <w:numPr>
              <w:ilvl w:val="0"/>
              <w:numId w:val="34"/>
            </w:numPr>
            <w:spacing w:after="120"/>
            <w:ind w:left="318" w:right="1315" w:hanging="283"/>
            <w:rPr>
              <w:sz w:val="20"/>
              <w:lang w:eastAsia="en-GB"/>
            </w:rPr>
          </w:pPr>
          <w:r w:rsidRPr="006A3362">
            <w:rPr>
              <w:sz w:val="20"/>
              <w:lang w:eastAsia="en-GB"/>
            </w:rPr>
            <w:t>support a better enforcement of the EU acquis by the Member States' authorities, also by facilitating its common interpretation through guidance.</w:t>
          </w:r>
        </w:p>
        <w:p w14:paraId="20CA1E06" w14:textId="77777777" w:rsidR="00517F4E" w:rsidRPr="006A3362" w:rsidRDefault="00517F4E" w:rsidP="00517F4E">
          <w:pPr>
            <w:spacing w:after="120"/>
            <w:ind w:right="1315"/>
            <w:rPr>
              <w:b/>
              <w:sz w:val="20"/>
              <w:lang w:eastAsia="en-GB"/>
            </w:rPr>
          </w:pPr>
          <w:r w:rsidRPr="006A3362">
            <w:rPr>
              <w:b/>
              <w:i/>
              <w:sz w:val="20"/>
              <w:lang w:eastAsia="en-GB"/>
            </w:rPr>
            <w:t>Legal analysis and policy development</w:t>
          </w:r>
          <w:r w:rsidRPr="006A3362">
            <w:rPr>
              <w:b/>
              <w:sz w:val="20"/>
              <w:lang w:eastAsia="en-GB"/>
            </w:rPr>
            <w:t xml:space="preserve">: </w:t>
          </w:r>
        </w:p>
        <w:p w14:paraId="04EE9AC9" w14:textId="77777777" w:rsidR="00517F4E" w:rsidRPr="00C50D88" w:rsidRDefault="00517F4E" w:rsidP="00517F4E">
          <w:pPr>
            <w:numPr>
              <w:ilvl w:val="0"/>
              <w:numId w:val="34"/>
            </w:numPr>
            <w:spacing w:after="120"/>
            <w:ind w:left="318" w:right="1315" w:hanging="283"/>
            <w:rPr>
              <w:sz w:val="20"/>
              <w:lang w:eastAsia="en-GB"/>
            </w:rPr>
          </w:pPr>
          <w:r>
            <w:rPr>
              <w:sz w:val="20"/>
              <w:lang w:eastAsia="en-GB"/>
            </w:rPr>
            <w:t xml:space="preserve">contribute to the follow-up of the digital fairness fitness check of EU consumer protection legislation, including with regard to emerging risks related to dark patterns, personalisation practices and addictive design; </w:t>
          </w:r>
        </w:p>
        <w:p w14:paraId="50B4B2E3" w14:textId="77777777" w:rsidR="00517F4E" w:rsidRPr="006A3362" w:rsidRDefault="00517F4E" w:rsidP="00517F4E">
          <w:pPr>
            <w:numPr>
              <w:ilvl w:val="0"/>
              <w:numId w:val="34"/>
            </w:numPr>
            <w:spacing w:after="120"/>
            <w:ind w:left="318" w:right="1315" w:hanging="283"/>
            <w:rPr>
              <w:sz w:val="20"/>
              <w:lang w:eastAsia="en-GB"/>
            </w:rPr>
          </w:pPr>
          <w:r w:rsidRPr="006A3362">
            <w:rPr>
              <w:sz w:val="20"/>
              <w:lang w:eastAsia="en-GB"/>
            </w:rPr>
            <w:t>ensure timely and accurate replies to consultations from other Commission services and</w:t>
          </w:r>
          <w:r>
            <w:rPr>
              <w:sz w:val="20"/>
              <w:lang w:eastAsia="en-GB"/>
            </w:rPr>
            <w:t xml:space="preserve"> </w:t>
          </w:r>
          <w:r w:rsidRPr="006A3362">
            <w:rPr>
              <w:sz w:val="20"/>
              <w:lang w:eastAsia="en-GB"/>
            </w:rPr>
            <w:t>to parliamentary questions and petitions;</w:t>
          </w:r>
        </w:p>
        <w:p w14:paraId="3F3F8C33" w14:textId="77777777" w:rsidR="00517F4E" w:rsidRPr="006A3362" w:rsidRDefault="00517F4E" w:rsidP="00517F4E">
          <w:pPr>
            <w:numPr>
              <w:ilvl w:val="0"/>
              <w:numId w:val="34"/>
            </w:numPr>
            <w:spacing w:after="120"/>
            <w:ind w:left="318" w:right="1315" w:hanging="283"/>
            <w:rPr>
              <w:sz w:val="20"/>
              <w:lang w:eastAsia="en-GB"/>
            </w:rPr>
          </w:pPr>
          <w:r w:rsidRPr="006A3362">
            <w:rPr>
              <w:sz w:val="20"/>
              <w:lang w:eastAsia="en-GB"/>
            </w:rPr>
            <w:t>co-operation with other Commission services and participation in inter-services groups;</w:t>
          </w:r>
        </w:p>
        <w:p w14:paraId="03F26349" w14:textId="77777777" w:rsidR="00517F4E" w:rsidRPr="006A3362" w:rsidRDefault="00517F4E" w:rsidP="00517F4E">
          <w:pPr>
            <w:numPr>
              <w:ilvl w:val="0"/>
              <w:numId w:val="34"/>
            </w:numPr>
            <w:spacing w:after="120"/>
            <w:ind w:left="318" w:right="1315" w:hanging="283"/>
            <w:rPr>
              <w:sz w:val="20"/>
              <w:lang w:eastAsia="en-GB"/>
            </w:rPr>
          </w:pPr>
          <w:r w:rsidRPr="006A3362">
            <w:rPr>
              <w:sz w:val="20"/>
              <w:lang w:eastAsia="en-GB"/>
            </w:rPr>
            <w:t>contribute to the screening of consumer and marketing law of third countries in the framework of the European neighbourhood and enlargement policies.</w:t>
          </w:r>
        </w:p>
        <w:p w14:paraId="04D7AA6F" w14:textId="77777777" w:rsidR="00517F4E" w:rsidRPr="006A3362" w:rsidRDefault="00517F4E" w:rsidP="00517F4E">
          <w:pPr>
            <w:spacing w:after="120"/>
            <w:ind w:right="1315"/>
            <w:rPr>
              <w:b/>
              <w:sz w:val="20"/>
              <w:lang w:eastAsia="en-GB"/>
            </w:rPr>
          </w:pPr>
          <w:r w:rsidRPr="006A3362">
            <w:rPr>
              <w:b/>
              <w:i/>
              <w:sz w:val="20"/>
              <w:lang w:eastAsia="en-GB"/>
            </w:rPr>
            <w:t>Internal Communication</w:t>
          </w:r>
          <w:r w:rsidRPr="006A3362">
            <w:rPr>
              <w:b/>
              <w:sz w:val="20"/>
              <w:lang w:eastAsia="en-GB"/>
            </w:rPr>
            <w:t xml:space="preserve">: </w:t>
          </w:r>
        </w:p>
        <w:p w14:paraId="60B21FAA" w14:textId="77777777" w:rsidR="00517F4E" w:rsidRPr="006A3362" w:rsidRDefault="00517F4E" w:rsidP="00517F4E">
          <w:pPr>
            <w:numPr>
              <w:ilvl w:val="0"/>
              <w:numId w:val="34"/>
            </w:numPr>
            <w:spacing w:after="120"/>
            <w:ind w:left="318" w:right="1315" w:hanging="283"/>
            <w:rPr>
              <w:sz w:val="20"/>
              <w:lang w:eastAsia="en-GB"/>
            </w:rPr>
          </w:pPr>
          <w:r w:rsidRPr="006A3362">
            <w:rPr>
              <w:sz w:val="20"/>
              <w:lang w:eastAsia="en-GB"/>
            </w:rPr>
            <w:t>ensure efficient and transparent flow of information within the Unit, the Directorate-General and/or Cabinet, as appropriate, in order to facilitate the smooth handling of files.</w:t>
          </w:r>
        </w:p>
        <w:p w14:paraId="2C75B791" w14:textId="77777777" w:rsidR="00517F4E" w:rsidRPr="006A3362" w:rsidRDefault="00517F4E" w:rsidP="00517F4E">
          <w:pPr>
            <w:spacing w:after="120"/>
            <w:ind w:right="1315"/>
            <w:rPr>
              <w:b/>
              <w:sz w:val="20"/>
              <w:lang w:eastAsia="en-GB"/>
            </w:rPr>
          </w:pPr>
          <w:r w:rsidRPr="006A3362">
            <w:rPr>
              <w:b/>
              <w:i/>
              <w:sz w:val="20"/>
              <w:lang w:eastAsia="en-GB"/>
            </w:rPr>
            <w:t>External Communication</w:t>
          </w:r>
          <w:r w:rsidRPr="006A3362">
            <w:rPr>
              <w:b/>
              <w:sz w:val="20"/>
              <w:lang w:eastAsia="en-GB"/>
            </w:rPr>
            <w:t xml:space="preserve">: </w:t>
          </w:r>
        </w:p>
        <w:p w14:paraId="3B10045A" w14:textId="77777777" w:rsidR="00517F4E" w:rsidRPr="006A3362" w:rsidRDefault="00517F4E" w:rsidP="00517F4E">
          <w:pPr>
            <w:numPr>
              <w:ilvl w:val="0"/>
              <w:numId w:val="34"/>
            </w:numPr>
            <w:spacing w:after="120"/>
            <w:ind w:left="318" w:right="1315" w:hanging="283"/>
            <w:rPr>
              <w:sz w:val="20"/>
              <w:lang w:eastAsia="en-GB"/>
            </w:rPr>
          </w:pPr>
          <w:r w:rsidRPr="006A3362">
            <w:rPr>
              <w:sz w:val="20"/>
              <w:lang w:eastAsia="en-GB"/>
            </w:rPr>
            <w:t>efficiently and effectively contribute to preparing briefings, speeches, press</w:t>
          </w:r>
          <w:r>
            <w:rPr>
              <w:sz w:val="20"/>
              <w:lang w:eastAsia="en-GB"/>
            </w:rPr>
            <w:t xml:space="preserve"> </w:t>
          </w:r>
          <w:r w:rsidRPr="006A3362">
            <w:rPr>
              <w:sz w:val="20"/>
              <w:lang w:eastAsia="en-GB"/>
            </w:rPr>
            <w:t>materials for the Commissioner, Cabinet and the DG’s senior management;</w:t>
          </w:r>
        </w:p>
        <w:p w14:paraId="46EE3E07" w14:textId="1EBEAA48" w:rsidR="00E21DBD" w:rsidRPr="00AF7D78" w:rsidRDefault="00517F4E" w:rsidP="00517F4E">
          <w:pPr>
            <w:rPr>
              <w:lang w:val="en-US" w:eastAsia="en-GB"/>
            </w:rPr>
          </w:pPr>
          <w:r w:rsidRPr="006A3362">
            <w:rPr>
              <w:sz w:val="20"/>
              <w:lang w:eastAsia="en-GB"/>
            </w:rPr>
            <w:t>present the internally agreed views to external stakeholders and gather information from them.</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58BEAD3" w14:textId="77777777" w:rsidR="00B022B9" w:rsidRDefault="00B022B9" w:rsidP="002E40A9">
          <w:pPr>
            <w:rPr>
              <w:lang w:val="en-US" w:eastAsia="en-GB"/>
            </w:rPr>
          </w:pPr>
        </w:p>
        <w:tbl>
          <w:tblPr>
            <w:tblW w:w="0" w:type="auto"/>
            <w:tblLayout w:type="fixed"/>
            <w:tblLook w:val="01E0" w:firstRow="1" w:lastRow="1" w:firstColumn="1" w:lastColumn="1" w:noHBand="0" w:noVBand="0"/>
          </w:tblPr>
          <w:tblGrid>
            <w:gridCol w:w="8930"/>
          </w:tblGrid>
          <w:tr w:rsidR="00B022B9" w:rsidRPr="006A3362" w14:paraId="58EB8734" w14:textId="77777777" w:rsidTr="00643B20">
            <w:tc>
              <w:tcPr>
                <w:tcW w:w="8930" w:type="dxa"/>
                <w:tcBorders>
                  <w:left w:val="nil"/>
                  <w:right w:val="single" w:sz="4" w:space="0" w:color="auto"/>
                </w:tcBorders>
                <w:shd w:val="clear" w:color="auto" w:fill="auto"/>
              </w:tcPr>
              <w:p w14:paraId="23BC8AAE" w14:textId="77777777" w:rsidR="00B022B9" w:rsidRPr="0087571A" w:rsidRDefault="00B022B9" w:rsidP="00643B20">
                <w:pPr>
                  <w:spacing w:after="0"/>
                  <w:ind w:right="1317"/>
                  <w:rPr>
                    <w:sz w:val="20"/>
                    <w:lang w:eastAsia="en-GB"/>
                  </w:rPr>
                </w:pPr>
                <w:r w:rsidRPr="006A3362">
                  <w:rPr>
                    <w:sz w:val="20"/>
                    <w:lang w:eastAsia="en-GB"/>
                  </w:rPr>
                  <w:t xml:space="preserve">Professional experience: Previous professional experience </w:t>
                </w:r>
                <w:r w:rsidRPr="0087571A">
                  <w:rPr>
                    <w:sz w:val="20"/>
                    <w:lang w:eastAsia="en-GB"/>
                  </w:rPr>
                  <w:t xml:space="preserve">in and/or knowledge of European or national policy/legislation in the area of </w:t>
                </w:r>
                <w:r>
                  <w:rPr>
                    <w:sz w:val="20"/>
                    <w:lang w:eastAsia="en-GB"/>
                  </w:rPr>
                  <w:t>consumer</w:t>
                </w:r>
                <w:r w:rsidRPr="0087571A">
                  <w:rPr>
                    <w:sz w:val="20"/>
                    <w:lang w:eastAsia="en-GB"/>
                  </w:rPr>
                  <w:t xml:space="preserve"> law is desired. Both public administration and private sector experiences can be considered as relevant. </w:t>
                </w:r>
              </w:p>
              <w:p w14:paraId="1320E984" w14:textId="77777777" w:rsidR="00B022B9" w:rsidRPr="006A3362" w:rsidRDefault="00B022B9" w:rsidP="00643B20">
                <w:pPr>
                  <w:spacing w:after="0"/>
                  <w:ind w:right="1317"/>
                  <w:rPr>
                    <w:sz w:val="20"/>
                    <w:lang w:eastAsia="en-GB"/>
                  </w:rPr>
                </w:pPr>
                <w:r w:rsidRPr="0087571A">
                  <w:rPr>
                    <w:sz w:val="20"/>
                    <w:lang w:eastAsia="en-GB"/>
                  </w:rPr>
                  <w:t xml:space="preserve">Good communication skills as well as strong analytical and drafting capacities are important. </w:t>
                </w:r>
              </w:p>
              <w:p w14:paraId="70AB182F" w14:textId="77777777" w:rsidR="00B022B9" w:rsidRPr="006A3362" w:rsidRDefault="00B022B9" w:rsidP="00643B20">
                <w:pPr>
                  <w:spacing w:after="0"/>
                  <w:ind w:right="1317"/>
                  <w:rPr>
                    <w:sz w:val="20"/>
                    <w:lang w:eastAsia="en-GB"/>
                  </w:rPr>
                </w:pPr>
              </w:p>
              <w:p w14:paraId="6ECBBBDB" w14:textId="77777777" w:rsidR="00B022B9" w:rsidRDefault="00B022B9" w:rsidP="00643B20">
                <w:pPr>
                  <w:spacing w:after="0"/>
                  <w:ind w:right="1317"/>
                  <w:rPr>
                    <w:sz w:val="20"/>
                    <w:lang w:eastAsia="en-GB"/>
                  </w:rPr>
                </w:pPr>
                <w:r w:rsidRPr="006A3362">
                  <w:rPr>
                    <w:sz w:val="20"/>
                    <w:lang w:eastAsia="en-GB"/>
                  </w:rPr>
                  <w:t>Languages necessary for the performance of duties: Excellent command of English is essential, a good command of French</w:t>
                </w:r>
                <w:r>
                  <w:rPr>
                    <w:sz w:val="20"/>
                    <w:lang w:eastAsia="en-GB"/>
                  </w:rPr>
                  <w:t xml:space="preserve"> will be an asset.</w:t>
                </w:r>
                <w:r w:rsidRPr="006A3362">
                  <w:rPr>
                    <w:sz w:val="20"/>
                    <w:lang w:eastAsia="en-GB"/>
                  </w:rPr>
                  <w:t xml:space="preserve"> </w:t>
                </w:r>
              </w:p>
              <w:p w14:paraId="18F2B945" w14:textId="77777777" w:rsidR="00B022B9" w:rsidRDefault="00B022B9" w:rsidP="00643B20">
                <w:pPr>
                  <w:spacing w:after="0"/>
                  <w:ind w:right="1317"/>
                  <w:rPr>
                    <w:sz w:val="20"/>
                    <w:lang w:eastAsia="en-GB"/>
                  </w:rPr>
                </w:pPr>
              </w:p>
              <w:p w14:paraId="32BA5785" w14:textId="77777777" w:rsidR="00B022B9" w:rsidRPr="006A3362" w:rsidRDefault="00B022B9" w:rsidP="00643B20">
                <w:pPr>
                  <w:spacing w:after="0"/>
                  <w:ind w:right="1317"/>
                  <w:rPr>
                    <w:sz w:val="20"/>
                    <w:lang w:val="en-IE" w:eastAsia="en-GB"/>
                  </w:rPr>
                </w:pPr>
                <w:r w:rsidRPr="006A3362">
                  <w:rPr>
                    <w:sz w:val="20"/>
                    <w:lang w:val="en-IE" w:eastAsia="en-GB"/>
                  </w:rPr>
                  <w:t xml:space="preserve">Diploma </w:t>
                </w:r>
              </w:p>
              <w:p w14:paraId="31BC5FC9" w14:textId="77777777" w:rsidR="00B022B9" w:rsidRPr="006A3362" w:rsidRDefault="00B022B9" w:rsidP="00643B20">
                <w:pPr>
                  <w:spacing w:after="0"/>
                  <w:ind w:right="1317"/>
                  <w:rPr>
                    <w:sz w:val="20"/>
                    <w:lang w:val="en-IE" w:eastAsia="en-GB"/>
                  </w:rPr>
                </w:pPr>
                <w:r w:rsidRPr="006A3362">
                  <w:rPr>
                    <w:sz w:val="20"/>
                    <w:lang w:val="en-IE" w:eastAsia="en-GB"/>
                  </w:rPr>
                  <w:t>- university degree or</w:t>
                </w:r>
              </w:p>
              <w:p w14:paraId="22B36D06" w14:textId="77777777" w:rsidR="00B022B9" w:rsidRPr="006A3362" w:rsidRDefault="00B022B9" w:rsidP="00643B20">
                <w:pPr>
                  <w:spacing w:after="0"/>
                  <w:ind w:right="1317"/>
                  <w:rPr>
                    <w:sz w:val="20"/>
                    <w:lang w:val="en-IE" w:eastAsia="en-GB"/>
                  </w:rPr>
                </w:pPr>
                <w:r w:rsidRPr="006A3362">
                  <w:rPr>
                    <w:sz w:val="20"/>
                    <w:lang w:val="en-IE" w:eastAsia="en-GB"/>
                  </w:rPr>
                  <w:t>- professional training or professional experience of an equivalent level</w:t>
                </w:r>
              </w:p>
              <w:p w14:paraId="586A5233" w14:textId="77777777" w:rsidR="00B022B9" w:rsidRPr="006A3362" w:rsidRDefault="00B022B9" w:rsidP="00643B20">
                <w:pPr>
                  <w:spacing w:after="0"/>
                  <w:ind w:right="1317"/>
                  <w:rPr>
                    <w:sz w:val="20"/>
                    <w:lang w:val="en-IE" w:eastAsia="en-GB"/>
                  </w:rPr>
                </w:pPr>
              </w:p>
              <w:p w14:paraId="01E05243" w14:textId="77777777" w:rsidR="00B022B9" w:rsidRDefault="00B022B9" w:rsidP="00643B20">
                <w:pPr>
                  <w:spacing w:after="0"/>
                  <w:ind w:right="1317"/>
                  <w:rPr>
                    <w:b/>
                    <w:sz w:val="20"/>
                    <w:u w:val="single"/>
                    <w:lang w:val="en-IE" w:eastAsia="en-GB"/>
                  </w:rPr>
                </w:pPr>
                <w:r w:rsidRPr="006A3362">
                  <w:rPr>
                    <w:sz w:val="20"/>
                    <w:lang w:val="en-IE" w:eastAsia="en-GB"/>
                  </w:rPr>
                  <w:t xml:space="preserve">in the field: </w:t>
                </w:r>
                <w:r w:rsidRPr="006A3362">
                  <w:rPr>
                    <w:b/>
                    <w:sz w:val="20"/>
                    <w:u w:val="single"/>
                    <w:lang w:val="en-IE" w:eastAsia="en-GB"/>
                  </w:rPr>
                  <w:t>Law</w:t>
                </w:r>
              </w:p>
              <w:p w14:paraId="15C07EC1" w14:textId="77777777" w:rsidR="00B022B9" w:rsidRDefault="00B022B9" w:rsidP="00643B20">
                <w:pPr>
                  <w:spacing w:after="0"/>
                  <w:ind w:right="1317"/>
                  <w:rPr>
                    <w:b/>
                    <w:sz w:val="20"/>
                    <w:u w:val="single"/>
                    <w:lang w:val="en-IE" w:eastAsia="en-GB"/>
                  </w:rPr>
                </w:pPr>
              </w:p>
              <w:p w14:paraId="14CB5E40" w14:textId="77777777" w:rsidR="00B022B9" w:rsidRPr="006A3362" w:rsidRDefault="00B022B9" w:rsidP="00643B20">
                <w:pPr>
                  <w:spacing w:after="0"/>
                  <w:ind w:right="1317"/>
                  <w:rPr>
                    <w:sz w:val="20"/>
                    <w:lang w:eastAsia="en-GB"/>
                  </w:rPr>
                </w:pPr>
              </w:p>
            </w:tc>
          </w:tr>
        </w:tbl>
        <w:p w14:paraId="51994EDB" w14:textId="7FD5BBA0" w:rsidR="002E40A9" w:rsidRPr="00AF7D78" w:rsidRDefault="00CD5EB0"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FDA590F"/>
    <w:multiLevelType w:val="hybridMultilevel"/>
    <w:tmpl w:val="D3A4D8DC"/>
    <w:lvl w:ilvl="0" w:tplc="660AE6EE">
      <w:start w:val="7"/>
      <w:numFmt w:val="bullet"/>
      <w:lvlText w:val="-"/>
      <w:lvlJc w:val="left"/>
      <w:pPr>
        <w:ind w:left="720" w:hanging="360"/>
      </w:pPr>
      <w:rPr>
        <w:rFonts w:ascii="Verdana" w:eastAsia="Cambria"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9"/>
  </w:num>
  <w:num w:numId="9" w16cid:durableId="835806501">
    <w:abstractNumId w:val="18"/>
  </w:num>
  <w:num w:numId="10" w16cid:durableId="229927604">
    <w:abstractNumId w:val="4"/>
  </w:num>
  <w:num w:numId="11" w16cid:durableId="882864602">
    <w:abstractNumId w:val="6"/>
  </w:num>
  <w:num w:numId="12" w16cid:durableId="1110204864">
    <w:abstractNumId w:val="7"/>
  </w:num>
  <w:num w:numId="13" w16cid:durableId="932594616">
    <w:abstractNumId w:val="11"/>
  </w:num>
  <w:num w:numId="14" w16cid:durableId="1671517048">
    <w:abstractNumId w:val="17"/>
  </w:num>
  <w:num w:numId="15" w16cid:durableId="348874439">
    <w:abstractNumId w:val="20"/>
  </w:num>
  <w:num w:numId="16" w16cid:durableId="788280695">
    <w:abstractNumId w:val="24"/>
  </w:num>
  <w:num w:numId="17" w16cid:durableId="1058630122">
    <w:abstractNumId w:val="12"/>
  </w:num>
  <w:num w:numId="18" w16cid:durableId="2120908136">
    <w:abstractNumId w:val="13"/>
  </w:num>
  <w:num w:numId="19" w16cid:durableId="686714860">
    <w:abstractNumId w:val="25"/>
  </w:num>
  <w:num w:numId="20" w16cid:durableId="422990355">
    <w:abstractNumId w:val="19"/>
  </w:num>
  <w:num w:numId="21" w16cid:durableId="1837307304">
    <w:abstractNumId w:val="22"/>
  </w:num>
  <w:num w:numId="22" w16cid:durableId="302121546">
    <w:abstractNumId w:val="5"/>
  </w:num>
  <w:num w:numId="23" w16cid:durableId="728039549">
    <w:abstractNumId w:val="8"/>
  </w:num>
  <w:num w:numId="24" w16cid:durableId="1971325234">
    <w:abstractNumId w:val="14"/>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3837979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49D0"/>
    <w:rsid w:val="002E40A9"/>
    <w:rsid w:val="00394447"/>
    <w:rsid w:val="003E50A4"/>
    <w:rsid w:val="0040388A"/>
    <w:rsid w:val="00431778"/>
    <w:rsid w:val="00454CC7"/>
    <w:rsid w:val="00476034"/>
    <w:rsid w:val="005168AD"/>
    <w:rsid w:val="00517F4E"/>
    <w:rsid w:val="0058240F"/>
    <w:rsid w:val="00592CD5"/>
    <w:rsid w:val="005D1B85"/>
    <w:rsid w:val="00665583"/>
    <w:rsid w:val="00693BC6"/>
    <w:rsid w:val="00696070"/>
    <w:rsid w:val="007E531E"/>
    <w:rsid w:val="007F02AC"/>
    <w:rsid w:val="007F7012"/>
    <w:rsid w:val="008D02B7"/>
    <w:rsid w:val="008F0B52"/>
    <w:rsid w:val="008F4BA9"/>
    <w:rsid w:val="00994062"/>
    <w:rsid w:val="00996CC6"/>
    <w:rsid w:val="009A1EA0"/>
    <w:rsid w:val="009A2F00"/>
    <w:rsid w:val="009C5E27"/>
    <w:rsid w:val="009F5DE4"/>
    <w:rsid w:val="00A033AD"/>
    <w:rsid w:val="00AB2CEA"/>
    <w:rsid w:val="00AF6424"/>
    <w:rsid w:val="00B022B9"/>
    <w:rsid w:val="00B24CC5"/>
    <w:rsid w:val="00B3644B"/>
    <w:rsid w:val="00B65513"/>
    <w:rsid w:val="00B73F08"/>
    <w:rsid w:val="00B8014C"/>
    <w:rsid w:val="00C06724"/>
    <w:rsid w:val="00C3254D"/>
    <w:rsid w:val="00C504C7"/>
    <w:rsid w:val="00C75BA4"/>
    <w:rsid w:val="00CB5B61"/>
    <w:rsid w:val="00CD2C5A"/>
    <w:rsid w:val="00CD5EB0"/>
    <w:rsid w:val="00D03CF4"/>
    <w:rsid w:val="00D7090C"/>
    <w:rsid w:val="00D84D53"/>
    <w:rsid w:val="00D96984"/>
    <w:rsid w:val="00DD41ED"/>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 w:val="00F76F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76F5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2320C7C8F4AC46D4B45BDA6F612A1107">
    <w:name w:val="2320C7C8F4AC46D4B45BDA6F612A1107"/>
    <w:rsid w:val="00F76F55"/>
    <w:rPr>
      <w:kern w:val="2"/>
      <w14:ligatures w14:val="standardContextual"/>
    </w:rPr>
  </w:style>
  <w:style w:type="paragraph" w:customStyle="1" w:styleId="C2B797E880BE4B0B8FFB06D44E1807DE">
    <w:name w:val="C2B797E880BE4B0B8FFB06D44E1807DE"/>
    <w:rsid w:val="00F76F5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7A3D1204C4C564E9F6CA6109257B102" ma:contentTypeVersion="5" ma:contentTypeDescription="Create a new document." ma:contentTypeScope="" ma:versionID="795877ebf32fc136a0f62273a9c15cf0">
  <xsd:schema xmlns:xsd="http://www.w3.org/2001/XMLSchema" xmlns:xs="http://www.w3.org/2001/XMLSchema" xmlns:p="http://schemas.microsoft.com/office/2006/metadata/properties" targetNamespace="http://schemas.microsoft.com/office/2006/metadata/properties" ma:root="true" ma:fieldsID="c723d7248c9a832f50fd04b6128f7c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A5BE1C63-5E49-4CDB-97D6-62CFD810D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E39C6F7-7007-436D-A1D9-21D6DEF8E8E5}">
  <ds:schemaRefs>
    <ds:schemaRef ds:uri="http://schemas.microsoft.com/sharepoint/v3/contenttype/forms"/>
  </ds:schemaRefs>
</ds:datastoreItem>
</file>

<file path=customXml/itemProps4.xml><?xml version="1.0" encoding="utf-8"?>
<ds:datastoreItem xmlns:ds="http://schemas.openxmlformats.org/officeDocument/2006/customXml" ds:itemID="{5A09F5FA-5D5D-4D33-B950-5288C78BDBC8}">
  <ds:schemaRefs/>
</ds:datastoreItem>
</file>

<file path=customXml/itemProps5.xml><?xml version="1.0" encoding="utf-8"?>
<ds:datastoreItem xmlns:ds="http://schemas.openxmlformats.org/officeDocument/2006/customXml" ds:itemID="{3ED27F36-E066-443C-81CC-7AD1A001D59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5</TotalTime>
  <Pages>4</Pages>
  <Words>882</Words>
  <Characters>6558</Characters>
  <Application>Microsoft Office Word</Application>
  <DocSecurity>0</DocSecurity>
  <PresentationFormat>Microsoft Word 14.0</PresentationFormat>
  <Lines>172</Lines>
  <Paragraphs>72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PENZES Dorina (JUST)</cp:lastModifiedBy>
  <cp:revision>3</cp:revision>
  <cp:lastPrinted>2023-04-05T10:36:00Z</cp:lastPrinted>
  <dcterms:created xsi:type="dcterms:W3CDTF">2024-06-07T16:12:00Z</dcterms:created>
  <dcterms:modified xsi:type="dcterms:W3CDTF">2024-06-07T16:15:00Z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ContentTypeId">
    <vt:lpwstr>0x010100C7A3D1204C4C564E9F6CA6109257B102</vt:lpwstr>
  </property>
  <property fmtid="{D5CDD505-2E9C-101B-9397-08002B2CF9AE}" pid="10" name="Order">
    <vt:r8>31500</vt:r8>
  </property>
</Properties>
</file>