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E941B3">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6AB59F8A" w:rsidR="00B65513" w:rsidRPr="0007110E" w:rsidRDefault="00C20DED" w:rsidP="00E82667">
                <w:pPr>
                  <w:tabs>
                    <w:tab w:val="left" w:pos="426"/>
                  </w:tabs>
                  <w:spacing w:before="120"/>
                  <w:rPr>
                    <w:bCs/>
                    <w:lang w:val="en-IE" w:eastAsia="en-GB"/>
                  </w:rPr>
                </w:pPr>
                <w:r>
                  <w:rPr>
                    <w:bCs/>
                    <w:lang w:val="en-IE" w:eastAsia="en-GB"/>
                  </w:rPr>
                  <w:t xml:space="preserve"> </w:t>
                </w:r>
                <w:r w:rsidRPr="00790FC6">
                  <w:rPr>
                    <w:szCs w:val="24"/>
                  </w:rPr>
                  <w:t>DG ECHO – Directorate B Strategy and Policy –  Unit B3 Prevention and Preparedness Capacity Building</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C20079E" w:rsidR="00D96984" w:rsidRPr="0007110E" w:rsidRDefault="00C20DED" w:rsidP="00E82667">
                <w:pPr>
                  <w:tabs>
                    <w:tab w:val="left" w:pos="426"/>
                  </w:tabs>
                  <w:spacing w:before="120"/>
                  <w:rPr>
                    <w:bCs/>
                    <w:lang w:val="en-IE" w:eastAsia="en-GB"/>
                  </w:rPr>
                </w:pPr>
                <w:r>
                  <w:rPr>
                    <w:bCs/>
                    <w:lang w:val="en-IE" w:eastAsia="en-GB"/>
                  </w:rPr>
                  <w:t>437559</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D293BA" w14:textId="337A18DA" w:rsidR="00C20DED" w:rsidRPr="00790FC6" w:rsidRDefault="00C20DED" w:rsidP="00C20DED">
                <w:pPr>
                  <w:spacing w:after="0"/>
                  <w:rPr>
                    <w:szCs w:val="24"/>
                    <w:lang w:val="es-ES"/>
                  </w:rPr>
                </w:pPr>
                <w:r w:rsidRPr="00790FC6">
                  <w:rPr>
                    <w:szCs w:val="24"/>
                    <w:lang w:val="es-ES"/>
                  </w:rPr>
                  <w:t>Erwan Marteil</w:t>
                </w:r>
                <w:r w:rsidR="002C4DC1">
                  <w:rPr>
                    <w:szCs w:val="24"/>
                    <w:lang w:val="es-ES"/>
                  </w:rPr>
                  <w:t>, head of unit</w:t>
                </w:r>
              </w:p>
              <w:p w14:paraId="367A3670" w14:textId="77777777" w:rsidR="00C20DED" w:rsidRPr="00790FC6" w:rsidRDefault="00C20DED" w:rsidP="00C20DED">
                <w:pPr>
                  <w:spacing w:after="0"/>
                  <w:rPr>
                    <w:szCs w:val="24"/>
                    <w:lang w:val="es-ES"/>
                  </w:rPr>
                </w:pPr>
                <w:r w:rsidRPr="00790FC6">
                  <w:rPr>
                    <w:szCs w:val="24"/>
                    <w:lang w:val="es-ES"/>
                  </w:rPr>
                  <w:t>Erwan.Marteil@ec.europa.eu</w:t>
                </w:r>
              </w:p>
              <w:p w14:paraId="714DA989" w14:textId="2D9D2C37" w:rsidR="00E21DBD" w:rsidRPr="00C20DED" w:rsidRDefault="00C20DED" w:rsidP="00C20DED">
                <w:pPr>
                  <w:spacing w:after="0"/>
                  <w:rPr>
                    <w:szCs w:val="24"/>
                    <w:lang w:val="es-ES"/>
                  </w:rPr>
                </w:pPr>
                <w:r w:rsidRPr="00790FC6">
                  <w:rPr>
                    <w:szCs w:val="24"/>
                    <w:lang w:val="es-ES"/>
                  </w:rPr>
                  <w:t>+32 2 29 64602</w:t>
                </w:r>
                <w:r>
                  <w:rPr>
                    <w:szCs w:val="24"/>
                    <w:lang w:val="es-ES"/>
                  </w:rPr>
                  <w:t>/ +32 460 761504</w:t>
                </w:r>
              </w:p>
            </w:sdtContent>
          </w:sdt>
          <w:p w14:paraId="34CF737A" w14:textId="45AAFFF7" w:rsidR="00E21DBD" w:rsidRPr="0007110E" w:rsidRDefault="00E941B3"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C20DED">
                  <w:rPr>
                    <w:bCs/>
                    <w:lang w:val="en-IE" w:eastAsia="en-GB"/>
                  </w:rPr>
                  <w:t>4</w:t>
                </w:r>
                <w:r w:rsidR="00C20DED" w:rsidRPr="00C20DED">
                  <w:rPr>
                    <w:bCs/>
                    <w:vertAlign w:val="superscript"/>
                    <w:lang w:val="en-IE" w:eastAsia="en-GB"/>
                  </w:rPr>
                  <w:t>th</w:t>
                </w:r>
                <w:r w:rsidR="00C20DED">
                  <w:rPr>
                    <w:bCs/>
                    <w:lang w:val="en-IE" w:eastAsia="en-GB"/>
                  </w:rPr>
                  <w:t xml:space="preserve"> </w:t>
                </w:r>
              </w:sdtContent>
            </w:sdt>
            <w:r w:rsidR="00E21DBD" w:rsidRPr="0007110E">
              <w:rPr>
                <w:bCs/>
                <w:lang w:val="en-IE" w:eastAsia="en-GB"/>
              </w:rPr>
              <w:t xml:space="preserve">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C20DED">
                  <w:rPr>
                    <w:bCs/>
                    <w:lang w:val="en-IE" w:eastAsia="en-GB"/>
                  </w:rPr>
                  <w:t>2024</w:t>
                </w:r>
              </w:sdtContent>
            </w:sdt>
          </w:p>
          <w:p w14:paraId="158DD156" w14:textId="07D59C18" w:rsidR="00E21DBD" w:rsidRPr="0007110E" w:rsidRDefault="00E941B3"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21DBD" w:rsidRPr="0007110E">
                  <w:rPr>
                    <w:bCs/>
                    <w:lang w:val="en-IE" w:eastAsia="en-GB"/>
                  </w:rPr>
                  <w:t>…</w:t>
                </w:r>
                <w:r w:rsidR="00C20DED">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C20DED">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17C14FB"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lang w:eastAsia="en-GB"/>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14E4D80C"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E941B3"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26B3C756" w:rsidR="0040388A" w:rsidRPr="0007110E" w:rsidRDefault="00E941B3"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F15822">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F15822" w:rsidRPr="0007110E">
                  <w:rPr>
                    <w:rStyle w:val="PlaceholderText"/>
                    <w:bCs/>
                  </w:rPr>
                  <w:t xml:space="preserve"> </w:t>
                </w:r>
                <w:r w:rsidR="00F15822">
                  <w:rPr>
                    <w:rStyle w:val="PlaceholderText"/>
                    <w:bCs/>
                  </w:rPr>
                  <w:t>….</w:t>
                </w:r>
                <w:r w:rsidR="00F15822" w:rsidRPr="0007110E">
                  <w:rPr>
                    <w:rStyle w:val="PlaceholderText"/>
                    <w:bCs/>
                  </w:rPr>
                  <w:t xml:space="preserve">    </w:t>
                </w:r>
              </w:sdtContent>
            </w:sdt>
          </w:p>
          <w:p w14:paraId="265CD5A1" w14:textId="0FD11D7C" w:rsidR="0040388A" w:rsidRDefault="00E941B3"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F33F7BD"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663B431"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3" o:title=""/>
                </v:shape>
                <w:control r:id="rId24" w:name="OptionButton2" w:shapeid="_x0000_i1045"/>
              </w:object>
            </w:r>
            <w:r>
              <w:rPr>
                <w:bCs/>
                <w:szCs w:val="24"/>
                <w:lang w:eastAsia="en-GB"/>
              </w:rPr>
              <w:object w:dxaOrig="225" w:dyaOrig="225" w14:anchorId="0992615F">
                <v:shape id="_x0000_i1047" type="#_x0000_t75" style="width:108pt;height:21.75pt" o:ole="">
                  <v:imagedata r:id="rId25" o:title=""/>
                </v:shape>
                <w:control r:id="rId26" w:name="OptionButton3" w:shapeid="_x0000_i1047"/>
              </w:object>
            </w:r>
          </w:p>
          <w:p w14:paraId="42C9AD79" w14:textId="37E1614C"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9-25T00:00:00Z">
                  <w:dateFormat w:val="dd-MM-yyyy"/>
                  <w:lid w:val="fr-BE"/>
                  <w:storeMappedDataAs w:val="dateTime"/>
                  <w:calendar w:val="gregorian"/>
                </w:date>
              </w:sdtPr>
              <w:sdtEndPr/>
              <w:sdtContent>
                <w:r w:rsidR="00E941B3">
                  <w:rPr>
                    <w:bCs/>
                    <w:lang w:val="fr-BE" w:eastAsia="en-GB"/>
                  </w:rPr>
                  <w:t>25-09-2024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szCs w:val="24"/>
          <w:lang w:val="en-US" w:eastAsia="en-GB"/>
        </w:rPr>
        <w:id w:val="1822233941"/>
        <w:placeholder>
          <w:docPart w:val="A1D7C4E93E5D41968C9784C962AACA55"/>
        </w:placeholder>
      </w:sdtPr>
      <w:sdtEndPr/>
      <w:sdtContent>
        <w:p w14:paraId="59DD0438" w14:textId="79AC4EFE" w:rsidR="00E21DBD" w:rsidRPr="00C20DED" w:rsidRDefault="00C20DED" w:rsidP="00C504C7">
          <w:pPr>
            <w:rPr>
              <w:szCs w:val="24"/>
              <w:lang w:val="en-US" w:eastAsia="en-GB"/>
            </w:rPr>
          </w:pPr>
          <w:r w:rsidRPr="00C20DED">
            <w:rPr>
              <w:color w:val="323130"/>
              <w:szCs w:val="24"/>
              <w:shd w:val="clear" w:color="auto" w:fill="FFFFFF"/>
            </w:rPr>
            <w:t>Unit ECHO B3 promotes capacity building for disaster prevention and preparedness in Member States and Participating States of the Union Civil Protection Mechanism (UCPM) to support the implementation of the Union Disaster Resilience Goals. It does so through the below technical, financial and knowledge tools. </w:t>
          </w:r>
        </w:p>
      </w:sdtContent>
    </w:sdt>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lastRenderedPageBreak/>
        <w:t>Job Presentation (We propose)</w:t>
      </w:r>
    </w:p>
    <w:sdt>
      <w:sdtPr>
        <w:rPr>
          <w:lang w:val="en-US" w:eastAsia="en-GB"/>
        </w:rPr>
        <w:id w:val="-723136291"/>
        <w:placeholder>
          <w:docPart w:val="84FB87486BC94E5EB76E972E1BD8265B"/>
        </w:placeholder>
      </w:sdtPr>
      <w:sdtEndPr/>
      <w:sdtContent>
        <w:p w14:paraId="2D39AEBC" w14:textId="77777777" w:rsidR="00C20DED" w:rsidRPr="00790FC6" w:rsidRDefault="00C20DED" w:rsidP="00C20DED">
          <w:pPr>
            <w:tabs>
              <w:tab w:val="left" w:pos="8397"/>
            </w:tabs>
            <w:spacing w:after="0"/>
            <w:ind w:right="-2"/>
            <w:rPr>
              <w:szCs w:val="24"/>
            </w:rPr>
          </w:pPr>
          <w:r w:rsidRPr="00790FC6">
            <w:rPr>
              <w:szCs w:val="24"/>
            </w:rPr>
            <w:t>The job holder will contribute to prevention and preparedness activities of the Union Civil Protection Mechanism. (</w:t>
          </w:r>
          <w:r w:rsidRPr="00790FC6">
            <w:rPr>
              <w:color w:val="000000"/>
              <w:szCs w:val="24"/>
            </w:rPr>
            <w:t>S)he will contribute to the development, coordination and monitoring of policies and actions relevant to the Union Civil Protection Knowledge Network, with a focus on capacity building.</w:t>
          </w:r>
        </w:p>
        <w:p w14:paraId="18F129B5" w14:textId="77777777" w:rsidR="00C20DED" w:rsidRPr="00790FC6" w:rsidRDefault="00C20DED" w:rsidP="00C20DED">
          <w:pPr>
            <w:spacing w:after="0"/>
            <w:ind w:right="1317"/>
            <w:rPr>
              <w:szCs w:val="24"/>
            </w:rPr>
          </w:pPr>
        </w:p>
        <w:p w14:paraId="3EE6102E" w14:textId="283E23ED" w:rsidR="00C20DED" w:rsidRPr="00C20DED" w:rsidRDefault="00C20DED" w:rsidP="00C20DED">
          <w:pPr>
            <w:spacing w:after="0"/>
            <w:rPr>
              <w:color w:val="000000"/>
              <w:szCs w:val="24"/>
            </w:rPr>
          </w:pPr>
          <w:r w:rsidRPr="00790FC6">
            <w:rPr>
              <w:color w:val="000000"/>
              <w:szCs w:val="24"/>
            </w:rPr>
            <w:t xml:space="preserve">Under the supervision of </w:t>
          </w:r>
          <w:r w:rsidRPr="00790FC6">
            <w:rPr>
              <w:szCs w:val="24"/>
            </w:rPr>
            <w:t>a Commission official</w:t>
          </w:r>
          <w:r w:rsidRPr="00790FC6">
            <w:rPr>
              <w:color w:val="000000"/>
              <w:szCs w:val="24"/>
            </w:rPr>
            <w:t>, (s)he will proactively contribute to the development and management of the Knowledge Network with its diverse branches and activities. S/he will also contribute to community building and outreach activities (e.g., workshops, webinars, etc.) that respond to newly emerging needs and priorities under the Knowledge Network.</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szCs w:val="24"/>
          <w:lang w:val="en-US" w:eastAsia="en-GB"/>
        </w:rPr>
        <w:id w:val="-209197804"/>
        <w:placeholder>
          <w:docPart w:val="D53C757808094631B3D30FCCF370CC97"/>
        </w:placeholder>
      </w:sdtPr>
      <w:sdtEndPr/>
      <w:sdtContent>
        <w:p w14:paraId="18CED493" w14:textId="77777777" w:rsidR="00C20DED" w:rsidRPr="002C4DC1" w:rsidRDefault="00C20DED" w:rsidP="00C20DED">
          <w:pPr>
            <w:spacing w:after="0"/>
            <w:ind w:right="-14"/>
            <w:rPr>
              <w:szCs w:val="24"/>
            </w:rPr>
          </w:pPr>
          <w:r w:rsidRPr="002C4DC1">
            <w:rPr>
              <w:szCs w:val="24"/>
            </w:rPr>
            <w:t xml:space="preserve">The job holder, under the supervision of a Commission official, will in particular: </w:t>
          </w:r>
        </w:p>
        <w:p w14:paraId="51BDDD26" w14:textId="77777777" w:rsidR="00C20DED" w:rsidRPr="002C4DC1" w:rsidRDefault="00C20DED" w:rsidP="00C20DED">
          <w:pPr>
            <w:pStyle w:val="ListParagraph"/>
            <w:numPr>
              <w:ilvl w:val="0"/>
              <w:numId w:val="34"/>
            </w:numPr>
            <w:spacing w:after="0" w:line="240" w:lineRule="auto"/>
            <w:ind w:right="-14"/>
            <w:contextualSpacing w:val="0"/>
            <w:jc w:val="both"/>
            <w:rPr>
              <w:rFonts w:ascii="Times New Roman" w:hAnsi="Times New Roman" w:cs="Times New Roman"/>
              <w:sz w:val="24"/>
              <w:szCs w:val="24"/>
              <w:lang w:val="en-GB"/>
            </w:rPr>
          </w:pPr>
          <w:r w:rsidRPr="002C4DC1">
            <w:rPr>
              <w:rFonts w:ascii="Times New Roman" w:hAnsi="Times New Roman" w:cs="Times New Roman"/>
              <w:sz w:val="24"/>
              <w:szCs w:val="24"/>
              <w:lang w:val="en-GB"/>
            </w:rPr>
            <w:t xml:space="preserve">Contribute to policy making and strategic reflection on the development of the Knowledge Network through the analysis of trends, opportunities, and innovative solutions in the sector. </w:t>
          </w:r>
        </w:p>
        <w:p w14:paraId="7BD9DB29" w14:textId="77777777" w:rsidR="00C20DED" w:rsidRPr="002C4DC1" w:rsidRDefault="00C20DED" w:rsidP="00C20DED">
          <w:pPr>
            <w:pStyle w:val="ListParagraph"/>
            <w:numPr>
              <w:ilvl w:val="0"/>
              <w:numId w:val="34"/>
            </w:numPr>
            <w:spacing w:after="0" w:line="240" w:lineRule="auto"/>
            <w:ind w:right="-14"/>
            <w:contextualSpacing w:val="0"/>
            <w:jc w:val="both"/>
            <w:rPr>
              <w:rFonts w:ascii="Times New Roman" w:hAnsi="Times New Roman" w:cs="Times New Roman"/>
              <w:sz w:val="24"/>
              <w:szCs w:val="24"/>
              <w:lang w:val="en-GB"/>
            </w:rPr>
          </w:pPr>
          <w:r w:rsidRPr="002C4DC1">
            <w:rPr>
              <w:rFonts w:ascii="Times New Roman" w:hAnsi="Times New Roman" w:cs="Times New Roman"/>
              <w:sz w:val="24"/>
              <w:szCs w:val="24"/>
              <w:lang w:val="en-GB"/>
            </w:rPr>
            <w:t xml:space="preserve">Design, develop and manage various activities, including those where the Commission acts as the Secretariat of the Knowledge Network. </w:t>
          </w:r>
        </w:p>
        <w:p w14:paraId="6FB9A45C" w14:textId="77777777" w:rsidR="00C20DED" w:rsidRPr="002C4DC1" w:rsidRDefault="00C20DED" w:rsidP="00C20DED">
          <w:pPr>
            <w:pStyle w:val="ListParagraph"/>
            <w:numPr>
              <w:ilvl w:val="0"/>
              <w:numId w:val="34"/>
            </w:numPr>
            <w:spacing w:after="0" w:line="240" w:lineRule="auto"/>
            <w:ind w:right="-14"/>
            <w:contextualSpacing w:val="0"/>
            <w:jc w:val="both"/>
            <w:rPr>
              <w:rFonts w:ascii="Times New Roman" w:hAnsi="Times New Roman" w:cs="Times New Roman"/>
              <w:sz w:val="24"/>
              <w:szCs w:val="24"/>
              <w:lang w:val="en-GB"/>
            </w:rPr>
          </w:pPr>
          <w:r w:rsidRPr="002C4DC1">
            <w:rPr>
              <w:rFonts w:ascii="Times New Roman" w:hAnsi="Times New Roman" w:cs="Times New Roman"/>
              <w:sz w:val="24"/>
              <w:szCs w:val="24"/>
              <w:lang w:val="en-GB"/>
            </w:rPr>
            <w:t xml:space="preserve">Contribute to the procurement and grant management processes in relation to those activities (call for tenders/proposals, evaluation, contract follow-up and project monitoring). </w:t>
          </w:r>
        </w:p>
        <w:p w14:paraId="3FE34FFD" w14:textId="77777777" w:rsidR="00C20DED" w:rsidRPr="002C4DC1" w:rsidRDefault="00C20DED" w:rsidP="00C20DED">
          <w:pPr>
            <w:pStyle w:val="ListParagraph"/>
            <w:numPr>
              <w:ilvl w:val="0"/>
              <w:numId w:val="34"/>
            </w:numPr>
            <w:spacing w:after="0" w:line="240" w:lineRule="auto"/>
            <w:ind w:right="-14"/>
            <w:contextualSpacing w:val="0"/>
            <w:jc w:val="both"/>
            <w:rPr>
              <w:rFonts w:ascii="Times New Roman" w:hAnsi="Times New Roman" w:cs="Times New Roman"/>
              <w:sz w:val="24"/>
              <w:szCs w:val="24"/>
              <w:lang w:val="en-GB"/>
            </w:rPr>
          </w:pPr>
          <w:r w:rsidRPr="002C4DC1">
            <w:rPr>
              <w:rFonts w:ascii="Times New Roman" w:hAnsi="Times New Roman" w:cs="Times New Roman"/>
              <w:sz w:val="24"/>
              <w:szCs w:val="24"/>
              <w:lang w:val="en-GB"/>
            </w:rPr>
            <w:t xml:space="preserve">Contribute to the coordination of the bodies related to the functioning of the Knowledge Network and their activities. </w:t>
          </w:r>
        </w:p>
        <w:p w14:paraId="0E806C6A" w14:textId="77777777" w:rsidR="00C20DED" w:rsidRPr="002C4DC1" w:rsidRDefault="00C20DED" w:rsidP="00C20DED">
          <w:pPr>
            <w:pStyle w:val="ListParagraph"/>
            <w:numPr>
              <w:ilvl w:val="0"/>
              <w:numId w:val="34"/>
            </w:numPr>
            <w:spacing w:after="0" w:line="240" w:lineRule="auto"/>
            <w:ind w:right="-14"/>
            <w:contextualSpacing w:val="0"/>
            <w:jc w:val="both"/>
            <w:rPr>
              <w:rFonts w:ascii="Times New Roman" w:hAnsi="Times New Roman" w:cs="Times New Roman"/>
              <w:sz w:val="24"/>
              <w:szCs w:val="24"/>
              <w:lang w:val="en-GB"/>
            </w:rPr>
          </w:pPr>
          <w:r w:rsidRPr="002C4DC1">
            <w:rPr>
              <w:rFonts w:ascii="Times New Roman" w:hAnsi="Times New Roman" w:cs="Times New Roman"/>
              <w:sz w:val="24"/>
              <w:szCs w:val="24"/>
              <w:lang w:val="en-GB"/>
            </w:rPr>
            <w:t xml:space="preserve">Contribute to stakeholder communication, awareness raising and risk communication activities. </w:t>
          </w:r>
        </w:p>
        <w:p w14:paraId="6FCBC744" w14:textId="77777777" w:rsidR="00C20DED" w:rsidRPr="002C4DC1" w:rsidRDefault="00C20DED" w:rsidP="00C20DED">
          <w:pPr>
            <w:spacing w:after="0"/>
            <w:ind w:right="-14"/>
            <w:rPr>
              <w:szCs w:val="24"/>
            </w:rPr>
          </w:pPr>
        </w:p>
        <w:p w14:paraId="0E98388C" w14:textId="0108CA8A" w:rsidR="004F68E1" w:rsidRPr="002C4DC1" w:rsidRDefault="004F68E1" w:rsidP="004F68E1">
          <w:pPr>
            <w:spacing w:after="0"/>
            <w:ind w:right="62"/>
            <w:rPr>
              <w:szCs w:val="24"/>
              <w:lang w:val="en-US"/>
            </w:rPr>
          </w:pPr>
          <w:r w:rsidRPr="002C4DC1">
            <w:rPr>
              <w:szCs w:val="24"/>
              <w:lang w:val="en-US"/>
            </w:rPr>
            <w:t xml:space="preserve">The candidate should have solid organisational skills and should have excellent drafting skills. Team spirit is essential.  </w:t>
          </w:r>
        </w:p>
        <w:p w14:paraId="00BDFEEC" w14:textId="77777777" w:rsidR="004F68E1" w:rsidRPr="002C4DC1" w:rsidRDefault="004F68E1" w:rsidP="004F68E1">
          <w:pPr>
            <w:spacing w:after="0"/>
            <w:ind w:right="62"/>
            <w:rPr>
              <w:szCs w:val="24"/>
              <w:lang w:val="en-US"/>
            </w:rPr>
          </w:pPr>
        </w:p>
        <w:p w14:paraId="13E94FB8" w14:textId="77777777" w:rsidR="004F68E1" w:rsidRPr="002C4DC1" w:rsidRDefault="004F68E1" w:rsidP="004F68E1">
          <w:pPr>
            <w:spacing w:after="0"/>
            <w:ind w:right="62"/>
            <w:rPr>
              <w:szCs w:val="24"/>
              <w:lang w:val="en-US"/>
            </w:rPr>
          </w:pPr>
          <w:r w:rsidRPr="002C4DC1">
            <w:rPr>
              <w:szCs w:val="24"/>
              <w:lang w:val="en-US"/>
            </w:rPr>
            <w:t>Emergency management, such as experience in civil protection, disaster management, humanitarian aid, would be an asset. Experience in project management would also be considered an asset.</w:t>
          </w:r>
        </w:p>
        <w:p w14:paraId="6E1A84B0" w14:textId="77777777" w:rsidR="004F68E1" w:rsidRPr="002C4DC1" w:rsidRDefault="004F68E1" w:rsidP="004F68E1">
          <w:pPr>
            <w:spacing w:after="0"/>
            <w:ind w:right="62"/>
            <w:rPr>
              <w:szCs w:val="24"/>
              <w:lang w:val="en-US"/>
            </w:rPr>
          </w:pPr>
        </w:p>
        <w:p w14:paraId="77A874B6" w14:textId="77777777" w:rsidR="00C20DED" w:rsidRPr="002C4DC1" w:rsidRDefault="00C20DED" w:rsidP="00C20DED">
          <w:pPr>
            <w:spacing w:after="0"/>
            <w:ind w:right="-14"/>
            <w:rPr>
              <w:szCs w:val="24"/>
            </w:rPr>
          </w:pPr>
          <w:r w:rsidRPr="002C4DC1">
            <w:rPr>
              <w:szCs w:val="24"/>
            </w:rPr>
            <w:t xml:space="preserve">The job assignment requires flexibility as regard to working hours and travels. </w:t>
          </w:r>
        </w:p>
        <w:p w14:paraId="14925172" w14:textId="77777777" w:rsidR="00C20DED" w:rsidRPr="002C4DC1" w:rsidRDefault="00C20DED" w:rsidP="00C20DED">
          <w:pPr>
            <w:spacing w:after="0"/>
            <w:ind w:right="-14"/>
            <w:rPr>
              <w:szCs w:val="24"/>
            </w:rPr>
          </w:pPr>
        </w:p>
        <w:p w14:paraId="4C4B4879" w14:textId="77777777" w:rsidR="00C20DED" w:rsidRPr="002C4DC1" w:rsidRDefault="00C20DED" w:rsidP="00C20DED">
          <w:pPr>
            <w:spacing w:after="0"/>
            <w:ind w:right="-14"/>
            <w:rPr>
              <w:szCs w:val="24"/>
            </w:rPr>
          </w:pPr>
          <w:r w:rsidRPr="002C4DC1">
            <w:rPr>
              <w:szCs w:val="24"/>
            </w:rPr>
            <w:t xml:space="preserve">In no case, the job holder shall represent the Commission for legal and financial matters or shall negotiate on behalf of the Commission. </w:t>
          </w:r>
        </w:p>
        <w:p w14:paraId="7F281D6C" w14:textId="77777777" w:rsidR="00C20DED" w:rsidRPr="002C4DC1" w:rsidRDefault="00C20DED" w:rsidP="00C20DED">
          <w:pPr>
            <w:spacing w:after="0"/>
            <w:ind w:right="-14"/>
            <w:rPr>
              <w:szCs w:val="24"/>
            </w:rPr>
          </w:pPr>
        </w:p>
        <w:p w14:paraId="40FDC5C6" w14:textId="6F49B833" w:rsidR="00C20DED" w:rsidRPr="002C4DC1" w:rsidRDefault="00C20DED" w:rsidP="00C20DED">
          <w:pPr>
            <w:spacing w:after="0"/>
            <w:rPr>
              <w:szCs w:val="24"/>
            </w:rPr>
          </w:pPr>
          <w:r w:rsidRPr="002C4DC1">
            <w:rPr>
              <w:szCs w:val="24"/>
            </w:rPr>
            <w:t>Due to the nature of DG ECHO's mandate, the DG must be able to respond rapidly in times of crisis. A flexible approach might be requested from the job holder with respect to his/her responsibilities and travels.</w:t>
          </w:r>
          <w:r w:rsidRPr="002C4DC1">
            <w:rPr>
              <w:color w:val="1F497D"/>
              <w:szCs w:val="24"/>
            </w:rPr>
            <w:t xml:space="preserve"> </w:t>
          </w:r>
          <w:r w:rsidRPr="002C4DC1">
            <w:rPr>
              <w:szCs w:val="24"/>
            </w:rPr>
            <w:t>S/he could be called to act as a UCPM liaison officer for disaster response inside and outside the European Union.</w:t>
          </w:r>
        </w:p>
        <w:p w14:paraId="51994EDB" w14:textId="62991B6A" w:rsidR="002E40A9" w:rsidRPr="002C4DC1" w:rsidRDefault="00E941B3" w:rsidP="00C20DED">
          <w:pPr>
            <w:spacing w:after="0"/>
            <w:rPr>
              <w:szCs w:val="24"/>
              <w:lang w:val="en-US" w:eastAsia="en-GB"/>
            </w:rPr>
          </w:pPr>
        </w:p>
      </w:sdtContent>
    </w:sdt>
    <w:bookmarkEnd w:id="2"/>
    <w:p w14:paraId="17A4561D" w14:textId="2857CBE0" w:rsidR="00E21DBD" w:rsidRPr="002C4DC1" w:rsidRDefault="00DF1E49" w:rsidP="00252050">
      <w:pPr>
        <w:pStyle w:val="ListNumber"/>
        <w:keepNext/>
        <w:numPr>
          <w:ilvl w:val="0"/>
          <w:numId w:val="0"/>
        </w:numPr>
        <w:ind w:left="709" w:hanging="709"/>
        <w:rPr>
          <w:b/>
          <w:bCs/>
          <w:szCs w:val="24"/>
          <w:u w:val="single"/>
          <w:lang w:val="en-US" w:eastAsia="en-GB"/>
        </w:rPr>
      </w:pPr>
      <w:r w:rsidRPr="002C4DC1">
        <w:rPr>
          <w:b/>
          <w:bCs/>
          <w:szCs w:val="24"/>
          <w:u w:val="single"/>
          <w:lang w:val="en-US" w:eastAsia="en-GB"/>
        </w:rPr>
        <w:lastRenderedPageBreak/>
        <w:t>Eligibility criteria</w:t>
      </w:r>
    </w:p>
    <w:p w14:paraId="4351CD9B" w14:textId="329965A0" w:rsidR="00E21DBD" w:rsidRPr="002C4DC1" w:rsidRDefault="00E21DBD" w:rsidP="00252050">
      <w:pPr>
        <w:keepNext/>
        <w:rPr>
          <w:szCs w:val="24"/>
          <w:lang w:eastAsia="en-GB"/>
        </w:rPr>
      </w:pPr>
      <w:r w:rsidRPr="002C4DC1">
        <w:rPr>
          <w:szCs w:val="24"/>
          <w:lang w:eastAsia="en-GB"/>
        </w:rPr>
        <w:t xml:space="preserve">The secondment will be governed by the </w:t>
      </w:r>
      <w:r w:rsidRPr="002C4DC1">
        <w:rPr>
          <w:b/>
          <w:szCs w:val="24"/>
          <w:lang w:eastAsia="en-GB"/>
        </w:rPr>
        <w:t>Commission Decision C(2008)</w:t>
      </w:r>
      <w:r w:rsidR="00DF1E49" w:rsidRPr="002C4DC1">
        <w:rPr>
          <w:b/>
          <w:szCs w:val="24"/>
          <w:lang w:eastAsia="en-GB"/>
        </w:rPr>
        <w:t xml:space="preserve"> </w:t>
      </w:r>
      <w:r w:rsidRPr="002C4DC1">
        <w:rPr>
          <w:b/>
          <w:szCs w:val="24"/>
          <w:lang w:eastAsia="en-GB"/>
        </w:rPr>
        <w:t xml:space="preserve">6866 </w:t>
      </w:r>
      <w:r w:rsidRPr="002C4DC1">
        <w:rPr>
          <w:bCs/>
          <w:szCs w:val="24"/>
          <w:lang w:eastAsia="en-GB"/>
        </w:rPr>
        <w:t xml:space="preserve">of 12/11/2008 </w:t>
      </w:r>
      <w:r w:rsidRPr="002C4DC1">
        <w:rPr>
          <w:szCs w:val="24"/>
          <w:lang w:eastAsia="en-GB"/>
        </w:rPr>
        <w:t>laying down rules on the secondment to the Commission of national experts and national experts in professional training (SNE Decision).</w:t>
      </w:r>
    </w:p>
    <w:p w14:paraId="34498A87" w14:textId="12420708" w:rsidR="00E21DBD" w:rsidRPr="002C4DC1" w:rsidRDefault="00E21DBD" w:rsidP="009A2F00">
      <w:pPr>
        <w:rPr>
          <w:szCs w:val="24"/>
          <w:lang w:val="en-US" w:eastAsia="en-GB"/>
        </w:rPr>
      </w:pPr>
      <w:r w:rsidRPr="002C4DC1">
        <w:rPr>
          <w:szCs w:val="24"/>
          <w:lang w:val="en-US" w:eastAsia="en-GB"/>
        </w:rPr>
        <w:t xml:space="preserve">Under the terms of </w:t>
      </w:r>
      <w:r w:rsidR="005168AD" w:rsidRPr="002C4DC1">
        <w:rPr>
          <w:szCs w:val="24"/>
          <w:lang w:val="en-US" w:eastAsia="en-GB"/>
        </w:rPr>
        <w:t>the SNE</w:t>
      </w:r>
      <w:r w:rsidRPr="002C4DC1">
        <w:rPr>
          <w:szCs w:val="24"/>
          <w:lang w:val="en-US" w:eastAsia="en-GB"/>
        </w:rPr>
        <w:t xml:space="preserve"> Decision, </w:t>
      </w:r>
      <w:r w:rsidR="00B73F08" w:rsidRPr="002C4DC1">
        <w:rPr>
          <w:szCs w:val="24"/>
          <w:lang w:val="en-US" w:eastAsia="en-GB"/>
        </w:rPr>
        <w:t>you</w:t>
      </w:r>
      <w:r w:rsidRPr="002C4DC1">
        <w:rPr>
          <w:szCs w:val="24"/>
          <w:lang w:val="en-US" w:eastAsia="en-GB"/>
        </w:rPr>
        <w:t xml:space="preserve"> need to comply with the following eligibility criteria at </w:t>
      </w:r>
      <w:r w:rsidRPr="002C4DC1">
        <w:rPr>
          <w:b/>
          <w:bCs/>
          <w:szCs w:val="24"/>
          <w:lang w:val="en-US" w:eastAsia="en-GB"/>
        </w:rPr>
        <w:t>the starting date</w:t>
      </w:r>
      <w:r w:rsidRPr="002C4DC1">
        <w:rPr>
          <w:szCs w:val="24"/>
          <w:lang w:val="en-US" w:eastAsia="en-GB"/>
        </w:rPr>
        <w:t xml:space="preserve"> of the secondment:</w:t>
      </w:r>
    </w:p>
    <w:p w14:paraId="2A82F38A" w14:textId="4F2D910B" w:rsidR="00E21DBD" w:rsidRPr="002C4DC1" w:rsidRDefault="00E21DBD" w:rsidP="00B73F08">
      <w:pPr>
        <w:pStyle w:val="ListBullet"/>
        <w:rPr>
          <w:szCs w:val="24"/>
          <w:lang w:val="en-US" w:eastAsia="en-GB"/>
        </w:rPr>
      </w:pPr>
      <w:r w:rsidRPr="002C4DC1">
        <w:rPr>
          <w:szCs w:val="24"/>
          <w:u w:val="single"/>
          <w:lang w:val="en-US" w:eastAsia="en-GB"/>
        </w:rPr>
        <w:t>Professional experience:</w:t>
      </w:r>
      <w:r w:rsidRPr="002C4DC1">
        <w:rPr>
          <w:szCs w:val="24"/>
          <w:lang w:val="en-US" w:eastAsia="en-GB"/>
        </w:rPr>
        <w:t xml:space="preserve"> at least three years of professional experience in administrative, legal, scientific, technical, advisory or supervisory functions which are equivalent to those of function group AD</w:t>
      </w:r>
      <w:r w:rsidR="009A2F00" w:rsidRPr="002C4DC1">
        <w:rPr>
          <w:szCs w:val="24"/>
          <w:lang w:val="en-US" w:eastAsia="en-GB"/>
        </w:rPr>
        <w:t>.</w:t>
      </w:r>
    </w:p>
    <w:p w14:paraId="47ED62CE" w14:textId="0A148AC9" w:rsidR="00E21DBD" w:rsidRPr="00902D72" w:rsidRDefault="00E21DBD" w:rsidP="00B73F08">
      <w:pPr>
        <w:pStyle w:val="ListBullet"/>
        <w:rPr>
          <w:lang w:val="en-US" w:eastAsia="en-GB"/>
        </w:rPr>
      </w:pPr>
      <w:r w:rsidRPr="002C4DC1">
        <w:rPr>
          <w:szCs w:val="24"/>
          <w:u w:val="single"/>
          <w:lang w:val="en-US" w:eastAsia="en-GB"/>
        </w:rPr>
        <w:t>Seniority:</w:t>
      </w:r>
      <w:r w:rsidRPr="002C4DC1">
        <w:rPr>
          <w:szCs w:val="24"/>
          <w:lang w:val="en-US" w:eastAsia="en-GB"/>
        </w:rPr>
        <w:t xml:space="preserve"> having worked for at least one full year </w:t>
      </w:r>
      <w:r w:rsidR="009A2F00" w:rsidRPr="002C4DC1">
        <w:rPr>
          <w:szCs w:val="24"/>
          <w:lang w:val="en-US" w:eastAsia="en-GB"/>
        </w:rPr>
        <w:t xml:space="preserve">(12 months) </w:t>
      </w:r>
      <w:r w:rsidRPr="002C4DC1">
        <w:rPr>
          <w:szCs w:val="24"/>
          <w:lang w:val="en-US" w:eastAsia="en-GB"/>
        </w:rPr>
        <w:t xml:space="preserve">with </w:t>
      </w:r>
      <w:r w:rsidR="00B73F08" w:rsidRPr="002C4DC1">
        <w:rPr>
          <w:szCs w:val="24"/>
          <w:lang w:val="en-US" w:eastAsia="en-GB"/>
        </w:rPr>
        <w:t xml:space="preserve">your </w:t>
      </w:r>
      <w:r w:rsidRPr="002C4DC1">
        <w:rPr>
          <w:szCs w:val="24"/>
          <w:lang w:val="en-US" w:eastAsia="en-GB"/>
        </w:rPr>
        <w:t>current employer on a permanent or contract</w:t>
      </w:r>
      <w:r w:rsidRPr="00902D72">
        <w:rPr>
          <w:lang w:val="en-US" w:eastAsia="en-GB"/>
        </w:rPr>
        <w:t xml:space="preserve">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w:t>
      </w:r>
      <w:r>
        <w:rPr>
          <w:lang w:eastAsia="en-GB"/>
        </w:rPr>
        <w:lastRenderedPageBreak/>
        <w:t>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08652B6"/>
    <w:multiLevelType w:val="hybridMultilevel"/>
    <w:tmpl w:val="DA209E82"/>
    <w:lvl w:ilvl="0" w:tplc="DEA01AA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2"/>
  </w:num>
  <w:num w:numId="2" w16cid:durableId="545487891">
    <w:abstractNumId w:val="15"/>
  </w:num>
  <w:num w:numId="3" w16cid:durableId="1086658250">
    <w:abstractNumId w:val="10"/>
  </w:num>
  <w:num w:numId="4" w16cid:durableId="1304967038">
    <w:abstractNumId w:val="16"/>
  </w:num>
  <w:num w:numId="5" w16cid:durableId="1625841798">
    <w:abstractNumId w:val="21"/>
  </w:num>
  <w:num w:numId="6" w16cid:durableId="1581711852">
    <w:abstractNumId w:val="23"/>
  </w:num>
  <w:num w:numId="7" w16cid:durableId="2010597269">
    <w:abstractNumId w:val="3"/>
  </w:num>
  <w:num w:numId="8" w16cid:durableId="154227337">
    <w:abstractNumId w:val="9"/>
  </w:num>
  <w:num w:numId="9" w16cid:durableId="835806501">
    <w:abstractNumId w:val="18"/>
  </w:num>
  <w:num w:numId="10" w16cid:durableId="229927604">
    <w:abstractNumId w:val="4"/>
  </w:num>
  <w:num w:numId="11" w16cid:durableId="882864602">
    <w:abstractNumId w:val="6"/>
  </w:num>
  <w:num w:numId="12" w16cid:durableId="1110204864">
    <w:abstractNumId w:val="7"/>
  </w:num>
  <w:num w:numId="13" w16cid:durableId="932594616">
    <w:abstractNumId w:val="11"/>
  </w:num>
  <w:num w:numId="14" w16cid:durableId="1671517048">
    <w:abstractNumId w:val="17"/>
  </w:num>
  <w:num w:numId="15" w16cid:durableId="348874439">
    <w:abstractNumId w:val="20"/>
  </w:num>
  <w:num w:numId="16" w16cid:durableId="788280695">
    <w:abstractNumId w:val="24"/>
  </w:num>
  <w:num w:numId="17" w16cid:durableId="1058630122">
    <w:abstractNumId w:val="12"/>
  </w:num>
  <w:num w:numId="18" w16cid:durableId="2120908136">
    <w:abstractNumId w:val="13"/>
  </w:num>
  <w:num w:numId="19" w16cid:durableId="686714860">
    <w:abstractNumId w:val="25"/>
  </w:num>
  <w:num w:numId="20" w16cid:durableId="422990355">
    <w:abstractNumId w:val="19"/>
  </w:num>
  <w:num w:numId="21" w16cid:durableId="1837307304">
    <w:abstractNumId w:val="22"/>
  </w:num>
  <w:num w:numId="22" w16cid:durableId="302121546">
    <w:abstractNumId w:val="5"/>
  </w:num>
  <w:num w:numId="23" w16cid:durableId="728039549">
    <w:abstractNumId w:val="8"/>
  </w:num>
  <w:num w:numId="24" w16cid:durableId="1971325234">
    <w:abstractNumId w:val="14"/>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2038726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C4DC1"/>
    <w:rsid w:val="002E40A9"/>
    <w:rsid w:val="00394447"/>
    <w:rsid w:val="003E50A4"/>
    <w:rsid w:val="0040388A"/>
    <w:rsid w:val="00431778"/>
    <w:rsid w:val="00454CC7"/>
    <w:rsid w:val="00464195"/>
    <w:rsid w:val="00476034"/>
    <w:rsid w:val="004F68E1"/>
    <w:rsid w:val="005168AD"/>
    <w:rsid w:val="0058240F"/>
    <w:rsid w:val="00592CD5"/>
    <w:rsid w:val="005D1B85"/>
    <w:rsid w:val="00665583"/>
    <w:rsid w:val="00693BC6"/>
    <w:rsid w:val="00696070"/>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20DED"/>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82667"/>
    <w:rsid w:val="00E84FE8"/>
    <w:rsid w:val="00E941B3"/>
    <w:rsid w:val="00E979BA"/>
    <w:rsid w:val="00EB3147"/>
    <w:rsid w:val="00F15822"/>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6AE35A-A4C1-488B-8A80-41955AE84979}">
  <ds:schemaRefs>
    <ds:schemaRef ds:uri="http://purl.org/dc/dcmitype/"/>
    <ds:schemaRef ds:uri="1929b814-5a78-4bdc-9841-d8b9ef424f65"/>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08927195-b699-4be0-9ee2-6c66dc215b5a"/>
    <ds:schemaRef ds:uri="a41a97bf-0494-41d8-ba3d-259bd7771890"/>
    <ds:schemaRef ds:uri="http://schemas.microsoft.com/sharepoint/v3/fields"/>
    <ds:schemaRef ds:uri="http://www.w3.org/XML/1998/namespace"/>
    <ds:schemaRef ds:uri="http://purl.org/dc/terms/"/>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Eurolook.dotm</Template>
  <TotalTime>10</TotalTime>
  <Pages>4</Pages>
  <Words>1117</Words>
  <Characters>6305</Characters>
  <Application>Microsoft Office Word</Application>
  <DocSecurity>0</DocSecurity>
  <PresentationFormat>Microsoft Word 14.0</PresentationFormat>
  <Lines>157</Lines>
  <Paragraphs>74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6</cp:revision>
  <cp:lastPrinted>2023-04-05T10:36:00Z</cp:lastPrinted>
  <dcterms:created xsi:type="dcterms:W3CDTF">2024-06-12T13:28:00Z</dcterms:created>
  <dcterms:modified xsi:type="dcterms:W3CDTF">2024-06-12T14:29:00Z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