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B062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DF97481" w:rsidR="00B65513" w:rsidRPr="0007110E" w:rsidRDefault="00B61B51" w:rsidP="00E82667">
                <w:pPr>
                  <w:tabs>
                    <w:tab w:val="left" w:pos="426"/>
                  </w:tabs>
                  <w:spacing w:before="120"/>
                  <w:rPr>
                    <w:bCs/>
                    <w:lang w:val="en-IE" w:eastAsia="en-GB"/>
                  </w:rPr>
                </w:pPr>
                <w:r>
                  <w:rPr>
                    <w:bCs/>
                    <w:lang w:val="en-IE" w:eastAsia="en-GB"/>
                  </w:rPr>
                  <w:t xml:space="preserve">DG DEFIS </w:t>
                </w:r>
                <w:r w:rsidR="00B56133">
                  <w:rPr>
                    <w:bCs/>
                    <w:lang w:val="en-IE" w:eastAsia="en-GB"/>
                  </w:rPr>
                  <w:t>A1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31133B3" w:rsidR="00D96984" w:rsidRPr="0007110E" w:rsidRDefault="00B56133" w:rsidP="00E82667">
                <w:pPr>
                  <w:tabs>
                    <w:tab w:val="left" w:pos="426"/>
                  </w:tabs>
                  <w:spacing w:before="120"/>
                  <w:rPr>
                    <w:bCs/>
                    <w:lang w:val="en-IE" w:eastAsia="en-GB"/>
                  </w:rPr>
                </w:pPr>
                <w:r w:rsidRPr="00B56133">
                  <w:rPr>
                    <w:bCs/>
                    <w:lang w:val="en-IE" w:eastAsia="en-GB"/>
                  </w:rPr>
                  <w:t>349011</w:t>
                </w:r>
                <w:r>
                  <w:rPr>
                    <w:bCs/>
                    <w:lang w:val="en-IE" w:eastAsia="en-GB"/>
                  </w:rPr>
                  <w:t xml:space="preserve"> </w:t>
                </w:r>
                <w:r w:rsidR="00B61B51">
                  <w:rPr>
                    <w:bCs/>
                    <w:lang w:val="en-IE" w:eastAsia="en-GB"/>
                  </w:rPr>
                  <w:t>available as of 1</w:t>
                </w:r>
                <w:r>
                  <w:rPr>
                    <w:bCs/>
                    <w:lang w:val="en-IE" w:eastAsia="en-GB"/>
                  </w:rPr>
                  <w:t xml:space="preserve"> August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4AEDA53" w:rsidR="00E21DBD" w:rsidRPr="0007110E" w:rsidRDefault="00B56133" w:rsidP="00E82667">
                <w:pPr>
                  <w:tabs>
                    <w:tab w:val="left" w:pos="426"/>
                  </w:tabs>
                  <w:spacing w:before="120"/>
                  <w:rPr>
                    <w:bCs/>
                    <w:lang w:val="en-IE" w:eastAsia="en-GB"/>
                  </w:rPr>
                </w:pPr>
                <w:r w:rsidRPr="00B56133">
                  <w:rPr>
                    <w:bCs/>
                    <w:lang w:val="en-IE" w:eastAsia="en-GB"/>
                  </w:rPr>
                  <w:t>Anne FORT</w:t>
                </w:r>
              </w:p>
            </w:sdtContent>
          </w:sdt>
          <w:p w14:paraId="34CF737A" w14:textId="66028512" w:rsidR="00E21DBD" w:rsidRPr="0007110E" w:rsidRDefault="002B062A"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B56133">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B56133">
                  <w:rPr>
                    <w:bCs/>
                    <w:lang w:val="en-IE" w:eastAsia="en-GB"/>
                  </w:rPr>
                  <w:t>2024</w:t>
                </w:r>
              </w:sdtContent>
            </w:sdt>
          </w:p>
          <w:p w14:paraId="158DD156" w14:textId="4249178C" w:rsidR="00E21DBD" w:rsidRPr="0007110E" w:rsidRDefault="002B062A"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61B5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B61B5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14A7725"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7B0A4E7"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239E765A" w:rsidR="0040388A" w:rsidRPr="0007110E" w:rsidRDefault="002B062A"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B61B51">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57D1C20A"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B61B51">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2B062A"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2B062A"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383F220"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B3DCDC0"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71045798"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9-25T00:00:00Z">
                  <w:dateFormat w:val="dd-MM-yyyy"/>
                  <w:lid w:val="fr-BE"/>
                  <w:storeMappedDataAs w:val="dateTime"/>
                  <w:calendar w:val="gregorian"/>
                </w:date>
              </w:sdtPr>
              <w:sdtEndPr/>
              <w:sdtContent>
                <w:r w:rsidR="002B062A">
                  <w:rPr>
                    <w:bCs/>
                    <w:lang w:val="fr-BE" w:eastAsia="en-GB"/>
                  </w:rPr>
                  <w:t>25-09-2024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B5338F4" w14:textId="04218E46" w:rsidR="005556CE" w:rsidRPr="005556CE" w:rsidRDefault="002B062A" w:rsidP="005556CE">
          <w:pPr>
            <w:rPr>
              <w:lang w:val="en-IE" w:eastAsia="en-GB"/>
            </w:rPr>
          </w:pPr>
          <w:sdt>
            <w:sdtPr>
              <w:rPr>
                <w:lang w:eastAsia="en-GB"/>
              </w:rPr>
              <w:id w:val="1139843560"/>
            </w:sdtPr>
            <w:sdtEndPr/>
            <w:sdtContent>
              <w:r w:rsidR="005556CE" w:rsidRPr="005556CE">
                <w:rPr>
                  <w:lang w:val="en-IE" w:eastAsia="en-GB"/>
                </w:rPr>
                <w:t xml:space="preserve">The mission of Directorate A “Defence Industry” is to promote the sustainable competitiveness of the EU defence industry notably by enhancing its resilience and responsiveness and fostering its innovation capacity. It is also to support a European defence market providing for job creation, skills availability and a level playing field. Against this backdrop, one of the overarching aims pursued is to create framework </w:t>
              </w:r>
              <w:r w:rsidR="005556CE" w:rsidRPr="005556CE">
                <w:rPr>
                  <w:lang w:val="en-IE" w:eastAsia="en-GB"/>
                </w:rPr>
                <w:lastRenderedPageBreak/>
                <w:t>conditions stimulating European cross-border cooperation in the development of defence technologies and capabilities.</w:t>
              </w:r>
            </w:sdtContent>
          </w:sdt>
        </w:p>
        <w:p w14:paraId="2FA99911" w14:textId="77777777" w:rsidR="005556CE" w:rsidRDefault="005556CE" w:rsidP="005556CE">
          <w:pPr>
            <w:rPr>
              <w:lang w:val="en-IE" w:eastAsia="en-GB"/>
            </w:rPr>
          </w:pPr>
          <w:r w:rsidRPr="005556CE">
            <w:rPr>
              <w:lang w:val="en-IE" w:eastAsia="en-GB"/>
            </w:rPr>
            <w:t>A core responsibility of the Directorate in this regard, is to implement the EU’s industrial defence programmes such as the European Defence Fund and its precursor programmes, the Act in Support of Ammunition Production and the European Defence Industry Reinforcement through common Procurement Act, the European Defence Industrial Strategy and the European Defence Industry Programme.</w:t>
          </w:r>
        </w:p>
        <w:p w14:paraId="69459484" w14:textId="2E9A46DD" w:rsidR="002B3CBF" w:rsidRDefault="00B56133" w:rsidP="005556CE">
          <w:pPr>
            <w:rPr>
              <w:b/>
              <w:bCs/>
              <w:lang w:eastAsia="en-GB"/>
            </w:rPr>
          </w:pPr>
          <w:r w:rsidRPr="00B56133">
            <w:rPr>
              <w:lang w:val="en-IE" w:eastAsia="en-GB"/>
            </w:rPr>
            <w:t>The mission of DEFIS A1</w:t>
          </w:r>
          <w:r w:rsidR="005556CE" w:rsidRPr="005556CE">
            <w:rPr>
              <w:lang w:val="en-IE" w:eastAsia="en-GB"/>
            </w:rPr>
            <w:t xml:space="preserve"> </w:t>
          </w:r>
          <w:r w:rsidR="005556CE">
            <w:rPr>
              <w:lang w:val="en-IE" w:eastAsia="en-GB"/>
            </w:rPr>
            <w:t>(</w:t>
          </w:r>
          <w:r w:rsidR="005556CE" w:rsidRPr="00B56133">
            <w:rPr>
              <w:lang w:val="en-IE" w:eastAsia="en-GB"/>
            </w:rPr>
            <w:t>Defence Industrial Policy</w:t>
          </w:r>
          <w:r w:rsidR="005556CE">
            <w:rPr>
              <w:lang w:val="en-IE" w:eastAsia="en-GB"/>
            </w:rPr>
            <w:t>)</w:t>
          </w:r>
          <w:r w:rsidRPr="00B56133">
            <w:rPr>
              <w:lang w:val="en-IE" w:eastAsia="en-GB"/>
            </w:rPr>
            <w:t xml:space="preserve"> is to promote the sustainable competitiveness of the EU defence industry and its adaptation to the new security environment as well as to stimulate the defence internal market contributing to a stronger Europe in the field of security and defence. Unit A1 handles a mix of industrial policy and Single Market tools and is also responsible for ensuring relations with the European Defence Agency (EDA), EEAS (including its Military Staff) and NATO and coherence with other EU initiatives in the field of defence.</w:t>
          </w:r>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hAnsiTheme="minorHAnsi" w:cstheme="minorHAnsi"/>
          <w:szCs w:val="24"/>
          <w:lang w:val="en-US" w:eastAsia="en-GB"/>
        </w:rPr>
        <w:id w:val="-723136291"/>
        <w:placeholder>
          <w:docPart w:val="84FB87486BC94E5EB76E972E1BD8265B"/>
        </w:placeholder>
      </w:sdtPr>
      <w:sdtEndPr>
        <w:rPr>
          <w:rFonts w:ascii="Times New Roman" w:hAnsi="Times New Roman" w:cs="Times New Roman"/>
          <w:szCs w:val="20"/>
        </w:rPr>
      </w:sdtEndPr>
      <w:sdtContent>
        <w:sdt>
          <w:sdtPr>
            <w:rPr>
              <w:rFonts w:asciiTheme="minorHAnsi" w:hAnsiTheme="minorHAnsi" w:cstheme="minorHAnsi"/>
              <w:szCs w:val="24"/>
              <w:lang w:eastAsia="en-GB"/>
            </w:rPr>
            <w:id w:val="772974791"/>
          </w:sdtPr>
          <w:sdtEndPr>
            <w:rPr>
              <w:rFonts w:ascii="Times New Roman" w:hAnsi="Times New Roman" w:cs="Times New Roman"/>
              <w:szCs w:val="20"/>
            </w:rPr>
          </w:sdtEndPr>
          <w:sdtContent>
            <w:p w14:paraId="614CAE15" w14:textId="178D6679" w:rsidR="00A519A2" w:rsidRPr="00A519A2" w:rsidRDefault="00A519A2" w:rsidP="00A519A2">
              <w:pPr>
                <w:rPr>
                  <w:lang w:val="en-IE" w:eastAsia="en-GB"/>
                </w:rPr>
              </w:pPr>
              <w:r w:rsidRPr="00A519A2">
                <w:rPr>
                  <w:lang w:val="en-IE" w:eastAsia="en-GB"/>
                </w:rPr>
                <w:t>Policy officer</w:t>
              </w:r>
            </w:p>
            <w:p w14:paraId="46EE3E07" w14:textId="1D68FBE4" w:rsidR="00E21DBD" w:rsidRPr="005556CE" w:rsidRDefault="00A519A2" w:rsidP="00A519A2">
              <w:pPr>
                <w:rPr>
                  <w:lang w:val="en-IE" w:eastAsia="en-GB"/>
                </w:rPr>
              </w:pPr>
              <w:r w:rsidRPr="005556CE">
                <w:rPr>
                  <w:lang w:val="en-IE" w:eastAsia="en-GB"/>
                </w:rPr>
                <w:t>His/her task will be to contribute to the implementation of the EU policies that supports the competitiveness, innovative capacity and resilience of the European defence industry. She/he will be responsible for following the main trends affecting the defence sector both within the EU and internationally. He/she will be involved in the mapping of the EU defence value chains and larger ecosystem including its criticalities (at level of technologies, dependencies and actors). She/he will be working on major EU policy initiatives impacting the defence sector. He/she will be part of a team composed of economists and political scientists and lawyers and will have to coordinate important aspects of the work in this area.</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eastAsia="en-GB"/>
            </w:rPr>
            <w:id w:val="841516836"/>
          </w:sdtPr>
          <w:sdtEndPr/>
          <w:sdtContent>
            <w:p w14:paraId="6BE1763A" w14:textId="77777777" w:rsidR="00B61B51" w:rsidRPr="001E4E42" w:rsidRDefault="00B61B51" w:rsidP="00B61B51">
              <w:pPr>
                <w:rPr>
                  <w:szCs w:val="24"/>
                  <w:u w:val="single"/>
                  <w:lang w:val="en-IE" w:eastAsia="en-GB"/>
                </w:rPr>
              </w:pPr>
              <w:r w:rsidRPr="001E4E42">
                <w:rPr>
                  <w:u w:val="single"/>
                  <w:lang w:val="en-IE" w:eastAsia="en-GB"/>
                </w:rPr>
                <w:t>Diploma</w:t>
              </w:r>
            </w:p>
            <w:p w14:paraId="43818648" w14:textId="77777777" w:rsidR="00B61B51" w:rsidRPr="001E4E42" w:rsidRDefault="00B61B51" w:rsidP="00B61B51">
              <w:pPr>
                <w:ind w:firstLine="720"/>
                <w:rPr>
                  <w:lang w:val="en-IE" w:eastAsia="en-GB"/>
                </w:rPr>
              </w:pPr>
              <w:r w:rsidRPr="001E4E42">
                <w:rPr>
                  <w:lang w:val="en-IE" w:eastAsia="en-GB"/>
                </w:rPr>
                <w:t>- university degree, or</w:t>
              </w:r>
            </w:p>
            <w:p w14:paraId="5B0951B2" w14:textId="77777777" w:rsidR="00B61B51" w:rsidRPr="001E4E42" w:rsidRDefault="00B61B51" w:rsidP="00B61B51">
              <w:pPr>
                <w:ind w:firstLine="720"/>
                <w:rPr>
                  <w:lang w:val="en-IE" w:eastAsia="en-GB"/>
                </w:rPr>
              </w:pPr>
              <w:r w:rsidRPr="001E4E42">
                <w:rPr>
                  <w:lang w:val="en-IE" w:eastAsia="en-GB"/>
                </w:rPr>
                <w:t>- professional training or professional experience of an equivalent level</w:t>
              </w:r>
            </w:p>
            <w:p w14:paraId="0F8FF5D4" w14:textId="1DD047C0" w:rsidR="00B61B51" w:rsidRPr="005556CE" w:rsidRDefault="00B61B51" w:rsidP="00B61B51">
              <w:pPr>
                <w:ind w:right="60"/>
                <w:rPr>
                  <w:lang w:val="en-IE" w:eastAsia="en-GB"/>
                </w:rPr>
              </w:pPr>
              <w:r w:rsidRPr="005556CE">
                <w:rPr>
                  <w:lang w:val="en-IE" w:eastAsia="en-GB"/>
                </w:rPr>
                <w:t xml:space="preserve">in the field(s): </w:t>
              </w:r>
              <w:r w:rsidR="00A519A2" w:rsidRPr="005556CE">
                <w:rPr>
                  <w:lang w:val="en-IE" w:eastAsia="en-GB"/>
                </w:rPr>
                <w:t>Law; Political Science; Economics</w:t>
              </w:r>
            </w:p>
            <w:p w14:paraId="3FCA7B68" w14:textId="77777777" w:rsidR="00B61B51" w:rsidRPr="001E4E42" w:rsidRDefault="00B61B51" w:rsidP="00B61B51">
              <w:pPr>
                <w:ind w:right="60"/>
                <w:rPr>
                  <w:u w:val="single"/>
                  <w:lang w:val="en-IE" w:eastAsia="en-GB"/>
                </w:rPr>
              </w:pPr>
              <w:r w:rsidRPr="001E4E42">
                <w:rPr>
                  <w:u w:val="single"/>
                  <w:lang w:val="en-IE" w:eastAsia="en-GB"/>
                </w:rPr>
                <w:t>Professional experience</w:t>
              </w:r>
            </w:p>
            <w:p w14:paraId="171372AF" w14:textId="46305CCF" w:rsidR="00A519A2" w:rsidRPr="005556CE" w:rsidRDefault="00A519A2" w:rsidP="00B61B51">
              <w:pPr>
                <w:ind w:right="60"/>
                <w:rPr>
                  <w:lang w:val="en-IE" w:eastAsia="en-GB"/>
                </w:rPr>
              </w:pPr>
              <w:r w:rsidRPr="005556CE">
                <w:rPr>
                  <w:lang w:val="en-IE" w:eastAsia="en-GB"/>
                </w:rPr>
                <w:t>A candidate with a solid knowledge of the European defence technological and industrial basis.</w:t>
              </w:r>
            </w:p>
            <w:p w14:paraId="10BA5689" w14:textId="500CD350" w:rsidR="00B61B51" w:rsidRPr="001E4E42" w:rsidRDefault="00B61B51" w:rsidP="00B61B51">
              <w:pPr>
                <w:ind w:right="60"/>
                <w:rPr>
                  <w:u w:val="single"/>
                  <w:lang w:val="en-IE" w:eastAsia="en-GB"/>
                </w:rPr>
              </w:pPr>
              <w:r w:rsidRPr="001E4E42">
                <w:rPr>
                  <w:u w:val="single"/>
                  <w:lang w:val="en-IE" w:eastAsia="en-GB"/>
                </w:rPr>
                <w:t>Language(s) necessary for the performance of duties</w:t>
              </w:r>
            </w:p>
            <w:p w14:paraId="5796805D" w14:textId="77777777" w:rsidR="00B61B51" w:rsidRPr="001E4E42" w:rsidRDefault="00B61B51" w:rsidP="00B61B51">
              <w:pPr>
                <w:ind w:right="60"/>
                <w:rPr>
                  <w:lang w:val="en-IE" w:eastAsia="en-GB"/>
                </w:rPr>
              </w:pPr>
              <w:r w:rsidRPr="001E4E42">
                <w:rPr>
                  <w:lang w:val="en-IE" w:eastAsia="en-GB"/>
                </w:rPr>
                <w:t>A good command of English is necessary for the performance of the duties and the efficient communication with internal and external stakeholders.</w:t>
              </w:r>
            </w:p>
            <w:p w14:paraId="51994EDB" w14:textId="249C0278" w:rsidR="002E40A9" w:rsidRPr="00B61B51" w:rsidRDefault="00B61B51" w:rsidP="00B61B51">
              <w:pPr>
                <w:ind w:right="60"/>
                <w:rPr>
                  <w:lang w:val="en-IE" w:eastAsia="en-GB"/>
                </w:rPr>
              </w:pPr>
              <w:r w:rsidRPr="001E4E42">
                <w:rPr>
                  <w:lang w:val="en-IE" w:eastAsia="en-GB"/>
                </w:rPr>
                <w:lastRenderedPageBreak/>
                <w:t>The post requires candidates to be in possession of a valid security clearance (PSC) at SECRET UE/EU SECRET level.</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062A"/>
    <w:rsid w:val="002B3CBF"/>
    <w:rsid w:val="002C13C3"/>
    <w:rsid w:val="002C49D0"/>
    <w:rsid w:val="002E40A9"/>
    <w:rsid w:val="00394447"/>
    <w:rsid w:val="003E50A4"/>
    <w:rsid w:val="0040388A"/>
    <w:rsid w:val="00431778"/>
    <w:rsid w:val="00454CC7"/>
    <w:rsid w:val="00464195"/>
    <w:rsid w:val="00476034"/>
    <w:rsid w:val="005168AD"/>
    <w:rsid w:val="005556CE"/>
    <w:rsid w:val="0058240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519A2"/>
    <w:rsid w:val="00AB2CEA"/>
    <w:rsid w:val="00AF6424"/>
    <w:rsid w:val="00B24CC5"/>
    <w:rsid w:val="00B3644B"/>
    <w:rsid w:val="00B56133"/>
    <w:rsid w:val="00B61B51"/>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9548C"/>
    <w:rsid w:val="001E3B1B"/>
    <w:rsid w:val="00416B25"/>
    <w:rsid w:val="006212B2"/>
    <w:rsid w:val="006F0611"/>
    <w:rsid w:val="007F7378"/>
    <w:rsid w:val="00893390"/>
    <w:rsid w:val="00894A0C"/>
    <w:rsid w:val="009A12CB"/>
    <w:rsid w:val="009D7085"/>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D708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F56AE35A-A4C1-488B-8A80-41955AE84979}">
  <ds:schemaRef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08927195-b699-4be0-9ee2-6c66dc215b5a"/>
    <ds:schemaRef ds:uri="http://purl.org/dc/dcmitype/"/>
    <ds:schemaRef ds:uri="http://purl.org/dc/terms/"/>
    <ds:schemaRef ds:uri="http://purl.org/dc/elements/1.1/"/>
    <ds:schemaRef ds:uri="http://schemas.microsoft.com/office/2006/documentManagement/types"/>
    <ds:schemaRef ds:uri="a41a97bf-0494-41d8-ba3d-259bd7771890"/>
    <ds:schemaRef ds:uri="http://schemas.microsoft.com/sharepoint/v3/fields"/>
    <ds:schemaRef ds:uri="1929b814-5a78-4bdc-9841-d8b9ef424f65"/>
  </ds:schemaRefs>
</ds:datastoreItem>
</file>

<file path=customXml/itemProps2.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Eurolook.dotm</Template>
  <TotalTime>18</TotalTime>
  <Pages>4</Pages>
  <Words>1112</Words>
  <Characters>6345</Characters>
  <Application>Microsoft Office Word</Application>
  <DocSecurity>0</DocSecurity>
  <PresentationFormat>Microsoft Word 14.0</PresentationFormat>
  <Lines>132</Lines>
  <Paragraphs>67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4</cp:revision>
  <cp:lastPrinted>2023-04-05T10:36:00Z</cp:lastPrinted>
  <dcterms:created xsi:type="dcterms:W3CDTF">2024-06-07T17:17:00Z</dcterms:created>
  <dcterms:modified xsi:type="dcterms:W3CDTF">2024-06-12T16:14:00Z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