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D621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44553104"/>
                <w:placeholder>
                  <w:docPart w:val="BE1F9F2E48004F7EBB2940ED206EA99C"/>
                </w:placeholder>
              </w:sdtPr>
              <w:sdtEndPr/>
              <w:sdtContent>
                <w:tc>
                  <w:tcPr>
                    <w:tcW w:w="5491" w:type="dxa"/>
                  </w:tcPr>
                  <w:p w14:paraId="786241CD" w14:textId="45CABB97" w:rsidR="00B65513" w:rsidRPr="0007110E" w:rsidRDefault="00BC7425" w:rsidP="00E82667">
                    <w:pPr>
                      <w:tabs>
                        <w:tab w:val="left" w:pos="426"/>
                      </w:tabs>
                      <w:spacing w:before="120"/>
                      <w:rPr>
                        <w:bCs/>
                        <w:lang w:val="en-IE" w:eastAsia="en-GB"/>
                      </w:rPr>
                    </w:pPr>
                    <w:r>
                      <w:rPr>
                        <w:bCs/>
                        <w:lang w:val="en-IE" w:eastAsia="en-GB"/>
                      </w:rPr>
                      <w:t>ENV-B-1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468135027"/>
                <w:placeholder>
                  <w:docPart w:val="088D0579FE194EEB9266334F15AA5E9E"/>
                </w:placeholder>
              </w:sdtPr>
              <w:sdtEndPr/>
              <w:sdtContent>
                <w:tc>
                  <w:tcPr>
                    <w:tcW w:w="5491" w:type="dxa"/>
                  </w:tcPr>
                  <w:p w14:paraId="26B6BD75" w14:textId="1CABA3CB" w:rsidR="00D96984" w:rsidRPr="0007110E" w:rsidRDefault="00BC7425" w:rsidP="00E82667">
                    <w:pPr>
                      <w:tabs>
                        <w:tab w:val="left" w:pos="426"/>
                      </w:tabs>
                      <w:spacing w:before="120"/>
                      <w:rPr>
                        <w:bCs/>
                        <w:lang w:val="en-IE" w:eastAsia="en-GB"/>
                      </w:rPr>
                    </w:pPr>
                    <w:r>
                      <w:rPr>
                        <w:bCs/>
                        <w:lang w:val="en-IE" w:eastAsia="en-GB"/>
                      </w:rPr>
                      <w:t>14995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886175653"/>
                  <w:placeholder>
                    <w:docPart w:val="1281C7FCF5744506A527E8801ED5EA21"/>
                  </w:placeholder>
                </w:sdtPr>
                <w:sdtEndPr/>
                <w:sdtContent>
                  <w:p w14:paraId="714DA989" w14:textId="4D127966" w:rsidR="00E21DBD" w:rsidRPr="0007110E" w:rsidRDefault="00BC7425" w:rsidP="00BC7425">
                    <w:pPr>
                      <w:rPr>
                        <w:bCs/>
                        <w:lang w:val="en-IE" w:eastAsia="en-GB"/>
                      </w:rPr>
                    </w:pPr>
                    <w:r w:rsidRPr="004A61A0">
                      <w:rPr>
                        <w:rFonts w:eastAsia="Calibri"/>
                        <w:b/>
                        <w:lang w:eastAsia="en-GB"/>
                      </w:rPr>
                      <w:t>Emmanuelle MAIRE</w:t>
                    </w:r>
                  </w:p>
                </w:sdtContent>
              </w:sdt>
            </w:sdtContent>
          </w:sdt>
          <w:p w14:paraId="34CF737A" w14:textId="5A2630B8" w:rsidR="00E21DBD" w:rsidRPr="0007110E" w:rsidRDefault="00FD621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C7425">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C7425">
                  <w:rPr>
                    <w:bCs/>
                    <w:lang w:val="en-IE" w:eastAsia="en-GB"/>
                  </w:rPr>
                  <w:t>2024</w:t>
                </w:r>
              </w:sdtContent>
            </w:sdt>
          </w:p>
          <w:p w14:paraId="158DD156" w14:textId="34BB5A8F" w:rsidR="00E21DBD" w:rsidRPr="0007110E" w:rsidRDefault="00FD621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C742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C742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FE5655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543AE6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D621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D621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D621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8E307C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1CFCBB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5A62D6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FD621E">
                  <w:rPr>
                    <w:bCs/>
                    <w:lang w:val="en-IE" w:eastAsia="en-GB"/>
                  </w:rPr>
                  <w:t>2</w:t>
                </w:r>
                <w:r w:rsidR="00BC7425">
                  <w:rPr>
                    <w:bCs/>
                    <w:lang w:val="en-IE" w:eastAsia="en-GB"/>
                  </w:rPr>
                  <w:t>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ABBC19A" w14:textId="77777777" w:rsidR="00BC7425" w:rsidRDefault="00BC7425" w:rsidP="00BC7425">
          <w:r>
            <w:t xml:space="preserve">Directorate ENV.B is in charge of supporting the transformation of the European economy into a Circular Economy by keeping the value of resources and materials in the economy for as long as possible while minimising waste. </w:t>
          </w:r>
        </w:p>
        <w:p w14:paraId="0FFF3113" w14:textId="77777777" w:rsidR="00BC7425" w:rsidRDefault="00BC7425" w:rsidP="00BC7425">
          <w:r>
            <w:t xml:space="preserve">Unit ENV.B.1 “Circular Economy, Sustainable Production &amp; Consumption” is a dynamic team of 26 colleagues coordinating the implementation of the 2020 Circular Economy Action Plan and contributing to stakeholders’ involvement and events through the </w:t>
          </w:r>
          <w:r>
            <w:lastRenderedPageBreak/>
            <w:t xml:space="preserve">European Circular Economy Stakeholders Platform. We developed and implement a number of EU policy and legislative initiatives, for example the EU Sustainable Textile strategy, the Plastic strategy and the a new proposal for a Directive on green claims made by companies towards the consumers on products and organisations. </w:t>
          </w:r>
        </w:p>
        <w:p w14:paraId="59DD0438" w14:textId="56F49AD7" w:rsidR="00E21DBD" w:rsidRDefault="00BC7425" w:rsidP="00BC7425">
          <w:pPr>
            <w:rPr>
              <w:lang w:val="en-US" w:eastAsia="en-GB"/>
            </w:rPr>
          </w:pPr>
          <w:r>
            <w:t>We also promote a number of voluntary tools on sustainable consumption and production, such as the EU Ecolabel that rewards environmental excellence for several categories of products and services; EMAS, the EU eco-management and audit scheme which assists companies and organisations in improving their environmental performance or Level(s) which assists the building professionals to develop sustainable buildings.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US" w:eastAsia="en-IE"/>
        </w:rPr>
        <w:id w:val="-723136291"/>
        <w:placeholder>
          <w:docPart w:val="84FB87486BC94E5EB76E972E1BD8265B"/>
        </w:placeholder>
      </w:sdtPr>
      <w:sdtEndPr/>
      <w:sdtContent>
        <w:p w14:paraId="400E1D59" w14:textId="77777777" w:rsidR="00BC7425" w:rsidRDefault="00BC7425" w:rsidP="00BC7425">
          <w:pPr>
            <w:pStyle w:val="TableParagraph"/>
            <w:kinsoku w:val="0"/>
            <w:overflowPunct w:val="0"/>
            <w:spacing w:line="247" w:lineRule="exact"/>
            <w:jc w:val="both"/>
            <w:rPr>
              <w:lang w:val="en-IE"/>
            </w:rPr>
          </w:pPr>
          <w:r>
            <w:t>We propose the position of a Policy Officer who will</w:t>
          </w:r>
          <w:r w:rsidRPr="00300AC0">
            <w:rPr>
              <w:lang w:val="en-IE"/>
            </w:rPr>
            <w:t xml:space="preserve"> provide expertise </w:t>
          </w:r>
          <w:r>
            <w:rPr>
              <w:lang w:val="en-IE"/>
            </w:rPr>
            <w:t xml:space="preserve">for the development of </w:t>
          </w:r>
          <w:r w:rsidRPr="00300AC0">
            <w:rPr>
              <w:lang w:val="en-IE"/>
            </w:rPr>
            <w:t>the EU Ecolabel.</w:t>
          </w:r>
        </w:p>
        <w:p w14:paraId="7888ACA8" w14:textId="77777777" w:rsidR="00BC7425" w:rsidRPr="00805DC9" w:rsidRDefault="00BC7425" w:rsidP="00BC7425">
          <w:pPr>
            <w:pStyle w:val="TableParagraph"/>
            <w:kinsoku w:val="0"/>
            <w:overflowPunct w:val="0"/>
            <w:spacing w:line="247" w:lineRule="exact"/>
            <w:jc w:val="both"/>
          </w:pPr>
        </w:p>
        <w:p w14:paraId="2E549441" w14:textId="77777777" w:rsidR="00BC7425" w:rsidRPr="00300AC0" w:rsidRDefault="00BC7425" w:rsidP="00BC7425">
          <w:pPr>
            <w:ind w:left="142" w:right="157"/>
            <w:rPr>
              <w:lang w:val="en-IE"/>
            </w:rPr>
          </w:pPr>
          <w:r w:rsidRPr="00300AC0">
            <w:rPr>
              <w:lang w:val="en-IE"/>
            </w:rPr>
            <w:t xml:space="preserve">The SNE will be </w:t>
          </w:r>
          <w:r w:rsidRPr="00B84C24">
            <w:rPr>
              <w:b/>
              <w:bCs/>
              <w:lang w:val="en-IE"/>
            </w:rPr>
            <w:t>a member of the EU Ecolabel Team</w:t>
          </w:r>
          <w:r>
            <w:rPr>
              <w:lang w:val="en-IE"/>
            </w:rPr>
            <w:t xml:space="preserve">. She/he </w:t>
          </w:r>
          <w:r w:rsidRPr="00300AC0">
            <w:rPr>
              <w:lang w:val="en-IE"/>
            </w:rPr>
            <w:t>will contribute to the implementation of the </w:t>
          </w:r>
          <w:hyperlink r:id="rId27" w:history="1">
            <w:r w:rsidRPr="00300AC0">
              <w:rPr>
                <w:u w:val="single"/>
                <w:lang w:val="en-IE"/>
              </w:rPr>
              <w:t>Strategic Working Plan for the EU Ecolabel</w:t>
            </w:r>
          </w:hyperlink>
          <w:r>
            <w:rPr>
              <w:u w:val="single"/>
              <w:lang w:val="en-IE"/>
            </w:rPr>
            <w:t xml:space="preserve"> (SWP)</w:t>
          </w:r>
          <w:r w:rsidRPr="00300AC0">
            <w:rPr>
              <w:lang w:val="en-IE"/>
            </w:rPr>
            <w:t xml:space="preserve">, to ensure that the </w:t>
          </w:r>
          <w:r>
            <w:rPr>
              <w:lang w:val="en-IE"/>
            </w:rPr>
            <w:t xml:space="preserve">EU </w:t>
          </w:r>
          <w:r w:rsidRPr="00300AC0">
            <w:rPr>
              <w:lang w:val="en-IE"/>
            </w:rPr>
            <w:t>Ecolabel is a</w:t>
          </w:r>
          <w:r>
            <w:rPr>
              <w:lang w:val="en-IE"/>
            </w:rPr>
            <w:t>n effective</w:t>
          </w:r>
          <w:r w:rsidRPr="00300AC0">
            <w:rPr>
              <w:lang w:val="en-IE"/>
            </w:rPr>
            <w:t xml:space="preserve"> </w:t>
          </w:r>
          <w:r>
            <w:rPr>
              <w:lang w:val="en-IE"/>
            </w:rPr>
            <w:t xml:space="preserve">and efficient </w:t>
          </w:r>
          <w:r w:rsidRPr="00300AC0">
            <w:rPr>
              <w:lang w:val="en-IE"/>
            </w:rPr>
            <w:t>tool to empower market actors to consume, produce and live more sustainably and to engage them in the transition towards a circular economy.</w:t>
          </w:r>
          <w:r>
            <w:rPr>
              <w:lang w:val="en-IE"/>
            </w:rPr>
            <w:t xml:space="preserve"> </w:t>
          </w:r>
        </w:p>
        <w:p w14:paraId="7DC858C0" w14:textId="77777777" w:rsidR="00BC7425" w:rsidRPr="00300AC0" w:rsidRDefault="00BC7425" w:rsidP="00BC7425">
          <w:pPr>
            <w:ind w:left="142" w:right="157"/>
            <w:rPr>
              <w:lang w:val="en-IE"/>
            </w:rPr>
          </w:pPr>
          <w:bookmarkStart w:id="3" w:name="_Hlk155259823"/>
          <w:r w:rsidRPr="00300AC0">
            <w:rPr>
              <w:lang w:val="en-IE"/>
            </w:rPr>
            <w:t>The work will be centred on the following 3 objectives</w:t>
          </w:r>
          <w:r>
            <w:rPr>
              <w:lang w:val="en-IE"/>
            </w:rPr>
            <w:t xml:space="preserve"> of the SWP </w:t>
          </w:r>
          <w:r w:rsidRPr="00300AC0">
            <w:rPr>
              <w:lang w:val="en-IE"/>
            </w:rPr>
            <w:t>:</w:t>
          </w:r>
        </w:p>
        <w:bookmarkEnd w:id="3"/>
        <w:p w14:paraId="0A01C779" w14:textId="77777777" w:rsidR="00BC7425" w:rsidRPr="00300AC0" w:rsidRDefault="00BC7425" w:rsidP="00BC7425">
          <w:pPr>
            <w:pStyle w:val="TableParagraph"/>
            <w:tabs>
              <w:tab w:val="left" w:pos="576"/>
            </w:tabs>
            <w:kinsoku w:val="0"/>
            <w:overflowPunct w:val="0"/>
            <w:ind w:left="0" w:right="157"/>
            <w:jc w:val="both"/>
            <w:rPr>
              <w:sz w:val="22"/>
              <w:szCs w:val="22"/>
              <w:lang w:val="en-IE"/>
            </w:rPr>
          </w:pPr>
        </w:p>
        <w:p w14:paraId="014E1B0B" w14:textId="77777777" w:rsidR="00BC7425" w:rsidRPr="00387DF8" w:rsidRDefault="00BC7425" w:rsidP="00BC7425">
          <w:pPr>
            <w:pStyle w:val="ListParagraph"/>
            <w:numPr>
              <w:ilvl w:val="0"/>
              <w:numId w:val="34"/>
            </w:numPr>
            <w:ind w:right="157"/>
            <w:rPr>
              <w:lang w:val="en-IE"/>
            </w:rPr>
          </w:pPr>
          <w:r w:rsidRPr="00387DF8">
            <w:rPr>
              <w:b/>
              <w:bCs/>
              <w:lang w:val="en-IE"/>
            </w:rPr>
            <w:t>Mainstream</w:t>
          </w:r>
          <w:r w:rsidRPr="00387DF8">
            <w:rPr>
              <w:lang w:val="en-IE"/>
            </w:rPr>
            <w:t xml:space="preserve"> the EU Ecolabel as a relevant tool in policies and initiatives promoting sustainable consumption and production, circular economy, sustainable lifestyles, sustainable finance, climate &amp;biodiversity&amp; Zero-pollution action.</w:t>
          </w:r>
        </w:p>
        <w:p w14:paraId="2C701D4F" w14:textId="77777777" w:rsidR="00BC7425" w:rsidRPr="00756326" w:rsidRDefault="00BC7425" w:rsidP="00BC7425">
          <w:pPr>
            <w:pStyle w:val="ListParagraph"/>
            <w:ind w:right="157"/>
            <w:jc w:val="both"/>
            <w:rPr>
              <w:lang w:val="en-IE"/>
            </w:rPr>
          </w:pPr>
        </w:p>
        <w:p w14:paraId="64212EE6" w14:textId="77777777" w:rsidR="00BC7425" w:rsidRPr="00756326" w:rsidRDefault="00BC7425" w:rsidP="00BC7425">
          <w:pPr>
            <w:pStyle w:val="ListParagraph"/>
            <w:numPr>
              <w:ilvl w:val="0"/>
              <w:numId w:val="34"/>
            </w:numPr>
            <w:ind w:right="157"/>
            <w:rPr>
              <w:lang w:val="en-IE"/>
            </w:rPr>
          </w:pPr>
          <w:r w:rsidRPr="00756326">
            <w:rPr>
              <w:lang w:val="en-IE"/>
            </w:rPr>
            <w:t xml:space="preserve">Maximise the effectiveness and efficiency of the EU Ecolabel Regulation </w:t>
          </w:r>
          <w:r w:rsidRPr="00387DF8">
            <w:rPr>
              <w:b/>
              <w:bCs/>
              <w:lang w:val="en-IE"/>
            </w:rPr>
            <w:t>implementation</w:t>
          </w:r>
          <w:r w:rsidRPr="00756326">
            <w:rPr>
              <w:lang w:val="en-IE"/>
            </w:rPr>
            <w:t xml:space="preserve"> including the development and the maintenance of a successful criteria portfolio.</w:t>
          </w:r>
        </w:p>
        <w:p w14:paraId="681112AB" w14:textId="77777777" w:rsidR="00BC7425" w:rsidRPr="00756326" w:rsidRDefault="00BC7425" w:rsidP="00BC7425">
          <w:pPr>
            <w:pStyle w:val="ListParagraph"/>
            <w:ind w:right="157"/>
            <w:rPr>
              <w:lang w:val="en-IE"/>
            </w:rPr>
          </w:pPr>
        </w:p>
        <w:p w14:paraId="72061BDC" w14:textId="77777777" w:rsidR="00BC7425" w:rsidRPr="00756326" w:rsidRDefault="00BC7425" w:rsidP="00BC7425">
          <w:pPr>
            <w:pStyle w:val="ListParagraph"/>
            <w:numPr>
              <w:ilvl w:val="0"/>
              <w:numId w:val="34"/>
            </w:numPr>
            <w:ind w:right="157"/>
            <w:rPr>
              <w:lang w:val="en-IE"/>
            </w:rPr>
          </w:pPr>
          <w:r w:rsidRPr="00387DF8">
            <w:rPr>
              <w:b/>
              <w:bCs/>
              <w:lang w:val="en-IE"/>
            </w:rPr>
            <w:t>Enhance</w:t>
          </w:r>
          <w:r w:rsidRPr="00756326">
            <w:rPr>
              <w:lang w:val="en-IE"/>
            </w:rPr>
            <w:t xml:space="preserve"> the EU Ecolabel presence on the market, by boosting both industry uptake and consumers awareness. </w:t>
          </w:r>
        </w:p>
        <w:p w14:paraId="6F67BCC8" w14:textId="77777777" w:rsidR="00BC7425" w:rsidRPr="00756326" w:rsidRDefault="00BC7425" w:rsidP="00BC7425">
          <w:pPr>
            <w:pStyle w:val="ListParagraph"/>
            <w:jc w:val="both"/>
            <w:rPr>
              <w:lang w:val="en-IE"/>
            </w:rPr>
          </w:pPr>
        </w:p>
        <w:p w14:paraId="46EE3E07" w14:textId="4C2A3E31" w:rsidR="00E21DBD" w:rsidRPr="00AF7D78" w:rsidRDefault="00BC7425" w:rsidP="00BC7425">
          <w:pPr>
            <w:rPr>
              <w:lang w:val="en-US" w:eastAsia="en-GB"/>
            </w:rPr>
          </w:pPr>
          <w:r w:rsidRPr="00805DC9">
            <w:rPr>
              <w:lang w:val="en-IE"/>
            </w:rPr>
            <w:t>Moreover, the SNE will be</w:t>
          </w:r>
          <w:r>
            <w:rPr>
              <w:lang w:val="en-IE"/>
            </w:rPr>
            <w:t xml:space="preserve"> expected to support colleagues working on Green Public Procurement and the Eco-Management and Audit Scheme (EMAS) as appropriate.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F1A96CC" w14:textId="77777777" w:rsidR="00BC7425" w:rsidRDefault="00BC7425" w:rsidP="00BC7425">
          <w:pPr>
            <w:ind w:right="157"/>
          </w:pPr>
          <w:r>
            <w:t xml:space="preserve">We look for a highly motivated colleague with a strong analytical capacities, </w:t>
          </w:r>
          <w:r w:rsidRPr="001B5DDC">
            <w:t>solid technical /scientific background</w:t>
          </w:r>
          <w:r>
            <w:t xml:space="preserve">, excellent drafting skills, very good communication, negotiation and networking capacities; a high sense of initiative </w:t>
          </w:r>
          <w:r w:rsidRPr="001B5DDC">
            <w:t>and organisational skills, including the ability to work on multiple projects simultaneously and effectively</w:t>
          </w:r>
          <w:r>
            <w:t>.</w:t>
          </w:r>
        </w:p>
        <w:p w14:paraId="0A17CFE1" w14:textId="77777777" w:rsidR="00BC7425" w:rsidRDefault="00BC7425" w:rsidP="00BC7425">
          <w:r>
            <w:lastRenderedPageBreak/>
            <w:t>The seconded national expert (SNE) will work under the supervision of a Commission official. The SNE will be responsible for a series of tasks requiring technical and analytical work combined with interaction with colleagues of different services and external stakeholders:</w:t>
          </w:r>
        </w:p>
        <w:p w14:paraId="4E8E8DF4" w14:textId="77777777" w:rsidR="00BC7425" w:rsidRDefault="00BC7425" w:rsidP="00BC7425">
          <w:pPr>
            <w:pStyle w:val="NormalWeb"/>
            <w:numPr>
              <w:ilvl w:val="0"/>
              <w:numId w:val="38"/>
            </w:numPr>
            <w:shd w:val="clear" w:color="auto" w:fill="FFFFFF"/>
            <w:spacing w:before="0" w:beforeAutospacing="0" w:after="0" w:afterAutospacing="0"/>
            <w:ind w:left="714" w:hanging="357"/>
            <w:jc w:val="both"/>
          </w:pPr>
          <w:r>
            <w:rPr>
              <w:color w:val="000000"/>
            </w:rPr>
            <w:t>To provide expertise in order to ensure integration of environmental aspects into other policies, in particular Internal Market Policy.</w:t>
          </w:r>
        </w:p>
        <w:p w14:paraId="4DE8B1B7" w14:textId="77777777" w:rsidR="00BC7425" w:rsidRPr="00BC1418" w:rsidRDefault="00BC7425" w:rsidP="00BC7425">
          <w:pPr>
            <w:pStyle w:val="NormalWeb"/>
            <w:numPr>
              <w:ilvl w:val="0"/>
              <w:numId w:val="38"/>
            </w:numPr>
            <w:shd w:val="clear" w:color="auto" w:fill="FFFFFF"/>
            <w:spacing w:before="0" w:beforeAutospacing="0" w:after="0" w:afterAutospacing="0"/>
            <w:ind w:left="714" w:hanging="357"/>
            <w:jc w:val="both"/>
            <w:rPr>
              <w:color w:val="000000"/>
            </w:rPr>
          </w:pPr>
          <w:r>
            <w:rPr>
              <w:color w:val="000000"/>
            </w:rPr>
            <w:t xml:space="preserve">Implement, ensure and / or monitor the proper implementation and / or application of EU policies in the areas covered by the unit in particular with regard to the </w:t>
          </w:r>
          <w:r w:rsidRPr="001B5DDC">
            <w:rPr>
              <w:color w:val="000000"/>
            </w:rPr>
            <w:t>EU</w:t>
          </w:r>
          <w:r>
            <w:rPr>
              <w:color w:val="000000"/>
            </w:rPr>
            <w:t xml:space="preserve"> Ecolabel </w:t>
          </w:r>
          <w:r w:rsidRPr="001B5DDC">
            <w:rPr>
              <w:color w:val="000000"/>
            </w:rPr>
            <w:t>R</w:t>
          </w:r>
          <w:r>
            <w:rPr>
              <w:color w:val="000000"/>
            </w:rPr>
            <w:t xml:space="preserve">egulation, </w:t>
          </w:r>
          <w:r w:rsidRPr="00BC1418">
            <w:rPr>
              <w:color w:val="000000"/>
            </w:rPr>
            <w:t xml:space="preserve">EMAS Regulation (the EU Eco-management and audit scheme) and Green Public Procurement (GPP) </w:t>
          </w:r>
        </w:p>
        <w:p w14:paraId="72F69EC8" w14:textId="77777777" w:rsidR="00BC7425" w:rsidRPr="001B5DDC" w:rsidRDefault="00BC7425" w:rsidP="00BC7425">
          <w:pPr>
            <w:pStyle w:val="NormalWeb"/>
            <w:numPr>
              <w:ilvl w:val="0"/>
              <w:numId w:val="38"/>
            </w:numPr>
            <w:shd w:val="clear" w:color="auto" w:fill="FFFFFF"/>
            <w:spacing w:before="0" w:beforeAutospacing="0" w:after="0" w:afterAutospacing="0"/>
            <w:ind w:left="714" w:hanging="357"/>
            <w:jc w:val="both"/>
            <w:rPr>
              <w:color w:val="000000"/>
            </w:rPr>
          </w:pPr>
          <w:r>
            <w:rPr>
              <w:color w:val="000000"/>
            </w:rPr>
            <w:t xml:space="preserve">Ensure coherence and </w:t>
          </w:r>
          <w:r w:rsidRPr="001B5DDC">
            <w:rPr>
              <w:color w:val="000000"/>
            </w:rPr>
            <w:t>synergy between the</w:t>
          </w:r>
          <w:r>
            <w:rPr>
              <w:color w:val="000000"/>
            </w:rPr>
            <w:t xml:space="preserve"> work on the EU Ecolabel </w:t>
          </w:r>
          <w:r w:rsidRPr="001B5DDC">
            <w:rPr>
              <w:color w:val="000000"/>
            </w:rPr>
            <w:t>and other product policies, such as the development of ESPR requirements, GPP criteria, EMAS sectoral reference documents, etc.</w:t>
          </w:r>
          <w:r>
            <w:rPr>
              <w:color w:val="000000"/>
            </w:rPr>
            <w:t xml:space="preserve"> and </w:t>
          </w:r>
          <w:r w:rsidRPr="001B5DDC">
            <w:rPr>
              <w:color w:val="000000"/>
            </w:rPr>
            <w:t>other Commission initiatives</w:t>
          </w:r>
          <w:r>
            <w:rPr>
              <w:color w:val="000000"/>
            </w:rPr>
            <w:t xml:space="preserve"> </w:t>
          </w:r>
        </w:p>
        <w:p w14:paraId="7A364EAC" w14:textId="77777777" w:rsidR="00BC7425" w:rsidRPr="00F116CF" w:rsidRDefault="00BC7425" w:rsidP="00BC7425">
          <w:pPr>
            <w:pStyle w:val="NormalWeb"/>
            <w:numPr>
              <w:ilvl w:val="0"/>
              <w:numId w:val="38"/>
            </w:numPr>
            <w:shd w:val="clear" w:color="auto" w:fill="FFFFFF"/>
            <w:spacing w:before="0" w:beforeAutospacing="0" w:after="0" w:afterAutospacing="0"/>
            <w:ind w:left="714" w:hanging="357"/>
            <w:jc w:val="both"/>
            <w:rPr>
              <w:color w:val="000000"/>
            </w:rPr>
          </w:pPr>
          <w:r w:rsidRPr="00F116CF">
            <w:rPr>
              <w:color w:val="000000"/>
            </w:rPr>
            <w:t>Participate in advisory, management and / or regulatory committees, working groups and / or any other expert group, and technical ad-hoc working group.</w:t>
          </w:r>
        </w:p>
        <w:p w14:paraId="10750B9B" w14:textId="77777777" w:rsidR="00BC7425" w:rsidRDefault="00BC7425" w:rsidP="00BC7425">
          <w:pPr>
            <w:pStyle w:val="NormalWeb"/>
            <w:numPr>
              <w:ilvl w:val="0"/>
              <w:numId w:val="38"/>
            </w:numPr>
            <w:shd w:val="clear" w:color="auto" w:fill="FFFFFF"/>
            <w:spacing w:before="0" w:beforeAutospacing="0" w:after="0" w:afterAutospacing="0"/>
            <w:ind w:left="714" w:hanging="357"/>
            <w:jc w:val="both"/>
            <w:rPr>
              <w:rFonts w:ascii="Segoe UI" w:hAnsi="Segoe UI" w:cs="Segoe UI"/>
              <w:color w:val="242424"/>
              <w:sz w:val="27"/>
              <w:szCs w:val="27"/>
            </w:rPr>
          </w:pPr>
          <w:r>
            <w:rPr>
              <w:color w:val="000000"/>
            </w:rPr>
            <w:t xml:space="preserve">Report on the implementation and / or application of EU policies. </w:t>
          </w:r>
        </w:p>
        <w:p w14:paraId="754AFB2B" w14:textId="77777777" w:rsidR="00BC7425" w:rsidRPr="001B5DDC" w:rsidRDefault="00BC7425" w:rsidP="00BC7425">
          <w:pPr>
            <w:pStyle w:val="NormalWeb"/>
            <w:numPr>
              <w:ilvl w:val="0"/>
              <w:numId w:val="38"/>
            </w:numPr>
            <w:shd w:val="clear" w:color="auto" w:fill="FFFFFF"/>
            <w:spacing w:before="0" w:beforeAutospacing="0" w:after="0" w:afterAutospacing="0"/>
            <w:ind w:left="714" w:hanging="357"/>
            <w:jc w:val="both"/>
            <w:rPr>
              <w:color w:val="000000"/>
            </w:rPr>
          </w:pPr>
          <w:r w:rsidRPr="001B5DDC">
            <w:rPr>
              <w:color w:val="000000"/>
            </w:rPr>
            <w:t>Contribute to the elaboration of</w:t>
          </w:r>
          <w:r>
            <w:rPr>
              <w:color w:val="000000"/>
            </w:rPr>
            <w:t xml:space="preserve"> Commission Decisions </w:t>
          </w:r>
          <w:r w:rsidRPr="001B5DDC">
            <w:rPr>
              <w:color w:val="000000"/>
            </w:rPr>
            <w:t>establishing EU Ecolabel criteria</w:t>
          </w:r>
          <w:r>
            <w:rPr>
              <w:color w:val="000000"/>
            </w:rPr>
            <w:t xml:space="preserve"> including ex-ante analysis and follow-up of the work done by the regulatory committees </w:t>
          </w:r>
        </w:p>
        <w:p w14:paraId="589293DC" w14:textId="77777777" w:rsidR="00BC7425" w:rsidRDefault="00BC7425" w:rsidP="00BC7425">
          <w:pPr>
            <w:ind w:right="157"/>
            <w:rPr>
              <w:szCs w:val="24"/>
              <w:lang w:val="en-IE"/>
            </w:rPr>
          </w:pPr>
        </w:p>
        <w:p w14:paraId="0A3F46DA" w14:textId="77777777" w:rsidR="00BC7425" w:rsidRPr="001038A6" w:rsidRDefault="00BC7425" w:rsidP="00BC7425">
          <w:pPr>
            <w:ind w:right="159"/>
            <w:rPr>
              <w:szCs w:val="24"/>
              <w:lang w:val="en-IE"/>
            </w:rPr>
          </w:pPr>
          <w:r w:rsidRPr="001038A6">
            <w:rPr>
              <w:lang w:val="en-IE"/>
            </w:rPr>
            <w:t xml:space="preserve">Concerning the </w:t>
          </w:r>
          <w:bookmarkStart w:id="4" w:name="_Hlk156404251"/>
          <w:r w:rsidRPr="001038A6">
            <w:rPr>
              <w:b/>
              <w:bCs/>
              <w:lang w:val="en-IE"/>
            </w:rPr>
            <w:t>implementation of the EU Ecolabel scheme</w:t>
          </w:r>
          <w:bookmarkEnd w:id="4"/>
          <w:r w:rsidRPr="001038A6">
            <w:rPr>
              <w:lang w:val="en-IE"/>
            </w:rPr>
            <w:t>, the SNE will be responsible for:</w:t>
          </w:r>
        </w:p>
        <w:p w14:paraId="388DCA33" w14:textId="77777777" w:rsidR="00BC7425" w:rsidRDefault="00BC7425" w:rsidP="00BC7425">
          <w:pPr>
            <w:pStyle w:val="ListParagraph"/>
            <w:numPr>
              <w:ilvl w:val="0"/>
              <w:numId w:val="37"/>
            </w:numPr>
            <w:spacing w:after="0" w:line="240" w:lineRule="auto"/>
            <w:ind w:left="284" w:right="159" w:hanging="142"/>
            <w:contextualSpacing w:val="0"/>
            <w:jc w:val="both"/>
            <w:rPr>
              <w:lang w:val="en-IE"/>
            </w:rPr>
          </w:pPr>
          <w:r w:rsidRPr="0068157D">
            <w:rPr>
              <w:lang w:val="en-IE"/>
            </w:rPr>
            <w:t>the revisions of EU Ecolabel criteria for paints and varnishes (to be completed by 2025), and 6 detergents groups (to be completed by 2026), carried out by J</w:t>
          </w:r>
          <w:r>
            <w:rPr>
              <w:lang w:val="en-IE"/>
            </w:rPr>
            <w:t xml:space="preserve">oint </w:t>
          </w:r>
          <w:r w:rsidRPr="0068157D">
            <w:rPr>
              <w:lang w:val="en-IE"/>
            </w:rPr>
            <w:t>R</w:t>
          </w:r>
          <w:r>
            <w:rPr>
              <w:lang w:val="en-IE"/>
            </w:rPr>
            <w:t xml:space="preserve">esearch Center </w:t>
          </w:r>
          <w:r w:rsidRPr="0068157D">
            <w:rPr>
              <w:lang w:val="en-IE"/>
            </w:rPr>
            <w:t xml:space="preserve">under </w:t>
          </w:r>
          <w:r>
            <w:rPr>
              <w:lang w:val="en-IE"/>
            </w:rPr>
            <w:t xml:space="preserve">an </w:t>
          </w:r>
          <w:r w:rsidRPr="0068157D">
            <w:rPr>
              <w:lang w:val="en-IE"/>
            </w:rPr>
            <w:t xml:space="preserve">on-going Administrative Arrangements. </w:t>
          </w:r>
        </w:p>
        <w:p w14:paraId="3292D86D" w14:textId="77777777" w:rsidR="00BC7425" w:rsidRDefault="00BC7425" w:rsidP="00BC7425">
          <w:pPr>
            <w:pStyle w:val="ListParagraph"/>
            <w:spacing w:after="0" w:line="240" w:lineRule="auto"/>
            <w:ind w:left="284" w:right="159"/>
            <w:contextualSpacing w:val="0"/>
            <w:jc w:val="both"/>
            <w:rPr>
              <w:lang w:val="en-IE"/>
            </w:rPr>
          </w:pPr>
        </w:p>
        <w:p w14:paraId="46859587" w14:textId="77777777" w:rsidR="00BC7425" w:rsidRDefault="00BC7425" w:rsidP="00BC7425">
          <w:pPr>
            <w:pStyle w:val="ListParagraph"/>
            <w:numPr>
              <w:ilvl w:val="0"/>
              <w:numId w:val="37"/>
            </w:numPr>
            <w:spacing w:after="0" w:line="240" w:lineRule="auto"/>
            <w:ind w:left="284" w:right="157" w:hanging="142"/>
            <w:contextualSpacing w:val="0"/>
            <w:jc w:val="both"/>
            <w:rPr>
              <w:lang w:val="en-IE"/>
            </w:rPr>
          </w:pPr>
          <w:r w:rsidRPr="0068157D">
            <w:rPr>
              <w:lang w:val="en-IE"/>
            </w:rPr>
            <w:t xml:space="preserve">the participation in Technical Ad Hoc Working Group meetings and steering the legislative process for the criteria adoption. </w:t>
          </w:r>
        </w:p>
        <w:p w14:paraId="0DC64446" w14:textId="77777777" w:rsidR="00BC7425" w:rsidRPr="00EC363B" w:rsidRDefault="00BC7425" w:rsidP="00BC7425">
          <w:pPr>
            <w:spacing w:after="0"/>
            <w:ind w:right="157"/>
            <w:rPr>
              <w:lang w:val="en-IE"/>
            </w:rPr>
          </w:pPr>
        </w:p>
        <w:p w14:paraId="0A35D7F2" w14:textId="77777777" w:rsidR="00BC7425" w:rsidRDefault="00BC7425" w:rsidP="00BC7425">
          <w:pPr>
            <w:pStyle w:val="ListParagraph"/>
            <w:numPr>
              <w:ilvl w:val="0"/>
              <w:numId w:val="37"/>
            </w:numPr>
            <w:spacing w:after="0" w:line="240" w:lineRule="auto"/>
            <w:ind w:left="284" w:right="157" w:hanging="142"/>
            <w:contextualSpacing w:val="0"/>
            <w:jc w:val="both"/>
            <w:rPr>
              <w:lang w:val="en-IE"/>
            </w:rPr>
          </w:pPr>
          <w:r w:rsidRPr="0068157D">
            <w:rPr>
              <w:lang w:val="en-IE"/>
            </w:rPr>
            <w:t>the revision of criteria for additional product groups, which will be defined when the E</w:t>
          </w:r>
          <w:r>
            <w:rPr>
              <w:lang w:val="en-IE"/>
            </w:rPr>
            <w:t xml:space="preserve">codesign for Sustainable Products Regulation (ESPR)’s </w:t>
          </w:r>
          <w:r w:rsidRPr="0068157D">
            <w:rPr>
              <w:lang w:val="en-IE"/>
            </w:rPr>
            <w:t xml:space="preserve">Workplan is adopted. </w:t>
          </w:r>
        </w:p>
        <w:p w14:paraId="4EAA2053" w14:textId="77777777" w:rsidR="00BC7425" w:rsidRPr="00EC363B" w:rsidRDefault="00BC7425" w:rsidP="00BC7425">
          <w:pPr>
            <w:spacing w:after="0"/>
            <w:ind w:right="157"/>
            <w:rPr>
              <w:lang w:val="en-IE"/>
            </w:rPr>
          </w:pPr>
        </w:p>
        <w:p w14:paraId="6FA6FFF1" w14:textId="77777777" w:rsidR="00BC7425" w:rsidRDefault="00BC7425" w:rsidP="00BC7425">
          <w:pPr>
            <w:pStyle w:val="ListParagraph"/>
            <w:numPr>
              <w:ilvl w:val="0"/>
              <w:numId w:val="37"/>
            </w:numPr>
            <w:spacing w:after="0" w:line="240" w:lineRule="auto"/>
            <w:ind w:left="284" w:right="157" w:hanging="142"/>
            <w:contextualSpacing w:val="0"/>
            <w:jc w:val="both"/>
            <w:rPr>
              <w:lang w:val="en-IE"/>
            </w:rPr>
          </w:pPr>
          <w:r>
            <w:rPr>
              <w:lang w:val="en-IE"/>
            </w:rPr>
            <w:t xml:space="preserve">the </w:t>
          </w:r>
          <w:r w:rsidRPr="0068157D">
            <w:rPr>
              <w:lang w:val="en-IE"/>
            </w:rPr>
            <w:t>validati</w:t>
          </w:r>
          <w:r>
            <w:rPr>
              <w:lang w:val="en-IE"/>
            </w:rPr>
            <w:t>o</w:t>
          </w:r>
          <w:r w:rsidRPr="0068157D">
            <w:rPr>
              <w:lang w:val="en-IE"/>
            </w:rPr>
            <w:t>n</w:t>
          </w:r>
          <w:r>
            <w:rPr>
              <w:lang w:val="en-IE"/>
            </w:rPr>
            <w:t xml:space="preserve"> of</w:t>
          </w:r>
          <w:r w:rsidRPr="0068157D">
            <w:rPr>
              <w:lang w:val="en-IE"/>
            </w:rPr>
            <w:t xml:space="preserve"> the answers prepared by the EU Ecolabel Helpdesk to specific enquiries and technical requests on the EU Ecolabel received from market players. </w:t>
          </w:r>
        </w:p>
        <w:p w14:paraId="74B5C10D" w14:textId="77777777" w:rsidR="00BC7425" w:rsidRPr="00EC363B" w:rsidRDefault="00BC7425" w:rsidP="00BC7425">
          <w:pPr>
            <w:spacing w:after="0"/>
            <w:ind w:right="157"/>
            <w:rPr>
              <w:lang w:val="en-IE"/>
            </w:rPr>
          </w:pPr>
        </w:p>
        <w:p w14:paraId="7BBBFD57" w14:textId="77777777" w:rsidR="00BC7425" w:rsidRPr="0068157D" w:rsidRDefault="00BC7425" w:rsidP="00BC7425">
          <w:pPr>
            <w:pStyle w:val="ListParagraph"/>
            <w:numPr>
              <w:ilvl w:val="0"/>
              <w:numId w:val="37"/>
            </w:numPr>
            <w:spacing w:after="0" w:line="240" w:lineRule="auto"/>
            <w:ind w:left="284" w:right="157" w:hanging="142"/>
            <w:contextualSpacing w:val="0"/>
            <w:jc w:val="both"/>
            <w:rPr>
              <w:lang w:val="en-IE"/>
            </w:rPr>
          </w:pPr>
          <w:r w:rsidRPr="0068157D">
            <w:rPr>
              <w:lang w:val="en-IE"/>
            </w:rPr>
            <w:t xml:space="preserve">the coordination of the modernisation and completion of the ECAT Catalogue – the publicly accessible registry of EU Ecolabel products and licence holders, used by consumers, producers and retailers. The improvement of the ECAT will be carried out in synergy with the development of the Digital Product Passport. </w:t>
          </w:r>
        </w:p>
        <w:p w14:paraId="75F2E8EA" w14:textId="77777777" w:rsidR="00BC7425" w:rsidRDefault="00BC7425" w:rsidP="00BC7425">
          <w:pPr>
            <w:pStyle w:val="TableParagraph"/>
            <w:tabs>
              <w:tab w:val="left" w:pos="285"/>
            </w:tabs>
            <w:kinsoku w:val="0"/>
            <w:overflowPunct w:val="0"/>
            <w:ind w:right="157"/>
            <w:jc w:val="both"/>
            <w:rPr>
              <w:lang w:val="en-IE"/>
            </w:rPr>
          </w:pPr>
        </w:p>
        <w:p w14:paraId="02DE5205" w14:textId="77777777" w:rsidR="00BC7425" w:rsidRDefault="00BC7425" w:rsidP="00BC7425">
          <w:pPr>
            <w:pStyle w:val="TableParagraph"/>
            <w:tabs>
              <w:tab w:val="left" w:pos="285"/>
            </w:tabs>
            <w:kinsoku w:val="0"/>
            <w:overflowPunct w:val="0"/>
            <w:ind w:right="157"/>
            <w:jc w:val="both"/>
            <w:rPr>
              <w:lang w:val="en-IE"/>
            </w:rPr>
          </w:pPr>
          <w:r w:rsidRPr="0068157D">
            <w:rPr>
              <w:lang w:val="en-IE"/>
            </w:rPr>
            <w:t xml:space="preserve">For the product groups for which she/he will supervise the revision, the SNE will be responsible to </w:t>
          </w:r>
          <w:r w:rsidRPr="0068157D">
            <w:rPr>
              <w:b/>
              <w:bCs/>
              <w:lang w:val="en-IE"/>
            </w:rPr>
            <w:t xml:space="preserve">ensure coherence </w:t>
          </w:r>
          <w:r>
            <w:rPr>
              <w:b/>
              <w:bCs/>
              <w:lang w:val="en-IE"/>
            </w:rPr>
            <w:t>and synergies with</w:t>
          </w:r>
          <w:r w:rsidRPr="0068157D">
            <w:rPr>
              <w:lang w:val="en-IE"/>
            </w:rPr>
            <w:t>:</w:t>
          </w:r>
        </w:p>
        <w:p w14:paraId="25FD4AC8" w14:textId="77777777" w:rsidR="00BC7425" w:rsidRPr="0068157D" w:rsidRDefault="00BC7425" w:rsidP="00BC7425">
          <w:pPr>
            <w:pStyle w:val="TableParagraph"/>
            <w:tabs>
              <w:tab w:val="left" w:pos="285"/>
            </w:tabs>
            <w:kinsoku w:val="0"/>
            <w:overflowPunct w:val="0"/>
            <w:ind w:right="157"/>
            <w:jc w:val="both"/>
            <w:rPr>
              <w:lang w:val="en-IE"/>
            </w:rPr>
          </w:pPr>
        </w:p>
        <w:p w14:paraId="012AA0A5" w14:textId="77777777" w:rsidR="00BC7425" w:rsidRDefault="00BC7425" w:rsidP="00BC7425">
          <w:pPr>
            <w:pStyle w:val="TableParagraph"/>
            <w:numPr>
              <w:ilvl w:val="0"/>
              <w:numId w:val="35"/>
            </w:numPr>
            <w:tabs>
              <w:tab w:val="left" w:pos="285"/>
            </w:tabs>
            <w:kinsoku w:val="0"/>
            <w:overflowPunct w:val="0"/>
            <w:ind w:left="285" w:right="157" w:hanging="141"/>
            <w:jc w:val="both"/>
            <w:rPr>
              <w:lang w:val="en-IE"/>
            </w:rPr>
          </w:pPr>
          <w:r w:rsidRPr="0068157D">
            <w:rPr>
              <w:lang w:val="en-IE"/>
            </w:rPr>
            <w:t xml:space="preserve"> the forthcoming Delegated/Implementing acts under the ESPR that will be developed in parallel on the same product groups, including mandatory GPP requirements. </w:t>
          </w:r>
        </w:p>
        <w:p w14:paraId="5B619715" w14:textId="77777777" w:rsidR="00BC7425" w:rsidRPr="0068157D" w:rsidRDefault="00BC7425" w:rsidP="00BC7425">
          <w:pPr>
            <w:pStyle w:val="TableParagraph"/>
            <w:tabs>
              <w:tab w:val="left" w:pos="285"/>
            </w:tabs>
            <w:kinsoku w:val="0"/>
            <w:overflowPunct w:val="0"/>
            <w:ind w:left="285" w:right="157"/>
            <w:jc w:val="both"/>
            <w:rPr>
              <w:lang w:val="en-IE"/>
            </w:rPr>
          </w:pPr>
        </w:p>
        <w:p w14:paraId="49EDE2DC" w14:textId="77777777" w:rsidR="00BC7425" w:rsidRDefault="00BC7425" w:rsidP="00BC7425">
          <w:pPr>
            <w:pStyle w:val="TableParagraph"/>
            <w:numPr>
              <w:ilvl w:val="0"/>
              <w:numId w:val="35"/>
            </w:numPr>
            <w:tabs>
              <w:tab w:val="left" w:pos="285"/>
            </w:tabs>
            <w:kinsoku w:val="0"/>
            <w:overflowPunct w:val="0"/>
            <w:ind w:left="285" w:right="157" w:hanging="141"/>
            <w:jc w:val="both"/>
            <w:rPr>
              <w:lang w:val="en-IE"/>
            </w:rPr>
          </w:pPr>
          <w:r>
            <w:rPr>
              <w:lang w:val="en-IE"/>
            </w:rPr>
            <w:t xml:space="preserve">the </w:t>
          </w:r>
          <w:r w:rsidRPr="0068157D">
            <w:rPr>
              <w:lang w:val="en-IE"/>
            </w:rPr>
            <w:t xml:space="preserve">technical screening criteria developed in delegated acts under the EU Taxonomy </w:t>
          </w:r>
        </w:p>
        <w:p w14:paraId="4624FC3F" w14:textId="77777777" w:rsidR="00BC7425" w:rsidRDefault="00BC7425" w:rsidP="00BC7425">
          <w:pPr>
            <w:pStyle w:val="TableParagraph"/>
            <w:tabs>
              <w:tab w:val="left" w:pos="285"/>
            </w:tabs>
            <w:kinsoku w:val="0"/>
            <w:overflowPunct w:val="0"/>
            <w:ind w:left="0" w:right="157"/>
            <w:jc w:val="both"/>
            <w:rPr>
              <w:lang w:val="en-IE"/>
            </w:rPr>
          </w:pPr>
        </w:p>
        <w:p w14:paraId="13EDCD10" w14:textId="77777777" w:rsidR="00BC7425" w:rsidRDefault="00BC7425" w:rsidP="00BC7425">
          <w:pPr>
            <w:pStyle w:val="TableParagraph"/>
            <w:numPr>
              <w:ilvl w:val="0"/>
              <w:numId w:val="35"/>
            </w:numPr>
            <w:shd w:val="clear" w:color="auto" w:fill="FFFFFF" w:themeFill="background1"/>
            <w:tabs>
              <w:tab w:val="left" w:pos="285"/>
            </w:tabs>
            <w:kinsoku w:val="0"/>
            <w:overflowPunct w:val="0"/>
            <w:ind w:left="285" w:right="157" w:hanging="141"/>
            <w:jc w:val="both"/>
            <w:rPr>
              <w:lang w:val="en-IE"/>
            </w:rPr>
          </w:pPr>
          <w:r w:rsidRPr="0068157D">
            <w:rPr>
              <w:lang w:val="en-IE"/>
            </w:rPr>
            <w:t>the relevant Sustainable Finance Initiatives</w:t>
          </w:r>
        </w:p>
        <w:p w14:paraId="24E09FED" w14:textId="77777777" w:rsidR="00BC7425" w:rsidRDefault="00BC7425" w:rsidP="00BC7425">
          <w:pPr>
            <w:pStyle w:val="TableParagraph"/>
            <w:shd w:val="clear" w:color="auto" w:fill="FFFFFF" w:themeFill="background1"/>
            <w:tabs>
              <w:tab w:val="left" w:pos="285"/>
            </w:tabs>
            <w:kinsoku w:val="0"/>
            <w:overflowPunct w:val="0"/>
            <w:ind w:left="0" w:right="157"/>
            <w:jc w:val="both"/>
            <w:rPr>
              <w:lang w:val="en-IE"/>
            </w:rPr>
          </w:pPr>
        </w:p>
        <w:p w14:paraId="58641B04" w14:textId="77777777" w:rsidR="00BC7425" w:rsidRPr="0068157D" w:rsidRDefault="00BC7425" w:rsidP="00BC7425">
          <w:pPr>
            <w:pStyle w:val="TableParagraph"/>
            <w:numPr>
              <w:ilvl w:val="0"/>
              <w:numId w:val="35"/>
            </w:numPr>
            <w:shd w:val="clear" w:color="auto" w:fill="FFFFFF" w:themeFill="background1"/>
            <w:tabs>
              <w:tab w:val="left" w:pos="285"/>
            </w:tabs>
            <w:kinsoku w:val="0"/>
            <w:overflowPunct w:val="0"/>
            <w:ind w:left="285" w:right="157" w:hanging="141"/>
            <w:jc w:val="both"/>
            <w:rPr>
              <w:lang w:val="en-IE"/>
            </w:rPr>
          </w:pPr>
          <w:r w:rsidRPr="0068157D">
            <w:rPr>
              <w:lang w:val="en-IE"/>
            </w:rPr>
            <w:t xml:space="preserve"> GPP and other initiatives of the Commission, such as EMAS, Green Capitals and </w:t>
          </w:r>
          <w:r w:rsidRPr="0068157D">
            <w:rPr>
              <w:lang w:val="en-IE"/>
            </w:rPr>
            <w:lastRenderedPageBreak/>
            <w:t>Green Leaf Awards, European Industrial Strategy (actions targeting SMEs), etc.</w:t>
          </w:r>
        </w:p>
        <w:p w14:paraId="136D5314" w14:textId="77777777" w:rsidR="00BC7425" w:rsidRPr="0068157D" w:rsidRDefault="00BC7425" w:rsidP="00BC7425">
          <w:pPr>
            <w:pStyle w:val="ListParagraph"/>
            <w:ind w:left="567" w:right="157" w:hanging="567"/>
            <w:jc w:val="both"/>
            <w:rPr>
              <w:lang w:val="en-IE"/>
            </w:rPr>
          </w:pPr>
        </w:p>
        <w:p w14:paraId="6418EBF2" w14:textId="77777777" w:rsidR="00BC7425" w:rsidRPr="0068157D" w:rsidRDefault="00BC7425" w:rsidP="00BC7425">
          <w:pPr>
            <w:pStyle w:val="ListParagraph"/>
            <w:ind w:left="142" w:right="157"/>
            <w:jc w:val="both"/>
            <w:rPr>
              <w:lang w:val="en-IE"/>
            </w:rPr>
          </w:pPr>
          <w:r>
            <w:rPr>
              <w:lang w:val="en-IE"/>
            </w:rPr>
            <w:t>T</w:t>
          </w:r>
          <w:r w:rsidRPr="0068157D">
            <w:rPr>
              <w:lang w:val="en-IE"/>
            </w:rPr>
            <w:t xml:space="preserve">he SNE will be responsible to </w:t>
          </w:r>
          <w:r>
            <w:rPr>
              <w:b/>
              <w:bCs/>
              <w:lang w:val="en-IE"/>
            </w:rPr>
            <w:t>organise:</w:t>
          </w:r>
        </w:p>
        <w:p w14:paraId="2B20A045" w14:textId="77777777" w:rsidR="00BC7425" w:rsidRDefault="00BC7425" w:rsidP="00BC7425">
          <w:pPr>
            <w:pStyle w:val="ListParagraph"/>
            <w:numPr>
              <w:ilvl w:val="0"/>
              <w:numId w:val="36"/>
            </w:numPr>
            <w:spacing w:after="0" w:line="240" w:lineRule="auto"/>
            <w:ind w:left="284" w:right="157" w:hanging="142"/>
            <w:contextualSpacing w:val="0"/>
            <w:jc w:val="both"/>
            <w:rPr>
              <w:lang w:val="en-IE"/>
            </w:rPr>
          </w:pPr>
          <w:r>
            <w:rPr>
              <w:lang w:val="en-IE"/>
            </w:rPr>
            <w:t>a</w:t>
          </w:r>
          <w:r w:rsidRPr="0068157D">
            <w:rPr>
              <w:lang w:val="en-IE"/>
            </w:rPr>
            <w:t xml:space="preserve">t least twice/year the meetings of the Competent Bodies Forum and support the organisation of the meetings of the EU Ecolabelling Board (the expert group advising the EC on the EU Ecolabel) and the Regulatory Committee. </w:t>
          </w:r>
        </w:p>
        <w:p w14:paraId="1DB14C7D" w14:textId="77777777" w:rsidR="00BC7425" w:rsidRDefault="00BC7425" w:rsidP="00BC7425">
          <w:pPr>
            <w:spacing w:after="0"/>
            <w:ind w:right="157"/>
            <w:rPr>
              <w:lang w:val="en-IE" w:eastAsia="en-US"/>
            </w:rPr>
          </w:pPr>
        </w:p>
        <w:p w14:paraId="51994EDB" w14:textId="7F9EB52D" w:rsidR="002E40A9" w:rsidRPr="00AF7D78" w:rsidRDefault="00BC7425" w:rsidP="00BC7425">
          <w:pPr>
            <w:rPr>
              <w:lang w:val="en-US" w:eastAsia="en-GB"/>
            </w:rPr>
          </w:pPr>
          <w:r>
            <w:rPr>
              <w:lang w:val="en-IE" w:eastAsia="en-US"/>
            </w:rPr>
            <w:t>The SNE will also be called to work on green public procurement policies and the Eco-Management and Audit schemes, as appropriate, when there is a need to back up responsible colleagues.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1851BC"/>
    <w:multiLevelType w:val="hybridMultilevel"/>
    <w:tmpl w:val="D9926410"/>
    <w:lvl w:ilvl="0" w:tplc="A0D0B8E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02608EB"/>
    <w:multiLevelType w:val="hybridMultilevel"/>
    <w:tmpl w:val="93C6B1DE"/>
    <w:lvl w:ilvl="0" w:tplc="A0D0B8E6">
      <w:numFmt w:val="bullet"/>
      <w:lvlText w:val="-"/>
      <w:lvlJc w:val="left"/>
      <w:pPr>
        <w:ind w:left="867" w:hanging="360"/>
      </w:pPr>
      <w:rPr>
        <w:rFonts w:ascii="Arial" w:eastAsia="Times New Roman" w:hAnsi="Arial" w:cs="Arial" w:hint="default"/>
      </w:rPr>
    </w:lvl>
    <w:lvl w:ilvl="1" w:tplc="18090003" w:tentative="1">
      <w:start w:val="1"/>
      <w:numFmt w:val="bullet"/>
      <w:lvlText w:val="o"/>
      <w:lvlJc w:val="left"/>
      <w:pPr>
        <w:ind w:left="1587" w:hanging="360"/>
      </w:pPr>
      <w:rPr>
        <w:rFonts w:ascii="Courier New" w:hAnsi="Courier New" w:cs="Courier New" w:hint="default"/>
      </w:rPr>
    </w:lvl>
    <w:lvl w:ilvl="2" w:tplc="18090005" w:tentative="1">
      <w:start w:val="1"/>
      <w:numFmt w:val="bullet"/>
      <w:lvlText w:val=""/>
      <w:lvlJc w:val="left"/>
      <w:pPr>
        <w:ind w:left="2307" w:hanging="360"/>
      </w:pPr>
      <w:rPr>
        <w:rFonts w:ascii="Wingdings" w:hAnsi="Wingdings" w:hint="default"/>
      </w:rPr>
    </w:lvl>
    <w:lvl w:ilvl="3" w:tplc="18090001" w:tentative="1">
      <w:start w:val="1"/>
      <w:numFmt w:val="bullet"/>
      <w:lvlText w:val=""/>
      <w:lvlJc w:val="left"/>
      <w:pPr>
        <w:ind w:left="3027" w:hanging="360"/>
      </w:pPr>
      <w:rPr>
        <w:rFonts w:ascii="Symbol" w:hAnsi="Symbol" w:hint="default"/>
      </w:rPr>
    </w:lvl>
    <w:lvl w:ilvl="4" w:tplc="18090003" w:tentative="1">
      <w:start w:val="1"/>
      <w:numFmt w:val="bullet"/>
      <w:lvlText w:val="o"/>
      <w:lvlJc w:val="left"/>
      <w:pPr>
        <w:ind w:left="3747" w:hanging="360"/>
      </w:pPr>
      <w:rPr>
        <w:rFonts w:ascii="Courier New" w:hAnsi="Courier New" w:cs="Courier New" w:hint="default"/>
      </w:rPr>
    </w:lvl>
    <w:lvl w:ilvl="5" w:tplc="18090005" w:tentative="1">
      <w:start w:val="1"/>
      <w:numFmt w:val="bullet"/>
      <w:lvlText w:val=""/>
      <w:lvlJc w:val="left"/>
      <w:pPr>
        <w:ind w:left="4467" w:hanging="360"/>
      </w:pPr>
      <w:rPr>
        <w:rFonts w:ascii="Wingdings" w:hAnsi="Wingdings" w:hint="default"/>
      </w:rPr>
    </w:lvl>
    <w:lvl w:ilvl="6" w:tplc="18090001" w:tentative="1">
      <w:start w:val="1"/>
      <w:numFmt w:val="bullet"/>
      <w:lvlText w:val=""/>
      <w:lvlJc w:val="left"/>
      <w:pPr>
        <w:ind w:left="5187" w:hanging="360"/>
      </w:pPr>
      <w:rPr>
        <w:rFonts w:ascii="Symbol" w:hAnsi="Symbol" w:hint="default"/>
      </w:rPr>
    </w:lvl>
    <w:lvl w:ilvl="7" w:tplc="18090003" w:tentative="1">
      <w:start w:val="1"/>
      <w:numFmt w:val="bullet"/>
      <w:lvlText w:val="o"/>
      <w:lvlJc w:val="left"/>
      <w:pPr>
        <w:ind w:left="5907" w:hanging="360"/>
      </w:pPr>
      <w:rPr>
        <w:rFonts w:ascii="Courier New" w:hAnsi="Courier New" w:cs="Courier New" w:hint="default"/>
      </w:rPr>
    </w:lvl>
    <w:lvl w:ilvl="8" w:tplc="18090005" w:tentative="1">
      <w:start w:val="1"/>
      <w:numFmt w:val="bullet"/>
      <w:lvlText w:val=""/>
      <w:lvlJc w:val="left"/>
      <w:pPr>
        <w:ind w:left="6627"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FAE5E2D"/>
    <w:multiLevelType w:val="hybridMultilevel"/>
    <w:tmpl w:val="635AD854"/>
    <w:lvl w:ilvl="0" w:tplc="A0D0B8E6">
      <w:numFmt w:val="bullet"/>
      <w:lvlText w:val="-"/>
      <w:lvlJc w:val="left"/>
      <w:pPr>
        <w:ind w:left="867" w:hanging="360"/>
      </w:pPr>
      <w:rPr>
        <w:rFonts w:ascii="Arial" w:eastAsia="Times New Roman" w:hAnsi="Arial" w:cs="Arial" w:hint="default"/>
      </w:rPr>
    </w:lvl>
    <w:lvl w:ilvl="1" w:tplc="18090003" w:tentative="1">
      <w:start w:val="1"/>
      <w:numFmt w:val="bullet"/>
      <w:lvlText w:val="o"/>
      <w:lvlJc w:val="left"/>
      <w:pPr>
        <w:ind w:left="1587" w:hanging="360"/>
      </w:pPr>
      <w:rPr>
        <w:rFonts w:ascii="Courier New" w:hAnsi="Courier New" w:cs="Courier New" w:hint="default"/>
      </w:rPr>
    </w:lvl>
    <w:lvl w:ilvl="2" w:tplc="18090005" w:tentative="1">
      <w:start w:val="1"/>
      <w:numFmt w:val="bullet"/>
      <w:lvlText w:val=""/>
      <w:lvlJc w:val="left"/>
      <w:pPr>
        <w:ind w:left="2307" w:hanging="360"/>
      </w:pPr>
      <w:rPr>
        <w:rFonts w:ascii="Wingdings" w:hAnsi="Wingdings" w:hint="default"/>
      </w:rPr>
    </w:lvl>
    <w:lvl w:ilvl="3" w:tplc="18090001" w:tentative="1">
      <w:start w:val="1"/>
      <w:numFmt w:val="bullet"/>
      <w:lvlText w:val=""/>
      <w:lvlJc w:val="left"/>
      <w:pPr>
        <w:ind w:left="3027" w:hanging="360"/>
      </w:pPr>
      <w:rPr>
        <w:rFonts w:ascii="Symbol" w:hAnsi="Symbol" w:hint="default"/>
      </w:rPr>
    </w:lvl>
    <w:lvl w:ilvl="4" w:tplc="18090003" w:tentative="1">
      <w:start w:val="1"/>
      <w:numFmt w:val="bullet"/>
      <w:lvlText w:val="o"/>
      <w:lvlJc w:val="left"/>
      <w:pPr>
        <w:ind w:left="3747" w:hanging="360"/>
      </w:pPr>
      <w:rPr>
        <w:rFonts w:ascii="Courier New" w:hAnsi="Courier New" w:cs="Courier New" w:hint="default"/>
      </w:rPr>
    </w:lvl>
    <w:lvl w:ilvl="5" w:tplc="18090005" w:tentative="1">
      <w:start w:val="1"/>
      <w:numFmt w:val="bullet"/>
      <w:lvlText w:val=""/>
      <w:lvlJc w:val="left"/>
      <w:pPr>
        <w:ind w:left="4467" w:hanging="360"/>
      </w:pPr>
      <w:rPr>
        <w:rFonts w:ascii="Wingdings" w:hAnsi="Wingdings" w:hint="default"/>
      </w:rPr>
    </w:lvl>
    <w:lvl w:ilvl="6" w:tplc="18090001" w:tentative="1">
      <w:start w:val="1"/>
      <w:numFmt w:val="bullet"/>
      <w:lvlText w:val=""/>
      <w:lvlJc w:val="left"/>
      <w:pPr>
        <w:ind w:left="5187" w:hanging="360"/>
      </w:pPr>
      <w:rPr>
        <w:rFonts w:ascii="Symbol" w:hAnsi="Symbol" w:hint="default"/>
      </w:rPr>
    </w:lvl>
    <w:lvl w:ilvl="7" w:tplc="18090003" w:tentative="1">
      <w:start w:val="1"/>
      <w:numFmt w:val="bullet"/>
      <w:lvlText w:val="o"/>
      <w:lvlJc w:val="left"/>
      <w:pPr>
        <w:ind w:left="5907" w:hanging="360"/>
      </w:pPr>
      <w:rPr>
        <w:rFonts w:ascii="Courier New" w:hAnsi="Courier New" w:cs="Courier New" w:hint="default"/>
      </w:rPr>
    </w:lvl>
    <w:lvl w:ilvl="8" w:tplc="18090005" w:tentative="1">
      <w:start w:val="1"/>
      <w:numFmt w:val="bullet"/>
      <w:lvlText w:val=""/>
      <w:lvlJc w:val="left"/>
      <w:pPr>
        <w:ind w:left="6627"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C1C4BE2"/>
    <w:multiLevelType w:val="hybridMultilevel"/>
    <w:tmpl w:val="DEE696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0581EC4"/>
    <w:multiLevelType w:val="hybridMultilevel"/>
    <w:tmpl w:val="D7EAA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5"/>
  </w:num>
  <w:num w:numId="7" w16cid:durableId="2010597269">
    <w:abstractNumId w:val="2"/>
  </w:num>
  <w:num w:numId="8" w16cid:durableId="154227337">
    <w:abstractNumId w:val="9"/>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2"/>
  </w:num>
  <w:num w:numId="14" w16cid:durableId="1671517048">
    <w:abstractNumId w:val="18"/>
  </w:num>
  <w:num w:numId="15" w16cid:durableId="348874439">
    <w:abstractNumId w:val="21"/>
  </w:num>
  <w:num w:numId="16" w16cid:durableId="788280695">
    <w:abstractNumId w:val="28"/>
  </w:num>
  <w:num w:numId="17" w16cid:durableId="1058630122">
    <w:abstractNumId w:val="13"/>
  </w:num>
  <w:num w:numId="18" w16cid:durableId="2120908136">
    <w:abstractNumId w:val="14"/>
  </w:num>
  <w:num w:numId="19" w16cid:durableId="686714860">
    <w:abstractNumId w:val="29"/>
  </w:num>
  <w:num w:numId="20" w16cid:durableId="422990355">
    <w:abstractNumId w:val="20"/>
  </w:num>
  <w:num w:numId="21" w16cid:durableId="1837307304">
    <w:abstractNumId w:val="23"/>
  </w:num>
  <w:num w:numId="22" w16cid:durableId="302121546">
    <w:abstractNumId w:val="4"/>
  </w:num>
  <w:num w:numId="23" w16cid:durableId="728039549">
    <w:abstractNumId w:val="8"/>
  </w:num>
  <w:num w:numId="24" w16cid:durableId="1971325234">
    <w:abstractNumId w:val="15"/>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407188643">
    <w:abstractNumId w:val="27"/>
  </w:num>
  <w:num w:numId="35" w16cid:durableId="1607035882">
    <w:abstractNumId w:val="7"/>
  </w:num>
  <w:num w:numId="36" w16cid:durableId="809253601">
    <w:abstractNumId w:val="24"/>
  </w:num>
  <w:num w:numId="37" w16cid:durableId="309292585">
    <w:abstractNumId w:val="11"/>
  </w:num>
  <w:num w:numId="38" w16cid:durableId="17014655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C7425"/>
    <w:rsid w:val="00C06724"/>
    <w:rsid w:val="00C3254D"/>
    <w:rsid w:val="00C504C7"/>
    <w:rsid w:val="00C571CC"/>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621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TableParagraph">
    <w:name w:val="Table Paragraph"/>
    <w:basedOn w:val="Normal"/>
    <w:uiPriority w:val="1"/>
    <w:qFormat/>
    <w:rsid w:val="00BC7425"/>
    <w:pPr>
      <w:widowControl w:val="0"/>
      <w:autoSpaceDE w:val="0"/>
      <w:autoSpaceDN w:val="0"/>
      <w:adjustRightInd w:val="0"/>
      <w:spacing w:after="0"/>
      <w:ind w:left="107"/>
      <w:jc w:val="left"/>
    </w:pPr>
    <w:rPr>
      <w:szCs w:val="24"/>
      <w:lang w:eastAsia="en-GB"/>
    </w:rPr>
  </w:style>
  <w:style w:type="paragraph" w:styleId="NormalWeb">
    <w:name w:val="Normal (Web)"/>
    <w:basedOn w:val="Normal"/>
    <w:uiPriority w:val="99"/>
    <w:unhideWhenUsed/>
    <w:locked/>
    <w:rsid w:val="00BC7425"/>
    <w:pPr>
      <w:spacing w:before="100" w:beforeAutospacing="1" w:after="100" w:afterAutospacing="1"/>
      <w:jc w:val="left"/>
    </w:pPr>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circabc.europa.eu/ui/group/6e9b7f79-da96-4a53-956f-e8f62c9d7fed/library/c3e817ba-9e94-4ced-acf4-52f9560d3ad9/details?download=true"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A65C70" w:rsidRDefault="009A12CB" w:rsidP="009A12CB">
          <w:pPr>
            <w:pStyle w:val="F8087F2A3C014B809064D3423F4C13C9"/>
          </w:pPr>
          <w:r w:rsidRPr="003D4996">
            <w:rPr>
              <w:rStyle w:val="PlaceholderText"/>
            </w:rPr>
            <w:t>Click or tap to enter a date.</w:t>
          </w:r>
        </w:p>
      </w:docPartBody>
    </w:docPart>
    <w:docPart>
      <w:docPartPr>
        <w:name w:val="BE1F9F2E48004F7EBB2940ED206EA99C"/>
        <w:category>
          <w:name w:val="General"/>
          <w:gallery w:val="placeholder"/>
        </w:category>
        <w:types>
          <w:type w:val="bbPlcHdr"/>
        </w:types>
        <w:behaviors>
          <w:behavior w:val="content"/>
        </w:behaviors>
        <w:guid w:val="{F183DAF5-202F-4252-B070-713DAF881E40}"/>
      </w:docPartPr>
      <w:docPartBody>
        <w:p w:rsidR="00803D6E" w:rsidRDefault="00803D6E" w:rsidP="00803D6E">
          <w:pPr>
            <w:pStyle w:val="BE1F9F2E48004F7EBB2940ED206EA99C"/>
          </w:pPr>
          <w:r w:rsidRPr="00111AB6">
            <w:rPr>
              <w:rStyle w:val="PlaceholderText"/>
            </w:rPr>
            <w:t>Click or tap here to enter text.</w:t>
          </w:r>
        </w:p>
      </w:docPartBody>
    </w:docPart>
    <w:docPart>
      <w:docPartPr>
        <w:name w:val="088D0579FE194EEB9266334F15AA5E9E"/>
        <w:category>
          <w:name w:val="General"/>
          <w:gallery w:val="placeholder"/>
        </w:category>
        <w:types>
          <w:type w:val="bbPlcHdr"/>
        </w:types>
        <w:behaviors>
          <w:behavior w:val="content"/>
        </w:behaviors>
        <w:guid w:val="{58057524-0463-4BB5-9792-98473AD6603F}"/>
      </w:docPartPr>
      <w:docPartBody>
        <w:p w:rsidR="00803D6E" w:rsidRDefault="00803D6E" w:rsidP="00803D6E">
          <w:pPr>
            <w:pStyle w:val="088D0579FE194EEB9266334F15AA5E9E"/>
          </w:pPr>
          <w:r w:rsidRPr="00111AB6">
            <w:rPr>
              <w:rStyle w:val="PlaceholderText"/>
            </w:rPr>
            <w:t>Click or tap here to enter text.</w:t>
          </w:r>
        </w:p>
      </w:docPartBody>
    </w:docPart>
    <w:docPart>
      <w:docPartPr>
        <w:name w:val="1281C7FCF5744506A527E8801ED5EA21"/>
        <w:category>
          <w:name w:val="General"/>
          <w:gallery w:val="placeholder"/>
        </w:category>
        <w:types>
          <w:type w:val="bbPlcHdr"/>
        </w:types>
        <w:behaviors>
          <w:behavior w:val="content"/>
        </w:behaviors>
        <w:guid w:val="{A1DDF3CF-D046-48D2-92C0-944FE6CA5B17}"/>
      </w:docPartPr>
      <w:docPartBody>
        <w:p w:rsidR="00803D6E" w:rsidRDefault="00803D6E" w:rsidP="00803D6E">
          <w:pPr>
            <w:pStyle w:val="1281C7FCF5744506A527E8801ED5EA21"/>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03D6E"/>
    <w:rsid w:val="00893390"/>
    <w:rsid w:val="00894A0C"/>
    <w:rsid w:val="009A12CB"/>
    <w:rsid w:val="00A65C7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03D6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BE1F9F2E48004F7EBB2940ED206EA99C">
    <w:name w:val="BE1F9F2E48004F7EBB2940ED206EA99C"/>
    <w:rsid w:val="00803D6E"/>
    <w:rPr>
      <w:kern w:val="2"/>
      <w14:ligatures w14:val="standardContextual"/>
    </w:rPr>
  </w:style>
  <w:style w:type="paragraph" w:customStyle="1" w:styleId="088D0579FE194EEB9266334F15AA5E9E">
    <w:name w:val="088D0579FE194EEB9266334F15AA5E9E"/>
    <w:rsid w:val="00803D6E"/>
    <w:rPr>
      <w:kern w:val="2"/>
      <w14:ligatures w14:val="standardContextual"/>
    </w:rPr>
  </w:style>
  <w:style w:type="paragraph" w:customStyle="1" w:styleId="1281C7FCF5744506A527E8801ED5EA21">
    <w:name w:val="1281C7FCF5744506A527E8801ED5EA21"/>
    <w:rsid w:val="00803D6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F56AE35A-A4C1-488B-8A80-41955AE84979}">
  <ds:schemaRefs>
    <ds:schemaRef ds:uri="http://schemas.microsoft.com/office/2006/documentManagement/types"/>
    <ds:schemaRef ds:uri="http://schemas.openxmlformats.org/package/2006/metadata/core-properties"/>
    <ds:schemaRef ds:uri="http://purl.org/dc/terms/"/>
    <ds:schemaRef ds:uri="1929b814-5a78-4bdc-9841-d8b9ef424f65"/>
    <ds:schemaRef ds:uri="http://schemas.microsoft.com/office/infopath/2007/PartnerControls"/>
    <ds:schemaRef ds:uri="http://purl.org/dc/elements/1.1/"/>
    <ds:schemaRef ds:uri="http://schemas.microsoft.com/sharepoint/v3/fields"/>
    <ds:schemaRef ds:uri="08927195-b699-4be0-9ee2-6c66dc215b5a"/>
    <ds:schemaRef ds:uri="http://purl.org/dc/dcmitype/"/>
    <ds:schemaRef ds:uri="a41a97bf-0494-41d8-ba3d-259bd777189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5</Pages>
  <Words>1638</Words>
  <Characters>9338</Characters>
  <Application>Microsoft Office Word</Application>
  <DocSecurity>0</DocSecurity>
  <PresentationFormat>Microsoft Word 14.0</PresentationFormat>
  <Lines>77</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2024-02-08T15:30:00Z</dcterms:created>
  <dcterms:modified xsi:type="dcterms:W3CDTF">2024-02-09T14:01:00Z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