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34E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47A778" w:rsidR="00B65513" w:rsidRPr="0007110E" w:rsidRDefault="00C234E5" w:rsidP="00E82667">
                <w:pPr>
                  <w:tabs>
                    <w:tab w:val="left" w:pos="426"/>
                  </w:tabs>
                  <w:spacing w:before="120"/>
                  <w:rPr>
                    <w:bCs/>
                    <w:lang w:val="en-IE" w:eastAsia="en-GB"/>
                  </w:rPr>
                </w:pPr>
                <w:r>
                  <w:rPr>
                    <w:bCs/>
                    <w:lang w:val="en-IE" w:eastAsia="en-GB"/>
                  </w:rPr>
                  <w:t>COMP-H-5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5A9A2F" w:rsidR="00D96984" w:rsidRPr="0007110E" w:rsidRDefault="00C234E5" w:rsidP="00E82667">
                <w:pPr>
                  <w:tabs>
                    <w:tab w:val="left" w:pos="426"/>
                  </w:tabs>
                  <w:spacing w:before="120"/>
                  <w:rPr>
                    <w:bCs/>
                    <w:lang w:val="en-IE" w:eastAsia="en-GB"/>
                  </w:rPr>
                </w:pPr>
                <w:r>
                  <w:rPr>
                    <w:bCs/>
                    <w:lang w:val="en-IE" w:eastAsia="en-GB"/>
                  </w:rPr>
                  <w:t>382200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8E2490" w:rsidR="00E21DBD" w:rsidRPr="0007110E" w:rsidRDefault="00C234E5" w:rsidP="00E82667">
                <w:pPr>
                  <w:tabs>
                    <w:tab w:val="left" w:pos="426"/>
                  </w:tabs>
                  <w:spacing w:before="120"/>
                  <w:rPr>
                    <w:bCs/>
                    <w:lang w:val="en-IE" w:eastAsia="en-GB"/>
                  </w:rPr>
                </w:pPr>
                <w:r>
                  <w:rPr>
                    <w:bCs/>
                    <w:lang w:val="en-IE" w:eastAsia="en-GB"/>
                  </w:rPr>
                  <w:t>Harold NYSSENS</w:t>
                </w:r>
              </w:p>
            </w:sdtContent>
          </w:sdt>
          <w:p w14:paraId="34CF737A" w14:textId="3A9E49E4" w:rsidR="00E21DBD" w:rsidRPr="0007110E" w:rsidRDefault="00C234E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7B613FB6" w:rsidR="00E21DBD" w:rsidRPr="0007110E" w:rsidRDefault="00C234E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993CF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8pt;height:21.75pt" o:ole="">
                  <v:imagedata r:id="rId12" o:title=""/>
                </v:shape>
                <w:control r:id="rId13" w:name="OptionButton6" w:shapeid="_x0000_i1056"/>
              </w:object>
            </w:r>
            <w:r>
              <w:rPr>
                <w:bCs/>
                <w:szCs w:val="24"/>
                <w:lang w:eastAsia="en-GB"/>
              </w:rPr>
              <w:object w:dxaOrig="225" w:dyaOrig="225" w14:anchorId="1B1CECAE">
                <v:shape id="_x0000_i1052" type="#_x0000_t75" style="width:108pt;height:21.75pt" o:ole="">
                  <v:imagedata r:id="rId14" o:title=""/>
                </v:shape>
                <w:control r:id="rId15" w:name="OptionButton7" w:shapeid="_x0000_i1052"/>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4DB60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5" type="#_x0000_t75" style="width:108pt;height:21.75pt" o:ole="">
                  <v:imagedata r:id="rId16" o:title=""/>
                </v:shape>
                <w:control r:id="rId17" w:name="OptionButton4" w:shapeid="_x0000_i1055"/>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234E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34E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34E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1618E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AF7800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AF34A6" w14:textId="77777777" w:rsidR="00C234E5" w:rsidRDefault="00C234E5" w:rsidP="00C234E5">
          <w:pPr>
            <w:spacing w:after="0"/>
            <w:rPr>
              <w:lang w:val="en-IE" w:eastAsia="en-GB"/>
            </w:rPr>
          </w:pPr>
          <w:r w:rsidRPr="009D4315">
            <w:rPr>
              <w:lang w:val="en-IE" w:eastAsia="en-GB"/>
            </w:rPr>
            <w:t xml:space="preserve">Unit H5 is in charge of ensuring that tax measures comply with State aid rules. We </w:t>
          </w:r>
          <w:r w:rsidRPr="00B35218">
            <w:rPr>
              <w:lang w:val="en-IE" w:eastAsia="en-GB"/>
            </w:rPr>
            <w:t>endeavour</w:t>
          </w:r>
          <w:r w:rsidRPr="009D4315">
            <w:rPr>
              <w:lang w:val="en-IE" w:eastAsia="en-GB"/>
            </w:rPr>
            <w:t xml:space="preserve"> to prevent distortions of competition resulting from tax treatments that provide certain companies with a selective advantage. The portfolio of the unit covers, in general, corporate taxation, social security schemes, real-estate taxation, environment or health-related taxes, sectoral taxes and gambling taxation. We aim, in that context, at contributing to ensure a functioning EU internal market.</w:t>
          </w:r>
        </w:p>
        <w:p w14:paraId="2A838319" w14:textId="77777777" w:rsidR="00C234E5" w:rsidRPr="009D4315" w:rsidRDefault="00C234E5" w:rsidP="00C234E5">
          <w:pPr>
            <w:spacing w:after="0"/>
            <w:ind w:left="426"/>
            <w:rPr>
              <w:lang w:val="en-IE" w:eastAsia="en-GB"/>
            </w:rPr>
          </w:pPr>
        </w:p>
        <w:p w14:paraId="124911CE" w14:textId="77777777" w:rsidR="00C234E5" w:rsidRPr="00B32B76" w:rsidRDefault="00C234E5" w:rsidP="00C234E5">
          <w:pPr>
            <w:spacing w:after="0"/>
            <w:rPr>
              <w:lang w:val="en-IE" w:eastAsia="en-GB"/>
            </w:rPr>
          </w:pPr>
          <w:r w:rsidRPr="009D4315">
            <w:rPr>
              <w:lang w:val="en-IE" w:eastAsia="en-GB"/>
            </w:rPr>
            <w:lastRenderedPageBreak/>
            <w:t xml:space="preserve">This task </w:t>
          </w:r>
          <w:r w:rsidRPr="00B32B76">
            <w:rPr>
              <w:lang w:val="en-IE" w:eastAsia="en-GB"/>
            </w:rPr>
            <w:t>includes investigating state measures facilitating aggressive tax planning by big multinationals. These involve typically tax rulings (as for example in the cases of Amazon, Apple, Fiat, Starbucks, Engie) and tax schemes such as the Belgian excess profit system.</w:t>
          </w:r>
        </w:p>
        <w:p w14:paraId="183CB666" w14:textId="77777777" w:rsidR="00C234E5" w:rsidRPr="00B32B76" w:rsidRDefault="00C234E5" w:rsidP="00C234E5">
          <w:pPr>
            <w:spacing w:after="0"/>
            <w:ind w:left="426"/>
            <w:rPr>
              <w:lang w:val="en-IE" w:eastAsia="en-GB"/>
            </w:rPr>
          </w:pPr>
        </w:p>
        <w:p w14:paraId="6C2E211F" w14:textId="77777777" w:rsidR="00C234E5" w:rsidRDefault="00C234E5" w:rsidP="00C234E5">
          <w:pPr>
            <w:spacing w:after="0"/>
            <w:rPr>
              <w:lang w:val="en-IE" w:eastAsia="en-GB"/>
            </w:rPr>
          </w:pPr>
          <w:r w:rsidRPr="00B32B76">
            <w:rPr>
              <w:lang w:val="en-IE" w:eastAsia="en-GB"/>
            </w:rPr>
            <w:t>The work of the unit consists of a mix of such own initiative investigations and of investigations triggered by complaints from market operators.</w:t>
          </w:r>
          <w:r w:rsidRPr="009D4315">
            <w:rPr>
              <w:lang w:val="en-IE" w:eastAsia="en-GB"/>
            </w:rPr>
            <w:t xml:space="preserve"> One of the core questions faced by the unit in these cases relate to the existence of a "selective advantage", thereby drawing the line between the exclusive competence of Member States in the design of their tax systems and the Commission's duty to ensure compliance of those tax systems with State aid rules.</w:t>
          </w:r>
          <w:r>
            <w:rPr>
              <w:lang w:val="en-IE" w:eastAsia="en-GB"/>
            </w:rPr>
            <w:t xml:space="preserve"> </w:t>
          </w:r>
          <w:r w:rsidRPr="00B35218">
            <w:rPr>
              <w:lang w:val="en-IE" w:eastAsia="en-GB"/>
            </w:rPr>
            <w:t>The recent case law of the ECJ plays a crucial role in this respect.</w:t>
          </w:r>
          <w:r>
            <w:rPr>
              <w:lang w:val="en-IE" w:eastAsia="en-GB"/>
            </w:rPr>
            <w:t xml:space="preserve"> </w:t>
          </w:r>
        </w:p>
        <w:p w14:paraId="40B999B3" w14:textId="77777777" w:rsidR="00C234E5" w:rsidRPr="009D4315" w:rsidRDefault="00C234E5" w:rsidP="00C234E5">
          <w:pPr>
            <w:spacing w:after="0"/>
            <w:ind w:left="426"/>
            <w:rPr>
              <w:lang w:val="en-IE" w:eastAsia="en-GB"/>
            </w:rPr>
          </w:pPr>
        </w:p>
        <w:p w14:paraId="59DD0438" w14:textId="2B4A302F" w:rsidR="00E21DBD" w:rsidRDefault="00C234E5" w:rsidP="00C234E5">
          <w:pPr>
            <w:rPr>
              <w:lang w:val="en-US" w:eastAsia="en-GB"/>
            </w:rPr>
          </w:pPr>
          <w:r w:rsidRPr="009D4315">
            <w:rPr>
              <w:lang w:val="en-IE" w:eastAsia="en-GB"/>
            </w:rPr>
            <w:t xml:space="preserve">Close contacts are kept with DG TAXUD in order to ensure alignment of State aid enforcement with the broader policy agenda </w:t>
          </w:r>
          <w:r w:rsidRPr="006E4644">
            <w:rPr>
              <w:lang w:val="en-IE" w:eastAsia="en-GB"/>
            </w:rPr>
            <w:t>of the Commission as regards taxation. Such coordination i</w:t>
          </w:r>
          <w:r w:rsidRPr="009D4315">
            <w:rPr>
              <w:lang w:val="en-IE" w:eastAsia="en-GB"/>
            </w:rPr>
            <w:t xml:space="preserve">s particularly crucial in areas such as, for instance VAT, excise duties and corporate taxation. The work on tax planning cases is further embedded in broader discussions on combatting aggressive tax planning within the OECD and </w:t>
          </w:r>
          <w:r w:rsidRPr="00B35218">
            <w:rPr>
              <w:lang w:val="en-IE" w:eastAsia="en-GB"/>
            </w:rPr>
            <w:t>G20 (for instance as, regards the development of OECD pillar 2 rules).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1A87A07" w14:textId="77777777" w:rsidR="00C234E5" w:rsidRDefault="00C234E5" w:rsidP="00C234E5">
          <w:pPr>
            <w:spacing w:after="0"/>
            <w:rPr>
              <w:lang w:val="en-IE" w:eastAsia="en-GB"/>
            </w:rPr>
          </w:pPr>
          <w:r w:rsidRPr="00B32B76">
            <w:rPr>
              <w:lang w:val="en-IE" w:eastAsia="en-GB"/>
            </w:rPr>
            <w:t>We offer a position as case handler. His/her main task will be to carry out the tax assessment of state measures of fiscal nature  under state aid rules.</w:t>
          </w:r>
          <w:r w:rsidRPr="009D4315">
            <w:rPr>
              <w:lang w:val="en-IE" w:eastAsia="en-GB"/>
            </w:rPr>
            <w:t xml:space="preserve"> This work is done within a dynamic and young team. The team is responsible for the case from the initiation until a formal Commission decision, leads the negotiations with Member States and stakeholders, and prepares the corresponding notes to the management and the Commissioner. The team also drafts the final Commission decisions. The successful candidate will thereby contribute to the development of the Commission's policy in the area of fiscal aid. </w:t>
          </w:r>
        </w:p>
        <w:p w14:paraId="175E3696" w14:textId="77777777" w:rsidR="00C234E5" w:rsidRPr="009D4315" w:rsidRDefault="00C234E5" w:rsidP="00C234E5">
          <w:pPr>
            <w:spacing w:after="0"/>
            <w:ind w:left="426"/>
            <w:rPr>
              <w:lang w:val="en-IE" w:eastAsia="en-GB"/>
            </w:rPr>
          </w:pPr>
        </w:p>
        <w:p w14:paraId="46EE3E07" w14:textId="0AD5B071" w:rsidR="00E21DBD" w:rsidRPr="00AF7D78" w:rsidRDefault="00C234E5" w:rsidP="00C234E5">
          <w:pPr>
            <w:rPr>
              <w:lang w:val="en-US" w:eastAsia="en-GB"/>
            </w:rPr>
          </w:pPr>
          <w:r w:rsidRPr="009D4315">
            <w:rPr>
              <w:lang w:val="en-IE" w:eastAsia="en-GB"/>
            </w:rPr>
            <w:t>Colleagues joining DG COMP are offered a dedicated training to become familiar with the organisation and working procedures of the Directorate-General. Coaching/mentoring is offered by an experienced colleague from the unit. DG COMP applies a policy of equal opportunities and operates a flexitime system</w:t>
          </w:r>
          <w:r>
            <w:rPr>
              <w:lang w:val="en-IE"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8848A6D" w:rsidR="002E40A9" w:rsidRPr="00AF7D78" w:rsidRDefault="00C234E5" w:rsidP="00C234E5">
          <w:pPr>
            <w:tabs>
              <w:tab w:val="left" w:pos="426"/>
            </w:tabs>
            <w:spacing w:after="0"/>
            <w:rPr>
              <w:lang w:val="en-US" w:eastAsia="en-GB"/>
            </w:rPr>
          </w:pPr>
          <w:r w:rsidRPr="008351E4">
            <w:rPr>
              <w:lang w:val="en-US" w:eastAsia="en-GB"/>
            </w:rPr>
            <w:t>We look for an enthusiastic and highly motivated case handler with a background in (competition) law, taxation, economics and/or accounting, with professional experience in fiscal matters and/or State aid</w:t>
          </w:r>
          <w:r w:rsidRPr="008351E4">
            <w:rPr>
              <w:lang w:val="en-US"/>
            </w:rPr>
            <w:t xml:space="preserve">. Experience linked to transfer pricing and/or international corporate taxation is appreciated but not required. Also professional qualifications linked to these areas (e.g. CFA, ACCA etc.) would be an asset. </w:t>
          </w:r>
          <w:r w:rsidRPr="008351E4">
            <w:rPr>
              <w:lang w:val="en-US" w:eastAsia="en-GB"/>
            </w:rPr>
            <w:t>English is the main language used in the unit: very good drafting skills in English are required. Good knowledge of other Community languages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C37B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34E5"/>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1203</Words>
  <Characters>6608</Characters>
  <Application>Microsoft Office Word</Application>
  <DocSecurity>0</DocSecurity>
  <PresentationFormat>Microsoft Word 14.0</PresentationFormat>
  <Lines>143</Lines>
  <Paragraphs>65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PEPERSTRAETE Natascha (COMP)</cp:lastModifiedBy>
  <cp:revision>3</cp:revision>
  <cp:lastPrinted>2023-04-05T10:36:00Z</cp:lastPrinted>
  <dcterms:created xsi:type="dcterms:W3CDTF">2024-01-08T13:02:00Z</dcterms:created>
  <dcterms:modified xsi:type="dcterms:W3CDTF">2024-01-08T13:12:00Z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