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1EF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42926A" w:rsidR="00B65513" w:rsidRPr="0007110E" w:rsidRDefault="00E56767" w:rsidP="00E56767">
                <w:pPr>
                  <w:tabs>
                    <w:tab w:val="left" w:pos="426"/>
                  </w:tabs>
                  <w:spacing w:before="120"/>
                  <w:rPr>
                    <w:bCs/>
                    <w:lang w:val="en-IE" w:eastAsia="en-GB"/>
                  </w:rPr>
                </w:pPr>
                <w:r>
                  <w:rPr>
                    <w:bCs/>
                    <w:lang w:val="en-IE" w:eastAsia="en-GB"/>
                  </w:rPr>
                  <w:t>Delegation of the European Union to Senegal – DG INTPA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E56767"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340971378"/>
                  <w:placeholder>
                    <w:docPart w:val="8F45A060534F451696158B625C91DDDA"/>
                  </w:placeholder>
                </w:sdtPr>
                <w:sdtEndPr/>
                <w:sdtContent>
                  <w:p w14:paraId="714DA989" w14:textId="1152F868" w:rsidR="00E21DBD" w:rsidRPr="00595763" w:rsidRDefault="00595763" w:rsidP="00E56767">
                    <w:pPr>
                      <w:tabs>
                        <w:tab w:val="left" w:pos="426"/>
                      </w:tabs>
                      <w:rPr>
                        <w:bCs/>
                        <w:lang w:val="fr-BE" w:eastAsia="en-GB"/>
                      </w:rPr>
                    </w:pPr>
                    <w:r w:rsidRPr="00595763">
                      <w:rPr>
                        <w:bCs/>
                        <w:lang w:val="fr-BE" w:eastAsia="en-GB"/>
                      </w:rPr>
                      <w:t xml:space="preserve">Dorota </w:t>
                    </w:r>
                    <w:proofErr w:type="spellStart"/>
                    <w:r w:rsidRPr="00595763">
                      <w:rPr>
                        <w:bCs/>
                        <w:lang w:val="fr-BE" w:eastAsia="en-GB"/>
                      </w:rPr>
                      <w:t>Panczyk-</w:t>
                    </w:r>
                    <w:proofErr w:type="gramStart"/>
                    <w:r w:rsidRPr="00595763">
                      <w:rPr>
                        <w:bCs/>
                        <w:lang w:val="fr-BE" w:eastAsia="en-GB"/>
                      </w:rPr>
                      <w:t>Piqueray</w:t>
                    </w:r>
                    <w:proofErr w:type="spellEnd"/>
                    <w:r w:rsidRPr="00595763">
                      <w:rPr>
                        <w:bCs/>
                        <w:lang w:val="fr-BE" w:eastAsia="en-GB"/>
                      </w:rPr>
                      <w:t xml:space="preserve">, </w:t>
                    </w:r>
                    <w:r>
                      <w:rPr>
                        <w:bCs/>
                        <w:lang w:val="fr-BE" w:eastAsia="en-GB"/>
                      </w:rPr>
                      <w:t xml:space="preserve"> -</w:t>
                    </w:r>
                    <w:proofErr w:type="gramEnd"/>
                    <w:r>
                      <w:rPr>
                        <w:bCs/>
                        <w:lang w:val="fr-BE" w:eastAsia="en-GB"/>
                      </w:rPr>
                      <w:t xml:space="preserve"> </w:t>
                    </w:r>
                    <w:r w:rsidRPr="00595763">
                      <w:rPr>
                        <w:bCs/>
                        <w:lang w:val="fr-BE" w:eastAsia="en-GB"/>
                      </w:rPr>
                      <w:t>Dorota.panczyk@</w:t>
                    </w:r>
                    <w:r>
                      <w:rPr>
                        <w:bCs/>
                        <w:lang w:val="fr-BE" w:eastAsia="en-GB"/>
                      </w:rPr>
                      <w:t>ec.europa.eu</w:t>
                    </w:r>
                  </w:p>
                </w:sdtContent>
              </w:sdt>
            </w:sdtContent>
          </w:sdt>
          <w:p w14:paraId="34CF737A" w14:textId="5A33B7C2" w:rsidR="00E21DBD" w:rsidRPr="0007110E" w:rsidRDefault="00711EF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6767">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56767">
                  <w:rPr>
                    <w:bCs/>
                    <w:lang w:val="en-IE" w:eastAsia="en-GB"/>
                  </w:rPr>
                  <w:t>2024</w:t>
                </w:r>
              </w:sdtContent>
            </w:sdt>
          </w:p>
          <w:p w14:paraId="158DD156" w14:textId="5D746AF1" w:rsidR="00E21DBD" w:rsidRPr="00E56767" w:rsidRDefault="00711EF7"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E56767" w:rsidRPr="00E56767">
                  <w:rPr>
                    <w:bCs/>
                    <w:lang w:val="de-DE" w:eastAsia="en-GB"/>
                  </w:rPr>
                  <w:t>1</w:t>
                </w:r>
              </w:sdtContent>
            </w:sdt>
            <w:r w:rsidR="00E21DBD" w:rsidRPr="00E56767">
              <w:rPr>
                <w:bCs/>
                <w:lang w:val="de-DE" w:eastAsia="en-GB"/>
              </w:rPr>
              <w:t xml:space="preserve"> years</w:t>
            </w:r>
            <w:r w:rsidR="00E21DBD" w:rsidRPr="00E56767">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E56767">
                  <w:rPr>
                    <w:rFonts w:ascii="MS Gothic" w:eastAsia="MS Gothic" w:hAnsi="MS Gothic" w:hint="eastAsia"/>
                    <w:bCs/>
                    <w:szCs w:val="24"/>
                    <w:lang w:val="de-DE" w:eastAsia="en-GB"/>
                  </w:rPr>
                  <w:t>☐</w:t>
                </w:r>
              </w:sdtContent>
            </w:sdt>
            <w:r w:rsidR="00E21DBD" w:rsidRPr="00E56767">
              <w:rPr>
                <w:bCs/>
                <w:lang w:val="de-DE" w:eastAsia="en-GB"/>
              </w:rPr>
              <w:t xml:space="preserve"> Brussels</w:t>
            </w:r>
            <w:r w:rsidR="00994062" w:rsidRPr="00E56767">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E56767">
                  <w:rPr>
                    <w:rFonts w:ascii="MS Gothic" w:eastAsia="MS Gothic" w:hAnsi="MS Gothic" w:hint="eastAsia"/>
                    <w:bCs/>
                    <w:szCs w:val="24"/>
                    <w:lang w:val="de-DE" w:eastAsia="en-GB"/>
                  </w:rPr>
                  <w:t>☐</w:t>
                </w:r>
              </w:sdtContent>
            </w:sdt>
            <w:r w:rsidR="00E21DBD" w:rsidRPr="00E56767">
              <w:rPr>
                <w:bCs/>
                <w:szCs w:val="24"/>
                <w:lang w:val="de-DE" w:eastAsia="en-GB"/>
              </w:rPr>
              <w:t xml:space="preserve"> Luxemburg</w:t>
            </w:r>
            <w:r w:rsidR="00994062" w:rsidRPr="00E56767">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E56767" w:rsidRPr="00E56767">
                  <w:rPr>
                    <w:rFonts w:ascii="MS Gothic" w:eastAsia="MS Gothic" w:hAnsi="MS Gothic" w:hint="eastAsia"/>
                    <w:bCs/>
                    <w:szCs w:val="24"/>
                    <w:lang w:val="de-DE" w:eastAsia="en-GB"/>
                  </w:rPr>
                  <w:t>☒</w:t>
                </w:r>
              </w:sdtContent>
            </w:sdt>
            <w:r w:rsidR="00E21DBD" w:rsidRPr="00E56767">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E56767" w:rsidRPr="00E56767">
                  <w:rPr>
                    <w:bCs/>
                    <w:szCs w:val="24"/>
                    <w:lang w:val="de-DE" w:eastAsia="en-GB"/>
                  </w:rPr>
                  <w:t>Sene</w:t>
                </w:r>
                <w:r w:rsidR="00E56767">
                  <w:rPr>
                    <w:bCs/>
                    <w:szCs w:val="24"/>
                    <w:lang w:val="de-DE" w:eastAsia="en-GB"/>
                  </w:rPr>
                  <w:t>gal</w:t>
                </w:r>
              </w:sdtContent>
            </w:sdt>
          </w:p>
          <w:p w14:paraId="7CA484B0" w14:textId="77777777" w:rsidR="00E21DBD" w:rsidRPr="00E56767"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AC5AC9"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88EE99"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B6BB21D" w:rsidR="0040388A" w:rsidRPr="0007110E" w:rsidRDefault="00711EF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C91932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711EF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11EF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1EF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1EF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3DB2855"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7E10FF"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5F2A2DA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5A5BE6">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rPr>
        <w:id w:val="1822233941"/>
        <w:placeholder>
          <w:docPart w:val="A1D7C4E93E5D41968C9784C962AACA55"/>
        </w:placeholder>
      </w:sdtPr>
      <w:sdtEndPr/>
      <w:sdtContent>
        <w:p w14:paraId="59DD0438" w14:textId="2E13FD21" w:rsidR="00E21DBD" w:rsidRPr="00A91611" w:rsidRDefault="00A91611" w:rsidP="00A91611">
          <w:pPr>
            <w:pStyle w:val="NormalWeb"/>
            <w:rPr>
              <w:lang w:val="en-US"/>
            </w:rPr>
          </w:pPr>
          <w:r w:rsidRPr="00A91611">
            <w:rPr>
              <w:lang w:val="en-US"/>
            </w:rPr>
            <w:t xml:space="preserve">The European Union (EU) is the fruit of an economic and political partnership between 27 European countries. It plays a major role on the international stage, through diplomacy, trade, development aid and cooperation with international </w:t>
          </w:r>
          <w:proofErr w:type="spellStart"/>
          <w:r w:rsidRPr="00A91611">
            <w:rPr>
              <w:lang w:val="en-US"/>
            </w:rPr>
            <w:t>organisations</w:t>
          </w:r>
          <w:proofErr w:type="spellEnd"/>
          <w:r w:rsidRPr="00A91611">
            <w:rPr>
              <w:lang w:val="en-US"/>
            </w:rPr>
            <w:t xml:space="preserve">. Abroad, it is represented by more than 140 diplomatic representations, also known as EU delegations, which have a function </w:t>
          </w:r>
          <w:proofErr w:type="gramStart"/>
          <w:r w:rsidRPr="00A91611">
            <w:rPr>
              <w:lang w:val="en-US"/>
            </w:rPr>
            <w:t>similar to</w:t>
          </w:r>
          <w:proofErr w:type="gramEnd"/>
          <w:r w:rsidRPr="00A91611">
            <w:rPr>
              <w:lang w:val="en-US"/>
            </w:rPr>
            <w:t xml:space="preserve"> that of an embassy. Within the framework </w:t>
          </w:r>
          <w:r w:rsidRPr="00A91611">
            <w:rPr>
              <w:lang w:val="en-US"/>
            </w:rPr>
            <w:lastRenderedPageBreak/>
            <w:t>of the European Union's (EU) external relations, its geopolitical ambitions and the political guidelines set by the President of the European Commission and the President of the European Council, the EU Delegation in Senegal helps to implement the partnership between the EU and Senegal, which is based on mutual trust, converging interests and priorities and, above all, shared perspectives and values, including support for green, sustainable and inclusive growth, the creation of jobs and economic and social opportunities, and the improvement of people's living conditions, with young people, women and girls at</w:t>
          </w:r>
          <w:r>
            <w:rPr>
              <w:lang w:val="en-US"/>
            </w:rPr>
            <w:t xml:space="preserve"> the heart of this partnership.</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i/>
          <w:iCs/>
          <w:lang w:val="en-US" w:eastAsia="en-GB"/>
        </w:rPr>
        <w:id w:val="-723136291"/>
        <w:placeholder>
          <w:docPart w:val="84FB87486BC94E5EB76E972E1BD8265B"/>
        </w:placeholder>
      </w:sdtPr>
      <w:sdtEndPr/>
      <w:sdtContent>
        <w:p w14:paraId="04CD525F" w14:textId="62D3B0C3" w:rsidR="001C3A58" w:rsidRPr="001C3A58" w:rsidRDefault="001C3A58" w:rsidP="001C3A58">
          <w:pPr>
            <w:rPr>
              <w:lang w:val="en-US" w:eastAsia="en-GB"/>
            </w:rPr>
          </w:pPr>
          <w:r>
            <w:rPr>
              <w:lang w:val="en-US" w:eastAsia="en-GB"/>
            </w:rPr>
            <w:t>The Seconded National Expert (SNE)</w:t>
          </w:r>
          <w:r w:rsidRPr="001C3A58">
            <w:rPr>
              <w:lang w:val="en-US" w:eastAsia="en-GB"/>
            </w:rPr>
            <w:t xml:space="preserve"> will support the European Commission in Seneg</w:t>
          </w:r>
          <w:r>
            <w:rPr>
              <w:lang w:val="en-US" w:eastAsia="en-GB"/>
            </w:rPr>
            <w:t xml:space="preserve">al in the design and management of </w:t>
          </w:r>
          <w:proofErr w:type="spellStart"/>
          <w:r>
            <w:rPr>
              <w:lang w:val="en-US" w:eastAsia="en-GB"/>
            </w:rPr>
            <w:t>programmes</w:t>
          </w:r>
          <w:proofErr w:type="spellEnd"/>
          <w:r>
            <w:rPr>
              <w:lang w:val="en-US" w:eastAsia="en-GB"/>
            </w:rPr>
            <w:t xml:space="preserve"> and </w:t>
          </w:r>
          <w:r w:rsidRPr="001C3A58">
            <w:rPr>
              <w:lang w:val="en-US" w:eastAsia="en-GB"/>
            </w:rPr>
            <w:t>in the formulation of</w:t>
          </w:r>
          <w:r>
            <w:rPr>
              <w:lang w:val="en-US" w:eastAsia="en-GB"/>
            </w:rPr>
            <w:t xml:space="preserve"> health</w:t>
          </w:r>
          <w:r w:rsidRPr="001C3A58">
            <w:rPr>
              <w:lang w:val="en-US" w:eastAsia="en-GB"/>
            </w:rPr>
            <w:t xml:space="preserve"> policies </w:t>
          </w:r>
          <w:r>
            <w:rPr>
              <w:lang w:val="en-US" w:eastAsia="en-GB"/>
            </w:rPr>
            <w:t xml:space="preserve">and </w:t>
          </w:r>
          <w:r w:rsidRPr="001C3A58">
            <w:rPr>
              <w:lang w:val="en-US" w:eastAsia="en-GB"/>
            </w:rPr>
            <w:t>strategies</w:t>
          </w:r>
          <w:r>
            <w:rPr>
              <w:lang w:val="en-US" w:eastAsia="en-GB"/>
            </w:rPr>
            <w:t xml:space="preserve">, focusing on areas related to </w:t>
          </w:r>
          <w:r w:rsidRPr="001C3A58">
            <w:rPr>
              <w:lang w:val="en-US" w:eastAsia="en-GB"/>
            </w:rPr>
            <w:t xml:space="preserve">local production of medicines, </w:t>
          </w:r>
          <w:proofErr w:type="gramStart"/>
          <w:r w:rsidRPr="001C3A58">
            <w:rPr>
              <w:lang w:val="en-US" w:eastAsia="en-GB"/>
            </w:rPr>
            <w:t>vaccines</w:t>
          </w:r>
          <w:proofErr w:type="gramEnd"/>
          <w:r w:rsidRPr="001C3A58">
            <w:rPr>
              <w:lang w:val="en-US" w:eastAsia="en-GB"/>
            </w:rPr>
            <w:t xml:space="preserve"> and other health products.</w:t>
          </w:r>
          <w:r w:rsidR="009617B8">
            <w:rPr>
              <w:lang w:val="en-US" w:eastAsia="en-GB"/>
            </w:rPr>
            <w:t xml:space="preserve"> This is one of the </w:t>
          </w:r>
          <w:proofErr w:type="gramStart"/>
          <w:r w:rsidR="009617B8">
            <w:rPr>
              <w:lang w:val="en-US" w:eastAsia="en-GB"/>
            </w:rPr>
            <w:t>key</w:t>
          </w:r>
          <w:proofErr w:type="gramEnd"/>
          <w:r w:rsidR="009617B8">
            <w:rPr>
              <w:lang w:val="en-US" w:eastAsia="en-GB"/>
            </w:rPr>
            <w:t xml:space="preserve"> and strategically priority sectors of the EU-Senegal </w:t>
          </w:r>
          <w:proofErr w:type="spellStart"/>
          <w:r w:rsidR="009617B8">
            <w:rPr>
              <w:lang w:val="en-US" w:eastAsia="en-GB"/>
            </w:rPr>
            <w:t>partensrhip</w:t>
          </w:r>
          <w:proofErr w:type="spellEnd"/>
          <w:r w:rsidR="009617B8">
            <w:rPr>
              <w:lang w:val="en-US" w:eastAsia="en-GB"/>
            </w:rPr>
            <w:t xml:space="preserve">. </w:t>
          </w:r>
          <w:r w:rsidRPr="001C3A58">
            <w:rPr>
              <w:lang w:val="en-US" w:eastAsia="en-GB"/>
            </w:rPr>
            <w:t xml:space="preserve">As part of the EU's partnership </w:t>
          </w:r>
          <w:r>
            <w:rPr>
              <w:lang w:val="en-US" w:eastAsia="en-GB"/>
            </w:rPr>
            <w:t xml:space="preserve">with Senegal, he/she will steer </w:t>
          </w:r>
          <w:r w:rsidRPr="001C3A58">
            <w:rPr>
              <w:lang w:val="en-US" w:eastAsia="en-GB"/>
            </w:rPr>
            <w:t>the EU's commitment in this area, coordinate with EU Memb</w:t>
          </w:r>
          <w:r>
            <w:rPr>
              <w:lang w:val="en-US" w:eastAsia="en-GB"/>
            </w:rPr>
            <w:t xml:space="preserve">er States and other </w:t>
          </w:r>
          <w:r w:rsidRPr="001C3A58">
            <w:rPr>
              <w:lang w:val="en-US" w:eastAsia="en-GB"/>
            </w:rPr>
            <w:t>stakeholders, and establish link</w:t>
          </w:r>
          <w:r>
            <w:rPr>
              <w:lang w:val="en-US" w:eastAsia="en-GB"/>
            </w:rPr>
            <w:t xml:space="preserve">s with regional and continental </w:t>
          </w:r>
          <w:r w:rsidRPr="001C3A58">
            <w:rPr>
              <w:lang w:val="en-US" w:eastAsia="en-GB"/>
            </w:rPr>
            <w:t>opportunities, in lia</w:t>
          </w:r>
          <w:r>
            <w:rPr>
              <w:lang w:val="en-US" w:eastAsia="en-GB"/>
            </w:rPr>
            <w:t>ison with headquarters (INTPA</w:t>
          </w:r>
          <w:r w:rsidR="00595763">
            <w:rPr>
              <w:lang w:val="en-US" w:eastAsia="en-GB"/>
            </w:rPr>
            <w:t xml:space="preserve"> and others when relevant</w:t>
          </w:r>
          <w:r>
            <w:rPr>
              <w:lang w:val="en-US" w:eastAsia="en-GB"/>
            </w:rPr>
            <w:t>).</w:t>
          </w:r>
        </w:p>
        <w:p w14:paraId="312AF424" w14:textId="1CCAF9A9" w:rsidR="001C3A58" w:rsidRDefault="001C3A58" w:rsidP="00E56767">
          <w:pPr>
            <w:rPr>
              <w:lang w:val="en-US" w:eastAsia="en-GB"/>
            </w:rPr>
          </w:pPr>
          <w:r>
            <w:rPr>
              <w:lang w:val="en-US" w:eastAsia="en-GB"/>
            </w:rPr>
            <w:t xml:space="preserve">The SNE will work under the </w:t>
          </w:r>
          <w:proofErr w:type="spellStart"/>
          <w:r w:rsidRPr="001C3A58">
            <w:rPr>
              <w:lang w:val="en-US" w:eastAsia="en-GB"/>
            </w:rPr>
            <w:t>the</w:t>
          </w:r>
          <w:proofErr w:type="spellEnd"/>
          <w:r w:rsidRPr="001C3A58">
            <w:rPr>
              <w:lang w:val="en-US" w:eastAsia="en-GB"/>
            </w:rPr>
            <w:t xml:space="preserve"> supervision of an administrator. Without prej</w:t>
          </w:r>
          <w:r>
            <w:rPr>
              <w:lang w:val="en-US" w:eastAsia="en-GB"/>
            </w:rPr>
            <w:t xml:space="preserve">udice to the principle of loyal </w:t>
          </w:r>
          <w:r w:rsidRPr="001C3A58">
            <w:rPr>
              <w:lang w:val="en-US" w:eastAsia="en-GB"/>
            </w:rPr>
            <w:t>cooperation between national/regional and European ad</w:t>
          </w:r>
          <w:r>
            <w:rPr>
              <w:lang w:val="en-US" w:eastAsia="en-GB"/>
            </w:rPr>
            <w:t xml:space="preserve">ministrations, the SNE will not </w:t>
          </w:r>
          <w:r w:rsidRPr="001C3A58">
            <w:rPr>
              <w:lang w:val="en-US" w:eastAsia="en-GB"/>
            </w:rPr>
            <w:t xml:space="preserve">work on specific cases having implications with </w:t>
          </w:r>
          <w:r w:rsidR="00A71613">
            <w:rPr>
              <w:lang w:val="en-US" w:eastAsia="en-GB"/>
            </w:rPr>
            <w:t xml:space="preserve">projects </w:t>
          </w:r>
          <w:r w:rsidRPr="001C3A58">
            <w:rPr>
              <w:lang w:val="en-US" w:eastAsia="en-GB"/>
            </w:rPr>
            <w:t>he has had to deal with in his national administration in the</w:t>
          </w:r>
          <w:r w:rsidR="00A71613">
            <w:rPr>
              <w:lang w:val="en-US" w:eastAsia="en-GB"/>
            </w:rPr>
            <w:t xml:space="preserve"> </w:t>
          </w:r>
          <w:r w:rsidRPr="001C3A58">
            <w:rPr>
              <w:lang w:val="en-US" w:eastAsia="en-GB"/>
            </w:rPr>
            <w:t>two years pr</w:t>
          </w:r>
          <w:r w:rsidR="00A71613">
            <w:rPr>
              <w:lang w:val="en-US" w:eastAsia="en-GB"/>
            </w:rPr>
            <w:t xml:space="preserve">ior to joining the Commission, </w:t>
          </w:r>
          <w:r w:rsidRPr="001C3A58">
            <w:rPr>
              <w:lang w:val="en-US" w:eastAsia="en-GB"/>
            </w:rPr>
            <w:t xml:space="preserve">or on </w:t>
          </w:r>
          <w:r w:rsidR="00A71613">
            <w:rPr>
              <w:lang w:val="en-US" w:eastAsia="en-GB"/>
            </w:rPr>
            <w:t>related</w:t>
          </w:r>
          <w:r w:rsidRPr="001C3A58">
            <w:rPr>
              <w:lang w:val="en-US" w:eastAsia="en-GB"/>
            </w:rPr>
            <w:t xml:space="preserve"> </w:t>
          </w:r>
          <w:r w:rsidR="00A71613">
            <w:rPr>
              <w:lang w:val="en-US" w:eastAsia="en-GB"/>
            </w:rPr>
            <w:t xml:space="preserve">projects. </w:t>
          </w:r>
          <w:r w:rsidRPr="001C3A58">
            <w:rPr>
              <w:lang w:val="en-US" w:eastAsia="en-GB"/>
            </w:rPr>
            <w:t>Under no circumstances will</w:t>
          </w:r>
          <w:r w:rsidR="00A71613">
            <w:rPr>
              <w:lang w:val="en-US" w:eastAsia="en-GB"/>
            </w:rPr>
            <w:t xml:space="preserve"> he/she be representing the Commission through taking (financial or political) </w:t>
          </w:r>
          <w:proofErr w:type="gramStart"/>
          <w:r w:rsidR="00A71613">
            <w:rPr>
              <w:lang w:val="en-US" w:eastAsia="en-GB"/>
            </w:rPr>
            <w:t>commitments</w:t>
          </w:r>
          <w:r w:rsidRPr="001C3A58">
            <w:rPr>
              <w:lang w:val="en-US" w:eastAsia="en-GB"/>
            </w:rPr>
            <w:t>, or</w:t>
          </w:r>
          <w:proofErr w:type="gramEnd"/>
          <w:r w:rsidRPr="001C3A58">
            <w:rPr>
              <w:lang w:val="en-US" w:eastAsia="en-GB"/>
            </w:rPr>
            <w:t xml:space="preserve"> </w:t>
          </w:r>
          <w:r w:rsidR="00A71613">
            <w:rPr>
              <w:lang w:val="en-US" w:eastAsia="en-GB"/>
            </w:rPr>
            <w:t>negotiating on behalf of the Commission.</w:t>
          </w:r>
        </w:p>
        <w:p w14:paraId="0C805524" w14:textId="22971793" w:rsidR="00A51F44" w:rsidRPr="00E22A81" w:rsidRDefault="002A1E58" w:rsidP="00A51F44">
          <w:pPr>
            <w:rPr>
              <w:lang w:val="en-IE"/>
            </w:rPr>
          </w:pPr>
          <w:proofErr w:type="spellStart"/>
          <w:r>
            <w:rPr>
              <w:lang w:val="en-IE"/>
            </w:rPr>
            <w:t>Responsabilities</w:t>
          </w:r>
          <w:proofErr w:type="spellEnd"/>
          <w:r w:rsidR="00A51F44" w:rsidRPr="00E22A81">
            <w:rPr>
              <w:lang w:val="en-IE"/>
            </w:rPr>
            <w:t xml:space="preserve"> </w:t>
          </w:r>
        </w:p>
        <w:p w14:paraId="324F0518" w14:textId="77777777" w:rsidR="00A51F44" w:rsidRPr="00E22A81" w:rsidRDefault="00A51F44" w:rsidP="00A51F44">
          <w:pPr>
            <w:rPr>
              <w:lang w:val="en-IE"/>
            </w:rPr>
          </w:pPr>
          <w:r w:rsidRPr="00E22A81">
            <w:rPr>
              <w:lang w:val="en-IE"/>
            </w:rPr>
            <w:t>+ POLICY DEVELOPMENT</w:t>
          </w:r>
        </w:p>
        <w:p w14:paraId="1C833A58" w14:textId="7C2C92F9" w:rsidR="00A51F44" w:rsidRPr="00E22A81" w:rsidRDefault="00D5133C" w:rsidP="00A51F44">
          <w:pPr>
            <w:numPr>
              <w:ilvl w:val="0"/>
              <w:numId w:val="34"/>
            </w:numPr>
            <w:spacing w:after="0"/>
            <w:rPr>
              <w:lang w:val="en-IE"/>
            </w:rPr>
          </w:pPr>
          <w:r>
            <w:rPr>
              <w:lang w:val="en-IE"/>
            </w:rPr>
            <w:t xml:space="preserve">Steering, lead and </w:t>
          </w:r>
          <w:r w:rsidR="00A51F44" w:rsidRPr="00E22A81">
            <w:rPr>
              <w:lang w:val="en-IE"/>
            </w:rPr>
            <w:t>coordinat</w:t>
          </w:r>
          <w:r>
            <w:rPr>
              <w:lang w:val="en-IE"/>
            </w:rPr>
            <w:t xml:space="preserve">e </w:t>
          </w:r>
          <w:r w:rsidR="00A51F44" w:rsidRPr="00E22A81">
            <w:rPr>
              <w:lang w:val="en-IE"/>
            </w:rPr>
            <w:t xml:space="preserve">the </w:t>
          </w:r>
          <w:r>
            <w:rPr>
              <w:lang w:val="en-IE"/>
            </w:rPr>
            <w:t xml:space="preserve">involvement of the </w:t>
          </w:r>
          <w:r w:rsidR="00A51F44" w:rsidRPr="00E22A81">
            <w:rPr>
              <w:lang w:val="en-IE"/>
            </w:rPr>
            <w:t xml:space="preserve">Team Europe and policy dialogue with </w:t>
          </w:r>
          <w:r w:rsidR="00A51F44">
            <w:rPr>
              <w:lang w:val="en-IE"/>
            </w:rPr>
            <w:t xml:space="preserve">the </w:t>
          </w:r>
          <w:r w:rsidR="00A51F44" w:rsidRPr="00E22A81">
            <w:rPr>
              <w:lang w:val="en-IE"/>
            </w:rPr>
            <w:t xml:space="preserve">Government on the national recovery plan </w:t>
          </w:r>
          <w:r w:rsidR="00A51F44">
            <w:rPr>
              <w:lang w:val="en-IE"/>
            </w:rPr>
            <w:t xml:space="preserve">for the pharmaceutical sector, and specifically </w:t>
          </w:r>
          <w:r w:rsidR="00A51F44" w:rsidRPr="00E22A81">
            <w:rPr>
              <w:lang w:val="en-IE"/>
            </w:rPr>
            <w:t>on the support to vaccine manufacturing in Senegal.</w:t>
          </w:r>
        </w:p>
        <w:p w14:paraId="71620687" w14:textId="77777777" w:rsidR="00A51F44" w:rsidRPr="00E22A81" w:rsidRDefault="00A51F44" w:rsidP="00A51F44">
          <w:pPr>
            <w:numPr>
              <w:ilvl w:val="0"/>
              <w:numId w:val="34"/>
            </w:numPr>
            <w:spacing w:after="0"/>
            <w:rPr>
              <w:lang w:val="en-IE"/>
            </w:rPr>
          </w:pPr>
          <w:r w:rsidRPr="00E22A81">
            <w:rPr>
              <w:lang w:val="en-IE"/>
            </w:rPr>
            <w:t xml:space="preserve">Within the framework of the Global Gateway strategy, providing inputs to the HQ-led (INTPA) Access to Vaccines, </w:t>
          </w:r>
          <w:proofErr w:type="gramStart"/>
          <w:r w:rsidRPr="00E22A81">
            <w:rPr>
              <w:lang w:val="en-IE"/>
            </w:rPr>
            <w:t>Medicines</w:t>
          </w:r>
          <w:proofErr w:type="gramEnd"/>
          <w:r w:rsidRPr="00E22A81">
            <w:rPr>
              <w:lang w:val="en-IE"/>
            </w:rPr>
            <w:t xml:space="preserve"> and Health Technologies in Africa (MAV+) group, in which Senegal plays a key role. </w:t>
          </w:r>
        </w:p>
        <w:p w14:paraId="58A14A99" w14:textId="10A4CD39" w:rsidR="00A51F44" w:rsidRPr="00E22A81" w:rsidRDefault="00A51F44" w:rsidP="00A51F44">
          <w:pPr>
            <w:numPr>
              <w:ilvl w:val="0"/>
              <w:numId w:val="34"/>
            </w:numPr>
            <w:spacing w:after="0"/>
            <w:rPr>
              <w:lang w:val="en-IE"/>
            </w:rPr>
          </w:pPr>
          <w:r w:rsidRPr="00E22A81">
            <w:rPr>
              <w:lang w:val="en-IE"/>
            </w:rPr>
            <w:t xml:space="preserve">Managing relations with key stakeholders, such as the Ministry of Health and the Delivery Unit dedicated to monitoring the implementation of the pharmaceutical recovery plan, the Pasteur Institute of Dakar (IPD), among others, </w:t>
          </w:r>
          <w:r w:rsidRPr="00E22A81">
            <w:rPr>
              <w:rStyle w:val="Bodytext1"/>
              <w:i w:val="0"/>
              <w:iCs w:val="0"/>
            </w:rPr>
            <w:t xml:space="preserve">as well as </w:t>
          </w:r>
          <w:r>
            <w:rPr>
              <w:rStyle w:val="Bodytext1"/>
              <w:i w:val="0"/>
              <w:iCs w:val="0"/>
            </w:rPr>
            <w:t>reaching out to</w:t>
          </w:r>
          <w:r w:rsidRPr="00E22A81">
            <w:rPr>
              <w:rStyle w:val="Bodytext1"/>
              <w:i w:val="0"/>
              <w:iCs w:val="0"/>
            </w:rPr>
            <w:t xml:space="preserve"> and fostering relationships with new potential stakeholders</w:t>
          </w:r>
          <w:r w:rsidRPr="00E22A81">
            <w:rPr>
              <w:lang w:val="en-IE"/>
            </w:rPr>
            <w:t xml:space="preserve">. </w:t>
          </w:r>
        </w:p>
        <w:p w14:paraId="3EB7BC9A" w14:textId="3DC5A657" w:rsidR="00A51F44" w:rsidRPr="00E22A81" w:rsidRDefault="00A51F44" w:rsidP="00A51F44">
          <w:pPr>
            <w:numPr>
              <w:ilvl w:val="0"/>
              <w:numId w:val="34"/>
            </w:numPr>
            <w:spacing w:after="0"/>
            <w:rPr>
              <w:rStyle w:val="Bodytext1"/>
              <w:i w:val="0"/>
              <w:iCs w:val="0"/>
              <w:lang w:val="en-IE"/>
            </w:rPr>
          </w:pPr>
          <w:r w:rsidRPr="00E22A81">
            <w:rPr>
              <w:rStyle w:val="Bodytext1"/>
              <w:i w:val="0"/>
              <w:iCs w:val="0"/>
            </w:rPr>
            <w:t xml:space="preserve">Coordinating with headquarters </w:t>
          </w:r>
          <w:r w:rsidR="00D5133C">
            <w:rPr>
              <w:rStyle w:val="Bodytext1"/>
              <w:i w:val="0"/>
              <w:iCs w:val="0"/>
            </w:rPr>
            <w:t xml:space="preserve">(INTPA) </w:t>
          </w:r>
          <w:r w:rsidRPr="00E22A81">
            <w:rPr>
              <w:rStyle w:val="Bodytext1"/>
              <w:i w:val="0"/>
              <w:iCs w:val="0"/>
            </w:rPr>
            <w:t>on the formulation and implementation of regional programmes, following policy and strategy developments at continental level and providing inputs from the EU Delegation side.</w:t>
          </w:r>
        </w:p>
        <w:p w14:paraId="761B32AD" w14:textId="1945065C" w:rsidR="00A51F44" w:rsidRDefault="00A51F44" w:rsidP="00A51F44">
          <w:pPr>
            <w:numPr>
              <w:ilvl w:val="0"/>
              <w:numId w:val="34"/>
            </w:numPr>
            <w:spacing w:after="0"/>
            <w:rPr>
              <w:rStyle w:val="Bodytext1"/>
              <w:i w:val="0"/>
              <w:iCs w:val="0"/>
              <w:lang w:val="en-IE"/>
            </w:rPr>
          </w:pPr>
          <w:r w:rsidRPr="00E22A81">
            <w:rPr>
              <w:rStyle w:val="Bodytext1"/>
              <w:i w:val="0"/>
            </w:rPr>
            <w:t xml:space="preserve">Participating in </w:t>
          </w:r>
          <w:r w:rsidRPr="00E22A81">
            <w:rPr>
              <w:rStyle w:val="Bodytext1"/>
              <w:i w:val="0"/>
              <w:iCs w:val="0"/>
            </w:rPr>
            <w:t>national sector working group</w:t>
          </w:r>
          <w:r w:rsidRPr="00E22A81">
            <w:rPr>
              <w:rStyle w:val="Bodytext1"/>
              <w:i w:val="0"/>
            </w:rPr>
            <w:t>s</w:t>
          </w:r>
          <w:r w:rsidRPr="00E22A81">
            <w:rPr>
              <w:rStyle w:val="Bodytext1"/>
              <w:i w:val="0"/>
              <w:iCs w:val="0"/>
            </w:rPr>
            <w:t xml:space="preserve"> and following overall health related </w:t>
          </w:r>
          <w:r w:rsidR="002B5150">
            <w:rPr>
              <w:rStyle w:val="Bodytext1"/>
              <w:i w:val="0"/>
              <w:iCs w:val="0"/>
            </w:rPr>
            <w:t>issues</w:t>
          </w:r>
          <w:r w:rsidRPr="00E22A81">
            <w:rPr>
              <w:rStyle w:val="Bodytext1"/>
              <w:i w:val="0"/>
              <w:iCs w:val="0"/>
            </w:rPr>
            <w:t xml:space="preserve"> in the country. </w:t>
          </w:r>
        </w:p>
        <w:p w14:paraId="28789411" w14:textId="77777777" w:rsidR="00A51F44" w:rsidRPr="00A51F44" w:rsidRDefault="00A51F44" w:rsidP="00A51F44">
          <w:pPr>
            <w:spacing w:after="0"/>
            <w:ind w:left="360"/>
            <w:rPr>
              <w:rFonts w:ascii="Arial" w:eastAsia="Arial" w:hAnsi="Arial" w:cs="Arial"/>
              <w:lang w:val="en-IE"/>
            </w:rPr>
          </w:pPr>
        </w:p>
        <w:p w14:paraId="0C741E9F" w14:textId="77777777" w:rsidR="00A51F44" w:rsidRPr="00E22A81" w:rsidRDefault="00A51F44" w:rsidP="00A51F44">
          <w:pPr>
            <w:rPr>
              <w:lang w:val="en-IE"/>
            </w:rPr>
          </w:pPr>
          <w:r w:rsidRPr="00E22A81">
            <w:rPr>
              <w:lang w:val="en-IE"/>
            </w:rPr>
            <w:t>+ PROGRAM/PROCESS/PROJECT MANAGEMENT</w:t>
          </w:r>
        </w:p>
        <w:p w14:paraId="5DC77255" w14:textId="77777777" w:rsidR="00A51F44" w:rsidRPr="00E22A81" w:rsidRDefault="00A51F44" w:rsidP="00A51F44">
          <w:pPr>
            <w:numPr>
              <w:ilvl w:val="0"/>
              <w:numId w:val="34"/>
            </w:numPr>
            <w:spacing w:after="0"/>
            <w:rPr>
              <w:lang w:val="en-IE"/>
            </w:rPr>
          </w:pPr>
          <w:r w:rsidRPr="00E22A81">
            <w:rPr>
              <w:lang w:val="en-IE"/>
            </w:rPr>
            <w:lastRenderedPageBreak/>
            <w:t>Managing an ongoing joint AFD/EU/</w:t>
          </w:r>
          <w:proofErr w:type="spellStart"/>
          <w:r w:rsidRPr="00E22A81">
            <w:rPr>
              <w:lang w:val="en-IE"/>
            </w:rPr>
            <w:t>KfW</w:t>
          </w:r>
          <w:proofErr w:type="spellEnd"/>
          <w:r w:rsidRPr="00E22A81">
            <w:rPr>
              <w:lang w:val="en-IE"/>
            </w:rPr>
            <w:t xml:space="preserve"> public policy financing supporting the pharmaceutical industry recovery plan (EUR 50 million of which 5 from the EU for the first phase, including a contribution to the IPD vaccine manufacturing project – MADIBA) and structuring and monitoring its second phase (EUR 40 million of which 10 from the EU). </w:t>
          </w:r>
        </w:p>
        <w:p w14:paraId="477A060A" w14:textId="77777777" w:rsidR="00A51F44" w:rsidRPr="00E22A81" w:rsidRDefault="00A51F44" w:rsidP="00A51F44">
          <w:pPr>
            <w:numPr>
              <w:ilvl w:val="0"/>
              <w:numId w:val="34"/>
            </w:numPr>
            <w:spacing w:after="0"/>
            <w:rPr>
              <w:lang w:val="en-IE"/>
            </w:rPr>
          </w:pPr>
          <w:r w:rsidRPr="00E22A81">
            <w:rPr>
              <w:lang w:val="en-IE"/>
            </w:rPr>
            <w:t xml:space="preserve">Steering, </w:t>
          </w:r>
          <w:proofErr w:type="gramStart"/>
          <w:r w:rsidRPr="00E22A81">
            <w:rPr>
              <w:lang w:val="en-IE"/>
            </w:rPr>
            <w:t>coordinating</w:t>
          </w:r>
          <w:proofErr w:type="gramEnd"/>
          <w:r w:rsidRPr="00E22A81">
            <w:rPr>
              <w:lang w:val="en-IE"/>
            </w:rPr>
            <w:t xml:space="preserve"> and monitoring a Team Europe MAV+ project for Senegal, covering in particular aspects of governance, regulation, skills development, R&amp;D and support for private investment. This project is co-financed by the EU (EUR 15 million) and will be implemented by ENABEL, Expertise France and GIZ from mid-2024 and for a period of 4 years. </w:t>
          </w:r>
        </w:p>
        <w:p w14:paraId="2F467B56" w14:textId="77777777" w:rsidR="00A51F44" w:rsidRPr="00E22A81" w:rsidRDefault="00A51F44" w:rsidP="00A51F44">
          <w:pPr>
            <w:numPr>
              <w:ilvl w:val="0"/>
              <w:numId w:val="34"/>
            </w:numPr>
            <w:spacing w:after="0"/>
            <w:rPr>
              <w:rStyle w:val="Bodytext1"/>
              <w:i w:val="0"/>
              <w:iCs w:val="0"/>
              <w:lang w:val="en-IE"/>
            </w:rPr>
          </w:pPr>
          <w:r w:rsidRPr="00E22A81">
            <w:rPr>
              <w:rStyle w:val="Bodytext1"/>
              <w:i w:val="0"/>
            </w:rPr>
            <w:t>Managing any other health related programme financed under other sources than bilateral ones and devolved to the EU Delegation</w:t>
          </w:r>
        </w:p>
        <w:p w14:paraId="3DF65395" w14:textId="77777777" w:rsidR="00A51F44" w:rsidRPr="00E22A81" w:rsidRDefault="00A51F44" w:rsidP="00A51F44">
          <w:pPr>
            <w:numPr>
              <w:ilvl w:val="0"/>
              <w:numId w:val="34"/>
            </w:numPr>
            <w:spacing w:after="0"/>
            <w:rPr>
              <w:rStyle w:val="Bodytext1"/>
              <w:i w:val="0"/>
              <w:iCs w:val="0"/>
              <w:lang w:val="en-IE"/>
            </w:rPr>
          </w:pPr>
          <w:r w:rsidRPr="00E22A81">
            <w:rPr>
              <w:rStyle w:val="Bodytext1"/>
              <w:i w:val="0"/>
              <w:iCs w:val="0"/>
            </w:rPr>
            <w:t>Following up on possible guarantees and blending operations to facilitate and promote investments from European companies in the country, including exploring opportunities for co-financing and de-risking prospective potential investments.</w:t>
          </w:r>
        </w:p>
        <w:p w14:paraId="2DF13D97" w14:textId="42708645" w:rsidR="00A51F44" w:rsidRPr="00E22A81" w:rsidRDefault="00A51F44" w:rsidP="00A51F44">
          <w:pPr>
            <w:numPr>
              <w:ilvl w:val="0"/>
              <w:numId w:val="34"/>
            </w:numPr>
            <w:spacing w:after="0"/>
            <w:rPr>
              <w:rStyle w:val="Bodytext1"/>
              <w:i w:val="0"/>
              <w:iCs w:val="0"/>
              <w:lang w:val="en-IE"/>
            </w:rPr>
          </w:pPr>
          <w:r w:rsidRPr="00E22A81">
            <w:rPr>
              <w:rStyle w:val="Bodytext1"/>
              <w:i w:val="0"/>
              <w:iCs w:val="0"/>
            </w:rPr>
            <w:t>Follow</w:t>
          </w:r>
          <w:r>
            <w:rPr>
              <w:rStyle w:val="Bodytext1"/>
              <w:i w:val="0"/>
              <w:iCs w:val="0"/>
            </w:rPr>
            <w:t xml:space="preserve">ing </w:t>
          </w:r>
          <w:r w:rsidRPr="00E22A81">
            <w:rPr>
              <w:rStyle w:val="Bodytext1"/>
              <w:i w:val="0"/>
              <w:iCs w:val="0"/>
            </w:rPr>
            <w:t>up on activities related to the European and Developing Countries Clinical Trials Partnership (EDCTP) and any other research-related agenda.</w:t>
          </w:r>
        </w:p>
        <w:p w14:paraId="1AD4A81E" w14:textId="77777777" w:rsidR="00A51F44" w:rsidRPr="00E22A81" w:rsidRDefault="00A51F44" w:rsidP="00A51F44">
          <w:pPr>
            <w:numPr>
              <w:ilvl w:val="0"/>
              <w:numId w:val="34"/>
            </w:numPr>
            <w:spacing w:after="0"/>
            <w:rPr>
              <w:lang w:val="en-IE"/>
            </w:rPr>
          </w:pPr>
          <w:r w:rsidRPr="00E22A81">
            <w:rPr>
              <w:rStyle w:val="Bodytext1"/>
              <w:i w:val="0"/>
              <w:iCs w:val="0"/>
            </w:rPr>
            <w:t>Following up on possible opportunities related to regional programmes, including mobilisation of additional funds.</w:t>
          </w:r>
          <w:r w:rsidRPr="00E22A81">
            <w:rPr>
              <w:lang w:val="en-IE"/>
            </w:rPr>
            <w:t xml:space="preserve"> </w:t>
          </w:r>
        </w:p>
        <w:p w14:paraId="6B424DB4" w14:textId="77777777" w:rsidR="00A51F44" w:rsidRPr="00E22A81" w:rsidRDefault="00A51F44" w:rsidP="00A51F44">
          <w:pPr>
            <w:rPr>
              <w:lang w:val="en-IE"/>
            </w:rPr>
          </w:pPr>
        </w:p>
        <w:p w14:paraId="69ABE52E" w14:textId="77777777" w:rsidR="00A51F44" w:rsidRPr="00E22A81" w:rsidRDefault="00A51F44" w:rsidP="00A51F44">
          <w:pPr>
            <w:rPr>
              <w:lang w:val="en-IE"/>
            </w:rPr>
          </w:pPr>
          <w:r w:rsidRPr="00E22A81">
            <w:rPr>
              <w:lang w:val="en-IE"/>
            </w:rPr>
            <w:t>+ REPRESENTATION AND NEGOTIATIONS</w:t>
          </w:r>
        </w:p>
        <w:p w14:paraId="0283FA0B" w14:textId="77777777" w:rsidR="00A51F44" w:rsidRPr="00E22A81" w:rsidRDefault="00A51F44" w:rsidP="00A51F44">
          <w:pPr>
            <w:pStyle w:val="Bodytext10"/>
            <w:numPr>
              <w:ilvl w:val="0"/>
              <w:numId w:val="35"/>
            </w:numPr>
            <w:tabs>
              <w:tab w:val="left" w:pos="284"/>
            </w:tabs>
            <w:jc w:val="both"/>
            <w:rPr>
              <w:rStyle w:val="Bodytext1"/>
              <w:rFonts w:ascii="Times New Roman" w:hAnsi="Times New Roman" w:cs="Times New Roman"/>
              <w:i/>
              <w:szCs w:val="24"/>
            </w:rPr>
          </w:pPr>
          <w:r w:rsidRPr="00E22A81">
            <w:rPr>
              <w:rStyle w:val="Bodytext1"/>
              <w:rFonts w:ascii="Times New Roman" w:hAnsi="Times New Roman" w:cs="Times New Roman"/>
              <w:szCs w:val="24"/>
            </w:rPr>
            <w:t xml:space="preserve">Contribute to activities of visibility, representation, </w:t>
          </w:r>
          <w:proofErr w:type="gramStart"/>
          <w:r w:rsidRPr="00E22A81">
            <w:rPr>
              <w:rStyle w:val="Bodytext1"/>
              <w:rFonts w:ascii="Times New Roman" w:hAnsi="Times New Roman" w:cs="Times New Roman"/>
              <w:szCs w:val="24"/>
            </w:rPr>
            <w:t>press</w:t>
          </w:r>
          <w:proofErr w:type="gramEnd"/>
          <w:r w:rsidRPr="00E22A81">
            <w:rPr>
              <w:rStyle w:val="Bodytext1"/>
              <w:rFonts w:ascii="Times New Roman" w:hAnsi="Times New Roman" w:cs="Times New Roman"/>
              <w:szCs w:val="24"/>
            </w:rPr>
            <w:t xml:space="preserve"> and information carried out by the EU Delegation regarding health-related topics.</w:t>
          </w:r>
        </w:p>
        <w:p w14:paraId="1C1C33CB" w14:textId="77777777" w:rsidR="00A51F44" w:rsidRPr="00E22A81" w:rsidRDefault="00A51F44" w:rsidP="00A51F44">
          <w:pPr>
            <w:pStyle w:val="Bodytext10"/>
            <w:numPr>
              <w:ilvl w:val="0"/>
              <w:numId w:val="35"/>
            </w:numPr>
            <w:tabs>
              <w:tab w:val="left" w:pos="284"/>
            </w:tabs>
            <w:jc w:val="both"/>
            <w:rPr>
              <w:rStyle w:val="Bodytext1"/>
              <w:rFonts w:ascii="Times New Roman" w:hAnsi="Times New Roman" w:cs="Times New Roman"/>
              <w:i/>
              <w:szCs w:val="24"/>
            </w:rPr>
          </w:pPr>
          <w:r w:rsidRPr="00E22A81">
            <w:rPr>
              <w:rStyle w:val="Bodytext1"/>
              <w:rFonts w:ascii="Times New Roman" w:hAnsi="Times New Roman" w:cs="Times New Roman"/>
              <w:szCs w:val="24"/>
            </w:rPr>
            <w:t xml:space="preserve">Liaise with Directorate Generals of the European Commission if need </w:t>
          </w:r>
          <w:proofErr w:type="gramStart"/>
          <w:r w:rsidRPr="00E22A81">
            <w:rPr>
              <w:rStyle w:val="Bodytext1"/>
              <w:rFonts w:ascii="Times New Roman" w:hAnsi="Times New Roman" w:cs="Times New Roman"/>
              <w:szCs w:val="24"/>
            </w:rPr>
            <w:t>be</w:t>
          </w:r>
          <w:proofErr w:type="gramEnd"/>
          <w:r w:rsidRPr="00E22A81">
            <w:rPr>
              <w:rStyle w:val="Bodytext1"/>
              <w:rFonts w:ascii="Times New Roman" w:hAnsi="Times New Roman" w:cs="Times New Roman"/>
              <w:szCs w:val="24"/>
            </w:rPr>
            <w:t xml:space="preserve"> on health-related topics (DG SANTE, DG RTD, DG GROW...)</w:t>
          </w:r>
        </w:p>
        <w:p w14:paraId="46EE3E07" w14:textId="00A0E02E" w:rsidR="00E21DBD" w:rsidRPr="002558AE" w:rsidRDefault="00A51F44" w:rsidP="00C504C7">
          <w:pPr>
            <w:pStyle w:val="Bodytext10"/>
            <w:numPr>
              <w:ilvl w:val="0"/>
              <w:numId w:val="35"/>
            </w:numPr>
            <w:tabs>
              <w:tab w:val="left" w:pos="284"/>
            </w:tabs>
            <w:jc w:val="both"/>
            <w:rPr>
              <w:rFonts w:ascii="Times New Roman" w:hAnsi="Times New Roman" w:cs="Times New Roman"/>
              <w:szCs w:val="24"/>
            </w:rPr>
          </w:pPr>
          <w:r w:rsidRPr="00E22A81">
            <w:rPr>
              <w:rStyle w:val="Bodytext1"/>
              <w:rFonts w:ascii="Times New Roman" w:hAnsi="Times New Roman" w:cs="Times New Roman"/>
              <w:szCs w:val="24"/>
            </w:rPr>
            <w:t>Prepare and assist in missions from Headquarters.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16D5A2" w14:textId="04B2765A" w:rsidR="00A71613" w:rsidRPr="00A71613" w:rsidRDefault="00A71613" w:rsidP="00A71613">
          <w:pPr>
            <w:rPr>
              <w:lang w:val="en-US" w:eastAsia="en-GB"/>
            </w:rPr>
          </w:pPr>
          <w:r>
            <w:rPr>
              <w:lang w:val="en-US" w:eastAsia="en-GB"/>
            </w:rPr>
            <w:t>Experience</w:t>
          </w:r>
          <w:r w:rsidRPr="00A71613">
            <w:rPr>
              <w:lang w:val="en-US" w:eastAsia="en-GB"/>
            </w:rPr>
            <w:t xml:space="preserve"> </w:t>
          </w:r>
          <w:r>
            <w:rPr>
              <w:lang w:val="en-US" w:eastAsia="en-GB"/>
            </w:rPr>
            <w:t>+ (PUBLIC) HEALTH</w:t>
          </w:r>
          <w:r w:rsidR="00D051D6">
            <w:rPr>
              <w:lang w:val="en-US" w:eastAsia="en-GB"/>
            </w:rPr>
            <w:t>,</w:t>
          </w:r>
          <w:r>
            <w:rPr>
              <w:lang w:val="en-US" w:eastAsia="en-GB"/>
            </w:rPr>
            <w:t xml:space="preserve"> </w:t>
          </w:r>
          <w:r w:rsidR="00D051D6">
            <w:rPr>
              <w:lang w:val="en-US" w:eastAsia="en-GB"/>
            </w:rPr>
            <w:t>INTERNATIONAL RELATIONS</w:t>
          </w:r>
          <w:r w:rsidRPr="00A71613">
            <w:rPr>
              <w:lang w:val="en-US" w:eastAsia="en-GB"/>
            </w:rPr>
            <w:t>, MEDICAL CARE, H</w:t>
          </w:r>
          <w:r>
            <w:rPr>
              <w:lang w:val="en-US" w:eastAsia="en-GB"/>
            </w:rPr>
            <w:t>EALTH CARE SYSTEMS AND</w:t>
          </w:r>
          <w:r w:rsidR="00D051D6">
            <w:rPr>
              <w:lang w:val="en-US" w:eastAsia="en-GB"/>
            </w:rPr>
            <w:t xml:space="preserve"> POLICIES</w:t>
          </w:r>
        </w:p>
        <w:p w14:paraId="042B94F6" w14:textId="77777777" w:rsidR="00D051D6" w:rsidRDefault="00A71613" w:rsidP="00A71613">
          <w:pPr>
            <w:rPr>
              <w:lang w:val="en-US" w:eastAsia="en-GB"/>
            </w:rPr>
          </w:pPr>
          <w:r w:rsidRPr="00A71613">
            <w:rPr>
              <w:lang w:val="en-US" w:eastAsia="en-GB"/>
            </w:rPr>
            <w:t>Professional experience</w:t>
          </w:r>
          <w:r w:rsidR="00D051D6">
            <w:rPr>
              <w:lang w:val="en-US" w:eastAsia="en-GB"/>
            </w:rPr>
            <w:t xml:space="preserve"> in the field: at least 5 years</w:t>
          </w:r>
        </w:p>
        <w:p w14:paraId="5ABFB05F" w14:textId="08176287" w:rsidR="00A71613" w:rsidRPr="00A71613" w:rsidRDefault="00A71613" w:rsidP="00A71613">
          <w:pPr>
            <w:rPr>
              <w:lang w:val="en-US" w:eastAsia="en-GB"/>
            </w:rPr>
          </w:pPr>
          <w:r w:rsidRPr="00A71613">
            <w:rPr>
              <w:lang w:val="en-US" w:eastAsia="en-GB"/>
            </w:rPr>
            <w:t>Qualifications: essential</w:t>
          </w:r>
        </w:p>
        <w:p w14:paraId="4CC87CA1" w14:textId="32056C53" w:rsidR="00A71613" w:rsidRDefault="00A71613" w:rsidP="00A71613">
          <w:pPr>
            <w:rPr>
              <w:lang w:val="en-US" w:eastAsia="en-GB"/>
            </w:rPr>
          </w:pPr>
          <w:r w:rsidRPr="00A71613">
            <w:rPr>
              <w:lang w:val="en-US" w:eastAsia="en-GB"/>
            </w:rPr>
            <w:t xml:space="preserve">University degree in health economics, public health or another relevant discipline, or equivalent professional experience of 5 to 6 years. Experience must be in the management of public health and/or health systems management policies and </w:t>
          </w:r>
          <w:proofErr w:type="spellStart"/>
          <w:r w:rsidRPr="00A71613">
            <w:rPr>
              <w:lang w:val="en-US" w:eastAsia="en-GB"/>
            </w:rPr>
            <w:t>programmes</w:t>
          </w:r>
          <w:proofErr w:type="spellEnd"/>
          <w:r w:rsidRPr="00A71613">
            <w:rPr>
              <w:lang w:val="en-US" w:eastAsia="en-GB"/>
            </w:rPr>
            <w:t>. Experience in relevant contexts and experience of pharmaceutical regulation and/o</w:t>
          </w:r>
          <w:r w:rsidR="00D051D6">
            <w:rPr>
              <w:lang w:val="en-US" w:eastAsia="en-GB"/>
            </w:rPr>
            <w:t>r production would be an asset.</w:t>
          </w:r>
        </w:p>
        <w:p w14:paraId="6CAF9913" w14:textId="77777777" w:rsidR="002B5150" w:rsidRDefault="002B5150" w:rsidP="002B5150">
          <w:pPr>
            <w:pStyle w:val="Tablecaption10"/>
          </w:pPr>
          <w:r>
            <w:rPr>
              <w:rStyle w:val="Tablecaption1"/>
            </w:rPr>
            <w:t>Languages</w:t>
          </w:r>
        </w:p>
        <w:tbl>
          <w:tblPr>
            <w:tblOverlap w:val="never"/>
            <w:tblW w:w="0" w:type="auto"/>
            <w:tblLayout w:type="fixed"/>
            <w:tblCellMar>
              <w:left w:w="10" w:type="dxa"/>
              <w:right w:w="10" w:type="dxa"/>
            </w:tblCellMar>
            <w:tblLook w:val="0000" w:firstRow="0" w:lastRow="0" w:firstColumn="0" w:lastColumn="0" w:noHBand="0" w:noVBand="0"/>
          </w:tblPr>
          <w:tblGrid>
            <w:gridCol w:w="1120"/>
            <w:gridCol w:w="1577"/>
            <w:gridCol w:w="1511"/>
            <w:gridCol w:w="1734"/>
            <w:gridCol w:w="1653"/>
            <w:gridCol w:w="1000"/>
          </w:tblGrid>
          <w:tr w:rsidR="002B5150" w14:paraId="4531F8B3" w14:textId="77777777" w:rsidTr="005B6120">
            <w:trPr>
              <w:trHeight w:hRule="exact" w:val="871"/>
            </w:trPr>
            <w:tc>
              <w:tcPr>
                <w:tcW w:w="1120" w:type="dxa"/>
                <w:shd w:val="clear" w:color="auto" w:fill="auto"/>
              </w:tcPr>
              <w:p w14:paraId="27906C9C" w14:textId="77777777" w:rsidR="002B5150" w:rsidRDefault="002B5150" w:rsidP="005B6120">
                <w:pPr>
                  <w:rPr>
                    <w:sz w:val="10"/>
                    <w:szCs w:val="10"/>
                  </w:rPr>
                </w:pPr>
              </w:p>
            </w:tc>
            <w:tc>
              <w:tcPr>
                <w:tcW w:w="1577" w:type="dxa"/>
                <w:shd w:val="clear" w:color="auto" w:fill="auto"/>
              </w:tcPr>
              <w:p w14:paraId="6AA35624" w14:textId="0859AE97" w:rsidR="002B5150" w:rsidRDefault="002B5150" w:rsidP="005B6120">
                <w:pPr>
                  <w:pStyle w:val="Other10"/>
                  <w:jc w:val="center"/>
                </w:pPr>
                <w:r>
                  <w:t>Listening</w:t>
                </w:r>
              </w:p>
            </w:tc>
            <w:tc>
              <w:tcPr>
                <w:tcW w:w="1511" w:type="dxa"/>
                <w:shd w:val="clear" w:color="auto" w:fill="auto"/>
              </w:tcPr>
              <w:p w14:paraId="172C8922" w14:textId="43BDC02C" w:rsidR="002B5150" w:rsidRDefault="002B5150" w:rsidP="002B5150">
                <w:pPr>
                  <w:pStyle w:val="Other10"/>
                  <w:jc w:val="center"/>
                </w:pPr>
                <w:proofErr w:type="spellStart"/>
                <w:r>
                  <w:rPr>
                    <w:rStyle w:val="Other1"/>
                  </w:rPr>
                  <w:t>Readring</w:t>
                </w:r>
                <w:proofErr w:type="spellEnd"/>
              </w:p>
            </w:tc>
            <w:tc>
              <w:tcPr>
                <w:tcW w:w="1734" w:type="dxa"/>
                <w:shd w:val="clear" w:color="auto" w:fill="auto"/>
              </w:tcPr>
              <w:p w14:paraId="22959FF7" w14:textId="24448915" w:rsidR="002B5150" w:rsidRPr="002B5150" w:rsidRDefault="002B5150" w:rsidP="002B5150">
                <w:pPr>
                  <w:pStyle w:val="Other10"/>
                  <w:jc w:val="center"/>
                </w:pPr>
                <w:r w:rsidRPr="002B5150">
                  <w:rPr>
                    <w:rStyle w:val="Other1"/>
                  </w:rPr>
                  <w:t>Taking part in the conversation</w:t>
                </w:r>
              </w:p>
            </w:tc>
            <w:tc>
              <w:tcPr>
                <w:tcW w:w="1653" w:type="dxa"/>
                <w:shd w:val="clear" w:color="auto" w:fill="auto"/>
              </w:tcPr>
              <w:p w14:paraId="61268C90" w14:textId="0BAD299A" w:rsidR="002B5150" w:rsidRDefault="002B5150" w:rsidP="005B6120">
                <w:pPr>
                  <w:pStyle w:val="Other10"/>
                  <w:jc w:val="center"/>
                </w:pPr>
                <w:r>
                  <w:rPr>
                    <w:rStyle w:val="Other1"/>
                  </w:rPr>
                  <w:t>Continuous oral expression</w:t>
                </w:r>
              </w:p>
            </w:tc>
            <w:tc>
              <w:tcPr>
                <w:tcW w:w="1000" w:type="dxa"/>
                <w:shd w:val="clear" w:color="auto" w:fill="auto"/>
              </w:tcPr>
              <w:p w14:paraId="1EEB553E" w14:textId="24B30494" w:rsidR="002B5150" w:rsidRDefault="002B5150" w:rsidP="005B6120">
                <w:pPr>
                  <w:pStyle w:val="Other10"/>
                  <w:jc w:val="right"/>
                </w:pPr>
                <w:r>
                  <w:t>write</w:t>
                </w:r>
              </w:p>
            </w:tc>
          </w:tr>
          <w:tr w:rsidR="002B5150" w14:paraId="7CDC08E6" w14:textId="77777777" w:rsidTr="005B6120">
            <w:trPr>
              <w:trHeight w:hRule="exact" w:val="487"/>
            </w:trPr>
            <w:tc>
              <w:tcPr>
                <w:tcW w:w="1120" w:type="dxa"/>
                <w:shd w:val="clear" w:color="auto" w:fill="auto"/>
              </w:tcPr>
              <w:p w14:paraId="291EC851" w14:textId="20913502" w:rsidR="002B5150" w:rsidRDefault="002B5150" w:rsidP="005B6120">
                <w:pPr>
                  <w:pStyle w:val="Other10"/>
                </w:pPr>
                <w:r>
                  <w:t>French</w:t>
                </w:r>
              </w:p>
            </w:tc>
            <w:tc>
              <w:tcPr>
                <w:tcW w:w="1577" w:type="dxa"/>
                <w:shd w:val="clear" w:color="auto" w:fill="auto"/>
              </w:tcPr>
              <w:p w14:paraId="1CF78460" w14:textId="77777777" w:rsidR="002B5150" w:rsidRDefault="002B5150" w:rsidP="005B6120">
                <w:pPr>
                  <w:pStyle w:val="Other10"/>
                  <w:jc w:val="center"/>
                </w:pPr>
                <w:r>
                  <w:rPr>
                    <w:rStyle w:val="Other1"/>
                  </w:rPr>
                  <w:t>C2</w:t>
                </w:r>
              </w:p>
            </w:tc>
            <w:tc>
              <w:tcPr>
                <w:tcW w:w="1511" w:type="dxa"/>
                <w:shd w:val="clear" w:color="auto" w:fill="auto"/>
              </w:tcPr>
              <w:p w14:paraId="5E9E0C26" w14:textId="77777777" w:rsidR="002B5150" w:rsidRDefault="002B5150" w:rsidP="005B6120">
                <w:pPr>
                  <w:pStyle w:val="Other10"/>
                  <w:jc w:val="center"/>
                </w:pPr>
                <w:r>
                  <w:rPr>
                    <w:rStyle w:val="Other1"/>
                  </w:rPr>
                  <w:t>C2</w:t>
                </w:r>
              </w:p>
            </w:tc>
            <w:tc>
              <w:tcPr>
                <w:tcW w:w="1734" w:type="dxa"/>
                <w:shd w:val="clear" w:color="auto" w:fill="auto"/>
              </w:tcPr>
              <w:p w14:paraId="7044ED43" w14:textId="77777777" w:rsidR="002B5150" w:rsidRDefault="002B5150" w:rsidP="005B6120">
                <w:pPr>
                  <w:pStyle w:val="Other10"/>
                  <w:jc w:val="center"/>
                </w:pPr>
                <w:r>
                  <w:rPr>
                    <w:rStyle w:val="Other1"/>
                  </w:rPr>
                  <w:t>C2</w:t>
                </w:r>
              </w:p>
            </w:tc>
            <w:tc>
              <w:tcPr>
                <w:tcW w:w="1653" w:type="dxa"/>
                <w:shd w:val="clear" w:color="auto" w:fill="auto"/>
              </w:tcPr>
              <w:p w14:paraId="1F4F0CEB" w14:textId="77777777" w:rsidR="002B5150" w:rsidRDefault="002B5150" w:rsidP="005B6120">
                <w:pPr>
                  <w:pStyle w:val="Other10"/>
                  <w:jc w:val="center"/>
                </w:pPr>
                <w:r>
                  <w:rPr>
                    <w:rStyle w:val="Other1"/>
                  </w:rPr>
                  <w:t>C2</w:t>
                </w:r>
              </w:p>
            </w:tc>
            <w:tc>
              <w:tcPr>
                <w:tcW w:w="1000" w:type="dxa"/>
                <w:shd w:val="clear" w:color="auto" w:fill="auto"/>
              </w:tcPr>
              <w:p w14:paraId="36AF444D" w14:textId="77777777" w:rsidR="002B5150" w:rsidRDefault="002B5150" w:rsidP="005B6120">
                <w:pPr>
                  <w:pStyle w:val="Other10"/>
                  <w:ind w:right="180"/>
                  <w:jc w:val="right"/>
                </w:pPr>
                <w:r>
                  <w:rPr>
                    <w:rStyle w:val="Other1"/>
                  </w:rPr>
                  <w:t>C2</w:t>
                </w:r>
              </w:p>
            </w:tc>
          </w:tr>
          <w:tr w:rsidR="002B5150" w14:paraId="3126C915" w14:textId="77777777" w:rsidTr="005B6120">
            <w:trPr>
              <w:trHeight w:hRule="exact" w:val="512"/>
            </w:trPr>
            <w:tc>
              <w:tcPr>
                <w:tcW w:w="1120" w:type="dxa"/>
                <w:shd w:val="clear" w:color="auto" w:fill="auto"/>
                <w:vAlign w:val="bottom"/>
              </w:tcPr>
              <w:p w14:paraId="204E51F9" w14:textId="7C41CAA6" w:rsidR="002B5150" w:rsidRDefault="002B5150" w:rsidP="005B6120">
                <w:pPr>
                  <w:pStyle w:val="Other10"/>
                </w:pPr>
                <w:r>
                  <w:lastRenderedPageBreak/>
                  <w:t>English</w:t>
                </w:r>
              </w:p>
            </w:tc>
            <w:tc>
              <w:tcPr>
                <w:tcW w:w="1577" w:type="dxa"/>
                <w:shd w:val="clear" w:color="auto" w:fill="auto"/>
                <w:vAlign w:val="bottom"/>
              </w:tcPr>
              <w:p w14:paraId="77AB7F04" w14:textId="77777777" w:rsidR="002B5150" w:rsidRDefault="002B5150" w:rsidP="005B6120">
                <w:pPr>
                  <w:pStyle w:val="Other10"/>
                  <w:jc w:val="center"/>
                </w:pPr>
                <w:r>
                  <w:rPr>
                    <w:rStyle w:val="Other1"/>
                  </w:rPr>
                  <w:t>C1</w:t>
                </w:r>
              </w:p>
            </w:tc>
            <w:tc>
              <w:tcPr>
                <w:tcW w:w="1511" w:type="dxa"/>
                <w:shd w:val="clear" w:color="auto" w:fill="auto"/>
                <w:vAlign w:val="bottom"/>
              </w:tcPr>
              <w:p w14:paraId="0934BA30" w14:textId="77777777" w:rsidR="002B5150" w:rsidRDefault="002B5150" w:rsidP="005B6120">
                <w:pPr>
                  <w:pStyle w:val="Other10"/>
                  <w:jc w:val="center"/>
                </w:pPr>
                <w:r>
                  <w:rPr>
                    <w:rStyle w:val="Other1"/>
                  </w:rPr>
                  <w:t>C1</w:t>
                </w:r>
              </w:p>
            </w:tc>
            <w:tc>
              <w:tcPr>
                <w:tcW w:w="1734" w:type="dxa"/>
                <w:shd w:val="clear" w:color="auto" w:fill="auto"/>
                <w:vAlign w:val="bottom"/>
              </w:tcPr>
              <w:p w14:paraId="46D76F1F" w14:textId="77777777" w:rsidR="002B5150" w:rsidRDefault="002B5150" w:rsidP="005B6120">
                <w:pPr>
                  <w:pStyle w:val="Other10"/>
                  <w:jc w:val="center"/>
                </w:pPr>
                <w:r>
                  <w:rPr>
                    <w:rStyle w:val="Other1"/>
                  </w:rPr>
                  <w:t>C1</w:t>
                </w:r>
              </w:p>
            </w:tc>
            <w:tc>
              <w:tcPr>
                <w:tcW w:w="1653" w:type="dxa"/>
                <w:shd w:val="clear" w:color="auto" w:fill="auto"/>
                <w:vAlign w:val="bottom"/>
              </w:tcPr>
              <w:p w14:paraId="51CECE21" w14:textId="77777777" w:rsidR="002B5150" w:rsidRDefault="002B5150" w:rsidP="005B6120">
                <w:pPr>
                  <w:pStyle w:val="Other10"/>
                  <w:jc w:val="center"/>
                </w:pPr>
                <w:r>
                  <w:rPr>
                    <w:rStyle w:val="Other1"/>
                  </w:rPr>
                  <w:t>C1</w:t>
                </w:r>
              </w:p>
            </w:tc>
            <w:tc>
              <w:tcPr>
                <w:tcW w:w="1000" w:type="dxa"/>
                <w:shd w:val="clear" w:color="auto" w:fill="auto"/>
                <w:vAlign w:val="bottom"/>
              </w:tcPr>
              <w:p w14:paraId="05C6A7FA" w14:textId="77777777" w:rsidR="002B5150" w:rsidRDefault="002B5150" w:rsidP="005B6120">
                <w:pPr>
                  <w:pStyle w:val="Other10"/>
                  <w:ind w:right="180"/>
                  <w:jc w:val="right"/>
                </w:pPr>
                <w:r>
                  <w:rPr>
                    <w:rStyle w:val="Other1"/>
                  </w:rPr>
                  <w:t>C1</w:t>
                </w:r>
              </w:p>
            </w:tc>
          </w:tr>
        </w:tbl>
        <w:p w14:paraId="1519786F" w14:textId="77777777" w:rsidR="002B5150" w:rsidRPr="00A71613" w:rsidRDefault="002B5150" w:rsidP="00A71613">
          <w:pPr>
            <w:rPr>
              <w:lang w:val="en-US" w:eastAsia="en-GB"/>
            </w:rPr>
          </w:pPr>
        </w:p>
        <w:p w14:paraId="558CE43F" w14:textId="4C44EC7A" w:rsidR="00A71613" w:rsidRPr="00A71613" w:rsidRDefault="00A71613" w:rsidP="00A71613">
          <w:pPr>
            <w:rPr>
              <w:lang w:val="en-US" w:eastAsia="en-GB"/>
            </w:rPr>
          </w:pPr>
          <w:r w:rsidRPr="00A71613">
            <w:rPr>
              <w:lang w:val="en-US" w:eastAsia="en-GB"/>
            </w:rPr>
            <w:t>Knowledge</w:t>
          </w:r>
        </w:p>
        <w:p w14:paraId="1208F910" w14:textId="34521004" w:rsidR="00A71613" w:rsidRPr="00A71613" w:rsidRDefault="00A71613" w:rsidP="00A71613">
          <w:pPr>
            <w:rPr>
              <w:lang w:val="en-US" w:eastAsia="en-GB"/>
            </w:rPr>
          </w:pPr>
          <w:r w:rsidRPr="00A71613">
            <w:rPr>
              <w:lang w:val="en-US" w:eastAsia="en-GB"/>
            </w:rPr>
            <w:t xml:space="preserve"> - ECONOMICS</w:t>
          </w:r>
          <w:r w:rsidR="002B5150">
            <w:rPr>
              <w:lang w:val="en-US" w:eastAsia="en-GB"/>
            </w:rPr>
            <w:t xml:space="preserve">/ </w:t>
          </w:r>
          <w:r w:rsidRPr="00A71613">
            <w:rPr>
              <w:lang w:val="en-US" w:eastAsia="en-GB"/>
            </w:rPr>
            <w:t>Health economics</w:t>
          </w:r>
        </w:p>
        <w:p w14:paraId="3DD1370E" w14:textId="4B8583F3" w:rsidR="00A71613" w:rsidRPr="00A71613" w:rsidRDefault="00A71613" w:rsidP="00A71613">
          <w:pPr>
            <w:rPr>
              <w:lang w:val="en-US" w:eastAsia="en-GB"/>
            </w:rPr>
          </w:pPr>
          <w:r w:rsidRPr="00A71613">
            <w:rPr>
              <w:lang w:val="en-US" w:eastAsia="en-GB"/>
            </w:rPr>
            <w:t>- POLICY COORDINATION</w:t>
          </w:r>
        </w:p>
        <w:p w14:paraId="1E39E4A3" w14:textId="7ED6AFCB" w:rsidR="00A71613" w:rsidRPr="00A71613" w:rsidRDefault="00A71613" w:rsidP="00A71613">
          <w:pPr>
            <w:rPr>
              <w:lang w:val="en-US" w:eastAsia="en-GB"/>
            </w:rPr>
          </w:pPr>
          <w:r w:rsidRPr="00A71613">
            <w:rPr>
              <w:lang w:val="en-US" w:eastAsia="en-GB"/>
            </w:rPr>
            <w:t>- ASSESSMENT and QUALITY MANAGEMENT</w:t>
          </w:r>
        </w:p>
        <w:p w14:paraId="10B00A84" w14:textId="33A304FC" w:rsidR="00A71613" w:rsidRPr="00A71613" w:rsidRDefault="002B5150" w:rsidP="00A71613">
          <w:pPr>
            <w:rPr>
              <w:lang w:val="en-US" w:eastAsia="en-GB"/>
            </w:rPr>
          </w:pPr>
          <w:r>
            <w:rPr>
              <w:lang w:val="en-US" w:eastAsia="en-GB"/>
            </w:rPr>
            <w:t xml:space="preserve">           </w:t>
          </w:r>
          <w:r w:rsidR="00A71613" w:rsidRPr="00A71613">
            <w:rPr>
              <w:lang w:val="en-US" w:eastAsia="en-GB"/>
            </w:rPr>
            <w:t>◦</w:t>
          </w:r>
          <w:r>
            <w:rPr>
              <w:lang w:val="en-US" w:eastAsia="en-GB"/>
            </w:rPr>
            <w:t xml:space="preserve"> </w:t>
          </w:r>
          <w:r w:rsidR="00A71613" w:rsidRPr="00A71613">
            <w:rPr>
              <w:lang w:val="en-US" w:eastAsia="en-GB"/>
            </w:rPr>
            <w:t>IMPACT ASSESSMENT</w:t>
          </w:r>
          <w:r>
            <w:rPr>
              <w:lang w:val="en-US" w:eastAsia="en-GB"/>
            </w:rPr>
            <w:t xml:space="preserve">/ </w:t>
          </w:r>
          <w:r w:rsidR="00A71613" w:rsidRPr="00A71613">
            <w:rPr>
              <w:lang w:val="en-US" w:eastAsia="en-GB"/>
            </w:rPr>
            <w:t xml:space="preserve">Impact of policies, </w:t>
          </w:r>
          <w:proofErr w:type="gramStart"/>
          <w:r w:rsidR="00A71613" w:rsidRPr="00A71613">
            <w:rPr>
              <w:lang w:val="en-US" w:eastAsia="en-GB"/>
            </w:rPr>
            <w:t>legislation</w:t>
          </w:r>
          <w:proofErr w:type="gramEnd"/>
          <w:r w:rsidR="00A71613" w:rsidRPr="00A71613">
            <w:rPr>
              <w:lang w:val="en-US" w:eastAsia="en-GB"/>
            </w:rPr>
            <w:t xml:space="preserve"> or </w:t>
          </w:r>
          <w:proofErr w:type="spellStart"/>
          <w:r w:rsidR="00A71613" w:rsidRPr="00A71613">
            <w:rPr>
              <w:lang w:val="en-US" w:eastAsia="en-GB"/>
            </w:rPr>
            <w:t>programmes</w:t>
          </w:r>
          <w:proofErr w:type="spellEnd"/>
        </w:p>
        <w:p w14:paraId="4C903016" w14:textId="77777777" w:rsidR="00A71613" w:rsidRPr="00A71613" w:rsidRDefault="00A71613" w:rsidP="00A71613">
          <w:pPr>
            <w:rPr>
              <w:lang w:val="en-US" w:eastAsia="en-GB"/>
            </w:rPr>
          </w:pPr>
          <w:r w:rsidRPr="00A71613">
            <w:rPr>
              <w:lang w:val="en-US" w:eastAsia="en-GB"/>
            </w:rPr>
            <w:t>- PROGRAMME / PROCESS / PROJECT MANAGEMENT</w:t>
          </w:r>
        </w:p>
        <w:p w14:paraId="5291966E" w14:textId="77777777" w:rsidR="00A71613" w:rsidRPr="00A71613" w:rsidRDefault="00A71613" w:rsidP="00A71613">
          <w:pPr>
            <w:rPr>
              <w:lang w:val="en-US" w:eastAsia="en-GB"/>
            </w:rPr>
          </w:pPr>
          <w:r w:rsidRPr="00A71613">
            <w:rPr>
              <w:lang w:val="en-US" w:eastAsia="en-GB"/>
            </w:rPr>
            <w:t>- HEALTH</w:t>
          </w:r>
        </w:p>
        <w:p w14:paraId="3644DD04" w14:textId="50CE5910" w:rsidR="00A71613" w:rsidRPr="00A71613" w:rsidRDefault="009C03F5" w:rsidP="00A71613">
          <w:pPr>
            <w:rPr>
              <w:lang w:val="en-US" w:eastAsia="en-GB"/>
            </w:rPr>
          </w:pPr>
          <w:r>
            <w:rPr>
              <w:lang w:val="en-US" w:eastAsia="en-GB"/>
            </w:rPr>
            <w:t xml:space="preserve">             </w:t>
          </w:r>
          <w:r w:rsidR="00A71613" w:rsidRPr="00A71613">
            <w:rPr>
              <w:lang w:val="en-US" w:eastAsia="en-GB"/>
            </w:rPr>
            <w:t>◦ PHARMACEUTICALS, MEDICAL PRODUCTS AND DEVICES</w:t>
          </w:r>
        </w:p>
        <w:p w14:paraId="0ADFC13E" w14:textId="77777777" w:rsidR="00A71613" w:rsidRPr="00A71613" w:rsidRDefault="00A71613" w:rsidP="00A71613">
          <w:pPr>
            <w:rPr>
              <w:lang w:val="en-US" w:eastAsia="en-GB"/>
            </w:rPr>
          </w:pPr>
        </w:p>
        <w:p w14:paraId="45051262" w14:textId="77777777" w:rsidR="00A71613" w:rsidRPr="00A71613" w:rsidRDefault="00A71613" w:rsidP="00A71613">
          <w:pPr>
            <w:rPr>
              <w:lang w:val="en-US" w:eastAsia="en-GB"/>
            </w:rPr>
          </w:pPr>
          <w:r w:rsidRPr="00A71613">
            <w:rPr>
              <w:lang w:val="en-US" w:eastAsia="en-GB"/>
            </w:rPr>
            <w:t>Skills</w:t>
          </w:r>
        </w:p>
        <w:p w14:paraId="67242E72" w14:textId="452C04EC" w:rsidR="00A71613" w:rsidRPr="00A71613" w:rsidRDefault="00A71613" w:rsidP="00A71613">
          <w:pPr>
            <w:rPr>
              <w:lang w:val="en-US" w:eastAsia="en-GB"/>
            </w:rPr>
          </w:pPr>
          <w:r w:rsidRPr="00A71613">
            <w:rPr>
              <w:lang w:val="en-US" w:eastAsia="en-GB"/>
            </w:rPr>
            <w:t>- Analysis and problem solving</w:t>
          </w:r>
          <w:r w:rsidR="009C03F5">
            <w:rPr>
              <w:lang w:val="en-US" w:eastAsia="en-GB"/>
            </w:rPr>
            <w:t xml:space="preserve">/ </w:t>
          </w:r>
          <w:r w:rsidRPr="00A71613">
            <w:rPr>
              <w:lang w:val="en-US" w:eastAsia="en-GB"/>
            </w:rPr>
            <w:t xml:space="preserve">Ability to </w:t>
          </w:r>
          <w:proofErr w:type="spellStart"/>
          <w:r w:rsidRPr="00A71613">
            <w:rPr>
              <w:lang w:val="en-US" w:eastAsia="en-GB"/>
            </w:rPr>
            <w:t>analyse</w:t>
          </w:r>
          <w:proofErr w:type="spellEnd"/>
          <w:r w:rsidRPr="00A71613">
            <w:rPr>
              <w:lang w:val="en-US" w:eastAsia="en-GB"/>
            </w:rPr>
            <w:t xml:space="preserve"> and structure information</w:t>
          </w:r>
        </w:p>
        <w:p w14:paraId="6D215A01" w14:textId="604104D2" w:rsidR="00A71613" w:rsidRPr="00A71613" w:rsidRDefault="00A71613" w:rsidP="00A71613">
          <w:pPr>
            <w:rPr>
              <w:lang w:val="en-US" w:eastAsia="en-GB"/>
            </w:rPr>
          </w:pPr>
          <w:r w:rsidRPr="00A71613">
            <w:rPr>
              <w:lang w:val="en-US" w:eastAsia="en-GB"/>
            </w:rPr>
            <w:t>- Communication skills</w:t>
          </w:r>
          <w:r w:rsidR="009C03F5">
            <w:rPr>
              <w:lang w:val="en-US" w:eastAsia="en-GB"/>
            </w:rPr>
            <w:t xml:space="preserve">/ </w:t>
          </w:r>
          <w:r w:rsidRPr="00A71613">
            <w:rPr>
              <w:lang w:val="en-US" w:eastAsia="en-GB"/>
            </w:rPr>
            <w:t>Ability to communicate in meetings</w:t>
          </w:r>
        </w:p>
        <w:p w14:paraId="3386B9B2" w14:textId="77777777" w:rsidR="00A71613" w:rsidRPr="00A71613" w:rsidRDefault="00A71613" w:rsidP="00A71613">
          <w:pPr>
            <w:rPr>
              <w:lang w:val="en-US" w:eastAsia="en-GB"/>
            </w:rPr>
          </w:pPr>
          <w:r w:rsidRPr="00A71613">
            <w:rPr>
              <w:lang w:val="en-US" w:eastAsia="en-GB"/>
            </w:rPr>
            <w:t>- Quality and results</w:t>
          </w:r>
        </w:p>
        <w:p w14:paraId="528EB9B4" w14:textId="77777777" w:rsidR="00A71613" w:rsidRPr="00A71613" w:rsidRDefault="00A71613" w:rsidP="00A71613">
          <w:pPr>
            <w:rPr>
              <w:lang w:val="en-US" w:eastAsia="en-GB"/>
            </w:rPr>
          </w:pPr>
          <w:r w:rsidRPr="00A71613">
            <w:rPr>
              <w:lang w:val="en-US" w:eastAsia="en-GB"/>
            </w:rPr>
            <w:t>◦ Ability to work proactively and autonomously</w:t>
          </w:r>
        </w:p>
        <w:p w14:paraId="487718A4" w14:textId="77777777" w:rsidR="00A71613" w:rsidRPr="00A71613" w:rsidRDefault="00A71613" w:rsidP="00A71613">
          <w:pPr>
            <w:rPr>
              <w:lang w:val="en-US" w:eastAsia="en-GB"/>
            </w:rPr>
          </w:pPr>
          <w:r w:rsidRPr="00A71613">
            <w:rPr>
              <w:lang w:val="en-US" w:eastAsia="en-GB"/>
            </w:rPr>
            <w:t>◦ Responsibility</w:t>
          </w:r>
        </w:p>
        <w:p w14:paraId="1BF914C9" w14:textId="77777777" w:rsidR="00A71613" w:rsidRPr="00A71613" w:rsidRDefault="00A71613" w:rsidP="00A71613">
          <w:pPr>
            <w:rPr>
              <w:lang w:val="en-US" w:eastAsia="en-GB"/>
            </w:rPr>
          </w:pPr>
          <w:r w:rsidRPr="00A71613">
            <w:rPr>
              <w:lang w:val="en-US" w:eastAsia="en-GB"/>
            </w:rPr>
            <w:t>◦ Professional awareness</w:t>
          </w:r>
        </w:p>
        <w:p w14:paraId="3D9F2841" w14:textId="77777777" w:rsidR="00A71613" w:rsidRPr="00A71613" w:rsidRDefault="00A71613" w:rsidP="00A71613">
          <w:pPr>
            <w:rPr>
              <w:lang w:val="en-US" w:eastAsia="en-GB"/>
            </w:rPr>
          </w:pPr>
          <w:r w:rsidRPr="00A71613">
            <w:rPr>
              <w:lang w:val="en-US" w:eastAsia="en-GB"/>
            </w:rPr>
            <w:t>- Learning and development</w:t>
          </w:r>
        </w:p>
        <w:p w14:paraId="1DD81929" w14:textId="411EDBD3" w:rsidR="00A71613" w:rsidRPr="00A71613" w:rsidRDefault="00A71613" w:rsidP="00A71613">
          <w:pPr>
            <w:rPr>
              <w:lang w:val="en-US" w:eastAsia="en-GB"/>
            </w:rPr>
          </w:pPr>
          <w:r w:rsidRPr="00A71613">
            <w:rPr>
              <w:lang w:val="en-US" w:eastAsia="en-GB"/>
            </w:rPr>
            <w:t>◦ Flexibility (</w:t>
          </w:r>
          <w:r w:rsidR="004A0BA6">
            <w:rPr>
              <w:lang w:val="en-US" w:eastAsia="en-GB"/>
            </w:rPr>
            <w:t xml:space="preserve">e.g. </w:t>
          </w:r>
          <w:r w:rsidRPr="00A71613">
            <w:rPr>
              <w:lang w:val="en-US" w:eastAsia="en-GB"/>
            </w:rPr>
            <w:t>op</w:t>
          </w:r>
          <w:r w:rsidR="004A0BA6">
            <w:rPr>
              <w:lang w:val="en-US" w:eastAsia="en-GB"/>
            </w:rPr>
            <w:t>enness to new requirements</w:t>
          </w:r>
          <w:r w:rsidRPr="00A71613">
            <w:rPr>
              <w:lang w:val="en-US" w:eastAsia="en-GB"/>
            </w:rPr>
            <w:t>)</w:t>
          </w:r>
        </w:p>
        <w:p w14:paraId="064A01AE" w14:textId="77777777" w:rsidR="00A71613" w:rsidRPr="00A71613" w:rsidRDefault="00A71613" w:rsidP="00A71613">
          <w:pPr>
            <w:rPr>
              <w:lang w:val="en-US" w:eastAsia="en-GB"/>
            </w:rPr>
          </w:pPr>
          <w:r w:rsidRPr="00A71613">
            <w:rPr>
              <w:lang w:val="en-US" w:eastAsia="en-GB"/>
            </w:rPr>
            <w:t xml:space="preserve">- </w:t>
          </w:r>
          <w:proofErr w:type="spellStart"/>
          <w:r w:rsidRPr="00A71613">
            <w:rPr>
              <w:lang w:val="en-US" w:eastAsia="en-GB"/>
            </w:rPr>
            <w:t>Prioritisation</w:t>
          </w:r>
          <w:proofErr w:type="spellEnd"/>
          <w:r w:rsidRPr="00A71613">
            <w:rPr>
              <w:lang w:val="en-US" w:eastAsia="en-GB"/>
            </w:rPr>
            <w:t xml:space="preserve"> and </w:t>
          </w:r>
          <w:proofErr w:type="spellStart"/>
          <w:r w:rsidRPr="00A71613">
            <w:rPr>
              <w:lang w:val="en-US" w:eastAsia="en-GB"/>
            </w:rPr>
            <w:t>organisation</w:t>
          </w:r>
          <w:proofErr w:type="spellEnd"/>
        </w:p>
        <w:p w14:paraId="602F2422" w14:textId="77777777" w:rsidR="00A71613" w:rsidRPr="00A71613" w:rsidRDefault="00A71613" w:rsidP="00A71613">
          <w:pPr>
            <w:rPr>
              <w:lang w:val="en-US" w:eastAsia="en-GB"/>
            </w:rPr>
          </w:pPr>
          <w:r w:rsidRPr="00A71613">
            <w:rPr>
              <w:lang w:val="en-US" w:eastAsia="en-GB"/>
            </w:rPr>
            <w:t>◦ Ability to work in a structured way</w:t>
          </w:r>
        </w:p>
        <w:p w14:paraId="0B8A27D6" w14:textId="77777777" w:rsidR="00A71613" w:rsidRPr="00A71613" w:rsidRDefault="00A71613" w:rsidP="00A71613">
          <w:pPr>
            <w:rPr>
              <w:lang w:val="en-US" w:eastAsia="en-GB"/>
            </w:rPr>
          </w:pPr>
          <w:r w:rsidRPr="00A71613">
            <w:rPr>
              <w:lang w:val="en-US" w:eastAsia="en-GB"/>
            </w:rPr>
            <w:t>◦ Coordination skills</w:t>
          </w:r>
        </w:p>
        <w:p w14:paraId="4E26FD68" w14:textId="77777777" w:rsidR="00A71613" w:rsidRPr="00A71613" w:rsidRDefault="00A71613" w:rsidP="00A71613">
          <w:pPr>
            <w:rPr>
              <w:lang w:val="en-US" w:eastAsia="en-GB"/>
            </w:rPr>
          </w:pPr>
          <w:r w:rsidRPr="00A71613">
            <w:rPr>
              <w:lang w:val="en-US" w:eastAsia="en-GB"/>
            </w:rPr>
            <w:t>◦ Planning ability</w:t>
          </w:r>
        </w:p>
        <w:p w14:paraId="48D44F41" w14:textId="77777777" w:rsidR="00A71613" w:rsidRPr="00A71613" w:rsidRDefault="00A71613" w:rsidP="00A71613">
          <w:pPr>
            <w:rPr>
              <w:lang w:val="en-US" w:eastAsia="en-GB"/>
            </w:rPr>
          </w:pPr>
          <w:r w:rsidRPr="00A71613">
            <w:rPr>
              <w:lang w:val="en-US" w:eastAsia="en-GB"/>
            </w:rPr>
            <w:t>- Working with others</w:t>
          </w:r>
        </w:p>
        <w:p w14:paraId="51994EDB" w14:textId="58EC368C" w:rsidR="002E40A9" w:rsidRPr="00AF7D78" w:rsidRDefault="004A0BA6" w:rsidP="00A71613">
          <w:pPr>
            <w:rPr>
              <w:lang w:val="en-US" w:eastAsia="en-GB"/>
            </w:rPr>
          </w:pPr>
          <w:r>
            <w:rPr>
              <w:lang w:val="en-US" w:eastAsia="en-GB"/>
            </w:rPr>
            <w:t>◦ Social skills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24A60BA" w:rsidR="00F6462F" w:rsidRDefault="00F4683D">
    <w:pPr>
      <w:pStyle w:val="FooterLine"/>
      <w:jc w:val="center"/>
    </w:pPr>
    <w:r>
      <w:fldChar w:fldCharType="begin"/>
    </w:r>
    <w:r>
      <w:instrText>PAGE   \* MERGEFORMAT</w:instrText>
    </w:r>
    <w:r>
      <w:fldChar w:fldCharType="separate"/>
    </w:r>
    <w:r w:rsidR="005A5B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843239"/>
    <w:multiLevelType w:val="hybridMultilevel"/>
    <w:tmpl w:val="E688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DC013DE"/>
    <w:multiLevelType w:val="hybridMultilevel"/>
    <w:tmpl w:val="9D4C1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344676870">
    <w:abstractNumId w:val="1"/>
  </w:num>
  <w:num w:numId="2" w16cid:durableId="357438255">
    <w:abstractNumId w:val="15"/>
  </w:num>
  <w:num w:numId="3" w16cid:durableId="1651211889">
    <w:abstractNumId w:val="9"/>
  </w:num>
  <w:num w:numId="4" w16cid:durableId="381639058">
    <w:abstractNumId w:val="16"/>
  </w:num>
  <w:num w:numId="5" w16cid:durableId="479345148">
    <w:abstractNumId w:val="22"/>
  </w:num>
  <w:num w:numId="6" w16cid:durableId="1834295662">
    <w:abstractNumId w:val="24"/>
  </w:num>
  <w:num w:numId="7" w16cid:durableId="240339138">
    <w:abstractNumId w:val="2"/>
  </w:num>
  <w:num w:numId="8" w16cid:durableId="759568299">
    <w:abstractNumId w:val="8"/>
  </w:num>
  <w:num w:numId="9" w16cid:durableId="1778677565">
    <w:abstractNumId w:val="18"/>
  </w:num>
  <w:num w:numId="10" w16cid:durableId="952908181">
    <w:abstractNumId w:val="3"/>
  </w:num>
  <w:num w:numId="11" w16cid:durableId="1614248861">
    <w:abstractNumId w:val="5"/>
  </w:num>
  <w:num w:numId="12" w16cid:durableId="987366615">
    <w:abstractNumId w:val="6"/>
  </w:num>
  <w:num w:numId="13" w16cid:durableId="2110462923">
    <w:abstractNumId w:val="11"/>
  </w:num>
  <w:num w:numId="14" w16cid:durableId="240985700">
    <w:abstractNumId w:val="17"/>
  </w:num>
  <w:num w:numId="15" w16cid:durableId="1829323896">
    <w:abstractNumId w:val="21"/>
  </w:num>
  <w:num w:numId="16" w16cid:durableId="1037775363">
    <w:abstractNumId w:val="25"/>
  </w:num>
  <w:num w:numId="17" w16cid:durableId="243152637">
    <w:abstractNumId w:val="12"/>
  </w:num>
  <w:num w:numId="18" w16cid:durableId="1643774604">
    <w:abstractNumId w:val="13"/>
  </w:num>
  <w:num w:numId="19" w16cid:durableId="188421282">
    <w:abstractNumId w:val="26"/>
  </w:num>
  <w:num w:numId="20" w16cid:durableId="324823066">
    <w:abstractNumId w:val="20"/>
  </w:num>
  <w:num w:numId="21" w16cid:durableId="1590113267">
    <w:abstractNumId w:val="23"/>
  </w:num>
  <w:num w:numId="22" w16cid:durableId="928195021">
    <w:abstractNumId w:val="4"/>
  </w:num>
  <w:num w:numId="23" w16cid:durableId="1440099887">
    <w:abstractNumId w:val="7"/>
  </w:num>
  <w:num w:numId="24" w16cid:durableId="761610905">
    <w:abstractNumId w:val="14"/>
  </w:num>
  <w:num w:numId="25" w16cid:durableId="757099317">
    <w:abstractNumId w:val="3"/>
  </w:num>
  <w:num w:numId="26" w16cid:durableId="150683384">
    <w:abstractNumId w:val="3"/>
  </w:num>
  <w:num w:numId="27" w16cid:durableId="185985652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720595492">
    <w:abstractNumId w:val="3"/>
  </w:num>
  <w:num w:numId="29" w16cid:durableId="346250514">
    <w:abstractNumId w:val="3"/>
  </w:num>
  <w:num w:numId="30" w16cid:durableId="865682129">
    <w:abstractNumId w:val="3"/>
  </w:num>
  <w:num w:numId="31" w16cid:durableId="8024562">
    <w:abstractNumId w:val="3"/>
  </w:num>
  <w:num w:numId="32" w16cid:durableId="1657493725">
    <w:abstractNumId w:val="3"/>
  </w:num>
  <w:num w:numId="33" w16cid:durableId="1484471646">
    <w:abstractNumId w:val="0"/>
  </w:num>
  <w:num w:numId="34" w16cid:durableId="1162434193">
    <w:abstractNumId w:val="10"/>
  </w:num>
  <w:num w:numId="35" w16cid:durableId="4169020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3A58"/>
    <w:rsid w:val="001D0A81"/>
    <w:rsid w:val="002109E6"/>
    <w:rsid w:val="00252050"/>
    <w:rsid w:val="002558AE"/>
    <w:rsid w:val="002A1E58"/>
    <w:rsid w:val="002B3CBF"/>
    <w:rsid w:val="002B5150"/>
    <w:rsid w:val="002C13C3"/>
    <w:rsid w:val="002C49D0"/>
    <w:rsid w:val="002E40A9"/>
    <w:rsid w:val="00394447"/>
    <w:rsid w:val="003E50A4"/>
    <w:rsid w:val="0040388A"/>
    <w:rsid w:val="00431778"/>
    <w:rsid w:val="00454CC7"/>
    <w:rsid w:val="00476034"/>
    <w:rsid w:val="004A0BA6"/>
    <w:rsid w:val="005168AD"/>
    <w:rsid w:val="0058240F"/>
    <w:rsid w:val="00592CD5"/>
    <w:rsid w:val="00595763"/>
    <w:rsid w:val="005A5BE6"/>
    <w:rsid w:val="005D1B85"/>
    <w:rsid w:val="0062622B"/>
    <w:rsid w:val="00665583"/>
    <w:rsid w:val="00693BC6"/>
    <w:rsid w:val="00696070"/>
    <w:rsid w:val="00711EF7"/>
    <w:rsid w:val="0077508F"/>
    <w:rsid w:val="007E531E"/>
    <w:rsid w:val="007F02AC"/>
    <w:rsid w:val="007F7012"/>
    <w:rsid w:val="008D02B7"/>
    <w:rsid w:val="008F0B52"/>
    <w:rsid w:val="008F4BA9"/>
    <w:rsid w:val="009617B8"/>
    <w:rsid w:val="00967EF3"/>
    <w:rsid w:val="00994062"/>
    <w:rsid w:val="00996CC6"/>
    <w:rsid w:val="009A1EA0"/>
    <w:rsid w:val="009A2F00"/>
    <w:rsid w:val="009C03F5"/>
    <w:rsid w:val="009C5E27"/>
    <w:rsid w:val="00A033AD"/>
    <w:rsid w:val="00A51F44"/>
    <w:rsid w:val="00A71613"/>
    <w:rsid w:val="00A91611"/>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051D6"/>
    <w:rsid w:val="00D5133C"/>
    <w:rsid w:val="00D7090C"/>
    <w:rsid w:val="00D84D53"/>
    <w:rsid w:val="00D96984"/>
    <w:rsid w:val="00DD41ED"/>
    <w:rsid w:val="00DF1E49"/>
    <w:rsid w:val="00E21DBD"/>
    <w:rsid w:val="00E342CB"/>
    <w:rsid w:val="00E41704"/>
    <w:rsid w:val="00E44D7F"/>
    <w:rsid w:val="00E56767"/>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E56767"/>
    <w:pPr>
      <w:spacing w:before="100" w:beforeAutospacing="1" w:after="100" w:afterAutospacing="1"/>
      <w:jc w:val="left"/>
    </w:pPr>
    <w:rPr>
      <w:szCs w:val="24"/>
      <w:lang w:eastAsia="en-GB"/>
    </w:rPr>
  </w:style>
  <w:style w:type="character" w:customStyle="1" w:styleId="Bodytext1">
    <w:name w:val="Body text|1_"/>
    <w:link w:val="Bodytext10"/>
    <w:rsid w:val="00E56767"/>
    <w:rPr>
      <w:rFonts w:ascii="Arial" w:eastAsia="Arial" w:hAnsi="Arial" w:cs="Arial"/>
      <w:i/>
      <w:iCs/>
    </w:rPr>
  </w:style>
  <w:style w:type="paragraph" w:customStyle="1" w:styleId="Bodytext10">
    <w:name w:val="Body text|1"/>
    <w:basedOn w:val="Normal"/>
    <w:link w:val="Bodytext1"/>
    <w:rsid w:val="00E56767"/>
    <w:pPr>
      <w:widowControl w:val="0"/>
      <w:spacing w:after="0"/>
      <w:jc w:val="left"/>
    </w:pPr>
    <w:rPr>
      <w:rFonts w:ascii="Arial" w:eastAsia="Arial" w:hAnsi="Arial" w:cs="Arial"/>
      <w:i/>
      <w:iCs/>
    </w:rPr>
  </w:style>
  <w:style w:type="character" w:customStyle="1" w:styleId="Tablecaption1">
    <w:name w:val="Table caption|1_"/>
    <w:basedOn w:val="DefaultParagraphFont"/>
    <w:link w:val="Tablecaption10"/>
    <w:rsid w:val="002B5150"/>
    <w:rPr>
      <w:rFonts w:ascii="Arial" w:eastAsia="Arial" w:hAnsi="Arial" w:cs="Arial"/>
      <w:b/>
      <w:bCs/>
      <w:i/>
      <w:iCs/>
      <w:sz w:val="20"/>
    </w:rPr>
  </w:style>
  <w:style w:type="character" w:customStyle="1" w:styleId="Other1">
    <w:name w:val="Other|1_"/>
    <w:basedOn w:val="DefaultParagraphFont"/>
    <w:link w:val="Other10"/>
    <w:rsid w:val="002B5150"/>
    <w:rPr>
      <w:rFonts w:ascii="Arial" w:eastAsia="Arial" w:hAnsi="Arial" w:cs="Arial"/>
      <w:i/>
      <w:iCs/>
      <w:sz w:val="20"/>
    </w:rPr>
  </w:style>
  <w:style w:type="paragraph" w:customStyle="1" w:styleId="Tablecaption10">
    <w:name w:val="Table caption|1"/>
    <w:basedOn w:val="Normal"/>
    <w:link w:val="Tablecaption1"/>
    <w:rsid w:val="002B5150"/>
    <w:pPr>
      <w:widowControl w:val="0"/>
      <w:spacing w:after="0"/>
      <w:jc w:val="left"/>
    </w:pPr>
    <w:rPr>
      <w:rFonts w:ascii="Arial" w:eastAsia="Arial" w:hAnsi="Arial" w:cs="Arial"/>
      <w:b/>
      <w:bCs/>
      <w:i/>
      <w:iCs/>
      <w:sz w:val="20"/>
    </w:rPr>
  </w:style>
  <w:style w:type="paragraph" w:customStyle="1" w:styleId="Other10">
    <w:name w:val="Other|1"/>
    <w:basedOn w:val="Normal"/>
    <w:link w:val="Other1"/>
    <w:rsid w:val="002B5150"/>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213" w:rsidRDefault="009A12CB" w:rsidP="009A12CB">
          <w:pPr>
            <w:pStyle w:val="F8087F2A3C014B809064D3423F4C13C9"/>
          </w:pPr>
          <w:r w:rsidRPr="003D4996">
            <w:rPr>
              <w:rStyle w:val="PlaceholderText"/>
            </w:rPr>
            <w:t>Click or tap to enter a date.</w:t>
          </w:r>
        </w:p>
      </w:docPartBody>
    </w:docPart>
    <w:docPart>
      <w:docPartPr>
        <w:name w:val="8F45A060534F451696158B625C91DDDA"/>
        <w:category>
          <w:name w:val="General"/>
          <w:gallery w:val="placeholder"/>
        </w:category>
        <w:types>
          <w:type w:val="bbPlcHdr"/>
        </w:types>
        <w:behaviors>
          <w:behavior w:val="content"/>
        </w:behaviors>
        <w:guid w:val="{999519BB-26B5-42D4-8E88-E8BEF27C1A62}"/>
      </w:docPartPr>
      <w:docPartBody>
        <w:p w:rsidR="00283542" w:rsidRDefault="00037A55" w:rsidP="00037A55">
          <w:pPr>
            <w:pStyle w:val="8F45A060534F451696158B625C91DDDA"/>
          </w:pPr>
          <w:r w:rsidRPr="00080A71">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5459733">
    <w:abstractNumId w:val="0"/>
  </w:num>
  <w:num w:numId="2" w16cid:durableId="186983363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37A55"/>
    <w:rsid w:val="001E3B1B"/>
    <w:rsid w:val="00283542"/>
    <w:rsid w:val="00460213"/>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37A5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F45A060534F451696158B625C91DDDA">
    <w:name w:val="8F45A060534F451696158B625C91DDDA"/>
    <w:rsid w:val="00037A5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3E1BB-771C-4F68-90DB-E0C37B3C012B}">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08927195-b699-4be0-9ee2-6c66dc215b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sharepoint/v3/fields"/>
    <ds:schemaRef ds:uri="http://www.w3.org/XML/1998/namespace"/>
    <ds:schemaRef ds:uri="http://purl.org/dc/dcmitype/"/>
    <ds:schemaRef ds:uri="30c666ed-fe46-43d6-bf30-6de2567680e6"/>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154EC8BD-3180-43DA-8753-67939548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6</Pages>
  <Words>1683</Words>
  <Characters>9596</Characters>
  <Application>Microsoft Office Word</Application>
  <DocSecurity>0</DocSecurity>
  <PresentationFormat>Microsoft Word 14.0</PresentationFormat>
  <Lines>79</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2024-12-10T08:02:00Z</dcterms:created>
  <dcterms:modified xsi:type="dcterms:W3CDTF">2024-12-12T10:52:00Z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