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D123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68B1D2BB" w14:textId="2A4F2CD9" w:rsidR="007F6295" w:rsidRDefault="007F6295" w:rsidP="008D02B7">
      <w:pPr>
        <w:pStyle w:val="NoteHead"/>
        <w:spacing w:before="600" w:after="600"/>
      </w:pPr>
      <w:r>
        <w:t xml:space="preserve"> </w:t>
      </w:r>
    </w:p>
    <w:p w14:paraId="364385E4" w14:textId="77777777" w:rsidR="007F6295" w:rsidRDefault="007F6295" w:rsidP="008D02B7">
      <w:pPr>
        <w:pStyle w:val="NoteHead"/>
        <w:spacing w:before="600" w:after="600"/>
      </w:pPr>
    </w:p>
    <w:p w14:paraId="2EA71B94" w14:textId="08EE3A69"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D3068D" w:rsidR="00B65513" w:rsidRPr="0007110E" w:rsidRDefault="007F6295" w:rsidP="00E82667">
                <w:pPr>
                  <w:tabs>
                    <w:tab w:val="left" w:pos="426"/>
                  </w:tabs>
                  <w:spacing w:before="120"/>
                  <w:rPr>
                    <w:bCs/>
                    <w:lang w:val="en-IE" w:eastAsia="en-GB"/>
                  </w:rPr>
                </w:pPr>
                <w:r>
                  <w:t xml:space="preserve">DG NEAR – Neighbourhood and Enlargement Negotiations - Unit NEAR.R.3: Audit and </w:t>
                </w:r>
                <w:r w:rsidR="00B50DD1">
                  <w:t xml:space="preserve">Internal </w:t>
                </w:r>
                <w:r>
                  <w:t>Control</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5EF503" w:rsidR="00D96984" w:rsidRPr="0007110E" w:rsidRDefault="007F6295" w:rsidP="00E82667">
                <w:pPr>
                  <w:tabs>
                    <w:tab w:val="left" w:pos="426"/>
                  </w:tabs>
                  <w:spacing w:before="120"/>
                  <w:rPr>
                    <w:bCs/>
                    <w:lang w:val="en-IE" w:eastAsia="en-GB"/>
                  </w:rPr>
                </w:pPr>
                <w:r>
                  <w:rPr>
                    <w:bCs/>
                    <w:lang w:val="en-IE" w:eastAsia="en-GB"/>
                  </w:rPr>
                  <w:t xml:space="preserve"> </w:t>
                </w:r>
                <w:r w:rsidR="00A3276D">
                  <w:t>448304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979B1D4" w:rsidR="00E21DBD" w:rsidRPr="0007110E" w:rsidRDefault="007F6295" w:rsidP="00E82667">
                <w:pPr>
                  <w:tabs>
                    <w:tab w:val="left" w:pos="426"/>
                  </w:tabs>
                  <w:spacing w:before="120"/>
                  <w:rPr>
                    <w:bCs/>
                    <w:lang w:val="en-IE" w:eastAsia="en-GB"/>
                  </w:rPr>
                </w:pPr>
                <w:r>
                  <w:rPr>
                    <w:bCs/>
                    <w:lang w:val="en-IE" w:eastAsia="en-GB"/>
                  </w:rPr>
                  <w:t>Aurora PALKO</w:t>
                </w:r>
              </w:p>
            </w:sdtContent>
          </w:sdt>
          <w:p w14:paraId="46E94313" w14:textId="04F9EEBE" w:rsidR="007F6295" w:rsidRDefault="004D1230" w:rsidP="00E82667">
            <w:pPr>
              <w:tabs>
                <w:tab w:val="left" w:pos="426"/>
              </w:tabs>
              <w:contextualSpacing/>
              <w:jc w:val="left"/>
            </w:pPr>
            <w:r>
              <w:t>1</w:t>
            </w:r>
            <w:r w:rsidRPr="004D1230">
              <w:rPr>
                <w:vertAlign w:val="superscript"/>
              </w:rPr>
              <w:t>st</w:t>
            </w:r>
            <w:r w:rsidR="007F6295">
              <w:t xml:space="preserve"> quarter </w:t>
            </w:r>
            <w:r w:rsidR="00450DB4">
              <w:t>202</w:t>
            </w:r>
            <w:r>
              <w:t>5</w:t>
            </w:r>
            <w:r w:rsidR="00450DB4" w:rsidRPr="007F6295">
              <w:rPr>
                <w:vertAlign w:val="superscript"/>
              </w:rPr>
              <w:t xml:space="preserve"> </w:t>
            </w:r>
            <w:r w:rsidR="007F6295" w:rsidRPr="007F6295">
              <w:rPr>
                <w:vertAlign w:val="superscript"/>
              </w:rPr>
              <w:t>(</w:t>
            </w:r>
            <w:r w:rsidR="007F6295">
              <w:rPr>
                <w:rStyle w:val="FootnoteReference"/>
              </w:rPr>
              <w:footnoteReference w:id="1"/>
            </w:r>
            <w:r w:rsidR="007F6295">
              <w:rPr>
                <w:vertAlign w:val="superscript"/>
              </w:rPr>
              <w:t>)</w:t>
            </w:r>
          </w:p>
          <w:p w14:paraId="158DD156" w14:textId="3C37CA9C" w:rsidR="00E21DBD" w:rsidRPr="0007110E" w:rsidRDefault="004D123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3035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F62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7F6295">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D9FB13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22pt" o:ole="">
                  <v:imagedata r:id="rId15" o:title=""/>
                </v:shape>
                <w:control r:id="rId16" w:name="OptionButton6" w:shapeid="_x0000_i1031"/>
              </w:object>
            </w:r>
            <w:r>
              <w:rPr>
                <w:bCs/>
                <w:szCs w:val="24"/>
                <w:lang w:eastAsia="en-GB"/>
              </w:rPr>
              <w:object w:dxaOrig="225" w:dyaOrig="225" w14:anchorId="1B1CECAE">
                <v:shape id="_x0000_i1033" type="#_x0000_t75" style="width:108pt;height:22pt" o:ole="">
                  <v:imagedata r:id="rId17" o:title=""/>
                </v:shape>
                <w:control r:id="rId18" w:name="OptionButton7" w:shapeid="_x0000_i1033"/>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AA82DE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35" type="#_x0000_t75" style="width:108pt;height:22pt" o:ole="">
                  <v:imagedata r:id="rId19" o:title=""/>
                </v:shape>
                <w:control r:id="rId20" w:name="OptionButton4" w:shapeid="_x0000_i1035"/>
              </w:object>
            </w:r>
          </w:p>
          <w:p w14:paraId="6CECCDB8" w14:textId="702065D9" w:rsidR="00E21DBD" w:rsidRPr="00B50DD1" w:rsidRDefault="006D5955" w:rsidP="004F33B4">
            <w:pPr>
              <w:tabs>
                <w:tab w:val="left" w:pos="426"/>
              </w:tabs>
              <w:contextualSpacing/>
              <w:rPr>
                <w:bCs/>
                <w:szCs w:val="24"/>
                <w:lang w:eastAsia="en-GB"/>
              </w:rPr>
            </w:pPr>
            <w:r>
              <w:rPr>
                <w:bCs/>
                <w:szCs w:val="24"/>
                <w:lang w:eastAsia="en-GB"/>
              </w:rPr>
              <w:t xml:space="preserve"> </w:t>
            </w:r>
          </w:p>
        </w:tc>
      </w:tr>
      <w:tr w:rsidR="00DF1E49" w:rsidRPr="00AF417C" w14:paraId="4E10CC7A" w14:textId="77777777" w:rsidTr="0007110E">
        <w:tc>
          <w:tcPr>
            <w:tcW w:w="3111" w:type="dxa"/>
          </w:tcPr>
          <w:p w14:paraId="4B77822C" w14:textId="5EFC4255" w:rsidR="00DF1E49" w:rsidRPr="002D021A" w:rsidRDefault="00DF1E49" w:rsidP="002C49D0">
            <w:pPr>
              <w:tabs>
                <w:tab w:val="left" w:pos="426"/>
              </w:tabs>
              <w:spacing w:before="180"/>
              <w:rPr>
                <w:bCs/>
                <w:lang w:val="en-IE" w:eastAsia="en-GB"/>
              </w:rPr>
            </w:pPr>
            <w:r w:rsidRPr="002D021A">
              <w:rPr>
                <w:bCs/>
                <w:lang w:val="en-IE" w:eastAsia="en-GB"/>
              </w:rPr>
              <w:t>Deadline for applications</w:t>
            </w:r>
          </w:p>
        </w:tc>
        <w:tc>
          <w:tcPr>
            <w:tcW w:w="5491" w:type="dxa"/>
          </w:tcPr>
          <w:p w14:paraId="42C9AD79" w14:textId="3C08A184" w:rsidR="00450DB4" w:rsidRPr="002D021A" w:rsidRDefault="006D5955" w:rsidP="00E82667">
            <w:pPr>
              <w:tabs>
                <w:tab w:val="left" w:pos="426"/>
              </w:tabs>
              <w:spacing w:before="120" w:after="120"/>
              <w:rPr>
                <w:bCs/>
                <w:lang w:val="en-IE" w:eastAsia="en-GB"/>
              </w:rPr>
            </w:pPr>
            <w:r>
              <w:rPr>
                <w:bCs/>
                <w:lang w:val="fr-BE" w:eastAsia="en-GB"/>
              </w:rPr>
              <w:t>25</w:t>
            </w:r>
            <w:r w:rsidR="00E039B5" w:rsidRPr="002D021A">
              <w:rPr>
                <w:bCs/>
                <w:lang w:val="fr-BE" w:eastAsia="en-GB"/>
              </w:rPr>
              <w:t>-</w:t>
            </w:r>
            <w:r w:rsidR="00A42666">
              <w:rPr>
                <w:bCs/>
                <w:lang w:val="fr-BE" w:eastAsia="en-GB"/>
              </w:rPr>
              <w:t>01</w:t>
            </w:r>
            <w:r w:rsidR="00E039B5" w:rsidRPr="002D021A">
              <w:rPr>
                <w:bCs/>
                <w:lang w:val="fr-BE" w:eastAsia="en-GB"/>
              </w:rPr>
              <w:t>-202</w:t>
            </w:r>
            <w:r w:rsidR="00A42666">
              <w:rPr>
                <w:bCs/>
                <w:lang w:val="fr-BE" w:eastAsia="en-GB"/>
              </w:rPr>
              <w:t>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12D7BBB"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w:t>
      </w:r>
      <w:proofErr w:type="gramStart"/>
      <w:r w:rsidR="00E21DBD" w:rsidRPr="00994062">
        <w:rPr>
          <w:b/>
          <w:bCs/>
          <w:lang w:eastAsia="en-GB"/>
        </w:rPr>
        <w:t xml:space="preserve">Presentation </w:t>
      </w:r>
      <w:r w:rsidR="00B50DD1">
        <w:rPr>
          <w:b/>
          <w:bCs/>
          <w:lang w:eastAsia="en-GB"/>
        </w:rPr>
        <w:t xml:space="preserve"> (</w:t>
      </w:r>
      <w:proofErr w:type="gramEnd"/>
      <w:r w:rsidR="00B50DD1">
        <w:rPr>
          <w:b/>
          <w:bCs/>
          <w:lang w:eastAsia="en-GB"/>
        </w:rPr>
        <w:t>We are)</w:t>
      </w:r>
    </w:p>
    <w:sdt>
      <w:sdtPr>
        <w:rPr>
          <w:lang w:val="en-US" w:eastAsia="en-GB"/>
        </w:rPr>
        <w:id w:val="1822233941"/>
        <w:placeholder>
          <w:docPart w:val="A1D7C4E93E5D41968C9784C962AACA55"/>
        </w:placeholder>
      </w:sdtPr>
      <w:sdtEndPr/>
      <w:sdtContent>
        <w:p w14:paraId="59DD0438" w14:textId="4C640178" w:rsidR="00E21DBD" w:rsidRPr="00B50DD1" w:rsidRDefault="00B50DD1" w:rsidP="00C504C7">
          <w:r w:rsidRPr="00255272">
            <w:t xml:space="preserve">The mission of the Audit and Internal Control unit (R3) is to provide key elements for DG NEAR’s assurance. This includes direct controls and the development and monitoring of the internal control framework in DG </w:t>
          </w:r>
          <w:proofErr w:type="gramStart"/>
          <w:r w:rsidRPr="00255272">
            <w:t>NEAR</w:t>
          </w:r>
          <w:proofErr w:type="gramEnd"/>
          <w:r w:rsidRPr="00255272">
            <w:t xml:space="preserve">. Through the support it provides (on audit, accounting, anti-fraud, risk management and internal control), R3 contributes to the efficient management of DG NEAR resources and facilitates the assessment of DG NEAR expenditure by the control bodies. The unit </w:t>
          </w:r>
          <w:proofErr w:type="gramStart"/>
          <w:r w:rsidRPr="00255272">
            <w:t>is in charge of</w:t>
          </w:r>
          <w:proofErr w:type="gramEnd"/>
          <w:r w:rsidRPr="00255272">
            <w:t xml:space="preserve"> relations with the European Court of Auditors</w:t>
          </w:r>
          <w:r w:rsidR="00A20F97">
            <w:t xml:space="preserve"> (ECA)</w:t>
          </w:r>
          <w:r w:rsidRPr="00255272">
            <w:t>, the Internal Audit Service and OLAF, as well as managing the DG’s discharge procedure.</w:t>
          </w:r>
          <w:r>
            <w:t xml:space="preserve"> The unit has 22 staff members split into four teams.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6C8AF085" w14:textId="1D09E836" w:rsidR="00B50DD1" w:rsidRDefault="00B50DD1" w:rsidP="00B50DD1">
          <w:r>
            <w:t>We propose an interesting position as Control Expert</w:t>
          </w:r>
          <w:r w:rsidRPr="00EA262C">
            <w:t xml:space="preserve"> </w:t>
          </w:r>
          <w:r>
            <w:t xml:space="preserve">in a friendly unit, with challenging responsibilities and motivating </w:t>
          </w:r>
          <w:r w:rsidRPr="00F36DC5">
            <w:t xml:space="preserve">working environment, including regular contacts with EU delegations </w:t>
          </w:r>
          <w:r>
            <w:t>and DG NEAR geographical units. T</w:t>
          </w:r>
          <w:r w:rsidRPr="00F36DC5">
            <w:t>he successful</w:t>
          </w:r>
          <w:r>
            <w:t xml:space="preserve"> candidate</w:t>
          </w:r>
          <w:r w:rsidRPr="00F36DC5">
            <w:t xml:space="preserve"> </w:t>
          </w:r>
          <w:r>
            <w:t xml:space="preserve">will be part of the team responsible for the preparation and follow-up of audits carried out by the European Court of Auditors on DG NEAR’s policies and expenditure, as well as ex post audits carried out by contractors for the estimation of DG NEAR’s residual error rate (RER Study).  </w:t>
          </w:r>
        </w:p>
        <w:p w14:paraId="378D2AB5" w14:textId="728B93B6" w:rsidR="00B50DD1" w:rsidRDefault="00B50DD1" w:rsidP="00B50DD1">
          <w:r w:rsidRPr="0067170B">
            <w:t xml:space="preserve">In this job, contacts with colleagues from across </w:t>
          </w:r>
          <w:r>
            <w:t xml:space="preserve">DG </w:t>
          </w:r>
          <w:r w:rsidRPr="0067170B">
            <w:t>NEAR and its delegations, as well as with other D</w:t>
          </w:r>
          <w:r>
            <w:t xml:space="preserve">irectorates-General, will be essential for the completion of the tasks assigned to the SNE: </w:t>
          </w:r>
        </w:p>
        <w:p w14:paraId="42E962D3" w14:textId="04746961" w:rsidR="00B50DD1" w:rsidRDefault="00B50DD1" w:rsidP="00B50DD1">
          <w:pPr>
            <w:numPr>
              <w:ilvl w:val="0"/>
              <w:numId w:val="36"/>
            </w:numPr>
            <w:spacing w:before="100" w:beforeAutospacing="1" w:after="100" w:afterAutospacing="1"/>
            <w:jc w:val="left"/>
          </w:pPr>
          <w:bookmarkStart w:id="3" w:name="_Hlk132639649"/>
          <w:r w:rsidRPr="00EC3DAD">
            <w:t>Contribut</w:t>
          </w:r>
          <w:r w:rsidR="00A20F97">
            <w:t xml:space="preserve">ion </w:t>
          </w:r>
          <w:r w:rsidRPr="00EC3DAD">
            <w:t>to the analysis of audit reports issued by the ECA</w:t>
          </w:r>
          <w:r>
            <w:t xml:space="preserve"> and the RER contractor</w:t>
          </w:r>
          <w:r w:rsidR="00A20F97">
            <w:t>, to assess the options to challenge the findings and support the dialogue with the auditors</w:t>
          </w:r>
          <w:r>
            <w:t xml:space="preserve">.  </w:t>
          </w:r>
        </w:p>
        <w:p w14:paraId="723CF0BA" w14:textId="6366CCE7" w:rsidR="00B50DD1" w:rsidRPr="00EC3DAD" w:rsidRDefault="00B50DD1" w:rsidP="00AF7443">
          <w:pPr>
            <w:numPr>
              <w:ilvl w:val="0"/>
              <w:numId w:val="36"/>
            </w:numPr>
            <w:spacing w:before="100" w:beforeAutospacing="1" w:after="100" w:afterAutospacing="1"/>
            <w:jc w:val="left"/>
          </w:pPr>
          <w:r w:rsidRPr="00EC3DAD">
            <w:t>Contribut</w:t>
          </w:r>
          <w:r w:rsidR="004C65B5">
            <w:t>ion</w:t>
          </w:r>
          <w:r w:rsidRPr="00EC3DAD">
            <w:t xml:space="preserve"> to the in-depth analysis of the </w:t>
          </w:r>
          <w:r w:rsidR="00A20F97">
            <w:t xml:space="preserve">errors reported by the auditors, thus contributing to the formulation of </w:t>
          </w:r>
          <w:r w:rsidR="00AF7443">
            <w:t xml:space="preserve">measures </w:t>
          </w:r>
          <w:r w:rsidRPr="00EC3DAD">
            <w:t>to be adopted by DG NEAR to improve the internal capacity to detect recurrent errors (including revision of guidance, instructions, presentations).</w:t>
          </w:r>
        </w:p>
        <w:bookmarkEnd w:id="3"/>
        <w:p w14:paraId="493A5FB1" w14:textId="4D3B4A81" w:rsidR="00AF7443" w:rsidRPr="00AF7443" w:rsidRDefault="00AF7443" w:rsidP="00AF7443">
          <w:pPr>
            <w:numPr>
              <w:ilvl w:val="0"/>
              <w:numId w:val="36"/>
            </w:numPr>
            <w:spacing w:before="100" w:beforeAutospacing="1" w:after="100" w:afterAutospacing="1"/>
            <w:jc w:val="left"/>
          </w:pPr>
          <w:r w:rsidRPr="00AF7443">
            <w:t>Provi</w:t>
          </w:r>
          <w:r w:rsidR="004C65B5">
            <w:t xml:space="preserve">sion of </w:t>
          </w:r>
          <w:r w:rsidRPr="00AF7443">
            <w:t>support and guidance regarding compliance requirements and best practices in control and audit processes.</w:t>
          </w:r>
        </w:p>
        <w:p w14:paraId="1980EB95" w14:textId="77777777" w:rsidR="00B50DD1" w:rsidRPr="00B50DD1" w:rsidRDefault="00B50DD1" w:rsidP="00B50DD1">
          <w:pPr>
            <w:spacing w:after="0"/>
          </w:pPr>
        </w:p>
        <w:p w14:paraId="46EE3E07" w14:textId="29D68CE2" w:rsidR="00E21DBD" w:rsidRPr="00B50DD1" w:rsidRDefault="00B50DD1" w:rsidP="00C504C7">
          <w:r w:rsidRPr="00B50DD1">
            <w:rPr>
              <w:lang w:val="en-IE"/>
            </w:rPr>
            <w:t>The post provides excellent opportunities for the development of wider knowledge on a variety of topics and will allow good understanding of how the D</w:t>
          </w:r>
          <w:r>
            <w:rPr>
              <w:lang w:val="en-IE"/>
            </w:rPr>
            <w:t xml:space="preserve">irectorate-General </w:t>
          </w:r>
          <w:r w:rsidRPr="00B50DD1">
            <w:rPr>
              <w:lang w:val="en-IE"/>
            </w:rPr>
            <w:t xml:space="preserve">functions. </w:t>
          </w:r>
          <w:r w:rsidRPr="00E74598">
            <w:t xml:space="preserve">The DG values and promotes cross-sectoral work. The jobholder may therefore be called to contribute to various tasks and projects in line with the needs of the unit, the </w:t>
          </w:r>
          <w:proofErr w:type="gramStart"/>
          <w:r w:rsidRPr="00E74598">
            <w:t>directorate</w:t>
          </w:r>
          <w:proofErr w:type="gramEnd"/>
          <w:r w:rsidRPr="00E74598">
            <w:t xml:space="preserve"> or the DG, as guided by the DG’s political priorities.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7A983DB6" w:rsidR="00E21DBD" w:rsidRPr="00012665" w:rsidRDefault="00E21DBD" w:rsidP="00994062">
      <w:pPr>
        <w:pStyle w:val="ListNumber"/>
        <w:numPr>
          <w:ilvl w:val="0"/>
          <w:numId w:val="0"/>
        </w:numPr>
        <w:ind w:left="709" w:hanging="709"/>
        <w:rPr>
          <w:lang w:eastAsia="en-GB"/>
        </w:rPr>
      </w:pPr>
      <w:r w:rsidRPr="00994062">
        <w:rPr>
          <w:b/>
          <w:bCs/>
          <w:lang w:eastAsia="en-GB"/>
        </w:rPr>
        <w:t xml:space="preserve">Jobholder Profile </w:t>
      </w:r>
      <w:r w:rsidR="00B50DD1">
        <w:rPr>
          <w:b/>
          <w:bCs/>
          <w:lang w:eastAsia="en-GB"/>
        </w:rPr>
        <w:t xml:space="preserve"> </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7EBF5A00" w14:textId="77777777" w:rsidR="00B50DD1" w:rsidRPr="00B50DD1" w:rsidRDefault="00B50DD1" w:rsidP="00B50DD1">
          <w:pPr>
            <w:rPr>
              <w:szCs w:val="24"/>
            </w:rPr>
          </w:pPr>
          <w:r>
            <w:t>Candidates should have:</w:t>
          </w:r>
        </w:p>
        <w:p w14:paraId="49F7ED7B" w14:textId="77777777" w:rsidR="00A20F97" w:rsidRDefault="00A20F97"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Relevant experience </w:t>
          </w:r>
          <w:r>
            <w:rPr>
              <w:rFonts w:ascii="Times New Roman" w:hAnsi="Times New Roman" w:cs="Times New Roman"/>
              <w:sz w:val="24"/>
              <w:szCs w:val="24"/>
              <w:lang w:val="en-IE"/>
            </w:rPr>
            <w:t>in audit and control</w:t>
          </w:r>
        </w:p>
        <w:p w14:paraId="4DBF3827" w14:textId="2EFFD779" w:rsidR="00B50DD1" w:rsidRPr="00B50DD1" w:rsidRDefault="00A20F97" w:rsidP="00A20F97">
          <w:pPr>
            <w:pStyle w:val="ListParagraph"/>
            <w:numPr>
              <w:ilvl w:val="0"/>
              <w:numId w:val="34"/>
            </w:numPr>
            <w:ind w:left="284" w:hanging="284"/>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Good </w:t>
          </w:r>
          <w:r w:rsidR="00B50DD1" w:rsidRPr="00B50DD1">
            <w:rPr>
              <w:rFonts w:ascii="Times New Roman" w:hAnsi="Times New Roman" w:cs="Times New Roman"/>
              <w:sz w:val="24"/>
              <w:szCs w:val="24"/>
              <w:lang w:val="en-IE"/>
            </w:rPr>
            <w:t xml:space="preserve">understanding of internal control </w:t>
          </w:r>
        </w:p>
        <w:p w14:paraId="3BDA0F54"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A high level of enthusiasm and motivation, interest in continuous learning, ability to work in a team</w:t>
          </w:r>
        </w:p>
        <w:p w14:paraId="378AD738"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Ability to analyse complex information and situations and present results</w:t>
          </w:r>
        </w:p>
        <w:p w14:paraId="1B113C0A" w14:textId="1A2149F0"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Strong analytical skills and the ability to communicate </w:t>
          </w:r>
          <w:r w:rsidR="00A20F97">
            <w:rPr>
              <w:rFonts w:ascii="Times New Roman" w:hAnsi="Times New Roman" w:cs="Times New Roman"/>
              <w:sz w:val="24"/>
              <w:szCs w:val="24"/>
              <w:lang w:val="en-IE"/>
            </w:rPr>
            <w:t xml:space="preserve">effectively </w:t>
          </w:r>
          <w:r w:rsidRPr="00B50DD1">
            <w:rPr>
              <w:rFonts w:ascii="Times New Roman" w:hAnsi="Times New Roman" w:cs="Times New Roman"/>
              <w:sz w:val="24"/>
              <w:szCs w:val="24"/>
              <w:lang w:val="en-IE"/>
            </w:rPr>
            <w:t xml:space="preserve">the </w:t>
          </w:r>
          <w:proofErr w:type="gramStart"/>
          <w:r w:rsidRPr="00B50DD1">
            <w:rPr>
              <w:rFonts w:ascii="Times New Roman" w:hAnsi="Times New Roman" w:cs="Times New Roman"/>
              <w:sz w:val="24"/>
              <w:szCs w:val="24"/>
              <w:lang w:val="en-IE"/>
            </w:rPr>
            <w:t>results</w:t>
          </w:r>
          <w:proofErr w:type="gramEnd"/>
          <w:r w:rsidRPr="00B50DD1">
            <w:rPr>
              <w:rFonts w:ascii="Times New Roman" w:hAnsi="Times New Roman" w:cs="Times New Roman"/>
              <w:sz w:val="24"/>
              <w:szCs w:val="24"/>
              <w:lang w:val="en-IE"/>
            </w:rPr>
            <w:t xml:space="preserve"> </w:t>
          </w:r>
        </w:p>
        <w:p w14:paraId="7F390387"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Flexibility and ability to work under pressure of strict deadlines</w:t>
          </w:r>
        </w:p>
        <w:p w14:paraId="49493F37"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Excellent communication and drafting skills in English</w:t>
          </w:r>
        </w:p>
        <w:p w14:paraId="1A0AED7C"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rPr>
          </w:pPr>
          <w:r w:rsidRPr="00B50DD1">
            <w:rPr>
              <w:rFonts w:ascii="Times New Roman" w:hAnsi="Times New Roman" w:cs="Times New Roman"/>
              <w:sz w:val="24"/>
              <w:szCs w:val="24"/>
            </w:rPr>
            <w:t xml:space="preserve">Advanced </w:t>
          </w:r>
          <w:proofErr w:type="spellStart"/>
          <w:r w:rsidRPr="00B50DD1">
            <w:rPr>
              <w:rFonts w:ascii="Times New Roman" w:hAnsi="Times New Roman" w:cs="Times New Roman"/>
              <w:sz w:val="24"/>
              <w:szCs w:val="24"/>
            </w:rPr>
            <w:t>skills</w:t>
          </w:r>
          <w:proofErr w:type="spellEnd"/>
          <w:r w:rsidRPr="00B50DD1">
            <w:rPr>
              <w:rFonts w:ascii="Times New Roman" w:hAnsi="Times New Roman" w:cs="Times New Roman"/>
              <w:sz w:val="24"/>
              <w:szCs w:val="24"/>
            </w:rPr>
            <w:t xml:space="preserve"> in Excel</w:t>
          </w:r>
        </w:p>
        <w:p w14:paraId="304572FB" w14:textId="77777777" w:rsidR="00B50DD1" w:rsidRPr="00B50DD1" w:rsidRDefault="00B50DD1" w:rsidP="00B50DD1">
          <w:pPr>
            <w:rPr>
              <w:szCs w:val="24"/>
            </w:rPr>
          </w:pPr>
          <w:r w:rsidRPr="00B50DD1">
            <w:rPr>
              <w:szCs w:val="24"/>
            </w:rPr>
            <w:t>The following would be considered as assets:</w:t>
          </w:r>
        </w:p>
        <w:p w14:paraId="7358E537"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Knowledge of the European Commission’s financial management environment</w:t>
          </w:r>
        </w:p>
        <w:p w14:paraId="345E6D9C"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lastRenderedPageBreak/>
            <w:t>A good knowledge of the Neighbourhood and Pre-accession instruments</w:t>
          </w:r>
        </w:p>
        <w:p w14:paraId="259FD29D"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Experience with Simplified Cost Options (SCOs) and results-based financing</w:t>
          </w:r>
        </w:p>
        <w:p w14:paraId="51994EDB" w14:textId="13CA0853" w:rsidR="002E40A9" w:rsidRPr="00A20F97" w:rsidRDefault="00B50DD1" w:rsidP="002E40A9">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Knowledge of European Court of Auditors procedures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1"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2" w:history="1">
        <w:hyperlink r:id="rId23"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4"/>
      <w:footerReference w:type="default" r:id="rId2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2AF6F179" w14:textId="4E2F0EE7" w:rsidR="007F6295" w:rsidRPr="007F6295" w:rsidRDefault="007F6295">
      <w:pPr>
        <w:pStyle w:val="FootnoteText"/>
        <w:rPr>
          <w:lang w:val="en-IE"/>
        </w:rPr>
      </w:pPr>
      <w:r>
        <w:t>(</w:t>
      </w:r>
      <w:r>
        <w:rPr>
          <w:rStyle w:val="FootnoteReference"/>
        </w:rPr>
        <w:footnoteRef/>
      </w:r>
      <w:r>
        <w:t>)</w:t>
      </w:r>
      <w:r>
        <w:tab/>
        <w:t>These mentions are given on an indicative basis only (Art.4 of the SNE Decision).</w:t>
      </w:r>
    </w:p>
  </w:footnote>
  <w:footnote w:id="2">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76549C"/>
    <w:lvl w:ilvl="0">
      <w:start w:val="1"/>
      <w:numFmt w:val="decimal"/>
      <w:lvlText w:val="%1."/>
      <w:lvlJc w:val="left"/>
      <w:pPr>
        <w:tabs>
          <w:tab w:val="num" w:pos="360"/>
        </w:tabs>
        <w:ind w:left="360" w:hanging="360"/>
      </w:pPr>
    </w:lvl>
  </w:abstractNum>
  <w:abstractNum w:abstractNumId="1" w15:restartNumberingAfterBreak="0">
    <w:nsid w:val="01F71B17"/>
    <w:multiLevelType w:val="hybridMultilevel"/>
    <w:tmpl w:val="6B7291C0"/>
    <w:lvl w:ilvl="0" w:tplc="E90294A0">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9A30C9"/>
    <w:multiLevelType w:val="hybridMultilevel"/>
    <w:tmpl w:val="2B7A54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8134090"/>
    <w:multiLevelType w:val="hybridMultilevel"/>
    <w:tmpl w:val="36527280"/>
    <w:lvl w:ilvl="0" w:tplc="EEE8C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EBE1D83"/>
    <w:multiLevelType w:val="multilevel"/>
    <w:tmpl w:val="908A8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0205857"/>
    <w:multiLevelType w:val="hybridMultilevel"/>
    <w:tmpl w:val="7FEE44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3"/>
  </w:num>
  <w:num w:numId="2" w16cid:durableId="545487891">
    <w:abstractNumId w:val="18"/>
  </w:num>
  <w:num w:numId="3" w16cid:durableId="1086658250">
    <w:abstractNumId w:val="12"/>
  </w:num>
  <w:num w:numId="4" w16cid:durableId="1304967038">
    <w:abstractNumId w:val="19"/>
  </w:num>
  <w:num w:numId="5" w16cid:durableId="1625841798">
    <w:abstractNumId w:val="25"/>
  </w:num>
  <w:num w:numId="6" w16cid:durableId="1581711852">
    <w:abstractNumId w:val="27"/>
  </w:num>
  <w:num w:numId="7" w16cid:durableId="2010597269">
    <w:abstractNumId w:val="4"/>
  </w:num>
  <w:num w:numId="8" w16cid:durableId="154227337">
    <w:abstractNumId w:val="10"/>
  </w:num>
  <w:num w:numId="9" w16cid:durableId="835806501">
    <w:abstractNumId w:val="22"/>
  </w:num>
  <w:num w:numId="10" w16cid:durableId="229927604">
    <w:abstractNumId w:val="5"/>
  </w:num>
  <w:num w:numId="11" w16cid:durableId="882864602">
    <w:abstractNumId w:val="7"/>
  </w:num>
  <w:num w:numId="12" w16cid:durableId="1110204864">
    <w:abstractNumId w:val="8"/>
  </w:num>
  <w:num w:numId="13" w16cid:durableId="932594616">
    <w:abstractNumId w:val="14"/>
  </w:num>
  <w:num w:numId="14" w16cid:durableId="1671517048">
    <w:abstractNumId w:val="20"/>
  </w:num>
  <w:num w:numId="15" w16cid:durableId="348874439">
    <w:abstractNumId w:val="24"/>
  </w:num>
  <w:num w:numId="16" w16cid:durableId="788280695">
    <w:abstractNumId w:val="28"/>
  </w:num>
  <w:num w:numId="17" w16cid:durableId="1058630122">
    <w:abstractNumId w:val="15"/>
  </w:num>
  <w:num w:numId="18" w16cid:durableId="2120908136">
    <w:abstractNumId w:val="16"/>
  </w:num>
  <w:num w:numId="19" w16cid:durableId="686714860">
    <w:abstractNumId w:val="29"/>
  </w:num>
  <w:num w:numId="20" w16cid:durableId="422990355">
    <w:abstractNumId w:val="23"/>
  </w:num>
  <w:num w:numId="21" w16cid:durableId="1837307304">
    <w:abstractNumId w:val="26"/>
  </w:num>
  <w:num w:numId="22" w16cid:durableId="302121546">
    <w:abstractNumId w:val="6"/>
  </w:num>
  <w:num w:numId="23" w16cid:durableId="728039549">
    <w:abstractNumId w:val="9"/>
  </w:num>
  <w:num w:numId="24" w16cid:durableId="1971325234">
    <w:abstractNumId w:val="17"/>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1185945909">
    <w:abstractNumId w:val="11"/>
  </w:num>
  <w:num w:numId="35" w16cid:durableId="1119835065">
    <w:abstractNumId w:val="21"/>
  </w:num>
  <w:num w:numId="36" w16cid:durableId="195578922">
    <w:abstractNumId w:val="2"/>
  </w:num>
  <w:num w:numId="37" w16cid:durableId="1620720423">
    <w:abstractNumId w:val="13"/>
  </w:num>
  <w:num w:numId="38" w16cid:durableId="1182084902">
    <w:abstractNumId w:val="1"/>
  </w:num>
  <w:num w:numId="39" w16cid:durableId="11051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3"/>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E154B"/>
    <w:rsid w:val="002109E6"/>
    <w:rsid w:val="00252050"/>
    <w:rsid w:val="00273793"/>
    <w:rsid w:val="002B3CBF"/>
    <w:rsid w:val="002C13C3"/>
    <w:rsid w:val="002C49D0"/>
    <w:rsid w:val="002D021A"/>
    <w:rsid w:val="002E40A9"/>
    <w:rsid w:val="0038354C"/>
    <w:rsid w:val="00394447"/>
    <w:rsid w:val="003E50A4"/>
    <w:rsid w:val="0040388A"/>
    <w:rsid w:val="00431778"/>
    <w:rsid w:val="00450DB4"/>
    <w:rsid w:val="00454CC7"/>
    <w:rsid w:val="00464195"/>
    <w:rsid w:val="00476034"/>
    <w:rsid w:val="004C65B5"/>
    <w:rsid w:val="004D1230"/>
    <w:rsid w:val="004F33B4"/>
    <w:rsid w:val="005168AD"/>
    <w:rsid w:val="00530356"/>
    <w:rsid w:val="0058240F"/>
    <w:rsid w:val="00592CD5"/>
    <w:rsid w:val="005D1B85"/>
    <w:rsid w:val="00665583"/>
    <w:rsid w:val="00693BC6"/>
    <w:rsid w:val="00696070"/>
    <w:rsid w:val="006D5955"/>
    <w:rsid w:val="00703E65"/>
    <w:rsid w:val="007E531E"/>
    <w:rsid w:val="007F02AC"/>
    <w:rsid w:val="007F6295"/>
    <w:rsid w:val="007F7012"/>
    <w:rsid w:val="008D02B7"/>
    <w:rsid w:val="008F0B52"/>
    <w:rsid w:val="008F4BA9"/>
    <w:rsid w:val="00925E07"/>
    <w:rsid w:val="00994062"/>
    <w:rsid w:val="00996CC6"/>
    <w:rsid w:val="009A1EA0"/>
    <w:rsid w:val="009A2F00"/>
    <w:rsid w:val="009C5E27"/>
    <w:rsid w:val="00A033AD"/>
    <w:rsid w:val="00A20F97"/>
    <w:rsid w:val="00A3276D"/>
    <w:rsid w:val="00A42666"/>
    <w:rsid w:val="00AB2CEA"/>
    <w:rsid w:val="00AF6424"/>
    <w:rsid w:val="00AF7443"/>
    <w:rsid w:val="00B24CC5"/>
    <w:rsid w:val="00B3644B"/>
    <w:rsid w:val="00B50DD1"/>
    <w:rsid w:val="00B65513"/>
    <w:rsid w:val="00B73F08"/>
    <w:rsid w:val="00B8014C"/>
    <w:rsid w:val="00C06724"/>
    <w:rsid w:val="00C3254D"/>
    <w:rsid w:val="00C504C7"/>
    <w:rsid w:val="00C75BA4"/>
    <w:rsid w:val="00CB5B61"/>
    <w:rsid w:val="00CD2C5A"/>
    <w:rsid w:val="00D0015C"/>
    <w:rsid w:val="00D03CF4"/>
    <w:rsid w:val="00D7090C"/>
    <w:rsid w:val="00D84D53"/>
    <w:rsid w:val="00D87D9E"/>
    <w:rsid w:val="00D96984"/>
    <w:rsid w:val="00DB3912"/>
    <w:rsid w:val="00DD41ED"/>
    <w:rsid w:val="00DF1E49"/>
    <w:rsid w:val="00E039B5"/>
    <w:rsid w:val="00E21DBD"/>
    <w:rsid w:val="00E342CB"/>
    <w:rsid w:val="00E41704"/>
    <w:rsid w:val="00E44D7F"/>
    <w:rsid w:val="00E82667"/>
    <w:rsid w:val="00E84FE8"/>
    <w:rsid w:val="00EB3147"/>
    <w:rsid w:val="00F4683D"/>
    <w:rsid w:val="00F6462F"/>
    <w:rsid w:val="00F91B73"/>
    <w:rsid w:val="00F93413"/>
    <w:rsid w:val="00FA49B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lex.europa.eu/legal-content/EN/TXT/?uri=CELEX:32015D0444"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europa.eu/europass/en/create-europass-cv"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europass.cedefop.europa.eu/en/documents/curriculum-vitae"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C2A4EBBA-CE3B-47C5-93B3-651AFBF588BC}"/>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1125</Words>
  <Characters>6418</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IGLIKCI Hulya (NEAR)</cp:lastModifiedBy>
  <cp:revision>3</cp:revision>
  <cp:lastPrinted>2023-04-05T10:36:00Z</cp:lastPrinted>
  <dcterms:created xsi:type="dcterms:W3CDTF">2024-11-21T13:00:00Z</dcterms:created>
  <dcterms:modified xsi:type="dcterms:W3CDTF">2024-11-21T13:00:00Z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