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46F6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51F06C1" w:rsidR="00B65513" w:rsidRPr="0007110E" w:rsidRDefault="00400CA1" w:rsidP="00E82667">
                <w:pPr>
                  <w:tabs>
                    <w:tab w:val="left" w:pos="426"/>
                  </w:tabs>
                  <w:spacing w:before="120"/>
                  <w:rPr>
                    <w:bCs/>
                    <w:lang w:val="en-IE" w:eastAsia="en-GB"/>
                  </w:rPr>
                </w:pPr>
                <w:r>
                  <w:rPr>
                    <w:bCs/>
                    <w:lang w:val="en-IE" w:eastAsia="en-GB"/>
                  </w:rPr>
                  <w:t>DIGIT.S.1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E579288" w:rsidR="00D96984" w:rsidRPr="0007110E" w:rsidRDefault="00400CA1" w:rsidP="00E82667">
                <w:pPr>
                  <w:tabs>
                    <w:tab w:val="left" w:pos="426"/>
                  </w:tabs>
                  <w:spacing w:before="120"/>
                  <w:rPr>
                    <w:bCs/>
                    <w:lang w:val="en-IE" w:eastAsia="en-GB"/>
                  </w:rPr>
                </w:pPr>
                <w:r>
                  <w:rPr>
                    <w:bCs/>
                    <w:lang w:val="en-IE" w:eastAsia="en-GB"/>
                  </w:rPr>
                  <w:t>288740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056C708" w:rsidR="00E21DBD" w:rsidRPr="0007110E" w:rsidRDefault="00400CA1" w:rsidP="00E82667">
                <w:pPr>
                  <w:tabs>
                    <w:tab w:val="left" w:pos="426"/>
                  </w:tabs>
                  <w:spacing w:before="120"/>
                  <w:rPr>
                    <w:bCs/>
                    <w:lang w:val="en-IE" w:eastAsia="en-GB"/>
                  </w:rPr>
                </w:pPr>
                <w:r>
                  <w:rPr>
                    <w:bCs/>
                    <w:lang w:val="en-IE" w:eastAsia="en-GB"/>
                  </w:rPr>
                  <w:t>Renaat LEURIDAN</w:t>
                </w:r>
              </w:p>
            </w:sdtContent>
          </w:sdt>
          <w:p w14:paraId="34CF737A" w14:textId="4FC3EEF8" w:rsidR="00E21DBD" w:rsidRPr="0007110E" w:rsidRDefault="00B46F6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00CA1">
                  <w:rPr>
                    <w:bCs/>
                    <w:lang w:val="en-IE" w:eastAsia="en-GB"/>
                  </w:rPr>
                  <w:t>4</w:t>
                </w:r>
                <w:r w:rsidR="00400CA1" w:rsidRPr="00400CA1">
                  <w:rPr>
                    <w:bCs/>
                    <w:vertAlign w:val="superscript"/>
                    <w:lang w:val="en-IE" w:eastAsia="en-GB"/>
                  </w:rPr>
                  <w:t>th</w:t>
                </w:r>
                <w:r w:rsidR="00400CA1">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286806F0" w:rsidR="00E21DBD" w:rsidRPr="0007110E" w:rsidRDefault="00B46F6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00CA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1311DB">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A77242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6pt" o:ole="">
                  <v:imagedata r:id="rId15" o:title=""/>
                </v:shape>
                <w:control r:id="rId16" w:name="OptionButton6" w:shapeid="_x0000_i1049"/>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5C5810A"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0612EB94" w:rsidR="0040388A" w:rsidRPr="0007110E" w:rsidRDefault="00B46F6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0CA1">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61B05BD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400CA1">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400CA1">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400CA1">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400CA1">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46F6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46F6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1346D7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4724A363"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51" type="#_x0000_t75" style="width:108pt;height:21.6pt" o:ole="">
                  <v:imagedata r:id="rId23" o:title=""/>
                </v:shape>
                <w:control r:id="rId24" w:name="OptionButton2" w:shapeid="_x0000_i1051"/>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38B78D5" w14:textId="77777777" w:rsidR="00400CA1" w:rsidRDefault="00400CA1" w:rsidP="00400CA1">
          <w:pPr>
            <w:spacing w:after="0"/>
            <w:ind w:right="175"/>
            <w:rPr>
              <w:sz w:val="20"/>
              <w:lang w:eastAsia="en-GB"/>
            </w:rPr>
          </w:pPr>
          <w:r>
            <w:rPr>
              <w:sz w:val="20"/>
              <w:lang w:eastAsia="en-GB"/>
            </w:rPr>
            <w:t>DIGIT is the central IT department of the Commission, with a mission to deliver digital services to enable the implementation of EU policies and support the Commission's internal processes and administration. DIGIT is, among other things, responsible for the network infrastructure across the Commission, the central datacentres in Luxembourg, close to 50.000 end-user workstations, and a large number of information systems supporting business processes in the Commission.</w:t>
          </w:r>
        </w:p>
        <w:p w14:paraId="18A7270C" w14:textId="77777777" w:rsidR="00400CA1" w:rsidRDefault="00400CA1" w:rsidP="00400CA1">
          <w:pPr>
            <w:spacing w:after="0"/>
            <w:ind w:right="175"/>
            <w:rPr>
              <w:sz w:val="20"/>
              <w:lang w:eastAsia="en-GB"/>
            </w:rPr>
          </w:pPr>
        </w:p>
        <w:p w14:paraId="5F91BC84" w14:textId="2015B2B5" w:rsidR="00400CA1" w:rsidRDefault="00400CA1" w:rsidP="00400CA1">
          <w:pPr>
            <w:spacing w:after="0"/>
            <w:ind w:right="175"/>
            <w:rPr>
              <w:sz w:val="20"/>
              <w:lang w:eastAsia="en-GB"/>
            </w:rPr>
          </w:pPr>
          <w:r>
            <w:rPr>
              <w:sz w:val="20"/>
              <w:lang w:eastAsia="en-GB"/>
            </w:rPr>
            <w:t xml:space="preserve">Directorate S (Cybersecurity) is a directorate in DIGIT, created on January 1st 2016. Unit S1 (IT Security Policy) is based in Brussels and is responsible for defining the Commission wide IT security policy and strategy, supporting system owners with IT security risk assessments, the creation of IT security plans for critical systems, and to check the technical compliance of systems once they are  deployed (e.g. scanning </w:t>
          </w:r>
          <w:r>
            <w:rPr>
              <w:sz w:val="20"/>
              <w:lang w:eastAsia="en-GB"/>
            </w:rPr>
            <w:lastRenderedPageBreak/>
            <w:t xml:space="preserve">for vulnerabilities). Unit S2 is responsible for the monitoring of systems and the detection of and response to IT security incidents. </w:t>
          </w:r>
        </w:p>
        <w:p w14:paraId="74FA06E4" w14:textId="77777777" w:rsidR="00400CA1" w:rsidRDefault="00400CA1" w:rsidP="00400CA1">
          <w:pPr>
            <w:spacing w:after="0"/>
            <w:ind w:right="175"/>
            <w:rPr>
              <w:sz w:val="20"/>
              <w:lang w:eastAsia="en-GB"/>
            </w:rPr>
          </w:pPr>
        </w:p>
        <w:p w14:paraId="59DD0438" w14:textId="36E74B18" w:rsidR="00E21DBD" w:rsidRDefault="00400CA1" w:rsidP="00400CA1">
          <w:pPr>
            <w:rPr>
              <w:lang w:val="en-US" w:eastAsia="en-GB"/>
            </w:rPr>
          </w:pPr>
          <w:r>
            <w:rPr>
              <w:sz w:val="20"/>
              <w:lang w:eastAsia="en-GB"/>
            </w:rPr>
            <w:t>The policy team in unit S1 is responsible for developing the Commission wide IT security strategy and the IT security policy (including specific standards and guidelines). For this task the Policy team works closely with various stakeholders in the Commission, particularly with a network of local IT security officers across the Commission, with IT security experts inside the Commission's IT department (called DIGIT), working groups of IT experts, and with senior management represented in a high-level steering board for information security.</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BCA29A4" w14:textId="77777777" w:rsidR="00400CA1" w:rsidRDefault="00400CA1" w:rsidP="00400CA1">
          <w:pPr>
            <w:spacing w:after="0"/>
            <w:ind w:right="175"/>
            <w:rPr>
              <w:sz w:val="20"/>
              <w:lang w:eastAsia="en-GB"/>
            </w:rPr>
          </w:pPr>
          <w:r>
            <w:rPr>
              <w:sz w:val="20"/>
              <w:lang w:eastAsia="en-GB"/>
            </w:rPr>
            <w:t xml:space="preserve">This vacancy notice is to recruit an SNE to work as IT security policy officer in the Policy team in unit S1.  The main tasks of the IT Security policy officer is to develop the IT security strategy and the IT security policy, working closely together with the different stakeholders in DIGIT, in other Directorate Generals of the Commission, in particular DG HR, DG CNECT, and bodies like CERT-EU and ENISA. </w:t>
          </w:r>
        </w:p>
        <w:p w14:paraId="75AC6898" w14:textId="77777777" w:rsidR="00400CA1" w:rsidRDefault="00400CA1" w:rsidP="00400CA1">
          <w:pPr>
            <w:spacing w:after="0"/>
            <w:ind w:right="175"/>
            <w:rPr>
              <w:sz w:val="20"/>
              <w:lang w:eastAsia="en-GB"/>
            </w:rPr>
          </w:pPr>
        </w:p>
        <w:p w14:paraId="72357E42" w14:textId="77777777" w:rsidR="00400CA1" w:rsidRDefault="00400CA1" w:rsidP="00400CA1">
          <w:pPr>
            <w:spacing w:after="0"/>
            <w:ind w:right="175"/>
            <w:rPr>
              <w:sz w:val="20"/>
              <w:lang w:eastAsia="en-GB"/>
            </w:rPr>
          </w:pPr>
          <w:r>
            <w:rPr>
              <w:sz w:val="20"/>
              <w:lang w:eastAsia="en-GB"/>
            </w:rPr>
            <w:t xml:space="preserve">The tasks and responsibilities of the IT Security Policy Officer will include: </w:t>
          </w:r>
        </w:p>
        <w:p w14:paraId="0939B1AD" w14:textId="77777777" w:rsidR="00400CA1" w:rsidRDefault="00400CA1" w:rsidP="00400CA1">
          <w:pPr>
            <w:spacing w:after="0"/>
            <w:ind w:right="1317"/>
            <w:rPr>
              <w:sz w:val="20"/>
              <w:lang w:eastAsia="en-GB"/>
            </w:rPr>
          </w:pPr>
        </w:p>
        <w:p w14:paraId="0561EB87" w14:textId="77777777" w:rsidR="00400CA1" w:rsidRDefault="00400CA1" w:rsidP="00400CA1">
          <w:pPr>
            <w:numPr>
              <w:ilvl w:val="0"/>
              <w:numId w:val="34"/>
            </w:numPr>
            <w:spacing w:after="0"/>
            <w:ind w:right="175"/>
            <w:rPr>
              <w:sz w:val="20"/>
              <w:lang w:eastAsia="en-GB"/>
            </w:rPr>
          </w:pPr>
          <w:r>
            <w:rPr>
              <w:sz w:val="20"/>
              <w:lang w:eastAsia="en-GB"/>
            </w:rPr>
            <w:t xml:space="preserve">Managing and supporting a transition from the existing policy, rules and standards to a more modern setup, which focuses more on risks and less on compliance with rules. </w:t>
          </w:r>
        </w:p>
        <w:p w14:paraId="18955DEE" w14:textId="77777777" w:rsidR="00400CA1" w:rsidRDefault="00400CA1" w:rsidP="00400CA1">
          <w:pPr>
            <w:spacing w:after="0"/>
            <w:ind w:right="175"/>
            <w:rPr>
              <w:sz w:val="20"/>
              <w:lang w:eastAsia="en-GB"/>
            </w:rPr>
          </w:pPr>
        </w:p>
        <w:p w14:paraId="35413CAB" w14:textId="77777777" w:rsidR="00400CA1" w:rsidRDefault="00400CA1" w:rsidP="00400CA1">
          <w:pPr>
            <w:numPr>
              <w:ilvl w:val="0"/>
              <w:numId w:val="34"/>
            </w:numPr>
            <w:spacing w:after="0"/>
            <w:ind w:right="175"/>
            <w:rPr>
              <w:sz w:val="20"/>
              <w:lang w:eastAsia="en-GB"/>
            </w:rPr>
          </w:pPr>
          <w:r>
            <w:rPr>
              <w:sz w:val="20"/>
              <w:lang w:eastAsia="en-GB"/>
            </w:rPr>
            <w:t xml:space="preserve">Setting up a process to review the efficiency and effectiveness of policy, rules and standards, taking into account new threats, past incidents, changes in risk appetite, new technology, new business needs, et cetera. </w:t>
          </w:r>
        </w:p>
        <w:p w14:paraId="22C1315B" w14:textId="77777777" w:rsidR="00400CA1" w:rsidRDefault="00400CA1" w:rsidP="00400CA1">
          <w:pPr>
            <w:spacing w:after="0"/>
            <w:ind w:right="175"/>
            <w:rPr>
              <w:sz w:val="20"/>
              <w:lang w:eastAsia="en-GB"/>
            </w:rPr>
          </w:pPr>
        </w:p>
        <w:p w14:paraId="688F439A" w14:textId="77777777" w:rsidR="00400CA1" w:rsidRDefault="00400CA1" w:rsidP="00400CA1">
          <w:pPr>
            <w:numPr>
              <w:ilvl w:val="0"/>
              <w:numId w:val="34"/>
            </w:numPr>
            <w:spacing w:after="0"/>
            <w:ind w:right="175"/>
            <w:rPr>
              <w:sz w:val="20"/>
              <w:lang w:eastAsia="en-GB"/>
            </w:rPr>
          </w:pPr>
          <w:r>
            <w:rPr>
              <w:sz w:val="20"/>
              <w:lang w:eastAsia="en-GB"/>
            </w:rPr>
            <w:t>Identifying areas where new standards or guidelines are needed, and work with stakeholders across DIGIT to collect, develop, and make these standards and guidelines available to the relevant audience (end-users, system owners, experts, developers, etc).</w:t>
          </w:r>
        </w:p>
        <w:p w14:paraId="5B215917" w14:textId="77777777" w:rsidR="00400CA1" w:rsidRDefault="00400CA1" w:rsidP="00400CA1">
          <w:pPr>
            <w:spacing w:after="0"/>
            <w:ind w:right="175"/>
            <w:rPr>
              <w:sz w:val="20"/>
              <w:lang w:eastAsia="en-GB"/>
            </w:rPr>
          </w:pPr>
        </w:p>
        <w:p w14:paraId="2963A1A5" w14:textId="77777777" w:rsidR="00400CA1" w:rsidRDefault="00400CA1" w:rsidP="00400CA1">
          <w:pPr>
            <w:numPr>
              <w:ilvl w:val="0"/>
              <w:numId w:val="34"/>
            </w:numPr>
            <w:spacing w:after="0"/>
            <w:ind w:right="175"/>
            <w:rPr>
              <w:sz w:val="20"/>
              <w:lang w:eastAsia="en-GB"/>
            </w:rPr>
          </w:pPr>
          <w:r>
            <w:rPr>
              <w:sz w:val="20"/>
              <w:lang w:eastAsia="en-GB"/>
            </w:rPr>
            <w:t xml:space="preserve">Setting up an IT security governance process to provide senior management and local IT security officers with actionable information about IT security (risks, incidents, measures in place, technical compliance, etc. ). </w:t>
          </w:r>
        </w:p>
        <w:p w14:paraId="6E3D0C0F" w14:textId="77777777" w:rsidR="00400CA1" w:rsidRDefault="00400CA1" w:rsidP="00400CA1">
          <w:pPr>
            <w:spacing w:after="0"/>
            <w:ind w:right="175"/>
            <w:rPr>
              <w:sz w:val="20"/>
              <w:lang w:eastAsia="en-GB"/>
            </w:rPr>
          </w:pPr>
        </w:p>
        <w:p w14:paraId="3704827A" w14:textId="77777777" w:rsidR="00400CA1" w:rsidRDefault="00400CA1" w:rsidP="00400CA1">
          <w:pPr>
            <w:numPr>
              <w:ilvl w:val="0"/>
              <w:numId w:val="34"/>
            </w:numPr>
            <w:spacing w:after="0"/>
            <w:ind w:right="175"/>
            <w:rPr>
              <w:sz w:val="20"/>
              <w:lang w:eastAsia="en-GB"/>
            </w:rPr>
          </w:pPr>
          <w:r>
            <w:rPr>
              <w:sz w:val="20"/>
              <w:lang w:eastAsia="en-GB"/>
            </w:rPr>
            <w:t xml:space="preserve">Identifying areas for improvement and working with stakeholders across the Commission to define projects and activities, and consolidating these improvements in a Commission wide strategy. </w:t>
          </w:r>
        </w:p>
        <w:p w14:paraId="430E52DE" w14:textId="77777777" w:rsidR="00400CA1" w:rsidRDefault="00400CA1" w:rsidP="00400CA1">
          <w:pPr>
            <w:spacing w:after="0"/>
            <w:ind w:right="175"/>
            <w:rPr>
              <w:sz w:val="20"/>
              <w:lang w:eastAsia="en-GB"/>
            </w:rPr>
          </w:pPr>
        </w:p>
        <w:p w14:paraId="46EE3E07" w14:textId="50EB9E5E" w:rsidR="00E21DBD" w:rsidRDefault="00400CA1" w:rsidP="00C504C7">
          <w:pPr>
            <w:numPr>
              <w:ilvl w:val="0"/>
              <w:numId w:val="34"/>
            </w:numPr>
            <w:spacing w:after="0"/>
            <w:ind w:right="175"/>
            <w:rPr>
              <w:sz w:val="20"/>
              <w:lang w:eastAsia="en-GB"/>
            </w:rPr>
          </w:pPr>
          <w:r>
            <w:rPr>
              <w:sz w:val="20"/>
              <w:lang w:eastAsia="en-GB"/>
            </w:rPr>
            <w:t>Setting up a process to provide senior management and local IT security officers with information about the implementation of the IT security strategy.</w:t>
          </w:r>
        </w:p>
        <w:p w14:paraId="0A5A6374" w14:textId="77777777" w:rsidR="00131FEF" w:rsidRDefault="00131FEF" w:rsidP="00131FEF">
          <w:pPr>
            <w:spacing w:after="0"/>
            <w:ind w:right="175"/>
            <w:rPr>
              <w:sz w:val="20"/>
              <w:lang w:eastAsia="en-GB"/>
            </w:rPr>
          </w:pPr>
        </w:p>
        <w:p w14:paraId="7A27639F" w14:textId="42EA2477" w:rsidR="00BE7D70" w:rsidRDefault="00131FEF" w:rsidP="00131FEF">
          <w:pPr>
            <w:numPr>
              <w:ilvl w:val="0"/>
              <w:numId w:val="34"/>
            </w:numPr>
            <w:spacing w:after="0"/>
            <w:ind w:right="175"/>
            <w:rPr>
              <w:sz w:val="20"/>
              <w:lang w:eastAsia="en-GB"/>
            </w:rPr>
          </w:pPr>
          <w:r w:rsidRPr="00131FEF">
            <w:rPr>
              <w:sz w:val="20"/>
              <w:lang w:eastAsia="en-GB"/>
            </w:rPr>
            <w:t>Build and maintain IT support tooling for Risk and Compliance management based on ServiceNow technology</w:t>
          </w:r>
          <w:r>
            <w:rPr>
              <w:sz w:val="20"/>
              <w:lang w:eastAsia="en-GB"/>
            </w:rPr>
            <w:t>.</w:t>
          </w:r>
        </w:p>
        <w:p w14:paraId="312B1E33" w14:textId="77777777" w:rsidR="00131FEF" w:rsidRPr="00131FEF" w:rsidRDefault="00B46F68" w:rsidP="00131FEF">
          <w:pPr>
            <w:spacing w:after="0"/>
            <w:ind w:right="175"/>
            <w:rPr>
              <w:sz w:val="20"/>
              <w:lang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id w:val="-209197804"/>
        <w:placeholder>
          <w:docPart w:val="D53C757808094631B3D30FCCF370CC97"/>
        </w:placeholder>
      </w:sdtPr>
      <w:sdtEndPr/>
      <w:sdtContent>
        <w:p w14:paraId="0B52BE1C" w14:textId="77777777" w:rsidR="001311DB" w:rsidRPr="001311DB" w:rsidRDefault="001311DB" w:rsidP="001311DB">
          <w:pPr>
            <w:spacing w:after="0"/>
            <w:rPr>
              <w:rFonts w:eastAsia="Calibri"/>
              <w:sz w:val="20"/>
              <w:u w:val="single"/>
              <w:lang w:eastAsia="en-US"/>
            </w:rPr>
          </w:pPr>
          <w:r w:rsidRPr="001311DB">
            <w:rPr>
              <w:rFonts w:eastAsia="Calibri"/>
              <w:sz w:val="20"/>
              <w:u w:val="single"/>
              <w:lang w:eastAsia="en-US"/>
            </w:rPr>
            <w:t>Eligibility criteria</w:t>
          </w:r>
        </w:p>
        <w:p w14:paraId="0053EE46" w14:textId="146AE82C" w:rsidR="001311DB" w:rsidRDefault="001311DB" w:rsidP="001311DB">
          <w:pPr>
            <w:spacing w:after="0" w:line="259" w:lineRule="auto"/>
            <w:ind w:left="360"/>
            <w:jc w:val="left"/>
            <w:rPr>
              <w:rFonts w:eastAsia="Calibri"/>
              <w:sz w:val="20"/>
              <w:lang w:eastAsia="en-US"/>
            </w:rPr>
          </w:pPr>
          <w:r w:rsidRPr="001311DB">
            <w:rPr>
              <w:rFonts w:eastAsia="Calibri"/>
              <w:sz w:val="20"/>
              <w:lang w:eastAsia="en-US"/>
            </w:rPr>
            <w:t>Professional experience: at least three years' experience in administrative, legal, scientific, technical, advisory or supervisory functions, in the domain of IT and/or in cybersecurity, which can be regarded as equivalent to those of function groups AD</w:t>
          </w:r>
          <w:r>
            <w:rPr>
              <w:rFonts w:eastAsia="Calibri"/>
              <w:sz w:val="20"/>
              <w:lang w:eastAsia="en-US"/>
            </w:rPr>
            <w:t>.</w:t>
          </w:r>
        </w:p>
        <w:p w14:paraId="6459AC69" w14:textId="77777777" w:rsidR="001311DB" w:rsidRPr="001311DB" w:rsidRDefault="001311DB" w:rsidP="001311DB">
          <w:pPr>
            <w:spacing w:after="0" w:line="259" w:lineRule="auto"/>
            <w:ind w:left="360"/>
            <w:jc w:val="left"/>
            <w:rPr>
              <w:rFonts w:eastAsia="Calibri"/>
              <w:sz w:val="20"/>
              <w:lang w:eastAsia="en-US"/>
            </w:rPr>
          </w:pPr>
        </w:p>
        <w:p w14:paraId="2EE8AC74" w14:textId="77777777" w:rsidR="001311DB" w:rsidRPr="001311DB" w:rsidRDefault="001311DB" w:rsidP="001311DB">
          <w:pPr>
            <w:spacing w:after="0" w:line="259" w:lineRule="auto"/>
            <w:jc w:val="left"/>
            <w:rPr>
              <w:rFonts w:eastAsia="Calibri"/>
              <w:sz w:val="20"/>
              <w:u w:val="single"/>
              <w:lang w:eastAsia="en-US"/>
            </w:rPr>
          </w:pPr>
          <w:r w:rsidRPr="001311DB">
            <w:rPr>
              <w:rFonts w:eastAsia="Calibri"/>
              <w:sz w:val="20"/>
              <w:u w:val="single"/>
              <w:lang w:eastAsia="en-US"/>
            </w:rPr>
            <w:t>Selection Criteria</w:t>
          </w:r>
        </w:p>
        <w:p w14:paraId="2F2C9A63" w14:textId="77777777" w:rsidR="001311DB" w:rsidRPr="001311DB" w:rsidRDefault="001311DB" w:rsidP="001311DB">
          <w:pPr>
            <w:spacing w:after="0" w:line="259" w:lineRule="auto"/>
            <w:jc w:val="left"/>
            <w:rPr>
              <w:rFonts w:eastAsia="Calibri"/>
              <w:sz w:val="20"/>
              <w:lang w:eastAsia="en-US"/>
            </w:rPr>
          </w:pPr>
          <w:r w:rsidRPr="001311DB">
            <w:rPr>
              <w:rFonts w:eastAsia="Calibri"/>
              <w:sz w:val="20"/>
              <w:lang w:eastAsia="en-US"/>
            </w:rPr>
            <w:t>- diploma:</w:t>
          </w:r>
        </w:p>
        <w:p w14:paraId="5D2B8B53" w14:textId="5F381C79" w:rsidR="001311DB" w:rsidRDefault="001311DB" w:rsidP="001311DB">
          <w:pPr>
            <w:spacing w:after="0" w:line="259" w:lineRule="auto"/>
            <w:ind w:left="426"/>
            <w:jc w:val="left"/>
            <w:rPr>
              <w:rFonts w:eastAsia="Calibri"/>
              <w:sz w:val="20"/>
              <w:lang w:eastAsia="en-US"/>
            </w:rPr>
          </w:pPr>
          <w:r w:rsidRPr="001311DB">
            <w:rPr>
              <w:rFonts w:eastAsia="Calibri"/>
              <w:sz w:val="20"/>
              <w:lang w:eastAsia="en-US"/>
            </w:rPr>
            <w:t xml:space="preserve">University diploma certifying completed university studies of the duration of at least 3 years  in the field of ICT or an associated field (such as computer studies, engineering, physics, IT business, IT </w:t>
          </w:r>
          <w:r w:rsidRPr="001311DB">
            <w:rPr>
              <w:rFonts w:eastAsia="Calibri"/>
              <w:sz w:val="20"/>
              <w:lang w:eastAsia="en-US"/>
            </w:rPr>
            <w:lastRenderedPageBreak/>
            <w:t>law), proven by the corresponding curriculum and/or specialisation options in which the candidate graduated.</w:t>
          </w:r>
        </w:p>
        <w:p w14:paraId="06A9301E" w14:textId="77777777" w:rsidR="001311DB" w:rsidRPr="001311DB" w:rsidRDefault="001311DB" w:rsidP="001311DB">
          <w:pPr>
            <w:spacing w:after="0" w:line="259" w:lineRule="auto"/>
            <w:ind w:left="426"/>
            <w:jc w:val="left"/>
            <w:rPr>
              <w:rFonts w:eastAsia="Calibri"/>
              <w:sz w:val="20"/>
              <w:lang w:eastAsia="en-US"/>
            </w:rPr>
          </w:pPr>
        </w:p>
        <w:p w14:paraId="6A8CD44E" w14:textId="77777777" w:rsidR="001311DB" w:rsidRPr="001311DB" w:rsidRDefault="001311DB" w:rsidP="001311DB">
          <w:pPr>
            <w:spacing w:after="0" w:line="259" w:lineRule="auto"/>
            <w:jc w:val="left"/>
            <w:rPr>
              <w:rFonts w:eastAsia="Calibri"/>
              <w:sz w:val="20"/>
              <w:lang w:eastAsia="en-US"/>
            </w:rPr>
          </w:pPr>
          <w:r w:rsidRPr="001311DB">
            <w:rPr>
              <w:rFonts w:eastAsia="Calibri"/>
              <w:sz w:val="20"/>
              <w:lang w:eastAsia="en-US"/>
            </w:rPr>
            <w:t>- professional experience:</w:t>
          </w:r>
        </w:p>
        <w:p w14:paraId="37B9966B" w14:textId="23A7A06E" w:rsidR="001311DB" w:rsidRDefault="001311DB" w:rsidP="001311DB">
          <w:pPr>
            <w:spacing w:after="0" w:line="259" w:lineRule="auto"/>
            <w:ind w:left="426"/>
            <w:jc w:val="left"/>
            <w:rPr>
              <w:rFonts w:eastAsia="Calibri"/>
              <w:sz w:val="20"/>
              <w:lang w:eastAsia="en-US"/>
            </w:rPr>
          </w:pPr>
          <w:r w:rsidRPr="001311DB">
            <w:rPr>
              <w:rFonts w:eastAsia="Calibri"/>
              <w:sz w:val="20"/>
              <w:lang w:eastAsia="en-US"/>
            </w:rPr>
            <w:t>Good knowledge of information security and IT risk management standards, frameworks and methodologies, such as ISO 27001 or COBIT.</w:t>
          </w:r>
        </w:p>
        <w:p w14:paraId="70C251E8" w14:textId="77777777" w:rsidR="001311DB" w:rsidRPr="001311DB" w:rsidRDefault="001311DB" w:rsidP="001311DB">
          <w:pPr>
            <w:spacing w:after="0" w:line="259" w:lineRule="auto"/>
            <w:ind w:left="426"/>
            <w:jc w:val="left"/>
            <w:rPr>
              <w:rFonts w:eastAsia="Calibri"/>
              <w:sz w:val="20"/>
              <w:lang w:eastAsia="en-US"/>
            </w:rPr>
          </w:pPr>
        </w:p>
        <w:p w14:paraId="65CC57CB" w14:textId="69CD2917" w:rsidR="001311DB" w:rsidRDefault="001311DB" w:rsidP="001311DB">
          <w:pPr>
            <w:spacing w:after="0" w:line="259" w:lineRule="auto"/>
            <w:ind w:left="426"/>
            <w:jc w:val="left"/>
            <w:rPr>
              <w:rFonts w:eastAsia="Calibri"/>
              <w:sz w:val="20"/>
              <w:lang w:eastAsia="en-US"/>
            </w:rPr>
          </w:pPr>
          <w:r w:rsidRPr="001311DB">
            <w:rPr>
              <w:rFonts w:eastAsia="Calibri"/>
              <w:sz w:val="20"/>
              <w:lang w:eastAsia="en-US"/>
            </w:rPr>
            <w:t>At least 3 years of practical experience in the domain of definition and implementation of information security strategies, IT security frameworks and/or risk management programmes; understanding of the challenges associated with corporate / governmental / public administration environments.</w:t>
          </w:r>
        </w:p>
        <w:p w14:paraId="7EAE4246" w14:textId="77777777" w:rsidR="001311DB" w:rsidRPr="001311DB" w:rsidRDefault="001311DB" w:rsidP="001311DB">
          <w:pPr>
            <w:spacing w:after="0" w:line="259" w:lineRule="auto"/>
            <w:ind w:left="426"/>
            <w:jc w:val="left"/>
            <w:rPr>
              <w:rFonts w:eastAsia="Calibri"/>
              <w:sz w:val="20"/>
              <w:lang w:eastAsia="en-US"/>
            </w:rPr>
          </w:pPr>
        </w:p>
        <w:p w14:paraId="6B50E72D" w14:textId="7E317F59" w:rsidR="001311DB" w:rsidRDefault="001311DB" w:rsidP="001311DB">
          <w:pPr>
            <w:spacing w:after="0" w:line="259" w:lineRule="auto"/>
            <w:ind w:left="426"/>
            <w:jc w:val="left"/>
            <w:rPr>
              <w:rFonts w:eastAsia="Calibri"/>
              <w:sz w:val="20"/>
              <w:lang w:eastAsia="en-US"/>
            </w:rPr>
          </w:pPr>
          <w:r w:rsidRPr="001311DB">
            <w:rPr>
              <w:rFonts w:eastAsia="Calibri"/>
              <w:sz w:val="20"/>
              <w:lang w:eastAsia="en-US"/>
            </w:rPr>
            <w:t>Good communication and presentation skills.</w:t>
          </w:r>
        </w:p>
        <w:p w14:paraId="4BEF665A" w14:textId="77777777" w:rsidR="001311DB" w:rsidRPr="001311DB" w:rsidRDefault="001311DB" w:rsidP="001311DB">
          <w:pPr>
            <w:spacing w:after="0" w:line="259" w:lineRule="auto"/>
            <w:ind w:left="426"/>
            <w:jc w:val="left"/>
            <w:rPr>
              <w:rFonts w:eastAsia="Calibri"/>
              <w:sz w:val="20"/>
              <w:lang w:eastAsia="en-US"/>
            </w:rPr>
          </w:pPr>
        </w:p>
        <w:p w14:paraId="19C1A0C9" w14:textId="3A366FA0" w:rsidR="001311DB" w:rsidRDefault="001311DB" w:rsidP="001311DB">
          <w:pPr>
            <w:spacing w:after="0" w:line="259" w:lineRule="auto"/>
            <w:ind w:left="426"/>
            <w:jc w:val="left"/>
            <w:rPr>
              <w:rFonts w:eastAsia="Calibri"/>
              <w:sz w:val="20"/>
              <w:lang w:eastAsia="en-US"/>
            </w:rPr>
          </w:pPr>
          <w:r w:rsidRPr="001311DB">
            <w:rPr>
              <w:rFonts w:eastAsia="Calibri"/>
              <w:sz w:val="20"/>
              <w:lang w:eastAsia="en-US"/>
            </w:rPr>
            <w:t>Experience in stakeholders’ relationship management.</w:t>
          </w:r>
        </w:p>
        <w:p w14:paraId="55651A4D" w14:textId="77777777" w:rsidR="001311DB" w:rsidRPr="001311DB" w:rsidRDefault="001311DB" w:rsidP="001311DB">
          <w:pPr>
            <w:spacing w:after="0" w:line="259" w:lineRule="auto"/>
            <w:ind w:left="426"/>
            <w:jc w:val="left"/>
            <w:rPr>
              <w:rFonts w:eastAsia="Calibri"/>
              <w:sz w:val="20"/>
              <w:lang w:eastAsia="en-US"/>
            </w:rPr>
          </w:pPr>
        </w:p>
        <w:p w14:paraId="3442072D" w14:textId="22AED943" w:rsidR="001311DB" w:rsidRDefault="001311DB" w:rsidP="001311DB">
          <w:pPr>
            <w:spacing w:after="0" w:line="259" w:lineRule="auto"/>
            <w:ind w:left="426"/>
            <w:jc w:val="left"/>
            <w:rPr>
              <w:rFonts w:eastAsia="Calibri"/>
              <w:sz w:val="20"/>
              <w:lang w:eastAsia="en-US"/>
            </w:rPr>
          </w:pPr>
          <w:r w:rsidRPr="001311DB">
            <w:rPr>
              <w:rFonts w:eastAsia="Calibri"/>
              <w:sz w:val="20"/>
              <w:lang w:eastAsia="en-US"/>
            </w:rPr>
            <w:t>Strong ability to learn and apply new ways of working, concepts and methodologies.</w:t>
          </w:r>
        </w:p>
        <w:p w14:paraId="28D19849" w14:textId="77777777" w:rsidR="001311DB" w:rsidRPr="001311DB" w:rsidRDefault="001311DB" w:rsidP="001311DB">
          <w:pPr>
            <w:spacing w:after="0" w:line="259" w:lineRule="auto"/>
            <w:ind w:left="426"/>
            <w:jc w:val="left"/>
            <w:rPr>
              <w:rFonts w:eastAsia="Calibri"/>
              <w:sz w:val="20"/>
              <w:lang w:eastAsia="en-US"/>
            </w:rPr>
          </w:pPr>
        </w:p>
        <w:p w14:paraId="641A201D" w14:textId="789F2622" w:rsidR="001311DB" w:rsidRPr="001311DB" w:rsidRDefault="001311DB" w:rsidP="001311DB">
          <w:pPr>
            <w:spacing w:after="0" w:line="259" w:lineRule="auto"/>
            <w:jc w:val="left"/>
            <w:rPr>
              <w:rFonts w:eastAsia="Calibri"/>
              <w:sz w:val="20"/>
              <w:lang w:eastAsia="en-US"/>
            </w:rPr>
          </w:pPr>
          <w:r w:rsidRPr="001311DB">
            <w:rPr>
              <w:rFonts w:eastAsia="Calibri"/>
              <w:sz w:val="20"/>
              <w:lang w:eastAsia="en-US"/>
            </w:rPr>
            <w:t>- optional skills (</w:t>
          </w:r>
          <w:r w:rsidR="00174147">
            <w:rPr>
              <w:rFonts w:eastAsia="Calibri"/>
              <w:sz w:val="20"/>
              <w:lang w:eastAsia="en-US"/>
            </w:rPr>
            <w:t>is</w:t>
          </w:r>
          <w:r w:rsidRPr="001311DB">
            <w:rPr>
              <w:rFonts w:eastAsia="Calibri"/>
              <w:sz w:val="20"/>
              <w:lang w:eastAsia="en-US"/>
            </w:rPr>
            <w:t xml:space="preserve"> an advantage):</w:t>
          </w:r>
        </w:p>
        <w:p w14:paraId="594EDF69" w14:textId="77777777" w:rsidR="001311DB" w:rsidRPr="001311DB" w:rsidRDefault="001311DB" w:rsidP="001311DB">
          <w:pPr>
            <w:spacing w:after="0" w:line="259" w:lineRule="auto"/>
            <w:ind w:left="426"/>
            <w:jc w:val="left"/>
            <w:rPr>
              <w:rFonts w:eastAsia="Calibri"/>
              <w:sz w:val="20"/>
              <w:lang w:eastAsia="en-US"/>
            </w:rPr>
          </w:pPr>
          <w:r w:rsidRPr="001311DB">
            <w:rPr>
              <w:rFonts w:eastAsia="Calibri"/>
              <w:sz w:val="20"/>
              <w:lang w:eastAsia="en-US"/>
            </w:rPr>
            <w:t>Good understanding of IT infrastructure and networking</w:t>
          </w:r>
        </w:p>
        <w:p w14:paraId="41DDA80B" w14:textId="77777777" w:rsidR="001311DB" w:rsidRPr="001311DB" w:rsidRDefault="001311DB" w:rsidP="001311DB">
          <w:pPr>
            <w:spacing w:after="0" w:line="259" w:lineRule="auto"/>
            <w:ind w:left="426"/>
            <w:jc w:val="left"/>
            <w:rPr>
              <w:rFonts w:eastAsia="Calibri"/>
              <w:sz w:val="20"/>
              <w:lang w:eastAsia="en-US"/>
            </w:rPr>
          </w:pPr>
          <w:r w:rsidRPr="001311DB">
            <w:rPr>
              <w:rFonts w:eastAsia="Calibri"/>
              <w:sz w:val="20"/>
              <w:lang w:eastAsia="en-US"/>
            </w:rPr>
            <w:t>Good understanding of IT security technology and processes</w:t>
          </w:r>
        </w:p>
        <w:p w14:paraId="6F849339" w14:textId="0C86DE64" w:rsidR="001311DB" w:rsidRDefault="001311DB" w:rsidP="001311DB">
          <w:pPr>
            <w:spacing w:after="0" w:line="259" w:lineRule="auto"/>
            <w:ind w:left="426"/>
            <w:jc w:val="left"/>
            <w:rPr>
              <w:rFonts w:eastAsia="Calibri"/>
              <w:sz w:val="20"/>
              <w:lang w:eastAsia="en-US"/>
            </w:rPr>
          </w:pPr>
          <w:r w:rsidRPr="001311DB">
            <w:rPr>
              <w:rFonts w:eastAsia="Calibri"/>
              <w:sz w:val="20"/>
              <w:lang w:eastAsia="en-US"/>
            </w:rPr>
            <w:t>Understanding of Cloud Computing and cybersecurity cloud compliance frameworks</w:t>
          </w:r>
        </w:p>
        <w:p w14:paraId="2D0E5581" w14:textId="13E6C66F" w:rsidR="00174147" w:rsidRDefault="00174147" w:rsidP="001311DB">
          <w:pPr>
            <w:spacing w:after="0" w:line="259" w:lineRule="auto"/>
            <w:ind w:left="426"/>
            <w:jc w:val="left"/>
            <w:rPr>
              <w:rFonts w:eastAsia="Calibri"/>
              <w:sz w:val="20"/>
              <w:lang w:eastAsia="en-US"/>
            </w:rPr>
          </w:pPr>
          <w:r>
            <w:rPr>
              <w:rFonts w:eastAsia="Calibri"/>
              <w:sz w:val="20"/>
              <w:lang w:eastAsia="en-US"/>
            </w:rPr>
            <w:t>Service Now technology experience</w:t>
          </w:r>
        </w:p>
        <w:p w14:paraId="1757466D" w14:textId="677C9F7C" w:rsidR="00174147" w:rsidRPr="001311DB" w:rsidRDefault="00174147" w:rsidP="001311DB">
          <w:pPr>
            <w:spacing w:after="0" w:line="259" w:lineRule="auto"/>
            <w:ind w:left="426"/>
            <w:jc w:val="left"/>
            <w:rPr>
              <w:rFonts w:eastAsia="Calibri"/>
              <w:sz w:val="20"/>
              <w:lang w:eastAsia="en-US"/>
            </w:rPr>
          </w:pPr>
          <w:r>
            <w:rPr>
              <w:rFonts w:eastAsia="Calibri"/>
              <w:sz w:val="20"/>
              <w:lang w:eastAsia="en-US"/>
            </w:rPr>
            <w:t>GRC tooling experience (Governance, Risk and Compliance)</w:t>
          </w:r>
        </w:p>
        <w:p w14:paraId="4C10DAC2" w14:textId="77777777" w:rsidR="001311DB" w:rsidRPr="001311DB" w:rsidRDefault="001311DB" w:rsidP="001311DB">
          <w:pPr>
            <w:spacing w:after="0" w:line="259" w:lineRule="auto"/>
            <w:jc w:val="left"/>
            <w:rPr>
              <w:rFonts w:eastAsia="Calibri"/>
              <w:sz w:val="20"/>
              <w:lang w:eastAsia="en-US"/>
            </w:rPr>
          </w:pPr>
        </w:p>
        <w:p w14:paraId="3DA5116E" w14:textId="77777777" w:rsidR="001311DB" w:rsidRPr="001311DB" w:rsidRDefault="001311DB" w:rsidP="001311DB">
          <w:pPr>
            <w:spacing w:after="0" w:line="259" w:lineRule="auto"/>
            <w:jc w:val="left"/>
            <w:rPr>
              <w:rFonts w:eastAsia="Calibri"/>
              <w:sz w:val="20"/>
              <w:lang w:eastAsia="en-US"/>
            </w:rPr>
          </w:pPr>
          <w:r w:rsidRPr="001311DB">
            <w:rPr>
              <w:rFonts w:eastAsia="Calibri"/>
              <w:sz w:val="20"/>
              <w:lang w:eastAsia="en-US"/>
            </w:rPr>
            <w:t>If you meet the above criteria, your passion is your driver, respect and teamwork are an absolute must for you and you have a "can do" attitude, your application is welcome.</w:t>
          </w:r>
        </w:p>
        <w:p w14:paraId="009A7159" w14:textId="77777777" w:rsidR="001311DB" w:rsidRPr="001311DB" w:rsidRDefault="001311DB" w:rsidP="001311DB">
          <w:pPr>
            <w:spacing w:after="0" w:line="259" w:lineRule="auto"/>
            <w:jc w:val="left"/>
            <w:rPr>
              <w:rFonts w:eastAsia="Calibri"/>
              <w:sz w:val="20"/>
              <w:lang w:eastAsia="en-US"/>
            </w:rPr>
          </w:pPr>
        </w:p>
        <w:p w14:paraId="3FFB0247" w14:textId="77777777" w:rsidR="001311DB" w:rsidRPr="001311DB" w:rsidRDefault="001311DB" w:rsidP="001311DB">
          <w:pPr>
            <w:spacing w:after="0" w:line="259" w:lineRule="auto"/>
            <w:jc w:val="left"/>
            <w:rPr>
              <w:rFonts w:eastAsia="Calibri"/>
              <w:sz w:val="20"/>
              <w:lang w:eastAsia="en-US"/>
            </w:rPr>
          </w:pPr>
          <w:r w:rsidRPr="001311DB">
            <w:rPr>
              <w:rFonts w:eastAsia="Calibri"/>
              <w:sz w:val="20"/>
              <w:lang w:eastAsia="en-US"/>
            </w:rPr>
            <w:t>- language(s) necessary for the performance of duties:</w:t>
          </w:r>
        </w:p>
        <w:p w14:paraId="1B93384F" w14:textId="77777777" w:rsidR="001311DB" w:rsidRPr="001311DB" w:rsidRDefault="001311DB" w:rsidP="001311DB">
          <w:pPr>
            <w:spacing w:after="0" w:line="259" w:lineRule="auto"/>
            <w:ind w:left="426"/>
            <w:jc w:val="left"/>
            <w:rPr>
              <w:rFonts w:eastAsia="Calibri"/>
              <w:sz w:val="20"/>
              <w:lang w:eastAsia="en-US"/>
            </w:rPr>
          </w:pPr>
          <w:r w:rsidRPr="001311DB">
            <w:rPr>
              <w:rFonts w:eastAsia="Calibri"/>
              <w:sz w:val="20"/>
              <w:lang w:eastAsia="en-US"/>
            </w:rPr>
            <w:t>English: fluent written and spoken required</w:t>
          </w:r>
        </w:p>
        <w:p w14:paraId="79E3FDD2" w14:textId="77777777" w:rsidR="001311DB" w:rsidRPr="001311DB" w:rsidRDefault="001311DB" w:rsidP="001311DB">
          <w:pPr>
            <w:spacing w:after="0" w:line="259" w:lineRule="auto"/>
            <w:ind w:left="426"/>
            <w:jc w:val="left"/>
            <w:rPr>
              <w:rFonts w:eastAsia="Calibri"/>
              <w:sz w:val="20"/>
              <w:lang w:eastAsia="en-US"/>
            </w:rPr>
          </w:pPr>
          <w:r w:rsidRPr="001311DB">
            <w:rPr>
              <w:rFonts w:eastAsia="Calibri"/>
              <w:sz w:val="20"/>
              <w:lang w:eastAsia="en-US"/>
            </w:rPr>
            <w:t>French: could be an advantage</w:t>
          </w:r>
        </w:p>
        <w:p w14:paraId="725E46F2" w14:textId="3A8D5A4D" w:rsidR="00E21E17" w:rsidRPr="00E21E17" w:rsidRDefault="00B46F68" w:rsidP="00E21E17">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673319"/>
    <w:multiLevelType w:val="hybridMultilevel"/>
    <w:tmpl w:val="F90A8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CDC0084"/>
    <w:multiLevelType w:val="hybridMultilevel"/>
    <w:tmpl w:val="D2F6BCC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8"/>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23109459">
    <w:abstractNumId w:val="20"/>
  </w:num>
  <w:num w:numId="35" w16cid:durableId="2732446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311DB"/>
    <w:rsid w:val="00131FEF"/>
    <w:rsid w:val="00174147"/>
    <w:rsid w:val="001D0A81"/>
    <w:rsid w:val="002109E6"/>
    <w:rsid w:val="00252050"/>
    <w:rsid w:val="002B3CBF"/>
    <w:rsid w:val="002C49D0"/>
    <w:rsid w:val="002E40A9"/>
    <w:rsid w:val="00394447"/>
    <w:rsid w:val="003E50A4"/>
    <w:rsid w:val="00400CA1"/>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76EB8"/>
    <w:rsid w:val="00AB2CEA"/>
    <w:rsid w:val="00AF6424"/>
    <w:rsid w:val="00B24CC5"/>
    <w:rsid w:val="00B3644B"/>
    <w:rsid w:val="00B46F68"/>
    <w:rsid w:val="00B65513"/>
    <w:rsid w:val="00B73F08"/>
    <w:rsid w:val="00B8014C"/>
    <w:rsid w:val="00BE7D70"/>
    <w:rsid w:val="00C06724"/>
    <w:rsid w:val="00C3254D"/>
    <w:rsid w:val="00C504C7"/>
    <w:rsid w:val="00C75BA4"/>
    <w:rsid w:val="00CB5B61"/>
    <w:rsid w:val="00CD2C5A"/>
    <w:rsid w:val="00D03CF4"/>
    <w:rsid w:val="00D7090C"/>
    <w:rsid w:val="00D84D53"/>
    <w:rsid w:val="00D96984"/>
    <w:rsid w:val="00DD41ED"/>
    <w:rsid w:val="00DF1E49"/>
    <w:rsid w:val="00E21DBD"/>
    <w:rsid w:val="00E21E17"/>
    <w:rsid w:val="00E342CB"/>
    <w:rsid w:val="00E41704"/>
    <w:rsid w:val="00E44D7F"/>
    <w:rsid w:val="00E82667"/>
    <w:rsid w:val="00EB3147"/>
    <w:rsid w:val="00F4683D"/>
    <w:rsid w:val="00F6462F"/>
    <w:rsid w:val="00F85E83"/>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ECF90-431E-4380-8027-994959F5183F}">
  <ds:schemaRefs>
    <ds:schemaRef ds:uri="http://schemas.microsoft.com/sharepoint/v3/contenttype/forms"/>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7A3C6D55-1AF6-449B-857D-C7A32EBC765D}">
  <ds:schemaRefs>
    <ds:schemaRef ds:uri="http://purl.org/dc/dcmitype/"/>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08927195-b699-4be0-9ee2-6c66dc215b5a"/>
    <ds:schemaRef ds:uri="a41a97bf-0494-41d8-ba3d-259bd7771890"/>
    <ds:schemaRef ds:uri="http://schemas.microsoft.com/sharepoint/v3/fields"/>
    <ds:schemaRef ds:uri="1929b814-5a78-4bdc-9841-d8b9ef424f6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1444</Words>
  <Characters>8381</Characters>
  <Application>Microsoft Office Word</Application>
  <DocSecurity>4</DocSecurity>
  <PresentationFormat>Microsoft Word 14.0</PresentationFormat>
  <Lines>194</Lines>
  <Paragraphs>91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Roza PAPADOPOULOU</cp:lastModifiedBy>
  <cp:revision>2</cp:revision>
  <cp:lastPrinted>2023-04-05T10:36:00Z</cp:lastPrinted>
  <dcterms:created xsi:type="dcterms:W3CDTF">2023-09-13T11:23:00Z</dcterms:created>
  <dcterms:modified xsi:type="dcterms:W3CDTF">2023-09-13T11:23:00Z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