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D5B0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2D9C941" w:rsidR="00B65513" w:rsidRPr="0007110E" w:rsidRDefault="00BD1A0C" w:rsidP="00E82667">
                <w:pPr>
                  <w:tabs>
                    <w:tab w:val="left" w:pos="426"/>
                  </w:tabs>
                  <w:spacing w:before="120"/>
                  <w:rPr>
                    <w:bCs/>
                    <w:lang w:val="en-IE" w:eastAsia="en-GB"/>
                  </w:rPr>
                </w:pPr>
                <w:r>
                  <w:rPr>
                    <w:bCs/>
                    <w:lang w:val="en-IE" w:eastAsia="en-GB"/>
                  </w:rPr>
                  <w:t>CNECT – B - 2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C48279A" w:rsidR="00D96984" w:rsidRPr="0007110E" w:rsidRDefault="00BD1A0C" w:rsidP="00E82667">
                <w:pPr>
                  <w:tabs>
                    <w:tab w:val="left" w:pos="426"/>
                  </w:tabs>
                  <w:spacing w:before="120"/>
                  <w:rPr>
                    <w:bCs/>
                    <w:lang w:val="en-IE" w:eastAsia="en-GB"/>
                  </w:rPr>
                </w:pPr>
                <w:r>
                  <w:rPr>
                    <w:bCs/>
                    <w:lang w:val="en-IE" w:eastAsia="en-GB"/>
                  </w:rPr>
                  <w:t>419904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9F592DA" w:rsidR="00E21DBD" w:rsidRPr="0007110E" w:rsidRDefault="00BD1A0C" w:rsidP="00E82667">
                <w:pPr>
                  <w:tabs>
                    <w:tab w:val="left" w:pos="426"/>
                  </w:tabs>
                  <w:spacing w:before="120"/>
                  <w:rPr>
                    <w:bCs/>
                    <w:lang w:val="en-IE" w:eastAsia="en-GB"/>
                  </w:rPr>
                </w:pPr>
                <w:r>
                  <w:rPr>
                    <w:bCs/>
                    <w:lang w:val="en-IE" w:eastAsia="en-GB"/>
                  </w:rPr>
                  <w:t>Katarzyna Szczuka</w:t>
                </w:r>
              </w:p>
            </w:sdtContent>
          </w:sdt>
          <w:p w14:paraId="34CF737A" w14:textId="001DD065" w:rsidR="00E21DBD" w:rsidRPr="0007110E" w:rsidRDefault="006D5B0C"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BD1A0C">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BD1A0C">
                  <w:rPr>
                    <w:bCs/>
                    <w:lang w:val="en-IE" w:eastAsia="en-GB"/>
                  </w:rPr>
                  <w:t>2024</w:t>
                </w:r>
              </w:sdtContent>
            </w:sdt>
          </w:p>
          <w:p w14:paraId="158DD156" w14:textId="5BC3B32D" w:rsidR="00E21DBD" w:rsidRPr="0007110E" w:rsidRDefault="006D5B0C"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D1A0C">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BD1A0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6F9E2DB"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F5D9AFA"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6D5B0C"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6D5B0C"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6D5B0C"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C0A0EEB"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53F0D748"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754C5CB" w14:textId="77777777" w:rsidR="00BD1A0C" w:rsidRPr="00653350" w:rsidRDefault="00BD1A0C" w:rsidP="00BD1A0C">
          <w:pPr>
            <w:rPr>
              <w:szCs w:val="24"/>
            </w:rPr>
          </w:pPr>
          <w:r w:rsidRPr="00653350">
            <w:rPr>
              <w:szCs w:val="24"/>
            </w:rPr>
            <w:t xml:space="preserve">DG CONNECT supports the digital transformation of our economy and society, conceives and implements the policies required to foster the internal market, make Europe fit for the Digital age and technological autonomy. The DG also actively promotes cross-cutting collaboration within the DG and across the Commission. The implementation of the DG's activities is based on a two-way cooperation with all interested parties (business, academia, public organisations, </w:t>
          </w:r>
          <w:proofErr w:type="gramStart"/>
          <w:r w:rsidRPr="00653350">
            <w:rPr>
              <w:szCs w:val="24"/>
            </w:rPr>
            <w:t>stakeholders</w:t>
          </w:r>
          <w:proofErr w:type="gramEnd"/>
          <w:r w:rsidRPr="00653350">
            <w:rPr>
              <w:szCs w:val="24"/>
            </w:rPr>
            <w:t xml:space="preserve"> and citizens). </w:t>
          </w:r>
        </w:p>
        <w:p w14:paraId="0A35075E" w14:textId="77777777" w:rsidR="00BD1A0C" w:rsidRPr="00653350" w:rsidRDefault="00BD1A0C" w:rsidP="00BD1A0C">
          <w:pPr>
            <w:rPr>
              <w:szCs w:val="24"/>
            </w:rPr>
          </w:pPr>
        </w:p>
        <w:p w14:paraId="2F685620" w14:textId="77777777" w:rsidR="00BD1A0C" w:rsidRPr="00653350" w:rsidRDefault="00BD1A0C" w:rsidP="00BD1A0C">
          <w:pPr>
            <w:rPr>
              <w:szCs w:val="24"/>
            </w:rPr>
          </w:pPr>
          <w:r w:rsidRPr="00653350">
            <w:rPr>
              <w:szCs w:val="24"/>
            </w:rPr>
            <w:lastRenderedPageBreak/>
            <w:t xml:space="preserve">Our unit B.2 ‘Digital Decade Coordination’ plays a central coordination role in ensuring that the strategic 2030 vision on digital transformation as outlined in the Digital Decade Policy Programme becomes a reality. Our unit will provide for strategic analysis monitor all aspects of digital policy, working closely with the Member States and stakeholders to implement the Digital Decade Policy Programme 2030 to reach the targets set for the European Union </w:t>
          </w:r>
          <w:proofErr w:type="gramStart"/>
          <w:r w:rsidRPr="00653350">
            <w:rPr>
              <w:szCs w:val="24"/>
            </w:rPr>
            <w:t>in the area of</w:t>
          </w:r>
          <w:proofErr w:type="gramEnd"/>
          <w:r w:rsidRPr="00653350">
            <w:rPr>
              <w:szCs w:val="24"/>
            </w:rPr>
            <w:t xml:space="preserve"> connectivity, digital skills, digital business and digital public services and achieve broader programme objectives. We have also set up the governance structure for the Programme, including the Digital Decade Board (expert group) and the Digital Decade Committee (comitology committee).</w:t>
          </w:r>
        </w:p>
        <w:p w14:paraId="50BCCD36" w14:textId="77777777" w:rsidR="00BD1A0C" w:rsidRPr="00653350" w:rsidRDefault="00BD1A0C" w:rsidP="00BD1A0C">
          <w:pPr>
            <w:rPr>
              <w:szCs w:val="24"/>
            </w:rPr>
          </w:pPr>
        </w:p>
        <w:p w14:paraId="7619644F" w14:textId="77777777" w:rsidR="00BD1A0C" w:rsidRPr="00653350" w:rsidRDefault="00BD1A0C" w:rsidP="00BD1A0C">
          <w:pPr>
            <w:rPr>
              <w:szCs w:val="24"/>
            </w:rPr>
          </w:pPr>
          <w:r w:rsidRPr="00653350">
            <w:rPr>
              <w:szCs w:val="24"/>
            </w:rPr>
            <w:t xml:space="preserve">We are also responsible for the preparation of the annual State of the Digital Decade Report setting out where Europe stands in the digital transformation and putting forward recommendations to Member States in this policy area. As part of the report, we track and monitor progress at EU level and across Member States and collect data through the Digital Economy and Society Index (DESI), as well as information related to national level digital policy actions. </w:t>
          </w:r>
        </w:p>
        <w:p w14:paraId="472A26C8" w14:textId="77777777" w:rsidR="00BD1A0C" w:rsidRPr="00653350" w:rsidRDefault="00BD1A0C" w:rsidP="00BD1A0C">
          <w:pPr>
            <w:rPr>
              <w:szCs w:val="24"/>
            </w:rPr>
          </w:pPr>
        </w:p>
        <w:p w14:paraId="371E98B4" w14:textId="77777777" w:rsidR="00BD1A0C" w:rsidRPr="00653350" w:rsidRDefault="00BD1A0C" w:rsidP="00BD1A0C">
          <w:pPr>
            <w:rPr>
              <w:szCs w:val="24"/>
            </w:rPr>
          </w:pPr>
          <w:r w:rsidRPr="00653350">
            <w:rPr>
              <w:szCs w:val="24"/>
            </w:rPr>
            <w:t xml:space="preserve">Moreover, building on the DESI analysis, we coordinate the digital aspects of the Next Generation EU/the Recovery and Resilience Facility and the European Semester. We track MS digital investments under the Recovery and Resilience Facility and propose digital related country specific recommendations. We are in constant contact with national authorities and promote best practices among them, as well as with major digital stakeholders at EU and MS level. </w:t>
          </w:r>
        </w:p>
        <w:p w14:paraId="2BD50743" w14:textId="77777777" w:rsidR="00BD1A0C" w:rsidRPr="00653350" w:rsidRDefault="00BD1A0C" w:rsidP="00BD1A0C">
          <w:pPr>
            <w:rPr>
              <w:szCs w:val="24"/>
            </w:rPr>
          </w:pPr>
        </w:p>
        <w:p w14:paraId="26844EF6" w14:textId="77777777" w:rsidR="00BD1A0C" w:rsidRPr="00653350" w:rsidRDefault="00BD1A0C" w:rsidP="00BD1A0C">
          <w:pPr>
            <w:rPr>
              <w:szCs w:val="24"/>
            </w:rPr>
          </w:pPr>
          <w:r w:rsidRPr="00653350">
            <w:rPr>
              <w:szCs w:val="24"/>
            </w:rPr>
            <w:t>We are responsible for the organisation of the annual Digital Assembly which is a key European in-person event for digital experts and stakeholders to take stock and discuss the state of play of EU’s digital transformation and digital policies.</w:t>
          </w:r>
        </w:p>
        <w:p w14:paraId="3CD600FE" w14:textId="77777777" w:rsidR="00BD1A0C" w:rsidRPr="00653350" w:rsidRDefault="00BD1A0C" w:rsidP="00BD1A0C">
          <w:pPr>
            <w:rPr>
              <w:szCs w:val="24"/>
            </w:rPr>
          </w:pPr>
        </w:p>
        <w:p w14:paraId="78F0F101" w14:textId="77777777" w:rsidR="00BD1A0C" w:rsidRPr="00653350" w:rsidRDefault="00BD1A0C" w:rsidP="00BD1A0C">
          <w:pPr>
            <w:rPr>
              <w:szCs w:val="24"/>
            </w:rPr>
          </w:pPr>
          <w:r w:rsidRPr="00653350">
            <w:rPr>
              <w:szCs w:val="24"/>
            </w:rPr>
            <w:t>We are an enthusiastic and very committed team of about 20 colleagues with different backgrounds. Moreover, in DG CONNECT we often work in project teams gathering colleagues from different units, so that we can deep dive into various aspects of the digital policy and bring together the knowledge at EU and MS level.</w:t>
          </w:r>
        </w:p>
        <w:p w14:paraId="4E5AA04F" w14:textId="77777777" w:rsidR="00BD1A0C" w:rsidRPr="00653350" w:rsidRDefault="00BD1A0C" w:rsidP="00BD1A0C">
          <w:pPr>
            <w:rPr>
              <w:szCs w:val="24"/>
            </w:rPr>
          </w:pPr>
        </w:p>
        <w:p w14:paraId="59DD0438" w14:textId="05C4D4BD" w:rsidR="00E21DBD" w:rsidRDefault="006D5B0C"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F4589E0" w14:textId="77777777" w:rsidR="00BD1A0C" w:rsidRPr="00653350" w:rsidRDefault="00BD1A0C" w:rsidP="00BD1A0C">
          <w:pPr>
            <w:rPr>
              <w:szCs w:val="24"/>
            </w:rPr>
          </w:pPr>
          <w:r w:rsidRPr="00653350">
            <w:rPr>
              <w:szCs w:val="24"/>
            </w:rPr>
            <w:t xml:space="preserve">An exciting analyst and country coordinator position fully integrated in the Team that offers you to exercise significant responsibility as well as a wide view over digital policies and how they ensure that digital technologies and innovations are benefitting EU citizens and businesses. At the same time, you will acquire an </w:t>
          </w:r>
          <w:proofErr w:type="gramStart"/>
          <w:r w:rsidRPr="00653350">
            <w:rPr>
              <w:szCs w:val="24"/>
            </w:rPr>
            <w:t>in depth</w:t>
          </w:r>
          <w:proofErr w:type="gramEnd"/>
          <w:r w:rsidRPr="00653350">
            <w:rPr>
              <w:szCs w:val="24"/>
            </w:rPr>
            <w:t xml:space="preserve"> perspective on most pressing digital issues for selected countries. Being responsible for a (several) specific Member </w:t>
          </w:r>
          <w:r w:rsidRPr="00653350">
            <w:rPr>
              <w:szCs w:val="24"/>
            </w:rPr>
            <w:lastRenderedPageBreak/>
            <w:t>State(s) you will be in regular contacts with authorities, regulatory authorities, market players, users, and industry associations, and represent the Commission in annual fact-finding missions and various other fora, as well as engaging with these Member States on the development of their digital transformation.</w:t>
          </w:r>
        </w:p>
        <w:p w14:paraId="29C76304" w14:textId="77777777" w:rsidR="00BD1A0C" w:rsidRPr="00653350" w:rsidRDefault="00BD1A0C" w:rsidP="00BD1A0C">
          <w:pPr>
            <w:rPr>
              <w:szCs w:val="24"/>
            </w:rPr>
          </w:pPr>
        </w:p>
        <w:p w14:paraId="612E680B" w14:textId="77777777" w:rsidR="00BD1A0C" w:rsidRPr="00653350" w:rsidRDefault="00BD1A0C" w:rsidP="00BD1A0C">
          <w:pPr>
            <w:rPr>
              <w:szCs w:val="24"/>
            </w:rPr>
          </w:pPr>
          <w:r w:rsidRPr="00653350">
            <w:rPr>
              <w:szCs w:val="24"/>
            </w:rPr>
            <w:t xml:space="preserve">You will also participate actively in the Digital Decade cycle work including preparation of the annual State of the Digital Decade report and follow up with Member States, notably the implementation of national roadmaps. Based on your knowledge, you will propose recommendations and to the assessment of the Recovery and Resilience Plans, as well as to the digital parts of the European Semester country reports, including digital country specific recommendation. You will work together with colleagues throughout DG CNECT and in other DGs, notably ECFIN and RECOVER, to make sure Member States spend 20% of the RRF funds on the sustainable digitalization of their economy and society. This will also allow monitoring of an important part of digital measures currently implemented by the Member States. You will also contribute to horizontal economic and policy analyses underpinning the digital elements from the Country Specific Recommendations. </w:t>
          </w:r>
        </w:p>
        <w:p w14:paraId="4C5A54CC" w14:textId="77777777" w:rsidR="00BD1A0C" w:rsidRPr="00653350" w:rsidRDefault="00BD1A0C" w:rsidP="00BD1A0C">
          <w:pPr>
            <w:rPr>
              <w:szCs w:val="24"/>
            </w:rPr>
          </w:pPr>
        </w:p>
        <w:p w14:paraId="4073F80A" w14:textId="77777777" w:rsidR="00BD1A0C" w:rsidRPr="00653350" w:rsidRDefault="00BD1A0C" w:rsidP="00BD1A0C">
          <w:pPr>
            <w:rPr>
              <w:szCs w:val="24"/>
            </w:rPr>
          </w:pPr>
          <w:r w:rsidRPr="00653350">
            <w:rPr>
              <w:szCs w:val="24"/>
            </w:rPr>
            <w:t>We offer a flexible and inspiring environment with great pride in the quality of our work. We fully believe in the need to strike a good work/private life balance and we apply flexible working arrangements to achieve this.</w:t>
          </w:r>
        </w:p>
        <w:p w14:paraId="46EE3E07" w14:textId="3BFF80FC" w:rsidR="00E21DBD" w:rsidRPr="00AF7D78" w:rsidRDefault="006D5B0C"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CAC9F5F" w14:textId="77777777" w:rsidR="00BD1A0C" w:rsidRPr="00653350" w:rsidRDefault="00BD1A0C" w:rsidP="00BD1A0C">
          <w:pPr>
            <w:rPr>
              <w:szCs w:val="24"/>
            </w:rPr>
          </w:pPr>
          <w:r w:rsidRPr="00653350">
            <w:rPr>
              <w:szCs w:val="24"/>
            </w:rPr>
            <w:t xml:space="preserve">A motivated and naturally curious colleague, who is also well organised and likes to work in teams and interact with a variety of people. Our ideal candidate is an analyst with good communication and networking skills, able to demonstrate intellectual curiosity, strategic thinking and creativity. A solid knowledge of European digital policies as well as the ability to link technology developments, market and policy analysis, and pass political messages are important elements. </w:t>
          </w:r>
        </w:p>
        <w:p w14:paraId="756ADC0C" w14:textId="77777777" w:rsidR="00BD1A0C" w:rsidRPr="00653350" w:rsidRDefault="00BD1A0C" w:rsidP="00BD1A0C">
          <w:pPr>
            <w:rPr>
              <w:szCs w:val="24"/>
            </w:rPr>
          </w:pPr>
        </w:p>
        <w:p w14:paraId="1F889EB7" w14:textId="77777777" w:rsidR="00BD1A0C" w:rsidRPr="00653350" w:rsidRDefault="00BD1A0C" w:rsidP="00BD1A0C">
          <w:pPr>
            <w:rPr>
              <w:szCs w:val="24"/>
            </w:rPr>
          </w:pPr>
          <w:r w:rsidRPr="00653350">
            <w:rPr>
              <w:szCs w:val="24"/>
            </w:rPr>
            <w:t xml:space="preserve">We are looking for someone who knows how to deliver results on time, with attention to detail, and taking account of the recipients’ needs. The candidate should be a well-organised team player, but also able to work individually. Prior experience with policy work in the digital area, economic analysis, and/or country analysis would be an asset. We strive to distribute the workload so it is manageable, but punctual work under pressure and to meet tight deadlines cannot be excluded. </w:t>
          </w:r>
        </w:p>
        <w:p w14:paraId="573D8AC0" w14:textId="77777777" w:rsidR="00BD1A0C" w:rsidRPr="00653350" w:rsidRDefault="00BD1A0C" w:rsidP="00BD1A0C">
          <w:pPr>
            <w:rPr>
              <w:szCs w:val="24"/>
            </w:rPr>
          </w:pPr>
        </w:p>
        <w:p w14:paraId="6F00D165" w14:textId="77777777" w:rsidR="00BD1A0C" w:rsidRPr="00653350" w:rsidRDefault="00BD1A0C" w:rsidP="00BD1A0C">
          <w:pPr>
            <w:rPr>
              <w:szCs w:val="24"/>
              <w:lang w:val="en-CA"/>
            </w:rPr>
          </w:pPr>
          <w:r w:rsidRPr="00653350">
            <w:rPr>
              <w:szCs w:val="24"/>
            </w:rPr>
            <w:t>The post requires a very good command of English, both orally and in writing; any other Commission’s official languages (FR, DE) would be an asset.</w:t>
          </w:r>
        </w:p>
        <w:p w14:paraId="51994EDB" w14:textId="0D6E143E" w:rsidR="002E40A9" w:rsidRPr="00AF7D78" w:rsidRDefault="006D5B0C"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2284F"/>
    <w:rsid w:val="00394447"/>
    <w:rsid w:val="003E50A4"/>
    <w:rsid w:val="0040388A"/>
    <w:rsid w:val="00431778"/>
    <w:rsid w:val="00454CC7"/>
    <w:rsid w:val="00476034"/>
    <w:rsid w:val="005168AD"/>
    <w:rsid w:val="0058240F"/>
    <w:rsid w:val="00592CD5"/>
    <w:rsid w:val="005D1B85"/>
    <w:rsid w:val="00665583"/>
    <w:rsid w:val="00693BC6"/>
    <w:rsid w:val="00696070"/>
    <w:rsid w:val="006D5B0C"/>
    <w:rsid w:val="007E531E"/>
    <w:rsid w:val="007F02AC"/>
    <w:rsid w:val="007F7012"/>
    <w:rsid w:val="008D02B7"/>
    <w:rsid w:val="008F0B52"/>
    <w:rsid w:val="008F4BA9"/>
    <w:rsid w:val="00952FD2"/>
    <w:rsid w:val="00994062"/>
    <w:rsid w:val="00996CC6"/>
    <w:rsid w:val="009A1EA0"/>
    <w:rsid w:val="009A2F00"/>
    <w:rsid w:val="009C5E27"/>
    <w:rsid w:val="00A033AD"/>
    <w:rsid w:val="00AB2CEA"/>
    <w:rsid w:val="00AF6424"/>
    <w:rsid w:val="00B24CC5"/>
    <w:rsid w:val="00B3644B"/>
    <w:rsid w:val="00B65513"/>
    <w:rsid w:val="00B73F08"/>
    <w:rsid w:val="00B8014C"/>
    <w:rsid w:val="00BD1A0C"/>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p:properties xmlns:p="http://schemas.microsoft.com/office/2006/metadata/properties" xmlns:xsi="http://www.w3.org/2001/XMLSchema-instance" xmlns:pc="http://schemas.microsoft.com/office/infopath/2007/PartnerControls">
  <documentManagement>
    <EC_Common_Keyword xmlns="http://schemas.microsoft.com/sharepoint/v3/fields" xsi:nil="true"/>
    <EC_Common_Languages xmlns="http://schemas.microsoft.com/sharepoint/v3/fields">EN,FR,DE</EC_Common_Languages>
    <_DCDateModified xmlns="http://schemas.microsoft.com/sharepoint/v3/fields" xsi:nil="true"/>
    <EC_Portal_SM_DocumentGroupID xmlns="a41a97bf-0494-41d8-ba3d-259bd7771890" xsi:nil="true"/>
    <EC_Portal_SM_Description xmlns="1929b814-5a78-4bdc-9841-d8b9ef424f65" xsi:nil="true"/>
    <EC_Portal_SM_Audiences xmlns="1929b814-5a78-4bdc-9841-d8b9ef424f65">COM A EACEA A EACI A EAHC A ERCEA A HADEA A REA A TENEA A</EC_Portal_SM_Audiences>
    <EC_Portal_SM_IsProfessional xmlns="1929b814-5a78-4bdc-9841-d8b9ef424f65">false</EC_Portal_SM_IsProfessional>
    <EC_Portal_SM_Pages xmlns="a41a97bf-0494-41d8-ba3d-259bd777189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ECF90-431E-4380-8027-994959F5183F}">
  <ds:schemaRefs>
    <ds:schemaRef ds:uri="http://schemas.microsoft.com/sharepoint/v3/contenttype/forms"/>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7A3C6D55-1AF6-449B-857D-C7A32EBC765D}">
  <ds:schemaRefs>
    <ds:schemaRef ds:uri="http://schemas.microsoft.com/sharepoint/v3/fields"/>
    <ds:schemaRef ds:uri="http://purl.org/dc/dcmitype/"/>
    <ds:schemaRef ds:uri="http://schemas.microsoft.com/office/2006/documentManagement/types"/>
    <ds:schemaRef ds:uri="a41a97bf-0494-41d8-ba3d-259bd7771890"/>
    <ds:schemaRef ds:uri="http://purl.org/dc/elements/1.1/"/>
    <ds:schemaRef ds:uri="1929b814-5a78-4bdc-9841-d8b9ef424f65"/>
    <ds:schemaRef ds:uri="08927195-b699-4be0-9ee2-6c66dc215b5a"/>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59A7A4AC-649F-426F-91DE-75F413CC4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5</Pages>
  <Words>1550</Words>
  <Characters>8841</Characters>
  <Application>Microsoft Office Word</Application>
  <DocSecurity>4</DocSecurity>
  <PresentationFormat>Microsoft Word 14.0</PresentationFormat>
  <Lines>196</Lines>
  <Paragraphs>106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Roza PAPADOPOULOU</cp:lastModifiedBy>
  <cp:revision>2</cp:revision>
  <cp:lastPrinted>2023-04-05T10:36:00Z</cp:lastPrinted>
  <dcterms:created xsi:type="dcterms:W3CDTF">2023-09-13T09:55:00Z</dcterms:created>
  <dcterms:modified xsi:type="dcterms:W3CDTF">2023-09-13T09:55:00Z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0x010100B115F2CDA271DD4BBE79039B2B10322D005972CF4DFAC7AC44A3C80A3589CF2E1E</vt:lpwstr>
  </property>
  <property fmtid="{D5CDD505-2E9C-101B-9397-08002B2CF9AE}" pid="10" name="EC_Portal_SM_LocationTaxHTField0">
    <vt:lpwstr>Brussels|a2fd1745-7a8b-472f-87d8-c065744c40dd;Luxembourg|83ddf54f-ddb9-4640-a49c-ddc026ae519f;Other EU cities|d7af267d-1fe5-4f44-81e3-3d2959f76565;Non-EU cities|e2ed3b20-65ba-43c5-813e-9bd8e4201ac9</vt:lpwstr>
  </property>
  <property fmtid="{D5CDD505-2E9C-101B-9397-08002B2CF9AE}" pid="11" name="EC_Portal_SM_NavigationLanguageTaxHTField0">
    <vt:lpwstr>English|256b0f03-2527-4c41-b261-a16799168ae6;French|797213b8-07f2-436e-a021-30df8c8bbd6c</vt:lpwstr>
  </property>
  <property fmtid="{D5CDD505-2E9C-101B-9397-08002B2CF9AE}" pid="12" name="TaxCatchAll">
    <vt:lpwstr>4;#Non-EU cities|e2ed3b20-65ba-43c5-813e-9bd8e4201ac9;#6;#French|797213b8-07f2-436e-a021-30df8c8bbd6c;#5;#English|256b0f03-2527-4c41-b261-a16799168ae6;#55;#Seconded national experts|8541174c-e865-48c8-ad74-a224e0cea60d;#3;#Other EU cities|d7af267d-1fe5-4f44-81e3-3d2959f76565;#2;#Luxembourg|83ddf54f-ddb9-4640-a49c-ddc026ae519f;#1;#Brussels|a2fd1745-7a8b-472f-87d8-c065744c40dd</vt:lpwstr>
  </property>
  <property fmtid="{D5CDD505-2E9C-101B-9397-08002B2CF9AE}" pid="13" name="EC_Portal_SM_Location">
    <vt:lpwstr>1;#Brussels|a2fd1745-7a8b-472f-87d8-c065744c40dd;#2;#Luxembourg|83ddf54f-ddb9-4640-a49c-ddc026ae519f;#3;#Other EU cities|d7af267d-1fe5-4f44-81e3-3d2959f76565;#4;#Non-EU cities|e2ed3b20-65ba-43c5-813e-9bd8e4201ac9</vt:lpwstr>
  </property>
  <property fmtid="{D5CDD505-2E9C-101B-9397-08002B2CF9AE}" pid="14" name="EC_Portal_SM_DocumentType">
    <vt:lpwstr/>
  </property>
  <property fmtid="{D5CDD505-2E9C-101B-9397-08002B2CF9AE}" pid="15" name="EC_Portal_SM_NavigationLanguage">
    <vt:lpwstr>5;#English|256b0f03-2527-4c41-b261-a16799168ae6;#6;#French|797213b8-07f2-436e-a021-30df8c8bbd6c</vt:lpwstr>
  </property>
  <property fmtid="{D5CDD505-2E9C-101B-9397-08002B2CF9AE}" pid="16" name="EC_Portal_SM_Topics">
    <vt:lpwstr>55;#Seconded national experts|8541174c-e865-48c8-ad74-a224e0cea60d</vt:lpwstr>
  </property>
  <property fmtid="{D5CDD505-2E9C-101B-9397-08002B2CF9AE}" pid="17" name="EC_Portal_SM_TopicsTaxHTField0">
    <vt:lpwstr>Seconded national experts|8541174c-e865-48c8-ad74-a224e0cea60d</vt:lpwstr>
  </property>
  <property fmtid="{D5CDD505-2E9C-101B-9397-08002B2CF9AE}" pid="18" name="EC_Portal_SM_DocumentTypeTaxHTField0">
    <vt:lpwstr/>
  </property>
</Properties>
</file>