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fr-BE" w:eastAsia="fr-B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D55C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D7B8442" w:rsidR="00B65513" w:rsidRPr="0007110E" w:rsidRDefault="00A6661E" w:rsidP="00A6661E">
                <w:pPr>
                  <w:tabs>
                    <w:tab w:val="left" w:pos="426"/>
                  </w:tabs>
                  <w:spacing w:before="120"/>
                  <w:rPr>
                    <w:bCs/>
                    <w:lang w:val="en-IE" w:eastAsia="en-GB"/>
                  </w:rPr>
                </w:pPr>
                <w:r>
                  <w:rPr>
                    <w:bCs/>
                    <w:lang w:val="en-IE" w:eastAsia="en-GB"/>
                  </w:rPr>
                  <w:t>DG HOME – Directorate B – Unit B2 Schengen Governance</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A999D93" w:rsidR="00D96984" w:rsidRPr="0007110E" w:rsidRDefault="00A6661E" w:rsidP="00A6661E">
                <w:pPr>
                  <w:tabs>
                    <w:tab w:val="left" w:pos="426"/>
                  </w:tabs>
                  <w:spacing w:before="120"/>
                  <w:rPr>
                    <w:bCs/>
                    <w:lang w:val="en-IE" w:eastAsia="en-GB"/>
                  </w:rPr>
                </w:pPr>
                <w:r>
                  <w:rPr>
                    <w:bCs/>
                    <w:lang w:val="en-IE" w:eastAsia="en-GB"/>
                  </w:rPr>
                  <w:t>415176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389C34D" w:rsidR="00E21DBD" w:rsidRPr="0007110E" w:rsidRDefault="00A6661E" w:rsidP="00E82667">
                <w:pPr>
                  <w:tabs>
                    <w:tab w:val="left" w:pos="426"/>
                  </w:tabs>
                  <w:spacing w:before="120"/>
                  <w:rPr>
                    <w:bCs/>
                    <w:lang w:val="en-IE" w:eastAsia="en-GB"/>
                  </w:rPr>
                </w:pPr>
                <w:r>
                  <w:rPr>
                    <w:bCs/>
                    <w:lang w:val="en-IE" w:eastAsia="en-GB"/>
                  </w:rPr>
                  <w:t>Tom SNELS</w:t>
                </w:r>
              </w:p>
            </w:sdtContent>
          </w:sdt>
          <w:p w14:paraId="34CF737A" w14:textId="7846EB70" w:rsidR="00E21DBD" w:rsidRPr="0007110E" w:rsidRDefault="002D55C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6661E">
                  <w:rPr>
                    <w:bCs/>
                    <w:lang w:val="en-IE" w:eastAsia="en-GB"/>
                  </w:rPr>
                  <w:t xml:space="preserve">16 </w:t>
                </w:r>
                <w:r>
                  <w:rPr>
                    <w:bCs/>
                    <w:lang w:val="en-IE" w:eastAsia="en-GB"/>
                  </w:rPr>
                  <w:t>/05/</w:t>
                </w:r>
                <w:bookmarkStart w:id="1" w:name="_GoBack"/>
                <w:bookmarkEnd w:id="1"/>
                <w:r w:rsidR="00A6661E">
                  <w:rPr>
                    <w:bCs/>
                    <w:lang w:val="en-IE" w:eastAsia="en-GB"/>
                  </w:rPr>
                  <w:t>2024 = 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A6661E">
                  <w:rPr>
                    <w:bCs/>
                    <w:lang w:val="en-IE" w:eastAsia="en-GB"/>
                  </w:rPr>
                  <w:t>2024</w:t>
                </w:r>
              </w:sdtContent>
            </w:sdt>
          </w:p>
          <w:p w14:paraId="158DD156" w14:textId="32FFF390" w:rsidR="00E21DBD" w:rsidRPr="0007110E" w:rsidRDefault="002D55C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6661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6661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2" w:name="_Hlk135920176"/>
            <w:r>
              <w:rPr>
                <w:bCs/>
                <w:lang w:val="en-IE" w:eastAsia="en-GB"/>
              </w:rPr>
              <w:t>Type of secondment</w:t>
            </w:r>
          </w:p>
        </w:tc>
        <w:tc>
          <w:tcPr>
            <w:tcW w:w="5491" w:type="dxa"/>
          </w:tcPr>
          <w:p w14:paraId="6B14399A" w14:textId="74C72E5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3pt;height:21.9pt" o:ole="">
                  <v:imagedata r:id="rId12" o:title=""/>
                </v:shape>
                <w:control r:id="rId13" w:name="OptionButton6" w:shapeid="_x0000_i1037"/>
              </w:object>
            </w:r>
            <w:r>
              <w:rPr>
                <w:bCs/>
                <w:szCs w:val="24"/>
                <w:lang w:eastAsia="en-GB"/>
              </w:rPr>
              <w:object w:dxaOrig="225" w:dyaOrig="225" w14:anchorId="1B1CECAE">
                <v:shape id="_x0000_i1039" type="#_x0000_t75" style="width:108.3pt;height:21.9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0B9BE9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3pt;height:21.9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D55C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66F74182"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D11779">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D11779">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1"/>
                  <w14:checkedState w14:val="2612" w14:font="MS Gothic"/>
                  <w14:uncheckedState w14:val="2610" w14:font="MS Gothic"/>
                </w14:checkbox>
              </w:sdtPr>
              <w:sdtEndPr/>
              <w:sdtContent>
                <w:r w:rsidR="00D11779">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D55C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D55C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7C15B6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5pt;height:21.9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5064670"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3pt;height:21.9pt" o:ole="">
                  <v:imagedata r:id="rId20" o:title=""/>
                </v:shape>
                <w:control r:id="rId21" w:name="OptionButton2" w:shapeid="_x0000_i1045"/>
              </w:object>
            </w:r>
            <w:r>
              <w:rPr>
                <w:bCs/>
                <w:szCs w:val="24"/>
                <w:lang w:eastAsia="en-GB"/>
              </w:rPr>
              <w:object w:dxaOrig="225" w:dyaOrig="225" w14:anchorId="0992615F">
                <v:shape id="_x0000_i1047" type="#_x0000_t75" style="width:108.3pt;height:21.9pt" o:ole="">
                  <v:imagedata r:id="rId22" o:title=""/>
                </v:shape>
                <w:control r:id="rId23" w:name="OptionButton3" w:shapeid="_x0000_i1047"/>
              </w:object>
            </w:r>
          </w:p>
        </w:tc>
      </w:tr>
      <w:bookmarkEnd w:id="0"/>
      <w:bookmarkEnd w:id="2"/>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rFonts w:ascii="Times New Roman" w:eastAsia="Times New Roman" w:hAnsi="Times New Roman" w:cs="Times New Roman"/>
          <w:sz w:val="24"/>
          <w:szCs w:val="20"/>
          <w:lang w:val="en-US" w:eastAsia="en-GB"/>
        </w:rPr>
        <w:id w:val="1822233941"/>
        <w:placeholder>
          <w:docPart w:val="A1D7C4E93E5D41968C9784C962AACA55"/>
        </w:placeholder>
      </w:sdtPr>
      <w:sdtEndPr/>
      <w:sdtContent>
        <w:sdt>
          <w:sdtPr>
            <w:rPr>
              <w:sz w:val="24"/>
              <w:szCs w:val="24"/>
              <w:lang w:val="en-US" w:eastAsia="en-GB"/>
            </w:rPr>
            <w:id w:val="-1209031042"/>
            <w:placeholder>
              <w:docPart w:val="B0830DC446864748B1438EB8343F9BA8"/>
            </w:placeholder>
          </w:sdtPr>
          <w:sdtEndPr/>
          <w:sdtContent>
            <w:p w14:paraId="4CA8AF42" w14:textId="77777777" w:rsidR="00A6661E" w:rsidRPr="006A5178" w:rsidRDefault="00A6661E" w:rsidP="00A6661E">
              <w:pPr>
                <w:pStyle w:val="Bodytext10"/>
                <w:spacing w:after="220"/>
                <w:ind w:left="400"/>
                <w:jc w:val="both"/>
                <w:rPr>
                  <w:rStyle w:val="Bodytext1"/>
                  <w:rFonts w:ascii="Times New Roman" w:hAnsi="Times New Roman" w:cs="Times New Roman"/>
                  <w:sz w:val="24"/>
                  <w:szCs w:val="24"/>
                  <w:lang w:val="en-IE"/>
                </w:rPr>
              </w:pPr>
              <w:r w:rsidRPr="006A5178">
                <w:rPr>
                  <w:rStyle w:val="Bodytext1"/>
                  <w:rFonts w:ascii="Times New Roman" w:hAnsi="Times New Roman" w:cs="Times New Roman"/>
                  <w:sz w:val="24"/>
                  <w:szCs w:val="24"/>
                  <w:lang w:val="en-IE"/>
                </w:rPr>
                <w:t xml:space="preserve">Unit HOME.B.2 Schengen Governance leads on the work underpinning the governance of the Schengen area, protecting the application of the Schengen acquis, and promoting its further development. The Schengen area without controls at internal borders is an emblematic achievement of European integration. Since its foundations were laid in 1985, it has changed the daily reality of hundreds of millions of people. The Schengen project has torn down barriers, brought people closer together and </w:t>
              </w:r>
              <w:r w:rsidRPr="006A5178">
                <w:rPr>
                  <w:rStyle w:val="Bodytext1"/>
                  <w:rFonts w:ascii="Times New Roman" w:hAnsi="Times New Roman" w:cs="Times New Roman"/>
                  <w:sz w:val="24"/>
                  <w:szCs w:val="24"/>
                  <w:lang w:val="en-IE"/>
                </w:rPr>
                <w:lastRenderedPageBreak/>
                <w:t>strengthened European economies. The Unit is also responsible for the enlargement of the Schengen area.</w:t>
              </w:r>
            </w:p>
            <w:p w14:paraId="7E585A67" w14:textId="77777777" w:rsidR="00A6661E" w:rsidRPr="006A5178" w:rsidRDefault="00A6661E" w:rsidP="00A6661E">
              <w:pPr>
                <w:pStyle w:val="Bodytext10"/>
                <w:spacing w:after="220"/>
                <w:ind w:left="400"/>
                <w:jc w:val="both"/>
                <w:rPr>
                  <w:rFonts w:ascii="Times New Roman" w:hAnsi="Times New Roman" w:cs="Times New Roman"/>
                  <w:sz w:val="24"/>
                  <w:szCs w:val="24"/>
                  <w:lang w:val="en-IE"/>
                </w:rPr>
              </w:pPr>
              <w:r w:rsidRPr="006A5178">
                <w:rPr>
                  <w:rStyle w:val="Bodytext1"/>
                  <w:rFonts w:ascii="Times New Roman" w:hAnsi="Times New Roman" w:cs="Times New Roman"/>
                  <w:sz w:val="24"/>
                  <w:szCs w:val="24"/>
                  <w:lang w:val="en-IE"/>
                </w:rPr>
                <w:t>The Unit gives strategic and operational steer to the Schengen evaluation and monitoring mechanism, which verifies the application of the Schengen acquis and ensures effective implementation of the actions to remedy the deficiencies identified in all Member States and Schengen associated countries. This mechanism covers among others the areas of Schengen external borders and internal security.</w:t>
              </w:r>
            </w:p>
            <w:p w14:paraId="1E91230C" w14:textId="77777777" w:rsidR="00A6661E" w:rsidRPr="006A5178" w:rsidRDefault="00A6661E" w:rsidP="00A6661E">
              <w:pPr>
                <w:pStyle w:val="Bodytext10"/>
                <w:spacing w:after="220"/>
                <w:ind w:left="400"/>
                <w:jc w:val="both"/>
                <w:rPr>
                  <w:sz w:val="24"/>
                  <w:szCs w:val="24"/>
                  <w:lang w:val="en-US" w:eastAsia="en-GB"/>
                </w:rPr>
              </w:pPr>
              <w:r w:rsidRPr="006A5178">
                <w:rPr>
                  <w:rStyle w:val="Bodytext1"/>
                  <w:rFonts w:ascii="Times New Roman" w:hAnsi="Times New Roman" w:cs="Times New Roman"/>
                  <w:sz w:val="24"/>
                  <w:szCs w:val="24"/>
                  <w:lang w:val="en-IE"/>
                </w:rPr>
                <w:t>The Unit is also responsible for the annual report of the State of the Schengen area, which lies at the heart of the Schengen governance cycle. The report, underpinned by a Schengen Barometer and Scoreboard, presents a strategic and integrated assessment of the overall health of the Schengen area, as well as Schengen-wide, country-specific and thematic priorities ahead. Political ownership and follow-up are ensured through the regular meetings of the ‘Schengen Council’, which the Unit helps to prepare.</w:t>
              </w:r>
            </w:p>
          </w:sdtContent>
        </w:sdt>
        <w:p w14:paraId="59DD0438" w14:textId="3445DD09" w:rsidR="00E21DBD" w:rsidRDefault="002D55C8"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086AB58" w14:textId="2B741714" w:rsidR="003A0E29" w:rsidRPr="006A5178" w:rsidRDefault="003A0E29" w:rsidP="003A0E29">
          <w:pPr>
            <w:rPr>
              <w:szCs w:val="24"/>
              <w:lang w:val="en-US" w:eastAsia="en-GB" w:bidi="en-US"/>
            </w:rPr>
          </w:pPr>
          <w:r w:rsidRPr="006A5178">
            <w:rPr>
              <w:szCs w:val="24"/>
              <w:lang w:val="en-US" w:eastAsia="en-GB" w:bidi="en-US"/>
            </w:rPr>
            <w:t xml:space="preserve">You will work in a team preparing, carrying out and following-up on Schengen evaluations of Member States and Schengen Associated Countries Under the new, third generation of Schengen evaluations, this approach requires a strategic and holistic approach aimed at ensuring a proper functioning of the Schengen area. </w:t>
          </w:r>
          <w:r w:rsidR="00294C2E">
            <w:rPr>
              <w:szCs w:val="24"/>
              <w:lang w:val="en-US" w:eastAsia="en-GB" w:bidi="en-US"/>
            </w:rPr>
            <w:t>In this context, y</w:t>
          </w:r>
          <w:r w:rsidRPr="006A5178">
            <w:rPr>
              <w:szCs w:val="24"/>
              <w:lang w:val="en-US" w:eastAsia="en-GB" w:bidi="en-US"/>
            </w:rPr>
            <w:t xml:space="preserve">ou will </w:t>
          </w:r>
          <w:r w:rsidR="00294C2E">
            <w:rPr>
              <w:szCs w:val="24"/>
              <w:lang w:val="en-US" w:eastAsia="en-GB" w:bidi="en-US"/>
            </w:rPr>
            <w:t>also help to define, implement and coordinate policy, legislative and operational developments regarding all relevant aspects of the Schengen acquis</w:t>
          </w:r>
          <w:r w:rsidRPr="006A5178">
            <w:rPr>
              <w:szCs w:val="24"/>
              <w:lang w:val="en-US" w:eastAsia="en-GB" w:bidi="en-US"/>
            </w:rPr>
            <w:t xml:space="preserve">. You will work very closely with Member State and agency experts during the mission, draft evaluation reports and recommendations and follow up on the action plan and follow-up reports by the evaluated Member State. You will also help ensure the overall coordination of the periodic, unannounced or first-time evaluation of one or more Member States, and/or thematic evaluations, with a view to the timely adoption of a comprehensive evaluation report and its presentation to the Schengen Committee. </w:t>
          </w:r>
        </w:p>
        <w:p w14:paraId="296828E2" w14:textId="77777777" w:rsidR="003A0E29" w:rsidRPr="006A5178" w:rsidRDefault="003A0E29" w:rsidP="003A0E29">
          <w:pPr>
            <w:rPr>
              <w:szCs w:val="24"/>
              <w:lang w:val="en-US" w:eastAsia="en-GB" w:bidi="en-US"/>
            </w:rPr>
          </w:pPr>
          <w:r w:rsidRPr="006A5178">
            <w:rPr>
              <w:szCs w:val="24"/>
              <w:lang w:val="en-US" w:eastAsia="en-GB" w:bidi="en-US"/>
            </w:rPr>
            <w:t>In addition, you will contribute to the preparation of the State of Schengen reports, the Barometer+ and the Schengen Scoreboards to ensure that the operational findings are adequately reflected in the political Schengen governance cycle and the broader policy implementation and development.</w:t>
          </w:r>
        </w:p>
        <w:p w14:paraId="46EE3E07" w14:textId="1BF53EBF" w:rsidR="00E21DBD" w:rsidRPr="00AF7D78" w:rsidRDefault="003A0E29" w:rsidP="003A0E29">
          <w:pPr>
            <w:rPr>
              <w:lang w:val="en-US" w:eastAsia="en-GB"/>
            </w:rPr>
          </w:pPr>
          <w:r w:rsidRPr="006A5178">
            <w:rPr>
              <w:szCs w:val="24"/>
              <w:lang w:val="en-US" w:eastAsia="en-GB" w:bidi="en-US"/>
            </w:rPr>
            <w:t>You will work very closely with the other colleagues in the Schengen evaluation sector, as well as with the Schengen cycle sector in the same Unit, the various DG HOME policy, financial and operational units, the Secretariat-General, the Legal Service and the Council Secretariat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32BA8DB" w14:textId="77777777" w:rsidR="00D11779" w:rsidRPr="00B0158C" w:rsidRDefault="00D11779" w:rsidP="00D11779">
          <w:pPr>
            <w:spacing w:line="257" w:lineRule="auto"/>
            <w:rPr>
              <w:rStyle w:val="Bodytext1"/>
              <w:rFonts w:ascii="Times New Roman" w:hAnsi="Times New Roman" w:cs="Times New Roman"/>
              <w:sz w:val="24"/>
              <w:szCs w:val="24"/>
              <w:lang w:val="en-IE"/>
            </w:rPr>
          </w:pPr>
          <w:r w:rsidRPr="00B0158C">
            <w:rPr>
              <w:rStyle w:val="Bodytext1"/>
              <w:rFonts w:ascii="Times New Roman" w:hAnsi="Times New Roman" w:cs="Times New Roman"/>
              <w:sz w:val="24"/>
              <w:szCs w:val="24"/>
              <w:lang w:val="en-IE"/>
            </w:rPr>
            <w:t xml:space="preserve">We are looking for a highly motivated and reliable colleague with excellent analytical and drafting skills and a developed sense of initiative and responsibility. Leading ‘Scheval’ </w:t>
          </w:r>
          <w:r w:rsidRPr="00B0158C">
            <w:rPr>
              <w:rStyle w:val="Bodytext1"/>
              <w:rFonts w:ascii="Times New Roman" w:hAnsi="Times New Roman" w:cs="Times New Roman"/>
              <w:sz w:val="24"/>
              <w:szCs w:val="24"/>
              <w:lang w:val="en-IE"/>
            </w:rPr>
            <w:lastRenderedPageBreak/>
            <w:t xml:space="preserve">missions require both strong practical organisational skills as well as leadership and diplomatic skills, coupled with a strong sense of integrity and high ethical standards. </w:t>
          </w:r>
        </w:p>
        <w:p w14:paraId="51994EDB" w14:textId="2C9775F3" w:rsidR="002E40A9" w:rsidRPr="00AF7D78" w:rsidRDefault="00D11779" w:rsidP="00D11779">
          <w:pPr>
            <w:spacing w:line="257" w:lineRule="auto"/>
            <w:rPr>
              <w:lang w:val="en-US" w:eastAsia="en-GB"/>
            </w:rPr>
          </w:pPr>
          <w:r w:rsidRPr="00B0158C">
            <w:rPr>
              <w:rStyle w:val="Bodytext1"/>
              <w:rFonts w:ascii="Times New Roman" w:hAnsi="Times New Roman" w:cs="Times New Roman"/>
              <w:sz w:val="24"/>
              <w:szCs w:val="24"/>
              <w:lang w:val="en-IE"/>
            </w:rPr>
            <w:t xml:space="preserve">The ideal candidate has an in-depth and operational knowledge and of one or ideally several policy areas covered by the Schengen </w:t>
          </w:r>
          <w:r w:rsidRPr="00B0158C">
            <w:rPr>
              <w:rStyle w:val="Bodytext1"/>
              <w:rFonts w:ascii="Times New Roman" w:hAnsi="Times New Roman" w:cs="Times New Roman"/>
              <w:i/>
              <w:sz w:val="24"/>
              <w:szCs w:val="24"/>
              <w:lang w:val="en-IE"/>
            </w:rPr>
            <w:t>acquis</w:t>
          </w:r>
          <w:r w:rsidRPr="00B0158C">
            <w:rPr>
              <w:rStyle w:val="Bodytext1"/>
              <w:rFonts w:ascii="Times New Roman" w:hAnsi="Times New Roman" w:cs="Times New Roman"/>
              <w:sz w:val="24"/>
              <w:szCs w:val="24"/>
              <w:lang w:val="en-IE"/>
            </w:rPr>
            <w:t xml:space="preserve"> and its legal basis: management of the external borders, absence of controls at internal borders, visa policy, return, large-scale information systems supporting the application of the Schengen acquis, police cooperation, judicial cooperation in criminal matters and data protection. Having prior experience in Schengen evaluations and/or being a certified Schengen evaluator would be a significant asset, as well as sound knowledge of the </w:t>
          </w:r>
          <w:r w:rsidRPr="00B0158C">
            <w:rPr>
              <w:rStyle w:val="Bodytext1"/>
              <w:rFonts w:ascii="Times New Roman" w:hAnsi="Times New Roman" w:cs="Times New Roman"/>
              <w:sz w:val="24"/>
              <w:szCs w:val="24"/>
              <w:lang w:val="en-IE" w:eastAsia="fr-FR" w:bidi="fr-FR"/>
            </w:rPr>
            <w:t xml:space="preserve">EU and Schengen </w:t>
          </w:r>
          <w:r w:rsidRPr="00B0158C">
            <w:rPr>
              <w:rStyle w:val="Bodytext1"/>
              <w:rFonts w:ascii="Times New Roman" w:hAnsi="Times New Roman" w:cs="Times New Roman"/>
              <w:sz w:val="24"/>
              <w:szCs w:val="24"/>
              <w:lang w:val="en-IE"/>
            </w:rPr>
            <w:t xml:space="preserve">interinstitutional and inter-agency framework. The selected candidate should have an excellent oral and written command of English, working knowledge of other </w:t>
          </w:r>
          <w:r w:rsidRPr="00B0158C">
            <w:rPr>
              <w:rStyle w:val="Bodytext1"/>
              <w:rFonts w:ascii="Times New Roman" w:hAnsi="Times New Roman" w:cs="Times New Roman"/>
              <w:sz w:val="24"/>
              <w:szCs w:val="24"/>
              <w:lang w:val="en-IE" w:eastAsia="fr-FR" w:bidi="fr-FR"/>
            </w:rPr>
            <w:t xml:space="preserve">EU </w:t>
          </w:r>
          <w:r w:rsidRPr="00B0158C">
            <w:rPr>
              <w:rStyle w:val="Bodytext1"/>
              <w:rFonts w:ascii="Times New Roman" w:hAnsi="Times New Roman" w:cs="Times New Roman"/>
              <w:sz w:val="24"/>
              <w:szCs w:val="24"/>
              <w:lang w:val="en-IE"/>
            </w:rPr>
            <w:t>languages would be an asset</w:t>
          </w:r>
          <w:r>
            <w:rPr>
              <w:rStyle w:val="Bodytext1"/>
              <w:rFonts w:ascii="Times New Roman" w:hAnsi="Times New Roman" w:cs="Times New Roman"/>
              <w:sz w:val="24"/>
              <w:szCs w:val="24"/>
              <w:lang w:val="en-IE"/>
            </w:rPr>
            <w:t>.</w:t>
          </w:r>
          <w:r w:rsidR="006C6864" w:rsidRPr="006A5178">
            <w:rPr>
              <w:szCs w:val="24"/>
              <w:lang w:val="en-US" w:eastAsia="en-GB" w:bidi="en-US"/>
            </w:rPr>
            <w:t xml:space="preserve"> Secretariat</w:t>
          </w:r>
        </w:p>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3A020B80" w:rsidR="00F6462F" w:rsidRDefault="00F4683D">
    <w:pPr>
      <w:pStyle w:val="FooterLine"/>
      <w:jc w:val="center"/>
    </w:pPr>
    <w:r>
      <w:fldChar w:fldCharType="begin"/>
    </w:r>
    <w:r>
      <w:instrText>PAGE   \* MERGEFORMAT</w:instrText>
    </w:r>
    <w:r>
      <w:fldChar w:fldCharType="separate"/>
    </w:r>
    <w:r w:rsidR="002D55C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2"/>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3"/>
  </w:num>
  <w:num w:numId="17">
    <w:abstractNumId w:val="11"/>
  </w:num>
  <w:num w:numId="18">
    <w:abstractNumId w:val="12"/>
  </w:num>
  <w:num w:numId="19">
    <w:abstractNumId w:val="24"/>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94C2E"/>
    <w:rsid w:val="002B3CBF"/>
    <w:rsid w:val="002C49D0"/>
    <w:rsid w:val="002D55C8"/>
    <w:rsid w:val="002E40A9"/>
    <w:rsid w:val="003039CE"/>
    <w:rsid w:val="00394447"/>
    <w:rsid w:val="003A0E29"/>
    <w:rsid w:val="003E50A4"/>
    <w:rsid w:val="0040388A"/>
    <w:rsid w:val="00431778"/>
    <w:rsid w:val="00454CC7"/>
    <w:rsid w:val="00476034"/>
    <w:rsid w:val="005168AD"/>
    <w:rsid w:val="0058240F"/>
    <w:rsid w:val="00592CD5"/>
    <w:rsid w:val="005D1B85"/>
    <w:rsid w:val="00665583"/>
    <w:rsid w:val="00693BC6"/>
    <w:rsid w:val="00696070"/>
    <w:rsid w:val="006C6864"/>
    <w:rsid w:val="007E531E"/>
    <w:rsid w:val="007F02AC"/>
    <w:rsid w:val="007F7012"/>
    <w:rsid w:val="008D02B7"/>
    <w:rsid w:val="008F0B52"/>
    <w:rsid w:val="008F4BA9"/>
    <w:rsid w:val="00994062"/>
    <w:rsid w:val="00996CC6"/>
    <w:rsid w:val="009A1EA0"/>
    <w:rsid w:val="009A2F00"/>
    <w:rsid w:val="009C5E27"/>
    <w:rsid w:val="00A033AD"/>
    <w:rsid w:val="00A6661E"/>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11779"/>
    <w:rsid w:val="00D34864"/>
    <w:rsid w:val="00D704C3"/>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C296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basedOn w:val="DefaultParagraphFont"/>
    <w:link w:val="Bodytext10"/>
    <w:rsid w:val="00A6661E"/>
    <w:rPr>
      <w:rFonts w:ascii="Arial" w:eastAsia="Arial" w:hAnsi="Arial" w:cs="Arial"/>
      <w:sz w:val="26"/>
      <w:szCs w:val="26"/>
    </w:rPr>
  </w:style>
  <w:style w:type="paragraph" w:customStyle="1" w:styleId="Bodytext10">
    <w:name w:val="Body text|1"/>
    <w:basedOn w:val="Normal"/>
    <w:link w:val="Bodytext1"/>
    <w:rsid w:val="00A6661E"/>
    <w:pPr>
      <w:widowControl w:val="0"/>
      <w:spacing w:after="80" w:line="257" w:lineRule="auto"/>
      <w:jc w:val="lef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B0830DC446864748B1438EB8343F9BA8"/>
        <w:category>
          <w:name w:val="General"/>
          <w:gallery w:val="placeholder"/>
        </w:category>
        <w:types>
          <w:type w:val="bbPlcHdr"/>
        </w:types>
        <w:behaviors>
          <w:behavior w:val="content"/>
        </w:behaviors>
        <w:guid w:val="{66B2CFEF-6B22-496D-8B02-ADD9F11370E3}"/>
      </w:docPartPr>
      <w:docPartBody>
        <w:p w:rsidR="00DB48F1" w:rsidRDefault="0041740A" w:rsidP="0041740A">
          <w:pPr>
            <w:pStyle w:val="B0830DC446864748B1438EB8343F9BA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41740A"/>
    <w:rsid w:val="006212B2"/>
    <w:rsid w:val="006F0611"/>
    <w:rsid w:val="007F7378"/>
    <w:rsid w:val="00893390"/>
    <w:rsid w:val="00894A0C"/>
    <w:rsid w:val="00CA527C"/>
    <w:rsid w:val="00D374C1"/>
    <w:rsid w:val="00DB48F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740A"/>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B0830DC446864748B1438EB8343F9BA8">
    <w:name w:val="B0830DC446864748B1438EB8343F9BA8"/>
    <w:rsid w:val="0041740A"/>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8CEA139-3D11-4387-B4D7-E579D3F1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1361</Words>
  <Characters>7489</Characters>
  <Application>Microsoft Office Word</Application>
  <DocSecurity>4</DocSecurity>
  <PresentationFormat>Microsoft Word 14.0</PresentationFormat>
  <Lines>62</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TOUWAIDE Isabelle (HOME)</cp:lastModifiedBy>
  <cp:revision>2</cp:revision>
  <cp:lastPrinted>2023-04-05T10:36:00Z</cp:lastPrinted>
  <dcterms:created xsi:type="dcterms:W3CDTF">2023-09-08T06:51:00Z</dcterms:created>
  <dcterms:modified xsi:type="dcterms:W3CDTF">2023-09-08T06:51:00Z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