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A665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14D3B1B" w:rsidR="00B65513" w:rsidRPr="0007110E" w:rsidRDefault="00C365A2" w:rsidP="00C365A2">
                <w:pPr>
                  <w:tabs>
                    <w:tab w:val="left" w:pos="426"/>
                  </w:tabs>
                  <w:spacing w:before="120"/>
                  <w:rPr>
                    <w:bCs/>
                    <w:lang w:val="en-IE" w:eastAsia="en-GB"/>
                  </w:rPr>
                </w:pPr>
                <w:r>
                  <w:rPr>
                    <w:bCs/>
                    <w:lang w:val="en-IE" w:eastAsia="en-GB"/>
                  </w:rPr>
                  <w:t>CNECT – E - 4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F3CF8DE" w:rsidR="00E21DBD" w:rsidRPr="0007110E" w:rsidRDefault="00C365A2" w:rsidP="00E82667">
                <w:pPr>
                  <w:tabs>
                    <w:tab w:val="left" w:pos="426"/>
                  </w:tabs>
                  <w:spacing w:before="120"/>
                  <w:rPr>
                    <w:bCs/>
                    <w:lang w:val="en-IE" w:eastAsia="en-GB"/>
                  </w:rPr>
                </w:pPr>
                <w:r>
                  <w:rPr>
                    <w:bCs/>
                    <w:lang w:val="en-IE" w:eastAsia="en-GB"/>
                  </w:rPr>
                  <w:t>Max Lemke</w:t>
                </w:r>
              </w:p>
            </w:sdtContent>
          </w:sdt>
          <w:p w14:paraId="34CF737A" w14:textId="09FF4331" w:rsidR="00E21DBD" w:rsidRPr="0007110E" w:rsidRDefault="000A665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365A2">
                  <w:rPr>
                    <w:bCs/>
                    <w:lang w:val="en-IE" w:eastAsia="en-GB"/>
                  </w:rPr>
                  <w:t xml:space="preserve">Q4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5EE3E3F9" w:rsidR="00E21DBD" w:rsidRPr="0007110E" w:rsidRDefault="000A665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365A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365A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B22ED43"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08.2pt;height:21.8pt" o:ole="">
                  <v:imagedata r:id="rId12" o:title=""/>
                </v:shape>
                <w:control r:id="rId13" w:name="OptionButton6" w:shapeid="_x0000_i1057"/>
              </w:object>
            </w:r>
            <w:r>
              <w:rPr>
                <w:bCs/>
                <w:szCs w:val="24"/>
              </w:rPr>
              <w:object w:dxaOrig="225" w:dyaOrig="225" w14:anchorId="1B1CECAE">
                <v:shape id="_x0000_i1051" type="#_x0000_t75" style="width:108.2pt;height:21.8pt" o:ole="">
                  <v:imagedata r:id="rId14" o:title=""/>
                </v:shape>
                <w:control r:id="rId15" w:name="OptionButton7" w:shapeid="_x0000_i1051"/>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DF6E769"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2pt;height:21.8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A665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31286134"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110917">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A665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74F3EA95" w:rsidR="0040388A" w:rsidRDefault="000A665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110917">
                  <w:rPr>
                    <w:bCs/>
                    <w:szCs w:val="24"/>
                    <w:lang w:eastAsia="en-GB"/>
                  </w:rPr>
                  <w:t>UN Agencies, OECD</w:t>
                </w:r>
              </w:sdtContent>
            </w:sdt>
          </w:p>
          <w:p w14:paraId="195D93C2" w14:textId="57187952" w:rsidR="0040388A" w:rsidRDefault="0040388A" w:rsidP="00E21DBD">
            <w:pPr>
              <w:tabs>
                <w:tab w:val="left" w:pos="426"/>
              </w:tabs>
              <w:contextualSpacing/>
              <w:rPr>
                <w:bCs/>
                <w:szCs w:val="24"/>
                <w:lang w:eastAsia="en-GB"/>
              </w:rPr>
            </w:pPr>
          </w:p>
          <w:p w14:paraId="6CECCDB8" w14:textId="42CFB0F0"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1pt;height:21.8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DC802FB"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52" type="#_x0000_t75" style="width:108.2pt;height:21.8pt" o:ole="">
                  <v:imagedata r:id="rId20" o:title=""/>
                </v:shape>
                <w:control r:id="rId21" w:name="OptionButton2" w:shapeid="_x0000_i1052"/>
              </w:object>
            </w:r>
            <w:r>
              <w:rPr>
                <w:bCs/>
                <w:szCs w:val="24"/>
              </w:rPr>
              <w:object w:dxaOrig="225" w:dyaOrig="225" w14:anchorId="0992615F">
                <v:shape id="_x0000_i1056" type="#_x0000_t75" style="width:108.2pt;height:21.8pt" o:ole="">
                  <v:imagedata r:id="rId22" o:title=""/>
                </v:shape>
                <w:control r:id="rId23" w:name="OptionButton3" w:shapeid="_x0000_i1056"/>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61594F4" w14:textId="77777777" w:rsidR="00110917" w:rsidRPr="00110917" w:rsidRDefault="00110917" w:rsidP="00110917">
          <w:pPr>
            <w:rPr>
              <w:lang w:val="en-US" w:eastAsia="en-GB"/>
            </w:rPr>
          </w:pPr>
          <w:r w:rsidRPr="00110917">
            <w:rPr>
              <w:lang w:val="en-US" w:eastAsia="en-GB"/>
            </w:rPr>
            <w:t xml:space="preserve">“The Directorate is dedicated to strategically advancing policy, technology research, and standardization across the entire Future Internet spectrum. This ensures a cohesive integration of all aspects, positioning Europe as a frontrunner in designing, sustaining, and deploying the Internet of tomorrow. The strategic agenda prioritizes essential components for the digital economy, such as promoting 5G/6G global policies, researching and innovating future mobile systems, strategically utilizing spectrum, implementing cloud policies, and supporting software strategies. The agenda also encompasses the development and implementation of a common European IoT agenda, as well as fostering </w:t>
          </w:r>
          <w:r w:rsidRPr="00110917">
            <w:rPr>
              <w:lang w:val="en-US" w:eastAsia="en-GB"/>
            </w:rPr>
            <w:lastRenderedPageBreak/>
            <w:t>internet security and openness policy development. Furthermore, the agenda supports the Next Generation Internet Initiative, assisting internet innovators in developing the building blocks for a human-centric Internet, while considering the long-term outlook of the Internet.</w:t>
          </w:r>
        </w:p>
        <w:p w14:paraId="59DD0438" w14:textId="65004F99" w:rsidR="00E21DBD" w:rsidRDefault="00110917" w:rsidP="00110917">
          <w:pPr>
            <w:rPr>
              <w:lang w:val="en-US" w:eastAsia="en-GB"/>
            </w:rPr>
          </w:pPr>
          <w:r w:rsidRPr="00110917">
            <w:rPr>
              <w:lang w:val="en-US" w:eastAsia="en-GB"/>
            </w:rPr>
            <w:t>The Directorate serves as a centre of competence for green digital twin transition issues, cloud policies, free flow of data, and IoT liability, emphasizing open service platforms. Operating with a global perspective, the Directorate harnesses multilateral cooperation and reinforces Internet governance. It promotes large-scale, experiment-driven research, validation, and piloting of future Internet systems, services, and architectures. Additionally, the Directorate implements an innovative industrial strategy that explores the benefits of the Internet across all economic and social sectors, aligning with the digital transformation priorities of the European economy. This includes fostering the digital and green transition across agriculture, energy, and mobility sectors, and leading the implementation of data spaces in these respective areas (within the Digital Europe Programme)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6D2E847" w14:textId="77777777" w:rsidR="00426CFF" w:rsidRPr="00426CFF" w:rsidRDefault="00426CFF" w:rsidP="00426CFF">
          <w:pPr>
            <w:rPr>
              <w:lang w:val="en-US" w:eastAsia="en-GB"/>
            </w:rPr>
          </w:pPr>
          <w:r w:rsidRPr="00426CFF">
            <w:rPr>
              <w:lang w:val="en-US" w:eastAsia="en-GB"/>
            </w:rPr>
            <w:t xml:space="preserve">Under the supervision of Commissions officials the SNE is expected to contribute to the development and implementation of Commission’s policy in the area of the digital aspect of the green transition (green digital twin transition). The work will involve coordination of existing initiatives related to greening of ICT, Digital solutions for environment and climate with emphasis on circular economy (digital product passport). </w:t>
          </w:r>
        </w:p>
        <w:p w14:paraId="0425BF44" w14:textId="7641EEDB" w:rsidR="00426CFF" w:rsidRDefault="00426CFF" w:rsidP="00426CFF">
          <w:pPr>
            <w:rPr>
              <w:lang w:val="en-US" w:eastAsia="en-GB"/>
            </w:rPr>
          </w:pPr>
          <w:r w:rsidRPr="00426CFF">
            <w:rPr>
              <w:lang w:val="en-US" w:eastAsia="en-GB"/>
            </w:rPr>
            <w:t xml:space="preserve">(S)he will be contributing to the coordination of the green digital topics internally in CNECT, between EC services (other directorates generals and agencies), working with the European Parliament, Member States, associations, companies, NGO, academia and think tanks on EU and the international and multilateral dimension of sustainable digital matters of the European Commission’s digital policy. The work will also include provision of strategic analysis, including analysis of markets and technologies, contribution to drafting and management of grants and tenders, preparing briefing notes and speeches on the specific policy domain and issues, and, organising relevant high-level events. The SNE will work closely with the advisor responsible for the digital aspects of the green transition. </w:t>
          </w:r>
        </w:p>
        <w:p w14:paraId="6B64BECF" w14:textId="77777777" w:rsidR="00A65920" w:rsidRPr="00A65920" w:rsidRDefault="00A65920" w:rsidP="00A65920">
          <w:pPr>
            <w:rPr>
              <w:u w:val="single"/>
              <w:lang w:eastAsia="en-GB"/>
            </w:rPr>
          </w:pPr>
          <w:r w:rsidRPr="00A65920">
            <w:rPr>
              <w:lang w:eastAsia="en-GB"/>
            </w:rPr>
            <w:t xml:space="preserve">The posts open for seconded national experts (SNE) are embedded in the following political setting:  An overarching priority of the EDG is the twinning of the respective digital and ecologic (green) transformations as expressed in the resent </w:t>
          </w:r>
          <w:hyperlink r:id="rId24" w:history="1">
            <w:r w:rsidRPr="00A65920">
              <w:rPr>
                <w:rStyle w:val="Hyperlink"/>
                <w:lang w:eastAsia="en-GB"/>
              </w:rPr>
              <w:t>2022 Strategic Foresight Report</w:t>
            </w:r>
          </w:hyperlink>
          <w:r w:rsidRPr="00A65920">
            <w:rPr>
              <w:lang w:eastAsia="en-GB"/>
            </w:rPr>
            <w:t xml:space="preserve">.  The Member States recognised the need for a double transformation and underlined the need to act with the adoption of Council Conclusions “Digitalisation for the benefit of the Environment” in December 2020, a follow-up joint </w:t>
          </w:r>
          <w:hyperlink r:id="rId25" w:history="1">
            <w:r w:rsidRPr="00A65920">
              <w:rPr>
                <w:rStyle w:val="Hyperlink"/>
                <w:lang w:eastAsia="en-GB"/>
              </w:rPr>
              <w:t>ministerial declaration</w:t>
            </w:r>
          </w:hyperlink>
          <w:r w:rsidRPr="00A65920">
            <w:rPr>
              <w:lang w:eastAsia="en-GB"/>
            </w:rPr>
            <w:t xml:space="preserve"> “The Declaration on a Green and Digital Transformation of the EU” in March 2021 as part of the Digital Day 4 in Lisbon, and a </w:t>
          </w:r>
          <w:hyperlink r:id="rId26" w:history="1">
            <w:r w:rsidRPr="00A65920">
              <w:rPr>
                <w:rStyle w:val="Hyperlink"/>
                <w:lang w:eastAsia="en-GB"/>
              </w:rPr>
              <w:t>ministerial declaration</w:t>
            </w:r>
          </w:hyperlink>
          <w:r w:rsidRPr="00A65920">
            <w:rPr>
              <w:lang w:eastAsia="en-GB"/>
            </w:rPr>
            <w:t xml:space="preserve"> “Call for Green Digital Transformation” as part of the Digital Assembly in Toulouse in 2022. At the Digital Day 4, 26 CEOs of European and international ICT companies founded a coalition and committed to jointly set up metrics to measure the net environmental benefit of digital solutions. Based on the request of the European Parliament, DG CNECT initiated a pilot project to support the </w:t>
          </w:r>
          <w:hyperlink r:id="rId27" w:history="1">
            <w:r w:rsidRPr="00A65920">
              <w:rPr>
                <w:rStyle w:val="Hyperlink"/>
                <w:lang w:eastAsia="en-GB"/>
              </w:rPr>
              <w:t>European Green Digital Coalition</w:t>
            </w:r>
          </w:hyperlink>
          <w:r w:rsidRPr="00A65920">
            <w:rPr>
              <w:u w:val="single"/>
              <w:lang w:eastAsia="en-GB"/>
            </w:rPr>
            <w:t>.</w:t>
          </w:r>
        </w:p>
        <w:p w14:paraId="46EE3E07" w14:textId="37275484" w:rsidR="00E21DBD" w:rsidRPr="00AF7D78" w:rsidRDefault="00426CFF" w:rsidP="00426CFF">
          <w:pPr>
            <w:rPr>
              <w:lang w:val="en-US" w:eastAsia="en-GB"/>
            </w:rPr>
          </w:pPr>
          <w:r w:rsidRPr="00426CFF">
            <w:rPr>
              <w:lang w:val="en-US" w:eastAsia="en-GB"/>
            </w:rPr>
            <w:t xml:space="preserve">Without prejudice to the principle of loyal cooperation between the national/regional and European administrations, the SNE will not work on individual cases with implications </w:t>
          </w:r>
          <w:r w:rsidRPr="00426CFF">
            <w:rPr>
              <w:lang w:val="en-US" w:eastAsia="en-GB"/>
            </w:rPr>
            <w:lastRenderedPageBreak/>
            <w:t>with files (s)he would have to deal with her/his own national administration in the two years preceding its entry into the Commission, or directly adjacent cases. In no case (s)he shall represent the Commission in order to make commitments, financial or otherwise, or to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bookmarkStart w:id="3" w:name="_GoBack" w:displacedByCustomXml="prev"/>
        <w:p w14:paraId="726B411B" w14:textId="24A7F816" w:rsidR="00A65920" w:rsidRPr="00A65920" w:rsidRDefault="00A65920" w:rsidP="00A65920">
          <w:pPr>
            <w:ind w:left="426"/>
            <w:rPr>
              <w:color w:val="000000"/>
              <w:sz w:val="22"/>
              <w:szCs w:val="22"/>
              <w:lang w:eastAsia="en-GB"/>
            </w:rPr>
          </w:pPr>
          <w:r>
            <w:rPr>
              <w:color w:val="000000"/>
              <w:sz w:val="22"/>
              <w:szCs w:val="22"/>
              <w:lang w:eastAsia="en-GB"/>
            </w:rPr>
            <w:t>We</w:t>
          </w:r>
          <w:r w:rsidR="00C94A79">
            <w:rPr>
              <w:color w:val="000000"/>
              <w:sz w:val="22"/>
              <w:szCs w:val="22"/>
              <w:lang w:eastAsia="en-GB"/>
            </w:rPr>
            <w:t xml:space="preserve"> are looking for amicable team player</w:t>
          </w:r>
          <w:r>
            <w:rPr>
              <w:color w:val="000000"/>
              <w:sz w:val="22"/>
              <w:szCs w:val="22"/>
              <w:lang w:eastAsia="en-GB"/>
            </w:rPr>
            <w:t xml:space="preserve"> that would be interested in workign on one or more of the following tasks:</w:t>
          </w:r>
        </w:p>
        <w:p w14:paraId="17AD97DB" w14:textId="77777777" w:rsidR="00A65920" w:rsidRPr="00A65920" w:rsidRDefault="00A65920" w:rsidP="00A65920">
          <w:pPr>
            <w:spacing w:after="0"/>
            <w:ind w:left="426"/>
            <w:rPr>
              <w:color w:val="000000"/>
              <w:sz w:val="22"/>
              <w:szCs w:val="22"/>
              <w:lang w:eastAsia="en-GB"/>
            </w:rPr>
          </w:pPr>
          <w:r w:rsidRPr="00A65920">
            <w:rPr>
              <w:color w:val="000000"/>
              <w:sz w:val="22"/>
              <w:szCs w:val="22"/>
              <w:lang w:eastAsia="en-GB"/>
            </w:rPr>
            <w:t>POLICY DEVELOPMENT</w:t>
          </w:r>
        </w:p>
        <w:p w14:paraId="79A76786" w14:textId="77777777" w:rsidR="00A65920" w:rsidRPr="00A65920" w:rsidRDefault="00A65920" w:rsidP="00A65920">
          <w:pPr>
            <w:spacing w:after="0"/>
            <w:ind w:left="709" w:hanging="283"/>
            <w:rPr>
              <w:color w:val="000000"/>
              <w:sz w:val="22"/>
              <w:szCs w:val="22"/>
              <w:lang w:eastAsia="en-GB"/>
            </w:rPr>
          </w:pPr>
          <w:r w:rsidRPr="00A65920">
            <w:rPr>
              <w:color w:val="000000"/>
              <w:sz w:val="22"/>
              <w:szCs w:val="22"/>
              <w:lang w:eastAsia="en-GB"/>
            </w:rPr>
            <w:t>•</w:t>
          </w:r>
          <w:r w:rsidRPr="00A65920">
            <w:rPr>
              <w:color w:val="000000"/>
              <w:sz w:val="22"/>
              <w:szCs w:val="22"/>
              <w:lang w:eastAsia="en-GB"/>
            </w:rPr>
            <w:tab/>
            <w:t>Contribute to the development and the tangible implementation of the twinning of the green and digital transformation in one or more of the following areas:</w:t>
          </w:r>
        </w:p>
        <w:p w14:paraId="263B7E03" w14:textId="77777777" w:rsidR="00A65920" w:rsidRPr="00A65920" w:rsidRDefault="00A65920" w:rsidP="00A65920">
          <w:pPr>
            <w:numPr>
              <w:ilvl w:val="0"/>
              <w:numId w:val="34"/>
            </w:numPr>
            <w:spacing w:after="0" w:line="276" w:lineRule="auto"/>
            <w:contextualSpacing/>
            <w:jc w:val="left"/>
            <w:rPr>
              <w:color w:val="000000"/>
              <w:sz w:val="22"/>
              <w:szCs w:val="22"/>
              <w:lang w:eastAsia="en-GB"/>
            </w:rPr>
          </w:pPr>
          <w:r w:rsidRPr="00A65920">
            <w:rPr>
              <w:color w:val="000000"/>
              <w:sz w:val="22"/>
              <w:szCs w:val="22"/>
              <w:lang w:eastAsia="en-GB"/>
            </w:rPr>
            <w:t>minimises the negative impact of ICT on the environment and maximising the positive impact ( enablement). Contributing to the efforts dealing with energy and material efficiency ( sustainability) of digital infrastructures (datacentres, telecommunication services, circularity of electronics)</w:t>
          </w:r>
        </w:p>
        <w:p w14:paraId="535DF628" w14:textId="77777777" w:rsidR="00A65920" w:rsidRPr="00A65920" w:rsidRDefault="00A65920" w:rsidP="00A65920">
          <w:pPr>
            <w:spacing w:after="0"/>
            <w:ind w:left="1068"/>
            <w:contextualSpacing/>
            <w:rPr>
              <w:color w:val="000000"/>
              <w:sz w:val="22"/>
              <w:szCs w:val="22"/>
              <w:lang w:eastAsia="en-GB"/>
            </w:rPr>
          </w:pPr>
        </w:p>
        <w:p w14:paraId="56B937CB" w14:textId="77777777" w:rsidR="00A65920" w:rsidRPr="00A65920" w:rsidRDefault="00A65920" w:rsidP="00A65920">
          <w:pPr>
            <w:numPr>
              <w:ilvl w:val="0"/>
              <w:numId w:val="34"/>
            </w:numPr>
            <w:spacing w:after="0" w:line="276" w:lineRule="auto"/>
            <w:contextualSpacing/>
            <w:jc w:val="left"/>
            <w:rPr>
              <w:color w:val="000000"/>
              <w:sz w:val="22"/>
              <w:szCs w:val="22"/>
              <w:lang w:eastAsia="en-GB"/>
            </w:rPr>
          </w:pPr>
          <w:r w:rsidRPr="00A65920">
            <w:rPr>
              <w:color w:val="000000"/>
              <w:sz w:val="22"/>
              <w:szCs w:val="22"/>
              <w:lang w:eastAsia="en-GB"/>
            </w:rPr>
            <w:t>Maximising the positive impact (enablement) of digital solutions in major sectors such as energy, transport, agriculture as well as in circular economy. In particular, to develop and implement the digital product passport as introduced by the Eco-design for Sustainable Products regulation (COM (2022) 142 final) proposal.</w:t>
          </w:r>
        </w:p>
        <w:p w14:paraId="1A9E49BB" w14:textId="77777777" w:rsidR="00A65920" w:rsidRPr="00A65920" w:rsidRDefault="00A65920" w:rsidP="00A65920">
          <w:pPr>
            <w:spacing w:after="0"/>
            <w:rPr>
              <w:color w:val="000000"/>
              <w:sz w:val="22"/>
              <w:szCs w:val="22"/>
              <w:lang w:eastAsia="en-GB"/>
            </w:rPr>
          </w:pPr>
        </w:p>
        <w:p w14:paraId="457F3C63" w14:textId="77777777" w:rsidR="00A65920" w:rsidRPr="00A65920" w:rsidRDefault="00A65920" w:rsidP="00A65920">
          <w:pPr>
            <w:spacing w:after="0"/>
            <w:ind w:left="709" w:hanging="283"/>
            <w:rPr>
              <w:color w:val="000000"/>
              <w:sz w:val="22"/>
              <w:szCs w:val="22"/>
              <w:lang w:val="en-IE" w:eastAsia="en-GB"/>
            </w:rPr>
          </w:pPr>
          <w:r w:rsidRPr="00A65920">
            <w:rPr>
              <w:color w:val="000000"/>
              <w:sz w:val="22"/>
              <w:szCs w:val="22"/>
              <w:lang w:eastAsia="en-GB"/>
            </w:rPr>
            <w:t>•</w:t>
          </w:r>
          <w:r w:rsidRPr="00A65920">
            <w:rPr>
              <w:color w:val="000000"/>
              <w:sz w:val="22"/>
              <w:szCs w:val="22"/>
              <w:lang w:eastAsia="en-GB"/>
            </w:rPr>
            <w:tab/>
            <w:t>Co-ordination and supervision of deliverables of projects and tenders conducted by external contractors</w:t>
          </w:r>
          <w:r w:rsidRPr="00A65920">
            <w:rPr>
              <w:color w:val="000000"/>
              <w:sz w:val="22"/>
              <w:szCs w:val="22"/>
              <w:lang w:val="en-IE" w:eastAsia="en-GB"/>
            </w:rPr>
            <w:t>, for example relevant projects funded by the Digital Europe Programme dealing with the digital product passport, and, tenders and initiatives such as  European Green Digital Coalition</w:t>
          </w:r>
          <w:r w:rsidRPr="00A65920">
            <w:rPr>
              <w:color w:val="000000"/>
              <w:sz w:val="22"/>
              <w:szCs w:val="22"/>
              <w:lang w:eastAsia="en-GB"/>
            </w:rPr>
            <w:t>.</w:t>
          </w:r>
          <w:r w:rsidRPr="00A65920">
            <w:rPr>
              <w:color w:val="000000"/>
              <w:sz w:val="22"/>
              <w:szCs w:val="22"/>
              <w:lang w:val="en-IE" w:eastAsia="en-GB"/>
            </w:rPr>
            <w:t xml:space="preserve"> </w:t>
          </w:r>
        </w:p>
        <w:p w14:paraId="3D3C774F" w14:textId="77777777" w:rsidR="00A65920" w:rsidRPr="00A65920" w:rsidRDefault="00A65920" w:rsidP="00A65920">
          <w:pPr>
            <w:spacing w:after="0"/>
            <w:ind w:left="709" w:hanging="283"/>
            <w:rPr>
              <w:color w:val="000000"/>
              <w:sz w:val="22"/>
              <w:szCs w:val="22"/>
              <w:lang w:eastAsia="en-GB"/>
            </w:rPr>
          </w:pPr>
        </w:p>
        <w:p w14:paraId="53B9E744" w14:textId="77777777" w:rsidR="00A65920" w:rsidRPr="00A65920" w:rsidRDefault="00A65920" w:rsidP="00A65920">
          <w:pPr>
            <w:spacing w:after="0"/>
            <w:ind w:left="709" w:hanging="283"/>
            <w:rPr>
              <w:color w:val="000000"/>
              <w:sz w:val="22"/>
              <w:szCs w:val="22"/>
              <w:lang w:eastAsia="en-GB"/>
            </w:rPr>
          </w:pPr>
          <w:r w:rsidRPr="00A65920">
            <w:rPr>
              <w:color w:val="000000"/>
              <w:sz w:val="22"/>
              <w:szCs w:val="22"/>
              <w:lang w:eastAsia="en-GB"/>
            </w:rPr>
            <w:t>•</w:t>
          </w:r>
          <w:r w:rsidRPr="00A65920">
            <w:rPr>
              <w:color w:val="000000"/>
              <w:sz w:val="22"/>
              <w:szCs w:val="22"/>
              <w:lang w:eastAsia="en-GB"/>
            </w:rPr>
            <w:tab/>
            <w:t>Working on the finalisation and implementation of EU Taxonomy assisting in the development of metrics and indicators under which digital infrastructures and solutions become</w:t>
          </w:r>
          <w:r w:rsidRPr="00A65920">
            <w:rPr>
              <w:rFonts w:ascii="Calibri" w:eastAsia="Calibri" w:hAnsi="Calibri"/>
              <w:sz w:val="22"/>
              <w:szCs w:val="22"/>
              <w:lang w:val="en-US" w:eastAsia="en-US"/>
            </w:rPr>
            <w:t xml:space="preserve"> </w:t>
          </w:r>
          <w:r w:rsidRPr="00A65920">
            <w:rPr>
              <w:color w:val="000000"/>
              <w:sz w:val="22"/>
              <w:szCs w:val="22"/>
              <w:lang w:eastAsia="en-GB"/>
            </w:rPr>
            <w:t>sustainable economic activities benefiting from sustainable finance</w:t>
          </w:r>
        </w:p>
        <w:p w14:paraId="1DEA062E" w14:textId="77777777" w:rsidR="00A65920" w:rsidRPr="00A65920" w:rsidRDefault="00A65920" w:rsidP="00A65920">
          <w:pPr>
            <w:spacing w:after="0"/>
            <w:ind w:left="709" w:hanging="283"/>
            <w:rPr>
              <w:color w:val="000000"/>
              <w:sz w:val="22"/>
              <w:szCs w:val="22"/>
              <w:lang w:eastAsia="en-GB"/>
            </w:rPr>
          </w:pPr>
        </w:p>
        <w:p w14:paraId="35FBCA75" w14:textId="77777777" w:rsidR="00A65920" w:rsidRPr="00A65920" w:rsidRDefault="00A65920" w:rsidP="00A65920">
          <w:pPr>
            <w:spacing w:after="0"/>
            <w:ind w:left="709" w:hanging="283"/>
            <w:rPr>
              <w:color w:val="000000"/>
              <w:sz w:val="22"/>
              <w:szCs w:val="22"/>
              <w:lang w:eastAsia="en-GB"/>
            </w:rPr>
          </w:pPr>
          <w:r w:rsidRPr="00A65920">
            <w:rPr>
              <w:color w:val="000000"/>
              <w:sz w:val="22"/>
              <w:szCs w:val="22"/>
              <w:lang w:eastAsia="en-GB"/>
            </w:rPr>
            <w:t>•</w:t>
          </w:r>
          <w:r w:rsidRPr="00A65920">
            <w:rPr>
              <w:color w:val="000000"/>
              <w:sz w:val="22"/>
              <w:szCs w:val="22"/>
              <w:lang w:eastAsia="en-GB"/>
            </w:rPr>
            <w:tab/>
            <w:t xml:space="preserve">Contributing to the DG CNECT efforts on international scene to promote EU policies and impact of EU initiatives (e.g., D4D HUB) by cooperating with relevant intergovernmental, business and other fora such as United Nations agencies (e.g. CODES), CEN/CENELEC, ETSI, ITU and other standardisation organisation on standards developments, World Economic Forum,  World Business forum and others. </w:t>
          </w:r>
        </w:p>
        <w:p w14:paraId="75522C54" w14:textId="77777777" w:rsidR="00A65920" w:rsidRPr="00A65920" w:rsidRDefault="00A65920" w:rsidP="00A65920">
          <w:pPr>
            <w:spacing w:after="0"/>
            <w:ind w:left="426"/>
            <w:rPr>
              <w:color w:val="000000"/>
              <w:sz w:val="22"/>
              <w:szCs w:val="22"/>
              <w:lang w:eastAsia="en-GB"/>
            </w:rPr>
          </w:pPr>
        </w:p>
        <w:p w14:paraId="6C7B7618" w14:textId="77777777" w:rsidR="00A65920" w:rsidRPr="00A65920" w:rsidRDefault="00A65920" w:rsidP="00A65920">
          <w:pPr>
            <w:spacing w:after="0"/>
            <w:ind w:left="426"/>
            <w:rPr>
              <w:color w:val="000000"/>
              <w:sz w:val="22"/>
              <w:szCs w:val="22"/>
              <w:lang w:eastAsia="en-GB"/>
            </w:rPr>
          </w:pPr>
          <w:r w:rsidRPr="00A65920">
            <w:rPr>
              <w:color w:val="000000"/>
              <w:sz w:val="22"/>
              <w:szCs w:val="22"/>
              <w:lang w:eastAsia="en-GB"/>
            </w:rPr>
            <w:t>INTERNAL MANAGEMENT and COORDINATION</w:t>
          </w:r>
        </w:p>
        <w:p w14:paraId="576E5FFE" w14:textId="77777777" w:rsidR="00A65920" w:rsidRPr="00A65920" w:rsidRDefault="00A65920" w:rsidP="00A65920">
          <w:pPr>
            <w:spacing w:after="0"/>
            <w:ind w:left="709" w:hanging="283"/>
            <w:rPr>
              <w:color w:val="000000"/>
              <w:sz w:val="22"/>
              <w:szCs w:val="22"/>
              <w:lang w:eastAsia="en-GB"/>
            </w:rPr>
          </w:pPr>
          <w:r w:rsidRPr="00A65920">
            <w:rPr>
              <w:color w:val="000000"/>
              <w:sz w:val="22"/>
              <w:szCs w:val="22"/>
              <w:lang w:eastAsia="en-GB"/>
            </w:rPr>
            <w:t>•</w:t>
          </w:r>
          <w:r w:rsidRPr="00A65920">
            <w:rPr>
              <w:color w:val="000000"/>
              <w:sz w:val="22"/>
              <w:szCs w:val="22"/>
              <w:lang w:eastAsia="en-GB"/>
            </w:rPr>
            <w:tab/>
            <w:t>Co-ordinate activities in the Directorate-General that related to greening of ICT or ICT for sustainability as well as with other Directorate-Generals, in particular DGs ENV, CLIMA, GROW, ENER, AGRI, JRC.</w:t>
          </w:r>
        </w:p>
        <w:p w14:paraId="4065750E" w14:textId="77777777" w:rsidR="00A65920" w:rsidRPr="00A65920" w:rsidRDefault="00A65920" w:rsidP="00A65920">
          <w:pPr>
            <w:spacing w:after="0"/>
            <w:ind w:left="709" w:hanging="283"/>
            <w:rPr>
              <w:color w:val="000000"/>
              <w:sz w:val="22"/>
              <w:szCs w:val="22"/>
              <w:lang w:eastAsia="en-GB"/>
            </w:rPr>
          </w:pPr>
          <w:r w:rsidRPr="00A65920">
            <w:rPr>
              <w:color w:val="000000"/>
              <w:sz w:val="22"/>
              <w:szCs w:val="22"/>
              <w:lang w:eastAsia="en-GB"/>
            </w:rPr>
            <w:t>•</w:t>
          </w:r>
          <w:r w:rsidRPr="00A65920">
            <w:rPr>
              <w:color w:val="000000"/>
              <w:sz w:val="22"/>
              <w:szCs w:val="22"/>
              <w:lang w:eastAsia="en-GB"/>
            </w:rPr>
            <w:tab/>
            <w:t>Draft relevant briefings, strategy documents and notes regarding the areas mentioned in the overall purpose</w:t>
          </w:r>
        </w:p>
        <w:p w14:paraId="0F487580" w14:textId="77777777" w:rsidR="00A65920" w:rsidRPr="00A65920" w:rsidRDefault="00A65920" w:rsidP="00A65920">
          <w:pPr>
            <w:spacing w:after="0"/>
            <w:ind w:left="709" w:hanging="283"/>
            <w:rPr>
              <w:color w:val="000000"/>
              <w:sz w:val="22"/>
              <w:szCs w:val="22"/>
              <w:lang w:eastAsia="en-GB"/>
            </w:rPr>
          </w:pPr>
          <w:r w:rsidRPr="00A65920">
            <w:rPr>
              <w:color w:val="000000"/>
              <w:sz w:val="22"/>
              <w:szCs w:val="22"/>
              <w:lang w:eastAsia="en-GB"/>
            </w:rPr>
            <w:t>•</w:t>
          </w:r>
          <w:r w:rsidRPr="00A65920">
            <w:rPr>
              <w:color w:val="000000"/>
              <w:sz w:val="22"/>
              <w:szCs w:val="22"/>
              <w:lang w:eastAsia="en-GB"/>
            </w:rPr>
            <w:tab/>
            <w:t xml:space="preserve">Participation in inter-service meetings convened by policy departments and draft replies to inter-service consultations </w:t>
          </w:r>
        </w:p>
        <w:p w14:paraId="69D07A0D" w14:textId="77777777" w:rsidR="00A65920" w:rsidRPr="00A65920" w:rsidRDefault="00A65920" w:rsidP="00A65920">
          <w:pPr>
            <w:spacing w:after="0"/>
            <w:ind w:left="709" w:hanging="283"/>
            <w:rPr>
              <w:color w:val="000000"/>
              <w:sz w:val="22"/>
              <w:szCs w:val="22"/>
              <w:lang w:eastAsia="en-GB"/>
            </w:rPr>
          </w:pPr>
          <w:r w:rsidRPr="00A65920">
            <w:rPr>
              <w:color w:val="000000"/>
              <w:sz w:val="22"/>
              <w:szCs w:val="22"/>
              <w:lang w:eastAsia="en-GB"/>
            </w:rPr>
            <w:t>•</w:t>
          </w:r>
          <w:r w:rsidRPr="00A65920">
            <w:rPr>
              <w:color w:val="000000"/>
              <w:sz w:val="22"/>
              <w:szCs w:val="22"/>
              <w:lang w:eastAsia="en-GB"/>
            </w:rPr>
            <w:tab/>
            <w:t xml:space="preserve">Support the preparation and implementation of the sustainable dimension of the European Commission’s digital policy, for example the digital decade policy programm’s 2030 </w:t>
          </w:r>
          <w:hyperlink r:id="rId28" w:history="1">
            <w:r w:rsidRPr="00A65920">
              <w:rPr>
                <w:color w:val="0000FF"/>
                <w:sz w:val="22"/>
                <w:szCs w:val="22"/>
                <w:u w:val="single"/>
                <w:lang w:eastAsia="en-GB"/>
              </w:rPr>
              <w:t>targets</w:t>
            </w:r>
          </w:hyperlink>
          <w:r w:rsidRPr="00A65920">
            <w:rPr>
              <w:color w:val="000000"/>
              <w:sz w:val="22"/>
              <w:szCs w:val="22"/>
              <w:lang w:eastAsia="en-GB"/>
            </w:rPr>
            <w:t xml:space="preserve"> and </w:t>
          </w:r>
          <w:hyperlink r:id="rId29" w:history="1">
            <w:r w:rsidRPr="00A65920">
              <w:rPr>
                <w:color w:val="0000FF"/>
                <w:sz w:val="22"/>
                <w:szCs w:val="22"/>
                <w:u w:val="single"/>
                <w:lang w:eastAsia="en-GB"/>
              </w:rPr>
              <w:t>principles.</w:t>
            </w:r>
          </w:hyperlink>
        </w:p>
        <w:p w14:paraId="7DE73AA8" w14:textId="77777777" w:rsidR="00A65920" w:rsidRPr="00A65920" w:rsidRDefault="00A65920" w:rsidP="00A65920">
          <w:pPr>
            <w:spacing w:after="0"/>
            <w:ind w:left="709" w:hanging="283"/>
            <w:rPr>
              <w:color w:val="000000"/>
              <w:sz w:val="22"/>
              <w:szCs w:val="22"/>
              <w:lang w:eastAsia="en-GB"/>
            </w:rPr>
          </w:pPr>
        </w:p>
        <w:p w14:paraId="2AC23B7D" w14:textId="77777777" w:rsidR="00A65920" w:rsidRPr="00A65920" w:rsidRDefault="00A65920" w:rsidP="00A65920">
          <w:pPr>
            <w:spacing w:after="0"/>
            <w:ind w:left="709" w:hanging="283"/>
            <w:rPr>
              <w:color w:val="000000"/>
              <w:sz w:val="22"/>
              <w:szCs w:val="22"/>
              <w:lang w:eastAsia="en-GB"/>
            </w:rPr>
          </w:pPr>
        </w:p>
        <w:p w14:paraId="7870F902" w14:textId="77777777" w:rsidR="00A65920" w:rsidRPr="00A65920" w:rsidRDefault="00A65920" w:rsidP="00A65920">
          <w:pPr>
            <w:spacing w:after="0"/>
            <w:ind w:left="426"/>
            <w:rPr>
              <w:color w:val="000000"/>
              <w:sz w:val="22"/>
              <w:szCs w:val="22"/>
              <w:lang w:eastAsia="en-GB"/>
            </w:rPr>
          </w:pPr>
          <w:r w:rsidRPr="00A65920">
            <w:rPr>
              <w:color w:val="000000"/>
              <w:sz w:val="22"/>
              <w:szCs w:val="22"/>
              <w:lang w:eastAsia="en-GB"/>
            </w:rPr>
            <w:t>REPRESENTATION, NEGOTIATION and PARTICIPATION</w:t>
          </w:r>
        </w:p>
        <w:p w14:paraId="210DB053" w14:textId="77777777" w:rsidR="00A65920" w:rsidRPr="00A65920" w:rsidRDefault="00A65920" w:rsidP="00A65920">
          <w:pPr>
            <w:spacing w:after="0"/>
            <w:ind w:left="709" w:hanging="283"/>
            <w:rPr>
              <w:color w:val="000000"/>
              <w:sz w:val="22"/>
              <w:szCs w:val="22"/>
              <w:lang w:eastAsia="en-GB"/>
            </w:rPr>
          </w:pPr>
          <w:r w:rsidRPr="00A65920">
            <w:rPr>
              <w:color w:val="000000"/>
              <w:sz w:val="22"/>
              <w:szCs w:val="22"/>
              <w:lang w:eastAsia="en-GB"/>
            </w:rPr>
            <w:lastRenderedPageBreak/>
            <w:t>•</w:t>
          </w:r>
          <w:r w:rsidRPr="00A65920">
            <w:rPr>
              <w:color w:val="000000"/>
              <w:sz w:val="22"/>
              <w:szCs w:val="22"/>
              <w:lang w:eastAsia="en-GB"/>
            </w:rPr>
            <w:tab/>
            <w:t xml:space="preserve">Present the work on green and digital twin transition and DPP in meetings with academia and stakeholders </w:t>
          </w:r>
        </w:p>
        <w:p w14:paraId="51994EDB" w14:textId="14E5D7DF" w:rsidR="002E40A9" w:rsidRPr="00A65920" w:rsidRDefault="00A65920" w:rsidP="00A65920">
          <w:pPr>
            <w:spacing w:after="0"/>
            <w:ind w:left="709" w:hanging="283"/>
            <w:rPr>
              <w:color w:val="000000"/>
              <w:sz w:val="22"/>
              <w:szCs w:val="22"/>
              <w:lang w:eastAsia="en-GB"/>
            </w:rPr>
          </w:pPr>
          <w:r w:rsidRPr="00A65920">
            <w:rPr>
              <w:color w:val="000000"/>
              <w:sz w:val="22"/>
              <w:szCs w:val="22"/>
              <w:lang w:eastAsia="en-GB"/>
            </w:rPr>
            <w:t>•</w:t>
          </w:r>
          <w:r w:rsidRPr="00A65920">
            <w:rPr>
              <w:color w:val="000000"/>
              <w:sz w:val="22"/>
              <w:szCs w:val="22"/>
              <w:lang w:eastAsia="en-GB"/>
            </w:rPr>
            <w:tab/>
            <w:t>Co-ordinate activities with Member States and European Parliament and support organisation of high level events.</w:t>
          </w:r>
        </w:p>
        <w:bookmarkEnd w:id="3" w:displacedByCustomXml="nex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30"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1" w:history="1">
        <w:hyperlink r:id="rId32"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3"/>
      <w:footerReference w:type="default" r:id="rId34"/>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6E69925C" w:rsidR="00F6462F" w:rsidRDefault="00F4683D">
    <w:pPr>
      <w:pStyle w:val="FooterLine"/>
      <w:jc w:val="center"/>
    </w:pPr>
    <w:r>
      <w:fldChar w:fldCharType="begin"/>
    </w:r>
    <w:r>
      <w:instrText>PAGE   \* MERGEFORMAT</w:instrText>
    </w:r>
    <w:r>
      <w:fldChar w:fldCharType="separate"/>
    </w:r>
    <w:r w:rsidR="000A665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D480EBF"/>
    <w:multiLevelType w:val="hybridMultilevel"/>
    <w:tmpl w:val="2382A12A"/>
    <w:lvl w:ilvl="0" w:tplc="F0347B56">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1"/>
  </w:num>
  <w:num w:numId="6">
    <w:abstractNumId w:val="23"/>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20"/>
  </w:num>
  <w:num w:numId="16">
    <w:abstractNumId w:val="24"/>
  </w:num>
  <w:num w:numId="17">
    <w:abstractNumId w:val="11"/>
  </w:num>
  <w:num w:numId="18">
    <w:abstractNumId w:val="12"/>
  </w:num>
  <w:num w:numId="19">
    <w:abstractNumId w:val="25"/>
  </w:num>
  <w:num w:numId="20">
    <w:abstractNumId w:val="19"/>
  </w:num>
  <w:num w:numId="21">
    <w:abstractNumId w:val="22"/>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A6659"/>
    <w:rsid w:val="000D129C"/>
    <w:rsid w:val="000F371B"/>
    <w:rsid w:val="000F4CD5"/>
    <w:rsid w:val="00110917"/>
    <w:rsid w:val="00111AB6"/>
    <w:rsid w:val="001D0A81"/>
    <w:rsid w:val="002109E6"/>
    <w:rsid w:val="00252050"/>
    <w:rsid w:val="002B3CBF"/>
    <w:rsid w:val="002C49D0"/>
    <w:rsid w:val="002E40A9"/>
    <w:rsid w:val="00394447"/>
    <w:rsid w:val="003E50A4"/>
    <w:rsid w:val="0040388A"/>
    <w:rsid w:val="00426CFF"/>
    <w:rsid w:val="00431778"/>
    <w:rsid w:val="00454CC7"/>
    <w:rsid w:val="00476034"/>
    <w:rsid w:val="005168AD"/>
    <w:rsid w:val="005807C6"/>
    <w:rsid w:val="0058240F"/>
    <w:rsid w:val="00592CD5"/>
    <w:rsid w:val="005D1B85"/>
    <w:rsid w:val="005E3D68"/>
    <w:rsid w:val="00642C53"/>
    <w:rsid w:val="00665583"/>
    <w:rsid w:val="00693BC6"/>
    <w:rsid w:val="00696070"/>
    <w:rsid w:val="007E531E"/>
    <w:rsid w:val="007F02AC"/>
    <w:rsid w:val="007F7012"/>
    <w:rsid w:val="008D02B7"/>
    <w:rsid w:val="008F0B52"/>
    <w:rsid w:val="008F4BA9"/>
    <w:rsid w:val="00937603"/>
    <w:rsid w:val="00994062"/>
    <w:rsid w:val="00996CC6"/>
    <w:rsid w:val="009A1EA0"/>
    <w:rsid w:val="009A2F00"/>
    <w:rsid w:val="009C5E27"/>
    <w:rsid w:val="00A033AD"/>
    <w:rsid w:val="00A32068"/>
    <w:rsid w:val="00A65920"/>
    <w:rsid w:val="00AB2CEA"/>
    <w:rsid w:val="00AF6424"/>
    <w:rsid w:val="00B24CC5"/>
    <w:rsid w:val="00B3644B"/>
    <w:rsid w:val="00B65513"/>
    <w:rsid w:val="00B73F08"/>
    <w:rsid w:val="00B8014C"/>
    <w:rsid w:val="00C06724"/>
    <w:rsid w:val="00C3254D"/>
    <w:rsid w:val="00C365A2"/>
    <w:rsid w:val="00C504C7"/>
    <w:rsid w:val="00C75BA4"/>
    <w:rsid w:val="00C94A79"/>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www.economie.gouv.fr/files/files/2022/Call_for_Green_Digital_Transition_EU.PDF" TargetMode="Externa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s://digital-strategy.ec.europa.eu/en/news/eu-countries-commit-leading-green-digital-transformatio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s://eceuropaeu-my.sharepoint.com/personal/almut_nagel_ec_europa_eu/Documents/Green%20Digital%20Endeavor/Strategic%20Foresight%20Report%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mmission.europa.eu/strategy-and-policy/strategic-planning/strategic-foresight/2022-strategic-foresight-report_en" TargetMode="External"/><Relationship Id="rId32" Type="http://schemas.openxmlformats.org/officeDocument/2006/relationships/hyperlink" Target="https://europa.eu/europass/en/create-europass-cv"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hyperlink" Target="https://commission.europa.eu/strategy-and-policy/priorities-2019-2024/europe-fit-digital-age/europes-digital-decade-digital-targets-2030_en"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hyperlink" Target="http://europass.cedefop.europa.eu/en/documents/curriculum-vita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s://www.greendigitalcoalition.eu/" TargetMode="External"/><Relationship Id="rId30" Type="http://schemas.openxmlformats.org/officeDocument/2006/relationships/hyperlink" Target="https://eur-lex.europa.eu/legal-content/EN/TXT/?uri=CELEX:32015D0444"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DCD0A65-49D2-4174-9DA8-E0A7ED47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1911</Words>
  <Characters>10896</Characters>
  <Application>Microsoft Office Word</Application>
  <DocSecurity>0</DocSecurity>
  <PresentationFormat>Microsoft Word 14.0</PresentationFormat>
  <Lines>90</Lines>
  <Paragraphs>25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IAKOVIDIS Ilias (CNECT)</cp:lastModifiedBy>
  <cp:revision>2</cp:revision>
  <cp:lastPrinted>2023-04-05T10:36:00Z</cp:lastPrinted>
  <dcterms:created xsi:type="dcterms:W3CDTF">2023-06-09T14:52:00Z</dcterms:created>
  <dcterms:modified xsi:type="dcterms:W3CDTF">2023-06-09T14:52:00Z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