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fr-BE" w:eastAsia="fr-B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D38A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526148A6" w14:textId="77777777" w:rsidR="00850515" w:rsidRDefault="004E4669" w:rsidP="00850515">
                <w:pPr>
                  <w:tabs>
                    <w:tab w:val="left" w:pos="426"/>
                  </w:tabs>
                  <w:spacing w:before="120"/>
                  <w:rPr>
                    <w:b/>
                    <w:szCs w:val="24"/>
                    <w:lang w:eastAsia="en-GB"/>
                  </w:rPr>
                </w:pPr>
                <w:r>
                  <w:rPr>
                    <w:b/>
                    <w:szCs w:val="24"/>
                    <w:lang w:eastAsia="en-GB"/>
                  </w:rPr>
                  <w:t>DG AGRI-H-4</w:t>
                </w:r>
              </w:p>
              <w:p w14:paraId="6ED58797" w14:textId="460BEBC9" w:rsidR="00006827" w:rsidRPr="00850515" w:rsidRDefault="00006827" w:rsidP="00850515">
                <w:pPr>
                  <w:tabs>
                    <w:tab w:val="left" w:pos="426"/>
                  </w:tabs>
                  <w:spacing w:before="120"/>
                  <w:rPr>
                    <w:b/>
                    <w:szCs w:val="24"/>
                    <w:lang w:eastAsia="en-GB"/>
                  </w:rPr>
                </w:pPr>
                <w:r>
                  <w:rPr>
                    <w:b/>
                    <w:sz w:val="20"/>
                    <w:lang w:eastAsia="en-GB"/>
                  </w:rPr>
                  <w:t>AGRICULTURE AND RURAL DEVELOPMENT</w:t>
                </w:r>
              </w:p>
              <w:p w14:paraId="10BF986E" w14:textId="77777777" w:rsidR="00006827" w:rsidRDefault="00006827" w:rsidP="00006827">
                <w:pPr>
                  <w:spacing w:after="0"/>
                  <w:ind w:right="1317"/>
                  <w:rPr>
                    <w:b/>
                    <w:sz w:val="20"/>
                    <w:lang w:eastAsia="en-GB"/>
                  </w:rPr>
                </w:pPr>
                <w:r>
                  <w:rPr>
                    <w:b/>
                    <w:sz w:val="20"/>
                    <w:lang w:eastAsia="en-GB"/>
                  </w:rPr>
                  <w:t xml:space="preserve">H: </w:t>
                </w:r>
                <w:r w:rsidRPr="00D30BC1">
                  <w:rPr>
                    <w:b/>
                    <w:sz w:val="20"/>
                    <w:lang w:eastAsia="en-GB"/>
                  </w:rPr>
                  <w:t>Assurance and audit</w:t>
                </w:r>
              </w:p>
              <w:p w14:paraId="786241CD" w14:textId="4119209D" w:rsidR="00B65513" w:rsidRPr="00006827" w:rsidRDefault="00006827" w:rsidP="00006827">
                <w:pPr>
                  <w:spacing w:after="0"/>
                  <w:ind w:right="1317"/>
                  <w:rPr>
                    <w:b/>
                    <w:sz w:val="20"/>
                    <w:lang w:eastAsia="en-GB"/>
                  </w:rPr>
                </w:pPr>
                <w:r>
                  <w:rPr>
                    <w:b/>
                    <w:sz w:val="20"/>
                    <w:lang w:eastAsia="en-GB"/>
                  </w:rPr>
                  <w:t xml:space="preserve">H.4: </w:t>
                </w:r>
                <w:r w:rsidRPr="00073ECA">
                  <w:rPr>
                    <w:b/>
                    <w:sz w:val="20"/>
                    <w:lang w:eastAsia="en-GB"/>
                  </w:rPr>
                  <w:t>Assurance and financial audit</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325A7F1" w:rsidR="00D96984" w:rsidRPr="0007110E" w:rsidRDefault="00C03627" w:rsidP="00C03627">
                <w:pPr>
                  <w:tabs>
                    <w:tab w:val="left" w:pos="426"/>
                  </w:tabs>
                  <w:spacing w:before="120"/>
                  <w:rPr>
                    <w:bCs/>
                    <w:lang w:val="en-IE" w:eastAsia="en-GB"/>
                  </w:rPr>
                </w:pPr>
                <w:r>
                  <w:rPr>
                    <w:bCs/>
                    <w:lang w:val="en-IE" w:eastAsia="en-GB"/>
                  </w:rPr>
                  <w:t>424772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CC13C9F" w:rsidR="00E21DBD" w:rsidRPr="0007110E" w:rsidRDefault="00C52CC8" w:rsidP="00E82667">
                <w:pPr>
                  <w:tabs>
                    <w:tab w:val="left" w:pos="426"/>
                  </w:tabs>
                  <w:spacing w:before="120"/>
                  <w:rPr>
                    <w:bCs/>
                    <w:lang w:val="en-IE" w:eastAsia="en-GB"/>
                  </w:rPr>
                </w:pPr>
                <w:r>
                  <w:rPr>
                    <w:bCs/>
                    <w:lang w:val="en-IE" w:eastAsia="en-GB"/>
                  </w:rPr>
                  <w:t>Katia PHILANIOTOU</w:t>
                </w:r>
                <w:r w:rsidR="00C03627">
                  <w:rPr>
                    <w:bCs/>
                    <w:lang w:val="en-IE" w:eastAsia="en-GB"/>
                  </w:rPr>
                  <w:t xml:space="preserve"> </w:t>
                </w:r>
              </w:p>
            </w:sdtContent>
          </w:sdt>
          <w:p w14:paraId="34CF737A" w14:textId="1DB78B49" w:rsidR="00E21DBD" w:rsidRPr="0007110E" w:rsidRDefault="00DD38A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52CC8">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43EFCC11" w:rsidR="00E21DBD" w:rsidRPr="0007110E" w:rsidRDefault="00DD38A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52CC8">
                  <w:rPr>
                    <w:bCs/>
                    <w:lang w:val="en-IE" w:eastAsia="en-GB"/>
                  </w:rPr>
                  <w:t>3</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52CC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C03627"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E10221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6BE9FA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D38A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D38A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D38A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0C9B02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2C2AD19"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9B64A57" w14:textId="77777777" w:rsidR="00C367F3" w:rsidRPr="0051018C" w:rsidRDefault="00C367F3" w:rsidP="00C367F3">
          <w:pPr>
            <w:spacing w:after="0"/>
            <w:ind w:right="-14"/>
            <w:rPr>
              <w:szCs w:val="24"/>
              <w:lang w:eastAsia="en-GB"/>
            </w:rPr>
          </w:pPr>
          <w:r w:rsidRPr="0051018C">
            <w:rPr>
              <w:szCs w:val="24"/>
              <w:lang w:eastAsia="en-GB"/>
            </w:rPr>
            <w:t>We are the Assurance and Financial Audit Unit of the Directorate-General for Agriculture and Rural Development, which has the following key responsibilities:</w:t>
          </w:r>
        </w:p>
        <w:p w14:paraId="714ECDAF" w14:textId="77777777" w:rsidR="00C367F3" w:rsidRPr="0051018C" w:rsidRDefault="00C367F3" w:rsidP="00C367F3">
          <w:pPr>
            <w:spacing w:after="0"/>
            <w:ind w:right="-14"/>
            <w:rPr>
              <w:szCs w:val="24"/>
              <w:lang w:eastAsia="en-GB"/>
            </w:rPr>
          </w:pPr>
        </w:p>
        <w:p w14:paraId="7735A9DB" w14:textId="77777777" w:rsidR="00C367F3" w:rsidRPr="0051018C" w:rsidRDefault="00C367F3" w:rsidP="00C367F3">
          <w:pPr>
            <w:spacing w:after="0"/>
            <w:ind w:right="-14"/>
            <w:rPr>
              <w:szCs w:val="24"/>
              <w:lang w:eastAsia="en-GB"/>
            </w:rPr>
          </w:pPr>
          <w:r w:rsidRPr="0051018C">
            <w:rPr>
              <w:szCs w:val="24"/>
              <w:lang w:eastAsia="en-GB"/>
            </w:rPr>
            <w:lastRenderedPageBreak/>
            <w:t xml:space="preserve">• The annual financial clearance of accounts exercise. This activity aims to provide the Commission with reasonable assurance that the expenditure declared by the Member States and Candidate Countries Paying Agencies’ as set out in their annual accounts are true, </w:t>
          </w:r>
          <w:proofErr w:type="gramStart"/>
          <w:r w:rsidRPr="0051018C">
            <w:rPr>
              <w:szCs w:val="24"/>
              <w:lang w:eastAsia="en-GB"/>
            </w:rPr>
            <w:t>complete</w:t>
          </w:r>
          <w:proofErr w:type="gramEnd"/>
          <w:r w:rsidRPr="0051018C">
            <w:rPr>
              <w:szCs w:val="24"/>
              <w:lang w:eastAsia="en-GB"/>
            </w:rPr>
            <w:t xml:space="preserve"> and accurate and that their management and control systems have worked adequately. This activity covers agricultural expenditure of almost €55 billion per year. </w:t>
          </w:r>
        </w:p>
        <w:p w14:paraId="60C23D5A" w14:textId="77777777" w:rsidR="00C367F3" w:rsidRPr="0051018C" w:rsidRDefault="00C367F3" w:rsidP="00C367F3">
          <w:pPr>
            <w:spacing w:after="0"/>
            <w:ind w:right="-14"/>
            <w:rPr>
              <w:szCs w:val="24"/>
              <w:lang w:eastAsia="en-GB"/>
            </w:rPr>
          </w:pPr>
        </w:p>
        <w:p w14:paraId="16B89D35" w14:textId="77777777" w:rsidR="00C367F3" w:rsidRDefault="00C367F3" w:rsidP="00C367F3">
          <w:pPr>
            <w:spacing w:after="0"/>
            <w:ind w:right="-14"/>
            <w:rPr>
              <w:szCs w:val="24"/>
              <w:lang w:eastAsia="en-GB"/>
            </w:rPr>
          </w:pPr>
          <w:r w:rsidRPr="0051018C">
            <w:rPr>
              <w:szCs w:val="24"/>
              <w:lang w:eastAsia="en-GB"/>
            </w:rPr>
            <w:t xml:space="preserve">• The continuing assessment of EAGF, EAFRD and IPARD Paying Agencies' internal control systems by carrying out audits to obtain assurance that the management and control systems are in place and work properly and </w:t>
          </w:r>
          <w:proofErr w:type="gramStart"/>
          <w:r w:rsidRPr="0051018C">
            <w:rPr>
              <w:szCs w:val="24"/>
              <w:lang w:eastAsia="en-GB"/>
            </w:rPr>
            <w:t>in particular to</w:t>
          </w:r>
          <w:proofErr w:type="gramEnd"/>
          <w:r w:rsidRPr="0051018C">
            <w:rPr>
              <w:szCs w:val="24"/>
              <w:lang w:eastAsia="en-GB"/>
            </w:rPr>
            <w:t xml:space="preserve"> verify their effectiveness and conformity with the Regulations and the Guidelines on clearance of accounts.</w:t>
          </w:r>
        </w:p>
        <w:p w14:paraId="4373C93A" w14:textId="77777777" w:rsidR="00C367F3" w:rsidRDefault="00C367F3" w:rsidP="00C367F3">
          <w:pPr>
            <w:spacing w:after="0"/>
            <w:ind w:right="-14"/>
            <w:rPr>
              <w:szCs w:val="24"/>
              <w:lang w:eastAsia="en-GB"/>
            </w:rPr>
          </w:pPr>
        </w:p>
        <w:p w14:paraId="4BFBA124" w14:textId="77777777" w:rsidR="00C367F3" w:rsidRPr="0051018C" w:rsidRDefault="00C367F3" w:rsidP="00C367F3">
          <w:pPr>
            <w:spacing w:after="0"/>
            <w:ind w:right="-14"/>
            <w:rPr>
              <w:szCs w:val="24"/>
              <w:lang w:eastAsia="en-GB"/>
            </w:rPr>
          </w:pPr>
          <w:r w:rsidRPr="0051018C">
            <w:rPr>
              <w:szCs w:val="24"/>
              <w:lang w:eastAsia="en-GB"/>
            </w:rPr>
            <w:t>• The ongoing provision of such assistance and advice to contribute to improving the management and control systems by proposing modifications of EU legislation and addressing recommendations and guidelines to the Member States and Candidate Countries.</w:t>
          </w:r>
        </w:p>
        <w:p w14:paraId="0F61D193" w14:textId="77777777" w:rsidR="00C367F3" w:rsidRPr="0051018C" w:rsidRDefault="00C367F3" w:rsidP="00C367F3">
          <w:pPr>
            <w:spacing w:after="0"/>
            <w:ind w:right="-14"/>
            <w:rPr>
              <w:szCs w:val="24"/>
              <w:lang w:eastAsia="en-GB"/>
            </w:rPr>
          </w:pPr>
        </w:p>
        <w:p w14:paraId="36B1B2AB" w14:textId="77777777" w:rsidR="00C367F3" w:rsidRPr="0051018C" w:rsidRDefault="00C367F3" w:rsidP="00C367F3">
          <w:pPr>
            <w:spacing w:after="0"/>
            <w:ind w:right="-14"/>
            <w:rPr>
              <w:szCs w:val="24"/>
              <w:lang w:eastAsia="en-GB"/>
            </w:rPr>
          </w:pPr>
          <w:r w:rsidRPr="0051018C">
            <w:rPr>
              <w:szCs w:val="24"/>
              <w:lang w:eastAsia="en-GB"/>
            </w:rPr>
            <w:t xml:space="preserve">The Unit currently has 26 staff and boasts a positive working atmosphere and a strong "esprit de corps". Most Member States are represented.  </w:t>
          </w:r>
        </w:p>
        <w:p w14:paraId="59DD0438" w14:textId="2062BE14" w:rsidR="00E21DBD" w:rsidRDefault="00DD38A2"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7452E77" w14:textId="77777777" w:rsidR="00C367F3" w:rsidRPr="00B1475E" w:rsidRDefault="00C367F3" w:rsidP="00C367F3">
          <w:pPr>
            <w:spacing w:after="0"/>
            <w:ind w:right="-14"/>
            <w:rPr>
              <w:szCs w:val="24"/>
              <w:lang w:eastAsia="en-GB"/>
            </w:rPr>
          </w:pPr>
          <w:r w:rsidRPr="00B1475E">
            <w:rPr>
              <w:szCs w:val="24"/>
              <w:lang w:eastAsia="en-GB"/>
            </w:rPr>
            <w:t>The SNE will be requested to carry out the following tasks:</w:t>
          </w:r>
        </w:p>
        <w:p w14:paraId="74145329" w14:textId="77777777" w:rsidR="00C367F3" w:rsidRPr="00B1475E" w:rsidRDefault="00C367F3" w:rsidP="00C367F3">
          <w:pPr>
            <w:spacing w:after="0"/>
            <w:ind w:right="-14"/>
            <w:rPr>
              <w:szCs w:val="24"/>
              <w:lang w:eastAsia="en-GB"/>
            </w:rPr>
          </w:pPr>
          <w:r w:rsidRPr="00B1475E">
            <w:rPr>
              <w:szCs w:val="24"/>
              <w:lang w:eastAsia="en-GB"/>
            </w:rPr>
            <w:t xml:space="preserve"> </w:t>
          </w:r>
        </w:p>
        <w:p w14:paraId="4AC7341F" w14:textId="7584BF73" w:rsidR="00C367F3" w:rsidRPr="00B1475E" w:rsidRDefault="00C367F3" w:rsidP="00C367F3">
          <w:pPr>
            <w:spacing w:after="0"/>
            <w:ind w:left="473" w:right="161" w:hanging="473"/>
            <w:rPr>
              <w:szCs w:val="24"/>
              <w:lang w:eastAsia="en-GB"/>
            </w:rPr>
          </w:pPr>
          <w:r w:rsidRPr="00B1475E">
            <w:rPr>
              <w:szCs w:val="24"/>
              <w:lang w:eastAsia="en-GB"/>
            </w:rPr>
            <w:t>•</w:t>
          </w:r>
          <w:r w:rsidRPr="00B1475E">
            <w:rPr>
              <w:szCs w:val="24"/>
              <w:lang w:eastAsia="en-GB"/>
            </w:rPr>
            <w:tab/>
            <w:t xml:space="preserve">To analyse the annual accounts of the Paying Agencies </w:t>
          </w:r>
          <w:r w:rsidR="00ED2128">
            <w:rPr>
              <w:szCs w:val="24"/>
              <w:lang w:eastAsia="en-GB"/>
            </w:rPr>
            <w:t xml:space="preserve">and </w:t>
          </w:r>
          <w:r w:rsidRPr="00B1475E">
            <w:rPr>
              <w:szCs w:val="24"/>
              <w:lang w:eastAsia="en-GB"/>
            </w:rPr>
            <w:t xml:space="preserve">reconcile with the interim declarations of CAP </w:t>
          </w:r>
          <w:proofErr w:type="gramStart"/>
          <w:r w:rsidRPr="00B1475E">
            <w:rPr>
              <w:szCs w:val="24"/>
              <w:lang w:eastAsia="en-GB"/>
            </w:rPr>
            <w:t>expenditure;</w:t>
          </w:r>
          <w:proofErr w:type="gramEnd"/>
          <w:r w:rsidRPr="00B1475E">
            <w:rPr>
              <w:szCs w:val="24"/>
              <w:lang w:eastAsia="en-GB"/>
            </w:rPr>
            <w:t xml:space="preserve"> </w:t>
          </w:r>
        </w:p>
        <w:p w14:paraId="57275636" w14:textId="77777777" w:rsidR="00C367F3" w:rsidRPr="00B1475E" w:rsidRDefault="00C367F3" w:rsidP="00C367F3">
          <w:pPr>
            <w:spacing w:after="0"/>
            <w:ind w:left="473" w:right="161" w:hanging="473"/>
            <w:rPr>
              <w:szCs w:val="24"/>
              <w:lang w:eastAsia="en-GB"/>
            </w:rPr>
          </w:pPr>
          <w:r w:rsidRPr="00B1475E">
            <w:rPr>
              <w:szCs w:val="24"/>
              <w:lang w:eastAsia="en-GB"/>
            </w:rPr>
            <w:t>•</w:t>
          </w:r>
          <w:r w:rsidRPr="00B1475E">
            <w:rPr>
              <w:szCs w:val="24"/>
              <w:lang w:eastAsia="en-GB"/>
            </w:rPr>
            <w:tab/>
            <w:t xml:space="preserve">To follow-up the Certification Bodies’ reports and the assessment of the effectiveness of the control systems in Member States in managing the use of EU resources in the field of agricultural and rural development expenditure and preventing </w:t>
          </w:r>
          <w:proofErr w:type="gramStart"/>
          <w:r w:rsidRPr="00B1475E">
            <w:rPr>
              <w:szCs w:val="24"/>
              <w:lang w:eastAsia="en-GB"/>
            </w:rPr>
            <w:t>fraud;</w:t>
          </w:r>
          <w:proofErr w:type="gramEnd"/>
        </w:p>
        <w:p w14:paraId="1B23445D" w14:textId="77777777" w:rsidR="00C367F3" w:rsidRPr="00B1475E" w:rsidRDefault="00C367F3" w:rsidP="00C367F3">
          <w:pPr>
            <w:spacing w:after="0"/>
            <w:ind w:left="473" w:right="161" w:hanging="473"/>
            <w:rPr>
              <w:szCs w:val="24"/>
              <w:lang w:eastAsia="en-GB"/>
            </w:rPr>
          </w:pPr>
          <w:r w:rsidRPr="00B1475E">
            <w:rPr>
              <w:szCs w:val="24"/>
              <w:lang w:eastAsia="en-GB"/>
            </w:rPr>
            <w:t>•</w:t>
          </w:r>
          <w:r w:rsidRPr="00B1475E">
            <w:rPr>
              <w:szCs w:val="24"/>
              <w:lang w:eastAsia="en-GB"/>
            </w:rPr>
            <w:tab/>
            <w:t xml:space="preserve">To undertake around 2 missions per year, including with departure on </w:t>
          </w:r>
          <w:proofErr w:type="gramStart"/>
          <w:r w:rsidRPr="00B1475E">
            <w:rPr>
              <w:szCs w:val="24"/>
              <w:lang w:eastAsia="en-GB"/>
            </w:rPr>
            <w:t>Sundays;</w:t>
          </w:r>
          <w:proofErr w:type="gramEnd"/>
        </w:p>
        <w:p w14:paraId="33026918" w14:textId="77777777" w:rsidR="00C367F3" w:rsidRPr="00B1475E" w:rsidRDefault="00C367F3" w:rsidP="00C367F3">
          <w:pPr>
            <w:spacing w:after="0"/>
            <w:ind w:left="473" w:right="161" w:hanging="473"/>
            <w:rPr>
              <w:szCs w:val="24"/>
              <w:lang w:eastAsia="en-GB"/>
            </w:rPr>
          </w:pPr>
        </w:p>
        <w:p w14:paraId="7E86983B" w14:textId="77777777" w:rsidR="00C367F3" w:rsidRPr="00B1475E" w:rsidRDefault="00C367F3" w:rsidP="00C367F3">
          <w:pPr>
            <w:spacing w:after="0"/>
            <w:ind w:right="-14"/>
            <w:rPr>
              <w:szCs w:val="24"/>
              <w:lang w:eastAsia="en-GB"/>
            </w:rPr>
          </w:pPr>
          <w:r w:rsidRPr="00B1475E">
            <w:rPr>
              <w:szCs w:val="24"/>
              <w:lang w:eastAsia="en-GB"/>
            </w:rPr>
            <w:t xml:space="preserve">The SNE will work under the supervision of the Team Leader responsible for the financial clearance. Without prejudice to the principle of loyal cooperation between national, </w:t>
          </w:r>
          <w:proofErr w:type="gramStart"/>
          <w:r w:rsidRPr="00B1475E">
            <w:rPr>
              <w:szCs w:val="24"/>
              <w:lang w:eastAsia="en-GB"/>
            </w:rPr>
            <w:t>regional</w:t>
          </w:r>
          <w:proofErr w:type="gramEnd"/>
          <w:r w:rsidRPr="00B1475E">
            <w:rPr>
              <w:szCs w:val="24"/>
              <w:lang w:eastAsia="en-GB"/>
            </w:rPr>
            <w:t xml:space="preserve"> and European administrations, the SNE will not work on individual cases with implications with files he/she would have had to deal with in his/her national administration in the two years preceding the entry into the Commission or directly adjacent cases. In no case he/she shall represent the Commission </w:t>
          </w:r>
          <w:proofErr w:type="gramStart"/>
          <w:r w:rsidRPr="00B1475E">
            <w:rPr>
              <w:szCs w:val="24"/>
              <w:lang w:eastAsia="en-GB"/>
            </w:rPr>
            <w:t>in order to</w:t>
          </w:r>
          <w:proofErr w:type="gramEnd"/>
          <w:r w:rsidRPr="00B1475E">
            <w:rPr>
              <w:szCs w:val="24"/>
              <w:lang w:eastAsia="en-GB"/>
            </w:rPr>
            <w:t xml:space="preserve"> make commitments, financial or otherwise, or to negotiate on behalf of the Commission.</w:t>
          </w:r>
        </w:p>
        <w:p w14:paraId="46EE3E07" w14:textId="10AE495A" w:rsidR="00E21DBD" w:rsidRPr="00C367F3" w:rsidRDefault="00DD38A2" w:rsidP="00C367F3">
          <w:pPr>
            <w:spacing w:after="0"/>
            <w:ind w:right="-14"/>
            <w:rPr>
              <w:sz w:val="20"/>
              <w:lang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E34C93B" w14:textId="77777777" w:rsidR="00006827" w:rsidRPr="001D7972" w:rsidRDefault="00006827" w:rsidP="00006827">
          <w:pPr>
            <w:rPr>
              <w:szCs w:val="24"/>
              <w:lang w:val="en-IE"/>
            </w:rPr>
          </w:pPr>
          <w:r w:rsidRPr="001D7972">
            <w:rPr>
              <w:szCs w:val="24"/>
              <w:lang w:val="en-IE"/>
            </w:rPr>
            <w:t>Diploma:</w:t>
          </w:r>
        </w:p>
        <w:p w14:paraId="0A18C26A" w14:textId="77777777" w:rsidR="00006827" w:rsidRPr="001D7972" w:rsidRDefault="00006827" w:rsidP="00006827">
          <w:pPr>
            <w:rPr>
              <w:szCs w:val="24"/>
              <w:lang w:val="en-IE"/>
            </w:rPr>
          </w:pPr>
          <w:r w:rsidRPr="001D7972">
            <w:rPr>
              <w:szCs w:val="24"/>
              <w:lang w:val="en-IE"/>
            </w:rPr>
            <w:tab/>
            <w:t>- university degree or</w:t>
          </w:r>
        </w:p>
        <w:p w14:paraId="26965A20" w14:textId="5844C21C" w:rsidR="00006827" w:rsidRPr="001D7972" w:rsidRDefault="00006827" w:rsidP="00006827">
          <w:pPr>
            <w:rPr>
              <w:szCs w:val="24"/>
              <w:lang w:val="en-IE"/>
            </w:rPr>
          </w:pPr>
          <w:r w:rsidRPr="001D7972">
            <w:rPr>
              <w:szCs w:val="24"/>
              <w:lang w:val="en-IE"/>
            </w:rPr>
            <w:tab/>
            <w:t>- professional training or professional ex</w:t>
          </w:r>
          <w:r>
            <w:rPr>
              <w:szCs w:val="24"/>
              <w:lang w:val="en-IE"/>
            </w:rPr>
            <w:t>perience of an equivalent level</w:t>
          </w:r>
        </w:p>
        <w:p w14:paraId="710C3BE3" w14:textId="77777777" w:rsidR="00006827" w:rsidRPr="001D7972" w:rsidRDefault="00006827" w:rsidP="00006827">
          <w:pPr>
            <w:rPr>
              <w:szCs w:val="24"/>
              <w:lang w:val="en-IE"/>
            </w:rPr>
          </w:pPr>
          <w:r>
            <w:rPr>
              <w:szCs w:val="24"/>
              <w:lang w:val="en-IE"/>
            </w:rPr>
            <w:lastRenderedPageBreak/>
            <w:t>I</w:t>
          </w:r>
          <w:r w:rsidRPr="001D7972">
            <w:rPr>
              <w:szCs w:val="24"/>
              <w:lang w:val="en-IE"/>
            </w:rPr>
            <w:t xml:space="preserve">n the field(s) accountancy, audit, finance, statistics, economics, project management, administration, law                     </w:t>
          </w:r>
        </w:p>
        <w:p w14:paraId="092AFCC3" w14:textId="241AAD8F" w:rsidR="00006827" w:rsidRPr="00F06465" w:rsidRDefault="00006827" w:rsidP="00006827">
          <w:pPr>
            <w:rPr>
              <w:szCs w:val="24"/>
              <w:lang w:val="en-IE"/>
            </w:rPr>
          </w:pPr>
          <w:r w:rsidRPr="00F06465">
            <w:rPr>
              <w:szCs w:val="24"/>
              <w:lang w:val="en-IE"/>
            </w:rPr>
            <w:t xml:space="preserve">Professional experience: In addition to experience in accounting and </w:t>
          </w:r>
          <w:proofErr w:type="gramStart"/>
          <w:r w:rsidRPr="00F06465">
            <w:rPr>
              <w:szCs w:val="24"/>
              <w:lang w:val="en-IE"/>
            </w:rPr>
            <w:t>audit,  experience</w:t>
          </w:r>
          <w:proofErr w:type="gramEnd"/>
          <w:r w:rsidRPr="00F06465">
            <w:rPr>
              <w:szCs w:val="24"/>
              <w:lang w:val="en-IE"/>
            </w:rPr>
            <w:t xml:space="preserve"> in statistics, general mathematics, budget, finance and financial clearance and accreditation would be an asset. Knowledge of the CAP, Rural Development policy and European Structural and Regional Funds, general audit standards, methods and procedures and the standard Commission tools would also be an advantage.</w:t>
          </w:r>
        </w:p>
        <w:p w14:paraId="512F752B" w14:textId="77777777" w:rsidR="00006827" w:rsidRPr="00F06465" w:rsidRDefault="00006827" w:rsidP="00006827">
          <w:pPr>
            <w:rPr>
              <w:szCs w:val="24"/>
              <w:lang w:val="en-IE"/>
            </w:rPr>
          </w:pPr>
          <w:r w:rsidRPr="00F06465">
            <w:rPr>
              <w:szCs w:val="24"/>
              <w:lang w:val="en-IE"/>
            </w:rPr>
            <w:t>Language(s) necessary for the performance of duties: Very good communication skills in English. A working knowledge of French or other EU languages would be an advantage.</w:t>
          </w:r>
        </w:p>
        <w:p w14:paraId="51994EDB" w14:textId="02820639" w:rsidR="002E40A9" w:rsidRPr="00DF7163" w:rsidRDefault="00DD38A2" w:rsidP="00DF7163">
          <w:pPr>
            <w:spacing w:after="0"/>
            <w:ind w:right="-14"/>
            <w:rPr>
              <w:sz w:val="20"/>
              <w:lang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622FF4D7" w:rsidR="00F6462F" w:rsidRDefault="00F4683D">
    <w:pPr>
      <w:pStyle w:val="FooterLine"/>
      <w:jc w:val="center"/>
    </w:pPr>
    <w:r>
      <w:fldChar w:fldCharType="begin"/>
    </w:r>
    <w:r>
      <w:instrText>PAGE   \* MERGEFORMAT</w:instrText>
    </w:r>
    <w:r>
      <w:fldChar w:fldCharType="separate"/>
    </w:r>
    <w:r w:rsidR="00D33E3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977760590">
    <w:abstractNumId w:val="1"/>
  </w:num>
  <w:num w:numId="2" w16cid:durableId="39285585">
    <w:abstractNumId w:val="14"/>
  </w:num>
  <w:num w:numId="3" w16cid:durableId="1154834200">
    <w:abstractNumId w:val="9"/>
  </w:num>
  <w:num w:numId="4" w16cid:durableId="1854219305">
    <w:abstractNumId w:val="15"/>
  </w:num>
  <w:num w:numId="5" w16cid:durableId="1656881304">
    <w:abstractNumId w:val="20"/>
  </w:num>
  <w:num w:numId="6" w16cid:durableId="579752856">
    <w:abstractNumId w:val="22"/>
  </w:num>
  <w:num w:numId="7" w16cid:durableId="1762556438">
    <w:abstractNumId w:val="2"/>
  </w:num>
  <w:num w:numId="8" w16cid:durableId="779299542">
    <w:abstractNumId w:val="8"/>
  </w:num>
  <w:num w:numId="9" w16cid:durableId="453257107">
    <w:abstractNumId w:val="17"/>
  </w:num>
  <w:num w:numId="10" w16cid:durableId="1027874242">
    <w:abstractNumId w:val="3"/>
  </w:num>
  <w:num w:numId="11" w16cid:durableId="1962568544">
    <w:abstractNumId w:val="5"/>
  </w:num>
  <w:num w:numId="12" w16cid:durableId="2074962790">
    <w:abstractNumId w:val="6"/>
  </w:num>
  <w:num w:numId="13" w16cid:durableId="1983119653">
    <w:abstractNumId w:val="10"/>
  </w:num>
  <w:num w:numId="14" w16cid:durableId="264312862">
    <w:abstractNumId w:val="16"/>
  </w:num>
  <w:num w:numId="15" w16cid:durableId="526220547">
    <w:abstractNumId w:val="19"/>
  </w:num>
  <w:num w:numId="16" w16cid:durableId="1717660095">
    <w:abstractNumId w:val="23"/>
  </w:num>
  <w:num w:numId="17" w16cid:durableId="2135446083">
    <w:abstractNumId w:val="11"/>
  </w:num>
  <w:num w:numId="18" w16cid:durableId="515773600">
    <w:abstractNumId w:val="12"/>
  </w:num>
  <w:num w:numId="19" w16cid:durableId="789125884">
    <w:abstractNumId w:val="24"/>
  </w:num>
  <w:num w:numId="20" w16cid:durableId="216598114">
    <w:abstractNumId w:val="18"/>
  </w:num>
  <w:num w:numId="21" w16cid:durableId="559903566">
    <w:abstractNumId w:val="21"/>
  </w:num>
  <w:num w:numId="22" w16cid:durableId="593168368">
    <w:abstractNumId w:val="4"/>
  </w:num>
  <w:num w:numId="23" w16cid:durableId="1312060776">
    <w:abstractNumId w:val="7"/>
  </w:num>
  <w:num w:numId="24" w16cid:durableId="744912555">
    <w:abstractNumId w:val="13"/>
  </w:num>
  <w:num w:numId="25" w16cid:durableId="1674141042">
    <w:abstractNumId w:val="3"/>
  </w:num>
  <w:num w:numId="26" w16cid:durableId="1672951425">
    <w:abstractNumId w:val="3"/>
  </w:num>
  <w:num w:numId="27" w16cid:durableId="716204966">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442113850">
    <w:abstractNumId w:val="3"/>
  </w:num>
  <w:num w:numId="29" w16cid:durableId="1486582315">
    <w:abstractNumId w:val="3"/>
  </w:num>
  <w:num w:numId="30" w16cid:durableId="666785771">
    <w:abstractNumId w:val="3"/>
  </w:num>
  <w:num w:numId="31" w16cid:durableId="263343252">
    <w:abstractNumId w:val="3"/>
  </w:num>
  <w:num w:numId="32" w16cid:durableId="179663433">
    <w:abstractNumId w:val="3"/>
  </w:num>
  <w:num w:numId="33" w16cid:durableId="71632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06827"/>
    <w:rsid w:val="00012665"/>
    <w:rsid w:val="0007110E"/>
    <w:rsid w:val="0007544E"/>
    <w:rsid w:val="00092BCA"/>
    <w:rsid w:val="000A4668"/>
    <w:rsid w:val="000D129C"/>
    <w:rsid w:val="000F371B"/>
    <w:rsid w:val="000F4167"/>
    <w:rsid w:val="000F4CD5"/>
    <w:rsid w:val="00111AB6"/>
    <w:rsid w:val="001C1B0A"/>
    <w:rsid w:val="001D0A81"/>
    <w:rsid w:val="002109E6"/>
    <w:rsid w:val="00252050"/>
    <w:rsid w:val="002B3CBF"/>
    <w:rsid w:val="002C49D0"/>
    <w:rsid w:val="002E40A9"/>
    <w:rsid w:val="00394447"/>
    <w:rsid w:val="003E50A4"/>
    <w:rsid w:val="0040388A"/>
    <w:rsid w:val="00431778"/>
    <w:rsid w:val="00454CC7"/>
    <w:rsid w:val="00476034"/>
    <w:rsid w:val="004E4669"/>
    <w:rsid w:val="005168AD"/>
    <w:rsid w:val="0058240F"/>
    <w:rsid w:val="00592CD5"/>
    <w:rsid w:val="005D1B85"/>
    <w:rsid w:val="00665583"/>
    <w:rsid w:val="00693BC6"/>
    <w:rsid w:val="00696070"/>
    <w:rsid w:val="007E531E"/>
    <w:rsid w:val="007F02AC"/>
    <w:rsid w:val="007F7012"/>
    <w:rsid w:val="00850515"/>
    <w:rsid w:val="008D02B7"/>
    <w:rsid w:val="008F0B52"/>
    <w:rsid w:val="008F4BA9"/>
    <w:rsid w:val="009302B3"/>
    <w:rsid w:val="00994062"/>
    <w:rsid w:val="00996CC6"/>
    <w:rsid w:val="009A1EA0"/>
    <w:rsid w:val="009A2F00"/>
    <w:rsid w:val="009C5E27"/>
    <w:rsid w:val="00A033AD"/>
    <w:rsid w:val="00AB2CEA"/>
    <w:rsid w:val="00AB4751"/>
    <w:rsid w:val="00AF6424"/>
    <w:rsid w:val="00B24CC5"/>
    <w:rsid w:val="00B3644B"/>
    <w:rsid w:val="00B65513"/>
    <w:rsid w:val="00B73F08"/>
    <w:rsid w:val="00B8014C"/>
    <w:rsid w:val="00C03627"/>
    <w:rsid w:val="00C06724"/>
    <w:rsid w:val="00C3254D"/>
    <w:rsid w:val="00C367F3"/>
    <w:rsid w:val="00C504C7"/>
    <w:rsid w:val="00C52CC8"/>
    <w:rsid w:val="00C75BA4"/>
    <w:rsid w:val="00CB5B61"/>
    <w:rsid w:val="00CD2C5A"/>
    <w:rsid w:val="00D03CF4"/>
    <w:rsid w:val="00D33E38"/>
    <w:rsid w:val="00D7090C"/>
    <w:rsid w:val="00D84D53"/>
    <w:rsid w:val="00D96984"/>
    <w:rsid w:val="00DD38A2"/>
    <w:rsid w:val="00DD41ED"/>
    <w:rsid w:val="00DF1E49"/>
    <w:rsid w:val="00DF7163"/>
    <w:rsid w:val="00E21DBD"/>
    <w:rsid w:val="00E342CB"/>
    <w:rsid w:val="00E41704"/>
    <w:rsid w:val="00E44D7F"/>
    <w:rsid w:val="00E82667"/>
    <w:rsid w:val="00EB3147"/>
    <w:rsid w:val="00ED2128"/>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5176543">
    <w:abstractNumId w:val="0"/>
  </w:num>
  <w:num w:numId="2" w16cid:durableId="15468422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7D737AC9-85B7-4155-9554-A94039A2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1094</Words>
  <Characters>6828</Characters>
  <Application>Microsoft Office Word</Application>
  <DocSecurity>4</DocSecurity>
  <PresentationFormat>Microsoft Word 14.0</PresentationFormat>
  <Lines>284</Lines>
  <Paragraphs>125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2023-07-05T11:32:00Z</dcterms:created>
  <dcterms:modified xsi:type="dcterms:W3CDTF">2023-07-05T11:32:00Z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