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4A619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EEEBDAA" w:rsidR="00B65513" w:rsidRPr="0007110E" w:rsidRDefault="00B842D9" w:rsidP="00DF1E49">
                <w:pPr>
                  <w:tabs>
                    <w:tab w:val="left" w:pos="426"/>
                  </w:tabs>
                  <w:rPr>
                    <w:bCs/>
                    <w:lang w:val="en-IE" w:eastAsia="en-GB"/>
                  </w:rPr>
                </w:pPr>
                <w:r>
                  <w:rPr>
                    <w:bCs/>
                    <w:lang w:val="en-IE" w:eastAsia="en-GB"/>
                  </w:rPr>
                  <w:t>INTPA.F.2</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91E55E7" w:rsidR="00D96984" w:rsidRPr="0007110E" w:rsidRDefault="00B842D9" w:rsidP="00DF1E49">
                <w:pPr>
                  <w:tabs>
                    <w:tab w:val="left" w:pos="426"/>
                  </w:tabs>
                  <w:rPr>
                    <w:bCs/>
                    <w:lang w:val="en-IE" w:eastAsia="en-GB"/>
                  </w:rPr>
                </w:pPr>
                <w:r>
                  <w:rPr>
                    <w:bCs/>
                    <w:lang w:val="en-IE" w:eastAsia="en-GB"/>
                  </w:rPr>
                  <w:t>298785</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FBABB2B" w:rsidR="00E21DBD" w:rsidRPr="00B842D9" w:rsidRDefault="00B842D9" w:rsidP="00E21DBD">
                <w:pPr>
                  <w:tabs>
                    <w:tab w:val="left" w:pos="426"/>
                  </w:tabs>
                  <w:rPr>
                    <w:bCs/>
                    <w:lang w:val="fr-BE" w:eastAsia="en-GB"/>
                  </w:rPr>
                </w:pPr>
                <w:r w:rsidRPr="00B842D9">
                  <w:rPr>
                    <w:bCs/>
                    <w:lang w:val="fr-BE" w:eastAsia="en-GB"/>
                  </w:rPr>
                  <w:t>Chantal Marijnissen</w:t>
                </w:r>
              </w:p>
            </w:sdtContent>
          </w:sdt>
          <w:p w14:paraId="34CF737A" w14:textId="529AC4E4" w:rsidR="00E21DBD" w:rsidRPr="0007110E" w:rsidRDefault="004A619A"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B842D9" w:rsidRPr="00346C41">
                  <w:rPr>
                    <w:bCs/>
                    <w:lang w:val="en-IE" w:eastAsia="en-GB"/>
                  </w:rPr>
                  <w:t>(</w:t>
                </w:r>
                <w:proofErr w:type="gramStart"/>
                <w:r w:rsidR="00B842D9" w:rsidRPr="00346C41">
                  <w:rPr>
                    <w:bCs/>
                    <w:lang w:val="en-IE" w:eastAsia="en-GB"/>
                  </w:rPr>
                  <w:t>as</w:t>
                </w:r>
                <w:proofErr w:type="gramEnd"/>
                <w:r w:rsidR="00B842D9" w:rsidRPr="00346C41">
                  <w:rPr>
                    <w:bCs/>
                    <w:lang w:val="en-IE" w:eastAsia="en-GB"/>
                  </w:rPr>
                  <w:t xml:space="preserve"> </w:t>
                </w:r>
                <w:proofErr w:type="spellStart"/>
                <w:r w:rsidR="00B842D9" w:rsidRPr="00346C41">
                  <w:rPr>
                    <w:bCs/>
                    <w:lang w:val="en-IE" w:eastAsia="en-GB"/>
                  </w:rPr>
                  <w:t>son</w:t>
                </w:r>
                <w:proofErr w:type="spellEnd"/>
                <w:r w:rsidR="00B842D9" w:rsidRPr="00346C41">
                  <w:rPr>
                    <w:bCs/>
                    <w:lang w:val="en-IE" w:eastAsia="en-GB"/>
                  </w:rPr>
                  <w:t xml:space="preserve"> as possible 3rd</w:t>
                </w:r>
                <w:r w:rsidR="00E21DBD" w:rsidRPr="00346C41">
                  <w:rPr>
                    <w:bCs/>
                    <w:lang w:val="en-IE" w:eastAsia="en-GB"/>
                  </w:rPr>
                  <w:t>…</w:t>
                </w:r>
              </w:sdtContent>
            </w:sdt>
            <w:r w:rsidR="00E21DBD" w:rsidRPr="00346C41">
              <w:rPr>
                <w:bCs/>
                <w:lang w:val="en-IE" w:eastAsia="en-GB"/>
              </w:rPr>
              <w:t xml:space="preserve"> </w:t>
            </w:r>
            <w:r w:rsidR="00E21DBD" w:rsidRPr="0007110E">
              <w:rPr>
                <w:bCs/>
                <w:lang w:val="en-IE" w:eastAsia="en-GB"/>
              </w:rPr>
              <w:t>quarter 20</w:t>
            </w:r>
            <w:r w:rsidR="00DF1E49" w:rsidRPr="0007110E">
              <w:rPr>
                <w:bCs/>
                <w:lang w:val="en-IE" w:eastAsia="en-GB"/>
              </w:rPr>
              <w:t>2</w:t>
            </w:r>
          </w:p>
          <w:p w14:paraId="158DD156" w14:textId="357A2C54" w:rsidR="00E21DBD" w:rsidRPr="0007110E" w:rsidRDefault="004A619A"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842D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B842D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DefaultPlaceholder_-1854013440"/>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3CA5D923" w:rsidR="00E21DBD" w:rsidRPr="0007110E" w:rsidRDefault="004A619A" w:rsidP="00DF1E49">
            <w:pPr>
              <w:tabs>
                <w:tab w:val="left" w:pos="426"/>
              </w:tabs>
              <w:rPr>
                <w:bCs/>
                <w:lang w:val="en-IE" w:eastAsia="en-GB"/>
              </w:rPr>
            </w:pPr>
            <w:sdt>
              <w:sdtPr>
                <w:rPr>
                  <w:bCs/>
                  <w:szCs w:val="24"/>
                  <w:lang w:eastAsia="en-GB"/>
                </w:rPr>
                <w:id w:val="269588133"/>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1"/>
                  <w14:checkedState w14:val="2612" w14:font="MS Gothic"/>
                  <w14:uncheckedState w14:val="2610" w14:font="MS Gothic"/>
                </w14:checkbox>
              </w:sdtPr>
              <w:sdtEndPr/>
              <w:sdtContent>
                <w:r w:rsidR="00B842D9">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16861433" w:rsidR="00E21DBD" w:rsidRPr="0007110E" w:rsidRDefault="004A619A"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B842D9">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35B1FD8" w:rsidR="00E21DBD" w:rsidRPr="0007110E" w:rsidRDefault="004A619A"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7D1619">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4A619A"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4A619A"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4A619A"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7FE95DBF" w:rsidR="00DF1E49" w:rsidRPr="0007110E" w:rsidRDefault="004A619A"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sidR="00D233D7">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00D233D7">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7370FFC" w14:textId="77777777" w:rsidR="00B842D9" w:rsidRPr="00855373" w:rsidRDefault="00B842D9" w:rsidP="00B842D9">
          <w:pPr>
            <w:ind w:right="459"/>
            <w:rPr>
              <w:sz w:val="22"/>
              <w:szCs w:val="22"/>
            </w:rPr>
          </w:pPr>
          <w:r w:rsidRPr="00855373">
            <w:rPr>
              <w:sz w:val="22"/>
              <w:szCs w:val="22"/>
            </w:rPr>
            <w:t xml:space="preserve">Unit F2 – environment and natural resources - is offering a </w:t>
          </w:r>
          <w:r>
            <w:rPr>
              <w:sz w:val="22"/>
              <w:szCs w:val="22"/>
            </w:rPr>
            <w:t xml:space="preserve">cost-free </w:t>
          </w:r>
          <w:r w:rsidRPr="00855373">
            <w:rPr>
              <w:sz w:val="22"/>
              <w:szCs w:val="22"/>
            </w:rPr>
            <w:t xml:space="preserve">seconded national expert position under the responsibility of the Head of Unit. </w:t>
          </w:r>
        </w:p>
        <w:p w14:paraId="203761DB" w14:textId="77777777" w:rsidR="00B842D9" w:rsidRPr="00855373" w:rsidRDefault="00B842D9" w:rsidP="00B842D9">
          <w:pPr>
            <w:spacing w:after="120"/>
            <w:ind w:right="459"/>
            <w:rPr>
              <w:sz w:val="22"/>
              <w:szCs w:val="22"/>
            </w:rPr>
          </w:pPr>
          <w:r w:rsidRPr="00855373">
            <w:rPr>
              <w:sz w:val="22"/>
              <w:szCs w:val="22"/>
            </w:rPr>
            <w:t>The European Green Deal sets the European Union ambition to lead global efforts to achieve climate neutrality, halt biodiversity loss and decouple economic growth from natural resources use.  This ambition ha</w:t>
          </w:r>
          <w:r>
            <w:rPr>
              <w:sz w:val="22"/>
              <w:szCs w:val="22"/>
            </w:rPr>
            <w:t>s</w:t>
          </w:r>
          <w:r w:rsidRPr="00855373">
            <w:rPr>
              <w:sz w:val="22"/>
              <w:szCs w:val="22"/>
            </w:rPr>
            <w:t xml:space="preserve"> been translated in </w:t>
          </w:r>
          <w:proofErr w:type="gramStart"/>
          <w:r w:rsidRPr="00855373">
            <w:rPr>
              <w:sz w:val="22"/>
              <w:szCs w:val="22"/>
            </w:rPr>
            <w:t>a number of</w:t>
          </w:r>
          <w:proofErr w:type="gramEnd"/>
          <w:r w:rsidRPr="00855373">
            <w:rPr>
              <w:sz w:val="22"/>
              <w:szCs w:val="22"/>
            </w:rPr>
            <w:t xml:space="preserve"> transformative policy and regulatory f</w:t>
          </w:r>
          <w:r>
            <w:rPr>
              <w:sz w:val="22"/>
              <w:szCs w:val="22"/>
            </w:rPr>
            <w:t>ra</w:t>
          </w:r>
          <w:r w:rsidRPr="00855373">
            <w:rPr>
              <w:sz w:val="22"/>
              <w:szCs w:val="22"/>
            </w:rPr>
            <w:t>meworks, including the Circular Economy Action Plan, the EU Action Plan on Sustainable Finance and its taxonomy, the Plastics strategy and the Zero Pollution Action Plan, the Biodiversity Strategy 2030, the Farm to Fork strategy: all include a strong external dimension that frames EU partnerships with third countries.</w:t>
          </w:r>
        </w:p>
        <w:p w14:paraId="07B1D43F" w14:textId="77777777" w:rsidR="00B842D9" w:rsidRPr="00855373" w:rsidRDefault="00B842D9" w:rsidP="00B842D9">
          <w:pPr>
            <w:spacing w:after="120"/>
            <w:ind w:right="459"/>
            <w:rPr>
              <w:sz w:val="22"/>
              <w:szCs w:val="22"/>
            </w:rPr>
          </w:pPr>
          <w:r w:rsidRPr="00855373">
            <w:rPr>
              <w:sz w:val="22"/>
              <w:szCs w:val="22"/>
            </w:rPr>
            <w:lastRenderedPageBreak/>
            <w:t>The Green Deal ambition is fully embedded in the Multi-annual Initiative Programmes that have been defined for 2021-2027, at country, regional and global level</w:t>
          </w:r>
          <w:r>
            <w:rPr>
              <w:sz w:val="22"/>
              <w:szCs w:val="22"/>
            </w:rPr>
            <w:t xml:space="preserve">: </w:t>
          </w:r>
          <w:proofErr w:type="gramStart"/>
          <w:r>
            <w:rPr>
              <w:sz w:val="22"/>
              <w:szCs w:val="22"/>
            </w:rPr>
            <w:t>the majority of</w:t>
          </w:r>
          <w:proofErr w:type="gramEnd"/>
          <w:r>
            <w:rPr>
              <w:sz w:val="22"/>
              <w:szCs w:val="22"/>
            </w:rPr>
            <w:t xml:space="preserve"> them includes a strong focus on green/circular economy and green investments</w:t>
          </w:r>
          <w:r w:rsidRPr="00855373">
            <w:rPr>
              <w:sz w:val="22"/>
              <w:szCs w:val="22"/>
            </w:rPr>
            <w:t xml:space="preserve">.   </w:t>
          </w:r>
        </w:p>
        <w:p w14:paraId="4C282584" w14:textId="77777777" w:rsidR="00B842D9" w:rsidRDefault="00B842D9" w:rsidP="00B842D9">
          <w:pPr>
            <w:spacing w:after="120"/>
            <w:ind w:right="459"/>
            <w:rPr>
              <w:sz w:val="22"/>
              <w:szCs w:val="22"/>
            </w:rPr>
          </w:pPr>
          <w:r w:rsidRPr="00855373">
            <w:rPr>
              <w:sz w:val="22"/>
              <w:szCs w:val="22"/>
            </w:rPr>
            <w:t xml:space="preserve">The mandate of INTPA unit F2 is to support developing countries in implementing the environmental dimension of the 2030 Agenda for Sustainable Development, in line with the European Consensus on Development. Unit F2 promotes the design and implementation of the external dimension of the European Green Deal.  It  supports the </w:t>
          </w:r>
          <w:r>
            <w:rPr>
              <w:sz w:val="22"/>
              <w:szCs w:val="22"/>
            </w:rPr>
            <w:t xml:space="preserve">transition to green and circular economies, the </w:t>
          </w:r>
          <w:r w:rsidRPr="00855373">
            <w:rPr>
              <w:sz w:val="22"/>
              <w:szCs w:val="22"/>
            </w:rPr>
            <w:t xml:space="preserve">“Greening” of EU cooperation with third countries (through the integration (or mainstreaming) of environmental sustainability into development policies, plans and investments across all areas and instruments) and the design and implementation of specific actions to promote </w:t>
          </w:r>
          <w:r>
            <w:rPr>
              <w:sz w:val="22"/>
              <w:szCs w:val="22"/>
            </w:rPr>
            <w:t xml:space="preserve">a circular economy, </w:t>
          </w:r>
          <w:r w:rsidRPr="00855373">
            <w:rPr>
              <w:sz w:val="22"/>
              <w:szCs w:val="22"/>
            </w:rPr>
            <w:t xml:space="preserve">better environment and natural resources governance, the conservation and sustainable use of biodiversity and natural resources including land, water, oceans  and forests.  </w:t>
          </w:r>
        </w:p>
        <w:p w14:paraId="57182F0C" w14:textId="77777777" w:rsidR="00B842D9" w:rsidRPr="00855373" w:rsidRDefault="00B842D9" w:rsidP="00B842D9">
          <w:pPr>
            <w:ind w:right="459"/>
            <w:rPr>
              <w:sz w:val="22"/>
              <w:szCs w:val="22"/>
            </w:rPr>
          </w:pPr>
          <w:r w:rsidRPr="00855373">
            <w:rPr>
              <w:sz w:val="22"/>
              <w:szCs w:val="22"/>
            </w:rPr>
            <w:t xml:space="preserve">With this aim, INTPA F2 </w:t>
          </w:r>
          <w:proofErr w:type="gramStart"/>
          <w:r w:rsidRPr="00855373">
            <w:rPr>
              <w:sz w:val="22"/>
              <w:szCs w:val="22"/>
            </w:rPr>
            <w:t>is in charge of</w:t>
          </w:r>
          <w:proofErr w:type="gramEnd"/>
          <w:r w:rsidRPr="00855373">
            <w:rPr>
              <w:sz w:val="22"/>
              <w:szCs w:val="22"/>
            </w:rPr>
            <w:t xml:space="preserve"> three main areas of work: thematic policy development; thematic support </w:t>
          </w:r>
          <w:r>
            <w:rPr>
              <w:sz w:val="22"/>
              <w:szCs w:val="22"/>
            </w:rPr>
            <w:t xml:space="preserve">(including environmental mainstreaming) </w:t>
          </w:r>
          <w:r w:rsidRPr="00855373">
            <w:rPr>
              <w:sz w:val="22"/>
              <w:szCs w:val="22"/>
            </w:rPr>
            <w:t xml:space="preserve">and policy guidance to EU Delegations and our counterparts; programming and implementation. These responsibilities </w:t>
          </w:r>
          <w:r>
            <w:rPr>
              <w:sz w:val="22"/>
              <w:szCs w:val="22"/>
            </w:rPr>
            <w:t xml:space="preserve">also </w:t>
          </w:r>
          <w:r w:rsidRPr="00855373">
            <w:rPr>
              <w:sz w:val="22"/>
              <w:szCs w:val="22"/>
            </w:rPr>
            <w:t xml:space="preserve">entail policy dialogue, capacity development and knowledge management, </w:t>
          </w:r>
          <w:proofErr w:type="gramStart"/>
          <w:r w:rsidRPr="00855373">
            <w:rPr>
              <w:sz w:val="22"/>
              <w:szCs w:val="22"/>
            </w:rPr>
            <w:t>partnerships</w:t>
          </w:r>
          <w:proofErr w:type="gramEnd"/>
          <w:r w:rsidRPr="00855373">
            <w:rPr>
              <w:sz w:val="22"/>
              <w:szCs w:val="22"/>
            </w:rPr>
            <w:t xml:space="preserve"> and joint implementation. </w:t>
          </w:r>
        </w:p>
        <w:p w14:paraId="59DD0438" w14:textId="752B665E" w:rsidR="00E21DBD" w:rsidRDefault="00B842D9" w:rsidP="00B842D9">
          <w:pPr>
            <w:ind w:right="459"/>
            <w:rPr>
              <w:lang w:val="en-US" w:eastAsia="en-GB"/>
            </w:rPr>
          </w:pPr>
          <w:r w:rsidRPr="00855373">
            <w:rPr>
              <w:sz w:val="22"/>
              <w:szCs w:val="22"/>
            </w:rPr>
            <w:t xml:space="preserve">The work on the above matters is done with support of technical assistance facilities and </w:t>
          </w:r>
          <w:r>
            <w:rPr>
              <w:sz w:val="22"/>
              <w:szCs w:val="22"/>
            </w:rPr>
            <w:t xml:space="preserve">-for what relates to mainstreaming- </w:t>
          </w:r>
          <w:r w:rsidRPr="00855373">
            <w:rPr>
              <w:sz w:val="22"/>
              <w:szCs w:val="22"/>
            </w:rPr>
            <w:t xml:space="preserve">in close coordination with the unit in charge of sustainable energy and climate change (F1); it entails active engagement with all concerned services, including EU delegations, </w:t>
          </w:r>
          <w:r>
            <w:rPr>
              <w:sz w:val="22"/>
              <w:szCs w:val="22"/>
            </w:rPr>
            <w:t xml:space="preserve">line DGs, </w:t>
          </w:r>
          <w:r w:rsidRPr="00855373">
            <w:rPr>
              <w:sz w:val="22"/>
              <w:szCs w:val="22"/>
            </w:rPr>
            <w:t>partner institutions and governments, member states and colleagues in headquarters.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1F749966" w14:textId="77777777" w:rsidR="00B842D9" w:rsidRPr="00855373" w:rsidRDefault="00B842D9" w:rsidP="00B842D9">
          <w:pPr>
            <w:ind w:right="459"/>
            <w:rPr>
              <w:sz w:val="22"/>
              <w:szCs w:val="22"/>
            </w:rPr>
          </w:pPr>
          <w:r w:rsidRPr="00855373">
            <w:rPr>
              <w:sz w:val="22"/>
              <w:szCs w:val="22"/>
            </w:rPr>
            <w:t xml:space="preserve">Under the responsibility of the Head of Unit and the direct supervision of the head of sector for Environment, Mainstreaming and Circular Economy, the successful candidate will support INTPA's work </w:t>
          </w:r>
          <w:r>
            <w:rPr>
              <w:sz w:val="22"/>
              <w:szCs w:val="22"/>
            </w:rPr>
            <w:t xml:space="preserve">on promoting </w:t>
          </w:r>
          <w:r w:rsidRPr="00855373">
            <w:rPr>
              <w:rFonts w:eastAsia="Arial"/>
              <w:sz w:val="22"/>
              <w:szCs w:val="22"/>
            </w:rPr>
            <w:t>the transition to resource-efficient circular economies</w:t>
          </w:r>
          <w:r>
            <w:rPr>
              <w:sz w:val="22"/>
              <w:szCs w:val="22"/>
            </w:rPr>
            <w:t xml:space="preserve"> and on </w:t>
          </w:r>
          <w:r w:rsidRPr="00855373">
            <w:rPr>
              <w:rFonts w:eastAsia="Arial"/>
              <w:sz w:val="22"/>
              <w:szCs w:val="22"/>
            </w:rPr>
            <w:t>“Greening” EU</w:t>
          </w:r>
          <w:r>
            <w:rPr>
              <w:rFonts w:eastAsia="Arial"/>
              <w:sz w:val="22"/>
              <w:szCs w:val="22"/>
            </w:rPr>
            <w:t>-supported investments</w:t>
          </w:r>
          <w:r w:rsidRPr="00855373">
            <w:rPr>
              <w:rFonts w:eastAsia="Arial"/>
              <w:sz w:val="22"/>
              <w:szCs w:val="22"/>
            </w:rPr>
            <w:t xml:space="preserve">, </w:t>
          </w:r>
          <w:r>
            <w:rPr>
              <w:rFonts w:eastAsia="Arial"/>
              <w:sz w:val="22"/>
              <w:szCs w:val="22"/>
            </w:rPr>
            <w:t xml:space="preserve">in line </w:t>
          </w:r>
          <w:r w:rsidRPr="00855373">
            <w:rPr>
              <w:rFonts w:eastAsia="Arial"/>
              <w:sz w:val="22"/>
              <w:szCs w:val="22"/>
            </w:rPr>
            <w:t xml:space="preserve">with the objectives of the European Green Deal. This includes (i) </w:t>
          </w:r>
          <w:r>
            <w:rPr>
              <w:rFonts w:eastAsia="Arial"/>
              <w:sz w:val="22"/>
              <w:szCs w:val="22"/>
            </w:rPr>
            <w:t xml:space="preserve">support to the Commission’s policy work on circular economy and on sustainable finance and participation in inter-service consultations on circular economy matters; (ii) support to the design, steering and management of INTPA’s circular economy portfolio of projects, in particular global projects; (iii) thematic support to EU delegations on circular economy, notably through the review of programming and action documents in the quality assurance process; (iv) support to </w:t>
          </w:r>
          <w:r w:rsidRPr="00855373">
            <w:rPr>
              <w:rFonts w:eastAsia="Arial"/>
              <w:sz w:val="22"/>
              <w:szCs w:val="22"/>
            </w:rPr>
            <w:t xml:space="preserve">the integration -or mainstreaming- of environment and green/circular economy, </w:t>
          </w:r>
          <w:r>
            <w:rPr>
              <w:rFonts w:eastAsia="Arial"/>
              <w:sz w:val="22"/>
              <w:szCs w:val="22"/>
            </w:rPr>
            <w:t xml:space="preserve">in </w:t>
          </w:r>
          <w:r w:rsidRPr="00855373">
            <w:rPr>
              <w:rFonts w:eastAsia="Arial"/>
              <w:sz w:val="22"/>
              <w:szCs w:val="22"/>
            </w:rPr>
            <w:t>investments</w:t>
          </w:r>
          <w:r>
            <w:rPr>
              <w:rFonts w:eastAsia="Arial"/>
              <w:sz w:val="22"/>
              <w:szCs w:val="22"/>
            </w:rPr>
            <w:t xml:space="preserve"> supported under the </w:t>
          </w:r>
          <w:r w:rsidRPr="00855373">
            <w:rPr>
              <w:sz w:val="22"/>
              <w:szCs w:val="22"/>
            </w:rPr>
            <w:t xml:space="preserve">European Fund for Sustainable Development </w:t>
          </w:r>
          <w:r>
            <w:rPr>
              <w:sz w:val="22"/>
              <w:szCs w:val="22"/>
            </w:rPr>
            <w:t>(</w:t>
          </w:r>
          <w:r w:rsidRPr="00855373">
            <w:rPr>
              <w:sz w:val="22"/>
              <w:szCs w:val="22"/>
            </w:rPr>
            <w:t>EFSD+), including guarantees and blending operations, as well as budget support operations and public finance management</w:t>
          </w:r>
          <w:r>
            <w:rPr>
              <w:sz w:val="22"/>
              <w:szCs w:val="22"/>
            </w:rPr>
            <w:t xml:space="preserve">; this may entail </w:t>
          </w:r>
          <w:r>
            <w:rPr>
              <w:rFonts w:eastAsia="Arial"/>
              <w:sz w:val="22"/>
              <w:szCs w:val="22"/>
            </w:rPr>
            <w:t>the development, with the support of the technical assistance facility  of tools and methodological guidance, engagement with Finance Institutions, and quality review of investment programmes and investment proposals</w:t>
          </w:r>
          <w:r w:rsidRPr="00855373">
            <w:rPr>
              <w:sz w:val="22"/>
              <w:szCs w:val="22"/>
            </w:rPr>
            <w:t>.</w:t>
          </w:r>
        </w:p>
        <w:p w14:paraId="0D739AB5" w14:textId="77777777" w:rsidR="00B842D9" w:rsidRPr="00855373" w:rsidRDefault="00B842D9" w:rsidP="00B842D9">
          <w:pPr>
            <w:ind w:right="1317"/>
            <w:rPr>
              <w:sz w:val="22"/>
              <w:szCs w:val="22"/>
            </w:rPr>
          </w:pPr>
          <w:r w:rsidRPr="00855373">
            <w:rPr>
              <w:sz w:val="22"/>
              <w:szCs w:val="22"/>
            </w:rPr>
            <w:t>In this context, the successful candidate will carry out the following tasks:</w:t>
          </w:r>
        </w:p>
        <w:p w14:paraId="3001DDDB" w14:textId="77777777" w:rsidR="00B842D9" w:rsidRPr="00B842D9" w:rsidRDefault="00B842D9" w:rsidP="00B842D9">
          <w:pPr>
            <w:pStyle w:val="ListParagraph"/>
            <w:numPr>
              <w:ilvl w:val="0"/>
              <w:numId w:val="34"/>
            </w:numPr>
            <w:spacing w:after="0" w:line="240" w:lineRule="auto"/>
            <w:ind w:right="459"/>
            <w:jc w:val="both"/>
            <w:rPr>
              <w:rFonts w:ascii="Times New Roman" w:hAnsi="Times New Roman"/>
              <w:lang w:val="en-IE"/>
            </w:rPr>
          </w:pPr>
          <w:r w:rsidRPr="00B842D9">
            <w:rPr>
              <w:rFonts w:ascii="Times New Roman" w:hAnsi="Times New Roman"/>
              <w:lang w:val="en-IE"/>
            </w:rPr>
            <w:t xml:space="preserve">Contribute to INTPA’s policy and technical work in relation with green/circular economy, green </w:t>
          </w:r>
          <w:proofErr w:type="gramStart"/>
          <w:r w:rsidRPr="00B842D9">
            <w:rPr>
              <w:rFonts w:ascii="Times New Roman" w:hAnsi="Times New Roman"/>
              <w:lang w:val="en-IE"/>
            </w:rPr>
            <w:t>investments</w:t>
          </w:r>
          <w:proofErr w:type="gramEnd"/>
          <w:r w:rsidRPr="00B842D9">
            <w:rPr>
              <w:rFonts w:ascii="Times New Roman" w:hAnsi="Times New Roman"/>
              <w:lang w:val="en-IE"/>
            </w:rPr>
            <w:t xml:space="preserve"> and environment more broadly.</w:t>
          </w:r>
        </w:p>
        <w:p w14:paraId="52A8F85E" w14:textId="77777777" w:rsidR="00B842D9" w:rsidRPr="00B842D9" w:rsidRDefault="00B842D9" w:rsidP="00B842D9">
          <w:pPr>
            <w:pStyle w:val="ListParagraph"/>
            <w:numPr>
              <w:ilvl w:val="0"/>
              <w:numId w:val="34"/>
            </w:numPr>
            <w:spacing w:after="0" w:line="240" w:lineRule="auto"/>
            <w:ind w:right="459"/>
            <w:jc w:val="both"/>
            <w:rPr>
              <w:rFonts w:ascii="Times New Roman" w:hAnsi="Times New Roman"/>
              <w:lang w:val="en-IE"/>
            </w:rPr>
          </w:pPr>
          <w:r w:rsidRPr="00B842D9">
            <w:rPr>
              <w:rFonts w:ascii="Times New Roman" w:hAnsi="Times New Roman"/>
              <w:lang w:val="en-IE"/>
            </w:rPr>
            <w:t xml:space="preserve">Support the development and management of INTPA’s portfolio on green/circular economy, </w:t>
          </w:r>
          <w:r w:rsidRPr="00855373">
            <w:rPr>
              <w:rFonts w:ascii="Times New Roman" w:eastAsia="Times New Roman" w:hAnsi="Times New Roman"/>
              <w:lang w:val="en-US" w:eastAsia="en-GB"/>
            </w:rPr>
            <w:t xml:space="preserve">contributing to the design and management of circular economy and environmental actions financed under the thematic and geographic </w:t>
          </w:r>
          <w:proofErr w:type="spellStart"/>
          <w:r w:rsidRPr="00855373">
            <w:rPr>
              <w:rFonts w:ascii="Times New Roman" w:eastAsia="Times New Roman" w:hAnsi="Times New Roman"/>
              <w:lang w:val="en-US" w:eastAsia="en-GB"/>
            </w:rPr>
            <w:t>programmes</w:t>
          </w:r>
          <w:proofErr w:type="spellEnd"/>
          <w:r w:rsidRPr="00855373">
            <w:rPr>
              <w:rFonts w:ascii="Times New Roman" w:eastAsia="Times New Roman" w:hAnsi="Times New Roman"/>
              <w:lang w:val="en-US" w:eastAsia="en-GB"/>
            </w:rPr>
            <w:t>.</w:t>
          </w:r>
        </w:p>
        <w:p w14:paraId="374D17E0" w14:textId="77777777" w:rsidR="00B842D9" w:rsidRPr="00B842D9" w:rsidRDefault="00B842D9" w:rsidP="00B842D9">
          <w:pPr>
            <w:pStyle w:val="ListParagraph"/>
            <w:numPr>
              <w:ilvl w:val="0"/>
              <w:numId w:val="34"/>
            </w:numPr>
            <w:spacing w:after="0" w:line="240" w:lineRule="auto"/>
            <w:ind w:right="459"/>
            <w:jc w:val="both"/>
            <w:rPr>
              <w:rFonts w:ascii="Times New Roman" w:hAnsi="Times New Roman"/>
              <w:lang w:val="en-IE"/>
            </w:rPr>
          </w:pPr>
          <w:r w:rsidRPr="00B842D9">
            <w:rPr>
              <w:rFonts w:ascii="Times New Roman" w:hAnsi="Times New Roman"/>
              <w:lang w:val="en-IE"/>
            </w:rPr>
            <w:t>Contribute to the realisation of the unit's missions by ensuring effective implementation of the tasks that will be assigned to her/him; this includes contributing</w:t>
          </w:r>
          <w:r w:rsidRPr="00855373">
            <w:rPr>
              <w:rFonts w:ascii="Times New Roman" w:eastAsia="Times New Roman" w:hAnsi="Times New Roman"/>
              <w:lang w:val="en-US" w:eastAsia="en-GB"/>
            </w:rPr>
            <w:t xml:space="preserve"> notably to the </w:t>
          </w:r>
          <w:r w:rsidRPr="00855373">
            <w:rPr>
              <w:rFonts w:ascii="Times New Roman" w:eastAsia="Times New Roman" w:hAnsi="Times New Roman"/>
              <w:lang w:val="en-US" w:eastAsia="en-GB"/>
            </w:rPr>
            <w:lastRenderedPageBreak/>
            <w:t>preparation of work plans, reports, briefings, policy and technical documents, and other institutional processes.</w:t>
          </w:r>
        </w:p>
        <w:p w14:paraId="2399AB2B" w14:textId="77777777" w:rsidR="00B842D9" w:rsidRPr="00B842D9" w:rsidRDefault="00B842D9" w:rsidP="00B842D9">
          <w:pPr>
            <w:pStyle w:val="ListParagraph"/>
            <w:numPr>
              <w:ilvl w:val="0"/>
              <w:numId w:val="34"/>
            </w:numPr>
            <w:spacing w:after="0" w:line="240" w:lineRule="auto"/>
            <w:ind w:right="459"/>
            <w:jc w:val="both"/>
            <w:rPr>
              <w:rFonts w:ascii="Times New Roman" w:hAnsi="Times New Roman"/>
              <w:lang w:val="en-IE"/>
            </w:rPr>
          </w:pPr>
          <w:r w:rsidRPr="00B842D9">
            <w:rPr>
              <w:rFonts w:ascii="Times New Roman" w:hAnsi="Times New Roman"/>
              <w:lang w:val="en-IE"/>
            </w:rPr>
            <w:t xml:space="preserve">Provide quality support, methodological guidance and advice on green/circular economy, green </w:t>
          </w:r>
          <w:proofErr w:type="gramStart"/>
          <w:r w:rsidRPr="00B842D9">
            <w:rPr>
              <w:rFonts w:ascii="Times New Roman" w:hAnsi="Times New Roman"/>
              <w:lang w:val="en-IE"/>
            </w:rPr>
            <w:t>investments</w:t>
          </w:r>
          <w:proofErr w:type="gramEnd"/>
          <w:r w:rsidRPr="00B842D9">
            <w:rPr>
              <w:rFonts w:ascii="Times New Roman" w:hAnsi="Times New Roman"/>
              <w:lang w:val="en-IE"/>
            </w:rPr>
            <w:t xml:space="preserve"> and environment related matters to colleagues in EU Delegations and headquarters, including through the mobilization and oversight of INTPA Greening Facility and Switch to Green Facility.</w:t>
          </w:r>
        </w:p>
        <w:p w14:paraId="59484C56" w14:textId="77777777" w:rsidR="00B842D9" w:rsidRPr="00B842D9" w:rsidRDefault="00B842D9" w:rsidP="00B842D9">
          <w:pPr>
            <w:pStyle w:val="ListParagraph"/>
            <w:numPr>
              <w:ilvl w:val="0"/>
              <w:numId w:val="34"/>
            </w:numPr>
            <w:spacing w:after="0" w:line="240" w:lineRule="auto"/>
            <w:ind w:right="459"/>
            <w:jc w:val="both"/>
            <w:rPr>
              <w:rFonts w:ascii="Times New Roman" w:hAnsi="Times New Roman"/>
              <w:lang w:val="en-IE"/>
            </w:rPr>
          </w:pPr>
          <w:r w:rsidRPr="00B842D9">
            <w:rPr>
              <w:rFonts w:ascii="Times New Roman" w:eastAsia="Times New Roman" w:hAnsi="Times New Roman"/>
              <w:lang w:val="en-IE" w:eastAsia="en-GB"/>
            </w:rPr>
            <w:t>Contribute to the quality assurance process and support the design of new programmes by participating in Quality Review Meetings, Country/Regional Coordination teams and other relevant processes.</w:t>
          </w:r>
        </w:p>
        <w:p w14:paraId="45A57687" w14:textId="77777777" w:rsidR="00B842D9" w:rsidRPr="00B842D9" w:rsidRDefault="00B842D9" w:rsidP="00B842D9">
          <w:pPr>
            <w:pStyle w:val="ListParagraph"/>
            <w:numPr>
              <w:ilvl w:val="0"/>
              <w:numId w:val="34"/>
            </w:numPr>
            <w:spacing w:after="0" w:line="240" w:lineRule="auto"/>
            <w:ind w:right="459"/>
            <w:jc w:val="both"/>
            <w:rPr>
              <w:rFonts w:ascii="Times New Roman" w:eastAsia="Times New Roman" w:hAnsi="Times New Roman"/>
              <w:lang w:val="en-IE" w:eastAsia="en-GB"/>
            </w:rPr>
          </w:pPr>
          <w:r w:rsidRPr="00B842D9">
            <w:rPr>
              <w:rFonts w:ascii="Times New Roman" w:eastAsia="Times New Roman" w:hAnsi="Times New Roman"/>
              <w:lang w:val="en-IE" w:eastAsia="en-GB"/>
            </w:rPr>
            <w:t xml:space="preserve">Contribute to analytical work and the development of knowledge, </w:t>
          </w:r>
          <w:proofErr w:type="gramStart"/>
          <w:r w:rsidRPr="00B842D9">
            <w:rPr>
              <w:rFonts w:ascii="Times New Roman" w:eastAsia="Times New Roman" w:hAnsi="Times New Roman"/>
              <w:lang w:val="en-IE" w:eastAsia="en-GB"/>
            </w:rPr>
            <w:t>tools</w:t>
          </w:r>
          <w:proofErr w:type="gramEnd"/>
          <w:r w:rsidRPr="00B842D9">
            <w:rPr>
              <w:rFonts w:ascii="Times New Roman" w:eastAsia="Times New Roman" w:hAnsi="Times New Roman"/>
              <w:lang w:val="en-IE" w:eastAsia="en-GB"/>
            </w:rPr>
            <w:t xml:space="preserve"> and approaches in relation with </w:t>
          </w:r>
          <w:r w:rsidRPr="00B842D9">
            <w:rPr>
              <w:rFonts w:ascii="Times New Roman" w:hAnsi="Times New Roman"/>
              <w:lang w:val="en-IE"/>
            </w:rPr>
            <w:t>green/circular economy, green investments and environment mainstreaming</w:t>
          </w:r>
          <w:r w:rsidRPr="00B842D9">
            <w:rPr>
              <w:rFonts w:ascii="Times New Roman" w:eastAsia="Times New Roman" w:hAnsi="Times New Roman"/>
              <w:lang w:val="en-IE" w:eastAsia="en-GB"/>
            </w:rPr>
            <w:t xml:space="preserve">. </w:t>
          </w:r>
        </w:p>
        <w:p w14:paraId="77C0F979" w14:textId="77777777" w:rsidR="00B842D9" w:rsidRPr="00855373" w:rsidRDefault="00B842D9" w:rsidP="00B842D9">
          <w:pPr>
            <w:pStyle w:val="ListParagraph"/>
            <w:numPr>
              <w:ilvl w:val="0"/>
              <w:numId w:val="34"/>
            </w:numPr>
            <w:spacing w:after="0" w:line="240" w:lineRule="auto"/>
            <w:ind w:right="459"/>
            <w:jc w:val="both"/>
            <w:rPr>
              <w:rFonts w:ascii="Times New Roman" w:eastAsia="Times New Roman" w:hAnsi="Times New Roman"/>
              <w:lang w:val="en-US" w:eastAsia="en-GB"/>
            </w:rPr>
          </w:pPr>
          <w:r w:rsidRPr="00855373">
            <w:rPr>
              <w:rFonts w:ascii="Times New Roman" w:eastAsia="Times New Roman" w:hAnsi="Times New Roman"/>
              <w:lang w:val="en-US" w:eastAsia="en-GB"/>
            </w:rPr>
            <w:t xml:space="preserve">Review policy documents, programming documents, action documents, implementation reports and provide suggestions and comments to enhance the </w:t>
          </w:r>
          <w:r>
            <w:rPr>
              <w:rFonts w:ascii="Times New Roman" w:eastAsia="Times New Roman" w:hAnsi="Times New Roman"/>
              <w:lang w:val="en-US" w:eastAsia="en-GB"/>
            </w:rPr>
            <w:t xml:space="preserve">circular economy and </w:t>
          </w:r>
          <w:r w:rsidRPr="00855373">
            <w:rPr>
              <w:rFonts w:ascii="Times New Roman" w:eastAsia="Times New Roman" w:hAnsi="Times New Roman"/>
              <w:lang w:val="en-US" w:eastAsia="en-GB"/>
            </w:rPr>
            <w:t>environmental dimension.</w:t>
          </w:r>
        </w:p>
        <w:p w14:paraId="412F8E65" w14:textId="77777777" w:rsidR="00B842D9" w:rsidRPr="00855373" w:rsidRDefault="00B842D9" w:rsidP="00B842D9">
          <w:pPr>
            <w:pStyle w:val="ListParagraph"/>
            <w:numPr>
              <w:ilvl w:val="0"/>
              <w:numId w:val="34"/>
            </w:numPr>
            <w:spacing w:after="0" w:line="240" w:lineRule="auto"/>
            <w:ind w:right="459"/>
            <w:jc w:val="both"/>
            <w:rPr>
              <w:rFonts w:ascii="Times New Roman" w:eastAsia="Times New Roman" w:hAnsi="Times New Roman"/>
              <w:lang w:val="en-US" w:eastAsia="en-GB"/>
            </w:rPr>
          </w:pPr>
          <w:r w:rsidRPr="00855373">
            <w:rPr>
              <w:rFonts w:ascii="Times New Roman" w:eastAsia="Times New Roman" w:hAnsi="Times New Roman"/>
              <w:lang w:val="en-US" w:eastAsia="en-GB"/>
            </w:rPr>
            <w:t>Review investment proposals under the EU Investment Plan, the EFSD+ and the EU investment facilities.</w:t>
          </w:r>
        </w:p>
        <w:p w14:paraId="587680D9" w14:textId="77777777" w:rsidR="00B842D9" w:rsidRPr="00855373" w:rsidRDefault="00B842D9" w:rsidP="00B842D9">
          <w:pPr>
            <w:pStyle w:val="ListParagraph"/>
            <w:numPr>
              <w:ilvl w:val="0"/>
              <w:numId w:val="34"/>
            </w:numPr>
            <w:spacing w:after="0" w:line="240" w:lineRule="auto"/>
            <w:ind w:right="459"/>
            <w:jc w:val="both"/>
            <w:rPr>
              <w:rFonts w:ascii="Times New Roman" w:eastAsia="Times New Roman" w:hAnsi="Times New Roman"/>
              <w:lang w:val="en-US" w:eastAsia="en-GB"/>
            </w:rPr>
          </w:pPr>
          <w:r w:rsidRPr="00855373">
            <w:rPr>
              <w:rFonts w:ascii="Times New Roman" w:eastAsia="Times New Roman" w:hAnsi="Times New Roman"/>
              <w:lang w:val="en-US" w:eastAsia="en-GB"/>
            </w:rPr>
            <w:t>Support the network of Environment and climate focal points in EU delegations and training and knowledge development and sharing activities to enhance the capacity of EU staff and partners.</w:t>
          </w:r>
        </w:p>
        <w:p w14:paraId="5539DB99" w14:textId="77777777" w:rsidR="00B842D9" w:rsidRPr="00855373" w:rsidRDefault="00B842D9" w:rsidP="00B842D9">
          <w:pPr>
            <w:pStyle w:val="ListParagraph"/>
            <w:numPr>
              <w:ilvl w:val="0"/>
              <w:numId w:val="34"/>
            </w:numPr>
            <w:spacing w:after="0" w:line="240" w:lineRule="auto"/>
            <w:ind w:right="459"/>
            <w:jc w:val="both"/>
            <w:rPr>
              <w:rFonts w:ascii="Times New Roman" w:eastAsia="Times New Roman" w:hAnsi="Times New Roman"/>
              <w:lang w:val="en-US" w:eastAsia="en-GB"/>
            </w:rPr>
          </w:pPr>
          <w:r w:rsidRPr="00855373">
            <w:rPr>
              <w:rFonts w:ascii="Times New Roman" w:eastAsia="Times New Roman" w:hAnsi="Times New Roman"/>
              <w:lang w:val="en-US" w:eastAsia="en-GB"/>
            </w:rPr>
            <w:t xml:space="preserve">Conduct support missions in partner countries to provide policy and technical support </w:t>
          </w:r>
          <w:proofErr w:type="gramStart"/>
          <w:r w:rsidRPr="00855373">
            <w:rPr>
              <w:rFonts w:ascii="Times New Roman" w:eastAsia="Times New Roman" w:hAnsi="Times New Roman"/>
              <w:lang w:val="en-US" w:eastAsia="en-GB"/>
            </w:rPr>
            <w:t>in the area of</w:t>
          </w:r>
          <w:proofErr w:type="gramEnd"/>
          <w:r w:rsidRPr="00855373">
            <w:rPr>
              <w:rFonts w:ascii="Times New Roman" w:eastAsia="Times New Roman" w:hAnsi="Times New Roman"/>
              <w:lang w:val="en-US" w:eastAsia="en-GB"/>
            </w:rPr>
            <w:t xml:space="preserve"> green/circular economy and greening investments.  </w:t>
          </w:r>
        </w:p>
        <w:p w14:paraId="27AA6376" w14:textId="77777777" w:rsidR="00B842D9" w:rsidRPr="00855373" w:rsidRDefault="00B842D9" w:rsidP="00B842D9">
          <w:pPr>
            <w:numPr>
              <w:ilvl w:val="0"/>
              <w:numId w:val="34"/>
            </w:numPr>
            <w:spacing w:after="0"/>
            <w:ind w:right="459"/>
            <w:rPr>
              <w:sz w:val="22"/>
              <w:szCs w:val="22"/>
              <w:lang w:val="en-US"/>
            </w:rPr>
          </w:pPr>
          <w:r w:rsidRPr="00855373">
            <w:rPr>
              <w:sz w:val="22"/>
              <w:szCs w:val="22"/>
              <w:lang w:val="en-US"/>
            </w:rPr>
            <w:t>Assist upon demand colleagues in INTPA and EU Delegations in policy dialogues in relation with the European Green Deal. Support the organization of circular economy missions.</w:t>
          </w:r>
        </w:p>
        <w:p w14:paraId="4EB66867" w14:textId="77777777" w:rsidR="00B842D9" w:rsidRPr="00855373" w:rsidRDefault="00B842D9" w:rsidP="00B842D9">
          <w:pPr>
            <w:pStyle w:val="ListParagraph"/>
            <w:numPr>
              <w:ilvl w:val="0"/>
              <w:numId w:val="34"/>
            </w:numPr>
            <w:spacing w:after="0" w:line="240" w:lineRule="auto"/>
            <w:ind w:right="459"/>
            <w:jc w:val="both"/>
            <w:rPr>
              <w:rFonts w:ascii="Times New Roman" w:eastAsia="Times New Roman" w:hAnsi="Times New Roman"/>
              <w:lang w:val="en-US" w:eastAsia="en-GB"/>
            </w:rPr>
          </w:pPr>
          <w:r w:rsidRPr="00855373">
            <w:rPr>
              <w:rFonts w:ascii="Times New Roman" w:eastAsia="Times New Roman" w:hAnsi="Times New Roman"/>
              <w:lang w:val="en-US" w:eastAsia="en-GB"/>
            </w:rPr>
            <w:t xml:space="preserve">Closely coordinate with other concerned units (notably INTPA F1, INTPA E2 private sector, E3 Sustainable Finance and E4 EFSD+), DGs (ENV), EU Delegations, EU member states and partner organizations. </w:t>
          </w:r>
        </w:p>
        <w:p w14:paraId="46D01CA5" w14:textId="77777777" w:rsidR="00B842D9" w:rsidRPr="00B842D9" w:rsidRDefault="00B842D9" w:rsidP="00B842D9">
          <w:pPr>
            <w:pStyle w:val="ListParagraph"/>
            <w:spacing w:after="0" w:line="240" w:lineRule="auto"/>
            <w:ind w:right="459"/>
            <w:jc w:val="both"/>
            <w:rPr>
              <w:rFonts w:ascii="Times New Roman" w:hAnsi="Times New Roman"/>
              <w:lang w:val="en-IE"/>
            </w:rPr>
          </w:pPr>
        </w:p>
        <w:p w14:paraId="46EE3E07" w14:textId="716B8BC2" w:rsidR="00E21DBD" w:rsidRPr="00AF7D78" w:rsidRDefault="00B842D9" w:rsidP="00B842D9">
          <w:pPr>
            <w:ind w:right="423"/>
            <w:rPr>
              <w:lang w:val="en-US" w:eastAsia="en-GB"/>
            </w:rPr>
          </w:pPr>
          <w:r w:rsidRPr="00855373">
            <w:rPr>
              <w:sz w:val="22"/>
              <w:szCs w:val="22"/>
            </w:rPr>
            <w:t>The Seconded National Expert will also undertake any other relevant tasks in support of the work of the unit and DG, assigned by the Head of Unit or the Team Leader.</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b/>
          <w:bCs/>
          <w:lang w:eastAsia="en-GB"/>
        </w:rPr>
        <w:id w:val="-689827953"/>
        <w:placeholder>
          <w:docPart w:val="477E34A225354857B4B5D36D9CA8A6AA"/>
        </w:placeholder>
      </w:sdtPr>
      <w:sdtEndPr/>
      <w:sdtContent>
        <w:p w14:paraId="18C9ECD8" w14:textId="77777777" w:rsidR="00B842D9" w:rsidRPr="006C5664" w:rsidRDefault="00B842D9" w:rsidP="00B842D9">
          <w:pPr>
            <w:tabs>
              <w:tab w:val="left" w:pos="709"/>
            </w:tabs>
            <w:ind w:left="709" w:right="60"/>
            <w:rPr>
              <w:sz w:val="22"/>
              <w:szCs w:val="22"/>
              <w:lang w:val="en-US"/>
            </w:rPr>
          </w:pPr>
          <w:r w:rsidRPr="006C5664">
            <w:rPr>
              <w:sz w:val="22"/>
              <w:szCs w:val="22"/>
              <w:u w:val="single"/>
              <w:lang w:val="en-US"/>
            </w:rPr>
            <w:t>Diploma</w:t>
          </w:r>
          <w:r w:rsidRPr="006C5664">
            <w:rPr>
              <w:sz w:val="22"/>
              <w:szCs w:val="22"/>
              <w:lang w:val="en-US"/>
            </w:rPr>
            <w:t xml:space="preserve"> </w:t>
          </w:r>
        </w:p>
        <w:p w14:paraId="158FD464" w14:textId="77777777" w:rsidR="00B842D9" w:rsidRPr="006C5664" w:rsidRDefault="00B842D9" w:rsidP="00B842D9">
          <w:pPr>
            <w:tabs>
              <w:tab w:val="left" w:pos="709"/>
            </w:tabs>
            <w:ind w:left="709" w:right="1317"/>
            <w:rPr>
              <w:sz w:val="22"/>
              <w:szCs w:val="22"/>
              <w:lang w:val="en-US"/>
            </w:rPr>
          </w:pPr>
          <w:r w:rsidRPr="006C5664">
            <w:rPr>
              <w:sz w:val="22"/>
              <w:szCs w:val="22"/>
              <w:lang w:val="en-US"/>
            </w:rPr>
            <w:t xml:space="preserve">- university degree or </w:t>
          </w:r>
        </w:p>
        <w:p w14:paraId="49D3C377" w14:textId="77777777" w:rsidR="00B842D9" w:rsidRPr="006C5664" w:rsidRDefault="00B842D9" w:rsidP="00B842D9">
          <w:pPr>
            <w:tabs>
              <w:tab w:val="left" w:pos="709"/>
            </w:tabs>
            <w:ind w:left="709" w:right="1317"/>
            <w:rPr>
              <w:sz w:val="22"/>
              <w:szCs w:val="22"/>
              <w:lang w:val="en-US"/>
            </w:rPr>
          </w:pPr>
          <w:r w:rsidRPr="006C5664">
            <w:rPr>
              <w:sz w:val="22"/>
              <w:szCs w:val="22"/>
              <w:lang w:val="en-US"/>
            </w:rPr>
            <w:t>- professional training or professional experience of an equivalent level</w:t>
          </w:r>
        </w:p>
        <w:p w14:paraId="4CFA42C4" w14:textId="77777777" w:rsidR="00B842D9" w:rsidRPr="006C5664" w:rsidRDefault="00B842D9" w:rsidP="00B842D9">
          <w:pPr>
            <w:tabs>
              <w:tab w:val="left" w:pos="709"/>
            </w:tabs>
            <w:ind w:left="709" w:right="60"/>
            <w:rPr>
              <w:sz w:val="22"/>
              <w:szCs w:val="22"/>
              <w:lang w:val="en-US"/>
            </w:rPr>
          </w:pPr>
          <w:r w:rsidRPr="006C5664">
            <w:rPr>
              <w:sz w:val="22"/>
              <w:szCs w:val="22"/>
              <w:lang w:val="en-US"/>
            </w:rPr>
            <w:t xml:space="preserve">  in the field(s</w:t>
          </w:r>
          <w:proofErr w:type="gramStart"/>
          <w:r w:rsidRPr="006C5664">
            <w:rPr>
              <w:sz w:val="22"/>
              <w:szCs w:val="22"/>
              <w:lang w:val="en-US"/>
            </w:rPr>
            <w:t>) :</w:t>
          </w:r>
          <w:proofErr w:type="gramEnd"/>
        </w:p>
        <w:p w14:paraId="37E02901" w14:textId="77777777" w:rsidR="00B842D9" w:rsidRPr="00855373" w:rsidRDefault="00B842D9" w:rsidP="00B842D9">
          <w:pPr>
            <w:ind w:left="708" w:right="459"/>
            <w:rPr>
              <w:sz w:val="22"/>
              <w:szCs w:val="22"/>
            </w:rPr>
          </w:pPr>
          <w:r>
            <w:rPr>
              <w:sz w:val="22"/>
              <w:szCs w:val="22"/>
            </w:rPr>
            <w:t xml:space="preserve">of </w:t>
          </w:r>
          <w:r w:rsidRPr="00855373">
            <w:rPr>
              <w:sz w:val="22"/>
              <w:szCs w:val="22"/>
            </w:rPr>
            <w:t>environment, green</w:t>
          </w:r>
          <w:r>
            <w:rPr>
              <w:sz w:val="22"/>
              <w:szCs w:val="22"/>
            </w:rPr>
            <w:t>/circular</w:t>
          </w:r>
          <w:r w:rsidRPr="00855373">
            <w:rPr>
              <w:sz w:val="22"/>
              <w:szCs w:val="22"/>
            </w:rPr>
            <w:t xml:space="preserve"> economy</w:t>
          </w:r>
          <w:r>
            <w:rPr>
              <w:sz w:val="22"/>
              <w:szCs w:val="22"/>
            </w:rPr>
            <w:t>, natural resources</w:t>
          </w:r>
          <w:r w:rsidRPr="00855373">
            <w:rPr>
              <w:sz w:val="22"/>
              <w:szCs w:val="22"/>
            </w:rPr>
            <w:t xml:space="preserve"> and/or sustainable development.</w:t>
          </w:r>
        </w:p>
        <w:p w14:paraId="4DE55229" w14:textId="77777777" w:rsidR="00B842D9" w:rsidRPr="006C5664" w:rsidRDefault="00B842D9" w:rsidP="00B842D9">
          <w:pPr>
            <w:tabs>
              <w:tab w:val="left" w:pos="709"/>
            </w:tabs>
            <w:ind w:left="709" w:right="60"/>
            <w:rPr>
              <w:sz w:val="22"/>
              <w:szCs w:val="22"/>
              <w:u w:val="single"/>
              <w:lang w:val="en-US"/>
            </w:rPr>
          </w:pPr>
          <w:r w:rsidRPr="006C5664">
            <w:rPr>
              <w:sz w:val="22"/>
              <w:szCs w:val="22"/>
              <w:u w:val="single"/>
              <w:lang w:val="en-US"/>
            </w:rPr>
            <w:t>Professional experience</w:t>
          </w:r>
        </w:p>
        <w:p w14:paraId="6996AC3B" w14:textId="77777777" w:rsidR="00B842D9" w:rsidRPr="00855373" w:rsidRDefault="00B842D9" w:rsidP="00B842D9">
          <w:pPr>
            <w:ind w:left="708" w:right="459"/>
            <w:rPr>
              <w:sz w:val="22"/>
              <w:szCs w:val="22"/>
            </w:rPr>
          </w:pPr>
          <w:r w:rsidRPr="00855373">
            <w:rPr>
              <w:sz w:val="22"/>
              <w:szCs w:val="22"/>
            </w:rPr>
            <w:t>At least 5 years of proven full-time professional experience in areas relevant to development cooperation, environment/natural resources and</w:t>
          </w:r>
          <w:r>
            <w:rPr>
              <w:sz w:val="22"/>
              <w:szCs w:val="22"/>
            </w:rPr>
            <w:t>/or</w:t>
          </w:r>
          <w:r w:rsidRPr="00855373">
            <w:rPr>
              <w:sz w:val="22"/>
              <w:szCs w:val="22"/>
            </w:rPr>
            <w:t xml:space="preserve"> the green</w:t>
          </w:r>
          <w:r>
            <w:rPr>
              <w:sz w:val="22"/>
              <w:szCs w:val="22"/>
            </w:rPr>
            <w:t>/circular</w:t>
          </w:r>
          <w:r w:rsidRPr="00855373">
            <w:rPr>
              <w:sz w:val="22"/>
              <w:szCs w:val="22"/>
            </w:rPr>
            <w:t xml:space="preserve"> economy, preferably including at policy/strategic and project/programme levels.</w:t>
          </w:r>
        </w:p>
        <w:p w14:paraId="260E3F7F" w14:textId="77777777" w:rsidR="00B842D9" w:rsidRPr="00855373" w:rsidRDefault="00B842D9" w:rsidP="00B842D9">
          <w:pPr>
            <w:ind w:left="708" w:right="459"/>
            <w:rPr>
              <w:sz w:val="22"/>
              <w:szCs w:val="22"/>
            </w:rPr>
          </w:pPr>
          <w:r w:rsidRPr="00855373">
            <w:rPr>
              <w:sz w:val="22"/>
              <w:szCs w:val="22"/>
            </w:rPr>
            <w:t xml:space="preserve">Excellent understanding of international environment/green </w:t>
          </w:r>
          <w:r>
            <w:rPr>
              <w:sz w:val="22"/>
              <w:szCs w:val="22"/>
            </w:rPr>
            <w:t xml:space="preserve">and circular </w:t>
          </w:r>
          <w:r w:rsidRPr="00855373">
            <w:rPr>
              <w:sz w:val="22"/>
              <w:szCs w:val="22"/>
            </w:rPr>
            <w:t xml:space="preserve">economy matters </w:t>
          </w:r>
        </w:p>
        <w:p w14:paraId="0BA6A882" w14:textId="77777777" w:rsidR="00B842D9" w:rsidRPr="00855373" w:rsidRDefault="00B842D9" w:rsidP="00B842D9">
          <w:pPr>
            <w:ind w:left="708" w:right="459"/>
            <w:rPr>
              <w:sz w:val="22"/>
              <w:szCs w:val="22"/>
            </w:rPr>
          </w:pPr>
          <w:r w:rsidRPr="00855373">
            <w:rPr>
              <w:sz w:val="22"/>
              <w:szCs w:val="22"/>
            </w:rPr>
            <w:lastRenderedPageBreak/>
            <w:t xml:space="preserve">Experience of development cooperation’s cycle of operations and financing instruments, preferably including innovative financing instruments.  </w:t>
          </w:r>
        </w:p>
        <w:p w14:paraId="139B2DA4" w14:textId="77777777" w:rsidR="00B842D9" w:rsidRPr="00855373" w:rsidRDefault="00B842D9" w:rsidP="00B842D9">
          <w:pPr>
            <w:ind w:left="708" w:right="459"/>
            <w:rPr>
              <w:sz w:val="22"/>
              <w:szCs w:val="22"/>
            </w:rPr>
          </w:pPr>
          <w:r w:rsidRPr="00855373">
            <w:rPr>
              <w:sz w:val="22"/>
              <w:szCs w:val="22"/>
            </w:rPr>
            <w:t>Experience in investments, private sector development and green business would be an asset.</w:t>
          </w:r>
        </w:p>
        <w:p w14:paraId="433298B6" w14:textId="77777777" w:rsidR="00B842D9" w:rsidRPr="00855373" w:rsidRDefault="00B842D9" w:rsidP="00B842D9">
          <w:pPr>
            <w:ind w:left="708" w:right="459"/>
            <w:rPr>
              <w:sz w:val="22"/>
              <w:szCs w:val="22"/>
            </w:rPr>
          </w:pPr>
          <w:r w:rsidRPr="00855373">
            <w:rPr>
              <w:sz w:val="22"/>
              <w:szCs w:val="22"/>
            </w:rPr>
            <w:t>Experience in the integration, or mainstreaming, of environment in policies, plans and/or projects</w:t>
          </w:r>
          <w:r>
            <w:rPr>
              <w:sz w:val="22"/>
              <w:szCs w:val="22"/>
            </w:rPr>
            <w:t xml:space="preserve"> would be an asset</w:t>
          </w:r>
          <w:r w:rsidRPr="00855373">
            <w:rPr>
              <w:sz w:val="22"/>
              <w:szCs w:val="22"/>
            </w:rPr>
            <w:t>.</w:t>
          </w:r>
        </w:p>
        <w:p w14:paraId="0719576F" w14:textId="77777777" w:rsidR="00B842D9" w:rsidRPr="00855373" w:rsidRDefault="00B842D9" w:rsidP="00B842D9">
          <w:pPr>
            <w:ind w:left="708" w:right="459"/>
            <w:rPr>
              <w:sz w:val="22"/>
              <w:szCs w:val="22"/>
            </w:rPr>
          </w:pPr>
          <w:r w:rsidRPr="00855373">
            <w:rPr>
              <w:sz w:val="22"/>
              <w:szCs w:val="22"/>
            </w:rPr>
            <w:t>Excellent understanding of the reality of developing countries.  Field experience in developing countries is considered an asset.</w:t>
          </w:r>
        </w:p>
        <w:p w14:paraId="723C0494" w14:textId="77777777" w:rsidR="00B842D9" w:rsidRPr="00855373" w:rsidRDefault="00B842D9" w:rsidP="00B842D9">
          <w:pPr>
            <w:ind w:left="708" w:right="459"/>
            <w:rPr>
              <w:sz w:val="22"/>
              <w:szCs w:val="22"/>
            </w:rPr>
          </w:pPr>
          <w:r w:rsidRPr="00855373">
            <w:rPr>
              <w:sz w:val="22"/>
              <w:szCs w:val="22"/>
            </w:rPr>
            <w:t>Capacity to handle complex files and work under pressure.</w:t>
          </w:r>
        </w:p>
        <w:p w14:paraId="03889802" w14:textId="77777777" w:rsidR="00B842D9" w:rsidRPr="00855373" w:rsidRDefault="00B842D9" w:rsidP="00B842D9">
          <w:pPr>
            <w:ind w:left="708" w:right="459"/>
            <w:rPr>
              <w:sz w:val="22"/>
              <w:szCs w:val="22"/>
            </w:rPr>
          </w:pPr>
          <w:r w:rsidRPr="00855373">
            <w:rPr>
              <w:sz w:val="22"/>
              <w:szCs w:val="22"/>
            </w:rPr>
            <w:t xml:space="preserve">Team worker with a strong sense of initiative, capacity to establish constructive working relations with a diversity of colleagues and partners and ability to work in a multi-disciplinary environment. </w:t>
          </w:r>
        </w:p>
        <w:p w14:paraId="2A3C2A1E" w14:textId="77777777" w:rsidR="00B842D9" w:rsidRPr="00855373" w:rsidRDefault="00B842D9" w:rsidP="00B842D9">
          <w:pPr>
            <w:ind w:left="708" w:right="459"/>
            <w:rPr>
              <w:sz w:val="22"/>
              <w:szCs w:val="22"/>
            </w:rPr>
          </w:pPr>
          <w:r w:rsidRPr="00855373">
            <w:rPr>
              <w:sz w:val="22"/>
              <w:szCs w:val="22"/>
            </w:rPr>
            <w:t xml:space="preserve">Proven capacity to analyse, synthetize reports and draft recommendations would be an asset. </w:t>
          </w:r>
        </w:p>
        <w:p w14:paraId="6BB14E41" w14:textId="77777777" w:rsidR="00B842D9" w:rsidRPr="006C5664" w:rsidRDefault="00B842D9" w:rsidP="00B842D9">
          <w:pPr>
            <w:tabs>
              <w:tab w:val="left" w:pos="709"/>
            </w:tabs>
            <w:ind w:left="709" w:right="60"/>
            <w:rPr>
              <w:sz w:val="22"/>
              <w:szCs w:val="22"/>
              <w:u w:val="single"/>
              <w:lang w:val="en-US"/>
            </w:rPr>
          </w:pPr>
          <w:r w:rsidRPr="006C5664">
            <w:rPr>
              <w:sz w:val="22"/>
              <w:szCs w:val="22"/>
              <w:u w:val="single"/>
              <w:lang w:val="en-US"/>
            </w:rPr>
            <w:t>Language(s) necessar</w:t>
          </w:r>
          <w:r>
            <w:rPr>
              <w:sz w:val="22"/>
              <w:szCs w:val="22"/>
              <w:u w:val="single"/>
              <w:lang w:val="en-US"/>
            </w:rPr>
            <w:t>y for the performance of duties</w:t>
          </w:r>
        </w:p>
        <w:p w14:paraId="66964378" w14:textId="457A0560" w:rsidR="002109E6" w:rsidRPr="00994062" w:rsidRDefault="00B842D9" w:rsidP="00B842D9">
          <w:pPr>
            <w:tabs>
              <w:tab w:val="left" w:pos="709"/>
            </w:tabs>
            <w:ind w:left="709" w:right="60"/>
            <w:rPr>
              <w:b/>
              <w:bCs/>
              <w:lang w:eastAsia="en-GB"/>
            </w:rPr>
          </w:pPr>
          <w:r w:rsidRPr="00CF7F94">
            <w:rPr>
              <w:sz w:val="22"/>
              <w:szCs w:val="22"/>
              <w:lang w:val="en-US"/>
            </w:rPr>
            <w:t>Excellent written and oral communication in English and/or French.</w:t>
          </w: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must be a national, regional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5"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6" w:history="1">
        <w:hyperlink r:id="rId17"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2" w:name="_Hlk132131276"/>
      <w:r>
        <w:t>Before applying, please read the attached privacy statement.</w:t>
      </w:r>
      <w:bookmarkEnd w:id="2"/>
    </w:p>
    <w:sectPr w:rsidR="00C75BA4">
      <w:footerReference w:type="even" r:id="rId18"/>
      <w:footerReference w:type="default" r:id="rId19"/>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200627"/>
    <w:multiLevelType w:val="hybridMultilevel"/>
    <w:tmpl w:val="133EA14E"/>
    <w:lvl w:ilvl="0" w:tplc="08090001">
      <w:start w:val="1"/>
      <w:numFmt w:val="bullet"/>
      <w:lvlText w:val=""/>
      <w:lvlJc w:val="left"/>
      <w:pPr>
        <w:ind w:left="360" w:hanging="360"/>
      </w:pPr>
      <w:rPr>
        <w:rFonts w:ascii="Symbol" w:hAnsi="Symbol" w:hint="default"/>
      </w:rPr>
    </w:lvl>
    <w:lvl w:ilvl="1" w:tplc="D2640042">
      <w:numFmt w:val="bullet"/>
      <w:lvlText w:val="•"/>
      <w:lvlJc w:val="left"/>
      <w:pPr>
        <w:ind w:left="1080" w:hanging="360"/>
      </w:pPr>
      <w:rPr>
        <w:rFonts w:ascii="Calibri" w:eastAsia="Calibri" w:hAnsi="Calibri"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9"/>
  </w:num>
  <w:num w:numId="9" w16cid:durableId="835806501">
    <w:abstractNumId w:val="18"/>
  </w:num>
  <w:num w:numId="10" w16cid:durableId="229927604">
    <w:abstractNumId w:val="3"/>
  </w:num>
  <w:num w:numId="11" w16cid:durableId="882864602">
    <w:abstractNumId w:val="6"/>
  </w:num>
  <w:num w:numId="12" w16cid:durableId="1110204864">
    <w:abstractNumId w:val="7"/>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8"/>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5114513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668"/>
    <w:rsid w:val="000D129C"/>
    <w:rsid w:val="00111AB6"/>
    <w:rsid w:val="002109E6"/>
    <w:rsid w:val="00252050"/>
    <w:rsid w:val="002B3CBF"/>
    <w:rsid w:val="00346C41"/>
    <w:rsid w:val="003E50A4"/>
    <w:rsid w:val="004A619A"/>
    <w:rsid w:val="005168AD"/>
    <w:rsid w:val="0058240F"/>
    <w:rsid w:val="005D1B85"/>
    <w:rsid w:val="007D1619"/>
    <w:rsid w:val="007E531E"/>
    <w:rsid w:val="007F7012"/>
    <w:rsid w:val="008D02B7"/>
    <w:rsid w:val="00994062"/>
    <w:rsid w:val="00996CC6"/>
    <w:rsid w:val="009A2F00"/>
    <w:rsid w:val="009C5E27"/>
    <w:rsid w:val="00A033AD"/>
    <w:rsid w:val="00AB2CEA"/>
    <w:rsid w:val="00AF6424"/>
    <w:rsid w:val="00B24CC5"/>
    <w:rsid w:val="00B65513"/>
    <w:rsid w:val="00B842D9"/>
    <w:rsid w:val="00C06724"/>
    <w:rsid w:val="00C504C7"/>
    <w:rsid w:val="00C75BA4"/>
    <w:rsid w:val="00CB5B61"/>
    <w:rsid w:val="00D233D7"/>
    <w:rsid w:val="00D96984"/>
    <w:rsid w:val="00DD41ED"/>
    <w:rsid w:val="00DF1E49"/>
    <w:rsid w:val="00E21DBD"/>
    <w:rsid w:val="00E44D7F"/>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europa.eu/europass/en/create-europass-cv" TargetMode="External"/><Relationship Id="rId2" Type="http://schemas.openxmlformats.org/officeDocument/2006/relationships/customXml" Target="../customXml/item2.xml"/><Relationship Id="rId16" Type="http://schemas.openxmlformats.org/officeDocument/2006/relationships/hyperlink" Target="http://europass.cedefop.europa.eu/en/documents/curriculum-vita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ED10DB" w:rsidP="00ED10DB">
          <w:pPr>
            <w:pStyle w:val="722A130BB2FD42CB99AF58537814D26D2"/>
          </w:pPr>
          <w:r w:rsidRPr="00111AB6">
            <w:rPr>
              <w:rStyle w:val="PlaceholderText"/>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ED10DB" w:rsidP="00ED10DB">
          <w:pPr>
            <w:pStyle w:val="E4139A8A81AD41B0A456F71CC855670B2"/>
          </w:pPr>
          <w:r w:rsidRPr="00111AB6">
            <w:rPr>
              <w:rStyle w:val="PlaceholderText"/>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ED10DB" w:rsidP="00ED10DB">
          <w:pPr>
            <w:pStyle w:val="2CBB2A0B72674470B30B3225F78306DD1"/>
          </w:pPr>
          <w:r>
            <w:rPr>
              <w:rStyle w:val="PlaceholderText"/>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ED10DB" w:rsidP="00ED10DB">
          <w:pPr>
            <w:pStyle w:val="D6B275DB24F84EFBB866B5C9055058FF1"/>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ED10DB" w:rsidP="00ED10DB">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ED10DB" w:rsidP="00ED10DB">
          <w:pPr>
            <w:pStyle w:val="84FB87486BC94E5EB76E972E1BD8265B1"/>
          </w:pPr>
          <w:r w:rsidRPr="00BD2312">
            <w:rPr>
              <w:rStyle w:val="PlaceholderText"/>
            </w:rPr>
            <w:t>Click or tap here to enter text.</w:t>
          </w:r>
        </w:p>
      </w:docPartBody>
    </w:docPart>
    <w:docPart>
      <w:docPartPr>
        <w:name w:val="477E34A225354857B4B5D36D9CA8A6AA"/>
        <w:category>
          <w:name w:val="General"/>
          <w:gallery w:val="placeholder"/>
        </w:category>
        <w:types>
          <w:type w:val="bbPlcHdr"/>
        </w:types>
        <w:behaviors>
          <w:behavior w:val="content"/>
        </w:behaviors>
        <w:guid w:val="{7C7BB997-7DD3-429F-B405-BA8188CFEC0A}"/>
      </w:docPartPr>
      <w:docPartBody>
        <w:p w:rsidR="007F7378" w:rsidRDefault="00ED10DB" w:rsidP="00ED10DB">
          <w:pPr>
            <w:pStyle w:val="477E34A225354857B4B5D36D9CA8A6AA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4A0C" w:rsidP="00894A0C">
          <w:pPr>
            <w:pStyle w:val="70AAD37E9A1F4B5EA5C1270588299908"/>
          </w:pPr>
          <w:r w:rsidRPr="00111A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7F7378"/>
    <w:rsid w:val="00894A0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4A0C"/>
    <w:rPr>
      <w:color w:val="288061"/>
    </w:rPr>
  </w:style>
  <w:style w:type="paragraph" w:customStyle="1" w:styleId="722A130BB2FD42CB99AF58537814D26D2">
    <w:name w:val="722A130BB2FD42CB99AF58537814D26D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2">
    <w:name w:val="E4139A8A81AD41B0A456F71CC855670B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1">
    <w:name w:val="2CBB2A0B72674470B30B3225F78306DD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1">
    <w:name w:val="D6B275DB24F84EFBB866B5C9055058FF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477E34A225354857B4B5D36D9CA8A6AA1">
    <w:name w:val="477E34A225354857B4B5D36D9CA8A6AA1"/>
    <w:rsid w:val="00ED10DB"/>
    <w:pPr>
      <w:tabs>
        <w:tab w:val="num" w:pos="709"/>
      </w:tabs>
      <w:spacing w:after="240" w:line="240" w:lineRule="auto"/>
      <w:ind w:left="709" w:hanging="709"/>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4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p:properties xmlns:p="http://schemas.microsoft.com/office/2006/metadata/properties" xmlns:xsi="http://www.w3.org/2001/XMLSchema-instance" xmlns:pc="http://schemas.microsoft.com/office/infopath/2007/PartnerControls">
  <documentManagement>
    <EC_Common_Keyword xmlns="http://schemas.microsoft.com/sharepoint/v3/fields" xsi:nil="true"/>
    <EC_Common_Languages xmlns="http://schemas.microsoft.com/sharepoint/v3/fields">EN,FR,DE</EC_Common_Languages>
    <_DCDateModified xmlns="http://schemas.microsoft.com/sharepoint/v3/fields" xsi:nil="true"/>
    <EC_Portal_SM_DocumentGroupID xmlns="a41a97bf-0494-41d8-ba3d-259bd7771890" xsi:nil="true"/>
    <EC_Portal_SM_Description xmlns="1929b814-5a78-4bdc-9841-d8b9ef424f65" xsi:nil="true"/>
    <EC_Portal_SM_Audiences xmlns="1929b814-5a78-4bdc-9841-d8b9ef424f65">COM A EACEA A EACI A EAHC A ERCEA A HADEA A REA A TENEA A</EC_Portal_SM_Audiences>
    <EC_Portal_SM_IsProfessional xmlns="1929b814-5a78-4bdc-9841-d8b9ef424f65">false</EC_Portal_SM_IsProfessional>
    <EC_Portal_SM_Pages xmlns="a41a97bf-0494-41d8-ba3d-259bd777189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1F43D021-7335-4713-85CA-DDD427D6C1D5}">
  <ds:schemaRefs>
    <ds:schemaRef ds:uri="http://schemas.microsoft.com/office/2006/metadata/properties"/>
    <ds:schemaRef ds:uri="http://www.w3.org/XML/1998/namespace"/>
    <ds:schemaRef ds:uri="http://schemas.microsoft.com/office/2006/documentManagement/types"/>
    <ds:schemaRef ds:uri="http://purl.org/dc/dcmitype/"/>
    <ds:schemaRef ds:uri="http://schemas.microsoft.com/sharepoint/v3/fields"/>
    <ds:schemaRef ds:uri="http://schemas.microsoft.com/office/infopath/2007/PartnerControls"/>
    <ds:schemaRef ds:uri="http://purl.org/dc/terms/"/>
    <ds:schemaRef ds:uri="http://purl.org/dc/elements/1.1/"/>
    <ds:schemaRef ds:uri="a41a97bf-0494-41d8-ba3d-259bd7771890"/>
    <ds:schemaRef ds:uri="http://schemas.openxmlformats.org/package/2006/metadata/core-properties"/>
    <ds:schemaRef ds:uri="08927195-b699-4be0-9ee2-6c66dc215b5a"/>
    <ds:schemaRef ds:uri="1929b814-5a78-4bdc-9841-d8b9ef424f65"/>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ACF9129E-4F38-4619-B9EF-7531C4ECD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054889A-D3C5-4618-A5B8-4AEE136E2D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5</Pages>
  <Words>1550</Words>
  <Characters>10996</Characters>
  <Application>Microsoft Office Word</Application>
  <DocSecurity>4</DocSecurity>
  <PresentationFormat>Microsoft Word 14.0</PresentationFormat>
  <Lines>229</Lines>
  <Paragraphs>96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PAPADOPOULOU Roza (HR)</cp:lastModifiedBy>
  <cp:revision>2</cp:revision>
  <cp:lastPrinted>2023-04-05T10:36:00Z</cp:lastPrinted>
  <dcterms:created xsi:type="dcterms:W3CDTF">2023-07-05T11:54:00Z</dcterms:created>
  <dcterms:modified xsi:type="dcterms:W3CDTF">2023-07-05T11:54:00Z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0x010100B115F2CDA271DD4BBE79039B2B10322D005972CF4DFAC7AC44A3C80A3589CF2E1E</vt:lpwstr>
  </property>
  <property fmtid="{D5CDD505-2E9C-101B-9397-08002B2CF9AE}" pid="10" name="EC_Portal_SM_LocationTaxHTField0">
    <vt:lpwstr>Brussels|a2fd1745-7a8b-472f-87d8-c065744c40dd;Luxembourg|83ddf54f-ddb9-4640-a49c-ddc026ae519f;Other EU cities|d7af267d-1fe5-4f44-81e3-3d2959f76565;Non-EU cities|e2ed3b20-65ba-43c5-813e-9bd8e4201ac9</vt:lpwstr>
  </property>
  <property fmtid="{D5CDD505-2E9C-101B-9397-08002B2CF9AE}" pid="11" name="EC_Portal_SM_NavigationLanguageTaxHTField0">
    <vt:lpwstr>English|256b0f03-2527-4c41-b261-a16799168ae6;French|797213b8-07f2-436e-a021-30df8c8bbd6c</vt:lpwstr>
  </property>
  <property fmtid="{D5CDD505-2E9C-101B-9397-08002B2CF9AE}" pid="12" name="TaxCatchAll">
    <vt:lpwstr>4;#Non-EU cities|e2ed3b20-65ba-43c5-813e-9bd8e4201ac9;#6;#French|797213b8-07f2-436e-a021-30df8c8bbd6c;#5;#English|256b0f03-2527-4c41-b261-a16799168ae6;#55;#Seconded national experts|8541174c-e865-48c8-ad74-a224e0cea60d;#3;#Other EU cities|d7af267d-1fe5-4f44-81e3-3d2959f76565;#2;#Luxembourg|83ddf54f-ddb9-4640-a49c-ddc026ae519f;#1;#Brussels|a2fd1745-7a8b-472f-87d8-c065744c40dd</vt:lpwstr>
  </property>
  <property fmtid="{D5CDD505-2E9C-101B-9397-08002B2CF9AE}" pid="13" name="EC_Portal_SM_Location">
    <vt:lpwstr>1;#Brussels|a2fd1745-7a8b-472f-87d8-c065744c40dd;#2;#Luxembourg|83ddf54f-ddb9-4640-a49c-ddc026ae519f;#3;#Other EU cities|d7af267d-1fe5-4f44-81e3-3d2959f76565;#4;#Non-EU cities|e2ed3b20-65ba-43c5-813e-9bd8e4201ac9</vt:lpwstr>
  </property>
  <property fmtid="{D5CDD505-2E9C-101B-9397-08002B2CF9AE}" pid="14" name="EC_Portal_SM_DocumentType">
    <vt:lpwstr/>
  </property>
  <property fmtid="{D5CDD505-2E9C-101B-9397-08002B2CF9AE}" pid="15" name="EC_Portal_SM_NavigationLanguage">
    <vt:lpwstr>5;#English|256b0f03-2527-4c41-b261-a16799168ae6;#6;#French|797213b8-07f2-436e-a021-30df8c8bbd6c</vt:lpwstr>
  </property>
  <property fmtid="{D5CDD505-2E9C-101B-9397-08002B2CF9AE}" pid="16" name="EC_Portal_SM_Topics">
    <vt:lpwstr>55;#Seconded national experts|8541174c-e865-48c8-ad74-a224e0cea60d</vt:lpwstr>
  </property>
  <property fmtid="{D5CDD505-2E9C-101B-9397-08002B2CF9AE}" pid="17" name="EC_Portal_SM_TopicsTaxHTField0">
    <vt:lpwstr>Seconded national experts|8541174c-e865-48c8-ad74-a224e0cea60d</vt:lpwstr>
  </property>
  <property fmtid="{D5CDD505-2E9C-101B-9397-08002B2CF9AE}" pid="18" name="EC_Portal_SM_DocumentTypeTaxHTField0">
    <vt:lpwstr/>
  </property>
</Properties>
</file>