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81704"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MOVE-C</w:t>
            </w:r>
            <w:r w:rsidR="00C63A3F">
              <w:rPr>
                <w:rFonts w:ascii="Times New Roman" w:eastAsia="Times New Roman" w:hAnsi="Times New Roman" w:cs="Times New Roman"/>
                <w:b/>
                <w:sz w:val="24"/>
                <w:szCs w:val="20"/>
                <w:lang w:eastAsia="en-GB"/>
              </w:rPr>
              <w:t>-4</w:t>
            </w:r>
          </w:p>
        </w:tc>
      </w:tr>
      <w:tr w:rsidR="009F03A7" w:rsidRPr="00585D3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81704" w:rsidRPr="00681704" w:rsidRDefault="00681704" w:rsidP="00681704">
            <w:pPr>
              <w:rPr>
                <w:rFonts w:ascii="Times New Roman" w:eastAsia="Calibri" w:hAnsi="Times New Roman" w:cs="Times New Roman"/>
                <w:b/>
                <w:lang w:val="es-ES" w:eastAsia="en-GB"/>
              </w:rPr>
            </w:pPr>
            <w:r w:rsidRPr="00681704">
              <w:rPr>
                <w:rFonts w:ascii="Times New Roman" w:eastAsia="Calibri" w:hAnsi="Times New Roman" w:cs="Times New Roman"/>
                <w:b/>
                <w:lang w:val="es-ES" w:eastAsia="en-GB"/>
              </w:rPr>
              <w:t>Keir FITCH</w:t>
            </w:r>
          </w:p>
          <w:p w:rsidR="00681704" w:rsidRPr="00681704" w:rsidRDefault="00681704" w:rsidP="00681704">
            <w:pPr>
              <w:rPr>
                <w:rFonts w:ascii="Times New Roman" w:eastAsia="Calibri" w:hAnsi="Times New Roman" w:cs="Times New Roman"/>
                <w:b/>
                <w:color w:val="0000FF"/>
                <w:lang w:val="es-ES" w:eastAsia="en-GB"/>
              </w:rPr>
            </w:pPr>
            <w:hyperlink r:id="rId8" w:history="1">
              <w:r w:rsidRPr="00681704">
                <w:rPr>
                  <w:rFonts w:ascii="Times New Roman" w:eastAsia="Calibri" w:hAnsi="Times New Roman" w:cs="Times New Roman"/>
                  <w:b/>
                  <w:color w:val="0000FF"/>
                  <w:u w:val="single"/>
                  <w:lang w:val="es-ES" w:eastAsia="en-GB"/>
                </w:rPr>
                <w:t>keir.fitch@ec.europa.eu</w:t>
              </w:r>
            </w:hyperlink>
            <w:r w:rsidRPr="00681704">
              <w:rPr>
                <w:rFonts w:ascii="Times New Roman" w:eastAsia="Calibri" w:hAnsi="Times New Roman" w:cs="Times New Roman"/>
                <w:b/>
                <w:color w:val="0000FF"/>
                <w:lang w:val="es-ES" w:eastAsia="en-GB"/>
              </w:rPr>
              <w:t xml:space="preserve"> </w:t>
            </w:r>
          </w:p>
          <w:p w:rsidR="009F03A7" w:rsidRPr="009F03A7" w:rsidRDefault="00681704" w:rsidP="00681704">
            <w:pPr>
              <w:rPr>
                <w:rFonts w:ascii="Times New Roman" w:eastAsia="Times New Roman" w:hAnsi="Times New Roman" w:cs="Times New Roman"/>
                <w:b/>
                <w:lang w:val="de-DE" w:eastAsia="en-GB"/>
              </w:rPr>
            </w:pPr>
            <w:r w:rsidRPr="00681704">
              <w:rPr>
                <w:rFonts w:ascii="Times New Roman" w:eastAsia="Calibri" w:hAnsi="Times New Roman" w:cs="Times New Roman"/>
                <w:b/>
                <w:lang w:val="es-ES" w:eastAsia="en-GB"/>
              </w:rPr>
              <w:t>+32 29 59316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C63A3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C63A3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85D3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The Directorate-General for Mobility and Transport (DG MOVE) is responsible for developing and implementing European policies in the transport field, including the achievement of an internal market in rail transport.</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Within DG MOVE, Directorate C is in charge of Land Transport. Unit C4 is responsible for rail safety and interoperability policy, with a view to achieving a Single European Rail Area. The core tasks of the unit are: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Policy development for enhancing safety and interoperability in rail transport, including supervision of the activities of the European Rail Agency (ERA);</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Implementing the technical pillar of the 4th rail package in respect of safety and interoperability and enhancement of the role of ERA;</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Promoting the continued development of the Europe’s Rail joint undertaking to ensure its contribution to the Commission's rail and broader policy objectives;</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 xml:space="preserve">Monitoring of the application of existing EU legislation with regard to the railway technical legislation. </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DG MOVE C4 is looking for a dynamic, highly-motivated and experienced Seconded National Expert (SNE).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The main tasks involved in this role, under the supervision of a senior administrator, will be: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Policy development related to the implementation and monitoring of the European Rail Traffic Management System (ERTMS).</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Coordination of the development, revision and adoption process of the Regulation (EU) 2016/919 (CCS TSI) including relations with the ERA in the ERTMS field.</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Support to the implementation/deployment of ERTMS in the Member States.</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lastRenderedPageBreak/>
        <w:t>Contribution to the ERTMS related activities under the TEN-T/CEF policy including relations with the INEA in the ERTMS field.</w:t>
      </w:r>
    </w:p>
    <w:p w:rsidR="00002C05"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Follow-up of ERTMS related activities of Europe’s Rail Joint Undertaking and DG CNECT</w:t>
      </w:r>
      <w:r>
        <w:rPr>
          <w:rFonts w:ascii="Times New Roman" w:eastAsia="Times New Roman" w:hAnsi="Times New Roman"/>
          <w:lang w:val="en-US" w:eastAsia="en-GB"/>
        </w:rPr>
        <w: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63A3F">
        <w:rPr>
          <w:rFonts w:ascii="Times New Roman" w:eastAsia="Times New Roman" w:hAnsi="Times New Roman" w:cs="Times New Roman"/>
          <w:lang w:val="en-US" w:eastAsia="en-GB"/>
        </w:rPr>
        <w:t>:</w:t>
      </w:r>
      <w:r w:rsidR="00681704" w:rsidRPr="00681704">
        <w:rPr>
          <w:lang w:val="en-GB"/>
        </w:rPr>
        <w:t xml:space="preserve"> </w:t>
      </w:r>
      <w:r w:rsidR="00681704">
        <w:rPr>
          <w:rFonts w:ascii="Times New Roman" w:eastAsia="Times New Roman" w:hAnsi="Times New Roman" w:cs="Times New Roman"/>
          <w:lang w:val="en-US" w:eastAsia="en-GB"/>
        </w:rPr>
        <w:t>e</w:t>
      </w:r>
      <w:r w:rsidR="00681704" w:rsidRPr="00681704">
        <w:rPr>
          <w:rFonts w:ascii="Times New Roman" w:eastAsia="Times New Roman" w:hAnsi="Times New Roman" w:cs="Times New Roman"/>
          <w:lang w:val="en-US" w:eastAsia="en-GB"/>
        </w:rPr>
        <w:t>conomics, public administration, law or engineering</w:t>
      </w:r>
      <w:r w:rsidR="00C63A3F">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At least 3 years of work experience in an administrative environment covering a field related to transport policy;</w:t>
      </w: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Experience in the field of transport policy is required, knowledge of railway technical policies in particular, supported by an adequate professional expertise would be an asset;</w:t>
      </w: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Knowledge of EU legislative procedures;</w:t>
      </w:r>
    </w:p>
    <w:p w:rsidR="00B07502"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Experience in contract and project management</w:t>
      </w:r>
    </w:p>
    <w:p w:rsidR="00002C05"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bookmarkStart w:id="0" w:name="_GoBack"/>
      <w:bookmarkEnd w:id="0"/>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81704"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681704">
        <w:rPr>
          <w:rFonts w:ascii="Times New Roman" w:eastAsia="Times New Roman" w:hAnsi="Times New Roman" w:cs="Times New Roman"/>
          <w:lang w:val="en-US" w:eastAsia="en-GB"/>
        </w:rPr>
        <w:t>The candidate must have excellent knowledge and drafting skills in English. Satisfactory knowledge of other Community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8170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E20085A"/>
    <w:multiLevelType w:val="hybridMultilevel"/>
    <w:tmpl w:val="0A800F70"/>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84E6422"/>
    <w:multiLevelType w:val="hybridMultilevel"/>
    <w:tmpl w:val="6E94852E"/>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8E2175D"/>
    <w:multiLevelType w:val="hybridMultilevel"/>
    <w:tmpl w:val="B5A28A54"/>
    <w:lvl w:ilvl="0" w:tplc="DFB264C0">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1481B"/>
    <w:multiLevelType w:val="hybridMultilevel"/>
    <w:tmpl w:val="B65A473E"/>
    <w:lvl w:ilvl="0" w:tplc="BE4CDD0C">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3"/>
  </w:num>
  <w:num w:numId="6">
    <w:abstractNumId w:val="12"/>
  </w:num>
  <w:num w:numId="7">
    <w:abstractNumId w:val="27"/>
  </w:num>
  <w:num w:numId="8">
    <w:abstractNumId w:val="30"/>
  </w:num>
  <w:num w:numId="9">
    <w:abstractNumId w:val="20"/>
  </w:num>
  <w:num w:numId="10">
    <w:abstractNumId w:val="8"/>
  </w:num>
  <w:num w:numId="11">
    <w:abstractNumId w:val="24"/>
  </w:num>
  <w:num w:numId="12">
    <w:abstractNumId w:val="29"/>
  </w:num>
  <w:num w:numId="13">
    <w:abstractNumId w:val="6"/>
  </w:num>
  <w:num w:numId="14">
    <w:abstractNumId w:val="15"/>
  </w:num>
  <w:num w:numId="15">
    <w:abstractNumId w:val="31"/>
  </w:num>
  <w:num w:numId="16">
    <w:abstractNumId w:val="0"/>
  </w:num>
  <w:num w:numId="17">
    <w:abstractNumId w:val="14"/>
  </w:num>
  <w:num w:numId="18">
    <w:abstractNumId w:val="28"/>
  </w:num>
  <w:num w:numId="19">
    <w:abstractNumId w:val="11"/>
  </w:num>
  <w:num w:numId="20">
    <w:abstractNumId w:val="7"/>
  </w:num>
  <w:num w:numId="21">
    <w:abstractNumId w:val="5"/>
  </w:num>
  <w:num w:numId="22">
    <w:abstractNumId w:val="25"/>
  </w:num>
  <w:num w:numId="23">
    <w:abstractNumId w:val="21"/>
  </w:num>
  <w:num w:numId="24">
    <w:abstractNumId w:val="10"/>
  </w:num>
  <w:num w:numId="25">
    <w:abstractNumId w:val="9"/>
  </w:num>
  <w:num w:numId="26">
    <w:abstractNumId w:val="22"/>
  </w:num>
  <w:num w:numId="27">
    <w:abstractNumId w:val="26"/>
  </w:num>
  <w:num w:numId="28">
    <w:abstractNumId w:val="23"/>
  </w:num>
  <w:num w:numId="29">
    <w:abstractNumId w:val="16"/>
  </w:num>
  <w:num w:numId="30">
    <w:abstractNumId w:val="17"/>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2C05"/>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81704"/>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63A3F"/>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AB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r.fit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7516</Characters>
  <Application>Microsoft Office Word</Application>
  <DocSecurity>0</DocSecurity>
  <Lines>178</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2022-09-02T14:44:00Z</dcterms:created>
  <dcterms:modified xsi:type="dcterms:W3CDTF">2022-09-02T14:44:00Z</dcterms:modified>
</cp:coreProperties>
</file>