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B0122"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INTPA-F</w:t>
            </w:r>
            <w:r w:rsidR="00A841D4">
              <w:rPr>
                <w:rFonts w:ascii="Times New Roman" w:eastAsia="Times New Roman" w:hAnsi="Times New Roman" w:cs="Times New Roman"/>
                <w:b/>
                <w:sz w:val="24"/>
                <w:szCs w:val="20"/>
                <w:lang w:eastAsia="en-GB"/>
              </w:rPr>
              <w:t>-2</w:t>
            </w:r>
          </w:p>
        </w:tc>
      </w:tr>
      <w:tr w:rsidR="009F03A7" w:rsidRPr="00884D4B"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B0122" w:rsidRPr="005B0122" w:rsidRDefault="005B0122" w:rsidP="005B0122">
            <w:pPr>
              <w:rPr>
                <w:rFonts w:ascii="Times New Roman" w:eastAsia="Calibri" w:hAnsi="Times New Roman" w:cs="Times New Roman"/>
                <w:b/>
                <w:lang w:val="es-ES" w:eastAsia="en-GB"/>
              </w:rPr>
            </w:pPr>
            <w:r w:rsidRPr="005B0122">
              <w:rPr>
                <w:rFonts w:ascii="Times New Roman" w:eastAsia="Calibri" w:hAnsi="Times New Roman" w:cs="Times New Roman"/>
                <w:b/>
                <w:lang w:val="es-ES" w:eastAsia="en-GB"/>
              </w:rPr>
              <w:t xml:space="preserve">Chantal </w:t>
            </w:r>
            <w:proofErr w:type="spellStart"/>
            <w:r w:rsidRPr="005B0122">
              <w:rPr>
                <w:rFonts w:ascii="Times New Roman" w:eastAsia="Calibri" w:hAnsi="Times New Roman" w:cs="Times New Roman"/>
                <w:b/>
                <w:lang w:val="es-ES" w:eastAsia="en-GB"/>
              </w:rPr>
              <w:t>Marijnissen</w:t>
            </w:r>
            <w:proofErr w:type="spellEnd"/>
          </w:p>
          <w:p w:rsidR="005B0122" w:rsidRPr="005B0122" w:rsidRDefault="005B0122" w:rsidP="005B0122">
            <w:pPr>
              <w:rPr>
                <w:rFonts w:ascii="Times New Roman" w:eastAsia="Calibri" w:hAnsi="Times New Roman" w:cs="Times New Roman"/>
                <w:b/>
                <w:color w:val="0000FF"/>
                <w:lang w:val="es-ES" w:eastAsia="en-GB"/>
              </w:rPr>
            </w:pPr>
            <w:hyperlink r:id="rId9" w:history="1">
              <w:r w:rsidRPr="005B0122">
                <w:rPr>
                  <w:rFonts w:ascii="Times New Roman" w:eastAsia="Calibri" w:hAnsi="Times New Roman" w:cs="Times New Roman"/>
                  <w:b/>
                  <w:color w:val="0000FF"/>
                  <w:u w:val="single"/>
                  <w:lang w:val="es-ES" w:eastAsia="en-GB"/>
                </w:rPr>
                <w:t>Chantal.Marijnissen@ec.europa.eu</w:t>
              </w:r>
            </w:hyperlink>
            <w:r w:rsidRPr="005B0122">
              <w:rPr>
                <w:rFonts w:ascii="Times New Roman" w:eastAsia="Calibri" w:hAnsi="Times New Roman" w:cs="Times New Roman"/>
                <w:b/>
                <w:color w:val="0000FF"/>
                <w:lang w:val="es-ES" w:eastAsia="en-GB"/>
              </w:rPr>
              <w:t xml:space="preserve"> </w:t>
            </w:r>
          </w:p>
          <w:p w:rsidR="009F03A7" w:rsidRPr="009F03A7" w:rsidRDefault="005B0122" w:rsidP="005B0122">
            <w:pPr>
              <w:rPr>
                <w:rFonts w:ascii="Times New Roman" w:eastAsia="Times New Roman" w:hAnsi="Times New Roman" w:cs="Times New Roman"/>
                <w:b/>
                <w:lang w:val="de-DE" w:eastAsia="en-GB"/>
              </w:rPr>
            </w:pPr>
            <w:r w:rsidRPr="005B0122">
              <w:rPr>
                <w:rFonts w:ascii="Times New Roman" w:eastAsia="Calibri" w:hAnsi="Times New Roman" w:cs="Times New Roman"/>
                <w:b/>
                <w:lang w:val="es-ES" w:eastAsia="en-GB"/>
              </w:rPr>
              <w:t>+32 2 29-86565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3E3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5B0122"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E66D3D" w:rsidP="00241F98">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A33B2"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E66D3D"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9F03A7">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A841D4"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E66D3D" w:rsidP="00E66D3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9F03A7" w:rsidRPr="00AF7D78">
              <w:rPr>
                <w:rFonts w:ascii="Times New Roman" w:eastAsia="Times New Roman" w:hAnsi="Times New Roman" w:cs="Times New Roman"/>
                <w:b/>
                <w:sz w:val="24"/>
                <w:szCs w:val="20"/>
                <w:lang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A33B2" w:rsidRPr="009A33B2">
              <w:rPr>
                <w:lang w:val="en-GB"/>
              </w:rPr>
              <w:t xml:space="preserve"> </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Unit F2 – environment and natural resources - is offering a seconded national expert position under the responsibility of the Head of Unit. </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The European Green Deal sets the European Union ambition to lead global efforts to achieve climate neutrality, halt biodiversity loss and decouple economic growth from natural resources use.  This ambition had been translated in a number of transformative policy and regulatory frameworks, including the Circular Economy Action Plant, the EU Action Plan on Sustainable Finance and its taxonomy, the Plastics strategy and the Zero Pollution Action Plan, the Biodiversity Strategy 2030, the Farm to Fork strategy: all include a strong external dimension that frames EU partnerships with third countries.</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The Green Deal ambition is fully embedded in the Multi-annual Initiative </w:t>
      </w:r>
      <w:proofErr w:type="spellStart"/>
      <w:r w:rsidRPr="005B0122">
        <w:rPr>
          <w:rFonts w:ascii="Times New Roman" w:eastAsia="Times New Roman" w:hAnsi="Times New Roman"/>
          <w:lang w:val="en-US" w:eastAsia="en-GB"/>
        </w:rPr>
        <w:t>Programmes</w:t>
      </w:r>
      <w:proofErr w:type="spellEnd"/>
      <w:r w:rsidRPr="005B0122">
        <w:rPr>
          <w:rFonts w:ascii="Times New Roman" w:eastAsia="Times New Roman" w:hAnsi="Times New Roman"/>
          <w:lang w:val="en-US" w:eastAsia="en-GB"/>
        </w:rPr>
        <w:t xml:space="preserve"> that have been defined for 2021-2027, at country, regional and global level.   </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The mandate of INTPA unit F2 is to support developing countries in implementing the environmental dimension of the 2030 Agenda for Sustainable Development, in line with the European Consensus on Development, and the external dimension of the European Green Deal. </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With this aim, INTPA F2 is in charge of three main areas of work: thematic policy development; thematic support and policy guidance to EU Delegations and our counterparts; programming and implementation. These responsibilities entail policy dialogue, capacity development and knowledge management, partnerships and joint implementation. </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Unit F2 promotes the design and implementation of the external dimension of the European Green Deal.  It  supports the “Greening” of EU cooperation with third countries (through the integration (or mainstreaming) of </w:t>
      </w:r>
      <w:r w:rsidRPr="005B0122">
        <w:rPr>
          <w:rFonts w:ascii="Times New Roman" w:eastAsia="Times New Roman" w:hAnsi="Times New Roman"/>
          <w:lang w:val="en-US" w:eastAsia="en-GB"/>
        </w:rPr>
        <w:lastRenderedPageBreak/>
        <w:t xml:space="preserve">environmental sustainability into development policies, plans and investments across all areas and instruments) and the design and implementation of specific actions to promote better environment and natural resources governance, the conservation and sustainable use of biodiversity and natural resources including land, water, oceans  and forests and the transition to a green and circular economy.  </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The work on the above matters is done with support of technical assistance facilities and in close coordination with the unit in charge of sustainable energy and climate change (F1); it entails active engagement with all concerned services, including EU delegations, partner institutions and governments, member states and colleagues in headquarters.</w:t>
      </w: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  </w:t>
      </w:r>
    </w:p>
    <w:p w:rsidR="005B0122" w:rsidRPr="005B0122" w:rsidRDefault="005B0122" w:rsidP="005B0122">
      <w:pPr>
        <w:spacing w:after="0" w:line="240" w:lineRule="auto"/>
        <w:ind w:left="426"/>
        <w:jc w:val="both"/>
        <w:rPr>
          <w:rFonts w:ascii="Times New Roman" w:eastAsia="Times New Roman" w:hAnsi="Times New Roman"/>
          <w:u w:val="single"/>
          <w:lang w:val="en-US" w:eastAsia="en-GB"/>
        </w:rPr>
      </w:pPr>
      <w:r w:rsidRPr="005B0122">
        <w:rPr>
          <w:rFonts w:ascii="Times New Roman" w:eastAsia="Times New Roman" w:hAnsi="Times New Roman"/>
          <w:u w:val="single"/>
          <w:lang w:val="en-US" w:eastAsia="en-GB"/>
        </w:rPr>
        <w:t xml:space="preserve">Job description </w:t>
      </w: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 </w:t>
      </w: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 xml:space="preserve">Under the responsibility of the Head of Unit and the direct supervision of the head of sector for Environment, Mainstreaming and Circular Economy , the successful candidate will support INTPA's work in “Greening” EU international cooperation and development policies, </w:t>
      </w:r>
      <w:proofErr w:type="spellStart"/>
      <w:r w:rsidRPr="005B0122">
        <w:rPr>
          <w:rFonts w:ascii="Times New Roman" w:eastAsia="Times New Roman" w:hAnsi="Times New Roman"/>
          <w:lang w:val="en-US" w:eastAsia="en-GB"/>
        </w:rPr>
        <w:t>programmes</w:t>
      </w:r>
      <w:proofErr w:type="spellEnd"/>
      <w:r w:rsidRPr="005B0122">
        <w:rPr>
          <w:rFonts w:ascii="Times New Roman" w:eastAsia="Times New Roman" w:hAnsi="Times New Roman"/>
          <w:lang w:val="en-US" w:eastAsia="en-GB"/>
        </w:rPr>
        <w:t xml:space="preserve"> and investments, aligning them with the objectives of the European Green Deal. In particular, the policy officer will support the EU’s work on supporting the transition to resource-efficient circular economies and efforts to strengthen the environmental dimension of EU cooperation. This includes (i) the integration -or mainstreaming- of environment and green/circular economy considerations and objectives, across all financing instruments, sectors and geographic areas of EU cooperation, with a particular focus on greening EU supported investments; and (ii) policy, quality support and project management in relation with EU support to the circular/green economy. Particular focus will be paid on the new instruments (European Fund for Sustainable Development –EFSD+), including guarantees and blending operations, as well as budget support operations and public finance management.</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Pr="005B0122"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In this context, the successful candidate will carry out the following tasks:</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Contribute to INTPA’s policy and technical work in relation with green/circular economy, green investments and environment more broadly.</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 xml:space="preserve">Support the development and management of INTPA’s portfolio on green/circular economy, contributing to the design and management of circular economy and environmental actions financed under the thematic and geographic </w:t>
      </w:r>
      <w:proofErr w:type="spellStart"/>
      <w:r w:rsidRPr="005B0122">
        <w:rPr>
          <w:rFonts w:ascii="Times New Roman" w:eastAsia="Times New Roman" w:hAnsi="Times New Roman"/>
          <w:lang w:val="en-US" w:eastAsia="en-GB"/>
        </w:rPr>
        <w:t>programmes</w:t>
      </w:r>
      <w:proofErr w:type="spellEnd"/>
      <w:r w:rsidRPr="005B0122">
        <w:rPr>
          <w:rFonts w:ascii="Times New Roman" w:eastAsia="Times New Roman" w:hAnsi="Times New Roman"/>
          <w:lang w:val="en-US" w:eastAsia="en-GB"/>
        </w:rPr>
        <w:t>.</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 xml:space="preserve">Contribute to the </w:t>
      </w:r>
      <w:proofErr w:type="spellStart"/>
      <w:r w:rsidRPr="005B0122">
        <w:rPr>
          <w:rFonts w:ascii="Times New Roman" w:eastAsia="Times New Roman" w:hAnsi="Times New Roman"/>
          <w:lang w:val="en-US" w:eastAsia="en-GB"/>
        </w:rPr>
        <w:t>realisation</w:t>
      </w:r>
      <w:proofErr w:type="spellEnd"/>
      <w:r w:rsidRPr="005B0122">
        <w:rPr>
          <w:rFonts w:ascii="Times New Roman" w:eastAsia="Times New Roman" w:hAnsi="Times New Roman"/>
          <w:lang w:val="en-US" w:eastAsia="en-GB"/>
        </w:rPr>
        <w:t xml:space="preserve"> of the unit's missions by ensuring effective implementation of the tasks that will be assigned to her/him; this includes contributing notably to the preparation of work plans, reports, briefings, policy and technical documents, and other institutional processes.</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Provide quality support, methodological guidance and advice on green/circular economy, green investments and environment related matters to colleagues in EU Delegations and headquarters, including through the mobilization and oversight of INTPA Greening Facility and Switch to Green Facility</w:t>
      </w:r>
      <w:proofErr w:type="gramStart"/>
      <w:r w:rsidRPr="005B0122">
        <w:rPr>
          <w:rFonts w:ascii="Times New Roman" w:eastAsia="Times New Roman" w:hAnsi="Times New Roman"/>
          <w:lang w:val="en-US" w:eastAsia="en-GB"/>
        </w:rPr>
        <w:t>..</w:t>
      </w:r>
      <w:proofErr w:type="gramEnd"/>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 xml:space="preserve">Contribute to the quality assurance process and support the design of new </w:t>
      </w:r>
      <w:proofErr w:type="spellStart"/>
      <w:r w:rsidRPr="005B0122">
        <w:rPr>
          <w:rFonts w:ascii="Times New Roman" w:eastAsia="Times New Roman" w:hAnsi="Times New Roman"/>
          <w:lang w:val="en-US" w:eastAsia="en-GB"/>
        </w:rPr>
        <w:t>programmes</w:t>
      </w:r>
      <w:proofErr w:type="spellEnd"/>
      <w:r w:rsidRPr="005B0122">
        <w:rPr>
          <w:rFonts w:ascii="Times New Roman" w:eastAsia="Times New Roman" w:hAnsi="Times New Roman"/>
          <w:lang w:val="en-US" w:eastAsia="en-GB"/>
        </w:rPr>
        <w:t xml:space="preserve"> by participating in Quality Review Meetings, Country/Regional Coordination teams and other relevant processes.</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 xml:space="preserve">Contribute to analytical work and the development of knowledge, tools and approaches in relation with green/circular economy, green investments and environment mainstreaming. </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 xml:space="preserve">Review policy documents, programming documents, action documents, </w:t>
      </w:r>
      <w:proofErr w:type="gramStart"/>
      <w:r w:rsidRPr="005B0122">
        <w:rPr>
          <w:rFonts w:ascii="Times New Roman" w:eastAsia="Times New Roman" w:hAnsi="Times New Roman"/>
          <w:lang w:val="en-US" w:eastAsia="en-GB"/>
        </w:rPr>
        <w:t>implementation</w:t>
      </w:r>
      <w:proofErr w:type="gramEnd"/>
      <w:r w:rsidRPr="005B0122">
        <w:rPr>
          <w:rFonts w:ascii="Times New Roman" w:eastAsia="Times New Roman" w:hAnsi="Times New Roman"/>
          <w:lang w:val="en-US" w:eastAsia="en-GB"/>
        </w:rPr>
        <w:t xml:space="preserve"> reports and provide suggestions and comments to enhance the environmental dimension.</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Review investment proposals under the EU Investment Plan, the EFSD+ and the EU investment facilities.</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Support the network of Environment and climate focal points in EU delegations and training and knowledge development and sharing activities to enhance the capacity of EU staff and partners.</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 xml:space="preserve">Conduct support missions in partner countries to provide policy and technical support in the area of green/circular economy, environment and greening development policies, </w:t>
      </w:r>
      <w:proofErr w:type="spellStart"/>
      <w:r w:rsidRPr="005B0122">
        <w:rPr>
          <w:rFonts w:ascii="Times New Roman" w:eastAsia="Times New Roman" w:hAnsi="Times New Roman"/>
          <w:lang w:val="en-US" w:eastAsia="en-GB"/>
        </w:rPr>
        <w:t>programmes</w:t>
      </w:r>
      <w:proofErr w:type="spellEnd"/>
      <w:r w:rsidRPr="005B0122">
        <w:rPr>
          <w:rFonts w:ascii="Times New Roman" w:eastAsia="Times New Roman" w:hAnsi="Times New Roman"/>
          <w:lang w:val="en-US" w:eastAsia="en-GB"/>
        </w:rPr>
        <w:t xml:space="preserve"> and investments.  </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Assist upon demand colleagues in INTPA and EU Delegations in policy dialogues in relation with the European Green Deal. Support the organization of circular economy missions.</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Support INTPA’s work on international environmental governance.</w:t>
      </w:r>
    </w:p>
    <w:p w:rsidR="005B0122" w:rsidRPr="005B0122" w:rsidRDefault="005B0122" w:rsidP="005B0122">
      <w:pPr>
        <w:spacing w:after="0" w:line="240" w:lineRule="auto"/>
        <w:ind w:left="709" w:hanging="283"/>
        <w:jc w:val="both"/>
        <w:rPr>
          <w:rFonts w:ascii="Times New Roman" w:eastAsia="Times New Roman" w:hAnsi="Times New Roman"/>
          <w:lang w:val="en-US" w:eastAsia="en-GB"/>
        </w:rPr>
      </w:pPr>
      <w:r w:rsidRPr="005B0122">
        <w:rPr>
          <w:rFonts w:ascii="Times New Roman" w:eastAsia="Times New Roman" w:hAnsi="Times New Roman"/>
          <w:lang w:val="en-US" w:eastAsia="en-GB"/>
        </w:rPr>
        <w:t>•</w:t>
      </w:r>
      <w:r w:rsidRPr="005B0122">
        <w:rPr>
          <w:rFonts w:ascii="Times New Roman" w:eastAsia="Times New Roman" w:hAnsi="Times New Roman"/>
          <w:lang w:val="en-US" w:eastAsia="en-GB"/>
        </w:rPr>
        <w:tab/>
        <w:t xml:space="preserve">Closely coordinate with other concerned units (notably INTPA F1, INTPA E2 private sector, E3 Sustainable Finance and E4 EFSD+), DGs (ENV), EU Delegations, EU member states and partner organizations. </w:t>
      </w:r>
    </w:p>
    <w:p w:rsidR="005B0122" w:rsidRPr="005B0122" w:rsidRDefault="005B0122" w:rsidP="005B0122">
      <w:pPr>
        <w:spacing w:after="0" w:line="240" w:lineRule="auto"/>
        <w:ind w:left="426"/>
        <w:jc w:val="both"/>
        <w:rPr>
          <w:rFonts w:ascii="Times New Roman" w:eastAsia="Times New Roman" w:hAnsi="Times New Roman"/>
          <w:lang w:val="en-US" w:eastAsia="en-GB"/>
        </w:rPr>
      </w:pPr>
    </w:p>
    <w:p w:rsidR="00A841D4" w:rsidRPr="00A841D4" w:rsidRDefault="005B0122" w:rsidP="005B0122">
      <w:pPr>
        <w:spacing w:after="0" w:line="240" w:lineRule="auto"/>
        <w:ind w:left="426"/>
        <w:jc w:val="both"/>
        <w:rPr>
          <w:rFonts w:ascii="Times New Roman" w:eastAsia="Times New Roman" w:hAnsi="Times New Roman"/>
          <w:lang w:val="en-US" w:eastAsia="en-GB"/>
        </w:rPr>
      </w:pPr>
      <w:r w:rsidRPr="005B0122">
        <w:rPr>
          <w:rFonts w:ascii="Times New Roman" w:eastAsia="Times New Roman" w:hAnsi="Times New Roman"/>
          <w:lang w:val="en-US" w:eastAsia="en-GB"/>
        </w:rPr>
        <w:t>The Seconded National Expert will also undertake any other relevant tasks in support of the work of the unit and DG, assigned by the Head of Unit or the Team Leader.</w:t>
      </w:r>
    </w:p>
    <w:p w:rsidR="00A841D4" w:rsidRDefault="00A841D4" w:rsidP="00A841D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A841D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5B0122" w:rsidRPr="005B0122">
        <w:rPr>
          <w:rFonts w:ascii="Times New Roman" w:eastAsia="Times New Roman" w:hAnsi="Times New Roman" w:cs="Times New Roman"/>
          <w:lang w:val="en-US" w:eastAsia="en-GB"/>
        </w:rPr>
        <w:t>environment, green economy</w:t>
      </w:r>
      <w:r w:rsidR="005B0122">
        <w:rPr>
          <w:rFonts w:ascii="Times New Roman" w:eastAsia="Times New Roman" w:hAnsi="Times New Roman" w:cs="Times New Roman"/>
          <w:lang w:val="en-US" w:eastAsia="en-GB"/>
        </w:rPr>
        <w:t xml:space="preserve"> and/or sustainable development</w:t>
      </w:r>
      <w:r w:rsidR="001B0902" w:rsidRPr="001B0902">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At least 5 years of proven full-time professional experience in areas relevant to development cooperation, environment/natural resources and the green economy, preferably including at policy/strategic and project/</w:t>
      </w:r>
      <w:proofErr w:type="spellStart"/>
      <w:r w:rsidRPr="005B0122">
        <w:rPr>
          <w:rFonts w:ascii="Times New Roman" w:eastAsia="Times New Roman" w:hAnsi="Times New Roman" w:cs="Times New Roman"/>
          <w:lang w:val="en-US" w:eastAsia="en-GB"/>
        </w:rPr>
        <w:t>programme</w:t>
      </w:r>
      <w:proofErr w:type="spellEnd"/>
      <w:r w:rsidRPr="005B0122">
        <w:rPr>
          <w:rFonts w:ascii="Times New Roman" w:eastAsia="Times New Roman" w:hAnsi="Times New Roman" w:cs="Times New Roman"/>
          <w:lang w:val="en-US" w:eastAsia="en-GB"/>
        </w:rPr>
        <w:t xml:space="preserve"> levels.</w:t>
      </w: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 xml:space="preserve">Excellent understanding of international environment/green economy matters </w:t>
      </w: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Experience in the integration, or mainstreaming, of environment in policies, plans and/or projects.</w:t>
      </w: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 xml:space="preserve">Experience of development cooperation’s cycle of operations and financing instruments, preferably including innovative financing instruments.  </w:t>
      </w: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Experience in investments, private sector development and green business would be an asset.</w:t>
      </w: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Excellent understanding of the reality of developing countries.  Field experience in developing countries is considered an asset.</w:t>
      </w: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Capacity to handle complex files and work under pressure.</w:t>
      </w:r>
    </w:p>
    <w:p w:rsidR="005B0122" w:rsidRP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 xml:space="preserve">Team worker with a strong sense of initiative, capacity to establish constructive working relations with a diversity of colleagues and partners and ability to work in a multi-disciplinary environment. </w:t>
      </w:r>
    </w:p>
    <w:p w:rsidR="00D84D9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 xml:space="preserve">Proven capacity to </w:t>
      </w:r>
      <w:proofErr w:type="spellStart"/>
      <w:r w:rsidRPr="005B0122">
        <w:rPr>
          <w:rFonts w:ascii="Times New Roman" w:eastAsia="Times New Roman" w:hAnsi="Times New Roman" w:cs="Times New Roman"/>
          <w:lang w:val="en-US" w:eastAsia="en-GB"/>
        </w:rPr>
        <w:t>analyse</w:t>
      </w:r>
      <w:proofErr w:type="spellEnd"/>
      <w:r w:rsidRPr="005B0122">
        <w:rPr>
          <w:rFonts w:ascii="Times New Roman" w:eastAsia="Times New Roman" w:hAnsi="Times New Roman" w:cs="Times New Roman"/>
          <w:lang w:val="en-US" w:eastAsia="en-GB"/>
        </w:rPr>
        <w:t>, synthetize reports and draft recommendations would be an asset.</w:t>
      </w:r>
    </w:p>
    <w:p w:rsid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5B0122"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B0122">
        <w:rPr>
          <w:rFonts w:ascii="Times New Roman" w:eastAsia="Times New Roman" w:hAnsi="Times New Roman" w:cs="Times New Roman"/>
          <w:lang w:val="en-US" w:eastAsia="en-GB"/>
        </w:rPr>
        <w:t>Excellent written and oral communication in English and/or French.</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0"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 xml:space="preserve">The CV must mention the </w:t>
      </w:r>
      <w:r w:rsidRPr="0032123B">
        <w:rPr>
          <w:rFonts w:ascii="Times New Roman" w:eastAsia="Times New Roman" w:hAnsi="Times New Roman" w:cs="Times New Roman"/>
          <w:lang w:val="en-US" w:eastAsia="en-GB"/>
        </w:rPr>
        <w:lastRenderedPageBreak/>
        <w:t>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2"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5B0122">
      <w:pPr>
        <w:rPr>
          <w:rFonts w:ascii="Times New Roman" w:hAnsi="Times New Roman" w:cs="Times New Roman"/>
          <w:lang w:val="en-US"/>
        </w:rPr>
      </w:pPr>
    </w:p>
    <w:sectPr w:rsidR="00AC55BD" w:rsidRPr="0032123B"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2"/>
    <w:multiLevelType w:val="hybridMultilevel"/>
    <w:tmpl w:val="40EAA62E"/>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8EC67F3"/>
    <w:multiLevelType w:val="hybridMultilevel"/>
    <w:tmpl w:val="398C2BB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12"/>
  </w:num>
  <w:num w:numId="7">
    <w:abstractNumId w:val="23"/>
  </w:num>
  <w:num w:numId="8">
    <w:abstractNumId w:val="27"/>
  </w:num>
  <w:num w:numId="9">
    <w:abstractNumId w:val="17"/>
  </w:num>
  <w:num w:numId="10">
    <w:abstractNumId w:val="8"/>
  </w:num>
  <w:num w:numId="11">
    <w:abstractNumId w:val="20"/>
  </w:num>
  <w:num w:numId="12">
    <w:abstractNumId w:val="26"/>
  </w:num>
  <w:num w:numId="13">
    <w:abstractNumId w:val="6"/>
  </w:num>
  <w:num w:numId="14">
    <w:abstractNumId w:val="15"/>
  </w:num>
  <w:num w:numId="15">
    <w:abstractNumId w:val="28"/>
  </w:num>
  <w:num w:numId="16">
    <w:abstractNumId w:val="1"/>
  </w:num>
  <w:num w:numId="17">
    <w:abstractNumId w:val="14"/>
  </w:num>
  <w:num w:numId="18">
    <w:abstractNumId w:val="25"/>
  </w:num>
  <w:num w:numId="19">
    <w:abstractNumId w:val="11"/>
  </w:num>
  <w:num w:numId="20">
    <w:abstractNumId w:val="7"/>
  </w:num>
  <w:num w:numId="21">
    <w:abstractNumId w:val="5"/>
  </w:num>
  <w:num w:numId="22">
    <w:abstractNumId w:val="21"/>
  </w:num>
  <w:num w:numId="23">
    <w:abstractNumId w:val="18"/>
  </w:num>
  <w:num w:numId="24">
    <w:abstractNumId w:val="10"/>
  </w:num>
  <w:num w:numId="25">
    <w:abstractNumId w:val="9"/>
  </w:num>
  <w:num w:numId="26">
    <w:abstractNumId w:val="19"/>
  </w:num>
  <w:num w:numId="27">
    <w:abstractNumId w:val="22"/>
  </w:num>
  <w:num w:numId="28">
    <w:abstractNumId w:val="29"/>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4A9C"/>
    <w:rsid w:val="00127B0B"/>
    <w:rsid w:val="0014734A"/>
    <w:rsid w:val="00151FDA"/>
    <w:rsid w:val="0019598C"/>
    <w:rsid w:val="001B0902"/>
    <w:rsid w:val="001B181B"/>
    <w:rsid w:val="001B5B30"/>
    <w:rsid w:val="001C2BD3"/>
    <w:rsid w:val="001E4D9E"/>
    <w:rsid w:val="001F1381"/>
    <w:rsid w:val="00241F98"/>
    <w:rsid w:val="002805BB"/>
    <w:rsid w:val="002D0F28"/>
    <w:rsid w:val="002D7E08"/>
    <w:rsid w:val="002F3E3B"/>
    <w:rsid w:val="002F7827"/>
    <w:rsid w:val="0032123B"/>
    <w:rsid w:val="003542EC"/>
    <w:rsid w:val="00392469"/>
    <w:rsid w:val="003A1B78"/>
    <w:rsid w:val="003A36D7"/>
    <w:rsid w:val="003C2ECF"/>
    <w:rsid w:val="003C6DD7"/>
    <w:rsid w:val="00411768"/>
    <w:rsid w:val="0043504F"/>
    <w:rsid w:val="0044334A"/>
    <w:rsid w:val="00484508"/>
    <w:rsid w:val="004863C8"/>
    <w:rsid w:val="004A5994"/>
    <w:rsid w:val="00505BD2"/>
    <w:rsid w:val="00525524"/>
    <w:rsid w:val="00525F5B"/>
    <w:rsid w:val="00534042"/>
    <w:rsid w:val="00536D39"/>
    <w:rsid w:val="00596671"/>
    <w:rsid w:val="005B0122"/>
    <w:rsid w:val="0062071E"/>
    <w:rsid w:val="00643266"/>
    <w:rsid w:val="0065499A"/>
    <w:rsid w:val="00673B92"/>
    <w:rsid w:val="00691157"/>
    <w:rsid w:val="006F631D"/>
    <w:rsid w:val="00700164"/>
    <w:rsid w:val="007164E5"/>
    <w:rsid w:val="007321B9"/>
    <w:rsid w:val="00735F68"/>
    <w:rsid w:val="00757143"/>
    <w:rsid w:val="00815707"/>
    <w:rsid w:val="00860C38"/>
    <w:rsid w:val="00884D4B"/>
    <w:rsid w:val="0089313E"/>
    <w:rsid w:val="008976A0"/>
    <w:rsid w:val="008B13A3"/>
    <w:rsid w:val="008B172F"/>
    <w:rsid w:val="008C2571"/>
    <w:rsid w:val="00943796"/>
    <w:rsid w:val="0098353F"/>
    <w:rsid w:val="009A33B2"/>
    <w:rsid w:val="009F03A7"/>
    <w:rsid w:val="00A56955"/>
    <w:rsid w:val="00A662C1"/>
    <w:rsid w:val="00A662FF"/>
    <w:rsid w:val="00A841D4"/>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66D3D"/>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DD3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antal.Marijniss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73C0-90A9-4D06-856E-67341B74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2049</Words>
  <Characters>12112</Characters>
  <Application>Microsoft Office Word</Application>
  <DocSecurity>0</DocSecurity>
  <Lines>237</Lines>
  <Paragraphs>114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2022-09-05T09:22:00Z</dcterms:created>
  <dcterms:modified xsi:type="dcterms:W3CDTF">2022-09-05T09:22:00Z</dcterms:modified>
</cp:coreProperties>
</file>