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87856"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COMP-F-1</w:t>
            </w:r>
          </w:p>
        </w:tc>
      </w:tr>
      <w:tr w:rsidR="009F03A7" w:rsidRPr="00287856"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87856" w:rsidRPr="00287856" w:rsidRDefault="00287856" w:rsidP="00287856">
            <w:pPr>
              <w:rPr>
                <w:rFonts w:ascii="Times New Roman" w:eastAsia="Calibri" w:hAnsi="Times New Roman" w:cs="Times New Roman"/>
                <w:b/>
                <w:lang w:val="es-ES" w:eastAsia="en-GB"/>
              </w:rPr>
            </w:pPr>
            <w:r w:rsidRPr="00287856">
              <w:rPr>
                <w:rFonts w:ascii="Times New Roman" w:eastAsia="Calibri" w:hAnsi="Times New Roman" w:cs="Times New Roman"/>
                <w:b/>
                <w:lang w:val="es-ES" w:eastAsia="en-GB"/>
              </w:rPr>
              <w:t xml:space="preserve">Daniel </w:t>
            </w:r>
            <w:proofErr w:type="spellStart"/>
            <w:r w:rsidRPr="00287856">
              <w:rPr>
                <w:rFonts w:ascii="Times New Roman" w:eastAsia="Calibri" w:hAnsi="Times New Roman" w:cs="Times New Roman"/>
                <w:b/>
                <w:lang w:val="es-ES" w:eastAsia="en-GB"/>
              </w:rPr>
              <w:t>Boeshertz</w:t>
            </w:r>
            <w:proofErr w:type="spellEnd"/>
          </w:p>
          <w:p w:rsidR="00287856" w:rsidRPr="00287856" w:rsidRDefault="00287856" w:rsidP="00287856">
            <w:pPr>
              <w:rPr>
                <w:rFonts w:ascii="Times New Roman" w:eastAsia="Calibri" w:hAnsi="Times New Roman" w:cs="Times New Roman"/>
                <w:b/>
                <w:color w:val="0000FF"/>
                <w:lang w:val="es-ES" w:eastAsia="en-GB"/>
              </w:rPr>
            </w:pPr>
            <w:hyperlink r:id="rId8" w:history="1">
              <w:r w:rsidRPr="00287856">
                <w:rPr>
                  <w:rFonts w:ascii="Times New Roman" w:eastAsia="Calibri" w:hAnsi="Times New Roman" w:cs="Times New Roman"/>
                  <w:b/>
                  <w:color w:val="0000FF"/>
                  <w:u w:val="single"/>
                  <w:lang w:val="es-ES" w:eastAsia="en-GB"/>
                </w:rPr>
                <w:t>Daniel.boeshertz@ec.europa.eu</w:t>
              </w:r>
            </w:hyperlink>
            <w:r w:rsidRPr="00287856">
              <w:rPr>
                <w:rFonts w:ascii="Times New Roman" w:eastAsia="Calibri" w:hAnsi="Times New Roman" w:cs="Times New Roman"/>
                <w:b/>
                <w:color w:val="0000FF"/>
                <w:lang w:val="es-ES" w:eastAsia="en-GB"/>
              </w:rPr>
              <w:t xml:space="preserve"> </w:t>
            </w:r>
          </w:p>
          <w:p w:rsidR="009F03A7" w:rsidRPr="009F03A7" w:rsidRDefault="00287856" w:rsidP="00287856">
            <w:pPr>
              <w:rPr>
                <w:rFonts w:ascii="Times New Roman" w:eastAsia="Times New Roman" w:hAnsi="Times New Roman" w:cs="Times New Roman"/>
                <w:b/>
                <w:lang w:val="de-DE" w:eastAsia="en-GB"/>
              </w:rPr>
            </w:pPr>
            <w:r w:rsidRPr="00287856">
              <w:rPr>
                <w:rFonts w:ascii="Times New Roman" w:eastAsia="Calibri" w:hAnsi="Times New Roman" w:cs="Times New Roman"/>
                <w:b/>
                <w:lang w:val="es-ES" w:eastAsia="en-GB"/>
              </w:rPr>
              <w:t>+32 2 29 66437</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287856">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287856"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9F03A7" w:rsidRPr="009F03A7">
              <w:rPr>
                <w:rFonts w:ascii="Times New Roman" w:eastAsia="Times New Roman" w:hAnsi="Times New Roman" w:cs="Times New Roman"/>
                <w:b/>
                <w:lang w:val="en-US" w:eastAsia="en-GB"/>
              </w:rPr>
              <w:t xml:space="preserve"> year</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87856"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87856" w:rsidRPr="00287856" w:rsidRDefault="00287856" w:rsidP="00287856">
      <w:pPr>
        <w:spacing w:after="0" w:line="240" w:lineRule="auto"/>
        <w:ind w:left="426"/>
        <w:jc w:val="both"/>
        <w:rPr>
          <w:rFonts w:ascii="Times New Roman" w:eastAsia="Times New Roman" w:hAnsi="Times New Roman"/>
          <w:lang w:val="en-US" w:eastAsia="en-GB"/>
        </w:rPr>
      </w:pPr>
      <w:r w:rsidRPr="00287856">
        <w:rPr>
          <w:rFonts w:ascii="Times New Roman" w:eastAsia="Times New Roman" w:hAnsi="Times New Roman"/>
          <w:lang w:val="en-US" w:eastAsia="en-GB"/>
        </w:rPr>
        <w:t>We are looking for a competition policy case handler in Unit F1 at the Commission’s Directorate-General for Competition (DG COMP), dealing with cases under the antitrust rules (Articles 101, 102 and 106 of the Treaty on the Functioning of the European Union) in the areas of transport services and infrastructure, postal services and other services.</w:t>
      </w:r>
    </w:p>
    <w:p w:rsidR="00287856" w:rsidRPr="00287856" w:rsidRDefault="00287856" w:rsidP="00287856">
      <w:pPr>
        <w:spacing w:after="0" w:line="240" w:lineRule="auto"/>
        <w:ind w:left="426"/>
        <w:jc w:val="both"/>
        <w:rPr>
          <w:rFonts w:ascii="Times New Roman" w:eastAsia="Times New Roman" w:hAnsi="Times New Roman"/>
          <w:lang w:val="en-US" w:eastAsia="en-GB"/>
        </w:rPr>
      </w:pPr>
    </w:p>
    <w:p w:rsidR="00287856" w:rsidRPr="00287856" w:rsidRDefault="00287856" w:rsidP="00287856">
      <w:pPr>
        <w:spacing w:after="0" w:line="240" w:lineRule="auto"/>
        <w:ind w:left="426"/>
        <w:jc w:val="both"/>
        <w:rPr>
          <w:rFonts w:ascii="Times New Roman" w:eastAsia="Times New Roman" w:hAnsi="Times New Roman"/>
          <w:lang w:val="en-US" w:eastAsia="en-GB"/>
        </w:rPr>
      </w:pPr>
      <w:r w:rsidRPr="00287856">
        <w:rPr>
          <w:rFonts w:ascii="Times New Roman" w:eastAsia="Times New Roman" w:hAnsi="Times New Roman"/>
          <w:lang w:val="en-US" w:eastAsia="en-GB"/>
        </w:rPr>
        <w:t>The range of work can include responsibility for the following:</w:t>
      </w:r>
    </w:p>
    <w:p w:rsidR="00287856" w:rsidRPr="00287856" w:rsidRDefault="00287856" w:rsidP="00287856">
      <w:pPr>
        <w:spacing w:after="0" w:line="240" w:lineRule="auto"/>
        <w:ind w:left="426"/>
        <w:jc w:val="both"/>
        <w:rPr>
          <w:rFonts w:ascii="Times New Roman" w:eastAsia="Times New Roman" w:hAnsi="Times New Roman"/>
          <w:lang w:val="en-US" w:eastAsia="en-GB"/>
        </w:rPr>
      </w:pPr>
    </w:p>
    <w:p w:rsidR="00287856" w:rsidRPr="00287856" w:rsidRDefault="00287856" w:rsidP="00287856">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287856">
        <w:rPr>
          <w:rFonts w:ascii="Times New Roman" w:eastAsia="Times New Roman" w:hAnsi="Times New Roman"/>
          <w:lang w:val="en-US" w:eastAsia="en-GB"/>
        </w:rPr>
        <w:t xml:space="preserve">Generally, input into competition policy development in the sectors within the unit's responsibility, such as reviewing sector-specific regulations, coordination with other services of the European Commission or authorities from third countries. </w:t>
      </w:r>
    </w:p>
    <w:p w:rsidR="00287856" w:rsidRPr="00287856" w:rsidRDefault="00287856" w:rsidP="00287856">
      <w:pPr>
        <w:spacing w:after="0" w:line="240" w:lineRule="auto"/>
        <w:ind w:left="709" w:hanging="283"/>
        <w:jc w:val="both"/>
        <w:rPr>
          <w:rFonts w:ascii="Times New Roman" w:eastAsia="Times New Roman" w:hAnsi="Times New Roman"/>
          <w:lang w:val="en-US" w:eastAsia="en-GB"/>
        </w:rPr>
      </w:pPr>
    </w:p>
    <w:p w:rsidR="00287856" w:rsidRPr="00287856" w:rsidRDefault="00287856" w:rsidP="00287856">
      <w:pPr>
        <w:pStyle w:val="ListParagraph"/>
        <w:numPr>
          <w:ilvl w:val="0"/>
          <w:numId w:val="28"/>
        </w:numPr>
        <w:spacing w:after="0" w:line="240" w:lineRule="auto"/>
        <w:ind w:left="709" w:hanging="283"/>
        <w:jc w:val="both"/>
        <w:rPr>
          <w:rFonts w:ascii="Times New Roman" w:eastAsia="Times New Roman" w:hAnsi="Times New Roman"/>
          <w:lang w:val="en-US" w:eastAsia="en-GB"/>
        </w:rPr>
      </w:pPr>
      <w:r w:rsidRPr="00287856">
        <w:rPr>
          <w:rFonts w:ascii="Times New Roman" w:eastAsia="Times New Roman" w:hAnsi="Times New Roman"/>
          <w:lang w:val="en-US" w:eastAsia="en-GB"/>
        </w:rPr>
        <w:t>Examination of complaints submitted by outside parties or initiation of ex-officio investigations to determine whether agreements/practices comply with the EU competition rules, including:</w:t>
      </w:r>
    </w:p>
    <w:p w:rsidR="00287856" w:rsidRPr="00287856" w:rsidRDefault="00287856" w:rsidP="00287856">
      <w:pPr>
        <w:pStyle w:val="ListParagraph"/>
        <w:numPr>
          <w:ilvl w:val="0"/>
          <w:numId w:val="30"/>
        </w:numPr>
        <w:spacing w:after="0" w:line="240" w:lineRule="auto"/>
        <w:ind w:left="993" w:hanging="284"/>
        <w:jc w:val="both"/>
        <w:rPr>
          <w:rFonts w:ascii="Times New Roman" w:eastAsia="Times New Roman" w:hAnsi="Times New Roman"/>
          <w:lang w:val="en-US" w:eastAsia="en-GB"/>
        </w:rPr>
      </w:pPr>
      <w:r w:rsidRPr="00287856">
        <w:rPr>
          <w:rFonts w:ascii="Times New Roman" w:eastAsia="Times New Roman" w:hAnsi="Times New Roman"/>
          <w:lang w:val="en-US" w:eastAsia="en-GB"/>
        </w:rPr>
        <w:t>drafting of correspondence, interim/final reports and all other case-related documents, including Commission decisions;</w:t>
      </w:r>
    </w:p>
    <w:p w:rsidR="00287856" w:rsidRPr="00287856" w:rsidRDefault="00287856" w:rsidP="00287856">
      <w:pPr>
        <w:pStyle w:val="ListParagraph"/>
        <w:numPr>
          <w:ilvl w:val="0"/>
          <w:numId w:val="30"/>
        </w:numPr>
        <w:spacing w:after="0" w:line="240" w:lineRule="auto"/>
        <w:ind w:left="993" w:hanging="284"/>
        <w:jc w:val="both"/>
        <w:rPr>
          <w:rFonts w:ascii="Times New Roman" w:eastAsia="Times New Roman" w:hAnsi="Times New Roman"/>
          <w:lang w:val="en-US" w:eastAsia="en-GB"/>
        </w:rPr>
      </w:pPr>
      <w:r w:rsidRPr="00287856">
        <w:rPr>
          <w:rFonts w:ascii="Times New Roman" w:eastAsia="Times New Roman" w:hAnsi="Times New Roman"/>
          <w:lang w:val="en-US" w:eastAsia="en-GB"/>
        </w:rPr>
        <w:t>representing DG COMP in meetings with outside lawyers and other interested parties on case-related issues;</w:t>
      </w:r>
    </w:p>
    <w:p w:rsidR="00287856" w:rsidRPr="00287856" w:rsidRDefault="00287856" w:rsidP="00287856">
      <w:pPr>
        <w:pStyle w:val="ListParagraph"/>
        <w:numPr>
          <w:ilvl w:val="0"/>
          <w:numId w:val="30"/>
        </w:numPr>
        <w:spacing w:after="0" w:line="240" w:lineRule="auto"/>
        <w:ind w:left="993" w:hanging="284"/>
        <w:jc w:val="both"/>
        <w:rPr>
          <w:rFonts w:ascii="Times New Roman" w:eastAsia="Times New Roman" w:hAnsi="Times New Roman"/>
          <w:lang w:val="en-US" w:eastAsia="en-GB"/>
        </w:rPr>
      </w:pPr>
      <w:r w:rsidRPr="00287856">
        <w:rPr>
          <w:rFonts w:ascii="Times New Roman" w:eastAsia="Times New Roman" w:hAnsi="Times New Roman"/>
          <w:lang w:val="en-US" w:eastAsia="en-GB"/>
        </w:rPr>
        <w:t>representing the Commission at oral hearings (before defendant parties), Advisory Committee Meetings (before delegations of Member States);</w:t>
      </w:r>
    </w:p>
    <w:p w:rsidR="00287856" w:rsidRPr="00287856" w:rsidRDefault="00287856" w:rsidP="00287856">
      <w:pPr>
        <w:pStyle w:val="ListParagraph"/>
        <w:numPr>
          <w:ilvl w:val="0"/>
          <w:numId w:val="30"/>
        </w:numPr>
        <w:spacing w:after="0" w:line="240" w:lineRule="auto"/>
        <w:ind w:left="993" w:hanging="284"/>
        <w:jc w:val="both"/>
        <w:rPr>
          <w:rFonts w:ascii="Times New Roman" w:eastAsia="Times New Roman" w:hAnsi="Times New Roman"/>
          <w:lang w:val="en-US" w:eastAsia="en-GB"/>
        </w:rPr>
      </w:pPr>
      <w:proofErr w:type="gramStart"/>
      <w:r w:rsidRPr="00287856">
        <w:rPr>
          <w:rFonts w:ascii="Times New Roman" w:eastAsia="Times New Roman" w:hAnsi="Times New Roman"/>
          <w:lang w:val="en-US" w:eastAsia="en-GB"/>
        </w:rPr>
        <w:t>briefing</w:t>
      </w:r>
      <w:proofErr w:type="gramEnd"/>
      <w:r w:rsidRPr="00287856">
        <w:rPr>
          <w:rFonts w:ascii="Times New Roman" w:eastAsia="Times New Roman" w:hAnsi="Times New Roman"/>
          <w:lang w:val="en-US" w:eastAsia="en-GB"/>
        </w:rPr>
        <w:t xml:space="preserve"> DG COMP managers and the Commissioner (in writing and orally) on all project-related matters.</w:t>
      </w:r>
    </w:p>
    <w:p w:rsidR="00287856" w:rsidRPr="00287856" w:rsidRDefault="00287856" w:rsidP="00287856">
      <w:pPr>
        <w:spacing w:after="0" w:line="240" w:lineRule="auto"/>
        <w:ind w:left="426"/>
        <w:jc w:val="both"/>
        <w:rPr>
          <w:rFonts w:ascii="Times New Roman" w:eastAsia="Times New Roman" w:hAnsi="Times New Roman"/>
          <w:lang w:val="en-US" w:eastAsia="en-GB"/>
        </w:rPr>
      </w:pPr>
    </w:p>
    <w:p w:rsidR="00287856" w:rsidRPr="00287856" w:rsidRDefault="00287856" w:rsidP="00287856">
      <w:pPr>
        <w:pStyle w:val="ListParagraph"/>
        <w:numPr>
          <w:ilvl w:val="0"/>
          <w:numId w:val="32"/>
        </w:numPr>
        <w:spacing w:after="0" w:line="240" w:lineRule="auto"/>
        <w:ind w:left="709" w:hanging="283"/>
        <w:jc w:val="both"/>
        <w:rPr>
          <w:rFonts w:ascii="Times New Roman" w:eastAsia="Times New Roman" w:hAnsi="Times New Roman"/>
          <w:lang w:val="en-US" w:eastAsia="en-GB"/>
        </w:rPr>
      </w:pPr>
      <w:r w:rsidRPr="00287856">
        <w:rPr>
          <w:rFonts w:ascii="Times New Roman" w:eastAsia="Times New Roman" w:hAnsi="Times New Roman"/>
          <w:lang w:val="en-US" w:eastAsia="en-GB"/>
        </w:rPr>
        <w:t>Cooperation with the National Competition Authorities in the European Competition Network (ECN).</w:t>
      </w:r>
    </w:p>
    <w:p w:rsidR="00287856" w:rsidRPr="00287856" w:rsidRDefault="00287856" w:rsidP="00287856">
      <w:pPr>
        <w:spacing w:after="0" w:line="240" w:lineRule="auto"/>
        <w:ind w:left="709" w:hanging="283"/>
        <w:jc w:val="both"/>
        <w:rPr>
          <w:rFonts w:ascii="Times New Roman" w:eastAsia="Times New Roman" w:hAnsi="Times New Roman"/>
          <w:lang w:val="en-US" w:eastAsia="en-GB"/>
        </w:rPr>
      </w:pPr>
    </w:p>
    <w:p w:rsidR="00287856" w:rsidRPr="00287856" w:rsidRDefault="00287856" w:rsidP="00287856">
      <w:pPr>
        <w:pStyle w:val="ListParagraph"/>
        <w:numPr>
          <w:ilvl w:val="0"/>
          <w:numId w:val="32"/>
        </w:numPr>
        <w:spacing w:after="0" w:line="240" w:lineRule="auto"/>
        <w:ind w:left="709" w:hanging="283"/>
        <w:jc w:val="both"/>
        <w:rPr>
          <w:rFonts w:ascii="Times New Roman" w:eastAsia="Times New Roman" w:hAnsi="Times New Roman"/>
          <w:lang w:val="en-US" w:eastAsia="en-GB"/>
        </w:rPr>
      </w:pPr>
      <w:r w:rsidRPr="00287856">
        <w:rPr>
          <w:rFonts w:ascii="Times New Roman" w:eastAsia="Times New Roman" w:hAnsi="Times New Roman"/>
          <w:lang w:val="en-US" w:eastAsia="en-GB"/>
        </w:rPr>
        <w:lastRenderedPageBreak/>
        <w:t>Supporting the Legal Service in court cases falling within the unit's responsibility (e.g. actions for annulment of antitrust decisions and preliminary references under Article 267 TFEU).</w:t>
      </w:r>
    </w:p>
    <w:p w:rsidR="00287856" w:rsidRPr="00287856" w:rsidRDefault="00287856" w:rsidP="00287856">
      <w:pPr>
        <w:spacing w:after="0" w:line="240" w:lineRule="auto"/>
        <w:ind w:left="709" w:hanging="283"/>
        <w:jc w:val="both"/>
        <w:rPr>
          <w:rFonts w:ascii="Times New Roman" w:eastAsia="Times New Roman" w:hAnsi="Times New Roman"/>
          <w:lang w:val="en-US" w:eastAsia="en-GB"/>
        </w:rPr>
      </w:pPr>
    </w:p>
    <w:p w:rsidR="00535EE6" w:rsidRPr="00287856" w:rsidRDefault="00287856" w:rsidP="00287856">
      <w:pPr>
        <w:pStyle w:val="ListParagraph"/>
        <w:numPr>
          <w:ilvl w:val="0"/>
          <w:numId w:val="32"/>
        </w:numPr>
        <w:spacing w:after="0" w:line="240" w:lineRule="auto"/>
        <w:ind w:left="709" w:hanging="283"/>
        <w:jc w:val="both"/>
        <w:rPr>
          <w:rFonts w:ascii="Times New Roman" w:eastAsia="Times New Roman" w:hAnsi="Times New Roman"/>
          <w:lang w:val="en-US" w:eastAsia="en-GB"/>
        </w:rPr>
      </w:pPr>
      <w:r w:rsidRPr="00287856">
        <w:rPr>
          <w:rFonts w:ascii="Times New Roman" w:eastAsia="Times New Roman" w:hAnsi="Times New Roman"/>
          <w:lang w:val="en-US" w:eastAsia="en-GB"/>
        </w:rPr>
        <w:t>Liaison with other Commission services.</w:t>
      </w:r>
    </w:p>
    <w:p w:rsidR="00287856" w:rsidRPr="00535EE6" w:rsidRDefault="00287856" w:rsidP="00287856">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287856" w:rsidRPr="00287856">
        <w:rPr>
          <w:rFonts w:ascii="Times New Roman" w:eastAsia="Times New Roman" w:hAnsi="Times New Roman" w:cs="Times New Roman"/>
          <w:lang w:val="en-US" w:eastAsia="en-GB"/>
        </w:rPr>
        <w:t>competition law, or competition economics</w:t>
      </w:r>
      <w:r w:rsidR="00535EE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07502" w:rsidRDefault="00287856" w:rsidP="00535EE6">
      <w:pPr>
        <w:tabs>
          <w:tab w:val="left" w:pos="1276"/>
        </w:tabs>
        <w:spacing w:after="0" w:line="240" w:lineRule="auto"/>
        <w:ind w:left="709" w:right="60"/>
        <w:jc w:val="both"/>
        <w:rPr>
          <w:rFonts w:ascii="Times New Roman" w:eastAsia="Times New Roman" w:hAnsi="Times New Roman" w:cs="Times New Roman"/>
          <w:lang w:val="en-US" w:eastAsia="en-GB"/>
        </w:rPr>
      </w:pPr>
      <w:r w:rsidRPr="00287856">
        <w:rPr>
          <w:rFonts w:ascii="Times New Roman" w:eastAsia="Times New Roman" w:hAnsi="Times New Roman" w:cs="Times New Roman"/>
          <w:lang w:val="en-US" w:eastAsia="en-GB"/>
        </w:rPr>
        <w:t>In light of the varying profiles already existing in the Unit and of the various needs, the present vacancy notice is open to any candidate with the required qualifications/professional experience in the field of competition law, or competition economics. Professional experience related to one or more of the unit's sectors, a strong sense of initiative, and the ability to work in teams would be a plus</w:t>
      </w:r>
      <w:r w:rsidR="00535EE6" w:rsidRPr="00535EE6">
        <w:rPr>
          <w:rFonts w:ascii="Times New Roman" w:eastAsia="Times New Roman" w:hAnsi="Times New Roman" w:cs="Times New Roman"/>
          <w:lang w:val="en-US" w:eastAsia="en-GB"/>
        </w:rPr>
        <w:t>.</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287856"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287856">
        <w:rPr>
          <w:rFonts w:ascii="Times New Roman" w:eastAsia="Times New Roman" w:hAnsi="Times New Roman" w:cs="Times New Roman"/>
          <w:lang w:val="en-US" w:eastAsia="en-GB"/>
        </w:rPr>
        <w:t>The ability to work in English is indispensable. The ability to work in other EU languages, in particular French and/or German would be a plus.</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287856">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02232"/>
    <w:multiLevelType w:val="hybridMultilevel"/>
    <w:tmpl w:val="398658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0FE65D4"/>
    <w:multiLevelType w:val="hybridMultilevel"/>
    <w:tmpl w:val="8D34A5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A6F69"/>
    <w:multiLevelType w:val="hybridMultilevel"/>
    <w:tmpl w:val="F3243CD4"/>
    <w:lvl w:ilvl="0" w:tplc="2D543AA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69C86DD6"/>
    <w:multiLevelType w:val="hybridMultilevel"/>
    <w:tmpl w:val="0C22D73C"/>
    <w:lvl w:ilvl="0" w:tplc="5E266512">
      <w:start w:val="5"/>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DC7070D"/>
    <w:multiLevelType w:val="hybridMultilevel"/>
    <w:tmpl w:val="49A6D74C"/>
    <w:lvl w:ilvl="0" w:tplc="54BC257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7E067DEE"/>
    <w:multiLevelType w:val="hybridMultilevel"/>
    <w:tmpl w:val="1DDC0C18"/>
    <w:lvl w:ilvl="0" w:tplc="F5EAA8B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7"/>
  </w:num>
  <w:num w:numId="4">
    <w:abstractNumId w:val="2"/>
  </w:num>
  <w:num w:numId="5">
    <w:abstractNumId w:val="13"/>
  </w:num>
  <w:num w:numId="6">
    <w:abstractNumId w:val="12"/>
  </w:num>
  <w:num w:numId="7">
    <w:abstractNumId w:val="25"/>
  </w:num>
  <w:num w:numId="8">
    <w:abstractNumId w:val="29"/>
  </w:num>
  <w:num w:numId="9">
    <w:abstractNumId w:val="19"/>
  </w:num>
  <w:num w:numId="10">
    <w:abstractNumId w:val="7"/>
  </w:num>
  <w:num w:numId="11">
    <w:abstractNumId w:val="22"/>
  </w:num>
  <w:num w:numId="12">
    <w:abstractNumId w:val="28"/>
  </w:num>
  <w:num w:numId="13">
    <w:abstractNumId w:val="5"/>
  </w:num>
  <w:num w:numId="14">
    <w:abstractNumId w:val="16"/>
  </w:num>
  <w:num w:numId="15">
    <w:abstractNumId w:val="30"/>
  </w:num>
  <w:num w:numId="16">
    <w:abstractNumId w:val="0"/>
  </w:num>
  <w:num w:numId="17">
    <w:abstractNumId w:val="14"/>
  </w:num>
  <w:num w:numId="18">
    <w:abstractNumId w:val="27"/>
  </w:num>
  <w:num w:numId="19">
    <w:abstractNumId w:val="11"/>
  </w:num>
  <w:num w:numId="20">
    <w:abstractNumId w:val="6"/>
  </w:num>
  <w:num w:numId="21">
    <w:abstractNumId w:val="4"/>
  </w:num>
  <w:num w:numId="22">
    <w:abstractNumId w:val="23"/>
  </w:num>
  <w:num w:numId="23">
    <w:abstractNumId w:val="20"/>
  </w:num>
  <w:num w:numId="24">
    <w:abstractNumId w:val="9"/>
  </w:num>
  <w:num w:numId="25">
    <w:abstractNumId w:val="8"/>
  </w:num>
  <w:num w:numId="26">
    <w:abstractNumId w:val="21"/>
  </w:num>
  <w:num w:numId="27">
    <w:abstractNumId w:val="24"/>
  </w:num>
  <w:num w:numId="28">
    <w:abstractNumId w:val="15"/>
  </w:num>
  <w:num w:numId="29">
    <w:abstractNumId w:val="31"/>
  </w:num>
  <w:num w:numId="30">
    <w:abstractNumId w:val="26"/>
  </w:num>
  <w:num w:numId="31">
    <w:abstractNumId w:val="18"/>
  </w:num>
  <w:num w:numId="32">
    <w:abstractNumId w:val="1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805BB"/>
    <w:rsid w:val="00287856"/>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700164"/>
    <w:rsid w:val="007164E5"/>
    <w:rsid w:val="007321B9"/>
    <w:rsid w:val="00757143"/>
    <w:rsid w:val="00815707"/>
    <w:rsid w:val="00860C38"/>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9D9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boeshertz@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7457</Characters>
  <Application>Microsoft Office Word</Application>
  <DocSecurity>0</DocSecurity>
  <Lines>181</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2022-10-13T11:38:00Z</dcterms:created>
  <dcterms:modified xsi:type="dcterms:W3CDTF">2022-10-13T11:38:00Z</dcterms:modified>
</cp:coreProperties>
</file>