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5D172F" w:rsidP="0080628A">
            <w:pPr>
              <w:rPr>
                <w:rFonts w:ascii="Times New Roman" w:eastAsia="Times New Roman" w:hAnsi="Times New Roman" w:cs="Times New Roman"/>
                <w:b/>
                <w:sz w:val="24"/>
                <w:szCs w:val="20"/>
                <w:lang w:eastAsia="en-GB"/>
              </w:rPr>
            </w:pPr>
            <w:bookmarkStart w:id="0" w:name="_GoBack"/>
            <w:r w:rsidRPr="005D172F">
              <w:rPr>
                <w:rFonts w:ascii="Times New Roman" w:eastAsia="Times New Roman" w:hAnsi="Times New Roman" w:cs="Times New Roman"/>
                <w:b/>
                <w:sz w:val="24"/>
                <w:szCs w:val="20"/>
                <w:lang w:eastAsia="en-GB"/>
              </w:rPr>
              <w:t xml:space="preserve">JUST-A-3_Company </w:t>
            </w:r>
            <w:proofErr w:type="spellStart"/>
            <w:r w:rsidRPr="005D172F">
              <w:rPr>
                <w:rFonts w:ascii="Times New Roman" w:eastAsia="Times New Roman" w:hAnsi="Times New Roman" w:cs="Times New Roman"/>
                <w:b/>
                <w:sz w:val="24"/>
                <w:szCs w:val="20"/>
                <w:lang w:eastAsia="en-GB"/>
              </w:rPr>
              <w:t>law</w:t>
            </w:r>
            <w:bookmarkEnd w:id="0"/>
            <w:proofErr w:type="spellEnd"/>
          </w:p>
        </w:tc>
      </w:tr>
      <w:tr w:rsidR="009F03A7" w:rsidRPr="00CE223D" w:rsidTr="00EC6FF0">
        <w:trPr>
          <w:trHeight w:val="1977"/>
          <w:jc w:val="center"/>
        </w:trPr>
        <w:tc>
          <w:tcPr>
            <w:tcW w:w="4359" w:type="dxa"/>
            <w:tcBorders>
              <w:bottom w:val="nil"/>
            </w:tcBorders>
          </w:tcPr>
          <w:p w:rsidR="009F03A7" w:rsidRPr="00AF7D78" w:rsidRDefault="006D4855" w:rsidP="009F03A7">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009F03A7" w:rsidRPr="00AF7D78">
              <w:rPr>
                <w:rFonts w:ascii="Times New Roman" w:eastAsia="Times New Roman" w:hAnsi="Times New Roman" w:cs="Times New Roman"/>
                <w:b/>
                <w:lang w:val="en-US" w:eastAsia="en-GB"/>
              </w:rPr>
              <w:t>:</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9F03A7" w:rsidRPr="00AF7D78" w:rsidRDefault="009F03A7" w:rsidP="009F03A7">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5D172F" w:rsidRPr="005D172F" w:rsidRDefault="005D172F" w:rsidP="005D172F">
            <w:pPr>
              <w:jc w:val="both"/>
              <w:outlineLvl w:val="1"/>
              <w:rPr>
                <w:rFonts w:ascii="Times New Roman" w:eastAsia="Times New Roman" w:hAnsi="Times New Roman" w:cs="Times New Roman"/>
                <w:b/>
                <w:bCs/>
                <w:lang w:eastAsia="fr-BE"/>
              </w:rPr>
            </w:pPr>
            <w:r w:rsidRPr="005D172F">
              <w:rPr>
                <w:rFonts w:ascii="Times New Roman" w:eastAsia="Times New Roman" w:hAnsi="Times New Roman" w:cs="Times New Roman"/>
                <w:b/>
                <w:bCs/>
                <w:lang w:eastAsia="fr-BE"/>
              </w:rPr>
              <w:t xml:space="preserve">Maija </w:t>
            </w:r>
            <w:proofErr w:type="spellStart"/>
            <w:r w:rsidRPr="005D172F">
              <w:rPr>
                <w:rFonts w:ascii="Times New Roman" w:eastAsia="Times New Roman" w:hAnsi="Times New Roman" w:cs="Times New Roman"/>
                <w:b/>
                <w:bCs/>
                <w:lang w:eastAsia="fr-BE"/>
              </w:rPr>
              <w:t>Laurila</w:t>
            </w:r>
            <w:proofErr w:type="spellEnd"/>
          </w:p>
          <w:p w:rsidR="005D172F" w:rsidRPr="005D172F" w:rsidRDefault="005D172F" w:rsidP="005D172F">
            <w:pPr>
              <w:jc w:val="both"/>
              <w:outlineLvl w:val="1"/>
              <w:rPr>
                <w:rFonts w:ascii="Times New Roman" w:eastAsia="Times New Roman" w:hAnsi="Times New Roman" w:cs="Times New Roman"/>
                <w:b/>
                <w:bCs/>
                <w:lang w:eastAsia="fr-BE"/>
              </w:rPr>
            </w:pPr>
            <w:hyperlink r:id="rId8" w:history="1">
              <w:r w:rsidRPr="00B87EE0">
                <w:rPr>
                  <w:rStyle w:val="Hyperlink"/>
                  <w:rFonts w:ascii="Times New Roman" w:eastAsia="Times New Roman" w:hAnsi="Times New Roman" w:cs="Times New Roman"/>
                  <w:b/>
                  <w:bCs/>
                  <w:lang w:eastAsia="fr-BE"/>
                </w:rPr>
                <w:t>Maija.laurila@ec.europa.eu</w:t>
              </w:r>
            </w:hyperlink>
            <w:r>
              <w:rPr>
                <w:rFonts w:ascii="Times New Roman" w:eastAsia="Times New Roman" w:hAnsi="Times New Roman" w:cs="Times New Roman"/>
                <w:b/>
                <w:bCs/>
                <w:lang w:eastAsia="fr-BE"/>
              </w:rPr>
              <w:t xml:space="preserve"> </w:t>
            </w:r>
            <w:r w:rsidRPr="005D172F">
              <w:rPr>
                <w:rFonts w:ascii="Times New Roman" w:eastAsia="Times New Roman" w:hAnsi="Times New Roman" w:cs="Times New Roman"/>
                <w:b/>
                <w:bCs/>
                <w:lang w:eastAsia="fr-BE"/>
              </w:rPr>
              <w:t xml:space="preserve"> </w:t>
            </w:r>
          </w:p>
          <w:p w:rsidR="009F03A7" w:rsidRPr="009F03A7" w:rsidRDefault="005D172F" w:rsidP="005D172F">
            <w:pPr>
              <w:rPr>
                <w:rFonts w:ascii="Times New Roman" w:eastAsia="Times New Roman" w:hAnsi="Times New Roman" w:cs="Times New Roman"/>
                <w:b/>
                <w:lang w:val="de-DE" w:eastAsia="en-GB"/>
              </w:rPr>
            </w:pPr>
            <w:r w:rsidRPr="005D172F">
              <w:rPr>
                <w:rFonts w:ascii="Times New Roman" w:eastAsia="Times New Roman" w:hAnsi="Times New Roman" w:cs="Times New Roman"/>
                <w:b/>
                <w:bCs/>
                <w:lang w:val="en-GB" w:eastAsia="fr-BE"/>
              </w:rPr>
              <w:t>+32 2 2967879</w:t>
            </w:r>
          </w:p>
          <w:p w:rsidR="009F03A7" w:rsidRPr="009F03A7" w:rsidRDefault="0080628A" w:rsidP="009F03A7">
            <w:pPr>
              <w:rPr>
                <w:rFonts w:ascii="Times New Roman" w:eastAsia="Times New Roman" w:hAnsi="Times New Roman" w:cs="Times New Roman"/>
                <w:b/>
                <w:lang w:val="de-DE" w:eastAsia="en-GB"/>
              </w:rPr>
            </w:pPr>
            <w:r>
              <w:rPr>
                <w:rFonts w:ascii="Times New Roman" w:eastAsia="Times New Roman" w:hAnsi="Times New Roman" w:cs="Times New Roman"/>
                <w:b/>
                <w:lang w:val="de-DE" w:eastAsia="en-GB"/>
              </w:rPr>
              <w:t>1</w:t>
            </w:r>
          </w:p>
          <w:p w:rsidR="009F03A7" w:rsidRPr="009F03A7" w:rsidRDefault="00287856"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Pr="00287856">
              <w:rPr>
                <w:rFonts w:ascii="Times New Roman" w:eastAsia="Times New Roman" w:hAnsi="Times New Roman" w:cs="Times New Roman"/>
                <w:b/>
                <w:vertAlign w:val="superscript"/>
                <w:lang w:val="en-US" w:eastAsia="en-GB"/>
              </w:rPr>
              <w:t>st</w:t>
            </w:r>
            <w:r>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lang w:val="en-US" w:eastAsia="en-GB"/>
              </w:rPr>
              <w:t>quarter 202</w:t>
            </w:r>
            <w:r>
              <w:rPr>
                <w:rFonts w:ascii="Times New Roman" w:eastAsia="Times New Roman" w:hAnsi="Times New Roman" w:cs="Times New Roman"/>
                <w:b/>
                <w:lang w:val="en-US" w:eastAsia="en-GB"/>
              </w:rPr>
              <w:t>3</w:t>
            </w:r>
            <w:r w:rsidR="009F03A7" w:rsidRPr="009F03A7">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vertAlign w:val="superscript"/>
                <w:lang w:eastAsia="en-GB"/>
              </w:rPr>
              <w:footnoteReference w:id="1"/>
            </w:r>
          </w:p>
          <w:p w:rsidR="009F03A7" w:rsidRPr="009F03A7" w:rsidRDefault="00BA17B0"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680882">
              <w:rPr>
                <w:rFonts w:ascii="Times New Roman" w:eastAsia="Times New Roman" w:hAnsi="Times New Roman" w:cs="Times New Roman"/>
                <w:b/>
                <w:lang w:val="en-US" w:eastAsia="en-GB"/>
              </w:rPr>
              <w:t xml:space="preserve"> year</w:t>
            </w:r>
            <w:r>
              <w:rPr>
                <w:rFonts w:ascii="Times New Roman" w:eastAsia="Times New Roman" w:hAnsi="Times New Roman" w:cs="Times New Roman"/>
                <w:b/>
                <w:lang w:val="en-US" w:eastAsia="en-GB"/>
              </w:rPr>
              <w:t>s</w:t>
            </w:r>
            <w:r w:rsidR="009F03A7" w:rsidRPr="009F03A7">
              <w:rPr>
                <w:rFonts w:ascii="Times New Roman" w:eastAsia="Times New Roman" w:hAnsi="Times New Roman" w:cs="Times New Roman"/>
                <w:b/>
                <w:vertAlign w:val="superscript"/>
                <w:lang w:val="en-US" w:eastAsia="en-GB"/>
              </w:rPr>
              <w:t>1</w:t>
            </w:r>
          </w:p>
          <w:p w:rsidR="009F03A7" w:rsidRPr="009F03A7" w:rsidRDefault="00792166" w:rsidP="00792166">
            <w:pPr>
              <w:rPr>
                <w:rFonts w:ascii="Times New Roman" w:eastAsia="Times New Roman" w:hAnsi="Times New Roman" w:cs="Times New Roman"/>
                <w:b/>
                <w:lang w:val="en-US" w:eastAsia="en-GB"/>
              </w:rPr>
            </w:pPr>
            <w:r w:rsidRPr="009F03A7">
              <w:rPr>
                <w:rFonts w:ascii="Times New Roman" w:eastAsia="MS Minngs" w:hAnsi="Times New Roman" w:cs="Times New Roman"/>
                <w:b/>
                <w:bCs/>
                <w:lang w:val="fr-FR" w:eastAsia="en-GB"/>
              </w:rPr>
              <w:sym w:font="Wingdings 2" w:char="F054"/>
            </w:r>
            <w:r w:rsidR="009F03A7" w:rsidRPr="009F03A7">
              <w:rPr>
                <w:rFonts w:ascii="Times New Roman" w:eastAsia="MS Minngs" w:hAnsi="Times New Roman" w:cs="Times New Roman"/>
                <w:b/>
                <w:bCs/>
                <w:lang w:val="en-US" w:eastAsia="en-GB"/>
              </w:rPr>
              <w:t xml:space="preserve"> </w:t>
            </w:r>
            <w:r w:rsidR="009F03A7" w:rsidRPr="009F03A7">
              <w:rPr>
                <w:rFonts w:ascii="Times New Roman" w:eastAsia="Times New Roman" w:hAnsi="Times New Roman" w:cs="Times New Roman"/>
                <w:b/>
                <w:lang w:val="en-US" w:eastAsia="en-GB"/>
              </w:rPr>
              <w:t xml:space="preserve">Brussels  </w:t>
            </w:r>
            <w:r w:rsidR="00A50F1D" w:rsidRPr="00AF7D78">
              <w:rPr>
                <w:rFonts w:ascii="Times New Roman" w:eastAsia="MS Minngs" w:hAnsi="Times New Roman" w:cs="Times New Roman"/>
                <w:bCs/>
                <w:lang w:val="fr-FR" w:eastAsia="en-GB"/>
              </w:rPr>
              <w:sym w:font="Wingdings 2" w:char="F0A3"/>
            </w:r>
            <w:r w:rsidR="009F03A7" w:rsidRPr="009F03A7">
              <w:rPr>
                <w:rFonts w:ascii="Times New Roman" w:eastAsia="MS Minngs" w:hAnsi="Times New Roman" w:cs="Times New Roman"/>
                <w:b/>
                <w:bCs/>
                <w:lang w:val="en-US" w:eastAsia="en-GB"/>
              </w:rPr>
              <w:t xml:space="preserve"> </w:t>
            </w:r>
            <w:r w:rsidR="009F03A7" w:rsidRPr="009F03A7">
              <w:rPr>
                <w:rFonts w:ascii="Times New Roman" w:eastAsia="Times New Roman" w:hAnsi="Times New Roman" w:cs="Times New Roman"/>
                <w:b/>
                <w:lang w:val="en-US" w:eastAsia="en-GB"/>
              </w:rPr>
              <w:t xml:space="preserve">Luxemburg  </w:t>
            </w:r>
            <w:r w:rsidRPr="00AF7D78">
              <w:rPr>
                <w:rFonts w:ascii="Times New Roman" w:eastAsia="MS Minngs" w:hAnsi="Times New Roman" w:cs="Times New Roman"/>
                <w:bCs/>
                <w:lang w:val="fr-FR" w:eastAsia="en-GB"/>
              </w:rPr>
              <w:sym w:font="Wingdings 2" w:char="F0A3"/>
            </w:r>
            <w:r w:rsidR="009F03A7" w:rsidRPr="009F03A7">
              <w:rPr>
                <w:rFonts w:ascii="Times New Roman" w:eastAsia="MS Minngs" w:hAnsi="Times New Roman" w:cs="Times New Roman"/>
                <w:b/>
                <w:bCs/>
                <w:lang w:val="en-US" w:eastAsia="en-GB"/>
              </w:rPr>
              <w:t xml:space="preserve"> Other</w:t>
            </w:r>
            <w:r w:rsidR="009F03A7" w:rsidRPr="009F03A7">
              <w:rPr>
                <w:rFonts w:ascii="Times New Roman" w:eastAsia="Times New Roman" w:hAnsi="Times New Roman" w:cs="Times New Roman"/>
                <w:b/>
                <w:lang w:val="en-US" w:eastAsia="en-GB"/>
              </w:rPr>
              <w:t xml:space="preserve">: </w:t>
            </w:r>
          </w:p>
        </w:tc>
      </w:tr>
      <w:tr w:rsidR="009F03A7"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9F03A7" w:rsidRPr="00AF7D78" w:rsidRDefault="009F03A7" w:rsidP="009F03A7">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9F03A7" w:rsidRPr="00AF7D78" w:rsidRDefault="005D172F" w:rsidP="009F03A7">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bCs/>
                <w:lang w:val="en-US" w:eastAsia="en-GB"/>
              </w:rPr>
              <w:t xml:space="preserve">    </w:t>
            </w:r>
            <w:r w:rsidR="009F03A7" w:rsidRPr="00AF7D78">
              <w:rPr>
                <w:rFonts w:ascii="Times New Roman" w:eastAsia="Times New Roman" w:hAnsi="Times New Roman" w:cs="Times New Roman"/>
                <w:b/>
                <w:lang w:val="en-US" w:eastAsia="en-GB"/>
              </w:rPr>
              <w:t xml:space="preserve">With allowances                </w:t>
            </w:r>
            <w:r w:rsidRPr="00F65DE0">
              <w:rPr>
                <w:rFonts w:ascii="Times New Roman" w:eastAsia="MS Minngs" w:hAnsi="Times New Roman" w:cs="Times New Roman"/>
                <w:b/>
                <w:bCs/>
                <w:lang w:val="fr-FR" w:eastAsia="en-GB"/>
              </w:rPr>
              <w:sym w:font="Wingdings 2" w:char="F054"/>
            </w:r>
            <w:r w:rsidR="009F03A7" w:rsidRPr="00AF7D78">
              <w:rPr>
                <w:rFonts w:ascii="Times New Roman" w:eastAsia="MS Minngs" w:hAnsi="Times New Roman" w:cs="Times New Roman"/>
                <w:bCs/>
                <w:lang w:val="en-US" w:eastAsia="en-GB"/>
              </w:rPr>
              <w:t xml:space="preserve">   </w:t>
            </w:r>
            <w:r w:rsidR="009F03A7" w:rsidRPr="00AF7D78">
              <w:rPr>
                <w:rFonts w:ascii="Times New Roman" w:eastAsia="Times New Roman" w:hAnsi="Times New Roman" w:cs="Times New Roman"/>
                <w:b/>
                <w:bCs/>
                <w:lang w:val="en-US" w:eastAsia="en-GB"/>
              </w:rPr>
              <w:t> </w:t>
            </w:r>
            <w:r w:rsidR="009F03A7" w:rsidRPr="00AF7D78">
              <w:rPr>
                <w:rFonts w:ascii="Times New Roman" w:eastAsia="MS Minngs" w:hAnsi="Times New Roman" w:cs="Times New Roman"/>
                <w:bCs/>
                <w:lang w:val="en-US" w:eastAsia="en-GB"/>
              </w:rPr>
              <w:t xml:space="preserve"> </w:t>
            </w:r>
            <w:r w:rsidR="009F03A7" w:rsidRPr="00AF7D78">
              <w:rPr>
                <w:rFonts w:ascii="Times New Roman" w:eastAsia="Times New Roman" w:hAnsi="Times New Roman" w:cs="Times New Roman"/>
                <w:b/>
                <w:lang w:val="en-US" w:eastAsia="en-GB"/>
              </w:rPr>
              <w:t>Cost-free</w:t>
            </w:r>
          </w:p>
        </w:tc>
      </w:tr>
      <w:tr w:rsidR="009F03A7" w:rsidRPr="00CE223D" w:rsidTr="00EC6FF0">
        <w:trPr>
          <w:trHeight w:val="2112"/>
          <w:jc w:val="center"/>
        </w:trPr>
        <w:tc>
          <w:tcPr>
            <w:tcW w:w="9956" w:type="dxa"/>
            <w:gridSpan w:val="2"/>
            <w:tcBorders>
              <w:top w:val="nil"/>
              <w:left w:val="single" w:sz="4" w:space="0" w:color="auto"/>
              <w:bottom w:val="single" w:sz="4" w:space="0" w:color="auto"/>
            </w:tcBorders>
            <w:vAlign w:val="center"/>
          </w:tcPr>
          <w:p w:rsidR="009F03A7" w:rsidRPr="00AF7D78" w:rsidRDefault="009F03A7" w:rsidP="009F03A7">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9F03A7" w:rsidRPr="00AF7D78" w:rsidRDefault="009F03A7" w:rsidP="009F03A7">
            <w:pPr>
              <w:rPr>
                <w:rFonts w:ascii="Times New Roman" w:eastAsia="Times New Roman" w:hAnsi="Times New Roman" w:cs="Times New Roman"/>
                <w:b/>
                <w:lang w:val="en-US" w:eastAsia="en-GB"/>
              </w:rPr>
            </w:pPr>
          </w:p>
          <w:p w:rsidR="009F03A7" w:rsidRPr="00AF7D78" w:rsidRDefault="00792166" w:rsidP="009F03A7">
            <w:pPr>
              <w:rPr>
                <w:rFonts w:ascii="Times New Roman" w:eastAsia="Times New Roman" w:hAnsi="Times New Roman" w:cs="Times New Roman"/>
                <w:lang w:val="en-US" w:eastAsia="en-GB"/>
              </w:rPr>
            </w:pPr>
            <w:r w:rsidRPr="009F03A7">
              <w:rPr>
                <w:rFonts w:ascii="Times New Roman" w:eastAsia="MS Minngs" w:hAnsi="Times New Roman" w:cs="Times New Roman"/>
                <w:b/>
                <w:bCs/>
                <w:lang w:val="fr-FR" w:eastAsia="en-GB"/>
              </w:rPr>
              <w:sym w:font="Wingdings 2" w:char="F054"/>
            </w:r>
            <w:r w:rsidR="009F03A7" w:rsidRPr="00AF7D78">
              <w:rPr>
                <w:rFonts w:ascii="Times New Roman" w:eastAsia="Times New Roman" w:hAnsi="Times New Roman" w:cs="Times New Roman"/>
                <w:b/>
                <w:sz w:val="24"/>
                <w:szCs w:val="20"/>
                <w:lang w:val="en-US" w:eastAsia="en-GB"/>
              </w:rPr>
              <w:t>    the following EFTA countries :</w:t>
            </w:r>
            <w:r w:rsidR="009F03A7" w:rsidRPr="00AF7D78">
              <w:rPr>
                <w:rFonts w:ascii="Times New Roman" w:eastAsia="Times New Roman" w:hAnsi="Times New Roman" w:cs="Times New Roman"/>
                <w:b/>
                <w:sz w:val="24"/>
                <w:szCs w:val="20"/>
                <w:lang w:val="en-US" w:eastAsia="en-GB"/>
              </w:rPr>
              <w:br/>
            </w:r>
            <w:r w:rsidR="009F03A7" w:rsidRPr="00AF7D78">
              <w:rPr>
                <w:rFonts w:ascii="Times New Roman" w:eastAsia="Times New Roman" w:hAnsi="Times New Roman" w:cs="Times New Roman"/>
                <w:b/>
                <w:sz w:val="24"/>
                <w:szCs w:val="20"/>
                <w:lang w:val="en-US" w:eastAsia="en-GB"/>
              </w:rPr>
              <w:tab/>
            </w:r>
            <w:r w:rsidR="000447B3" w:rsidRPr="009F03A7">
              <w:rPr>
                <w:rFonts w:ascii="Times New Roman" w:eastAsia="MS Minngs" w:hAnsi="Times New Roman" w:cs="Times New Roman"/>
                <w:b/>
                <w:bCs/>
                <w:lang w:val="fr-FR" w:eastAsia="en-GB"/>
              </w:rPr>
              <w:sym w:font="Wingdings 2" w:char="F054"/>
            </w:r>
            <w:r w:rsidR="009F03A7" w:rsidRPr="00AF7D78">
              <w:rPr>
                <w:rFonts w:ascii="Times New Roman" w:eastAsia="Times New Roman" w:hAnsi="Times New Roman" w:cs="Times New Roman"/>
                <w:b/>
                <w:sz w:val="24"/>
                <w:szCs w:val="20"/>
                <w:lang w:val="en-US" w:eastAsia="en-GB"/>
              </w:rPr>
              <w:t xml:space="preserve"> Iceland  </w:t>
            </w:r>
            <w:r w:rsidR="005D172F"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sz w:val="24"/>
                <w:szCs w:val="20"/>
                <w:lang w:val="en-US" w:eastAsia="en-GB"/>
              </w:rPr>
              <w:t xml:space="preserve"> Liechtenstein  </w:t>
            </w:r>
            <w:r w:rsidRPr="009F03A7">
              <w:rPr>
                <w:rFonts w:ascii="Times New Roman" w:eastAsia="MS Minngs" w:hAnsi="Times New Roman" w:cs="Times New Roman"/>
                <w:b/>
                <w:bCs/>
                <w:lang w:val="fr-FR" w:eastAsia="en-GB"/>
              </w:rPr>
              <w:sym w:font="Wingdings 2" w:char="F054"/>
            </w:r>
            <w:r w:rsidR="009F03A7" w:rsidRPr="00AF7D78">
              <w:rPr>
                <w:rFonts w:ascii="Times New Roman" w:eastAsia="Times New Roman" w:hAnsi="Times New Roman" w:cs="Times New Roman"/>
                <w:b/>
                <w:sz w:val="24"/>
                <w:szCs w:val="20"/>
                <w:lang w:val="en-US" w:eastAsia="en-GB"/>
              </w:rPr>
              <w:t xml:space="preserve"> Norway  </w:t>
            </w:r>
            <w:r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sz w:val="24"/>
                <w:szCs w:val="20"/>
                <w:lang w:val="en-US" w:eastAsia="en-GB"/>
              </w:rPr>
              <w:t xml:space="preserve"> Switzerland</w:t>
            </w:r>
            <w:r w:rsidR="009F03A7" w:rsidRPr="00AF7D78">
              <w:rPr>
                <w:rFonts w:ascii="Times New Roman" w:eastAsia="Times New Roman" w:hAnsi="Times New Roman" w:cs="Times New Roman"/>
                <w:b/>
                <w:sz w:val="24"/>
                <w:szCs w:val="20"/>
                <w:lang w:val="en-US" w:eastAsia="en-GB"/>
              </w:rPr>
              <w:br/>
            </w:r>
            <w:r w:rsidR="009F03A7" w:rsidRPr="00AF7D78">
              <w:rPr>
                <w:rFonts w:ascii="Times New Roman" w:eastAsia="Times New Roman" w:hAnsi="Times New Roman" w:cs="Times New Roman"/>
                <w:b/>
                <w:sz w:val="24"/>
                <w:szCs w:val="20"/>
                <w:lang w:val="en-US" w:eastAsia="en-GB"/>
              </w:rPr>
              <w:tab/>
            </w:r>
            <w:r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sz w:val="24"/>
                <w:szCs w:val="20"/>
                <w:lang w:val="en-US" w:eastAsia="en-GB"/>
              </w:rPr>
              <w:t xml:space="preserve"> EFTA-EEA In-Kind agreement (Iceland, Liechtenstein, Norway)</w:t>
            </w:r>
            <w:r w:rsidR="009F03A7" w:rsidRPr="00AF7D78">
              <w:rPr>
                <w:rFonts w:ascii="Times New Roman" w:eastAsia="Times New Roman" w:hAnsi="Times New Roman" w:cs="Times New Roman"/>
                <w:b/>
                <w:sz w:val="24"/>
                <w:szCs w:val="20"/>
                <w:lang w:val="en-US" w:eastAsia="en-GB"/>
              </w:rPr>
              <w:br/>
            </w:r>
            <w:r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sz w:val="24"/>
                <w:szCs w:val="20"/>
                <w:lang w:val="en-US" w:eastAsia="en-GB"/>
              </w:rPr>
              <w:t>    the following third countries:</w:t>
            </w:r>
            <w:r w:rsidR="009F03A7" w:rsidRPr="00AF7D78">
              <w:rPr>
                <w:rFonts w:ascii="Times New Roman" w:eastAsia="Times New Roman" w:hAnsi="Times New Roman" w:cs="Times New Roman"/>
                <w:b/>
                <w:sz w:val="24"/>
                <w:szCs w:val="20"/>
                <w:lang w:val="en-US" w:eastAsia="en-GB"/>
              </w:rPr>
              <w:br/>
            </w:r>
            <w:r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sz w:val="24"/>
                <w:szCs w:val="20"/>
                <w:lang w:val="en-US" w:eastAsia="en-GB"/>
              </w:rPr>
              <w:t xml:space="preserve">    the following intergovernmental </w:t>
            </w:r>
            <w:proofErr w:type="spellStart"/>
            <w:r w:rsidR="009F03A7" w:rsidRPr="00AF7D78">
              <w:rPr>
                <w:rFonts w:ascii="Times New Roman" w:eastAsia="Times New Roman" w:hAnsi="Times New Roman" w:cs="Times New Roman"/>
                <w:b/>
                <w:sz w:val="24"/>
                <w:szCs w:val="20"/>
                <w:lang w:val="en-US" w:eastAsia="en-GB"/>
              </w:rPr>
              <w:t>organisations</w:t>
            </w:r>
            <w:proofErr w:type="spellEnd"/>
            <w:r w:rsidR="009F03A7"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CE223D" w:rsidRPr="00CE223D" w:rsidRDefault="00CE223D" w:rsidP="00CE223D">
      <w:pPr>
        <w:tabs>
          <w:tab w:val="left" w:pos="426"/>
        </w:tabs>
        <w:spacing w:after="0" w:line="240" w:lineRule="auto"/>
        <w:rPr>
          <w:rFonts w:ascii="Times New Roman" w:eastAsia="Times New Roman" w:hAnsi="Times New Roman" w:cs="Times New Roman"/>
          <w:b/>
          <w:sz w:val="24"/>
          <w:szCs w:val="20"/>
          <w:u w:val="single"/>
          <w:lang w:val="en-GB" w:eastAsia="en-GB"/>
        </w:rPr>
      </w:pPr>
      <w:r w:rsidRPr="00CE223D">
        <w:rPr>
          <w:rFonts w:ascii="Times New Roman" w:eastAsia="Times New Roman" w:hAnsi="Times New Roman" w:cs="Times New Roman"/>
          <w:b/>
          <w:sz w:val="24"/>
          <w:szCs w:val="20"/>
          <w:lang w:val="en-GB" w:eastAsia="en-GB"/>
        </w:rPr>
        <w:t>1.</w:t>
      </w:r>
      <w:r w:rsidRPr="00CE223D">
        <w:rPr>
          <w:rFonts w:ascii="Times New Roman" w:eastAsia="Times New Roman" w:hAnsi="Times New Roman" w:cs="Times New Roman"/>
          <w:b/>
          <w:sz w:val="24"/>
          <w:szCs w:val="20"/>
          <w:lang w:val="en-GB" w:eastAsia="en-GB"/>
        </w:rPr>
        <w:tab/>
      </w:r>
      <w:r w:rsidRPr="00CE223D">
        <w:rPr>
          <w:rFonts w:ascii="Times New Roman" w:eastAsia="Times New Roman" w:hAnsi="Times New Roman" w:cs="Times New Roman"/>
          <w:b/>
          <w:sz w:val="24"/>
          <w:szCs w:val="20"/>
          <w:u w:val="single"/>
          <w:lang w:val="en-GB" w:eastAsia="en-GB"/>
        </w:rPr>
        <w:t>Nature of the tasks</w:t>
      </w:r>
    </w:p>
    <w:p w:rsidR="00CE223D" w:rsidRPr="00CE223D" w:rsidRDefault="00CE223D" w:rsidP="00CE223D">
      <w:pPr>
        <w:spacing w:after="0" w:line="240" w:lineRule="auto"/>
        <w:ind w:left="426"/>
        <w:rPr>
          <w:rFonts w:ascii="Times New Roman" w:eastAsia="Times New Roman" w:hAnsi="Times New Roman" w:cs="Times New Roman"/>
          <w:sz w:val="24"/>
          <w:szCs w:val="20"/>
          <w:lang w:val="en-GB" w:eastAsia="en-GB"/>
        </w:rPr>
      </w:pPr>
    </w:p>
    <w:p w:rsidR="005D172F" w:rsidRPr="005D172F" w:rsidRDefault="005D172F" w:rsidP="005D172F">
      <w:pPr>
        <w:spacing w:after="0" w:line="240" w:lineRule="auto"/>
        <w:ind w:left="426" w:right="1315"/>
        <w:jc w:val="both"/>
        <w:rPr>
          <w:rFonts w:ascii="Times New Roman" w:eastAsia="Times New Roman" w:hAnsi="Times New Roman" w:cs="Times New Roman"/>
          <w:lang w:val="en-GB" w:eastAsia="en-GB"/>
        </w:rPr>
      </w:pPr>
      <w:r w:rsidRPr="005D172F">
        <w:rPr>
          <w:rFonts w:ascii="Times New Roman" w:eastAsia="Times New Roman" w:hAnsi="Times New Roman" w:cs="Times New Roman"/>
          <w:sz w:val="24"/>
          <w:szCs w:val="20"/>
          <w:lang w:val="en-GB" w:eastAsia="en-GB"/>
        </w:rPr>
        <w:t xml:space="preserve">The </w:t>
      </w:r>
      <w:r w:rsidRPr="005D172F">
        <w:rPr>
          <w:rFonts w:ascii="Times New Roman" w:eastAsia="Times New Roman" w:hAnsi="Times New Roman" w:cs="Times New Roman"/>
          <w:lang w:val="en-GB" w:eastAsia="en-GB"/>
        </w:rPr>
        <w:t xml:space="preserve">company law unit is responsible for the modernization, harmonization and co-ordination of company law and corporate governance. Its mission is to contribute to enhancing the competitiveness of European businesses, including financial institutions, whilst ensuring due protection of their stakeholders. It works notably to reinforce the mobility of European companies, enabling the use of digital tools and processes, strengthen corporate governance and promote sustainable and responsible business conduct. </w:t>
      </w:r>
    </w:p>
    <w:p w:rsidR="005D172F" w:rsidRPr="005D172F" w:rsidRDefault="005D172F" w:rsidP="005D172F">
      <w:pPr>
        <w:spacing w:after="0" w:line="240" w:lineRule="auto"/>
        <w:ind w:left="426" w:right="1315"/>
        <w:jc w:val="both"/>
        <w:rPr>
          <w:rFonts w:ascii="Times New Roman" w:eastAsia="Times New Roman" w:hAnsi="Times New Roman" w:cs="Times New Roman"/>
          <w:lang w:val="en-GB" w:eastAsia="en-GB"/>
        </w:rPr>
      </w:pPr>
      <w:r w:rsidRPr="005D172F">
        <w:rPr>
          <w:rFonts w:ascii="Times New Roman" w:eastAsia="Times New Roman" w:hAnsi="Times New Roman" w:cs="Times New Roman"/>
          <w:lang w:val="en-GB" w:eastAsia="en-GB"/>
        </w:rPr>
        <w:t xml:space="preserve">We offer an activity for an expert with broad interests and knowledge in the area of company law and corporate governance. </w:t>
      </w:r>
    </w:p>
    <w:p w:rsidR="005D172F" w:rsidRDefault="005D172F" w:rsidP="005D172F">
      <w:pPr>
        <w:spacing w:after="0" w:line="240" w:lineRule="auto"/>
        <w:ind w:left="426" w:right="1315"/>
        <w:jc w:val="both"/>
        <w:rPr>
          <w:rFonts w:ascii="Times New Roman" w:eastAsia="Times New Roman" w:hAnsi="Times New Roman" w:cs="Times New Roman"/>
          <w:lang w:val="en-GB" w:eastAsia="en-GB"/>
        </w:rPr>
      </w:pPr>
    </w:p>
    <w:p w:rsidR="005D172F" w:rsidRPr="005D172F" w:rsidRDefault="005D172F" w:rsidP="005D172F">
      <w:pPr>
        <w:spacing w:after="0" w:line="240" w:lineRule="auto"/>
        <w:ind w:left="426" w:right="1315"/>
        <w:jc w:val="both"/>
        <w:rPr>
          <w:rFonts w:ascii="Times New Roman" w:eastAsia="Times New Roman" w:hAnsi="Times New Roman" w:cs="Times New Roman"/>
          <w:lang w:val="en-GB" w:eastAsia="en-GB"/>
        </w:rPr>
      </w:pPr>
      <w:r w:rsidRPr="005D172F">
        <w:rPr>
          <w:rFonts w:ascii="Times New Roman" w:eastAsia="Times New Roman" w:hAnsi="Times New Roman" w:cs="Times New Roman"/>
          <w:lang w:val="en-GB" w:eastAsia="en-GB"/>
        </w:rPr>
        <w:t>Under the supervision of an administrator, the candidate will be:</w:t>
      </w:r>
    </w:p>
    <w:p w:rsidR="005D172F" w:rsidRPr="005D172F" w:rsidRDefault="005D172F" w:rsidP="005D172F">
      <w:pPr>
        <w:pStyle w:val="ListParagraph"/>
        <w:numPr>
          <w:ilvl w:val="0"/>
          <w:numId w:val="46"/>
        </w:numPr>
        <w:spacing w:after="0" w:line="240" w:lineRule="auto"/>
        <w:ind w:right="1315"/>
        <w:jc w:val="both"/>
        <w:rPr>
          <w:rFonts w:ascii="Times New Roman" w:eastAsia="Times New Roman" w:hAnsi="Times New Roman" w:cs="Times New Roman"/>
          <w:lang w:val="en-GB" w:eastAsia="en-GB"/>
        </w:rPr>
      </w:pPr>
      <w:r w:rsidRPr="005D172F">
        <w:rPr>
          <w:rFonts w:ascii="Times New Roman" w:eastAsia="Times New Roman" w:hAnsi="Times New Roman" w:cs="Times New Roman"/>
          <w:lang w:val="en-GB" w:eastAsia="en-GB"/>
        </w:rPr>
        <w:t>Contributing to the development of EU policies in the field of company law and corporate governance;</w:t>
      </w:r>
    </w:p>
    <w:p w:rsidR="005D172F" w:rsidRPr="005D172F" w:rsidRDefault="005D172F" w:rsidP="005D172F">
      <w:pPr>
        <w:pStyle w:val="ListParagraph"/>
        <w:numPr>
          <w:ilvl w:val="0"/>
          <w:numId w:val="46"/>
        </w:numPr>
        <w:spacing w:after="0" w:line="240" w:lineRule="auto"/>
        <w:ind w:right="1315"/>
        <w:jc w:val="both"/>
        <w:rPr>
          <w:rFonts w:ascii="Times New Roman" w:eastAsia="Times New Roman" w:hAnsi="Times New Roman" w:cs="Times New Roman"/>
          <w:lang w:val="en-GB" w:eastAsia="en-GB"/>
        </w:rPr>
      </w:pPr>
      <w:r w:rsidRPr="005D172F">
        <w:rPr>
          <w:rFonts w:ascii="Times New Roman" w:eastAsia="Times New Roman" w:hAnsi="Times New Roman" w:cs="Times New Roman"/>
          <w:lang w:val="en-GB" w:eastAsia="en-GB"/>
        </w:rPr>
        <w:t>Following up of any new legislative proposals through the inter-institutional decision-making process;</w:t>
      </w:r>
    </w:p>
    <w:p w:rsidR="005D172F" w:rsidRPr="005D172F" w:rsidRDefault="005D172F" w:rsidP="005D172F">
      <w:pPr>
        <w:pStyle w:val="ListParagraph"/>
        <w:numPr>
          <w:ilvl w:val="0"/>
          <w:numId w:val="46"/>
        </w:numPr>
        <w:spacing w:after="0" w:line="240" w:lineRule="auto"/>
        <w:ind w:right="1315"/>
        <w:jc w:val="both"/>
        <w:rPr>
          <w:rFonts w:ascii="Times New Roman" w:eastAsia="Times New Roman" w:hAnsi="Times New Roman" w:cs="Times New Roman"/>
          <w:lang w:val="en-GB" w:eastAsia="en-GB"/>
        </w:rPr>
      </w:pPr>
      <w:r w:rsidRPr="005D172F">
        <w:rPr>
          <w:rFonts w:ascii="Times New Roman" w:eastAsia="Times New Roman" w:hAnsi="Times New Roman" w:cs="Times New Roman"/>
          <w:lang w:val="en-GB" w:eastAsia="en-GB"/>
        </w:rPr>
        <w:t xml:space="preserve">Contributing in the evaluation, implementation and enforcement of the EU acquis; </w:t>
      </w:r>
    </w:p>
    <w:p w:rsidR="005D172F" w:rsidRPr="005D172F" w:rsidRDefault="005D172F" w:rsidP="005D172F">
      <w:pPr>
        <w:pStyle w:val="ListParagraph"/>
        <w:numPr>
          <w:ilvl w:val="0"/>
          <w:numId w:val="46"/>
        </w:numPr>
        <w:spacing w:after="0" w:line="240" w:lineRule="auto"/>
        <w:ind w:right="1315"/>
        <w:jc w:val="both"/>
        <w:rPr>
          <w:rFonts w:ascii="Times New Roman" w:eastAsia="Times New Roman" w:hAnsi="Times New Roman" w:cs="Times New Roman"/>
          <w:lang w:val="en-GB" w:eastAsia="en-GB"/>
        </w:rPr>
      </w:pPr>
      <w:r w:rsidRPr="005D172F">
        <w:rPr>
          <w:rFonts w:ascii="Times New Roman" w:eastAsia="Times New Roman" w:hAnsi="Times New Roman" w:cs="Times New Roman"/>
          <w:lang w:val="en-GB" w:eastAsia="en-GB"/>
        </w:rPr>
        <w:t>Drafting answers to oral and written questions of MEPs and petitions;</w:t>
      </w:r>
    </w:p>
    <w:p w:rsidR="005D172F" w:rsidRPr="005D172F" w:rsidRDefault="005D172F" w:rsidP="005D172F">
      <w:pPr>
        <w:pStyle w:val="ListParagraph"/>
        <w:numPr>
          <w:ilvl w:val="0"/>
          <w:numId w:val="46"/>
        </w:numPr>
        <w:spacing w:after="0" w:line="240" w:lineRule="auto"/>
        <w:ind w:right="1315"/>
        <w:jc w:val="both"/>
        <w:rPr>
          <w:rFonts w:ascii="Times New Roman" w:eastAsia="Times New Roman" w:hAnsi="Times New Roman" w:cs="Times New Roman"/>
          <w:lang w:val="en-GB" w:eastAsia="en-GB"/>
        </w:rPr>
      </w:pPr>
      <w:r w:rsidRPr="005D172F">
        <w:rPr>
          <w:rFonts w:ascii="Times New Roman" w:eastAsia="Times New Roman" w:hAnsi="Times New Roman" w:cs="Times New Roman"/>
          <w:lang w:val="en-GB" w:eastAsia="en-GB"/>
        </w:rPr>
        <w:t>Replying/coordinating replies to external requests for information and preparing and where appropriate giving information presentations to stakeholders;</w:t>
      </w:r>
    </w:p>
    <w:p w:rsidR="000447B3" w:rsidRPr="005D172F" w:rsidRDefault="005D172F" w:rsidP="005D172F">
      <w:pPr>
        <w:pStyle w:val="ListParagraph"/>
        <w:numPr>
          <w:ilvl w:val="0"/>
          <w:numId w:val="46"/>
        </w:numPr>
        <w:spacing w:after="0" w:line="240" w:lineRule="auto"/>
        <w:ind w:right="1315"/>
        <w:jc w:val="both"/>
        <w:rPr>
          <w:rFonts w:ascii="Times New Roman" w:eastAsia="Times New Roman" w:hAnsi="Times New Roman" w:cs="Times New Roman"/>
          <w:sz w:val="24"/>
          <w:szCs w:val="20"/>
          <w:lang w:val="en-GB" w:eastAsia="en-GB"/>
        </w:rPr>
      </w:pPr>
      <w:r w:rsidRPr="005D172F">
        <w:rPr>
          <w:rFonts w:ascii="Times New Roman" w:eastAsia="Times New Roman" w:hAnsi="Times New Roman" w:cs="Times New Roman"/>
          <w:lang w:val="en-GB" w:eastAsia="en-GB"/>
        </w:rPr>
        <w:t>Drafting position papers</w:t>
      </w:r>
      <w:r w:rsidRPr="005D172F">
        <w:rPr>
          <w:rFonts w:ascii="Times New Roman" w:eastAsia="Times New Roman" w:hAnsi="Times New Roman" w:cs="Times New Roman"/>
          <w:sz w:val="24"/>
          <w:szCs w:val="20"/>
          <w:lang w:val="en-GB" w:eastAsia="en-GB"/>
        </w:rPr>
        <w:t>, briefings, reports.</w:t>
      </w:r>
      <w:r w:rsidR="000447B3" w:rsidRPr="005D172F">
        <w:rPr>
          <w:rFonts w:ascii="Times New Roman" w:eastAsia="Times New Roman" w:hAnsi="Times New Roman" w:cs="Times New Roman"/>
          <w:lang w:val="en-GB" w:eastAsia="en-GB"/>
        </w:rPr>
        <w:t xml:space="preserve"> </w:t>
      </w:r>
    </w:p>
    <w:p w:rsidR="00792166" w:rsidRDefault="00792166" w:rsidP="00792166">
      <w:pPr>
        <w:spacing w:after="0" w:line="240" w:lineRule="auto"/>
        <w:ind w:left="426"/>
        <w:jc w:val="both"/>
        <w:rPr>
          <w:rFonts w:ascii="Times New Roman" w:eastAsia="Times New Roman" w:hAnsi="Times New Roman" w:cs="Times New Roman"/>
          <w:lang w:val="en-IE"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 xml:space="preserve">a) </w:t>
      </w:r>
      <w:r w:rsidRPr="00815707">
        <w:rPr>
          <w:rFonts w:ascii="Times New Roman" w:eastAsia="Times New Roman" w:hAnsi="Times New Roman" w:cs="Times New Roman"/>
          <w:b/>
          <w:u w:val="single"/>
          <w:lang w:val="en-US" w:eastAsia="en-GB"/>
        </w:rPr>
        <w:t>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w:t>
      </w:r>
      <w:r w:rsidR="00FE0978" w:rsidRPr="00AF7D78">
        <w:rPr>
          <w:rFonts w:ascii="Times New Roman" w:eastAsia="Times New Roman" w:hAnsi="Times New Roman" w:cs="Times New Roman"/>
          <w:lang w:val="en-US" w:eastAsia="en-GB"/>
        </w:rPr>
        <w:t>employer that</w:t>
      </w:r>
      <w:r w:rsidRPr="00AF7D78">
        <w:rPr>
          <w:rFonts w:ascii="Times New Roman" w:eastAsia="Times New Roman" w:hAnsi="Times New Roman" w:cs="Times New Roman"/>
          <w:lang w:val="en-US" w:eastAsia="en-GB"/>
        </w:rPr>
        <w:t xml:space="preserve"> means having worked for an eligible employer as described in Art. 1 of the SNE decision on a permanent or contract basis for at least one year before the secondment; </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7321B9" w:rsidRDefault="00AF7D78" w:rsidP="00232073">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009F03A7" w:rsidRPr="009F03A7">
        <w:rPr>
          <w:rFonts w:ascii="Times New Roman" w:eastAsia="Times New Roman" w:hAnsi="Times New Roman" w:cs="Times New Roman"/>
          <w:lang w:val="en-US" w:eastAsia="en-GB"/>
        </w:rPr>
        <w:t>in</w:t>
      </w:r>
      <w:proofErr w:type="gramEnd"/>
      <w:r w:rsidR="009F03A7" w:rsidRPr="009F03A7">
        <w:rPr>
          <w:rFonts w:ascii="Times New Roman" w:eastAsia="Times New Roman" w:hAnsi="Times New Roman" w:cs="Times New Roman"/>
          <w:lang w:val="en-US" w:eastAsia="en-GB"/>
        </w:rPr>
        <w:t xml:space="preserve"> the field(s) </w:t>
      </w:r>
      <w:r w:rsidR="00AD7D0E">
        <w:rPr>
          <w:rFonts w:ascii="Times New Roman" w:eastAsia="Times New Roman" w:hAnsi="Times New Roman" w:cs="Times New Roman"/>
          <w:lang w:val="en-US" w:eastAsia="en-GB"/>
        </w:rPr>
        <w:t>:</w:t>
      </w:r>
      <w:r w:rsidR="00F11083" w:rsidRPr="00F11083">
        <w:rPr>
          <w:rFonts w:ascii="Times New Roman" w:eastAsia="Times New Roman" w:hAnsi="Times New Roman" w:cs="Times New Roman"/>
          <w:lang w:val="en-US" w:eastAsia="en-GB"/>
        </w:rPr>
        <w:t xml:space="preserve"> </w:t>
      </w:r>
      <w:r w:rsidR="000447B3">
        <w:rPr>
          <w:rFonts w:ascii="Times New Roman" w:eastAsia="Times New Roman" w:hAnsi="Times New Roman" w:cs="Times New Roman"/>
          <w:lang w:val="en-US" w:eastAsia="en-GB"/>
        </w:rPr>
        <w:t>l</w:t>
      </w:r>
      <w:r w:rsidR="000447B3" w:rsidRPr="000447B3">
        <w:rPr>
          <w:rFonts w:ascii="Times New Roman" w:eastAsia="Times New Roman" w:hAnsi="Times New Roman" w:cs="Times New Roman"/>
          <w:lang w:val="en-US" w:eastAsia="en-GB"/>
        </w:rPr>
        <w:t xml:space="preserve">aw </w:t>
      </w:r>
      <w:r w:rsidR="005D172F" w:rsidRPr="005D172F">
        <w:rPr>
          <w:rFonts w:ascii="Times New Roman" w:eastAsia="Times New Roman" w:hAnsi="Times New Roman" w:cs="Times New Roman"/>
          <w:lang w:val="en-US" w:eastAsia="en-GB"/>
        </w:rPr>
        <w:t>(preferably business law), political science or economics/finance with relevant legal skills.</w:t>
      </w:r>
    </w:p>
    <w:p w:rsidR="00EA06E2" w:rsidRPr="00AF7D78" w:rsidRDefault="00EA06E2"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B52701" w:rsidRDefault="00B52701" w:rsidP="00CC59C1">
      <w:pPr>
        <w:tabs>
          <w:tab w:val="left" w:pos="1276"/>
        </w:tabs>
        <w:spacing w:after="0" w:line="240" w:lineRule="auto"/>
        <w:ind w:left="1134" w:right="60" w:hanging="425"/>
        <w:jc w:val="both"/>
        <w:rPr>
          <w:rFonts w:ascii="Times New Roman" w:eastAsia="Times New Roman" w:hAnsi="Times New Roman" w:cs="Times New Roman"/>
          <w:lang w:val="en-US" w:eastAsia="en-GB"/>
        </w:rPr>
      </w:pPr>
    </w:p>
    <w:p w:rsidR="00A50F1D" w:rsidRPr="00A50F1D" w:rsidRDefault="005D172F" w:rsidP="000447B3">
      <w:pPr>
        <w:autoSpaceDE w:val="0"/>
        <w:autoSpaceDN w:val="0"/>
        <w:adjustRightInd w:val="0"/>
        <w:spacing w:before="120" w:after="0" w:line="240" w:lineRule="auto"/>
        <w:ind w:left="708"/>
        <w:contextualSpacing/>
        <w:jc w:val="both"/>
        <w:rPr>
          <w:rFonts w:ascii="Times New Roman" w:hAnsi="Times New Roman" w:cs="Times New Roman"/>
          <w:lang w:val="en-GB"/>
        </w:rPr>
      </w:pPr>
      <w:r w:rsidRPr="005D172F">
        <w:rPr>
          <w:rFonts w:ascii="Times New Roman" w:hAnsi="Times New Roman" w:cs="Times New Roman"/>
          <w:lang w:val="en-GB"/>
        </w:rPr>
        <w:t>Good knowledge of European instruments in the field of company law and corporate governance is desired. Both public administration and private sector experiences can be considered as relevant.</w:t>
      </w:r>
    </w:p>
    <w:p w:rsidR="0080628A" w:rsidRDefault="0080628A" w:rsidP="0080628A">
      <w:pPr>
        <w:tabs>
          <w:tab w:val="left" w:pos="709"/>
        </w:tabs>
        <w:spacing w:after="0" w:line="240" w:lineRule="auto"/>
        <w:ind w:left="709" w:right="60"/>
        <w:jc w:val="both"/>
        <w:rPr>
          <w:rFonts w:ascii="Times New Roman" w:hAnsi="Times New Roman" w:cs="Times New Roman"/>
          <w:lang w:val="en-GB"/>
        </w:rPr>
      </w:pPr>
    </w:p>
    <w:p w:rsidR="00AF7D78" w:rsidRPr="00AF7D78" w:rsidRDefault="00AF7D78" w:rsidP="00CC59C1">
      <w:pPr>
        <w:tabs>
          <w:tab w:val="left" w:pos="1276"/>
        </w:tabs>
        <w:spacing w:after="0" w:line="240" w:lineRule="auto"/>
        <w:ind w:left="1134" w:right="60" w:hanging="425"/>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662C1" w:rsidRDefault="000447B3" w:rsidP="006B5B33">
      <w:pPr>
        <w:tabs>
          <w:tab w:val="left" w:pos="709"/>
        </w:tabs>
        <w:spacing w:after="0" w:line="240" w:lineRule="auto"/>
        <w:ind w:left="709" w:right="60"/>
        <w:jc w:val="both"/>
        <w:rPr>
          <w:rFonts w:ascii="Times New Roman" w:eastAsia="Times New Roman" w:hAnsi="Times New Roman" w:cs="Times New Roman"/>
          <w:lang w:val="en-US" w:eastAsia="en-GB"/>
        </w:rPr>
      </w:pPr>
      <w:r w:rsidRPr="000447B3">
        <w:rPr>
          <w:rFonts w:ascii="Times New Roman" w:eastAsia="Times New Roman" w:hAnsi="Times New Roman" w:cs="Times New Roman"/>
          <w:lang w:val="en-US" w:eastAsia="en-GB"/>
        </w:rPr>
        <w:t>Excellent command of English is essential, with a good command of French</w:t>
      </w:r>
      <w:r w:rsidR="005D172F" w:rsidRPr="005D172F">
        <w:rPr>
          <w:lang w:val="en-GB"/>
        </w:rPr>
        <w:t xml:space="preserve"> </w:t>
      </w:r>
      <w:r w:rsidR="005D172F" w:rsidRPr="005D172F">
        <w:rPr>
          <w:rFonts w:ascii="Times New Roman" w:eastAsia="Times New Roman" w:hAnsi="Times New Roman" w:cs="Times New Roman"/>
          <w:lang w:val="en-US" w:eastAsia="en-GB"/>
        </w:rPr>
        <w:t>or German being an asset.</w:t>
      </w:r>
    </w:p>
    <w:p w:rsidR="00792166" w:rsidRDefault="00792166"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32123B" w:rsidRDefault="00AF7D78" w:rsidP="0032123B">
      <w:pPr>
        <w:spacing w:after="0" w:line="240" w:lineRule="auto"/>
        <w:ind w:left="426" w:right="175"/>
        <w:jc w:val="both"/>
        <w:rPr>
          <w:rFonts w:ascii="Times New Roman" w:eastAsia="Times New Roman" w:hAnsi="Times New Roman" w:cs="Times New Roman"/>
          <w:b/>
          <w:lang w:val="en-GB" w:eastAsia="en-GB"/>
        </w:rPr>
      </w:pPr>
      <w:r w:rsidRPr="0032123B">
        <w:rPr>
          <w:rFonts w:ascii="Times New Roman" w:eastAsia="Times New Roman" w:hAnsi="Times New Roman" w:cs="Times New Roman"/>
          <w:lang w:val="en-GB" w:eastAsia="en-GB"/>
        </w:rPr>
        <w:t>Candidates should send their application according to the</w:t>
      </w:r>
      <w:r w:rsidRPr="0032123B">
        <w:rPr>
          <w:rFonts w:ascii="Times New Roman" w:eastAsia="Times New Roman" w:hAnsi="Times New Roman" w:cs="Times New Roman"/>
          <w:b/>
          <w:lang w:val="en-GB" w:eastAsia="en-GB"/>
        </w:rPr>
        <w:t xml:space="preserve"> Europass CV format </w:t>
      </w:r>
      <w:r w:rsidRPr="0032123B">
        <w:rPr>
          <w:rFonts w:ascii="Times New Roman" w:eastAsia="Times New Roman" w:hAnsi="Times New Roman" w:cs="Times New Roman"/>
          <w:lang w:val="en-GB" w:eastAsia="en-GB"/>
        </w:rPr>
        <w:t>(</w:t>
      </w:r>
      <w:hyperlink r:id="rId9" w:history="1">
        <w:r w:rsidR="008C2571" w:rsidRPr="0032123B">
          <w:rPr>
            <w:rStyle w:val="Hyperlink"/>
            <w:rFonts w:ascii="Times New Roman" w:eastAsia="Times New Roman" w:hAnsi="Times New Roman" w:cs="Times New Roman"/>
            <w:lang w:val="en-GB" w:eastAsia="en-GB"/>
          </w:rPr>
          <w:t>http://europass.cedefop.europa.eu/en/documents/curriculum-vitae</w:t>
        </w:r>
      </w:hyperlink>
      <w:r w:rsidRPr="0032123B">
        <w:rPr>
          <w:rFonts w:ascii="Times New Roman" w:eastAsia="Times New Roman" w:hAnsi="Times New Roman" w:cs="Times New Roman"/>
          <w:lang w:val="en-GB" w:eastAsia="en-GB"/>
        </w:rPr>
        <w:t>) in English, French or German</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b/>
          <w:u w:val="single"/>
          <w:lang w:val="en-GB" w:eastAsia="en-GB"/>
        </w:rPr>
        <w:t>only to the Permanent Representation / Diplomatic Mission to the EU of their country</w:t>
      </w:r>
      <w:r w:rsidRPr="0032123B">
        <w:rPr>
          <w:rFonts w:ascii="Times New Roman" w:eastAsia="Times New Roman" w:hAnsi="Times New Roman" w:cs="Times New Roman"/>
          <w:lang w:val="en-GB" w:eastAsia="en-GB"/>
        </w:rPr>
        <w:t>, which will forward it to the competent services of the Commission within the deadline fixed by the latter.</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US" w:eastAsia="en-GB"/>
        </w:rPr>
        <w:t>The CV must mention the date of birth and the nationality of the candidate.</w:t>
      </w:r>
      <w:r w:rsidRPr="0032123B">
        <w:rPr>
          <w:rFonts w:ascii="Times New Roman" w:eastAsia="Times New Roman" w:hAnsi="Times New Roman" w:cs="Times New Roman"/>
          <w:b/>
          <w:lang w:val="en-US" w:eastAsia="en-GB"/>
        </w:rPr>
        <w:t xml:space="preserve"> </w:t>
      </w:r>
      <w:r w:rsidRPr="0032123B">
        <w:rPr>
          <w:rFonts w:ascii="Times New Roman" w:eastAsia="Times New Roman" w:hAnsi="Times New Roman" w:cs="Times New Roman"/>
          <w:b/>
          <w:lang w:val="en-GB" w:eastAsia="en-GB"/>
        </w:rPr>
        <w:t>Not respecting this procedure or deadlines will automatically invalidate the application.</w:t>
      </w:r>
    </w:p>
    <w:p w:rsidR="00AF7D78" w:rsidRPr="0032123B" w:rsidRDefault="00AF7D78" w:rsidP="0032123B">
      <w:pPr>
        <w:spacing w:after="0" w:line="240" w:lineRule="auto"/>
        <w:ind w:left="426" w:right="175"/>
        <w:jc w:val="both"/>
        <w:rPr>
          <w:rFonts w:ascii="Times New Roman" w:eastAsia="Times New Roman" w:hAnsi="Times New Roman" w:cs="Times New Roman"/>
          <w:b/>
          <w:u w:val="single"/>
          <w:lang w:val="en-GB" w:eastAsia="en-GB"/>
        </w:rPr>
      </w:pPr>
    </w:p>
    <w:p w:rsidR="00AF7D78" w:rsidRPr="0032123B" w:rsidRDefault="00AF7D78" w:rsidP="0032123B">
      <w:pPr>
        <w:tabs>
          <w:tab w:val="left" w:pos="8539"/>
        </w:tabs>
        <w:spacing w:after="0" w:line="240" w:lineRule="auto"/>
        <w:ind w:left="426" w:right="161"/>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are asked not to add any other documents</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Pr="0032123B" w:rsidRDefault="00AF7D78" w:rsidP="0032123B">
      <w:pPr>
        <w:spacing w:after="0" w:line="240" w:lineRule="auto"/>
        <w:ind w:left="42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will be informed of the follow-up of their application by the unit concerned.</w:t>
      </w:r>
    </w:p>
    <w:p w:rsidR="00232073" w:rsidRDefault="00232073"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32123B">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32123B">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32123B">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32123B">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w:t>
      </w:r>
      <w:r w:rsidR="00643266">
        <w:rPr>
          <w:rFonts w:ascii="Times New Roman" w:eastAsia="Times New Roman" w:hAnsi="Times New Roman" w:cs="Times New Roman"/>
          <w:lang w:val="en-GB" w:eastAsia="en-GB"/>
        </w:rPr>
        <w:t>.1</w:t>
      </w:r>
      <w:r w:rsidRPr="00AF7D78">
        <w:rPr>
          <w:rFonts w:ascii="Times New Roman" w:eastAsia="Times New Roman" w:hAnsi="Times New Roman" w:cs="Times New Roman"/>
          <w:lang w:val="en-GB" w:eastAsia="en-GB"/>
        </w:rPr>
        <w:t xml:space="preserve">.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w:t>
      </w:r>
      <w:r w:rsidR="003A1B78">
        <w:rPr>
          <w:rFonts w:ascii="Times New Roman" w:eastAsia="Times New Roman" w:hAnsi="Times New Roman" w:cs="Times New Roman"/>
          <w:lang w:val="en-GB" w:eastAsia="en-GB"/>
        </w:rPr>
        <w:t xml:space="preserve"> by the competent services for 7</w:t>
      </w:r>
      <w:r w:rsidRPr="00AF7D78">
        <w:rPr>
          <w:rFonts w:ascii="Times New Roman" w:eastAsia="Times New Roman" w:hAnsi="Times New Roman" w:cs="Times New Roman"/>
          <w:lang w:val="en-GB" w:eastAsia="en-GB"/>
        </w:rPr>
        <w:t xml:space="preserve"> years after the secondment (2 years for not selected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32123B"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w:t>
      </w:r>
      <w:r w:rsidR="003A1B78">
        <w:rPr>
          <w:rFonts w:ascii="Times New Roman" w:eastAsia="Times New Roman" w:hAnsi="Times New Roman" w:cs="Times New Roman"/>
          <w:lang w:val="en-GB" w:eastAsia="en-GB"/>
        </w:rPr>
        <w:t xml:space="preserve">Unit </w:t>
      </w:r>
      <w:r w:rsidRPr="0032123B">
        <w:rPr>
          <w:rFonts w:ascii="Times New Roman" w:eastAsia="Times New Roman" w:hAnsi="Times New Roman" w:cs="Times New Roman"/>
          <w:lang w:val="en-GB" w:eastAsia="en-GB"/>
        </w:rPr>
        <w:t>HR.B.</w:t>
      </w:r>
      <w:r w:rsidR="003A1B78">
        <w:rPr>
          <w:rFonts w:ascii="Times New Roman" w:eastAsia="Times New Roman" w:hAnsi="Times New Roman" w:cs="Times New Roman"/>
          <w:lang w:val="en-GB" w:eastAsia="en-GB"/>
        </w:rPr>
        <w:t>1</w:t>
      </w:r>
      <w:r w:rsidRPr="0032123B">
        <w:rPr>
          <w:rFonts w:ascii="Times New Roman" w:eastAsia="Times New Roman" w:hAnsi="Times New Roman" w:cs="Times New Roman"/>
          <w:lang w:val="en-GB" w:eastAsia="en-GB"/>
        </w:rPr>
        <w:t xml:space="preserve">, </w:t>
      </w:r>
      <w:hyperlink r:id="rId10" w:history="1">
        <w:r w:rsidR="003A1B78" w:rsidRPr="00286F67">
          <w:rPr>
            <w:rStyle w:val="Hyperlink"/>
            <w:rFonts w:ascii="Times New Roman" w:eastAsia="Times New Roman" w:hAnsi="Times New Roman" w:cs="Times New Roman"/>
            <w:lang w:val="en-GB" w:eastAsia="en-GB"/>
          </w:rPr>
          <w:t>HR-B1-DPR@ec.europa.eu</w:t>
        </w:r>
      </w:hyperlink>
      <w:r w:rsidRPr="0032123B">
        <w:rPr>
          <w:rFonts w:ascii="Times New Roman" w:eastAsia="Times New Roman" w:hAnsi="Times New Roman" w:cs="Times New Roman"/>
          <w:lang w:val="en-GB" w:eastAsia="en-GB"/>
        </w:rPr>
        <w:t>.</w:t>
      </w:r>
    </w:p>
    <w:p w:rsidR="00AF7D78" w:rsidRPr="0032123B"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You may contact the Data Protection Officer </w:t>
      </w:r>
      <w:r w:rsidR="00B96BB0" w:rsidRPr="00B96BB0">
        <w:rPr>
          <w:rFonts w:ascii="Times New Roman" w:eastAsia="Times New Roman" w:hAnsi="Times New Roman" w:cs="Times New Roman"/>
          <w:lang w:val="en-GB" w:eastAsia="en-GB"/>
        </w:rPr>
        <w:t>(</w:t>
      </w:r>
      <w:hyperlink r:id="rId11" w:history="1">
        <w:r w:rsidR="003A1B78" w:rsidRPr="00286F67">
          <w:rPr>
            <w:rStyle w:val="Hyperlink"/>
            <w:rFonts w:ascii="Times New Roman" w:eastAsia="Times New Roman" w:hAnsi="Times New Roman" w:cs="Times New Roman"/>
            <w:lang w:val="en-GB" w:eastAsia="en-GB"/>
          </w:rPr>
          <w:t>DATA-PROTECTION-OFFICER@ec.europa.eu</w:t>
        </w:r>
      </w:hyperlink>
      <w:r w:rsidR="00B96BB0" w:rsidRPr="00B96BB0">
        <w:rPr>
          <w:rFonts w:ascii="Times New Roman" w:eastAsia="Times New Roman" w:hAnsi="Times New Roman" w:cs="Times New Roman"/>
          <w:lang w:val="en-GB" w:eastAsia="en-GB"/>
        </w:rPr>
        <w:t>)</w:t>
      </w:r>
      <w:r w:rsidRPr="0032123B">
        <w:rPr>
          <w:rFonts w:ascii="Times New Roman" w:eastAsia="Times New Roman" w:hAnsi="Times New Roman" w:cs="Times New Roman"/>
          <w:u w:val="single"/>
          <w:lang w:val="en-GB" w:eastAsia="en-GB"/>
        </w:rPr>
        <w:t xml:space="preserve"> </w:t>
      </w:r>
      <w:r w:rsidRPr="0032123B">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You have the right to have recourse (i.e. you can lodge a complaint) to the European Data Protection Supervisor</w:t>
      </w:r>
      <w:r w:rsidRPr="0032123B">
        <w:rPr>
          <w:rFonts w:ascii="Times New Roman" w:eastAsia="Times New Roman" w:hAnsi="Times New Roman" w:cs="Times New Roman"/>
          <w:u w:val="single"/>
          <w:lang w:val="en-GB" w:eastAsia="en-GB"/>
        </w:rPr>
        <w:t xml:space="preserve"> (</w:t>
      </w:r>
      <w:hyperlink r:id="rId12" w:history="1">
        <w:r w:rsidRPr="0032123B">
          <w:rPr>
            <w:rFonts w:ascii="Times New Roman" w:eastAsia="Times New Roman" w:hAnsi="Times New Roman" w:cs="Times New Roman"/>
            <w:color w:val="0000FF"/>
            <w:u w:val="single"/>
            <w:lang w:val="en-GB" w:eastAsia="en-GB"/>
          </w:rPr>
          <w:t>edps@edps.europa.eu</w:t>
        </w:r>
      </w:hyperlink>
      <w:r w:rsidRPr="0032123B">
        <w:rPr>
          <w:rFonts w:ascii="Times New Roman" w:eastAsia="Times New Roman" w:hAnsi="Times New Roman" w:cs="Times New Roman"/>
          <w:u w:val="single"/>
          <w:lang w:val="en-GB" w:eastAsia="en-GB"/>
        </w:rPr>
        <w:t>)</w:t>
      </w:r>
      <w:r w:rsidRPr="0032123B">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32123B"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32123B">
        <w:rPr>
          <w:rFonts w:ascii="Times New Roman" w:eastAsia="Times New Roman" w:hAnsi="Times New Roman" w:cs="Times New Roman"/>
          <w:lang w:val="en-GB" w:eastAsia="en-GB"/>
        </w:rPr>
        <w:t xml:space="preserve">To the attention of candidates from third countries: your personal data can be used for </w:t>
      </w:r>
      <w:r w:rsidR="003A1B78">
        <w:rPr>
          <w:rFonts w:ascii="Times New Roman" w:eastAsia="Times New Roman" w:hAnsi="Times New Roman" w:cs="Times New Roman"/>
          <w:lang w:val="en-GB" w:eastAsia="en-GB"/>
        </w:rPr>
        <w:t>security</w:t>
      </w:r>
      <w:r w:rsidRPr="0032123B">
        <w:rPr>
          <w:rFonts w:ascii="Times New Roman" w:eastAsia="Times New Roman" w:hAnsi="Times New Roman" w:cs="Times New Roman"/>
          <w:lang w:val="en-GB" w:eastAsia="en-GB"/>
        </w:rPr>
        <w:t xml:space="preserve"> checks.</w:t>
      </w:r>
    </w:p>
    <w:p w:rsidR="00AC55BD" w:rsidRPr="0032123B" w:rsidRDefault="005D172F">
      <w:pPr>
        <w:rPr>
          <w:rFonts w:ascii="Times New Roman" w:hAnsi="Times New Roman" w:cs="Times New Roman"/>
          <w:lang w:val="en-US"/>
        </w:rPr>
      </w:pPr>
    </w:p>
    <w:sectPr w:rsidR="00AC55BD" w:rsidRPr="0032123B"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9F03A7" w:rsidRPr="006C5664" w:rsidRDefault="009F03A7"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480"/>
    <w:multiLevelType w:val="hybridMultilevel"/>
    <w:tmpl w:val="AA0C2BE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C73403F"/>
    <w:multiLevelType w:val="hybridMultilevel"/>
    <w:tmpl w:val="691CB274"/>
    <w:lvl w:ilvl="0" w:tplc="48DEE50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09F4C70"/>
    <w:multiLevelType w:val="hybridMultilevel"/>
    <w:tmpl w:val="4F18C8CA"/>
    <w:lvl w:ilvl="0" w:tplc="ADDC61B6">
      <w:start w:val="1"/>
      <w:numFmt w:val="lowerRoman"/>
      <w:lvlText w:val="(%1)"/>
      <w:lvlJc w:val="left"/>
      <w:pPr>
        <w:ind w:left="1206" w:hanging="360"/>
      </w:pPr>
      <w:rPr>
        <w:rFonts w:hint="default"/>
      </w:rPr>
    </w:lvl>
    <w:lvl w:ilvl="1" w:tplc="08090019" w:tentative="1">
      <w:start w:val="1"/>
      <w:numFmt w:val="lowerLetter"/>
      <w:lvlText w:val="%2."/>
      <w:lvlJc w:val="left"/>
      <w:pPr>
        <w:ind w:left="1926" w:hanging="360"/>
      </w:pPr>
    </w:lvl>
    <w:lvl w:ilvl="2" w:tplc="0809001B" w:tentative="1">
      <w:start w:val="1"/>
      <w:numFmt w:val="lowerRoman"/>
      <w:lvlText w:val="%3."/>
      <w:lvlJc w:val="right"/>
      <w:pPr>
        <w:ind w:left="2646" w:hanging="180"/>
      </w:pPr>
    </w:lvl>
    <w:lvl w:ilvl="3" w:tplc="0809000F" w:tentative="1">
      <w:start w:val="1"/>
      <w:numFmt w:val="decimal"/>
      <w:lvlText w:val="%4."/>
      <w:lvlJc w:val="left"/>
      <w:pPr>
        <w:ind w:left="3366" w:hanging="360"/>
      </w:pPr>
    </w:lvl>
    <w:lvl w:ilvl="4" w:tplc="08090019" w:tentative="1">
      <w:start w:val="1"/>
      <w:numFmt w:val="lowerLetter"/>
      <w:lvlText w:val="%5."/>
      <w:lvlJc w:val="left"/>
      <w:pPr>
        <w:ind w:left="4086" w:hanging="360"/>
      </w:pPr>
    </w:lvl>
    <w:lvl w:ilvl="5" w:tplc="0809001B" w:tentative="1">
      <w:start w:val="1"/>
      <w:numFmt w:val="lowerRoman"/>
      <w:lvlText w:val="%6."/>
      <w:lvlJc w:val="right"/>
      <w:pPr>
        <w:ind w:left="4806" w:hanging="180"/>
      </w:pPr>
    </w:lvl>
    <w:lvl w:ilvl="6" w:tplc="0809000F" w:tentative="1">
      <w:start w:val="1"/>
      <w:numFmt w:val="decimal"/>
      <w:lvlText w:val="%7."/>
      <w:lvlJc w:val="left"/>
      <w:pPr>
        <w:ind w:left="5526" w:hanging="360"/>
      </w:pPr>
    </w:lvl>
    <w:lvl w:ilvl="7" w:tplc="08090019" w:tentative="1">
      <w:start w:val="1"/>
      <w:numFmt w:val="lowerLetter"/>
      <w:lvlText w:val="%8."/>
      <w:lvlJc w:val="left"/>
      <w:pPr>
        <w:ind w:left="6246" w:hanging="360"/>
      </w:pPr>
    </w:lvl>
    <w:lvl w:ilvl="8" w:tplc="0809001B" w:tentative="1">
      <w:start w:val="1"/>
      <w:numFmt w:val="lowerRoman"/>
      <w:lvlText w:val="%9."/>
      <w:lvlJc w:val="right"/>
      <w:pPr>
        <w:ind w:left="6966" w:hanging="180"/>
      </w:pPr>
    </w:lvl>
  </w:abstractNum>
  <w:abstractNum w:abstractNumId="3"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6D60F2"/>
    <w:multiLevelType w:val="hybridMultilevel"/>
    <w:tmpl w:val="CA584F12"/>
    <w:lvl w:ilvl="0" w:tplc="660AE6EE">
      <w:start w:val="7"/>
      <w:numFmt w:val="bullet"/>
      <w:lvlText w:val="-"/>
      <w:lvlJc w:val="left"/>
      <w:pPr>
        <w:ind w:left="1146" w:hanging="360"/>
      </w:pPr>
      <w:rPr>
        <w:rFonts w:ascii="Verdana" w:eastAsia="Cambria" w:hAnsi="Verdana"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E49109C"/>
    <w:multiLevelType w:val="hybridMultilevel"/>
    <w:tmpl w:val="DBAAB740"/>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203D03B1"/>
    <w:multiLevelType w:val="hybridMultilevel"/>
    <w:tmpl w:val="7A3E088E"/>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0A62740"/>
    <w:multiLevelType w:val="hybridMultilevel"/>
    <w:tmpl w:val="39445188"/>
    <w:lvl w:ilvl="0" w:tplc="660AE6EE">
      <w:start w:val="7"/>
      <w:numFmt w:val="bullet"/>
      <w:lvlText w:val="-"/>
      <w:lvlJc w:val="left"/>
      <w:pPr>
        <w:ind w:left="1429" w:hanging="360"/>
      </w:pPr>
      <w:rPr>
        <w:rFonts w:ascii="Verdana" w:eastAsia="Cambria" w:hAnsi="Verdana" w:cs="Times New Roman" w:hint="default"/>
      </w:rPr>
    </w:lvl>
    <w:lvl w:ilvl="1" w:tplc="2070F076">
      <w:numFmt w:val="bullet"/>
      <w:lvlText w:val="—"/>
      <w:lvlJc w:val="left"/>
      <w:pPr>
        <w:ind w:left="2149" w:hanging="360"/>
      </w:pPr>
      <w:rPr>
        <w:rFonts w:ascii="Times New Roman" w:eastAsiaTheme="minorHAnsi"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9902CD0"/>
    <w:multiLevelType w:val="hybridMultilevel"/>
    <w:tmpl w:val="D1AAEA9E"/>
    <w:lvl w:ilvl="0" w:tplc="660AE6EE">
      <w:start w:val="7"/>
      <w:numFmt w:val="bullet"/>
      <w:lvlText w:val="-"/>
      <w:lvlJc w:val="left"/>
      <w:pPr>
        <w:ind w:left="720" w:hanging="360"/>
      </w:pPr>
      <w:rPr>
        <w:rFonts w:ascii="Verdana" w:eastAsia="Cambri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441146"/>
    <w:multiLevelType w:val="hybridMultilevel"/>
    <w:tmpl w:val="D0B8A5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5996EFF"/>
    <w:multiLevelType w:val="hybridMultilevel"/>
    <w:tmpl w:val="18C48970"/>
    <w:lvl w:ilvl="0" w:tplc="0296A8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02232"/>
    <w:multiLevelType w:val="hybridMultilevel"/>
    <w:tmpl w:val="398658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9D274ED"/>
    <w:multiLevelType w:val="hybridMultilevel"/>
    <w:tmpl w:val="A4328C24"/>
    <w:lvl w:ilvl="0" w:tplc="4AEA667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3E771EFE"/>
    <w:multiLevelType w:val="hybridMultilevel"/>
    <w:tmpl w:val="746CF892"/>
    <w:lvl w:ilvl="0" w:tplc="3B300B6C">
      <w:start w:val="5"/>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9674809"/>
    <w:multiLevelType w:val="hybridMultilevel"/>
    <w:tmpl w:val="A0C40C2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4A5909E8"/>
    <w:multiLevelType w:val="hybridMultilevel"/>
    <w:tmpl w:val="78ACCB74"/>
    <w:lvl w:ilvl="0" w:tplc="660AE6EE">
      <w:start w:val="7"/>
      <w:numFmt w:val="bullet"/>
      <w:lvlText w:val="-"/>
      <w:lvlJc w:val="left"/>
      <w:pPr>
        <w:ind w:left="720" w:hanging="360"/>
      </w:pPr>
      <w:rPr>
        <w:rFonts w:ascii="Verdana" w:eastAsia="Cambri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14E50"/>
    <w:multiLevelType w:val="hybridMultilevel"/>
    <w:tmpl w:val="2CFC05A8"/>
    <w:lvl w:ilvl="0" w:tplc="660AE6EE">
      <w:start w:val="7"/>
      <w:numFmt w:val="bullet"/>
      <w:lvlText w:val="-"/>
      <w:lvlJc w:val="left"/>
      <w:pPr>
        <w:ind w:left="720" w:hanging="360"/>
      </w:pPr>
      <w:rPr>
        <w:rFonts w:ascii="Verdana" w:eastAsia="Cambria" w:hAnsi="Verdana" w:cs="Times New Roman" w:hint="default"/>
      </w:rPr>
    </w:lvl>
    <w:lvl w:ilvl="1" w:tplc="3B300B6C">
      <w:start w:val="5"/>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FE65D4"/>
    <w:multiLevelType w:val="hybridMultilevel"/>
    <w:tmpl w:val="8D34A5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41A2214"/>
    <w:multiLevelType w:val="hybridMultilevel"/>
    <w:tmpl w:val="486A5D0A"/>
    <w:lvl w:ilvl="0" w:tplc="660AE6EE">
      <w:start w:val="7"/>
      <w:numFmt w:val="bullet"/>
      <w:lvlText w:val="-"/>
      <w:lvlJc w:val="left"/>
      <w:pPr>
        <w:ind w:left="720" w:hanging="360"/>
      </w:pPr>
      <w:rPr>
        <w:rFonts w:ascii="Verdana" w:eastAsia="Cambri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592108BB"/>
    <w:multiLevelType w:val="hybridMultilevel"/>
    <w:tmpl w:val="2C38A754"/>
    <w:lvl w:ilvl="0" w:tplc="93ACC87E">
      <w:numFmt w:val="bullet"/>
      <w:lvlText w:val="-"/>
      <w:lvlJc w:val="left"/>
      <w:pPr>
        <w:ind w:left="1068" w:hanging="360"/>
      </w:pPr>
      <w:rPr>
        <w:rFonts w:ascii="Calibri" w:eastAsiaTheme="minorHAnsi" w:hAnsi="Calibri" w:cs="Calibri"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A6F69"/>
    <w:multiLevelType w:val="hybridMultilevel"/>
    <w:tmpl w:val="F3243CD4"/>
    <w:lvl w:ilvl="0" w:tplc="2D543AA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600A25B6"/>
    <w:multiLevelType w:val="hybridMultilevel"/>
    <w:tmpl w:val="EC121A74"/>
    <w:lvl w:ilvl="0" w:tplc="3B300B6C">
      <w:start w:val="5"/>
      <w:numFmt w:val="bullet"/>
      <w:lvlText w:val="-"/>
      <w:lvlJc w:val="left"/>
      <w:pPr>
        <w:ind w:left="789" w:hanging="360"/>
      </w:pPr>
      <w:rPr>
        <w:rFonts w:ascii="Times New Roman" w:eastAsia="Calibri" w:hAnsi="Times New Roman" w:cs="Times New Roman"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1" w15:restartNumberingAfterBreak="0">
    <w:nsid w:val="60A44ABC"/>
    <w:multiLevelType w:val="hybridMultilevel"/>
    <w:tmpl w:val="93B02B22"/>
    <w:lvl w:ilvl="0" w:tplc="B164DD26">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15:restartNumberingAfterBreak="0">
    <w:nsid w:val="60B71FBB"/>
    <w:multiLevelType w:val="hybridMultilevel"/>
    <w:tmpl w:val="1E866258"/>
    <w:lvl w:ilvl="0" w:tplc="3B300B6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842FA"/>
    <w:multiLevelType w:val="hybridMultilevel"/>
    <w:tmpl w:val="7FA8D882"/>
    <w:lvl w:ilvl="0" w:tplc="217853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A6541"/>
    <w:multiLevelType w:val="hybridMultilevel"/>
    <w:tmpl w:val="82C422C2"/>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6" w15:restartNumberingAfterBreak="0">
    <w:nsid w:val="67197227"/>
    <w:multiLevelType w:val="hybridMultilevel"/>
    <w:tmpl w:val="271252C8"/>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8A60484"/>
    <w:multiLevelType w:val="hybridMultilevel"/>
    <w:tmpl w:val="E934EF1E"/>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9C86DD6"/>
    <w:multiLevelType w:val="hybridMultilevel"/>
    <w:tmpl w:val="0C22D73C"/>
    <w:lvl w:ilvl="0" w:tplc="5E266512">
      <w:start w:val="5"/>
      <w:numFmt w:val="bullet"/>
      <w:lvlText w:val="-"/>
      <w:lvlJc w:val="left"/>
      <w:pPr>
        <w:ind w:left="1146"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6AD839EC"/>
    <w:multiLevelType w:val="hybridMultilevel"/>
    <w:tmpl w:val="AE9C2A5C"/>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1"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7A794C0F"/>
    <w:multiLevelType w:val="hybridMultilevel"/>
    <w:tmpl w:val="4824182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7DC7070D"/>
    <w:multiLevelType w:val="hybridMultilevel"/>
    <w:tmpl w:val="49A6D74C"/>
    <w:lvl w:ilvl="0" w:tplc="54BC257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5" w15:restartNumberingAfterBreak="0">
    <w:nsid w:val="7E067DEE"/>
    <w:multiLevelType w:val="hybridMultilevel"/>
    <w:tmpl w:val="1DDC0C18"/>
    <w:lvl w:ilvl="0" w:tplc="F5EAA8B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5"/>
  </w:num>
  <w:num w:numId="2">
    <w:abstractNumId w:val="3"/>
  </w:num>
  <w:num w:numId="3">
    <w:abstractNumId w:val="27"/>
  </w:num>
  <w:num w:numId="4">
    <w:abstractNumId w:val="4"/>
  </w:num>
  <w:num w:numId="5">
    <w:abstractNumId w:val="19"/>
  </w:num>
  <w:num w:numId="6">
    <w:abstractNumId w:val="17"/>
  </w:num>
  <w:num w:numId="7">
    <w:abstractNumId w:val="38"/>
  </w:num>
  <w:num w:numId="8">
    <w:abstractNumId w:val="42"/>
  </w:num>
  <w:num w:numId="9">
    <w:abstractNumId w:val="29"/>
  </w:num>
  <w:num w:numId="10">
    <w:abstractNumId w:val="11"/>
  </w:num>
  <w:num w:numId="11">
    <w:abstractNumId w:val="35"/>
  </w:num>
  <w:num w:numId="12">
    <w:abstractNumId w:val="41"/>
  </w:num>
  <w:num w:numId="13">
    <w:abstractNumId w:val="8"/>
  </w:num>
  <w:num w:numId="14">
    <w:abstractNumId w:val="25"/>
  </w:num>
  <w:num w:numId="15">
    <w:abstractNumId w:val="43"/>
  </w:num>
  <w:num w:numId="16">
    <w:abstractNumId w:val="1"/>
  </w:num>
  <w:num w:numId="17">
    <w:abstractNumId w:val="20"/>
  </w:num>
  <w:num w:numId="18">
    <w:abstractNumId w:val="40"/>
  </w:num>
  <w:num w:numId="19">
    <w:abstractNumId w:val="16"/>
  </w:num>
  <w:num w:numId="20">
    <w:abstractNumId w:val="9"/>
  </w:num>
  <w:num w:numId="21">
    <w:abstractNumId w:val="7"/>
  </w:num>
  <w:num w:numId="22">
    <w:abstractNumId w:val="36"/>
  </w:num>
  <w:num w:numId="23">
    <w:abstractNumId w:val="33"/>
  </w:num>
  <w:num w:numId="24">
    <w:abstractNumId w:val="14"/>
  </w:num>
  <w:num w:numId="25">
    <w:abstractNumId w:val="13"/>
  </w:num>
  <w:num w:numId="26">
    <w:abstractNumId w:val="34"/>
  </w:num>
  <w:num w:numId="27">
    <w:abstractNumId w:val="37"/>
  </w:num>
  <w:num w:numId="28">
    <w:abstractNumId w:val="23"/>
  </w:num>
  <w:num w:numId="29">
    <w:abstractNumId w:val="44"/>
  </w:num>
  <w:num w:numId="30">
    <w:abstractNumId w:val="39"/>
  </w:num>
  <w:num w:numId="31">
    <w:abstractNumId w:val="28"/>
  </w:num>
  <w:num w:numId="32">
    <w:abstractNumId w:val="15"/>
  </w:num>
  <w:num w:numId="33">
    <w:abstractNumId w:val="45"/>
  </w:num>
  <w:num w:numId="34">
    <w:abstractNumId w:val="2"/>
  </w:num>
  <w:num w:numId="35">
    <w:abstractNumId w:val="6"/>
  </w:num>
  <w:num w:numId="36">
    <w:abstractNumId w:val="31"/>
  </w:num>
  <w:num w:numId="37">
    <w:abstractNumId w:val="26"/>
  </w:num>
  <w:num w:numId="38">
    <w:abstractNumId w:val="10"/>
  </w:num>
  <w:num w:numId="39">
    <w:abstractNumId w:val="12"/>
  </w:num>
  <w:num w:numId="40">
    <w:abstractNumId w:val="18"/>
  </w:num>
  <w:num w:numId="41">
    <w:abstractNumId w:val="24"/>
  </w:num>
  <w:num w:numId="42">
    <w:abstractNumId w:val="21"/>
  </w:num>
  <w:num w:numId="43">
    <w:abstractNumId w:val="22"/>
  </w:num>
  <w:num w:numId="44">
    <w:abstractNumId w:val="0"/>
  </w:num>
  <w:num w:numId="45">
    <w:abstractNumId w:val="3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16F9A"/>
    <w:rsid w:val="000447B3"/>
    <w:rsid w:val="00050EEF"/>
    <w:rsid w:val="00093794"/>
    <w:rsid w:val="000A37BC"/>
    <w:rsid w:val="000B207F"/>
    <w:rsid w:val="000E16EE"/>
    <w:rsid w:val="000E4874"/>
    <w:rsid w:val="001132D2"/>
    <w:rsid w:val="0011597B"/>
    <w:rsid w:val="00124A9C"/>
    <w:rsid w:val="00127B0B"/>
    <w:rsid w:val="0014734A"/>
    <w:rsid w:val="00151FDA"/>
    <w:rsid w:val="0019598C"/>
    <w:rsid w:val="001C2BD3"/>
    <w:rsid w:val="001E4D9E"/>
    <w:rsid w:val="001F1381"/>
    <w:rsid w:val="001F70D6"/>
    <w:rsid w:val="00232073"/>
    <w:rsid w:val="002805BB"/>
    <w:rsid w:val="00287856"/>
    <w:rsid w:val="002D0F28"/>
    <w:rsid w:val="002D7E08"/>
    <w:rsid w:val="0032123B"/>
    <w:rsid w:val="003542EC"/>
    <w:rsid w:val="00392469"/>
    <w:rsid w:val="003A1B78"/>
    <w:rsid w:val="003C2ECF"/>
    <w:rsid w:val="003C6DD7"/>
    <w:rsid w:val="0043504F"/>
    <w:rsid w:val="0044334A"/>
    <w:rsid w:val="004A5994"/>
    <w:rsid w:val="004B5839"/>
    <w:rsid w:val="00505BD2"/>
    <w:rsid w:val="00525524"/>
    <w:rsid w:val="00534042"/>
    <w:rsid w:val="00535EE6"/>
    <w:rsid w:val="00536D39"/>
    <w:rsid w:val="00596671"/>
    <w:rsid w:val="005D172F"/>
    <w:rsid w:val="0062071E"/>
    <w:rsid w:val="00643266"/>
    <w:rsid w:val="0065499A"/>
    <w:rsid w:val="00673B92"/>
    <w:rsid w:val="00680882"/>
    <w:rsid w:val="00691157"/>
    <w:rsid w:val="006B5B33"/>
    <w:rsid w:val="006D4855"/>
    <w:rsid w:val="00700164"/>
    <w:rsid w:val="007164E5"/>
    <w:rsid w:val="007321B9"/>
    <w:rsid w:val="00757143"/>
    <w:rsid w:val="00792166"/>
    <w:rsid w:val="00796D81"/>
    <w:rsid w:val="0080628A"/>
    <w:rsid w:val="00815707"/>
    <w:rsid w:val="00844A9B"/>
    <w:rsid w:val="00860C38"/>
    <w:rsid w:val="00884D4B"/>
    <w:rsid w:val="0089313E"/>
    <w:rsid w:val="008976A0"/>
    <w:rsid w:val="008B13A3"/>
    <w:rsid w:val="008B172F"/>
    <w:rsid w:val="008C2571"/>
    <w:rsid w:val="00943796"/>
    <w:rsid w:val="009612BB"/>
    <w:rsid w:val="0098353F"/>
    <w:rsid w:val="009F03A7"/>
    <w:rsid w:val="00A50F1D"/>
    <w:rsid w:val="00A56955"/>
    <w:rsid w:val="00A662C1"/>
    <w:rsid w:val="00A662FF"/>
    <w:rsid w:val="00AD7D0E"/>
    <w:rsid w:val="00AF0F60"/>
    <w:rsid w:val="00AF7D78"/>
    <w:rsid w:val="00B07502"/>
    <w:rsid w:val="00B31E8C"/>
    <w:rsid w:val="00B47B23"/>
    <w:rsid w:val="00B52701"/>
    <w:rsid w:val="00B5416D"/>
    <w:rsid w:val="00B60C23"/>
    <w:rsid w:val="00B6704F"/>
    <w:rsid w:val="00B96BB0"/>
    <w:rsid w:val="00BA17B0"/>
    <w:rsid w:val="00BB2A13"/>
    <w:rsid w:val="00BC0E3C"/>
    <w:rsid w:val="00BC14A5"/>
    <w:rsid w:val="00CC4913"/>
    <w:rsid w:val="00CC59C1"/>
    <w:rsid w:val="00CE223D"/>
    <w:rsid w:val="00CF677F"/>
    <w:rsid w:val="00D04FF4"/>
    <w:rsid w:val="00D25017"/>
    <w:rsid w:val="00D37EF6"/>
    <w:rsid w:val="00D64346"/>
    <w:rsid w:val="00D869BD"/>
    <w:rsid w:val="00DC0897"/>
    <w:rsid w:val="00DF4FC4"/>
    <w:rsid w:val="00DF6CB3"/>
    <w:rsid w:val="00E137DE"/>
    <w:rsid w:val="00E34B7B"/>
    <w:rsid w:val="00E4016B"/>
    <w:rsid w:val="00E71322"/>
    <w:rsid w:val="00E93D80"/>
    <w:rsid w:val="00EA06E2"/>
    <w:rsid w:val="00EE3C2D"/>
    <w:rsid w:val="00EF4E42"/>
    <w:rsid w:val="00F11083"/>
    <w:rsid w:val="00F1254B"/>
    <w:rsid w:val="00F425AD"/>
    <w:rsid w:val="00F65DE0"/>
    <w:rsid w:val="00F729C1"/>
    <w:rsid w:val="00F80D24"/>
    <w:rsid w:val="00FB2C6C"/>
    <w:rsid w:val="00FD7720"/>
    <w:rsid w:val="00FE0978"/>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4E7B"/>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ja.laurila@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B1-DPR@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6954</Characters>
  <Application>Microsoft Office Word</Application>
  <DocSecurity>0</DocSecurity>
  <Lines>169</Lines>
  <Paragraphs>87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HENROTTE Corinne (HR)</dc:creator>
  <cp:lastModifiedBy>HENROTTE Corinne (HR)</cp:lastModifiedBy>
  <cp:revision>2</cp:revision>
  <cp:lastPrinted>2022-11-14T11:37:00Z</cp:lastPrinted>
  <dcterms:created xsi:type="dcterms:W3CDTF">2022-11-14T16:12:00Z</dcterms:created>
  <dcterms:modified xsi:type="dcterms:W3CDTF">2022-11-14T16:12:00Z</dcterms:modified>
</cp:coreProperties>
</file>