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32673" w:rsidP="0080628A">
            <w:pPr>
              <w:rPr>
                <w:rFonts w:ascii="Times New Roman" w:eastAsia="Times New Roman" w:hAnsi="Times New Roman" w:cs="Times New Roman"/>
                <w:b/>
                <w:sz w:val="24"/>
                <w:szCs w:val="20"/>
                <w:lang w:eastAsia="en-GB"/>
              </w:rPr>
            </w:pPr>
            <w:bookmarkStart w:id="0" w:name="_GoBack"/>
            <w:r w:rsidRPr="00632673">
              <w:rPr>
                <w:rFonts w:ascii="Times New Roman" w:eastAsia="Times New Roman" w:hAnsi="Times New Roman" w:cs="Times New Roman"/>
                <w:b/>
                <w:sz w:val="24"/>
                <w:szCs w:val="20"/>
                <w:lang w:eastAsia="en-GB"/>
              </w:rPr>
              <w:t>INTPA-R-3</w:t>
            </w:r>
            <w:bookmarkEnd w:id="0"/>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32673" w:rsidRPr="00632673" w:rsidRDefault="00632673" w:rsidP="00632673">
            <w:pPr>
              <w:jc w:val="both"/>
              <w:outlineLvl w:val="1"/>
              <w:rPr>
                <w:rFonts w:ascii="Times New Roman" w:eastAsia="Times New Roman" w:hAnsi="Times New Roman" w:cs="Times New Roman"/>
                <w:b/>
                <w:bCs/>
                <w:lang w:val="en-GB" w:eastAsia="fr-BE"/>
              </w:rPr>
            </w:pPr>
            <w:r w:rsidRPr="00632673">
              <w:rPr>
                <w:rFonts w:ascii="Times New Roman" w:eastAsia="Times New Roman" w:hAnsi="Times New Roman" w:cs="Times New Roman"/>
                <w:b/>
                <w:bCs/>
                <w:lang w:val="en-GB" w:eastAsia="fr-BE"/>
              </w:rPr>
              <w:t>Emmanouil-Georgios PAPAIOANNOU</w:t>
            </w:r>
          </w:p>
          <w:p w:rsidR="00632673" w:rsidRPr="00632673" w:rsidRDefault="00632673" w:rsidP="00632673">
            <w:pPr>
              <w:jc w:val="both"/>
              <w:outlineLvl w:val="1"/>
              <w:rPr>
                <w:rFonts w:ascii="Times New Roman" w:eastAsia="Times New Roman" w:hAnsi="Times New Roman" w:cs="Times New Roman"/>
                <w:b/>
                <w:bCs/>
                <w:lang w:val="en-GB" w:eastAsia="fr-BE"/>
              </w:rPr>
            </w:pPr>
            <w:hyperlink r:id="rId8" w:history="1">
              <w:r w:rsidRPr="00632673">
                <w:rPr>
                  <w:rFonts w:ascii="Times New Roman" w:eastAsia="Times New Roman" w:hAnsi="Times New Roman" w:cs="Times New Roman"/>
                  <w:b/>
                  <w:bCs/>
                  <w:color w:val="0000FF"/>
                  <w:u w:val="single"/>
                  <w:lang w:val="en-GB" w:eastAsia="fr-BE"/>
                </w:rPr>
                <w:t>Emmanouil.Papaioannou@ec.europa.eu</w:t>
              </w:r>
            </w:hyperlink>
            <w:r w:rsidRPr="00632673">
              <w:rPr>
                <w:rFonts w:ascii="Times New Roman" w:eastAsia="Times New Roman" w:hAnsi="Times New Roman" w:cs="Times New Roman"/>
                <w:b/>
                <w:bCs/>
                <w:lang w:val="en-GB" w:eastAsia="fr-BE"/>
              </w:rPr>
              <w:t xml:space="preserve"> </w:t>
            </w:r>
          </w:p>
          <w:p w:rsidR="009F03A7" w:rsidRPr="009F03A7" w:rsidRDefault="00632673" w:rsidP="00632673">
            <w:pPr>
              <w:rPr>
                <w:rFonts w:ascii="Times New Roman" w:eastAsia="Times New Roman" w:hAnsi="Times New Roman" w:cs="Times New Roman"/>
                <w:b/>
                <w:lang w:val="de-DE" w:eastAsia="en-GB"/>
              </w:rPr>
            </w:pPr>
            <w:r w:rsidRPr="00632673">
              <w:rPr>
                <w:rFonts w:ascii="Times New Roman" w:eastAsia="Times New Roman" w:hAnsi="Times New Roman" w:cs="Times New Roman"/>
                <w:b/>
                <w:bCs/>
                <w:lang w:eastAsia="fr-BE"/>
              </w:rPr>
              <w:t>003222969988</w:t>
            </w:r>
          </w:p>
          <w:p w:rsidR="009F03A7" w:rsidRPr="009F03A7" w:rsidRDefault="0080628A"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792166" w:rsidP="00792166">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5D172F" w:rsidP="009F03A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bCs/>
                <w:lang w:val="en-US" w:eastAsia="en-GB"/>
              </w:rPr>
              <w:t xml:space="preserve">    </w:t>
            </w:r>
            <w:r w:rsidR="009F03A7"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bCs/>
                <w:lang w:val="en-US" w:eastAsia="en-GB"/>
              </w:rPr>
              <w:t> </w:t>
            </w:r>
            <w:r w:rsidR="009F03A7" w:rsidRPr="00AF7D78">
              <w:rPr>
                <w:rFonts w:ascii="Times New Roman" w:eastAsia="MS Minngs" w:hAnsi="Times New Roman" w:cs="Times New Roman"/>
                <w:bCs/>
                <w:lang w:val="en-US" w:eastAsia="en-GB"/>
              </w:rPr>
              <w:t xml:space="preserve"> </w:t>
            </w:r>
            <w:r w:rsidR="009F03A7"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632673" w:rsidP="009F03A7">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005D172F"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Norway  </w:t>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F03A7" w:rsidRPr="00AF7D78">
              <w:rPr>
                <w:rFonts w:ascii="Times New Roman" w:eastAsia="Times New Roman" w:hAnsi="Times New Roman" w:cs="Times New Roman"/>
                <w:b/>
                <w:sz w:val="24"/>
                <w:szCs w:val="20"/>
                <w:lang w:val="en-US" w:eastAsia="en-GB"/>
              </w:rPr>
              <w:br/>
            </w:r>
            <w:r w:rsidR="00792166"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632673" w:rsidRDefault="00632673" w:rsidP="00632673">
      <w:pPr>
        <w:spacing w:after="0" w:line="240" w:lineRule="auto"/>
        <w:ind w:left="425" w:right="142"/>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The Directorate-General for International Partnerships is responsible for designing EU development policies and for the implementation of the Commission's external aid instruments.</w:t>
      </w:r>
    </w:p>
    <w:p w:rsidR="00632673" w:rsidRPr="00632673" w:rsidRDefault="00632673" w:rsidP="00632673">
      <w:pPr>
        <w:spacing w:after="0" w:line="240" w:lineRule="auto"/>
        <w:ind w:left="425" w:right="142"/>
        <w:jc w:val="both"/>
        <w:rPr>
          <w:rFonts w:ascii="Times New Roman" w:eastAsia="Times New Roman" w:hAnsi="Times New Roman" w:cs="Times New Roman"/>
          <w:lang w:val="en-GB" w:eastAsia="en-GB"/>
        </w:rPr>
      </w:pPr>
    </w:p>
    <w:p w:rsidR="00632673" w:rsidRDefault="00632673" w:rsidP="00632673">
      <w:pPr>
        <w:spacing w:after="0" w:line="240" w:lineRule="auto"/>
        <w:ind w:left="425" w:right="142"/>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The Directorate for Resources ensures the provision of the resources necessary for the good functioning of INTPA both in Headquarters and in Delegations.</w:t>
      </w:r>
    </w:p>
    <w:p w:rsidR="00632673" w:rsidRPr="00632673" w:rsidRDefault="00632673" w:rsidP="00632673">
      <w:pPr>
        <w:spacing w:after="0" w:line="240" w:lineRule="auto"/>
        <w:ind w:left="425" w:right="142"/>
        <w:jc w:val="both"/>
        <w:rPr>
          <w:rFonts w:ascii="Times New Roman" w:eastAsia="Times New Roman" w:hAnsi="Times New Roman" w:cs="Times New Roman"/>
          <w:lang w:val="en-GB" w:eastAsia="en-GB"/>
        </w:rPr>
      </w:pPr>
    </w:p>
    <w:p w:rsidR="00632673" w:rsidRPr="00632673" w:rsidRDefault="00632673" w:rsidP="00632673">
      <w:pPr>
        <w:spacing w:after="0" w:line="240" w:lineRule="auto"/>
        <w:ind w:left="425" w:right="142"/>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Unit INTPA R3 - Audit and Control, is responsible for the co-ordination and follow-up of DG INTPA's internal control system especially the DG's assurance strategy. It oversees and coordinates relations with key external and internal control stakeholders, such as the European Court of Auditors, OLAF, IAS and control bodies of international organizations. It is responsible for the methodology for and monitoring of the system of audits and expenditure verifications by external service providers of operations under the remit of DG INTPA. The work of the Unit supports the Director General in his Annual Declaration of Assurance within the Annual Activity Report.</w:t>
      </w:r>
    </w:p>
    <w:p w:rsidR="00632673" w:rsidRPr="00632673" w:rsidRDefault="00632673" w:rsidP="00632673">
      <w:pPr>
        <w:spacing w:after="0" w:line="240" w:lineRule="auto"/>
        <w:ind w:left="425" w:right="142"/>
        <w:jc w:val="both"/>
        <w:rPr>
          <w:rFonts w:ascii="Times New Roman" w:eastAsia="Times New Roman" w:hAnsi="Times New Roman" w:cs="Times New Roman"/>
          <w:lang w:val="en-GB" w:eastAsia="en-GB"/>
        </w:rPr>
      </w:pPr>
    </w:p>
    <w:p w:rsidR="00632673" w:rsidRPr="00632673" w:rsidRDefault="00632673" w:rsidP="00632673">
      <w:pPr>
        <w:spacing w:after="0" w:line="240" w:lineRule="auto"/>
        <w:ind w:left="425" w:right="142"/>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Under the supervision of the Team Leader, contribute to the implementation of INTPA's Pillar Assessments and Simplified Cost Options audits.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 The more specific duties include the following:</w:t>
      </w:r>
    </w:p>
    <w:p w:rsidR="00632673" w:rsidRPr="00632673" w:rsidRDefault="00632673" w:rsidP="00632673">
      <w:pPr>
        <w:spacing w:after="0" w:line="240" w:lineRule="auto"/>
        <w:ind w:left="425" w:right="142"/>
        <w:jc w:val="both"/>
        <w:rPr>
          <w:rFonts w:ascii="Times New Roman" w:eastAsia="Times New Roman" w:hAnsi="Times New Roman" w:cs="Times New Roman"/>
          <w:lang w:val="en-GB" w:eastAsia="en-GB"/>
        </w:rPr>
      </w:pPr>
    </w:p>
    <w:p w:rsidR="00632673" w:rsidRPr="00632673" w:rsidRDefault="00632673" w:rsidP="00632673">
      <w:pPr>
        <w:spacing w:after="0" w:line="240" w:lineRule="auto"/>
        <w:ind w:left="709" w:right="142" w:hanging="284"/>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w:t>
      </w:r>
      <w:r w:rsidRPr="00632673">
        <w:rPr>
          <w:rFonts w:ascii="Times New Roman" w:eastAsia="Times New Roman" w:hAnsi="Times New Roman" w:cs="Times New Roman"/>
          <w:lang w:val="en-GB" w:eastAsia="en-GB"/>
        </w:rPr>
        <w:tab/>
        <w:t>Contribute to the operationalisation and implementation of the provisions of the Financial Regulation with respect to indirect management, notably through ex-ante pillar assessments of entities to be entrusted with budget implementation.</w:t>
      </w:r>
    </w:p>
    <w:p w:rsidR="00632673" w:rsidRPr="00632673" w:rsidRDefault="00632673" w:rsidP="00632673">
      <w:pPr>
        <w:spacing w:after="0" w:line="240" w:lineRule="auto"/>
        <w:ind w:left="709" w:right="142" w:hanging="284"/>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w:t>
      </w:r>
      <w:r w:rsidRPr="00632673">
        <w:rPr>
          <w:rFonts w:ascii="Times New Roman" w:eastAsia="Times New Roman" w:hAnsi="Times New Roman" w:cs="Times New Roman"/>
          <w:lang w:val="en-GB" w:eastAsia="en-GB"/>
        </w:rPr>
        <w:tab/>
        <w:t>Contribute to the operationalisation of the provisions of the Financial Regulation with respect to Simplified Cost Options.</w:t>
      </w:r>
    </w:p>
    <w:p w:rsidR="00632673" w:rsidRPr="00632673" w:rsidRDefault="00632673" w:rsidP="00632673">
      <w:pPr>
        <w:spacing w:after="0" w:line="240" w:lineRule="auto"/>
        <w:ind w:left="709" w:right="142" w:hanging="284"/>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w:t>
      </w:r>
      <w:r w:rsidRPr="00632673">
        <w:rPr>
          <w:rFonts w:ascii="Times New Roman" w:eastAsia="Times New Roman" w:hAnsi="Times New Roman" w:cs="Times New Roman"/>
          <w:lang w:val="en-GB" w:eastAsia="en-GB"/>
        </w:rPr>
        <w:tab/>
        <w:t>Monitor and analyse audits and assessments delivered by external service providers on the basis of terms of reference developed by the unit or other Commission services.</w:t>
      </w:r>
    </w:p>
    <w:p w:rsidR="00632673" w:rsidRPr="00632673" w:rsidRDefault="00632673" w:rsidP="00632673">
      <w:pPr>
        <w:spacing w:after="0" w:line="240" w:lineRule="auto"/>
        <w:ind w:left="709" w:right="142" w:hanging="284"/>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w:t>
      </w:r>
      <w:r w:rsidRPr="00632673">
        <w:rPr>
          <w:rFonts w:ascii="Times New Roman" w:eastAsia="Times New Roman" w:hAnsi="Times New Roman" w:cs="Times New Roman"/>
          <w:lang w:val="en-GB" w:eastAsia="en-GB"/>
        </w:rPr>
        <w:tab/>
        <w:t>Contribute to improving systems and processes related to the management of pillar assessments and simplified cost options.</w:t>
      </w:r>
    </w:p>
    <w:p w:rsidR="00632673" w:rsidRPr="00632673" w:rsidRDefault="00632673" w:rsidP="00632673">
      <w:pPr>
        <w:spacing w:after="0" w:line="240" w:lineRule="auto"/>
        <w:ind w:left="709" w:right="142" w:hanging="284"/>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w:t>
      </w:r>
      <w:r w:rsidRPr="00632673">
        <w:rPr>
          <w:rFonts w:ascii="Times New Roman" w:eastAsia="Times New Roman" w:hAnsi="Times New Roman" w:cs="Times New Roman"/>
          <w:lang w:val="en-GB" w:eastAsia="en-GB"/>
        </w:rPr>
        <w:tab/>
        <w:t>Provide support and assistance to other INTPA services and units, delegations and other Commission services regarding all the stages in the implementation of ex-ante pillar assessments and audits of simplified cost options.</w:t>
      </w:r>
    </w:p>
    <w:p w:rsidR="00632673" w:rsidRPr="00632673" w:rsidRDefault="00632673" w:rsidP="00632673">
      <w:pPr>
        <w:spacing w:after="0" w:line="240" w:lineRule="auto"/>
        <w:ind w:left="709" w:right="142" w:hanging="284"/>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w:t>
      </w:r>
      <w:r w:rsidRPr="00632673">
        <w:rPr>
          <w:rFonts w:ascii="Times New Roman" w:eastAsia="Times New Roman" w:hAnsi="Times New Roman" w:cs="Times New Roman"/>
          <w:lang w:val="en-GB" w:eastAsia="en-GB"/>
        </w:rPr>
        <w:tab/>
        <w:t>Contribute to the follow-up on the implementation of agreed actions resulting from pillar assessments and simplified cost options audits.</w:t>
      </w:r>
    </w:p>
    <w:p w:rsidR="00632673" w:rsidRPr="00632673" w:rsidRDefault="00632673" w:rsidP="00632673">
      <w:pPr>
        <w:spacing w:after="0" w:line="240" w:lineRule="auto"/>
        <w:ind w:left="709" w:right="142" w:hanging="284"/>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w:t>
      </w:r>
      <w:r w:rsidRPr="00632673">
        <w:rPr>
          <w:rFonts w:ascii="Times New Roman" w:eastAsia="Times New Roman" w:hAnsi="Times New Roman" w:cs="Times New Roman"/>
          <w:lang w:val="en-GB" w:eastAsia="en-GB"/>
        </w:rPr>
        <w:tab/>
        <w:t>Contribute to the overall work of the unit, as regards monitoring, reporting and reinforcing of internal control aspects.</w:t>
      </w:r>
    </w:p>
    <w:p w:rsidR="005D172F" w:rsidRPr="005D172F" w:rsidRDefault="00632673" w:rsidP="00632673">
      <w:pPr>
        <w:spacing w:after="0" w:line="240" w:lineRule="auto"/>
        <w:ind w:left="709" w:right="142" w:hanging="284"/>
        <w:jc w:val="both"/>
        <w:rPr>
          <w:rFonts w:ascii="Times New Roman" w:eastAsia="Times New Roman" w:hAnsi="Times New Roman" w:cs="Times New Roman"/>
          <w:lang w:val="en-GB" w:eastAsia="en-GB"/>
        </w:rPr>
      </w:pPr>
      <w:r w:rsidRPr="00632673">
        <w:rPr>
          <w:rFonts w:ascii="Times New Roman" w:eastAsia="Times New Roman" w:hAnsi="Times New Roman" w:cs="Times New Roman"/>
          <w:lang w:val="en-GB" w:eastAsia="en-GB"/>
        </w:rPr>
        <w:t>•</w:t>
      </w:r>
      <w:r w:rsidRPr="00632673">
        <w:rPr>
          <w:rFonts w:ascii="Times New Roman" w:eastAsia="Times New Roman" w:hAnsi="Times New Roman" w:cs="Times New Roman"/>
          <w:lang w:val="en-GB" w:eastAsia="en-GB"/>
        </w:rPr>
        <w:tab/>
        <w:t>Occasionally provide trainings and presentations, e.g. in HQ and in seminars/missions.</w:t>
      </w:r>
    </w:p>
    <w:p w:rsidR="005D172F" w:rsidRDefault="005D172F" w:rsidP="005D172F">
      <w:pPr>
        <w:spacing w:after="0" w:line="240" w:lineRule="auto"/>
        <w:ind w:left="426" w:right="1315"/>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6326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632673">
        <w:rPr>
          <w:rFonts w:ascii="Times New Roman" w:eastAsia="Times New Roman" w:hAnsi="Times New Roman" w:cs="Times New Roman"/>
          <w:lang w:val="en-US" w:eastAsia="en-GB"/>
        </w:rPr>
        <w:t>a</w:t>
      </w:r>
      <w:r w:rsidR="00632673" w:rsidRPr="00632673">
        <w:rPr>
          <w:rFonts w:ascii="Times New Roman" w:eastAsia="Times New Roman" w:hAnsi="Times New Roman" w:cs="Times New Roman"/>
          <w:lang w:val="en-US" w:eastAsia="en-GB"/>
        </w:rPr>
        <w:t xml:space="preserve">udit, </w:t>
      </w:r>
      <w:r w:rsidR="00632673">
        <w:rPr>
          <w:rFonts w:ascii="Times New Roman" w:eastAsia="Times New Roman" w:hAnsi="Times New Roman" w:cs="Times New Roman"/>
          <w:lang w:val="en-US" w:eastAsia="en-GB"/>
        </w:rPr>
        <w:t>i</w:t>
      </w:r>
      <w:r w:rsidR="00632673" w:rsidRPr="00632673">
        <w:rPr>
          <w:rFonts w:ascii="Times New Roman" w:eastAsia="Times New Roman" w:hAnsi="Times New Roman" w:cs="Times New Roman"/>
          <w:lang w:val="en-US" w:eastAsia="en-GB"/>
        </w:rPr>
        <w:t xml:space="preserve">nternal </w:t>
      </w:r>
      <w:r w:rsidR="00632673">
        <w:rPr>
          <w:rFonts w:ascii="Times New Roman" w:eastAsia="Times New Roman" w:hAnsi="Times New Roman" w:cs="Times New Roman"/>
          <w:lang w:val="en-US" w:eastAsia="en-GB"/>
        </w:rPr>
        <w:t>c</w:t>
      </w:r>
      <w:r w:rsidR="00632673" w:rsidRPr="00632673">
        <w:rPr>
          <w:rFonts w:ascii="Times New Roman" w:eastAsia="Times New Roman" w:hAnsi="Times New Roman" w:cs="Times New Roman"/>
          <w:lang w:val="en-US" w:eastAsia="en-GB"/>
        </w:rPr>
        <w:t>ontrol</w:t>
      </w:r>
      <w:r w:rsidR="00632673">
        <w:rPr>
          <w:rFonts w:ascii="Times New Roman" w:eastAsia="Times New Roman" w:hAnsi="Times New Roman" w:cs="Times New Roman"/>
          <w:lang w:val="en-US" w:eastAsia="en-GB"/>
        </w:rPr>
        <w:t xml:space="preserve">. </w:t>
      </w:r>
      <w:r w:rsidR="00632673" w:rsidRPr="00632673">
        <w:rPr>
          <w:rFonts w:ascii="Times New Roman" w:eastAsia="Times New Roman" w:hAnsi="Times New Roman" w:cs="Times New Roman"/>
          <w:lang w:val="en-US" w:eastAsia="en-GB"/>
        </w:rPr>
        <w:t xml:space="preserve">Certification in </w:t>
      </w:r>
      <w:r w:rsidR="00632673">
        <w:rPr>
          <w:rFonts w:ascii="Times New Roman" w:eastAsia="Times New Roman" w:hAnsi="Times New Roman" w:cs="Times New Roman"/>
          <w:lang w:val="en-US" w:eastAsia="en-GB"/>
        </w:rPr>
        <w:t>a</w:t>
      </w:r>
      <w:r w:rsidR="00632673" w:rsidRPr="00632673">
        <w:rPr>
          <w:rFonts w:ascii="Times New Roman" w:eastAsia="Times New Roman" w:hAnsi="Times New Roman" w:cs="Times New Roman"/>
          <w:lang w:val="en-US" w:eastAsia="en-GB"/>
        </w:rPr>
        <w:t xml:space="preserve">udit and related fields would be an asset (e.g. CIA, CGAP, CPA, </w:t>
      </w:r>
      <w:proofErr w:type="gramStart"/>
      <w:r w:rsidR="00632673" w:rsidRPr="00632673">
        <w:rPr>
          <w:rFonts w:ascii="Times New Roman" w:eastAsia="Times New Roman" w:hAnsi="Times New Roman" w:cs="Times New Roman"/>
          <w:lang w:val="en-US" w:eastAsia="en-GB"/>
        </w:rPr>
        <w:t>CFE</w:t>
      </w:r>
      <w:proofErr w:type="gramEnd"/>
      <w:r w:rsidR="00632673" w:rsidRPr="00632673">
        <w:rPr>
          <w:rFonts w:ascii="Times New Roman" w:eastAsia="Times New Roman" w:hAnsi="Times New Roman" w:cs="Times New Roman"/>
          <w:lang w:val="en-US" w:eastAsia="en-GB"/>
        </w:rPr>
        <w:t>)</w:t>
      </w:r>
      <w:r w:rsidR="005D172F" w:rsidRPr="005D172F">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632673" w:rsidRPr="00632673" w:rsidRDefault="00632673" w:rsidP="00632673">
      <w:pPr>
        <w:autoSpaceDE w:val="0"/>
        <w:autoSpaceDN w:val="0"/>
        <w:adjustRightInd w:val="0"/>
        <w:spacing w:before="120" w:after="0" w:line="240" w:lineRule="auto"/>
        <w:ind w:left="708"/>
        <w:contextualSpacing/>
        <w:jc w:val="both"/>
        <w:rPr>
          <w:rFonts w:ascii="Times New Roman" w:hAnsi="Times New Roman" w:cs="Times New Roman"/>
          <w:lang w:val="en-GB"/>
        </w:rPr>
      </w:pPr>
      <w:r w:rsidRPr="00632673">
        <w:rPr>
          <w:rFonts w:ascii="Times New Roman" w:hAnsi="Times New Roman" w:cs="Times New Roman"/>
          <w:lang w:val="en-GB"/>
        </w:rPr>
        <w:t>Audit (internal and/or external)</w:t>
      </w:r>
    </w:p>
    <w:p w:rsidR="00632673" w:rsidRPr="00632673" w:rsidRDefault="00632673" w:rsidP="00632673">
      <w:pPr>
        <w:autoSpaceDE w:val="0"/>
        <w:autoSpaceDN w:val="0"/>
        <w:adjustRightInd w:val="0"/>
        <w:spacing w:before="120" w:after="0" w:line="240" w:lineRule="auto"/>
        <w:ind w:left="708"/>
        <w:contextualSpacing/>
        <w:jc w:val="both"/>
        <w:rPr>
          <w:rFonts w:ascii="Times New Roman" w:hAnsi="Times New Roman" w:cs="Times New Roman"/>
          <w:lang w:val="en-GB"/>
        </w:rPr>
      </w:pPr>
      <w:r w:rsidRPr="00632673">
        <w:rPr>
          <w:rFonts w:ascii="Times New Roman" w:hAnsi="Times New Roman" w:cs="Times New Roman"/>
          <w:lang w:val="en-GB"/>
        </w:rPr>
        <w:t>Financial and internal control</w:t>
      </w:r>
    </w:p>
    <w:p w:rsidR="00A50F1D" w:rsidRPr="00A50F1D" w:rsidRDefault="00632673" w:rsidP="00632673">
      <w:pPr>
        <w:autoSpaceDE w:val="0"/>
        <w:autoSpaceDN w:val="0"/>
        <w:adjustRightInd w:val="0"/>
        <w:spacing w:before="120" w:after="0" w:line="240" w:lineRule="auto"/>
        <w:ind w:left="708"/>
        <w:contextualSpacing/>
        <w:jc w:val="both"/>
        <w:rPr>
          <w:rFonts w:ascii="Times New Roman" w:hAnsi="Times New Roman" w:cs="Times New Roman"/>
          <w:lang w:val="en-GB"/>
        </w:rPr>
      </w:pPr>
      <w:r w:rsidRPr="00632673">
        <w:rPr>
          <w:rFonts w:ascii="Times New Roman" w:hAnsi="Times New Roman" w:cs="Times New Roman"/>
          <w:lang w:val="en-GB"/>
        </w:rPr>
        <w:t>Risk Management</w:t>
      </w:r>
      <w:r w:rsidR="00191B4F" w:rsidRPr="00191B4F">
        <w:rPr>
          <w:rFonts w:ascii="Times New Roman" w:hAnsi="Times New Roman" w:cs="Times New Roman"/>
          <w:lang w:val="en-GB"/>
        </w:rPr>
        <w:t>.</w:t>
      </w:r>
    </w:p>
    <w:p w:rsidR="0080628A" w:rsidRDefault="0080628A" w:rsidP="0080628A">
      <w:pPr>
        <w:tabs>
          <w:tab w:val="left" w:pos="709"/>
        </w:tabs>
        <w:spacing w:after="0" w:line="240" w:lineRule="auto"/>
        <w:ind w:left="709" w:right="60"/>
        <w:jc w:val="both"/>
        <w:rPr>
          <w:rFonts w:ascii="Times New Roman" w:hAnsi="Times New Roman" w:cs="Times New Roman"/>
          <w:lang w:val="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32673" w:rsidP="00632673">
      <w:pPr>
        <w:tabs>
          <w:tab w:val="left" w:pos="709"/>
        </w:tabs>
        <w:spacing w:after="0" w:line="240" w:lineRule="auto"/>
        <w:ind w:left="709" w:right="60"/>
        <w:jc w:val="both"/>
        <w:rPr>
          <w:rFonts w:ascii="Times New Roman" w:eastAsia="Times New Roman" w:hAnsi="Times New Roman" w:cs="Times New Roman"/>
          <w:lang w:val="en-US" w:eastAsia="en-GB"/>
        </w:rPr>
      </w:pPr>
      <w:proofErr w:type="gramStart"/>
      <w:r w:rsidRPr="00632673">
        <w:rPr>
          <w:rFonts w:ascii="Times New Roman" w:eastAsia="Times New Roman" w:hAnsi="Times New Roman" w:cs="Times New Roman"/>
          <w:lang w:val="en-US" w:eastAsia="en-GB"/>
        </w:rPr>
        <w:t>English</w:t>
      </w:r>
      <w:r>
        <w:rPr>
          <w:rFonts w:ascii="Times New Roman" w:eastAsia="Times New Roman" w:hAnsi="Times New Roman" w:cs="Times New Roman"/>
          <w:lang w:val="en-US" w:eastAsia="en-GB"/>
        </w:rPr>
        <w:t xml:space="preserve"> :</w:t>
      </w:r>
      <w:proofErr w:type="gramEnd"/>
      <w:r w:rsidRPr="00632673">
        <w:rPr>
          <w:rFonts w:ascii="Times New Roman" w:eastAsia="Times New Roman" w:hAnsi="Times New Roman" w:cs="Times New Roman"/>
          <w:lang w:val="en-US" w:eastAsia="en-GB"/>
        </w:rPr>
        <w:t xml:space="preserve"> excellent oral communication and drafting skills</w:t>
      </w:r>
      <w:r>
        <w:rPr>
          <w:rFonts w:ascii="Times New Roman" w:eastAsia="Times New Roman" w:hAnsi="Times New Roman" w:cs="Times New Roman"/>
          <w:lang w:val="en-US" w:eastAsia="en-GB"/>
        </w:rPr>
        <w:t xml:space="preserve">. </w:t>
      </w:r>
      <w:proofErr w:type="gramStart"/>
      <w:r>
        <w:rPr>
          <w:rFonts w:ascii="Times New Roman" w:eastAsia="Times New Roman" w:hAnsi="Times New Roman" w:cs="Times New Roman"/>
          <w:lang w:val="en-US" w:eastAsia="en-GB"/>
        </w:rPr>
        <w:t>French :</w:t>
      </w:r>
      <w:proofErr w:type="gramEnd"/>
      <w:r w:rsidRPr="00632673">
        <w:rPr>
          <w:rFonts w:ascii="Times New Roman" w:eastAsia="Times New Roman" w:hAnsi="Times New Roman" w:cs="Times New Roman"/>
          <w:lang w:val="en-US" w:eastAsia="en-GB"/>
        </w:rPr>
        <w:t xml:space="preserve"> good oral communication and drafting skills</w:t>
      </w:r>
      <w:r w:rsidR="005D172F" w:rsidRPr="005D172F">
        <w:rPr>
          <w:rFonts w:ascii="Times New Roman" w:eastAsia="Times New Roman" w:hAnsi="Times New Roman" w:cs="Times New Roman"/>
          <w:lang w:val="en-US" w:eastAsia="en-GB"/>
        </w:rPr>
        <w:t>.</w:t>
      </w: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32673">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480"/>
    <w:multiLevelType w:val="hybridMultilevel"/>
    <w:tmpl w:val="AA0C2BE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0A62740"/>
    <w:multiLevelType w:val="hybridMultilevel"/>
    <w:tmpl w:val="39445188"/>
    <w:lvl w:ilvl="0" w:tplc="660AE6EE">
      <w:start w:val="7"/>
      <w:numFmt w:val="bullet"/>
      <w:lvlText w:val="-"/>
      <w:lvlJc w:val="left"/>
      <w:pPr>
        <w:ind w:left="1429" w:hanging="360"/>
      </w:pPr>
      <w:rPr>
        <w:rFonts w:ascii="Verdana" w:eastAsia="Cambria" w:hAnsi="Verdana" w:cs="Times New Roman" w:hint="default"/>
      </w:rPr>
    </w:lvl>
    <w:lvl w:ilvl="1" w:tplc="2070F076">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9902CD0"/>
    <w:multiLevelType w:val="hybridMultilevel"/>
    <w:tmpl w:val="D1AAEA9E"/>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E771EFE"/>
    <w:multiLevelType w:val="hybridMultilevel"/>
    <w:tmpl w:val="746CF892"/>
    <w:lvl w:ilvl="0" w:tplc="3B300B6C">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A5909E8"/>
    <w:multiLevelType w:val="hybridMultilevel"/>
    <w:tmpl w:val="78ACCB74"/>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14E50"/>
    <w:multiLevelType w:val="hybridMultilevel"/>
    <w:tmpl w:val="2CFC05A8"/>
    <w:lvl w:ilvl="0" w:tplc="660AE6EE">
      <w:start w:val="7"/>
      <w:numFmt w:val="bullet"/>
      <w:lvlText w:val="-"/>
      <w:lvlJc w:val="left"/>
      <w:pPr>
        <w:ind w:left="720" w:hanging="360"/>
      </w:pPr>
      <w:rPr>
        <w:rFonts w:ascii="Verdana" w:eastAsia="Cambria" w:hAnsi="Verdana" w:cs="Times New Roman" w:hint="default"/>
      </w:rPr>
    </w:lvl>
    <w:lvl w:ilvl="1" w:tplc="3B300B6C">
      <w:start w:val="5"/>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41A2214"/>
    <w:multiLevelType w:val="hybridMultilevel"/>
    <w:tmpl w:val="486A5D0A"/>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00A25B6"/>
    <w:multiLevelType w:val="hybridMultilevel"/>
    <w:tmpl w:val="EC121A74"/>
    <w:lvl w:ilvl="0" w:tplc="3B300B6C">
      <w:start w:val="5"/>
      <w:numFmt w:val="bullet"/>
      <w:lvlText w:val="-"/>
      <w:lvlJc w:val="left"/>
      <w:pPr>
        <w:ind w:left="789" w:hanging="360"/>
      </w:pPr>
      <w:rPr>
        <w:rFonts w:ascii="Times New Roman" w:eastAsia="Calibri" w:hAnsi="Times New Roman" w:cs="Times New Roman"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0B71FBB"/>
    <w:multiLevelType w:val="hybridMultilevel"/>
    <w:tmpl w:val="1E866258"/>
    <w:lvl w:ilvl="0" w:tplc="3B300B6C">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27"/>
  </w:num>
  <w:num w:numId="4">
    <w:abstractNumId w:val="4"/>
  </w:num>
  <w:num w:numId="5">
    <w:abstractNumId w:val="19"/>
  </w:num>
  <w:num w:numId="6">
    <w:abstractNumId w:val="17"/>
  </w:num>
  <w:num w:numId="7">
    <w:abstractNumId w:val="38"/>
  </w:num>
  <w:num w:numId="8">
    <w:abstractNumId w:val="42"/>
  </w:num>
  <w:num w:numId="9">
    <w:abstractNumId w:val="29"/>
  </w:num>
  <w:num w:numId="10">
    <w:abstractNumId w:val="11"/>
  </w:num>
  <w:num w:numId="11">
    <w:abstractNumId w:val="35"/>
  </w:num>
  <w:num w:numId="12">
    <w:abstractNumId w:val="41"/>
  </w:num>
  <w:num w:numId="13">
    <w:abstractNumId w:val="8"/>
  </w:num>
  <w:num w:numId="14">
    <w:abstractNumId w:val="25"/>
  </w:num>
  <w:num w:numId="15">
    <w:abstractNumId w:val="43"/>
  </w:num>
  <w:num w:numId="16">
    <w:abstractNumId w:val="1"/>
  </w:num>
  <w:num w:numId="17">
    <w:abstractNumId w:val="20"/>
  </w:num>
  <w:num w:numId="18">
    <w:abstractNumId w:val="40"/>
  </w:num>
  <w:num w:numId="19">
    <w:abstractNumId w:val="16"/>
  </w:num>
  <w:num w:numId="20">
    <w:abstractNumId w:val="9"/>
  </w:num>
  <w:num w:numId="21">
    <w:abstractNumId w:val="7"/>
  </w:num>
  <w:num w:numId="22">
    <w:abstractNumId w:val="36"/>
  </w:num>
  <w:num w:numId="23">
    <w:abstractNumId w:val="33"/>
  </w:num>
  <w:num w:numId="24">
    <w:abstractNumId w:val="14"/>
  </w:num>
  <w:num w:numId="25">
    <w:abstractNumId w:val="13"/>
  </w:num>
  <w:num w:numId="26">
    <w:abstractNumId w:val="34"/>
  </w:num>
  <w:num w:numId="27">
    <w:abstractNumId w:val="37"/>
  </w:num>
  <w:num w:numId="28">
    <w:abstractNumId w:val="23"/>
  </w:num>
  <w:num w:numId="29">
    <w:abstractNumId w:val="44"/>
  </w:num>
  <w:num w:numId="30">
    <w:abstractNumId w:val="39"/>
  </w:num>
  <w:num w:numId="31">
    <w:abstractNumId w:val="28"/>
  </w:num>
  <w:num w:numId="32">
    <w:abstractNumId w:val="15"/>
  </w:num>
  <w:num w:numId="33">
    <w:abstractNumId w:val="45"/>
  </w:num>
  <w:num w:numId="34">
    <w:abstractNumId w:val="2"/>
  </w:num>
  <w:num w:numId="35">
    <w:abstractNumId w:val="6"/>
  </w:num>
  <w:num w:numId="36">
    <w:abstractNumId w:val="31"/>
  </w:num>
  <w:num w:numId="37">
    <w:abstractNumId w:val="26"/>
  </w:num>
  <w:num w:numId="38">
    <w:abstractNumId w:val="10"/>
  </w:num>
  <w:num w:numId="39">
    <w:abstractNumId w:val="12"/>
  </w:num>
  <w:num w:numId="40">
    <w:abstractNumId w:val="18"/>
  </w:num>
  <w:num w:numId="41">
    <w:abstractNumId w:val="24"/>
  </w:num>
  <w:num w:numId="42">
    <w:abstractNumId w:val="21"/>
  </w:num>
  <w:num w:numId="43">
    <w:abstractNumId w:val="22"/>
  </w:num>
  <w:num w:numId="44">
    <w:abstractNumId w:val="0"/>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447B3"/>
    <w:rsid w:val="00050EEF"/>
    <w:rsid w:val="00093794"/>
    <w:rsid w:val="000A37BC"/>
    <w:rsid w:val="000B207F"/>
    <w:rsid w:val="000E16EE"/>
    <w:rsid w:val="000E4874"/>
    <w:rsid w:val="001132D2"/>
    <w:rsid w:val="0011597B"/>
    <w:rsid w:val="00124A9C"/>
    <w:rsid w:val="00127B0B"/>
    <w:rsid w:val="0014734A"/>
    <w:rsid w:val="00151FDA"/>
    <w:rsid w:val="00191B4F"/>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5D172F"/>
    <w:rsid w:val="0062071E"/>
    <w:rsid w:val="00632673"/>
    <w:rsid w:val="00643266"/>
    <w:rsid w:val="0065499A"/>
    <w:rsid w:val="00673B92"/>
    <w:rsid w:val="00680882"/>
    <w:rsid w:val="00691157"/>
    <w:rsid w:val="006B5B33"/>
    <w:rsid w:val="006D4855"/>
    <w:rsid w:val="00700164"/>
    <w:rsid w:val="007164E5"/>
    <w:rsid w:val="007321B9"/>
    <w:rsid w:val="00757143"/>
    <w:rsid w:val="00792166"/>
    <w:rsid w:val="00796D81"/>
    <w:rsid w:val="0080628A"/>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31E8C"/>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ouil.Papaioann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8377</Characters>
  <Application>Microsoft Office Word</Application>
  <DocSecurity>0</DocSecurity>
  <Lines>182</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2022-11-14T16:37:00Z</dcterms:created>
  <dcterms:modified xsi:type="dcterms:W3CDTF">2022-11-14T16:37:00Z</dcterms:modified>
</cp:coreProperties>
</file>