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4470" w:rsidP="00DC53C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SJ-D</w:t>
            </w:r>
          </w:p>
        </w:tc>
      </w:tr>
      <w:tr w:rsidR="009F03A7" w:rsidRPr="00A7479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46BF" w:rsidRPr="007346BF" w:rsidRDefault="007346BF" w:rsidP="007346BF">
            <w:pPr>
              <w:rPr>
                <w:rFonts w:ascii="Times New Roman" w:eastAsia="Calibri" w:hAnsi="Times New Roman" w:cs="Times New Roman"/>
                <w:b/>
                <w:lang w:val="es-ES" w:eastAsia="en-GB"/>
              </w:rPr>
            </w:pPr>
            <w:r w:rsidRPr="007346BF">
              <w:rPr>
                <w:rFonts w:ascii="Times New Roman" w:eastAsia="Calibri" w:hAnsi="Times New Roman" w:cs="Times New Roman"/>
                <w:b/>
                <w:lang w:val="es-ES" w:eastAsia="en-GB"/>
              </w:rPr>
              <w:t>Bernd MARTENCZUK</w:t>
            </w:r>
          </w:p>
          <w:p w:rsidR="007346BF" w:rsidRPr="007346BF" w:rsidRDefault="00A74796" w:rsidP="007346BF">
            <w:pPr>
              <w:rPr>
                <w:rFonts w:ascii="Times New Roman" w:eastAsia="Calibri" w:hAnsi="Times New Roman" w:cs="Times New Roman"/>
                <w:b/>
                <w:color w:val="0000FF"/>
                <w:lang w:val="es-ES" w:eastAsia="en-GB"/>
              </w:rPr>
            </w:pPr>
            <w:r>
              <w:fldChar w:fldCharType="begin"/>
            </w:r>
            <w:r w:rsidRPr="00A74796">
              <w:rPr>
                <w:lang w:val="en-GB"/>
              </w:rPr>
              <w:instrText xml:space="preserve"> HYPERLINK "mailto:Bernd.Martenczuk@ec.europa.eu" </w:instrText>
            </w:r>
            <w:r>
              <w:fldChar w:fldCharType="separate"/>
            </w:r>
            <w:r w:rsidR="007346BF" w:rsidRPr="007346BF">
              <w:rPr>
                <w:rFonts w:ascii="Times New Roman" w:eastAsia="Calibri" w:hAnsi="Times New Roman" w:cs="Times New Roman"/>
                <w:b/>
                <w:color w:val="0000FF"/>
                <w:u w:val="single"/>
                <w:lang w:val="es-ES" w:eastAsia="en-GB"/>
              </w:rPr>
              <w:t>Bernd.Martenczuk@ec.europa.eu</w:t>
            </w:r>
            <w:r>
              <w:rPr>
                <w:rFonts w:ascii="Times New Roman" w:eastAsia="Calibri" w:hAnsi="Times New Roman" w:cs="Times New Roman"/>
                <w:b/>
                <w:color w:val="0000FF"/>
                <w:u w:val="single"/>
                <w:lang w:val="es-ES" w:eastAsia="en-GB"/>
              </w:rPr>
              <w:fldChar w:fldCharType="end"/>
            </w:r>
            <w:r w:rsidR="007346BF" w:rsidRPr="007346BF">
              <w:rPr>
                <w:rFonts w:ascii="Times New Roman" w:eastAsia="Calibri" w:hAnsi="Times New Roman" w:cs="Times New Roman"/>
                <w:b/>
                <w:color w:val="0000FF"/>
                <w:lang w:val="es-ES" w:eastAsia="en-GB"/>
              </w:rPr>
              <w:t xml:space="preserve"> </w:t>
            </w:r>
          </w:p>
          <w:p w:rsidR="009F03A7" w:rsidRPr="009F03A7" w:rsidRDefault="007346BF" w:rsidP="007346BF">
            <w:pPr>
              <w:rPr>
                <w:rFonts w:ascii="Times New Roman" w:eastAsia="Times New Roman" w:hAnsi="Times New Roman" w:cs="Times New Roman"/>
                <w:b/>
                <w:lang w:val="de-DE" w:eastAsia="en-GB"/>
              </w:rPr>
            </w:pPr>
            <w:r w:rsidRPr="007346BF">
              <w:rPr>
                <w:rFonts w:ascii="Times New Roman" w:eastAsia="Calibri" w:hAnsi="Times New Roman" w:cs="Times New Roman"/>
                <w:b/>
                <w:lang w:val="es-ES" w:eastAsia="en-GB"/>
              </w:rPr>
              <w:t>+32(0)2 2965058</w:t>
            </w:r>
          </w:p>
          <w:p w:rsidR="009F03A7" w:rsidRPr="009F03A7" w:rsidRDefault="007346BF"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00D30C07"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A7479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46BF" w:rsidRPr="007346BF"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Legal Service is an internal, horizontal Commission Service. The Legal Service is divided into "Teams". Each Team is headed by a Head of Team (director level) who reports directly to the Director General. The BUDG team is responsible for providing legal advice and to represent the institution in litigation on the Financial Regulation and the implementation of the Union budget, Research Policy, Cohesion Policy, Taxation and Customs. </w:t>
      </w:r>
    </w:p>
    <w:p w:rsidR="007346BF" w:rsidRPr="007346BF" w:rsidRDefault="007346BF" w:rsidP="007346BF">
      <w:pPr>
        <w:spacing w:after="0" w:line="240" w:lineRule="auto"/>
        <w:ind w:left="426"/>
        <w:jc w:val="both"/>
        <w:rPr>
          <w:rFonts w:ascii="Times New Roman" w:eastAsia="Times New Roman" w:hAnsi="Times New Roman"/>
          <w:lang w:val="en-US" w:eastAsia="en-GB"/>
        </w:rPr>
      </w:pPr>
    </w:p>
    <w:p w:rsidR="007346BF" w:rsidRPr="007346BF"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tasks to be undertaken by the members of the Legal Service, and in particular in the present case in the BUDG team, include: </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7346BF">
        <w:rPr>
          <w:rFonts w:ascii="Times New Roman" w:eastAsia="Times New Roman" w:hAnsi="Times New Roman"/>
          <w:lang w:val="en-US" w:eastAsia="en-GB"/>
        </w:rPr>
        <w:t>providing independent legal advice to the Commission on the interpretation and application of Union law;</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7346BF">
        <w:rPr>
          <w:rFonts w:ascii="Times New Roman" w:eastAsia="Times New Roman" w:hAnsi="Times New Roman"/>
          <w:lang w:val="en-US" w:eastAsia="en-GB"/>
        </w:rPr>
        <w:t>assisting the Commission in its legislative and regulatory tasks seeking to ensure that all legal texts adopted by it fully respect the treaties and are drafted in accordance with high standards of legal clarity;</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proofErr w:type="gramStart"/>
      <w:r w:rsidRPr="007346BF">
        <w:rPr>
          <w:rFonts w:ascii="Times New Roman" w:eastAsia="Times New Roman" w:hAnsi="Times New Roman"/>
          <w:lang w:val="en-US" w:eastAsia="en-GB"/>
        </w:rPr>
        <w:t>ensuring</w:t>
      </w:r>
      <w:proofErr w:type="gramEnd"/>
      <w:r w:rsidRPr="007346BF">
        <w:rPr>
          <w:rFonts w:ascii="Times New Roman" w:eastAsia="Times New Roman" w:hAnsi="Times New Roman"/>
          <w:lang w:val="en-US" w:eastAsia="en-GB"/>
        </w:rPr>
        <w:t xml:space="preserve"> the </w:t>
      </w:r>
      <w:proofErr w:type="spellStart"/>
      <w:r w:rsidRPr="007346BF">
        <w:rPr>
          <w:rFonts w:ascii="Times New Roman" w:eastAsia="Times New Roman" w:hAnsi="Times New Roman"/>
          <w:lang w:val="en-US" w:eastAsia="en-GB"/>
        </w:rPr>
        <w:t>defence</w:t>
      </w:r>
      <w:proofErr w:type="spellEnd"/>
      <w:r w:rsidRPr="007346BF">
        <w:rPr>
          <w:rFonts w:ascii="Times New Roman" w:eastAsia="Times New Roman" w:hAnsi="Times New Roman"/>
          <w:lang w:val="en-US" w:eastAsia="en-GB"/>
        </w:rPr>
        <w:t xml:space="preserve"> of the interests of the institution or of the Union in litigation before the competent courts and arbitration bodies.</w:t>
      </w:r>
    </w:p>
    <w:p w:rsidR="007346BF" w:rsidRPr="007346BF" w:rsidRDefault="007346BF" w:rsidP="007346BF">
      <w:pPr>
        <w:spacing w:after="0" w:line="240" w:lineRule="auto"/>
        <w:ind w:left="426"/>
        <w:jc w:val="both"/>
        <w:rPr>
          <w:rFonts w:ascii="Times New Roman" w:eastAsia="Times New Roman" w:hAnsi="Times New Roman"/>
          <w:lang w:val="en-US" w:eastAsia="en-GB"/>
        </w:rPr>
      </w:pPr>
    </w:p>
    <w:p w:rsidR="0013111D" w:rsidRPr="0013111D"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successful candidate will join the tax sector of the team, and provide legal </w:t>
      </w:r>
      <w:proofErr w:type="spellStart"/>
      <w:proofErr w:type="gramStart"/>
      <w:r w:rsidRPr="007346BF">
        <w:rPr>
          <w:rFonts w:ascii="Times New Roman" w:eastAsia="Times New Roman" w:hAnsi="Times New Roman"/>
          <w:lang w:val="en-US" w:eastAsia="en-GB"/>
        </w:rPr>
        <w:t>advise</w:t>
      </w:r>
      <w:proofErr w:type="spellEnd"/>
      <w:proofErr w:type="gramEnd"/>
      <w:r w:rsidRPr="007346BF">
        <w:rPr>
          <w:rFonts w:ascii="Times New Roman" w:eastAsia="Times New Roman" w:hAnsi="Times New Roman"/>
          <w:lang w:val="en-US" w:eastAsia="en-GB"/>
        </w:rPr>
        <w:t xml:space="preserve"> and represent the Commission in court in cases concerning tax law. The successful candidate may also be called upon to contribute to other sectors of the team, particular as regards litigation.</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We are looking look for an SNE who has excellent knowledge of EU and national tax law</w:t>
      </w:r>
      <w:proofErr w:type="gramStart"/>
      <w:r w:rsidRPr="007346BF">
        <w:rPr>
          <w:rFonts w:ascii="Times New Roman" w:eastAsia="Times New Roman" w:hAnsi="Times New Roman" w:cs="Times New Roman"/>
          <w:lang w:val="en-US" w:eastAsia="en-GB"/>
        </w:rPr>
        <w:t>,  including</w:t>
      </w:r>
      <w:proofErr w:type="gramEnd"/>
      <w:r w:rsidRPr="007346BF">
        <w:rPr>
          <w:rFonts w:ascii="Times New Roman" w:eastAsia="Times New Roman" w:hAnsi="Times New Roman" w:cs="Times New Roman"/>
          <w:lang w:val="en-US" w:eastAsia="en-GB"/>
        </w:rPr>
        <w:t xml:space="preserve"> both direct and indirect taxation. Knowledge of other areas of law of relevance to the team is equally an asset. </w:t>
      </w: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Having, in addition, a good knowledge of the EU’s institutional set-up and decision-making procedures including the role and functioning of the Commission will equally be a considerable asset.</w:t>
      </w: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p>
    <w:p w:rsidR="0013111D" w:rsidRPr="0013111D"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He/she should possess good drafting and communication skills.</w:t>
      </w: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346BF"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An excellent knowledge of English is required. A good knowledge of further EU languages, preferably German, French, Polish, Spanish, or Portuguese will be considered an asset.</w:t>
      </w:r>
    </w:p>
    <w:p w:rsidR="0013111D" w:rsidRDefault="0013111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A74796">
        <w:fldChar w:fldCharType="begin"/>
      </w:r>
      <w:r w:rsidR="00A74796" w:rsidRPr="00A74796">
        <w:rPr>
          <w:lang w:val="en-GB"/>
        </w:rPr>
        <w:instrText xml:space="preserve"> HYPERLINK "http://europass.cedefop.europa.eu/en/documents/curriculum-vitae" </w:instrText>
      </w:r>
      <w:r w:rsidR="00A74796">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A74796">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7346BF" w:rsidRDefault="007346BF"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Pr="0032123B" w:rsidRDefault="0061159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74796" w:rsidRDefault="00A74796" w:rsidP="00A74796">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74796" w:rsidRPr="00AF7D78" w:rsidRDefault="00A74796" w:rsidP="00A74796">
      <w:pPr>
        <w:spacing w:after="0" w:line="240" w:lineRule="auto"/>
        <w:ind w:left="426" w:right="175"/>
        <w:jc w:val="both"/>
        <w:rPr>
          <w:rFonts w:ascii="Times New Roman" w:eastAsia="Times New Roman" w:hAnsi="Times New Roman" w:cs="Times New Roman"/>
          <w:lang w:eastAsia="en-GB"/>
        </w:rPr>
      </w:pPr>
    </w:p>
    <w:p w:rsidR="00A74796" w:rsidRPr="00AF7D78" w:rsidRDefault="00A74796" w:rsidP="00A74796">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74796" w:rsidRPr="00AF7D78" w:rsidRDefault="00A74796" w:rsidP="00A74796">
      <w:pPr>
        <w:spacing w:after="0" w:line="240" w:lineRule="auto"/>
        <w:ind w:left="426" w:right="176"/>
        <w:rPr>
          <w:rFonts w:ascii="Times New Roman" w:eastAsia="Times New Roman" w:hAnsi="Times New Roman" w:cs="Times New Roman"/>
          <w:lang w:val="en-GB" w:eastAsia="en-GB"/>
        </w:rPr>
      </w:pPr>
    </w:p>
    <w:p w:rsidR="00A74796" w:rsidRPr="00AF7D78" w:rsidRDefault="00A74796" w:rsidP="00A7479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74796" w:rsidRPr="0032123B" w:rsidRDefault="00A74796" w:rsidP="00A74796">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74796" w:rsidRPr="0032123B" w:rsidRDefault="00A74796" w:rsidP="00A74796">
      <w:pPr>
        <w:spacing w:after="0" w:line="240" w:lineRule="auto"/>
        <w:ind w:left="426" w:right="176"/>
        <w:jc w:val="both"/>
        <w:rPr>
          <w:rFonts w:ascii="Times New Roman" w:eastAsia="Times New Roman" w:hAnsi="Times New Roman" w:cs="Times New Roman"/>
          <w:lang w:val="en-GB" w:eastAsia="en-GB"/>
        </w:rPr>
      </w:pPr>
    </w:p>
    <w:p w:rsidR="00A74796" w:rsidRPr="00AF7D78" w:rsidRDefault="00A74796" w:rsidP="00A7479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74796" w:rsidRPr="0032123B" w:rsidRDefault="00A74796" w:rsidP="00A7479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p>
    <w:p w:rsidR="00A74796" w:rsidRPr="00AF7D78" w:rsidRDefault="00A74796" w:rsidP="00A7479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74796" w:rsidRPr="0032123B" w:rsidRDefault="00A74796" w:rsidP="00A7479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74796" w:rsidP="00A74796">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A74796">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08E"/>
    <w:multiLevelType w:val="hybridMultilevel"/>
    <w:tmpl w:val="E2B6FB9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635B9F"/>
    <w:multiLevelType w:val="hybridMultilevel"/>
    <w:tmpl w:val="729AFD1C"/>
    <w:lvl w:ilvl="0" w:tplc="31F62986">
      <w:start w:val="5"/>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BE09DD"/>
    <w:multiLevelType w:val="hybridMultilevel"/>
    <w:tmpl w:val="6AB646EE"/>
    <w:lvl w:ilvl="0" w:tplc="A9CC898C">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F642A"/>
    <w:multiLevelType w:val="hybridMultilevel"/>
    <w:tmpl w:val="EC2E33E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9"/>
  </w:num>
  <w:num w:numId="4">
    <w:abstractNumId w:val="4"/>
  </w:num>
  <w:num w:numId="5">
    <w:abstractNumId w:val="16"/>
  </w:num>
  <w:num w:numId="6">
    <w:abstractNumId w:val="15"/>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8"/>
  </w:num>
  <w:num w:numId="15">
    <w:abstractNumId w:val="28"/>
  </w:num>
  <w:num w:numId="16">
    <w:abstractNumId w:val="2"/>
  </w:num>
  <w:num w:numId="17">
    <w:abstractNumId w:val="17"/>
  </w:num>
  <w:num w:numId="18">
    <w:abstractNumId w:val="25"/>
  </w:num>
  <w:num w:numId="19">
    <w:abstractNumId w:val="14"/>
  </w:num>
  <w:num w:numId="20">
    <w:abstractNumId w:val="8"/>
  </w:num>
  <w:num w:numId="21">
    <w:abstractNumId w:val="6"/>
  </w:num>
  <w:num w:numId="22">
    <w:abstractNumId w:val="23"/>
  </w:num>
  <w:num w:numId="23">
    <w:abstractNumId w:val="21"/>
  </w:num>
  <w:num w:numId="24">
    <w:abstractNumId w:val="12"/>
  </w:num>
  <w:num w:numId="25">
    <w:abstractNumId w:val="10"/>
  </w:num>
  <w:num w:numId="26">
    <w:abstractNumId w:val="0"/>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3111D"/>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11596"/>
    <w:rsid w:val="0065499A"/>
    <w:rsid w:val="00673B92"/>
    <w:rsid w:val="00691157"/>
    <w:rsid w:val="00700164"/>
    <w:rsid w:val="007164E5"/>
    <w:rsid w:val="007321B9"/>
    <w:rsid w:val="007346BF"/>
    <w:rsid w:val="00757143"/>
    <w:rsid w:val="007A45AF"/>
    <w:rsid w:val="00815707"/>
    <w:rsid w:val="00860C38"/>
    <w:rsid w:val="0089313E"/>
    <w:rsid w:val="008976A0"/>
    <w:rsid w:val="008B13A3"/>
    <w:rsid w:val="008B172F"/>
    <w:rsid w:val="008C2571"/>
    <w:rsid w:val="00943796"/>
    <w:rsid w:val="0098353F"/>
    <w:rsid w:val="009F03A7"/>
    <w:rsid w:val="00A662FF"/>
    <w:rsid w:val="00A74796"/>
    <w:rsid w:val="00AF7D78"/>
    <w:rsid w:val="00B04470"/>
    <w:rsid w:val="00B47B23"/>
    <w:rsid w:val="00B60C23"/>
    <w:rsid w:val="00B96BB0"/>
    <w:rsid w:val="00BC14A5"/>
    <w:rsid w:val="00CC4913"/>
    <w:rsid w:val="00CF677F"/>
    <w:rsid w:val="00D25017"/>
    <w:rsid w:val="00D30C07"/>
    <w:rsid w:val="00D37EF6"/>
    <w:rsid w:val="00DC53CF"/>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2022-06-09T14:10:00Z</dcterms:created>
  <dcterms:modified xsi:type="dcterms:W3CDTF">2022-06-13T08:33:00Z</dcterms:modified>
</cp:coreProperties>
</file>