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67520"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SANTE-E-1</w:t>
            </w:r>
          </w:p>
        </w:tc>
      </w:tr>
      <w:tr w:rsidR="009F03A7" w:rsidRPr="00C32715"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67520" w:rsidRPr="00667520" w:rsidRDefault="00667520" w:rsidP="00667520">
            <w:pPr>
              <w:jc w:val="both"/>
              <w:outlineLvl w:val="1"/>
              <w:rPr>
                <w:rFonts w:ascii="Times New Roman" w:eastAsia="Times New Roman" w:hAnsi="Times New Roman" w:cs="Times New Roman"/>
                <w:b/>
                <w:bCs/>
                <w:lang w:eastAsia="fr-BE"/>
              </w:rPr>
            </w:pPr>
            <w:r w:rsidRPr="00667520">
              <w:rPr>
                <w:rFonts w:ascii="Times New Roman" w:eastAsia="Times New Roman" w:hAnsi="Times New Roman" w:cs="Times New Roman"/>
                <w:b/>
                <w:bCs/>
                <w:lang w:eastAsia="fr-BE"/>
              </w:rPr>
              <w:t xml:space="preserve">Alexandra NIKOLAKOPOULOU </w:t>
            </w:r>
          </w:p>
          <w:p w:rsidR="00667520" w:rsidRPr="00667520" w:rsidRDefault="00667520" w:rsidP="00667520">
            <w:pPr>
              <w:jc w:val="both"/>
              <w:outlineLvl w:val="1"/>
              <w:rPr>
                <w:rFonts w:ascii="Times New Roman" w:eastAsia="Times New Roman" w:hAnsi="Times New Roman" w:cs="Times New Roman"/>
                <w:b/>
                <w:bCs/>
                <w:lang w:eastAsia="fr-BE"/>
              </w:rPr>
            </w:pPr>
            <w:hyperlink r:id="rId8" w:history="1">
              <w:r w:rsidRPr="00667520">
                <w:rPr>
                  <w:rFonts w:ascii="Times New Roman" w:eastAsia="Times New Roman" w:hAnsi="Times New Roman" w:cs="Times New Roman"/>
                  <w:b/>
                  <w:bCs/>
                  <w:color w:val="0000FF"/>
                  <w:u w:val="single"/>
                  <w:lang w:eastAsia="fr-BE"/>
                </w:rPr>
                <w:t>Alexandra.NIKOLAKOPOULOU@ec.europa.e</w:t>
              </w:r>
              <w:r w:rsidRPr="00667520">
                <w:rPr>
                  <w:rFonts w:ascii="Times New Roman" w:eastAsia="Times New Roman" w:hAnsi="Times New Roman" w:cs="Times New Roman"/>
                  <w:b/>
                  <w:bCs/>
                  <w:color w:val="0563C1"/>
                  <w:u w:val="single"/>
                  <w:lang w:eastAsia="fr-BE"/>
                </w:rPr>
                <w:t>u</w:t>
              </w:r>
            </w:hyperlink>
            <w:r w:rsidRPr="00667520">
              <w:rPr>
                <w:rFonts w:ascii="Times New Roman" w:eastAsia="Times New Roman" w:hAnsi="Times New Roman" w:cs="Times New Roman"/>
                <w:b/>
                <w:bCs/>
                <w:lang w:eastAsia="fr-BE"/>
              </w:rPr>
              <w:t xml:space="preserve">  </w:t>
            </w:r>
          </w:p>
          <w:p w:rsidR="009F03A7" w:rsidRPr="009F03A7" w:rsidRDefault="00667520" w:rsidP="00667520">
            <w:pPr>
              <w:rPr>
                <w:rFonts w:ascii="Times New Roman" w:eastAsia="Times New Roman" w:hAnsi="Times New Roman" w:cs="Times New Roman"/>
                <w:b/>
                <w:lang w:val="de-DE" w:eastAsia="en-GB"/>
              </w:rPr>
            </w:pPr>
            <w:r w:rsidRPr="00667520">
              <w:rPr>
                <w:rFonts w:ascii="Times New Roman" w:eastAsia="Times New Roman" w:hAnsi="Times New Roman" w:cs="Times New Roman"/>
                <w:b/>
                <w:bCs/>
                <w:lang w:eastAsia="fr-BE"/>
              </w:rPr>
              <w:t>+32 229-86854</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C32715"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C32715">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sidR="00287856">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66752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C32715"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667520" w:rsidRDefault="00667520" w:rsidP="00667520">
      <w:pPr>
        <w:spacing w:after="0" w:line="240" w:lineRule="auto"/>
        <w:ind w:left="426"/>
        <w:jc w:val="both"/>
        <w:rPr>
          <w:rFonts w:ascii="Times New Roman" w:eastAsia="Times New Roman" w:hAnsi="Times New Roman" w:cs="Times New Roman"/>
          <w:lang w:val="en-IE" w:eastAsia="en-GB"/>
        </w:rPr>
      </w:pPr>
      <w:r w:rsidRPr="00667520">
        <w:rPr>
          <w:rFonts w:ascii="Times New Roman" w:eastAsia="Times New Roman" w:hAnsi="Times New Roman" w:cs="Times New Roman"/>
          <w:lang w:val="en-IE" w:eastAsia="en-GB"/>
        </w:rPr>
        <w:t xml:space="preserve">Unit SANTE – E – 1 is responsible for the overall coordination of the implementation of the Farm to Fork Strategy as part of the Green Deal initiative. The strategy aims to accelerate our transition to a food system that is environmentally, socially and economically sustainable. It covers every step in the food supply chain from production to consumption. The Unit is also in charge of the elaboration of key deliverables of the Farm to Fork Strategy, in particular a new legislative framework for </w:t>
      </w:r>
      <w:proofErr w:type="gramStart"/>
      <w:r w:rsidRPr="00667520">
        <w:rPr>
          <w:rFonts w:ascii="Times New Roman" w:eastAsia="Times New Roman" w:hAnsi="Times New Roman" w:cs="Times New Roman"/>
          <w:lang w:val="en-IE" w:eastAsia="en-GB"/>
        </w:rPr>
        <w:t>a</w:t>
      </w:r>
      <w:proofErr w:type="gramEnd"/>
      <w:r w:rsidRPr="00667520">
        <w:rPr>
          <w:rFonts w:ascii="Times New Roman" w:eastAsia="Times New Roman" w:hAnsi="Times New Roman" w:cs="Times New Roman"/>
          <w:lang w:val="en-IE" w:eastAsia="en-GB"/>
        </w:rPr>
        <w:t xml:space="preserve"> EU sustainable food system, a code of conduct for responsible business and marketing, the monitoring framework of the strategy, sustainable public procurement and actions to prevent and reduce food losses and food waste. </w:t>
      </w:r>
    </w:p>
    <w:p w:rsidR="00667520" w:rsidRPr="00667520" w:rsidRDefault="00667520" w:rsidP="00667520">
      <w:pPr>
        <w:spacing w:after="0" w:line="240" w:lineRule="auto"/>
        <w:ind w:left="426"/>
        <w:jc w:val="both"/>
        <w:rPr>
          <w:rFonts w:ascii="Times New Roman" w:eastAsia="Times New Roman" w:hAnsi="Times New Roman" w:cs="Times New Roman"/>
          <w:lang w:val="en-IE" w:eastAsia="en-GB"/>
        </w:rPr>
      </w:pPr>
    </w:p>
    <w:p w:rsidR="00667520" w:rsidRPr="00667520" w:rsidRDefault="00667520" w:rsidP="00667520">
      <w:pPr>
        <w:spacing w:after="0" w:line="240" w:lineRule="auto"/>
        <w:ind w:left="426"/>
        <w:jc w:val="both"/>
        <w:rPr>
          <w:rFonts w:ascii="Times New Roman" w:eastAsia="Times New Roman" w:hAnsi="Times New Roman" w:cs="Times New Roman"/>
          <w:lang w:val="en-IE" w:eastAsia="en-GB"/>
        </w:rPr>
      </w:pPr>
      <w:r w:rsidRPr="00667520">
        <w:rPr>
          <w:rFonts w:ascii="Times New Roman" w:eastAsia="Times New Roman" w:hAnsi="Times New Roman" w:cs="Times New Roman"/>
          <w:lang w:val="en-IE" w:eastAsia="en-GB"/>
        </w:rPr>
        <w:t>Moreover the Unit is responsible for the General Food Law including the management and coordination of relations between the Commission and the European Food Safety Authority (EFSA). It is also in charge of the relations with the various stakeholders having an interest in feed/food, animal health/welfare and plant health.</w:t>
      </w:r>
    </w:p>
    <w:p w:rsidR="00667520" w:rsidRPr="00667520" w:rsidRDefault="00667520" w:rsidP="00667520">
      <w:pPr>
        <w:spacing w:after="0" w:line="240" w:lineRule="auto"/>
        <w:ind w:left="426"/>
        <w:jc w:val="both"/>
        <w:rPr>
          <w:rFonts w:ascii="Times New Roman" w:eastAsia="Times New Roman" w:hAnsi="Times New Roman" w:cs="Times New Roman"/>
          <w:lang w:val="en-IE" w:eastAsia="en-GB"/>
        </w:rPr>
      </w:pPr>
    </w:p>
    <w:p w:rsidR="00667520" w:rsidRDefault="00667520" w:rsidP="00667520">
      <w:pPr>
        <w:spacing w:after="0" w:line="240" w:lineRule="auto"/>
        <w:ind w:left="426"/>
        <w:jc w:val="both"/>
        <w:rPr>
          <w:rFonts w:ascii="Times New Roman" w:eastAsia="Times New Roman" w:hAnsi="Times New Roman" w:cs="Times New Roman"/>
          <w:lang w:val="en-IE" w:eastAsia="en-GB"/>
        </w:rPr>
      </w:pPr>
      <w:r w:rsidRPr="00667520">
        <w:rPr>
          <w:rFonts w:ascii="Times New Roman" w:eastAsia="Times New Roman" w:hAnsi="Times New Roman" w:cs="Times New Roman"/>
          <w:lang w:val="en-IE" w:eastAsia="en-GB"/>
        </w:rPr>
        <w:t xml:space="preserve">The seconded national expert (SNE) will contribute to the development of policy and legislation in the area of food systems sustainability.  He or she will contribute to the coordination of the Farm to Fork Strategy work: the legislative framework on sustainable food systems and related activities, such as the monitoring framework of the strategy.  </w:t>
      </w:r>
    </w:p>
    <w:p w:rsidR="00667520" w:rsidRPr="00667520" w:rsidRDefault="00667520" w:rsidP="00667520">
      <w:pPr>
        <w:spacing w:after="0" w:line="240" w:lineRule="auto"/>
        <w:ind w:left="426"/>
        <w:jc w:val="both"/>
        <w:rPr>
          <w:rFonts w:ascii="Times New Roman" w:eastAsia="Times New Roman" w:hAnsi="Times New Roman" w:cs="Times New Roman"/>
          <w:lang w:val="en-IE" w:eastAsia="en-GB"/>
        </w:rPr>
      </w:pPr>
    </w:p>
    <w:p w:rsidR="00232073" w:rsidRDefault="00667520" w:rsidP="00667520">
      <w:pPr>
        <w:spacing w:after="0" w:line="240" w:lineRule="auto"/>
        <w:ind w:left="426"/>
        <w:jc w:val="both"/>
        <w:rPr>
          <w:rFonts w:ascii="Times New Roman" w:eastAsia="Times New Roman" w:hAnsi="Times New Roman" w:cs="Times New Roman"/>
          <w:lang w:val="en-IE" w:eastAsia="en-GB"/>
        </w:rPr>
      </w:pPr>
      <w:r w:rsidRPr="00667520">
        <w:rPr>
          <w:rFonts w:ascii="Times New Roman" w:eastAsia="Times New Roman" w:hAnsi="Times New Roman" w:cs="Times New Roman"/>
          <w:lang w:val="en-IE" w:eastAsia="en-GB"/>
        </w:rPr>
        <w:t>The successful candidate's tasks will include contributions to briefings, speeches and presentations for hierarchy, but also preparation of technical notes and correspondence with stakeholders and national administrations. The successful candidate will participate in relevant inter-service, committee and working group meetings and follow-up inter-service consultations as sender or recipient.</w:t>
      </w:r>
    </w:p>
    <w:p w:rsidR="00667520" w:rsidRDefault="00667520" w:rsidP="00667520">
      <w:pPr>
        <w:spacing w:after="0" w:line="240" w:lineRule="auto"/>
        <w:ind w:left="426"/>
        <w:jc w:val="both"/>
        <w:rPr>
          <w:rFonts w:ascii="Times New Roman" w:eastAsia="Times New Roman" w:hAnsi="Times New Roman" w:cs="Times New Roman"/>
          <w:lang w:val="en-IE" w:eastAsia="en-GB"/>
        </w:rPr>
      </w:pPr>
    </w:p>
    <w:p w:rsidR="00667520" w:rsidRPr="00232073" w:rsidRDefault="00667520" w:rsidP="00667520">
      <w:pPr>
        <w:spacing w:after="0" w:line="240" w:lineRule="auto"/>
        <w:ind w:left="426"/>
        <w:jc w:val="both"/>
        <w:rPr>
          <w:rFonts w:ascii="Times New Roman" w:eastAsia="Times New Roman" w:hAnsi="Times New Roman" w:cs="Times New Roman"/>
          <w:lang w:val="en-IE" w:eastAsia="en-GB"/>
        </w:rPr>
      </w:pPr>
    </w:p>
    <w:p w:rsidR="00287856" w:rsidRPr="00535EE6" w:rsidRDefault="00287856" w:rsidP="00CE223D">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2320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667520" w:rsidRPr="00667520">
        <w:rPr>
          <w:rFonts w:ascii="Times New Roman" w:eastAsia="Times New Roman" w:hAnsi="Times New Roman" w:cs="Times New Roman"/>
          <w:lang w:val="en-US" w:eastAsia="en-GB"/>
        </w:rPr>
        <w:t>agriculture, environmental sciences, sustainability of food systems, nutritional science, food systems’ sciences</w:t>
      </w:r>
      <w:r w:rsidR="00C32715" w:rsidRPr="00C32715">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15273E" w:rsidRPr="00232073" w:rsidRDefault="00667520" w:rsidP="00232073">
      <w:pPr>
        <w:tabs>
          <w:tab w:val="left" w:pos="1276"/>
        </w:tabs>
        <w:spacing w:after="0" w:line="240" w:lineRule="auto"/>
        <w:ind w:left="709" w:right="60"/>
        <w:jc w:val="both"/>
        <w:rPr>
          <w:rFonts w:ascii="Times New Roman" w:eastAsia="Times New Roman" w:hAnsi="Times New Roman" w:cs="Times New Roman"/>
          <w:lang w:val="en-US" w:eastAsia="en-GB"/>
        </w:rPr>
      </w:pPr>
      <w:r w:rsidRPr="00667520">
        <w:rPr>
          <w:rFonts w:ascii="Times New Roman" w:eastAsia="Times New Roman" w:hAnsi="Times New Roman" w:cs="Times New Roman"/>
          <w:lang w:val="en-US" w:eastAsia="en-GB"/>
        </w:rPr>
        <w:t>Knowledge of EU policy in the area of food/food systems’ sustainability in the context of the European Green Deal and of EU decision-making procedures. Excellent analytical, drafting, oral and written communication skills. Strong inter-personal skills in a multi-cultural environment, including the ability to work with various teams and to coordinate efficiently both inside DG SANTE and with other Commission services. Ability to work in a proactive and autonomous way.</w:t>
      </w:r>
    </w:p>
    <w:p w:rsidR="00232073" w:rsidRPr="00232073" w:rsidRDefault="00232073" w:rsidP="00232073">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667520" w:rsidP="00CE223D">
      <w:pPr>
        <w:tabs>
          <w:tab w:val="left" w:pos="709"/>
        </w:tabs>
        <w:spacing w:after="0" w:line="240" w:lineRule="auto"/>
        <w:ind w:left="709" w:right="60"/>
        <w:jc w:val="both"/>
        <w:rPr>
          <w:rFonts w:ascii="Times New Roman" w:eastAsia="Times New Roman" w:hAnsi="Times New Roman" w:cs="Times New Roman"/>
          <w:lang w:val="en-US" w:eastAsia="en-GB"/>
        </w:rPr>
      </w:pPr>
      <w:r w:rsidRPr="00667520">
        <w:rPr>
          <w:rFonts w:ascii="Times New Roman" w:eastAsia="Times New Roman" w:hAnsi="Times New Roman" w:cs="Times New Roman"/>
          <w:lang w:val="en-US" w:eastAsia="en-GB"/>
        </w:rPr>
        <w:t>Very good command (oral and written) of English. Knowledge of other EU languages is an asset.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232073" w:rsidRDefault="00232073" w:rsidP="00AF7D78">
      <w:pPr>
        <w:spacing w:after="0" w:line="240" w:lineRule="auto"/>
        <w:ind w:left="426"/>
        <w:rPr>
          <w:rFonts w:ascii="Times New Roman" w:eastAsia="Times New Roman" w:hAnsi="Times New Roman" w:cs="Times New Roman"/>
          <w:sz w:val="24"/>
          <w:szCs w:val="20"/>
          <w:lang w:val="en-US" w:eastAsia="en-GB"/>
        </w:rPr>
      </w:pPr>
    </w:p>
    <w:p w:rsidR="00667520" w:rsidRDefault="00667520" w:rsidP="00AF7D78">
      <w:pPr>
        <w:spacing w:after="0" w:line="240" w:lineRule="auto"/>
        <w:ind w:left="426"/>
        <w:rPr>
          <w:rFonts w:ascii="Times New Roman" w:eastAsia="Times New Roman" w:hAnsi="Times New Roman" w:cs="Times New Roman"/>
          <w:sz w:val="24"/>
          <w:szCs w:val="20"/>
          <w:lang w:val="en-US" w:eastAsia="en-GB"/>
        </w:rPr>
      </w:pPr>
    </w:p>
    <w:p w:rsidR="00667520" w:rsidRPr="0032123B" w:rsidRDefault="00667520"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667520">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2"/>
  </w:num>
  <w:num w:numId="3">
    <w:abstractNumId w:val="18"/>
  </w:num>
  <w:num w:numId="4">
    <w:abstractNumId w:val="3"/>
  </w:num>
  <w:num w:numId="5">
    <w:abstractNumId w:val="14"/>
  </w:num>
  <w:num w:numId="6">
    <w:abstractNumId w:val="13"/>
  </w:num>
  <w:num w:numId="7">
    <w:abstractNumId w:val="26"/>
  </w:num>
  <w:num w:numId="8">
    <w:abstractNumId w:val="30"/>
  </w:num>
  <w:num w:numId="9">
    <w:abstractNumId w:val="20"/>
  </w:num>
  <w:num w:numId="10">
    <w:abstractNumId w:val="8"/>
  </w:num>
  <w:num w:numId="11">
    <w:abstractNumId w:val="23"/>
  </w:num>
  <w:num w:numId="12">
    <w:abstractNumId w:val="29"/>
  </w:num>
  <w:num w:numId="13">
    <w:abstractNumId w:val="6"/>
  </w:num>
  <w:num w:numId="14">
    <w:abstractNumId w:val="17"/>
  </w:num>
  <w:num w:numId="15">
    <w:abstractNumId w:val="31"/>
  </w:num>
  <w:num w:numId="16">
    <w:abstractNumId w:val="0"/>
  </w:num>
  <w:num w:numId="17">
    <w:abstractNumId w:val="15"/>
  </w:num>
  <w:num w:numId="18">
    <w:abstractNumId w:val="28"/>
  </w:num>
  <w:num w:numId="19">
    <w:abstractNumId w:val="12"/>
  </w:num>
  <w:num w:numId="20">
    <w:abstractNumId w:val="7"/>
  </w:num>
  <w:num w:numId="21">
    <w:abstractNumId w:val="5"/>
  </w:num>
  <w:num w:numId="22">
    <w:abstractNumId w:val="24"/>
  </w:num>
  <w:num w:numId="23">
    <w:abstractNumId w:val="21"/>
  </w:num>
  <w:num w:numId="24">
    <w:abstractNumId w:val="10"/>
  </w:num>
  <w:num w:numId="25">
    <w:abstractNumId w:val="9"/>
  </w:num>
  <w:num w:numId="26">
    <w:abstractNumId w:val="22"/>
  </w:num>
  <w:num w:numId="27">
    <w:abstractNumId w:val="25"/>
  </w:num>
  <w:num w:numId="28">
    <w:abstractNumId w:val="16"/>
  </w:num>
  <w:num w:numId="29">
    <w:abstractNumId w:val="32"/>
  </w:num>
  <w:num w:numId="30">
    <w:abstractNumId w:val="27"/>
  </w:num>
  <w:num w:numId="31">
    <w:abstractNumId w:val="19"/>
  </w:num>
  <w:num w:numId="32">
    <w:abstractNumId w:val="11"/>
  </w:num>
  <w:num w:numId="33">
    <w:abstractNumId w:val="3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1132D2"/>
    <w:rsid w:val="0011597B"/>
    <w:rsid w:val="00124A9C"/>
    <w:rsid w:val="00127B0B"/>
    <w:rsid w:val="0014734A"/>
    <w:rsid w:val="00151FDA"/>
    <w:rsid w:val="0015273E"/>
    <w:rsid w:val="0019598C"/>
    <w:rsid w:val="001C2BD3"/>
    <w:rsid w:val="001E4D9E"/>
    <w:rsid w:val="001F1381"/>
    <w:rsid w:val="00232073"/>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67520"/>
    <w:rsid w:val="00673B92"/>
    <w:rsid w:val="00691157"/>
    <w:rsid w:val="006D4855"/>
    <w:rsid w:val="00700164"/>
    <w:rsid w:val="007164E5"/>
    <w:rsid w:val="007321B9"/>
    <w:rsid w:val="00757143"/>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3271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FFF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NIKOLAKOPOULO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1368</Words>
  <Characters>7675</Characters>
  <Application>Microsoft Office Word</Application>
  <DocSecurity>0</DocSecurity>
  <Lines>174</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2022-12-01T16:41:00Z</dcterms:created>
  <dcterms:modified xsi:type="dcterms:W3CDTF">2022-12-01T16:41:00Z</dcterms:modified>
</cp:coreProperties>
</file>