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B744" w14:textId="77777777" w:rsidR="0036374C" w:rsidRPr="00D34777" w:rsidRDefault="00817F9C" w:rsidP="0036374C">
      <w:pPr>
        <w:jc w:val="both"/>
        <w:rPr>
          <w:rFonts w:ascii="Aptos" w:hAnsi="Aptos" w:cs="Times New Roman"/>
          <w:b/>
          <w:bCs/>
          <w:color w:val="007BB8"/>
        </w:rPr>
      </w:pPr>
      <w:r w:rsidRPr="00D34777">
        <w:rPr>
          <w:rFonts w:ascii="Aptos" w:hAnsi="Aptos" w:cs="Times New Roman"/>
          <w:b/>
          <w:bCs/>
          <w:color w:val="007BB8"/>
        </w:rPr>
        <w:t xml:space="preserve">Povzetek prezentacije Nacionalnega inštituta za javno zdravje </w:t>
      </w:r>
    </w:p>
    <w:p w14:paraId="56CFD700" w14:textId="2FBA9AF9" w:rsidR="00A860CA" w:rsidRPr="00D34777" w:rsidRDefault="00817F9C" w:rsidP="0036374C">
      <w:pPr>
        <w:jc w:val="both"/>
        <w:rPr>
          <w:rFonts w:ascii="Aptos" w:hAnsi="Aptos" w:cs="Times New Roman"/>
          <w:b/>
          <w:bCs/>
          <w:i/>
          <w:iCs/>
          <w:color w:val="007BB8"/>
        </w:rPr>
      </w:pPr>
      <w:r w:rsidRPr="00D34777">
        <w:rPr>
          <w:rFonts w:ascii="Aptos" w:hAnsi="Aptos" w:cs="Times New Roman"/>
          <w:b/>
          <w:bCs/>
          <w:i/>
          <w:iCs/>
          <w:color w:val="007BB8"/>
        </w:rPr>
        <w:t>Predstavitev publikacije: Vpliv zdravstvenega sistema in fizičnega okolja na neenakosti v zdravju v Sloveniji</w:t>
      </w:r>
    </w:p>
    <w:p w14:paraId="459EE195" w14:textId="77777777" w:rsidR="000879D8" w:rsidRPr="00E73DC8" w:rsidRDefault="00AB30B1" w:rsidP="0036374C">
      <w:pPr>
        <w:jc w:val="both"/>
        <w:rPr>
          <w:rFonts w:ascii="Aptos" w:hAnsi="Aptos" w:cs="Times New Roman"/>
        </w:rPr>
      </w:pPr>
      <w:r w:rsidRPr="00E73DC8">
        <w:rPr>
          <w:rFonts w:ascii="Aptos" w:hAnsi="Aptos" w:cs="Times New Roman"/>
        </w:rPr>
        <w:t xml:space="preserve">Zdravje ljudi </w:t>
      </w:r>
      <w:r w:rsidR="000879D8" w:rsidRPr="00E73DC8">
        <w:rPr>
          <w:rFonts w:ascii="Aptos" w:hAnsi="Aptos" w:cs="Times New Roman"/>
        </w:rPr>
        <w:t xml:space="preserve">je predvsem odraz </w:t>
      </w:r>
      <w:r w:rsidRPr="00E73DC8">
        <w:rPr>
          <w:rFonts w:ascii="Aptos" w:hAnsi="Aptos" w:cs="Times New Roman"/>
        </w:rPr>
        <w:t>življenjskih pogo</w:t>
      </w:r>
      <w:r w:rsidR="000879D8" w:rsidRPr="00E73DC8">
        <w:rPr>
          <w:rFonts w:ascii="Aptos" w:hAnsi="Aptos" w:cs="Times New Roman"/>
        </w:rPr>
        <w:t>jev</w:t>
      </w:r>
      <w:r w:rsidRPr="00E73DC8">
        <w:rPr>
          <w:rFonts w:ascii="Aptos" w:hAnsi="Aptos" w:cs="Times New Roman"/>
        </w:rPr>
        <w:t xml:space="preserve"> in priložnosti, ki jih imajo posamezniki,</w:t>
      </w:r>
      <w:r w:rsidR="000879D8" w:rsidRPr="00E73DC8">
        <w:rPr>
          <w:rFonts w:ascii="Aptos" w:hAnsi="Aptos" w:cs="Times New Roman"/>
        </w:rPr>
        <w:t xml:space="preserve"> del pa prispevajo tudi bolj ali manj osveščene osebne odločitve in izbire. Ker pogoji in priložnosti v okolju niso za vse ljudi in populacijske skupine enaki, med posameznimi skupinami lahko zaznamo vrzeli v doseganju stopnje zdravja, razlike pa opišemo kot nepravične </w:t>
      </w:r>
      <w:r w:rsidRPr="00E73DC8">
        <w:rPr>
          <w:rFonts w:ascii="Aptos" w:hAnsi="Aptos" w:cs="Times New Roman"/>
        </w:rPr>
        <w:t xml:space="preserve">neenakosti v zdravju. </w:t>
      </w:r>
    </w:p>
    <w:p w14:paraId="2FFB13C8" w14:textId="13CACB47" w:rsidR="00817F9C" w:rsidRPr="00E73DC8" w:rsidRDefault="00B03A1B" w:rsidP="0036374C">
      <w:pPr>
        <w:jc w:val="both"/>
        <w:rPr>
          <w:rFonts w:ascii="Aptos" w:hAnsi="Aptos" w:cs="Times New Roman"/>
        </w:rPr>
      </w:pPr>
      <w:r w:rsidRPr="00E73DC8">
        <w:rPr>
          <w:rFonts w:ascii="Aptos" w:hAnsi="Aptos" w:cs="Times New Roman"/>
        </w:rPr>
        <w:t xml:space="preserve">Neenakostim v zdravju v Sloveniji posvečamo pozornost že od preloma devetnajstega v dvajseto stoletje, razcvet pa je javno zdravje doživelo po prvi svetovni vojni, ko so pionirji, kot </w:t>
      </w:r>
      <w:r w:rsidR="000879D8" w:rsidRPr="00E73DC8">
        <w:rPr>
          <w:rFonts w:ascii="Aptos" w:hAnsi="Aptos" w:cs="Times New Roman"/>
        </w:rPr>
        <w:t>sta bila pri nas brata</w:t>
      </w:r>
      <w:r w:rsidRPr="00E73DC8">
        <w:rPr>
          <w:rFonts w:ascii="Aptos" w:hAnsi="Aptos" w:cs="Times New Roman"/>
        </w:rPr>
        <w:t xml:space="preserve"> Pirc, raziskovali vpliv življenjskih razmer na zdravje prebivalcev in uvajali </w:t>
      </w:r>
      <w:r w:rsidR="000879D8" w:rsidRPr="00E73DC8">
        <w:rPr>
          <w:rFonts w:ascii="Aptos" w:hAnsi="Aptos" w:cs="Times New Roman"/>
        </w:rPr>
        <w:t xml:space="preserve">sistemske </w:t>
      </w:r>
      <w:r w:rsidRPr="00E73DC8">
        <w:rPr>
          <w:rFonts w:ascii="Aptos" w:hAnsi="Aptos" w:cs="Times New Roman"/>
        </w:rPr>
        <w:t>ukrepe za njegovo izboljšanje. V prejšnjem stoletju je Slovenija gradila močan in odporen javnozdravstveni sistem ter socialne in izobraževalne politike, katerih učinki so vidni še danes v razmeroma nizkih stopnjah neenakosti. V zadnjih desetletjih se je sistem zbiranja in spremljanja neenakosti v zdravju moderniziral, potenciral analitične zmogljivosti in izbo</w:t>
      </w:r>
      <w:r w:rsidR="00A74A03" w:rsidRPr="00E73DC8">
        <w:rPr>
          <w:rFonts w:ascii="Aptos" w:hAnsi="Aptos" w:cs="Times New Roman"/>
        </w:rPr>
        <w:t>l</w:t>
      </w:r>
      <w:r w:rsidRPr="00E73DC8">
        <w:rPr>
          <w:rFonts w:ascii="Aptos" w:hAnsi="Aptos" w:cs="Times New Roman"/>
        </w:rPr>
        <w:t>jšal vpogled v to, kako politike dejansko vplivajo na zmanjševanje razlik ter krepijo zdravje in dobro počutje prebivalcev.</w:t>
      </w:r>
    </w:p>
    <w:p w14:paraId="00DF8326" w14:textId="03A3EB8E" w:rsidR="00901CF1" w:rsidRPr="00E73DC8" w:rsidRDefault="00BF775D" w:rsidP="0036374C">
      <w:pPr>
        <w:jc w:val="both"/>
        <w:rPr>
          <w:rFonts w:ascii="Aptos" w:hAnsi="Aptos" w:cs="Times New Roman"/>
        </w:rPr>
      </w:pPr>
      <w:r w:rsidRPr="00E73DC8">
        <w:rPr>
          <w:rFonts w:ascii="Aptos" w:hAnsi="Aptos" w:cs="Times New Roman"/>
        </w:rPr>
        <w:t>Na Nacionalnem inštitut</w:t>
      </w:r>
      <w:r w:rsidR="000879D8" w:rsidRPr="00E73DC8">
        <w:rPr>
          <w:rFonts w:ascii="Aptos" w:hAnsi="Aptos" w:cs="Times New Roman"/>
        </w:rPr>
        <w:t>u</w:t>
      </w:r>
      <w:r w:rsidRPr="00E73DC8">
        <w:rPr>
          <w:rFonts w:ascii="Aptos" w:hAnsi="Aptos" w:cs="Times New Roman"/>
        </w:rPr>
        <w:t xml:space="preserve"> za javno zdravje</w:t>
      </w:r>
      <w:r w:rsidR="00901CF1" w:rsidRPr="00E73DC8">
        <w:rPr>
          <w:rFonts w:ascii="Aptos" w:hAnsi="Aptos" w:cs="Times New Roman"/>
        </w:rPr>
        <w:t xml:space="preserve"> pri analizi neenakosti v zdravju uporabljamo vse </w:t>
      </w:r>
      <w:r w:rsidR="000879D8" w:rsidRPr="00E73DC8">
        <w:rPr>
          <w:rFonts w:ascii="Aptos" w:hAnsi="Aptos" w:cs="Times New Roman"/>
        </w:rPr>
        <w:t xml:space="preserve">administrativno zbrane </w:t>
      </w:r>
      <w:r w:rsidR="00901CF1" w:rsidRPr="00E73DC8">
        <w:rPr>
          <w:rFonts w:ascii="Aptos" w:hAnsi="Aptos" w:cs="Times New Roman"/>
        </w:rPr>
        <w:t>podatke, ki so na</w:t>
      </w:r>
      <w:r w:rsidR="000879D8" w:rsidRPr="00E73DC8">
        <w:rPr>
          <w:rFonts w:ascii="Aptos" w:hAnsi="Aptos" w:cs="Times New Roman"/>
        </w:rPr>
        <w:t xml:space="preserve">m na </w:t>
      </w:r>
      <w:r w:rsidR="00901CF1" w:rsidRPr="00E73DC8">
        <w:rPr>
          <w:rFonts w:ascii="Aptos" w:hAnsi="Aptos" w:cs="Times New Roman"/>
        </w:rPr>
        <w:t xml:space="preserve">voljo, saj nismo vezani na razpoložljivost mednarodnih podatkov in zahtevo po primerljivosti med državami. To omogoča zajetje prebivalstva celotne države in podrobne analize neenakosti tudi na običajno spregledanih geografskih </w:t>
      </w:r>
      <w:r w:rsidRPr="00E73DC8">
        <w:rPr>
          <w:rFonts w:ascii="Aptos" w:hAnsi="Aptos" w:cs="Times New Roman"/>
        </w:rPr>
        <w:t>področjih</w:t>
      </w:r>
      <w:r w:rsidR="00901CF1" w:rsidRPr="00E73DC8">
        <w:rPr>
          <w:rFonts w:ascii="Aptos" w:hAnsi="Aptos" w:cs="Times New Roman"/>
        </w:rPr>
        <w:t xml:space="preserve"> ter </w:t>
      </w:r>
      <w:r w:rsidRPr="00E73DC8">
        <w:rPr>
          <w:rFonts w:ascii="Aptos" w:hAnsi="Aptos" w:cs="Times New Roman"/>
        </w:rPr>
        <w:t xml:space="preserve">manjšinskih </w:t>
      </w:r>
      <w:r w:rsidR="00901CF1" w:rsidRPr="00E73DC8">
        <w:rPr>
          <w:rFonts w:ascii="Aptos" w:hAnsi="Aptos" w:cs="Times New Roman"/>
        </w:rPr>
        <w:t>skupin</w:t>
      </w:r>
      <w:r w:rsidR="00D61B50" w:rsidRPr="00E73DC8">
        <w:rPr>
          <w:rFonts w:ascii="Aptos" w:hAnsi="Aptos" w:cs="Times New Roman"/>
        </w:rPr>
        <w:t>ah</w:t>
      </w:r>
      <w:r w:rsidR="00901CF1" w:rsidRPr="00E73DC8">
        <w:rPr>
          <w:rFonts w:ascii="Aptos" w:hAnsi="Aptos" w:cs="Times New Roman"/>
        </w:rPr>
        <w:t xml:space="preserve"> prebivalstva. </w:t>
      </w:r>
      <w:r w:rsidR="00AB30B1" w:rsidRPr="00E73DC8">
        <w:rPr>
          <w:rFonts w:ascii="Aptos" w:hAnsi="Aptos" w:cs="Times New Roman"/>
        </w:rPr>
        <w:t>Ključna prednost tovrstnega pristopa je možnost natančnejšega prikaza zdravstvenih izidov, kar v mednarodnih poročilih zaradi omejitev anketnih raziskav pogosto ni mogoče.</w:t>
      </w:r>
      <w:r w:rsidR="000879D8" w:rsidRPr="00E73DC8">
        <w:rPr>
          <w:rFonts w:ascii="Aptos" w:hAnsi="Aptos" w:cs="Times New Roman"/>
        </w:rPr>
        <w:t xml:space="preserve"> V Sloveniji smo lahko ponosni na vzpostavljeni </w:t>
      </w:r>
      <w:r w:rsidR="000C14C0" w:rsidRPr="00E73DC8">
        <w:rPr>
          <w:rFonts w:ascii="Aptos" w:hAnsi="Aptos" w:cs="Times New Roman"/>
        </w:rPr>
        <w:t xml:space="preserve">celoviti </w:t>
      </w:r>
      <w:r w:rsidR="000879D8" w:rsidRPr="00E73DC8">
        <w:rPr>
          <w:rFonts w:ascii="Aptos" w:hAnsi="Aptos" w:cs="Times New Roman"/>
        </w:rPr>
        <w:t xml:space="preserve">sistem spremljanja in analiziranja populacijskih podatkov o zdravju in bolezni, </w:t>
      </w:r>
      <w:r w:rsidR="000C14C0" w:rsidRPr="00E73DC8">
        <w:rPr>
          <w:rFonts w:ascii="Aptos" w:hAnsi="Aptos" w:cs="Times New Roman"/>
        </w:rPr>
        <w:t xml:space="preserve">ki poteka po več poteh v različnih nacionalnih inštitucijah in nam omogoča, da razumemo, kje so naše prioritete za ukrepanje. Podatke, ki nam prikazujejo prioritetne izzive, posebej skrbno spremljamo. Tudi zato so naša poglobljena poročila lahko bolj kritična do stanja na področju neenakosti kot poročila, ki izhajajo iz mednarodnih anketnih raziskav. </w:t>
      </w:r>
    </w:p>
    <w:p w14:paraId="35DD2C0C" w14:textId="4D929D59" w:rsidR="001C6036" w:rsidRPr="00E73DC8" w:rsidRDefault="001C6036" w:rsidP="0036374C">
      <w:pPr>
        <w:jc w:val="both"/>
        <w:rPr>
          <w:rFonts w:ascii="Aptos" w:hAnsi="Aptos" w:cs="Times New Roman"/>
        </w:rPr>
      </w:pPr>
      <w:r w:rsidRPr="00E73DC8">
        <w:rPr>
          <w:rFonts w:ascii="Aptos" w:hAnsi="Aptos" w:cs="Times New Roman"/>
        </w:rPr>
        <w:t>Neenakosti v zdravju je mogoče odkriti in zmanjševati le, če jih ustrezno merimo in prikazujemo, zato je razvoj kazalnikov in metodologije osrednji del javnozdravstvenega raziskovanja.</w:t>
      </w:r>
      <w:r w:rsidR="00901CF1" w:rsidRPr="00E73DC8">
        <w:rPr>
          <w:rFonts w:ascii="Aptos" w:hAnsi="Aptos" w:cs="Times New Roman"/>
        </w:rPr>
        <w:t xml:space="preserve"> </w:t>
      </w:r>
      <w:r w:rsidRPr="00E73DC8">
        <w:rPr>
          <w:rFonts w:ascii="Aptos" w:hAnsi="Aptos" w:cs="Times New Roman"/>
        </w:rPr>
        <w:t xml:space="preserve">Razlike v zdravju med skupinami so </w:t>
      </w:r>
      <w:r w:rsidR="005E1FDB" w:rsidRPr="00E73DC8">
        <w:rPr>
          <w:rFonts w:ascii="Aptos" w:hAnsi="Aptos" w:cs="Times New Roman"/>
        </w:rPr>
        <w:t>navadno</w:t>
      </w:r>
      <w:r w:rsidR="009F27DD" w:rsidRPr="00E73DC8">
        <w:rPr>
          <w:rFonts w:ascii="Aptos" w:hAnsi="Aptos" w:cs="Times New Roman"/>
        </w:rPr>
        <w:t xml:space="preserve"> </w:t>
      </w:r>
      <w:r w:rsidRPr="00E73DC8">
        <w:rPr>
          <w:rFonts w:ascii="Aptos" w:hAnsi="Aptos" w:cs="Times New Roman"/>
        </w:rPr>
        <w:t>opazovane po spolu, starosti in regiji, ključne pa so</w:t>
      </w:r>
      <w:r w:rsidR="005E1FDB" w:rsidRPr="00E73DC8">
        <w:rPr>
          <w:rFonts w:ascii="Aptos" w:hAnsi="Aptos" w:cs="Times New Roman"/>
        </w:rPr>
        <w:t xml:space="preserve"> tudi</w:t>
      </w:r>
      <w:r w:rsidRPr="00E73DC8">
        <w:rPr>
          <w:rFonts w:ascii="Aptos" w:hAnsi="Aptos" w:cs="Times New Roman"/>
        </w:rPr>
        <w:t xml:space="preserve"> neenakosti, povezane s socialno-ekonomskim položajem posamezniko</w:t>
      </w:r>
      <w:r w:rsidR="009F27DD" w:rsidRPr="00E73DC8">
        <w:rPr>
          <w:rFonts w:ascii="Aptos" w:hAnsi="Aptos" w:cs="Times New Roman"/>
        </w:rPr>
        <w:t>v</w:t>
      </w:r>
      <w:r w:rsidRPr="00E73DC8">
        <w:rPr>
          <w:rFonts w:ascii="Aptos" w:hAnsi="Aptos" w:cs="Times New Roman"/>
        </w:rPr>
        <w:t>. Za merjenje teh razlik uporabljamo kazalnike, ki zajemajo zdravje, zdravstveno varstvo, vedenjski slog in socialni položaj, pri čemer je izobrazba najpogosteje uporabljen socialno-ekonomski determinant</w:t>
      </w:r>
      <w:r w:rsidR="00BF775D" w:rsidRPr="00E73DC8">
        <w:rPr>
          <w:rFonts w:ascii="Aptos" w:hAnsi="Aptos" w:cs="Times New Roman"/>
        </w:rPr>
        <w:t>.</w:t>
      </w:r>
    </w:p>
    <w:p w14:paraId="0488B6D8" w14:textId="13E7B09C" w:rsidR="009F27DD" w:rsidRPr="00E73DC8" w:rsidRDefault="00BF775D" w:rsidP="0036374C">
      <w:pPr>
        <w:jc w:val="both"/>
        <w:rPr>
          <w:rFonts w:ascii="Aptos" w:hAnsi="Aptos" w:cs="Times New Roman"/>
        </w:rPr>
      </w:pPr>
      <w:r w:rsidRPr="00E73DC8">
        <w:rPr>
          <w:rFonts w:ascii="Aptos" w:hAnsi="Aptos" w:cs="Times New Roman"/>
        </w:rPr>
        <w:t xml:space="preserve">Ena izmed </w:t>
      </w:r>
      <w:r w:rsidR="000C14C0" w:rsidRPr="00E73DC8">
        <w:rPr>
          <w:rFonts w:ascii="Aptos" w:hAnsi="Aptos" w:cs="Times New Roman"/>
        </w:rPr>
        <w:t>ključnih</w:t>
      </w:r>
      <w:r w:rsidRPr="00E73DC8">
        <w:rPr>
          <w:rFonts w:ascii="Aptos" w:hAnsi="Aptos" w:cs="Times New Roman"/>
        </w:rPr>
        <w:t xml:space="preserve"> </w:t>
      </w:r>
      <w:r w:rsidR="009F27DD" w:rsidRPr="00E73DC8">
        <w:rPr>
          <w:rFonts w:ascii="Aptos" w:hAnsi="Aptos" w:cs="Times New Roman"/>
        </w:rPr>
        <w:t>ponaz</w:t>
      </w:r>
      <w:r w:rsidRPr="00E73DC8">
        <w:rPr>
          <w:rFonts w:ascii="Aptos" w:hAnsi="Aptos" w:cs="Times New Roman"/>
        </w:rPr>
        <w:t>o</w:t>
      </w:r>
      <w:r w:rsidR="009F27DD" w:rsidRPr="00E73DC8">
        <w:rPr>
          <w:rFonts w:ascii="Aptos" w:hAnsi="Aptos" w:cs="Times New Roman"/>
        </w:rPr>
        <w:t>r</w:t>
      </w:r>
      <w:r w:rsidRPr="00E73DC8">
        <w:rPr>
          <w:rFonts w:ascii="Aptos" w:hAnsi="Aptos" w:cs="Times New Roman"/>
        </w:rPr>
        <w:t>itev</w:t>
      </w:r>
      <w:r w:rsidR="009F27DD" w:rsidRPr="00E73DC8">
        <w:rPr>
          <w:rFonts w:ascii="Aptos" w:hAnsi="Aptos" w:cs="Times New Roman"/>
        </w:rPr>
        <w:t xml:space="preserve"> socialno-ekonomsk</w:t>
      </w:r>
      <w:r w:rsidRPr="00E73DC8">
        <w:rPr>
          <w:rFonts w:ascii="Aptos" w:hAnsi="Aptos" w:cs="Times New Roman"/>
        </w:rPr>
        <w:t>e</w:t>
      </w:r>
      <w:r w:rsidR="009F27DD" w:rsidRPr="00E73DC8">
        <w:rPr>
          <w:rFonts w:ascii="Aptos" w:hAnsi="Aptos" w:cs="Times New Roman"/>
        </w:rPr>
        <w:t xml:space="preserve"> vrzel</w:t>
      </w:r>
      <w:r w:rsidR="000C14C0" w:rsidRPr="00E73DC8">
        <w:rPr>
          <w:rFonts w:ascii="Aptos" w:hAnsi="Aptos" w:cs="Times New Roman"/>
        </w:rPr>
        <w:t>i</w:t>
      </w:r>
      <w:r w:rsidR="009F27DD" w:rsidRPr="00E73DC8">
        <w:rPr>
          <w:rFonts w:ascii="Aptos" w:hAnsi="Aptos" w:cs="Times New Roman"/>
        </w:rPr>
        <w:t xml:space="preserve"> v zdravju, merjeno prek</w:t>
      </w:r>
      <w:r w:rsidRPr="00E73DC8">
        <w:rPr>
          <w:rFonts w:ascii="Aptos" w:hAnsi="Aptos" w:cs="Times New Roman"/>
        </w:rPr>
        <w:t>o</w:t>
      </w:r>
      <w:r w:rsidR="009F27DD" w:rsidRPr="00E73DC8">
        <w:rPr>
          <w:rFonts w:ascii="Aptos" w:hAnsi="Aptos" w:cs="Times New Roman"/>
        </w:rPr>
        <w:t xml:space="preserve"> izobrazbe</w:t>
      </w:r>
      <w:r w:rsidRPr="00E73DC8">
        <w:rPr>
          <w:rFonts w:ascii="Aptos" w:hAnsi="Aptos" w:cs="Times New Roman"/>
        </w:rPr>
        <w:t>, je prezgodnja umrljivost pred 74. letom starosti.</w:t>
      </w:r>
      <w:r w:rsidR="009F27DD" w:rsidRPr="00E73DC8">
        <w:rPr>
          <w:rFonts w:ascii="Aptos" w:hAnsi="Aptos" w:cs="Times New Roman"/>
        </w:rPr>
        <w:t xml:space="preserve"> Moški z nizko izobrazbo imajo do 2,6-krat višjo stopnjo umrljivosti kot visoko izobraženi, pri ženskah pa je vrzel manjša, a prisotna.</w:t>
      </w:r>
    </w:p>
    <w:p w14:paraId="7E1F63AE" w14:textId="77777777" w:rsidR="00B04301" w:rsidRPr="00E73DC8" w:rsidRDefault="00B04301" w:rsidP="0036374C">
      <w:pPr>
        <w:jc w:val="both"/>
        <w:rPr>
          <w:rFonts w:ascii="Aptos" w:hAnsi="Aptos" w:cs="Times New Roman"/>
          <w:noProof/>
        </w:rPr>
      </w:pPr>
    </w:p>
    <w:p w14:paraId="046FE01D" w14:textId="77777777" w:rsidR="00B04301" w:rsidRPr="00E73DC8" w:rsidRDefault="009F27DD" w:rsidP="0036374C">
      <w:pPr>
        <w:keepNext/>
        <w:jc w:val="both"/>
        <w:rPr>
          <w:rFonts w:ascii="Aptos" w:hAnsi="Aptos"/>
        </w:rPr>
      </w:pPr>
      <w:r w:rsidRPr="00E73DC8">
        <w:rPr>
          <w:rFonts w:ascii="Aptos" w:hAnsi="Aptos" w:cs="Times New Roman"/>
          <w:noProof/>
        </w:rPr>
        <w:lastRenderedPageBreak/>
        <w:drawing>
          <wp:inline distT="0" distB="0" distL="0" distR="0" wp14:anchorId="5822D744" wp14:editId="377A7D28">
            <wp:extent cx="3314700" cy="2796540"/>
            <wp:effectExtent l="0" t="0" r="0" b="381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4"/>
                    <a:srcRect b="13136"/>
                    <a:stretch>
                      <a:fillRect/>
                    </a:stretch>
                  </pic:blipFill>
                  <pic:spPr bwMode="auto">
                    <a:xfrm>
                      <a:off x="0" y="0"/>
                      <a:ext cx="3315132" cy="2796905"/>
                    </a:xfrm>
                    <a:prstGeom prst="rect">
                      <a:avLst/>
                    </a:prstGeom>
                    <a:ln>
                      <a:noFill/>
                    </a:ln>
                    <a:extLst>
                      <a:ext uri="{53640926-AAD7-44D8-BBD7-CCE9431645EC}">
                        <a14:shadowObscured xmlns:a14="http://schemas.microsoft.com/office/drawing/2010/main"/>
                      </a:ext>
                    </a:extLst>
                  </pic:spPr>
                </pic:pic>
              </a:graphicData>
            </a:graphic>
          </wp:inline>
        </w:drawing>
      </w:r>
    </w:p>
    <w:p w14:paraId="79879A23" w14:textId="4EFCD582" w:rsidR="009F27DD" w:rsidRPr="00E73DC8" w:rsidRDefault="00B04301" w:rsidP="0036374C">
      <w:pPr>
        <w:pStyle w:val="Napis"/>
        <w:jc w:val="both"/>
        <w:rPr>
          <w:rFonts w:ascii="Aptos" w:hAnsi="Aptos" w:cs="Times New Roman"/>
        </w:rPr>
      </w:pPr>
      <w:r w:rsidRPr="00E73DC8">
        <w:rPr>
          <w:rFonts w:ascii="Aptos" w:hAnsi="Aptos"/>
        </w:rPr>
        <w:t xml:space="preserve">Slika </w:t>
      </w:r>
      <w:r w:rsidRPr="00E73DC8">
        <w:rPr>
          <w:rFonts w:ascii="Aptos" w:hAnsi="Aptos"/>
        </w:rPr>
        <w:fldChar w:fldCharType="begin"/>
      </w:r>
      <w:r w:rsidRPr="00E73DC8">
        <w:rPr>
          <w:rFonts w:ascii="Aptos" w:hAnsi="Aptos"/>
        </w:rPr>
        <w:instrText xml:space="preserve"> SEQ Slika \* ARABIC </w:instrText>
      </w:r>
      <w:r w:rsidRPr="00E73DC8">
        <w:rPr>
          <w:rFonts w:ascii="Aptos" w:hAnsi="Aptos"/>
        </w:rPr>
        <w:fldChar w:fldCharType="separate"/>
      </w:r>
      <w:r w:rsidR="00A91585" w:rsidRPr="00E73DC8">
        <w:rPr>
          <w:rFonts w:ascii="Aptos" w:hAnsi="Aptos"/>
          <w:noProof/>
        </w:rPr>
        <w:t>1</w:t>
      </w:r>
      <w:r w:rsidRPr="00E73DC8">
        <w:rPr>
          <w:rFonts w:ascii="Aptos" w:hAnsi="Aptos"/>
          <w:noProof/>
        </w:rPr>
        <w:fldChar w:fldCharType="end"/>
      </w:r>
      <w:r w:rsidRPr="00E73DC8">
        <w:rPr>
          <w:rFonts w:ascii="Aptos" w:hAnsi="Aptos"/>
        </w:rPr>
        <w:t>: Umrljivost pred 75. letom po izobrazbi in spolu v štirih obdobjih - trend vrzeli.</w:t>
      </w:r>
    </w:p>
    <w:p w14:paraId="0C01DC4E" w14:textId="70C4C4A5" w:rsidR="001A72BD" w:rsidRPr="00E73DC8" w:rsidRDefault="009F27DD" w:rsidP="0036374C">
      <w:pPr>
        <w:jc w:val="both"/>
        <w:rPr>
          <w:rFonts w:ascii="Aptos" w:hAnsi="Aptos" w:cs="Times New Roman"/>
        </w:rPr>
      </w:pPr>
      <w:r w:rsidRPr="00E73DC8">
        <w:rPr>
          <w:rFonts w:ascii="Aptos" w:hAnsi="Aptos" w:cs="Times New Roman"/>
        </w:rPr>
        <w:t xml:space="preserve">Medtem ko kazalniki, kot je prezgodnja umrljivost, pokažejo obseg vrzeli v zdravju, analiza življenjskih pogojev razkriva, kaj te vrzeli poganja. V Sloveniji </w:t>
      </w:r>
      <w:r w:rsidR="005E1FDB" w:rsidRPr="00E73DC8">
        <w:rPr>
          <w:rFonts w:ascii="Aptos" w:hAnsi="Aptos" w:cs="Times New Roman"/>
        </w:rPr>
        <w:t xml:space="preserve">imata </w:t>
      </w:r>
      <w:r w:rsidRPr="00E73DC8">
        <w:rPr>
          <w:rFonts w:ascii="Aptos" w:hAnsi="Aptos" w:cs="Times New Roman"/>
        </w:rPr>
        <w:t>največj</w:t>
      </w:r>
      <w:r w:rsidR="00A16171" w:rsidRPr="00E73DC8">
        <w:rPr>
          <w:rFonts w:ascii="Aptos" w:hAnsi="Aptos" w:cs="Times New Roman"/>
        </w:rPr>
        <w:t>i</w:t>
      </w:r>
      <w:r w:rsidRPr="00E73DC8">
        <w:rPr>
          <w:rFonts w:ascii="Aptos" w:hAnsi="Aptos" w:cs="Times New Roman"/>
        </w:rPr>
        <w:t xml:space="preserve"> </w:t>
      </w:r>
      <w:r w:rsidR="00BF775D" w:rsidRPr="00E73DC8">
        <w:rPr>
          <w:rFonts w:ascii="Aptos" w:hAnsi="Aptos" w:cs="Times New Roman"/>
        </w:rPr>
        <w:t>vpliv na</w:t>
      </w:r>
      <w:r w:rsidRPr="00E73DC8">
        <w:rPr>
          <w:rFonts w:ascii="Aptos" w:hAnsi="Aptos" w:cs="Times New Roman"/>
        </w:rPr>
        <w:t xml:space="preserve"> razlik</w:t>
      </w:r>
      <w:r w:rsidR="00BF775D" w:rsidRPr="00E73DC8">
        <w:rPr>
          <w:rFonts w:ascii="Aptos" w:hAnsi="Aptos" w:cs="Times New Roman"/>
        </w:rPr>
        <w:t>i</w:t>
      </w:r>
      <w:r w:rsidRPr="00E73DC8">
        <w:rPr>
          <w:rFonts w:ascii="Aptos" w:hAnsi="Aptos" w:cs="Times New Roman"/>
        </w:rPr>
        <w:t xml:space="preserve"> v </w:t>
      </w:r>
      <w:proofErr w:type="spellStart"/>
      <w:r w:rsidRPr="00E73DC8">
        <w:rPr>
          <w:rFonts w:ascii="Aptos" w:hAnsi="Aptos" w:cs="Times New Roman"/>
        </w:rPr>
        <w:t>samoocenjenem</w:t>
      </w:r>
      <w:proofErr w:type="spellEnd"/>
      <w:r w:rsidRPr="00E73DC8">
        <w:rPr>
          <w:rFonts w:ascii="Aptos" w:hAnsi="Aptos" w:cs="Times New Roman"/>
        </w:rPr>
        <w:t xml:space="preserve"> zdravju dohodkovna in socialna varnost, ki pojasnjujeta 4</w:t>
      </w:r>
      <w:r w:rsidR="005E1FDB" w:rsidRPr="00E73DC8">
        <w:rPr>
          <w:rFonts w:ascii="Aptos" w:hAnsi="Aptos" w:cs="Times New Roman"/>
        </w:rPr>
        <w:t>2</w:t>
      </w:r>
      <w:r w:rsidRPr="00E73DC8">
        <w:rPr>
          <w:rFonts w:ascii="Aptos" w:hAnsi="Aptos" w:cs="Times New Roman"/>
        </w:rPr>
        <w:t xml:space="preserve">% vrzeli med bolj in manj premožnimi prebivalci. </w:t>
      </w:r>
    </w:p>
    <w:p w14:paraId="78BED184" w14:textId="77777777" w:rsidR="001E17FD" w:rsidRPr="00E73DC8" w:rsidRDefault="001A72BD" w:rsidP="0036374C">
      <w:pPr>
        <w:keepNext/>
        <w:jc w:val="both"/>
        <w:rPr>
          <w:rFonts w:ascii="Aptos" w:hAnsi="Aptos"/>
        </w:rPr>
      </w:pPr>
      <w:r w:rsidRPr="00E73DC8">
        <w:rPr>
          <w:rFonts w:ascii="Aptos" w:hAnsi="Aptos" w:cs="Times New Roman"/>
          <w:noProof/>
        </w:rPr>
        <w:drawing>
          <wp:inline distT="0" distB="0" distL="0" distR="0" wp14:anchorId="237539C0" wp14:editId="0A36DDA8">
            <wp:extent cx="5760720" cy="28270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5"/>
                    <a:srcRect b="10871"/>
                    <a:stretch>
                      <a:fillRect/>
                    </a:stretch>
                  </pic:blipFill>
                  <pic:spPr bwMode="auto">
                    <a:xfrm>
                      <a:off x="0" y="0"/>
                      <a:ext cx="5760720" cy="2827020"/>
                    </a:xfrm>
                    <a:prstGeom prst="rect">
                      <a:avLst/>
                    </a:prstGeom>
                    <a:ln>
                      <a:noFill/>
                    </a:ln>
                    <a:extLst>
                      <a:ext uri="{53640926-AAD7-44D8-BBD7-CCE9431645EC}">
                        <a14:shadowObscured xmlns:a14="http://schemas.microsoft.com/office/drawing/2010/main"/>
                      </a:ext>
                    </a:extLst>
                  </pic:spPr>
                </pic:pic>
              </a:graphicData>
            </a:graphic>
          </wp:inline>
        </w:drawing>
      </w:r>
    </w:p>
    <w:p w14:paraId="48BECDF6" w14:textId="25BBDD58" w:rsidR="001E17FD" w:rsidRPr="00E73DC8" w:rsidRDefault="001E17FD" w:rsidP="0036374C">
      <w:pPr>
        <w:pStyle w:val="Napis"/>
        <w:jc w:val="both"/>
        <w:rPr>
          <w:rFonts w:ascii="Aptos" w:hAnsi="Aptos" w:cs="Times New Roman"/>
        </w:rPr>
      </w:pPr>
      <w:r w:rsidRPr="00E73DC8">
        <w:rPr>
          <w:rFonts w:ascii="Aptos" w:hAnsi="Aptos"/>
        </w:rPr>
        <w:t xml:space="preserve">Slika </w:t>
      </w:r>
      <w:r w:rsidR="00B04301" w:rsidRPr="00E73DC8">
        <w:rPr>
          <w:rFonts w:ascii="Aptos" w:hAnsi="Aptos"/>
        </w:rPr>
        <w:fldChar w:fldCharType="begin"/>
      </w:r>
      <w:r w:rsidR="00B04301" w:rsidRPr="00E73DC8">
        <w:rPr>
          <w:rFonts w:ascii="Aptos" w:hAnsi="Aptos"/>
        </w:rPr>
        <w:instrText xml:space="preserve"> SEQ Slika \* ARABIC </w:instrText>
      </w:r>
      <w:r w:rsidR="00B04301" w:rsidRPr="00E73DC8">
        <w:rPr>
          <w:rFonts w:ascii="Aptos" w:hAnsi="Aptos"/>
        </w:rPr>
        <w:fldChar w:fldCharType="separate"/>
      </w:r>
      <w:r w:rsidR="00A91585" w:rsidRPr="00E73DC8">
        <w:rPr>
          <w:rFonts w:ascii="Aptos" w:hAnsi="Aptos"/>
          <w:noProof/>
        </w:rPr>
        <w:t>2</w:t>
      </w:r>
      <w:r w:rsidR="00B04301" w:rsidRPr="00E73DC8">
        <w:rPr>
          <w:rFonts w:ascii="Aptos" w:hAnsi="Aptos"/>
          <w:noProof/>
        </w:rPr>
        <w:fldChar w:fldCharType="end"/>
      </w:r>
      <w:r w:rsidRPr="00E73DC8">
        <w:rPr>
          <w:rFonts w:ascii="Aptos" w:hAnsi="Aptos"/>
        </w:rPr>
        <w:t xml:space="preserve">: Prispevek petih skupin dejavnikov k vrzeli v </w:t>
      </w:r>
      <w:proofErr w:type="spellStart"/>
      <w:r w:rsidRPr="00E73DC8">
        <w:rPr>
          <w:rFonts w:ascii="Aptos" w:hAnsi="Aptos"/>
        </w:rPr>
        <w:t>samoocenjenem</w:t>
      </w:r>
      <w:proofErr w:type="spellEnd"/>
      <w:r w:rsidRPr="00E73DC8">
        <w:rPr>
          <w:rFonts w:ascii="Aptos" w:hAnsi="Aptos"/>
        </w:rPr>
        <w:t xml:space="preserve"> zdravju v Sloveniji.</w:t>
      </w:r>
    </w:p>
    <w:p w14:paraId="7C7765CA" w14:textId="7CFE7441" w:rsidR="008E1692" w:rsidRPr="00E73DC8" w:rsidRDefault="007B0738" w:rsidP="0036374C">
      <w:pPr>
        <w:jc w:val="both"/>
        <w:rPr>
          <w:rFonts w:ascii="Aptos" w:hAnsi="Aptos" w:cs="Times New Roman"/>
        </w:rPr>
      </w:pPr>
      <w:r w:rsidRPr="00E73DC8">
        <w:rPr>
          <w:rFonts w:ascii="Aptos" w:hAnsi="Aptos" w:cs="Times New Roman"/>
        </w:rPr>
        <w:t xml:space="preserve">V raziskavah, ki jih na Nacionalnem inštitutu za javno zdravje (NIJZ) izvajamo na področju neenakosti v zdravju, se posebna pozornost namenja dostopu do zdravstvenih storitev in programov. </w:t>
      </w:r>
      <w:r w:rsidR="008E1692" w:rsidRPr="00E73DC8">
        <w:rPr>
          <w:rFonts w:ascii="Aptos" w:hAnsi="Aptos" w:cs="Times New Roman"/>
        </w:rPr>
        <w:t xml:space="preserve">Analiza dostopa do ortopedskih storitev je na primer pokazala izrazite geografske neenakosti, saj prebivalci jugovzhodne Slovenije na endoprotezo kolena čakajo skoraj štiri leta, prebivalci pomurske regije pa manj kot polovico tega časa. </w:t>
      </w:r>
      <w:r w:rsidR="000B46DE" w:rsidRPr="00E73DC8">
        <w:rPr>
          <w:rFonts w:ascii="Aptos" w:hAnsi="Aptos" w:cs="Times New Roman"/>
        </w:rPr>
        <w:t xml:space="preserve">Raziskovanje iskanja strokovne pomoči na področju duševnega zdravja je pokazalo, da moški ter osebe z nižjo izobrazbo in nižjim socialno-ekonomskim statusom pomoč iščejo redkeje ali z večjim časovnim zamikom. </w:t>
      </w:r>
      <w:r w:rsidR="008E1692" w:rsidRPr="00E73DC8">
        <w:rPr>
          <w:rFonts w:ascii="Aptos" w:hAnsi="Aptos" w:cs="Times New Roman"/>
        </w:rPr>
        <w:t>Raziskava SI-PANDA pa je pokazala, da je pandemija covida-19 poslabšala zaznano dostopnost ginekoloških storitev, zlasti zaradi težje organizacije časa pri mlajših ženskah in materah</w:t>
      </w:r>
      <w:r w:rsidRPr="00E73DC8">
        <w:rPr>
          <w:rFonts w:ascii="Aptos" w:hAnsi="Aptos" w:cs="Times New Roman"/>
        </w:rPr>
        <w:t>.</w:t>
      </w:r>
    </w:p>
    <w:p w14:paraId="75BEF4D8" w14:textId="50B8AB76" w:rsidR="00465E5C" w:rsidRPr="00E73DC8" w:rsidRDefault="007B0738" w:rsidP="0036374C">
      <w:pPr>
        <w:jc w:val="both"/>
        <w:rPr>
          <w:rFonts w:ascii="Aptos" w:hAnsi="Aptos" w:cs="Times New Roman"/>
        </w:rPr>
      </w:pPr>
      <w:r w:rsidRPr="00E73DC8">
        <w:rPr>
          <w:rFonts w:ascii="Aptos" w:hAnsi="Aptos" w:cs="Times New Roman"/>
        </w:rPr>
        <w:lastRenderedPageBreak/>
        <w:t xml:space="preserve">V publikaciji iz leta 2025 je bila obravnava neenakosti v zdravju prvič razširjena tudi na okolje, kar je prineslo prepoznavo ključnih okoljskih področij in prvi sistematičen prikaz okoljskih neenakosti v Sloveniji. Pri tem večjih </w:t>
      </w:r>
      <w:r w:rsidR="001E17FD" w:rsidRPr="00E73DC8">
        <w:rPr>
          <w:rFonts w:ascii="Aptos" w:hAnsi="Aptos" w:cs="Times New Roman"/>
        </w:rPr>
        <w:t xml:space="preserve">okoljih </w:t>
      </w:r>
      <w:r w:rsidRPr="00E73DC8">
        <w:rPr>
          <w:rFonts w:ascii="Aptos" w:hAnsi="Aptos" w:cs="Times New Roman"/>
        </w:rPr>
        <w:t>razlik med regijami zaradi majhnosti države nis</w:t>
      </w:r>
      <w:r w:rsidR="00317DC2" w:rsidRPr="00E73DC8">
        <w:rPr>
          <w:rFonts w:ascii="Aptos" w:hAnsi="Aptos" w:cs="Times New Roman"/>
        </w:rPr>
        <w:t>m</w:t>
      </w:r>
      <w:r w:rsidRPr="00E73DC8">
        <w:rPr>
          <w:rFonts w:ascii="Aptos" w:hAnsi="Aptos" w:cs="Times New Roman"/>
        </w:rPr>
        <w:t xml:space="preserve">o zaznali, ugotovitve pa </w:t>
      </w:r>
      <w:r w:rsidR="001E17FD" w:rsidRPr="00E73DC8">
        <w:rPr>
          <w:rFonts w:ascii="Aptos" w:hAnsi="Aptos" w:cs="Times New Roman"/>
        </w:rPr>
        <w:t xml:space="preserve">so </w:t>
      </w:r>
      <w:r w:rsidRPr="00E73DC8">
        <w:rPr>
          <w:rFonts w:ascii="Aptos" w:hAnsi="Aptos" w:cs="Times New Roman"/>
        </w:rPr>
        <w:t xml:space="preserve">jasno </w:t>
      </w:r>
      <w:r w:rsidR="001E17FD" w:rsidRPr="00E73DC8">
        <w:rPr>
          <w:rFonts w:ascii="Aptos" w:hAnsi="Aptos" w:cs="Times New Roman"/>
        </w:rPr>
        <w:t>pokazale</w:t>
      </w:r>
      <w:r w:rsidRPr="00E73DC8">
        <w:rPr>
          <w:rFonts w:ascii="Aptos" w:hAnsi="Aptos" w:cs="Times New Roman"/>
        </w:rPr>
        <w:t xml:space="preserve"> na potrebo po boljšem spremljanju podatkov, razvoju ustreznih kazalnikov ter podrobnejši disagregaciji podatkov glede na izobrazbo in socialno-ekonomski status.</w:t>
      </w:r>
    </w:p>
    <w:p w14:paraId="2048D1B6" w14:textId="371E656B" w:rsidR="001E17FD" w:rsidRPr="00E73DC8" w:rsidRDefault="001E17FD" w:rsidP="0036374C">
      <w:pPr>
        <w:jc w:val="both"/>
        <w:rPr>
          <w:rFonts w:ascii="Aptos" w:hAnsi="Aptos" w:cs="Times New Roman"/>
        </w:rPr>
      </w:pPr>
      <w:r w:rsidRPr="00E73DC8">
        <w:rPr>
          <w:rFonts w:ascii="Aptos" w:hAnsi="Aptos" w:cs="Times New Roman"/>
        </w:rPr>
        <w:t>Analiza regijskih neenakosti je pokazala, da kljub majhnosti Slovenije obstajajo pomembne razlike, zlasti pri dostopu do zdravstvenih storitev, duševnem zdravju in okoljskih obremenitvah, pri čemer so vzhodne in obrobne regije praviloma v slabšem položaju. Lokalni deležniki kot glavne težave navajajo pomanjkanje kadrov, omejeno dostopnost pomoči pri duševnih stiskah, stigmo in šibko povezovanje med sektorji.</w:t>
      </w:r>
    </w:p>
    <w:p w14:paraId="008A1DFB" w14:textId="0140FECD" w:rsidR="008E46DE" w:rsidRPr="00E73DC8" w:rsidRDefault="008E46DE" w:rsidP="0036374C">
      <w:pPr>
        <w:jc w:val="both"/>
        <w:rPr>
          <w:rFonts w:ascii="Aptos" w:hAnsi="Aptos" w:cs="Times New Roman"/>
        </w:rPr>
      </w:pPr>
      <w:r w:rsidRPr="00E73DC8">
        <w:rPr>
          <w:rFonts w:ascii="Aptos" w:hAnsi="Aptos" w:cs="Times New Roman"/>
        </w:rPr>
        <w:t xml:space="preserve">Na podlagi ugotovljenih neenakosti v zdravju je smiselno vzpostaviti stalno in institucionalizirano platformo za medsektorsko sodelovanje, ki bi omogočala usklajeno pripravo analiz in ukrepov za njihovo zmanjševanje. </w:t>
      </w:r>
      <w:r w:rsidR="007A060F" w:rsidRPr="00E73DC8">
        <w:rPr>
          <w:rFonts w:ascii="Aptos" w:hAnsi="Aptos" w:cs="Times New Roman"/>
        </w:rPr>
        <w:t>Inovativna P</w:t>
      </w:r>
      <w:r w:rsidR="00337DBD" w:rsidRPr="00E73DC8">
        <w:rPr>
          <w:rFonts w:ascii="Aptos" w:hAnsi="Aptos" w:cs="Times New Roman"/>
        </w:rPr>
        <w:t>latforma, ki se je v Sloveniji že oblikovala v obdobju 2014–2016, bi z jasno opredeljenimi vlogami, viri in metodologijami omogočila boljše usklajevanje politik in skupno interpretacijo podatkov. S tem bi podprla pravočasno načrtovanje ukrepov z vidika njihovega vpliva na neenakosti v zdravju in blaginjo prebivalstva.</w:t>
      </w:r>
    </w:p>
    <w:p w14:paraId="4A9E1190" w14:textId="77777777" w:rsidR="00317DC2" w:rsidRPr="00E73DC8" w:rsidRDefault="00317DC2" w:rsidP="0036374C">
      <w:pPr>
        <w:jc w:val="both"/>
        <w:rPr>
          <w:rFonts w:ascii="Aptos" w:hAnsi="Aptos" w:cs="Times New Roman"/>
        </w:rPr>
      </w:pPr>
    </w:p>
    <w:p w14:paraId="3AC0B970" w14:textId="77777777" w:rsidR="001E17FD" w:rsidRPr="00E73DC8" w:rsidRDefault="001E17FD" w:rsidP="0036374C">
      <w:pPr>
        <w:keepNext/>
        <w:jc w:val="both"/>
        <w:rPr>
          <w:rFonts w:ascii="Aptos" w:hAnsi="Aptos"/>
        </w:rPr>
      </w:pPr>
      <w:r w:rsidRPr="00E73DC8">
        <w:rPr>
          <w:rFonts w:ascii="Aptos" w:hAnsi="Aptos" w:cs="Times New Roman"/>
          <w:noProof/>
        </w:rPr>
        <w:drawing>
          <wp:inline distT="0" distB="0" distL="0" distR="0" wp14:anchorId="7AC1C9D6" wp14:editId="262BBC61">
            <wp:extent cx="4706611" cy="4133850"/>
            <wp:effectExtent l="0" t="0" r="0" b="0"/>
            <wp:docPr id="571315409" name="Slika 2" descr="Slika, ki vsebuje besede krog, diagram, vrstica, zemljevid&#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15409" name="Slika 2" descr="Slika, ki vsebuje besede krog, diagram, vrstica, zemljevid&#10;&#10;Vsebina, ustvarjena z UI, morda ni pravilna."/>
                    <pic:cNvPicPr/>
                  </pic:nvPicPr>
                  <pic:blipFill>
                    <a:blip r:embed="rId6">
                      <a:extLst>
                        <a:ext uri="{28A0092B-C50C-407E-A947-70E740481C1C}">
                          <a14:useLocalDpi xmlns:a14="http://schemas.microsoft.com/office/drawing/2010/main" val="0"/>
                        </a:ext>
                      </a:extLst>
                    </a:blip>
                    <a:stretch>
                      <a:fillRect/>
                    </a:stretch>
                  </pic:blipFill>
                  <pic:spPr>
                    <a:xfrm>
                      <a:off x="0" y="0"/>
                      <a:ext cx="4727753" cy="4152419"/>
                    </a:xfrm>
                    <a:prstGeom prst="rect">
                      <a:avLst/>
                    </a:prstGeom>
                  </pic:spPr>
                </pic:pic>
              </a:graphicData>
            </a:graphic>
          </wp:inline>
        </w:drawing>
      </w:r>
    </w:p>
    <w:p w14:paraId="622E88EE" w14:textId="46024645" w:rsidR="001E17FD" w:rsidRPr="00E73DC8" w:rsidRDefault="001E17FD" w:rsidP="0036374C">
      <w:pPr>
        <w:pStyle w:val="Napis"/>
        <w:jc w:val="both"/>
        <w:rPr>
          <w:rFonts w:ascii="Aptos" w:hAnsi="Aptos"/>
        </w:rPr>
      </w:pPr>
      <w:r w:rsidRPr="00E73DC8">
        <w:rPr>
          <w:rFonts w:ascii="Aptos" w:hAnsi="Aptos"/>
        </w:rPr>
        <w:t xml:space="preserve">Slika </w:t>
      </w:r>
      <w:r w:rsidR="00B04301" w:rsidRPr="00E73DC8">
        <w:rPr>
          <w:rFonts w:ascii="Aptos" w:hAnsi="Aptos"/>
        </w:rPr>
        <w:fldChar w:fldCharType="begin"/>
      </w:r>
      <w:r w:rsidR="00B04301" w:rsidRPr="00E73DC8">
        <w:rPr>
          <w:rFonts w:ascii="Aptos" w:hAnsi="Aptos"/>
        </w:rPr>
        <w:instrText xml:space="preserve"> SEQ Slika \* ARABIC </w:instrText>
      </w:r>
      <w:r w:rsidR="00B04301" w:rsidRPr="00E73DC8">
        <w:rPr>
          <w:rFonts w:ascii="Aptos" w:hAnsi="Aptos"/>
        </w:rPr>
        <w:fldChar w:fldCharType="separate"/>
      </w:r>
      <w:r w:rsidR="00A91585" w:rsidRPr="00E73DC8">
        <w:rPr>
          <w:rFonts w:ascii="Aptos" w:hAnsi="Aptos"/>
          <w:noProof/>
        </w:rPr>
        <w:t>3</w:t>
      </w:r>
      <w:r w:rsidR="00B04301" w:rsidRPr="00E73DC8">
        <w:rPr>
          <w:rFonts w:ascii="Aptos" w:hAnsi="Aptos"/>
          <w:noProof/>
        </w:rPr>
        <w:fldChar w:fldCharType="end"/>
      </w:r>
      <w:r w:rsidRPr="00E73DC8">
        <w:rPr>
          <w:rFonts w:ascii="Aptos" w:hAnsi="Aptos"/>
        </w:rPr>
        <w:t>: Platforma za medsektorsko sodelovanje za področje neenakosti v zdravju.</w:t>
      </w:r>
    </w:p>
    <w:p w14:paraId="2FD34F62" w14:textId="77777777" w:rsidR="00E73DC8" w:rsidRDefault="00E73DC8" w:rsidP="0036374C">
      <w:pPr>
        <w:jc w:val="both"/>
        <w:rPr>
          <w:rFonts w:ascii="Aptos" w:hAnsi="Aptos"/>
          <w:b/>
          <w:bCs/>
        </w:rPr>
      </w:pPr>
    </w:p>
    <w:p w14:paraId="5946367C" w14:textId="1C70D620" w:rsidR="00D16CC0" w:rsidRPr="00E73DC8" w:rsidRDefault="00D16CC0" w:rsidP="0036374C">
      <w:pPr>
        <w:jc w:val="both"/>
        <w:rPr>
          <w:rFonts w:ascii="Aptos" w:hAnsi="Aptos"/>
          <w:b/>
          <w:bCs/>
        </w:rPr>
      </w:pPr>
      <w:r w:rsidRPr="00E73DC8">
        <w:rPr>
          <w:rFonts w:ascii="Aptos" w:hAnsi="Aptos"/>
          <w:b/>
          <w:bCs/>
        </w:rPr>
        <w:t>Povezava do publikacije:</w:t>
      </w:r>
      <w:r w:rsidRPr="00E73DC8">
        <w:rPr>
          <w:rFonts w:ascii="Aptos" w:hAnsi="Aptos"/>
        </w:rPr>
        <w:t xml:space="preserve"> </w:t>
      </w:r>
      <w:hyperlink r:id="rId7" w:history="1">
        <w:r w:rsidRPr="00E73DC8">
          <w:rPr>
            <w:rStyle w:val="Hiperpovezava"/>
            <w:rFonts w:ascii="Aptos" w:hAnsi="Aptos"/>
            <w:b/>
            <w:bCs/>
          </w:rPr>
          <w:t>Vpliv zdravstvenega sistema in fizičnega okolja na neenakosti v zdravju v Sloveniji – povzetek za politične odločevalce</w:t>
        </w:r>
      </w:hyperlink>
    </w:p>
    <w:sectPr w:rsidR="00D16CC0" w:rsidRPr="00E73D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9C"/>
    <w:rsid w:val="000879D8"/>
    <w:rsid w:val="000B46DE"/>
    <w:rsid w:val="000C14C0"/>
    <w:rsid w:val="000D5C60"/>
    <w:rsid w:val="001A72BD"/>
    <w:rsid w:val="001B388A"/>
    <w:rsid w:val="001C6036"/>
    <w:rsid w:val="001E17FD"/>
    <w:rsid w:val="00207C98"/>
    <w:rsid w:val="00235DD7"/>
    <w:rsid w:val="002454E5"/>
    <w:rsid w:val="00317DC2"/>
    <w:rsid w:val="00337DBD"/>
    <w:rsid w:val="0036374C"/>
    <w:rsid w:val="00386A04"/>
    <w:rsid w:val="00465E5C"/>
    <w:rsid w:val="00563B76"/>
    <w:rsid w:val="00570970"/>
    <w:rsid w:val="005761E8"/>
    <w:rsid w:val="005E1FDB"/>
    <w:rsid w:val="00654817"/>
    <w:rsid w:val="006E725B"/>
    <w:rsid w:val="007935AE"/>
    <w:rsid w:val="007A060F"/>
    <w:rsid w:val="007B0738"/>
    <w:rsid w:val="00817F9C"/>
    <w:rsid w:val="008E1692"/>
    <w:rsid w:val="008E46DE"/>
    <w:rsid w:val="00901CF1"/>
    <w:rsid w:val="009F27DD"/>
    <w:rsid w:val="00A16171"/>
    <w:rsid w:val="00A2114A"/>
    <w:rsid w:val="00A65AD5"/>
    <w:rsid w:val="00A74A03"/>
    <w:rsid w:val="00A860CA"/>
    <w:rsid w:val="00A91585"/>
    <w:rsid w:val="00AB30B1"/>
    <w:rsid w:val="00AC6772"/>
    <w:rsid w:val="00B03A1B"/>
    <w:rsid w:val="00B04301"/>
    <w:rsid w:val="00BA07BC"/>
    <w:rsid w:val="00BF03A6"/>
    <w:rsid w:val="00BF775D"/>
    <w:rsid w:val="00D16CC0"/>
    <w:rsid w:val="00D34777"/>
    <w:rsid w:val="00D61B50"/>
    <w:rsid w:val="00E27602"/>
    <w:rsid w:val="00E73DC8"/>
    <w:rsid w:val="00F56334"/>
    <w:rsid w:val="00FA0A81"/>
    <w:rsid w:val="00FF11B1"/>
    <w:rsid w:val="00FF30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39AD"/>
  <w15:chartTrackingRefBased/>
  <w15:docId w15:val="{F3FA54F5-CDDD-43DC-BDE1-D65181AA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16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465E5C"/>
    <w:pPr>
      <w:spacing w:before="100" w:beforeAutospacing="1" w:after="100" w:afterAutospacing="1" w:line="240" w:lineRule="auto"/>
    </w:pPr>
    <w:rPr>
      <w:rFonts w:ascii="Times New Roman" w:eastAsia="Times New Roman" w:hAnsi="Times New Roman" w:cs="Times New Roman"/>
      <w:sz w:val="24"/>
      <w:szCs w:val="24"/>
    </w:rPr>
  </w:style>
  <w:style w:type="paragraph" w:styleId="Napis">
    <w:name w:val="caption"/>
    <w:basedOn w:val="Navaden"/>
    <w:next w:val="Navaden"/>
    <w:uiPriority w:val="35"/>
    <w:unhideWhenUsed/>
    <w:qFormat/>
    <w:rsid w:val="001E17FD"/>
    <w:pPr>
      <w:spacing w:after="200" w:line="240" w:lineRule="auto"/>
    </w:pPr>
    <w:rPr>
      <w:i/>
      <w:iCs/>
      <w:color w:val="44546A" w:themeColor="text2"/>
      <w:sz w:val="18"/>
      <w:szCs w:val="18"/>
    </w:rPr>
  </w:style>
  <w:style w:type="character" w:customStyle="1" w:styleId="Naslov1Znak">
    <w:name w:val="Naslov 1 Znak"/>
    <w:basedOn w:val="Privzetapisavaodstavka"/>
    <w:link w:val="Naslov1"/>
    <w:uiPriority w:val="9"/>
    <w:rsid w:val="00D16CC0"/>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D16CC0"/>
    <w:rPr>
      <w:color w:val="0563C1" w:themeColor="hyperlink"/>
      <w:u w:val="single"/>
    </w:rPr>
  </w:style>
  <w:style w:type="character" w:styleId="Nerazreenaomemba">
    <w:name w:val="Unresolved Mention"/>
    <w:basedOn w:val="Privzetapisavaodstavka"/>
    <w:uiPriority w:val="99"/>
    <w:semiHidden/>
    <w:unhideWhenUsed/>
    <w:rsid w:val="00D16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606995">
      <w:bodyDiv w:val="1"/>
      <w:marLeft w:val="0"/>
      <w:marRight w:val="0"/>
      <w:marTop w:val="0"/>
      <w:marBottom w:val="0"/>
      <w:divBdr>
        <w:top w:val="none" w:sz="0" w:space="0" w:color="auto"/>
        <w:left w:val="none" w:sz="0" w:space="0" w:color="auto"/>
        <w:bottom w:val="none" w:sz="0" w:space="0" w:color="auto"/>
        <w:right w:val="none" w:sz="0" w:space="0" w:color="auto"/>
      </w:divBdr>
      <w:divsChild>
        <w:div w:id="551120815">
          <w:marLeft w:val="0"/>
          <w:marRight w:val="0"/>
          <w:marTop w:val="0"/>
          <w:marBottom w:val="0"/>
          <w:divBdr>
            <w:top w:val="none" w:sz="0" w:space="0" w:color="auto"/>
            <w:left w:val="none" w:sz="0" w:space="0" w:color="auto"/>
            <w:bottom w:val="none" w:sz="0" w:space="0" w:color="auto"/>
            <w:right w:val="none" w:sz="0" w:space="0" w:color="auto"/>
          </w:divBdr>
          <w:divsChild>
            <w:div w:id="1886284838">
              <w:marLeft w:val="0"/>
              <w:marRight w:val="0"/>
              <w:marTop w:val="0"/>
              <w:marBottom w:val="0"/>
              <w:divBdr>
                <w:top w:val="none" w:sz="0" w:space="0" w:color="auto"/>
                <w:left w:val="none" w:sz="0" w:space="0" w:color="auto"/>
                <w:bottom w:val="none" w:sz="0" w:space="0" w:color="auto"/>
                <w:right w:val="none" w:sz="0" w:space="0" w:color="auto"/>
              </w:divBdr>
              <w:divsChild>
                <w:div w:id="392699312">
                  <w:marLeft w:val="0"/>
                  <w:marRight w:val="0"/>
                  <w:marTop w:val="0"/>
                  <w:marBottom w:val="0"/>
                  <w:divBdr>
                    <w:top w:val="none" w:sz="0" w:space="0" w:color="auto"/>
                    <w:left w:val="none" w:sz="0" w:space="0" w:color="auto"/>
                    <w:bottom w:val="none" w:sz="0" w:space="0" w:color="auto"/>
                    <w:right w:val="none" w:sz="0" w:space="0" w:color="auto"/>
                  </w:divBdr>
                  <w:divsChild>
                    <w:div w:id="1488478943">
                      <w:marLeft w:val="0"/>
                      <w:marRight w:val="0"/>
                      <w:marTop w:val="0"/>
                      <w:marBottom w:val="0"/>
                      <w:divBdr>
                        <w:top w:val="none" w:sz="0" w:space="0" w:color="auto"/>
                        <w:left w:val="none" w:sz="0" w:space="0" w:color="auto"/>
                        <w:bottom w:val="none" w:sz="0" w:space="0" w:color="auto"/>
                        <w:right w:val="none" w:sz="0" w:space="0" w:color="auto"/>
                      </w:divBdr>
                      <w:divsChild>
                        <w:div w:id="1458529172">
                          <w:marLeft w:val="0"/>
                          <w:marRight w:val="0"/>
                          <w:marTop w:val="0"/>
                          <w:marBottom w:val="0"/>
                          <w:divBdr>
                            <w:top w:val="none" w:sz="0" w:space="0" w:color="auto"/>
                            <w:left w:val="none" w:sz="0" w:space="0" w:color="auto"/>
                            <w:bottom w:val="none" w:sz="0" w:space="0" w:color="auto"/>
                            <w:right w:val="none" w:sz="0" w:space="0" w:color="auto"/>
                          </w:divBdr>
                          <w:divsChild>
                            <w:div w:id="376665595">
                              <w:marLeft w:val="0"/>
                              <w:marRight w:val="0"/>
                              <w:marTop w:val="0"/>
                              <w:marBottom w:val="0"/>
                              <w:divBdr>
                                <w:top w:val="none" w:sz="0" w:space="0" w:color="auto"/>
                                <w:left w:val="none" w:sz="0" w:space="0" w:color="auto"/>
                                <w:bottom w:val="none" w:sz="0" w:space="0" w:color="auto"/>
                                <w:right w:val="none" w:sz="0" w:space="0" w:color="auto"/>
                              </w:divBdr>
                              <w:divsChild>
                                <w:div w:id="17182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39209">
      <w:bodyDiv w:val="1"/>
      <w:marLeft w:val="0"/>
      <w:marRight w:val="0"/>
      <w:marTop w:val="0"/>
      <w:marBottom w:val="0"/>
      <w:divBdr>
        <w:top w:val="none" w:sz="0" w:space="0" w:color="auto"/>
        <w:left w:val="none" w:sz="0" w:space="0" w:color="auto"/>
        <w:bottom w:val="none" w:sz="0" w:space="0" w:color="auto"/>
        <w:right w:val="none" w:sz="0" w:space="0" w:color="auto"/>
      </w:divBdr>
    </w:div>
    <w:div w:id="1127355149">
      <w:bodyDiv w:val="1"/>
      <w:marLeft w:val="0"/>
      <w:marRight w:val="0"/>
      <w:marTop w:val="0"/>
      <w:marBottom w:val="0"/>
      <w:divBdr>
        <w:top w:val="none" w:sz="0" w:space="0" w:color="auto"/>
        <w:left w:val="none" w:sz="0" w:space="0" w:color="auto"/>
        <w:bottom w:val="none" w:sz="0" w:space="0" w:color="auto"/>
        <w:right w:val="none" w:sz="0" w:space="0" w:color="auto"/>
      </w:divBdr>
      <w:divsChild>
        <w:div w:id="1863938131">
          <w:marLeft w:val="0"/>
          <w:marRight w:val="0"/>
          <w:marTop w:val="0"/>
          <w:marBottom w:val="0"/>
          <w:divBdr>
            <w:top w:val="none" w:sz="0" w:space="0" w:color="auto"/>
            <w:left w:val="none" w:sz="0" w:space="0" w:color="auto"/>
            <w:bottom w:val="none" w:sz="0" w:space="0" w:color="auto"/>
            <w:right w:val="none" w:sz="0" w:space="0" w:color="auto"/>
          </w:divBdr>
          <w:divsChild>
            <w:div w:id="787237746">
              <w:marLeft w:val="0"/>
              <w:marRight w:val="0"/>
              <w:marTop w:val="0"/>
              <w:marBottom w:val="0"/>
              <w:divBdr>
                <w:top w:val="none" w:sz="0" w:space="0" w:color="auto"/>
                <w:left w:val="none" w:sz="0" w:space="0" w:color="auto"/>
                <w:bottom w:val="none" w:sz="0" w:space="0" w:color="auto"/>
                <w:right w:val="none" w:sz="0" w:space="0" w:color="auto"/>
              </w:divBdr>
              <w:divsChild>
                <w:div w:id="878054459">
                  <w:marLeft w:val="0"/>
                  <w:marRight w:val="0"/>
                  <w:marTop w:val="0"/>
                  <w:marBottom w:val="0"/>
                  <w:divBdr>
                    <w:top w:val="none" w:sz="0" w:space="0" w:color="auto"/>
                    <w:left w:val="none" w:sz="0" w:space="0" w:color="auto"/>
                    <w:bottom w:val="none" w:sz="0" w:space="0" w:color="auto"/>
                    <w:right w:val="none" w:sz="0" w:space="0" w:color="auto"/>
                  </w:divBdr>
                  <w:divsChild>
                    <w:div w:id="476530561">
                      <w:marLeft w:val="0"/>
                      <w:marRight w:val="0"/>
                      <w:marTop w:val="0"/>
                      <w:marBottom w:val="0"/>
                      <w:divBdr>
                        <w:top w:val="none" w:sz="0" w:space="0" w:color="auto"/>
                        <w:left w:val="none" w:sz="0" w:space="0" w:color="auto"/>
                        <w:bottom w:val="none" w:sz="0" w:space="0" w:color="auto"/>
                        <w:right w:val="none" w:sz="0" w:space="0" w:color="auto"/>
                      </w:divBdr>
                      <w:divsChild>
                        <w:div w:id="885531061">
                          <w:marLeft w:val="0"/>
                          <w:marRight w:val="0"/>
                          <w:marTop w:val="0"/>
                          <w:marBottom w:val="0"/>
                          <w:divBdr>
                            <w:top w:val="none" w:sz="0" w:space="0" w:color="auto"/>
                            <w:left w:val="none" w:sz="0" w:space="0" w:color="auto"/>
                            <w:bottom w:val="none" w:sz="0" w:space="0" w:color="auto"/>
                            <w:right w:val="none" w:sz="0" w:space="0" w:color="auto"/>
                          </w:divBdr>
                          <w:divsChild>
                            <w:div w:id="6129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419302">
      <w:bodyDiv w:val="1"/>
      <w:marLeft w:val="0"/>
      <w:marRight w:val="0"/>
      <w:marTop w:val="0"/>
      <w:marBottom w:val="0"/>
      <w:divBdr>
        <w:top w:val="none" w:sz="0" w:space="0" w:color="auto"/>
        <w:left w:val="none" w:sz="0" w:space="0" w:color="auto"/>
        <w:bottom w:val="none" w:sz="0" w:space="0" w:color="auto"/>
        <w:right w:val="none" w:sz="0" w:space="0" w:color="auto"/>
      </w:divBdr>
      <w:divsChild>
        <w:div w:id="242035897">
          <w:marLeft w:val="0"/>
          <w:marRight w:val="0"/>
          <w:marTop w:val="0"/>
          <w:marBottom w:val="0"/>
          <w:divBdr>
            <w:top w:val="none" w:sz="0" w:space="0" w:color="auto"/>
            <w:left w:val="none" w:sz="0" w:space="0" w:color="auto"/>
            <w:bottom w:val="none" w:sz="0" w:space="0" w:color="auto"/>
            <w:right w:val="none" w:sz="0" w:space="0" w:color="auto"/>
          </w:divBdr>
          <w:divsChild>
            <w:div w:id="1573388315">
              <w:marLeft w:val="0"/>
              <w:marRight w:val="0"/>
              <w:marTop w:val="0"/>
              <w:marBottom w:val="0"/>
              <w:divBdr>
                <w:top w:val="none" w:sz="0" w:space="0" w:color="auto"/>
                <w:left w:val="none" w:sz="0" w:space="0" w:color="auto"/>
                <w:bottom w:val="none" w:sz="0" w:space="0" w:color="auto"/>
                <w:right w:val="none" w:sz="0" w:space="0" w:color="auto"/>
              </w:divBdr>
              <w:divsChild>
                <w:div w:id="96411456">
                  <w:marLeft w:val="0"/>
                  <w:marRight w:val="0"/>
                  <w:marTop w:val="0"/>
                  <w:marBottom w:val="0"/>
                  <w:divBdr>
                    <w:top w:val="none" w:sz="0" w:space="0" w:color="auto"/>
                    <w:left w:val="none" w:sz="0" w:space="0" w:color="auto"/>
                    <w:bottom w:val="none" w:sz="0" w:space="0" w:color="auto"/>
                    <w:right w:val="none" w:sz="0" w:space="0" w:color="auto"/>
                  </w:divBdr>
                  <w:divsChild>
                    <w:div w:id="980311130">
                      <w:marLeft w:val="0"/>
                      <w:marRight w:val="0"/>
                      <w:marTop w:val="0"/>
                      <w:marBottom w:val="0"/>
                      <w:divBdr>
                        <w:top w:val="none" w:sz="0" w:space="0" w:color="auto"/>
                        <w:left w:val="none" w:sz="0" w:space="0" w:color="auto"/>
                        <w:bottom w:val="none" w:sz="0" w:space="0" w:color="auto"/>
                        <w:right w:val="none" w:sz="0" w:space="0" w:color="auto"/>
                      </w:divBdr>
                      <w:divsChild>
                        <w:div w:id="1751655344">
                          <w:marLeft w:val="0"/>
                          <w:marRight w:val="0"/>
                          <w:marTop w:val="0"/>
                          <w:marBottom w:val="0"/>
                          <w:divBdr>
                            <w:top w:val="none" w:sz="0" w:space="0" w:color="auto"/>
                            <w:left w:val="none" w:sz="0" w:space="0" w:color="auto"/>
                            <w:bottom w:val="none" w:sz="0" w:space="0" w:color="auto"/>
                            <w:right w:val="none" w:sz="0" w:space="0" w:color="auto"/>
                          </w:divBdr>
                          <w:divsChild>
                            <w:div w:id="16179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29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ijz.si/publikacije/vpliv-zdravstvenega-sistema-in-fizicnega-okolja-na-neenakosti-v-zdravju-v-sloveniji-povzetek-za-politicne-odloceval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968</Words>
  <Characters>5519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ziga.korbar</dc:creator>
  <cp:keywords/>
  <dc:description/>
  <cp:lastModifiedBy>Marija Skodlar</cp:lastModifiedBy>
  <cp:revision>8</cp:revision>
  <cp:lastPrinted>2026-01-29T11:39:00Z</cp:lastPrinted>
  <dcterms:created xsi:type="dcterms:W3CDTF">2026-01-28T00:58:00Z</dcterms:created>
  <dcterms:modified xsi:type="dcterms:W3CDTF">2026-01-30T11:35:00Z</dcterms:modified>
</cp:coreProperties>
</file>