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4"/>
      </w:tblGrid>
      <w:tr w:rsidR="008E2C22">
        <w:tc>
          <w:tcPr>
            <w:tcW w:w="15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"/>
              <w:gridCol w:w="2320"/>
              <w:gridCol w:w="2449"/>
              <w:gridCol w:w="2587"/>
              <w:gridCol w:w="2320"/>
              <w:gridCol w:w="1564"/>
              <w:gridCol w:w="1610"/>
              <w:gridCol w:w="1254"/>
              <w:gridCol w:w="1532"/>
              <w:gridCol w:w="84"/>
            </w:tblGrid>
            <w:tr w:rsidR="00162178" w:rsidTr="00162178">
              <w:trPr>
                <w:trHeight w:val="461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36968" cy="342857"/>
                        <wp:effectExtent l="0" t="0" r="0" b="0"/>
                        <wp:docPr id="1" name="img2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2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6968" cy="3428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31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u w:val="single"/>
                    </w:rPr>
                    <w:t>SEZNAM HARMONIZIRANIH STANDARDOV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Oznaka direktive: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2009/48/EC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162178" w:rsidTr="00162178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Naslov direktive:</w:t>
                  </w:r>
                </w:p>
              </w:tc>
              <w:tc>
                <w:tcPr>
                  <w:tcW w:w="1331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DIRECTIVE 2009/48/EC OF THE EUROPEAN PARLIAMENT AND OF THE COUNCIL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18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June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2009 on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the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162178" w:rsidTr="00162178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2178" w:rsidRDefault="00162178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2178" w:rsidRDefault="00162178">
                  <w:pPr>
                    <w:spacing w:after="0" w:line="240" w:lineRule="auto"/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Slo. naslov direktive:</w:t>
                  </w:r>
                </w:p>
              </w:tc>
              <w:tc>
                <w:tcPr>
                  <w:tcW w:w="1331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2178" w:rsidRDefault="00162178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Direktiva 2009/48/ES Evropskega parlamenta in Sveta z dne 18. junija 2009 o varnosti igrač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2178" w:rsidRDefault="00162178">
                  <w:pPr>
                    <w:spacing w:after="0" w:line="240" w:lineRule="auto"/>
                  </w:pPr>
                </w:p>
              </w:tc>
            </w:tr>
            <w:tr w:rsidR="00EB02A8" w:rsidTr="00162178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Datum izdaje: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Začetek uporabe: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Uradni list EU: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 w:rsidP="00162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L </w:t>
                  </w:r>
                  <w:r w:rsidR="00162178">
                    <w:rPr>
                      <w:rFonts w:ascii="Arial" w:eastAsia="Arial" w:hAnsi="Arial"/>
                      <w:color w:val="000000"/>
                      <w:sz w:val="16"/>
                    </w:rPr>
                    <w:t>263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Datum objave: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162178" w:rsidP="0016217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  <w:r w:rsidR="00EB02A8"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Okt</w:t>
                  </w:r>
                  <w:r w:rsidR="00EB02A8">
                    <w:rPr>
                      <w:rFonts w:ascii="Arial" w:eastAsia="Arial" w:hAnsi="Arial"/>
                      <w:color w:val="000000"/>
                      <w:sz w:val="16"/>
                    </w:rPr>
                    <w:t>-20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 w:rsidR="00EB02A8">
                    <w:rPr>
                      <w:rFonts w:ascii="Arial" w:eastAsia="Arial" w:hAnsi="Arial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rPr>
                <w:trHeight w:val="102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rPr>
                <w:trHeight w:val="462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Oznaka standarda</w:t>
                  </w:r>
                </w:p>
              </w:tc>
              <w:tc>
                <w:tcPr>
                  <w:tcW w:w="2449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Naslov standarda</w:t>
                  </w:r>
                </w:p>
              </w:tc>
              <w:tc>
                <w:tcPr>
                  <w:tcW w:w="2587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Naslov referenčnega standarda v angleškem jeziku</w:t>
                  </w:r>
                </w:p>
              </w:tc>
              <w:tc>
                <w:tcPr>
                  <w:tcW w:w="2320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Referenčni standard</w:t>
                  </w:r>
                </w:p>
              </w:tc>
              <w:tc>
                <w:tcPr>
                  <w:tcW w:w="1564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Oznaka nadomeščenega standarda</w:t>
                  </w:r>
                </w:p>
              </w:tc>
              <w:tc>
                <w:tcPr>
                  <w:tcW w:w="1610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Prva objava referenčnega standarda v UL EU</w:t>
                  </w:r>
                </w:p>
              </w:tc>
              <w:tc>
                <w:tcPr>
                  <w:tcW w:w="1254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Datum, po katerem uporaba nadomeščenega standarda več ne ustvarja domneve o skladnosti Opomba 1</w:t>
                  </w:r>
                </w:p>
              </w:tc>
              <w:tc>
                <w:tcPr>
                  <w:tcW w:w="1532" w:type="dxa"/>
                  <w:tcBorders>
                    <w:top w:val="single" w:sz="5" w:space="0" w:color="000000"/>
                    <w:left w:val="single" w:sz="1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Opombe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71-1:2015+A1:2018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- 1. del: Mehanske in fizikalne lastnosti (z dopolnili do vključno A3)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Mechanical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physical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properties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71-1:2014+A1:2018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71-12:2013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- 12. del: 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nitrozamini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in 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nitrozabilne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snovi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12: 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nitrosamines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nitrosatable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substances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71-12:2013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71-13:2014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- 13. del: Vohalne igralne plošče, kozmetični seti in okušalne igre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13: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Olfactory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board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games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cosmetic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kits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gustative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games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71-13:2014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71-14:2015+A1:2017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- 14. del: Trampolini za domačo uporabo (vključno z dopolnilom A1)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14: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Trampolines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domestic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use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71-14:2014+A1:2017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Pr="00162178" w:rsidRDefault="00162178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62178">
                    <w:rPr>
                      <w:rFonts w:ascii="Arial" w:hAnsi="Arial" w:cs="Arial"/>
                      <w:b/>
                      <w:sz w:val="16"/>
                      <w:szCs w:val="16"/>
                    </w:rPr>
                    <w:t>Z DNEM 22.1.2020 SE UMAKNE (OJ L195, OJ L263)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71-14:2019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- 14. del: Trampolini za domačo uporabo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14: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Trampolines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domestic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use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71-14:2018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71-2:2011+A1:2014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- 2. del: Vnetljivost (vključno z dopolnilom A1)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2: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Flammability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71-2:2011+A1:2014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71-3:2013+A3:2018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- 3. del: Migracija določenih elementov (z dopolnili do vključno A3)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3: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Migration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certain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elements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71-3:2013+A3:2018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Pr="00162178" w:rsidRDefault="00162178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62178">
                    <w:rPr>
                      <w:rFonts w:ascii="Arial" w:hAnsi="Arial" w:cs="Arial"/>
                      <w:b/>
                      <w:sz w:val="16"/>
                      <w:szCs w:val="16"/>
                    </w:rPr>
                    <w:t>Z DNEM 15.4.2020 SE UMAKNE (OJ L263, 16.10.2019)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71-3:2019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- 3. del: Migracija določenih elementov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3: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Migration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certain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elements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71-3:2019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71-4:2013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- 4. del: Kompleti za kemijske poskuse in druge poskuse, pri katerih se uporabljajo kemikalije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4: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Experimental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chemistry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related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activities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71-4:2013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71-5:2015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- 5. del: Kemijske igrače (kompleti), razen kompletov za kemijske poskuse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5: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Chemical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)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than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experimental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sets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71-5:2015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71-7:2014+A2:2018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- 7. del: Prstne barve - Zahteve in preskusne metode (vključno z dopolnilom A2)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7: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Finger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paints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Requirements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test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methods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71-7:2014+A2:2018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02A8" w:rsidRPr="00EB02A8" w:rsidRDefault="00EB02A8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B02A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Opomba: Za dovoljeni konzervans </w:t>
                  </w:r>
                  <w:proofErr w:type="spellStart"/>
                  <w:r w:rsidRPr="00EB02A8">
                    <w:rPr>
                      <w:rFonts w:ascii="Arial" w:hAnsi="Arial" w:cs="Arial"/>
                      <w:b/>
                      <w:sz w:val="16"/>
                      <w:szCs w:val="16"/>
                    </w:rPr>
                    <w:t>klimbazol</w:t>
                  </w:r>
                  <w:proofErr w:type="spellEnd"/>
                  <w:r w:rsidRPr="00EB02A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EB02A8" w:rsidRPr="00EB02A8" w:rsidRDefault="00EB02A8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B02A8">
                    <w:rPr>
                      <w:rFonts w:ascii="Arial" w:hAnsi="Arial" w:cs="Arial"/>
                      <w:b/>
                      <w:sz w:val="16"/>
                      <w:szCs w:val="16"/>
                    </w:rPr>
                    <w:t>(vnos 22 v preglednici B.1 Priloge B k temu standardu)</w:t>
                  </w:r>
                </w:p>
                <w:p w:rsidR="00EB02A8" w:rsidRPr="00EB02A8" w:rsidRDefault="00EB02A8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B02A8">
                    <w:rPr>
                      <w:rFonts w:ascii="Arial" w:hAnsi="Arial" w:cs="Arial"/>
                      <w:b/>
                      <w:sz w:val="16"/>
                      <w:szCs w:val="16"/>
                    </w:rPr>
                    <w:t>domneva o skladnosti velja do največje dovoljene</w:t>
                  </w:r>
                </w:p>
                <w:p w:rsidR="00EB02A8" w:rsidRPr="00EB02A8" w:rsidRDefault="00EB02A8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B02A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koncentracije 0,2 % (ne 0,5 %). To temelji na </w:t>
                  </w:r>
                </w:p>
                <w:p w:rsidR="00EB02A8" w:rsidRPr="00EB02A8" w:rsidRDefault="00EB02A8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B02A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dokumentu „ADDENDUM to </w:t>
                  </w:r>
                  <w:proofErr w:type="spellStart"/>
                  <w:r w:rsidRPr="00EB02A8">
                    <w:rPr>
                      <w:rFonts w:ascii="Arial" w:hAnsi="Arial" w:cs="Arial"/>
                      <w:b/>
                      <w:sz w:val="16"/>
                      <w:szCs w:val="16"/>
                    </w:rPr>
                    <w:t>the</w:t>
                  </w:r>
                  <w:proofErr w:type="spellEnd"/>
                  <w:r w:rsidRPr="00EB02A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B02A8">
                    <w:rPr>
                      <w:rFonts w:ascii="Arial" w:hAnsi="Arial" w:cs="Arial"/>
                      <w:b/>
                      <w:sz w:val="16"/>
                      <w:szCs w:val="16"/>
                    </w:rPr>
                    <w:t>Opinion</w:t>
                  </w:r>
                  <w:proofErr w:type="spellEnd"/>
                  <w:r w:rsidRPr="00EB02A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on </w:t>
                  </w:r>
                </w:p>
                <w:p w:rsidR="00EB02A8" w:rsidRPr="00EB02A8" w:rsidRDefault="00EB02A8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EB02A8">
                    <w:rPr>
                      <w:rFonts w:ascii="Arial" w:hAnsi="Arial" w:cs="Arial"/>
                      <w:b/>
                      <w:sz w:val="16"/>
                      <w:szCs w:val="16"/>
                    </w:rPr>
                    <w:t>Climbazole</w:t>
                  </w:r>
                  <w:proofErr w:type="spellEnd"/>
                  <w:r w:rsidRPr="00EB02A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(P64) ref. SCCS/1506/13“ </w:t>
                  </w:r>
                </w:p>
                <w:p w:rsidR="00EB02A8" w:rsidRPr="00EB02A8" w:rsidRDefault="00EB02A8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B02A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(DODATEK k Mnenju o </w:t>
                  </w:r>
                  <w:proofErr w:type="spellStart"/>
                  <w:r w:rsidRPr="00EB02A8">
                    <w:rPr>
                      <w:rFonts w:ascii="Arial" w:hAnsi="Arial" w:cs="Arial"/>
                      <w:b/>
                      <w:sz w:val="16"/>
                      <w:szCs w:val="16"/>
                    </w:rPr>
                    <w:t>klimbazolu</w:t>
                  </w:r>
                  <w:proofErr w:type="spellEnd"/>
                  <w:r w:rsidRPr="00EB02A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(P64) sklic </w:t>
                  </w:r>
                </w:p>
                <w:p w:rsidR="00EB02A8" w:rsidRPr="00EB02A8" w:rsidRDefault="00EB02A8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B02A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SCCS/ 1506/13) Znanstvenega </w:t>
                  </w:r>
                  <w:r w:rsidRPr="00EB02A8">
                    <w:rPr>
                      <w:rFonts w:ascii="Arial" w:hAnsi="Arial" w:cs="Arial"/>
                      <w:b/>
                      <w:sz w:val="16"/>
                      <w:szCs w:val="16"/>
                    </w:rPr>
                    <w:lastRenderedPageBreak/>
                    <w:t xml:space="preserve">odbora za varstvo </w:t>
                  </w:r>
                </w:p>
                <w:p w:rsidR="00EB02A8" w:rsidRPr="00EB02A8" w:rsidRDefault="00EB02A8">
                  <w:pPr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B02A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potrošnikov (ZOVP), ki je bil sprejet po tem, ko je </w:t>
                  </w:r>
                </w:p>
                <w:p w:rsidR="008E2C22" w:rsidRDefault="00EB02A8" w:rsidP="00EB02A8">
                  <w:pPr>
                    <w:spacing w:after="0" w:line="240" w:lineRule="auto"/>
                  </w:pPr>
                  <w:r w:rsidRPr="00EB02A8">
                    <w:rPr>
                      <w:rFonts w:ascii="Arial" w:hAnsi="Arial" w:cs="Arial"/>
                      <w:b/>
                      <w:sz w:val="16"/>
                      <w:szCs w:val="16"/>
                    </w:rPr>
                    <w:t>CEN objavil standard.</w:t>
                  </w:r>
                  <w:r w:rsidRPr="00EB02A8">
                    <w:t xml:space="preserve"> 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71-8:2018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Varnost igrač - 8. del: Igrače za prostočasne aktivnosti za domačo uporabo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Part 8: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Activity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domestic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use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71-8:2018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62115:2005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Električne igrače - Varnost (IEC 62115:2003 + A1:2004, spremenjen)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toys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Safety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62115:2005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50088:1996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50088:1996/A1:1996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50088:1996/A2:1997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50088:1996/A3:2002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62115:2005/A11:2012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11:2012 k standardu SIST EN 62115:2005/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11:2012 to EN 62115:2005/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62115:2005/A11:2012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62115:2005/A11:2012/AC:2013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AC:2013 k standardu SIST EN 62115:2005/A11:2012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AC:2013 to EN 62115:2005/A11:2012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62115:2005/A11:2012/AC:2013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62115:2005/A12:2015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12:2015 k standardu SIST EN 62115:2005/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12:2015 to EN 62115:2005/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62115:2005/A12:2015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62115:2005/A2:2011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Dopolnilo A2:2011 k standardu SIST EN 62115:2005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Amendment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A2:2011 to EN 62115:2005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62115:2005/A2:2011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SIST EN 62115:2005/A2:2011/AC:2011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Popravek AC:2011 k standardu SIST EN 62115:2005/A2:2011</w:t>
                  </w: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Corrigendum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AC:2011 to EN 62115:2005/A2:2011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EN 62115:2005/A2:2011/AC:2011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16-Oct-2019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dotted" w:sz="1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5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dotted" w:sz="1" w:space="0" w:color="000000"/>
                    <w:left w:val="single" w:sz="1" w:space="0" w:color="000000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single" w:sz="1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EB02A8" w:rsidTr="00162178">
              <w:trPr>
                <w:trHeight w:val="224"/>
              </w:trPr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</w:tbl>
          <w:p w:rsidR="008E2C22" w:rsidRDefault="008E2C22">
            <w:pPr>
              <w:spacing w:after="0" w:line="240" w:lineRule="auto"/>
            </w:pPr>
          </w:p>
        </w:tc>
      </w:tr>
    </w:tbl>
    <w:p w:rsidR="008E2C22" w:rsidRDefault="00EB02A8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4"/>
      </w:tblGrid>
      <w:tr w:rsidR="008E2C22">
        <w:tc>
          <w:tcPr>
            <w:tcW w:w="15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"/>
              <w:gridCol w:w="1978"/>
              <w:gridCol w:w="2696"/>
              <w:gridCol w:w="2875"/>
              <w:gridCol w:w="1977"/>
              <w:gridCol w:w="1258"/>
              <w:gridCol w:w="1797"/>
              <w:gridCol w:w="1258"/>
              <w:gridCol w:w="1797"/>
              <w:gridCol w:w="84"/>
            </w:tblGrid>
            <w:tr w:rsidR="00162178" w:rsidTr="00162178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1: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Običajno bo datum, ko preneha veljati domneva o skladnosti, datum preklica („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dow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“), ki ga določi Evropska organizacija za standardizacijo, vendar je treba opozoriti uporabnike teh standardov na dejstvo, da je v nekaterih izjemnih primerih to lahko drugače.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8E2C22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162178" w:rsidTr="00162178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2.1: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Področje uporabe novega (ali dopolnjenega) standarda ostaja nespremenjeno (enako kot pri nadomeščenem standardu). Domneva o skladnosti z bistvenimi zahtevami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direkive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 ki jo navaja nadomeščeni standard, preneha veljati z navedenim datumom.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8E2C22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162178" w:rsidTr="00162178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2.2: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Področje uporabe novega standarda je obširnejše kot področje uporabe nadomeščenega standarda. Domneva o skladnosti z bistvenimi zahtevami direktive, ki jo navaja nadomeščeni standard, preneha veljati z navedenim datumom. 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8E2C22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162178" w:rsidTr="00162178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2.3: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Področje uporabe novega standarda je manj obsežno kot področje uporabe nadomeščenega standarda. Z navedenim datumom preneha v (delno) nadomeščenem standardu veljati domneva o skladnosti z bistvenimi zahtevami direktive za tiste proizvode, ki spadajo v področje uporabe novega standarda. Domneva o skladnosti z bistvenimi zahtevami direktive ostane veljavna za proizvode, ki ne spadajo v področje uporabe novega standarda, spadajo pa v področje uporabe (delno) nadomeščenega standarda.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8E2C22">
              <w:trPr>
                <w:trHeight w:val="10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  <w:tr w:rsidR="00162178" w:rsidTr="00162178">
              <w:trPr>
                <w:trHeight w:val="281"/>
              </w:trPr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z w:val="18"/>
                    </w:rPr>
                    <w:t>Opomba 3: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EB02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 primeru dopolnil je referenčni standard EN CCCCC:YYYY, njegova prejšnja dopolnila, če le-ta obstajajo, in novo, navedeno dopolnilo. Nadomeščeni standard (stolpec 3) torej vsebuje le EN CCCCC:YYYY in njegova predhodna dopolnila, če le-ta obstajajo, brez novega navedenega dopolnila. Z navedenim datumom preneha veljati domneva o skladnosti z bistvenimi zahtevami direktive, podana v nadomeščenem standardu.</w:t>
                  </w:r>
                </w:p>
              </w:tc>
              <w:tc>
                <w:tcPr>
                  <w:tcW w:w="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C22" w:rsidRDefault="008E2C22">
                  <w:pPr>
                    <w:spacing w:after="0" w:line="240" w:lineRule="auto"/>
                  </w:pPr>
                </w:p>
              </w:tc>
            </w:tr>
          </w:tbl>
          <w:p w:rsidR="008E2C22" w:rsidRDefault="008E2C22">
            <w:pPr>
              <w:spacing w:after="0" w:line="240" w:lineRule="auto"/>
            </w:pPr>
          </w:p>
        </w:tc>
      </w:tr>
    </w:tbl>
    <w:p w:rsidR="008E2C22" w:rsidRDefault="008E2C22">
      <w:pPr>
        <w:spacing w:after="0" w:line="240" w:lineRule="auto"/>
      </w:pPr>
    </w:p>
    <w:sectPr w:rsidR="008E2C22">
      <w:pgSz w:w="16833" w:h="11908" w:orient="landscape"/>
      <w:pgMar w:top="360" w:right="360" w:bottom="360" w:left="3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22"/>
    <w:rsid w:val="00162178"/>
    <w:rsid w:val="008E2C22"/>
    <w:rsid w:val="00EB02A8"/>
    <w:rsid w:val="00F6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3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3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ProjectDirectivesContactPoint</vt:lpstr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ProjectDirectivesContactPoint</dc:title>
  <dc:creator>Tonija Črnigoj</dc:creator>
  <cp:lastModifiedBy>Tonija Črnigoj</cp:lastModifiedBy>
  <cp:revision>2</cp:revision>
  <dcterms:created xsi:type="dcterms:W3CDTF">2019-10-18T08:52:00Z</dcterms:created>
  <dcterms:modified xsi:type="dcterms:W3CDTF">2019-10-18T08:52:00Z</dcterms:modified>
</cp:coreProperties>
</file>